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787" w:type="dxa"/>
        <w:jc w:val="center"/>
        <w:tblBorders>
          <w:bottom w:val="single" w:sz="4" w:space="0" w:color="auto"/>
        </w:tblBorders>
        <w:tblLook w:val="01E0" w:firstRow="1" w:lastRow="1" w:firstColumn="1" w:lastColumn="1" w:noHBand="0" w:noVBand="0"/>
      </w:tblPr>
      <w:tblGrid>
        <w:gridCol w:w="6944"/>
        <w:gridCol w:w="1843"/>
      </w:tblGrid>
      <w:tr w:rsidR="000A03B2" w:rsidRPr="00D74401" w14:paraId="2A131A54" w14:textId="77777777" w:rsidTr="006E6832">
        <w:trPr>
          <w:trHeight w:val="852"/>
          <w:jc w:val="center"/>
        </w:trPr>
        <w:tc>
          <w:tcPr>
            <w:tcW w:w="6944" w:type="dxa"/>
            <w:vMerge w:val="restart"/>
            <w:tcBorders>
              <w:right w:val="single" w:sz="4" w:space="0" w:color="auto"/>
            </w:tcBorders>
          </w:tcPr>
          <w:p w14:paraId="38C3D2BA" w14:textId="77777777" w:rsidR="000A03B2" w:rsidRPr="00D74401" w:rsidRDefault="000A03B2" w:rsidP="00DE264A">
            <w:pPr>
              <w:tabs>
                <w:tab w:val="left" w:pos="-108"/>
              </w:tabs>
              <w:ind w:left="-108"/>
              <w:jc w:val="left"/>
              <w:rPr>
                <w:rFonts w:cs="Arial"/>
                <w:b/>
                <w:bCs/>
                <w:i/>
                <w:iCs/>
                <w:color w:val="000066"/>
                <w:sz w:val="12"/>
                <w:szCs w:val="12"/>
                <w:lang w:val="en-US" w:eastAsia="it-IT"/>
              </w:rPr>
            </w:pPr>
            <w:r w:rsidRPr="00D74401">
              <w:rPr>
                <w:rFonts w:ascii="AdvP6960" w:hAnsi="AdvP6960" w:cs="AdvP6960"/>
                <w:noProof/>
                <w:color w:val="241F20"/>
                <w:szCs w:val="18"/>
                <w:lang w:val="es-PE" w:eastAsia="es-PE"/>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D74401">
              <w:rPr>
                <w:rFonts w:ascii="AdvP6960" w:hAnsi="AdvP6960" w:cs="AdvP6960"/>
                <w:color w:val="241F20"/>
                <w:szCs w:val="18"/>
                <w:lang w:val="en-US" w:eastAsia="it-IT"/>
              </w:rPr>
              <w:t xml:space="preserve"> </w:t>
            </w:r>
            <w:r w:rsidRPr="00D74401">
              <w:rPr>
                <w:rFonts w:cs="Arial"/>
                <w:b/>
                <w:bCs/>
                <w:i/>
                <w:iCs/>
                <w:color w:val="000066"/>
                <w:sz w:val="24"/>
                <w:szCs w:val="24"/>
                <w:lang w:val="en-US" w:eastAsia="it-IT"/>
              </w:rPr>
              <w:t>CHEMICAL ENGINEERING</w:t>
            </w:r>
            <w:r w:rsidRPr="00D74401">
              <w:rPr>
                <w:rFonts w:cs="Arial"/>
                <w:b/>
                <w:bCs/>
                <w:i/>
                <w:iCs/>
                <w:color w:val="0033FF"/>
                <w:sz w:val="24"/>
                <w:szCs w:val="24"/>
                <w:lang w:val="en-US" w:eastAsia="it-IT"/>
              </w:rPr>
              <w:t xml:space="preserve"> </w:t>
            </w:r>
            <w:r w:rsidRPr="00D74401">
              <w:rPr>
                <w:rFonts w:cs="Arial"/>
                <w:b/>
                <w:bCs/>
                <w:i/>
                <w:iCs/>
                <w:color w:val="666666"/>
                <w:sz w:val="24"/>
                <w:szCs w:val="24"/>
                <w:lang w:val="en-US" w:eastAsia="it-IT"/>
              </w:rPr>
              <w:t>TRANSACTIONS</w:t>
            </w:r>
            <w:r w:rsidRPr="00D74401">
              <w:rPr>
                <w:color w:val="333333"/>
                <w:sz w:val="24"/>
                <w:szCs w:val="24"/>
                <w:lang w:val="en-US" w:eastAsia="it-IT"/>
              </w:rPr>
              <w:t xml:space="preserve"> </w:t>
            </w:r>
            <w:r w:rsidRPr="00D74401">
              <w:rPr>
                <w:rFonts w:cs="Arial"/>
                <w:b/>
                <w:bCs/>
                <w:i/>
                <w:iCs/>
                <w:color w:val="000066"/>
                <w:sz w:val="27"/>
                <w:szCs w:val="27"/>
                <w:lang w:val="en-US" w:eastAsia="it-IT"/>
              </w:rPr>
              <w:br/>
            </w:r>
          </w:p>
          <w:p w14:paraId="4B780582" w14:textId="530285EB" w:rsidR="000A03B2" w:rsidRPr="00D74401" w:rsidRDefault="00A76EFC" w:rsidP="001D21AF">
            <w:pPr>
              <w:tabs>
                <w:tab w:val="left" w:pos="-108"/>
              </w:tabs>
              <w:ind w:left="-108"/>
              <w:rPr>
                <w:rFonts w:cs="Arial"/>
                <w:b/>
                <w:bCs/>
                <w:i/>
                <w:iCs/>
                <w:color w:val="000066"/>
                <w:sz w:val="22"/>
                <w:szCs w:val="22"/>
                <w:lang w:val="en-US" w:eastAsia="it-IT"/>
              </w:rPr>
            </w:pPr>
            <w:r w:rsidRPr="00D74401">
              <w:rPr>
                <w:rFonts w:cs="Arial"/>
                <w:b/>
                <w:bCs/>
                <w:i/>
                <w:iCs/>
                <w:color w:val="000066"/>
                <w:sz w:val="22"/>
                <w:szCs w:val="22"/>
                <w:lang w:val="en-US" w:eastAsia="it-IT"/>
              </w:rPr>
              <w:t xml:space="preserve">VOL. </w:t>
            </w:r>
            <w:r w:rsidR="0030152C" w:rsidRPr="00D74401">
              <w:rPr>
                <w:rFonts w:cs="Arial"/>
                <w:b/>
                <w:bCs/>
                <w:i/>
                <w:iCs/>
                <w:color w:val="000066"/>
                <w:sz w:val="22"/>
                <w:szCs w:val="22"/>
                <w:lang w:val="en-US" w:eastAsia="it-IT"/>
              </w:rPr>
              <w:t xml:space="preserve">   </w:t>
            </w:r>
            <w:r w:rsidR="007B48F9" w:rsidRPr="00D74401">
              <w:rPr>
                <w:rFonts w:cs="Arial"/>
                <w:b/>
                <w:bCs/>
                <w:i/>
                <w:iCs/>
                <w:color w:val="000066"/>
                <w:sz w:val="22"/>
                <w:szCs w:val="22"/>
                <w:lang w:val="en-US" w:eastAsia="it-IT"/>
              </w:rPr>
              <w:t>,</w:t>
            </w:r>
            <w:r w:rsidR="00FA5F5F" w:rsidRPr="00D74401">
              <w:rPr>
                <w:rFonts w:cs="Arial"/>
                <w:b/>
                <w:bCs/>
                <w:i/>
                <w:iCs/>
                <w:color w:val="000066"/>
                <w:sz w:val="22"/>
                <w:szCs w:val="22"/>
                <w:lang w:val="en-US" w:eastAsia="it-IT"/>
              </w:rPr>
              <w:t xml:space="preserve"> </w:t>
            </w:r>
            <w:r w:rsidR="0030152C" w:rsidRPr="00D74401">
              <w:rPr>
                <w:rFonts w:cs="Arial"/>
                <w:b/>
                <w:bCs/>
                <w:i/>
                <w:iCs/>
                <w:color w:val="000066"/>
                <w:sz w:val="22"/>
                <w:szCs w:val="22"/>
                <w:lang w:val="en-US" w:eastAsia="it-IT"/>
              </w:rPr>
              <w:t>2023</w:t>
            </w:r>
          </w:p>
        </w:tc>
        <w:tc>
          <w:tcPr>
            <w:tcW w:w="1843" w:type="dxa"/>
            <w:tcBorders>
              <w:left w:val="single" w:sz="4" w:space="0" w:color="auto"/>
              <w:bottom w:val="nil"/>
              <w:right w:val="single" w:sz="4" w:space="0" w:color="auto"/>
            </w:tcBorders>
          </w:tcPr>
          <w:p w14:paraId="56782132" w14:textId="77777777" w:rsidR="000A03B2" w:rsidRPr="00D74401" w:rsidRDefault="000A03B2" w:rsidP="00CD5FE2">
            <w:pPr>
              <w:spacing w:line="140" w:lineRule="atLeast"/>
              <w:jc w:val="right"/>
              <w:rPr>
                <w:rFonts w:cs="Arial"/>
                <w:sz w:val="14"/>
                <w:szCs w:val="14"/>
                <w:lang w:val="en-US"/>
              </w:rPr>
            </w:pPr>
            <w:r w:rsidRPr="00D74401">
              <w:rPr>
                <w:rFonts w:cs="Arial"/>
                <w:sz w:val="14"/>
                <w:szCs w:val="14"/>
                <w:lang w:val="en-US"/>
              </w:rPr>
              <w:t>A publication of</w:t>
            </w:r>
          </w:p>
          <w:p w14:paraId="599E5441" w14:textId="77777777" w:rsidR="000A03B2" w:rsidRPr="00D74401" w:rsidRDefault="000A03B2" w:rsidP="00CD5FE2">
            <w:pPr>
              <w:jc w:val="right"/>
              <w:rPr>
                <w:lang w:val="en-US"/>
              </w:rPr>
            </w:pPr>
            <w:r w:rsidRPr="00D74401">
              <w:rPr>
                <w:noProof/>
                <w:lang w:val="es-PE" w:eastAsia="es-PE"/>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D74401" w14:paraId="380FA3CD" w14:textId="77777777" w:rsidTr="006E6832">
        <w:trPr>
          <w:trHeight w:val="567"/>
          <w:jc w:val="center"/>
        </w:trPr>
        <w:tc>
          <w:tcPr>
            <w:tcW w:w="6944" w:type="dxa"/>
            <w:vMerge/>
            <w:tcBorders>
              <w:right w:val="single" w:sz="4" w:space="0" w:color="auto"/>
            </w:tcBorders>
          </w:tcPr>
          <w:p w14:paraId="39E5E4C1" w14:textId="77777777" w:rsidR="000A03B2" w:rsidRPr="00D74401" w:rsidRDefault="000A03B2" w:rsidP="00CD5FE2">
            <w:pPr>
              <w:tabs>
                <w:tab w:val="left" w:pos="-108"/>
              </w:tabs>
              <w:rPr>
                <w:lang w:val="en-US"/>
              </w:rPr>
            </w:pPr>
          </w:p>
        </w:tc>
        <w:tc>
          <w:tcPr>
            <w:tcW w:w="1843" w:type="dxa"/>
            <w:tcBorders>
              <w:left w:val="single" w:sz="4" w:space="0" w:color="auto"/>
              <w:bottom w:val="nil"/>
              <w:right w:val="single" w:sz="4" w:space="0" w:color="auto"/>
            </w:tcBorders>
          </w:tcPr>
          <w:p w14:paraId="43858A98" w14:textId="77777777" w:rsidR="000A03B2" w:rsidRPr="00D74401" w:rsidRDefault="000A03B2" w:rsidP="00CD5FE2">
            <w:pPr>
              <w:spacing w:line="140" w:lineRule="atLeast"/>
              <w:jc w:val="right"/>
              <w:rPr>
                <w:rFonts w:cs="Arial"/>
                <w:sz w:val="14"/>
                <w:szCs w:val="14"/>
                <w:lang w:val="en-US"/>
              </w:rPr>
            </w:pPr>
            <w:r w:rsidRPr="00D74401">
              <w:rPr>
                <w:rFonts w:cs="Arial"/>
                <w:sz w:val="14"/>
                <w:szCs w:val="14"/>
                <w:lang w:val="en-US"/>
              </w:rPr>
              <w:t>The Italian Association</w:t>
            </w:r>
          </w:p>
          <w:p w14:paraId="7522B1D2" w14:textId="77777777" w:rsidR="000A03B2" w:rsidRPr="00D74401" w:rsidRDefault="000A03B2" w:rsidP="00CD5FE2">
            <w:pPr>
              <w:spacing w:line="140" w:lineRule="atLeast"/>
              <w:jc w:val="right"/>
              <w:rPr>
                <w:rFonts w:cs="Arial"/>
                <w:sz w:val="14"/>
                <w:szCs w:val="14"/>
                <w:lang w:val="en-US"/>
              </w:rPr>
            </w:pPr>
            <w:r w:rsidRPr="00D74401">
              <w:rPr>
                <w:rFonts w:cs="Arial"/>
                <w:sz w:val="14"/>
                <w:szCs w:val="14"/>
                <w:lang w:val="en-US"/>
              </w:rPr>
              <w:t>of Chemical Engineering</w:t>
            </w:r>
          </w:p>
          <w:p w14:paraId="4F0CC5DE" w14:textId="47FDB2FC" w:rsidR="000A03B2" w:rsidRPr="00D74401" w:rsidRDefault="000D0268" w:rsidP="00CD5FE2">
            <w:pPr>
              <w:spacing w:line="140" w:lineRule="atLeast"/>
              <w:jc w:val="right"/>
              <w:rPr>
                <w:rFonts w:cs="Arial"/>
                <w:sz w:val="13"/>
                <w:szCs w:val="13"/>
                <w:lang w:val="en-US"/>
              </w:rPr>
            </w:pPr>
            <w:r w:rsidRPr="00D74401">
              <w:rPr>
                <w:rFonts w:cs="Arial"/>
                <w:sz w:val="13"/>
                <w:szCs w:val="13"/>
                <w:lang w:val="en-US"/>
              </w:rPr>
              <w:t>Online at www.cetjournal.it</w:t>
            </w:r>
          </w:p>
        </w:tc>
      </w:tr>
      <w:tr w:rsidR="000A03B2" w:rsidRPr="00D74401" w14:paraId="2D1B7169" w14:textId="77777777" w:rsidTr="006E6832">
        <w:trPr>
          <w:trHeight w:val="68"/>
          <w:jc w:val="center"/>
        </w:trPr>
        <w:tc>
          <w:tcPr>
            <w:tcW w:w="8787" w:type="dxa"/>
            <w:gridSpan w:val="2"/>
          </w:tcPr>
          <w:p w14:paraId="1D8DD3C9" w14:textId="72C518CF" w:rsidR="00AA7D26" w:rsidRPr="00D74401" w:rsidRDefault="00AA7D26" w:rsidP="00AA7D26">
            <w:pPr>
              <w:ind w:left="-107"/>
              <w:outlineLvl w:val="2"/>
              <w:rPr>
                <w:rFonts w:ascii="Tahoma" w:hAnsi="Tahoma" w:cs="Tahoma"/>
                <w:bCs/>
                <w:color w:val="000000"/>
                <w:sz w:val="14"/>
                <w:szCs w:val="14"/>
                <w:lang w:val="en-US" w:eastAsia="it-IT"/>
              </w:rPr>
            </w:pPr>
            <w:r w:rsidRPr="00D74401">
              <w:rPr>
                <w:rFonts w:ascii="Tahoma" w:hAnsi="Tahoma" w:cs="Tahoma"/>
                <w:iCs/>
                <w:color w:val="333333"/>
                <w:sz w:val="14"/>
                <w:szCs w:val="14"/>
                <w:lang w:val="en-US" w:eastAsia="it-IT"/>
              </w:rPr>
              <w:t>Guest Editor:</w:t>
            </w:r>
            <w:r w:rsidRPr="00D74401">
              <w:rPr>
                <w:rFonts w:ascii="Tahoma" w:hAnsi="Tahoma" w:cs="Tahoma"/>
                <w:color w:val="000000"/>
                <w:sz w:val="14"/>
                <w:szCs w:val="14"/>
                <w:shd w:val="clear" w:color="auto" w:fill="FFFFFF"/>
                <w:lang w:val="en-US"/>
              </w:rPr>
              <w:t xml:space="preserve"> </w:t>
            </w:r>
            <w:r w:rsidRPr="00D74401">
              <w:rPr>
                <w:rFonts w:ascii="Tahoma" w:hAnsi="Tahoma" w:cs="Tahoma"/>
                <w:sz w:val="14"/>
                <w:szCs w:val="14"/>
                <w:lang w:val="en-US"/>
              </w:rPr>
              <w:t>Sauro Pierucci</w:t>
            </w:r>
          </w:p>
          <w:p w14:paraId="1B0F1814" w14:textId="650290B9" w:rsidR="000A03B2" w:rsidRPr="00D74401" w:rsidRDefault="00AA7D26" w:rsidP="00AA7D26">
            <w:pPr>
              <w:tabs>
                <w:tab w:val="left" w:pos="-108"/>
              </w:tabs>
              <w:spacing w:line="140" w:lineRule="atLeast"/>
              <w:ind w:left="-107"/>
              <w:jc w:val="left"/>
              <w:rPr>
                <w:lang w:val="en-US"/>
              </w:rPr>
            </w:pPr>
            <w:r w:rsidRPr="00D74401">
              <w:rPr>
                <w:rFonts w:ascii="Tahoma" w:hAnsi="Tahoma" w:cs="Tahoma"/>
                <w:iCs/>
                <w:color w:val="333333"/>
                <w:sz w:val="14"/>
                <w:szCs w:val="14"/>
                <w:lang w:val="en-US" w:eastAsia="it-IT"/>
              </w:rPr>
              <w:t>Copyright © 2023, AIDIC Servizi S.r.l.</w:t>
            </w:r>
            <w:r w:rsidRPr="00D74401">
              <w:rPr>
                <w:rFonts w:ascii="Tahoma" w:hAnsi="Tahoma" w:cs="Tahoma"/>
                <w:iCs/>
                <w:color w:val="333333"/>
                <w:sz w:val="14"/>
                <w:szCs w:val="14"/>
                <w:lang w:val="en-US" w:eastAsia="it-IT"/>
              </w:rPr>
              <w:br/>
            </w:r>
            <w:r w:rsidRPr="00D74401">
              <w:rPr>
                <w:rFonts w:ascii="Tahoma" w:hAnsi="Tahoma" w:cs="Tahoma"/>
                <w:b/>
                <w:iCs/>
                <w:color w:val="000000"/>
                <w:sz w:val="14"/>
                <w:szCs w:val="14"/>
                <w:lang w:val="en-US" w:eastAsia="it-IT"/>
              </w:rPr>
              <w:t>ISBN</w:t>
            </w:r>
            <w:r w:rsidRPr="00D74401">
              <w:rPr>
                <w:rFonts w:ascii="Tahoma" w:hAnsi="Tahoma" w:cs="Tahoma"/>
                <w:iCs/>
                <w:color w:val="000000"/>
                <w:sz w:val="14"/>
                <w:szCs w:val="14"/>
                <w:lang w:val="en-US" w:eastAsia="it-IT"/>
              </w:rPr>
              <w:t xml:space="preserve"> </w:t>
            </w:r>
            <w:r w:rsidRPr="00D74401">
              <w:rPr>
                <w:rFonts w:ascii="Tahoma" w:hAnsi="Tahoma" w:cs="Tahoma"/>
                <w:sz w:val="14"/>
                <w:szCs w:val="14"/>
                <w:lang w:val="en-US"/>
              </w:rPr>
              <w:t>978-88-95608-98-3</w:t>
            </w:r>
            <w:r w:rsidRPr="00D74401">
              <w:rPr>
                <w:rFonts w:ascii="Tahoma" w:hAnsi="Tahoma" w:cs="Tahoma"/>
                <w:iCs/>
                <w:color w:val="333333"/>
                <w:sz w:val="14"/>
                <w:szCs w:val="14"/>
                <w:lang w:val="en-US" w:eastAsia="it-IT"/>
              </w:rPr>
              <w:t xml:space="preserve">; </w:t>
            </w:r>
            <w:r w:rsidRPr="00D74401">
              <w:rPr>
                <w:rFonts w:ascii="Tahoma" w:hAnsi="Tahoma" w:cs="Tahoma"/>
                <w:b/>
                <w:iCs/>
                <w:color w:val="333333"/>
                <w:sz w:val="14"/>
                <w:szCs w:val="14"/>
                <w:lang w:val="en-US" w:eastAsia="it-IT"/>
              </w:rPr>
              <w:t>ISSN</w:t>
            </w:r>
            <w:r w:rsidRPr="00D74401">
              <w:rPr>
                <w:rFonts w:ascii="Tahoma" w:hAnsi="Tahoma" w:cs="Tahoma"/>
                <w:iCs/>
                <w:color w:val="333333"/>
                <w:sz w:val="14"/>
                <w:szCs w:val="14"/>
                <w:lang w:val="en-US" w:eastAsia="it-IT"/>
              </w:rPr>
              <w:t xml:space="preserve"> 2283-9216</w:t>
            </w:r>
          </w:p>
        </w:tc>
      </w:tr>
    </w:tbl>
    <w:p w14:paraId="2E667253" w14:textId="6E63D3C2" w:rsidR="00E978D0" w:rsidRPr="00D74401" w:rsidRDefault="006E6832" w:rsidP="006E6832">
      <w:pPr>
        <w:pStyle w:val="CETTitle"/>
        <w:rPr>
          <w:lang w:val="en-US"/>
        </w:rPr>
      </w:pPr>
      <w:r w:rsidRPr="00D74401">
        <w:rPr>
          <w:i/>
          <w:lang w:val="en-US"/>
        </w:rPr>
        <w:t>Pleurotus ostreatus</w:t>
      </w:r>
      <w:r w:rsidRPr="00D74401">
        <w:rPr>
          <w:lang w:val="en-US"/>
        </w:rPr>
        <w:t xml:space="preserve"> and </w:t>
      </w:r>
      <w:r w:rsidRPr="00D74401">
        <w:rPr>
          <w:i/>
          <w:lang w:val="en-US"/>
        </w:rPr>
        <w:t>Trametes versicolor</w:t>
      </w:r>
      <w:r w:rsidRPr="00D74401">
        <w:rPr>
          <w:lang w:val="en-US"/>
        </w:rPr>
        <w:t xml:space="preserve"> fungi to decontaminate soils containing organophosphates </w:t>
      </w:r>
      <w:r w:rsidRPr="00D74401">
        <w:rPr>
          <w:i/>
          <w:lang w:val="en-US"/>
        </w:rPr>
        <w:t>Methamidophos</w:t>
      </w:r>
      <w:r w:rsidRPr="00D74401">
        <w:rPr>
          <w:lang w:val="en-US"/>
        </w:rPr>
        <w:t xml:space="preserve"> and Cadmium</w:t>
      </w:r>
    </w:p>
    <w:p w14:paraId="5CE177F5" w14:textId="7796C6B5" w:rsidR="00573698" w:rsidRPr="0070541D" w:rsidRDefault="00573698" w:rsidP="006E6832">
      <w:pPr>
        <w:pStyle w:val="CETAuthors"/>
        <w:rPr>
          <w:lang w:val="en-US"/>
        </w:rPr>
      </w:pPr>
      <w:r w:rsidRPr="0070541D">
        <w:rPr>
          <w:lang w:val="en-US"/>
        </w:rPr>
        <w:t>Elmer Benites-Alfaro</w:t>
      </w:r>
      <w:r w:rsidRPr="0070541D">
        <w:rPr>
          <w:vertAlign w:val="superscript"/>
          <w:lang w:val="en-US"/>
        </w:rPr>
        <w:t>a,*</w:t>
      </w:r>
      <w:r w:rsidRPr="0070541D">
        <w:rPr>
          <w:lang w:val="en-US"/>
        </w:rPr>
        <w:t xml:space="preserve">, </w:t>
      </w:r>
      <w:r w:rsidR="006E6832" w:rsidRPr="0070541D">
        <w:rPr>
          <w:lang w:val="en-US"/>
        </w:rPr>
        <w:t>Lucerito M. Silva Carhuatocto</w:t>
      </w:r>
      <w:r w:rsidR="006E6832" w:rsidRPr="0070541D">
        <w:rPr>
          <w:vertAlign w:val="superscript"/>
          <w:lang w:val="en-US"/>
        </w:rPr>
        <w:t>a</w:t>
      </w:r>
      <w:r w:rsidR="006E6832" w:rsidRPr="0070541D">
        <w:rPr>
          <w:lang w:val="en-US"/>
        </w:rPr>
        <w:t>, Anggie P.Guanilo Iñigo</w:t>
      </w:r>
      <w:r w:rsidR="006E6832" w:rsidRPr="0070541D">
        <w:rPr>
          <w:vertAlign w:val="superscript"/>
          <w:lang w:val="en-US"/>
        </w:rPr>
        <w:t>a</w:t>
      </w:r>
      <w:r w:rsidR="006E6832" w:rsidRPr="0070541D">
        <w:rPr>
          <w:lang w:val="en-US"/>
        </w:rPr>
        <w:t>, Jorge Jave Nakayo</w:t>
      </w:r>
      <w:r w:rsidR="006E6832" w:rsidRPr="0070541D">
        <w:rPr>
          <w:vertAlign w:val="superscript"/>
          <w:lang w:val="en-US"/>
        </w:rPr>
        <w:t>b</w:t>
      </w:r>
      <w:r w:rsidR="006E6832" w:rsidRPr="0070541D">
        <w:rPr>
          <w:lang w:val="en-US"/>
        </w:rPr>
        <w:t>,</w:t>
      </w:r>
      <w:r w:rsidR="00F57DD3" w:rsidRPr="0070541D">
        <w:rPr>
          <w:lang w:val="en-US"/>
        </w:rPr>
        <w:t xml:space="preserve"> </w:t>
      </w:r>
      <w:r w:rsidR="0070541D" w:rsidRPr="0070541D">
        <w:rPr>
          <w:lang w:val="en-US"/>
        </w:rPr>
        <w:t>Carlos A.</w:t>
      </w:r>
      <w:r w:rsidR="0070541D">
        <w:rPr>
          <w:lang w:val="en-US"/>
        </w:rPr>
        <w:t xml:space="preserve"> Castañeda-Olivera</w:t>
      </w:r>
      <w:r w:rsidR="0070541D" w:rsidRPr="0070541D">
        <w:rPr>
          <w:vertAlign w:val="superscript"/>
          <w:lang w:val="en-US"/>
        </w:rPr>
        <w:t>a</w:t>
      </w:r>
      <w:r w:rsidR="00BD38B4" w:rsidRPr="0070541D">
        <w:rPr>
          <w:lang w:val="en-US"/>
        </w:rPr>
        <w:t>,</w:t>
      </w:r>
      <w:r w:rsidR="0070541D">
        <w:rPr>
          <w:lang w:val="en-US"/>
        </w:rPr>
        <w:t xml:space="preserve"> Danny A. Lizarzaburu-Aguinaga</w:t>
      </w:r>
      <w:r w:rsidR="0070541D" w:rsidRPr="0070541D">
        <w:rPr>
          <w:vertAlign w:val="superscript"/>
          <w:lang w:val="en-US"/>
        </w:rPr>
        <w:t>a</w:t>
      </w:r>
      <w:r w:rsidR="0070541D">
        <w:rPr>
          <w:lang w:val="en-US"/>
        </w:rPr>
        <w:t>,</w:t>
      </w:r>
      <w:r w:rsidR="00BD38B4" w:rsidRPr="0070541D">
        <w:rPr>
          <w:lang w:val="en-US"/>
        </w:rPr>
        <w:t xml:space="preserve"> </w:t>
      </w:r>
      <w:r w:rsidR="00EE30CF" w:rsidRPr="0070541D">
        <w:rPr>
          <w:lang w:val="en-US"/>
        </w:rPr>
        <w:t xml:space="preserve">Carlos </w:t>
      </w:r>
      <w:r w:rsidR="0070541D">
        <w:rPr>
          <w:lang w:val="en-US"/>
        </w:rPr>
        <w:t xml:space="preserve">F. </w:t>
      </w:r>
      <w:r w:rsidR="00EE30CF" w:rsidRPr="0070541D">
        <w:rPr>
          <w:lang w:val="en-US"/>
        </w:rPr>
        <w:t>Cabrera Carranza</w:t>
      </w:r>
      <w:r w:rsidR="00EE30CF" w:rsidRPr="0070541D">
        <w:rPr>
          <w:vertAlign w:val="superscript"/>
          <w:lang w:val="en-US"/>
        </w:rPr>
        <w:t>b</w:t>
      </w:r>
      <w:r w:rsidRPr="0070541D">
        <w:rPr>
          <w:lang w:val="en-US"/>
        </w:rPr>
        <w:t>.</w:t>
      </w:r>
    </w:p>
    <w:p w14:paraId="6B2D21B3" w14:textId="26F529A8" w:rsidR="00B57E6F" w:rsidRPr="0070541D" w:rsidRDefault="00B57E6F" w:rsidP="00B57E6F">
      <w:pPr>
        <w:pStyle w:val="CETAddress"/>
        <w:rPr>
          <w:lang w:val="en-US"/>
        </w:rPr>
      </w:pPr>
      <w:r w:rsidRPr="0070541D">
        <w:rPr>
          <w:vertAlign w:val="superscript"/>
          <w:lang w:val="en-US"/>
        </w:rPr>
        <w:t>a</w:t>
      </w:r>
      <w:r w:rsidR="006E6832" w:rsidRPr="0070541D">
        <w:rPr>
          <w:lang w:val="en-US"/>
        </w:rPr>
        <w:t>Universidad César Vallejo, Av. Alfredo Mendiola 6332, Lima 15314, Perú</w:t>
      </w:r>
      <w:r w:rsidRPr="0070541D">
        <w:rPr>
          <w:lang w:val="en-US"/>
        </w:rPr>
        <w:t xml:space="preserve"> </w:t>
      </w:r>
    </w:p>
    <w:p w14:paraId="3D72B0B0" w14:textId="5CC5737F" w:rsidR="00B57E6F" w:rsidRPr="00F57DD3" w:rsidRDefault="00B57E6F" w:rsidP="00B57E6F">
      <w:pPr>
        <w:pStyle w:val="CETAddress"/>
        <w:rPr>
          <w:lang w:val="es-PE"/>
        </w:rPr>
      </w:pPr>
      <w:r w:rsidRPr="0070541D">
        <w:rPr>
          <w:vertAlign w:val="superscript"/>
          <w:lang w:val="en-US"/>
        </w:rPr>
        <w:t>b</w:t>
      </w:r>
      <w:r w:rsidR="006E6832" w:rsidRPr="0070541D">
        <w:rPr>
          <w:lang w:val="en-US"/>
        </w:rPr>
        <w:t>Universidad Nacional Mayor de San Marcos, Av, Ven</w:t>
      </w:r>
      <w:r w:rsidR="006E6832" w:rsidRPr="00F57DD3">
        <w:rPr>
          <w:lang w:val="es-PE"/>
        </w:rPr>
        <w:t>ezuela s/n-Lima, Perú</w:t>
      </w:r>
      <w:r w:rsidRPr="00F57DD3">
        <w:rPr>
          <w:lang w:val="es-PE"/>
        </w:rPr>
        <w:t xml:space="preserve"> </w:t>
      </w:r>
    </w:p>
    <w:p w14:paraId="73F1267A" w14:textId="607D18E2" w:rsidR="00B57E6F" w:rsidRPr="0070541D" w:rsidRDefault="00B57E6F" w:rsidP="00B57E6F">
      <w:pPr>
        <w:pStyle w:val="CETemail"/>
        <w:rPr>
          <w:lang w:val="en-US"/>
        </w:rPr>
      </w:pPr>
      <w:r w:rsidRPr="0070541D">
        <w:rPr>
          <w:lang w:val="en-US"/>
        </w:rPr>
        <w:t xml:space="preserve"> corresponding</w:t>
      </w:r>
      <w:r w:rsidR="00FA0B86" w:rsidRPr="0070541D">
        <w:rPr>
          <w:lang w:val="en-US"/>
        </w:rPr>
        <w:t xml:space="preserve"> </w:t>
      </w:r>
      <w:r w:rsidRPr="0070541D">
        <w:rPr>
          <w:lang w:val="en-US"/>
        </w:rPr>
        <w:t>author</w:t>
      </w:r>
      <w:r w:rsidR="006E6832" w:rsidRPr="0070541D">
        <w:rPr>
          <w:lang w:val="en-US"/>
        </w:rPr>
        <w:t xml:space="preserve">: </w:t>
      </w:r>
      <w:r w:rsidR="0070541D" w:rsidRPr="0070541D">
        <w:rPr>
          <w:lang w:val="en-US"/>
        </w:rPr>
        <w:t>ebenitesa@ucv.edu.pe</w:t>
      </w:r>
    </w:p>
    <w:p w14:paraId="37A61FCE" w14:textId="0D02F50A" w:rsidR="00DA24C6" w:rsidRPr="00D74401" w:rsidRDefault="00EF2CC5" w:rsidP="00897229">
      <w:pPr>
        <w:pStyle w:val="CETnumberingbullets"/>
        <w:numPr>
          <w:ilvl w:val="0"/>
          <w:numId w:val="0"/>
        </w:numPr>
        <w:jc w:val="both"/>
        <w:rPr>
          <w:lang w:val="en-US"/>
        </w:rPr>
      </w:pPr>
      <w:r w:rsidRPr="00D74401">
        <w:rPr>
          <w:lang w:val="en-US"/>
        </w:rPr>
        <w:t xml:space="preserve">The intensive use of agricultural soils and the appearance of pests on crops make it necessary to use pesticides to achieve crop production. As a consequence of this, soils accumulate polluting elements that are incorporated into agricultural insecticides, one of them being </w:t>
      </w:r>
      <w:r w:rsidR="00BE2509">
        <w:rPr>
          <w:i/>
          <w:lang w:val="en-US"/>
        </w:rPr>
        <w:t>M</w:t>
      </w:r>
      <w:r w:rsidRPr="00D74401">
        <w:rPr>
          <w:i/>
          <w:lang w:val="en-US"/>
        </w:rPr>
        <w:t>ethamidophos</w:t>
      </w:r>
      <w:r w:rsidRPr="00D74401">
        <w:rPr>
          <w:lang w:val="en-US"/>
        </w:rPr>
        <w:t xml:space="preserve">, which is an insecticide </w:t>
      </w:r>
      <w:r w:rsidR="00C232EE" w:rsidRPr="00D74401">
        <w:rPr>
          <w:lang w:val="en-US"/>
        </w:rPr>
        <w:t>belonging</w:t>
      </w:r>
      <w:r w:rsidRPr="00D74401">
        <w:rPr>
          <w:lang w:val="en-US"/>
        </w:rPr>
        <w:t xml:space="preserve"> to the group of organophosphate pesticides. One of the methods to reduce this contaminant that have been tested recently is mycoremediation, which consists of the use of fungi. The investigation evaluated the use of the white rot fungi </w:t>
      </w:r>
      <w:r w:rsidRPr="00D74401">
        <w:rPr>
          <w:i/>
          <w:lang w:val="en-US"/>
        </w:rPr>
        <w:t>Pleurotus ostreatus</w:t>
      </w:r>
      <w:r w:rsidRPr="00D74401">
        <w:rPr>
          <w:lang w:val="en-US"/>
        </w:rPr>
        <w:t xml:space="preserve"> and </w:t>
      </w:r>
      <w:r w:rsidRPr="00D74401">
        <w:rPr>
          <w:i/>
          <w:lang w:val="en-US"/>
        </w:rPr>
        <w:t>Trametes versicolor</w:t>
      </w:r>
      <w:r w:rsidRPr="00D74401">
        <w:rPr>
          <w:lang w:val="en-US"/>
        </w:rPr>
        <w:t xml:space="preserve"> to decontaminate soil with </w:t>
      </w:r>
      <w:r w:rsidR="00BE2509">
        <w:rPr>
          <w:i/>
          <w:lang w:val="en-US"/>
        </w:rPr>
        <w:t>M</w:t>
      </w:r>
      <w:r w:rsidRPr="00D74401">
        <w:rPr>
          <w:i/>
          <w:lang w:val="en-US"/>
        </w:rPr>
        <w:t>ethamidophos</w:t>
      </w:r>
      <w:r w:rsidRPr="00D74401">
        <w:rPr>
          <w:lang w:val="en-US"/>
        </w:rPr>
        <w:t xml:space="preserve"> and cadmium. The research design was experimental, with three treatments and three replicates: Treatment A using the </w:t>
      </w:r>
      <w:r w:rsidRPr="00D74401">
        <w:rPr>
          <w:i/>
          <w:lang w:val="en-US"/>
        </w:rPr>
        <w:t>Pleurotus ostreatus</w:t>
      </w:r>
      <w:r w:rsidRPr="00D74401">
        <w:rPr>
          <w:lang w:val="en-US"/>
        </w:rPr>
        <w:t xml:space="preserve"> fungus, treatment B using the Trametes </w:t>
      </w:r>
      <w:r w:rsidRPr="00D74401">
        <w:rPr>
          <w:i/>
          <w:lang w:val="en-US"/>
        </w:rPr>
        <w:t>versicolor fungus</w:t>
      </w:r>
      <w:r w:rsidRPr="00D74401">
        <w:rPr>
          <w:lang w:val="en-US"/>
        </w:rPr>
        <w:t xml:space="preserve">, and treatment C using the two aforementioned fungi; It was also supplemented with eucalyptus sawdust plant substrate. The result was a decrease of </w:t>
      </w:r>
      <w:r w:rsidRPr="00D74401">
        <w:rPr>
          <w:i/>
          <w:lang w:val="en-US"/>
        </w:rPr>
        <w:t>Methamidopho</w:t>
      </w:r>
      <w:r w:rsidR="00BE2509">
        <w:rPr>
          <w:i/>
          <w:lang w:val="en-US"/>
        </w:rPr>
        <w:t>s</w:t>
      </w:r>
      <w:r w:rsidRPr="00D74401">
        <w:rPr>
          <w:lang w:val="en-US"/>
        </w:rPr>
        <w:t xml:space="preserve"> 64 % to 73 % and Cadmium by 99.3 %. This method of remediation is a friendly alternative to the environment and low economic cost, easy to apply and good results are achieved</w:t>
      </w:r>
      <w:r w:rsidR="006E6832" w:rsidRPr="00D74401">
        <w:rPr>
          <w:lang w:val="en-US"/>
        </w:rPr>
        <w:t>.</w:t>
      </w:r>
    </w:p>
    <w:p w14:paraId="476B2F2E" w14:textId="77777777" w:rsidR="00600535" w:rsidRPr="00D74401" w:rsidRDefault="00600535" w:rsidP="00600535">
      <w:pPr>
        <w:pStyle w:val="CETHeading1"/>
      </w:pPr>
      <w:r w:rsidRPr="00D74401">
        <w:t>Introduction</w:t>
      </w:r>
    </w:p>
    <w:p w14:paraId="5C0B8269" w14:textId="3517C5D7" w:rsidR="00F66814" w:rsidRPr="00D74401" w:rsidRDefault="007C7D4E" w:rsidP="00600535">
      <w:pPr>
        <w:pStyle w:val="CETBodytext"/>
      </w:pPr>
      <w:r>
        <w:t>T</w:t>
      </w:r>
      <w:r w:rsidR="00F66814" w:rsidRPr="00D74401">
        <w:t xml:space="preserve">he presence of pests and viruses has been occurring more frequently in agricultural activities in recent years, leading to the use of various types of pesticides to control them and obtain greater production; However, this has resulted in soil degradation by contaminating it with residual toxic substances such as </w:t>
      </w:r>
      <w:r w:rsidR="00BE2509">
        <w:t>M</w:t>
      </w:r>
      <w:r w:rsidR="00F66814" w:rsidRPr="00D74401">
        <w:t xml:space="preserve">ethamidophos (0,S-dimethyl phosphoramidothioate), an organophosphate pesticide that, when released into the environment, causes contamination of soil, air, water bodies, birds, etc. As noted by the National Pesticide Information Center (NPIC) (2019). In other </w:t>
      </w:r>
      <w:r w:rsidR="00B53F6D" w:rsidRPr="00D74401">
        <w:t>cases,</w:t>
      </w:r>
      <w:r w:rsidR="00F66814" w:rsidRPr="00D74401">
        <w:t xml:space="preserve"> these agrochemicals also contaminate soils with heavy metals such as cadmium (González B., Pazmiño D., 2016). Methamidophos is a foliar insecticide to control insects (aphids, leafhoppers, leaf-eating caterpillars) and also acaricidal side effects, its use is in citrus, corn, cotton, rice and grapevine crops among others (Baer and Marcel, 2014).</w:t>
      </w:r>
    </w:p>
    <w:p w14:paraId="45F9E5A9" w14:textId="4CCAFA35" w:rsidR="00B13E86" w:rsidRPr="00D74401" w:rsidRDefault="00F66814" w:rsidP="00600535">
      <w:pPr>
        <w:pStyle w:val="CETBodytext"/>
      </w:pPr>
      <w:r w:rsidRPr="00D74401">
        <w:t xml:space="preserve">One way to minimize the presence of Methamidophos and Cadmium (Cd) in the soil is through the use of white rot fungi (they degrade plant lignin) (Quintero, et al., 2006). Among these fungi is Trametes versicolor widely used in biotechnology, such as the biosynthesis of cadmium sulfide quantum dots due to its adsorption power (Quin Z., 2018), another </w:t>
      </w:r>
      <w:r w:rsidR="009E5D58" w:rsidRPr="00D74401">
        <w:t>fungus</w:t>
      </w:r>
      <w:r w:rsidRPr="00D74401">
        <w:t xml:space="preserve"> is </w:t>
      </w:r>
      <w:r w:rsidRPr="00D74401">
        <w:rPr>
          <w:i/>
          <w:iCs/>
        </w:rPr>
        <w:t>Pleurotus ostreatus</w:t>
      </w:r>
      <w:r w:rsidRPr="00D74401">
        <w:t xml:space="preserve"> which has been used for the extraction of trace heavy metals such as Cd and Pb in a bentonite column. (Kocaoba S. and Arisoy M., 2018). In an investigation, efficiency in the degradation of organophosphorus insecticides in contaminated soils wearing Trichoderma harzianum and </w:t>
      </w:r>
      <w:r w:rsidRPr="00D74401">
        <w:rPr>
          <w:i/>
          <w:iCs/>
        </w:rPr>
        <w:t>Pleurotus ostreatus</w:t>
      </w:r>
      <w:r w:rsidRPr="00D74401">
        <w:t xml:space="preserve"> was the 66.8 % (Maldonado L., 2017); on the other hand, good results of biodegradation of a pyrotroid insecticide in potato crop soil wearing Trichoderma harzianum and </w:t>
      </w:r>
      <w:r w:rsidRPr="00D74401">
        <w:rPr>
          <w:i/>
          <w:iCs/>
        </w:rPr>
        <w:t>Pleurotus ostreatus</w:t>
      </w:r>
      <w:r w:rsidRPr="00D74401">
        <w:t xml:space="preserve"> have also been obtained (Torres, 2017).</w:t>
      </w:r>
    </w:p>
    <w:p w14:paraId="08087BDB" w14:textId="196D3BFB" w:rsidR="00892513" w:rsidRPr="00D74401" w:rsidRDefault="00CE3FA9" w:rsidP="00892513">
      <w:pPr>
        <w:pStyle w:val="CETBodytext"/>
      </w:pPr>
      <w:r w:rsidRPr="00D74401">
        <w:t xml:space="preserve">In Peru, agriculture uses pesticides in its activities and it is considered that pesticide contamination is important and especially in cultivation areas, this was reported in the research conducted by Castillo B., et al. (2020) in </w:t>
      </w:r>
      <w:r w:rsidRPr="00D74401">
        <w:lastRenderedPageBreak/>
        <w:t>the agricultural area of Cañete. Because of this and other studies on the negative impact of some chemical elements of pesticides, since November 20, 2020, the Peruvian government through the National Agricultural Health Service (SENASA) of the Ministry of Agriculture, prohibited the marketing of pesticides for agricultural use that contain Methamidophos in their composition because of the health hazards they represent (R.D. No. 0022-2020-MINAGRI-SENASA-DIAIA); however, the soils where this chemical contaminant was used are still present to date</w:t>
      </w:r>
      <w:r w:rsidR="000B33C5">
        <w:t>,</w:t>
      </w:r>
      <w:r w:rsidR="000B33C5" w:rsidRPr="000B33C5">
        <w:t xml:space="preserve"> since Methamidophos is an organophosphate insecticide - acaricide with high residual power that has been widely used for agricultural soil</w:t>
      </w:r>
      <w:r w:rsidR="000B33C5">
        <w:t xml:space="preserve"> </w:t>
      </w:r>
      <w:r w:rsidRPr="00D74401">
        <w:t xml:space="preserve">. The objective of the research was to test the use of </w:t>
      </w:r>
      <w:r w:rsidRPr="00D74401">
        <w:rPr>
          <w:i/>
          <w:iCs/>
        </w:rPr>
        <w:t>Pleurotus ostreatus</w:t>
      </w:r>
      <w:r w:rsidRPr="00D74401">
        <w:t xml:space="preserve"> and </w:t>
      </w:r>
      <w:r w:rsidRPr="00D74401">
        <w:rPr>
          <w:i/>
          <w:iCs/>
        </w:rPr>
        <w:t>Trametes versicolor</w:t>
      </w:r>
      <w:r w:rsidRPr="00D74401">
        <w:t xml:space="preserve"> fungi in the decontamination of soils with the presence of the organophosphorus chemical compound Methamidophos and the heavy metal Cadmium.</w:t>
      </w:r>
    </w:p>
    <w:p w14:paraId="1E11457B" w14:textId="78F71015" w:rsidR="00D66514" w:rsidRPr="00D74401" w:rsidRDefault="00D66514" w:rsidP="00453E24">
      <w:pPr>
        <w:pStyle w:val="CETHeading1"/>
      </w:pPr>
      <w:r w:rsidRPr="00D74401">
        <w:t>Met</w:t>
      </w:r>
      <w:r w:rsidR="00CE4F14" w:rsidRPr="00D74401">
        <w:t>h</w:t>
      </w:r>
      <w:r w:rsidRPr="00D74401">
        <w:t>odolog</w:t>
      </w:r>
      <w:r w:rsidR="00CE4F14" w:rsidRPr="00D74401">
        <w:t>y</w:t>
      </w:r>
    </w:p>
    <w:p w14:paraId="4B7248EC" w14:textId="17C7CF9E" w:rsidR="00143579" w:rsidRPr="00D74401" w:rsidRDefault="00795EF1" w:rsidP="00143579">
      <w:pPr>
        <w:pStyle w:val="CETheadingx"/>
      </w:pPr>
      <w:r w:rsidRPr="00D74401">
        <w:t>Experimental process</w:t>
      </w:r>
    </w:p>
    <w:p w14:paraId="6047C0CE" w14:textId="09D37F75" w:rsidR="00CE4F14" w:rsidRPr="00D74401" w:rsidRDefault="00795EF1" w:rsidP="00CE4F14">
      <w:pPr>
        <w:pStyle w:val="CETBodytext"/>
      </w:pPr>
      <w:r w:rsidRPr="00D74401">
        <w:t xml:space="preserve">The experimental development of the research consisted of incorporating the fungi </w:t>
      </w:r>
      <w:r w:rsidRPr="00D74401">
        <w:rPr>
          <w:i/>
          <w:iCs/>
        </w:rPr>
        <w:t>Pleurotus ostreatus</w:t>
      </w:r>
      <w:r w:rsidRPr="00D74401">
        <w:t xml:space="preserve"> and </w:t>
      </w:r>
      <w:r w:rsidRPr="00D74401">
        <w:rPr>
          <w:i/>
          <w:iCs/>
        </w:rPr>
        <w:t>Trametes versicolor</w:t>
      </w:r>
      <w:r w:rsidRPr="00D74401">
        <w:t xml:space="preserve"> fungi into soil contaminated with the pesticide component Methamidophos and the heavy metal Cadmium, to establish whether the fungi exerted decontamination remediation activity of these contaminants. The steps are shown in Figure 1</w:t>
      </w:r>
      <w:r w:rsidR="00143579" w:rsidRPr="00D74401">
        <w:t>.</w:t>
      </w:r>
    </w:p>
    <w:p w14:paraId="7D82C518" w14:textId="1CD02CFF" w:rsidR="00D66514" w:rsidRPr="00D74401" w:rsidRDefault="00D66514" w:rsidP="00D66514">
      <w:pPr>
        <w:pStyle w:val="CETBodytext"/>
      </w:pPr>
    </w:p>
    <w:p w14:paraId="795AEF1A" w14:textId="435DD95E" w:rsidR="00D66514" w:rsidRPr="00D74401" w:rsidRDefault="00CD243C" w:rsidP="00D66514">
      <w:pPr>
        <w:pStyle w:val="CETBodytext"/>
      </w:pPr>
      <w:r w:rsidRPr="00D74401">
        <w:rPr>
          <w:noProof/>
          <w:lang w:val="es-PE" w:eastAsia="es-PE"/>
        </w:rPr>
        <w:drawing>
          <wp:inline distT="0" distB="0" distL="0" distR="0" wp14:anchorId="0268BF26" wp14:editId="6CF32B14">
            <wp:extent cx="5486400" cy="1979874"/>
            <wp:effectExtent l="0" t="0" r="1905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C6CC6B0" w14:textId="4CF88431" w:rsidR="00143579" w:rsidRPr="00D74401" w:rsidRDefault="00143579" w:rsidP="00795EF1">
      <w:pPr>
        <w:pStyle w:val="CETCaption"/>
        <w:rPr>
          <w:lang w:val="en-US"/>
        </w:rPr>
      </w:pPr>
      <w:r w:rsidRPr="00D74401">
        <w:rPr>
          <w:lang w:val="en-US"/>
        </w:rPr>
        <w:t>Figur</w:t>
      </w:r>
      <w:r w:rsidR="00795EF1" w:rsidRPr="00D74401">
        <w:rPr>
          <w:lang w:val="en-US"/>
        </w:rPr>
        <w:t>e</w:t>
      </w:r>
      <w:r w:rsidRPr="00D74401">
        <w:rPr>
          <w:lang w:val="en-US"/>
        </w:rPr>
        <w:t xml:space="preserve"> 1: </w:t>
      </w:r>
      <w:r w:rsidR="00795EF1" w:rsidRPr="00D74401">
        <w:rPr>
          <w:lang w:val="en-US"/>
        </w:rPr>
        <w:t>Experimental process</w:t>
      </w:r>
    </w:p>
    <w:p w14:paraId="32DA10C2" w14:textId="7F38247B" w:rsidR="00143579" w:rsidRPr="00D74401" w:rsidRDefault="00795EF1" w:rsidP="00D66514">
      <w:pPr>
        <w:pStyle w:val="CETBodytext"/>
      </w:pPr>
      <w:r w:rsidRPr="00D74401">
        <w:t xml:space="preserve">The research was carried out in 10 experimental units: 1 control plot and 9 soil plots where the fungi for the experiment were inoculated, 3 for treatment A (with </w:t>
      </w:r>
      <w:r w:rsidRPr="00D74401">
        <w:rPr>
          <w:i/>
          <w:iCs/>
        </w:rPr>
        <w:t>Pleurotus ostreatus</w:t>
      </w:r>
      <w:r w:rsidRPr="00D74401">
        <w:t xml:space="preserve"> fungus), 3 for treatment B (with </w:t>
      </w:r>
      <w:r w:rsidRPr="00D74401">
        <w:rPr>
          <w:i/>
          <w:iCs/>
        </w:rPr>
        <w:t>Trametes versicolor</w:t>
      </w:r>
      <w:r w:rsidRPr="00D74401">
        <w:t xml:space="preserve"> fungus) and</w:t>
      </w:r>
      <w:r w:rsidR="00466191">
        <w:t xml:space="preserve"> 3 for</w:t>
      </w:r>
      <w:r w:rsidRPr="00D74401">
        <w:t xml:space="preserve"> Treatment C (for the combination of Pleurotus ostreatus and Trametes versicolor fungi). The dimensions of the soil plots were 3 m long and 1.5 m wide separated by 1 m from each other, as shown in Figure 2 for the first 4 plots. These plots conditioned for the research were located in the district of Ninabamba -Santa Cruz, Cajamarca (Latitude: -6.65, Longitude: -78.7894; 6° 39′ 0″ South, 78° 47′ 22″ West)</w:t>
      </w:r>
    </w:p>
    <w:p w14:paraId="2FFE4228" w14:textId="41C36C20" w:rsidR="00143579" w:rsidRPr="00D74401" w:rsidRDefault="00093C4F" w:rsidP="00D66514">
      <w:pPr>
        <w:pStyle w:val="CETBodytext"/>
      </w:pPr>
      <w:r>
        <w:rPr>
          <w:noProof/>
          <w:lang w:val="es-PE" w:eastAsia="es-PE"/>
        </w:rPr>
        <w:drawing>
          <wp:inline distT="0" distB="0" distL="0" distR="0" wp14:anchorId="1DC12DAC" wp14:editId="29D4A6FC">
            <wp:extent cx="5049782" cy="211213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4655" t="22417" r="9238" b="20971"/>
                    <a:stretch/>
                  </pic:blipFill>
                  <pic:spPr bwMode="auto">
                    <a:xfrm>
                      <a:off x="0" y="0"/>
                      <a:ext cx="5082744" cy="2125922"/>
                    </a:xfrm>
                    <a:prstGeom prst="rect">
                      <a:avLst/>
                    </a:prstGeom>
                    <a:noFill/>
                    <a:ln>
                      <a:noFill/>
                    </a:ln>
                    <a:extLst>
                      <a:ext uri="{53640926-AAD7-44D8-BBD7-CCE9431645EC}">
                        <a14:shadowObscured xmlns:a14="http://schemas.microsoft.com/office/drawing/2010/main"/>
                      </a:ext>
                    </a:extLst>
                  </pic:spPr>
                </pic:pic>
              </a:graphicData>
            </a:graphic>
          </wp:inline>
        </w:drawing>
      </w:r>
    </w:p>
    <w:p w14:paraId="0338EEFB" w14:textId="4F8F9E65" w:rsidR="00143579" w:rsidRPr="00D74401" w:rsidRDefault="00A35637" w:rsidP="00A35637">
      <w:pPr>
        <w:pStyle w:val="CETCaption"/>
        <w:rPr>
          <w:lang w:val="en-US"/>
        </w:rPr>
      </w:pPr>
      <w:r w:rsidRPr="00D74401">
        <w:rPr>
          <w:lang w:val="en-US"/>
        </w:rPr>
        <w:t xml:space="preserve">Figure 2: </w:t>
      </w:r>
      <w:r w:rsidR="00795EF1" w:rsidRPr="00D74401">
        <w:rPr>
          <w:lang w:val="en-US"/>
        </w:rPr>
        <w:t>Experimental soil units</w:t>
      </w:r>
    </w:p>
    <w:p w14:paraId="64479160" w14:textId="77777777" w:rsidR="00E761FD" w:rsidRPr="00D74401" w:rsidRDefault="00E761FD" w:rsidP="00EC42F2">
      <w:pPr>
        <w:pStyle w:val="CETheadingx"/>
        <w:sectPr w:rsidR="00E761FD" w:rsidRPr="00D74401" w:rsidSect="00E761FD">
          <w:type w:val="continuous"/>
          <w:pgSz w:w="11906" w:h="16838" w:code="9"/>
          <w:pgMar w:top="1701" w:right="1418" w:bottom="1701" w:left="1701" w:header="1701" w:footer="0" w:gutter="0"/>
          <w:cols w:space="708"/>
          <w:formProt w:val="0"/>
          <w:titlePg/>
          <w:docGrid w:linePitch="360"/>
        </w:sectPr>
      </w:pPr>
    </w:p>
    <w:p w14:paraId="1C28CCDA" w14:textId="77777777" w:rsidR="00E761FD" w:rsidRPr="00D74401" w:rsidRDefault="00E761FD" w:rsidP="00EC42F2">
      <w:pPr>
        <w:pStyle w:val="CETheadingx"/>
        <w:sectPr w:rsidR="00E761FD" w:rsidRPr="00D74401" w:rsidSect="00E761FD">
          <w:type w:val="continuous"/>
          <w:pgSz w:w="11906" w:h="16838" w:code="9"/>
          <w:pgMar w:top="1701" w:right="1418" w:bottom="1701" w:left="1701" w:header="1701" w:footer="0" w:gutter="0"/>
          <w:cols w:space="708"/>
          <w:formProt w:val="0"/>
          <w:titlePg/>
          <w:docGrid w:linePitch="360"/>
        </w:sectPr>
      </w:pPr>
    </w:p>
    <w:p w14:paraId="0C07204F" w14:textId="3B33A48A" w:rsidR="00EC42F2" w:rsidRPr="00D74401" w:rsidRDefault="00795EF1" w:rsidP="00EC42F2">
      <w:pPr>
        <w:pStyle w:val="CETheadingx"/>
      </w:pPr>
      <w:r w:rsidRPr="00D74401">
        <w:lastRenderedPageBreak/>
        <w:t>Experimental treatments</w:t>
      </w:r>
    </w:p>
    <w:p w14:paraId="0B9BD354" w14:textId="042B658A" w:rsidR="00795EF1" w:rsidRPr="00D74401" w:rsidRDefault="00795EF1" w:rsidP="00795EF1">
      <w:pPr>
        <w:pStyle w:val="CETBodytext"/>
      </w:pPr>
      <w:r w:rsidRPr="00D74401">
        <w:t xml:space="preserve">The substrate with the fungi </w:t>
      </w:r>
      <w:r w:rsidRPr="00D74401">
        <w:rPr>
          <w:i/>
          <w:iCs/>
        </w:rPr>
        <w:t>Pleurotus ostreatus</w:t>
      </w:r>
      <w:r w:rsidRPr="00D74401">
        <w:t xml:space="preserve"> and </w:t>
      </w:r>
      <w:r w:rsidRPr="00D74401">
        <w:rPr>
          <w:i/>
          <w:iCs/>
        </w:rPr>
        <w:t>Trametes versicolor</w:t>
      </w:r>
      <w:r w:rsidRPr="00D74401">
        <w:t xml:space="preserve"> were introduced into the experimental soil units as described in </w:t>
      </w:r>
      <w:r w:rsidR="00466191">
        <w:t xml:space="preserve">figure </w:t>
      </w:r>
      <w:r w:rsidRPr="00D74401">
        <w:t>2. The pH, temperature, humidity, fungal growth and inhibition areas were monitored for four consecutive weeks. Methamidophos and Cadmium contaminants in the soil were analyzed at the beginning and end of treatment with the fungi, for which samples were taken from the plots following the Guide for soil sampling approved by D.S. N°002-2013-MINAM (MINAM, 2014).</w:t>
      </w:r>
    </w:p>
    <w:p w14:paraId="14B35EB6" w14:textId="30C81789" w:rsidR="00143579" w:rsidRDefault="00795EF1" w:rsidP="00795EF1">
      <w:pPr>
        <w:pStyle w:val="CETBodytext"/>
      </w:pPr>
      <w:r w:rsidRPr="00D74401">
        <w:t>These experimental soil units were conditioned in the form of a greenhouse to provide the climatic conditions of temperature and to protect the fungi from possible predators</w:t>
      </w:r>
      <w:r w:rsidR="00A35637" w:rsidRPr="00D74401">
        <w:t>.</w:t>
      </w:r>
    </w:p>
    <w:p w14:paraId="08278073" w14:textId="77777777" w:rsidR="00994672" w:rsidRDefault="00994672" w:rsidP="00994672">
      <w:pPr>
        <w:pStyle w:val="CETBodytext"/>
      </w:pPr>
      <w:r>
        <w:t>The pollutant analysis methods were:</w:t>
      </w:r>
    </w:p>
    <w:p w14:paraId="073BB38C" w14:textId="7B5A4623" w:rsidR="00994672" w:rsidRPr="00D74401" w:rsidRDefault="00994672" w:rsidP="00994672">
      <w:pPr>
        <w:pStyle w:val="CETBodytext"/>
      </w:pPr>
      <w:r>
        <w:t>Reference Standards EPA Method 3050-B, Rev. 02, 1996; EPA Method 200.7, Rev. 4.4., 1994. By: Acid Digestion of Sediments, Sludges and Soils. /Determination of Metals and Trace Elements in Water and Residues by Inductively Coupled Plasma – Atomic Emission Spectrometry ICPS – AES. Analysis carried out in the Envirotest Laboratory certified by INACAL.</w:t>
      </w:r>
    </w:p>
    <w:p w14:paraId="5741900F" w14:textId="056E1811" w:rsidR="00453E24" w:rsidRPr="00D74401" w:rsidRDefault="00EC42F2" w:rsidP="00453E24">
      <w:pPr>
        <w:pStyle w:val="CETHeading1"/>
      </w:pPr>
      <w:r w:rsidRPr="00D74401">
        <w:t>Results and discussion</w:t>
      </w:r>
    </w:p>
    <w:p w14:paraId="76A75AFB" w14:textId="11321B0B" w:rsidR="00EC42F2" w:rsidRPr="00D74401" w:rsidRDefault="00795EF1" w:rsidP="00EC42F2">
      <w:pPr>
        <w:pStyle w:val="CETheadingx"/>
      </w:pPr>
      <w:r w:rsidRPr="00D74401">
        <w:t>Initial level of soil contamination</w:t>
      </w:r>
    </w:p>
    <w:p w14:paraId="4192CE2E" w14:textId="647EFF3F" w:rsidR="00EC42F2" w:rsidRPr="00D74401" w:rsidRDefault="008B6600" w:rsidP="00EC42F2">
      <w:pPr>
        <w:pStyle w:val="CETBodytext"/>
      </w:pPr>
      <w:r w:rsidRPr="008B6600">
        <w:t>The soil plots where the research was carried out initially presented the level of contaminants shown in Table 1. The values were 0.244, 0.276, and 0.205 mg/kg on average for the plots labeled as A, B, and C respectively; and, as for the cadmium concentration for all the plots, it was 6 mg/kg on average. The level of Methamidophos and Cadmium is outside the standards of environmental quality of soil normed for Peru that indicates a maximum value of 1.4 mg/kg for the case of Cd (MINAM, 2017), and for Methamidophos should be 0 mg/kg (SENASA, 2020).</w:t>
      </w:r>
    </w:p>
    <w:p w14:paraId="1979EDC3" w14:textId="49FF2A26" w:rsidR="009B7B2A" w:rsidRPr="00D74401" w:rsidRDefault="009B7B2A" w:rsidP="009B7B2A">
      <w:pPr>
        <w:pStyle w:val="CETTabletitle"/>
        <w:rPr>
          <w:lang w:val="en-US"/>
        </w:rPr>
      </w:pPr>
      <w:r w:rsidRPr="00D74401">
        <w:rPr>
          <w:lang w:val="en-US"/>
        </w:rPr>
        <w:t xml:space="preserve">Table 1: </w:t>
      </w:r>
      <w:r w:rsidR="00431A7B" w:rsidRPr="00D74401">
        <w:rPr>
          <w:lang w:val="en-US"/>
        </w:rPr>
        <w:t>The concentration of Methamidophos and Cd in the soi</w:t>
      </w:r>
      <w:r w:rsidR="002950EE">
        <w:rPr>
          <w:lang w:val="en-US"/>
        </w:rPr>
        <w:t>l</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23"/>
        <w:gridCol w:w="2683"/>
        <w:gridCol w:w="1967"/>
      </w:tblGrid>
      <w:tr w:rsidR="0001283C" w:rsidRPr="00D74401" w14:paraId="20D505AF" w14:textId="77777777" w:rsidTr="005C6850">
        <w:trPr>
          <w:trHeight w:val="441"/>
        </w:trPr>
        <w:tc>
          <w:tcPr>
            <w:tcW w:w="1923" w:type="dxa"/>
            <w:tcBorders>
              <w:top w:val="single" w:sz="12" w:space="0" w:color="008000"/>
              <w:bottom w:val="single" w:sz="6" w:space="0" w:color="008000"/>
            </w:tcBorders>
            <w:shd w:val="clear" w:color="auto" w:fill="FFFFFF"/>
            <w:vAlign w:val="center"/>
          </w:tcPr>
          <w:p w14:paraId="75A3065D" w14:textId="2D53FAF9" w:rsidR="0001283C" w:rsidRPr="00D74401" w:rsidRDefault="002950EE" w:rsidP="005C6850">
            <w:pPr>
              <w:pStyle w:val="CETBodytext"/>
              <w:jc w:val="left"/>
            </w:pPr>
            <w:r w:rsidRPr="006F5B2E">
              <w:rPr>
                <w:lang w:eastAsia="es-PE"/>
              </w:rPr>
              <w:t>Treatment</w:t>
            </w:r>
            <w:r>
              <w:rPr>
                <w:lang w:eastAsia="es-PE"/>
              </w:rPr>
              <w:t xml:space="preserve"> Plot</w:t>
            </w:r>
          </w:p>
        </w:tc>
        <w:tc>
          <w:tcPr>
            <w:tcW w:w="2683" w:type="dxa"/>
            <w:tcBorders>
              <w:top w:val="single" w:sz="12" w:space="0" w:color="008000"/>
              <w:bottom w:val="single" w:sz="6" w:space="0" w:color="008000"/>
            </w:tcBorders>
            <w:shd w:val="clear" w:color="auto" w:fill="FFFFFF"/>
          </w:tcPr>
          <w:p w14:paraId="0A38044A" w14:textId="19ABBDB1" w:rsidR="0001283C" w:rsidRPr="00D74401" w:rsidRDefault="00431A7B" w:rsidP="0001283C">
            <w:pPr>
              <w:pStyle w:val="CETBodytext"/>
              <w:jc w:val="left"/>
            </w:pPr>
            <w:r w:rsidRPr="00D74401">
              <w:t xml:space="preserve">Methamidophos concentration </w:t>
            </w:r>
            <w:r w:rsidR="0001283C" w:rsidRPr="00D74401">
              <w:t>(mg/kg)</w:t>
            </w:r>
          </w:p>
        </w:tc>
        <w:tc>
          <w:tcPr>
            <w:tcW w:w="1967" w:type="dxa"/>
            <w:tcBorders>
              <w:top w:val="single" w:sz="12" w:space="0" w:color="008000"/>
              <w:bottom w:val="single" w:sz="6" w:space="0" w:color="008000"/>
            </w:tcBorders>
            <w:shd w:val="clear" w:color="auto" w:fill="FFFFFF"/>
          </w:tcPr>
          <w:p w14:paraId="220950F1" w14:textId="0BEFFF04" w:rsidR="0001283C" w:rsidRPr="00D74401" w:rsidRDefault="00431A7B" w:rsidP="00A94682">
            <w:pPr>
              <w:pStyle w:val="CETBodytext"/>
              <w:jc w:val="left"/>
            </w:pPr>
            <w:r w:rsidRPr="00D74401">
              <w:t>Cadmium concentration (mg/kg)</w:t>
            </w:r>
          </w:p>
        </w:tc>
      </w:tr>
      <w:tr w:rsidR="0001283C" w:rsidRPr="00D74401" w14:paraId="758A7D7F" w14:textId="77777777" w:rsidTr="004E42B8">
        <w:trPr>
          <w:trHeight w:val="265"/>
        </w:trPr>
        <w:tc>
          <w:tcPr>
            <w:tcW w:w="1923" w:type="dxa"/>
            <w:shd w:val="clear" w:color="auto" w:fill="FFFFFF"/>
          </w:tcPr>
          <w:p w14:paraId="2747DF52" w14:textId="2E5666C5" w:rsidR="0001283C" w:rsidRPr="00D74401" w:rsidRDefault="007B7057" w:rsidP="0001283C">
            <w:pPr>
              <w:pStyle w:val="CETBodytext"/>
            </w:pPr>
            <w:r>
              <w:t>Plot</w:t>
            </w:r>
            <w:r w:rsidR="0001283C" w:rsidRPr="00D74401">
              <w:t xml:space="preserve"> A</w:t>
            </w:r>
          </w:p>
        </w:tc>
        <w:tc>
          <w:tcPr>
            <w:tcW w:w="2683" w:type="dxa"/>
            <w:shd w:val="clear" w:color="auto" w:fill="FFFFFF"/>
          </w:tcPr>
          <w:p w14:paraId="0B4F10FA" w14:textId="56692442" w:rsidR="0001283C" w:rsidRPr="00D74401" w:rsidRDefault="0001283C" w:rsidP="0001283C">
            <w:pPr>
              <w:pStyle w:val="CETBodytext"/>
            </w:pPr>
            <w:r w:rsidRPr="00D74401">
              <w:t>0.244</w:t>
            </w:r>
          </w:p>
        </w:tc>
        <w:tc>
          <w:tcPr>
            <w:tcW w:w="1967" w:type="dxa"/>
            <w:shd w:val="clear" w:color="auto" w:fill="FFFFFF"/>
          </w:tcPr>
          <w:p w14:paraId="734B0588" w14:textId="12199CF9" w:rsidR="0001283C" w:rsidRPr="00D74401" w:rsidRDefault="0001283C" w:rsidP="0001283C">
            <w:pPr>
              <w:pStyle w:val="CETBodytext"/>
            </w:pPr>
            <w:r w:rsidRPr="00D74401">
              <w:t>6</w:t>
            </w:r>
          </w:p>
        </w:tc>
      </w:tr>
      <w:tr w:rsidR="0001283C" w:rsidRPr="00D74401" w14:paraId="6FBF8E9D" w14:textId="77777777" w:rsidTr="004E42B8">
        <w:trPr>
          <w:trHeight w:val="141"/>
        </w:trPr>
        <w:tc>
          <w:tcPr>
            <w:tcW w:w="1923" w:type="dxa"/>
            <w:shd w:val="clear" w:color="auto" w:fill="FFFFFF"/>
          </w:tcPr>
          <w:p w14:paraId="5CFD6C18" w14:textId="7647855A" w:rsidR="0001283C" w:rsidRPr="00D74401" w:rsidRDefault="007B7057" w:rsidP="0001283C">
            <w:pPr>
              <w:pStyle w:val="CETBodytext"/>
              <w:ind w:right="-1"/>
              <w:rPr>
                <w:rFonts w:cs="Arial"/>
                <w:szCs w:val="18"/>
              </w:rPr>
            </w:pPr>
            <w:r>
              <w:t>Plo</w:t>
            </w:r>
            <w:r w:rsidR="0001283C" w:rsidRPr="00D74401">
              <w:t>t B</w:t>
            </w:r>
          </w:p>
        </w:tc>
        <w:tc>
          <w:tcPr>
            <w:tcW w:w="2683" w:type="dxa"/>
            <w:shd w:val="clear" w:color="auto" w:fill="FFFFFF"/>
          </w:tcPr>
          <w:p w14:paraId="0128B169" w14:textId="28671C09" w:rsidR="0001283C" w:rsidRPr="00D74401" w:rsidRDefault="0001283C" w:rsidP="0001283C">
            <w:pPr>
              <w:pStyle w:val="CETBodytext"/>
              <w:ind w:right="-1"/>
              <w:rPr>
                <w:rFonts w:cs="Arial"/>
                <w:szCs w:val="18"/>
              </w:rPr>
            </w:pPr>
            <w:r w:rsidRPr="00D74401">
              <w:t>0.276</w:t>
            </w:r>
          </w:p>
        </w:tc>
        <w:tc>
          <w:tcPr>
            <w:tcW w:w="1967" w:type="dxa"/>
            <w:shd w:val="clear" w:color="auto" w:fill="FFFFFF"/>
          </w:tcPr>
          <w:p w14:paraId="112AB0B6" w14:textId="7BA7BB3E" w:rsidR="0001283C" w:rsidRPr="00D74401" w:rsidRDefault="0001283C" w:rsidP="0001283C">
            <w:pPr>
              <w:pStyle w:val="CETBodytext"/>
              <w:ind w:right="-1"/>
              <w:rPr>
                <w:rFonts w:cs="Arial"/>
                <w:szCs w:val="18"/>
              </w:rPr>
            </w:pPr>
            <w:r w:rsidRPr="00D74401">
              <w:rPr>
                <w:rFonts w:cs="Arial"/>
                <w:szCs w:val="18"/>
              </w:rPr>
              <w:t>6</w:t>
            </w:r>
          </w:p>
        </w:tc>
      </w:tr>
      <w:tr w:rsidR="0001283C" w:rsidRPr="00D74401" w14:paraId="3E66CEA9" w14:textId="77777777" w:rsidTr="004E42B8">
        <w:trPr>
          <w:trHeight w:val="188"/>
        </w:trPr>
        <w:tc>
          <w:tcPr>
            <w:tcW w:w="1923" w:type="dxa"/>
            <w:shd w:val="clear" w:color="auto" w:fill="FFFFFF"/>
          </w:tcPr>
          <w:p w14:paraId="5A6687D6" w14:textId="51F31A5F" w:rsidR="0001283C" w:rsidRPr="00D74401" w:rsidRDefault="007B7057" w:rsidP="0001283C">
            <w:pPr>
              <w:pStyle w:val="CETBodytext"/>
              <w:ind w:right="-1"/>
              <w:rPr>
                <w:rFonts w:cs="Arial"/>
                <w:szCs w:val="18"/>
              </w:rPr>
            </w:pPr>
            <w:r>
              <w:t>Plot</w:t>
            </w:r>
            <w:r w:rsidR="0001283C" w:rsidRPr="00D74401">
              <w:t xml:space="preserve"> C</w:t>
            </w:r>
          </w:p>
        </w:tc>
        <w:tc>
          <w:tcPr>
            <w:tcW w:w="2683" w:type="dxa"/>
            <w:shd w:val="clear" w:color="auto" w:fill="FFFFFF"/>
          </w:tcPr>
          <w:p w14:paraId="2A75FD8D" w14:textId="46E56CEC" w:rsidR="0001283C" w:rsidRPr="00D74401" w:rsidRDefault="0001283C" w:rsidP="0001283C">
            <w:pPr>
              <w:pStyle w:val="CETBodytext"/>
              <w:ind w:right="-1"/>
              <w:rPr>
                <w:rFonts w:cs="Arial"/>
                <w:szCs w:val="18"/>
              </w:rPr>
            </w:pPr>
            <w:r w:rsidRPr="00D74401">
              <w:t>0.205</w:t>
            </w:r>
          </w:p>
        </w:tc>
        <w:tc>
          <w:tcPr>
            <w:tcW w:w="1967" w:type="dxa"/>
            <w:shd w:val="clear" w:color="auto" w:fill="FFFFFF"/>
          </w:tcPr>
          <w:p w14:paraId="0B8CD7C7" w14:textId="6CC741F7" w:rsidR="0001283C" w:rsidRPr="00D74401" w:rsidRDefault="0001283C" w:rsidP="0001283C">
            <w:pPr>
              <w:pStyle w:val="CETBodytext"/>
              <w:ind w:right="-1"/>
              <w:rPr>
                <w:rFonts w:cs="Arial"/>
                <w:szCs w:val="18"/>
              </w:rPr>
            </w:pPr>
            <w:r w:rsidRPr="00D74401">
              <w:rPr>
                <w:rFonts w:cs="Arial"/>
                <w:szCs w:val="18"/>
              </w:rPr>
              <w:t>6</w:t>
            </w:r>
          </w:p>
        </w:tc>
      </w:tr>
    </w:tbl>
    <w:p w14:paraId="50D9600E" w14:textId="1DACA184" w:rsidR="00EC42F2" w:rsidRDefault="00EC42F2" w:rsidP="00EC42F2">
      <w:pPr>
        <w:pStyle w:val="CETBodytext"/>
      </w:pPr>
    </w:p>
    <w:p w14:paraId="02BD14C1" w14:textId="39ACC64F" w:rsidR="004E42B8" w:rsidRDefault="004E42B8" w:rsidP="00EC42F2">
      <w:pPr>
        <w:pStyle w:val="CETBodytext"/>
      </w:pPr>
      <w:r w:rsidRPr="004E42B8">
        <w:t>For Methamidophos, it has a mean of 0.24167, standard error of mean of 0.20529 and a standard deviation of 0.035557; For cadmium, the standard deviation is zero</w:t>
      </w:r>
      <w:r>
        <w:t>.</w:t>
      </w:r>
    </w:p>
    <w:p w14:paraId="0A34F6FE" w14:textId="6AB0A524" w:rsidR="0001283C" w:rsidRPr="00D74401" w:rsidRDefault="00431A7B" w:rsidP="00D561EA">
      <w:pPr>
        <w:pStyle w:val="CETheadingx"/>
      </w:pPr>
      <w:r w:rsidRPr="00D74401">
        <w:t>Control of physicochemical parameters of contaminated soi</w:t>
      </w:r>
      <w:r w:rsidR="007B7057">
        <w:t>l</w:t>
      </w:r>
    </w:p>
    <w:p w14:paraId="32D71875" w14:textId="6960D38A" w:rsidR="00F5210E" w:rsidRPr="00D74401" w:rsidRDefault="00431A7B" w:rsidP="00EC42F2">
      <w:pPr>
        <w:pStyle w:val="CETBodytext"/>
      </w:pPr>
      <w:r w:rsidRPr="00D74401">
        <w:t xml:space="preserve">The physicochemical properties pH, temperature, humidity, and conductivity were monitored in the soil of the agricultural plots, from the first month until the end of the fourth month of treatment with the fungi </w:t>
      </w:r>
      <w:r w:rsidRPr="00D74401">
        <w:rPr>
          <w:i/>
          <w:iCs/>
        </w:rPr>
        <w:t>Pleurotus ostreatus</w:t>
      </w:r>
      <w:r w:rsidRPr="00D74401">
        <w:t xml:space="preserve"> and </w:t>
      </w:r>
      <w:r w:rsidRPr="00D74401">
        <w:rPr>
          <w:i/>
          <w:iCs/>
        </w:rPr>
        <w:t>Trametes versicolor</w:t>
      </w:r>
      <w:r w:rsidRPr="00D74401">
        <w:t xml:space="preserve">, with the results shown in Table 2, (2014) found that at acid pH (4-5) for the case of an aqueous solution and using fungal mass they achieved higher absorption of Pb and Cd from water (92.4 % and 80 %); something similar was found in the present investigation where the removal efficiency was 73 % for the insecticide and 99 % for Cd at pH close to neutral. It is mentioned that the insecticide </w:t>
      </w:r>
      <w:r w:rsidR="000D5F44">
        <w:t>M</w:t>
      </w:r>
      <w:r w:rsidRPr="00D74401">
        <w:t>ethamidophos is stable at sterile acidic pH (pH 5) and fast hydrolyzing in alkaline environments (Baer and Marcel, 2014</w:t>
      </w:r>
      <w:r w:rsidR="006928EF" w:rsidRPr="00D74401">
        <w:t>)</w:t>
      </w:r>
      <w:r w:rsidR="00924C16" w:rsidRPr="00D74401">
        <w:t>.</w:t>
      </w:r>
    </w:p>
    <w:p w14:paraId="3354A937" w14:textId="3F8FF17D" w:rsidR="00F5210E" w:rsidRPr="00D74401" w:rsidRDefault="00F5210E" w:rsidP="00F5210E">
      <w:pPr>
        <w:pStyle w:val="CETTabletitle"/>
        <w:rPr>
          <w:lang w:val="en-US"/>
        </w:rPr>
      </w:pPr>
      <w:r w:rsidRPr="00D74401">
        <w:rPr>
          <w:lang w:val="en-US"/>
        </w:rPr>
        <w:t xml:space="preserve">Table 2: </w:t>
      </w:r>
      <w:r w:rsidR="00431A7B" w:rsidRPr="00D74401">
        <w:rPr>
          <w:lang w:val="en-US"/>
        </w:rPr>
        <w:t>Control of physicochemical parameters of agricultural soil with the presence of fungi.</w:t>
      </w:r>
    </w:p>
    <w:tbl>
      <w:tblPr>
        <w:tblW w:w="8748" w:type="dxa"/>
        <w:tblBorders>
          <w:top w:val="single" w:sz="12" w:space="0" w:color="008000"/>
          <w:bottom w:val="single" w:sz="12" w:space="0" w:color="008000"/>
        </w:tblBorders>
        <w:tblCellMar>
          <w:left w:w="70" w:type="dxa"/>
          <w:right w:w="70" w:type="dxa"/>
        </w:tblCellMar>
        <w:tblLook w:val="04A0" w:firstRow="1" w:lastRow="0" w:firstColumn="1" w:lastColumn="0" w:noHBand="0" w:noVBand="1"/>
      </w:tblPr>
      <w:tblGrid>
        <w:gridCol w:w="1150"/>
        <w:gridCol w:w="947"/>
        <w:gridCol w:w="954"/>
        <w:gridCol w:w="947"/>
        <w:gridCol w:w="952"/>
        <w:gridCol w:w="947"/>
        <w:gridCol w:w="952"/>
        <w:gridCol w:w="947"/>
        <w:gridCol w:w="952"/>
      </w:tblGrid>
      <w:tr w:rsidR="006F5B2E" w:rsidRPr="00D74401" w14:paraId="5FFA7DB2" w14:textId="77777777" w:rsidTr="00AE42A3">
        <w:trPr>
          <w:trHeight w:val="367"/>
        </w:trPr>
        <w:tc>
          <w:tcPr>
            <w:tcW w:w="1150" w:type="dxa"/>
            <w:vMerge w:val="restart"/>
            <w:shd w:val="clear" w:color="auto" w:fill="auto"/>
            <w:vAlign w:val="center"/>
            <w:hideMark/>
          </w:tcPr>
          <w:p w14:paraId="46549468" w14:textId="021C01F8" w:rsidR="006F5B2E" w:rsidRPr="00D74401" w:rsidRDefault="002950EE" w:rsidP="006F5B2E">
            <w:pPr>
              <w:pStyle w:val="CETBodytext"/>
              <w:rPr>
                <w:lang w:eastAsia="es-PE"/>
              </w:rPr>
            </w:pPr>
            <w:r w:rsidRPr="006F5B2E">
              <w:rPr>
                <w:lang w:eastAsia="es-PE"/>
              </w:rPr>
              <w:t>Treatment</w:t>
            </w:r>
            <w:r>
              <w:rPr>
                <w:lang w:eastAsia="es-PE"/>
              </w:rPr>
              <w:t xml:space="preserve"> Plot</w:t>
            </w:r>
          </w:p>
        </w:tc>
        <w:tc>
          <w:tcPr>
            <w:tcW w:w="1901" w:type="dxa"/>
            <w:gridSpan w:val="2"/>
            <w:tcBorders>
              <w:bottom w:val="single" w:sz="6" w:space="0" w:color="008000"/>
            </w:tcBorders>
            <w:shd w:val="clear" w:color="auto" w:fill="auto"/>
            <w:noWrap/>
            <w:vAlign w:val="center"/>
            <w:hideMark/>
          </w:tcPr>
          <w:p w14:paraId="35CE4587" w14:textId="2ED0367B" w:rsidR="006F5B2E" w:rsidRPr="00D74401" w:rsidRDefault="005538E8" w:rsidP="006F5B2E">
            <w:pPr>
              <w:pStyle w:val="CETBodytext"/>
              <w:jc w:val="center"/>
              <w:rPr>
                <w:lang w:eastAsia="es-PE"/>
              </w:rPr>
            </w:pPr>
            <w:r w:rsidRPr="00D74401">
              <w:rPr>
                <w:lang w:eastAsia="es-PE"/>
              </w:rPr>
              <w:t xml:space="preserve"> pH</w:t>
            </w:r>
          </w:p>
        </w:tc>
        <w:tc>
          <w:tcPr>
            <w:tcW w:w="1899" w:type="dxa"/>
            <w:gridSpan w:val="2"/>
            <w:tcBorders>
              <w:bottom w:val="single" w:sz="6" w:space="0" w:color="008000"/>
            </w:tcBorders>
            <w:shd w:val="clear" w:color="auto" w:fill="auto"/>
            <w:vAlign w:val="center"/>
            <w:hideMark/>
          </w:tcPr>
          <w:p w14:paraId="454E2D86" w14:textId="77777777" w:rsidR="006F5B2E" w:rsidRPr="00D74401" w:rsidRDefault="006F5B2E" w:rsidP="006F5B2E">
            <w:pPr>
              <w:pStyle w:val="CETBodytext"/>
              <w:jc w:val="center"/>
              <w:rPr>
                <w:lang w:eastAsia="es-PE"/>
              </w:rPr>
            </w:pPr>
            <w:r w:rsidRPr="00D74401">
              <w:rPr>
                <w:lang w:eastAsia="es-PE"/>
              </w:rPr>
              <w:t xml:space="preserve">Temperature </w:t>
            </w:r>
            <w:r w:rsidRPr="00D74401">
              <w:rPr>
                <w:lang w:eastAsia="es-PE"/>
              </w:rPr>
              <w:br/>
              <w:t>(°C)</w:t>
            </w:r>
          </w:p>
        </w:tc>
        <w:tc>
          <w:tcPr>
            <w:tcW w:w="1899" w:type="dxa"/>
            <w:gridSpan w:val="2"/>
            <w:tcBorders>
              <w:bottom w:val="single" w:sz="6" w:space="0" w:color="008000"/>
            </w:tcBorders>
            <w:shd w:val="clear" w:color="auto" w:fill="auto"/>
            <w:vAlign w:val="center"/>
            <w:hideMark/>
          </w:tcPr>
          <w:p w14:paraId="63355395" w14:textId="41C025DB" w:rsidR="006F5B2E" w:rsidRPr="00D74401" w:rsidRDefault="00431A7B" w:rsidP="006F5B2E">
            <w:pPr>
              <w:pStyle w:val="CETBodytext"/>
              <w:jc w:val="center"/>
              <w:rPr>
                <w:lang w:eastAsia="es-PE"/>
              </w:rPr>
            </w:pPr>
            <w:r w:rsidRPr="00D74401">
              <w:rPr>
                <w:lang w:eastAsia="es-PE"/>
              </w:rPr>
              <w:t>Humidity</w:t>
            </w:r>
            <w:r w:rsidR="006F5B2E" w:rsidRPr="00D74401">
              <w:rPr>
                <w:lang w:eastAsia="es-PE"/>
              </w:rPr>
              <w:br/>
              <w:t xml:space="preserve"> (%)</w:t>
            </w:r>
          </w:p>
        </w:tc>
        <w:tc>
          <w:tcPr>
            <w:tcW w:w="1899" w:type="dxa"/>
            <w:gridSpan w:val="2"/>
            <w:tcBorders>
              <w:bottom w:val="single" w:sz="6" w:space="0" w:color="008000"/>
            </w:tcBorders>
            <w:shd w:val="clear" w:color="auto" w:fill="auto"/>
            <w:vAlign w:val="center"/>
            <w:hideMark/>
          </w:tcPr>
          <w:p w14:paraId="0FD4562C" w14:textId="503ED513" w:rsidR="006F5B2E" w:rsidRPr="00D74401" w:rsidRDefault="00431A7B" w:rsidP="006F5B2E">
            <w:pPr>
              <w:pStyle w:val="CETBodytext"/>
              <w:jc w:val="center"/>
              <w:rPr>
                <w:lang w:eastAsia="es-PE"/>
              </w:rPr>
            </w:pPr>
            <w:r w:rsidRPr="00D74401">
              <w:rPr>
                <w:lang w:eastAsia="es-PE"/>
              </w:rPr>
              <w:t>Conductivity</w:t>
            </w:r>
            <w:r w:rsidR="006F5B2E" w:rsidRPr="00D74401">
              <w:rPr>
                <w:lang w:eastAsia="es-PE"/>
              </w:rPr>
              <w:br/>
              <w:t xml:space="preserve"> (µS/cm)</w:t>
            </w:r>
          </w:p>
        </w:tc>
      </w:tr>
      <w:tr w:rsidR="009E0631" w:rsidRPr="00D74401" w14:paraId="78731845" w14:textId="77777777" w:rsidTr="008C715F">
        <w:trPr>
          <w:trHeight w:hRule="exact" w:val="279"/>
        </w:trPr>
        <w:tc>
          <w:tcPr>
            <w:tcW w:w="1150" w:type="dxa"/>
            <w:vMerge/>
            <w:vAlign w:val="center"/>
            <w:hideMark/>
          </w:tcPr>
          <w:p w14:paraId="27B4F9D8" w14:textId="77777777" w:rsidR="006F5B2E" w:rsidRPr="00D74401" w:rsidRDefault="006F5B2E" w:rsidP="006F5B2E">
            <w:pPr>
              <w:pStyle w:val="CETBodytext"/>
              <w:rPr>
                <w:lang w:eastAsia="es-PE"/>
              </w:rPr>
            </w:pPr>
          </w:p>
        </w:tc>
        <w:tc>
          <w:tcPr>
            <w:tcW w:w="947" w:type="dxa"/>
            <w:vMerge w:val="restart"/>
            <w:tcBorders>
              <w:top w:val="single" w:sz="6" w:space="0" w:color="008000"/>
              <w:bottom w:val="nil"/>
            </w:tcBorders>
            <w:shd w:val="clear" w:color="auto" w:fill="auto"/>
            <w:noWrap/>
            <w:vAlign w:val="center"/>
            <w:hideMark/>
          </w:tcPr>
          <w:p w14:paraId="64E1A7B0" w14:textId="77777777" w:rsidR="006F5B2E" w:rsidRPr="00D74401" w:rsidRDefault="006F5B2E" w:rsidP="003E719C">
            <w:pPr>
              <w:pStyle w:val="CETBodytext"/>
              <w:spacing w:line="240" w:lineRule="auto"/>
              <w:rPr>
                <w:lang w:eastAsia="es-PE"/>
              </w:rPr>
            </w:pPr>
            <w:r w:rsidRPr="00D74401">
              <w:rPr>
                <w:lang w:eastAsia="es-PE"/>
              </w:rPr>
              <w:t>Month 1</w:t>
            </w:r>
          </w:p>
        </w:tc>
        <w:tc>
          <w:tcPr>
            <w:tcW w:w="953" w:type="dxa"/>
            <w:vMerge w:val="restart"/>
            <w:tcBorders>
              <w:top w:val="single" w:sz="6" w:space="0" w:color="008000"/>
              <w:bottom w:val="nil"/>
            </w:tcBorders>
            <w:shd w:val="clear" w:color="auto" w:fill="auto"/>
            <w:noWrap/>
            <w:vAlign w:val="center"/>
            <w:hideMark/>
          </w:tcPr>
          <w:p w14:paraId="3FEAEB12" w14:textId="77777777" w:rsidR="006F5B2E" w:rsidRPr="00D74401" w:rsidRDefault="006F5B2E" w:rsidP="003E719C">
            <w:pPr>
              <w:pStyle w:val="CETBodytext"/>
              <w:spacing w:line="240" w:lineRule="auto"/>
              <w:rPr>
                <w:lang w:eastAsia="es-PE"/>
              </w:rPr>
            </w:pPr>
            <w:r w:rsidRPr="00D74401">
              <w:rPr>
                <w:lang w:eastAsia="es-PE"/>
              </w:rPr>
              <w:t>Month 4</w:t>
            </w:r>
          </w:p>
        </w:tc>
        <w:tc>
          <w:tcPr>
            <w:tcW w:w="947" w:type="dxa"/>
            <w:vMerge w:val="restart"/>
            <w:tcBorders>
              <w:top w:val="single" w:sz="6" w:space="0" w:color="008000"/>
              <w:bottom w:val="nil"/>
            </w:tcBorders>
            <w:shd w:val="clear" w:color="auto" w:fill="auto"/>
            <w:noWrap/>
            <w:vAlign w:val="center"/>
            <w:hideMark/>
          </w:tcPr>
          <w:p w14:paraId="3248ED1A" w14:textId="77777777" w:rsidR="006F5B2E" w:rsidRPr="00D74401" w:rsidRDefault="006F5B2E" w:rsidP="003E719C">
            <w:pPr>
              <w:pStyle w:val="CETBodytext"/>
              <w:spacing w:line="240" w:lineRule="auto"/>
              <w:rPr>
                <w:lang w:eastAsia="es-PE"/>
              </w:rPr>
            </w:pPr>
            <w:r w:rsidRPr="00D74401">
              <w:rPr>
                <w:lang w:eastAsia="es-PE"/>
              </w:rPr>
              <w:t>Month 1</w:t>
            </w:r>
          </w:p>
        </w:tc>
        <w:tc>
          <w:tcPr>
            <w:tcW w:w="951" w:type="dxa"/>
            <w:vMerge w:val="restart"/>
            <w:tcBorders>
              <w:top w:val="single" w:sz="6" w:space="0" w:color="008000"/>
              <w:bottom w:val="nil"/>
            </w:tcBorders>
            <w:shd w:val="clear" w:color="auto" w:fill="auto"/>
            <w:noWrap/>
            <w:vAlign w:val="center"/>
            <w:hideMark/>
          </w:tcPr>
          <w:p w14:paraId="32BCD6F0" w14:textId="77777777" w:rsidR="006F5B2E" w:rsidRPr="00D74401" w:rsidRDefault="006F5B2E" w:rsidP="003E719C">
            <w:pPr>
              <w:pStyle w:val="CETBodytext"/>
              <w:spacing w:line="240" w:lineRule="auto"/>
              <w:rPr>
                <w:lang w:eastAsia="es-PE"/>
              </w:rPr>
            </w:pPr>
            <w:r w:rsidRPr="00D74401">
              <w:rPr>
                <w:lang w:eastAsia="es-PE"/>
              </w:rPr>
              <w:t>Month 4</w:t>
            </w:r>
          </w:p>
        </w:tc>
        <w:tc>
          <w:tcPr>
            <w:tcW w:w="947" w:type="dxa"/>
            <w:vMerge w:val="restart"/>
            <w:tcBorders>
              <w:top w:val="single" w:sz="6" w:space="0" w:color="008000"/>
              <w:bottom w:val="nil"/>
            </w:tcBorders>
            <w:shd w:val="clear" w:color="auto" w:fill="auto"/>
            <w:noWrap/>
            <w:vAlign w:val="center"/>
            <w:hideMark/>
          </w:tcPr>
          <w:p w14:paraId="118E7C86" w14:textId="77777777" w:rsidR="006F5B2E" w:rsidRPr="00D74401" w:rsidRDefault="006F5B2E" w:rsidP="003E719C">
            <w:pPr>
              <w:pStyle w:val="CETBodytext"/>
              <w:spacing w:line="240" w:lineRule="auto"/>
              <w:rPr>
                <w:lang w:eastAsia="es-PE"/>
              </w:rPr>
            </w:pPr>
            <w:r w:rsidRPr="00D74401">
              <w:rPr>
                <w:lang w:eastAsia="es-PE"/>
              </w:rPr>
              <w:t>Month 1</w:t>
            </w:r>
          </w:p>
        </w:tc>
        <w:tc>
          <w:tcPr>
            <w:tcW w:w="951" w:type="dxa"/>
            <w:vMerge w:val="restart"/>
            <w:tcBorders>
              <w:top w:val="single" w:sz="6" w:space="0" w:color="008000"/>
              <w:bottom w:val="nil"/>
            </w:tcBorders>
            <w:shd w:val="clear" w:color="auto" w:fill="auto"/>
            <w:noWrap/>
            <w:vAlign w:val="center"/>
            <w:hideMark/>
          </w:tcPr>
          <w:p w14:paraId="224BD129" w14:textId="77777777" w:rsidR="006F5B2E" w:rsidRPr="00D74401" w:rsidRDefault="006F5B2E" w:rsidP="003E719C">
            <w:pPr>
              <w:pStyle w:val="CETBodytext"/>
              <w:spacing w:line="240" w:lineRule="auto"/>
              <w:rPr>
                <w:lang w:eastAsia="es-PE"/>
              </w:rPr>
            </w:pPr>
            <w:r w:rsidRPr="00D74401">
              <w:rPr>
                <w:lang w:eastAsia="es-PE"/>
              </w:rPr>
              <w:t>Month 4</w:t>
            </w:r>
          </w:p>
        </w:tc>
        <w:tc>
          <w:tcPr>
            <w:tcW w:w="947" w:type="dxa"/>
            <w:vMerge w:val="restart"/>
            <w:tcBorders>
              <w:top w:val="single" w:sz="6" w:space="0" w:color="008000"/>
              <w:bottom w:val="nil"/>
            </w:tcBorders>
            <w:shd w:val="clear" w:color="auto" w:fill="auto"/>
            <w:noWrap/>
            <w:vAlign w:val="center"/>
            <w:hideMark/>
          </w:tcPr>
          <w:p w14:paraId="51A3D960" w14:textId="77777777" w:rsidR="006F5B2E" w:rsidRPr="00D74401" w:rsidRDefault="006F5B2E" w:rsidP="003E719C">
            <w:pPr>
              <w:pStyle w:val="CETBodytext"/>
              <w:spacing w:line="240" w:lineRule="auto"/>
              <w:rPr>
                <w:lang w:eastAsia="es-PE"/>
              </w:rPr>
            </w:pPr>
            <w:r w:rsidRPr="00D74401">
              <w:rPr>
                <w:lang w:eastAsia="es-PE"/>
              </w:rPr>
              <w:t>Month 1</w:t>
            </w:r>
          </w:p>
        </w:tc>
        <w:tc>
          <w:tcPr>
            <w:tcW w:w="951" w:type="dxa"/>
            <w:vMerge w:val="restart"/>
            <w:tcBorders>
              <w:top w:val="single" w:sz="6" w:space="0" w:color="008000"/>
              <w:bottom w:val="nil"/>
            </w:tcBorders>
            <w:shd w:val="clear" w:color="auto" w:fill="auto"/>
            <w:noWrap/>
            <w:vAlign w:val="center"/>
            <w:hideMark/>
          </w:tcPr>
          <w:p w14:paraId="15D71CA8" w14:textId="77777777" w:rsidR="006F5B2E" w:rsidRPr="00D74401" w:rsidRDefault="006F5B2E" w:rsidP="003E719C">
            <w:pPr>
              <w:pStyle w:val="CETBodytext"/>
              <w:spacing w:line="240" w:lineRule="auto"/>
              <w:rPr>
                <w:lang w:eastAsia="es-PE"/>
              </w:rPr>
            </w:pPr>
            <w:r w:rsidRPr="00D74401">
              <w:rPr>
                <w:lang w:eastAsia="es-PE"/>
              </w:rPr>
              <w:t>Month 4</w:t>
            </w:r>
          </w:p>
        </w:tc>
      </w:tr>
      <w:tr w:rsidR="009E0631" w:rsidRPr="00D74401" w14:paraId="529980A7" w14:textId="77777777" w:rsidTr="00AE42A3">
        <w:trPr>
          <w:trHeight w:val="438"/>
        </w:trPr>
        <w:tc>
          <w:tcPr>
            <w:tcW w:w="1150" w:type="dxa"/>
            <w:vMerge/>
            <w:tcBorders>
              <w:bottom w:val="single" w:sz="12" w:space="0" w:color="008000"/>
            </w:tcBorders>
            <w:vAlign w:val="center"/>
            <w:hideMark/>
          </w:tcPr>
          <w:p w14:paraId="7276F497" w14:textId="77777777" w:rsidR="006F5B2E" w:rsidRPr="00D74401" w:rsidRDefault="006F5B2E" w:rsidP="006F5B2E">
            <w:pPr>
              <w:pStyle w:val="CETBodytext"/>
              <w:rPr>
                <w:lang w:eastAsia="es-PE"/>
              </w:rPr>
            </w:pPr>
          </w:p>
        </w:tc>
        <w:tc>
          <w:tcPr>
            <w:tcW w:w="947" w:type="dxa"/>
            <w:vMerge/>
            <w:tcBorders>
              <w:top w:val="nil"/>
              <w:bottom w:val="single" w:sz="12" w:space="0" w:color="008000"/>
            </w:tcBorders>
            <w:vAlign w:val="center"/>
            <w:hideMark/>
          </w:tcPr>
          <w:p w14:paraId="589249DA" w14:textId="77777777" w:rsidR="006F5B2E" w:rsidRPr="00D74401" w:rsidRDefault="006F5B2E" w:rsidP="006F5B2E">
            <w:pPr>
              <w:pStyle w:val="CETBodytext"/>
              <w:rPr>
                <w:lang w:eastAsia="es-PE"/>
              </w:rPr>
            </w:pPr>
          </w:p>
        </w:tc>
        <w:tc>
          <w:tcPr>
            <w:tcW w:w="953" w:type="dxa"/>
            <w:vMerge/>
            <w:tcBorders>
              <w:top w:val="nil"/>
              <w:bottom w:val="single" w:sz="12" w:space="0" w:color="008000"/>
            </w:tcBorders>
            <w:vAlign w:val="center"/>
            <w:hideMark/>
          </w:tcPr>
          <w:p w14:paraId="7F2819EA" w14:textId="77777777" w:rsidR="006F5B2E" w:rsidRPr="00D74401" w:rsidRDefault="006F5B2E" w:rsidP="006F5B2E">
            <w:pPr>
              <w:pStyle w:val="CETBodytext"/>
              <w:rPr>
                <w:lang w:eastAsia="es-PE"/>
              </w:rPr>
            </w:pPr>
          </w:p>
        </w:tc>
        <w:tc>
          <w:tcPr>
            <w:tcW w:w="947" w:type="dxa"/>
            <w:vMerge/>
            <w:tcBorders>
              <w:top w:val="nil"/>
              <w:bottom w:val="single" w:sz="12" w:space="0" w:color="008000"/>
            </w:tcBorders>
            <w:vAlign w:val="center"/>
            <w:hideMark/>
          </w:tcPr>
          <w:p w14:paraId="40773186" w14:textId="77777777" w:rsidR="006F5B2E" w:rsidRPr="00D74401" w:rsidRDefault="006F5B2E" w:rsidP="006F5B2E">
            <w:pPr>
              <w:pStyle w:val="CETBodytext"/>
              <w:rPr>
                <w:lang w:eastAsia="es-PE"/>
              </w:rPr>
            </w:pPr>
          </w:p>
        </w:tc>
        <w:tc>
          <w:tcPr>
            <w:tcW w:w="951" w:type="dxa"/>
            <w:vMerge/>
            <w:tcBorders>
              <w:top w:val="nil"/>
              <w:bottom w:val="single" w:sz="12" w:space="0" w:color="008000"/>
            </w:tcBorders>
            <w:vAlign w:val="center"/>
            <w:hideMark/>
          </w:tcPr>
          <w:p w14:paraId="37B3C3E9" w14:textId="77777777" w:rsidR="006F5B2E" w:rsidRPr="00D74401" w:rsidRDefault="006F5B2E" w:rsidP="006F5B2E">
            <w:pPr>
              <w:pStyle w:val="CETBodytext"/>
              <w:rPr>
                <w:lang w:eastAsia="es-PE"/>
              </w:rPr>
            </w:pPr>
          </w:p>
        </w:tc>
        <w:tc>
          <w:tcPr>
            <w:tcW w:w="947" w:type="dxa"/>
            <w:vMerge/>
            <w:tcBorders>
              <w:top w:val="nil"/>
              <w:bottom w:val="single" w:sz="12" w:space="0" w:color="008000"/>
            </w:tcBorders>
            <w:vAlign w:val="center"/>
            <w:hideMark/>
          </w:tcPr>
          <w:p w14:paraId="066FA082" w14:textId="77777777" w:rsidR="006F5B2E" w:rsidRPr="00D74401" w:rsidRDefault="006F5B2E" w:rsidP="006F5B2E">
            <w:pPr>
              <w:pStyle w:val="CETBodytext"/>
              <w:rPr>
                <w:lang w:eastAsia="es-PE"/>
              </w:rPr>
            </w:pPr>
          </w:p>
        </w:tc>
        <w:tc>
          <w:tcPr>
            <w:tcW w:w="951" w:type="dxa"/>
            <w:vMerge/>
            <w:tcBorders>
              <w:top w:val="nil"/>
              <w:bottom w:val="single" w:sz="12" w:space="0" w:color="008000"/>
            </w:tcBorders>
            <w:vAlign w:val="center"/>
            <w:hideMark/>
          </w:tcPr>
          <w:p w14:paraId="036D4D0F" w14:textId="77777777" w:rsidR="006F5B2E" w:rsidRPr="00D74401" w:rsidRDefault="006F5B2E" w:rsidP="006F5B2E">
            <w:pPr>
              <w:pStyle w:val="CETBodytext"/>
              <w:rPr>
                <w:lang w:eastAsia="es-PE"/>
              </w:rPr>
            </w:pPr>
          </w:p>
        </w:tc>
        <w:tc>
          <w:tcPr>
            <w:tcW w:w="947" w:type="dxa"/>
            <w:vMerge/>
            <w:tcBorders>
              <w:top w:val="nil"/>
              <w:bottom w:val="single" w:sz="12" w:space="0" w:color="008000"/>
            </w:tcBorders>
            <w:vAlign w:val="center"/>
            <w:hideMark/>
          </w:tcPr>
          <w:p w14:paraId="1331E3E9" w14:textId="77777777" w:rsidR="006F5B2E" w:rsidRPr="00D74401" w:rsidRDefault="006F5B2E" w:rsidP="006F5B2E">
            <w:pPr>
              <w:pStyle w:val="CETBodytext"/>
              <w:rPr>
                <w:lang w:eastAsia="es-PE"/>
              </w:rPr>
            </w:pPr>
          </w:p>
        </w:tc>
        <w:tc>
          <w:tcPr>
            <w:tcW w:w="951" w:type="dxa"/>
            <w:vMerge/>
            <w:tcBorders>
              <w:top w:val="nil"/>
              <w:bottom w:val="single" w:sz="12" w:space="0" w:color="008000"/>
            </w:tcBorders>
            <w:vAlign w:val="center"/>
            <w:hideMark/>
          </w:tcPr>
          <w:p w14:paraId="7C01229B" w14:textId="77777777" w:rsidR="006F5B2E" w:rsidRPr="00D74401" w:rsidRDefault="006F5B2E" w:rsidP="006F5B2E">
            <w:pPr>
              <w:pStyle w:val="CETBodytext"/>
              <w:rPr>
                <w:lang w:eastAsia="es-PE"/>
              </w:rPr>
            </w:pPr>
          </w:p>
        </w:tc>
      </w:tr>
      <w:tr w:rsidR="007B7057" w:rsidRPr="00D74401" w14:paraId="128AA44D" w14:textId="77777777" w:rsidTr="00AE42A3">
        <w:trPr>
          <w:trHeight w:val="299"/>
        </w:trPr>
        <w:tc>
          <w:tcPr>
            <w:tcW w:w="1150" w:type="dxa"/>
            <w:tcBorders>
              <w:top w:val="single" w:sz="12" w:space="0" w:color="008000"/>
              <w:bottom w:val="nil"/>
            </w:tcBorders>
            <w:shd w:val="clear" w:color="auto" w:fill="auto"/>
            <w:noWrap/>
            <w:vAlign w:val="center"/>
            <w:hideMark/>
          </w:tcPr>
          <w:p w14:paraId="65E979AE" w14:textId="6280A4F0" w:rsidR="007B7057" w:rsidRPr="00D74401" w:rsidRDefault="007B7057" w:rsidP="007B7057">
            <w:pPr>
              <w:pStyle w:val="CETBodytext"/>
              <w:rPr>
                <w:lang w:eastAsia="es-PE"/>
              </w:rPr>
            </w:pPr>
            <w:r>
              <w:rPr>
                <w:lang w:eastAsia="es-PE"/>
              </w:rPr>
              <w:t xml:space="preserve">Plot </w:t>
            </w:r>
            <w:r w:rsidRPr="006F5B2E">
              <w:rPr>
                <w:lang w:eastAsia="es-PE"/>
              </w:rPr>
              <w:t>A</w:t>
            </w:r>
          </w:p>
        </w:tc>
        <w:tc>
          <w:tcPr>
            <w:tcW w:w="947" w:type="dxa"/>
            <w:tcBorders>
              <w:top w:val="single" w:sz="12" w:space="0" w:color="008000"/>
              <w:bottom w:val="nil"/>
            </w:tcBorders>
            <w:shd w:val="clear" w:color="auto" w:fill="auto"/>
            <w:noWrap/>
            <w:vAlign w:val="center"/>
            <w:hideMark/>
          </w:tcPr>
          <w:p w14:paraId="48EE0172" w14:textId="77777777" w:rsidR="007B7057" w:rsidRPr="00D74401" w:rsidRDefault="007B7057" w:rsidP="007B7057">
            <w:pPr>
              <w:pStyle w:val="CETBodytext"/>
              <w:rPr>
                <w:lang w:eastAsia="es-PE"/>
              </w:rPr>
            </w:pPr>
            <w:r w:rsidRPr="00D74401">
              <w:rPr>
                <w:lang w:eastAsia="es-PE"/>
              </w:rPr>
              <w:t>6.8</w:t>
            </w:r>
          </w:p>
        </w:tc>
        <w:tc>
          <w:tcPr>
            <w:tcW w:w="953" w:type="dxa"/>
            <w:tcBorders>
              <w:top w:val="single" w:sz="12" w:space="0" w:color="008000"/>
              <w:bottom w:val="nil"/>
            </w:tcBorders>
            <w:shd w:val="clear" w:color="auto" w:fill="auto"/>
            <w:noWrap/>
            <w:vAlign w:val="center"/>
            <w:hideMark/>
          </w:tcPr>
          <w:p w14:paraId="6DBA4834" w14:textId="048F898C" w:rsidR="007B7057" w:rsidRPr="00D74401" w:rsidRDefault="007B7057" w:rsidP="007B7057">
            <w:pPr>
              <w:pStyle w:val="CETBodytext"/>
              <w:rPr>
                <w:lang w:eastAsia="es-PE"/>
              </w:rPr>
            </w:pPr>
            <w:r w:rsidRPr="00D74401">
              <w:rPr>
                <w:lang w:eastAsia="es-PE"/>
              </w:rPr>
              <w:t>6.0</w:t>
            </w:r>
          </w:p>
        </w:tc>
        <w:tc>
          <w:tcPr>
            <w:tcW w:w="947" w:type="dxa"/>
            <w:tcBorders>
              <w:top w:val="single" w:sz="12" w:space="0" w:color="008000"/>
              <w:bottom w:val="nil"/>
            </w:tcBorders>
            <w:shd w:val="clear" w:color="auto" w:fill="auto"/>
            <w:noWrap/>
            <w:vAlign w:val="center"/>
            <w:hideMark/>
          </w:tcPr>
          <w:p w14:paraId="1E70F245" w14:textId="77777777" w:rsidR="007B7057" w:rsidRPr="00D74401" w:rsidRDefault="007B7057" w:rsidP="007B7057">
            <w:pPr>
              <w:pStyle w:val="CETBodytext"/>
              <w:rPr>
                <w:lang w:eastAsia="es-PE"/>
              </w:rPr>
            </w:pPr>
            <w:r w:rsidRPr="00D74401">
              <w:rPr>
                <w:lang w:eastAsia="es-PE"/>
              </w:rPr>
              <w:t>24.1</w:t>
            </w:r>
          </w:p>
        </w:tc>
        <w:tc>
          <w:tcPr>
            <w:tcW w:w="951" w:type="dxa"/>
            <w:tcBorders>
              <w:top w:val="single" w:sz="12" w:space="0" w:color="008000"/>
              <w:bottom w:val="nil"/>
            </w:tcBorders>
            <w:shd w:val="clear" w:color="auto" w:fill="auto"/>
            <w:noWrap/>
            <w:vAlign w:val="center"/>
            <w:hideMark/>
          </w:tcPr>
          <w:p w14:paraId="6E0B12D0" w14:textId="77777777" w:rsidR="007B7057" w:rsidRPr="00D74401" w:rsidRDefault="007B7057" w:rsidP="007B7057">
            <w:pPr>
              <w:pStyle w:val="CETBodytext"/>
              <w:rPr>
                <w:lang w:eastAsia="es-PE"/>
              </w:rPr>
            </w:pPr>
            <w:r w:rsidRPr="00D74401">
              <w:rPr>
                <w:lang w:eastAsia="es-PE"/>
              </w:rPr>
              <w:t>20.7</w:t>
            </w:r>
          </w:p>
        </w:tc>
        <w:tc>
          <w:tcPr>
            <w:tcW w:w="947" w:type="dxa"/>
            <w:tcBorders>
              <w:top w:val="single" w:sz="12" w:space="0" w:color="008000"/>
              <w:bottom w:val="nil"/>
            </w:tcBorders>
            <w:shd w:val="clear" w:color="auto" w:fill="auto"/>
            <w:noWrap/>
            <w:vAlign w:val="center"/>
            <w:hideMark/>
          </w:tcPr>
          <w:p w14:paraId="39DD95EC" w14:textId="77777777" w:rsidR="007B7057" w:rsidRPr="00D74401" w:rsidRDefault="007B7057" w:rsidP="007B7057">
            <w:pPr>
              <w:pStyle w:val="CETBodytext"/>
              <w:rPr>
                <w:lang w:eastAsia="es-PE"/>
              </w:rPr>
            </w:pPr>
            <w:r w:rsidRPr="00D74401">
              <w:rPr>
                <w:lang w:eastAsia="es-PE"/>
              </w:rPr>
              <w:t>80</w:t>
            </w:r>
          </w:p>
        </w:tc>
        <w:tc>
          <w:tcPr>
            <w:tcW w:w="951" w:type="dxa"/>
            <w:tcBorders>
              <w:top w:val="single" w:sz="12" w:space="0" w:color="008000"/>
              <w:bottom w:val="nil"/>
            </w:tcBorders>
            <w:shd w:val="clear" w:color="auto" w:fill="auto"/>
            <w:noWrap/>
            <w:vAlign w:val="center"/>
            <w:hideMark/>
          </w:tcPr>
          <w:p w14:paraId="04CD48FE" w14:textId="77777777" w:rsidR="007B7057" w:rsidRPr="00D74401" w:rsidRDefault="007B7057" w:rsidP="007B7057">
            <w:pPr>
              <w:pStyle w:val="CETBodytext"/>
              <w:rPr>
                <w:lang w:eastAsia="es-PE"/>
              </w:rPr>
            </w:pPr>
            <w:r w:rsidRPr="00D74401">
              <w:rPr>
                <w:lang w:eastAsia="es-PE"/>
              </w:rPr>
              <w:t>82</w:t>
            </w:r>
          </w:p>
        </w:tc>
        <w:tc>
          <w:tcPr>
            <w:tcW w:w="947" w:type="dxa"/>
            <w:tcBorders>
              <w:top w:val="single" w:sz="12" w:space="0" w:color="008000"/>
              <w:bottom w:val="nil"/>
            </w:tcBorders>
            <w:shd w:val="clear" w:color="auto" w:fill="auto"/>
            <w:noWrap/>
            <w:vAlign w:val="center"/>
            <w:hideMark/>
          </w:tcPr>
          <w:p w14:paraId="5275EBF9" w14:textId="77777777" w:rsidR="007B7057" w:rsidRPr="00D74401" w:rsidRDefault="007B7057" w:rsidP="007B7057">
            <w:pPr>
              <w:pStyle w:val="CETBodytext"/>
              <w:rPr>
                <w:lang w:eastAsia="es-PE"/>
              </w:rPr>
            </w:pPr>
            <w:r w:rsidRPr="00D74401">
              <w:rPr>
                <w:lang w:eastAsia="es-PE"/>
              </w:rPr>
              <w:t>200</w:t>
            </w:r>
          </w:p>
        </w:tc>
        <w:tc>
          <w:tcPr>
            <w:tcW w:w="951" w:type="dxa"/>
            <w:tcBorders>
              <w:top w:val="single" w:sz="12" w:space="0" w:color="008000"/>
              <w:bottom w:val="nil"/>
            </w:tcBorders>
            <w:shd w:val="clear" w:color="auto" w:fill="auto"/>
            <w:noWrap/>
            <w:vAlign w:val="center"/>
            <w:hideMark/>
          </w:tcPr>
          <w:p w14:paraId="10EA9609" w14:textId="77777777" w:rsidR="007B7057" w:rsidRPr="00D74401" w:rsidRDefault="007B7057" w:rsidP="007B7057">
            <w:pPr>
              <w:pStyle w:val="CETBodytext"/>
              <w:rPr>
                <w:lang w:eastAsia="es-PE"/>
              </w:rPr>
            </w:pPr>
            <w:r w:rsidRPr="00D74401">
              <w:rPr>
                <w:lang w:eastAsia="es-PE"/>
              </w:rPr>
              <w:t>190</w:t>
            </w:r>
          </w:p>
        </w:tc>
      </w:tr>
      <w:tr w:rsidR="007B7057" w:rsidRPr="00D74401" w14:paraId="37B7407D" w14:textId="77777777" w:rsidTr="008C715F">
        <w:trPr>
          <w:trHeight w:val="417"/>
        </w:trPr>
        <w:tc>
          <w:tcPr>
            <w:tcW w:w="1150" w:type="dxa"/>
            <w:tcBorders>
              <w:top w:val="nil"/>
              <w:bottom w:val="nil"/>
            </w:tcBorders>
            <w:shd w:val="clear" w:color="auto" w:fill="auto"/>
            <w:noWrap/>
            <w:vAlign w:val="center"/>
            <w:hideMark/>
          </w:tcPr>
          <w:p w14:paraId="6BCDC6F5" w14:textId="6B795A73" w:rsidR="007B7057" w:rsidRPr="00D74401" w:rsidRDefault="007B7057" w:rsidP="007B7057">
            <w:pPr>
              <w:pStyle w:val="CETBodytext"/>
              <w:rPr>
                <w:lang w:eastAsia="es-PE"/>
              </w:rPr>
            </w:pPr>
            <w:r>
              <w:rPr>
                <w:lang w:eastAsia="es-PE"/>
              </w:rPr>
              <w:t xml:space="preserve">Plot </w:t>
            </w:r>
            <w:r w:rsidRPr="006F5B2E">
              <w:rPr>
                <w:lang w:eastAsia="es-PE"/>
              </w:rPr>
              <w:t>B</w:t>
            </w:r>
          </w:p>
        </w:tc>
        <w:tc>
          <w:tcPr>
            <w:tcW w:w="947" w:type="dxa"/>
            <w:tcBorders>
              <w:top w:val="nil"/>
              <w:bottom w:val="nil"/>
            </w:tcBorders>
            <w:shd w:val="clear" w:color="auto" w:fill="auto"/>
            <w:noWrap/>
            <w:vAlign w:val="center"/>
            <w:hideMark/>
          </w:tcPr>
          <w:p w14:paraId="50568C8E" w14:textId="77777777" w:rsidR="007B7057" w:rsidRPr="00D74401" w:rsidRDefault="007B7057" w:rsidP="007B7057">
            <w:pPr>
              <w:pStyle w:val="CETBodytext"/>
              <w:rPr>
                <w:lang w:eastAsia="es-PE"/>
              </w:rPr>
            </w:pPr>
            <w:r w:rsidRPr="00D74401">
              <w:rPr>
                <w:lang w:eastAsia="es-PE"/>
              </w:rPr>
              <w:t>7.2</w:t>
            </w:r>
          </w:p>
        </w:tc>
        <w:tc>
          <w:tcPr>
            <w:tcW w:w="953" w:type="dxa"/>
            <w:tcBorders>
              <w:top w:val="nil"/>
              <w:bottom w:val="nil"/>
            </w:tcBorders>
            <w:shd w:val="clear" w:color="auto" w:fill="auto"/>
            <w:noWrap/>
            <w:vAlign w:val="center"/>
            <w:hideMark/>
          </w:tcPr>
          <w:p w14:paraId="235AFEA0" w14:textId="77777777" w:rsidR="007B7057" w:rsidRPr="00D74401" w:rsidRDefault="007B7057" w:rsidP="007B7057">
            <w:pPr>
              <w:pStyle w:val="CETBodytext"/>
              <w:rPr>
                <w:lang w:eastAsia="es-PE"/>
              </w:rPr>
            </w:pPr>
            <w:r w:rsidRPr="00D74401">
              <w:rPr>
                <w:lang w:eastAsia="es-PE"/>
              </w:rPr>
              <w:t>6.4</w:t>
            </w:r>
          </w:p>
        </w:tc>
        <w:tc>
          <w:tcPr>
            <w:tcW w:w="947" w:type="dxa"/>
            <w:tcBorders>
              <w:top w:val="nil"/>
              <w:bottom w:val="nil"/>
            </w:tcBorders>
            <w:shd w:val="clear" w:color="auto" w:fill="auto"/>
            <w:noWrap/>
            <w:vAlign w:val="center"/>
            <w:hideMark/>
          </w:tcPr>
          <w:p w14:paraId="74E70E33" w14:textId="77777777" w:rsidR="007B7057" w:rsidRPr="00D74401" w:rsidRDefault="007B7057" w:rsidP="007B7057">
            <w:pPr>
              <w:pStyle w:val="CETBodytext"/>
              <w:rPr>
                <w:lang w:eastAsia="es-PE"/>
              </w:rPr>
            </w:pPr>
            <w:r w:rsidRPr="00D74401">
              <w:rPr>
                <w:lang w:eastAsia="es-PE"/>
              </w:rPr>
              <w:t>24.4</w:t>
            </w:r>
          </w:p>
        </w:tc>
        <w:tc>
          <w:tcPr>
            <w:tcW w:w="951" w:type="dxa"/>
            <w:tcBorders>
              <w:top w:val="nil"/>
              <w:bottom w:val="nil"/>
            </w:tcBorders>
            <w:shd w:val="clear" w:color="auto" w:fill="auto"/>
            <w:noWrap/>
            <w:vAlign w:val="center"/>
            <w:hideMark/>
          </w:tcPr>
          <w:p w14:paraId="5F189EB4" w14:textId="77777777" w:rsidR="007B7057" w:rsidRPr="00D74401" w:rsidRDefault="007B7057" w:rsidP="007B7057">
            <w:pPr>
              <w:pStyle w:val="CETBodytext"/>
              <w:rPr>
                <w:lang w:eastAsia="es-PE"/>
              </w:rPr>
            </w:pPr>
            <w:r w:rsidRPr="00D74401">
              <w:rPr>
                <w:lang w:eastAsia="es-PE"/>
              </w:rPr>
              <w:t>20.5</w:t>
            </w:r>
          </w:p>
        </w:tc>
        <w:tc>
          <w:tcPr>
            <w:tcW w:w="947" w:type="dxa"/>
            <w:tcBorders>
              <w:top w:val="nil"/>
              <w:bottom w:val="nil"/>
            </w:tcBorders>
            <w:shd w:val="clear" w:color="auto" w:fill="auto"/>
            <w:noWrap/>
            <w:vAlign w:val="center"/>
            <w:hideMark/>
          </w:tcPr>
          <w:p w14:paraId="4E8D5A0C" w14:textId="77777777" w:rsidR="007B7057" w:rsidRPr="00D74401" w:rsidRDefault="007B7057" w:rsidP="007B7057">
            <w:pPr>
              <w:pStyle w:val="CETBodytext"/>
              <w:rPr>
                <w:lang w:eastAsia="es-PE"/>
              </w:rPr>
            </w:pPr>
            <w:r w:rsidRPr="00D74401">
              <w:rPr>
                <w:lang w:eastAsia="es-PE"/>
              </w:rPr>
              <w:t>79</w:t>
            </w:r>
          </w:p>
        </w:tc>
        <w:tc>
          <w:tcPr>
            <w:tcW w:w="951" w:type="dxa"/>
            <w:tcBorders>
              <w:top w:val="nil"/>
              <w:bottom w:val="nil"/>
            </w:tcBorders>
            <w:shd w:val="clear" w:color="auto" w:fill="auto"/>
            <w:noWrap/>
            <w:vAlign w:val="center"/>
            <w:hideMark/>
          </w:tcPr>
          <w:p w14:paraId="1FC46577" w14:textId="77777777" w:rsidR="007B7057" w:rsidRPr="00D74401" w:rsidRDefault="007B7057" w:rsidP="007B7057">
            <w:pPr>
              <w:pStyle w:val="CETBodytext"/>
              <w:rPr>
                <w:lang w:eastAsia="es-PE"/>
              </w:rPr>
            </w:pPr>
            <w:r w:rsidRPr="00D74401">
              <w:rPr>
                <w:lang w:eastAsia="es-PE"/>
              </w:rPr>
              <w:t>80</w:t>
            </w:r>
          </w:p>
        </w:tc>
        <w:tc>
          <w:tcPr>
            <w:tcW w:w="947" w:type="dxa"/>
            <w:tcBorders>
              <w:top w:val="nil"/>
              <w:bottom w:val="nil"/>
            </w:tcBorders>
            <w:shd w:val="clear" w:color="auto" w:fill="auto"/>
            <w:noWrap/>
            <w:vAlign w:val="center"/>
            <w:hideMark/>
          </w:tcPr>
          <w:p w14:paraId="4C75374F" w14:textId="77777777" w:rsidR="007B7057" w:rsidRPr="00D74401" w:rsidRDefault="007B7057" w:rsidP="007B7057">
            <w:pPr>
              <w:pStyle w:val="CETBodytext"/>
              <w:rPr>
                <w:lang w:eastAsia="es-PE"/>
              </w:rPr>
            </w:pPr>
            <w:r w:rsidRPr="00D74401">
              <w:rPr>
                <w:lang w:eastAsia="es-PE"/>
              </w:rPr>
              <w:t>220</w:t>
            </w:r>
          </w:p>
        </w:tc>
        <w:tc>
          <w:tcPr>
            <w:tcW w:w="951" w:type="dxa"/>
            <w:tcBorders>
              <w:top w:val="nil"/>
              <w:bottom w:val="nil"/>
            </w:tcBorders>
            <w:shd w:val="clear" w:color="auto" w:fill="auto"/>
            <w:noWrap/>
            <w:vAlign w:val="center"/>
            <w:hideMark/>
          </w:tcPr>
          <w:p w14:paraId="47D7AA90" w14:textId="77777777" w:rsidR="007B7057" w:rsidRPr="00D74401" w:rsidRDefault="007B7057" w:rsidP="007B7057">
            <w:pPr>
              <w:pStyle w:val="CETBodytext"/>
              <w:rPr>
                <w:lang w:eastAsia="es-PE"/>
              </w:rPr>
            </w:pPr>
            <w:r w:rsidRPr="00D74401">
              <w:rPr>
                <w:lang w:eastAsia="es-PE"/>
              </w:rPr>
              <w:t>200</w:t>
            </w:r>
          </w:p>
        </w:tc>
      </w:tr>
      <w:tr w:rsidR="007B7057" w:rsidRPr="00D74401" w14:paraId="69865B7A" w14:textId="77777777" w:rsidTr="005C0F43">
        <w:trPr>
          <w:trHeight w:val="84"/>
        </w:trPr>
        <w:tc>
          <w:tcPr>
            <w:tcW w:w="1150" w:type="dxa"/>
            <w:tcBorders>
              <w:top w:val="nil"/>
              <w:bottom w:val="nil"/>
            </w:tcBorders>
            <w:shd w:val="clear" w:color="auto" w:fill="auto"/>
            <w:noWrap/>
            <w:vAlign w:val="center"/>
            <w:hideMark/>
          </w:tcPr>
          <w:p w14:paraId="0C31BDA6" w14:textId="0CDB3F49" w:rsidR="007B7057" w:rsidRPr="00D74401" w:rsidRDefault="007B7057" w:rsidP="007B7057">
            <w:pPr>
              <w:pStyle w:val="CETBodytext"/>
              <w:rPr>
                <w:lang w:eastAsia="es-PE"/>
              </w:rPr>
            </w:pPr>
            <w:r>
              <w:rPr>
                <w:lang w:eastAsia="es-PE"/>
              </w:rPr>
              <w:t xml:space="preserve">Plot </w:t>
            </w:r>
            <w:r w:rsidRPr="006F5B2E">
              <w:rPr>
                <w:lang w:eastAsia="es-PE"/>
              </w:rPr>
              <w:t>C</w:t>
            </w:r>
          </w:p>
        </w:tc>
        <w:tc>
          <w:tcPr>
            <w:tcW w:w="947" w:type="dxa"/>
            <w:tcBorders>
              <w:top w:val="nil"/>
              <w:bottom w:val="nil"/>
            </w:tcBorders>
            <w:shd w:val="clear" w:color="auto" w:fill="auto"/>
            <w:noWrap/>
            <w:vAlign w:val="center"/>
            <w:hideMark/>
          </w:tcPr>
          <w:p w14:paraId="6B4552A8" w14:textId="77777777" w:rsidR="007B7057" w:rsidRPr="00D74401" w:rsidRDefault="007B7057" w:rsidP="007B7057">
            <w:pPr>
              <w:pStyle w:val="CETBodytext"/>
              <w:rPr>
                <w:lang w:eastAsia="es-PE"/>
              </w:rPr>
            </w:pPr>
            <w:r w:rsidRPr="00D74401">
              <w:rPr>
                <w:lang w:eastAsia="es-PE"/>
              </w:rPr>
              <w:t>6.9</w:t>
            </w:r>
          </w:p>
        </w:tc>
        <w:tc>
          <w:tcPr>
            <w:tcW w:w="953" w:type="dxa"/>
            <w:tcBorders>
              <w:top w:val="nil"/>
              <w:bottom w:val="nil"/>
            </w:tcBorders>
            <w:shd w:val="clear" w:color="auto" w:fill="auto"/>
            <w:noWrap/>
            <w:vAlign w:val="center"/>
            <w:hideMark/>
          </w:tcPr>
          <w:p w14:paraId="5D80F090" w14:textId="77777777" w:rsidR="007B7057" w:rsidRPr="00D74401" w:rsidRDefault="007B7057" w:rsidP="007B7057">
            <w:pPr>
              <w:pStyle w:val="CETBodytext"/>
              <w:rPr>
                <w:lang w:eastAsia="es-PE"/>
              </w:rPr>
            </w:pPr>
            <w:r w:rsidRPr="00D74401">
              <w:rPr>
                <w:lang w:eastAsia="es-PE"/>
              </w:rPr>
              <w:t>6.6</w:t>
            </w:r>
          </w:p>
        </w:tc>
        <w:tc>
          <w:tcPr>
            <w:tcW w:w="947" w:type="dxa"/>
            <w:tcBorders>
              <w:top w:val="nil"/>
              <w:bottom w:val="nil"/>
            </w:tcBorders>
            <w:shd w:val="clear" w:color="auto" w:fill="auto"/>
            <w:noWrap/>
            <w:vAlign w:val="center"/>
            <w:hideMark/>
          </w:tcPr>
          <w:p w14:paraId="3699B621" w14:textId="77777777" w:rsidR="007B7057" w:rsidRPr="00D74401" w:rsidRDefault="007B7057" w:rsidP="007B7057">
            <w:pPr>
              <w:pStyle w:val="CETBodytext"/>
              <w:rPr>
                <w:lang w:eastAsia="es-PE"/>
              </w:rPr>
            </w:pPr>
            <w:r w:rsidRPr="00D74401">
              <w:rPr>
                <w:lang w:eastAsia="es-PE"/>
              </w:rPr>
              <w:t>24.4</w:t>
            </w:r>
          </w:p>
        </w:tc>
        <w:tc>
          <w:tcPr>
            <w:tcW w:w="951" w:type="dxa"/>
            <w:tcBorders>
              <w:top w:val="nil"/>
              <w:bottom w:val="nil"/>
            </w:tcBorders>
            <w:shd w:val="clear" w:color="auto" w:fill="auto"/>
            <w:noWrap/>
            <w:vAlign w:val="center"/>
            <w:hideMark/>
          </w:tcPr>
          <w:p w14:paraId="41ECE675" w14:textId="25DC03EE" w:rsidR="007B7057" w:rsidRPr="00D74401" w:rsidRDefault="007B7057" w:rsidP="007B7057">
            <w:pPr>
              <w:pStyle w:val="CETBodytext"/>
              <w:rPr>
                <w:lang w:eastAsia="es-PE"/>
              </w:rPr>
            </w:pPr>
            <w:r w:rsidRPr="00D74401">
              <w:rPr>
                <w:lang w:eastAsia="es-PE"/>
              </w:rPr>
              <w:t>20.0</w:t>
            </w:r>
          </w:p>
        </w:tc>
        <w:tc>
          <w:tcPr>
            <w:tcW w:w="947" w:type="dxa"/>
            <w:tcBorders>
              <w:top w:val="nil"/>
              <w:bottom w:val="nil"/>
            </w:tcBorders>
            <w:shd w:val="clear" w:color="auto" w:fill="auto"/>
            <w:noWrap/>
            <w:vAlign w:val="center"/>
            <w:hideMark/>
          </w:tcPr>
          <w:p w14:paraId="3851E182" w14:textId="77777777" w:rsidR="007B7057" w:rsidRPr="00D74401" w:rsidRDefault="007B7057" w:rsidP="007B7057">
            <w:pPr>
              <w:pStyle w:val="CETBodytext"/>
              <w:rPr>
                <w:lang w:eastAsia="es-PE"/>
              </w:rPr>
            </w:pPr>
            <w:r w:rsidRPr="00D74401">
              <w:rPr>
                <w:lang w:eastAsia="es-PE"/>
              </w:rPr>
              <w:t>80</w:t>
            </w:r>
          </w:p>
        </w:tc>
        <w:tc>
          <w:tcPr>
            <w:tcW w:w="951" w:type="dxa"/>
            <w:tcBorders>
              <w:top w:val="nil"/>
              <w:bottom w:val="nil"/>
            </w:tcBorders>
            <w:shd w:val="clear" w:color="auto" w:fill="auto"/>
            <w:noWrap/>
            <w:vAlign w:val="center"/>
            <w:hideMark/>
          </w:tcPr>
          <w:p w14:paraId="38450B3F" w14:textId="77777777" w:rsidR="007B7057" w:rsidRPr="00D74401" w:rsidRDefault="007B7057" w:rsidP="007B7057">
            <w:pPr>
              <w:pStyle w:val="CETBodytext"/>
              <w:rPr>
                <w:lang w:eastAsia="es-PE"/>
              </w:rPr>
            </w:pPr>
            <w:r w:rsidRPr="00D74401">
              <w:rPr>
                <w:lang w:eastAsia="es-PE"/>
              </w:rPr>
              <w:t>85</w:t>
            </w:r>
          </w:p>
        </w:tc>
        <w:tc>
          <w:tcPr>
            <w:tcW w:w="947" w:type="dxa"/>
            <w:tcBorders>
              <w:top w:val="nil"/>
              <w:bottom w:val="nil"/>
            </w:tcBorders>
            <w:shd w:val="clear" w:color="auto" w:fill="auto"/>
            <w:noWrap/>
            <w:vAlign w:val="center"/>
            <w:hideMark/>
          </w:tcPr>
          <w:p w14:paraId="4BCD539E" w14:textId="77777777" w:rsidR="007B7057" w:rsidRPr="00D74401" w:rsidRDefault="007B7057" w:rsidP="007B7057">
            <w:pPr>
              <w:pStyle w:val="CETBodytext"/>
              <w:rPr>
                <w:lang w:eastAsia="es-PE"/>
              </w:rPr>
            </w:pPr>
            <w:r w:rsidRPr="00D74401">
              <w:rPr>
                <w:lang w:eastAsia="es-PE"/>
              </w:rPr>
              <w:t>245</w:t>
            </w:r>
          </w:p>
        </w:tc>
        <w:tc>
          <w:tcPr>
            <w:tcW w:w="951" w:type="dxa"/>
            <w:tcBorders>
              <w:top w:val="nil"/>
              <w:bottom w:val="nil"/>
            </w:tcBorders>
            <w:shd w:val="clear" w:color="auto" w:fill="auto"/>
            <w:noWrap/>
            <w:vAlign w:val="center"/>
            <w:hideMark/>
          </w:tcPr>
          <w:p w14:paraId="1F0DA52C" w14:textId="77777777" w:rsidR="007B7057" w:rsidRPr="00D74401" w:rsidRDefault="007B7057" w:rsidP="007B7057">
            <w:pPr>
              <w:pStyle w:val="CETBodytext"/>
              <w:rPr>
                <w:lang w:eastAsia="es-PE"/>
              </w:rPr>
            </w:pPr>
            <w:r w:rsidRPr="00D74401">
              <w:rPr>
                <w:lang w:eastAsia="es-PE"/>
              </w:rPr>
              <w:t>230</w:t>
            </w:r>
          </w:p>
        </w:tc>
      </w:tr>
      <w:tr w:rsidR="005C0F43" w:rsidRPr="00D74401" w14:paraId="4FDD8F9D" w14:textId="77777777" w:rsidTr="008C715F">
        <w:trPr>
          <w:trHeight w:val="84"/>
        </w:trPr>
        <w:tc>
          <w:tcPr>
            <w:tcW w:w="1150" w:type="dxa"/>
            <w:tcBorders>
              <w:top w:val="nil"/>
              <w:bottom w:val="single" w:sz="12" w:space="0" w:color="008000"/>
            </w:tcBorders>
            <w:shd w:val="clear" w:color="auto" w:fill="auto"/>
            <w:noWrap/>
            <w:vAlign w:val="center"/>
          </w:tcPr>
          <w:p w14:paraId="5CE10AB5" w14:textId="51C7662C" w:rsidR="005C0F43" w:rsidRDefault="00AE42A3" w:rsidP="007B7057">
            <w:pPr>
              <w:pStyle w:val="CETBodytext"/>
              <w:rPr>
                <w:lang w:eastAsia="es-PE"/>
              </w:rPr>
            </w:pPr>
            <w:r w:rsidRPr="00236026">
              <w:t>Standard deviation</w:t>
            </w:r>
          </w:p>
        </w:tc>
        <w:tc>
          <w:tcPr>
            <w:tcW w:w="947" w:type="dxa"/>
            <w:tcBorders>
              <w:top w:val="nil"/>
              <w:bottom w:val="single" w:sz="12" w:space="0" w:color="008000"/>
            </w:tcBorders>
            <w:shd w:val="clear" w:color="auto" w:fill="auto"/>
            <w:noWrap/>
            <w:vAlign w:val="center"/>
          </w:tcPr>
          <w:p w14:paraId="4064B42B" w14:textId="67E92AB2" w:rsidR="005C0F43" w:rsidRPr="00D74401" w:rsidRDefault="00AE42A3" w:rsidP="007B7057">
            <w:pPr>
              <w:pStyle w:val="CETBodytext"/>
              <w:rPr>
                <w:lang w:eastAsia="es-PE"/>
              </w:rPr>
            </w:pPr>
            <w:r>
              <w:rPr>
                <w:lang w:eastAsia="es-PE"/>
              </w:rPr>
              <w:t>0.2081</w:t>
            </w:r>
          </w:p>
        </w:tc>
        <w:tc>
          <w:tcPr>
            <w:tcW w:w="953" w:type="dxa"/>
            <w:tcBorders>
              <w:top w:val="nil"/>
              <w:bottom w:val="single" w:sz="12" w:space="0" w:color="008000"/>
            </w:tcBorders>
            <w:shd w:val="clear" w:color="auto" w:fill="auto"/>
            <w:noWrap/>
            <w:vAlign w:val="center"/>
          </w:tcPr>
          <w:p w14:paraId="7260BD78" w14:textId="31AE4DEB" w:rsidR="005C0F43" w:rsidRPr="00D74401" w:rsidRDefault="00AE42A3" w:rsidP="007B7057">
            <w:pPr>
              <w:pStyle w:val="CETBodytext"/>
              <w:rPr>
                <w:lang w:eastAsia="es-PE"/>
              </w:rPr>
            </w:pPr>
            <w:r>
              <w:rPr>
                <w:lang w:eastAsia="es-PE"/>
              </w:rPr>
              <w:t>0.3055</w:t>
            </w:r>
          </w:p>
        </w:tc>
        <w:tc>
          <w:tcPr>
            <w:tcW w:w="947" w:type="dxa"/>
            <w:tcBorders>
              <w:top w:val="nil"/>
              <w:bottom w:val="single" w:sz="12" w:space="0" w:color="008000"/>
            </w:tcBorders>
            <w:shd w:val="clear" w:color="auto" w:fill="auto"/>
            <w:noWrap/>
            <w:vAlign w:val="center"/>
          </w:tcPr>
          <w:p w14:paraId="04519B5C" w14:textId="56C510C7" w:rsidR="005C0F43" w:rsidRPr="00D74401" w:rsidRDefault="00AE42A3" w:rsidP="007B7057">
            <w:pPr>
              <w:pStyle w:val="CETBodytext"/>
              <w:rPr>
                <w:lang w:eastAsia="es-PE"/>
              </w:rPr>
            </w:pPr>
            <w:r>
              <w:rPr>
                <w:lang w:eastAsia="es-PE"/>
              </w:rPr>
              <w:t>0.1732</w:t>
            </w:r>
          </w:p>
        </w:tc>
        <w:tc>
          <w:tcPr>
            <w:tcW w:w="951" w:type="dxa"/>
            <w:tcBorders>
              <w:top w:val="nil"/>
              <w:bottom w:val="single" w:sz="12" w:space="0" w:color="008000"/>
            </w:tcBorders>
            <w:shd w:val="clear" w:color="auto" w:fill="auto"/>
            <w:noWrap/>
            <w:vAlign w:val="center"/>
          </w:tcPr>
          <w:p w14:paraId="49C1C827" w14:textId="367BD8F9" w:rsidR="005C0F43" w:rsidRPr="00D74401" w:rsidRDefault="00AE42A3" w:rsidP="007B7057">
            <w:pPr>
              <w:pStyle w:val="CETBodytext"/>
              <w:rPr>
                <w:lang w:eastAsia="es-PE"/>
              </w:rPr>
            </w:pPr>
            <w:r>
              <w:rPr>
                <w:lang w:eastAsia="es-PE"/>
              </w:rPr>
              <w:t>0.3605</w:t>
            </w:r>
          </w:p>
        </w:tc>
        <w:tc>
          <w:tcPr>
            <w:tcW w:w="947" w:type="dxa"/>
            <w:tcBorders>
              <w:top w:val="nil"/>
              <w:bottom w:val="single" w:sz="12" w:space="0" w:color="008000"/>
            </w:tcBorders>
            <w:shd w:val="clear" w:color="auto" w:fill="auto"/>
            <w:noWrap/>
            <w:vAlign w:val="center"/>
          </w:tcPr>
          <w:p w14:paraId="2A284EB2" w14:textId="298DAE4A" w:rsidR="005C0F43" w:rsidRPr="00D74401" w:rsidRDefault="00AE42A3" w:rsidP="007B7057">
            <w:pPr>
              <w:pStyle w:val="CETBodytext"/>
              <w:rPr>
                <w:lang w:eastAsia="es-PE"/>
              </w:rPr>
            </w:pPr>
            <w:r>
              <w:rPr>
                <w:lang w:eastAsia="es-PE"/>
              </w:rPr>
              <w:t>0.5773</w:t>
            </w:r>
          </w:p>
        </w:tc>
        <w:tc>
          <w:tcPr>
            <w:tcW w:w="951" w:type="dxa"/>
            <w:tcBorders>
              <w:top w:val="nil"/>
              <w:bottom w:val="single" w:sz="12" w:space="0" w:color="008000"/>
            </w:tcBorders>
            <w:shd w:val="clear" w:color="auto" w:fill="auto"/>
            <w:noWrap/>
            <w:vAlign w:val="center"/>
          </w:tcPr>
          <w:p w14:paraId="675FC3ED" w14:textId="1D000792" w:rsidR="005C0F43" w:rsidRPr="00D74401" w:rsidRDefault="00AE42A3" w:rsidP="007B7057">
            <w:pPr>
              <w:pStyle w:val="CETBodytext"/>
              <w:rPr>
                <w:lang w:eastAsia="es-PE"/>
              </w:rPr>
            </w:pPr>
            <w:r>
              <w:rPr>
                <w:lang w:eastAsia="es-PE"/>
              </w:rPr>
              <w:t>2.5166</w:t>
            </w:r>
          </w:p>
        </w:tc>
        <w:tc>
          <w:tcPr>
            <w:tcW w:w="947" w:type="dxa"/>
            <w:tcBorders>
              <w:top w:val="nil"/>
              <w:bottom w:val="single" w:sz="12" w:space="0" w:color="008000"/>
            </w:tcBorders>
            <w:shd w:val="clear" w:color="auto" w:fill="auto"/>
            <w:noWrap/>
            <w:vAlign w:val="center"/>
          </w:tcPr>
          <w:p w14:paraId="5FEC3CF4" w14:textId="04EE3955" w:rsidR="005C0F43" w:rsidRPr="00D74401" w:rsidRDefault="00AE42A3" w:rsidP="007B7057">
            <w:pPr>
              <w:pStyle w:val="CETBodytext"/>
              <w:rPr>
                <w:lang w:eastAsia="es-PE"/>
              </w:rPr>
            </w:pPr>
            <w:r>
              <w:rPr>
                <w:lang w:eastAsia="es-PE"/>
              </w:rPr>
              <w:t>22.5462</w:t>
            </w:r>
          </w:p>
        </w:tc>
        <w:tc>
          <w:tcPr>
            <w:tcW w:w="951" w:type="dxa"/>
            <w:tcBorders>
              <w:top w:val="nil"/>
              <w:bottom w:val="single" w:sz="12" w:space="0" w:color="008000"/>
            </w:tcBorders>
            <w:shd w:val="clear" w:color="auto" w:fill="auto"/>
            <w:noWrap/>
            <w:vAlign w:val="center"/>
          </w:tcPr>
          <w:p w14:paraId="04EB3F07" w14:textId="4CEF153E" w:rsidR="005C0F43" w:rsidRPr="00D74401" w:rsidRDefault="00AE42A3" w:rsidP="007B7057">
            <w:pPr>
              <w:pStyle w:val="CETBodytext"/>
              <w:rPr>
                <w:lang w:eastAsia="es-PE"/>
              </w:rPr>
            </w:pPr>
            <w:r>
              <w:rPr>
                <w:lang w:eastAsia="es-PE"/>
              </w:rPr>
              <w:t>20.8166</w:t>
            </w:r>
          </w:p>
        </w:tc>
      </w:tr>
    </w:tbl>
    <w:p w14:paraId="3DE9850E" w14:textId="2C46F323" w:rsidR="0001283C" w:rsidRPr="00D74401" w:rsidRDefault="00431A7B" w:rsidP="00C972B7">
      <w:pPr>
        <w:pStyle w:val="CETheadingx"/>
      </w:pPr>
      <w:r w:rsidRPr="00D74401">
        <w:lastRenderedPageBreak/>
        <w:t xml:space="preserve">Growth control of the fungi </w:t>
      </w:r>
      <w:r w:rsidRPr="00D74401">
        <w:rPr>
          <w:i/>
          <w:iCs/>
        </w:rPr>
        <w:t>Pleurotus ostreatus</w:t>
      </w:r>
      <w:r w:rsidRPr="00D74401">
        <w:t xml:space="preserve"> and </w:t>
      </w:r>
      <w:r w:rsidRPr="00D74401">
        <w:rPr>
          <w:i/>
          <w:iCs/>
        </w:rPr>
        <w:t>Trametes versicolor</w:t>
      </w:r>
    </w:p>
    <w:p w14:paraId="32D523C8" w14:textId="4268A18D" w:rsidR="00B0050C" w:rsidRPr="00D74401" w:rsidRDefault="00ED0BA2" w:rsidP="00B0050C">
      <w:pPr>
        <w:pStyle w:val="CETBodytext"/>
      </w:pPr>
      <w:r w:rsidRPr="00ED0BA2">
        <w:t xml:space="preserve">The soil-inoculated fungi were planted under greenhouse conditions to provide them with a favorable growth environment. At the end of each month for 4 months, growth was monitored with the results presented in Table 5. At the end of month 4, the highest fungal growth (7.1 cm) corresponded to the treatment of plots A (with </w:t>
      </w:r>
      <w:r w:rsidRPr="000D5F44">
        <w:rPr>
          <w:i/>
          <w:iCs/>
        </w:rPr>
        <w:t>Pleurotus ostreatus</w:t>
      </w:r>
      <w:r w:rsidRPr="00ED0BA2">
        <w:t xml:space="preserve">) and C (with </w:t>
      </w:r>
      <w:r w:rsidRPr="000D5F44">
        <w:rPr>
          <w:i/>
          <w:iCs/>
        </w:rPr>
        <w:t>Pleurotus ostreatus</w:t>
      </w:r>
      <w:r w:rsidRPr="00ED0BA2">
        <w:t xml:space="preserve"> and </w:t>
      </w:r>
      <w:r w:rsidRPr="000D5F44">
        <w:rPr>
          <w:i/>
          <w:iCs/>
        </w:rPr>
        <w:t>Trametes versicolor</w:t>
      </w:r>
      <w:r w:rsidRPr="00ED0BA2">
        <w:t xml:space="preserve">), slightly higher than the treatment of plot B (with </w:t>
      </w:r>
      <w:r w:rsidRPr="000D5F44">
        <w:rPr>
          <w:i/>
          <w:iCs/>
        </w:rPr>
        <w:t>Trametes versicolor</w:t>
      </w:r>
      <w:r w:rsidRPr="00ED0BA2">
        <w:t xml:space="preserve">) which was 6. 2 cm; this is probably due to the lack of good homogenization and to the type of substrate for the fungi used which was eucalyptus wood sawdust and which can be improved by trying with another type of substrate such as vegetable rubber sawdust which has been shown to be a good substrate for growth in the cultivation of the </w:t>
      </w:r>
      <w:bookmarkStart w:id="0" w:name="_GoBack"/>
      <w:r w:rsidRPr="005C6850">
        <w:rPr>
          <w:i/>
        </w:rPr>
        <w:t>Pleurotus ostreatus</w:t>
      </w:r>
      <w:r w:rsidRPr="00ED0BA2">
        <w:t xml:space="preserve"> </w:t>
      </w:r>
      <w:bookmarkEnd w:id="0"/>
      <w:r w:rsidRPr="00ED0BA2">
        <w:t>fungus (Zakil, 2021); however also with a substrate based on oil palm leaves a good growth result has also been found (Ali N. et al., 2018); it is important to maintain the environmental factors conducive to fungal growth in order to preserve the bioremediation potential</w:t>
      </w:r>
      <w:r w:rsidR="00431A7B" w:rsidRPr="00D74401">
        <w:t>.</w:t>
      </w:r>
      <w:r w:rsidR="009B652F" w:rsidRPr="00D74401">
        <w:t xml:space="preserve"> </w:t>
      </w:r>
    </w:p>
    <w:p w14:paraId="17EDD02A" w14:textId="0A260EE1" w:rsidR="000039F3" w:rsidRPr="00D74401" w:rsidRDefault="000039F3" w:rsidP="000039F3">
      <w:pPr>
        <w:pStyle w:val="CETTabletitle"/>
        <w:rPr>
          <w:lang w:val="en-US"/>
        </w:rPr>
      </w:pPr>
      <w:r w:rsidRPr="00D74401">
        <w:rPr>
          <w:lang w:val="en-US"/>
        </w:rPr>
        <w:t xml:space="preserve">Table </w:t>
      </w:r>
      <w:r w:rsidR="006F7851">
        <w:rPr>
          <w:lang w:val="en-US"/>
        </w:rPr>
        <w:t>3</w:t>
      </w:r>
      <w:r w:rsidRPr="00D74401">
        <w:rPr>
          <w:lang w:val="en-US"/>
        </w:rPr>
        <w:t xml:space="preserve">: </w:t>
      </w:r>
      <w:r w:rsidR="00431A7B" w:rsidRPr="00D74401">
        <w:rPr>
          <w:lang w:val="en-US"/>
        </w:rPr>
        <w:t>Growth control of Pleurotus ostreatus and Trametes versicolor fungi in the soil during treatment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85"/>
        <w:gridCol w:w="1283"/>
        <w:gridCol w:w="1169"/>
        <w:gridCol w:w="1169"/>
        <w:gridCol w:w="1179"/>
      </w:tblGrid>
      <w:tr w:rsidR="000039F3" w:rsidRPr="00D74401" w14:paraId="0870A388" w14:textId="77777777" w:rsidTr="00FF6488">
        <w:trPr>
          <w:trHeight w:val="412"/>
        </w:trPr>
        <w:tc>
          <w:tcPr>
            <w:tcW w:w="1585" w:type="dxa"/>
            <w:tcBorders>
              <w:top w:val="single" w:sz="12" w:space="0" w:color="008000"/>
              <w:bottom w:val="single" w:sz="6" w:space="0" w:color="008000"/>
            </w:tcBorders>
            <w:shd w:val="clear" w:color="auto" w:fill="FFFFFF"/>
            <w:vAlign w:val="center"/>
          </w:tcPr>
          <w:p w14:paraId="1957872B" w14:textId="1CF26800" w:rsidR="000039F3" w:rsidRPr="00D74401" w:rsidRDefault="002950EE" w:rsidP="00382B28">
            <w:pPr>
              <w:pStyle w:val="CETBodytext"/>
            </w:pPr>
            <w:r w:rsidRPr="006F5B2E">
              <w:rPr>
                <w:lang w:eastAsia="es-PE"/>
              </w:rPr>
              <w:t>Treatment</w:t>
            </w:r>
            <w:r>
              <w:rPr>
                <w:lang w:eastAsia="es-PE"/>
              </w:rPr>
              <w:t xml:space="preserve"> Plot</w:t>
            </w:r>
          </w:p>
        </w:tc>
        <w:tc>
          <w:tcPr>
            <w:tcW w:w="4800" w:type="dxa"/>
            <w:gridSpan w:val="4"/>
            <w:tcBorders>
              <w:top w:val="single" w:sz="12" w:space="0" w:color="008000"/>
              <w:bottom w:val="single" w:sz="6" w:space="0" w:color="008000"/>
            </w:tcBorders>
            <w:shd w:val="clear" w:color="auto" w:fill="FFFFFF"/>
            <w:vAlign w:val="center"/>
          </w:tcPr>
          <w:p w14:paraId="4DE94108" w14:textId="2DE46789" w:rsidR="000039F3" w:rsidRPr="00D74401" w:rsidRDefault="00431A7B" w:rsidP="00924C16">
            <w:pPr>
              <w:pStyle w:val="CETBodytext"/>
              <w:jc w:val="center"/>
            </w:pPr>
            <w:r w:rsidRPr="00D74401">
              <w:t>Mushroom growth (cm)</w:t>
            </w:r>
          </w:p>
        </w:tc>
      </w:tr>
      <w:tr w:rsidR="000039F3" w:rsidRPr="00D74401" w14:paraId="053F7F15" w14:textId="77777777" w:rsidTr="00FF6488">
        <w:trPr>
          <w:trHeight w:val="128"/>
        </w:trPr>
        <w:tc>
          <w:tcPr>
            <w:tcW w:w="1585" w:type="dxa"/>
            <w:shd w:val="clear" w:color="auto" w:fill="FFFFFF"/>
            <w:vAlign w:val="center"/>
          </w:tcPr>
          <w:p w14:paraId="643E40CA" w14:textId="77777777" w:rsidR="000039F3" w:rsidRPr="00D74401" w:rsidRDefault="000039F3" w:rsidP="00382B28">
            <w:pPr>
              <w:pStyle w:val="CETBodytext"/>
            </w:pPr>
          </w:p>
        </w:tc>
        <w:tc>
          <w:tcPr>
            <w:tcW w:w="1283" w:type="dxa"/>
            <w:shd w:val="clear" w:color="auto" w:fill="FFFFFF"/>
            <w:vAlign w:val="center"/>
          </w:tcPr>
          <w:p w14:paraId="434881EA" w14:textId="77777777" w:rsidR="000039F3" w:rsidRPr="00D74401" w:rsidRDefault="000039F3" w:rsidP="00382B28">
            <w:pPr>
              <w:pStyle w:val="CETBodytext"/>
            </w:pPr>
            <w:r w:rsidRPr="00D74401">
              <w:t>Month 1</w:t>
            </w:r>
          </w:p>
        </w:tc>
        <w:tc>
          <w:tcPr>
            <w:tcW w:w="1169" w:type="dxa"/>
            <w:shd w:val="clear" w:color="auto" w:fill="FFFFFF"/>
            <w:vAlign w:val="center"/>
          </w:tcPr>
          <w:p w14:paraId="4FACC380" w14:textId="77777777" w:rsidR="000039F3" w:rsidRPr="00D74401" w:rsidRDefault="000039F3" w:rsidP="00382B28">
            <w:pPr>
              <w:pStyle w:val="CETBodytext"/>
            </w:pPr>
            <w:r w:rsidRPr="00D74401">
              <w:t>Month 2</w:t>
            </w:r>
          </w:p>
        </w:tc>
        <w:tc>
          <w:tcPr>
            <w:tcW w:w="1169" w:type="dxa"/>
            <w:shd w:val="clear" w:color="auto" w:fill="FFFFFF"/>
            <w:vAlign w:val="center"/>
          </w:tcPr>
          <w:p w14:paraId="31D4E902" w14:textId="77777777" w:rsidR="000039F3" w:rsidRPr="00D74401" w:rsidRDefault="000039F3" w:rsidP="00382B28">
            <w:pPr>
              <w:pStyle w:val="CETBodytext"/>
            </w:pPr>
            <w:r w:rsidRPr="00D74401">
              <w:t>Month 3</w:t>
            </w:r>
          </w:p>
        </w:tc>
        <w:tc>
          <w:tcPr>
            <w:tcW w:w="1179" w:type="dxa"/>
            <w:shd w:val="clear" w:color="auto" w:fill="FFFFFF"/>
            <w:vAlign w:val="center"/>
          </w:tcPr>
          <w:p w14:paraId="4FFBAD98" w14:textId="77777777" w:rsidR="000039F3" w:rsidRPr="00D74401" w:rsidRDefault="000039F3" w:rsidP="00382B28">
            <w:pPr>
              <w:pStyle w:val="CETBodytext"/>
            </w:pPr>
            <w:r w:rsidRPr="00D74401">
              <w:t>Month 4</w:t>
            </w:r>
          </w:p>
        </w:tc>
      </w:tr>
      <w:tr w:rsidR="000039F3" w:rsidRPr="00D74401" w14:paraId="566B6E0F" w14:textId="77777777" w:rsidTr="00FF6488">
        <w:trPr>
          <w:trHeight w:val="362"/>
        </w:trPr>
        <w:tc>
          <w:tcPr>
            <w:tcW w:w="1585" w:type="dxa"/>
            <w:shd w:val="clear" w:color="auto" w:fill="FFFFFF"/>
            <w:vAlign w:val="center"/>
          </w:tcPr>
          <w:p w14:paraId="6FFAFA74" w14:textId="2381747A" w:rsidR="000039F3" w:rsidRPr="00D74401" w:rsidRDefault="000039F3" w:rsidP="000039F3">
            <w:pPr>
              <w:pStyle w:val="CETBodytext"/>
            </w:pPr>
            <w:r w:rsidRPr="00D74401">
              <w:t>Treatment</w:t>
            </w:r>
            <w:r w:rsidR="007B7057">
              <w:t xml:space="preserve"> plot</w:t>
            </w:r>
            <w:r w:rsidRPr="00D74401">
              <w:t xml:space="preserve"> A</w:t>
            </w:r>
          </w:p>
        </w:tc>
        <w:tc>
          <w:tcPr>
            <w:tcW w:w="1283" w:type="dxa"/>
            <w:shd w:val="clear" w:color="auto" w:fill="FFFFFF"/>
            <w:vAlign w:val="center"/>
          </w:tcPr>
          <w:p w14:paraId="0A672C54" w14:textId="79862AF0" w:rsidR="000039F3" w:rsidRPr="00D74401" w:rsidRDefault="000039F3" w:rsidP="000039F3">
            <w:pPr>
              <w:pStyle w:val="CETBodytext"/>
            </w:pPr>
            <w:r w:rsidRPr="00D74401">
              <w:t>1.3</w:t>
            </w:r>
          </w:p>
        </w:tc>
        <w:tc>
          <w:tcPr>
            <w:tcW w:w="1169" w:type="dxa"/>
            <w:shd w:val="clear" w:color="auto" w:fill="FFFFFF"/>
            <w:vAlign w:val="center"/>
          </w:tcPr>
          <w:p w14:paraId="331C537B" w14:textId="0C16D807" w:rsidR="000039F3" w:rsidRPr="00D74401" w:rsidRDefault="000039F3" w:rsidP="000039F3">
            <w:pPr>
              <w:pStyle w:val="CETBodytext"/>
            </w:pPr>
            <w:r w:rsidRPr="00D74401">
              <w:t>1.6</w:t>
            </w:r>
          </w:p>
        </w:tc>
        <w:tc>
          <w:tcPr>
            <w:tcW w:w="1169" w:type="dxa"/>
            <w:shd w:val="clear" w:color="auto" w:fill="FFFFFF"/>
            <w:vAlign w:val="center"/>
          </w:tcPr>
          <w:p w14:paraId="60BB5BAA" w14:textId="003E239A" w:rsidR="000039F3" w:rsidRPr="00D74401" w:rsidRDefault="000039F3" w:rsidP="000039F3">
            <w:pPr>
              <w:pStyle w:val="CETBodytext"/>
            </w:pPr>
            <w:r w:rsidRPr="00D74401">
              <w:t>3.8</w:t>
            </w:r>
          </w:p>
        </w:tc>
        <w:tc>
          <w:tcPr>
            <w:tcW w:w="1179" w:type="dxa"/>
            <w:shd w:val="clear" w:color="auto" w:fill="FFFFFF"/>
            <w:vAlign w:val="center"/>
          </w:tcPr>
          <w:p w14:paraId="0EB87BA0" w14:textId="717B071B" w:rsidR="000039F3" w:rsidRPr="00D74401" w:rsidRDefault="000039F3" w:rsidP="000039F3">
            <w:pPr>
              <w:pStyle w:val="CETBodytext"/>
            </w:pPr>
            <w:r w:rsidRPr="00D74401">
              <w:t>7.1</w:t>
            </w:r>
          </w:p>
        </w:tc>
      </w:tr>
      <w:tr w:rsidR="000039F3" w:rsidRPr="00D74401" w14:paraId="380F776C" w14:textId="77777777" w:rsidTr="00FF6488">
        <w:trPr>
          <w:trHeight w:val="345"/>
        </w:trPr>
        <w:tc>
          <w:tcPr>
            <w:tcW w:w="1585" w:type="dxa"/>
            <w:shd w:val="clear" w:color="auto" w:fill="FFFFFF"/>
            <w:vAlign w:val="center"/>
          </w:tcPr>
          <w:p w14:paraId="726A137B" w14:textId="228B891A" w:rsidR="000039F3" w:rsidRPr="00D74401" w:rsidRDefault="000039F3" w:rsidP="000039F3">
            <w:pPr>
              <w:pStyle w:val="CETBodytext"/>
              <w:ind w:right="-1"/>
              <w:rPr>
                <w:rFonts w:cs="Arial"/>
                <w:szCs w:val="18"/>
              </w:rPr>
            </w:pPr>
            <w:r w:rsidRPr="00D74401">
              <w:t>Treatment</w:t>
            </w:r>
            <w:r w:rsidR="007B7057">
              <w:t xml:space="preserve"> plot</w:t>
            </w:r>
            <w:r w:rsidRPr="00D74401">
              <w:t xml:space="preserve"> B</w:t>
            </w:r>
          </w:p>
        </w:tc>
        <w:tc>
          <w:tcPr>
            <w:tcW w:w="1283" w:type="dxa"/>
            <w:shd w:val="clear" w:color="auto" w:fill="FFFFFF"/>
            <w:vAlign w:val="center"/>
          </w:tcPr>
          <w:p w14:paraId="6A7A544F" w14:textId="1F70D857" w:rsidR="000039F3" w:rsidRPr="00D74401" w:rsidRDefault="000039F3" w:rsidP="000039F3">
            <w:pPr>
              <w:pStyle w:val="CETBodytext"/>
              <w:ind w:right="-1"/>
              <w:rPr>
                <w:rFonts w:cs="Arial"/>
                <w:szCs w:val="18"/>
              </w:rPr>
            </w:pPr>
            <w:r w:rsidRPr="00D74401">
              <w:t>1.1</w:t>
            </w:r>
          </w:p>
        </w:tc>
        <w:tc>
          <w:tcPr>
            <w:tcW w:w="1169" w:type="dxa"/>
            <w:shd w:val="clear" w:color="auto" w:fill="FFFFFF"/>
            <w:vAlign w:val="center"/>
          </w:tcPr>
          <w:p w14:paraId="72015A00" w14:textId="6C301C4F" w:rsidR="000039F3" w:rsidRPr="00D74401" w:rsidRDefault="000039F3" w:rsidP="000039F3">
            <w:pPr>
              <w:pStyle w:val="CETBodytext"/>
              <w:ind w:right="-1"/>
              <w:rPr>
                <w:rFonts w:cs="Arial"/>
                <w:szCs w:val="18"/>
              </w:rPr>
            </w:pPr>
            <w:r w:rsidRPr="00D74401">
              <w:t>1.4</w:t>
            </w:r>
          </w:p>
        </w:tc>
        <w:tc>
          <w:tcPr>
            <w:tcW w:w="1169" w:type="dxa"/>
            <w:shd w:val="clear" w:color="auto" w:fill="FFFFFF"/>
            <w:vAlign w:val="center"/>
          </w:tcPr>
          <w:p w14:paraId="38E6A324" w14:textId="797FF6DF" w:rsidR="000039F3" w:rsidRPr="00D74401" w:rsidRDefault="000039F3" w:rsidP="000039F3">
            <w:pPr>
              <w:pStyle w:val="CETBodytext"/>
              <w:ind w:right="-1"/>
              <w:rPr>
                <w:rFonts w:cs="Arial"/>
                <w:szCs w:val="18"/>
              </w:rPr>
            </w:pPr>
            <w:r w:rsidRPr="00D74401">
              <w:t>3.4</w:t>
            </w:r>
          </w:p>
        </w:tc>
        <w:tc>
          <w:tcPr>
            <w:tcW w:w="1179" w:type="dxa"/>
            <w:shd w:val="clear" w:color="auto" w:fill="FFFFFF"/>
            <w:vAlign w:val="center"/>
          </w:tcPr>
          <w:p w14:paraId="030D80B6" w14:textId="46013F47" w:rsidR="000039F3" w:rsidRPr="00D74401" w:rsidRDefault="000039F3" w:rsidP="000039F3">
            <w:pPr>
              <w:pStyle w:val="CETBodytext"/>
              <w:ind w:right="-1"/>
              <w:rPr>
                <w:rFonts w:cs="Arial"/>
                <w:szCs w:val="18"/>
              </w:rPr>
            </w:pPr>
            <w:r w:rsidRPr="00D74401">
              <w:t>6.2</w:t>
            </w:r>
          </w:p>
        </w:tc>
      </w:tr>
      <w:tr w:rsidR="000039F3" w:rsidRPr="00D74401" w14:paraId="622EC923" w14:textId="77777777" w:rsidTr="00FF6488">
        <w:trPr>
          <w:trHeight w:val="362"/>
        </w:trPr>
        <w:tc>
          <w:tcPr>
            <w:tcW w:w="1585" w:type="dxa"/>
            <w:shd w:val="clear" w:color="auto" w:fill="FFFFFF"/>
            <w:vAlign w:val="center"/>
          </w:tcPr>
          <w:p w14:paraId="446531A5" w14:textId="165426B3" w:rsidR="000039F3" w:rsidRPr="00D74401" w:rsidRDefault="000039F3" w:rsidP="000039F3">
            <w:pPr>
              <w:pStyle w:val="CETBodytext"/>
              <w:ind w:right="-1"/>
              <w:rPr>
                <w:rFonts w:cs="Arial"/>
                <w:szCs w:val="18"/>
              </w:rPr>
            </w:pPr>
            <w:r w:rsidRPr="00D74401">
              <w:t xml:space="preserve">Treatment </w:t>
            </w:r>
            <w:r w:rsidR="007B7057">
              <w:t xml:space="preserve">plot </w:t>
            </w:r>
            <w:r w:rsidRPr="00D74401">
              <w:t>C</w:t>
            </w:r>
          </w:p>
        </w:tc>
        <w:tc>
          <w:tcPr>
            <w:tcW w:w="1283" w:type="dxa"/>
            <w:shd w:val="clear" w:color="auto" w:fill="FFFFFF"/>
            <w:vAlign w:val="center"/>
          </w:tcPr>
          <w:p w14:paraId="792E5563" w14:textId="53069508" w:rsidR="000039F3" w:rsidRPr="00D74401" w:rsidRDefault="000039F3" w:rsidP="000039F3">
            <w:pPr>
              <w:pStyle w:val="CETBodytext"/>
              <w:ind w:right="-1"/>
              <w:rPr>
                <w:rFonts w:cs="Arial"/>
                <w:szCs w:val="18"/>
              </w:rPr>
            </w:pPr>
            <w:r w:rsidRPr="00D74401">
              <w:t>1.4</w:t>
            </w:r>
          </w:p>
        </w:tc>
        <w:tc>
          <w:tcPr>
            <w:tcW w:w="1169" w:type="dxa"/>
            <w:shd w:val="clear" w:color="auto" w:fill="FFFFFF"/>
            <w:vAlign w:val="center"/>
          </w:tcPr>
          <w:p w14:paraId="018EBDFD" w14:textId="3CB9243D" w:rsidR="000039F3" w:rsidRPr="00D74401" w:rsidRDefault="000039F3" w:rsidP="000039F3">
            <w:pPr>
              <w:pStyle w:val="CETBodytext"/>
              <w:ind w:right="-1"/>
              <w:rPr>
                <w:rFonts w:cs="Arial"/>
                <w:szCs w:val="18"/>
              </w:rPr>
            </w:pPr>
            <w:r w:rsidRPr="00D74401">
              <w:t>1.9</w:t>
            </w:r>
          </w:p>
        </w:tc>
        <w:tc>
          <w:tcPr>
            <w:tcW w:w="1169" w:type="dxa"/>
            <w:shd w:val="clear" w:color="auto" w:fill="FFFFFF"/>
            <w:vAlign w:val="center"/>
          </w:tcPr>
          <w:p w14:paraId="5C1B52AC" w14:textId="6F927174" w:rsidR="000039F3" w:rsidRPr="00D74401" w:rsidRDefault="000039F3" w:rsidP="000039F3">
            <w:pPr>
              <w:pStyle w:val="CETBodytext"/>
              <w:ind w:right="-1"/>
              <w:rPr>
                <w:rFonts w:cs="Arial"/>
                <w:szCs w:val="18"/>
              </w:rPr>
            </w:pPr>
            <w:r w:rsidRPr="00D74401">
              <w:t>3.6</w:t>
            </w:r>
          </w:p>
        </w:tc>
        <w:tc>
          <w:tcPr>
            <w:tcW w:w="1179" w:type="dxa"/>
            <w:shd w:val="clear" w:color="auto" w:fill="FFFFFF"/>
            <w:vAlign w:val="center"/>
          </w:tcPr>
          <w:p w14:paraId="1F3F806E" w14:textId="7B3A559E" w:rsidR="000039F3" w:rsidRPr="00D74401" w:rsidRDefault="000039F3" w:rsidP="000039F3">
            <w:pPr>
              <w:pStyle w:val="CETBodytext"/>
              <w:ind w:right="-1"/>
              <w:rPr>
                <w:rFonts w:cs="Arial"/>
                <w:szCs w:val="18"/>
              </w:rPr>
            </w:pPr>
            <w:r w:rsidRPr="00D74401">
              <w:t>7.1</w:t>
            </w:r>
          </w:p>
        </w:tc>
      </w:tr>
      <w:tr w:rsidR="005C0F43" w:rsidRPr="00D74401" w14:paraId="154430F4" w14:textId="77777777" w:rsidTr="00FF6488">
        <w:trPr>
          <w:trHeight w:val="362"/>
        </w:trPr>
        <w:tc>
          <w:tcPr>
            <w:tcW w:w="1585" w:type="dxa"/>
            <w:shd w:val="clear" w:color="auto" w:fill="FFFFFF"/>
            <w:vAlign w:val="center"/>
          </w:tcPr>
          <w:p w14:paraId="6C2432F2" w14:textId="540D832C" w:rsidR="005C0F43" w:rsidRPr="00D74401" w:rsidRDefault="005C0F43" w:rsidP="000039F3">
            <w:pPr>
              <w:pStyle w:val="CETBodytext"/>
              <w:ind w:right="-1"/>
            </w:pPr>
            <w:r w:rsidRPr="00236026">
              <w:t>Standard deviation</w:t>
            </w:r>
          </w:p>
        </w:tc>
        <w:tc>
          <w:tcPr>
            <w:tcW w:w="1283" w:type="dxa"/>
            <w:shd w:val="clear" w:color="auto" w:fill="FFFFFF"/>
            <w:vAlign w:val="center"/>
          </w:tcPr>
          <w:p w14:paraId="43C35DC8" w14:textId="0FDC02E5" w:rsidR="005C0F43" w:rsidRPr="00D74401" w:rsidRDefault="005C0F43" w:rsidP="000039F3">
            <w:pPr>
              <w:pStyle w:val="CETBodytext"/>
              <w:ind w:right="-1"/>
            </w:pPr>
            <w:r>
              <w:t>0.152</w:t>
            </w:r>
          </w:p>
        </w:tc>
        <w:tc>
          <w:tcPr>
            <w:tcW w:w="1169" w:type="dxa"/>
            <w:shd w:val="clear" w:color="auto" w:fill="FFFFFF"/>
            <w:vAlign w:val="center"/>
          </w:tcPr>
          <w:p w14:paraId="38F1A2D7" w14:textId="4E90460B" w:rsidR="005C0F43" w:rsidRPr="00D74401" w:rsidRDefault="005C0F43" w:rsidP="000039F3">
            <w:pPr>
              <w:pStyle w:val="CETBodytext"/>
              <w:ind w:right="-1"/>
            </w:pPr>
            <w:r>
              <w:t>0.251</w:t>
            </w:r>
          </w:p>
        </w:tc>
        <w:tc>
          <w:tcPr>
            <w:tcW w:w="1169" w:type="dxa"/>
            <w:shd w:val="clear" w:color="auto" w:fill="FFFFFF"/>
            <w:vAlign w:val="center"/>
          </w:tcPr>
          <w:p w14:paraId="2900DC23" w14:textId="48C87DD6" w:rsidR="005C0F43" w:rsidRPr="00D74401" w:rsidRDefault="005C0F43" w:rsidP="000039F3">
            <w:pPr>
              <w:pStyle w:val="CETBodytext"/>
              <w:ind w:right="-1"/>
            </w:pPr>
            <w:r>
              <w:t>0.200</w:t>
            </w:r>
          </w:p>
        </w:tc>
        <w:tc>
          <w:tcPr>
            <w:tcW w:w="1179" w:type="dxa"/>
            <w:shd w:val="clear" w:color="auto" w:fill="FFFFFF"/>
            <w:vAlign w:val="center"/>
          </w:tcPr>
          <w:p w14:paraId="2109EFE0" w14:textId="645916B1" w:rsidR="005C0F43" w:rsidRPr="00D74401" w:rsidRDefault="005C0F43" w:rsidP="000039F3">
            <w:pPr>
              <w:pStyle w:val="CETBodytext"/>
              <w:ind w:right="-1"/>
            </w:pPr>
            <w:r>
              <w:t>0.519</w:t>
            </w:r>
          </w:p>
        </w:tc>
      </w:tr>
    </w:tbl>
    <w:p w14:paraId="6700622A" w14:textId="7357C466" w:rsidR="0001283C" w:rsidRPr="00D74401" w:rsidRDefault="0001283C" w:rsidP="00EC42F2">
      <w:pPr>
        <w:pStyle w:val="CETBodytext"/>
      </w:pPr>
    </w:p>
    <w:p w14:paraId="661DA210" w14:textId="732A8EEA" w:rsidR="00787413" w:rsidRPr="00D74401" w:rsidRDefault="00431A7B" w:rsidP="00EC42F2">
      <w:pPr>
        <w:pStyle w:val="CETBodytext"/>
        <w:rPr>
          <w:b/>
          <w:bCs/>
          <w:i/>
          <w:iCs/>
        </w:rPr>
      </w:pPr>
      <w:r w:rsidRPr="00D74401">
        <w:rPr>
          <w:b/>
          <w:bCs/>
          <w:i/>
          <w:iCs/>
        </w:rPr>
        <w:t>Area of inhibition of Pleurotus ostreatus and Trametes versicolor fungi in the soil during treatment</w:t>
      </w:r>
    </w:p>
    <w:p w14:paraId="735A45EA" w14:textId="64078A40" w:rsidR="00EC3D21" w:rsidRPr="00D74401" w:rsidRDefault="00431A7B" w:rsidP="00EC42F2">
      <w:pPr>
        <w:pStyle w:val="CETBodytext"/>
        <w:rPr>
          <w:b/>
          <w:bCs/>
          <w:i/>
          <w:iCs/>
        </w:rPr>
      </w:pPr>
      <w:r w:rsidRPr="00D74401">
        <w:t xml:space="preserve">Fungi by their mycelial growth are adapted to the colonization of the soil ecosystem through the production of extracellular enzymes such as laceases and ligninases; it is indicated that water stress and water potential have an impact on the degradation of pesticide mixture by not producing the number of extracellular enzymes in bioremediating fungi (Gouma et al., 2014). Table </w:t>
      </w:r>
      <w:r w:rsidR="006F7851">
        <w:t>4</w:t>
      </w:r>
      <w:r w:rsidRPr="00D74401">
        <w:t xml:space="preserve"> shows the mycelial growth of </w:t>
      </w:r>
      <w:r w:rsidRPr="00D74401">
        <w:rPr>
          <w:i/>
          <w:iCs/>
        </w:rPr>
        <w:t>Pleurotus ostreatus</w:t>
      </w:r>
      <w:r w:rsidRPr="00D74401">
        <w:t xml:space="preserve"> and </w:t>
      </w:r>
      <w:r w:rsidRPr="00D74401">
        <w:rPr>
          <w:i/>
          <w:iCs/>
        </w:rPr>
        <w:t>Trametes versicolor</w:t>
      </w:r>
      <w:r w:rsidRPr="00D74401">
        <w:t xml:space="preserve"> fungi, and that for the three cases, there is a very similar average growth, standing out for plots A and B with 9 cm in diameter</w:t>
      </w:r>
      <w:r w:rsidR="00523948" w:rsidRPr="00D74401">
        <w:t>.</w:t>
      </w:r>
    </w:p>
    <w:p w14:paraId="67456E0B" w14:textId="5A2C0F9C" w:rsidR="00C972B7" w:rsidRPr="00D74401" w:rsidRDefault="00C972B7" w:rsidP="00C972B7">
      <w:pPr>
        <w:pStyle w:val="CETTabletitle"/>
        <w:rPr>
          <w:lang w:val="en-US"/>
        </w:rPr>
      </w:pPr>
      <w:r w:rsidRPr="00D74401">
        <w:rPr>
          <w:lang w:val="en-US"/>
        </w:rPr>
        <w:t xml:space="preserve">Table </w:t>
      </w:r>
      <w:r w:rsidR="006F7851">
        <w:rPr>
          <w:lang w:val="en-US"/>
        </w:rPr>
        <w:t>4</w:t>
      </w:r>
      <w:r w:rsidRPr="00D74401">
        <w:rPr>
          <w:lang w:val="en-US"/>
        </w:rPr>
        <w:t xml:space="preserve">: </w:t>
      </w:r>
      <w:r w:rsidR="00431A7B" w:rsidRPr="00D74401">
        <w:rPr>
          <w:lang w:val="en-US"/>
        </w:rPr>
        <w:t>Control of the area of inhibition of Pleurotus ostreatus and Trametes versicolor fungi during treatment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667"/>
        <w:gridCol w:w="1349"/>
        <w:gridCol w:w="1230"/>
        <w:gridCol w:w="1230"/>
        <w:gridCol w:w="1237"/>
      </w:tblGrid>
      <w:tr w:rsidR="00C972B7" w:rsidRPr="00236026" w14:paraId="55086BDE" w14:textId="77777777" w:rsidTr="008C715F">
        <w:trPr>
          <w:trHeight w:val="451"/>
        </w:trPr>
        <w:tc>
          <w:tcPr>
            <w:tcW w:w="1667" w:type="dxa"/>
            <w:tcBorders>
              <w:top w:val="single" w:sz="12" w:space="0" w:color="008000"/>
              <w:bottom w:val="single" w:sz="6" w:space="0" w:color="008000"/>
            </w:tcBorders>
            <w:shd w:val="clear" w:color="auto" w:fill="FFFFFF"/>
            <w:vAlign w:val="center"/>
          </w:tcPr>
          <w:p w14:paraId="6D9B7F80" w14:textId="7E253906" w:rsidR="00C972B7" w:rsidRPr="00236026" w:rsidRDefault="002950EE" w:rsidP="00236026">
            <w:pPr>
              <w:pStyle w:val="CETBodytext"/>
            </w:pPr>
            <w:r w:rsidRPr="00236026">
              <w:t>Treatment Plot</w:t>
            </w:r>
          </w:p>
        </w:tc>
        <w:tc>
          <w:tcPr>
            <w:tcW w:w="5046" w:type="dxa"/>
            <w:gridSpan w:val="4"/>
            <w:tcBorders>
              <w:top w:val="single" w:sz="12" w:space="0" w:color="008000"/>
              <w:bottom w:val="single" w:sz="6" w:space="0" w:color="008000"/>
            </w:tcBorders>
            <w:shd w:val="clear" w:color="auto" w:fill="FFFFFF"/>
            <w:vAlign w:val="center"/>
          </w:tcPr>
          <w:p w14:paraId="017733BC" w14:textId="0B44A554" w:rsidR="00C972B7" w:rsidRPr="00236026" w:rsidRDefault="00431A7B" w:rsidP="00236026">
            <w:pPr>
              <w:pStyle w:val="CETBodytext"/>
            </w:pPr>
            <w:r w:rsidRPr="00236026">
              <w:t>Inhibition area diameter (cm)</w:t>
            </w:r>
          </w:p>
        </w:tc>
      </w:tr>
      <w:tr w:rsidR="00C972B7" w:rsidRPr="00236026" w14:paraId="21A7B38B" w14:textId="77777777" w:rsidTr="00236026">
        <w:trPr>
          <w:trHeight w:val="249"/>
        </w:trPr>
        <w:tc>
          <w:tcPr>
            <w:tcW w:w="1667" w:type="dxa"/>
            <w:shd w:val="clear" w:color="auto" w:fill="FFFFFF"/>
            <w:vAlign w:val="center"/>
          </w:tcPr>
          <w:p w14:paraId="3F1F02CF" w14:textId="77777777" w:rsidR="00C972B7" w:rsidRPr="00236026" w:rsidRDefault="00C972B7" w:rsidP="00236026">
            <w:pPr>
              <w:pStyle w:val="CETBodytext"/>
            </w:pPr>
          </w:p>
        </w:tc>
        <w:tc>
          <w:tcPr>
            <w:tcW w:w="1349" w:type="dxa"/>
            <w:shd w:val="clear" w:color="auto" w:fill="FFFFFF"/>
            <w:vAlign w:val="center"/>
          </w:tcPr>
          <w:p w14:paraId="23BB985E" w14:textId="77777777" w:rsidR="00C972B7" w:rsidRPr="00236026" w:rsidRDefault="00C972B7" w:rsidP="00236026">
            <w:pPr>
              <w:pStyle w:val="CETBodytext"/>
            </w:pPr>
            <w:r w:rsidRPr="00236026">
              <w:t>Month 1</w:t>
            </w:r>
          </w:p>
        </w:tc>
        <w:tc>
          <w:tcPr>
            <w:tcW w:w="1230" w:type="dxa"/>
            <w:shd w:val="clear" w:color="auto" w:fill="FFFFFF"/>
            <w:vAlign w:val="center"/>
          </w:tcPr>
          <w:p w14:paraId="6ED10777" w14:textId="77777777" w:rsidR="00C972B7" w:rsidRPr="00236026" w:rsidRDefault="00C972B7" w:rsidP="00236026">
            <w:pPr>
              <w:pStyle w:val="CETBodytext"/>
            </w:pPr>
            <w:r w:rsidRPr="00236026">
              <w:t>Month 2</w:t>
            </w:r>
          </w:p>
        </w:tc>
        <w:tc>
          <w:tcPr>
            <w:tcW w:w="1230" w:type="dxa"/>
            <w:shd w:val="clear" w:color="auto" w:fill="FFFFFF"/>
            <w:vAlign w:val="center"/>
          </w:tcPr>
          <w:p w14:paraId="64185EB5" w14:textId="77777777" w:rsidR="00C972B7" w:rsidRPr="00236026" w:rsidRDefault="00C972B7" w:rsidP="00236026">
            <w:pPr>
              <w:pStyle w:val="CETBodytext"/>
            </w:pPr>
            <w:r w:rsidRPr="00236026">
              <w:t>Month 3</w:t>
            </w:r>
          </w:p>
        </w:tc>
        <w:tc>
          <w:tcPr>
            <w:tcW w:w="1237" w:type="dxa"/>
            <w:shd w:val="clear" w:color="auto" w:fill="FFFFFF"/>
            <w:vAlign w:val="center"/>
          </w:tcPr>
          <w:p w14:paraId="15F636F9" w14:textId="77777777" w:rsidR="00C972B7" w:rsidRPr="00236026" w:rsidRDefault="00C972B7" w:rsidP="00236026">
            <w:pPr>
              <w:pStyle w:val="CETBodytext"/>
            </w:pPr>
            <w:r w:rsidRPr="00236026">
              <w:t>Month 4</w:t>
            </w:r>
          </w:p>
        </w:tc>
      </w:tr>
      <w:tr w:rsidR="00C972B7" w:rsidRPr="00236026" w14:paraId="39FB6CE2" w14:textId="77777777" w:rsidTr="00236026">
        <w:trPr>
          <w:trHeight w:val="209"/>
        </w:trPr>
        <w:tc>
          <w:tcPr>
            <w:tcW w:w="1667" w:type="dxa"/>
            <w:shd w:val="clear" w:color="auto" w:fill="FFFFFF"/>
            <w:vAlign w:val="center"/>
          </w:tcPr>
          <w:p w14:paraId="399FA11B" w14:textId="66A81DE1" w:rsidR="00C972B7" w:rsidRPr="00236026" w:rsidRDefault="00C972B7" w:rsidP="00236026">
            <w:pPr>
              <w:pStyle w:val="CETBodytext"/>
            </w:pPr>
            <w:r w:rsidRPr="00236026">
              <w:t xml:space="preserve">Treatment </w:t>
            </w:r>
            <w:r w:rsidR="002950EE" w:rsidRPr="00236026">
              <w:t xml:space="preserve">plot </w:t>
            </w:r>
            <w:r w:rsidRPr="00236026">
              <w:t>A</w:t>
            </w:r>
          </w:p>
        </w:tc>
        <w:tc>
          <w:tcPr>
            <w:tcW w:w="1349" w:type="dxa"/>
            <w:shd w:val="clear" w:color="auto" w:fill="FFFFFF"/>
            <w:vAlign w:val="center"/>
          </w:tcPr>
          <w:p w14:paraId="3BF458D5" w14:textId="71DA42CC" w:rsidR="00C972B7" w:rsidRPr="00236026" w:rsidRDefault="00C972B7" w:rsidP="00236026">
            <w:pPr>
              <w:pStyle w:val="CETBodytext"/>
            </w:pPr>
            <w:r w:rsidRPr="00236026">
              <w:t>1</w:t>
            </w:r>
          </w:p>
        </w:tc>
        <w:tc>
          <w:tcPr>
            <w:tcW w:w="1230" w:type="dxa"/>
            <w:shd w:val="clear" w:color="auto" w:fill="FFFFFF"/>
            <w:vAlign w:val="center"/>
          </w:tcPr>
          <w:p w14:paraId="2800BCEC" w14:textId="32F375F3" w:rsidR="00C972B7" w:rsidRPr="00236026" w:rsidRDefault="00C972B7" w:rsidP="00236026">
            <w:pPr>
              <w:pStyle w:val="CETBodytext"/>
            </w:pPr>
            <w:r w:rsidRPr="00236026">
              <w:t>3</w:t>
            </w:r>
          </w:p>
        </w:tc>
        <w:tc>
          <w:tcPr>
            <w:tcW w:w="1230" w:type="dxa"/>
            <w:shd w:val="clear" w:color="auto" w:fill="FFFFFF"/>
            <w:vAlign w:val="center"/>
          </w:tcPr>
          <w:p w14:paraId="3F5C5F89" w14:textId="564BF96C" w:rsidR="00C972B7" w:rsidRPr="00236026" w:rsidRDefault="00C972B7" w:rsidP="00236026">
            <w:pPr>
              <w:pStyle w:val="CETBodytext"/>
            </w:pPr>
            <w:r w:rsidRPr="00236026">
              <w:t>6</w:t>
            </w:r>
          </w:p>
        </w:tc>
        <w:tc>
          <w:tcPr>
            <w:tcW w:w="1237" w:type="dxa"/>
            <w:shd w:val="clear" w:color="auto" w:fill="FFFFFF"/>
            <w:vAlign w:val="center"/>
          </w:tcPr>
          <w:p w14:paraId="55C9CE47" w14:textId="64B241F5" w:rsidR="00C972B7" w:rsidRPr="00236026" w:rsidRDefault="00C972B7" w:rsidP="00236026">
            <w:pPr>
              <w:pStyle w:val="CETBodytext"/>
            </w:pPr>
            <w:r w:rsidRPr="00236026">
              <w:t>9</w:t>
            </w:r>
          </w:p>
        </w:tc>
      </w:tr>
      <w:tr w:rsidR="00C972B7" w:rsidRPr="00236026" w14:paraId="21656787" w14:textId="77777777" w:rsidTr="00236026">
        <w:trPr>
          <w:trHeight w:val="253"/>
        </w:trPr>
        <w:tc>
          <w:tcPr>
            <w:tcW w:w="1667" w:type="dxa"/>
            <w:shd w:val="clear" w:color="auto" w:fill="FFFFFF"/>
            <w:vAlign w:val="center"/>
          </w:tcPr>
          <w:p w14:paraId="7D8CF3F0" w14:textId="12AD9F36" w:rsidR="00C972B7" w:rsidRPr="00236026" w:rsidRDefault="00C972B7" w:rsidP="00236026">
            <w:pPr>
              <w:pStyle w:val="CETBodytext"/>
            </w:pPr>
            <w:r w:rsidRPr="00236026">
              <w:t xml:space="preserve">Treatment </w:t>
            </w:r>
            <w:r w:rsidR="002950EE" w:rsidRPr="00236026">
              <w:t xml:space="preserve">plot </w:t>
            </w:r>
            <w:r w:rsidRPr="00236026">
              <w:t>B</w:t>
            </w:r>
          </w:p>
        </w:tc>
        <w:tc>
          <w:tcPr>
            <w:tcW w:w="1349" w:type="dxa"/>
            <w:shd w:val="clear" w:color="auto" w:fill="FFFFFF"/>
            <w:vAlign w:val="center"/>
          </w:tcPr>
          <w:p w14:paraId="2377363A" w14:textId="0562F0E3" w:rsidR="00C972B7" w:rsidRPr="00236026" w:rsidRDefault="00C972B7" w:rsidP="00236026">
            <w:pPr>
              <w:pStyle w:val="CETBodytext"/>
            </w:pPr>
            <w:r w:rsidRPr="00236026">
              <w:t>1</w:t>
            </w:r>
          </w:p>
        </w:tc>
        <w:tc>
          <w:tcPr>
            <w:tcW w:w="1230" w:type="dxa"/>
            <w:shd w:val="clear" w:color="auto" w:fill="FFFFFF"/>
            <w:vAlign w:val="center"/>
          </w:tcPr>
          <w:p w14:paraId="2F68023F" w14:textId="41B02906" w:rsidR="00C972B7" w:rsidRPr="00236026" w:rsidRDefault="00C972B7" w:rsidP="00236026">
            <w:pPr>
              <w:pStyle w:val="CETBodytext"/>
            </w:pPr>
            <w:r w:rsidRPr="00236026">
              <w:t>4</w:t>
            </w:r>
          </w:p>
        </w:tc>
        <w:tc>
          <w:tcPr>
            <w:tcW w:w="1230" w:type="dxa"/>
            <w:shd w:val="clear" w:color="auto" w:fill="FFFFFF"/>
            <w:vAlign w:val="center"/>
          </w:tcPr>
          <w:p w14:paraId="442B070C" w14:textId="3069B647" w:rsidR="00C972B7" w:rsidRPr="00236026" w:rsidRDefault="00C972B7" w:rsidP="00236026">
            <w:pPr>
              <w:pStyle w:val="CETBodytext"/>
            </w:pPr>
            <w:r w:rsidRPr="00236026">
              <w:t>5</w:t>
            </w:r>
          </w:p>
        </w:tc>
        <w:tc>
          <w:tcPr>
            <w:tcW w:w="1237" w:type="dxa"/>
            <w:shd w:val="clear" w:color="auto" w:fill="FFFFFF"/>
            <w:vAlign w:val="center"/>
          </w:tcPr>
          <w:p w14:paraId="41BA413C" w14:textId="44496DAD" w:rsidR="00C972B7" w:rsidRPr="00236026" w:rsidRDefault="00C972B7" w:rsidP="00236026">
            <w:pPr>
              <w:pStyle w:val="CETBodytext"/>
            </w:pPr>
            <w:r w:rsidRPr="00236026">
              <w:t>8</w:t>
            </w:r>
          </w:p>
        </w:tc>
      </w:tr>
      <w:tr w:rsidR="00C972B7" w:rsidRPr="00236026" w14:paraId="36FF8122" w14:textId="77777777" w:rsidTr="00236026">
        <w:trPr>
          <w:trHeight w:val="332"/>
        </w:trPr>
        <w:tc>
          <w:tcPr>
            <w:tcW w:w="1667" w:type="dxa"/>
            <w:shd w:val="clear" w:color="auto" w:fill="FFFFFF"/>
            <w:vAlign w:val="center"/>
          </w:tcPr>
          <w:p w14:paraId="4A415985" w14:textId="0584B878" w:rsidR="00C972B7" w:rsidRPr="00236026" w:rsidRDefault="00C972B7" w:rsidP="00236026">
            <w:pPr>
              <w:pStyle w:val="CETBodytext"/>
            </w:pPr>
            <w:r w:rsidRPr="00236026">
              <w:t xml:space="preserve">Treatment </w:t>
            </w:r>
            <w:r w:rsidR="002950EE" w:rsidRPr="00236026">
              <w:t xml:space="preserve">plot </w:t>
            </w:r>
            <w:r w:rsidRPr="00236026">
              <w:t>C</w:t>
            </w:r>
          </w:p>
        </w:tc>
        <w:tc>
          <w:tcPr>
            <w:tcW w:w="1349" w:type="dxa"/>
            <w:shd w:val="clear" w:color="auto" w:fill="FFFFFF"/>
            <w:vAlign w:val="center"/>
          </w:tcPr>
          <w:p w14:paraId="481414FD" w14:textId="5DE669F2" w:rsidR="00C972B7" w:rsidRPr="00236026" w:rsidRDefault="00C972B7" w:rsidP="00236026">
            <w:pPr>
              <w:pStyle w:val="CETBodytext"/>
            </w:pPr>
            <w:r w:rsidRPr="00236026">
              <w:t>1</w:t>
            </w:r>
          </w:p>
        </w:tc>
        <w:tc>
          <w:tcPr>
            <w:tcW w:w="1230" w:type="dxa"/>
            <w:shd w:val="clear" w:color="auto" w:fill="FFFFFF"/>
            <w:vAlign w:val="center"/>
          </w:tcPr>
          <w:p w14:paraId="4576074D" w14:textId="76D5E894" w:rsidR="00C972B7" w:rsidRPr="00236026" w:rsidRDefault="00C972B7" w:rsidP="00236026">
            <w:pPr>
              <w:pStyle w:val="CETBodytext"/>
            </w:pPr>
            <w:r w:rsidRPr="00236026">
              <w:t>4</w:t>
            </w:r>
          </w:p>
        </w:tc>
        <w:tc>
          <w:tcPr>
            <w:tcW w:w="1230" w:type="dxa"/>
            <w:shd w:val="clear" w:color="auto" w:fill="FFFFFF"/>
            <w:vAlign w:val="center"/>
          </w:tcPr>
          <w:p w14:paraId="5C02E332" w14:textId="00A08B54" w:rsidR="00C972B7" w:rsidRPr="00236026" w:rsidRDefault="00C972B7" w:rsidP="00236026">
            <w:pPr>
              <w:pStyle w:val="CETBodytext"/>
            </w:pPr>
            <w:r w:rsidRPr="00236026">
              <w:t>6</w:t>
            </w:r>
          </w:p>
        </w:tc>
        <w:tc>
          <w:tcPr>
            <w:tcW w:w="1237" w:type="dxa"/>
            <w:shd w:val="clear" w:color="auto" w:fill="FFFFFF"/>
            <w:vAlign w:val="center"/>
          </w:tcPr>
          <w:p w14:paraId="75D2E747" w14:textId="6F0C9CA0" w:rsidR="00C972B7" w:rsidRPr="00236026" w:rsidRDefault="00C972B7" w:rsidP="00236026">
            <w:pPr>
              <w:pStyle w:val="CETBodytext"/>
            </w:pPr>
            <w:r w:rsidRPr="00236026">
              <w:t>9</w:t>
            </w:r>
          </w:p>
        </w:tc>
      </w:tr>
      <w:tr w:rsidR="00236026" w:rsidRPr="00236026" w14:paraId="5A589CED" w14:textId="77777777" w:rsidTr="00236026">
        <w:trPr>
          <w:trHeight w:val="198"/>
        </w:trPr>
        <w:tc>
          <w:tcPr>
            <w:tcW w:w="1667" w:type="dxa"/>
            <w:shd w:val="clear" w:color="auto" w:fill="FFFFFF"/>
          </w:tcPr>
          <w:p w14:paraId="4862D43E" w14:textId="0041B0A5" w:rsidR="00236026" w:rsidRPr="00236026" w:rsidRDefault="00236026" w:rsidP="00236026">
            <w:pPr>
              <w:pStyle w:val="CETBodytext"/>
            </w:pPr>
            <w:r w:rsidRPr="00236026">
              <w:t>Half</w:t>
            </w:r>
          </w:p>
        </w:tc>
        <w:tc>
          <w:tcPr>
            <w:tcW w:w="1349" w:type="dxa"/>
            <w:shd w:val="clear" w:color="auto" w:fill="FFFFFF"/>
          </w:tcPr>
          <w:p w14:paraId="12751FE6" w14:textId="4F3FC9E2" w:rsidR="00236026" w:rsidRPr="00236026" w:rsidRDefault="00236026" w:rsidP="00236026">
            <w:pPr>
              <w:pStyle w:val="CETBodytext"/>
            </w:pPr>
            <w:r w:rsidRPr="00236026">
              <w:t>1</w:t>
            </w:r>
            <w:r w:rsidRPr="00236026">
              <w:rPr>
                <w:rFonts w:eastAsiaTheme="minorHAnsi"/>
              </w:rPr>
              <w:t>.</w:t>
            </w:r>
            <w:r w:rsidRPr="00236026">
              <w:t>0000</w:t>
            </w:r>
          </w:p>
        </w:tc>
        <w:tc>
          <w:tcPr>
            <w:tcW w:w="1230" w:type="dxa"/>
            <w:shd w:val="clear" w:color="auto" w:fill="FFFFFF"/>
          </w:tcPr>
          <w:p w14:paraId="32557812" w14:textId="5EC346A0" w:rsidR="00236026" w:rsidRPr="00236026" w:rsidRDefault="00236026" w:rsidP="00236026">
            <w:pPr>
              <w:pStyle w:val="CETBodytext"/>
            </w:pPr>
            <w:r w:rsidRPr="00236026">
              <w:t>3</w:t>
            </w:r>
            <w:r w:rsidRPr="00236026">
              <w:rPr>
                <w:rFonts w:eastAsiaTheme="minorHAnsi"/>
              </w:rPr>
              <w:t>.</w:t>
            </w:r>
            <w:r w:rsidRPr="00236026">
              <w:t>6667</w:t>
            </w:r>
          </w:p>
        </w:tc>
        <w:tc>
          <w:tcPr>
            <w:tcW w:w="1230" w:type="dxa"/>
            <w:shd w:val="clear" w:color="auto" w:fill="FFFFFF"/>
          </w:tcPr>
          <w:p w14:paraId="13EC2940" w14:textId="30377EE1" w:rsidR="00236026" w:rsidRPr="00236026" w:rsidRDefault="00236026" w:rsidP="00236026">
            <w:pPr>
              <w:pStyle w:val="CETBodytext"/>
            </w:pPr>
            <w:r w:rsidRPr="00236026">
              <w:t>5</w:t>
            </w:r>
            <w:r w:rsidRPr="00236026">
              <w:rPr>
                <w:rFonts w:eastAsiaTheme="minorHAnsi"/>
              </w:rPr>
              <w:t>.</w:t>
            </w:r>
            <w:r w:rsidRPr="00236026">
              <w:t>6667</w:t>
            </w:r>
          </w:p>
        </w:tc>
        <w:tc>
          <w:tcPr>
            <w:tcW w:w="1237" w:type="dxa"/>
            <w:shd w:val="clear" w:color="auto" w:fill="FFFFFF"/>
          </w:tcPr>
          <w:p w14:paraId="65F74680" w14:textId="59BC0C05" w:rsidR="00236026" w:rsidRPr="00236026" w:rsidRDefault="00236026" w:rsidP="00236026">
            <w:pPr>
              <w:pStyle w:val="CETBodytext"/>
            </w:pPr>
            <w:r w:rsidRPr="00236026">
              <w:t>8</w:t>
            </w:r>
            <w:r w:rsidRPr="00236026">
              <w:rPr>
                <w:rFonts w:eastAsiaTheme="minorHAnsi"/>
              </w:rPr>
              <w:t>.</w:t>
            </w:r>
            <w:r w:rsidRPr="00236026">
              <w:t>6667</w:t>
            </w:r>
          </w:p>
        </w:tc>
      </w:tr>
      <w:tr w:rsidR="00236026" w:rsidRPr="00236026" w14:paraId="1A700C89" w14:textId="77777777" w:rsidTr="00236026">
        <w:trPr>
          <w:trHeight w:val="116"/>
        </w:trPr>
        <w:tc>
          <w:tcPr>
            <w:tcW w:w="1667" w:type="dxa"/>
            <w:shd w:val="clear" w:color="auto" w:fill="FFFFFF"/>
          </w:tcPr>
          <w:p w14:paraId="4894961A" w14:textId="0A46ADF3" w:rsidR="00236026" w:rsidRPr="00236026" w:rsidRDefault="00236026" w:rsidP="00236026">
            <w:pPr>
              <w:pStyle w:val="CETBodytext"/>
            </w:pPr>
            <w:r w:rsidRPr="00236026">
              <w:t>Standard deviation</w:t>
            </w:r>
          </w:p>
        </w:tc>
        <w:tc>
          <w:tcPr>
            <w:tcW w:w="1349" w:type="dxa"/>
            <w:shd w:val="clear" w:color="auto" w:fill="FFFFFF"/>
          </w:tcPr>
          <w:p w14:paraId="074F4E99" w14:textId="1D0391DC" w:rsidR="00236026" w:rsidRPr="00236026" w:rsidRDefault="00236026" w:rsidP="00236026">
            <w:pPr>
              <w:pStyle w:val="CETBodytext"/>
            </w:pPr>
            <w:r w:rsidRPr="00236026">
              <w:rPr>
                <w:rFonts w:eastAsiaTheme="minorHAnsi"/>
              </w:rPr>
              <w:t>0.</w:t>
            </w:r>
            <w:r w:rsidRPr="00236026">
              <w:t>00000</w:t>
            </w:r>
          </w:p>
        </w:tc>
        <w:tc>
          <w:tcPr>
            <w:tcW w:w="1230" w:type="dxa"/>
            <w:shd w:val="clear" w:color="auto" w:fill="FFFFFF"/>
          </w:tcPr>
          <w:p w14:paraId="0886ED52" w14:textId="3D5B64CD" w:rsidR="00236026" w:rsidRPr="00236026" w:rsidRDefault="00236026" w:rsidP="00236026">
            <w:pPr>
              <w:pStyle w:val="CETBodytext"/>
            </w:pPr>
            <w:r w:rsidRPr="00236026">
              <w:rPr>
                <w:rFonts w:eastAsiaTheme="minorHAnsi"/>
              </w:rPr>
              <w:t>0.</w:t>
            </w:r>
            <w:r w:rsidRPr="00236026">
              <w:t>57735</w:t>
            </w:r>
          </w:p>
        </w:tc>
        <w:tc>
          <w:tcPr>
            <w:tcW w:w="1230" w:type="dxa"/>
            <w:shd w:val="clear" w:color="auto" w:fill="FFFFFF"/>
          </w:tcPr>
          <w:p w14:paraId="3B4B1CEF" w14:textId="327F4061" w:rsidR="00236026" w:rsidRPr="00236026" w:rsidRDefault="00236026" w:rsidP="00236026">
            <w:pPr>
              <w:pStyle w:val="CETBodytext"/>
            </w:pPr>
            <w:r w:rsidRPr="00236026">
              <w:rPr>
                <w:rFonts w:eastAsiaTheme="minorHAnsi"/>
              </w:rPr>
              <w:t>0.</w:t>
            </w:r>
            <w:r w:rsidRPr="00236026">
              <w:t>57735</w:t>
            </w:r>
          </w:p>
        </w:tc>
        <w:tc>
          <w:tcPr>
            <w:tcW w:w="1237" w:type="dxa"/>
            <w:shd w:val="clear" w:color="auto" w:fill="FFFFFF"/>
          </w:tcPr>
          <w:p w14:paraId="4BA1D4DD" w14:textId="0C90C614" w:rsidR="00236026" w:rsidRPr="00236026" w:rsidRDefault="00236026" w:rsidP="00236026">
            <w:pPr>
              <w:pStyle w:val="CETBodytext"/>
            </w:pPr>
            <w:r w:rsidRPr="00236026">
              <w:rPr>
                <w:rFonts w:eastAsiaTheme="minorHAnsi"/>
              </w:rPr>
              <w:t>0.</w:t>
            </w:r>
            <w:r w:rsidRPr="00236026">
              <w:t>57735</w:t>
            </w:r>
          </w:p>
        </w:tc>
      </w:tr>
    </w:tbl>
    <w:p w14:paraId="18C8B7F2" w14:textId="4D78AA6B" w:rsidR="00C972B7" w:rsidRDefault="00C972B7" w:rsidP="00EC42F2">
      <w:pPr>
        <w:pStyle w:val="CETBodytext"/>
      </w:pPr>
    </w:p>
    <w:p w14:paraId="4879F9EE" w14:textId="065E4117" w:rsidR="000802BD" w:rsidRPr="00D74401" w:rsidRDefault="000347DA" w:rsidP="000802BD">
      <w:pPr>
        <w:pStyle w:val="CETheadingx"/>
      </w:pPr>
      <w:r w:rsidRPr="00D74401">
        <w:t>Final concentrations of contaminants in agricultural soils</w:t>
      </w:r>
    </w:p>
    <w:p w14:paraId="3C682F49" w14:textId="3C227459" w:rsidR="005E24CD" w:rsidRDefault="005E24CD" w:rsidP="005E24CD">
      <w:pPr>
        <w:pStyle w:val="CETBodytext"/>
      </w:pPr>
      <w:r w:rsidRPr="005E24CD">
        <w:t xml:space="preserve">The results indicate that the degradation of the pollutant </w:t>
      </w:r>
      <w:r w:rsidR="000D5F44">
        <w:t>M</w:t>
      </w:r>
      <w:r w:rsidRPr="005E24CD">
        <w:t>et</w:t>
      </w:r>
      <w:r w:rsidR="000D5F44">
        <w:t>h</w:t>
      </w:r>
      <w:r w:rsidRPr="005E24CD">
        <w:t>amidophos was between 64% and 73%, this is due to the affinity of the fungi with substances containing carbon, nitrogen, sulfur, iron and other minerals essential for their growth and enzyme production, carbon being the most important (Hernández-Mansilla, 2005); but also in the research, it was found that in the case of cadmium concentration, the reduction was 99% probably due to the ion exchange capacity of the mass of fungi with metals.</w:t>
      </w:r>
      <w:r w:rsidRPr="00D74401">
        <w:t xml:space="preserve"> See Table </w:t>
      </w:r>
      <w:r>
        <w:t>5</w:t>
      </w:r>
      <w:r w:rsidRPr="00D74401">
        <w:t xml:space="preserve"> and Table </w:t>
      </w:r>
      <w:r>
        <w:t>6</w:t>
      </w:r>
      <w:r w:rsidRPr="00D74401">
        <w:t>.</w:t>
      </w:r>
    </w:p>
    <w:p w14:paraId="569BB7A7" w14:textId="686AE6E9" w:rsidR="005E5865" w:rsidRPr="00D74401" w:rsidRDefault="005E5865" w:rsidP="005E24CD">
      <w:pPr>
        <w:pStyle w:val="CETBodytext"/>
      </w:pPr>
      <w:r w:rsidRPr="005E5865">
        <w:t>The reduction of the level of Methamidophos and Cadmium with the treatment leaves values below the quality standards and environmental regulations of Peru (SENASA, 2020 and MINAM, 2017).</w:t>
      </w:r>
    </w:p>
    <w:p w14:paraId="6FC8373D" w14:textId="2FC88EFE" w:rsidR="00523948" w:rsidRDefault="00EE02DF" w:rsidP="000347DA">
      <w:pPr>
        <w:pStyle w:val="CETBodytext"/>
      </w:pPr>
      <w:r w:rsidRPr="00EE02DF">
        <w:t xml:space="preserve">The degradation of </w:t>
      </w:r>
      <w:r w:rsidR="000D5F44">
        <w:t>M</w:t>
      </w:r>
      <w:r w:rsidRPr="00EE02DF">
        <w:t xml:space="preserve">ethamidophos and Cd by the action of enzymes produced by fungi </w:t>
      </w:r>
      <w:r w:rsidRPr="000D5F44">
        <w:rPr>
          <w:i/>
          <w:iCs/>
        </w:rPr>
        <w:t xml:space="preserve">Pleurotus ostreatus </w:t>
      </w:r>
      <w:r w:rsidRPr="00EE02DF">
        <w:t xml:space="preserve">and </w:t>
      </w:r>
      <w:r w:rsidRPr="000D5F44">
        <w:rPr>
          <w:i/>
          <w:iCs/>
        </w:rPr>
        <w:t>Trametes versicolor</w:t>
      </w:r>
      <w:r w:rsidRPr="00EE02DF">
        <w:t xml:space="preserve"> is important, similar to the degradation of recalcitrant compounds and xenobiotics because these enzymes are mainly related to the mineralization of lignin, oxidizing aromatic rings, as well as substituents present in the polymer (Fernandez, 2009). The action of fungi has also been effective in the degradation of dyes, pesticides and polyaromatic hydrocarbons with a chemical structure similar to lignin </w:t>
      </w:r>
      <w:r w:rsidRPr="00EE02DF">
        <w:lastRenderedPageBreak/>
        <w:t>phenylpropane, which leads to thinking that biodegradation also occurs with a mechanism similar to that experienced by lignin (Gouma et al., 2014).</w:t>
      </w:r>
    </w:p>
    <w:p w14:paraId="0EE2345F" w14:textId="4396AC9B" w:rsidR="00CB5295" w:rsidRPr="00D74401" w:rsidRDefault="00CB5295" w:rsidP="000347DA">
      <w:pPr>
        <w:pStyle w:val="CETBodytext"/>
      </w:pPr>
      <w:r w:rsidRPr="00CB5295">
        <w:t>The final evaluation was made at the end of 4 months as part of the first stage of an investigation to determine the applicability of fungi in the reduction of Methamidophos and Cadmium in agricultural soil; therefore, the second stage will continue with the objective of progressively evaluating the efficiency of these species in the reduction of the mentioned pollutants and others.</w:t>
      </w:r>
    </w:p>
    <w:p w14:paraId="3B42A98F" w14:textId="2C5D6D77" w:rsidR="00523948" w:rsidRPr="00D74401" w:rsidRDefault="00523948" w:rsidP="00523948">
      <w:pPr>
        <w:pStyle w:val="CETTabletitle"/>
        <w:rPr>
          <w:lang w:val="en-US"/>
        </w:rPr>
      </w:pPr>
      <w:r w:rsidRPr="00D74401">
        <w:rPr>
          <w:lang w:val="en-US"/>
        </w:rPr>
        <w:t xml:space="preserve">Table </w:t>
      </w:r>
      <w:r w:rsidR="006F7851">
        <w:rPr>
          <w:lang w:val="en-US"/>
        </w:rPr>
        <w:t>5</w:t>
      </w:r>
      <w:r w:rsidRPr="00D74401">
        <w:rPr>
          <w:lang w:val="en-US"/>
        </w:rPr>
        <w:t xml:space="preserve">: </w:t>
      </w:r>
      <w:r w:rsidR="000347DA" w:rsidRPr="00D74401">
        <w:rPr>
          <w:lang w:val="en-US"/>
        </w:rPr>
        <w:t>The final concentration of the contaminant Methamidophos in agricultural soil</w:t>
      </w:r>
    </w:p>
    <w:tbl>
      <w:tblPr>
        <w:tblW w:w="8655" w:type="dxa"/>
        <w:tblCellMar>
          <w:left w:w="70" w:type="dxa"/>
          <w:right w:w="70" w:type="dxa"/>
        </w:tblCellMar>
        <w:tblLook w:val="04A0" w:firstRow="1" w:lastRow="0" w:firstColumn="1" w:lastColumn="0" w:noHBand="0" w:noVBand="1"/>
      </w:tblPr>
      <w:tblGrid>
        <w:gridCol w:w="1560"/>
        <w:gridCol w:w="2268"/>
        <w:gridCol w:w="3033"/>
        <w:gridCol w:w="1794"/>
      </w:tblGrid>
      <w:tr w:rsidR="002950EE" w:rsidRPr="00D74401" w14:paraId="3FFE1F4B" w14:textId="77777777" w:rsidTr="008C715F">
        <w:trPr>
          <w:trHeight w:val="928"/>
        </w:trPr>
        <w:tc>
          <w:tcPr>
            <w:tcW w:w="1560" w:type="dxa"/>
            <w:tcBorders>
              <w:top w:val="single" w:sz="12" w:space="0" w:color="008000"/>
              <w:left w:val="nil"/>
              <w:bottom w:val="single" w:sz="4" w:space="0" w:color="008000"/>
              <w:right w:val="nil"/>
            </w:tcBorders>
            <w:shd w:val="clear" w:color="auto" w:fill="auto"/>
            <w:noWrap/>
            <w:vAlign w:val="center"/>
            <w:hideMark/>
          </w:tcPr>
          <w:p w14:paraId="341BD237" w14:textId="134BA627" w:rsidR="002950EE" w:rsidRPr="00D74401" w:rsidRDefault="002950EE" w:rsidP="00757B19">
            <w:pPr>
              <w:pStyle w:val="CETBodytext"/>
              <w:rPr>
                <w:lang w:eastAsia="es-PE"/>
              </w:rPr>
            </w:pPr>
            <w:r w:rsidRPr="006F5B2E">
              <w:rPr>
                <w:lang w:eastAsia="es-PE"/>
              </w:rPr>
              <w:t>Treatment</w:t>
            </w:r>
            <w:r>
              <w:rPr>
                <w:lang w:eastAsia="es-PE"/>
              </w:rPr>
              <w:t xml:space="preserve"> Plot</w:t>
            </w:r>
          </w:p>
        </w:tc>
        <w:tc>
          <w:tcPr>
            <w:tcW w:w="2268" w:type="dxa"/>
            <w:tcBorders>
              <w:top w:val="single" w:sz="12" w:space="0" w:color="008000"/>
              <w:left w:val="nil"/>
              <w:bottom w:val="single" w:sz="4" w:space="0" w:color="008000"/>
              <w:right w:val="nil"/>
            </w:tcBorders>
          </w:tcPr>
          <w:p w14:paraId="2CA732BF" w14:textId="170FE03D" w:rsidR="002950EE" w:rsidRDefault="002950EE" w:rsidP="00305872">
            <w:pPr>
              <w:pStyle w:val="CETBodytext"/>
              <w:jc w:val="left"/>
              <w:rPr>
                <w:rFonts w:ascii="Calibri" w:hAnsi="Calibri" w:cs="Calibri"/>
                <w:sz w:val="22"/>
                <w:szCs w:val="22"/>
                <w:lang w:eastAsia="es-PE"/>
              </w:rPr>
            </w:pPr>
            <w:r w:rsidRPr="002950EE">
              <w:rPr>
                <w:rFonts w:ascii="Calibri" w:hAnsi="Calibri" w:cs="Calibri"/>
                <w:sz w:val="22"/>
                <w:szCs w:val="22"/>
                <w:lang w:eastAsia="es-PE"/>
              </w:rPr>
              <w:t xml:space="preserve">Initial concentration of </w:t>
            </w:r>
            <w:r w:rsidRPr="00D74401">
              <w:rPr>
                <w:rFonts w:ascii="Calibri" w:hAnsi="Calibri" w:cs="Calibri"/>
                <w:sz w:val="22"/>
                <w:szCs w:val="22"/>
                <w:lang w:eastAsia="es-PE"/>
              </w:rPr>
              <w:t>Methamidophos</w:t>
            </w:r>
            <w:r w:rsidRPr="002950EE">
              <w:rPr>
                <w:rFonts w:ascii="Calibri" w:hAnsi="Calibri" w:cs="Calibri"/>
                <w:sz w:val="22"/>
                <w:szCs w:val="22"/>
                <w:lang w:eastAsia="es-PE"/>
              </w:rPr>
              <w:t xml:space="preserve"> </w:t>
            </w:r>
            <w:r w:rsidR="008C715F">
              <w:rPr>
                <w:rFonts w:ascii="Calibri" w:hAnsi="Calibri" w:cs="Calibri"/>
                <w:sz w:val="22"/>
                <w:szCs w:val="22"/>
                <w:lang w:eastAsia="es-PE"/>
              </w:rPr>
              <w:t xml:space="preserve">in </w:t>
            </w:r>
            <w:r w:rsidRPr="002950EE">
              <w:rPr>
                <w:rFonts w:ascii="Calibri" w:hAnsi="Calibri" w:cs="Calibri"/>
                <w:sz w:val="22"/>
                <w:szCs w:val="22"/>
                <w:lang w:eastAsia="es-PE"/>
              </w:rPr>
              <w:t>soil</w:t>
            </w:r>
          </w:p>
          <w:p w14:paraId="64DCE071" w14:textId="2552990A" w:rsidR="002950EE" w:rsidRPr="00D74401" w:rsidRDefault="002950EE" w:rsidP="00305872">
            <w:pPr>
              <w:pStyle w:val="CETBodytext"/>
              <w:jc w:val="left"/>
              <w:rPr>
                <w:rFonts w:ascii="Calibri" w:hAnsi="Calibri" w:cs="Calibri"/>
                <w:sz w:val="22"/>
                <w:szCs w:val="22"/>
                <w:lang w:eastAsia="es-PE"/>
              </w:rPr>
            </w:pPr>
            <w:r w:rsidRPr="00D74401">
              <w:rPr>
                <w:rFonts w:ascii="Calibri" w:hAnsi="Calibri" w:cs="Calibri"/>
                <w:sz w:val="22"/>
                <w:szCs w:val="22"/>
                <w:lang w:eastAsia="es-PE"/>
              </w:rPr>
              <w:t>(mg/kg)</w:t>
            </w:r>
          </w:p>
        </w:tc>
        <w:tc>
          <w:tcPr>
            <w:tcW w:w="3033" w:type="dxa"/>
            <w:tcBorders>
              <w:top w:val="single" w:sz="12" w:space="0" w:color="008000"/>
              <w:left w:val="nil"/>
              <w:bottom w:val="single" w:sz="4" w:space="0" w:color="008000"/>
              <w:right w:val="nil"/>
            </w:tcBorders>
            <w:shd w:val="clear" w:color="auto" w:fill="auto"/>
            <w:vAlign w:val="center"/>
            <w:hideMark/>
          </w:tcPr>
          <w:p w14:paraId="6CBDD9B4" w14:textId="0469AB4A" w:rsidR="002950EE" w:rsidRPr="00D74401" w:rsidRDefault="002950EE" w:rsidP="00305872">
            <w:pPr>
              <w:pStyle w:val="CETBodytext"/>
              <w:jc w:val="left"/>
              <w:rPr>
                <w:rFonts w:ascii="Calibri" w:hAnsi="Calibri" w:cs="Calibri"/>
                <w:sz w:val="22"/>
                <w:szCs w:val="22"/>
                <w:lang w:eastAsia="es-PE"/>
              </w:rPr>
            </w:pPr>
            <w:r w:rsidRPr="00D74401">
              <w:rPr>
                <w:rFonts w:ascii="Calibri" w:hAnsi="Calibri" w:cs="Calibri"/>
                <w:sz w:val="22"/>
                <w:szCs w:val="22"/>
                <w:lang w:eastAsia="es-PE"/>
              </w:rPr>
              <w:t>Final concentration of Methamidophos</w:t>
            </w:r>
          </w:p>
          <w:p w14:paraId="2A5C67BE" w14:textId="4A55C4ED" w:rsidR="002950EE" w:rsidRPr="00D74401" w:rsidRDefault="002950EE" w:rsidP="00305872">
            <w:pPr>
              <w:pStyle w:val="CETBodytext"/>
              <w:jc w:val="left"/>
              <w:rPr>
                <w:rFonts w:ascii="Calibri" w:hAnsi="Calibri" w:cs="Calibri"/>
                <w:sz w:val="22"/>
                <w:szCs w:val="22"/>
                <w:lang w:eastAsia="es-PE"/>
              </w:rPr>
            </w:pPr>
            <w:r w:rsidRPr="00D74401">
              <w:rPr>
                <w:rFonts w:ascii="Calibri" w:hAnsi="Calibri" w:cs="Calibri"/>
                <w:sz w:val="22"/>
                <w:szCs w:val="22"/>
                <w:lang w:eastAsia="es-PE"/>
              </w:rPr>
              <w:t>(mg/kg)</w:t>
            </w:r>
          </w:p>
        </w:tc>
        <w:tc>
          <w:tcPr>
            <w:tcW w:w="1794" w:type="dxa"/>
            <w:tcBorders>
              <w:top w:val="single" w:sz="12" w:space="0" w:color="008000"/>
              <w:left w:val="nil"/>
              <w:bottom w:val="single" w:sz="4" w:space="0" w:color="008000"/>
              <w:right w:val="nil"/>
            </w:tcBorders>
            <w:shd w:val="clear" w:color="auto" w:fill="auto"/>
            <w:vAlign w:val="center"/>
            <w:hideMark/>
          </w:tcPr>
          <w:p w14:paraId="57709FB9" w14:textId="13C5D743" w:rsidR="002950EE" w:rsidRPr="00D74401" w:rsidRDefault="002950EE" w:rsidP="00305872">
            <w:pPr>
              <w:pStyle w:val="CETBodytext"/>
              <w:jc w:val="left"/>
              <w:rPr>
                <w:rFonts w:ascii="Calibri" w:hAnsi="Calibri" w:cs="Calibri"/>
                <w:sz w:val="22"/>
                <w:szCs w:val="22"/>
                <w:lang w:eastAsia="es-PE"/>
              </w:rPr>
            </w:pPr>
            <w:r w:rsidRPr="00D74401">
              <w:rPr>
                <w:rFonts w:ascii="Calibri" w:hAnsi="Calibri" w:cs="Calibri"/>
                <w:sz w:val="22"/>
                <w:szCs w:val="22"/>
                <w:lang w:eastAsia="es-PE"/>
              </w:rPr>
              <w:t>Methamidophos reduction</w:t>
            </w:r>
          </w:p>
          <w:p w14:paraId="36049CBF" w14:textId="16AC5E11" w:rsidR="002950EE" w:rsidRPr="00D74401" w:rsidRDefault="002950EE" w:rsidP="00305872">
            <w:pPr>
              <w:pStyle w:val="CETBodytext"/>
              <w:jc w:val="left"/>
              <w:rPr>
                <w:rFonts w:ascii="Calibri" w:hAnsi="Calibri" w:cs="Calibri"/>
                <w:sz w:val="22"/>
                <w:szCs w:val="22"/>
                <w:lang w:eastAsia="es-PE"/>
              </w:rPr>
            </w:pPr>
            <w:r w:rsidRPr="00D74401">
              <w:rPr>
                <w:rFonts w:ascii="Calibri" w:hAnsi="Calibri" w:cs="Calibri"/>
                <w:sz w:val="22"/>
                <w:szCs w:val="22"/>
                <w:lang w:eastAsia="es-PE"/>
              </w:rPr>
              <w:t>(%)</w:t>
            </w:r>
          </w:p>
        </w:tc>
      </w:tr>
      <w:tr w:rsidR="008C715F" w:rsidRPr="00D74401" w14:paraId="1F240651" w14:textId="77777777" w:rsidTr="008C715F">
        <w:trPr>
          <w:trHeight w:val="308"/>
        </w:trPr>
        <w:tc>
          <w:tcPr>
            <w:tcW w:w="1560" w:type="dxa"/>
            <w:tcBorders>
              <w:top w:val="single" w:sz="4" w:space="0" w:color="008000"/>
              <w:left w:val="nil"/>
              <w:bottom w:val="nil"/>
              <w:right w:val="nil"/>
            </w:tcBorders>
            <w:shd w:val="clear" w:color="auto" w:fill="auto"/>
            <w:noWrap/>
            <w:vAlign w:val="center"/>
            <w:hideMark/>
          </w:tcPr>
          <w:p w14:paraId="0C6124A4" w14:textId="1DEEBCC8" w:rsidR="008C715F" w:rsidRPr="00D74401" w:rsidRDefault="008C715F" w:rsidP="008C715F">
            <w:pPr>
              <w:pStyle w:val="CETBodytext"/>
              <w:rPr>
                <w:lang w:eastAsia="es-PE"/>
              </w:rPr>
            </w:pPr>
            <w:r w:rsidRPr="00D74401">
              <w:t xml:space="preserve">Treatment </w:t>
            </w:r>
            <w:r>
              <w:t xml:space="preserve">plot </w:t>
            </w:r>
            <w:r w:rsidRPr="00D74401">
              <w:t>A</w:t>
            </w:r>
          </w:p>
        </w:tc>
        <w:tc>
          <w:tcPr>
            <w:tcW w:w="2268" w:type="dxa"/>
            <w:tcBorders>
              <w:top w:val="single" w:sz="4" w:space="0" w:color="008000"/>
              <w:left w:val="nil"/>
              <w:bottom w:val="nil"/>
              <w:right w:val="nil"/>
            </w:tcBorders>
          </w:tcPr>
          <w:p w14:paraId="4479791F" w14:textId="240E4B8A" w:rsidR="008C715F" w:rsidRPr="00D74401" w:rsidRDefault="008C715F" w:rsidP="008C715F">
            <w:pPr>
              <w:pStyle w:val="CETBodytext"/>
              <w:jc w:val="left"/>
              <w:rPr>
                <w:sz w:val="20"/>
                <w:lang w:eastAsia="es-PE"/>
              </w:rPr>
            </w:pPr>
            <w:r w:rsidRPr="00BB23B7">
              <w:t>0.244</w:t>
            </w:r>
          </w:p>
        </w:tc>
        <w:tc>
          <w:tcPr>
            <w:tcW w:w="3033" w:type="dxa"/>
            <w:tcBorders>
              <w:top w:val="single" w:sz="4" w:space="0" w:color="008000"/>
              <w:left w:val="nil"/>
              <w:bottom w:val="nil"/>
              <w:right w:val="nil"/>
            </w:tcBorders>
            <w:shd w:val="clear" w:color="auto" w:fill="auto"/>
            <w:noWrap/>
            <w:vAlign w:val="center"/>
            <w:hideMark/>
          </w:tcPr>
          <w:p w14:paraId="05C75EF4" w14:textId="089B2F7D" w:rsidR="008C715F" w:rsidRPr="00D74401" w:rsidRDefault="008C715F" w:rsidP="008C715F">
            <w:pPr>
              <w:pStyle w:val="CETBodytext"/>
              <w:jc w:val="left"/>
              <w:rPr>
                <w:sz w:val="20"/>
                <w:lang w:eastAsia="es-PE"/>
              </w:rPr>
            </w:pPr>
            <w:r w:rsidRPr="00D74401">
              <w:rPr>
                <w:sz w:val="20"/>
                <w:lang w:eastAsia="es-PE"/>
              </w:rPr>
              <w:t>&lt;0</w:t>
            </w:r>
            <w:r>
              <w:rPr>
                <w:sz w:val="20"/>
                <w:lang w:eastAsia="es-PE"/>
              </w:rPr>
              <w:t>.</w:t>
            </w:r>
            <w:r w:rsidRPr="00D74401">
              <w:rPr>
                <w:sz w:val="20"/>
                <w:lang w:eastAsia="es-PE"/>
              </w:rPr>
              <w:t>073</w:t>
            </w:r>
          </w:p>
        </w:tc>
        <w:tc>
          <w:tcPr>
            <w:tcW w:w="1794" w:type="dxa"/>
            <w:tcBorders>
              <w:top w:val="single" w:sz="4" w:space="0" w:color="008000"/>
              <w:left w:val="nil"/>
              <w:bottom w:val="nil"/>
              <w:right w:val="nil"/>
            </w:tcBorders>
            <w:shd w:val="clear" w:color="auto" w:fill="auto"/>
            <w:vAlign w:val="center"/>
            <w:hideMark/>
          </w:tcPr>
          <w:p w14:paraId="4C927308" w14:textId="650D3A98" w:rsidR="008C715F" w:rsidRPr="00D74401" w:rsidRDefault="008C715F" w:rsidP="008C715F">
            <w:pPr>
              <w:pStyle w:val="CETBodytext"/>
              <w:jc w:val="left"/>
              <w:rPr>
                <w:lang w:eastAsia="es-PE"/>
              </w:rPr>
            </w:pPr>
            <w:r w:rsidRPr="00D74401">
              <w:rPr>
                <w:lang w:eastAsia="es-PE"/>
              </w:rPr>
              <w:t>70</w:t>
            </w:r>
          </w:p>
        </w:tc>
      </w:tr>
      <w:tr w:rsidR="008C715F" w:rsidRPr="00D74401" w14:paraId="7F9401E5" w14:textId="77777777" w:rsidTr="008C715F">
        <w:trPr>
          <w:trHeight w:val="308"/>
        </w:trPr>
        <w:tc>
          <w:tcPr>
            <w:tcW w:w="1560" w:type="dxa"/>
            <w:tcBorders>
              <w:top w:val="nil"/>
              <w:left w:val="nil"/>
              <w:bottom w:val="nil"/>
              <w:right w:val="nil"/>
            </w:tcBorders>
            <w:shd w:val="clear" w:color="auto" w:fill="auto"/>
            <w:noWrap/>
            <w:vAlign w:val="center"/>
            <w:hideMark/>
          </w:tcPr>
          <w:p w14:paraId="4413201A" w14:textId="5762FEFA" w:rsidR="008C715F" w:rsidRPr="00D74401" w:rsidRDefault="008C715F" w:rsidP="008C715F">
            <w:pPr>
              <w:pStyle w:val="CETBodytext"/>
              <w:rPr>
                <w:lang w:eastAsia="es-PE"/>
              </w:rPr>
            </w:pPr>
            <w:r w:rsidRPr="00D74401">
              <w:t xml:space="preserve">Treatment </w:t>
            </w:r>
            <w:r>
              <w:t xml:space="preserve">plot </w:t>
            </w:r>
            <w:r w:rsidRPr="00D74401">
              <w:t>B</w:t>
            </w:r>
          </w:p>
        </w:tc>
        <w:tc>
          <w:tcPr>
            <w:tcW w:w="2268" w:type="dxa"/>
            <w:tcBorders>
              <w:top w:val="nil"/>
              <w:left w:val="nil"/>
              <w:bottom w:val="nil"/>
              <w:right w:val="nil"/>
            </w:tcBorders>
          </w:tcPr>
          <w:p w14:paraId="3F4EB9E6" w14:textId="5374B6C9" w:rsidR="008C715F" w:rsidRPr="00D74401" w:rsidRDefault="008C715F" w:rsidP="008C715F">
            <w:pPr>
              <w:pStyle w:val="CETBodytext"/>
              <w:jc w:val="left"/>
              <w:rPr>
                <w:sz w:val="20"/>
                <w:lang w:eastAsia="es-PE"/>
              </w:rPr>
            </w:pPr>
            <w:r w:rsidRPr="00BB23B7">
              <w:t>0.276</w:t>
            </w:r>
          </w:p>
        </w:tc>
        <w:tc>
          <w:tcPr>
            <w:tcW w:w="3033" w:type="dxa"/>
            <w:tcBorders>
              <w:top w:val="nil"/>
              <w:left w:val="nil"/>
              <w:bottom w:val="nil"/>
              <w:right w:val="nil"/>
            </w:tcBorders>
            <w:shd w:val="clear" w:color="auto" w:fill="auto"/>
            <w:noWrap/>
            <w:vAlign w:val="center"/>
            <w:hideMark/>
          </w:tcPr>
          <w:p w14:paraId="2CC354A5" w14:textId="03286246" w:rsidR="008C715F" w:rsidRPr="00D74401" w:rsidRDefault="008C715F" w:rsidP="008C715F">
            <w:pPr>
              <w:pStyle w:val="CETBodytext"/>
              <w:jc w:val="left"/>
              <w:rPr>
                <w:sz w:val="20"/>
                <w:lang w:eastAsia="es-PE"/>
              </w:rPr>
            </w:pPr>
            <w:r w:rsidRPr="00D74401">
              <w:rPr>
                <w:sz w:val="20"/>
                <w:lang w:eastAsia="es-PE"/>
              </w:rPr>
              <w:t>&lt;0</w:t>
            </w:r>
            <w:r>
              <w:rPr>
                <w:sz w:val="20"/>
                <w:lang w:eastAsia="es-PE"/>
              </w:rPr>
              <w:t>.</w:t>
            </w:r>
            <w:r w:rsidRPr="00D74401">
              <w:rPr>
                <w:sz w:val="20"/>
                <w:lang w:eastAsia="es-PE"/>
              </w:rPr>
              <w:t>073</w:t>
            </w:r>
          </w:p>
        </w:tc>
        <w:tc>
          <w:tcPr>
            <w:tcW w:w="1794" w:type="dxa"/>
            <w:tcBorders>
              <w:top w:val="nil"/>
              <w:left w:val="nil"/>
              <w:bottom w:val="nil"/>
              <w:right w:val="nil"/>
            </w:tcBorders>
            <w:shd w:val="clear" w:color="auto" w:fill="auto"/>
            <w:vAlign w:val="center"/>
            <w:hideMark/>
          </w:tcPr>
          <w:p w14:paraId="5C93178E" w14:textId="265F66FB" w:rsidR="008C715F" w:rsidRPr="00D74401" w:rsidRDefault="008C715F" w:rsidP="008C715F">
            <w:pPr>
              <w:pStyle w:val="CETBodytext"/>
              <w:jc w:val="left"/>
              <w:rPr>
                <w:lang w:eastAsia="es-PE"/>
              </w:rPr>
            </w:pPr>
            <w:r w:rsidRPr="00D74401">
              <w:rPr>
                <w:lang w:eastAsia="es-PE"/>
              </w:rPr>
              <w:t>73</w:t>
            </w:r>
          </w:p>
        </w:tc>
      </w:tr>
      <w:tr w:rsidR="008C715F" w:rsidRPr="00D74401" w14:paraId="0267B663" w14:textId="77777777" w:rsidTr="008C715F">
        <w:trPr>
          <w:trHeight w:val="308"/>
        </w:trPr>
        <w:tc>
          <w:tcPr>
            <w:tcW w:w="1560" w:type="dxa"/>
            <w:tcBorders>
              <w:top w:val="nil"/>
              <w:left w:val="nil"/>
              <w:bottom w:val="single" w:sz="12" w:space="0" w:color="008000"/>
              <w:right w:val="nil"/>
            </w:tcBorders>
            <w:shd w:val="clear" w:color="auto" w:fill="auto"/>
            <w:noWrap/>
            <w:vAlign w:val="center"/>
            <w:hideMark/>
          </w:tcPr>
          <w:p w14:paraId="6C19AAF2" w14:textId="27DA6B16" w:rsidR="008C715F" w:rsidRPr="00D74401" w:rsidRDefault="008C715F" w:rsidP="008C715F">
            <w:pPr>
              <w:pStyle w:val="CETBodytext"/>
              <w:rPr>
                <w:lang w:eastAsia="es-PE"/>
              </w:rPr>
            </w:pPr>
            <w:r w:rsidRPr="00D74401">
              <w:t xml:space="preserve">Treatment </w:t>
            </w:r>
            <w:r>
              <w:t xml:space="preserve">plot </w:t>
            </w:r>
            <w:r w:rsidRPr="00D74401">
              <w:t>C</w:t>
            </w:r>
          </w:p>
        </w:tc>
        <w:tc>
          <w:tcPr>
            <w:tcW w:w="2268" w:type="dxa"/>
            <w:tcBorders>
              <w:top w:val="nil"/>
              <w:left w:val="nil"/>
              <w:bottom w:val="single" w:sz="12" w:space="0" w:color="008000"/>
              <w:right w:val="nil"/>
            </w:tcBorders>
          </w:tcPr>
          <w:p w14:paraId="592756DA" w14:textId="3F952C10" w:rsidR="008C715F" w:rsidRPr="00D74401" w:rsidRDefault="008C715F" w:rsidP="008C715F">
            <w:pPr>
              <w:pStyle w:val="CETBodytext"/>
              <w:rPr>
                <w:sz w:val="20"/>
                <w:lang w:eastAsia="es-PE"/>
              </w:rPr>
            </w:pPr>
            <w:r w:rsidRPr="00BB23B7">
              <w:t>0.205</w:t>
            </w:r>
          </w:p>
        </w:tc>
        <w:tc>
          <w:tcPr>
            <w:tcW w:w="3033" w:type="dxa"/>
            <w:tcBorders>
              <w:top w:val="nil"/>
              <w:left w:val="nil"/>
              <w:bottom w:val="single" w:sz="12" w:space="0" w:color="008000"/>
              <w:right w:val="nil"/>
            </w:tcBorders>
            <w:shd w:val="clear" w:color="auto" w:fill="auto"/>
            <w:noWrap/>
            <w:vAlign w:val="center"/>
            <w:hideMark/>
          </w:tcPr>
          <w:p w14:paraId="2FBFF063" w14:textId="4A3E7550" w:rsidR="008C715F" w:rsidRPr="00D74401" w:rsidRDefault="008C715F" w:rsidP="008C715F">
            <w:pPr>
              <w:pStyle w:val="CETBodytext"/>
              <w:rPr>
                <w:sz w:val="20"/>
                <w:lang w:eastAsia="es-PE"/>
              </w:rPr>
            </w:pPr>
            <w:r w:rsidRPr="00D74401">
              <w:rPr>
                <w:sz w:val="20"/>
                <w:lang w:eastAsia="es-PE"/>
              </w:rPr>
              <w:t>&lt;0</w:t>
            </w:r>
            <w:r>
              <w:rPr>
                <w:sz w:val="20"/>
                <w:lang w:eastAsia="es-PE"/>
              </w:rPr>
              <w:t>.</w:t>
            </w:r>
            <w:r w:rsidRPr="00D74401">
              <w:rPr>
                <w:sz w:val="20"/>
                <w:lang w:eastAsia="es-PE"/>
              </w:rPr>
              <w:t>073</w:t>
            </w:r>
          </w:p>
        </w:tc>
        <w:tc>
          <w:tcPr>
            <w:tcW w:w="1794" w:type="dxa"/>
            <w:tcBorders>
              <w:top w:val="nil"/>
              <w:left w:val="nil"/>
              <w:bottom w:val="single" w:sz="12" w:space="0" w:color="008000"/>
              <w:right w:val="nil"/>
            </w:tcBorders>
            <w:shd w:val="clear" w:color="auto" w:fill="auto"/>
            <w:vAlign w:val="center"/>
            <w:hideMark/>
          </w:tcPr>
          <w:p w14:paraId="7175E426" w14:textId="1E797FF2" w:rsidR="008C715F" w:rsidRPr="00D74401" w:rsidRDefault="008C715F" w:rsidP="008C715F">
            <w:pPr>
              <w:pStyle w:val="CETBodytext"/>
              <w:rPr>
                <w:lang w:eastAsia="es-PE"/>
              </w:rPr>
            </w:pPr>
            <w:r w:rsidRPr="00D74401">
              <w:rPr>
                <w:lang w:eastAsia="es-PE"/>
              </w:rPr>
              <w:t>64</w:t>
            </w:r>
          </w:p>
        </w:tc>
      </w:tr>
    </w:tbl>
    <w:p w14:paraId="0F3267DC" w14:textId="1BC71A72" w:rsidR="0001283C" w:rsidRPr="00D74401" w:rsidRDefault="0001283C" w:rsidP="00EC42F2">
      <w:pPr>
        <w:pStyle w:val="CETBodytext"/>
      </w:pPr>
    </w:p>
    <w:p w14:paraId="39D60BB1" w14:textId="3AC650DE" w:rsidR="00305872" w:rsidRPr="00D74401" w:rsidRDefault="00305872" w:rsidP="00305872">
      <w:pPr>
        <w:pStyle w:val="CETTabletitle"/>
        <w:rPr>
          <w:lang w:val="en-US"/>
        </w:rPr>
      </w:pPr>
      <w:r w:rsidRPr="00D74401">
        <w:rPr>
          <w:lang w:val="en-US"/>
        </w:rPr>
        <w:t xml:space="preserve">Table </w:t>
      </w:r>
      <w:r w:rsidR="006F7851">
        <w:rPr>
          <w:lang w:val="en-US"/>
        </w:rPr>
        <w:t>6</w:t>
      </w:r>
      <w:r w:rsidRPr="00D74401">
        <w:rPr>
          <w:lang w:val="en-US"/>
        </w:rPr>
        <w:t xml:space="preserve">: </w:t>
      </w:r>
      <w:r w:rsidR="000347DA" w:rsidRPr="00D74401">
        <w:rPr>
          <w:lang w:val="en-US"/>
        </w:rPr>
        <w:t>The final concentration of the contaminant Cadmium in agricultural soi</w:t>
      </w:r>
      <w:r w:rsidR="000D5F44">
        <w:rPr>
          <w:lang w:val="en-US"/>
        </w:rPr>
        <w:t>l</w:t>
      </w:r>
    </w:p>
    <w:p w14:paraId="1EACEB84" w14:textId="77777777" w:rsidR="00305872" w:rsidRPr="00D74401" w:rsidRDefault="00305872" w:rsidP="00EC42F2">
      <w:pPr>
        <w:pStyle w:val="CETBodytext"/>
      </w:pPr>
    </w:p>
    <w:tbl>
      <w:tblPr>
        <w:tblW w:w="8515" w:type="dxa"/>
        <w:tblCellMar>
          <w:left w:w="70" w:type="dxa"/>
          <w:right w:w="70" w:type="dxa"/>
        </w:tblCellMar>
        <w:tblLook w:val="04A0" w:firstRow="1" w:lastRow="0" w:firstColumn="1" w:lastColumn="0" w:noHBand="0" w:noVBand="1"/>
      </w:tblPr>
      <w:tblGrid>
        <w:gridCol w:w="1560"/>
        <w:gridCol w:w="2268"/>
        <w:gridCol w:w="3209"/>
        <w:gridCol w:w="1478"/>
      </w:tblGrid>
      <w:tr w:rsidR="002950EE" w:rsidRPr="00D74401" w14:paraId="7A3715C6" w14:textId="77777777" w:rsidTr="008C715F">
        <w:trPr>
          <w:trHeight w:val="549"/>
        </w:trPr>
        <w:tc>
          <w:tcPr>
            <w:tcW w:w="1560" w:type="dxa"/>
            <w:tcBorders>
              <w:top w:val="single" w:sz="12" w:space="0" w:color="008000"/>
              <w:left w:val="nil"/>
              <w:bottom w:val="single" w:sz="4" w:space="0" w:color="008000"/>
              <w:right w:val="nil"/>
            </w:tcBorders>
            <w:shd w:val="clear" w:color="auto" w:fill="auto"/>
            <w:noWrap/>
            <w:vAlign w:val="center"/>
            <w:hideMark/>
          </w:tcPr>
          <w:p w14:paraId="0BB1159D" w14:textId="43E7C303" w:rsidR="002950EE" w:rsidRPr="00D74401" w:rsidRDefault="002950EE" w:rsidP="00BC6E30">
            <w:pPr>
              <w:pStyle w:val="CETBodytext"/>
              <w:rPr>
                <w:lang w:eastAsia="es-PE"/>
              </w:rPr>
            </w:pPr>
            <w:r w:rsidRPr="006F5B2E">
              <w:rPr>
                <w:lang w:eastAsia="es-PE"/>
              </w:rPr>
              <w:t>Treatment</w:t>
            </w:r>
            <w:r>
              <w:rPr>
                <w:lang w:eastAsia="es-PE"/>
              </w:rPr>
              <w:t xml:space="preserve"> Plot</w:t>
            </w:r>
          </w:p>
        </w:tc>
        <w:tc>
          <w:tcPr>
            <w:tcW w:w="2268" w:type="dxa"/>
            <w:tcBorders>
              <w:top w:val="single" w:sz="12" w:space="0" w:color="008000"/>
              <w:left w:val="nil"/>
              <w:bottom w:val="single" w:sz="4" w:space="0" w:color="008000"/>
              <w:right w:val="nil"/>
            </w:tcBorders>
          </w:tcPr>
          <w:p w14:paraId="38839F93" w14:textId="10378B98" w:rsidR="002950EE" w:rsidRPr="00D74401" w:rsidRDefault="002950EE" w:rsidP="00305872">
            <w:pPr>
              <w:pStyle w:val="CETBodytext"/>
              <w:jc w:val="left"/>
              <w:rPr>
                <w:rFonts w:ascii="Calibri" w:hAnsi="Calibri" w:cs="Calibri"/>
                <w:sz w:val="22"/>
                <w:szCs w:val="22"/>
                <w:lang w:eastAsia="es-PE"/>
              </w:rPr>
            </w:pPr>
            <w:r w:rsidRPr="002950EE">
              <w:rPr>
                <w:rFonts w:ascii="Calibri" w:hAnsi="Calibri" w:cs="Calibri"/>
                <w:sz w:val="22"/>
                <w:szCs w:val="22"/>
                <w:lang w:eastAsia="es-PE"/>
              </w:rPr>
              <w:t xml:space="preserve">Initial concentration of </w:t>
            </w:r>
            <w:r>
              <w:rPr>
                <w:rFonts w:ascii="Calibri" w:hAnsi="Calibri" w:cs="Calibri"/>
                <w:sz w:val="22"/>
                <w:szCs w:val="22"/>
                <w:lang w:eastAsia="es-PE"/>
              </w:rPr>
              <w:t>cadmium</w:t>
            </w:r>
            <w:r w:rsidRPr="002950EE">
              <w:rPr>
                <w:rFonts w:ascii="Calibri" w:hAnsi="Calibri" w:cs="Calibri"/>
                <w:sz w:val="22"/>
                <w:szCs w:val="22"/>
                <w:lang w:eastAsia="es-PE"/>
              </w:rPr>
              <w:t xml:space="preserve"> in soil</w:t>
            </w:r>
            <w:r>
              <w:rPr>
                <w:rFonts w:ascii="Calibri" w:hAnsi="Calibri" w:cs="Calibri"/>
                <w:sz w:val="22"/>
                <w:szCs w:val="22"/>
                <w:lang w:eastAsia="es-PE"/>
              </w:rPr>
              <w:t xml:space="preserve"> </w:t>
            </w:r>
            <w:r w:rsidRPr="00D74401">
              <w:rPr>
                <w:rFonts w:ascii="Calibri" w:hAnsi="Calibri" w:cs="Calibri"/>
                <w:sz w:val="22"/>
                <w:szCs w:val="22"/>
                <w:lang w:eastAsia="es-PE"/>
              </w:rPr>
              <w:t>(mg/kg)</w:t>
            </w:r>
          </w:p>
        </w:tc>
        <w:tc>
          <w:tcPr>
            <w:tcW w:w="3209" w:type="dxa"/>
            <w:tcBorders>
              <w:top w:val="single" w:sz="12" w:space="0" w:color="008000"/>
              <w:left w:val="nil"/>
              <w:bottom w:val="single" w:sz="4" w:space="0" w:color="008000"/>
              <w:right w:val="nil"/>
            </w:tcBorders>
            <w:shd w:val="clear" w:color="auto" w:fill="auto"/>
            <w:vAlign w:val="center"/>
            <w:hideMark/>
          </w:tcPr>
          <w:p w14:paraId="4FA188C3" w14:textId="3BC610E9" w:rsidR="002950EE" w:rsidRPr="00D74401" w:rsidRDefault="002950EE" w:rsidP="00305872">
            <w:pPr>
              <w:pStyle w:val="CETBodytext"/>
              <w:jc w:val="left"/>
              <w:rPr>
                <w:rFonts w:ascii="Calibri" w:hAnsi="Calibri" w:cs="Calibri"/>
                <w:sz w:val="22"/>
                <w:szCs w:val="22"/>
                <w:lang w:eastAsia="es-PE"/>
              </w:rPr>
            </w:pPr>
            <w:r w:rsidRPr="00D74401">
              <w:rPr>
                <w:rFonts w:ascii="Calibri" w:hAnsi="Calibri" w:cs="Calibri"/>
                <w:sz w:val="22"/>
                <w:szCs w:val="22"/>
                <w:lang w:eastAsia="es-PE"/>
              </w:rPr>
              <w:t>Final cadmium concentration (mg/kg)</w:t>
            </w:r>
          </w:p>
        </w:tc>
        <w:tc>
          <w:tcPr>
            <w:tcW w:w="1478" w:type="dxa"/>
            <w:tcBorders>
              <w:top w:val="single" w:sz="12" w:space="0" w:color="008000"/>
              <w:left w:val="nil"/>
              <w:bottom w:val="single" w:sz="4" w:space="0" w:color="008000"/>
              <w:right w:val="nil"/>
            </w:tcBorders>
            <w:shd w:val="clear" w:color="auto" w:fill="auto"/>
            <w:vAlign w:val="center"/>
            <w:hideMark/>
          </w:tcPr>
          <w:p w14:paraId="03088DDD" w14:textId="241199B6" w:rsidR="002950EE" w:rsidRPr="00D74401" w:rsidRDefault="002950EE" w:rsidP="00305872">
            <w:pPr>
              <w:pStyle w:val="CETBodytext"/>
              <w:jc w:val="left"/>
              <w:rPr>
                <w:rFonts w:ascii="Calibri" w:hAnsi="Calibri" w:cs="Calibri"/>
                <w:sz w:val="22"/>
                <w:szCs w:val="22"/>
                <w:lang w:eastAsia="es-PE"/>
              </w:rPr>
            </w:pPr>
            <w:r w:rsidRPr="00D74401">
              <w:rPr>
                <w:rFonts w:ascii="Calibri" w:hAnsi="Calibri" w:cs="Calibri"/>
                <w:sz w:val="22"/>
                <w:szCs w:val="22"/>
                <w:lang w:eastAsia="es-PE"/>
              </w:rPr>
              <w:t>Cadmium reduction (%)</w:t>
            </w:r>
          </w:p>
        </w:tc>
      </w:tr>
      <w:tr w:rsidR="008C715F" w:rsidRPr="00D74401" w14:paraId="6F0D2246" w14:textId="77777777" w:rsidTr="008C715F">
        <w:trPr>
          <w:trHeight w:val="320"/>
        </w:trPr>
        <w:tc>
          <w:tcPr>
            <w:tcW w:w="1560" w:type="dxa"/>
            <w:tcBorders>
              <w:top w:val="single" w:sz="4" w:space="0" w:color="008000"/>
              <w:left w:val="nil"/>
              <w:bottom w:val="nil"/>
              <w:right w:val="nil"/>
            </w:tcBorders>
            <w:shd w:val="clear" w:color="auto" w:fill="auto"/>
            <w:noWrap/>
            <w:vAlign w:val="center"/>
            <w:hideMark/>
          </w:tcPr>
          <w:p w14:paraId="2E4B3981" w14:textId="3C74BD30" w:rsidR="008C715F" w:rsidRPr="00D74401" w:rsidRDefault="008C715F" w:rsidP="008C715F">
            <w:pPr>
              <w:pStyle w:val="CETBodytext"/>
              <w:rPr>
                <w:lang w:eastAsia="es-PE"/>
              </w:rPr>
            </w:pPr>
            <w:r w:rsidRPr="00D74401">
              <w:t xml:space="preserve">Treatment </w:t>
            </w:r>
            <w:r>
              <w:t xml:space="preserve">plot </w:t>
            </w:r>
            <w:r w:rsidRPr="00D74401">
              <w:t>A</w:t>
            </w:r>
          </w:p>
        </w:tc>
        <w:tc>
          <w:tcPr>
            <w:tcW w:w="2268" w:type="dxa"/>
            <w:tcBorders>
              <w:top w:val="single" w:sz="4" w:space="0" w:color="008000"/>
              <w:left w:val="nil"/>
              <w:bottom w:val="nil"/>
              <w:right w:val="nil"/>
            </w:tcBorders>
          </w:tcPr>
          <w:p w14:paraId="4EFCE60D" w14:textId="58C842FE" w:rsidR="008C715F" w:rsidRPr="00D74401" w:rsidRDefault="008C715F" w:rsidP="008C715F">
            <w:pPr>
              <w:pStyle w:val="CETBodytext"/>
              <w:jc w:val="left"/>
              <w:rPr>
                <w:lang w:eastAsia="es-PE"/>
              </w:rPr>
            </w:pPr>
            <w:r>
              <w:rPr>
                <w:lang w:eastAsia="es-PE"/>
              </w:rPr>
              <w:t>6</w:t>
            </w:r>
          </w:p>
        </w:tc>
        <w:tc>
          <w:tcPr>
            <w:tcW w:w="3209" w:type="dxa"/>
            <w:tcBorders>
              <w:top w:val="single" w:sz="4" w:space="0" w:color="008000"/>
              <w:left w:val="nil"/>
              <w:bottom w:val="nil"/>
              <w:right w:val="nil"/>
            </w:tcBorders>
            <w:shd w:val="clear" w:color="auto" w:fill="auto"/>
            <w:noWrap/>
            <w:vAlign w:val="center"/>
            <w:hideMark/>
          </w:tcPr>
          <w:p w14:paraId="1B453493" w14:textId="2C8D9794" w:rsidR="008C715F" w:rsidRPr="00D74401" w:rsidRDefault="008C715F" w:rsidP="008C715F">
            <w:pPr>
              <w:pStyle w:val="CETBodytext"/>
              <w:jc w:val="left"/>
              <w:rPr>
                <w:lang w:eastAsia="es-PE"/>
              </w:rPr>
            </w:pPr>
            <w:r w:rsidRPr="00D74401">
              <w:rPr>
                <w:lang w:eastAsia="es-PE"/>
              </w:rPr>
              <w:t>&lt;0</w:t>
            </w:r>
            <w:r>
              <w:rPr>
                <w:lang w:eastAsia="es-PE"/>
              </w:rPr>
              <w:t>.</w:t>
            </w:r>
            <w:r w:rsidRPr="00D74401">
              <w:rPr>
                <w:lang w:eastAsia="es-PE"/>
              </w:rPr>
              <w:t>04</w:t>
            </w:r>
          </w:p>
        </w:tc>
        <w:tc>
          <w:tcPr>
            <w:tcW w:w="1478" w:type="dxa"/>
            <w:tcBorders>
              <w:top w:val="single" w:sz="4" w:space="0" w:color="008000"/>
              <w:left w:val="nil"/>
              <w:bottom w:val="nil"/>
              <w:right w:val="nil"/>
            </w:tcBorders>
            <w:shd w:val="clear" w:color="auto" w:fill="auto"/>
            <w:vAlign w:val="center"/>
            <w:hideMark/>
          </w:tcPr>
          <w:p w14:paraId="48FEB907" w14:textId="10D65E84" w:rsidR="008C715F" w:rsidRPr="00D74401" w:rsidRDefault="008C715F" w:rsidP="008C715F">
            <w:pPr>
              <w:pStyle w:val="CETBodytext"/>
              <w:jc w:val="left"/>
              <w:rPr>
                <w:lang w:eastAsia="es-PE"/>
              </w:rPr>
            </w:pPr>
            <w:r w:rsidRPr="00D74401">
              <w:rPr>
                <w:lang w:eastAsia="es-PE"/>
              </w:rPr>
              <w:t>99</w:t>
            </w:r>
            <w:r w:rsidR="000D5F44">
              <w:rPr>
                <w:lang w:eastAsia="es-PE"/>
              </w:rPr>
              <w:t xml:space="preserve"> </w:t>
            </w:r>
            <w:r w:rsidRPr="00D74401">
              <w:rPr>
                <w:lang w:eastAsia="es-PE"/>
              </w:rPr>
              <w:t>%</w:t>
            </w:r>
          </w:p>
        </w:tc>
      </w:tr>
      <w:tr w:rsidR="008C715F" w:rsidRPr="00D74401" w14:paraId="44FB11C4" w14:textId="77777777" w:rsidTr="008C715F">
        <w:trPr>
          <w:trHeight w:val="320"/>
        </w:trPr>
        <w:tc>
          <w:tcPr>
            <w:tcW w:w="1560" w:type="dxa"/>
            <w:tcBorders>
              <w:top w:val="nil"/>
              <w:left w:val="nil"/>
              <w:bottom w:val="nil"/>
              <w:right w:val="nil"/>
            </w:tcBorders>
            <w:shd w:val="clear" w:color="auto" w:fill="auto"/>
            <w:noWrap/>
            <w:vAlign w:val="center"/>
            <w:hideMark/>
          </w:tcPr>
          <w:p w14:paraId="65E8C460" w14:textId="172702F7" w:rsidR="008C715F" w:rsidRPr="00D74401" w:rsidRDefault="008C715F" w:rsidP="008C715F">
            <w:pPr>
              <w:pStyle w:val="CETBodytext"/>
              <w:rPr>
                <w:lang w:eastAsia="es-PE"/>
              </w:rPr>
            </w:pPr>
            <w:r w:rsidRPr="00D74401">
              <w:t xml:space="preserve">Treatment </w:t>
            </w:r>
            <w:r>
              <w:t xml:space="preserve">plot </w:t>
            </w:r>
            <w:r w:rsidRPr="00D74401">
              <w:t>B</w:t>
            </w:r>
          </w:p>
        </w:tc>
        <w:tc>
          <w:tcPr>
            <w:tcW w:w="2268" w:type="dxa"/>
            <w:tcBorders>
              <w:top w:val="nil"/>
              <w:left w:val="nil"/>
              <w:bottom w:val="nil"/>
              <w:right w:val="nil"/>
            </w:tcBorders>
          </w:tcPr>
          <w:p w14:paraId="76FAEE8A" w14:textId="15BEFAAB" w:rsidR="008C715F" w:rsidRPr="00D74401" w:rsidRDefault="008C715F" w:rsidP="008C715F">
            <w:pPr>
              <w:pStyle w:val="CETBodytext"/>
              <w:jc w:val="left"/>
              <w:rPr>
                <w:lang w:eastAsia="es-PE"/>
              </w:rPr>
            </w:pPr>
            <w:r>
              <w:rPr>
                <w:lang w:eastAsia="es-PE"/>
              </w:rPr>
              <w:t>6</w:t>
            </w:r>
          </w:p>
        </w:tc>
        <w:tc>
          <w:tcPr>
            <w:tcW w:w="3209" w:type="dxa"/>
            <w:tcBorders>
              <w:top w:val="nil"/>
              <w:left w:val="nil"/>
              <w:bottom w:val="nil"/>
              <w:right w:val="nil"/>
            </w:tcBorders>
            <w:shd w:val="clear" w:color="auto" w:fill="auto"/>
            <w:noWrap/>
            <w:vAlign w:val="center"/>
            <w:hideMark/>
          </w:tcPr>
          <w:p w14:paraId="1BA65170" w14:textId="57126008" w:rsidR="008C715F" w:rsidRPr="00D74401" w:rsidRDefault="008C715F" w:rsidP="008C715F">
            <w:pPr>
              <w:pStyle w:val="CETBodytext"/>
              <w:jc w:val="left"/>
              <w:rPr>
                <w:lang w:eastAsia="es-PE"/>
              </w:rPr>
            </w:pPr>
            <w:r w:rsidRPr="00D74401">
              <w:rPr>
                <w:lang w:eastAsia="es-PE"/>
              </w:rPr>
              <w:t>&lt;0</w:t>
            </w:r>
            <w:r>
              <w:rPr>
                <w:lang w:eastAsia="es-PE"/>
              </w:rPr>
              <w:t>.</w:t>
            </w:r>
            <w:r w:rsidRPr="00D74401">
              <w:rPr>
                <w:lang w:eastAsia="es-PE"/>
              </w:rPr>
              <w:t>04</w:t>
            </w:r>
          </w:p>
        </w:tc>
        <w:tc>
          <w:tcPr>
            <w:tcW w:w="1478" w:type="dxa"/>
            <w:tcBorders>
              <w:top w:val="nil"/>
              <w:left w:val="nil"/>
              <w:bottom w:val="nil"/>
              <w:right w:val="nil"/>
            </w:tcBorders>
            <w:shd w:val="clear" w:color="auto" w:fill="auto"/>
            <w:vAlign w:val="center"/>
            <w:hideMark/>
          </w:tcPr>
          <w:p w14:paraId="568EF287" w14:textId="0AF49BD0" w:rsidR="008C715F" w:rsidRPr="00D74401" w:rsidRDefault="008C715F" w:rsidP="008C715F">
            <w:pPr>
              <w:pStyle w:val="CETBodytext"/>
              <w:jc w:val="left"/>
              <w:rPr>
                <w:lang w:eastAsia="es-PE"/>
              </w:rPr>
            </w:pPr>
            <w:r w:rsidRPr="00D74401">
              <w:rPr>
                <w:lang w:eastAsia="es-PE"/>
              </w:rPr>
              <w:t>99</w:t>
            </w:r>
            <w:r w:rsidR="000D5F44">
              <w:rPr>
                <w:lang w:eastAsia="es-PE"/>
              </w:rPr>
              <w:t xml:space="preserve"> </w:t>
            </w:r>
            <w:r w:rsidRPr="00D74401">
              <w:rPr>
                <w:lang w:eastAsia="es-PE"/>
              </w:rPr>
              <w:t>%</w:t>
            </w:r>
          </w:p>
        </w:tc>
      </w:tr>
      <w:tr w:rsidR="008C715F" w:rsidRPr="00D74401" w14:paraId="74D76D54" w14:textId="77777777" w:rsidTr="008C715F">
        <w:trPr>
          <w:trHeight w:val="320"/>
        </w:trPr>
        <w:tc>
          <w:tcPr>
            <w:tcW w:w="1560" w:type="dxa"/>
            <w:tcBorders>
              <w:top w:val="nil"/>
              <w:left w:val="nil"/>
              <w:bottom w:val="single" w:sz="12" w:space="0" w:color="008000"/>
              <w:right w:val="nil"/>
            </w:tcBorders>
            <w:shd w:val="clear" w:color="auto" w:fill="auto"/>
            <w:noWrap/>
            <w:vAlign w:val="center"/>
            <w:hideMark/>
          </w:tcPr>
          <w:p w14:paraId="6EE5552E" w14:textId="571DBC44" w:rsidR="008C715F" w:rsidRPr="00D74401" w:rsidRDefault="008C715F" w:rsidP="008C715F">
            <w:pPr>
              <w:pStyle w:val="CETBodytext"/>
              <w:rPr>
                <w:lang w:eastAsia="es-PE"/>
              </w:rPr>
            </w:pPr>
            <w:r w:rsidRPr="00D74401">
              <w:t xml:space="preserve">Treatment </w:t>
            </w:r>
            <w:r>
              <w:t xml:space="preserve">plot </w:t>
            </w:r>
            <w:r w:rsidRPr="00D74401">
              <w:t>C</w:t>
            </w:r>
          </w:p>
        </w:tc>
        <w:tc>
          <w:tcPr>
            <w:tcW w:w="2268" w:type="dxa"/>
            <w:tcBorders>
              <w:top w:val="nil"/>
              <w:left w:val="nil"/>
              <w:bottom w:val="single" w:sz="12" w:space="0" w:color="008000"/>
              <w:right w:val="nil"/>
            </w:tcBorders>
          </w:tcPr>
          <w:p w14:paraId="35BC5F5E" w14:textId="5AA33747" w:rsidR="008C715F" w:rsidRPr="00D74401" w:rsidRDefault="008C715F" w:rsidP="008C715F">
            <w:pPr>
              <w:pStyle w:val="CETBodytext"/>
              <w:jc w:val="left"/>
              <w:rPr>
                <w:lang w:eastAsia="es-PE"/>
              </w:rPr>
            </w:pPr>
            <w:r>
              <w:rPr>
                <w:lang w:eastAsia="es-PE"/>
              </w:rPr>
              <w:t>6</w:t>
            </w:r>
          </w:p>
        </w:tc>
        <w:tc>
          <w:tcPr>
            <w:tcW w:w="3209" w:type="dxa"/>
            <w:tcBorders>
              <w:top w:val="nil"/>
              <w:left w:val="nil"/>
              <w:bottom w:val="single" w:sz="12" w:space="0" w:color="008000"/>
              <w:right w:val="nil"/>
            </w:tcBorders>
            <w:shd w:val="clear" w:color="auto" w:fill="auto"/>
            <w:noWrap/>
            <w:vAlign w:val="center"/>
            <w:hideMark/>
          </w:tcPr>
          <w:p w14:paraId="71623423" w14:textId="139E29F5" w:rsidR="008C715F" w:rsidRPr="00D74401" w:rsidRDefault="008C715F" w:rsidP="008C715F">
            <w:pPr>
              <w:pStyle w:val="CETBodytext"/>
              <w:jc w:val="left"/>
              <w:rPr>
                <w:lang w:eastAsia="es-PE"/>
              </w:rPr>
            </w:pPr>
            <w:r w:rsidRPr="00D74401">
              <w:rPr>
                <w:lang w:eastAsia="es-PE"/>
              </w:rPr>
              <w:t>&lt;0</w:t>
            </w:r>
            <w:r>
              <w:rPr>
                <w:lang w:eastAsia="es-PE"/>
              </w:rPr>
              <w:t>.</w:t>
            </w:r>
            <w:r w:rsidRPr="00D74401">
              <w:rPr>
                <w:lang w:eastAsia="es-PE"/>
              </w:rPr>
              <w:t>04</w:t>
            </w:r>
          </w:p>
        </w:tc>
        <w:tc>
          <w:tcPr>
            <w:tcW w:w="1478" w:type="dxa"/>
            <w:tcBorders>
              <w:top w:val="nil"/>
              <w:left w:val="nil"/>
              <w:bottom w:val="single" w:sz="12" w:space="0" w:color="008000"/>
              <w:right w:val="nil"/>
            </w:tcBorders>
            <w:shd w:val="clear" w:color="auto" w:fill="auto"/>
            <w:vAlign w:val="center"/>
            <w:hideMark/>
          </w:tcPr>
          <w:p w14:paraId="5F770A6A" w14:textId="650A3455" w:rsidR="008C715F" w:rsidRPr="00D74401" w:rsidRDefault="008C715F" w:rsidP="008C715F">
            <w:pPr>
              <w:pStyle w:val="CETBodytext"/>
              <w:jc w:val="left"/>
              <w:rPr>
                <w:lang w:eastAsia="es-PE"/>
              </w:rPr>
            </w:pPr>
            <w:r w:rsidRPr="00D74401">
              <w:rPr>
                <w:lang w:eastAsia="es-PE"/>
              </w:rPr>
              <w:t>99</w:t>
            </w:r>
            <w:r w:rsidR="000D5F44">
              <w:rPr>
                <w:lang w:eastAsia="es-PE"/>
              </w:rPr>
              <w:t xml:space="preserve"> </w:t>
            </w:r>
            <w:r w:rsidRPr="00D74401">
              <w:rPr>
                <w:lang w:eastAsia="es-PE"/>
              </w:rPr>
              <w:t>%</w:t>
            </w:r>
          </w:p>
        </w:tc>
      </w:tr>
    </w:tbl>
    <w:p w14:paraId="6AD3E883" w14:textId="4DD7612C" w:rsidR="00305872" w:rsidRDefault="00305872" w:rsidP="00EC42F2">
      <w:pPr>
        <w:pStyle w:val="CETBodytext"/>
      </w:pPr>
    </w:p>
    <w:p w14:paraId="5AB7B7AA" w14:textId="5F3AF3A2" w:rsidR="003A410D" w:rsidRPr="00D74401" w:rsidRDefault="003A410D" w:rsidP="00EC42F2">
      <w:pPr>
        <w:pStyle w:val="CETBodytext"/>
      </w:pPr>
      <w:r w:rsidRPr="003A410D">
        <w:t>The degradation of the insecticide by fungi follows the metabolic phases with intracellular mechanisms that transform contaminants with reductive and oxidative processes, a characteristic that makes it tolerant and suitable for bioremediation processes, but in the case of some resistant ones, extracellular oxidative processes also occur where ligninolytic enzymes allow decontamination to be carried out (Qu</w:t>
      </w:r>
      <w:r w:rsidR="00767F40">
        <w:t>i</w:t>
      </w:r>
      <w:r w:rsidRPr="003A410D">
        <w:t>nteros, 2011)</w:t>
      </w:r>
      <w:r>
        <w:t xml:space="preserve">; </w:t>
      </w:r>
    </w:p>
    <w:p w14:paraId="4891F226" w14:textId="6E51F2AE" w:rsidR="00633A98" w:rsidRPr="00D74401" w:rsidRDefault="002F37C9" w:rsidP="00E761FD">
      <w:pPr>
        <w:pStyle w:val="CETHeading1"/>
      </w:pPr>
      <w:r w:rsidRPr="00D74401">
        <w:t>Conclusion</w:t>
      </w:r>
      <w:r w:rsidR="0070541D">
        <w:t>s</w:t>
      </w:r>
    </w:p>
    <w:p w14:paraId="28A0F9FA" w14:textId="1B508315" w:rsidR="00E761FD" w:rsidRPr="00D74401" w:rsidRDefault="0033698D" w:rsidP="00856E74">
      <w:pPr>
        <w:pStyle w:val="CETBodytext"/>
        <w:rPr>
          <w:rFonts w:eastAsia="SimSun"/>
        </w:rPr>
        <w:sectPr w:rsidR="00E761FD" w:rsidRPr="00D74401" w:rsidSect="00E761FD">
          <w:type w:val="continuous"/>
          <w:pgSz w:w="11906" w:h="16838" w:code="9"/>
          <w:pgMar w:top="1701" w:right="1418" w:bottom="1701" w:left="1701" w:header="1701" w:footer="0" w:gutter="0"/>
          <w:cols w:space="708"/>
          <w:formProt w:val="0"/>
          <w:titlePg/>
          <w:docGrid w:linePitch="360"/>
        </w:sectPr>
      </w:pPr>
      <w:r w:rsidRPr="00D74401">
        <w:t xml:space="preserve">It was established that the fungi </w:t>
      </w:r>
      <w:r w:rsidRPr="000D5F44">
        <w:rPr>
          <w:i/>
          <w:iCs/>
        </w:rPr>
        <w:t>Pleurotus ostreatus</w:t>
      </w:r>
      <w:r w:rsidRPr="00D74401">
        <w:t xml:space="preserve"> and </w:t>
      </w:r>
      <w:r w:rsidRPr="000D5F44">
        <w:rPr>
          <w:i/>
          <w:iCs/>
        </w:rPr>
        <w:t>Trametes versicolor</w:t>
      </w:r>
      <w:r w:rsidRPr="00D74401">
        <w:t xml:space="preserve"> allowed reducing the presence of Methamidophos and Cadmium in agricultural soils. After the treatment it was possible to reduce 73% of the organophosphate insecticide and 99% for Cadmium; this means that it is possible to use fungi of this type to recover contaminated soils in an environmentally sustainable way and of easy application, requiring only basic training, with the perspective of using the method in areas of agricultural soils with intensive use of pesticides in order to reduce their contamination.</w:t>
      </w:r>
      <w:r w:rsidR="00EC3D21" w:rsidRPr="00D74401">
        <w:t xml:space="preserve">  </w:t>
      </w:r>
      <w:r w:rsidR="00856E74" w:rsidRPr="00D74401">
        <w:t xml:space="preserve"> </w:t>
      </w:r>
    </w:p>
    <w:p w14:paraId="38BFE636" w14:textId="09CE6619" w:rsidR="00280FAF" w:rsidRPr="00D74401" w:rsidRDefault="00280FAF" w:rsidP="00280FAF">
      <w:pPr>
        <w:pStyle w:val="CETBodytext"/>
        <w:jc w:val="left"/>
        <w:rPr>
          <w:rFonts w:eastAsia="SimSun"/>
        </w:rPr>
        <w:sectPr w:rsidR="00280FAF" w:rsidRPr="00D74401" w:rsidSect="00E761FD">
          <w:type w:val="continuous"/>
          <w:pgSz w:w="11906" w:h="16838" w:code="9"/>
          <w:pgMar w:top="1701" w:right="1418" w:bottom="1701" w:left="1701" w:header="1701" w:footer="0" w:gutter="0"/>
          <w:cols w:space="708"/>
          <w:formProt w:val="0"/>
          <w:titlePg/>
          <w:docGrid w:linePitch="360"/>
        </w:sectPr>
      </w:pPr>
    </w:p>
    <w:p w14:paraId="459D05E6" w14:textId="77777777" w:rsidR="00600535" w:rsidRPr="00D74401" w:rsidRDefault="00600535" w:rsidP="0070541D">
      <w:pPr>
        <w:pStyle w:val="CETAcknowledgementstitle"/>
        <w:spacing w:before="0"/>
        <w:rPr>
          <w:lang w:val="en-US"/>
        </w:rPr>
      </w:pPr>
      <w:r w:rsidRPr="00D74401">
        <w:rPr>
          <w:lang w:val="en-US"/>
        </w:rPr>
        <w:t>Acknowledgments</w:t>
      </w:r>
    </w:p>
    <w:p w14:paraId="187DFBF4" w14:textId="77777777" w:rsidR="00F57DD3" w:rsidRPr="00F935FB" w:rsidRDefault="00F57DD3" w:rsidP="00F57DD3">
      <w:pPr>
        <w:pStyle w:val="CETBodytext"/>
      </w:pPr>
      <w:r w:rsidRPr="0048329B">
        <w:t>The authors would like to thank "Investiga UCV" of the Universidad César Vallejo for financial support for t</w:t>
      </w:r>
      <w:r>
        <w:t>he publication of this research</w:t>
      </w:r>
      <w:r w:rsidRPr="00F935FB">
        <w:t>.</w:t>
      </w:r>
    </w:p>
    <w:p w14:paraId="4F1327F8" w14:textId="77777777" w:rsidR="00600535" w:rsidRPr="00D74401" w:rsidRDefault="00600535" w:rsidP="00600535">
      <w:pPr>
        <w:pStyle w:val="CETReference"/>
        <w:rPr>
          <w:lang w:val="en-US"/>
        </w:rPr>
      </w:pPr>
      <w:r w:rsidRPr="00D74401">
        <w:rPr>
          <w:lang w:val="en-US"/>
        </w:rPr>
        <w:t>References</w:t>
      </w:r>
    </w:p>
    <w:p w14:paraId="3DF31EB6" w14:textId="77777777" w:rsidR="00795EF1" w:rsidRPr="00D74401" w:rsidRDefault="00795EF1" w:rsidP="00475650">
      <w:pPr>
        <w:pStyle w:val="CETReferencetext"/>
        <w:rPr>
          <w:lang w:val="en-US"/>
        </w:rPr>
      </w:pPr>
      <w:r w:rsidRPr="00D74401">
        <w:rPr>
          <w:lang w:val="en-US"/>
        </w:rPr>
        <w:t>Ali N., Khairudin H., Mohamed M., Hassan O., 2018, Cultivation of Pleurotus Ostreatus on Oil Palm Fronds Mixed with Rubber Tree Aserrín, Chemical Engineering Transactions, 63, 547-552.</w:t>
      </w:r>
    </w:p>
    <w:p w14:paraId="32EDFDB7" w14:textId="77777777" w:rsidR="00795EF1" w:rsidRPr="00F57DD3" w:rsidRDefault="00795EF1" w:rsidP="001F08FD">
      <w:pPr>
        <w:pStyle w:val="CETReferencetext"/>
        <w:rPr>
          <w:lang w:val="es-PE"/>
        </w:rPr>
      </w:pPr>
      <w:r w:rsidRPr="00F57DD3">
        <w:rPr>
          <w:lang w:val="es-PE"/>
        </w:rPr>
        <w:t>Baer K. N., Marcel B. J., 2014, Methamidophos, Encyclopedia of Toxicology, Estados Unidos de America: Elsevier pp. 232–234. Los Angeles.</w:t>
      </w:r>
    </w:p>
    <w:p w14:paraId="6F2B27E6" w14:textId="77777777" w:rsidR="00795EF1" w:rsidRPr="00F57DD3" w:rsidRDefault="00795EF1" w:rsidP="00CC471B">
      <w:pPr>
        <w:pStyle w:val="CETReferencetext"/>
        <w:rPr>
          <w:lang w:val="es-PE"/>
        </w:rPr>
      </w:pPr>
      <w:r w:rsidRPr="00F57DD3">
        <w:rPr>
          <w:lang w:val="es-PE"/>
        </w:rPr>
        <w:t>Castillo B., et al., 2020, Contaminación por plaguicidas agrícolas en los campos de cultivos en Cañete (Perú), Revista Espacios, 41(10), 11, &lt;/www.revistaespacios.com/a20v41n10/a20v41n10p11.pdf&gt;, accessed 20.01.2023.</w:t>
      </w:r>
    </w:p>
    <w:p w14:paraId="65A69B43" w14:textId="77777777" w:rsidR="00795EF1" w:rsidRPr="00F57DD3" w:rsidRDefault="00795EF1" w:rsidP="00475650">
      <w:pPr>
        <w:pStyle w:val="CETReferencetext"/>
        <w:rPr>
          <w:lang w:val="es-PE"/>
        </w:rPr>
      </w:pPr>
      <w:r w:rsidRPr="00F57DD3">
        <w:rPr>
          <w:lang w:val="es-PE"/>
        </w:rPr>
        <w:lastRenderedPageBreak/>
        <w:t>Fernández J., Henao L., Pedroza A., Quevedo B., Inmovilización de hongos ligninolíticos para la remoción del colorante negro reactivo 5, Revista Colombiana de Biotecnología, 11(1), 59-72.</w:t>
      </w:r>
    </w:p>
    <w:p w14:paraId="439F4B28" w14:textId="77777777" w:rsidR="00795EF1" w:rsidRPr="00D74401" w:rsidRDefault="00795EF1" w:rsidP="00CC471B">
      <w:pPr>
        <w:pStyle w:val="CETReferencetext"/>
        <w:rPr>
          <w:lang w:val="en-US"/>
        </w:rPr>
      </w:pPr>
      <w:r w:rsidRPr="00D74401">
        <w:rPr>
          <w:lang w:val="en-US"/>
        </w:rPr>
        <w:t>González B., Pazmiño D., 2016, Use of agrochemicals and accumulation of cadmium and lead in soils used for tobacco production, Thesis Magíster, Quevedo State Technical University, &lt;repositorio.uteq.edu.ec/handle/43000/1810&gt;, accessed 25.01.2023.</w:t>
      </w:r>
    </w:p>
    <w:p w14:paraId="511313FF" w14:textId="77777777" w:rsidR="00795EF1" w:rsidRPr="00D74401" w:rsidRDefault="00795EF1" w:rsidP="00475650">
      <w:pPr>
        <w:pStyle w:val="CETReferencetext"/>
        <w:rPr>
          <w:lang w:val="en-US"/>
        </w:rPr>
      </w:pPr>
      <w:r w:rsidRPr="00D74401">
        <w:rPr>
          <w:lang w:val="en-US"/>
        </w:rPr>
        <w:t>Gouma S., Fragoeiro S.,Bastos A.C., Magan N., 2014, 13 - Bacterial and Fungal Bioremediation Strategies, Editor(s): Surajit Das, Microbial Biodegradation and Bioremediation, Elsevier, 301-323&lt; doi.org/10.1016/B978-0-12-800021-2.00013-3&gt;, accessed 15.01.2023.</w:t>
      </w:r>
    </w:p>
    <w:p w14:paraId="63F30F00" w14:textId="77777777" w:rsidR="00795EF1" w:rsidRPr="00F57DD3" w:rsidRDefault="00795EF1" w:rsidP="00475650">
      <w:pPr>
        <w:pStyle w:val="CETReferencetext"/>
        <w:rPr>
          <w:lang w:val="es-PE"/>
        </w:rPr>
      </w:pPr>
      <w:r w:rsidRPr="00F57DD3">
        <w:rPr>
          <w:lang w:val="es-PE"/>
        </w:rPr>
        <w:t>Hernández-Mansilla A., Rosón-Álvarez C., 2005, Evaluación preliminar del crecimiento y la esporulación de Aschersonia aleyrodis Webber en medios de cultivo convencionales, Fitosan, 9(3), 61-63, 2005.</w:t>
      </w:r>
    </w:p>
    <w:p w14:paraId="7E936C61" w14:textId="31E78E72" w:rsidR="00795EF1" w:rsidRPr="00D74401" w:rsidRDefault="00795EF1" w:rsidP="00757B19">
      <w:pPr>
        <w:pStyle w:val="CETReferencetext"/>
        <w:rPr>
          <w:lang w:val="en-US"/>
        </w:rPr>
      </w:pPr>
      <w:r w:rsidRPr="00D74401">
        <w:rPr>
          <w:lang w:val="en-US"/>
        </w:rPr>
        <w:t>Kocaoba S., Arısoy M., 2018, Biosorption of cadmium</w:t>
      </w:r>
      <w:r w:rsidR="0033698D" w:rsidRPr="00D74401">
        <w:rPr>
          <w:lang w:val="en-US"/>
        </w:rPr>
        <w:t xml:space="preserve"> </w:t>
      </w:r>
      <w:r w:rsidRPr="00D74401">
        <w:rPr>
          <w:lang w:val="en-US"/>
        </w:rPr>
        <w:t>(II) and lead</w:t>
      </w:r>
      <w:r w:rsidR="00D74401">
        <w:rPr>
          <w:lang w:val="en-US"/>
        </w:rPr>
        <w:t xml:space="preserve"> </w:t>
      </w:r>
      <w:r w:rsidRPr="00D74401">
        <w:rPr>
          <w:lang w:val="en-US"/>
        </w:rPr>
        <w:t>(II) from aqueous solutions using Pleurotus ostreatus immobilized on bentonite, Separation Science and Technology, 53(11), 1703-1710, DOI: 10.1080/01496395.2018.1442477.</w:t>
      </w:r>
    </w:p>
    <w:p w14:paraId="78B1CF54" w14:textId="77777777" w:rsidR="00795EF1" w:rsidRPr="00F57DD3" w:rsidRDefault="00795EF1" w:rsidP="00475650">
      <w:pPr>
        <w:pStyle w:val="CETReferencetext"/>
        <w:rPr>
          <w:lang w:val="es-PE"/>
        </w:rPr>
      </w:pPr>
      <w:r w:rsidRPr="00F57DD3">
        <w:rPr>
          <w:lang w:val="es-PE"/>
        </w:rPr>
        <w:t>Maldonado L., 2017, Evaluación de la biodegradación de un insecticida organofosforado en muestras de suelo de cultivo de papa mediante Trichoderma harzianum y Pleurotus ostreatus, Thesis, Universidad Salesiana del Ecuador, &lt; dspace.ups.edu.ec/handle/123456789/13678&gt;, accessed 10.11.2022.</w:t>
      </w:r>
    </w:p>
    <w:p w14:paraId="586BC0BA" w14:textId="6BEE1455" w:rsidR="00795EF1" w:rsidRPr="00F57DD3" w:rsidRDefault="00795EF1" w:rsidP="00757B19">
      <w:pPr>
        <w:pStyle w:val="CETReferencetext"/>
        <w:rPr>
          <w:lang w:val="es-PE"/>
        </w:rPr>
      </w:pPr>
      <w:r w:rsidRPr="00F57DD3">
        <w:rPr>
          <w:lang w:val="es-PE"/>
        </w:rPr>
        <w:t>MINAM, 2014, Guía para el muestreo de suelos, Ministerio del Ambiente, Dirección General de Calidad Ambiental</w:t>
      </w:r>
      <w:r w:rsidR="0033698D" w:rsidRPr="00F57DD3">
        <w:rPr>
          <w:lang w:val="es-PE"/>
        </w:rPr>
        <w:t xml:space="preserve">, </w:t>
      </w:r>
      <w:r w:rsidRPr="00F57DD3">
        <w:rPr>
          <w:lang w:val="es-PE"/>
        </w:rPr>
        <w:t>Lima MINAM, &lt;</w:t>
      </w:r>
      <w:r w:rsidR="00D74401" w:rsidRPr="00F57DD3">
        <w:rPr>
          <w:lang w:val="es-PE"/>
        </w:rPr>
        <w:t xml:space="preserve"> </w:t>
      </w:r>
      <w:r w:rsidRPr="00F57DD3">
        <w:rPr>
          <w:lang w:val="es-PE"/>
        </w:rPr>
        <w:t>cdn.www.gob.pe/uploads/document/file/12104/07_guia-para-el-muestreo-de-suelos-final.pdf?v=1530548695&gt;, accessed 15.01.2023.</w:t>
      </w:r>
    </w:p>
    <w:p w14:paraId="38CD791C" w14:textId="77777777" w:rsidR="00795EF1" w:rsidRPr="00F57DD3" w:rsidRDefault="00795EF1" w:rsidP="00685A93">
      <w:pPr>
        <w:pStyle w:val="CETReferencetext"/>
        <w:rPr>
          <w:lang w:val="es-PE"/>
        </w:rPr>
      </w:pPr>
      <w:r w:rsidRPr="00F57DD3">
        <w:rPr>
          <w:lang w:val="es-PE"/>
        </w:rPr>
        <w:t>MINAM, 2017, D.S. N°011-2017-MINAM: Aprueban Estándares de Calidad Ambiental (ECA) para Suelo, DIARIO El Peruano, p.12.</w:t>
      </w:r>
    </w:p>
    <w:p w14:paraId="3DAC0356" w14:textId="77777777" w:rsidR="00795EF1" w:rsidRPr="00D74401" w:rsidRDefault="00795EF1" w:rsidP="00CC471B">
      <w:pPr>
        <w:pStyle w:val="CETReferencetext"/>
        <w:rPr>
          <w:lang w:val="en-US"/>
        </w:rPr>
      </w:pPr>
      <w:r w:rsidRPr="00D74401">
        <w:rPr>
          <w:lang w:val="en-US"/>
        </w:rPr>
        <w:t>National Pesticide Informatio0n Center (NPIC), 2019, What happens to pesticides released into the environment? &lt;npic.orst.edu/envir/efate.es.html&gt;, accessed 25.01.2023.</w:t>
      </w:r>
    </w:p>
    <w:p w14:paraId="0B08BDC2" w14:textId="11784484" w:rsidR="00795EF1" w:rsidRDefault="00795EF1" w:rsidP="001473F5">
      <w:pPr>
        <w:pStyle w:val="CETReferencetext"/>
        <w:rPr>
          <w:lang w:val="en-US"/>
        </w:rPr>
      </w:pPr>
      <w:r w:rsidRPr="00D74401">
        <w:rPr>
          <w:lang w:val="en-US"/>
        </w:rPr>
        <w:t>Qin H., Yue Q., Liang Y., Zhang J., Zhou L., Borrás O., Liu X., 2018, Extracellular biosynthesis of biocompatible cadmium sulfide quantum dots using Trametes versicolor, Journal of Biotechnology, 284, 52-56, &lt;doi.org/10.1016/j.jbiotec.2018.08.004.&gt;.</w:t>
      </w:r>
    </w:p>
    <w:p w14:paraId="4DE92C0E" w14:textId="479FF9B2" w:rsidR="00767F40" w:rsidRPr="00D74401" w:rsidRDefault="00767F40" w:rsidP="001473F5">
      <w:pPr>
        <w:pStyle w:val="CETReferencetext"/>
        <w:rPr>
          <w:lang w:val="en-US"/>
        </w:rPr>
      </w:pPr>
      <w:r w:rsidRPr="00767F40">
        <w:rPr>
          <w:lang w:val="en-US"/>
        </w:rPr>
        <w:t>Quinteros J., 2011, Pesticides Degradation by White Rot Fungi: A Review, (In Spanish), Rev.Fac.Nal.Agr.Medellín 64(1)5867-5882, &lt;scielo.org.co/pdf/rfnam/v64n1/a12v64n01.pdf&gt; Acceseed 21.03.2023.</w:t>
      </w:r>
    </w:p>
    <w:p w14:paraId="696461D6" w14:textId="77777777" w:rsidR="00795EF1" w:rsidRPr="00F57DD3" w:rsidRDefault="00795EF1" w:rsidP="00475650">
      <w:pPr>
        <w:pStyle w:val="CETReferencetext"/>
        <w:rPr>
          <w:lang w:val="es-PE"/>
        </w:rPr>
      </w:pPr>
      <w:r w:rsidRPr="00F57DD3">
        <w:rPr>
          <w:lang w:val="es-PE"/>
        </w:rPr>
        <w:t>Quintero J., Feijoo G., Lemar M., 2006, Production of ligninolytic enzymes from basidiomycete fungi on lignocellulosic materials, Revista de la Facultad de Química Farmacéutica, Universidad de ntioquia, Medellín – Colombia, 13(2), 61-67.</w:t>
      </w:r>
    </w:p>
    <w:p w14:paraId="4B0A4EF2" w14:textId="77777777" w:rsidR="00795EF1" w:rsidRPr="00D74401" w:rsidRDefault="00795EF1" w:rsidP="00BF7B40">
      <w:pPr>
        <w:pStyle w:val="CETReferencetext"/>
        <w:rPr>
          <w:lang w:val="en-US"/>
        </w:rPr>
      </w:pPr>
      <w:r w:rsidRPr="00D74401">
        <w:rPr>
          <w:lang w:val="en-US"/>
        </w:rPr>
        <w:t>Sánchez J., Marrugo J., Urangoet I., 2014, Simultaneous biosorption of lead and cadmium from aqueos solution by fungal biomass Penicillium sp., Temas Agrarios, 19(1), 63 – 72.</w:t>
      </w:r>
    </w:p>
    <w:p w14:paraId="65836B95" w14:textId="77777777" w:rsidR="00795EF1" w:rsidRPr="00F57DD3" w:rsidRDefault="00795EF1" w:rsidP="00CC471B">
      <w:pPr>
        <w:pStyle w:val="CETReferencetext"/>
        <w:rPr>
          <w:lang w:val="es-PE"/>
        </w:rPr>
      </w:pPr>
      <w:r w:rsidRPr="00F57DD3">
        <w:rPr>
          <w:lang w:val="es-PE"/>
        </w:rPr>
        <w:t>SENASA, 2020, R.D Nº 0022-2020-MINAGRI-SENASA-DIAIA: Prohíben el uso de plaguicidas químicos de uso agrícola que contengan el ingrediente activo Methamidophos a partir del 30 de noviembre de 2020 y dictan diversas disposiciones, Diario El Peruano, Normas Legales, &lt;busquedas.elperuano.pe/normaslegales/prohiben-el-uso-de-plaguicidas-quimicos-de-uso-agricola-que-resolucion-directoral-n-0022-2020-minagri-senasa-diaia-1855406-1/&gt;, accessed 20.01.2023.</w:t>
      </w:r>
    </w:p>
    <w:p w14:paraId="7DC332E1" w14:textId="77777777" w:rsidR="00795EF1" w:rsidRPr="00D74401" w:rsidRDefault="00795EF1" w:rsidP="00475650">
      <w:pPr>
        <w:pStyle w:val="CETReferencetext"/>
        <w:rPr>
          <w:lang w:val="en-US"/>
        </w:rPr>
      </w:pPr>
      <w:r w:rsidRPr="00D74401">
        <w:rPr>
          <w:lang w:val="en-US"/>
        </w:rPr>
        <w:t>Zakil F.A., Mohd Sueb M.S., Isha R., Kamaluddin S.H., 2021, Efficiency of Charcoal as Supporting Growth Material in Pleurotus Ostreatus Mushroom Cultivation on Various Agricultural Wastes Mixed with Rubber Tree Sawdust (SR), Chemical Engineering Transactions, 89, 415-420</w:t>
      </w:r>
    </w:p>
    <w:p w14:paraId="7E965A06" w14:textId="496D986F" w:rsidR="004E1F79" w:rsidRPr="00D74401" w:rsidRDefault="00D136DE" w:rsidP="00475650">
      <w:pPr>
        <w:pStyle w:val="CETReferencetext"/>
        <w:rPr>
          <w:lang w:val="en-US"/>
        </w:rPr>
      </w:pPr>
      <w:r w:rsidRPr="00D74401">
        <w:rPr>
          <w:lang w:val="en-US"/>
        </w:rPr>
        <w:t xml:space="preserve"> </w:t>
      </w:r>
    </w:p>
    <w:p w14:paraId="4EAC52F7" w14:textId="77777777" w:rsidR="00CC471B" w:rsidRPr="00D74401" w:rsidRDefault="00CC471B" w:rsidP="00600535">
      <w:pPr>
        <w:pStyle w:val="CETBodytext"/>
      </w:pPr>
    </w:p>
    <w:sectPr w:rsidR="00CC471B" w:rsidRPr="00D74401"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D86EF1" w14:textId="77777777" w:rsidR="006F0349" w:rsidRDefault="006F0349" w:rsidP="004F5E36">
      <w:r>
        <w:separator/>
      </w:r>
    </w:p>
  </w:endnote>
  <w:endnote w:type="continuationSeparator" w:id="0">
    <w:p w14:paraId="4F5A487A" w14:textId="77777777" w:rsidR="006F0349" w:rsidRDefault="006F034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41158A" w14:textId="77777777" w:rsidR="006F0349" w:rsidRDefault="006F0349" w:rsidP="004F5E36">
      <w:r>
        <w:separator/>
      </w:r>
    </w:p>
  </w:footnote>
  <w:footnote w:type="continuationSeparator" w:id="0">
    <w:p w14:paraId="2D0495A0" w14:textId="77777777" w:rsidR="006F0349" w:rsidRDefault="006F034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9F3"/>
    <w:rsid w:val="000052FB"/>
    <w:rsid w:val="000117CB"/>
    <w:rsid w:val="0001283C"/>
    <w:rsid w:val="00013A55"/>
    <w:rsid w:val="0003148D"/>
    <w:rsid w:val="00031EEC"/>
    <w:rsid w:val="000347DA"/>
    <w:rsid w:val="00035EC2"/>
    <w:rsid w:val="00051566"/>
    <w:rsid w:val="00055637"/>
    <w:rsid w:val="000562A9"/>
    <w:rsid w:val="00062A9A"/>
    <w:rsid w:val="00065058"/>
    <w:rsid w:val="000802BD"/>
    <w:rsid w:val="00086C39"/>
    <w:rsid w:val="00093C4F"/>
    <w:rsid w:val="000A03B2"/>
    <w:rsid w:val="000B33C5"/>
    <w:rsid w:val="000D0268"/>
    <w:rsid w:val="000D0956"/>
    <w:rsid w:val="000D34BE"/>
    <w:rsid w:val="000D5F44"/>
    <w:rsid w:val="000E102F"/>
    <w:rsid w:val="000E36F1"/>
    <w:rsid w:val="000E3A73"/>
    <w:rsid w:val="000E414A"/>
    <w:rsid w:val="000F093C"/>
    <w:rsid w:val="000F787B"/>
    <w:rsid w:val="0012091F"/>
    <w:rsid w:val="001267D2"/>
    <w:rsid w:val="00126BC2"/>
    <w:rsid w:val="001308B6"/>
    <w:rsid w:val="0013121F"/>
    <w:rsid w:val="00131FE6"/>
    <w:rsid w:val="0013263F"/>
    <w:rsid w:val="001331DF"/>
    <w:rsid w:val="00134DE4"/>
    <w:rsid w:val="0014034D"/>
    <w:rsid w:val="00143579"/>
    <w:rsid w:val="00144D16"/>
    <w:rsid w:val="001473F5"/>
    <w:rsid w:val="00150E59"/>
    <w:rsid w:val="00152DE3"/>
    <w:rsid w:val="001558CA"/>
    <w:rsid w:val="00164CF9"/>
    <w:rsid w:val="001667A6"/>
    <w:rsid w:val="00166B53"/>
    <w:rsid w:val="00184AD6"/>
    <w:rsid w:val="001A4AF7"/>
    <w:rsid w:val="001B0349"/>
    <w:rsid w:val="001B1E93"/>
    <w:rsid w:val="001B5CA2"/>
    <w:rsid w:val="001B65C1"/>
    <w:rsid w:val="001C684B"/>
    <w:rsid w:val="001D0CFB"/>
    <w:rsid w:val="001D21AF"/>
    <w:rsid w:val="001D2530"/>
    <w:rsid w:val="001D53FC"/>
    <w:rsid w:val="001E4D04"/>
    <w:rsid w:val="001F08FD"/>
    <w:rsid w:val="001F42A5"/>
    <w:rsid w:val="001F7B9D"/>
    <w:rsid w:val="00201C93"/>
    <w:rsid w:val="00213EBB"/>
    <w:rsid w:val="002224B4"/>
    <w:rsid w:val="00236026"/>
    <w:rsid w:val="002447EF"/>
    <w:rsid w:val="00251550"/>
    <w:rsid w:val="00252954"/>
    <w:rsid w:val="002548E9"/>
    <w:rsid w:val="00263B05"/>
    <w:rsid w:val="0027221A"/>
    <w:rsid w:val="00275B61"/>
    <w:rsid w:val="00280FAF"/>
    <w:rsid w:val="00282656"/>
    <w:rsid w:val="002912FF"/>
    <w:rsid w:val="002950EE"/>
    <w:rsid w:val="00296B83"/>
    <w:rsid w:val="002B2328"/>
    <w:rsid w:val="002B4015"/>
    <w:rsid w:val="002B47C5"/>
    <w:rsid w:val="002B78CE"/>
    <w:rsid w:val="002C2FB6"/>
    <w:rsid w:val="002E01A7"/>
    <w:rsid w:val="002E5FA7"/>
    <w:rsid w:val="002F3309"/>
    <w:rsid w:val="002F37C9"/>
    <w:rsid w:val="003008CE"/>
    <w:rsid w:val="003009B7"/>
    <w:rsid w:val="00300E56"/>
    <w:rsid w:val="0030152C"/>
    <w:rsid w:val="0030469C"/>
    <w:rsid w:val="00305872"/>
    <w:rsid w:val="00321CA6"/>
    <w:rsid w:val="00323763"/>
    <w:rsid w:val="00323C5F"/>
    <w:rsid w:val="00334C09"/>
    <w:rsid w:val="0033698D"/>
    <w:rsid w:val="003723D4"/>
    <w:rsid w:val="00381905"/>
    <w:rsid w:val="00384CC8"/>
    <w:rsid w:val="003871FD"/>
    <w:rsid w:val="003A1E30"/>
    <w:rsid w:val="003A2829"/>
    <w:rsid w:val="003A410D"/>
    <w:rsid w:val="003A7D1C"/>
    <w:rsid w:val="003B304B"/>
    <w:rsid w:val="003B3146"/>
    <w:rsid w:val="003D6CA1"/>
    <w:rsid w:val="003E719C"/>
    <w:rsid w:val="003F015E"/>
    <w:rsid w:val="00400414"/>
    <w:rsid w:val="004131DE"/>
    <w:rsid w:val="0041446B"/>
    <w:rsid w:val="00431A7B"/>
    <w:rsid w:val="0044071E"/>
    <w:rsid w:val="0044329C"/>
    <w:rsid w:val="00453E24"/>
    <w:rsid w:val="00453F9A"/>
    <w:rsid w:val="004564FC"/>
    <w:rsid w:val="00457456"/>
    <w:rsid w:val="004577FE"/>
    <w:rsid w:val="00457B9C"/>
    <w:rsid w:val="0046164A"/>
    <w:rsid w:val="004628D2"/>
    <w:rsid w:val="00462DCD"/>
    <w:rsid w:val="004648AD"/>
    <w:rsid w:val="00466191"/>
    <w:rsid w:val="004703A9"/>
    <w:rsid w:val="00475650"/>
    <w:rsid w:val="004760DE"/>
    <w:rsid w:val="004763D7"/>
    <w:rsid w:val="004A004E"/>
    <w:rsid w:val="004A24CF"/>
    <w:rsid w:val="004C3D1D"/>
    <w:rsid w:val="004C3D84"/>
    <w:rsid w:val="004C7913"/>
    <w:rsid w:val="004D1D35"/>
    <w:rsid w:val="004E1F79"/>
    <w:rsid w:val="004E42B8"/>
    <w:rsid w:val="004E4DD6"/>
    <w:rsid w:val="004F5E36"/>
    <w:rsid w:val="005047E2"/>
    <w:rsid w:val="00507B47"/>
    <w:rsid w:val="00507BEF"/>
    <w:rsid w:val="00507CC9"/>
    <w:rsid w:val="005119A5"/>
    <w:rsid w:val="00523881"/>
    <w:rsid w:val="00523948"/>
    <w:rsid w:val="005278B7"/>
    <w:rsid w:val="00532016"/>
    <w:rsid w:val="005346C8"/>
    <w:rsid w:val="00543E7D"/>
    <w:rsid w:val="00547A68"/>
    <w:rsid w:val="005531C9"/>
    <w:rsid w:val="005538E8"/>
    <w:rsid w:val="005569C9"/>
    <w:rsid w:val="00570C43"/>
    <w:rsid w:val="00573698"/>
    <w:rsid w:val="005B2110"/>
    <w:rsid w:val="005B61E6"/>
    <w:rsid w:val="005C0F43"/>
    <w:rsid w:val="005C6850"/>
    <w:rsid w:val="005C740A"/>
    <w:rsid w:val="005C77E1"/>
    <w:rsid w:val="005D668A"/>
    <w:rsid w:val="005D6A2F"/>
    <w:rsid w:val="005E1A82"/>
    <w:rsid w:val="005E24CD"/>
    <w:rsid w:val="005E5865"/>
    <w:rsid w:val="005E794C"/>
    <w:rsid w:val="005F0A28"/>
    <w:rsid w:val="005F0E5E"/>
    <w:rsid w:val="00600535"/>
    <w:rsid w:val="00610CD6"/>
    <w:rsid w:val="00620DEE"/>
    <w:rsid w:val="00621F92"/>
    <w:rsid w:val="0062280A"/>
    <w:rsid w:val="00625639"/>
    <w:rsid w:val="00631B33"/>
    <w:rsid w:val="00633A98"/>
    <w:rsid w:val="006409E7"/>
    <w:rsid w:val="0064184D"/>
    <w:rsid w:val="006422CC"/>
    <w:rsid w:val="0064518E"/>
    <w:rsid w:val="00660E3E"/>
    <w:rsid w:val="00662E74"/>
    <w:rsid w:val="006714FD"/>
    <w:rsid w:val="00673F33"/>
    <w:rsid w:val="00680C23"/>
    <w:rsid w:val="00685A93"/>
    <w:rsid w:val="006928EF"/>
    <w:rsid w:val="00693766"/>
    <w:rsid w:val="006A3281"/>
    <w:rsid w:val="006B4888"/>
    <w:rsid w:val="006C2E45"/>
    <w:rsid w:val="006C359C"/>
    <w:rsid w:val="006C4D19"/>
    <w:rsid w:val="006C5579"/>
    <w:rsid w:val="006D6E8B"/>
    <w:rsid w:val="006E6832"/>
    <w:rsid w:val="006E737D"/>
    <w:rsid w:val="006F0349"/>
    <w:rsid w:val="006F5B2E"/>
    <w:rsid w:val="006F7851"/>
    <w:rsid w:val="0070541D"/>
    <w:rsid w:val="00713973"/>
    <w:rsid w:val="00720A24"/>
    <w:rsid w:val="0072104C"/>
    <w:rsid w:val="00732386"/>
    <w:rsid w:val="0073513E"/>
    <w:rsid w:val="0073514D"/>
    <w:rsid w:val="00742B0B"/>
    <w:rsid w:val="007447F3"/>
    <w:rsid w:val="0075499F"/>
    <w:rsid w:val="00757B19"/>
    <w:rsid w:val="0076526B"/>
    <w:rsid w:val="007661C8"/>
    <w:rsid w:val="00767F40"/>
    <w:rsid w:val="0077098D"/>
    <w:rsid w:val="00787413"/>
    <w:rsid w:val="007931FA"/>
    <w:rsid w:val="00795EF1"/>
    <w:rsid w:val="007A03E5"/>
    <w:rsid w:val="007A4861"/>
    <w:rsid w:val="007A79D7"/>
    <w:rsid w:val="007A7BBA"/>
    <w:rsid w:val="007B0C50"/>
    <w:rsid w:val="007B48F9"/>
    <w:rsid w:val="007B7057"/>
    <w:rsid w:val="007C1A43"/>
    <w:rsid w:val="007C7D4E"/>
    <w:rsid w:val="007D0951"/>
    <w:rsid w:val="007D33A2"/>
    <w:rsid w:val="007E355F"/>
    <w:rsid w:val="0080013E"/>
    <w:rsid w:val="00803760"/>
    <w:rsid w:val="00813288"/>
    <w:rsid w:val="008168FC"/>
    <w:rsid w:val="00824AE1"/>
    <w:rsid w:val="00830996"/>
    <w:rsid w:val="008345F1"/>
    <w:rsid w:val="00840B43"/>
    <w:rsid w:val="00856E74"/>
    <w:rsid w:val="00862550"/>
    <w:rsid w:val="00865B07"/>
    <w:rsid w:val="008667EA"/>
    <w:rsid w:val="00875252"/>
    <w:rsid w:val="0087637F"/>
    <w:rsid w:val="00892513"/>
    <w:rsid w:val="00892AD5"/>
    <w:rsid w:val="00897229"/>
    <w:rsid w:val="008A1512"/>
    <w:rsid w:val="008B50A6"/>
    <w:rsid w:val="008B6600"/>
    <w:rsid w:val="008C715F"/>
    <w:rsid w:val="008D32B9"/>
    <w:rsid w:val="008D433B"/>
    <w:rsid w:val="008D4A16"/>
    <w:rsid w:val="008E566E"/>
    <w:rsid w:val="008F3824"/>
    <w:rsid w:val="0090161A"/>
    <w:rsid w:val="00901EB6"/>
    <w:rsid w:val="00904C62"/>
    <w:rsid w:val="00920933"/>
    <w:rsid w:val="00922BA8"/>
    <w:rsid w:val="00922EB2"/>
    <w:rsid w:val="00924C16"/>
    <w:rsid w:val="00924DAC"/>
    <w:rsid w:val="00927058"/>
    <w:rsid w:val="00942750"/>
    <w:rsid w:val="009450CE"/>
    <w:rsid w:val="009459BB"/>
    <w:rsid w:val="00947179"/>
    <w:rsid w:val="0095164B"/>
    <w:rsid w:val="00954090"/>
    <w:rsid w:val="009573E7"/>
    <w:rsid w:val="00963E05"/>
    <w:rsid w:val="00964A45"/>
    <w:rsid w:val="00967843"/>
    <w:rsid w:val="00967D54"/>
    <w:rsid w:val="00971028"/>
    <w:rsid w:val="009739C1"/>
    <w:rsid w:val="00975FDE"/>
    <w:rsid w:val="009816B4"/>
    <w:rsid w:val="00993B84"/>
    <w:rsid w:val="00994672"/>
    <w:rsid w:val="00995BB6"/>
    <w:rsid w:val="00996483"/>
    <w:rsid w:val="00996F5A"/>
    <w:rsid w:val="009A49DF"/>
    <w:rsid w:val="009B041A"/>
    <w:rsid w:val="009B652F"/>
    <w:rsid w:val="009B7B2A"/>
    <w:rsid w:val="009C37C3"/>
    <w:rsid w:val="009C7C86"/>
    <w:rsid w:val="009D2FF7"/>
    <w:rsid w:val="009D34DF"/>
    <w:rsid w:val="009D53E3"/>
    <w:rsid w:val="009E0631"/>
    <w:rsid w:val="009E5D58"/>
    <w:rsid w:val="009E7884"/>
    <w:rsid w:val="009E788A"/>
    <w:rsid w:val="009F0E08"/>
    <w:rsid w:val="009F1339"/>
    <w:rsid w:val="009F3F1C"/>
    <w:rsid w:val="00A02084"/>
    <w:rsid w:val="00A022C6"/>
    <w:rsid w:val="00A1763D"/>
    <w:rsid w:val="00A17CEC"/>
    <w:rsid w:val="00A244B2"/>
    <w:rsid w:val="00A27EF0"/>
    <w:rsid w:val="00A35637"/>
    <w:rsid w:val="00A42361"/>
    <w:rsid w:val="00A45730"/>
    <w:rsid w:val="00A50B20"/>
    <w:rsid w:val="00A51390"/>
    <w:rsid w:val="00A60D13"/>
    <w:rsid w:val="00A7223D"/>
    <w:rsid w:val="00A72745"/>
    <w:rsid w:val="00A76EFC"/>
    <w:rsid w:val="00A87D50"/>
    <w:rsid w:val="00A91010"/>
    <w:rsid w:val="00A94682"/>
    <w:rsid w:val="00A97F29"/>
    <w:rsid w:val="00AA702E"/>
    <w:rsid w:val="00AA7D26"/>
    <w:rsid w:val="00AB0964"/>
    <w:rsid w:val="00AB1C5A"/>
    <w:rsid w:val="00AB5011"/>
    <w:rsid w:val="00AC7368"/>
    <w:rsid w:val="00AD16B9"/>
    <w:rsid w:val="00AD67F9"/>
    <w:rsid w:val="00AE377D"/>
    <w:rsid w:val="00AE42A3"/>
    <w:rsid w:val="00AF0EBA"/>
    <w:rsid w:val="00B0050C"/>
    <w:rsid w:val="00B0208C"/>
    <w:rsid w:val="00B02C8A"/>
    <w:rsid w:val="00B054D7"/>
    <w:rsid w:val="00B13ACB"/>
    <w:rsid w:val="00B13E86"/>
    <w:rsid w:val="00B17FBD"/>
    <w:rsid w:val="00B17FF8"/>
    <w:rsid w:val="00B315A6"/>
    <w:rsid w:val="00B31813"/>
    <w:rsid w:val="00B33365"/>
    <w:rsid w:val="00B4223A"/>
    <w:rsid w:val="00B53F6D"/>
    <w:rsid w:val="00B57B36"/>
    <w:rsid w:val="00B57E6F"/>
    <w:rsid w:val="00B65FA8"/>
    <w:rsid w:val="00B80C4A"/>
    <w:rsid w:val="00B8686D"/>
    <w:rsid w:val="00B93F69"/>
    <w:rsid w:val="00BA2596"/>
    <w:rsid w:val="00BA7528"/>
    <w:rsid w:val="00BB1DDC"/>
    <w:rsid w:val="00BC30C9"/>
    <w:rsid w:val="00BC55C2"/>
    <w:rsid w:val="00BD077D"/>
    <w:rsid w:val="00BD38B4"/>
    <w:rsid w:val="00BE2509"/>
    <w:rsid w:val="00BE3E58"/>
    <w:rsid w:val="00BF7B40"/>
    <w:rsid w:val="00C01616"/>
    <w:rsid w:val="00C0162B"/>
    <w:rsid w:val="00C068ED"/>
    <w:rsid w:val="00C22852"/>
    <w:rsid w:val="00C22E0C"/>
    <w:rsid w:val="00C232EE"/>
    <w:rsid w:val="00C345B1"/>
    <w:rsid w:val="00C40142"/>
    <w:rsid w:val="00C42B73"/>
    <w:rsid w:val="00C52C3C"/>
    <w:rsid w:val="00C57182"/>
    <w:rsid w:val="00C57863"/>
    <w:rsid w:val="00C63BCC"/>
    <w:rsid w:val="00C640AF"/>
    <w:rsid w:val="00C655FD"/>
    <w:rsid w:val="00C75407"/>
    <w:rsid w:val="00C841EB"/>
    <w:rsid w:val="00C870A8"/>
    <w:rsid w:val="00C94434"/>
    <w:rsid w:val="00C970AB"/>
    <w:rsid w:val="00C972B7"/>
    <w:rsid w:val="00C978A0"/>
    <w:rsid w:val="00CA0D75"/>
    <w:rsid w:val="00CA1521"/>
    <w:rsid w:val="00CA1C95"/>
    <w:rsid w:val="00CA5A9C"/>
    <w:rsid w:val="00CB5295"/>
    <w:rsid w:val="00CC24AD"/>
    <w:rsid w:val="00CC471B"/>
    <w:rsid w:val="00CC4C20"/>
    <w:rsid w:val="00CD243C"/>
    <w:rsid w:val="00CD3517"/>
    <w:rsid w:val="00CD5FE2"/>
    <w:rsid w:val="00CE0A85"/>
    <w:rsid w:val="00CE3FA9"/>
    <w:rsid w:val="00CE4F14"/>
    <w:rsid w:val="00CE7C68"/>
    <w:rsid w:val="00CF7486"/>
    <w:rsid w:val="00D00206"/>
    <w:rsid w:val="00D02B4C"/>
    <w:rsid w:val="00D040C4"/>
    <w:rsid w:val="00D136DE"/>
    <w:rsid w:val="00D20AD1"/>
    <w:rsid w:val="00D46B7E"/>
    <w:rsid w:val="00D561EA"/>
    <w:rsid w:val="00D57C84"/>
    <w:rsid w:val="00D6057D"/>
    <w:rsid w:val="00D66514"/>
    <w:rsid w:val="00D71640"/>
    <w:rsid w:val="00D74401"/>
    <w:rsid w:val="00D836C5"/>
    <w:rsid w:val="00D84576"/>
    <w:rsid w:val="00D8540C"/>
    <w:rsid w:val="00DA1399"/>
    <w:rsid w:val="00DA24C6"/>
    <w:rsid w:val="00DA4D7B"/>
    <w:rsid w:val="00DA58C7"/>
    <w:rsid w:val="00DB452F"/>
    <w:rsid w:val="00DC6657"/>
    <w:rsid w:val="00DD271C"/>
    <w:rsid w:val="00DE264A"/>
    <w:rsid w:val="00DF5072"/>
    <w:rsid w:val="00E02D18"/>
    <w:rsid w:val="00E041E7"/>
    <w:rsid w:val="00E12F85"/>
    <w:rsid w:val="00E17073"/>
    <w:rsid w:val="00E23CA1"/>
    <w:rsid w:val="00E409A8"/>
    <w:rsid w:val="00E5060D"/>
    <w:rsid w:val="00E50C12"/>
    <w:rsid w:val="00E65B91"/>
    <w:rsid w:val="00E7209D"/>
    <w:rsid w:val="00E72EAD"/>
    <w:rsid w:val="00E761FD"/>
    <w:rsid w:val="00E77223"/>
    <w:rsid w:val="00E8528B"/>
    <w:rsid w:val="00E85B94"/>
    <w:rsid w:val="00E978D0"/>
    <w:rsid w:val="00EA4613"/>
    <w:rsid w:val="00EA7F91"/>
    <w:rsid w:val="00EB1523"/>
    <w:rsid w:val="00EB218A"/>
    <w:rsid w:val="00EC0E49"/>
    <w:rsid w:val="00EC101F"/>
    <w:rsid w:val="00EC1D9F"/>
    <w:rsid w:val="00EC3D21"/>
    <w:rsid w:val="00EC42F2"/>
    <w:rsid w:val="00ED0BA2"/>
    <w:rsid w:val="00EE0131"/>
    <w:rsid w:val="00EE02DF"/>
    <w:rsid w:val="00EE17B0"/>
    <w:rsid w:val="00EE30CF"/>
    <w:rsid w:val="00EF06D9"/>
    <w:rsid w:val="00EF2CC5"/>
    <w:rsid w:val="00F15D3F"/>
    <w:rsid w:val="00F3049E"/>
    <w:rsid w:val="00F30C64"/>
    <w:rsid w:val="00F32BA2"/>
    <w:rsid w:val="00F32CDB"/>
    <w:rsid w:val="00F5210E"/>
    <w:rsid w:val="00F565FE"/>
    <w:rsid w:val="00F57DD3"/>
    <w:rsid w:val="00F62F08"/>
    <w:rsid w:val="00F63A70"/>
    <w:rsid w:val="00F63D8C"/>
    <w:rsid w:val="00F66814"/>
    <w:rsid w:val="00F7534E"/>
    <w:rsid w:val="00F93EDF"/>
    <w:rsid w:val="00FA0B86"/>
    <w:rsid w:val="00FA1802"/>
    <w:rsid w:val="00FA21D0"/>
    <w:rsid w:val="00FA5F5F"/>
    <w:rsid w:val="00FB59DF"/>
    <w:rsid w:val="00FB730C"/>
    <w:rsid w:val="00FC2695"/>
    <w:rsid w:val="00FC3E03"/>
    <w:rsid w:val="00FC3FC1"/>
    <w:rsid w:val="00FD6968"/>
    <w:rsid w:val="00FF648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5:docId w15:val="{29808A9B-171D-4595-BC44-7A4FAC570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customStyle="1" w:styleId="Mencinsinresolver1">
    <w:name w:val="Mención sin resolver1"/>
    <w:basedOn w:val="Fontepargpadro"/>
    <w:uiPriority w:val="99"/>
    <w:semiHidden/>
    <w:unhideWhenUsed/>
    <w:rsid w:val="00B17F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67233">
      <w:bodyDiv w:val="1"/>
      <w:marLeft w:val="0"/>
      <w:marRight w:val="0"/>
      <w:marTop w:val="0"/>
      <w:marBottom w:val="0"/>
      <w:divBdr>
        <w:top w:val="none" w:sz="0" w:space="0" w:color="auto"/>
        <w:left w:val="none" w:sz="0" w:space="0" w:color="auto"/>
        <w:bottom w:val="none" w:sz="0" w:space="0" w:color="auto"/>
        <w:right w:val="none" w:sz="0" w:space="0" w:color="auto"/>
      </w:divBdr>
    </w:div>
    <w:div w:id="69311937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86279">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395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20CF9D-C4DB-40BA-9637-28F7ED5F351E}" type="doc">
      <dgm:prSet loTypeId="urn:microsoft.com/office/officeart/2005/8/layout/hProcess10" loCatId="process" qsTypeId="urn:microsoft.com/office/officeart/2005/8/quickstyle/simple1" qsCatId="simple" csTypeId="urn:microsoft.com/office/officeart/2005/8/colors/accent1_2" csCatId="accent1" phldr="1"/>
      <dgm:spPr/>
      <dgm:t>
        <a:bodyPr/>
        <a:lstStyle/>
        <a:p>
          <a:endParaRPr lang="es-PE"/>
        </a:p>
      </dgm:t>
    </dgm:pt>
    <dgm:pt modelId="{18859EB4-20C0-4593-8C87-A0E990A0B569}">
      <dgm:prSet phldrT="[Texto]"/>
      <dgm:spPr/>
      <dgm:t>
        <a:bodyPr/>
        <a:lstStyle/>
        <a:p>
          <a:r>
            <a:rPr lang="es-PE"/>
            <a:t>Obtaining the mushrooms </a:t>
          </a:r>
          <a:r>
            <a:rPr lang="es-PE" i="1"/>
            <a:t>Pleurotus ostreatus and Trametes versicolor</a:t>
          </a:r>
        </a:p>
      </dgm:t>
    </dgm:pt>
    <dgm:pt modelId="{D102CFA3-3D19-41CE-A1E0-F64D76E97B54}" type="parTrans" cxnId="{48972769-11CC-4254-B181-BE133CF87696}">
      <dgm:prSet/>
      <dgm:spPr/>
      <dgm:t>
        <a:bodyPr/>
        <a:lstStyle/>
        <a:p>
          <a:endParaRPr lang="es-PE"/>
        </a:p>
      </dgm:t>
    </dgm:pt>
    <dgm:pt modelId="{FF2B0A1C-F510-4FD1-9F5A-13B2DF49BCCD}" type="sibTrans" cxnId="{48972769-11CC-4254-B181-BE133CF87696}">
      <dgm:prSet/>
      <dgm:spPr/>
      <dgm:t>
        <a:bodyPr/>
        <a:lstStyle/>
        <a:p>
          <a:endParaRPr lang="es-PE"/>
        </a:p>
      </dgm:t>
    </dgm:pt>
    <dgm:pt modelId="{ADBB86AB-594D-4739-903C-D39155B73D41}">
      <dgm:prSet phldrT="[Texto]"/>
      <dgm:spPr/>
      <dgm:t>
        <a:bodyPr/>
        <a:lstStyle/>
        <a:p>
          <a:r>
            <a:rPr lang="es-PE"/>
            <a:t>Conditioning of mushrooms in the substrate</a:t>
          </a:r>
        </a:p>
      </dgm:t>
    </dgm:pt>
    <dgm:pt modelId="{08F5DAFB-3704-4478-BA83-E38B260BF259}" type="parTrans" cxnId="{B9783C61-5622-4A76-951A-A9723D76CF23}">
      <dgm:prSet/>
      <dgm:spPr/>
      <dgm:t>
        <a:bodyPr/>
        <a:lstStyle/>
        <a:p>
          <a:endParaRPr lang="es-PE"/>
        </a:p>
      </dgm:t>
    </dgm:pt>
    <dgm:pt modelId="{95DFD2B1-EC19-40E0-A0FE-9241072D4AB1}" type="sibTrans" cxnId="{B9783C61-5622-4A76-951A-A9723D76CF23}">
      <dgm:prSet/>
      <dgm:spPr/>
      <dgm:t>
        <a:bodyPr/>
        <a:lstStyle/>
        <a:p>
          <a:endParaRPr lang="es-PE"/>
        </a:p>
      </dgm:t>
    </dgm:pt>
    <dgm:pt modelId="{BD17BE1B-DB82-492B-B336-D64313CC3A91}">
      <dgm:prSet phldrT="[Texto]"/>
      <dgm:spPr/>
      <dgm:t>
        <a:bodyPr/>
        <a:lstStyle/>
        <a:p>
          <a:r>
            <a:rPr lang="es-PE"/>
            <a:t>Inoculation of fungal and substrate mixture to Methamidophos and Cd contaminated soil plots.</a:t>
          </a:r>
        </a:p>
      </dgm:t>
    </dgm:pt>
    <dgm:pt modelId="{3DAEABDA-DEEB-4BE2-9F1A-141FD1C7DC3F}" type="parTrans" cxnId="{2246794B-2E3A-4C46-A44C-C4544E814CF3}">
      <dgm:prSet/>
      <dgm:spPr/>
      <dgm:t>
        <a:bodyPr/>
        <a:lstStyle/>
        <a:p>
          <a:endParaRPr lang="es-PE"/>
        </a:p>
      </dgm:t>
    </dgm:pt>
    <dgm:pt modelId="{B09D2B7E-34CF-4F7C-B715-874627778D21}" type="sibTrans" cxnId="{2246794B-2E3A-4C46-A44C-C4544E814CF3}">
      <dgm:prSet/>
      <dgm:spPr/>
      <dgm:t>
        <a:bodyPr/>
        <a:lstStyle/>
        <a:p>
          <a:endParaRPr lang="es-PE"/>
        </a:p>
      </dgm:t>
    </dgm:pt>
    <dgm:pt modelId="{31C08CCF-D0D9-4912-8A87-AAF2F4AF240F}">
      <dgm:prSet/>
      <dgm:spPr/>
      <dgm:t>
        <a:bodyPr/>
        <a:lstStyle/>
        <a:p>
          <a:r>
            <a:rPr lang="es-PE"/>
            <a:t>Monitoring and control of Methamidophos and Cd from soil with fungal activity.</a:t>
          </a:r>
        </a:p>
      </dgm:t>
    </dgm:pt>
    <dgm:pt modelId="{A7C0043D-6F19-41ED-A4A7-88D6F5906B18}" type="parTrans" cxnId="{0968A084-A4A0-4EEC-9095-9F2B3FA5174A}">
      <dgm:prSet/>
      <dgm:spPr/>
      <dgm:t>
        <a:bodyPr/>
        <a:lstStyle/>
        <a:p>
          <a:endParaRPr lang="es-PE"/>
        </a:p>
      </dgm:t>
    </dgm:pt>
    <dgm:pt modelId="{62B633AD-C137-4671-9C7A-A8FC811A566B}" type="sibTrans" cxnId="{0968A084-A4A0-4EEC-9095-9F2B3FA5174A}">
      <dgm:prSet/>
      <dgm:spPr/>
      <dgm:t>
        <a:bodyPr/>
        <a:lstStyle/>
        <a:p>
          <a:endParaRPr lang="es-PE"/>
        </a:p>
      </dgm:t>
    </dgm:pt>
    <dgm:pt modelId="{00762BB4-9AB7-485D-9C7B-36CEB16AC579}" type="pres">
      <dgm:prSet presAssocID="{BC20CF9D-C4DB-40BA-9637-28F7ED5F351E}" presName="Name0" presStyleCnt="0">
        <dgm:presLayoutVars>
          <dgm:dir/>
          <dgm:resizeHandles val="exact"/>
        </dgm:presLayoutVars>
      </dgm:prSet>
      <dgm:spPr/>
      <dgm:t>
        <a:bodyPr/>
        <a:lstStyle/>
        <a:p>
          <a:endParaRPr lang="pt-BR"/>
        </a:p>
      </dgm:t>
    </dgm:pt>
    <dgm:pt modelId="{5CACC743-7459-406B-A481-B46C3F195024}" type="pres">
      <dgm:prSet presAssocID="{18859EB4-20C0-4593-8C87-A0E990A0B569}" presName="composite" presStyleCnt="0"/>
      <dgm:spPr/>
    </dgm:pt>
    <dgm:pt modelId="{E4E9D0B2-22DE-4176-96DD-D6BB4D4377E6}" type="pres">
      <dgm:prSet presAssocID="{18859EB4-20C0-4593-8C87-A0E990A0B569}" presName="imagSh" presStyleLbl="bgImgPlace1" presStyleIdx="0" presStyleCnt="4"/>
      <dgm:spPr>
        <a:blipFill rotWithShape="1">
          <a:blip xmlns:r="http://schemas.openxmlformats.org/officeDocument/2006/relationships" r:embed="rId1"/>
          <a:srcRect/>
          <a:stretch>
            <a:fillRect t="-13000" b="-13000"/>
          </a:stretch>
        </a:blipFill>
      </dgm:spPr>
    </dgm:pt>
    <dgm:pt modelId="{BA69998C-B95C-4A70-AC3A-1486C6351737}" type="pres">
      <dgm:prSet presAssocID="{18859EB4-20C0-4593-8C87-A0E990A0B569}" presName="txNode" presStyleLbl="node1" presStyleIdx="0" presStyleCnt="4">
        <dgm:presLayoutVars>
          <dgm:bulletEnabled val="1"/>
        </dgm:presLayoutVars>
      </dgm:prSet>
      <dgm:spPr/>
      <dgm:t>
        <a:bodyPr/>
        <a:lstStyle/>
        <a:p>
          <a:endParaRPr lang="pt-BR"/>
        </a:p>
      </dgm:t>
    </dgm:pt>
    <dgm:pt modelId="{989355FD-A226-4706-B013-D1E5110E8EBA}" type="pres">
      <dgm:prSet presAssocID="{FF2B0A1C-F510-4FD1-9F5A-13B2DF49BCCD}" presName="sibTrans" presStyleLbl="sibTrans2D1" presStyleIdx="0" presStyleCnt="3"/>
      <dgm:spPr/>
      <dgm:t>
        <a:bodyPr/>
        <a:lstStyle/>
        <a:p>
          <a:endParaRPr lang="pt-BR"/>
        </a:p>
      </dgm:t>
    </dgm:pt>
    <dgm:pt modelId="{7171FDC8-C5FB-418F-91F4-2DA198AADEF0}" type="pres">
      <dgm:prSet presAssocID="{FF2B0A1C-F510-4FD1-9F5A-13B2DF49BCCD}" presName="connTx" presStyleLbl="sibTrans2D1" presStyleIdx="0" presStyleCnt="3"/>
      <dgm:spPr/>
      <dgm:t>
        <a:bodyPr/>
        <a:lstStyle/>
        <a:p>
          <a:endParaRPr lang="pt-BR"/>
        </a:p>
      </dgm:t>
    </dgm:pt>
    <dgm:pt modelId="{89528D15-8734-4231-8663-DF74CDA1AD17}" type="pres">
      <dgm:prSet presAssocID="{ADBB86AB-594D-4739-903C-D39155B73D41}" presName="composite" presStyleCnt="0"/>
      <dgm:spPr/>
    </dgm:pt>
    <dgm:pt modelId="{90B30C84-E076-4589-9D64-B1831D6C1D6C}" type="pres">
      <dgm:prSet presAssocID="{ADBB86AB-594D-4739-903C-D39155B73D41}" presName="imagSh" presStyleLbl="bgImgPlace1" presStyleIdx="1" presStyleCnt="4"/>
      <dgm:spPr>
        <a:blipFill rotWithShape="1">
          <a:blip xmlns:r="http://schemas.openxmlformats.org/officeDocument/2006/relationships" r:embed="rId2"/>
          <a:srcRect/>
          <a:stretch>
            <a:fillRect t="-10000" b="-10000"/>
          </a:stretch>
        </a:blipFill>
      </dgm:spPr>
    </dgm:pt>
    <dgm:pt modelId="{B2BBC794-CA82-4D3D-BCAF-91A94614BD9A}" type="pres">
      <dgm:prSet presAssocID="{ADBB86AB-594D-4739-903C-D39155B73D41}" presName="txNode" presStyleLbl="node1" presStyleIdx="1" presStyleCnt="4">
        <dgm:presLayoutVars>
          <dgm:bulletEnabled val="1"/>
        </dgm:presLayoutVars>
      </dgm:prSet>
      <dgm:spPr/>
      <dgm:t>
        <a:bodyPr/>
        <a:lstStyle/>
        <a:p>
          <a:endParaRPr lang="pt-BR"/>
        </a:p>
      </dgm:t>
    </dgm:pt>
    <dgm:pt modelId="{A10830D8-57D5-4492-9123-D1400CCB007B}" type="pres">
      <dgm:prSet presAssocID="{95DFD2B1-EC19-40E0-A0FE-9241072D4AB1}" presName="sibTrans" presStyleLbl="sibTrans2D1" presStyleIdx="1" presStyleCnt="3"/>
      <dgm:spPr/>
      <dgm:t>
        <a:bodyPr/>
        <a:lstStyle/>
        <a:p>
          <a:endParaRPr lang="pt-BR"/>
        </a:p>
      </dgm:t>
    </dgm:pt>
    <dgm:pt modelId="{DA21C627-9BA0-4A5D-BB2A-8EAA61997F18}" type="pres">
      <dgm:prSet presAssocID="{95DFD2B1-EC19-40E0-A0FE-9241072D4AB1}" presName="connTx" presStyleLbl="sibTrans2D1" presStyleIdx="1" presStyleCnt="3"/>
      <dgm:spPr/>
      <dgm:t>
        <a:bodyPr/>
        <a:lstStyle/>
        <a:p>
          <a:endParaRPr lang="pt-BR"/>
        </a:p>
      </dgm:t>
    </dgm:pt>
    <dgm:pt modelId="{2F3C42EF-AF8B-4763-B1E2-C9A7124C2F8F}" type="pres">
      <dgm:prSet presAssocID="{BD17BE1B-DB82-492B-B336-D64313CC3A91}" presName="composite" presStyleCnt="0"/>
      <dgm:spPr/>
    </dgm:pt>
    <dgm:pt modelId="{7B072ACD-4CD2-46A5-B8A2-223483560A49}" type="pres">
      <dgm:prSet presAssocID="{BD17BE1B-DB82-492B-B336-D64313CC3A91}" presName="imagSh" presStyleLbl="bgImgPlace1" presStyleIdx="2" presStyleCnt="4"/>
      <dgm:spPr>
        <a:blipFill rotWithShape="1">
          <a:blip xmlns:r="http://schemas.openxmlformats.org/officeDocument/2006/relationships" r:embed="rId3"/>
          <a:srcRect/>
          <a:stretch>
            <a:fillRect t="-8000" b="-8000"/>
          </a:stretch>
        </a:blipFill>
      </dgm:spPr>
    </dgm:pt>
    <dgm:pt modelId="{875D4D52-FA94-4E46-9B6E-A63983D77A5D}" type="pres">
      <dgm:prSet presAssocID="{BD17BE1B-DB82-492B-B336-D64313CC3A91}" presName="txNode" presStyleLbl="node1" presStyleIdx="2" presStyleCnt="4">
        <dgm:presLayoutVars>
          <dgm:bulletEnabled val="1"/>
        </dgm:presLayoutVars>
      </dgm:prSet>
      <dgm:spPr/>
      <dgm:t>
        <a:bodyPr/>
        <a:lstStyle/>
        <a:p>
          <a:endParaRPr lang="pt-BR"/>
        </a:p>
      </dgm:t>
    </dgm:pt>
    <dgm:pt modelId="{0CC1D1FC-09C6-4F19-B68D-655C372C71C1}" type="pres">
      <dgm:prSet presAssocID="{B09D2B7E-34CF-4F7C-B715-874627778D21}" presName="sibTrans" presStyleLbl="sibTrans2D1" presStyleIdx="2" presStyleCnt="3"/>
      <dgm:spPr/>
      <dgm:t>
        <a:bodyPr/>
        <a:lstStyle/>
        <a:p>
          <a:endParaRPr lang="pt-BR"/>
        </a:p>
      </dgm:t>
    </dgm:pt>
    <dgm:pt modelId="{EC01B520-8AEB-422A-B97A-5BF845EB4B4E}" type="pres">
      <dgm:prSet presAssocID="{B09D2B7E-34CF-4F7C-B715-874627778D21}" presName="connTx" presStyleLbl="sibTrans2D1" presStyleIdx="2" presStyleCnt="3"/>
      <dgm:spPr/>
      <dgm:t>
        <a:bodyPr/>
        <a:lstStyle/>
        <a:p>
          <a:endParaRPr lang="pt-BR"/>
        </a:p>
      </dgm:t>
    </dgm:pt>
    <dgm:pt modelId="{8A40CA73-8C69-422B-956C-EC8D255525BF}" type="pres">
      <dgm:prSet presAssocID="{31C08CCF-D0D9-4912-8A87-AAF2F4AF240F}" presName="composite" presStyleCnt="0"/>
      <dgm:spPr/>
    </dgm:pt>
    <dgm:pt modelId="{4CABF5BF-8370-4549-B0B5-03CBA40169C6}" type="pres">
      <dgm:prSet presAssocID="{31C08CCF-D0D9-4912-8A87-AAF2F4AF240F}" presName="imagSh" presStyleLbl="bgImgPlace1" presStyleIdx="3" presStyleCnt="4"/>
      <dgm:spPr>
        <a:blipFill rotWithShape="1">
          <a:blip xmlns:r="http://schemas.openxmlformats.org/officeDocument/2006/relationships" r:embed="rId4"/>
          <a:srcRect/>
          <a:stretch>
            <a:fillRect l="-1000" r="-1000"/>
          </a:stretch>
        </a:blipFill>
      </dgm:spPr>
    </dgm:pt>
    <dgm:pt modelId="{8A08541C-0A48-4339-B90B-4188B83F4223}" type="pres">
      <dgm:prSet presAssocID="{31C08CCF-D0D9-4912-8A87-AAF2F4AF240F}" presName="txNode" presStyleLbl="node1" presStyleIdx="3" presStyleCnt="4">
        <dgm:presLayoutVars>
          <dgm:bulletEnabled val="1"/>
        </dgm:presLayoutVars>
      </dgm:prSet>
      <dgm:spPr/>
      <dgm:t>
        <a:bodyPr/>
        <a:lstStyle/>
        <a:p>
          <a:endParaRPr lang="pt-BR"/>
        </a:p>
      </dgm:t>
    </dgm:pt>
  </dgm:ptLst>
  <dgm:cxnLst>
    <dgm:cxn modelId="{EBADCC34-847A-48D3-B6AA-30EB8B9DE856}" type="presOf" srcId="{31C08CCF-D0D9-4912-8A87-AAF2F4AF240F}" destId="{8A08541C-0A48-4339-B90B-4188B83F4223}" srcOrd="0" destOrd="0" presId="urn:microsoft.com/office/officeart/2005/8/layout/hProcess10"/>
    <dgm:cxn modelId="{BA1E3E50-AFE9-43AF-8EED-F4D10EE11793}" type="presOf" srcId="{B09D2B7E-34CF-4F7C-B715-874627778D21}" destId="{0CC1D1FC-09C6-4F19-B68D-655C372C71C1}" srcOrd="0" destOrd="0" presId="urn:microsoft.com/office/officeart/2005/8/layout/hProcess10"/>
    <dgm:cxn modelId="{B9783C61-5622-4A76-951A-A9723D76CF23}" srcId="{BC20CF9D-C4DB-40BA-9637-28F7ED5F351E}" destId="{ADBB86AB-594D-4739-903C-D39155B73D41}" srcOrd="1" destOrd="0" parTransId="{08F5DAFB-3704-4478-BA83-E38B260BF259}" sibTransId="{95DFD2B1-EC19-40E0-A0FE-9241072D4AB1}"/>
    <dgm:cxn modelId="{DD8536C2-50B9-4E65-A2F2-784CEFFD435C}" type="presOf" srcId="{BC20CF9D-C4DB-40BA-9637-28F7ED5F351E}" destId="{00762BB4-9AB7-485D-9C7B-36CEB16AC579}" srcOrd="0" destOrd="0" presId="urn:microsoft.com/office/officeart/2005/8/layout/hProcess10"/>
    <dgm:cxn modelId="{48972769-11CC-4254-B181-BE133CF87696}" srcId="{BC20CF9D-C4DB-40BA-9637-28F7ED5F351E}" destId="{18859EB4-20C0-4593-8C87-A0E990A0B569}" srcOrd="0" destOrd="0" parTransId="{D102CFA3-3D19-41CE-A1E0-F64D76E97B54}" sibTransId="{FF2B0A1C-F510-4FD1-9F5A-13B2DF49BCCD}"/>
    <dgm:cxn modelId="{2246794B-2E3A-4C46-A44C-C4544E814CF3}" srcId="{BC20CF9D-C4DB-40BA-9637-28F7ED5F351E}" destId="{BD17BE1B-DB82-492B-B336-D64313CC3A91}" srcOrd="2" destOrd="0" parTransId="{3DAEABDA-DEEB-4BE2-9F1A-141FD1C7DC3F}" sibTransId="{B09D2B7E-34CF-4F7C-B715-874627778D21}"/>
    <dgm:cxn modelId="{5D37908C-852D-4B3C-A430-5315EA80A6AF}" type="presOf" srcId="{95DFD2B1-EC19-40E0-A0FE-9241072D4AB1}" destId="{A10830D8-57D5-4492-9123-D1400CCB007B}" srcOrd="0" destOrd="0" presId="urn:microsoft.com/office/officeart/2005/8/layout/hProcess10"/>
    <dgm:cxn modelId="{4B781A92-2E30-4D91-A313-2812793C1650}" type="presOf" srcId="{FF2B0A1C-F510-4FD1-9F5A-13B2DF49BCCD}" destId="{7171FDC8-C5FB-418F-91F4-2DA198AADEF0}" srcOrd="1" destOrd="0" presId="urn:microsoft.com/office/officeart/2005/8/layout/hProcess10"/>
    <dgm:cxn modelId="{3E36101F-9D7D-4F65-9611-FD0F94AB1D5C}" type="presOf" srcId="{BD17BE1B-DB82-492B-B336-D64313CC3A91}" destId="{875D4D52-FA94-4E46-9B6E-A63983D77A5D}" srcOrd="0" destOrd="0" presId="urn:microsoft.com/office/officeart/2005/8/layout/hProcess10"/>
    <dgm:cxn modelId="{7E3E4C78-594A-42A2-AC32-1F1B08C7DE97}" type="presOf" srcId="{95DFD2B1-EC19-40E0-A0FE-9241072D4AB1}" destId="{DA21C627-9BA0-4A5D-BB2A-8EAA61997F18}" srcOrd="1" destOrd="0" presId="urn:microsoft.com/office/officeart/2005/8/layout/hProcess10"/>
    <dgm:cxn modelId="{0968A084-A4A0-4EEC-9095-9F2B3FA5174A}" srcId="{BC20CF9D-C4DB-40BA-9637-28F7ED5F351E}" destId="{31C08CCF-D0D9-4912-8A87-AAF2F4AF240F}" srcOrd="3" destOrd="0" parTransId="{A7C0043D-6F19-41ED-A4A7-88D6F5906B18}" sibTransId="{62B633AD-C137-4671-9C7A-A8FC811A566B}"/>
    <dgm:cxn modelId="{1128CBEE-4207-4551-98F7-9F4942640B34}" type="presOf" srcId="{18859EB4-20C0-4593-8C87-A0E990A0B569}" destId="{BA69998C-B95C-4A70-AC3A-1486C6351737}" srcOrd="0" destOrd="0" presId="urn:microsoft.com/office/officeart/2005/8/layout/hProcess10"/>
    <dgm:cxn modelId="{C3A5BE17-F0E3-4A0F-A4AF-5B8ECCEEB3EC}" type="presOf" srcId="{FF2B0A1C-F510-4FD1-9F5A-13B2DF49BCCD}" destId="{989355FD-A226-4706-B013-D1E5110E8EBA}" srcOrd="0" destOrd="0" presId="urn:microsoft.com/office/officeart/2005/8/layout/hProcess10"/>
    <dgm:cxn modelId="{E6A4BEDE-F7C6-479B-8566-5294791DF5B5}" type="presOf" srcId="{ADBB86AB-594D-4739-903C-D39155B73D41}" destId="{B2BBC794-CA82-4D3D-BCAF-91A94614BD9A}" srcOrd="0" destOrd="0" presId="urn:microsoft.com/office/officeart/2005/8/layout/hProcess10"/>
    <dgm:cxn modelId="{1FC5711A-B3D6-4CF3-A137-BEE332222DA6}" type="presOf" srcId="{B09D2B7E-34CF-4F7C-B715-874627778D21}" destId="{EC01B520-8AEB-422A-B97A-5BF845EB4B4E}" srcOrd="1" destOrd="0" presId="urn:microsoft.com/office/officeart/2005/8/layout/hProcess10"/>
    <dgm:cxn modelId="{AF38A9E6-A4AF-4D07-A643-93D447BE7C9C}" type="presParOf" srcId="{00762BB4-9AB7-485D-9C7B-36CEB16AC579}" destId="{5CACC743-7459-406B-A481-B46C3F195024}" srcOrd="0" destOrd="0" presId="urn:microsoft.com/office/officeart/2005/8/layout/hProcess10"/>
    <dgm:cxn modelId="{84C74BAE-7B26-4408-B0D8-E506D1B59C77}" type="presParOf" srcId="{5CACC743-7459-406B-A481-B46C3F195024}" destId="{E4E9D0B2-22DE-4176-96DD-D6BB4D4377E6}" srcOrd="0" destOrd="0" presId="urn:microsoft.com/office/officeart/2005/8/layout/hProcess10"/>
    <dgm:cxn modelId="{F9962480-BE23-4B23-A108-202D1B6B1769}" type="presParOf" srcId="{5CACC743-7459-406B-A481-B46C3F195024}" destId="{BA69998C-B95C-4A70-AC3A-1486C6351737}" srcOrd="1" destOrd="0" presId="urn:microsoft.com/office/officeart/2005/8/layout/hProcess10"/>
    <dgm:cxn modelId="{9E36D471-9C30-448E-A1C9-FBCC58D87642}" type="presParOf" srcId="{00762BB4-9AB7-485D-9C7B-36CEB16AC579}" destId="{989355FD-A226-4706-B013-D1E5110E8EBA}" srcOrd="1" destOrd="0" presId="urn:microsoft.com/office/officeart/2005/8/layout/hProcess10"/>
    <dgm:cxn modelId="{0497B1F8-17F3-41A2-A831-1BCD6B55B5AF}" type="presParOf" srcId="{989355FD-A226-4706-B013-D1E5110E8EBA}" destId="{7171FDC8-C5FB-418F-91F4-2DA198AADEF0}" srcOrd="0" destOrd="0" presId="urn:microsoft.com/office/officeart/2005/8/layout/hProcess10"/>
    <dgm:cxn modelId="{17C00C10-05A8-4281-8737-CB47DE32F8AC}" type="presParOf" srcId="{00762BB4-9AB7-485D-9C7B-36CEB16AC579}" destId="{89528D15-8734-4231-8663-DF74CDA1AD17}" srcOrd="2" destOrd="0" presId="urn:microsoft.com/office/officeart/2005/8/layout/hProcess10"/>
    <dgm:cxn modelId="{770B75B3-CCCB-4C24-8715-E21D72D3950B}" type="presParOf" srcId="{89528D15-8734-4231-8663-DF74CDA1AD17}" destId="{90B30C84-E076-4589-9D64-B1831D6C1D6C}" srcOrd="0" destOrd="0" presId="urn:microsoft.com/office/officeart/2005/8/layout/hProcess10"/>
    <dgm:cxn modelId="{DCD47B3A-88F7-4F99-B440-81F4DD945B69}" type="presParOf" srcId="{89528D15-8734-4231-8663-DF74CDA1AD17}" destId="{B2BBC794-CA82-4D3D-BCAF-91A94614BD9A}" srcOrd="1" destOrd="0" presId="urn:microsoft.com/office/officeart/2005/8/layout/hProcess10"/>
    <dgm:cxn modelId="{8731C9C2-ECAE-450C-A2CC-3A3DA1290E29}" type="presParOf" srcId="{00762BB4-9AB7-485D-9C7B-36CEB16AC579}" destId="{A10830D8-57D5-4492-9123-D1400CCB007B}" srcOrd="3" destOrd="0" presId="urn:microsoft.com/office/officeart/2005/8/layout/hProcess10"/>
    <dgm:cxn modelId="{3007C7D4-90E2-4481-A3C4-482A7B7DE7BE}" type="presParOf" srcId="{A10830D8-57D5-4492-9123-D1400CCB007B}" destId="{DA21C627-9BA0-4A5D-BB2A-8EAA61997F18}" srcOrd="0" destOrd="0" presId="urn:microsoft.com/office/officeart/2005/8/layout/hProcess10"/>
    <dgm:cxn modelId="{E85CEF43-6249-4C87-8432-C4C11B4AFB63}" type="presParOf" srcId="{00762BB4-9AB7-485D-9C7B-36CEB16AC579}" destId="{2F3C42EF-AF8B-4763-B1E2-C9A7124C2F8F}" srcOrd="4" destOrd="0" presId="urn:microsoft.com/office/officeart/2005/8/layout/hProcess10"/>
    <dgm:cxn modelId="{7DC6733C-2DC8-4E76-9089-B7CA55A3C653}" type="presParOf" srcId="{2F3C42EF-AF8B-4763-B1E2-C9A7124C2F8F}" destId="{7B072ACD-4CD2-46A5-B8A2-223483560A49}" srcOrd="0" destOrd="0" presId="urn:microsoft.com/office/officeart/2005/8/layout/hProcess10"/>
    <dgm:cxn modelId="{57A836E8-C4BA-42E2-97CB-6AB98F9F50A3}" type="presParOf" srcId="{2F3C42EF-AF8B-4763-B1E2-C9A7124C2F8F}" destId="{875D4D52-FA94-4E46-9B6E-A63983D77A5D}" srcOrd="1" destOrd="0" presId="urn:microsoft.com/office/officeart/2005/8/layout/hProcess10"/>
    <dgm:cxn modelId="{D4B1849C-E8B6-411F-ACD3-EC99A28D10FA}" type="presParOf" srcId="{00762BB4-9AB7-485D-9C7B-36CEB16AC579}" destId="{0CC1D1FC-09C6-4F19-B68D-655C372C71C1}" srcOrd="5" destOrd="0" presId="urn:microsoft.com/office/officeart/2005/8/layout/hProcess10"/>
    <dgm:cxn modelId="{D968D90F-E5F3-4003-92C4-F96FB654C2B9}" type="presParOf" srcId="{0CC1D1FC-09C6-4F19-B68D-655C372C71C1}" destId="{EC01B520-8AEB-422A-B97A-5BF845EB4B4E}" srcOrd="0" destOrd="0" presId="urn:microsoft.com/office/officeart/2005/8/layout/hProcess10"/>
    <dgm:cxn modelId="{09895CED-EB70-4B3E-A393-3A56B5C46A97}" type="presParOf" srcId="{00762BB4-9AB7-485D-9C7B-36CEB16AC579}" destId="{8A40CA73-8C69-422B-956C-EC8D255525BF}" srcOrd="6" destOrd="0" presId="urn:microsoft.com/office/officeart/2005/8/layout/hProcess10"/>
    <dgm:cxn modelId="{AA99B9DC-8582-4512-BEDD-769CB4BD19BB}" type="presParOf" srcId="{8A40CA73-8C69-422B-956C-EC8D255525BF}" destId="{4CABF5BF-8370-4549-B0B5-03CBA40169C6}" srcOrd="0" destOrd="0" presId="urn:microsoft.com/office/officeart/2005/8/layout/hProcess10"/>
    <dgm:cxn modelId="{EA6C84D8-3FA6-4AC3-9147-31F8FD4BED4F}" type="presParOf" srcId="{8A40CA73-8C69-422B-956C-EC8D255525BF}" destId="{8A08541C-0A48-4339-B90B-4188B83F4223}" srcOrd="1" destOrd="0" presId="urn:microsoft.com/office/officeart/2005/8/layout/hProcess10"/>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E9D0B2-22DE-4176-96DD-D6BB4D4377E6}">
      <dsp:nvSpPr>
        <dsp:cNvPr id="0" name=""/>
        <dsp:cNvSpPr/>
      </dsp:nvSpPr>
      <dsp:spPr>
        <a:xfrm>
          <a:off x="724" y="235192"/>
          <a:ext cx="943430" cy="943430"/>
        </a:xfrm>
        <a:prstGeom prst="roundRect">
          <a:avLst>
            <a:gd name="adj" fmla="val 10000"/>
          </a:avLst>
        </a:prstGeom>
        <a:blipFill rotWithShape="1">
          <a:blip xmlns:r="http://schemas.openxmlformats.org/officeDocument/2006/relationships" r:embed="rId1"/>
          <a:srcRect/>
          <a:stretch>
            <a:fillRect t="-13000" b="-1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A69998C-B95C-4A70-AC3A-1486C6351737}">
      <dsp:nvSpPr>
        <dsp:cNvPr id="0" name=""/>
        <dsp:cNvSpPr/>
      </dsp:nvSpPr>
      <dsp:spPr>
        <a:xfrm>
          <a:off x="154306" y="801250"/>
          <a:ext cx="943430" cy="9434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E" sz="800" kern="1200"/>
            <a:t>Obtaining the mushrooms </a:t>
          </a:r>
          <a:r>
            <a:rPr lang="es-PE" sz="800" i="1" kern="1200"/>
            <a:t>Pleurotus ostreatus and Trametes versicolor</a:t>
          </a:r>
        </a:p>
      </dsp:txBody>
      <dsp:txXfrm>
        <a:off x="181938" y="828882"/>
        <a:ext cx="888166" cy="888166"/>
      </dsp:txXfrm>
    </dsp:sp>
    <dsp:sp modelId="{989355FD-A226-4706-B013-D1E5110E8EBA}">
      <dsp:nvSpPr>
        <dsp:cNvPr id="0" name=""/>
        <dsp:cNvSpPr/>
      </dsp:nvSpPr>
      <dsp:spPr>
        <a:xfrm>
          <a:off x="1125880" y="593561"/>
          <a:ext cx="181725" cy="22669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PE" sz="600" kern="1200"/>
        </a:p>
      </dsp:txBody>
      <dsp:txXfrm>
        <a:off x="1125880" y="638900"/>
        <a:ext cx="127208" cy="136015"/>
      </dsp:txXfrm>
    </dsp:sp>
    <dsp:sp modelId="{90B30C84-E076-4589-9D64-B1831D6C1D6C}">
      <dsp:nvSpPr>
        <dsp:cNvPr id="0" name=""/>
        <dsp:cNvSpPr/>
      </dsp:nvSpPr>
      <dsp:spPr>
        <a:xfrm>
          <a:off x="1463370" y="235192"/>
          <a:ext cx="943430" cy="943430"/>
        </a:xfrm>
        <a:prstGeom prst="roundRect">
          <a:avLst>
            <a:gd name="adj" fmla="val 10000"/>
          </a:avLst>
        </a:prstGeom>
        <a:blipFill rotWithShape="1">
          <a:blip xmlns:r="http://schemas.openxmlformats.org/officeDocument/2006/relationships" r:embed="rId2"/>
          <a:srcRect/>
          <a:stretch>
            <a:fillRect t="-10000" b="-1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BBC794-CA82-4D3D-BCAF-91A94614BD9A}">
      <dsp:nvSpPr>
        <dsp:cNvPr id="0" name=""/>
        <dsp:cNvSpPr/>
      </dsp:nvSpPr>
      <dsp:spPr>
        <a:xfrm>
          <a:off x="1616952" y="801250"/>
          <a:ext cx="943430" cy="9434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E" sz="800" kern="1200"/>
            <a:t>Conditioning of mushrooms in the substrate</a:t>
          </a:r>
        </a:p>
      </dsp:txBody>
      <dsp:txXfrm>
        <a:off x="1644584" y="828882"/>
        <a:ext cx="888166" cy="888166"/>
      </dsp:txXfrm>
    </dsp:sp>
    <dsp:sp modelId="{A10830D8-57D5-4492-9123-D1400CCB007B}">
      <dsp:nvSpPr>
        <dsp:cNvPr id="0" name=""/>
        <dsp:cNvSpPr/>
      </dsp:nvSpPr>
      <dsp:spPr>
        <a:xfrm>
          <a:off x="2588526" y="593561"/>
          <a:ext cx="181725" cy="22669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PE" sz="600" kern="1200"/>
        </a:p>
      </dsp:txBody>
      <dsp:txXfrm>
        <a:off x="2588526" y="638900"/>
        <a:ext cx="127208" cy="136015"/>
      </dsp:txXfrm>
    </dsp:sp>
    <dsp:sp modelId="{7B072ACD-4CD2-46A5-B8A2-223483560A49}">
      <dsp:nvSpPr>
        <dsp:cNvPr id="0" name=""/>
        <dsp:cNvSpPr/>
      </dsp:nvSpPr>
      <dsp:spPr>
        <a:xfrm>
          <a:off x="2926017" y="235192"/>
          <a:ext cx="943430" cy="943430"/>
        </a:xfrm>
        <a:prstGeom prst="roundRect">
          <a:avLst>
            <a:gd name="adj" fmla="val 10000"/>
          </a:avLst>
        </a:prstGeom>
        <a:blipFill rotWithShape="1">
          <a:blip xmlns:r="http://schemas.openxmlformats.org/officeDocument/2006/relationships" r:embed="rId3"/>
          <a:srcRect/>
          <a:stretch>
            <a:fillRect t="-8000" b="-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75D4D52-FA94-4E46-9B6E-A63983D77A5D}">
      <dsp:nvSpPr>
        <dsp:cNvPr id="0" name=""/>
        <dsp:cNvSpPr/>
      </dsp:nvSpPr>
      <dsp:spPr>
        <a:xfrm>
          <a:off x="3079598" y="801250"/>
          <a:ext cx="943430" cy="9434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E" sz="800" kern="1200"/>
            <a:t>Inoculation of fungal and substrate mixture to Methamidophos and Cd contaminated soil plots.</a:t>
          </a:r>
        </a:p>
      </dsp:txBody>
      <dsp:txXfrm>
        <a:off x="3107230" y="828882"/>
        <a:ext cx="888166" cy="888166"/>
      </dsp:txXfrm>
    </dsp:sp>
    <dsp:sp modelId="{0CC1D1FC-09C6-4F19-B68D-655C372C71C1}">
      <dsp:nvSpPr>
        <dsp:cNvPr id="0" name=""/>
        <dsp:cNvSpPr/>
      </dsp:nvSpPr>
      <dsp:spPr>
        <a:xfrm>
          <a:off x="4051173" y="593561"/>
          <a:ext cx="181725" cy="22669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PE" sz="600" kern="1200"/>
        </a:p>
      </dsp:txBody>
      <dsp:txXfrm>
        <a:off x="4051173" y="638900"/>
        <a:ext cx="127208" cy="136015"/>
      </dsp:txXfrm>
    </dsp:sp>
    <dsp:sp modelId="{4CABF5BF-8370-4549-B0B5-03CBA40169C6}">
      <dsp:nvSpPr>
        <dsp:cNvPr id="0" name=""/>
        <dsp:cNvSpPr/>
      </dsp:nvSpPr>
      <dsp:spPr>
        <a:xfrm>
          <a:off x="4388663" y="235192"/>
          <a:ext cx="943430" cy="943430"/>
        </a:xfrm>
        <a:prstGeom prst="roundRect">
          <a:avLst>
            <a:gd name="adj" fmla="val 10000"/>
          </a:avLst>
        </a:prstGeom>
        <a:blipFill rotWithShape="1">
          <a:blip xmlns:r="http://schemas.openxmlformats.org/officeDocument/2006/relationships" r:embed="rId4"/>
          <a:srcRect/>
          <a:stretch>
            <a:fillRect l="-1000" r="-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08541C-0A48-4339-B90B-4188B83F4223}">
      <dsp:nvSpPr>
        <dsp:cNvPr id="0" name=""/>
        <dsp:cNvSpPr/>
      </dsp:nvSpPr>
      <dsp:spPr>
        <a:xfrm>
          <a:off x="4542245" y="801250"/>
          <a:ext cx="943430" cy="9434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PE" sz="800" kern="1200"/>
            <a:t>Monitoring and control of Methamidophos and Cd from soil with fungal activity.</a:t>
          </a:r>
        </a:p>
      </dsp:txBody>
      <dsp:txXfrm>
        <a:off x="4569877" y="828882"/>
        <a:ext cx="888166" cy="88816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3CA65-0ABD-46E9-A4B4-9332DBFF4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6</Pages>
  <Words>3036</Words>
  <Characters>16698</Characters>
  <Application>Microsoft Office Word</Application>
  <DocSecurity>0</DocSecurity>
  <Lines>139</Lines>
  <Paragraphs>39</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HP</cp:lastModifiedBy>
  <cp:revision>42</cp:revision>
  <cp:lastPrinted>2023-03-22T23:13:00Z</cp:lastPrinted>
  <dcterms:created xsi:type="dcterms:W3CDTF">2023-02-16T05:20:00Z</dcterms:created>
  <dcterms:modified xsi:type="dcterms:W3CDTF">2023-04-19T15:14:00Z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