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9050D4">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9050D4">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9050D4">
        <w:trPr>
          <w:trHeight w:val="68"/>
          <w:jc w:val="center"/>
        </w:trPr>
        <w:tc>
          <w:tcPr>
            <w:tcW w:w="8782" w:type="dxa"/>
            <w:gridSpan w:val="2"/>
          </w:tcPr>
          <w:p w14:paraId="1D8DD3C9" w14:textId="72C518CF"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w:t>
            </w:r>
            <w:r w:rsidRPr="00F93EDF">
              <w:rPr>
                <w:rFonts w:ascii="Tahoma" w:hAnsi="Tahoma" w:cs="Tahoma"/>
                <w:color w:val="000000"/>
                <w:sz w:val="14"/>
                <w:szCs w:val="14"/>
                <w:shd w:val="clear" w:color="auto" w:fill="FFFFFF"/>
              </w:rPr>
              <w:t xml:space="preserve"> </w:t>
            </w:r>
            <w:r w:rsidRPr="00293D18">
              <w:rPr>
                <w:rFonts w:ascii="Tahoma" w:hAnsi="Tahoma" w:cs="Tahoma"/>
                <w:sz w:val="14"/>
                <w:szCs w:val="14"/>
              </w:rPr>
              <w:t>Sauro Pierucci</w:t>
            </w:r>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798383DC" w:rsidR="00E978D0" w:rsidRPr="00B57B36" w:rsidRDefault="00F6661A" w:rsidP="00E978D0">
      <w:pPr>
        <w:pStyle w:val="CETTitle"/>
      </w:pPr>
      <w:r w:rsidRPr="00F6661A">
        <w:t xml:space="preserve">Mix </w:t>
      </w:r>
      <w:r w:rsidR="0016437F">
        <w:t>D</w:t>
      </w:r>
      <w:r w:rsidRPr="00F6661A">
        <w:t xml:space="preserve">esign of </w:t>
      </w:r>
      <w:r w:rsidR="0016437F">
        <w:t>G</w:t>
      </w:r>
      <w:r w:rsidRPr="00F6661A">
        <w:t xml:space="preserve">eopolymeric </w:t>
      </w:r>
      <w:r w:rsidR="0016437F">
        <w:t>F</w:t>
      </w:r>
      <w:r w:rsidRPr="00F6661A">
        <w:t xml:space="preserve">ormulations for </w:t>
      </w:r>
      <w:r w:rsidR="0016437F">
        <w:t>E</w:t>
      </w:r>
      <w:r w:rsidRPr="00F6661A">
        <w:t xml:space="preserve">nvironmentally </w:t>
      </w:r>
      <w:r w:rsidR="0016437F">
        <w:t>S</w:t>
      </w:r>
      <w:r w:rsidRPr="00F6661A">
        <w:t xml:space="preserve">ustainable </w:t>
      </w:r>
      <w:r w:rsidR="0016437F">
        <w:t>S</w:t>
      </w:r>
      <w:r w:rsidRPr="00F6661A">
        <w:t xml:space="preserve">tructural </w:t>
      </w:r>
      <w:r w:rsidR="0016437F">
        <w:t>A</w:t>
      </w:r>
      <w:r w:rsidRPr="00F6661A">
        <w:t>pplications</w:t>
      </w:r>
    </w:p>
    <w:p w14:paraId="0488FED2" w14:textId="3B2C7B99" w:rsidR="00B57E6F" w:rsidRPr="001F673E" w:rsidRDefault="00F6661A" w:rsidP="00B57E6F">
      <w:pPr>
        <w:pStyle w:val="CETAuthors"/>
        <w:rPr>
          <w:lang w:val="it-IT"/>
        </w:rPr>
      </w:pPr>
      <w:r w:rsidRPr="001F673E">
        <w:rPr>
          <w:lang w:val="it-IT"/>
        </w:rPr>
        <w:t>Paola Meloni</w:t>
      </w:r>
      <w:r w:rsidR="00B57E6F" w:rsidRPr="001F673E">
        <w:rPr>
          <w:vertAlign w:val="superscript"/>
          <w:lang w:val="it-IT"/>
        </w:rPr>
        <w:t>a</w:t>
      </w:r>
      <w:r w:rsidR="00B57E6F" w:rsidRPr="001F673E">
        <w:rPr>
          <w:lang w:val="it-IT"/>
        </w:rPr>
        <w:t xml:space="preserve">, </w:t>
      </w:r>
      <w:r w:rsidRPr="001F673E">
        <w:rPr>
          <w:lang w:val="it-IT"/>
        </w:rPr>
        <w:t>Gianfranco Carcangiu</w:t>
      </w:r>
      <w:r w:rsidRPr="001F673E">
        <w:rPr>
          <w:vertAlign w:val="superscript"/>
          <w:lang w:val="it-IT"/>
        </w:rPr>
        <w:t>b</w:t>
      </w:r>
      <w:r w:rsidRPr="001F673E">
        <w:rPr>
          <w:lang w:val="it-IT"/>
        </w:rPr>
        <w:t>, Roberta Licheri</w:t>
      </w:r>
      <w:r w:rsidRPr="001F673E">
        <w:rPr>
          <w:vertAlign w:val="superscript"/>
          <w:lang w:val="it-IT"/>
        </w:rPr>
        <w:t>a</w:t>
      </w:r>
      <w:r w:rsidR="00B57E6F" w:rsidRPr="001F673E">
        <w:rPr>
          <w:vertAlign w:val="superscript"/>
          <w:lang w:val="it-IT"/>
        </w:rPr>
        <w:t>,</w:t>
      </w:r>
      <w:r w:rsidR="004C6C27">
        <w:rPr>
          <w:vertAlign w:val="superscript"/>
          <w:lang w:val="it-IT"/>
        </w:rPr>
        <w:t>c</w:t>
      </w:r>
      <w:r w:rsidR="00B57E6F" w:rsidRPr="001F673E">
        <w:rPr>
          <w:lang w:val="it-IT"/>
        </w:rPr>
        <w:t>*</w:t>
      </w:r>
    </w:p>
    <w:p w14:paraId="65547B1B" w14:textId="3EB8A356" w:rsidR="00F6661A" w:rsidRPr="004C6C27" w:rsidRDefault="004C6C27" w:rsidP="00466521">
      <w:pPr>
        <w:pStyle w:val="CETAddress"/>
        <w:rPr>
          <w:rFonts w:cstheme="minorHAnsi"/>
          <w:sz w:val="24"/>
          <w:szCs w:val="24"/>
        </w:rPr>
      </w:pPr>
      <w:r w:rsidRPr="004C6C27">
        <w:rPr>
          <w:rStyle w:val="CETAddressCarattere"/>
          <w:vertAlign w:val="superscript"/>
        </w:rPr>
        <w:t>a</w:t>
      </w:r>
      <w:r w:rsidRPr="004C6C27">
        <w:rPr>
          <w:rStyle w:val="CETAddressCarattere"/>
        </w:rPr>
        <w:t>Department of Mechanical, Chemical and Materials Engineering</w:t>
      </w:r>
      <w:r w:rsidR="00F6661A" w:rsidRPr="004C6C27">
        <w:rPr>
          <w:rStyle w:val="CETAddressCarattere"/>
        </w:rPr>
        <w:t xml:space="preserve">, </w:t>
      </w:r>
      <w:r w:rsidRPr="004C6C27">
        <w:rPr>
          <w:rStyle w:val="CETAddressCarattere"/>
        </w:rPr>
        <w:t>University of Cagliari</w:t>
      </w:r>
      <w:r>
        <w:rPr>
          <w:rStyle w:val="CETAddressCarattere"/>
        </w:rPr>
        <w:t>,</w:t>
      </w:r>
      <w:r w:rsidRPr="004C6C27">
        <w:rPr>
          <w:rStyle w:val="CETAddressCarattere"/>
        </w:rPr>
        <w:t xml:space="preserve"> </w:t>
      </w:r>
      <w:r w:rsidR="00F70B50">
        <w:rPr>
          <w:rStyle w:val="CETAddressCarattere"/>
        </w:rPr>
        <w:t>V</w:t>
      </w:r>
      <w:r w:rsidR="00F6661A" w:rsidRPr="004C6C27">
        <w:rPr>
          <w:rStyle w:val="CETAddressCarattere"/>
        </w:rPr>
        <w:t>ia Marengo 2, 09123 Cagliari, Italy</w:t>
      </w:r>
    </w:p>
    <w:p w14:paraId="236D5CD1" w14:textId="77777777" w:rsidR="00466521" w:rsidRPr="00466521" w:rsidRDefault="00F6661A" w:rsidP="00466521">
      <w:pPr>
        <w:pStyle w:val="CETAddress"/>
        <w:rPr>
          <w:rStyle w:val="CETAddressCarattere"/>
        </w:rPr>
      </w:pPr>
      <w:r w:rsidRPr="00466521">
        <w:rPr>
          <w:vertAlign w:val="superscript"/>
        </w:rPr>
        <w:t>b</w:t>
      </w:r>
      <w:r w:rsidRPr="00466521">
        <w:rPr>
          <w:rStyle w:val="CETAddressCarattere"/>
        </w:rPr>
        <w:t>Institute of Atmospheric Sciences and Climate ISAC-CNR, via Piero Gobetti 101, Bologna 40129, Italy</w:t>
      </w:r>
    </w:p>
    <w:p w14:paraId="1D64532F" w14:textId="4A791D7F" w:rsidR="004C6C27" w:rsidRPr="00466521" w:rsidRDefault="004C6C27" w:rsidP="00466521">
      <w:pPr>
        <w:pStyle w:val="CETAddress"/>
        <w:rPr>
          <w:rStyle w:val="CETAddressCarattere"/>
        </w:rPr>
      </w:pPr>
      <w:r w:rsidRPr="00466521">
        <w:rPr>
          <w:rStyle w:val="CETAddressCarattere"/>
          <w:vertAlign w:val="superscript"/>
        </w:rPr>
        <w:t>c</w:t>
      </w:r>
      <w:r w:rsidRPr="00466521">
        <w:rPr>
          <w:rStyle w:val="CETAddressCarattere"/>
        </w:rPr>
        <w:t xml:space="preserve">Interdepartmental Centre of Environmental Science and Engineering (CINSA), </w:t>
      </w:r>
      <w:bookmarkStart w:id="0" w:name="_Hlk132318403"/>
      <w:r w:rsidRPr="00466521">
        <w:rPr>
          <w:rStyle w:val="CETAddressCarattere"/>
        </w:rPr>
        <w:t>University of Cagliari</w:t>
      </w:r>
      <w:bookmarkEnd w:id="0"/>
      <w:r w:rsidRPr="00466521">
        <w:rPr>
          <w:rStyle w:val="CETAddressCarattere"/>
        </w:rPr>
        <w:t>, Via San Giorgio 12, 09124 Cagliari, Italy</w:t>
      </w:r>
    </w:p>
    <w:p w14:paraId="73F1267A" w14:textId="420F51E9" w:rsidR="00B57E6F" w:rsidRDefault="004C6C27" w:rsidP="00B57E6F">
      <w:pPr>
        <w:pStyle w:val="CETemail"/>
      </w:pPr>
      <w:hyperlink r:id="rId10" w:history="1">
        <w:r w:rsidRPr="009922AD">
          <w:rPr>
            <w:rStyle w:val="Collegamentoipertestuale"/>
          </w:rPr>
          <w:t>*roberta.licheri@unica.it</w:t>
        </w:r>
      </w:hyperlink>
    </w:p>
    <w:p w14:paraId="3EC4EB14" w14:textId="6BF83E0F" w:rsidR="00E12793" w:rsidRPr="00E12793" w:rsidRDefault="00E12793" w:rsidP="00E12793">
      <w:pPr>
        <w:pStyle w:val="CETBodytext"/>
        <w:rPr>
          <w:lang w:val="en-GB"/>
        </w:rPr>
      </w:pPr>
      <w:r w:rsidRPr="00E12793">
        <w:rPr>
          <w:lang w:val="en-GB"/>
        </w:rPr>
        <w:t>Traditional binders, such as Ordinary Portland Concrete, suffer for hygrometric shrinkage and require high production temperature, in</w:t>
      </w:r>
      <w:r w:rsidR="000E3ED7">
        <w:rPr>
          <w:lang w:val="en-GB"/>
        </w:rPr>
        <w:t xml:space="preserve">volving high energy consumption. </w:t>
      </w:r>
      <w:r w:rsidRPr="00E12793">
        <w:rPr>
          <w:lang w:val="en-GB"/>
        </w:rPr>
        <w:t xml:space="preserve">It is therefore necessary an integrated approach, leading to new solutions for the optimization of the physical and mechanical characteristics of </w:t>
      </w:r>
      <w:r w:rsidR="00B4300E" w:rsidRPr="00191F16">
        <w:rPr>
          <w:lang w:val="en-GB"/>
        </w:rPr>
        <w:t>alternative binde</w:t>
      </w:r>
      <w:r w:rsidR="0008162D">
        <w:rPr>
          <w:lang w:val="en-GB"/>
        </w:rPr>
        <w:t>r</w:t>
      </w:r>
      <w:r w:rsidR="00B4300E" w:rsidRPr="00191F16">
        <w:rPr>
          <w:lang w:val="en-GB"/>
        </w:rPr>
        <w:t>s</w:t>
      </w:r>
      <w:r w:rsidR="005C74AA" w:rsidRPr="00191F16">
        <w:rPr>
          <w:lang w:val="en-GB"/>
        </w:rPr>
        <w:t>,</w:t>
      </w:r>
      <w:r w:rsidR="00B4300E" w:rsidRPr="00191F16">
        <w:rPr>
          <w:lang w:val="en-GB"/>
        </w:rPr>
        <w:t xml:space="preserve"> </w:t>
      </w:r>
      <w:r w:rsidR="005C74AA" w:rsidRPr="00191F16">
        <w:rPr>
          <w:lang w:val="en-GB"/>
        </w:rPr>
        <w:t>r</w:t>
      </w:r>
      <w:r w:rsidRPr="00191F16">
        <w:rPr>
          <w:lang w:val="en-GB"/>
        </w:rPr>
        <w:t>aw materials</w:t>
      </w:r>
      <w:r w:rsidR="005C74AA" w:rsidRPr="00191F16">
        <w:rPr>
          <w:lang w:val="en-GB"/>
        </w:rPr>
        <w:t>, by-products</w:t>
      </w:r>
      <w:r w:rsidRPr="00191F16">
        <w:rPr>
          <w:lang w:val="en-GB"/>
        </w:rPr>
        <w:t xml:space="preserve"> and for the implementation of the available technologies.</w:t>
      </w:r>
    </w:p>
    <w:p w14:paraId="237B3782" w14:textId="04F07838" w:rsidR="00E12793" w:rsidRPr="00E12793" w:rsidRDefault="00F1041C" w:rsidP="00E12793">
      <w:pPr>
        <w:pStyle w:val="CETBodytext"/>
        <w:rPr>
          <w:lang w:val="en-GB"/>
        </w:rPr>
      </w:pPr>
      <w:r>
        <w:rPr>
          <w:lang w:val="en-GB"/>
        </w:rPr>
        <w:t>The</w:t>
      </w:r>
      <w:r w:rsidR="00E12793" w:rsidRPr="00E12793">
        <w:rPr>
          <w:lang w:val="en-GB"/>
        </w:rPr>
        <w:t xml:space="preserve"> present work aims to explore the </w:t>
      </w:r>
      <w:r w:rsidR="00FE176E">
        <w:rPr>
          <w:lang w:val="en-GB"/>
        </w:rPr>
        <w:t>field</w:t>
      </w:r>
      <w:r w:rsidR="00E12793" w:rsidRPr="00E12793">
        <w:rPr>
          <w:lang w:val="en-GB"/>
        </w:rPr>
        <w:t xml:space="preserve"> of binders obtained </w:t>
      </w:r>
      <w:r w:rsidR="00FE176E">
        <w:rPr>
          <w:lang w:val="en-GB"/>
        </w:rPr>
        <w:t>by</w:t>
      </w:r>
      <w:r w:rsidR="00E12793" w:rsidRPr="00E12793">
        <w:rPr>
          <w:lang w:val="en-GB"/>
        </w:rPr>
        <w:t xml:space="preserve"> geopolymerisation, </w:t>
      </w:r>
      <w:r w:rsidR="00FE176E">
        <w:rPr>
          <w:lang w:val="en-GB"/>
        </w:rPr>
        <w:t>which</w:t>
      </w:r>
      <w:r w:rsidR="00E12793" w:rsidRPr="00E12793">
        <w:rPr>
          <w:lang w:val="en-GB"/>
        </w:rPr>
        <w:t xml:space="preserve"> has been gaining increasing interest in recent years, due to the</w:t>
      </w:r>
      <w:r w:rsidR="00FE176E">
        <w:rPr>
          <w:lang w:val="en-GB"/>
        </w:rPr>
        <w:t>ir</w:t>
      </w:r>
      <w:r w:rsidR="00E12793" w:rsidRPr="00E12793">
        <w:rPr>
          <w:lang w:val="en-GB"/>
        </w:rPr>
        <w:t xml:space="preserve"> lower process temperatures compared to traditional cement</w:t>
      </w:r>
      <w:r w:rsidR="00FE176E">
        <w:rPr>
          <w:lang w:val="en-GB"/>
        </w:rPr>
        <w:t>itious</w:t>
      </w:r>
      <w:r w:rsidR="00E12793" w:rsidRPr="00E12793">
        <w:rPr>
          <w:lang w:val="en-GB"/>
        </w:rPr>
        <w:t xml:space="preserve"> binder</w:t>
      </w:r>
      <w:r w:rsidR="00FE176E">
        <w:rPr>
          <w:lang w:val="en-GB"/>
        </w:rPr>
        <w:t>s</w:t>
      </w:r>
      <w:r w:rsidR="00E12793" w:rsidRPr="00E12793">
        <w:rPr>
          <w:lang w:val="en-GB"/>
        </w:rPr>
        <w:t>, and the</w:t>
      </w:r>
      <w:r w:rsidR="00FE176E">
        <w:rPr>
          <w:lang w:val="en-GB"/>
        </w:rPr>
        <w:t>ir</w:t>
      </w:r>
      <w:r w:rsidR="00E12793" w:rsidRPr="00E12793">
        <w:rPr>
          <w:lang w:val="en-GB"/>
        </w:rPr>
        <w:t xml:space="preserve"> </w:t>
      </w:r>
      <w:r w:rsidR="00FE176E">
        <w:rPr>
          <w:lang w:val="en-GB"/>
        </w:rPr>
        <w:t>reduced</w:t>
      </w:r>
      <w:r w:rsidR="00E12793" w:rsidRPr="00E12793">
        <w:rPr>
          <w:lang w:val="en-GB"/>
        </w:rPr>
        <w:t xml:space="preserve"> carbon footprint.</w:t>
      </w:r>
      <w:r w:rsidR="00FE176E">
        <w:rPr>
          <w:lang w:val="en-GB"/>
        </w:rPr>
        <w:t xml:space="preserve"> </w:t>
      </w:r>
      <w:r w:rsidR="00684538">
        <w:rPr>
          <w:lang w:val="en-GB"/>
        </w:rPr>
        <w:t>G</w:t>
      </w:r>
      <w:r w:rsidRPr="00E12793">
        <w:rPr>
          <w:lang w:val="en-GB"/>
        </w:rPr>
        <w:t>eopolymer</w:t>
      </w:r>
      <w:r w:rsidR="00DD0B4D">
        <w:rPr>
          <w:lang w:val="en-GB"/>
        </w:rPr>
        <w:t>s</w:t>
      </w:r>
      <w:r w:rsidRPr="00E12793">
        <w:rPr>
          <w:lang w:val="en-GB"/>
        </w:rPr>
        <w:t xml:space="preserve"> </w:t>
      </w:r>
      <w:r w:rsidRPr="00191F16">
        <w:rPr>
          <w:lang w:val="en-GB"/>
        </w:rPr>
        <w:t>could</w:t>
      </w:r>
      <w:r>
        <w:rPr>
          <w:lang w:val="en-GB"/>
        </w:rPr>
        <w:t xml:space="preserve"> </w:t>
      </w:r>
      <w:r w:rsidRPr="00E12793">
        <w:rPr>
          <w:lang w:val="en-GB"/>
        </w:rPr>
        <w:t xml:space="preserve">represent valuable alternative to products normally used in mortars and concrete production. </w:t>
      </w:r>
      <w:r w:rsidR="00684538">
        <w:rPr>
          <w:lang w:val="en-GB"/>
        </w:rPr>
        <w:t>Their</w:t>
      </w:r>
      <w:r w:rsidR="00684538" w:rsidRPr="00684538">
        <w:rPr>
          <w:lang w:val="en-GB"/>
        </w:rPr>
        <w:t xml:space="preserve"> use as a printing material in 3D printing technology is </w:t>
      </w:r>
      <w:r w:rsidR="00684538">
        <w:rPr>
          <w:lang w:val="en-GB"/>
        </w:rPr>
        <w:t xml:space="preserve">also </w:t>
      </w:r>
      <w:r w:rsidR="00684538" w:rsidRPr="00684538">
        <w:rPr>
          <w:lang w:val="en-GB"/>
        </w:rPr>
        <w:t>promising in the field of sustainable construction for the valorisation of wastes from building industry</w:t>
      </w:r>
      <w:r w:rsidR="00684538">
        <w:rPr>
          <w:lang w:val="en-GB"/>
        </w:rPr>
        <w:t xml:space="preserve"> and the</w:t>
      </w:r>
      <w:r w:rsidRPr="00F1041C">
        <w:rPr>
          <w:lang w:val="en-GB"/>
        </w:rPr>
        <w:t xml:space="preserve"> production of high quality and readily available products</w:t>
      </w:r>
      <w:r w:rsidR="00FE176E">
        <w:rPr>
          <w:lang w:val="en-GB"/>
        </w:rPr>
        <w:t>.</w:t>
      </w:r>
    </w:p>
    <w:p w14:paraId="490D3684" w14:textId="5E77E24A" w:rsidR="00E12793" w:rsidRPr="00E12793" w:rsidRDefault="00E12793" w:rsidP="00E12793">
      <w:pPr>
        <w:pStyle w:val="CETBodytext"/>
        <w:rPr>
          <w:lang w:val="en-GB"/>
        </w:rPr>
      </w:pPr>
      <w:r w:rsidRPr="00E12793">
        <w:rPr>
          <w:lang w:val="en-GB"/>
        </w:rPr>
        <w:t xml:space="preserve">In this work, </w:t>
      </w:r>
      <w:r w:rsidR="001560EE" w:rsidRPr="00191F16">
        <w:rPr>
          <w:lang w:val="en-GB"/>
        </w:rPr>
        <w:t xml:space="preserve">a basic </w:t>
      </w:r>
      <w:r w:rsidRPr="00191F16">
        <w:rPr>
          <w:lang w:val="en-GB"/>
        </w:rPr>
        <w:t>geopolymer</w:t>
      </w:r>
      <w:r w:rsidRPr="00E12793">
        <w:rPr>
          <w:lang w:val="en-GB"/>
        </w:rPr>
        <w:t xml:space="preserve"> mix design is proposed to meet the specific requirements dictated by the 3D extrusion printing process. </w:t>
      </w:r>
      <w:r w:rsidR="00E53AB5">
        <w:rPr>
          <w:lang w:val="en-GB"/>
        </w:rPr>
        <w:t xml:space="preserve">Alkali activated </w:t>
      </w:r>
      <w:r w:rsidR="000E3ED7">
        <w:rPr>
          <w:lang w:val="en-GB"/>
        </w:rPr>
        <w:t>m</w:t>
      </w:r>
      <w:r w:rsidRPr="00E12793">
        <w:rPr>
          <w:lang w:val="en-GB"/>
        </w:rPr>
        <w:t xml:space="preserve">etakaolin and </w:t>
      </w:r>
      <w:r w:rsidR="00697B55" w:rsidRPr="00E12793">
        <w:rPr>
          <w:lang w:val="en-GB"/>
        </w:rPr>
        <w:t xml:space="preserve">fly ash </w:t>
      </w:r>
      <w:r w:rsidR="00697B55">
        <w:rPr>
          <w:lang w:val="en-GB"/>
        </w:rPr>
        <w:t xml:space="preserve">are </w:t>
      </w:r>
      <w:r w:rsidRPr="00E12793">
        <w:rPr>
          <w:lang w:val="en-GB"/>
        </w:rPr>
        <w:t>considered as binders</w:t>
      </w:r>
      <w:r w:rsidR="009B0409">
        <w:rPr>
          <w:lang w:val="en-GB"/>
        </w:rPr>
        <w:t>.</w:t>
      </w:r>
      <w:r w:rsidRPr="00E12793">
        <w:rPr>
          <w:lang w:val="en-GB"/>
        </w:rPr>
        <w:t xml:space="preserve"> </w:t>
      </w:r>
      <w:r w:rsidR="00FE176E">
        <w:rPr>
          <w:lang w:val="en-GB"/>
        </w:rPr>
        <w:t>P</w:t>
      </w:r>
      <w:r w:rsidRPr="00E12793">
        <w:rPr>
          <w:lang w:val="en-GB"/>
        </w:rPr>
        <w:t xml:space="preserve">owders of marble waste are selected as aggregate for the achievement of both functional and high aesthetic </w:t>
      </w:r>
      <w:r w:rsidRPr="00191F16">
        <w:rPr>
          <w:lang w:val="en-GB"/>
        </w:rPr>
        <w:t>value in</w:t>
      </w:r>
      <w:r w:rsidRPr="00E12793">
        <w:rPr>
          <w:lang w:val="en-GB"/>
        </w:rPr>
        <w:t xml:space="preserve"> the final products.</w:t>
      </w:r>
    </w:p>
    <w:p w14:paraId="476B2F2E" w14:textId="1F44C790" w:rsidR="00600535" w:rsidRDefault="00600535" w:rsidP="00600535">
      <w:pPr>
        <w:pStyle w:val="CETHeading1"/>
        <w:rPr>
          <w:lang w:val="en-GB"/>
        </w:rPr>
      </w:pPr>
      <w:r w:rsidRPr="00B57B36">
        <w:rPr>
          <w:lang w:val="en-GB"/>
        </w:rPr>
        <w:t>Introduction</w:t>
      </w:r>
    </w:p>
    <w:p w14:paraId="1FABB320" w14:textId="1846A802" w:rsidR="00437A0D" w:rsidRPr="00D71EE2" w:rsidRDefault="00437A0D" w:rsidP="00437A0D">
      <w:pPr>
        <w:pStyle w:val="CETBodytext"/>
        <w:rPr>
          <w:lang w:val="en-GB"/>
        </w:rPr>
      </w:pPr>
      <w:r w:rsidRPr="00E12793">
        <w:rPr>
          <w:lang w:val="en-GB"/>
        </w:rPr>
        <w:t>Geopolymer</w:t>
      </w:r>
      <w:r>
        <w:rPr>
          <w:lang w:val="en-GB"/>
        </w:rPr>
        <w:t>s</w:t>
      </w:r>
      <w:r w:rsidRPr="00E12793">
        <w:rPr>
          <w:lang w:val="en-GB"/>
        </w:rPr>
        <w:t xml:space="preserve"> refer to a class of inorganic compounds having a polymeric </w:t>
      </w:r>
      <w:r w:rsidRPr="00D71EE2">
        <w:rPr>
          <w:lang w:val="en-GB"/>
        </w:rPr>
        <w:t>structure (Davidovits, 2017).</w:t>
      </w:r>
      <w:r w:rsidRPr="00E12793">
        <w:rPr>
          <w:lang w:val="en-GB"/>
        </w:rPr>
        <w:t xml:space="preserve"> They are typically obtained by </w:t>
      </w:r>
      <w:r w:rsidRPr="00C268B5">
        <w:rPr>
          <w:lang w:val="en-GB"/>
        </w:rPr>
        <w:t xml:space="preserve">alkali </w:t>
      </w:r>
      <w:r>
        <w:rPr>
          <w:lang w:val="en-GB"/>
        </w:rPr>
        <w:t>chemical</w:t>
      </w:r>
      <w:r w:rsidRPr="00E12793">
        <w:rPr>
          <w:lang w:val="en-GB"/>
        </w:rPr>
        <w:t xml:space="preserve"> </w:t>
      </w:r>
      <w:r>
        <w:rPr>
          <w:lang w:val="en-GB"/>
        </w:rPr>
        <w:t xml:space="preserve">activation </w:t>
      </w:r>
      <w:r w:rsidRPr="00E12793">
        <w:rPr>
          <w:lang w:val="en-GB"/>
        </w:rPr>
        <w:t xml:space="preserve">reaction </w:t>
      </w:r>
      <w:r>
        <w:rPr>
          <w:lang w:val="en-GB"/>
        </w:rPr>
        <w:t>starting from an aluminosilicate source,</w:t>
      </w:r>
      <w:r w:rsidRPr="00670A57">
        <w:rPr>
          <w:lang w:val="en-GB"/>
        </w:rPr>
        <w:t xml:space="preserve"> </w:t>
      </w:r>
      <w:r w:rsidRPr="00C268B5">
        <w:rPr>
          <w:lang w:val="en-GB"/>
        </w:rPr>
        <w:t xml:space="preserve">through a process called </w:t>
      </w:r>
      <w:r w:rsidRPr="00C268B5">
        <w:rPr>
          <w:i/>
          <w:iCs/>
          <w:lang w:val="en-GB"/>
        </w:rPr>
        <w:t>geopolymerization</w:t>
      </w:r>
      <w:r w:rsidR="00267730">
        <w:rPr>
          <w:i/>
          <w:iCs/>
          <w:lang w:val="en-GB"/>
        </w:rPr>
        <w:t>.</w:t>
      </w:r>
      <w:r w:rsidRPr="00C268B5">
        <w:rPr>
          <w:i/>
          <w:iCs/>
          <w:lang w:val="en-GB"/>
        </w:rPr>
        <w:t xml:space="preserve"> </w:t>
      </w:r>
      <w:r w:rsidR="00267730">
        <w:rPr>
          <w:lang w:val="en-GB"/>
        </w:rPr>
        <w:t>A</w:t>
      </w:r>
      <w:r w:rsidRPr="00C268B5">
        <w:rPr>
          <w:lang w:val="en-GB"/>
        </w:rPr>
        <w:t xml:space="preserve">lthough the </w:t>
      </w:r>
      <w:r w:rsidRPr="00C268B5">
        <w:t>reaction mechanism is not yet clearly understood</w:t>
      </w:r>
      <w:r w:rsidR="00EE3E58">
        <w:t xml:space="preserve"> (</w:t>
      </w:r>
      <w:r w:rsidR="00EE3E58" w:rsidRPr="00EE3E58">
        <w:t>Rahier</w:t>
      </w:r>
      <w:r w:rsidR="00EE3E58">
        <w:t xml:space="preserve"> et al., 2007)</w:t>
      </w:r>
      <w:r w:rsidR="00915118">
        <w:t>,</w:t>
      </w:r>
      <w:r w:rsidRPr="00C268B5">
        <w:t xml:space="preserve"> </w:t>
      </w:r>
      <w:r>
        <w:t>it</w:t>
      </w:r>
      <w:r w:rsidRPr="00CE3678">
        <w:t xml:space="preserve"> is generally accepted that the first step consists in a hydrolysis reaction, with the dissolution</w:t>
      </w:r>
      <w:r>
        <w:t xml:space="preserve"> </w:t>
      </w:r>
      <w:r>
        <w:rPr>
          <w:lang w:val="en-GB"/>
        </w:rPr>
        <w:t>of</w:t>
      </w:r>
      <w:r w:rsidRPr="00E12793">
        <w:rPr>
          <w:lang w:val="en-GB"/>
        </w:rPr>
        <w:t xml:space="preserve"> aluminosilicate materials in an alkaline solution at room temperature, to form a three-dimensional amorphous network, almost like a zeolitic structure</w:t>
      </w:r>
      <w:r w:rsidR="00B736C3">
        <w:rPr>
          <w:lang w:val="en-GB"/>
        </w:rPr>
        <w:t>.</w:t>
      </w:r>
      <w:r>
        <w:rPr>
          <w:lang w:val="en-GB"/>
        </w:rPr>
        <w:t xml:space="preserve"> </w:t>
      </w:r>
      <w:r w:rsidRPr="00E12793">
        <w:rPr>
          <w:lang w:val="en-GB"/>
        </w:rPr>
        <w:t xml:space="preserve">Only the amorphous component solubilizes while the semi-crystalline phase, being much more chemically resistant, is only superficially activated with possible detachments of alumina </w:t>
      </w:r>
      <w:r>
        <w:rPr>
          <w:lang w:val="en-GB"/>
        </w:rPr>
        <w:t xml:space="preserve">or </w:t>
      </w:r>
      <w:r w:rsidRPr="00D71EE2">
        <w:rPr>
          <w:lang w:val="en-GB"/>
        </w:rPr>
        <w:t>silica tetrahedron (Cong and Cheng, 2021).</w:t>
      </w:r>
    </w:p>
    <w:p w14:paraId="1903A74C" w14:textId="1827B384" w:rsidR="00437A0D" w:rsidRPr="00D71EE2" w:rsidRDefault="00437A0D" w:rsidP="00437A0D">
      <w:pPr>
        <w:pStyle w:val="CETBodytext"/>
        <w:rPr>
          <w:lang w:val="en-GB"/>
        </w:rPr>
      </w:pPr>
      <w:r w:rsidRPr="00D71EE2">
        <w:rPr>
          <w:lang w:val="en-GB"/>
        </w:rPr>
        <w:t>Dissolution results in a sol, with solid particles of starting components suspended into a liquid phase. A gel is subsequently formed through polycondensation of isolated monomers to form lattices of [Si(OH)</w:t>
      </w:r>
      <w:r w:rsidRPr="00D71EE2">
        <w:rPr>
          <w:vertAlign w:val="subscript"/>
          <w:lang w:val="en-GB"/>
        </w:rPr>
        <w:t>4</w:t>
      </w:r>
      <w:r w:rsidRPr="00D71EE2">
        <w:rPr>
          <w:lang w:val="en-GB"/>
        </w:rPr>
        <w:t>] and [Al(OH)</w:t>
      </w:r>
      <w:r w:rsidRPr="00D71EE2">
        <w:rPr>
          <w:vertAlign w:val="subscript"/>
          <w:lang w:val="en-GB"/>
        </w:rPr>
        <w:t>4</w:t>
      </w:r>
      <w:r w:rsidRPr="00D71EE2">
        <w:rPr>
          <w:lang w:val="en-GB"/>
        </w:rPr>
        <w:t>]</w:t>
      </w:r>
      <w:r w:rsidR="00DD0B4D" w:rsidRPr="00DD0B4D">
        <w:rPr>
          <w:vertAlign w:val="superscript"/>
          <w:lang w:val="en-GB"/>
        </w:rPr>
        <w:t>-</w:t>
      </w:r>
      <w:r w:rsidRPr="00D71EE2">
        <w:rPr>
          <w:lang w:val="en-GB"/>
        </w:rPr>
        <w:t xml:space="preserve"> tetrahedron connected by oxygen molecules (Lee et al., 2020). Curing and hardening processes involve migration of water, obtained as by-product, and xero-gel formation. At this stage, drastic evaporation of water must be limited to avoid the formation of zones with different densities, which would lead to stress conditions on the final structure (Cong and Cheng, 2021). </w:t>
      </w:r>
    </w:p>
    <w:p w14:paraId="3C35CBD4" w14:textId="20A3DC04" w:rsidR="00437A0D" w:rsidRPr="00D71EE2" w:rsidRDefault="00437A0D" w:rsidP="00437A0D">
      <w:pPr>
        <w:pStyle w:val="CETBodytext"/>
        <w:rPr>
          <w:lang w:val="en-GB"/>
        </w:rPr>
      </w:pPr>
      <w:r w:rsidRPr="00D71EE2">
        <w:rPr>
          <w:lang w:val="en-GB"/>
        </w:rPr>
        <w:t>Another fundamental issue to be mentioned is the balance of oxides during the polymerizations steps of the alkaline activated system to achieve a complete polymerization and the compensations of electrical charge by Na</w:t>
      </w:r>
      <w:r w:rsidRPr="00D71EE2">
        <w:rPr>
          <w:vertAlign w:val="superscript"/>
          <w:lang w:val="en-GB"/>
        </w:rPr>
        <w:t>+</w:t>
      </w:r>
      <w:r w:rsidRPr="00D71EE2">
        <w:rPr>
          <w:lang w:val="en-GB"/>
        </w:rPr>
        <w:t xml:space="preserve"> ions</w:t>
      </w:r>
      <w:r w:rsidR="00B250BE" w:rsidRPr="00D71EE2">
        <w:rPr>
          <w:lang w:val="en-GB"/>
        </w:rPr>
        <w:t xml:space="preserve"> (Geraldes et al.,2016)</w:t>
      </w:r>
      <w:r w:rsidRPr="00D71EE2">
        <w:rPr>
          <w:lang w:val="en-GB"/>
        </w:rPr>
        <w:t>. Subsequently types and proportions of activators should be also carefully considered for the obtainment of a workable and extrudable mixture to withstand mechanical load and avoiding system failure during fast layer consolidation (Buswell et al., 2018).</w:t>
      </w:r>
    </w:p>
    <w:p w14:paraId="76D946D9" w14:textId="149D3BF8" w:rsidR="00437A0D" w:rsidRPr="00E12793" w:rsidRDefault="00437A0D" w:rsidP="00437A0D">
      <w:pPr>
        <w:pStyle w:val="CETBodytext"/>
        <w:rPr>
          <w:lang w:val="en-GB"/>
        </w:rPr>
      </w:pPr>
      <w:r w:rsidRPr="00D71EE2">
        <w:rPr>
          <w:lang w:val="en-GB"/>
        </w:rPr>
        <w:lastRenderedPageBreak/>
        <w:t>Metakaolin, fly ash, and ground-granulated blast-furnace slag</w:t>
      </w:r>
      <w:r w:rsidR="00966CEA" w:rsidRPr="00D71EE2">
        <w:rPr>
          <w:lang w:val="en-GB"/>
        </w:rPr>
        <w:t>s</w:t>
      </w:r>
      <w:r w:rsidRPr="00D71EE2">
        <w:rPr>
          <w:lang w:val="en-GB"/>
        </w:rPr>
        <w:t xml:space="preserve"> (GGBS) are commonly used as precursors and then alkali-activated</w:t>
      </w:r>
      <w:r w:rsidR="00A45DBD">
        <w:rPr>
          <w:lang w:val="en-GB"/>
        </w:rPr>
        <w:t xml:space="preserve"> </w:t>
      </w:r>
      <w:r w:rsidRPr="00D71EE2">
        <w:rPr>
          <w:lang w:val="en-GB"/>
        </w:rPr>
        <w:t xml:space="preserve">Metakaolin is a high valuable material extensively used in the ceramic industries. One of the most important requirements is a high white grade for aesthetic appearance obtainable at high grade of kaolinite (Wu et al., 2019) and low content of chromophore (i.e., Fe, Mn, Co) constituents (Cara et al., 2006). </w:t>
      </w:r>
    </w:p>
    <w:p w14:paraId="087FF3F0" w14:textId="4062B80B" w:rsidR="00437A0D" w:rsidRPr="00D71EE2" w:rsidRDefault="00437A0D" w:rsidP="00437A0D">
      <w:pPr>
        <w:pStyle w:val="CETBodytext"/>
        <w:rPr>
          <w:lang w:val="en-GB"/>
        </w:rPr>
      </w:pPr>
      <w:r w:rsidRPr="00D71EE2">
        <w:rPr>
          <w:lang w:val="en-GB"/>
        </w:rPr>
        <w:t>Fly Ash is a by-product from thermoelectric plants, produced in huge quantities and, as in the case of blast furnace slag, hardly finds relocation in the building construction industry (Wu et al., 2019).</w:t>
      </w:r>
    </w:p>
    <w:p w14:paraId="2FBDF077" w14:textId="4F6BA9FB" w:rsidR="00437A0D" w:rsidRPr="00D71EE2" w:rsidRDefault="00437A0D" w:rsidP="00437A0D">
      <w:pPr>
        <w:pStyle w:val="CETBodytext"/>
        <w:rPr>
          <w:lang w:val="en-GB"/>
        </w:rPr>
      </w:pPr>
      <w:r w:rsidRPr="00D71EE2">
        <w:rPr>
          <w:lang w:val="en-GB"/>
        </w:rPr>
        <w:t>Since early 1980s, geopolymers have been considered as an environmentally friendly alternative to Ordinary Portland Cement (OPC), both for the lower carbon footprint and good strength and durability, comparable to that of traditional ceramics sintered at high temperatures (Xia and Sanjayan, 2016). Specifically, metakaolin (MTK) based geopolymers can be obtained at relatively low temperature (at about 650°C 700°C) and could incorporate waste materials or by-products such as fly ash or blast furnace slag</w:t>
      </w:r>
      <w:r w:rsidR="004C68A3">
        <w:rPr>
          <w:lang w:val="en-GB"/>
        </w:rPr>
        <w:t xml:space="preserve"> (Tigue et al., 2021)</w:t>
      </w:r>
      <w:r w:rsidRPr="00D71EE2">
        <w:rPr>
          <w:lang w:val="en-GB"/>
        </w:rPr>
        <w:t>. They exhibit, durability, low shrinkage, chemical and high temperature resistance</w:t>
      </w:r>
      <w:r w:rsidR="00C6202F">
        <w:rPr>
          <w:lang w:val="en-GB"/>
        </w:rPr>
        <w:t>,</w:t>
      </w:r>
      <w:r w:rsidRPr="00D71EE2">
        <w:rPr>
          <w:lang w:val="en-GB"/>
        </w:rPr>
        <w:t xml:space="preserve"> that make them attractive for use in the building industry (Wasim et al., 2021).</w:t>
      </w:r>
    </w:p>
    <w:p w14:paraId="24BEDA80" w14:textId="690F09A3" w:rsidR="00437A0D" w:rsidRPr="00D71EE2" w:rsidRDefault="00437A0D" w:rsidP="00437A0D">
      <w:pPr>
        <w:spacing w:line="240" w:lineRule="auto"/>
      </w:pPr>
      <w:r w:rsidRPr="00D71EE2">
        <w:t xml:space="preserve">On the other hand, 3D printing technology is recognised as promising in in the field of sustainable building construction aimed to the exploitation of resources for the obtainment of high quality and readily available products (Buswell et al., 2018). In this respect, geopolymers emerge as promising and valuable printing materials </w:t>
      </w:r>
      <w:r w:rsidR="00966CEA" w:rsidRPr="00D71EE2">
        <w:t>to produce</w:t>
      </w:r>
      <w:r w:rsidRPr="00D71EE2">
        <w:t xml:space="preserve"> components</w:t>
      </w:r>
      <w:r w:rsidR="00966CEA" w:rsidRPr="00D71EE2">
        <w:t xml:space="preserve"> </w:t>
      </w:r>
      <w:r w:rsidRPr="00D71EE2">
        <w:t>and building elements.</w:t>
      </w:r>
    </w:p>
    <w:p w14:paraId="48D12F19" w14:textId="3B6B32FD" w:rsidR="00437A0D" w:rsidRPr="00AE41FD" w:rsidRDefault="00D71EE2" w:rsidP="00C41612">
      <w:pPr>
        <w:spacing w:line="240" w:lineRule="auto"/>
      </w:pPr>
      <w:r w:rsidRPr="00D71EE2">
        <w:t>T</w:t>
      </w:r>
      <w:r w:rsidR="00437A0D" w:rsidRPr="00D71EE2">
        <w:t>he performance of printing materials is undoubtedly a critical aspect of the entire printing process</w:t>
      </w:r>
      <w:r w:rsidR="00F60BA7">
        <w:t xml:space="preserve">, being </w:t>
      </w:r>
      <w:r w:rsidR="00F60BA7" w:rsidRPr="00F60BA7">
        <w:t xml:space="preserve">strongly influenced by deposition </w:t>
      </w:r>
      <w:r w:rsidR="00F60BA7">
        <w:t>conditions (i.e., time and printing directions)</w:t>
      </w:r>
      <w:r w:rsidR="00F60BA7" w:rsidRPr="00F60BA7">
        <w:t>.</w:t>
      </w:r>
      <w:r w:rsidR="00F60BA7">
        <w:t xml:space="preserve"> </w:t>
      </w:r>
      <w:r w:rsidR="00437A0D" w:rsidRPr="00D71EE2">
        <w:t>The design of suitable geopolymeric mortars feedstock for 3D extrusion printing, with short curing time and high self-supporting capacity, becomes a priority to give product with required properties</w:t>
      </w:r>
      <w:r w:rsidR="00F60BA7">
        <w:t xml:space="preserve"> (Panda et al., 2017)</w:t>
      </w:r>
      <w:r w:rsidR="00437A0D" w:rsidRPr="00D71EE2">
        <w:t xml:space="preserve">. Starting from characterization components (aggregates, additives, alkaline activators, etc.), some mortar </w:t>
      </w:r>
      <w:r w:rsidR="00966CEA" w:rsidRPr="00D71EE2">
        <w:t>mixes</w:t>
      </w:r>
      <w:r w:rsidR="00437A0D" w:rsidRPr="00D71EE2">
        <w:t xml:space="preserve"> </w:t>
      </w:r>
      <w:r w:rsidR="00C41612">
        <w:t>are</w:t>
      </w:r>
      <w:r w:rsidR="00437A0D" w:rsidRPr="00D71EE2">
        <w:t xml:space="preserve"> formulated in this </w:t>
      </w:r>
      <w:r w:rsidR="00C41612">
        <w:t xml:space="preserve">preliminary </w:t>
      </w:r>
      <w:r w:rsidR="00437A0D" w:rsidRPr="00D71EE2">
        <w:t>work to identify the best ones for further development and specific uses in 3D extrusion process for building construction.</w:t>
      </w:r>
      <w:r w:rsidR="00437A0D" w:rsidRPr="00D71EE2">
        <w:rPr>
          <w:rFonts w:ascii="Times New Roman" w:hAnsi="Times New Roman"/>
          <w:sz w:val="24"/>
          <w:szCs w:val="24"/>
        </w:rPr>
        <w:t xml:space="preserve"> </w:t>
      </w:r>
      <w:r w:rsidR="00437A0D" w:rsidRPr="00D71EE2">
        <w:t>Specifically, metakaolin and waste from the thermoelectric industry, such as fly ash, are used as binders</w:t>
      </w:r>
      <w:r w:rsidR="00C41612">
        <w:t>, while marble</w:t>
      </w:r>
      <w:r w:rsidR="0014775E">
        <w:t xml:space="preserve"> sawing sand</w:t>
      </w:r>
      <w:r w:rsidR="00C41612">
        <w:t xml:space="preserve"> is</w:t>
      </w:r>
      <w:r w:rsidR="00437A0D" w:rsidRPr="00D71EE2">
        <w:t xml:space="preserve"> </w:t>
      </w:r>
      <w:r w:rsidR="00C41612">
        <w:t xml:space="preserve">used as aggregate. This choice allows the </w:t>
      </w:r>
      <w:r w:rsidR="0014775E">
        <w:t>recycle</w:t>
      </w:r>
      <w:r w:rsidR="00C41612">
        <w:t xml:space="preserve"> of </w:t>
      </w:r>
      <w:r w:rsidR="0014775E">
        <w:t xml:space="preserve">a material that represent a </w:t>
      </w:r>
      <w:r w:rsidR="00C41612" w:rsidRPr="00E12793">
        <w:t>serious environmental hazard</w:t>
      </w:r>
      <w:r w:rsidR="0014775E">
        <w:t>,</w:t>
      </w:r>
      <w:r w:rsidR="00C41612">
        <w:t xml:space="preserve"> and</w:t>
      </w:r>
      <w:r w:rsidR="0014775E">
        <w:t xml:space="preserve">, at </w:t>
      </w:r>
      <w:r w:rsidR="00437A0D" w:rsidRPr="00D71EE2">
        <w:t xml:space="preserve">the </w:t>
      </w:r>
      <w:r w:rsidR="0014775E">
        <w:t>same time, the obtainment</w:t>
      </w:r>
      <w:r w:rsidR="00437A0D" w:rsidRPr="00D71EE2">
        <w:t xml:space="preserve"> of </w:t>
      </w:r>
      <w:r w:rsidR="0014775E" w:rsidRPr="00D71EE2">
        <w:t xml:space="preserve">functional </w:t>
      </w:r>
      <w:r w:rsidR="0014775E">
        <w:t xml:space="preserve">and </w:t>
      </w:r>
      <w:r w:rsidR="0014775E" w:rsidRPr="00D71EE2">
        <w:t>aesthetic</w:t>
      </w:r>
      <w:r w:rsidR="0014775E">
        <w:t xml:space="preserve">al </w:t>
      </w:r>
      <w:r w:rsidR="0014775E" w:rsidRPr="00D71EE2">
        <w:t>products</w:t>
      </w:r>
      <w:r w:rsidR="0014775E">
        <w:t>.</w:t>
      </w:r>
    </w:p>
    <w:p w14:paraId="61A9B77A" w14:textId="7723BD95" w:rsidR="00600535" w:rsidRPr="00B57B36" w:rsidRDefault="00417BF2" w:rsidP="00210B2A">
      <w:pPr>
        <w:pStyle w:val="CETHeading1"/>
        <w:tabs>
          <w:tab w:val="num" w:pos="360"/>
        </w:tabs>
      </w:pPr>
      <w:r>
        <w:t>Experimental</w:t>
      </w:r>
    </w:p>
    <w:p w14:paraId="32B7F0B2" w14:textId="2A4AE642" w:rsidR="00E12793" w:rsidRPr="00E12793" w:rsidRDefault="00E12793" w:rsidP="00E12793">
      <w:pPr>
        <w:pStyle w:val="CETBodytext"/>
        <w:rPr>
          <w:lang w:val="en-GB"/>
        </w:rPr>
      </w:pPr>
      <w:r w:rsidRPr="00E12793">
        <w:rPr>
          <w:lang w:val="en-GB"/>
        </w:rPr>
        <w:t xml:space="preserve">Characteristics of materials used in this work are reported in Table 1. Geopolymer mortars (GPM) were prepared with </w:t>
      </w:r>
      <w:r w:rsidR="009F5FD1">
        <w:rPr>
          <w:lang w:val="en-GB"/>
        </w:rPr>
        <w:t>aggregate/</w:t>
      </w:r>
      <w:r w:rsidRPr="00E12793">
        <w:rPr>
          <w:lang w:val="en-GB"/>
        </w:rPr>
        <w:t xml:space="preserve">binder weight ratio of </w:t>
      </w:r>
      <w:r w:rsidR="009F5FD1">
        <w:rPr>
          <w:lang w:val="en-GB"/>
        </w:rPr>
        <w:t>4:1</w:t>
      </w:r>
      <w:r w:rsidR="00F113E8">
        <w:rPr>
          <w:lang w:val="en-GB"/>
        </w:rPr>
        <w:t>,</w:t>
      </w:r>
      <w:r w:rsidR="00D3310D">
        <w:rPr>
          <w:lang w:val="en-GB"/>
        </w:rPr>
        <w:t xml:space="preserve"> </w:t>
      </w:r>
      <w:r w:rsidR="00D4652E">
        <w:rPr>
          <w:lang w:val="en-GB"/>
        </w:rPr>
        <w:t>to</w:t>
      </w:r>
      <w:r w:rsidRPr="00E12793">
        <w:rPr>
          <w:lang w:val="en-GB"/>
        </w:rPr>
        <w:t xml:space="preserve"> maximize the use of marble sand waste as aggregate. Activation of the starting </w:t>
      </w:r>
      <w:r w:rsidR="009F5FD1">
        <w:rPr>
          <w:lang w:val="en-GB"/>
        </w:rPr>
        <w:t>m</w:t>
      </w:r>
      <w:r w:rsidRPr="00E12793">
        <w:rPr>
          <w:lang w:val="en-GB"/>
        </w:rPr>
        <w:t>ix was achieved using NaOH solutions of different molarity (5, 8, 10 M). Only mixtures from 10 M solution resulted in cohesive bonding mass with</w:t>
      </w:r>
      <w:r w:rsidR="00D3310D">
        <w:rPr>
          <w:lang w:val="en-GB"/>
        </w:rPr>
        <w:t xml:space="preserve"> rapid hardening, low </w:t>
      </w:r>
      <w:r w:rsidR="00F113E8">
        <w:rPr>
          <w:lang w:val="en-GB"/>
        </w:rPr>
        <w:t>shrinkage,</w:t>
      </w:r>
      <w:r w:rsidRPr="00E12793">
        <w:rPr>
          <w:lang w:val="en-GB"/>
        </w:rPr>
        <w:t xml:space="preserve"> and good 3D printability. Liquid to solid (L/S) ratio was varied in the range 0.34-0.56 while the SiO</w:t>
      </w:r>
      <w:r w:rsidRPr="00B53A56">
        <w:rPr>
          <w:vertAlign w:val="subscript"/>
          <w:lang w:val="en-GB"/>
        </w:rPr>
        <w:t>2</w:t>
      </w:r>
      <w:r w:rsidRPr="00E12793">
        <w:rPr>
          <w:lang w:val="en-GB"/>
        </w:rPr>
        <w:t>/Al</w:t>
      </w:r>
      <w:r w:rsidRPr="00B53A56">
        <w:rPr>
          <w:vertAlign w:val="subscript"/>
          <w:lang w:val="en-GB"/>
        </w:rPr>
        <w:t>2</w:t>
      </w:r>
      <w:r w:rsidRPr="00E12793">
        <w:rPr>
          <w:lang w:val="en-GB"/>
        </w:rPr>
        <w:t>O</w:t>
      </w:r>
      <w:r w:rsidRPr="00B53A56">
        <w:rPr>
          <w:vertAlign w:val="subscript"/>
          <w:lang w:val="en-GB"/>
        </w:rPr>
        <w:t>3</w:t>
      </w:r>
      <w:r w:rsidRPr="00E12793">
        <w:rPr>
          <w:lang w:val="en-GB"/>
        </w:rPr>
        <w:t xml:space="preserve"> molar ratio was changed from 2 up to 10, when partially or totally replacing MTK with Fly Ash. In this work Calcic Hydraulic Fly Ashes (W HFA) from </w:t>
      </w:r>
      <w:r w:rsidR="009F5FD1">
        <w:rPr>
          <w:lang w:val="en-GB"/>
        </w:rPr>
        <w:t>thermoelectric</w:t>
      </w:r>
      <w:r w:rsidRPr="00E12793">
        <w:rPr>
          <w:lang w:val="en-GB"/>
        </w:rPr>
        <w:t xml:space="preserve"> plant </w:t>
      </w:r>
      <w:r w:rsidR="00D3310D">
        <w:rPr>
          <w:lang w:val="en-GB"/>
        </w:rPr>
        <w:t>w</w:t>
      </w:r>
      <w:r w:rsidRPr="00E12793">
        <w:rPr>
          <w:lang w:val="en-GB"/>
        </w:rPr>
        <w:t>ere used.</w:t>
      </w:r>
    </w:p>
    <w:p w14:paraId="5599B7DA" w14:textId="3D74DCC2" w:rsidR="00E12793" w:rsidRPr="00E12793" w:rsidRDefault="00E12793" w:rsidP="00E12793">
      <w:pPr>
        <w:pStyle w:val="CETBodytext"/>
        <w:rPr>
          <w:lang w:val="en-GB"/>
        </w:rPr>
      </w:pPr>
      <w:r w:rsidRPr="00E12793">
        <w:rPr>
          <w:lang w:val="en-GB"/>
        </w:rPr>
        <w:t>Preliminary screening tests of mix design were made and then the most promising</w:t>
      </w:r>
      <w:r w:rsidR="00D3310D">
        <w:rPr>
          <w:lang w:val="en-GB"/>
        </w:rPr>
        <w:t xml:space="preserve"> ones</w:t>
      </w:r>
      <w:r w:rsidRPr="00E12793">
        <w:rPr>
          <w:lang w:val="en-GB"/>
        </w:rPr>
        <w:t xml:space="preserve"> were considered in this work (Table 2). Better mixtures for the specific objective (3D extrusion printing) were poured into cubic </w:t>
      </w:r>
      <w:r w:rsidR="009F5FD1">
        <w:rPr>
          <w:lang w:val="en-GB"/>
        </w:rPr>
        <w:t xml:space="preserve">and </w:t>
      </w:r>
      <w:r w:rsidR="009F5FD1" w:rsidRPr="00E12793">
        <w:rPr>
          <w:lang w:val="en-GB"/>
        </w:rPr>
        <w:t xml:space="preserve">prismatic </w:t>
      </w:r>
      <w:r w:rsidRPr="00E12793">
        <w:rPr>
          <w:lang w:val="en-GB"/>
        </w:rPr>
        <w:t>steel moulds to assess linear shrinkage and other mechanical properties during curing time.</w:t>
      </w:r>
    </w:p>
    <w:p w14:paraId="052F0236" w14:textId="275F2813" w:rsidR="00E12793" w:rsidRPr="00E12793" w:rsidRDefault="00E12793" w:rsidP="00E12793">
      <w:pPr>
        <w:pStyle w:val="CETBodytext"/>
        <w:rPr>
          <w:lang w:val="en-GB"/>
        </w:rPr>
      </w:pPr>
      <w:r w:rsidRPr="00E12793">
        <w:rPr>
          <w:lang w:val="en-GB"/>
        </w:rPr>
        <w:t>Ultrasonic transit pulse velocity (USv) was measured using the portable P.U.N.D.I.T. apparatus (Farrel SNC), equipped with emitting and receiving cylindrical transducers (3.5 cm diameter) with frequency of 150</w:t>
      </w:r>
      <w:r w:rsidR="003A3F80">
        <w:rPr>
          <w:lang w:val="en-GB"/>
        </w:rPr>
        <w:t xml:space="preserve"> </w:t>
      </w:r>
      <w:r w:rsidRPr="00E12793">
        <w:rPr>
          <w:lang w:val="en-GB"/>
        </w:rPr>
        <w:t>kHz.</w:t>
      </w:r>
    </w:p>
    <w:p w14:paraId="77748730" w14:textId="7B98D701" w:rsidR="00E12793" w:rsidRPr="00D3310D" w:rsidRDefault="00E12793" w:rsidP="00E12793">
      <w:pPr>
        <w:pStyle w:val="CETBodytext"/>
        <w:rPr>
          <w:strike/>
          <w:lang w:val="en-GB"/>
        </w:rPr>
      </w:pPr>
      <w:r w:rsidRPr="00E12793">
        <w:rPr>
          <w:lang w:val="en-GB"/>
        </w:rPr>
        <w:t xml:space="preserve">Skeletal </w:t>
      </w:r>
      <w:r w:rsidR="000F22AF">
        <w:rPr>
          <w:lang w:val="en-GB"/>
        </w:rPr>
        <w:t xml:space="preserve">and </w:t>
      </w:r>
      <w:r w:rsidR="000F22AF" w:rsidRPr="00E12793">
        <w:rPr>
          <w:lang w:val="en-GB"/>
        </w:rPr>
        <w:t xml:space="preserve">bulk density </w:t>
      </w:r>
      <w:r w:rsidR="000F22AF">
        <w:rPr>
          <w:lang w:val="en-GB"/>
        </w:rPr>
        <w:t>were</w:t>
      </w:r>
      <w:r w:rsidRPr="00E12793">
        <w:rPr>
          <w:lang w:val="en-GB"/>
        </w:rPr>
        <w:t xml:space="preserve"> measured by a He pycnometer (Micromeritics Accupyc II) on </w:t>
      </w:r>
      <w:r w:rsidR="009F5FD1" w:rsidRPr="00E12793">
        <w:rPr>
          <w:lang w:val="en-GB"/>
        </w:rPr>
        <w:t>free</w:t>
      </w:r>
      <w:r w:rsidR="009F5FD1">
        <w:rPr>
          <w:lang w:val="en-GB"/>
        </w:rPr>
        <w:t>-macroscopic defects</w:t>
      </w:r>
      <w:r w:rsidR="009F5FD1" w:rsidRPr="00E12793">
        <w:rPr>
          <w:lang w:val="en-GB"/>
        </w:rPr>
        <w:t xml:space="preserve"> </w:t>
      </w:r>
      <w:r w:rsidRPr="00E12793">
        <w:rPr>
          <w:lang w:val="en-GB"/>
        </w:rPr>
        <w:t>samples</w:t>
      </w:r>
      <w:r w:rsidR="000F22AF">
        <w:rPr>
          <w:lang w:val="en-GB"/>
        </w:rPr>
        <w:t xml:space="preserve"> and</w:t>
      </w:r>
      <w:r w:rsidRPr="00E12793">
        <w:rPr>
          <w:lang w:val="en-GB"/>
        </w:rPr>
        <w:t xml:space="preserve"> hydrostatic balance</w:t>
      </w:r>
      <w:r w:rsidR="000F22AF">
        <w:rPr>
          <w:lang w:val="en-GB"/>
        </w:rPr>
        <w:t xml:space="preserve"> respectively</w:t>
      </w:r>
      <w:r w:rsidR="009F5FD1">
        <w:rPr>
          <w:lang w:val="en-GB"/>
        </w:rPr>
        <w:t>.</w:t>
      </w:r>
    </w:p>
    <w:p w14:paraId="4C7337C5" w14:textId="3F96B0AD" w:rsidR="00E12793" w:rsidRPr="00E12793" w:rsidRDefault="00E12793" w:rsidP="00E12793">
      <w:pPr>
        <w:pStyle w:val="CETBodytext"/>
        <w:rPr>
          <w:lang w:val="en-GB"/>
        </w:rPr>
      </w:pPr>
      <w:r w:rsidRPr="00E12793">
        <w:rPr>
          <w:lang w:val="en-GB"/>
        </w:rPr>
        <w:t xml:space="preserve">Capillary water absorption tests (cubic samples, 5 cm side) were performed following the UNI EN 15801:2010 standard. Open porosity (%) and pore size distribution was </w:t>
      </w:r>
      <w:r w:rsidR="000F22AF">
        <w:rPr>
          <w:lang w:val="en-GB"/>
        </w:rPr>
        <w:t>obtained</w:t>
      </w:r>
      <w:r w:rsidRPr="00E12793">
        <w:rPr>
          <w:lang w:val="en-GB"/>
        </w:rPr>
        <w:t xml:space="preserve"> by Mercury Intrusion Porosimetry - MIP (Micromeritics Autopore IV) on irregular centimetric s</w:t>
      </w:r>
      <w:r w:rsidR="000F22AF">
        <w:rPr>
          <w:lang w:val="en-GB"/>
        </w:rPr>
        <w:t>pecimens</w:t>
      </w:r>
      <w:r w:rsidRPr="00E12793">
        <w:rPr>
          <w:lang w:val="en-GB"/>
        </w:rPr>
        <w:t>.</w:t>
      </w:r>
    </w:p>
    <w:p w14:paraId="7B2F59CD" w14:textId="11411B18" w:rsidR="00E12793" w:rsidRPr="00E12793" w:rsidRDefault="00E12793" w:rsidP="00E12793">
      <w:pPr>
        <w:pStyle w:val="CETBodytext"/>
        <w:rPr>
          <w:lang w:val="en-GB"/>
        </w:rPr>
      </w:pPr>
      <w:r w:rsidRPr="00E12793">
        <w:rPr>
          <w:lang w:val="en-GB"/>
        </w:rPr>
        <w:t>Morphological and structural characterization was performed by SEM microscopy (Zeiss Evo LS 15</w:t>
      </w:r>
      <w:r w:rsidR="0062299F">
        <w:rPr>
          <w:lang w:val="en-GB"/>
        </w:rPr>
        <w:t>)</w:t>
      </w:r>
      <w:r w:rsidRPr="00E12793">
        <w:rPr>
          <w:lang w:val="en-GB"/>
        </w:rPr>
        <w:t xml:space="preserve"> on polished thin sections.</w:t>
      </w:r>
    </w:p>
    <w:p w14:paraId="62951A7C" w14:textId="1BF91475" w:rsidR="00E12793" w:rsidRPr="00E12793" w:rsidRDefault="00E12793" w:rsidP="00E12793">
      <w:pPr>
        <w:pStyle w:val="CETBodytext"/>
        <w:rPr>
          <w:lang w:val="en-GB"/>
        </w:rPr>
      </w:pPr>
      <w:r w:rsidRPr="00E12793">
        <w:rPr>
          <w:lang w:val="en-GB"/>
        </w:rPr>
        <w:t xml:space="preserve">Uniaxial compressive strength tests were </w:t>
      </w:r>
      <w:r w:rsidR="00437A0D">
        <w:rPr>
          <w:lang w:val="en-GB"/>
        </w:rPr>
        <w:t>measured</w:t>
      </w:r>
      <w:r w:rsidRPr="00E12793">
        <w:rPr>
          <w:lang w:val="en-GB"/>
        </w:rPr>
        <w:t xml:space="preserve"> on cubic specimens</w:t>
      </w:r>
      <w:r w:rsidR="009110B1">
        <w:rPr>
          <w:lang w:val="en-GB"/>
        </w:rPr>
        <w:t xml:space="preserve"> at 25</w:t>
      </w:r>
      <w:r w:rsidR="00D4652E">
        <w:rPr>
          <w:lang w:val="en-GB"/>
        </w:rPr>
        <w:t xml:space="preserve"> </w:t>
      </w:r>
      <w:r w:rsidR="009110B1">
        <w:rPr>
          <w:lang w:val="en-GB"/>
        </w:rPr>
        <w:t xml:space="preserve">°C and </w:t>
      </w:r>
      <w:r w:rsidR="009110B1" w:rsidRPr="009110B1">
        <w:t>UR 65-70%</w:t>
      </w:r>
      <w:r w:rsidRPr="009110B1">
        <w:rPr>
          <w:lang w:val="en-GB"/>
        </w:rPr>
        <w:t>,</w:t>
      </w:r>
      <w:r w:rsidRPr="00E12793">
        <w:rPr>
          <w:lang w:val="en-GB"/>
        </w:rPr>
        <w:t xml:space="preserve"> </w:t>
      </w:r>
      <w:r w:rsidR="008D5622">
        <w:rPr>
          <w:lang w:val="en-GB"/>
        </w:rPr>
        <w:t xml:space="preserve">and on samples </w:t>
      </w:r>
      <w:r w:rsidRPr="00E12793">
        <w:rPr>
          <w:lang w:val="en-GB"/>
        </w:rPr>
        <w:t>subject</w:t>
      </w:r>
      <w:r w:rsidR="008D5622">
        <w:rPr>
          <w:lang w:val="en-GB"/>
        </w:rPr>
        <w:t>ed</w:t>
      </w:r>
      <w:r w:rsidRPr="00E12793">
        <w:rPr>
          <w:lang w:val="en-GB"/>
        </w:rPr>
        <w:t xml:space="preserve"> to sensitization with aqueous solution at 25 °C for prolonged contact times (t &gt; 800 h capillarity uptake + 7 days total water saturation).</w:t>
      </w:r>
    </w:p>
    <w:p w14:paraId="1732C970" w14:textId="3B04E880" w:rsidR="001F673E" w:rsidRDefault="00E12793" w:rsidP="000F22AF">
      <w:pPr>
        <w:pStyle w:val="CETBodytext"/>
        <w:rPr>
          <w:lang w:val="en-GB"/>
        </w:rPr>
      </w:pPr>
      <w:r w:rsidRPr="00E12793">
        <w:rPr>
          <w:lang w:val="en-GB"/>
        </w:rPr>
        <w:t>Laboratory extrusion mortars tests were performed through a ram extruder consisting of a syringe (1 cm diameter nozzle) and a plunger, allowing for a constant extrusion flow rate of the GPM.</w:t>
      </w:r>
    </w:p>
    <w:p w14:paraId="46584972" w14:textId="4406772D" w:rsidR="005C25A9" w:rsidRDefault="005C25A9">
      <w:pPr>
        <w:tabs>
          <w:tab w:val="clear" w:pos="7100"/>
        </w:tabs>
        <w:spacing w:after="200" w:line="276" w:lineRule="auto"/>
        <w:jc w:val="left"/>
      </w:pPr>
      <w:r>
        <w:br w:type="page"/>
      </w:r>
    </w:p>
    <w:p w14:paraId="52BF8109" w14:textId="4C251391" w:rsidR="00351E60" w:rsidRPr="0027595A" w:rsidRDefault="00351E60" w:rsidP="00351E60">
      <w:pPr>
        <w:pStyle w:val="CETTabletitle"/>
        <w:rPr>
          <w:szCs w:val="18"/>
        </w:rPr>
      </w:pPr>
      <w:r w:rsidRPr="0027595A">
        <w:rPr>
          <w:szCs w:val="18"/>
        </w:rPr>
        <w:lastRenderedPageBreak/>
        <w:t xml:space="preserve">Table 1: </w:t>
      </w:r>
      <w:r w:rsidR="00F84C22" w:rsidRPr="0027595A">
        <w:rPr>
          <w:szCs w:val="18"/>
        </w:rPr>
        <w:t>M</w:t>
      </w:r>
      <w:r w:rsidRPr="0027595A">
        <w:rPr>
          <w:szCs w:val="18"/>
        </w:rPr>
        <w:t>aterial</w:t>
      </w:r>
      <w:r w:rsidR="00F84C22" w:rsidRPr="0027595A">
        <w:rPr>
          <w:szCs w:val="18"/>
        </w:rPr>
        <w:t>s</w:t>
      </w:r>
      <w:r w:rsidRPr="0027595A">
        <w:rPr>
          <w:szCs w:val="18"/>
        </w:rPr>
        <w:t xml:space="preserve"> used for the preparation of </w:t>
      </w:r>
      <w:r w:rsidR="00161DFB" w:rsidRPr="0027595A">
        <w:rPr>
          <w:szCs w:val="18"/>
        </w:rPr>
        <w:t>GPM</w:t>
      </w:r>
    </w:p>
    <w:tbl>
      <w:tblPr>
        <w:tblW w:w="8647"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119"/>
        <w:gridCol w:w="1984"/>
        <w:gridCol w:w="3544"/>
      </w:tblGrid>
      <w:tr w:rsidR="00351E60" w:rsidRPr="0027595A" w14:paraId="0C201A5D" w14:textId="77777777" w:rsidTr="00A15888">
        <w:trPr>
          <w:trHeight w:val="20"/>
        </w:trPr>
        <w:tc>
          <w:tcPr>
            <w:tcW w:w="3119" w:type="dxa"/>
            <w:tcBorders>
              <w:top w:val="single" w:sz="12" w:space="0" w:color="008000"/>
              <w:bottom w:val="single" w:sz="6" w:space="0" w:color="008000"/>
            </w:tcBorders>
            <w:shd w:val="clear" w:color="auto" w:fill="FFFFFF"/>
          </w:tcPr>
          <w:p w14:paraId="17C61B47" w14:textId="7867A6ED" w:rsidR="00351E60" w:rsidRPr="0027595A" w:rsidRDefault="00F84C22" w:rsidP="00351E60">
            <w:pPr>
              <w:pStyle w:val="CETBodytext"/>
              <w:jc w:val="left"/>
              <w:rPr>
                <w:lang w:val="en-GB"/>
              </w:rPr>
            </w:pPr>
            <w:r w:rsidRPr="0027595A">
              <w:rPr>
                <w:lang w:val="en-GB"/>
              </w:rPr>
              <w:t>Starting</w:t>
            </w:r>
            <w:r w:rsidR="00351E60" w:rsidRPr="0027595A">
              <w:rPr>
                <w:lang w:val="en-GB"/>
              </w:rPr>
              <w:t xml:space="preserve"> materials</w:t>
            </w:r>
          </w:p>
        </w:tc>
        <w:tc>
          <w:tcPr>
            <w:tcW w:w="1984" w:type="dxa"/>
            <w:tcBorders>
              <w:top w:val="single" w:sz="12" w:space="0" w:color="008000"/>
              <w:bottom w:val="single" w:sz="6" w:space="0" w:color="008000"/>
            </w:tcBorders>
            <w:shd w:val="clear" w:color="auto" w:fill="FFFFFF"/>
          </w:tcPr>
          <w:p w14:paraId="26112093" w14:textId="77777777" w:rsidR="00351E60" w:rsidRPr="0027595A" w:rsidRDefault="00351E60" w:rsidP="00351E60">
            <w:pPr>
              <w:pStyle w:val="CETBodytext"/>
              <w:ind w:right="-1"/>
              <w:jc w:val="left"/>
              <w:rPr>
                <w:rFonts w:cs="Arial"/>
                <w:szCs w:val="18"/>
                <w:lang w:val="en-GB"/>
              </w:rPr>
            </w:pPr>
            <w:r w:rsidRPr="0027595A">
              <w:rPr>
                <w:lang w:val="en-GB"/>
              </w:rPr>
              <w:t>function</w:t>
            </w:r>
          </w:p>
        </w:tc>
        <w:tc>
          <w:tcPr>
            <w:tcW w:w="3544" w:type="dxa"/>
            <w:tcBorders>
              <w:top w:val="single" w:sz="12" w:space="0" w:color="008000"/>
              <w:bottom w:val="single" w:sz="6" w:space="0" w:color="008000"/>
            </w:tcBorders>
            <w:shd w:val="clear" w:color="auto" w:fill="FFFFFF"/>
          </w:tcPr>
          <w:p w14:paraId="7A1B8090" w14:textId="77777777" w:rsidR="00351E60" w:rsidRPr="0027595A" w:rsidRDefault="00351E60" w:rsidP="00351E60">
            <w:pPr>
              <w:pStyle w:val="CETBodytext"/>
              <w:ind w:right="-1"/>
              <w:jc w:val="left"/>
              <w:rPr>
                <w:rFonts w:cs="Arial"/>
                <w:szCs w:val="18"/>
                <w:lang w:val="en-GB"/>
              </w:rPr>
            </w:pPr>
            <w:r w:rsidRPr="0027595A">
              <w:rPr>
                <w:rFonts w:cs="Arial"/>
                <w:szCs w:val="18"/>
                <w:lang w:val="en-GB"/>
              </w:rPr>
              <w:t>notes</w:t>
            </w:r>
          </w:p>
        </w:tc>
      </w:tr>
      <w:tr w:rsidR="00351E60" w:rsidRPr="004C6C27" w14:paraId="31A11D48" w14:textId="77777777" w:rsidTr="00A15888">
        <w:trPr>
          <w:trHeight w:val="552"/>
        </w:trPr>
        <w:tc>
          <w:tcPr>
            <w:tcW w:w="3119" w:type="dxa"/>
          </w:tcPr>
          <w:p w14:paraId="46A0139D" w14:textId="77777777" w:rsidR="00351E60" w:rsidRPr="006B5D2E" w:rsidRDefault="00351E60" w:rsidP="00351E60">
            <w:pPr>
              <w:pStyle w:val="CETBodytext"/>
              <w:jc w:val="left"/>
              <w:rPr>
                <w:szCs w:val="18"/>
                <w:lang w:val="en-GB"/>
              </w:rPr>
            </w:pPr>
            <w:r w:rsidRPr="006B5D2E">
              <w:rPr>
                <w:szCs w:val="18"/>
                <w:lang w:val="en-GB"/>
              </w:rPr>
              <w:t>Calcium carbonate</w:t>
            </w:r>
            <w:r w:rsidRPr="006B5D2E">
              <w:rPr>
                <w:szCs w:val="18"/>
                <w:lang w:val="en-GB"/>
              </w:rPr>
              <w:br/>
              <w:t>CaCO</w:t>
            </w:r>
            <w:r w:rsidRPr="006B5D2E">
              <w:rPr>
                <w:szCs w:val="18"/>
                <w:vertAlign w:val="subscript"/>
                <w:lang w:val="en-GB"/>
              </w:rPr>
              <w:t>3</w:t>
            </w:r>
          </w:p>
        </w:tc>
        <w:tc>
          <w:tcPr>
            <w:tcW w:w="1984" w:type="dxa"/>
          </w:tcPr>
          <w:p w14:paraId="061D3FDC" w14:textId="77777777" w:rsidR="00351E60" w:rsidRPr="00F84C22" w:rsidRDefault="00351E60" w:rsidP="00351E60">
            <w:pPr>
              <w:pStyle w:val="CETBodytext"/>
              <w:ind w:right="-1"/>
              <w:jc w:val="left"/>
              <w:rPr>
                <w:rFonts w:cs="Arial"/>
                <w:szCs w:val="18"/>
                <w:lang w:val="en-GB"/>
              </w:rPr>
            </w:pPr>
            <w:r w:rsidRPr="00F84C22">
              <w:rPr>
                <w:szCs w:val="18"/>
                <w:lang w:val="en-GB"/>
              </w:rPr>
              <w:t>Aggregate</w:t>
            </w:r>
          </w:p>
        </w:tc>
        <w:tc>
          <w:tcPr>
            <w:tcW w:w="3544" w:type="dxa"/>
          </w:tcPr>
          <w:p w14:paraId="29941973" w14:textId="2A249893" w:rsidR="00351E60" w:rsidRPr="00526F29" w:rsidRDefault="006B2940" w:rsidP="00526F29">
            <w:pPr>
              <w:jc w:val="left"/>
              <w:rPr>
                <w:rFonts w:cs="Arial"/>
                <w:szCs w:val="18"/>
                <w:lang w:val="it-IT"/>
              </w:rPr>
            </w:pPr>
            <w:r w:rsidRPr="00526F29">
              <w:rPr>
                <w:szCs w:val="18"/>
                <w:lang w:val="it-IT"/>
              </w:rPr>
              <w:t>M</w:t>
            </w:r>
            <w:r w:rsidR="00351E60" w:rsidRPr="00526F29">
              <w:rPr>
                <w:szCs w:val="18"/>
                <w:lang w:val="it-IT"/>
              </w:rPr>
              <w:t>arble</w:t>
            </w:r>
            <w:r w:rsidRPr="00526F29">
              <w:rPr>
                <w:szCs w:val="18"/>
                <w:lang w:val="it-IT"/>
              </w:rPr>
              <w:t xml:space="preserve"> </w:t>
            </w:r>
            <w:r w:rsidR="00351E60" w:rsidRPr="00526F29">
              <w:rPr>
                <w:szCs w:val="18"/>
                <w:lang w:val="it-IT"/>
              </w:rPr>
              <w:t>sand</w:t>
            </w:r>
            <w:r w:rsidR="00351E60" w:rsidRPr="00526F29">
              <w:rPr>
                <w:szCs w:val="18"/>
                <w:lang w:val="it-IT"/>
              </w:rPr>
              <w:br/>
              <w:t xml:space="preserve">&lt; 2 mm </w:t>
            </w:r>
            <w:r w:rsidR="00526F29" w:rsidRPr="00526F29">
              <w:rPr>
                <w:szCs w:val="18"/>
                <w:lang w:val="it-IT"/>
              </w:rPr>
              <w:t>(Bresciani srl</w:t>
            </w:r>
            <w:r w:rsidR="00526F29">
              <w:rPr>
                <w:szCs w:val="18"/>
                <w:lang w:val="it-IT"/>
              </w:rPr>
              <w:t xml:space="preserve">, </w:t>
            </w:r>
            <w:r w:rsidR="00351E60" w:rsidRPr="00526F29">
              <w:rPr>
                <w:szCs w:val="18"/>
                <w:lang w:val="it-IT"/>
              </w:rPr>
              <w:t>Italy)</w:t>
            </w:r>
          </w:p>
        </w:tc>
      </w:tr>
      <w:tr w:rsidR="00351E60" w:rsidRPr="00351E60" w14:paraId="09483C5B" w14:textId="77777777" w:rsidTr="00A15888">
        <w:trPr>
          <w:trHeight w:val="561"/>
        </w:trPr>
        <w:tc>
          <w:tcPr>
            <w:tcW w:w="3119" w:type="dxa"/>
          </w:tcPr>
          <w:p w14:paraId="0CED1818" w14:textId="77777777" w:rsidR="00351E60" w:rsidRPr="006B5D2E" w:rsidRDefault="00351E60" w:rsidP="00351E60">
            <w:pPr>
              <w:jc w:val="left"/>
              <w:rPr>
                <w:szCs w:val="18"/>
                <w:lang w:val="it-IT"/>
              </w:rPr>
            </w:pPr>
            <w:r w:rsidRPr="006B5D2E">
              <w:rPr>
                <w:szCs w:val="18"/>
                <w:lang w:val="it-IT"/>
              </w:rPr>
              <w:t>Metakaolin (MTK)</w:t>
            </w:r>
          </w:p>
          <w:p w14:paraId="74C8BC97" w14:textId="6EB6DACE" w:rsidR="00351E60" w:rsidRPr="00351E60" w:rsidRDefault="00351E60" w:rsidP="00351E60">
            <w:pPr>
              <w:jc w:val="left"/>
              <w:rPr>
                <w:szCs w:val="18"/>
                <w:vertAlign w:val="subscript"/>
                <w:lang w:val="it-IT"/>
              </w:rPr>
            </w:pPr>
            <w:r w:rsidRPr="006B5D2E">
              <w:rPr>
                <w:szCs w:val="18"/>
                <w:lang w:val="it-IT"/>
              </w:rPr>
              <w:t>Al</w:t>
            </w:r>
            <w:r w:rsidRPr="006B5D2E">
              <w:rPr>
                <w:szCs w:val="18"/>
                <w:vertAlign w:val="subscript"/>
                <w:lang w:val="it-IT"/>
              </w:rPr>
              <w:t>2</w:t>
            </w:r>
            <w:r w:rsidRPr="006B5D2E">
              <w:rPr>
                <w:szCs w:val="18"/>
                <w:lang w:val="it-IT"/>
              </w:rPr>
              <w:t>O</w:t>
            </w:r>
            <w:r w:rsidRPr="006B5D2E">
              <w:rPr>
                <w:szCs w:val="18"/>
                <w:vertAlign w:val="subscript"/>
                <w:lang w:val="it-IT"/>
              </w:rPr>
              <w:t>3</w:t>
            </w:r>
            <w:r w:rsidRPr="006B5D2E">
              <w:rPr>
                <w:szCs w:val="18"/>
                <w:lang w:val="it-IT"/>
              </w:rPr>
              <w:t xml:space="preserve"> + SiO</w:t>
            </w:r>
            <w:r w:rsidRPr="006B5D2E">
              <w:rPr>
                <w:szCs w:val="18"/>
                <w:vertAlign w:val="subscript"/>
                <w:lang w:val="it-IT"/>
              </w:rPr>
              <w:t>2</w:t>
            </w:r>
            <w:r>
              <w:rPr>
                <w:szCs w:val="18"/>
                <w:vertAlign w:val="subscript"/>
                <w:lang w:val="it-IT"/>
              </w:rPr>
              <w:t xml:space="preserve"> </w:t>
            </w:r>
            <w:r w:rsidRPr="006B5D2E">
              <w:rPr>
                <w:szCs w:val="18"/>
                <w:lang w:val="it-IT"/>
              </w:rPr>
              <w:t>(95 wt %)</w:t>
            </w:r>
          </w:p>
        </w:tc>
        <w:tc>
          <w:tcPr>
            <w:tcW w:w="1984" w:type="dxa"/>
          </w:tcPr>
          <w:p w14:paraId="53F7EC28" w14:textId="77777777" w:rsidR="00351E60" w:rsidRPr="00F84C22" w:rsidRDefault="00351E60" w:rsidP="00351E60">
            <w:pPr>
              <w:pStyle w:val="CETBodytext"/>
              <w:ind w:right="-1"/>
              <w:jc w:val="left"/>
              <w:rPr>
                <w:rFonts w:cs="Arial"/>
                <w:szCs w:val="18"/>
                <w:lang w:val="it-IT"/>
              </w:rPr>
            </w:pPr>
            <w:r w:rsidRPr="00F84C22">
              <w:rPr>
                <w:szCs w:val="18"/>
                <w:lang w:val="en-GB"/>
              </w:rPr>
              <w:t>Binder</w:t>
            </w:r>
          </w:p>
        </w:tc>
        <w:tc>
          <w:tcPr>
            <w:tcW w:w="3544" w:type="dxa"/>
          </w:tcPr>
          <w:p w14:paraId="692BABBF" w14:textId="664B83CC" w:rsidR="00351E60" w:rsidRPr="00351E60" w:rsidRDefault="00351E60" w:rsidP="00351E60">
            <w:pPr>
              <w:jc w:val="left"/>
              <w:rPr>
                <w:szCs w:val="18"/>
              </w:rPr>
            </w:pPr>
            <w:r w:rsidRPr="00351E60">
              <w:rPr>
                <w:szCs w:val="18"/>
              </w:rPr>
              <w:t>Argicall M 1000</w:t>
            </w:r>
            <w:r w:rsidR="005C25A9">
              <w:rPr>
                <w:szCs w:val="18"/>
              </w:rPr>
              <w:t xml:space="preserve"> (Bal-Co)</w:t>
            </w:r>
          </w:p>
          <w:p w14:paraId="4B68A9D5" w14:textId="77777777" w:rsidR="00351E60" w:rsidRPr="00351E60" w:rsidRDefault="00351E60" w:rsidP="00351E60">
            <w:pPr>
              <w:pStyle w:val="CETBodytext"/>
              <w:ind w:right="-1"/>
              <w:jc w:val="left"/>
              <w:rPr>
                <w:rFonts w:cs="Arial"/>
                <w:szCs w:val="18"/>
                <w:lang w:val="en-GB"/>
              </w:rPr>
            </w:pPr>
            <w:r w:rsidRPr="00351E60">
              <w:rPr>
                <w:szCs w:val="18"/>
                <w:lang w:val="en-GB"/>
              </w:rPr>
              <w:t>Particle size D</w:t>
            </w:r>
            <w:r w:rsidRPr="00351E60">
              <w:rPr>
                <w:szCs w:val="18"/>
                <w:vertAlign w:val="subscript"/>
                <w:lang w:val="en-GB"/>
              </w:rPr>
              <w:t>50</w:t>
            </w:r>
            <w:r w:rsidRPr="00351E60">
              <w:rPr>
                <w:szCs w:val="18"/>
                <w:lang w:val="en-GB"/>
              </w:rPr>
              <w:t xml:space="preserve"> =2 </w:t>
            </w:r>
            <w:r w:rsidRPr="00351E60">
              <w:rPr>
                <w:rFonts w:cstheme="minorHAnsi"/>
                <w:szCs w:val="18"/>
                <w:lang w:val="en-GB"/>
              </w:rPr>
              <w:t>µ</w:t>
            </w:r>
            <w:r w:rsidRPr="00351E60">
              <w:rPr>
                <w:szCs w:val="18"/>
                <w:lang w:val="en-GB"/>
              </w:rPr>
              <w:t>m</w:t>
            </w:r>
          </w:p>
        </w:tc>
      </w:tr>
      <w:tr w:rsidR="00F84C22" w:rsidRPr="004C6C27" w14:paraId="70AFD444" w14:textId="77777777" w:rsidTr="00A15888">
        <w:trPr>
          <w:trHeight w:val="525"/>
        </w:trPr>
        <w:tc>
          <w:tcPr>
            <w:tcW w:w="3119" w:type="dxa"/>
          </w:tcPr>
          <w:p w14:paraId="1C17504F" w14:textId="77777777" w:rsidR="00F84C22" w:rsidRPr="00F84C22" w:rsidRDefault="00F84C22" w:rsidP="00E53AB5">
            <w:pPr>
              <w:pStyle w:val="CETBodytext"/>
              <w:jc w:val="left"/>
              <w:rPr>
                <w:szCs w:val="18"/>
                <w:lang w:val="it-IT"/>
              </w:rPr>
            </w:pPr>
            <w:r w:rsidRPr="00F84C22">
              <w:rPr>
                <w:szCs w:val="18"/>
                <w:lang w:val="it-IT"/>
              </w:rPr>
              <w:t xml:space="preserve">Calcic Lime </w:t>
            </w:r>
          </w:p>
        </w:tc>
        <w:tc>
          <w:tcPr>
            <w:tcW w:w="1984" w:type="dxa"/>
          </w:tcPr>
          <w:p w14:paraId="4570B8F8" w14:textId="77777777" w:rsidR="00F84C22" w:rsidRPr="00F84C22" w:rsidRDefault="00F84C22" w:rsidP="00E53AB5">
            <w:pPr>
              <w:pStyle w:val="CETBodytext"/>
              <w:ind w:right="-1"/>
              <w:jc w:val="left"/>
              <w:rPr>
                <w:szCs w:val="18"/>
                <w:lang w:val="it-IT"/>
              </w:rPr>
            </w:pPr>
            <w:r w:rsidRPr="00F84C22">
              <w:rPr>
                <w:szCs w:val="18"/>
                <w:lang w:val="it-IT"/>
              </w:rPr>
              <w:t>Binder</w:t>
            </w:r>
          </w:p>
        </w:tc>
        <w:tc>
          <w:tcPr>
            <w:tcW w:w="3544" w:type="dxa"/>
          </w:tcPr>
          <w:p w14:paraId="1074ECDF" w14:textId="0F2EF596" w:rsidR="00F84C22" w:rsidRPr="00F84C22" w:rsidRDefault="00F84C22" w:rsidP="00E53AB5">
            <w:pPr>
              <w:pStyle w:val="CETBodytext"/>
              <w:ind w:right="-1"/>
              <w:jc w:val="left"/>
              <w:rPr>
                <w:szCs w:val="18"/>
                <w:lang w:val="it-IT"/>
              </w:rPr>
            </w:pPr>
            <w:r w:rsidRPr="00F84C22">
              <w:rPr>
                <w:szCs w:val="18"/>
                <w:lang w:val="it-IT"/>
              </w:rPr>
              <w:t>Calcic Lime CL90</w:t>
            </w:r>
            <w:r>
              <w:rPr>
                <w:szCs w:val="18"/>
                <w:lang w:val="it-IT"/>
              </w:rPr>
              <w:t xml:space="preserve"> from</w:t>
            </w:r>
            <w:r>
              <w:rPr>
                <w:szCs w:val="18"/>
                <w:lang w:val="it-IT"/>
              </w:rPr>
              <w:br/>
            </w:r>
            <w:r w:rsidRPr="00F84C22">
              <w:rPr>
                <w:szCs w:val="18"/>
                <w:lang w:val="it-IT"/>
              </w:rPr>
              <w:t>Calcidrata S.p.A.</w:t>
            </w:r>
            <w:r>
              <w:rPr>
                <w:szCs w:val="18"/>
                <w:lang w:val="it-IT"/>
              </w:rPr>
              <w:t xml:space="preserve"> (</w:t>
            </w:r>
            <w:r w:rsidRPr="00F84C22">
              <w:rPr>
                <w:szCs w:val="18"/>
                <w:lang w:val="it-IT"/>
              </w:rPr>
              <w:t>Samatzai, Cagliari, Italy)</w:t>
            </w:r>
          </w:p>
        </w:tc>
      </w:tr>
      <w:tr w:rsidR="00351E60" w:rsidRPr="00351E60" w14:paraId="1B802A33" w14:textId="77777777" w:rsidTr="00A15888">
        <w:trPr>
          <w:trHeight w:val="575"/>
        </w:trPr>
        <w:tc>
          <w:tcPr>
            <w:tcW w:w="3119" w:type="dxa"/>
          </w:tcPr>
          <w:p w14:paraId="1EE52CF7" w14:textId="13CC3424" w:rsidR="00351E60" w:rsidRPr="006B5D2E" w:rsidRDefault="00351E60" w:rsidP="00351E60">
            <w:pPr>
              <w:pStyle w:val="CETBodytext"/>
              <w:jc w:val="left"/>
              <w:rPr>
                <w:szCs w:val="18"/>
                <w:lang w:val="it-IT"/>
              </w:rPr>
            </w:pPr>
            <w:r w:rsidRPr="006B5D2E">
              <w:rPr>
                <w:szCs w:val="18"/>
                <w:lang w:val="it-IT"/>
              </w:rPr>
              <w:t xml:space="preserve">Ca-Fly Ash </w:t>
            </w:r>
            <w:r w:rsidRPr="006B5D2E">
              <w:rPr>
                <w:szCs w:val="18"/>
                <w:lang w:val="it-IT"/>
              </w:rPr>
              <w:br/>
              <w:t>SiO</w:t>
            </w:r>
            <w:r w:rsidRPr="006B5D2E">
              <w:rPr>
                <w:szCs w:val="18"/>
                <w:vertAlign w:val="subscript"/>
                <w:lang w:val="it-IT"/>
              </w:rPr>
              <w:t>2</w:t>
            </w:r>
            <w:r w:rsidRPr="006B5D2E">
              <w:rPr>
                <w:szCs w:val="18"/>
                <w:lang w:val="it-IT"/>
              </w:rPr>
              <w:t xml:space="preserve"> + Al</w:t>
            </w:r>
            <w:r w:rsidRPr="006B5D2E">
              <w:rPr>
                <w:szCs w:val="18"/>
                <w:vertAlign w:val="subscript"/>
                <w:lang w:val="it-IT"/>
              </w:rPr>
              <w:t>2</w:t>
            </w:r>
            <w:r w:rsidRPr="006B5D2E">
              <w:rPr>
                <w:szCs w:val="18"/>
                <w:lang w:val="it-IT"/>
              </w:rPr>
              <w:t>O</w:t>
            </w:r>
            <w:r w:rsidRPr="006B5D2E">
              <w:rPr>
                <w:szCs w:val="18"/>
                <w:vertAlign w:val="subscript"/>
                <w:lang w:val="it-IT"/>
              </w:rPr>
              <w:t>3</w:t>
            </w:r>
            <w:r w:rsidRPr="006B5D2E">
              <w:rPr>
                <w:szCs w:val="18"/>
                <w:lang w:val="it-IT"/>
              </w:rPr>
              <w:t xml:space="preserve"> + Fe</w:t>
            </w:r>
            <w:r w:rsidRPr="006B5D2E">
              <w:rPr>
                <w:szCs w:val="18"/>
                <w:vertAlign w:val="subscript"/>
                <w:lang w:val="it-IT"/>
              </w:rPr>
              <w:t>2</w:t>
            </w:r>
            <w:r w:rsidRPr="006B5D2E">
              <w:rPr>
                <w:szCs w:val="18"/>
                <w:lang w:val="it-IT"/>
              </w:rPr>
              <w:t>O</w:t>
            </w:r>
            <w:r w:rsidRPr="006B5D2E">
              <w:rPr>
                <w:szCs w:val="18"/>
                <w:vertAlign w:val="subscript"/>
                <w:lang w:val="it-IT"/>
              </w:rPr>
              <w:t>3</w:t>
            </w:r>
            <w:r w:rsidR="00F84C22" w:rsidRPr="006B5D2E">
              <w:rPr>
                <w:szCs w:val="18"/>
                <w:lang w:val="it-IT"/>
              </w:rPr>
              <w:t xml:space="preserve"> </w:t>
            </w:r>
            <w:r w:rsidRPr="006B5D2E">
              <w:rPr>
                <w:szCs w:val="18"/>
                <w:lang w:val="it-IT"/>
              </w:rPr>
              <w:t>(30.4 wt %)</w:t>
            </w:r>
          </w:p>
        </w:tc>
        <w:tc>
          <w:tcPr>
            <w:tcW w:w="1984" w:type="dxa"/>
          </w:tcPr>
          <w:p w14:paraId="58FACD48" w14:textId="677A2B21" w:rsidR="00351E60" w:rsidRPr="00F84C22" w:rsidRDefault="00F84C22" w:rsidP="00351E60">
            <w:pPr>
              <w:pStyle w:val="Intestazione"/>
              <w:ind w:right="-1"/>
              <w:jc w:val="left"/>
              <w:rPr>
                <w:rFonts w:cs="Arial"/>
                <w:szCs w:val="18"/>
                <w:lang w:val="it-IT"/>
              </w:rPr>
            </w:pPr>
            <w:r w:rsidRPr="00F84C22">
              <w:rPr>
                <w:szCs w:val="18"/>
              </w:rPr>
              <w:t>Artificial pozzolan</w:t>
            </w:r>
          </w:p>
        </w:tc>
        <w:tc>
          <w:tcPr>
            <w:tcW w:w="3544" w:type="dxa"/>
          </w:tcPr>
          <w:p w14:paraId="6E3C546F" w14:textId="6D83F9A3" w:rsidR="00351E60" w:rsidRPr="00351E60" w:rsidRDefault="00E15468" w:rsidP="00F84C22">
            <w:pPr>
              <w:jc w:val="left"/>
              <w:rPr>
                <w:rFonts w:cs="Arial"/>
                <w:szCs w:val="18"/>
              </w:rPr>
            </w:pPr>
            <w:r>
              <w:rPr>
                <w:szCs w:val="18"/>
              </w:rPr>
              <w:t>By-product</w:t>
            </w:r>
            <w:r w:rsidR="00F84C22">
              <w:rPr>
                <w:szCs w:val="18"/>
              </w:rPr>
              <w:t xml:space="preserve"> </w:t>
            </w:r>
            <w:r w:rsidR="00351E60" w:rsidRPr="00351E60">
              <w:rPr>
                <w:szCs w:val="18"/>
              </w:rPr>
              <w:t>from thermoelectric industry</w:t>
            </w:r>
            <w:r w:rsidR="00351E60" w:rsidRPr="00351E60">
              <w:rPr>
                <w:szCs w:val="18"/>
              </w:rPr>
              <w:br/>
              <w:t>(EON, Porto Torres, SS, Italy)</w:t>
            </w:r>
          </w:p>
        </w:tc>
      </w:tr>
      <w:tr w:rsidR="00351E60" w:rsidRPr="00B57B36" w14:paraId="41DBE36C" w14:textId="77777777" w:rsidTr="00A15888">
        <w:trPr>
          <w:trHeight w:val="20"/>
        </w:trPr>
        <w:tc>
          <w:tcPr>
            <w:tcW w:w="3119" w:type="dxa"/>
          </w:tcPr>
          <w:p w14:paraId="419F9267" w14:textId="6FE2DBE7" w:rsidR="00351E60" w:rsidRPr="006B5D2E" w:rsidRDefault="00351E60" w:rsidP="00351E60">
            <w:pPr>
              <w:pStyle w:val="CETBodytext"/>
              <w:jc w:val="left"/>
              <w:rPr>
                <w:szCs w:val="18"/>
                <w:lang w:val="en-GB"/>
              </w:rPr>
            </w:pPr>
            <w:r w:rsidRPr="006B5D2E">
              <w:rPr>
                <w:szCs w:val="18"/>
                <w:lang w:val="en-GB"/>
              </w:rPr>
              <w:t>Sodium Hydroxide</w:t>
            </w:r>
            <w:r w:rsidR="00F84C22">
              <w:rPr>
                <w:szCs w:val="18"/>
                <w:lang w:val="en-GB"/>
              </w:rPr>
              <w:t xml:space="preserve"> 10M</w:t>
            </w:r>
          </w:p>
        </w:tc>
        <w:tc>
          <w:tcPr>
            <w:tcW w:w="1984" w:type="dxa"/>
          </w:tcPr>
          <w:p w14:paraId="21C04300" w14:textId="77777777" w:rsidR="00351E60" w:rsidRPr="00F84C22" w:rsidRDefault="00351E60" w:rsidP="00351E60">
            <w:pPr>
              <w:pStyle w:val="CETBodytext"/>
              <w:ind w:right="-1"/>
              <w:jc w:val="left"/>
              <w:rPr>
                <w:rFonts w:cs="Arial"/>
                <w:szCs w:val="18"/>
                <w:lang w:val="en-GB"/>
              </w:rPr>
            </w:pPr>
            <w:r w:rsidRPr="00F84C22">
              <w:rPr>
                <w:szCs w:val="18"/>
                <w:lang w:val="en-GB"/>
              </w:rPr>
              <w:t>Alkali activator</w:t>
            </w:r>
          </w:p>
        </w:tc>
        <w:tc>
          <w:tcPr>
            <w:tcW w:w="3544" w:type="dxa"/>
          </w:tcPr>
          <w:p w14:paraId="67D718B6" w14:textId="77777777" w:rsidR="00351E60" w:rsidRPr="00351E60" w:rsidRDefault="00351E60" w:rsidP="00351E60">
            <w:pPr>
              <w:pStyle w:val="CETBodytext"/>
              <w:ind w:right="-1"/>
              <w:jc w:val="left"/>
              <w:rPr>
                <w:rFonts w:cs="Arial"/>
                <w:szCs w:val="18"/>
                <w:lang w:val="en-GB"/>
              </w:rPr>
            </w:pPr>
            <w:r w:rsidRPr="00351E60">
              <w:rPr>
                <w:szCs w:val="18"/>
                <w:lang w:val="en-GB"/>
              </w:rPr>
              <w:t>-</w:t>
            </w:r>
          </w:p>
        </w:tc>
      </w:tr>
    </w:tbl>
    <w:p w14:paraId="2008B930" w14:textId="1A8E16E1" w:rsidR="00A31B3E" w:rsidRPr="0027595A" w:rsidRDefault="00A31B3E" w:rsidP="00A31B3E">
      <w:pPr>
        <w:pStyle w:val="CETTabletitle"/>
        <w:rPr>
          <w:szCs w:val="18"/>
        </w:rPr>
      </w:pPr>
      <w:r w:rsidRPr="0027595A">
        <w:rPr>
          <w:szCs w:val="18"/>
        </w:rPr>
        <w:t>Table 2: Selected mortars for 3D extrusion printing</w:t>
      </w:r>
    </w:p>
    <w:tbl>
      <w:tblPr>
        <w:tblW w:w="7261"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71"/>
        <w:gridCol w:w="1931"/>
        <w:gridCol w:w="2127"/>
        <w:gridCol w:w="1732"/>
      </w:tblGrid>
      <w:tr w:rsidR="00A31B3E" w:rsidRPr="00F84C22" w14:paraId="120ED223" w14:textId="75A626B0" w:rsidTr="00535F85">
        <w:tc>
          <w:tcPr>
            <w:tcW w:w="1471" w:type="dxa"/>
            <w:tcBorders>
              <w:top w:val="single" w:sz="12" w:space="0" w:color="008000"/>
              <w:bottom w:val="single" w:sz="6" w:space="0" w:color="008000"/>
            </w:tcBorders>
            <w:shd w:val="clear" w:color="auto" w:fill="FFFFFF"/>
          </w:tcPr>
          <w:p w14:paraId="0DB6AA02" w14:textId="329AAA67" w:rsidR="00A31B3E" w:rsidRPr="00B57B36" w:rsidRDefault="00A31B3E" w:rsidP="00535F85">
            <w:pPr>
              <w:pStyle w:val="CETBodytext"/>
              <w:jc w:val="left"/>
              <w:rPr>
                <w:lang w:val="en-GB"/>
              </w:rPr>
            </w:pPr>
            <w:r w:rsidRPr="00A31B3E">
              <w:t>Mix</w:t>
            </w:r>
            <w:r>
              <w:t xml:space="preserve"> </w:t>
            </w:r>
            <w:r w:rsidRPr="00A31B3E">
              <w:t>design</w:t>
            </w:r>
          </w:p>
        </w:tc>
        <w:tc>
          <w:tcPr>
            <w:tcW w:w="1931" w:type="dxa"/>
            <w:tcBorders>
              <w:top w:val="single" w:sz="12" w:space="0" w:color="008000"/>
              <w:bottom w:val="single" w:sz="6" w:space="0" w:color="008000"/>
            </w:tcBorders>
            <w:shd w:val="clear" w:color="auto" w:fill="FFFFFF"/>
          </w:tcPr>
          <w:p w14:paraId="33A4B850" w14:textId="77E1286C" w:rsidR="00A31B3E" w:rsidRPr="00B57B36" w:rsidRDefault="00A31B3E" w:rsidP="00535F85">
            <w:pPr>
              <w:pStyle w:val="CETBodytext"/>
              <w:ind w:right="-1"/>
              <w:jc w:val="left"/>
              <w:rPr>
                <w:rFonts w:cs="Arial"/>
                <w:szCs w:val="18"/>
                <w:lang w:val="en-GB"/>
              </w:rPr>
            </w:pPr>
            <w:r w:rsidRPr="00A31B3E">
              <w:t xml:space="preserve">Aggregate </w:t>
            </w:r>
          </w:p>
        </w:tc>
        <w:tc>
          <w:tcPr>
            <w:tcW w:w="2127" w:type="dxa"/>
            <w:tcBorders>
              <w:top w:val="single" w:sz="12" w:space="0" w:color="008000"/>
              <w:bottom w:val="single" w:sz="6" w:space="0" w:color="008000"/>
            </w:tcBorders>
            <w:shd w:val="clear" w:color="auto" w:fill="FFFFFF"/>
          </w:tcPr>
          <w:p w14:paraId="0AD3AFB3" w14:textId="13D8B3C5" w:rsidR="00A31B3E" w:rsidRPr="00A31B3E" w:rsidRDefault="00A31B3E" w:rsidP="00535F85">
            <w:pPr>
              <w:pStyle w:val="CETBodytext"/>
              <w:jc w:val="left"/>
            </w:pPr>
            <w:r>
              <w:rPr>
                <w:rFonts w:cs="Arial"/>
                <w:szCs w:val="18"/>
                <w:lang w:val="en-GB"/>
              </w:rPr>
              <w:t>Binder s</w:t>
            </w:r>
          </w:p>
        </w:tc>
        <w:tc>
          <w:tcPr>
            <w:tcW w:w="1732" w:type="dxa"/>
            <w:tcBorders>
              <w:top w:val="single" w:sz="12" w:space="0" w:color="008000"/>
              <w:bottom w:val="single" w:sz="6" w:space="0" w:color="008000"/>
            </w:tcBorders>
            <w:shd w:val="clear" w:color="auto" w:fill="FFFFFF"/>
          </w:tcPr>
          <w:p w14:paraId="0227253A" w14:textId="28C0BF48" w:rsidR="00A31B3E" w:rsidRPr="00F84C22" w:rsidRDefault="00A31B3E" w:rsidP="00535F85">
            <w:pPr>
              <w:jc w:val="left"/>
              <w:rPr>
                <w:lang w:val="en-US"/>
              </w:rPr>
            </w:pPr>
            <w:r w:rsidRPr="00F84C22">
              <w:rPr>
                <w:lang w:val="en-US"/>
              </w:rPr>
              <w:t>L/S</w:t>
            </w:r>
            <w:r w:rsidR="009110B1">
              <w:rPr>
                <w:lang w:val="en-US"/>
              </w:rPr>
              <w:t xml:space="preserve"> </w:t>
            </w:r>
            <w:r w:rsidRPr="00F84C22">
              <w:rPr>
                <w:lang w:val="en-US"/>
              </w:rPr>
              <w:t>wt ratio</w:t>
            </w:r>
          </w:p>
        </w:tc>
      </w:tr>
      <w:tr w:rsidR="00CC4B6C" w:rsidRPr="00B57B36" w14:paraId="73052AEF" w14:textId="32CBDC24" w:rsidTr="00535F85">
        <w:trPr>
          <w:trHeight w:val="20"/>
        </w:trPr>
        <w:tc>
          <w:tcPr>
            <w:tcW w:w="1471" w:type="dxa"/>
            <w:shd w:val="clear" w:color="auto" w:fill="auto"/>
          </w:tcPr>
          <w:p w14:paraId="5DA04BD9" w14:textId="5EABD717" w:rsidR="00CC4B6C" w:rsidRPr="006B5D2E" w:rsidRDefault="00CC4B6C" w:rsidP="00535F85">
            <w:pPr>
              <w:pStyle w:val="CETBodytext"/>
              <w:jc w:val="left"/>
              <w:rPr>
                <w:szCs w:val="18"/>
                <w:lang w:val="en-GB"/>
              </w:rPr>
            </w:pPr>
            <w:r w:rsidRPr="00A31B3E">
              <w:t>M25</w:t>
            </w:r>
          </w:p>
        </w:tc>
        <w:tc>
          <w:tcPr>
            <w:tcW w:w="1931" w:type="dxa"/>
          </w:tcPr>
          <w:p w14:paraId="698ABA71" w14:textId="49185018" w:rsidR="00CC4B6C" w:rsidRPr="00B57B36" w:rsidRDefault="00CC4B6C" w:rsidP="00535F85">
            <w:pPr>
              <w:pStyle w:val="CETBodytext"/>
              <w:ind w:right="-1"/>
              <w:jc w:val="left"/>
              <w:rPr>
                <w:rFonts w:cs="Arial"/>
                <w:szCs w:val="18"/>
                <w:lang w:val="en-GB"/>
              </w:rPr>
            </w:pPr>
            <w:r w:rsidRPr="00A31B3E">
              <w:t>CaCO</w:t>
            </w:r>
            <w:r w:rsidRPr="001260BD">
              <w:rPr>
                <w:vertAlign w:val="subscript"/>
              </w:rPr>
              <w:t>3</w:t>
            </w:r>
          </w:p>
        </w:tc>
        <w:tc>
          <w:tcPr>
            <w:tcW w:w="2127" w:type="dxa"/>
          </w:tcPr>
          <w:p w14:paraId="0A1F6F80" w14:textId="278F8920" w:rsidR="00CC4B6C" w:rsidRPr="00351E60" w:rsidRDefault="00CC4B6C" w:rsidP="00535F85">
            <w:pPr>
              <w:jc w:val="left"/>
              <w:rPr>
                <w:rFonts w:cs="Arial"/>
                <w:szCs w:val="18"/>
              </w:rPr>
            </w:pPr>
            <w:r w:rsidRPr="00A31B3E">
              <w:rPr>
                <w:lang w:val="en-US"/>
              </w:rPr>
              <w:t>MTK</w:t>
            </w:r>
          </w:p>
        </w:tc>
        <w:tc>
          <w:tcPr>
            <w:tcW w:w="1732" w:type="dxa"/>
          </w:tcPr>
          <w:p w14:paraId="51C92227" w14:textId="78820180" w:rsidR="00CC4B6C" w:rsidRPr="00F84C22" w:rsidRDefault="00CC4B6C" w:rsidP="00535F85">
            <w:pPr>
              <w:jc w:val="left"/>
              <w:rPr>
                <w:lang w:val="en-US"/>
              </w:rPr>
            </w:pPr>
            <w:r w:rsidRPr="00F84C22">
              <w:rPr>
                <w:lang w:val="en-US"/>
              </w:rPr>
              <w:t>0.560</w:t>
            </w:r>
          </w:p>
        </w:tc>
      </w:tr>
      <w:tr w:rsidR="00CC4B6C" w:rsidRPr="00B57B36" w14:paraId="70387934" w14:textId="77777777" w:rsidTr="00535F85">
        <w:trPr>
          <w:trHeight w:val="20"/>
        </w:trPr>
        <w:tc>
          <w:tcPr>
            <w:tcW w:w="1471" w:type="dxa"/>
            <w:shd w:val="clear" w:color="auto" w:fill="auto"/>
          </w:tcPr>
          <w:p w14:paraId="7BFD03F1" w14:textId="438BDA9A" w:rsidR="00CC4B6C" w:rsidRPr="00A31B3E" w:rsidRDefault="00CC4B6C" w:rsidP="00535F85">
            <w:pPr>
              <w:pStyle w:val="CETBodytext"/>
              <w:jc w:val="left"/>
            </w:pPr>
            <w:r w:rsidRPr="00A31B3E">
              <w:t>M26</w:t>
            </w:r>
          </w:p>
        </w:tc>
        <w:tc>
          <w:tcPr>
            <w:tcW w:w="1931" w:type="dxa"/>
            <w:shd w:val="clear" w:color="auto" w:fill="FFFFFF" w:themeFill="background1"/>
          </w:tcPr>
          <w:p w14:paraId="348D32BB" w14:textId="719757F9" w:rsidR="00CC4B6C" w:rsidRPr="00A31B3E" w:rsidRDefault="00CC4B6C" w:rsidP="00535F85">
            <w:pPr>
              <w:pStyle w:val="CETBodytext"/>
              <w:ind w:right="-1"/>
              <w:jc w:val="left"/>
            </w:pPr>
            <w:r w:rsidRPr="00A31B3E">
              <w:t>CaCO</w:t>
            </w:r>
            <w:r w:rsidRPr="001260BD">
              <w:rPr>
                <w:vertAlign w:val="subscript"/>
              </w:rPr>
              <w:t>3</w:t>
            </w:r>
          </w:p>
        </w:tc>
        <w:tc>
          <w:tcPr>
            <w:tcW w:w="2127" w:type="dxa"/>
            <w:shd w:val="clear" w:color="auto" w:fill="FFFFFF" w:themeFill="background1"/>
          </w:tcPr>
          <w:p w14:paraId="27E00547" w14:textId="52A65E4E" w:rsidR="00CC4B6C" w:rsidRPr="00A31B3E" w:rsidRDefault="00CC4B6C" w:rsidP="00535F85">
            <w:pPr>
              <w:pStyle w:val="CETBodytext"/>
              <w:ind w:right="-1"/>
              <w:jc w:val="left"/>
            </w:pPr>
            <w:r>
              <w:t>MTK+</w:t>
            </w:r>
            <w:r w:rsidR="00964796">
              <w:t>W-H</w:t>
            </w:r>
            <w:r>
              <w:t>FA</w:t>
            </w:r>
          </w:p>
        </w:tc>
        <w:tc>
          <w:tcPr>
            <w:tcW w:w="1732" w:type="dxa"/>
            <w:shd w:val="clear" w:color="auto" w:fill="FFFFFF" w:themeFill="background1"/>
          </w:tcPr>
          <w:p w14:paraId="357F504D" w14:textId="162E8C39" w:rsidR="00CC4B6C" w:rsidRPr="00F84C22" w:rsidRDefault="00CC4B6C" w:rsidP="00535F85">
            <w:pPr>
              <w:pStyle w:val="CETBodytext"/>
              <w:ind w:right="-1"/>
              <w:jc w:val="left"/>
            </w:pPr>
            <w:r w:rsidRPr="00F84C22">
              <w:t>0.341</w:t>
            </w:r>
          </w:p>
        </w:tc>
      </w:tr>
      <w:tr w:rsidR="00CC4B6C" w:rsidRPr="00B57B36" w14:paraId="0C429C7B" w14:textId="77777777" w:rsidTr="00535F85">
        <w:trPr>
          <w:trHeight w:val="20"/>
        </w:trPr>
        <w:tc>
          <w:tcPr>
            <w:tcW w:w="1471" w:type="dxa"/>
            <w:shd w:val="clear" w:color="auto" w:fill="auto"/>
          </w:tcPr>
          <w:p w14:paraId="5F8405BE" w14:textId="674E227B" w:rsidR="00CC4B6C" w:rsidRPr="00A31B3E" w:rsidRDefault="00CC4B6C" w:rsidP="00535F85">
            <w:pPr>
              <w:pStyle w:val="CETBodytext"/>
              <w:jc w:val="left"/>
            </w:pPr>
            <w:r w:rsidRPr="00A31B3E">
              <w:t>M28</w:t>
            </w:r>
          </w:p>
        </w:tc>
        <w:tc>
          <w:tcPr>
            <w:tcW w:w="1931" w:type="dxa"/>
            <w:shd w:val="clear" w:color="auto" w:fill="FFFFFF" w:themeFill="background1"/>
          </w:tcPr>
          <w:p w14:paraId="66DD3BFD" w14:textId="5616E9C9" w:rsidR="00CC4B6C" w:rsidRPr="00A31B3E" w:rsidRDefault="00CC4B6C" w:rsidP="00535F85">
            <w:pPr>
              <w:pStyle w:val="CETBodytext"/>
              <w:ind w:right="-1"/>
              <w:jc w:val="left"/>
            </w:pPr>
            <w:r w:rsidRPr="00A31B3E">
              <w:t>CaCO</w:t>
            </w:r>
            <w:r w:rsidRPr="001260BD">
              <w:rPr>
                <w:vertAlign w:val="subscript"/>
              </w:rPr>
              <w:t>3</w:t>
            </w:r>
          </w:p>
        </w:tc>
        <w:tc>
          <w:tcPr>
            <w:tcW w:w="2127" w:type="dxa"/>
            <w:shd w:val="clear" w:color="auto" w:fill="FFFFFF" w:themeFill="background1"/>
          </w:tcPr>
          <w:p w14:paraId="50533D50" w14:textId="74419EFA" w:rsidR="00CC4B6C" w:rsidRPr="00A31B3E" w:rsidRDefault="00CC4B6C" w:rsidP="00535F85">
            <w:pPr>
              <w:pStyle w:val="CETBodytext"/>
              <w:ind w:right="-1"/>
              <w:jc w:val="left"/>
            </w:pPr>
            <w:r>
              <w:t>MTK+</w:t>
            </w:r>
            <w:r w:rsidR="00964796">
              <w:t>W-H</w:t>
            </w:r>
            <w:r>
              <w:t>FA+CL90</w:t>
            </w:r>
          </w:p>
        </w:tc>
        <w:tc>
          <w:tcPr>
            <w:tcW w:w="1732" w:type="dxa"/>
            <w:shd w:val="clear" w:color="auto" w:fill="FFFFFF" w:themeFill="background1"/>
          </w:tcPr>
          <w:p w14:paraId="0CBB65F2" w14:textId="12C61949" w:rsidR="00CC4B6C" w:rsidRPr="00F84C22" w:rsidRDefault="00CC4B6C" w:rsidP="00535F85">
            <w:pPr>
              <w:pStyle w:val="CETBodytext"/>
              <w:ind w:right="-1"/>
              <w:jc w:val="left"/>
            </w:pPr>
            <w:r w:rsidRPr="00F84C22">
              <w:t>0.441</w:t>
            </w:r>
          </w:p>
        </w:tc>
      </w:tr>
      <w:tr w:rsidR="00CC4B6C" w:rsidRPr="00B57B36" w14:paraId="2D349B07" w14:textId="77777777" w:rsidTr="00535F85">
        <w:trPr>
          <w:trHeight w:val="20"/>
        </w:trPr>
        <w:tc>
          <w:tcPr>
            <w:tcW w:w="1471" w:type="dxa"/>
            <w:shd w:val="clear" w:color="auto" w:fill="auto"/>
          </w:tcPr>
          <w:p w14:paraId="11E70173" w14:textId="3B8DAF09" w:rsidR="00CC4B6C" w:rsidRPr="00A31B3E" w:rsidRDefault="00CC4B6C" w:rsidP="00535F85">
            <w:pPr>
              <w:pStyle w:val="CETBodytext"/>
              <w:jc w:val="left"/>
            </w:pPr>
            <w:r w:rsidRPr="00A31B3E">
              <w:t>M37</w:t>
            </w:r>
          </w:p>
        </w:tc>
        <w:tc>
          <w:tcPr>
            <w:tcW w:w="1931" w:type="dxa"/>
          </w:tcPr>
          <w:p w14:paraId="662F4129" w14:textId="4813A773" w:rsidR="00CC4B6C" w:rsidRPr="00A31B3E" w:rsidRDefault="00CC4B6C" w:rsidP="00535F85">
            <w:pPr>
              <w:pStyle w:val="CETBodytext"/>
              <w:ind w:right="-1"/>
              <w:jc w:val="left"/>
            </w:pPr>
            <w:r w:rsidRPr="00A31B3E">
              <w:t>CaCO</w:t>
            </w:r>
            <w:r w:rsidRPr="001260BD">
              <w:rPr>
                <w:vertAlign w:val="subscript"/>
              </w:rPr>
              <w:t>3</w:t>
            </w:r>
          </w:p>
        </w:tc>
        <w:tc>
          <w:tcPr>
            <w:tcW w:w="2127" w:type="dxa"/>
            <w:shd w:val="clear" w:color="auto" w:fill="FFFFFF" w:themeFill="background1"/>
          </w:tcPr>
          <w:p w14:paraId="3DE3BE6D" w14:textId="13382803" w:rsidR="00CC4B6C" w:rsidRPr="00A31B3E" w:rsidRDefault="00964796" w:rsidP="00535F85">
            <w:pPr>
              <w:pStyle w:val="CETBodytext"/>
              <w:ind w:right="-1"/>
              <w:jc w:val="left"/>
            </w:pPr>
            <w:r>
              <w:t>W-H</w:t>
            </w:r>
            <w:r w:rsidR="00CC4B6C">
              <w:t>FA</w:t>
            </w:r>
          </w:p>
        </w:tc>
        <w:tc>
          <w:tcPr>
            <w:tcW w:w="1732" w:type="dxa"/>
          </w:tcPr>
          <w:p w14:paraId="00433428" w14:textId="54C4D04C" w:rsidR="00CC4B6C" w:rsidRPr="00F84C22" w:rsidRDefault="00CC4B6C" w:rsidP="00535F85">
            <w:pPr>
              <w:pStyle w:val="CETBodytext"/>
              <w:ind w:right="-1"/>
              <w:jc w:val="left"/>
            </w:pPr>
            <w:r w:rsidRPr="00F84C22">
              <w:t>0.358</w:t>
            </w:r>
          </w:p>
        </w:tc>
      </w:tr>
    </w:tbl>
    <w:p w14:paraId="02A9A528" w14:textId="0F593ECB" w:rsidR="00CC4B6C" w:rsidRDefault="00CC4B6C" w:rsidP="00CC4B6C">
      <w:pPr>
        <w:pStyle w:val="CETHeading1"/>
        <w:tabs>
          <w:tab w:val="num" w:pos="360"/>
        </w:tabs>
      </w:pPr>
      <w:bookmarkStart w:id="1" w:name="_Hlk126062824"/>
      <w:r w:rsidRPr="00CC4B6C">
        <w:t>Results</w:t>
      </w:r>
    </w:p>
    <w:p w14:paraId="77240262" w14:textId="44E6241F" w:rsidR="00E12793" w:rsidRDefault="00E12793" w:rsidP="00E12793">
      <w:pPr>
        <w:pStyle w:val="CETBodytext"/>
      </w:pPr>
      <w:r>
        <w:t>Figure 1 shows USv values of different mixtures after 1, 3, 7, 14 and 28 curing days. The transit rate increas</w:t>
      </w:r>
      <w:r w:rsidR="00143AD0">
        <w:t>ed</w:t>
      </w:r>
      <w:r>
        <w:t xml:space="preserve"> slightly up to 7 days for all </w:t>
      </w:r>
      <w:r w:rsidR="00161DFB">
        <w:t xml:space="preserve">considered </w:t>
      </w:r>
      <w:r>
        <w:t>sample, then it stabilize</w:t>
      </w:r>
      <w:r w:rsidR="00143AD0">
        <w:t>d</w:t>
      </w:r>
      <w:r>
        <w:t xml:space="preserve"> at a constant value (</w:t>
      </w:r>
      <w:r w:rsidR="00B53A56">
        <w:t xml:space="preserve">about </w:t>
      </w:r>
      <w:r>
        <w:t>2</w:t>
      </w:r>
      <w:r w:rsidR="0027595A">
        <w:t>,</w:t>
      </w:r>
      <w:r>
        <w:t xml:space="preserve">700 </w:t>
      </w:r>
      <w:r w:rsidR="0027595A">
        <w:t>–</w:t>
      </w:r>
      <w:r>
        <w:t xml:space="preserve"> 3</w:t>
      </w:r>
      <w:r w:rsidR="0027595A">
        <w:t>,</w:t>
      </w:r>
      <w:r>
        <w:t xml:space="preserve">000 m/s). This finding suggests the achieved structural stability being USv dependent on changes in microstructure, bulk </w:t>
      </w:r>
      <w:r w:rsidR="00B53A56">
        <w:t>density</w:t>
      </w:r>
      <w:r>
        <w:t xml:space="preserve"> and materials porosity. To evaluate the effect of soluble phases, </w:t>
      </w:r>
      <w:r w:rsidR="00610AFF">
        <w:t>even</w:t>
      </w:r>
      <w:r>
        <w:t xml:space="preserve"> expansive</w:t>
      </w:r>
      <w:r w:rsidR="00610AFF">
        <w:t xml:space="preserve"> phases</w:t>
      </w:r>
      <w:r>
        <w:t xml:space="preserve"> (i.e., sodium carbonate salts), responsible for mechanical </w:t>
      </w:r>
      <w:r w:rsidR="00161DFB">
        <w:t>detriment</w:t>
      </w:r>
      <w:r>
        <w:t>, USv was measured also on samples subjected to prolonged water stress, until complete saturation. Selected systems prove</w:t>
      </w:r>
      <w:r w:rsidR="00143AD0">
        <w:t>d</w:t>
      </w:r>
      <w:r w:rsidR="006420F1">
        <w:t xml:space="preserve"> </w:t>
      </w:r>
      <w:r>
        <w:t>to be quite stable also after long water contact time (&gt; 7 days). After 28 days of curing, samples prepared with MKT binder show</w:t>
      </w:r>
      <w:r w:rsidR="00143AD0">
        <w:t>ed</w:t>
      </w:r>
      <w:r>
        <w:t xml:space="preserve"> a skeletal density in a narrow range between 2.30-2.36 g/cm</w:t>
      </w:r>
      <w:r w:rsidRPr="00161DFB">
        <w:rPr>
          <w:vertAlign w:val="superscript"/>
        </w:rPr>
        <w:t>3</w:t>
      </w:r>
      <w:r>
        <w:t>. On the other hand, when W-HFA content increase</w:t>
      </w:r>
      <w:r w:rsidR="00143AD0">
        <w:t>d</w:t>
      </w:r>
      <w:r>
        <w:t>, density decrease</w:t>
      </w:r>
      <w:r w:rsidR="00143AD0">
        <w:t>d</w:t>
      </w:r>
      <w:r>
        <w:t xml:space="preserve"> reaching the minimum value (1.60 g/cm</w:t>
      </w:r>
      <w:r w:rsidRPr="00B415F5">
        <w:rPr>
          <w:vertAlign w:val="superscript"/>
        </w:rPr>
        <w:t>3</w:t>
      </w:r>
      <w:r>
        <w:t>) when only fly ash</w:t>
      </w:r>
      <w:r w:rsidR="00340895">
        <w:t>es</w:t>
      </w:r>
      <w:r>
        <w:t xml:space="preserve"> </w:t>
      </w:r>
      <w:r w:rsidR="00143AD0">
        <w:t>were</w:t>
      </w:r>
      <w:r>
        <w:t xml:space="preserve"> used. Analogous trends </w:t>
      </w:r>
      <w:r w:rsidR="00143AD0">
        <w:t>were</w:t>
      </w:r>
      <w:r>
        <w:t xml:space="preserve"> observed when considering bulk density and MIP pore size distribution (Figure 2). </w:t>
      </w:r>
    </w:p>
    <w:p w14:paraId="2B563F3A" w14:textId="0621C9CF" w:rsidR="00E12793" w:rsidRDefault="00E12793" w:rsidP="00E12793">
      <w:pPr>
        <w:pStyle w:val="CETBodytext"/>
      </w:pPr>
      <w:r>
        <w:t>MTK based mortars show</w:t>
      </w:r>
      <w:r w:rsidR="00143AD0">
        <w:t>ed</w:t>
      </w:r>
      <w:r>
        <w:t xml:space="preserve"> a bimodal pore size distribution with micro and sub-micrometric voids (0.30 - 0.02 μm). Specifically, MTK systems exhibit</w:t>
      </w:r>
      <w:r w:rsidR="00143AD0">
        <w:t>ed</w:t>
      </w:r>
      <w:r>
        <w:t xml:space="preserve"> a lower porosity and a distribution shifted towards smaller voids, with respect to the W-HFA homologue. </w:t>
      </w:r>
    </w:p>
    <w:p w14:paraId="26C464B2" w14:textId="6E96C08A" w:rsidR="00E12793" w:rsidRDefault="00100574" w:rsidP="00E12793">
      <w:pPr>
        <w:pStyle w:val="CETBodytext"/>
      </w:pPr>
      <w:r>
        <w:t xml:space="preserve">Secondary electron (SE) </w:t>
      </w:r>
      <w:r w:rsidR="00E12793">
        <w:t xml:space="preserve">SEM images for different mortars are shown in Figure 3. Some micro-cracks </w:t>
      </w:r>
      <w:r w:rsidR="00143AD0">
        <w:t>were</w:t>
      </w:r>
      <w:r w:rsidR="00E12793">
        <w:t xml:space="preserve"> observed within the matrix and grains. Alongside the development of the </w:t>
      </w:r>
      <w:r w:rsidR="00610AFF">
        <w:t>geopolymer</w:t>
      </w:r>
      <w:r w:rsidR="00E12793">
        <w:t xml:space="preserve"> matrix, it was found that porosity increase</w:t>
      </w:r>
      <w:r w:rsidR="00143AD0">
        <w:t>d</w:t>
      </w:r>
      <w:r w:rsidR="00E12793">
        <w:t xml:space="preserve"> with W-HFA content.</w:t>
      </w:r>
    </w:p>
    <w:p w14:paraId="6DCAA2BF" w14:textId="465553DB" w:rsidR="00E12793" w:rsidRDefault="00E12793" w:rsidP="00E12793">
      <w:pPr>
        <w:pStyle w:val="CETBodytext"/>
      </w:pPr>
      <w:r>
        <w:t xml:space="preserve">Water capillary uptake (i.e., Absorption Coefficient C.A. and M* Asymptotic final value) </w:t>
      </w:r>
      <w:r w:rsidR="00340895">
        <w:t>are</w:t>
      </w:r>
      <w:r>
        <w:t xml:space="preserve"> </w:t>
      </w:r>
      <w:r w:rsidR="00E15468">
        <w:t>described</w:t>
      </w:r>
      <w:r>
        <w:t xml:space="preserve"> in Figure</w:t>
      </w:r>
      <w:r w:rsidR="00E15468">
        <w:t>s</w:t>
      </w:r>
      <w:r>
        <w:t xml:space="preserve"> 4</w:t>
      </w:r>
      <w:r w:rsidR="0027595A">
        <w:t>a – 4b</w:t>
      </w:r>
      <w:r>
        <w:t xml:space="preserve">. The C.A. values </w:t>
      </w:r>
      <w:r w:rsidR="00D10489">
        <w:t>refer to</w:t>
      </w:r>
      <w:r>
        <w:t xml:space="preserve"> the slope of the quite linear segment of uptake absorption curves, while M* is the final asymptotic value</w:t>
      </w:r>
      <w:r w:rsidR="008C176B">
        <w:t xml:space="preserve"> (M*; t &gt; 800 h), </w:t>
      </w:r>
      <w:r w:rsidR="008C176B" w:rsidRPr="00B415F5">
        <w:rPr>
          <w:color w:val="000000" w:themeColor="text1"/>
        </w:rPr>
        <w:t>UNI EN15801</w:t>
      </w:r>
      <w:r w:rsidR="00B415F5" w:rsidRPr="00B415F5">
        <w:rPr>
          <w:color w:val="000000" w:themeColor="text1"/>
        </w:rPr>
        <w:t>:</w:t>
      </w:r>
      <w:r w:rsidR="008C176B" w:rsidRPr="00B415F5">
        <w:rPr>
          <w:color w:val="000000" w:themeColor="text1"/>
        </w:rPr>
        <w:t>2010</w:t>
      </w:r>
      <w:r>
        <w:t xml:space="preserve">. Mix 25, 26 and 28 </w:t>
      </w:r>
      <w:r w:rsidR="00D57AA4">
        <w:t>were</w:t>
      </w:r>
      <w:r>
        <w:t xml:space="preserve"> characterized </w:t>
      </w:r>
      <w:r w:rsidR="00E15468">
        <w:t>by</w:t>
      </w:r>
      <w:r>
        <w:t xml:space="preserve"> low C.A. and M* values </w:t>
      </w:r>
      <w:r w:rsidR="00D57AA4">
        <w:t>because of</w:t>
      </w:r>
      <w:r>
        <w:t xml:space="preserve"> their low open water porosity</w:t>
      </w:r>
      <w:r w:rsidR="00BC6ECA">
        <w:t>,</w:t>
      </w:r>
      <w:r>
        <w:t xml:space="preserve"> 11.2%, 9.8% and 14.9%</w:t>
      </w:r>
      <w:r w:rsidR="00BC6ECA">
        <w:t xml:space="preserve"> respectively</w:t>
      </w:r>
      <w:r>
        <w:t xml:space="preserve">. </w:t>
      </w:r>
      <w:r w:rsidR="00BC6ECA">
        <w:t>In turn,</w:t>
      </w:r>
      <w:r>
        <w:t xml:space="preserve"> mix 37</w:t>
      </w:r>
      <w:r w:rsidR="00BC6ECA">
        <w:t xml:space="preserve"> </w:t>
      </w:r>
      <w:r w:rsidR="00D57AA4">
        <w:t>was</w:t>
      </w:r>
      <w:r w:rsidR="00BC6ECA">
        <w:t xml:space="preserve"> </w:t>
      </w:r>
      <w:r>
        <w:t xml:space="preserve">characterized by significant higher value </w:t>
      </w:r>
      <w:r w:rsidR="00BC6ECA">
        <w:t>(</w:t>
      </w:r>
      <w:r>
        <w:t>18.2%</w:t>
      </w:r>
      <w:r w:rsidR="00BC6ECA">
        <w:t>).</w:t>
      </w:r>
    </w:p>
    <w:p w14:paraId="515EB54F" w14:textId="6E225254" w:rsidR="00E12793" w:rsidRDefault="002A3B5D" w:rsidP="002A3B5D">
      <w:pPr>
        <w:pStyle w:val="CETBodytext"/>
      </w:pPr>
      <w:r w:rsidRPr="00C268B5">
        <w:t>Compressive uniaxial strength</w:t>
      </w:r>
      <w:r w:rsidR="008C176B" w:rsidRPr="00C268B5">
        <w:t xml:space="preserve"> </w:t>
      </w:r>
      <w:r w:rsidR="004C4535" w:rsidRPr="00C268B5">
        <w:t>(</w:t>
      </w:r>
      <w:r w:rsidR="009110B1" w:rsidRPr="00C268B5">
        <w:t>CS</w:t>
      </w:r>
      <w:r w:rsidR="004C4535" w:rsidRPr="00C268B5">
        <w:rPr>
          <w:rFonts w:ascii="Symbol" w:hAnsi="Symbol"/>
        </w:rPr>
        <w:t></w:t>
      </w:r>
      <w:r w:rsidR="004C4535" w:rsidRPr="00C268B5">
        <w:rPr>
          <w:rFonts w:ascii="Symbol" w:hAnsi="Symbol"/>
        </w:rPr>
        <w:t></w:t>
      </w:r>
      <w:r w:rsidR="001F3B63">
        <w:t xml:space="preserve">tests were </w:t>
      </w:r>
      <w:r w:rsidRPr="00C268B5">
        <w:t xml:space="preserve">conducted on both normally cured </w:t>
      </w:r>
      <w:r w:rsidR="000B2957" w:rsidRPr="00C268B5">
        <w:t xml:space="preserve">and </w:t>
      </w:r>
      <w:r w:rsidRPr="00C268B5">
        <w:t xml:space="preserve">water stressed specimens. Mechanical strength </w:t>
      </w:r>
      <w:r w:rsidR="006420F1">
        <w:t>is</w:t>
      </w:r>
      <w:r w:rsidRPr="00C268B5">
        <w:t xml:space="preserve"> undoubtedly conditioned by </w:t>
      </w:r>
      <w:r w:rsidR="004C4535" w:rsidRPr="00C268B5">
        <w:t xml:space="preserve">the </w:t>
      </w:r>
      <w:r w:rsidRPr="00C268B5">
        <w:t xml:space="preserve">aggregate </w:t>
      </w:r>
      <w:r w:rsidR="008C176B" w:rsidRPr="00C268B5">
        <w:t xml:space="preserve">content and </w:t>
      </w:r>
      <w:r w:rsidRPr="00C268B5">
        <w:t xml:space="preserve">microstructure </w:t>
      </w:r>
      <w:r w:rsidRPr="008C6FDC">
        <w:t>(intergranular micro-fractures and open boundaries grains) strictly related to the marble original granoblastic texture</w:t>
      </w:r>
      <w:r w:rsidR="00563EB0" w:rsidRPr="008C6FDC">
        <w:rPr>
          <w:lang w:val="en-GB"/>
        </w:rPr>
        <w:t xml:space="preserve"> (Azarsa</w:t>
      </w:r>
      <w:r w:rsidR="00425D20">
        <w:rPr>
          <w:lang w:val="en-GB"/>
        </w:rPr>
        <w:t xml:space="preserve"> a</w:t>
      </w:r>
      <w:r w:rsidR="00563EB0" w:rsidRPr="008C6FDC">
        <w:rPr>
          <w:lang w:val="en-GB"/>
        </w:rPr>
        <w:t>nd Gupta, 2020)</w:t>
      </w:r>
      <w:r w:rsidRPr="008C6FDC">
        <w:t xml:space="preserve">. </w:t>
      </w:r>
      <w:r w:rsidR="008C6FDC" w:rsidRPr="008C6FDC">
        <w:t>A further contribution</w:t>
      </w:r>
      <w:r w:rsidR="00A94386" w:rsidRPr="008C6FDC">
        <w:t xml:space="preserve"> </w:t>
      </w:r>
      <w:r w:rsidR="008C6FDC" w:rsidRPr="008C6FDC">
        <w:t>to</w:t>
      </w:r>
      <w:r w:rsidR="00A94386" w:rsidRPr="008C6FDC">
        <w:t xml:space="preserve"> mechanical strength deriving from </w:t>
      </w:r>
      <w:r w:rsidR="005E2E69" w:rsidRPr="008C6FDC">
        <w:t xml:space="preserve">the pozzolanic reaction could </w:t>
      </w:r>
      <w:r w:rsidR="008C6FDC" w:rsidRPr="008C6FDC">
        <w:t xml:space="preserve">also </w:t>
      </w:r>
      <w:r w:rsidR="005E2E69" w:rsidRPr="008C6FDC">
        <w:t xml:space="preserve">be considered </w:t>
      </w:r>
      <w:r w:rsidR="00A94386" w:rsidRPr="008C6FDC">
        <w:t xml:space="preserve">in the mixture containing MTK and Lime (system 28). </w:t>
      </w:r>
      <w:r w:rsidRPr="008C6FDC">
        <w:t>Systems subjected to longer water contact show a significant decrease in compressive strength as compared to normally cured</w:t>
      </w:r>
      <w:r>
        <w:t xml:space="preserve"> ones, due to a weakening effect on the binding matrix. As previously mentioned, apart from the case of the sample 37 (W-HFA), USv </w:t>
      </w:r>
      <w:r w:rsidR="00D57AA4">
        <w:t>were</w:t>
      </w:r>
      <w:r>
        <w:t xml:space="preserve"> slightly higher in normally cured samples, </w:t>
      </w:r>
      <w:r w:rsidR="00D57AA4">
        <w:t>resulting</w:t>
      </w:r>
      <w:r>
        <w:t xml:space="preserve"> in more compact and homogenous mortars (Table 3).</w:t>
      </w:r>
    </w:p>
    <w:p w14:paraId="766C8D3B" w14:textId="0C242A95" w:rsidR="00E12793" w:rsidRDefault="00F6396A" w:rsidP="00E12793">
      <w:pPr>
        <w:pStyle w:val="CETBodytext"/>
      </w:pPr>
      <w:r>
        <w:rPr>
          <w:noProof/>
          <w:lang w:val="it-IT" w:eastAsia="it-IT"/>
        </w:rPr>
        <w:lastRenderedPageBreak/>
        <w:drawing>
          <wp:inline distT="0" distB="0" distL="0" distR="0" wp14:anchorId="3FF32F47" wp14:editId="07DE6849">
            <wp:extent cx="4675239" cy="2271252"/>
            <wp:effectExtent l="0" t="0" r="11430" b="15240"/>
            <wp:docPr id="15" name="Grafico 15">
              <a:extLst xmlns:a="http://schemas.openxmlformats.org/drawingml/2006/main">
                <a:ext uri="{FF2B5EF4-FFF2-40B4-BE49-F238E27FC236}">
                  <a16:creationId xmlns:a16="http://schemas.microsoft.com/office/drawing/2014/main" id="{FA136CC9-BBA7-33CC-831E-5E4AB6DD92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28258F7" w14:textId="77777777" w:rsidR="00493A91" w:rsidRPr="0027595A" w:rsidRDefault="00493A91" w:rsidP="00E12793">
      <w:pPr>
        <w:pStyle w:val="CETBodytext"/>
        <w:rPr>
          <w:i/>
          <w:iCs/>
        </w:rPr>
      </w:pPr>
    </w:p>
    <w:bookmarkEnd w:id="1"/>
    <w:p w14:paraId="209F4CC7" w14:textId="095F2129" w:rsidR="00A31B3E" w:rsidRPr="0027595A" w:rsidRDefault="00F6396A" w:rsidP="00F6396A">
      <w:pPr>
        <w:pStyle w:val="CETBodytext"/>
        <w:rPr>
          <w:i/>
          <w:iCs/>
        </w:rPr>
      </w:pPr>
      <w:r w:rsidRPr="0027595A">
        <w:rPr>
          <w:i/>
          <w:iCs/>
        </w:rPr>
        <w:t>Figure 1</w:t>
      </w:r>
      <w:r w:rsidR="002B7492">
        <w:rPr>
          <w:i/>
          <w:iCs/>
        </w:rPr>
        <w:t>:</w:t>
      </w:r>
      <w:r w:rsidRPr="0027595A">
        <w:rPr>
          <w:i/>
          <w:iCs/>
        </w:rPr>
        <w:t xml:space="preserve"> </w:t>
      </w:r>
      <w:r w:rsidR="003A3F80" w:rsidRPr="0027595A">
        <w:rPr>
          <w:i/>
          <w:iCs/>
        </w:rPr>
        <w:t>USv</w:t>
      </w:r>
      <w:r w:rsidRPr="0027595A">
        <w:rPr>
          <w:i/>
          <w:iCs/>
        </w:rPr>
        <w:t xml:space="preserve"> for samples obtained with MTK (</w:t>
      </w:r>
      <w:r w:rsidR="002C3763">
        <w:rPr>
          <w:i/>
          <w:iCs/>
        </w:rPr>
        <w:t>M</w:t>
      </w:r>
      <w:r w:rsidRPr="0027595A">
        <w:rPr>
          <w:i/>
          <w:iCs/>
        </w:rPr>
        <w:t>25)</w:t>
      </w:r>
      <w:r w:rsidR="008F6250" w:rsidRPr="0027595A">
        <w:rPr>
          <w:i/>
          <w:iCs/>
        </w:rPr>
        <w:t>, with</w:t>
      </w:r>
      <w:r w:rsidRPr="0027595A">
        <w:rPr>
          <w:i/>
          <w:iCs/>
        </w:rPr>
        <w:t xml:space="preserve"> MTK </w:t>
      </w:r>
      <w:r w:rsidR="008F6250" w:rsidRPr="0027595A">
        <w:rPr>
          <w:i/>
          <w:iCs/>
        </w:rPr>
        <w:t>partially and totally substitute</w:t>
      </w:r>
      <w:r w:rsidR="008D5622" w:rsidRPr="0027595A">
        <w:rPr>
          <w:i/>
          <w:iCs/>
        </w:rPr>
        <w:t>d</w:t>
      </w:r>
      <w:r w:rsidR="008F6250" w:rsidRPr="0027595A">
        <w:rPr>
          <w:i/>
          <w:iCs/>
        </w:rPr>
        <w:t xml:space="preserve"> by W-HFA</w:t>
      </w:r>
      <w:r w:rsidRPr="0027595A">
        <w:rPr>
          <w:i/>
          <w:iCs/>
        </w:rPr>
        <w:t xml:space="preserve"> (</w:t>
      </w:r>
      <w:r w:rsidR="002C3763">
        <w:rPr>
          <w:i/>
          <w:iCs/>
        </w:rPr>
        <w:t>M</w:t>
      </w:r>
      <w:r w:rsidRPr="0027595A">
        <w:rPr>
          <w:i/>
          <w:iCs/>
        </w:rPr>
        <w:t xml:space="preserve">26, </w:t>
      </w:r>
      <w:r w:rsidR="002C3763">
        <w:rPr>
          <w:i/>
          <w:iCs/>
        </w:rPr>
        <w:t>M</w:t>
      </w:r>
      <w:r w:rsidR="008F6250" w:rsidRPr="0027595A">
        <w:rPr>
          <w:i/>
          <w:iCs/>
        </w:rPr>
        <w:t xml:space="preserve">28, </w:t>
      </w:r>
      <w:r w:rsidR="002C3763">
        <w:rPr>
          <w:i/>
          <w:iCs/>
        </w:rPr>
        <w:t>M</w:t>
      </w:r>
      <w:r w:rsidR="008F6250" w:rsidRPr="0027595A">
        <w:rPr>
          <w:i/>
          <w:iCs/>
        </w:rPr>
        <w:t>37</w:t>
      </w:r>
      <w:r w:rsidRPr="0027595A">
        <w:rPr>
          <w:i/>
          <w:iCs/>
        </w:rPr>
        <w:t>), after 1, 3, 7, 14 and 28 curing days</w:t>
      </w:r>
    </w:p>
    <w:p w14:paraId="118C90A8" w14:textId="53FA433D" w:rsidR="00112647" w:rsidRPr="00A65EFD" w:rsidRDefault="00A65EFD" w:rsidP="00CC4B6C">
      <w:pPr>
        <w:pStyle w:val="CETBodytext"/>
      </w:pPr>
      <w:r>
        <w:rPr>
          <w:noProof/>
          <w:lang w:val="it-IT" w:eastAsia="it-IT"/>
        </w:rPr>
        <w:drawing>
          <wp:anchor distT="0" distB="0" distL="114300" distR="114300" simplePos="0" relativeHeight="251657728" behindDoc="0" locked="0" layoutInCell="1" allowOverlap="1" wp14:anchorId="3C314377" wp14:editId="764D156D">
            <wp:simplePos x="0" y="0"/>
            <wp:positionH relativeFrom="column">
              <wp:posOffset>1905</wp:posOffset>
            </wp:positionH>
            <wp:positionV relativeFrom="paragraph">
              <wp:posOffset>233045</wp:posOffset>
            </wp:positionV>
            <wp:extent cx="5556250" cy="2499360"/>
            <wp:effectExtent l="0" t="0" r="635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2"/>
                    <a:stretch>
                      <a:fillRect/>
                    </a:stretch>
                  </pic:blipFill>
                  <pic:spPr>
                    <a:xfrm>
                      <a:off x="0" y="0"/>
                      <a:ext cx="5556250" cy="2499360"/>
                    </a:xfrm>
                    <a:prstGeom prst="rect">
                      <a:avLst/>
                    </a:prstGeom>
                  </pic:spPr>
                </pic:pic>
              </a:graphicData>
            </a:graphic>
            <wp14:sizeRelH relativeFrom="page">
              <wp14:pctWidth>0</wp14:pctWidth>
            </wp14:sizeRelH>
            <wp14:sizeRelV relativeFrom="page">
              <wp14:pctHeight>0</wp14:pctHeight>
            </wp14:sizeRelV>
          </wp:anchor>
        </w:drawing>
      </w:r>
    </w:p>
    <w:p w14:paraId="686B535F" w14:textId="77777777" w:rsidR="00A65EFD" w:rsidRDefault="00A65EFD" w:rsidP="00CC4B6C">
      <w:pPr>
        <w:pStyle w:val="CETBodytext"/>
        <w:rPr>
          <w:rFonts w:cs="Arial"/>
          <w:szCs w:val="18"/>
        </w:rPr>
      </w:pPr>
    </w:p>
    <w:p w14:paraId="362599B3" w14:textId="305979C3" w:rsidR="00112647" w:rsidRPr="00425D20" w:rsidRDefault="001262A7" w:rsidP="00CC4B6C">
      <w:pPr>
        <w:pStyle w:val="CETBodytext"/>
        <w:rPr>
          <w:rFonts w:cs="Arial"/>
          <w:i/>
          <w:iCs/>
          <w:szCs w:val="18"/>
          <w:lang w:val="en-GB"/>
        </w:rPr>
      </w:pPr>
      <w:r w:rsidRPr="00425D20">
        <w:rPr>
          <w:rFonts w:cs="Arial"/>
          <w:i/>
          <w:iCs/>
          <w:szCs w:val="18"/>
          <w:lang w:val="en-GB"/>
        </w:rPr>
        <w:t xml:space="preserve">Figure 2: </w:t>
      </w:r>
      <w:r w:rsidR="00A50CCF" w:rsidRPr="00425D20">
        <w:rPr>
          <w:rFonts w:cs="Arial"/>
          <w:i/>
          <w:iCs/>
          <w:szCs w:val="18"/>
          <w:lang w:val="en-GB"/>
        </w:rPr>
        <w:t>MIP p</w:t>
      </w:r>
      <w:r w:rsidRPr="00425D20">
        <w:rPr>
          <w:rFonts w:cs="Arial"/>
          <w:i/>
          <w:iCs/>
          <w:szCs w:val="18"/>
          <w:lang w:val="en-GB"/>
        </w:rPr>
        <w:t>or</w:t>
      </w:r>
      <w:r w:rsidR="0075096E" w:rsidRPr="00425D20">
        <w:rPr>
          <w:rFonts w:cs="Arial"/>
          <w:i/>
          <w:iCs/>
          <w:szCs w:val="18"/>
          <w:lang w:val="en-GB"/>
        </w:rPr>
        <w:t xml:space="preserve">e size distribution </w:t>
      </w:r>
      <w:r w:rsidRPr="00425D20">
        <w:rPr>
          <w:rFonts w:cs="Arial"/>
          <w:i/>
          <w:iCs/>
          <w:szCs w:val="18"/>
          <w:lang w:val="en-GB"/>
        </w:rPr>
        <w:t>for selected samples</w:t>
      </w:r>
      <w:r w:rsidR="0075096E" w:rsidRPr="00425D20">
        <w:rPr>
          <w:rFonts w:cs="Arial"/>
          <w:i/>
          <w:iCs/>
          <w:szCs w:val="18"/>
          <w:lang w:val="en-GB"/>
        </w:rPr>
        <w:t xml:space="preserve"> </w:t>
      </w:r>
      <w:r w:rsidR="000B7125" w:rsidRPr="00425D20">
        <w:rPr>
          <w:rFonts w:cs="Arial"/>
          <w:i/>
          <w:iCs/>
          <w:szCs w:val="18"/>
          <w:lang w:val="en-GB"/>
        </w:rPr>
        <w:t>(28 days curing)</w:t>
      </w:r>
      <w:r w:rsidR="006B2940" w:rsidRPr="00425D20">
        <w:rPr>
          <w:rFonts w:cs="Arial"/>
          <w:i/>
          <w:iCs/>
          <w:szCs w:val="18"/>
          <w:lang w:val="en-GB"/>
        </w:rPr>
        <w:t xml:space="preserve"> </w:t>
      </w:r>
    </w:p>
    <w:p w14:paraId="259A9499" w14:textId="0C5E3F87" w:rsidR="001262A7" w:rsidRPr="00425D20" w:rsidRDefault="001262A7" w:rsidP="001262A7">
      <w:pPr>
        <w:pStyle w:val="CETBodytext"/>
        <w:rPr>
          <w:lang w:val="en-GB"/>
        </w:rPr>
      </w:pPr>
    </w:p>
    <w:p w14:paraId="16B7D771" w14:textId="77777777" w:rsidR="00BF2B83" w:rsidRPr="00425D20" w:rsidRDefault="00BF2B83" w:rsidP="001262A7">
      <w:pPr>
        <w:pStyle w:val="CETBodytext"/>
        <w:rPr>
          <w:lang w:val="en-GB"/>
        </w:rPr>
      </w:pPr>
    </w:p>
    <w:p w14:paraId="6BCA4614" w14:textId="29F1AC72" w:rsidR="001262A7" w:rsidRDefault="00BF2B83" w:rsidP="001262A7">
      <w:pPr>
        <w:pStyle w:val="CETBodytext"/>
      </w:pPr>
      <w:r>
        <w:rPr>
          <w:noProof/>
          <w:lang w:val="it-IT" w:eastAsia="it-IT"/>
        </w:rPr>
        <w:drawing>
          <wp:inline distT="0" distB="0" distL="0" distR="0" wp14:anchorId="0A694533" wp14:editId="264A52FB">
            <wp:extent cx="5629469" cy="1376553"/>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3357" cy="1382394"/>
                    </a:xfrm>
                    <a:prstGeom prst="rect">
                      <a:avLst/>
                    </a:prstGeom>
                    <a:noFill/>
                  </pic:spPr>
                </pic:pic>
              </a:graphicData>
            </a:graphic>
          </wp:inline>
        </w:drawing>
      </w:r>
    </w:p>
    <w:p w14:paraId="0D3AA9E7" w14:textId="77777777" w:rsidR="004D79EA" w:rsidRDefault="004D79EA" w:rsidP="001262A7">
      <w:pPr>
        <w:pStyle w:val="CETBodytext"/>
      </w:pPr>
    </w:p>
    <w:p w14:paraId="7CC0FA61" w14:textId="0BB5FBB7" w:rsidR="001262A7" w:rsidRPr="0027595A" w:rsidRDefault="001262A7" w:rsidP="001262A7">
      <w:pPr>
        <w:pStyle w:val="CETBodytext"/>
        <w:rPr>
          <w:rFonts w:cs="Arial"/>
          <w:i/>
          <w:iCs/>
          <w:szCs w:val="18"/>
        </w:rPr>
      </w:pPr>
      <w:r w:rsidRPr="0027595A">
        <w:rPr>
          <w:rFonts w:cs="Arial"/>
          <w:i/>
          <w:iCs/>
          <w:szCs w:val="18"/>
        </w:rPr>
        <w:t>Figure 3: SEM thin section micrographs for different geopolymers prepare</w:t>
      </w:r>
      <w:r w:rsidR="000B7125" w:rsidRPr="0027595A">
        <w:rPr>
          <w:rFonts w:cs="Arial"/>
          <w:i/>
          <w:iCs/>
          <w:szCs w:val="18"/>
        </w:rPr>
        <w:t>d</w:t>
      </w:r>
      <w:r w:rsidRPr="0027595A">
        <w:rPr>
          <w:rFonts w:cs="Arial"/>
          <w:i/>
          <w:iCs/>
          <w:szCs w:val="18"/>
        </w:rPr>
        <w:t xml:space="preserve"> with MTK and or </w:t>
      </w:r>
      <w:r w:rsidR="003A3F80" w:rsidRPr="0027595A">
        <w:rPr>
          <w:rFonts w:cs="Arial"/>
          <w:i/>
          <w:iCs/>
          <w:szCs w:val="18"/>
        </w:rPr>
        <w:t>W-H</w:t>
      </w:r>
      <w:r w:rsidRPr="0027595A">
        <w:rPr>
          <w:rFonts w:cs="Arial"/>
          <w:i/>
          <w:iCs/>
          <w:szCs w:val="18"/>
        </w:rPr>
        <w:t xml:space="preserve">FA as aggregate </w:t>
      </w:r>
      <w:r w:rsidR="000B7125" w:rsidRPr="0027595A">
        <w:rPr>
          <w:rFonts w:cs="Arial"/>
          <w:i/>
          <w:iCs/>
          <w:szCs w:val="18"/>
        </w:rPr>
        <w:t>(28 days curing). Signal from secondary electrons</w:t>
      </w:r>
    </w:p>
    <w:p w14:paraId="78517FFF" w14:textId="0C4A9684" w:rsidR="001262A7" w:rsidRDefault="001262A7">
      <w:pPr>
        <w:tabs>
          <w:tab w:val="clear" w:pos="7100"/>
        </w:tabs>
        <w:spacing w:after="200" w:line="276" w:lineRule="auto"/>
        <w:jc w:val="left"/>
        <w:rPr>
          <w:i/>
        </w:rPr>
      </w:pPr>
      <w:r>
        <w:br w:type="page"/>
      </w:r>
    </w:p>
    <w:p w14:paraId="247D081E" w14:textId="4DCE606C" w:rsidR="001262A7" w:rsidRPr="001262A7" w:rsidRDefault="00A71040" w:rsidP="001262A7">
      <w:pPr>
        <w:pStyle w:val="CETBodytextItalic"/>
      </w:pPr>
      <w:r>
        <w:rPr>
          <w:noProof/>
          <w:lang w:val="it-IT" w:eastAsia="it-IT"/>
        </w:rPr>
        <w:lastRenderedPageBreak/>
        <mc:AlternateContent>
          <mc:Choice Requires="wps">
            <w:drawing>
              <wp:anchor distT="45720" distB="45720" distL="114300" distR="114300" simplePos="0" relativeHeight="251665408" behindDoc="0" locked="0" layoutInCell="1" allowOverlap="1" wp14:anchorId="5586FCC2" wp14:editId="1BF06672">
                <wp:simplePos x="0" y="0"/>
                <wp:positionH relativeFrom="column">
                  <wp:posOffset>3461719</wp:posOffset>
                </wp:positionH>
                <wp:positionV relativeFrom="paragraph">
                  <wp:posOffset>120643</wp:posOffset>
                </wp:positionV>
                <wp:extent cx="366765" cy="245110"/>
                <wp:effectExtent l="0" t="0" r="0" b="254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65" cy="245110"/>
                        </a:xfrm>
                        <a:prstGeom prst="rect">
                          <a:avLst/>
                        </a:prstGeom>
                        <a:noFill/>
                        <a:ln w="9525">
                          <a:noFill/>
                          <a:miter lim="800000"/>
                          <a:headEnd/>
                          <a:tailEnd/>
                        </a:ln>
                      </wps:spPr>
                      <wps:txbx>
                        <w:txbxContent>
                          <w:p w14:paraId="5B740844" w14:textId="5A3ACA3F" w:rsidR="006E16E4" w:rsidRPr="00A71040" w:rsidRDefault="00A71040">
                            <w:pPr>
                              <w:rPr>
                                <w:b/>
                                <w:bCs/>
                                <w:color w:val="404040" w:themeColor="text1" w:themeTint="BF"/>
                                <w:lang w:val="it-IT"/>
                              </w:rPr>
                            </w:pPr>
                            <w:r w:rsidRPr="00A71040">
                              <w:rPr>
                                <w:b/>
                                <w:bCs/>
                                <w:color w:val="404040" w:themeColor="text1" w:themeTint="BF"/>
                              </w:rPr>
                              <w:t>(</w:t>
                            </w:r>
                            <w:r w:rsidR="006E16E4" w:rsidRPr="00A71040">
                              <w:rPr>
                                <w:b/>
                                <w:bCs/>
                                <w:color w:val="404040" w:themeColor="text1" w:themeTint="BF"/>
                              </w:rPr>
                              <w:t>b</w:t>
                            </w:r>
                            <w:r w:rsidRPr="00A71040">
                              <w:rPr>
                                <w:b/>
                                <w:bCs/>
                                <w:color w:val="404040" w:themeColor="text1" w:themeTint="BF"/>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86FCC2" id="_x0000_t202" coordsize="21600,21600" o:spt="202" path="m,l,21600r21600,l21600,xe">
                <v:stroke joinstyle="miter"/>
                <v:path gradientshapeok="t" o:connecttype="rect"/>
              </v:shapetype>
              <v:shape id="Casella di testo 2" o:spid="_x0000_s1026" type="#_x0000_t202" style="position:absolute;left:0;text-align:left;margin-left:272.6pt;margin-top:9.5pt;width:28.9pt;height:19.3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" filled="f" stroked="f">
                <v:textbox style="mso-fit-shape-to-text:t">
                  <w:txbxContent>
                    <w:p w14:paraId="5B740844" w14:textId="5A3ACA3F" w:rsidR="006E16E4" w:rsidRPr="00A71040" w:rsidRDefault="00A71040">
                      <w:pPr>
                        <w:rPr>
                          <w:b/>
                          <w:bCs/>
                          <w:color w:val="404040" w:themeColor="text1" w:themeTint="BF"/>
                          <w:lang w:val="it-IT"/>
                        </w:rPr>
                      </w:pPr>
                      <w:r w:rsidRPr="00A71040">
                        <w:rPr>
                          <w:b/>
                          <w:bCs/>
                          <w:color w:val="404040" w:themeColor="text1" w:themeTint="BF"/>
                        </w:rPr>
                        <w:t>(</w:t>
                      </w:r>
                      <w:r w:rsidR="006E16E4" w:rsidRPr="00A71040">
                        <w:rPr>
                          <w:b/>
                          <w:bCs/>
                          <w:color w:val="404040" w:themeColor="text1" w:themeTint="BF"/>
                        </w:rPr>
                        <w:t>b</w:t>
                      </w:r>
                      <w:r w:rsidRPr="00A71040">
                        <w:rPr>
                          <w:b/>
                          <w:bCs/>
                          <w:color w:val="404040" w:themeColor="text1" w:themeTint="BF"/>
                        </w:rPr>
                        <w:t>)</w:t>
                      </w:r>
                    </w:p>
                  </w:txbxContent>
                </v:textbox>
              </v:shape>
            </w:pict>
          </mc:Fallback>
        </mc:AlternateContent>
      </w:r>
      <w:r>
        <w:rPr>
          <w:noProof/>
          <w:lang w:val="it-IT" w:eastAsia="it-IT"/>
        </w:rPr>
        <mc:AlternateContent>
          <mc:Choice Requires="wps">
            <w:drawing>
              <wp:anchor distT="45720" distB="45720" distL="114300" distR="114300" simplePos="0" relativeHeight="251663360" behindDoc="0" locked="0" layoutInCell="1" allowOverlap="1" wp14:anchorId="55E3C73C" wp14:editId="11BBCB81">
                <wp:simplePos x="0" y="0"/>
                <wp:positionH relativeFrom="column">
                  <wp:posOffset>683350</wp:posOffset>
                </wp:positionH>
                <wp:positionV relativeFrom="paragraph">
                  <wp:posOffset>135716</wp:posOffset>
                </wp:positionV>
                <wp:extent cx="386861" cy="245110"/>
                <wp:effectExtent l="0" t="0" r="0" b="254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861" cy="245110"/>
                        </a:xfrm>
                        <a:prstGeom prst="rect">
                          <a:avLst/>
                        </a:prstGeom>
                        <a:noFill/>
                        <a:ln w="9525">
                          <a:noFill/>
                          <a:miter lim="800000"/>
                          <a:headEnd/>
                          <a:tailEnd/>
                        </a:ln>
                      </wps:spPr>
                      <wps:txbx>
                        <w:txbxContent>
                          <w:p w14:paraId="3E26DF7B" w14:textId="52B24461" w:rsidR="006E16E4" w:rsidRPr="00A71040" w:rsidRDefault="00A71040">
                            <w:pPr>
                              <w:rPr>
                                <w:b/>
                                <w:bCs/>
                                <w:color w:val="404040" w:themeColor="text1" w:themeTint="BF"/>
                                <w:lang w:val="it-IT"/>
                              </w:rPr>
                            </w:pPr>
                            <w:r w:rsidRPr="00A71040">
                              <w:rPr>
                                <w:b/>
                                <w:bCs/>
                                <w:color w:val="404040" w:themeColor="text1" w:themeTint="BF"/>
                              </w:rPr>
                              <w:t>(</w:t>
                            </w:r>
                            <w:r w:rsidR="006E16E4" w:rsidRPr="00A71040">
                              <w:rPr>
                                <w:b/>
                                <w:bCs/>
                                <w:color w:val="404040" w:themeColor="text1" w:themeTint="BF"/>
                              </w:rPr>
                              <w:t>a</w:t>
                            </w:r>
                            <w:r w:rsidRPr="00A71040">
                              <w:rPr>
                                <w:b/>
                                <w:bCs/>
                                <w:color w:val="404040" w:themeColor="text1" w:themeTint="BF"/>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E3C73C" id="_x0000_s1027" type="#_x0000_t202" style="position:absolute;left:0;text-align:left;margin-left:53.8pt;margin-top:10.7pt;width:30.45pt;height:19.3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" filled="f" stroked="f">
                <v:textbox style="mso-fit-shape-to-text:t">
                  <w:txbxContent>
                    <w:p w14:paraId="3E26DF7B" w14:textId="52B24461" w:rsidR="006E16E4" w:rsidRPr="00A71040" w:rsidRDefault="00A71040">
                      <w:pPr>
                        <w:rPr>
                          <w:b/>
                          <w:bCs/>
                          <w:color w:val="404040" w:themeColor="text1" w:themeTint="BF"/>
                          <w:lang w:val="it-IT"/>
                        </w:rPr>
                      </w:pPr>
                      <w:r w:rsidRPr="00A71040">
                        <w:rPr>
                          <w:b/>
                          <w:bCs/>
                          <w:color w:val="404040" w:themeColor="text1" w:themeTint="BF"/>
                        </w:rPr>
                        <w:t>(</w:t>
                      </w:r>
                      <w:r w:rsidR="006E16E4" w:rsidRPr="00A71040">
                        <w:rPr>
                          <w:b/>
                          <w:bCs/>
                          <w:color w:val="404040" w:themeColor="text1" w:themeTint="BF"/>
                        </w:rPr>
                        <w:t>a</w:t>
                      </w:r>
                      <w:r w:rsidRPr="00A71040">
                        <w:rPr>
                          <w:b/>
                          <w:bCs/>
                          <w:color w:val="404040" w:themeColor="text1" w:themeTint="BF"/>
                        </w:rPr>
                        <w:t>)</w:t>
                      </w:r>
                    </w:p>
                  </w:txbxContent>
                </v:textbox>
              </v:shape>
            </w:pict>
          </mc:Fallback>
        </mc:AlternateContent>
      </w:r>
      <w:r w:rsidR="00034F62">
        <w:rPr>
          <w:noProof/>
          <w:lang w:val="it-IT" w:eastAsia="it-IT"/>
        </w:rPr>
        <w:drawing>
          <wp:anchor distT="0" distB="0" distL="114300" distR="114300" simplePos="0" relativeHeight="251661312" behindDoc="0" locked="0" layoutInCell="1" allowOverlap="1" wp14:anchorId="5FF005EA" wp14:editId="05465245">
            <wp:simplePos x="0" y="0"/>
            <wp:positionH relativeFrom="column">
              <wp:posOffset>2936280</wp:posOffset>
            </wp:positionH>
            <wp:positionV relativeFrom="paragraph">
              <wp:posOffset>7885</wp:posOffset>
            </wp:positionV>
            <wp:extent cx="2656390" cy="1614098"/>
            <wp:effectExtent l="0" t="0" r="10795" b="5715"/>
            <wp:wrapNone/>
            <wp:docPr id="1" name="Grafico 1">
              <a:extLst xmlns:a="http://schemas.openxmlformats.org/drawingml/2006/main">
                <a:ext uri="{FF2B5EF4-FFF2-40B4-BE49-F238E27FC236}">
                  <a16:creationId xmlns:a16="http://schemas.microsoft.com/office/drawing/2014/main" id="{A2CB1628-1F32-4A87-8A12-B31B2E7F64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F6396A">
        <w:rPr>
          <w:noProof/>
          <w:lang w:val="it-IT" w:eastAsia="it-IT"/>
        </w:rPr>
        <w:drawing>
          <wp:inline distT="0" distB="0" distL="0" distR="0" wp14:anchorId="0939B537" wp14:editId="6BD1110F">
            <wp:extent cx="2880000" cy="1620000"/>
            <wp:effectExtent l="0" t="0" r="15875" b="18415"/>
            <wp:docPr id="18" name="Grafico 18">
              <a:extLst xmlns:a="http://schemas.openxmlformats.org/drawingml/2006/main">
                <a:ext uri="{FF2B5EF4-FFF2-40B4-BE49-F238E27FC236}">
                  <a16:creationId xmlns:a16="http://schemas.microsoft.com/office/drawing/2014/main" id="{BE8F15F2-7D00-E017-A767-7373C0AD5B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3A3DB1" w14:textId="77777777" w:rsidR="00F6396A" w:rsidRDefault="00F6396A" w:rsidP="00F6396A">
      <w:pPr>
        <w:shd w:val="clear" w:color="auto" w:fill="FFFFFF"/>
        <w:spacing w:line="240" w:lineRule="auto"/>
        <w:rPr>
          <w:lang w:val="en-US"/>
        </w:rPr>
      </w:pPr>
    </w:p>
    <w:p w14:paraId="17D6755B" w14:textId="722AF838" w:rsidR="00F6396A" w:rsidRPr="0027595A" w:rsidRDefault="00F6396A" w:rsidP="00F6396A">
      <w:pPr>
        <w:shd w:val="clear" w:color="auto" w:fill="FFFFFF"/>
        <w:spacing w:line="240" w:lineRule="auto"/>
        <w:rPr>
          <w:i/>
          <w:iCs/>
          <w:lang w:val="en-US"/>
        </w:rPr>
      </w:pPr>
      <w:r w:rsidRPr="002B7492">
        <w:rPr>
          <w:rStyle w:val="CETCaptionCarattere"/>
          <w:iCs/>
        </w:rPr>
        <w:t>Figure 4</w:t>
      </w:r>
      <w:r w:rsidR="002B7492" w:rsidRPr="002B7492">
        <w:rPr>
          <w:rStyle w:val="CETCaptionCarattere"/>
          <w:iCs/>
        </w:rPr>
        <w:t>:</w:t>
      </w:r>
      <w:r w:rsidRPr="0027595A">
        <w:rPr>
          <w:i/>
          <w:iCs/>
          <w:lang w:val="en-US"/>
        </w:rPr>
        <w:t xml:space="preserve"> Water uptake absorption for selected mortars</w:t>
      </w:r>
      <w:r w:rsidR="001F3B63">
        <w:rPr>
          <w:i/>
          <w:iCs/>
          <w:lang w:val="en-US"/>
        </w:rPr>
        <w:t>,</w:t>
      </w:r>
      <w:r w:rsidR="00A71040">
        <w:rPr>
          <w:i/>
          <w:iCs/>
          <w:lang w:val="en-US"/>
        </w:rPr>
        <w:t xml:space="preserve"> </w:t>
      </w:r>
      <w:r w:rsidR="001F3B63">
        <w:rPr>
          <w:i/>
          <w:iCs/>
          <w:lang w:val="en-US"/>
        </w:rPr>
        <w:t xml:space="preserve">(a) </w:t>
      </w:r>
      <w:r w:rsidRPr="0027595A">
        <w:rPr>
          <w:i/>
          <w:iCs/>
          <w:lang w:val="en-US"/>
        </w:rPr>
        <w:t>Absorption Coefficient C.A.</w:t>
      </w:r>
      <w:r w:rsidR="00A71040">
        <w:rPr>
          <w:i/>
          <w:iCs/>
          <w:lang w:val="en-US"/>
        </w:rPr>
        <w:t xml:space="preserve">, </w:t>
      </w:r>
      <w:r w:rsidRPr="0027595A">
        <w:rPr>
          <w:i/>
          <w:iCs/>
          <w:lang w:val="en-US"/>
        </w:rPr>
        <w:t xml:space="preserve">and </w:t>
      </w:r>
      <w:r w:rsidR="001F3B63">
        <w:rPr>
          <w:i/>
          <w:iCs/>
          <w:lang w:val="en-US"/>
        </w:rPr>
        <w:t xml:space="preserve">(b) </w:t>
      </w:r>
      <w:r w:rsidR="00A71040">
        <w:rPr>
          <w:i/>
          <w:iCs/>
          <w:lang w:val="en-US"/>
        </w:rPr>
        <w:t>a</w:t>
      </w:r>
      <w:r w:rsidRPr="0027595A">
        <w:rPr>
          <w:i/>
          <w:iCs/>
          <w:lang w:val="en-US"/>
        </w:rPr>
        <w:t>symptotic final absorption value (M*) at t = 850</w:t>
      </w:r>
      <w:r w:rsidR="003A3F80" w:rsidRPr="0027595A">
        <w:rPr>
          <w:i/>
          <w:iCs/>
          <w:lang w:val="en-US"/>
        </w:rPr>
        <w:t xml:space="preserve"> </w:t>
      </w:r>
      <w:r w:rsidRPr="0027595A">
        <w:rPr>
          <w:i/>
          <w:iCs/>
          <w:lang w:val="en-US"/>
        </w:rPr>
        <w:t>h</w:t>
      </w:r>
    </w:p>
    <w:p w14:paraId="3F190D1B" w14:textId="2D856212" w:rsidR="001262A7" w:rsidRPr="00F6396A" w:rsidRDefault="001262A7" w:rsidP="001262A7">
      <w:pPr>
        <w:pStyle w:val="CETBodytext"/>
        <w:rPr>
          <w:rFonts w:cs="Arial"/>
        </w:rPr>
      </w:pPr>
    </w:p>
    <w:p w14:paraId="36EF98D3" w14:textId="3A6C8B37" w:rsidR="002A0328" w:rsidRPr="0027595A" w:rsidRDefault="002A0328" w:rsidP="002A0328">
      <w:pPr>
        <w:pStyle w:val="CETTabletitle"/>
        <w:rPr>
          <w:rFonts w:cs="Arial"/>
        </w:rPr>
      </w:pPr>
      <w:r w:rsidRPr="009B680B">
        <w:rPr>
          <w:rFonts w:cs="Arial"/>
        </w:rPr>
        <w:t xml:space="preserve">Table 3: </w:t>
      </w:r>
      <w:r w:rsidRPr="009B680B">
        <w:rPr>
          <w:rFonts w:cs="Arial"/>
          <w:lang w:val="en-US"/>
        </w:rPr>
        <w:t>Compressive strengths</w:t>
      </w:r>
      <w:r w:rsidR="00604BD7" w:rsidRPr="009B680B">
        <w:rPr>
          <w:rFonts w:cs="Arial"/>
          <w:lang w:val="en-US"/>
        </w:rPr>
        <w:t xml:space="preserve"> CS</w:t>
      </w:r>
      <w:r w:rsidR="006B2940" w:rsidRPr="009B680B">
        <w:rPr>
          <w:rFonts w:cs="Arial"/>
          <w:lang w:val="en-US"/>
        </w:rPr>
        <w:t xml:space="preserve">, </w:t>
      </w:r>
      <w:r w:rsidRPr="009B680B">
        <w:rPr>
          <w:rFonts w:cs="Arial"/>
          <w:lang w:val="en-US"/>
        </w:rPr>
        <w:t>US</w:t>
      </w:r>
      <w:r w:rsidR="0075096E" w:rsidRPr="009B680B">
        <w:rPr>
          <w:rFonts w:cs="Arial"/>
          <w:vertAlign w:val="subscript"/>
          <w:lang w:val="en-US"/>
        </w:rPr>
        <w:t>V</w:t>
      </w:r>
      <w:r w:rsidRPr="009B680B">
        <w:rPr>
          <w:rFonts w:cs="Arial"/>
          <w:lang w:val="en-US"/>
        </w:rPr>
        <w:t xml:space="preserve"> </w:t>
      </w:r>
      <w:r w:rsidR="006B2940" w:rsidRPr="009B680B">
        <w:rPr>
          <w:rFonts w:cs="Arial"/>
          <w:lang w:val="en-US"/>
        </w:rPr>
        <w:t xml:space="preserve">and </w:t>
      </w:r>
      <w:r w:rsidR="006B2940" w:rsidRPr="009B680B">
        <w:rPr>
          <w:rFonts w:cs="Arial"/>
          <w:sz w:val="22"/>
          <w:szCs w:val="22"/>
          <w:lang w:val="en-US"/>
        </w:rPr>
        <w:sym w:font="Symbol" w:char="F044"/>
      </w:r>
      <w:r w:rsidR="006B2940" w:rsidRPr="009B680B">
        <w:rPr>
          <w:rFonts w:cs="Arial"/>
          <w:lang w:val="en-US"/>
        </w:rPr>
        <w:t xml:space="preserve">% values for </w:t>
      </w:r>
      <w:r w:rsidRPr="009B680B">
        <w:rPr>
          <w:rFonts w:cs="Arial"/>
          <w:lang w:val="en-US"/>
        </w:rPr>
        <w:t xml:space="preserve">selected </w:t>
      </w:r>
      <w:r w:rsidR="0075096E" w:rsidRPr="009B680B">
        <w:rPr>
          <w:rFonts w:cs="Arial"/>
          <w:lang w:val="en-US"/>
        </w:rPr>
        <w:t>GPM</w:t>
      </w:r>
      <w:r w:rsidR="000B7125" w:rsidRPr="009B680B">
        <w:rPr>
          <w:rFonts w:cs="Arial"/>
          <w:lang w:val="en-US"/>
        </w:rPr>
        <w:t xml:space="preserve"> samples</w:t>
      </w:r>
    </w:p>
    <w:tbl>
      <w:tblPr>
        <w:tblW w:w="8789" w:type="dxa"/>
        <w:jc w:val="righ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76"/>
        <w:gridCol w:w="1843"/>
        <w:gridCol w:w="1843"/>
        <w:gridCol w:w="1984"/>
        <w:gridCol w:w="1843"/>
      </w:tblGrid>
      <w:tr w:rsidR="009B680B" w:rsidRPr="002A0328" w14:paraId="2B1751C4" w14:textId="77777777" w:rsidTr="00535F85">
        <w:trPr>
          <w:jc w:val="right"/>
        </w:trPr>
        <w:tc>
          <w:tcPr>
            <w:tcW w:w="1276" w:type="dxa"/>
            <w:tcBorders>
              <w:top w:val="single" w:sz="12" w:space="0" w:color="008000"/>
              <w:bottom w:val="single" w:sz="6" w:space="0" w:color="008000"/>
            </w:tcBorders>
            <w:shd w:val="clear" w:color="auto" w:fill="FFFFFF"/>
            <w:vAlign w:val="center"/>
          </w:tcPr>
          <w:p w14:paraId="7D41096B" w14:textId="39376C80" w:rsidR="009B680B" w:rsidRPr="009B680B" w:rsidRDefault="009B680B" w:rsidP="00535F85">
            <w:pPr>
              <w:jc w:val="left"/>
              <w:rPr>
                <w:rFonts w:cs="Arial"/>
                <w:szCs w:val="18"/>
              </w:rPr>
            </w:pPr>
            <w:r w:rsidRPr="009B680B">
              <w:rPr>
                <w:rFonts w:cs="Arial"/>
                <w:szCs w:val="18"/>
              </w:rPr>
              <w:t>Samples</w:t>
            </w:r>
          </w:p>
        </w:tc>
        <w:tc>
          <w:tcPr>
            <w:tcW w:w="1843" w:type="dxa"/>
            <w:tcBorders>
              <w:top w:val="single" w:sz="12" w:space="0" w:color="008000"/>
              <w:bottom w:val="single" w:sz="6" w:space="0" w:color="008000"/>
            </w:tcBorders>
            <w:shd w:val="clear" w:color="auto" w:fill="FFFFFF"/>
            <w:vAlign w:val="center"/>
          </w:tcPr>
          <w:p w14:paraId="55E7B132" w14:textId="55891A35" w:rsidR="009B680B" w:rsidRPr="009B680B" w:rsidRDefault="009B680B" w:rsidP="00535F85">
            <w:pPr>
              <w:tabs>
                <w:tab w:val="left" w:pos="1275"/>
              </w:tabs>
              <w:jc w:val="left"/>
              <w:rPr>
                <w:rFonts w:cs="Arial"/>
                <w:szCs w:val="18"/>
                <w:lang w:val="en-US"/>
              </w:rPr>
            </w:pPr>
            <w:r w:rsidRPr="009B680B">
              <w:rPr>
                <w:rFonts w:cs="Arial"/>
                <w:szCs w:val="18"/>
                <w:lang w:val="en-US"/>
              </w:rPr>
              <w:t>CS [MPa]</w:t>
            </w:r>
          </w:p>
          <w:p w14:paraId="43133B0B" w14:textId="60B4A9D4" w:rsidR="009B680B" w:rsidRPr="009B680B" w:rsidRDefault="009B680B" w:rsidP="00535F85">
            <w:pPr>
              <w:jc w:val="left"/>
              <w:rPr>
                <w:rFonts w:cs="Arial"/>
                <w:sz w:val="16"/>
                <w:szCs w:val="16"/>
              </w:rPr>
            </w:pPr>
            <w:r w:rsidRPr="009B680B">
              <w:rPr>
                <w:rFonts w:cs="Arial"/>
                <w:sz w:val="16"/>
                <w:szCs w:val="16"/>
                <w:lang w:val="en-US"/>
              </w:rPr>
              <w:t>Ordinary cured</w:t>
            </w:r>
          </w:p>
        </w:tc>
        <w:tc>
          <w:tcPr>
            <w:tcW w:w="1843" w:type="dxa"/>
            <w:tcBorders>
              <w:top w:val="single" w:sz="12" w:space="0" w:color="008000"/>
              <w:bottom w:val="single" w:sz="6" w:space="0" w:color="008000"/>
            </w:tcBorders>
            <w:shd w:val="clear" w:color="auto" w:fill="FFFFFF"/>
            <w:vAlign w:val="center"/>
          </w:tcPr>
          <w:p w14:paraId="4A7FBA17" w14:textId="3DE4386B" w:rsidR="009B680B" w:rsidRPr="009B680B" w:rsidRDefault="009B680B" w:rsidP="00535F85">
            <w:pPr>
              <w:jc w:val="left"/>
              <w:rPr>
                <w:rFonts w:cs="Arial"/>
                <w:szCs w:val="18"/>
                <w:lang w:val="en-US"/>
              </w:rPr>
            </w:pPr>
            <w:r w:rsidRPr="009B680B">
              <w:rPr>
                <w:rFonts w:cs="Arial"/>
                <w:szCs w:val="18"/>
                <w:lang w:val="en-US"/>
              </w:rPr>
              <w:t>USv [m/s]</w:t>
            </w:r>
          </w:p>
          <w:p w14:paraId="53CCE17F" w14:textId="45C02FF5" w:rsidR="009B680B" w:rsidRPr="009B680B" w:rsidRDefault="009B680B" w:rsidP="00535F85">
            <w:pPr>
              <w:jc w:val="left"/>
              <w:rPr>
                <w:rFonts w:cs="Arial"/>
                <w:sz w:val="16"/>
                <w:szCs w:val="16"/>
              </w:rPr>
            </w:pPr>
            <w:r w:rsidRPr="009B680B">
              <w:rPr>
                <w:rFonts w:cs="Arial"/>
                <w:sz w:val="16"/>
                <w:szCs w:val="16"/>
                <w:lang w:val="en-US"/>
              </w:rPr>
              <w:t>Ordinary cured</w:t>
            </w:r>
          </w:p>
        </w:tc>
        <w:tc>
          <w:tcPr>
            <w:tcW w:w="1984" w:type="dxa"/>
            <w:tcBorders>
              <w:top w:val="single" w:sz="12" w:space="0" w:color="008000"/>
              <w:bottom w:val="single" w:sz="6" w:space="0" w:color="008000"/>
            </w:tcBorders>
            <w:shd w:val="clear" w:color="auto" w:fill="FFFFFF"/>
            <w:vAlign w:val="center"/>
          </w:tcPr>
          <w:p w14:paraId="292CFE26" w14:textId="7A660CEA" w:rsidR="009B680B" w:rsidRPr="009B680B" w:rsidRDefault="009B680B" w:rsidP="00535F85">
            <w:pPr>
              <w:jc w:val="left"/>
              <w:rPr>
                <w:rFonts w:cs="Arial"/>
                <w:szCs w:val="18"/>
                <w:lang w:val="en-US"/>
              </w:rPr>
            </w:pPr>
            <w:r w:rsidRPr="009B680B">
              <w:rPr>
                <w:rFonts w:cs="Arial"/>
                <w:sz w:val="22"/>
                <w:szCs w:val="22"/>
                <w:lang w:val="en-US"/>
              </w:rPr>
              <w:sym w:font="Symbol" w:char="F044"/>
            </w:r>
            <w:r w:rsidRPr="009B680B">
              <w:rPr>
                <w:rFonts w:cs="Arial"/>
                <w:szCs w:val="22"/>
                <w:lang w:val="en-US"/>
              </w:rPr>
              <w:t>CS</w:t>
            </w:r>
            <w:r w:rsidRPr="009B680B">
              <w:rPr>
                <w:rFonts w:cs="Arial"/>
                <w:szCs w:val="18"/>
                <w:lang w:val="en-US"/>
              </w:rPr>
              <w:t xml:space="preserve"> %</w:t>
            </w:r>
          </w:p>
          <w:p w14:paraId="75F3B06E" w14:textId="51EC5B6B" w:rsidR="009B680B" w:rsidRPr="009B680B" w:rsidRDefault="009B680B" w:rsidP="00535F85">
            <w:pPr>
              <w:ind w:right="-1"/>
              <w:jc w:val="left"/>
              <w:rPr>
                <w:rFonts w:cs="Arial"/>
                <w:sz w:val="16"/>
                <w:szCs w:val="16"/>
              </w:rPr>
            </w:pPr>
            <w:r w:rsidRPr="009B680B">
              <w:rPr>
                <w:rFonts w:cs="Arial"/>
                <w:sz w:val="16"/>
                <w:szCs w:val="16"/>
                <w:lang w:val="en-US"/>
              </w:rPr>
              <w:t>Water stressed</w:t>
            </w:r>
          </w:p>
        </w:tc>
        <w:tc>
          <w:tcPr>
            <w:tcW w:w="1843" w:type="dxa"/>
            <w:tcBorders>
              <w:top w:val="single" w:sz="12" w:space="0" w:color="008000"/>
              <w:bottom w:val="single" w:sz="6" w:space="0" w:color="008000"/>
            </w:tcBorders>
            <w:shd w:val="clear" w:color="auto" w:fill="FFFFFF"/>
            <w:vAlign w:val="center"/>
          </w:tcPr>
          <w:p w14:paraId="6D6F88A0" w14:textId="23B6E54D" w:rsidR="009B680B" w:rsidRPr="009B680B" w:rsidRDefault="009B680B" w:rsidP="00535F85">
            <w:pPr>
              <w:jc w:val="left"/>
              <w:rPr>
                <w:rFonts w:cs="Arial"/>
                <w:szCs w:val="18"/>
                <w:lang w:val="en-US"/>
              </w:rPr>
            </w:pPr>
            <w:r w:rsidRPr="009B680B">
              <w:rPr>
                <w:rFonts w:cs="Arial"/>
                <w:sz w:val="22"/>
                <w:szCs w:val="22"/>
                <w:lang w:val="en-US"/>
              </w:rPr>
              <w:sym w:font="Symbol" w:char="F044"/>
            </w:r>
            <w:r w:rsidRPr="009B680B">
              <w:rPr>
                <w:rFonts w:cs="Arial"/>
                <w:szCs w:val="18"/>
                <w:lang w:val="en-US"/>
              </w:rPr>
              <w:t>USv %</w:t>
            </w:r>
          </w:p>
          <w:p w14:paraId="20C4705D" w14:textId="78E2B786" w:rsidR="009B680B" w:rsidRPr="00DB20C6" w:rsidRDefault="009B680B" w:rsidP="00535F85">
            <w:pPr>
              <w:ind w:right="-1"/>
              <w:jc w:val="left"/>
              <w:rPr>
                <w:rFonts w:cs="Arial"/>
                <w:sz w:val="16"/>
                <w:szCs w:val="16"/>
              </w:rPr>
            </w:pPr>
            <w:r w:rsidRPr="009B680B">
              <w:rPr>
                <w:rFonts w:cs="Arial"/>
                <w:sz w:val="16"/>
                <w:szCs w:val="16"/>
                <w:lang w:val="en-US"/>
              </w:rPr>
              <w:t>Water stressed</w:t>
            </w:r>
          </w:p>
        </w:tc>
      </w:tr>
      <w:tr w:rsidR="009B680B" w:rsidRPr="002A0328" w14:paraId="161F7A76" w14:textId="77777777" w:rsidTr="00535F85">
        <w:trPr>
          <w:jc w:val="right"/>
        </w:trPr>
        <w:tc>
          <w:tcPr>
            <w:tcW w:w="1276" w:type="dxa"/>
            <w:shd w:val="clear" w:color="auto" w:fill="FFFFFF"/>
          </w:tcPr>
          <w:p w14:paraId="624D6D12" w14:textId="1B0513CC" w:rsidR="009B680B" w:rsidRPr="002A0328" w:rsidRDefault="009B680B" w:rsidP="00535F85">
            <w:pPr>
              <w:jc w:val="left"/>
              <w:rPr>
                <w:rFonts w:cs="Arial"/>
              </w:rPr>
            </w:pPr>
            <w:r w:rsidRPr="002A0328">
              <w:rPr>
                <w:rFonts w:cs="Arial"/>
              </w:rPr>
              <w:t>25</w:t>
            </w:r>
          </w:p>
        </w:tc>
        <w:tc>
          <w:tcPr>
            <w:tcW w:w="1843" w:type="dxa"/>
            <w:vAlign w:val="center"/>
          </w:tcPr>
          <w:p w14:paraId="4F5E3EEE" w14:textId="3291A627" w:rsidR="009B680B" w:rsidRPr="002A0328" w:rsidRDefault="009B680B" w:rsidP="00535F85">
            <w:pPr>
              <w:jc w:val="left"/>
              <w:rPr>
                <w:rFonts w:cs="Arial"/>
              </w:rPr>
            </w:pPr>
            <w:r w:rsidRPr="002A0328">
              <w:rPr>
                <w:rFonts w:cs="Arial"/>
                <w:szCs w:val="18"/>
                <w:lang w:val="en-US"/>
              </w:rPr>
              <w:t>14.5</w:t>
            </w:r>
          </w:p>
        </w:tc>
        <w:tc>
          <w:tcPr>
            <w:tcW w:w="1843" w:type="dxa"/>
            <w:vAlign w:val="center"/>
          </w:tcPr>
          <w:p w14:paraId="6DA0FFCF" w14:textId="1D0D5A88" w:rsidR="009B680B" w:rsidRPr="002A0328" w:rsidRDefault="009B680B" w:rsidP="00535F85">
            <w:pPr>
              <w:jc w:val="left"/>
              <w:rPr>
                <w:rFonts w:cs="Arial"/>
              </w:rPr>
            </w:pPr>
            <w:r w:rsidRPr="002A0328">
              <w:rPr>
                <w:rFonts w:cs="Arial"/>
                <w:szCs w:val="18"/>
                <w:lang w:val="en-US"/>
              </w:rPr>
              <w:t>2</w:t>
            </w:r>
            <w:r>
              <w:rPr>
                <w:rFonts w:cs="Arial"/>
                <w:szCs w:val="18"/>
                <w:lang w:val="en-US"/>
              </w:rPr>
              <w:t>,</w:t>
            </w:r>
            <w:r w:rsidRPr="002A0328">
              <w:rPr>
                <w:rFonts w:cs="Arial"/>
                <w:szCs w:val="18"/>
                <w:lang w:val="en-US"/>
              </w:rPr>
              <w:t>793.3</w:t>
            </w:r>
          </w:p>
        </w:tc>
        <w:tc>
          <w:tcPr>
            <w:tcW w:w="1984" w:type="dxa"/>
            <w:vAlign w:val="center"/>
          </w:tcPr>
          <w:p w14:paraId="54828FC0" w14:textId="2CA77882" w:rsidR="009B680B" w:rsidRPr="002A0328" w:rsidRDefault="009B680B" w:rsidP="00535F85">
            <w:pPr>
              <w:ind w:right="-1"/>
              <w:jc w:val="left"/>
              <w:rPr>
                <w:rFonts w:cs="Arial"/>
                <w:szCs w:val="18"/>
              </w:rPr>
            </w:pPr>
            <w:r>
              <w:rPr>
                <w:rFonts w:cs="Arial"/>
                <w:szCs w:val="18"/>
                <w:lang w:val="en-US"/>
              </w:rPr>
              <w:t>-1.38</w:t>
            </w:r>
          </w:p>
        </w:tc>
        <w:tc>
          <w:tcPr>
            <w:tcW w:w="1843" w:type="dxa"/>
          </w:tcPr>
          <w:p w14:paraId="2FD193CA" w14:textId="0C8A895C" w:rsidR="009B680B" w:rsidRPr="002A0328" w:rsidRDefault="009B680B" w:rsidP="00535F85">
            <w:pPr>
              <w:ind w:right="-1"/>
              <w:jc w:val="left"/>
              <w:rPr>
                <w:rFonts w:cs="Arial"/>
                <w:szCs w:val="18"/>
              </w:rPr>
            </w:pPr>
            <w:r>
              <w:rPr>
                <w:rFonts w:cs="Arial"/>
                <w:szCs w:val="18"/>
                <w:lang w:val="en-US"/>
              </w:rPr>
              <w:t>-2.61</w:t>
            </w:r>
          </w:p>
        </w:tc>
      </w:tr>
      <w:tr w:rsidR="009B680B" w:rsidRPr="002A0328" w14:paraId="37FE51B2" w14:textId="77777777" w:rsidTr="00535F85">
        <w:trPr>
          <w:jc w:val="right"/>
        </w:trPr>
        <w:tc>
          <w:tcPr>
            <w:tcW w:w="1276" w:type="dxa"/>
            <w:shd w:val="clear" w:color="auto" w:fill="FFFFFF"/>
          </w:tcPr>
          <w:p w14:paraId="6D755FF9" w14:textId="0A0DBD4E" w:rsidR="009B680B" w:rsidRPr="002A0328" w:rsidRDefault="009B680B" w:rsidP="00535F85">
            <w:pPr>
              <w:jc w:val="left"/>
              <w:rPr>
                <w:rFonts w:cs="Arial"/>
              </w:rPr>
            </w:pPr>
            <w:r w:rsidRPr="002A0328">
              <w:rPr>
                <w:rFonts w:cs="Arial"/>
              </w:rPr>
              <w:t>26</w:t>
            </w:r>
          </w:p>
        </w:tc>
        <w:tc>
          <w:tcPr>
            <w:tcW w:w="1843" w:type="dxa"/>
            <w:vAlign w:val="center"/>
          </w:tcPr>
          <w:p w14:paraId="4AEFCA4B" w14:textId="189FF512" w:rsidR="009B680B" w:rsidRPr="002A0328" w:rsidRDefault="009B680B" w:rsidP="00535F85">
            <w:pPr>
              <w:jc w:val="left"/>
              <w:rPr>
                <w:rFonts w:cs="Arial"/>
              </w:rPr>
            </w:pPr>
            <w:r w:rsidRPr="002A0328">
              <w:rPr>
                <w:rFonts w:cs="Arial"/>
                <w:szCs w:val="18"/>
                <w:lang w:val="en-US"/>
              </w:rPr>
              <w:t>21.6</w:t>
            </w:r>
          </w:p>
        </w:tc>
        <w:tc>
          <w:tcPr>
            <w:tcW w:w="1843" w:type="dxa"/>
            <w:vAlign w:val="center"/>
          </w:tcPr>
          <w:p w14:paraId="6C307C61" w14:textId="31E48915" w:rsidR="009B680B" w:rsidRPr="002A0328" w:rsidRDefault="009B680B" w:rsidP="00535F85">
            <w:pPr>
              <w:jc w:val="left"/>
              <w:rPr>
                <w:rFonts w:cs="Arial"/>
              </w:rPr>
            </w:pPr>
            <w:r w:rsidRPr="002A0328">
              <w:rPr>
                <w:rFonts w:cs="Arial"/>
                <w:szCs w:val="18"/>
                <w:lang w:val="en-US"/>
              </w:rPr>
              <w:t>2</w:t>
            </w:r>
            <w:r>
              <w:rPr>
                <w:rFonts w:cs="Arial"/>
                <w:szCs w:val="18"/>
                <w:lang w:val="en-US"/>
              </w:rPr>
              <w:t>,</w:t>
            </w:r>
            <w:r w:rsidRPr="002A0328">
              <w:rPr>
                <w:rFonts w:cs="Arial"/>
                <w:szCs w:val="18"/>
                <w:lang w:val="en-US"/>
              </w:rPr>
              <w:t>994</w:t>
            </w:r>
            <w:r>
              <w:rPr>
                <w:rFonts w:cs="Arial"/>
                <w:szCs w:val="18"/>
                <w:lang w:val="en-US"/>
              </w:rPr>
              <w:t>.0</w:t>
            </w:r>
          </w:p>
        </w:tc>
        <w:tc>
          <w:tcPr>
            <w:tcW w:w="1984" w:type="dxa"/>
          </w:tcPr>
          <w:p w14:paraId="1B208CFA" w14:textId="2FC6CB33" w:rsidR="009B680B" w:rsidRPr="002A0328" w:rsidRDefault="009B680B" w:rsidP="00535F85">
            <w:pPr>
              <w:ind w:right="-1"/>
              <w:jc w:val="left"/>
              <w:rPr>
                <w:rFonts w:cs="Arial"/>
                <w:szCs w:val="18"/>
              </w:rPr>
            </w:pPr>
            <w:r>
              <w:rPr>
                <w:rFonts w:cs="Arial"/>
                <w:szCs w:val="18"/>
                <w:lang w:val="en-US"/>
              </w:rPr>
              <w:t>-20.8</w:t>
            </w:r>
          </w:p>
        </w:tc>
        <w:tc>
          <w:tcPr>
            <w:tcW w:w="1843" w:type="dxa"/>
          </w:tcPr>
          <w:p w14:paraId="4ACD107C" w14:textId="39C44DA9" w:rsidR="009B680B" w:rsidRPr="002A0328" w:rsidRDefault="009B680B" w:rsidP="00535F85">
            <w:pPr>
              <w:ind w:right="-1"/>
              <w:jc w:val="left"/>
              <w:rPr>
                <w:rFonts w:cs="Arial"/>
                <w:szCs w:val="18"/>
              </w:rPr>
            </w:pPr>
            <w:r>
              <w:rPr>
                <w:rFonts w:cs="Arial"/>
                <w:szCs w:val="18"/>
                <w:lang w:val="en-US"/>
              </w:rPr>
              <w:t>-4.02</w:t>
            </w:r>
          </w:p>
        </w:tc>
      </w:tr>
      <w:tr w:rsidR="009B680B" w:rsidRPr="002A0328" w14:paraId="2E889548" w14:textId="77777777" w:rsidTr="00535F85">
        <w:trPr>
          <w:jc w:val="right"/>
        </w:trPr>
        <w:tc>
          <w:tcPr>
            <w:tcW w:w="1276" w:type="dxa"/>
            <w:shd w:val="clear" w:color="auto" w:fill="FFFFFF"/>
          </w:tcPr>
          <w:p w14:paraId="7BC39BC3" w14:textId="1DD89B91" w:rsidR="009B680B" w:rsidRPr="002A0328" w:rsidRDefault="009B680B" w:rsidP="00535F85">
            <w:pPr>
              <w:jc w:val="left"/>
              <w:rPr>
                <w:rFonts w:cs="Arial"/>
              </w:rPr>
            </w:pPr>
            <w:r w:rsidRPr="002A0328">
              <w:rPr>
                <w:rFonts w:cs="Arial"/>
              </w:rPr>
              <w:t>28</w:t>
            </w:r>
          </w:p>
        </w:tc>
        <w:tc>
          <w:tcPr>
            <w:tcW w:w="1843" w:type="dxa"/>
            <w:vAlign w:val="center"/>
          </w:tcPr>
          <w:p w14:paraId="1A3B7131" w14:textId="47C91BA2" w:rsidR="009B680B" w:rsidRPr="002A0328" w:rsidRDefault="009B680B" w:rsidP="00535F85">
            <w:pPr>
              <w:jc w:val="left"/>
              <w:rPr>
                <w:rFonts w:cs="Arial"/>
              </w:rPr>
            </w:pPr>
            <w:r w:rsidRPr="002A0328">
              <w:rPr>
                <w:rFonts w:cs="Arial"/>
                <w:szCs w:val="18"/>
                <w:lang w:val="en-US"/>
              </w:rPr>
              <w:t>21.</w:t>
            </w:r>
            <w:r>
              <w:rPr>
                <w:rFonts w:cs="Arial"/>
                <w:szCs w:val="18"/>
                <w:lang w:val="en-US"/>
              </w:rPr>
              <w:t>8</w:t>
            </w:r>
          </w:p>
        </w:tc>
        <w:tc>
          <w:tcPr>
            <w:tcW w:w="1843" w:type="dxa"/>
            <w:vAlign w:val="center"/>
          </w:tcPr>
          <w:p w14:paraId="75722742" w14:textId="6B37CE74" w:rsidR="009B680B" w:rsidRPr="002A0328" w:rsidRDefault="009B680B" w:rsidP="00535F85">
            <w:pPr>
              <w:jc w:val="left"/>
              <w:rPr>
                <w:rFonts w:cs="Arial"/>
              </w:rPr>
            </w:pPr>
            <w:r w:rsidRPr="002A0328">
              <w:rPr>
                <w:rFonts w:cs="Arial"/>
                <w:szCs w:val="18"/>
                <w:lang w:val="en-US"/>
              </w:rPr>
              <w:t>2</w:t>
            </w:r>
            <w:r>
              <w:rPr>
                <w:rFonts w:cs="Arial"/>
                <w:szCs w:val="18"/>
                <w:lang w:val="en-US"/>
              </w:rPr>
              <w:t>,</w:t>
            </w:r>
            <w:r w:rsidRPr="002A0328">
              <w:rPr>
                <w:rFonts w:cs="Arial"/>
                <w:szCs w:val="18"/>
                <w:lang w:val="en-US"/>
              </w:rPr>
              <w:t>979.2</w:t>
            </w:r>
          </w:p>
        </w:tc>
        <w:tc>
          <w:tcPr>
            <w:tcW w:w="1984" w:type="dxa"/>
          </w:tcPr>
          <w:p w14:paraId="3759139A" w14:textId="786E314D" w:rsidR="009B680B" w:rsidRPr="002A0328" w:rsidRDefault="009B680B" w:rsidP="00535F85">
            <w:pPr>
              <w:ind w:right="-1"/>
              <w:jc w:val="left"/>
              <w:rPr>
                <w:rFonts w:cs="Arial"/>
                <w:szCs w:val="18"/>
              </w:rPr>
            </w:pPr>
            <w:r>
              <w:rPr>
                <w:rFonts w:cs="Arial"/>
                <w:szCs w:val="18"/>
                <w:lang w:val="en-US"/>
              </w:rPr>
              <w:t>-22.1</w:t>
            </w:r>
          </w:p>
        </w:tc>
        <w:tc>
          <w:tcPr>
            <w:tcW w:w="1843" w:type="dxa"/>
          </w:tcPr>
          <w:p w14:paraId="6F51C1E6" w14:textId="3AE431EC" w:rsidR="009B680B" w:rsidRPr="002A0328" w:rsidRDefault="009B680B" w:rsidP="00535F85">
            <w:pPr>
              <w:ind w:right="-1"/>
              <w:jc w:val="left"/>
              <w:rPr>
                <w:rFonts w:cs="Arial"/>
                <w:szCs w:val="18"/>
              </w:rPr>
            </w:pPr>
            <w:r>
              <w:rPr>
                <w:rFonts w:cs="Arial"/>
                <w:szCs w:val="18"/>
                <w:lang w:val="en-US"/>
              </w:rPr>
              <w:t>-4.64</w:t>
            </w:r>
          </w:p>
        </w:tc>
      </w:tr>
      <w:tr w:rsidR="009B680B" w:rsidRPr="002A0328" w14:paraId="62D9AA05" w14:textId="77777777" w:rsidTr="00535F85">
        <w:trPr>
          <w:jc w:val="right"/>
        </w:trPr>
        <w:tc>
          <w:tcPr>
            <w:tcW w:w="1276" w:type="dxa"/>
            <w:shd w:val="clear" w:color="auto" w:fill="FFFFFF"/>
          </w:tcPr>
          <w:p w14:paraId="14D7EC2F" w14:textId="10F65804" w:rsidR="009B680B" w:rsidRPr="002A0328" w:rsidRDefault="009B680B" w:rsidP="00535F85">
            <w:pPr>
              <w:ind w:right="-1"/>
              <w:jc w:val="left"/>
              <w:rPr>
                <w:rFonts w:cs="Arial"/>
                <w:szCs w:val="18"/>
              </w:rPr>
            </w:pPr>
            <w:r w:rsidRPr="002A0328">
              <w:rPr>
                <w:rFonts w:cs="Arial"/>
                <w:szCs w:val="18"/>
              </w:rPr>
              <w:t>37</w:t>
            </w:r>
          </w:p>
        </w:tc>
        <w:tc>
          <w:tcPr>
            <w:tcW w:w="1843" w:type="dxa"/>
            <w:vAlign w:val="center"/>
          </w:tcPr>
          <w:p w14:paraId="3A8C8963" w14:textId="6E1A33F6" w:rsidR="009B680B" w:rsidRPr="002A0328" w:rsidRDefault="009B680B" w:rsidP="00535F85">
            <w:pPr>
              <w:ind w:right="-1"/>
              <w:jc w:val="left"/>
              <w:rPr>
                <w:rFonts w:cs="Arial"/>
                <w:szCs w:val="18"/>
              </w:rPr>
            </w:pPr>
            <w:r>
              <w:rPr>
                <w:rFonts w:cs="Arial"/>
                <w:szCs w:val="18"/>
                <w:lang w:val="en-US"/>
              </w:rPr>
              <w:t>13.4</w:t>
            </w:r>
          </w:p>
        </w:tc>
        <w:tc>
          <w:tcPr>
            <w:tcW w:w="1843" w:type="dxa"/>
            <w:vAlign w:val="center"/>
          </w:tcPr>
          <w:p w14:paraId="3C7F6B4A" w14:textId="0B45DD57" w:rsidR="009B680B" w:rsidRPr="002A0328" w:rsidRDefault="009B680B" w:rsidP="00535F85">
            <w:pPr>
              <w:ind w:right="-1"/>
              <w:jc w:val="left"/>
              <w:rPr>
                <w:rFonts w:cs="Arial"/>
                <w:szCs w:val="18"/>
              </w:rPr>
            </w:pPr>
            <w:r w:rsidRPr="002A0328">
              <w:rPr>
                <w:rFonts w:cs="Arial"/>
                <w:szCs w:val="18"/>
                <w:lang w:val="en-US"/>
              </w:rPr>
              <w:t>2</w:t>
            </w:r>
            <w:r>
              <w:rPr>
                <w:rFonts w:cs="Arial"/>
                <w:szCs w:val="18"/>
                <w:lang w:val="en-US"/>
              </w:rPr>
              <w:t>,</w:t>
            </w:r>
            <w:r w:rsidRPr="002A0328">
              <w:rPr>
                <w:rFonts w:cs="Arial"/>
                <w:szCs w:val="18"/>
                <w:lang w:val="en-US"/>
              </w:rPr>
              <w:t>890.2</w:t>
            </w:r>
          </w:p>
        </w:tc>
        <w:tc>
          <w:tcPr>
            <w:tcW w:w="1984" w:type="dxa"/>
          </w:tcPr>
          <w:p w14:paraId="7F43C4EE" w14:textId="366645A5" w:rsidR="009B680B" w:rsidRPr="002A0328" w:rsidRDefault="009B680B" w:rsidP="00535F85">
            <w:pPr>
              <w:ind w:right="-1"/>
              <w:jc w:val="left"/>
              <w:rPr>
                <w:rFonts w:cs="Arial"/>
                <w:szCs w:val="18"/>
              </w:rPr>
            </w:pPr>
            <w:r>
              <w:rPr>
                <w:rFonts w:cs="Arial"/>
                <w:szCs w:val="18"/>
                <w:lang w:val="en-US"/>
              </w:rPr>
              <w:t>-26.9</w:t>
            </w:r>
          </w:p>
        </w:tc>
        <w:tc>
          <w:tcPr>
            <w:tcW w:w="1843" w:type="dxa"/>
          </w:tcPr>
          <w:p w14:paraId="65E6D080" w14:textId="5F5C094B" w:rsidR="009B680B" w:rsidRPr="002A0328" w:rsidRDefault="009B680B" w:rsidP="00535F85">
            <w:pPr>
              <w:ind w:right="-1"/>
              <w:jc w:val="left"/>
              <w:rPr>
                <w:rFonts w:cs="Arial"/>
                <w:szCs w:val="18"/>
              </w:rPr>
            </w:pPr>
            <w:r>
              <w:rPr>
                <w:rFonts w:cs="Arial"/>
                <w:szCs w:val="18"/>
                <w:lang w:val="en-US"/>
              </w:rPr>
              <w:t>-9.90</w:t>
            </w:r>
          </w:p>
        </w:tc>
      </w:tr>
    </w:tbl>
    <w:p w14:paraId="157934BE" w14:textId="65E91631" w:rsidR="00E966B0" w:rsidRDefault="00E966B0" w:rsidP="00E966B0">
      <w:pPr>
        <w:pStyle w:val="CETBodytext"/>
      </w:pPr>
    </w:p>
    <w:p w14:paraId="7CC65D82" w14:textId="2CF53EFF" w:rsidR="00E966B0" w:rsidRDefault="00DB20C6" w:rsidP="00E966B0">
      <w:pPr>
        <w:pStyle w:val="CETBodytext"/>
      </w:pPr>
      <w:r w:rsidRPr="00DB20C6">
        <w:t xml:space="preserve">Geopolymeric mortars for printing were selected based on </w:t>
      </w:r>
      <w:r w:rsidR="004814E4">
        <w:t>physical-</w:t>
      </w:r>
      <w:r w:rsidRPr="00DB20C6">
        <w:t xml:space="preserve">mechanical performance of corresponding hardened products. Although automated deposition </w:t>
      </w:r>
      <w:r w:rsidR="00FB102E">
        <w:rPr>
          <w:lang w:val="en-GB"/>
        </w:rPr>
        <w:t xml:space="preserve">(Buswell et al., 2018) </w:t>
      </w:r>
      <w:r w:rsidRPr="00DB20C6">
        <w:t xml:space="preserve">is required to keep the extrusion process constant and achieve dimensionally stable </w:t>
      </w:r>
      <w:r w:rsidR="00E15468">
        <w:t>parts</w:t>
      </w:r>
      <w:r w:rsidRPr="00DB20C6">
        <w:t xml:space="preserve"> over time, the adopted method provided valid description of mortars </w:t>
      </w:r>
      <w:r w:rsidR="000B2957">
        <w:t xml:space="preserve">rheological </w:t>
      </w:r>
      <w:r w:rsidR="00E15468" w:rsidRPr="00DB20C6">
        <w:t>behaviors</w:t>
      </w:r>
      <w:r w:rsidRPr="004814E4">
        <w:t xml:space="preserve">. The best result </w:t>
      </w:r>
      <w:r w:rsidR="00A0010C">
        <w:t>was</w:t>
      </w:r>
      <w:r w:rsidRPr="004814E4">
        <w:t xml:space="preserve"> obtained </w:t>
      </w:r>
      <w:r w:rsidR="00930F60" w:rsidRPr="004814E4">
        <w:t xml:space="preserve">with </w:t>
      </w:r>
      <w:r w:rsidR="000B7125" w:rsidRPr="004814E4">
        <w:t>mix 28</w:t>
      </w:r>
      <w:r w:rsidR="001B658E" w:rsidRPr="004814E4">
        <w:t>, that</w:t>
      </w:r>
      <w:r w:rsidRPr="004814E4">
        <w:t xml:space="preserve"> showed sufficient flowability, developing a good hardening and self-supporting capacity within short time interval. </w:t>
      </w:r>
      <w:r w:rsidR="001B658E" w:rsidRPr="004814E4">
        <w:t>M</w:t>
      </w:r>
      <w:r w:rsidRPr="004814E4">
        <w:t xml:space="preserve">ortars 25 and 26 resulted in less homogeneous extrusion </w:t>
      </w:r>
      <w:r w:rsidR="001B658E" w:rsidRPr="004814E4">
        <w:t xml:space="preserve">and </w:t>
      </w:r>
      <w:r w:rsidR="00E15468" w:rsidRPr="004814E4">
        <w:t xml:space="preserve">high stiffness </w:t>
      </w:r>
      <w:r w:rsidR="001B658E" w:rsidRPr="004814E4">
        <w:t>due to</w:t>
      </w:r>
      <w:r w:rsidR="00E15468" w:rsidRPr="004814E4">
        <w:t xml:space="preserve"> </w:t>
      </w:r>
      <w:r w:rsidRPr="004814E4">
        <w:t>fast setting</w:t>
      </w:r>
      <w:r w:rsidR="001B658E" w:rsidRPr="004814E4">
        <w:t xml:space="preserve"> time (Figure 5), </w:t>
      </w:r>
      <w:r w:rsidR="002B76C6" w:rsidRPr="004814E4">
        <w:t>lead</w:t>
      </w:r>
      <w:r w:rsidR="001B658E" w:rsidRPr="004814E4">
        <w:t>ing</w:t>
      </w:r>
      <w:r w:rsidR="002B76C6" w:rsidRPr="004814E4">
        <w:t xml:space="preserve"> to the decay of the adhesion properties between layers</w:t>
      </w:r>
      <w:r w:rsidR="001B658E" w:rsidRPr="004814E4">
        <w:t xml:space="preserve"> and </w:t>
      </w:r>
      <w:r w:rsidR="002B76C6" w:rsidRPr="004814E4">
        <w:t>low mechanical properties</w:t>
      </w:r>
      <w:r w:rsidR="001B658E" w:rsidRPr="004814E4">
        <w:t xml:space="preserve"> (Panda et al.,</w:t>
      </w:r>
      <w:r w:rsidR="004814E4" w:rsidRPr="004814E4">
        <w:t xml:space="preserve"> </w:t>
      </w:r>
      <w:r w:rsidR="001B658E" w:rsidRPr="004814E4">
        <w:t>2017)</w:t>
      </w:r>
      <w:r w:rsidRPr="004814E4">
        <w:t>.</w:t>
      </w:r>
      <w:r w:rsidR="008F6250">
        <w:t xml:space="preserve"> </w:t>
      </w:r>
    </w:p>
    <w:p w14:paraId="50D09C02" w14:textId="6C8E5FEB" w:rsidR="00A15888" w:rsidRDefault="00A15888" w:rsidP="00E966B0">
      <w:pPr>
        <w:pStyle w:val="CETBodytext"/>
      </w:pPr>
    </w:p>
    <w:p w14:paraId="3B4F5DC8" w14:textId="65DDF653" w:rsidR="002A3B5D" w:rsidRDefault="00930F60" w:rsidP="00E966B0">
      <w:pPr>
        <w:pStyle w:val="CETBodytext"/>
      </w:pPr>
      <w:r>
        <w:rPr>
          <w:noProof/>
        </w:rPr>
        <w:drawing>
          <wp:inline distT="0" distB="0" distL="0" distR="0" wp14:anchorId="0516AA26" wp14:editId="416449E1">
            <wp:extent cx="5147097" cy="2427353"/>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0432" cy="2443073"/>
                    </a:xfrm>
                    <a:prstGeom prst="rect">
                      <a:avLst/>
                    </a:prstGeom>
                    <a:noFill/>
                  </pic:spPr>
                </pic:pic>
              </a:graphicData>
            </a:graphic>
          </wp:inline>
        </w:drawing>
      </w:r>
    </w:p>
    <w:p w14:paraId="73B1A905" w14:textId="4642E18E" w:rsidR="00E966B0" w:rsidRDefault="00E966B0" w:rsidP="00E966B0">
      <w:pPr>
        <w:pStyle w:val="CETBodytext"/>
        <w:rPr>
          <w:noProof/>
        </w:rPr>
      </w:pPr>
    </w:p>
    <w:p w14:paraId="6C744819" w14:textId="74564091" w:rsidR="00E966B0" w:rsidRPr="006B2940" w:rsidRDefault="00E966B0" w:rsidP="00E966B0">
      <w:pPr>
        <w:shd w:val="clear" w:color="auto" w:fill="FFFFFF"/>
        <w:spacing w:line="240" w:lineRule="auto"/>
        <w:rPr>
          <w:rFonts w:cs="Arial"/>
          <w:i/>
          <w:iCs/>
          <w:strike/>
          <w:szCs w:val="18"/>
        </w:rPr>
      </w:pPr>
      <w:r w:rsidRPr="0027595A">
        <w:rPr>
          <w:rFonts w:cs="Arial"/>
          <w:i/>
          <w:iCs/>
          <w:szCs w:val="18"/>
        </w:rPr>
        <w:t>Figure 5</w:t>
      </w:r>
      <w:r w:rsidR="002B7492">
        <w:rPr>
          <w:rFonts w:cs="Arial"/>
          <w:i/>
          <w:iCs/>
          <w:szCs w:val="18"/>
        </w:rPr>
        <w:t>:</w:t>
      </w:r>
      <w:r w:rsidR="001F3B63" w:rsidRPr="001F3B63">
        <w:rPr>
          <w:rFonts w:cs="Arial"/>
          <w:i/>
          <w:iCs/>
          <w:szCs w:val="18"/>
        </w:rPr>
        <w:t xml:space="preserve"> </w:t>
      </w:r>
      <w:r w:rsidR="001F3B63">
        <w:rPr>
          <w:rFonts w:cs="Arial"/>
          <w:i/>
          <w:iCs/>
          <w:szCs w:val="18"/>
        </w:rPr>
        <w:t>E</w:t>
      </w:r>
      <w:r w:rsidR="001F3B63" w:rsidRPr="009B680B">
        <w:rPr>
          <w:rFonts w:cs="Arial"/>
          <w:i/>
          <w:iCs/>
          <w:szCs w:val="18"/>
        </w:rPr>
        <w:t>xtrusion printing</w:t>
      </w:r>
      <w:r w:rsidR="001F3B63">
        <w:rPr>
          <w:rFonts w:cs="Arial"/>
          <w:i/>
          <w:iCs/>
          <w:szCs w:val="18"/>
        </w:rPr>
        <w:t xml:space="preserve">, (a) </w:t>
      </w:r>
      <w:r w:rsidRPr="009B680B">
        <w:rPr>
          <w:rFonts w:cs="Arial"/>
          <w:i/>
          <w:iCs/>
          <w:szCs w:val="18"/>
        </w:rPr>
        <w:t>set-up</w:t>
      </w:r>
      <w:r w:rsidR="006B2940" w:rsidRPr="009B680B">
        <w:rPr>
          <w:rFonts w:cs="Arial"/>
          <w:i/>
          <w:iCs/>
          <w:szCs w:val="18"/>
        </w:rPr>
        <w:t xml:space="preserve"> </w:t>
      </w:r>
      <w:r w:rsidR="00D06777">
        <w:rPr>
          <w:rFonts w:cs="Arial"/>
          <w:i/>
          <w:iCs/>
          <w:szCs w:val="18"/>
        </w:rPr>
        <w:t xml:space="preserve">used in this work, </w:t>
      </w:r>
      <w:r w:rsidR="001F3B63">
        <w:rPr>
          <w:rFonts w:cs="Arial"/>
          <w:i/>
          <w:iCs/>
          <w:szCs w:val="18"/>
        </w:rPr>
        <w:t>(b)</w:t>
      </w:r>
      <w:r w:rsidR="006B2940" w:rsidRPr="009B680B">
        <w:rPr>
          <w:rFonts w:cs="Arial"/>
          <w:i/>
          <w:iCs/>
          <w:szCs w:val="18"/>
        </w:rPr>
        <w:t xml:space="preserve"> visual aspect of </w:t>
      </w:r>
      <w:r w:rsidR="00930F60">
        <w:rPr>
          <w:rFonts w:cs="Arial"/>
          <w:i/>
          <w:iCs/>
          <w:szCs w:val="18"/>
        </w:rPr>
        <w:t>printed</w:t>
      </w:r>
      <w:r w:rsidR="006B2940" w:rsidRPr="009B680B">
        <w:rPr>
          <w:rFonts w:cs="Arial"/>
          <w:i/>
          <w:iCs/>
          <w:szCs w:val="18"/>
        </w:rPr>
        <w:t xml:space="preserve"> mortars</w:t>
      </w:r>
      <w:r w:rsidR="006B2940">
        <w:rPr>
          <w:rFonts w:cs="Arial"/>
          <w:i/>
          <w:iCs/>
          <w:szCs w:val="18"/>
        </w:rPr>
        <w:t xml:space="preserve"> </w:t>
      </w:r>
    </w:p>
    <w:p w14:paraId="6A50D3D2" w14:textId="33A747EF" w:rsidR="006E4469" w:rsidRDefault="006E4469">
      <w:pPr>
        <w:tabs>
          <w:tab w:val="clear" w:pos="7100"/>
        </w:tabs>
        <w:spacing w:after="200" w:line="276" w:lineRule="auto"/>
        <w:jc w:val="left"/>
        <w:rPr>
          <w:rFonts w:cs="Arial"/>
          <w:szCs w:val="18"/>
        </w:rPr>
      </w:pPr>
      <w:r>
        <w:rPr>
          <w:rFonts w:cs="Arial"/>
          <w:szCs w:val="18"/>
        </w:rPr>
        <w:br w:type="page"/>
      </w:r>
    </w:p>
    <w:p w14:paraId="2BB06FE4" w14:textId="76EC77DE" w:rsidR="00351E60" w:rsidRDefault="00351E60" w:rsidP="00A31B3E">
      <w:pPr>
        <w:pStyle w:val="CETHeading1"/>
        <w:numPr>
          <w:ilvl w:val="0"/>
          <w:numId w:val="0"/>
        </w:numPr>
        <w:rPr>
          <w:lang w:val="en-GB"/>
        </w:rPr>
      </w:pPr>
      <w:r w:rsidRPr="00B57B36">
        <w:rPr>
          <w:lang w:val="en-GB"/>
        </w:rPr>
        <w:lastRenderedPageBreak/>
        <w:t>Conclusions</w:t>
      </w:r>
    </w:p>
    <w:p w14:paraId="441BC016" w14:textId="608D52F9" w:rsidR="00DB20C6" w:rsidRPr="00DB20C6" w:rsidRDefault="00E3006B" w:rsidP="00DB20C6">
      <w:pPr>
        <w:pStyle w:val="CETBodytext"/>
        <w:rPr>
          <w:lang w:val="en-GB"/>
        </w:rPr>
      </w:pPr>
      <w:r w:rsidRPr="004844C0">
        <w:rPr>
          <w:lang w:val="en-GB"/>
        </w:rPr>
        <w:t>Qu</w:t>
      </w:r>
      <w:r w:rsidR="000F2397" w:rsidRPr="004844C0">
        <w:rPr>
          <w:lang w:val="en-GB"/>
        </w:rPr>
        <w:t>arr</w:t>
      </w:r>
      <w:r w:rsidRPr="004844C0">
        <w:rPr>
          <w:lang w:val="en-GB"/>
        </w:rPr>
        <w:t xml:space="preserve">ies industry </w:t>
      </w:r>
      <w:r w:rsidR="000F2397" w:rsidRPr="004844C0">
        <w:rPr>
          <w:lang w:val="en-GB"/>
        </w:rPr>
        <w:t>s</w:t>
      </w:r>
      <w:r w:rsidR="00DB20C6" w:rsidRPr="004844C0">
        <w:rPr>
          <w:lang w:val="en-GB"/>
        </w:rPr>
        <w:t>awing waste</w:t>
      </w:r>
      <w:r w:rsidRPr="004844C0">
        <w:rPr>
          <w:lang w:val="en-GB"/>
        </w:rPr>
        <w:t>s</w:t>
      </w:r>
      <w:r w:rsidR="00DB20C6" w:rsidRPr="004844C0">
        <w:rPr>
          <w:lang w:val="en-GB"/>
        </w:rPr>
        <w:t xml:space="preserve"> represent a</w:t>
      </w:r>
      <w:r w:rsidRPr="004844C0">
        <w:rPr>
          <w:lang w:val="en-GB"/>
        </w:rPr>
        <w:t>n</w:t>
      </w:r>
      <w:r w:rsidR="00DB20C6" w:rsidRPr="004844C0">
        <w:rPr>
          <w:lang w:val="en-GB"/>
        </w:rPr>
        <w:t xml:space="preserve"> environmental and human health</w:t>
      </w:r>
      <w:r w:rsidR="0075096E" w:rsidRPr="004844C0">
        <w:rPr>
          <w:lang w:val="en-GB"/>
        </w:rPr>
        <w:t xml:space="preserve"> hazard</w:t>
      </w:r>
      <w:r w:rsidR="00DB20C6" w:rsidRPr="004844C0">
        <w:rPr>
          <w:lang w:val="en-GB"/>
        </w:rPr>
        <w:t>, especially in highly</w:t>
      </w:r>
      <w:r w:rsidR="00DB20C6" w:rsidRPr="00DB20C6">
        <w:rPr>
          <w:lang w:val="en-GB"/>
        </w:rPr>
        <w:t xml:space="preserve"> exploited areas such as the Carrara marble basin. </w:t>
      </w:r>
      <w:r w:rsidR="000F2397">
        <w:rPr>
          <w:lang w:val="en-GB"/>
        </w:rPr>
        <w:t>The</w:t>
      </w:r>
      <w:r w:rsidR="00DB20C6" w:rsidRPr="00DB20C6">
        <w:rPr>
          <w:lang w:val="en-GB"/>
        </w:rPr>
        <w:t xml:space="preserve"> present work described preliminary investigation on the use </w:t>
      </w:r>
      <w:r w:rsidR="00DB20C6" w:rsidRPr="003A1857">
        <w:rPr>
          <w:lang w:val="en-GB"/>
        </w:rPr>
        <w:t xml:space="preserve">of </w:t>
      </w:r>
      <w:r w:rsidR="005E2E69" w:rsidRPr="003A1857">
        <w:rPr>
          <w:lang w:val="en-GB"/>
        </w:rPr>
        <w:t xml:space="preserve">marble sand </w:t>
      </w:r>
      <w:r w:rsidRPr="003A1857">
        <w:rPr>
          <w:lang w:val="en-GB"/>
        </w:rPr>
        <w:t>wastes in</w:t>
      </w:r>
      <w:r>
        <w:rPr>
          <w:lang w:val="en-GB"/>
        </w:rPr>
        <w:t xml:space="preserve"> </w:t>
      </w:r>
      <w:r w:rsidR="00DB20C6" w:rsidRPr="00DB20C6">
        <w:rPr>
          <w:lang w:val="en-GB"/>
        </w:rPr>
        <w:t xml:space="preserve">combination </w:t>
      </w:r>
      <w:r w:rsidR="000F2397">
        <w:rPr>
          <w:lang w:val="en-GB"/>
        </w:rPr>
        <w:t xml:space="preserve">with </w:t>
      </w:r>
      <w:r w:rsidR="00DB20C6" w:rsidRPr="00DB20C6">
        <w:rPr>
          <w:lang w:val="en-GB"/>
        </w:rPr>
        <w:t xml:space="preserve">metakaolin and calcic fly-ash for the development of sustainable geopolymeric mortars </w:t>
      </w:r>
      <w:r w:rsidR="00CC2E15">
        <w:rPr>
          <w:lang w:val="en-GB"/>
        </w:rPr>
        <w:t>to be employed in</w:t>
      </w:r>
      <w:r w:rsidR="00DB20C6" w:rsidRPr="00DB20C6">
        <w:rPr>
          <w:lang w:val="en-GB"/>
        </w:rPr>
        <w:t xml:space="preserve"> 3D extrusion printing.</w:t>
      </w:r>
    </w:p>
    <w:p w14:paraId="77A4EAB3" w14:textId="5C9D7AD7" w:rsidR="00DB20C6" w:rsidRPr="00DB20C6" w:rsidRDefault="00CC2E15" w:rsidP="00DB20C6">
      <w:pPr>
        <w:pStyle w:val="CETBodytext"/>
        <w:rPr>
          <w:lang w:val="en-GB"/>
        </w:rPr>
      </w:pPr>
      <w:r>
        <w:rPr>
          <w:lang w:val="en-GB"/>
        </w:rPr>
        <w:t>A</w:t>
      </w:r>
      <w:r w:rsidR="00DB20C6" w:rsidRPr="00DB20C6">
        <w:rPr>
          <w:lang w:val="en-GB"/>
        </w:rPr>
        <w:t xml:space="preserve"> </w:t>
      </w:r>
      <w:r w:rsidR="00DB20C6" w:rsidRPr="003A1857">
        <w:rPr>
          <w:lang w:val="en-GB"/>
        </w:rPr>
        <w:t>worst-case scenario was considered</w:t>
      </w:r>
      <w:r w:rsidRPr="003A1857">
        <w:rPr>
          <w:lang w:val="en-GB"/>
        </w:rPr>
        <w:t xml:space="preserve"> in choosing </w:t>
      </w:r>
      <w:r w:rsidR="006E16E4" w:rsidRPr="003A1857">
        <w:rPr>
          <w:lang w:val="en-GB"/>
        </w:rPr>
        <w:t xml:space="preserve">the </w:t>
      </w:r>
      <w:r w:rsidRPr="003A1857">
        <w:rPr>
          <w:lang w:val="en-GB"/>
        </w:rPr>
        <w:t>aggregate</w:t>
      </w:r>
      <w:r w:rsidR="001B269B" w:rsidRPr="003A1857">
        <w:rPr>
          <w:lang w:val="en-GB"/>
        </w:rPr>
        <w:t xml:space="preserve"> content</w:t>
      </w:r>
      <w:r w:rsidRPr="003A1857">
        <w:rPr>
          <w:lang w:val="en-GB"/>
        </w:rPr>
        <w:t xml:space="preserve"> which exceeds the standard ratio used in traditional mortars</w:t>
      </w:r>
      <w:r w:rsidR="00D015EA" w:rsidRPr="003A1857">
        <w:rPr>
          <w:lang w:val="en-GB"/>
        </w:rPr>
        <w:t xml:space="preserve">. </w:t>
      </w:r>
      <w:r w:rsidR="004844C0" w:rsidRPr="003A1857">
        <w:rPr>
          <w:lang w:val="en-GB"/>
        </w:rPr>
        <w:t>The</w:t>
      </w:r>
      <w:r w:rsidR="001B269B" w:rsidRPr="003A1857">
        <w:rPr>
          <w:lang w:val="en-GB"/>
        </w:rPr>
        <w:t xml:space="preserve"> quality </w:t>
      </w:r>
      <w:r w:rsidR="000F2397" w:rsidRPr="003A1857">
        <w:rPr>
          <w:lang w:val="en-GB"/>
        </w:rPr>
        <w:t xml:space="preserve">of aggregate </w:t>
      </w:r>
      <w:r w:rsidR="00DB20C6" w:rsidRPr="003A1857">
        <w:rPr>
          <w:lang w:val="en-GB"/>
        </w:rPr>
        <w:t>was</w:t>
      </w:r>
      <w:r w:rsidR="001B269B" w:rsidRPr="003A1857">
        <w:rPr>
          <w:lang w:val="en-GB"/>
        </w:rPr>
        <w:t xml:space="preserve"> critical due to intrinsic defects </w:t>
      </w:r>
      <w:r w:rsidR="00D015EA" w:rsidRPr="003A1857">
        <w:rPr>
          <w:lang w:val="en-GB"/>
        </w:rPr>
        <w:t xml:space="preserve">related to </w:t>
      </w:r>
      <w:r w:rsidR="000F2397" w:rsidRPr="003A1857">
        <w:rPr>
          <w:lang w:val="en-GB"/>
        </w:rPr>
        <w:t xml:space="preserve">the </w:t>
      </w:r>
      <w:r w:rsidR="001B269B" w:rsidRPr="003A1857">
        <w:rPr>
          <w:lang w:val="en-GB"/>
        </w:rPr>
        <w:t xml:space="preserve">granoblastic </w:t>
      </w:r>
      <w:r w:rsidR="005E2E69" w:rsidRPr="003A1857">
        <w:rPr>
          <w:lang w:val="en-GB"/>
        </w:rPr>
        <w:t xml:space="preserve">marble </w:t>
      </w:r>
      <w:r w:rsidR="001B269B" w:rsidRPr="003A1857">
        <w:rPr>
          <w:lang w:val="en-GB"/>
        </w:rPr>
        <w:t>texture</w:t>
      </w:r>
      <w:r w:rsidR="000F2397" w:rsidRPr="003A1857">
        <w:rPr>
          <w:lang w:val="en-GB"/>
        </w:rPr>
        <w:t>.</w:t>
      </w:r>
      <w:r w:rsidR="000F2397">
        <w:rPr>
          <w:lang w:val="en-GB"/>
        </w:rPr>
        <w:t xml:space="preserve"> </w:t>
      </w:r>
      <w:r w:rsidR="004844C0">
        <w:rPr>
          <w:lang w:val="en-GB"/>
        </w:rPr>
        <w:t>Also,</w:t>
      </w:r>
      <w:r w:rsidR="000F2397">
        <w:rPr>
          <w:lang w:val="en-GB"/>
        </w:rPr>
        <w:t xml:space="preserve"> c</w:t>
      </w:r>
      <w:r w:rsidR="00DB20C6" w:rsidRPr="00DB20C6">
        <w:rPr>
          <w:lang w:val="en-GB"/>
        </w:rPr>
        <w:t xml:space="preserve">alcic fly ashes with lower and hydraulically active </w:t>
      </w:r>
      <w:r w:rsidR="00674D4D" w:rsidRPr="00DB20C6">
        <w:rPr>
          <w:lang w:val="en-GB"/>
        </w:rPr>
        <w:t>SiO</w:t>
      </w:r>
      <w:r w:rsidR="00674D4D" w:rsidRPr="00456FEE">
        <w:rPr>
          <w:vertAlign w:val="subscript"/>
          <w:lang w:val="en-GB"/>
        </w:rPr>
        <w:t>2</w:t>
      </w:r>
      <w:r w:rsidR="00674D4D">
        <w:rPr>
          <w:vertAlign w:val="subscript"/>
          <w:lang w:val="en-GB"/>
        </w:rPr>
        <w:t xml:space="preserve"> </w:t>
      </w:r>
      <w:r w:rsidR="00674D4D" w:rsidRPr="00674D4D">
        <w:rPr>
          <w:lang w:val="en-GB"/>
        </w:rPr>
        <w:t>and</w:t>
      </w:r>
      <w:r w:rsidR="00674D4D">
        <w:rPr>
          <w:vertAlign w:val="subscript"/>
          <w:lang w:val="en-GB"/>
        </w:rPr>
        <w:t xml:space="preserve"> </w:t>
      </w:r>
      <w:r w:rsidR="00DB20C6" w:rsidRPr="00DB20C6">
        <w:rPr>
          <w:lang w:val="en-GB"/>
        </w:rPr>
        <w:t>Al</w:t>
      </w:r>
      <w:r w:rsidR="00DB20C6" w:rsidRPr="00456FEE">
        <w:rPr>
          <w:vertAlign w:val="subscript"/>
          <w:lang w:val="en-GB"/>
        </w:rPr>
        <w:t>2</w:t>
      </w:r>
      <w:r w:rsidR="00DB20C6" w:rsidRPr="00DB20C6">
        <w:rPr>
          <w:lang w:val="en-GB"/>
        </w:rPr>
        <w:t>O</w:t>
      </w:r>
      <w:r w:rsidR="00DB20C6" w:rsidRPr="00456FEE">
        <w:rPr>
          <w:vertAlign w:val="subscript"/>
          <w:lang w:val="en-GB"/>
        </w:rPr>
        <w:t>3</w:t>
      </w:r>
      <w:r w:rsidR="00DB20C6" w:rsidRPr="00DB20C6">
        <w:rPr>
          <w:lang w:val="en-GB"/>
        </w:rPr>
        <w:t xml:space="preserve"> </w:t>
      </w:r>
      <w:r w:rsidR="004844C0">
        <w:rPr>
          <w:lang w:val="en-GB"/>
        </w:rPr>
        <w:t>amounts</w:t>
      </w:r>
      <w:r w:rsidR="00D015EA">
        <w:rPr>
          <w:lang w:val="en-GB"/>
        </w:rPr>
        <w:t>,</w:t>
      </w:r>
      <w:r w:rsidR="00DB20C6" w:rsidRPr="00DB20C6">
        <w:rPr>
          <w:lang w:val="en-GB"/>
        </w:rPr>
        <w:t xml:space="preserve"> than those more commonly used in OPC-based concrete, were used.</w:t>
      </w:r>
    </w:p>
    <w:p w14:paraId="40E65DD0" w14:textId="1574760C" w:rsidR="00DB20C6" w:rsidRPr="00DB20C6" w:rsidRDefault="00DB20C6" w:rsidP="00DB20C6">
      <w:pPr>
        <w:pStyle w:val="CETBodytext"/>
        <w:rPr>
          <w:lang w:val="en-GB"/>
        </w:rPr>
      </w:pPr>
      <w:r w:rsidRPr="00DB20C6">
        <w:rPr>
          <w:lang w:val="en-GB"/>
        </w:rPr>
        <w:t xml:space="preserve">Mixtures workability was found to be affected by </w:t>
      </w:r>
      <w:r w:rsidR="00674D4D">
        <w:rPr>
          <w:lang w:val="en-GB"/>
        </w:rPr>
        <w:t xml:space="preserve">their </w:t>
      </w:r>
      <w:r w:rsidRPr="00DB20C6">
        <w:rPr>
          <w:lang w:val="en-GB"/>
        </w:rPr>
        <w:t xml:space="preserve">composition. </w:t>
      </w:r>
      <w:r w:rsidR="00B24E09">
        <w:rPr>
          <w:lang w:val="en-GB"/>
        </w:rPr>
        <w:t>The</w:t>
      </w:r>
      <w:r w:rsidRPr="00DB20C6">
        <w:rPr>
          <w:lang w:val="en-GB"/>
        </w:rPr>
        <w:t xml:space="preserve"> partial replacement of the MTK with variable percentag</w:t>
      </w:r>
      <w:r w:rsidR="00733489">
        <w:rPr>
          <w:lang w:val="en-GB"/>
        </w:rPr>
        <w:t>es of W-HFA (max 20% by weight)</w:t>
      </w:r>
      <w:r w:rsidRPr="00DB20C6">
        <w:rPr>
          <w:lang w:val="en-GB"/>
        </w:rPr>
        <w:t xml:space="preserve"> has not significantly altered the L</w:t>
      </w:r>
      <w:r w:rsidR="004844C0">
        <w:rPr>
          <w:lang w:val="en-GB"/>
        </w:rPr>
        <w:t>iquid</w:t>
      </w:r>
      <w:r w:rsidRPr="00DB20C6">
        <w:rPr>
          <w:lang w:val="en-GB"/>
        </w:rPr>
        <w:t>/S</w:t>
      </w:r>
      <w:r w:rsidR="004844C0">
        <w:rPr>
          <w:lang w:val="en-GB"/>
        </w:rPr>
        <w:t>olid</w:t>
      </w:r>
      <w:r w:rsidRPr="00DB20C6">
        <w:rPr>
          <w:lang w:val="en-GB"/>
        </w:rPr>
        <w:t xml:space="preserve"> ratio and workability</w:t>
      </w:r>
      <w:r w:rsidR="00B24E09" w:rsidRPr="00B24E09">
        <w:rPr>
          <w:lang w:val="en-GB"/>
        </w:rPr>
        <w:t xml:space="preserve"> </w:t>
      </w:r>
      <w:r w:rsidR="00B24E09">
        <w:rPr>
          <w:lang w:val="en-GB"/>
        </w:rPr>
        <w:t>leading to a</w:t>
      </w:r>
      <w:r w:rsidR="00B24E09" w:rsidRPr="00DB20C6">
        <w:rPr>
          <w:lang w:val="en-GB"/>
        </w:rPr>
        <w:t xml:space="preserve"> smooth and flowable </w:t>
      </w:r>
      <w:r w:rsidR="00B24E09">
        <w:rPr>
          <w:lang w:val="en-GB"/>
        </w:rPr>
        <w:t>systems.</w:t>
      </w:r>
      <w:r w:rsidR="00456FEE">
        <w:rPr>
          <w:lang w:val="en-GB"/>
        </w:rPr>
        <w:t xml:space="preserve"> </w:t>
      </w:r>
      <w:r w:rsidR="005A1A0E">
        <w:rPr>
          <w:lang w:val="en-GB"/>
        </w:rPr>
        <w:t>GPM</w:t>
      </w:r>
      <w:r w:rsidR="00D015EA">
        <w:rPr>
          <w:lang w:val="en-GB"/>
        </w:rPr>
        <w:t xml:space="preserve"> mortars </w:t>
      </w:r>
      <w:r w:rsidR="00456FEE">
        <w:rPr>
          <w:lang w:val="en-GB"/>
        </w:rPr>
        <w:t>were</w:t>
      </w:r>
      <w:r w:rsidRPr="00DB20C6">
        <w:rPr>
          <w:lang w:val="en-GB"/>
        </w:rPr>
        <w:t xml:space="preserve"> mechanically tested before and after a water sensitization, to evaluate </w:t>
      </w:r>
      <w:r w:rsidR="005A1A0E">
        <w:rPr>
          <w:lang w:val="en-GB"/>
        </w:rPr>
        <w:t xml:space="preserve">their </w:t>
      </w:r>
      <w:r w:rsidRPr="00DB20C6">
        <w:rPr>
          <w:lang w:val="en-GB"/>
        </w:rPr>
        <w:t xml:space="preserve">stability. </w:t>
      </w:r>
      <w:r w:rsidRPr="003A1857">
        <w:rPr>
          <w:lang w:val="en-GB"/>
        </w:rPr>
        <w:t>A loss in compressive strength was observed for systems affected by salt crystallization.</w:t>
      </w:r>
      <w:r w:rsidR="00B24E09">
        <w:rPr>
          <w:lang w:val="en-GB"/>
        </w:rPr>
        <w:t xml:space="preserve"> </w:t>
      </w:r>
    </w:p>
    <w:p w14:paraId="60A9BD77" w14:textId="4AFFE87E" w:rsidR="00DB20C6" w:rsidRPr="00DB20C6" w:rsidRDefault="00DB20C6" w:rsidP="00DB20C6">
      <w:pPr>
        <w:pStyle w:val="CETBodytext"/>
        <w:rPr>
          <w:lang w:val="en-GB"/>
        </w:rPr>
      </w:pPr>
      <w:r w:rsidRPr="00DB20C6">
        <w:rPr>
          <w:lang w:val="en-GB"/>
        </w:rPr>
        <w:t xml:space="preserve">Although examples of better-performing mixtures are found in the literature, </w:t>
      </w:r>
      <w:r w:rsidR="005A1A0E">
        <w:rPr>
          <w:lang w:val="en-GB"/>
        </w:rPr>
        <w:t xml:space="preserve">this work was targeted to </w:t>
      </w:r>
      <w:r w:rsidR="00F0410F">
        <w:rPr>
          <w:lang w:val="en-GB"/>
        </w:rPr>
        <w:t>design</w:t>
      </w:r>
      <w:r w:rsidRPr="00DB20C6">
        <w:rPr>
          <w:lang w:val="en-GB"/>
        </w:rPr>
        <w:t xml:space="preserve"> </w:t>
      </w:r>
      <w:r w:rsidR="00F0410F">
        <w:rPr>
          <w:lang w:val="en-GB"/>
        </w:rPr>
        <w:t>mixtures</w:t>
      </w:r>
      <w:r w:rsidRPr="00DB20C6">
        <w:rPr>
          <w:lang w:val="en-GB"/>
        </w:rPr>
        <w:t xml:space="preserve"> for sustainable use of marble waste in </w:t>
      </w:r>
      <w:r w:rsidR="005A1A0E">
        <w:rPr>
          <w:lang w:val="en-GB"/>
        </w:rPr>
        <w:t xml:space="preserve">the </w:t>
      </w:r>
      <w:r w:rsidRPr="00DB20C6">
        <w:rPr>
          <w:lang w:val="en-GB"/>
        </w:rPr>
        <w:t>3D extrusion printing technology.</w:t>
      </w:r>
    </w:p>
    <w:p w14:paraId="6AD67451" w14:textId="076C1D1E" w:rsidR="00DB20C6" w:rsidRPr="00DB20C6" w:rsidRDefault="00DB20C6" w:rsidP="00DB20C6">
      <w:pPr>
        <w:pStyle w:val="CETBodytext"/>
        <w:rPr>
          <w:lang w:val="en-GB"/>
        </w:rPr>
      </w:pPr>
      <w:r w:rsidRPr="00DB20C6">
        <w:rPr>
          <w:lang w:val="en-GB"/>
        </w:rPr>
        <w:t xml:space="preserve">The main critical issues associated with this specific application were identified. It is essential </w:t>
      </w:r>
      <w:r w:rsidR="00F0410F">
        <w:rPr>
          <w:lang w:val="en-GB"/>
        </w:rPr>
        <w:t>that</w:t>
      </w:r>
      <w:r w:rsidR="00A7039A">
        <w:rPr>
          <w:lang w:val="en-GB"/>
        </w:rPr>
        <w:t xml:space="preserve"> GPM </w:t>
      </w:r>
      <w:r w:rsidRPr="00DB20C6">
        <w:rPr>
          <w:lang w:val="en-GB"/>
        </w:rPr>
        <w:t xml:space="preserve">were able to properly </w:t>
      </w:r>
      <w:r w:rsidR="00F0410F" w:rsidRPr="00DB20C6">
        <w:rPr>
          <w:lang w:val="en-GB"/>
        </w:rPr>
        <w:t xml:space="preserve">flow </w:t>
      </w:r>
      <w:r w:rsidRPr="00DB20C6">
        <w:rPr>
          <w:lang w:val="en-GB"/>
        </w:rPr>
        <w:t xml:space="preserve">during the </w:t>
      </w:r>
      <w:r w:rsidR="00B24E09">
        <w:rPr>
          <w:lang w:val="en-GB"/>
        </w:rPr>
        <w:t xml:space="preserve">layer </w:t>
      </w:r>
      <w:r w:rsidRPr="00DB20C6">
        <w:rPr>
          <w:lang w:val="en-GB"/>
        </w:rPr>
        <w:t xml:space="preserve">deposition </w:t>
      </w:r>
      <w:r w:rsidR="00B24E09">
        <w:rPr>
          <w:lang w:val="en-GB"/>
        </w:rPr>
        <w:t>steps</w:t>
      </w:r>
      <w:r w:rsidRPr="00DB20C6">
        <w:rPr>
          <w:lang w:val="en-GB"/>
        </w:rPr>
        <w:t xml:space="preserve">. Once extrusion is completed, </w:t>
      </w:r>
      <w:r w:rsidR="001B269B" w:rsidRPr="00B24E09">
        <w:rPr>
          <w:lang w:val="en-GB"/>
        </w:rPr>
        <w:t>mortar</w:t>
      </w:r>
      <w:r w:rsidR="00B24E09" w:rsidRPr="00B24E09">
        <w:rPr>
          <w:lang w:val="en-GB"/>
        </w:rPr>
        <w:t>s</w:t>
      </w:r>
      <w:r w:rsidRPr="00DB20C6">
        <w:rPr>
          <w:lang w:val="en-GB"/>
        </w:rPr>
        <w:t xml:space="preserve"> should develop fast setting and rapid reaction development, for the achievement of suitable </w:t>
      </w:r>
      <w:r w:rsidR="00F0410F">
        <w:rPr>
          <w:lang w:val="en-GB"/>
        </w:rPr>
        <w:t>load bearing capacity</w:t>
      </w:r>
      <w:r w:rsidRPr="00DB20C6">
        <w:rPr>
          <w:lang w:val="en-GB"/>
        </w:rPr>
        <w:t xml:space="preserve"> </w:t>
      </w:r>
      <w:r w:rsidR="00F0410F">
        <w:rPr>
          <w:lang w:val="en-GB"/>
        </w:rPr>
        <w:t>when</w:t>
      </w:r>
      <w:r w:rsidRPr="00DB20C6">
        <w:rPr>
          <w:lang w:val="en-GB"/>
        </w:rPr>
        <w:t xml:space="preserve"> successive layer is added.</w:t>
      </w:r>
    </w:p>
    <w:p w14:paraId="40392B75" w14:textId="1E9CC985" w:rsidR="00DB20C6" w:rsidRPr="00DB20C6" w:rsidRDefault="00DB20C6" w:rsidP="00DB20C6">
      <w:pPr>
        <w:pStyle w:val="CETBodytext"/>
        <w:rPr>
          <w:lang w:val="en-GB"/>
        </w:rPr>
      </w:pPr>
      <w:r w:rsidRPr="00DB20C6">
        <w:rPr>
          <w:lang w:val="en-GB"/>
        </w:rPr>
        <w:t xml:space="preserve">Although still preliminary, results obtained in this work are promising for future applications of geopolymers. The building </w:t>
      </w:r>
      <w:r w:rsidR="00F0410F">
        <w:rPr>
          <w:lang w:val="en-GB"/>
        </w:rPr>
        <w:t>construction</w:t>
      </w:r>
      <w:r w:rsidRPr="00DB20C6">
        <w:rPr>
          <w:lang w:val="en-GB"/>
        </w:rPr>
        <w:t>, with incorporation up to 80% of carbonate scraps</w:t>
      </w:r>
      <w:r w:rsidR="00F0410F">
        <w:rPr>
          <w:lang w:val="en-GB"/>
        </w:rPr>
        <w:t xml:space="preserve"> in mortars</w:t>
      </w:r>
      <w:r w:rsidRPr="00DB20C6">
        <w:rPr>
          <w:lang w:val="en-GB"/>
        </w:rPr>
        <w:t>, could concern the modular creation of artificial stone archit</w:t>
      </w:r>
      <w:r w:rsidR="00A7039A">
        <w:rPr>
          <w:lang w:val="en-GB"/>
        </w:rPr>
        <w:t>ectural elements, coatings,</w:t>
      </w:r>
      <w:r w:rsidRPr="00DB20C6">
        <w:rPr>
          <w:lang w:val="en-GB"/>
        </w:rPr>
        <w:t xml:space="preserve"> interiors </w:t>
      </w:r>
      <w:r w:rsidR="00A7039A" w:rsidRPr="00DB20C6">
        <w:rPr>
          <w:lang w:val="en-GB"/>
        </w:rPr>
        <w:t xml:space="preserve">design </w:t>
      </w:r>
      <w:r w:rsidRPr="00DB20C6">
        <w:rPr>
          <w:lang w:val="en-GB"/>
        </w:rPr>
        <w:t>and urban furniture.</w:t>
      </w:r>
    </w:p>
    <w:p w14:paraId="64E9652B" w14:textId="51378D5E" w:rsidR="00DB20C6" w:rsidRDefault="00DB20C6" w:rsidP="00DB20C6">
      <w:pPr>
        <w:pStyle w:val="CETBodytext"/>
        <w:rPr>
          <w:lang w:val="en-GB"/>
        </w:rPr>
      </w:pPr>
      <w:r w:rsidRPr="00DB20C6">
        <w:rPr>
          <w:lang w:val="en-GB"/>
        </w:rPr>
        <w:t xml:space="preserve">Further investigations will have certainly to be focused on understanding reaction mechanism, kinetics, and the specific role of </w:t>
      </w:r>
      <w:r w:rsidR="001B269B">
        <w:rPr>
          <w:lang w:val="en-GB"/>
        </w:rPr>
        <w:t>chemical</w:t>
      </w:r>
      <w:r w:rsidR="00F0410F">
        <w:rPr>
          <w:lang w:val="en-GB"/>
        </w:rPr>
        <w:t>s</w:t>
      </w:r>
      <w:r w:rsidRPr="00DB20C6">
        <w:rPr>
          <w:lang w:val="en-GB"/>
        </w:rPr>
        <w:t xml:space="preserve">. Other important features to be addressed will be durability and resistance to atmospheric and chemical agents, minimum shrinkage, and resistance to wear or other stress actions induced by </w:t>
      </w:r>
      <w:r w:rsidR="001B269B">
        <w:rPr>
          <w:lang w:val="en-GB"/>
        </w:rPr>
        <w:t xml:space="preserve">machinery </w:t>
      </w:r>
      <w:r w:rsidR="006B3AC6">
        <w:rPr>
          <w:lang w:val="en-GB"/>
        </w:rPr>
        <w:t>(</w:t>
      </w:r>
      <w:r w:rsidR="004844C0">
        <w:rPr>
          <w:lang w:val="en-GB"/>
        </w:rPr>
        <w:t>i.e.,</w:t>
      </w:r>
      <w:r w:rsidR="001B269B">
        <w:rPr>
          <w:lang w:val="en-GB"/>
        </w:rPr>
        <w:t xml:space="preserve"> </w:t>
      </w:r>
      <w:r w:rsidRPr="00DB20C6">
        <w:rPr>
          <w:lang w:val="en-GB"/>
        </w:rPr>
        <w:t>milling, impact, cut</w:t>
      </w:r>
      <w:r w:rsidR="006B3AC6">
        <w:rPr>
          <w:lang w:val="en-GB"/>
        </w:rPr>
        <w:t xml:space="preserve">ting or drilling) </w:t>
      </w:r>
      <w:r w:rsidRPr="00DB20C6">
        <w:rPr>
          <w:lang w:val="en-GB"/>
        </w:rPr>
        <w:t>during customizing step.</w:t>
      </w:r>
    </w:p>
    <w:p w14:paraId="4F1327F8" w14:textId="77777777" w:rsidR="00600535" w:rsidRPr="00B57B36" w:rsidRDefault="00600535" w:rsidP="00600535">
      <w:pPr>
        <w:pStyle w:val="CETReference"/>
      </w:pPr>
      <w:r w:rsidRPr="00B57B36">
        <w:t>References</w:t>
      </w:r>
    </w:p>
    <w:p w14:paraId="07C05B32" w14:textId="77777777" w:rsidR="00183FE0" w:rsidRPr="00D71EE2" w:rsidRDefault="00183FE0" w:rsidP="00112647">
      <w:pPr>
        <w:pStyle w:val="CETReferencetext"/>
      </w:pPr>
      <w:r w:rsidRPr="00D71EE2">
        <w:t>Azarsa P., Gupta R., 2020, Comparative Study Involving Effect of Curing Regime on Elastic Modulus of Geopolymer Concrete, Buildings, 10, 101.</w:t>
      </w:r>
    </w:p>
    <w:p w14:paraId="79774C66" w14:textId="77777777" w:rsidR="00183FE0" w:rsidRPr="00D71EE2" w:rsidRDefault="00183FE0" w:rsidP="00112647">
      <w:pPr>
        <w:pStyle w:val="CETReferencetext"/>
      </w:pPr>
      <w:r w:rsidRPr="00D71EE2">
        <w:t>Buswell R.A., Leal de Silva W.R., Jones S.Z., Dirrenberger J., 2018, 3D printing using concrete extrusion: A roadmap for research, Cement and Concrete Research, 112, 37</w:t>
      </w:r>
      <w:bookmarkStart w:id="2" w:name="_Hlk126601702"/>
      <w:r w:rsidRPr="00D71EE2">
        <w:t>-</w:t>
      </w:r>
      <w:bookmarkEnd w:id="2"/>
      <w:r w:rsidRPr="00D71EE2">
        <w:t>49.</w:t>
      </w:r>
    </w:p>
    <w:p w14:paraId="70BAF0F1" w14:textId="77777777" w:rsidR="00183FE0" w:rsidRPr="00D71EE2" w:rsidRDefault="00183FE0" w:rsidP="008C176B">
      <w:pPr>
        <w:pStyle w:val="CETReferencetext"/>
      </w:pPr>
      <w:r w:rsidRPr="00D71EE2">
        <w:t>Cara S., Carcangiu G., Massidda L., Meloni P., Sanna U., Tamanini M., 2006, Assessment of pozzolanic potential in lime–water systems of raw and calcined kaolinic clays from the Donnigazza Mine (Sardinia–Italy), Applied Clay Science, 33, 66-72.</w:t>
      </w:r>
    </w:p>
    <w:p w14:paraId="4EBA528C" w14:textId="01EB1FB3" w:rsidR="00183FE0" w:rsidRPr="00D71EE2" w:rsidRDefault="00183FE0" w:rsidP="00112647">
      <w:pPr>
        <w:pStyle w:val="CETReferencetext"/>
      </w:pPr>
      <w:r w:rsidRPr="00D71EE2">
        <w:t>Cong P., Cheng Y., 2021, Advances in geopolymer materials: A comprehensive review, J</w:t>
      </w:r>
      <w:r w:rsidR="00C3134A">
        <w:t xml:space="preserve">ournal of </w:t>
      </w:r>
      <w:r w:rsidRPr="00D71EE2">
        <w:t>Traffic Transp</w:t>
      </w:r>
      <w:r w:rsidR="00C3134A">
        <w:t>ortation</w:t>
      </w:r>
      <w:r w:rsidRPr="00D71EE2">
        <w:t xml:space="preserve"> Eng</w:t>
      </w:r>
      <w:r w:rsidR="00C3134A">
        <w:t>ineering</w:t>
      </w:r>
      <w:r w:rsidRPr="00D71EE2">
        <w:t xml:space="preserve"> (Engl. Ed.)</w:t>
      </w:r>
      <w:r w:rsidR="00C3134A">
        <w:t>,</w:t>
      </w:r>
      <w:r w:rsidRPr="00D71EE2">
        <w:t xml:space="preserve"> 8(3) 283-314.</w:t>
      </w:r>
    </w:p>
    <w:p w14:paraId="5CFDAE95" w14:textId="6666A9B4" w:rsidR="00183FE0" w:rsidRPr="00D71EE2" w:rsidRDefault="00183FE0" w:rsidP="00112647">
      <w:pPr>
        <w:pStyle w:val="CETReferencetext"/>
      </w:pPr>
      <w:r w:rsidRPr="00D71EE2">
        <w:t>Davidovits J., 2017, Geopolymers: Ceramic-Like Inorganic Polymers</w:t>
      </w:r>
      <w:r w:rsidRPr="00D71EE2">
        <w:rPr>
          <w:i/>
          <w:iCs/>
        </w:rPr>
        <w:t xml:space="preserve">, </w:t>
      </w:r>
      <w:r w:rsidRPr="00D71EE2">
        <w:t>J</w:t>
      </w:r>
      <w:r w:rsidR="00C3134A">
        <w:t>ournal of</w:t>
      </w:r>
      <w:r w:rsidRPr="00D71EE2">
        <w:t xml:space="preserve"> Ceram</w:t>
      </w:r>
      <w:r w:rsidR="00C3134A">
        <w:t xml:space="preserve">ic </w:t>
      </w:r>
      <w:r w:rsidRPr="00D71EE2">
        <w:t>Sc</w:t>
      </w:r>
      <w:r w:rsidR="00C3134A">
        <w:t>ience</w:t>
      </w:r>
      <w:r w:rsidRPr="00D71EE2">
        <w:t xml:space="preserve"> </w:t>
      </w:r>
      <w:r w:rsidR="00C3134A">
        <w:t xml:space="preserve">and </w:t>
      </w:r>
      <w:r w:rsidRPr="00D71EE2">
        <w:t>Technol</w:t>
      </w:r>
      <w:r w:rsidR="00C3134A">
        <w:t>ogy</w:t>
      </w:r>
      <w:r w:rsidRPr="00D71EE2">
        <w:t>, 8(3) 335-350.</w:t>
      </w:r>
    </w:p>
    <w:p w14:paraId="0B1F6F49" w14:textId="41044D1A" w:rsidR="00183FE0" w:rsidRPr="00D71EE2" w:rsidRDefault="00183FE0" w:rsidP="00B250BE">
      <w:pPr>
        <w:pStyle w:val="CETReferencetext"/>
      </w:pPr>
      <w:r w:rsidRPr="00D71EE2">
        <w:t xml:space="preserve">Geraldes C. F. M., Lima A. M., Delgado-Rodrigues J., Mimoso J.M., Pereira S. R. M., 2016, Geopolymers as potential repair material in tiles conservation, </w:t>
      </w:r>
      <w:r w:rsidR="00C3134A" w:rsidRPr="00D71EE2">
        <w:t>Appl</w:t>
      </w:r>
      <w:r w:rsidR="00C3134A">
        <w:t>ied</w:t>
      </w:r>
      <w:r w:rsidR="00A85017">
        <w:t xml:space="preserve"> </w:t>
      </w:r>
      <w:r w:rsidRPr="00D71EE2">
        <w:t>Phys</w:t>
      </w:r>
      <w:r w:rsidR="00C3134A">
        <w:t>ics</w:t>
      </w:r>
      <w:r w:rsidRPr="00D71EE2">
        <w:t xml:space="preserve"> A, 122:197</w:t>
      </w:r>
      <w:r w:rsidR="00C3134A">
        <w:t>.</w:t>
      </w:r>
    </w:p>
    <w:p w14:paraId="4FFCFF3D" w14:textId="77777777" w:rsidR="00183FE0" w:rsidRPr="00D71EE2" w:rsidRDefault="00183FE0" w:rsidP="00112647">
      <w:pPr>
        <w:pStyle w:val="CETReferencetext"/>
      </w:pPr>
      <w:r w:rsidRPr="00D71EE2">
        <w:t>Lee W.H., Lin K.L., Chang T.H., Ding Y.C., Cheng T.W., 2020, Sustainable Development and Performance Evaluation of Marble-Waste-Based Geopolymer Concrete, Polymers, 12, 1924.</w:t>
      </w:r>
    </w:p>
    <w:p w14:paraId="37D89815" w14:textId="1AA57F75" w:rsidR="00183FE0" w:rsidRDefault="00183FE0" w:rsidP="00B33177">
      <w:pPr>
        <w:pStyle w:val="CETReferencetext"/>
      </w:pPr>
      <w:r w:rsidRPr="00B736C3">
        <w:t>Panda B., Paul S.C., Hui L.J., Ta Y.W.D., Tan M.J., 2017, Additive manufacturing of geopolymer for sustainable built environment, Journal of Cleaner Production, 167</w:t>
      </w:r>
      <w:r w:rsidR="00A85017">
        <w:t>,</w:t>
      </w:r>
      <w:r w:rsidRPr="00B736C3">
        <w:t xml:space="preserve"> 281-288.</w:t>
      </w:r>
    </w:p>
    <w:p w14:paraId="0B4F3E11" w14:textId="31338CD3" w:rsidR="00183FE0" w:rsidRPr="00EE3E58" w:rsidRDefault="00183FE0" w:rsidP="00D91FDC">
      <w:pPr>
        <w:pStyle w:val="Nessunaspaziatura"/>
        <w:spacing w:line="264" w:lineRule="auto"/>
        <w:ind w:left="284" w:hanging="284"/>
      </w:pPr>
      <w:r w:rsidRPr="00EE3E58">
        <w:t xml:space="preserve">Rahier H., Wastiels J., Biesemans M., Willlem R., Van Assche G., Van Mele B., 2007, </w:t>
      </w:r>
      <w:hyperlink r:id="rId17" w:history="1">
        <w:r w:rsidRPr="00EE3E58">
          <w:t>Reaction mechanism, kinetics and high temperature transformations of geopolymers</w:t>
        </w:r>
      </w:hyperlink>
      <w:r w:rsidRPr="00EE3E58">
        <w:t>, J</w:t>
      </w:r>
      <w:r w:rsidR="00C3134A">
        <w:t>ournal of</w:t>
      </w:r>
      <w:r w:rsidRPr="00EE3E58">
        <w:t xml:space="preserve"> Mater</w:t>
      </w:r>
      <w:r w:rsidR="00C3134A">
        <w:t xml:space="preserve">ials </w:t>
      </w:r>
      <w:r w:rsidRPr="00EE3E58">
        <w:t>Sci</w:t>
      </w:r>
      <w:r w:rsidR="00C3134A">
        <w:t>ence,</w:t>
      </w:r>
      <w:r w:rsidRPr="00EE3E58">
        <w:t xml:space="preserve"> 42(9), 2982–2996.</w:t>
      </w:r>
    </w:p>
    <w:p w14:paraId="7A0CBCE2" w14:textId="4651FF0D" w:rsidR="00183FE0" w:rsidRPr="006958B4" w:rsidRDefault="00183FE0" w:rsidP="00FD02ED">
      <w:pPr>
        <w:tabs>
          <w:tab w:val="clear" w:pos="7100"/>
        </w:tabs>
        <w:autoSpaceDE w:val="0"/>
        <w:autoSpaceDN w:val="0"/>
        <w:adjustRightInd w:val="0"/>
        <w:spacing w:line="240" w:lineRule="auto"/>
        <w:ind w:left="284" w:hanging="284"/>
      </w:pPr>
      <w:r w:rsidRPr="006958B4">
        <w:t>Tigue A.A.S., Longos A. L.Jr., Malenab R.A. J., Dollente J.R.I., Promentilla M.A.B., 2021, Compressive Strength and Leaching Characteristic of Geopolymer Composite from Coal Fly Ash and Nickel Laterite Mine Spoils, Chemical Engineering Transactions, 88,1165-1170.</w:t>
      </w:r>
    </w:p>
    <w:p w14:paraId="55B71878" w14:textId="77777777" w:rsidR="00183FE0" w:rsidRPr="00D71EE2" w:rsidRDefault="00183FE0" w:rsidP="00112647">
      <w:pPr>
        <w:pStyle w:val="CETReferencetext"/>
      </w:pPr>
      <w:r w:rsidRPr="00D71EE2">
        <w:t>Wasim M., Tuan Duc Ngo, Law D., 2021, A state-of-the-art review on the durability of geopolymer concrete for sustainable structures and infrastructure, Construction and Building Materials, 291, 123381.</w:t>
      </w:r>
    </w:p>
    <w:p w14:paraId="6C32A2DC" w14:textId="56E05E34" w:rsidR="00183FE0" w:rsidRPr="00D71EE2" w:rsidRDefault="00183FE0" w:rsidP="00112647">
      <w:pPr>
        <w:pStyle w:val="CETReferencetext"/>
      </w:pPr>
      <w:r w:rsidRPr="00D71EE2">
        <w:t xml:space="preserve">Wu Y. et al., 2019, Geopolymer, green alkali activated cementitious material: Synthesis, applications and challenges, Construction and Building Materials, </w:t>
      </w:r>
      <w:r w:rsidR="00A85017">
        <w:t xml:space="preserve">224, </w:t>
      </w:r>
      <w:r w:rsidRPr="00D71EE2">
        <w:t>930-949.</w:t>
      </w:r>
    </w:p>
    <w:p w14:paraId="6D9EC802" w14:textId="77777777" w:rsidR="00183FE0" w:rsidRDefault="00183FE0" w:rsidP="00112647">
      <w:pPr>
        <w:pStyle w:val="CETReferencetext"/>
      </w:pPr>
      <w:r w:rsidRPr="00D71EE2">
        <w:t>Xia M., Sanjayan J., 2016, Method of formulating geopolymer for 3D printing for construction applications, Materials and Design, 110, 382-390.</w:t>
      </w:r>
    </w:p>
    <w:sectPr w:rsidR="00183FE0"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62EF7" w14:textId="77777777" w:rsidR="00EF6C35" w:rsidRDefault="00EF6C35" w:rsidP="004F5E36">
      <w:r>
        <w:separator/>
      </w:r>
    </w:p>
  </w:endnote>
  <w:endnote w:type="continuationSeparator" w:id="0">
    <w:p w14:paraId="728876D3" w14:textId="77777777" w:rsidR="00EF6C35" w:rsidRDefault="00EF6C3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E79AE" w14:textId="77777777" w:rsidR="00EF6C35" w:rsidRDefault="00EF6C35" w:rsidP="004F5E36">
      <w:r>
        <w:separator/>
      </w:r>
    </w:p>
  </w:footnote>
  <w:footnote w:type="continuationSeparator" w:id="0">
    <w:p w14:paraId="4B419AEB" w14:textId="77777777" w:rsidR="00EF6C35" w:rsidRDefault="00EF6C35"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4AA4022A"/>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13470F4"/>
    <w:multiLevelType w:val="hybridMultilevel"/>
    <w:tmpl w:val="1F2E80C8"/>
    <w:lvl w:ilvl="0" w:tplc="255CBBFE">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D1D1946"/>
    <w:multiLevelType w:val="hybridMultilevel"/>
    <w:tmpl w:val="E2DEF12C"/>
    <w:lvl w:ilvl="0" w:tplc="255CBBFE">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02902806">
    <w:abstractNumId w:val="10"/>
  </w:num>
  <w:num w:numId="2" w16cid:durableId="1943609314">
    <w:abstractNumId w:val="8"/>
  </w:num>
  <w:num w:numId="3" w16cid:durableId="457795867">
    <w:abstractNumId w:val="3"/>
  </w:num>
  <w:num w:numId="4" w16cid:durableId="1677927717">
    <w:abstractNumId w:val="2"/>
  </w:num>
  <w:num w:numId="5" w16cid:durableId="294484587">
    <w:abstractNumId w:val="1"/>
  </w:num>
  <w:num w:numId="6" w16cid:durableId="325715965">
    <w:abstractNumId w:val="0"/>
  </w:num>
  <w:num w:numId="7" w16cid:durableId="1223834582">
    <w:abstractNumId w:val="9"/>
  </w:num>
  <w:num w:numId="8" w16cid:durableId="1580095395">
    <w:abstractNumId w:val="7"/>
  </w:num>
  <w:num w:numId="9" w16cid:durableId="1450933393">
    <w:abstractNumId w:val="6"/>
  </w:num>
  <w:num w:numId="10" w16cid:durableId="1146164897">
    <w:abstractNumId w:val="5"/>
  </w:num>
  <w:num w:numId="11" w16cid:durableId="294062263">
    <w:abstractNumId w:val="4"/>
  </w:num>
  <w:num w:numId="12" w16cid:durableId="94906878">
    <w:abstractNumId w:val="18"/>
  </w:num>
  <w:num w:numId="13" w16cid:durableId="642739939">
    <w:abstractNumId w:val="12"/>
  </w:num>
  <w:num w:numId="14" w16cid:durableId="1341619294">
    <w:abstractNumId w:val="19"/>
  </w:num>
  <w:num w:numId="15" w16cid:durableId="1547720502">
    <w:abstractNumId w:val="21"/>
  </w:num>
  <w:num w:numId="16" w16cid:durableId="1984237228">
    <w:abstractNumId w:val="20"/>
  </w:num>
  <w:num w:numId="17" w16cid:durableId="97604155">
    <w:abstractNumId w:val="11"/>
  </w:num>
  <w:num w:numId="18" w16cid:durableId="208686881">
    <w:abstractNumId w:val="12"/>
    <w:lvlOverride w:ilvl="0">
      <w:startOverride w:val="1"/>
    </w:lvlOverride>
  </w:num>
  <w:num w:numId="19" w16cid:durableId="1712344293">
    <w:abstractNumId w:val="17"/>
  </w:num>
  <w:num w:numId="20" w16cid:durableId="532498043">
    <w:abstractNumId w:val="15"/>
  </w:num>
  <w:num w:numId="21" w16cid:durableId="630480887">
    <w:abstractNumId w:val="14"/>
  </w:num>
  <w:num w:numId="22" w16cid:durableId="1481733481">
    <w:abstractNumId w:val="13"/>
  </w:num>
  <w:num w:numId="23" w16cid:durableId="3767044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41264818">
    <w:abstractNumId w:val="10"/>
  </w:num>
  <w:num w:numId="25" w16cid:durableId="46877507">
    <w:abstractNumId w:val="10"/>
  </w:num>
  <w:num w:numId="26" w16cid:durableId="2027828333">
    <w:abstractNumId w:val="16"/>
  </w:num>
  <w:num w:numId="27" w16cid:durableId="2747560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36A0"/>
    <w:rsid w:val="0003148D"/>
    <w:rsid w:val="00031EEC"/>
    <w:rsid w:val="00034F62"/>
    <w:rsid w:val="00051566"/>
    <w:rsid w:val="000562A9"/>
    <w:rsid w:val="00062A9A"/>
    <w:rsid w:val="00065058"/>
    <w:rsid w:val="0008162D"/>
    <w:rsid w:val="00086C39"/>
    <w:rsid w:val="00097519"/>
    <w:rsid w:val="000A03B2"/>
    <w:rsid w:val="000B2957"/>
    <w:rsid w:val="000B7125"/>
    <w:rsid w:val="000D0104"/>
    <w:rsid w:val="000D0268"/>
    <w:rsid w:val="000D34BE"/>
    <w:rsid w:val="000E102F"/>
    <w:rsid w:val="000E36F1"/>
    <w:rsid w:val="000E3A73"/>
    <w:rsid w:val="000E3ED7"/>
    <w:rsid w:val="000E414A"/>
    <w:rsid w:val="000E4EC5"/>
    <w:rsid w:val="000F093C"/>
    <w:rsid w:val="000F22AF"/>
    <w:rsid w:val="000F2397"/>
    <w:rsid w:val="000F787B"/>
    <w:rsid w:val="00100574"/>
    <w:rsid w:val="0010652E"/>
    <w:rsid w:val="001102BF"/>
    <w:rsid w:val="00112647"/>
    <w:rsid w:val="0012091F"/>
    <w:rsid w:val="001260BD"/>
    <w:rsid w:val="001262A7"/>
    <w:rsid w:val="00126BC2"/>
    <w:rsid w:val="001308B6"/>
    <w:rsid w:val="0013121F"/>
    <w:rsid w:val="00131FE6"/>
    <w:rsid w:val="0013263F"/>
    <w:rsid w:val="001331DF"/>
    <w:rsid w:val="00134DE4"/>
    <w:rsid w:val="0014034D"/>
    <w:rsid w:val="00143AD0"/>
    <w:rsid w:val="00144D16"/>
    <w:rsid w:val="00146BDB"/>
    <w:rsid w:val="0014775E"/>
    <w:rsid w:val="00150E59"/>
    <w:rsid w:val="00152DE3"/>
    <w:rsid w:val="001560EE"/>
    <w:rsid w:val="00161DFB"/>
    <w:rsid w:val="0016437F"/>
    <w:rsid w:val="00164CF9"/>
    <w:rsid w:val="001667A6"/>
    <w:rsid w:val="0016732B"/>
    <w:rsid w:val="00177FAB"/>
    <w:rsid w:val="00183FE0"/>
    <w:rsid w:val="00184AD6"/>
    <w:rsid w:val="00191F16"/>
    <w:rsid w:val="001A4AF7"/>
    <w:rsid w:val="001B0349"/>
    <w:rsid w:val="001B1E93"/>
    <w:rsid w:val="001B269B"/>
    <w:rsid w:val="001B658E"/>
    <w:rsid w:val="001B65C1"/>
    <w:rsid w:val="001C4839"/>
    <w:rsid w:val="001C684B"/>
    <w:rsid w:val="001D0CFB"/>
    <w:rsid w:val="001D1D62"/>
    <w:rsid w:val="001D21AF"/>
    <w:rsid w:val="001D53FC"/>
    <w:rsid w:val="001F3B63"/>
    <w:rsid w:val="001F42A5"/>
    <w:rsid w:val="001F673E"/>
    <w:rsid w:val="001F7B9D"/>
    <w:rsid w:val="00201C93"/>
    <w:rsid w:val="00210B2A"/>
    <w:rsid w:val="00211FD0"/>
    <w:rsid w:val="002224B4"/>
    <w:rsid w:val="002447EF"/>
    <w:rsid w:val="00251550"/>
    <w:rsid w:val="00257D1E"/>
    <w:rsid w:val="00263B05"/>
    <w:rsid w:val="00267730"/>
    <w:rsid w:val="0027221A"/>
    <w:rsid w:val="0027595A"/>
    <w:rsid w:val="00275B61"/>
    <w:rsid w:val="00280FAF"/>
    <w:rsid w:val="00282656"/>
    <w:rsid w:val="00296B83"/>
    <w:rsid w:val="002A0328"/>
    <w:rsid w:val="002A3B5D"/>
    <w:rsid w:val="002B263E"/>
    <w:rsid w:val="002B4015"/>
    <w:rsid w:val="002B4DB5"/>
    <w:rsid w:val="002B7492"/>
    <w:rsid w:val="002B76C6"/>
    <w:rsid w:val="002B78CE"/>
    <w:rsid w:val="002C2172"/>
    <w:rsid w:val="002C2FB6"/>
    <w:rsid w:val="002C3763"/>
    <w:rsid w:val="002D2824"/>
    <w:rsid w:val="002D5482"/>
    <w:rsid w:val="002E5FA7"/>
    <w:rsid w:val="002E7A44"/>
    <w:rsid w:val="002F3309"/>
    <w:rsid w:val="003008CE"/>
    <w:rsid w:val="003009B7"/>
    <w:rsid w:val="00300E56"/>
    <w:rsid w:val="0030152C"/>
    <w:rsid w:val="003040A8"/>
    <w:rsid w:val="0030469C"/>
    <w:rsid w:val="00321CA6"/>
    <w:rsid w:val="00323763"/>
    <w:rsid w:val="00323C5F"/>
    <w:rsid w:val="00324FE9"/>
    <w:rsid w:val="0032548C"/>
    <w:rsid w:val="0033487B"/>
    <w:rsid w:val="00334C09"/>
    <w:rsid w:val="00340895"/>
    <w:rsid w:val="003411D0"/>
    <w:rsid w:val="00351E60"/>
    <w:rsid w:val="003723D4"/>
    <w:rsid w:val="00381905"/>
    <w:rsid w:val="00384CC8"/>
    <w:rsid w:val="003871FD"/>
    <w:rsid w:val="00395AFE"/>
    <w:rsid w:val="003A1857"/>
    <w:rsid w:val="003A1E30"/>
    <w:rsid w:val="003A2829"/>
    <w:rsid w:val="003A3F80"/>
    <w:rsid w:val="003A7D1C"/>
    <w:rsid w:val="003B304B"/>
    <w:rsid w:val="003B3146"/>
    <w:rsid w:val="003B3A45"/>
    <w:rsid w:val="003F015E"/>
    <w:rsid w:val="00400414"/>
    <w:rsid w:val="00403F9C"/>
    <w:rsid w:val="00406312"/>
    <w:rsid w:val="0041446B"/>
    <w:rsid w:val="00417BF2"/>
    <w:rsid w:val="00424176"/>
    <w:rsid w:val="00425D20"/>
    <w:rsid w:val="00431BBD"/>
    <w:rsid w:val="00431EA8"/>
    <w:rsid w:val="00437A0D"/>
    <w:rsid w:val="0044071E"/>
    <w:rsid w:val="00442A60"/>
    <w:rsid w:val="0044329C"/>
    <w:rsid w:val="00453E24"/>
    <w:rsid w:val="00456FEE"/>
    <w:rsid w:val="00457456"/>
    <w:rsid w:val="004577FE"/>
    <w:rsid w:val="00457B9C"/>
    <w:rsid w:val="00460941"/>
    <w:rsid w:val="0046164A"/>
    <w:rsid w:val="004628D2"/>
    <w:rsid w:val="00462DCD"/>
    <w:rsid w:val="004648AD"/>
    <w:rsid w:val="00466521"/>
    <w:rsid w:val="004703A9"/>
    <w:rsid w:val="004760DE"/>
    <w:rsid w:val="004763D7"/>
    <w:rsid w:val="0047747D"/>
    <w:rsid w:val="004814E4"/>
    <w:rsid w:val="004844C0"/>
    <w:rsid w:val="00491D7F"/>
    <w:rsid w:val="00493A91"/>
    <w:rsid w:val="00494049"/>
    <w:rsid w:val="004A004E"/>
    <w:rsid w:val="004A24CF"/>
    <w:rsid w:val="004B74E8"/>
    <w:rsid w:val="004C3D1D"/>
    <w:rsid w:val="004C3D84"/>
    <w:rsid w:val="004C4535"/>
    <w:rsid w:val="004C68A3"/>
    <w:rsid w:val="004C6C27"/>
    <w:rsid w:val="004C7913"/>
    <w:rsid w:val="004D79EA"/>
    <w:rsid w:val="004E4DD6"/>
    <w:rsid w:val="004F5CCE"/>
    <w:rsid w:val="004F5E36"/>
    <w:rsid w:val="00507B47"/>
    <w:rsid w:val="00507BEF"/>
    <w:rsid w:val="00507CC9"/>
    <w:rsid w:val="005119A5"/>
    <w:rsid w:val="00517F96"/>
    <w:rsid w:val="00526F29"/>
    <w:rsid w:val="005278B7"/>
    <w:rsid w:val="00532016"/>
    <w:rsid w:val="005346C8"/>
    <w:rsid w:val="00535F85"/>
    <w:rsid w:val="00543E7D"/>
    <w:rsid w:val="00547A68"/>
    <w:rsid w:val="005531C9"/>
    <w:rsid w:val="00563EB0"/>
    <w:rsid w:val="00570C43"/>
    <w:rsid w:val="005868CD"/>
    <w:rsid w:val="00591528"/>
    <w:rsid w:val="005A1A0E"/>
    <w:rsid w:val="005B0CBB"/>
    <w:rsid w:val="005B2110"/>
    <w:rsid w:val="005B61E6"/>
    <w:rsid w:val="005C25A9"/>
    <w:rsid w:val="005C4165"/>
    <w:rsid w:val="005C74AA"/>
    <w:rsid w:val="005C77E1"/>
    <w:rsid w:val="005D10CB"/>
    <w:rsid w:val="005D668A"/>
    <w:rsid w:val="005D6A2F"/>
    <w:rsid w:val="005E1A82"/>
    <w:rsid w:val="005E2E69"/>
    <w:rsid w:val="005E794C"/>
    <w:rsid w:val="005F0A28"/>
    <w:rsid w:val="005F0E5E"/>
    <w:rsid w:val="00600535"/>
    <w:rsid w:val="00604BD7"/>
    <w:rsid w:val="00610AFF"/>
    <w:rsid w:val="00610CD6"/>
    <w:rsid w:val="00620DEE"/>
    <w:rsid w:val="00621F92"/>
    <w:rsid w:val="0062280A"/>
    <w:rsid w:val="0062299F"/>
    <w:rsid w:val="00625639"/>
    <w:rsid w:val="00631B33"/>
    <w:rsid w:val="00635C71"/>
    <w:rsid w:val="0064184D"/>
    <w:rsid w:val="00641B89"/>
    <w:rsid w:val="006420F1"/>
    <w:rsid w:val="006422CC"/>
    <w:rsid w:val="006556E7"/>
    <w:rsid w:val="00660E3E"/>
    <w:rsid w:val="00662E74"/>
    <w:rsid w:val="00674D4D"/>
    <w:rsid w:val="00680C23"/>
    <w:rsid w:val="00684538"/>
    <w:rsid w:val="00693766"/>
    <w:rsid w:val="0069475B"/>
    <w:rsid w:val="006958B4"/>
    <w:rsid w:val="00697B55"/>
    <w:rsid w:val="006A0AD4"/>
    <w:rsid w:val="006A3281"/>
    <w:rsid w:val="006B2940"/>
    <w:rsid w:val="006B3AC6"/>
    <w:rsid w:val="006B4888"/>
    <w:rsid w:val="006B5D2E"/>
    <w:rsid w:val="006C0A55"/>
    <w:rsid w:val="006C2E45"/>
    <w:rsid w:val="006C359C"/>
    <w:rsid w:val="006C5579"/>
    <w:rsid w:val="006D6E8B"/>
    <w:rsid w:val="006E16E4"/>
    <w:rsid w:val="006E4469"/>
    <w:rsid w:val="006E737D"/>
    <w:rsid w:val="006F6ACE"/>
    <w:rsid w:val="00713973"/>
    <w:rsid w:val="00720A24"/>
    <w:rsid w:val="00732386"/>
    <w:rsid w:val="00733489"/>
    <w:rsid w:val="0073514D"/>
    <w:rsid w:val="007447F3"/>
    <w:rsid w:val="0075096E"/>
    <w:rsid w:val="0075154E"/>
    <w:rsid w:val="0075499F"/>
    <w:rsid w:val="00754A85"/>
    <w:rsid w:val="00761B30"/>
    <w:rsid w:val="007661C8"/>
    <w:rsid w:val="0077098D"/>
    <w:rsid w:val="007931FA"/>
    <w:rsid w:val="007A4861"/>
    <w:rsid w:val="007A7BBA"/>
    <w:rsid w:val="007B0C50"/>
    <w:rsid w:val="007B48F9"/>
    <w:rsid w:val="007B592E"/>
    <w:rsid w:val="007C1A43"/>
    <w:rsid w:val="007C1E8D"/>
    <w:rsid w:val="007C378D"/>
    <w:rsid w:val="007D0951"/>
    <w:rsid w:val="007F2F40"/>
    <w:rsid w:val="0080013E"/>
    <w:rsid w:val="00813288"/>
    <w:rsid w:val="008168FC"/>
    <w:rsid w:val="00830035"/>
    <w:rsid w:val="00830996"/>
    <w:rsid w:val="008345F1"/>
    <w:rsid w:val="00843DFE"/>
    <w:rsid w:val="00844CFC"/>
    <w:rsid w:val="00854A6E"/>
    <w:rsid w:val="00865B07"/>
    <w:rsid w:val="008667EA"/>
    <w:rsid w:val="0087152F"/>
    <w:rsid w:val="0087637F"/>
    <w:rsid w:val="00892AD5"/>
    <w:rsid w:val="008A1512"/>
    <w:rsid w:val="008C176B"/>
    <w:rsid w:val="008C6FDC"/>
    <w:rsid w:val="008D32B9"/>
    <w:rsid w:val="008D433B"/>
    <w:rsid w:val="008D4A16"/>
    <w:rsid w:val="008D5622"/>
    <w:rsid w:val="008E566E"/>
    <w:rsid w:val="008F6250"/>
    <w:rsid w:val="0090161A"/>
    <w:rsid w:val="00901EB6"/>
    <w:rsid w:val="00902D2D"/>
    <w:rsid w:val="00904C62"/>
    <w:rsid w:val="009050D4"/>
    <w:rsid w:val="009110B1"/>
    <w:rsid w:val="00915118"/>
    <w:rsid w:val="00922BA8"/>
    <w:rsid w:val="00924DAC"/>
    <w:rsid w:val="00927058"/>
    <w:rsid w:val="00930F60"/>
    <w:rsid w:val="00942750"/>
    <w:rsid w:val="009450CE"/>
    <w:rsid w:val="009459BB"/>
    <w:rsid w:val="00947179"/>
    <w:rsid w:val="0095164B"/>
    <w:rsid w:val="00954090"/>
    <w:rsid w:val="009573E7"/>
    <w:rsid w:val="00963E05"/>
    <w:rsid w:val="00964796"/>
    <w:rsid w:val="00964A45"/>
    <w:rsid w:val="00966CEA"/>
    <w:rsid w:val="00967843"/>
    <w:rsid w:val="00967D54"/>
    <w:rsid w:val="00971028"/>
    <w:rsid w:val="009755AA"/>
    <w:rsid w:val="009833BE"/>
    <w:rsid w:val="00993B84"/>
    <w:rsid w:val="00996483"/>
    <w:rsid w:val="00996F5A"/>
    <w:rsid w:val="009B0409"/>
    <w:rsid w:val="009B041A"/>
    <w:rsid w:val="009B680B"/>
    <w:rsid w:val="009C205F"/>
    <w:rsid w:val="009C37C3"/>
    <w:rsid w:val="009C7C86"/>
    <w:rsid w:val="009D2FF7"/>
    <w:rsid w:val="009E7884"/>
    <w:rsid w:val="009E788A"/>
    <w:rsid w:val="009F0E08"/>
    <w:rsid w:val="009F1339"/>
    <w:rsid w:val="009F16EB"/>
    <w:rsid w:val="009F1CA8"/>
    <w:rsid w:val="009F5FD1"/>
    <w:rsid w:val="00A0010C"/>
    <w:rsid w:val="00A15888"/>
    <w:rsid w:val="00A1763D"/>
    <w:rsid w:val="00A17CEC"/>
    <w:rsid w:val="00A263AC"/>
    <w:rsid w:val="00A27EF0"/>
    <w:rsid w:val="00A31B3E"/>
    <w:rsid w:val="00A35324"/>
    <w:rsid w:val="00A42361"/>
    <w:rsid w:val="00A45DBD"/>
    <w:rsid w:val="00A50B20"/>
    <w:rsid w:val="00A50CCF"/>
    <w:rsid w:val="00A51390"/>
    <w:rsid w:val="00A52C4C"/>
    <w:rsid w:val="00A60D13"/>
    <w:rsid w:val="00A65EFD"/>
    <w:rsid w:val="00A7039A"/>
    <w:rsid w:val="00A71040"/>
    <w:rsid w:val="00A7223D"/>
    <w:rsid w:val="00A72745"/>
    <w:rsid w:val="00A76EFC"/>
    <w:rsid w:val="00A8378C"/>
    <w:rsid w:val="00A85017"/>
    <w:rsid w:val="00A87D50"/>
    <w:rsid w:val="00A91010"/>
    <w:rsid w:val="00A94386"/>
    <w:rsid w:val="00A97F29"/>
    <w:rsid w:val="00AA6B1C"/>
    <w:rsid w:val="00AA702E"/>
    <w:rsid w:val="00AA7D26"/>
    <w:rsid w:val="00AB0964"/>
    <w:rsid w:val="00AB5011"/>
    <w:rsid w:val="00AC7368"/>
    <w:rsid w:val="00AD16B9"/>
    <w:rsid w:val="00AE377D"/>
    <w:rsid w:val="00AE41FD"/>
    <w:rsid w:val="00AF0EBA"/>
    <w:rsid w:val="00B02C8A"/>
    <w:rsid w:val="00B17FBD"/>
    <w:rsid w:val="00B24E09"/>
    <w:rsid w:val="00B250BE"/>
    <w:rsid w:val="00B30C5D"/>
    <w:rsid w:val="00B315A6"/>
    <w:rsid w:val="00B31813"/>
    <w:rsid w:val="00B33177"/>
    <w:rsid w:val="00B33365"/>
    <w:rsid w:val="00B415F5"/>
    <w:rsid w:val="00B4300E"/>
    <w:rsid w:val="00B53A56"/>
    <w:rsid w:val="00B57B36"/>
    <w:rsid w:val="00B57E6F"/>
    <w:rsid w:val="00B736C3"/>
    <w:rsid w:val="00B83CD7"/>
    <w:rsid w:val="00B8686D"/>
    <w:rsid w:val="00B93F69"/>
    <w:rsid w:val="00BA42D2"/>
    <w:rsid w:val="00BB1DDC"/>
    <w:rsid w:val="00BC30C9"/>
    <w:rsid w:val="00BC6ECA"/>
    <w:rsid w:val="00BD077D"/>
    <w:rsid w:val="00BD0F13"/>
    <w:rsid w:val="00BE3E58"/>
    <w:rsid w:val="00BF2B83"/>
    <w:rsid w:val="00C01616"/>
    <w:rsid w:val="00C0162B"/>
    <w:rsid w:val="00C068ED"/>
    <w:rsid w:val="00C22E0C"/>
    <w:rsid w:val="00C268B5"/>
    <w:rsid w:val="00C3134A"/>
    <w:rsid w:val="00C345B1"/>
    <w:rsid w:val="00C40142"/>
    <w:rsid w:val="00C41612"/>
    <w:rsid w:val="00C42B73"/>
    <w:rsid w:val="00C52C3C"/>
    <w:rsid w:val="00C57182"/>
    <w:rsid w:val="00C57863"/>
    <w:rsid w:val="00C6202F"/>
    <w:rsid w:val="00C640AF"/>
    <w:rsid w:val="00C65376"/>
    <w:rsid w:val="00C655FD"/>
    <w:rsid w:val="00C67DE3"/>
    <w:rsid w:val="00C75407"/>
    <w:rsid w:val="00C870A8"/>
    <w:rsid w:val="00C94434"/>
    <w:rsid w:val="00CA0D75"/>
    <w:rsid w:val="00CA1C95"/>
    <w:rsid w:val="00CA5A9C"/>
    <w:rsid w:val="00CA686B"/>
    <w:rsid w:val="00CB589F"/>
    <w:rsid w:val="00CC1F6C"/>
    <w:rsid w:val="00CC2E15"/>
    <w:rsid w:val="00CC4B6C"/>
    <w:rsid w:val="00CC4C20"/>
    <w:rsid w:val="00CD3517"/>
    <w:rsid w:val="00CD5FE2"/>
    <w:rsid w:val="00CE3678"/>
    <w:rsid w:val="00CE7C68"/>
    <w:rsid w:val="00D015EA"/>
    <w:rsid w:val="00D019F6"/>
    <w:rsid w:val="00D02B4C"/>
    <w:rsid w:val="00D040C4"/>
    <w:rsid w:val="00D06777"/>
    <w:rsid w:val="00D10489"/>
    <w:rsid w:val="00D20AD1"/>
    <w:rsid w:val="00D3310D"/>
    <w:rsid w:val="00D40151"/>
    <w:rsid w:val="00D4652E"/>
    <w:rsid w:val="00D46B7E"/>
    <w:rsid w:val="00D52EF6"/>
    <w:rsid w:val="00D57AA4"/>
    <w:rsid w:val="00D57C84"/>
    <w:rsid w:val="00D6057D"/>
    <w:rsid w:val="00D71640"/>
    <w:rsid w:val="00D71EE2"/>
    <w:rsid w:val="00D835D9"/>
    <w:rsid w:val="00D836C5"/>
    <w:rsid w:val="00D84576"/>
    <w:rsid w:val="00D908C9"/>
    <w:rsid w:val="00D91FDC"/>
    <w:rsid w:val="00DA1399"/>
    <w:rsid w:val="00DA24C6"/>
    <w:rsid w:val="00DA4D7B"/>
    <w:rsid w:val="00DB20C6"/>
    <w:rsid w:val="00DD0B4D"/>
    <w:rsid w:val="00DD271C"/>
    <w:rsid w:val="00DE264A"/>
    <w:rsid w:val="00DF5072"/>
    <w:rsid w:val="00E02D18"/>
    <w:rsid w:val="00E041E7"/>
    <w:rsid w:val="00E12793"/>
    <w:rsid w:val="00E15468"/>
    <w:rsid w:val="00E177C0"/>
    <w:rsid w:val="00E23CA1"/>
    <w:rsid w:val="00E3006B"/>
    <w:rsid w:val="00E409A8"/>
    <w:rsid w:val="00E44DB0"/>
    <w:rsid w:val="00E50C12"/>
    <w:rsid w:val="00E53AB5"/>
    <w:rsid w:val="00E54DD6"/>
    <w:rsid w:val="00E65B91"/>
    <w:rsid w:val="00E710FA"/>
    <w:rsid w:val="00E7209D"/>
    <w:rsid w:val="00E72EAD"/>
    <w:rsid w:val="00E77223"/>
    <w:rsid w:val="00E8528B"/>
    <w:rsid w:val="00E85B94"/>
    <w:rsid w:val="00E966B0"/>
    <w:rsid w:val="00E978D0"/>
    <w:rsid w:val="00EA4613"/>
    <w:rsid w:val="00EA62FA"/>
    <w:rsid w:val="00EA7F91"/>
    <w:rsid w:val="00EB1523"/>
    <w:rsid w:val="00EC0E49"/>
    <w:rsid w:val="00EC101F"/>
    <w:rsid w:val="00EC1D9F"/>
    <w:rsid w:val="00EE0131"/>
    <w:rsid w:val="00EE17B0"/>
    <w:rsid w:val="00EE3E58"/>
    <w:rsid w:val="00EF06D9"/>
    <w:rsid w:val="00EF5B69"/>
    <w:rsid w:val="00EF6C35"/>
    <w:rsid w:val="00F011E7"/>
    <w:rsid w:val="00F0410F"/>
    <w:rsid w:val="00F1041C"/>
    <w:rsid w:val="00F113E8"/>
    <w:rsid w:val="00F3049E"/>
    <w:rsid w:val="00F30C64"/>
    <w:rsid w:val="00F32BA2"/>
    <w:rsid w:val="00F32CDB"/>
    <w:rsid w:val="00F565FE"/>
    <w:rsid w:val="00F60BA7"/>
    <w:rsid w:val="00F6396A"/>
    <w:rsid w:val="00F63A70"/>
    <w:rsid w:val="00F63D8C"/>
    <w:rsid w:val="00F6661A"/>
    <w:rsid w:val="00F70B50"/>
    <w:rsid w:val="00F7534E"/>
    <w:rsid w:val="00F84C22"/>
    <w:rsid w:val="00F85C2A"/>
    <w:rsid w:val="00F93EDF"/>
    <w:rsid w:val="00FA1802"/>
    <w:rsid w:val="00FA21D0"/>
    <w:rsid w:val="00FA5F5F"/>
    <w:rsid w:val="00FB102E"/>
    <w:rsid w:val="00FB730C"/>
    <w:rsid w:val="00FC08CE"/>
    <w:rsid w:val="00FC2695"/>
    <w:rsid w:val="00FC3E03"/>
    <w:rsid w:val="00FC3FC1"/>
    <w:rsid w:val="00FD02ED"/>
    <w:rsid w:val="00FE176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DD2B1741-82FC-423E-A2C5-878408E0D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351E60"/>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417BF2"/>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417BF2"/>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qFormat/>
    <w:rsid w:val="00280FAF"/>
    <w:pPr>
      <w:ind w:left="720"/>
      <w:contextualSpacing/>
    </w:pPr>
  </w:style>
  <w:style w:type="character" w:customStyle="1" w:styleId="Menzionenonrisolta1">
    <w:name w:val="Menzione non risolta1"/>
    <w:basedOn w:val="Carpredefinitoparagrafo"/>
    <w:uiPriority w:val="99"/>
    <w:semiHidden/>
    <w:unhideWhenUsed/>
    <w:rsid w:val="00843DFE"/>
    <w:rPr>
      <w:color w:val="605E5C"/>
      <w:shd w:val="clear" w:color="auto" w:fill="E1DFDD"/>
    </w:rPr>
  </w:style>
  <w:style w:type="character" w:customStyle="1" w:styleId="ts-alignment-element">
    <w:name w:val="ts-alignment-element"/>
    <w:basedOn w:val="Carpredefinitoparagrafo"/>
    <w:rsid w:val="00112647"/>
  </w:style>
  <w:style w:type="character" w:styleId="Testosegnaposto">
    <w:name w:val="Placeholder Text"/>
    <w:basedOn w:val="Carpredefinitoparagrafo"/>
    <w:uiPriority w:val="99"/>
    <w:semiHidden/>
    <w:rsid w:val="00604BD7"/>
    <w:rPr>
      <w:color w:val="808080"/>
    </w:rPr>
  </w:style>
  <w:style w:type="paragraph" w:styleId="Nessunaspaziatura">
    <w:name w:val="No Spacing"/>
    <w:uiPriority w:val="1"/>
    <w:qFormat/>
    <w:rsid w:val="00B83CD7"/>
    <w:pPr>
      <w:tabs>
        <w:tab w:val="right" w:pos="7100"/>
      </w:tabs>
      <w:spacing w:after="0" w:line="240" w:lineRule="auto"/>
      <w:jc w:val="both"/>
    </w:pPr>
    <w:rPr>
      <w:rFonts w:ascii="Arial" w:eastAsia="Times New Roman" w:hAnsi="Arial" w:cs="Times New Roman"/>
      <w:sz w:val="18"/>
      <w:szCs w:val="20"/>
      <w:lang w:val="en-GB"/>
    </w:rPr>
  </w:style>
  <w:style w:type="character" w:styleId="Menzionenonrisolta">
    <w:name w:val="Unresolved Mention"/>
    <w:basedOn w:val="Carpredefinitoparagrafo"/>
    <w:uiPriority w:val="99"/>
    <w:semiHidden/>
    <w:unhideWhenUsed/>
    <w:rsid w:val="004C6C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054748">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hyperlink" Target="https://link.springer.com/article/10.1007/s10853-006-0568-8" TargetMode="Externa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hyperlink" Target="mailto:*roberta.licheri@unica.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564914483471"/>
          <c:y val="6.1053173962273097E-2"/>
          <c:w val="0.77620442235995402"/>
          <c:h val="0.60401776145867403"/>
        </c:manualLayout>
      </c:layout>
      <c:barChart>
        <c:barDir val="col"/>
        <c:grouping val="clustered"/>
        <c:varyColors val="0"/>
        <c:ser>
          <c:idx val="0"/>
          <c:order val="0"/>
          <c:tx>
            <c:v>1</c:v>
          </c:tx>
          <c:spPr>
            <a:solidFill>
              <a:schemeClr val="accent1"/>
            </a:solidFill>
            <a:ln>
              <a:noFill/>
            </a:ln>
            <a:effectLst/>
          </c:spPr>
          <c:invertIfNegative val="0"/>
          <c:cat>
            <c:strRef>
              <c:f>(Foglio1!$A$24,Foglio1!$A$28:$A$30)</c:f>
              <c:strCache>
                <c:ptCount val="4"/>
                <c:pt idx="0">
                  <c:v>M25</c:v>
                </c:pt>
                <c:pt idx="1">
                  <c:v>M26</c:v>
                </c:pt>
                <c:pt idx="2">
                  <c:v>M28</c:v>
                </c:pt>
                <c:pt idx="3">
                  <c:v>M37</c:v>
                </c:pt>
              </c:strCache>
              <c:extLst/>
            </c:strRef>
          </c:cat>
          <c:val>
            <c:numRef>
              <c:f>(Foglio1!$B$24,Foglio1!$B$28:$B$30)</c:f>
              <c:numCache>
                <c:formatCode>0.0</c:formatCode>
                <c:ptCount val="4"/>
                <c:pt idx="0">
                  <c:v>2380.9499999999998</c:v>
                </c:pt>
                <c:pt idx="1">
                  <c:v>2304.14</c:v>
                </c:pt>
                <c:pt idx="2">
                  <c:v>2673.79</c:v>
                </c:pt>
                <c:pt idx="3">
                  <c:v>2463.0500000000002</c:v>
                </c:pt>
              </c:numCache>
              <c:extLst/>
            </c:numRef>
          </c:val>
          <c:extLst>
            <c:ext xmlns:c16="http://schemas.microsoft.com/office/drawing/2014/chart" uri="{C3380CC4-5D6E-409C-BE32-E72D297353CC}">
              <c16:uniqueId val="{00000000-8838-4E9D-A98A-7A5477C35D59}"/>
            </c:ext>
          </c:extLst>
        </c:ser>
        <c:ser>
          <c:idx val="1"/>
          <c:order val="1"/>
          <c:tx>
            <c:v>3</c:v>
          </c:tx>
          <c:spPr>
            <a:solidFill>
              <a:schemeClr val="accent2"/>
            </a:solidFill>
            <a:ln>
              <a:noFill/>
            </a:ln>
            <a:effectLst/>
          </c:spPr>
          <c:invertIfNegative val="0"/>
          <c:cat>
            <c:strRef>
              <c:f>(Foglio1!$A$24,Foglio1!$A$28:$A$30)</c:f>
              <c:strCache>
                <c:ptCount val="4"/>
                <c:pt idx="0">
                  <c:v>M25</c:v>
                </c:pt>
                <c:pt idx="1">
                  <c:v>M26</c:v>
                </c:pt>
                <c:pt idx="2">
                  <c:v>M28</c:v>
                </c:pt>
                <c:pt idx="3">
                  <c:v>M37</c:v>
                </c:pt>
              </c:strCache>
              <c:extLst/>
            </c:strRef>
          </c:cat>
          <c:val>
            <c:numRef>
              <c:f>(Foglio1!$C$24,Foglio1!$C$28:$C$30)</c:f>
              <c:numCache>
                <c:formatCode>0.0</c:formatCode>
                <c:ptCount val="4"/>
                <c:pt idx="0">
                  <c:v>2702.7</c:v>
                </c:pt>
                <c:pt idx="1">
                  <c:v>2840.9</c:v>
                </c:pt>
                <c:pt idx="2">
                  <c:v>2958.57</c:v>
                </c:pt>
                <c:pt idx="3">
                  <c:v>2617.8000000000002</c:v>
                </c:pt>
              </c:numCache>
              <c:extLst/>
            </c:numRef>
          </c:val>
          <c:extLst>
            <c:ext xmlns:c16="http://schemas.microsoft.com/office/drawing/2014/chart" uri="{C3380CC4-5D6E-409C-BE32-E72D297353CC}">
              <c16:uniqueId val="{00000001-8838-4E9D-A98A-7A5477C35D59}"/>
            </c:ext>
          </c:extLst>
        </c:ser>
        <c:ser>
          <c:idx val="2"/>
          <c:order val="2"/>
          <c:tx>
            <c:v>7</c:v>
          </c:tx>
          <c:spPr>
            <a:solidFill>
              <a:schemeClr val="accent3"/>
            </a:solidFill>
            <a:ln>
              <a:noFill/>
            </a:ln>
            <a:effectLst/>
          </c:spPr>
          <c:invertIfNegative val="0"/>
          <c:cat>
            <c:strRef>
              <c:f>(Foglio1!$A$24,Foglio1!$A$28:$A$30)</c:f>
              <c:strCache>
                <c:ptCount val="4"/>
                <c:pt idx="0">
                  <c:v>M25</c:v>
                </c:pt>
                <c:pt idx="1">
                  <c:v>M26</c:v>
                </c:pt>
                <c:pt idx="2">
                  <c:v>M28</c:v>
                </c:pt>
                <c:pt idx="3">
                  <c:v>M37</c:v>
                </c:pt>
              </c:strCache>
              <c:extLst/>
            </c:strRef>
          </c:cat>
          <c:val>
            <c:numRef>
              <c:f>(Foglio1!$D$24,Foglio1!$D$28:$D$30)</c:f>
              <c:numCache>
                <c:formatCode>0.0</c:formatCode>
                <c:ptCount val="4"/>
                <c:pt idx="0">
                  <c:v>2732.24</c:v>
                </c:pt>
                <c:pt idx="1">
                  <c:v>2923.97</c:v>
                </c:pt>
                <c:pt idx="2">
                  <c:v>2976.19</c:v>
                </c:pt>
                <c:pt idx="3">
                  <c:v>2824.86</c:v>
                </c:pt>
              </c:numCache>
              <c:extLst/>
            </c:numRef>
          </c:val>
          <c:extLst>
            <c:ext xmlns:c16="http://schemas.microsoft.com/office/drawing/2014/chart" uri="{C3380CC4-5D6E-409C-BE32-E72D297353CC}">
              <c16:uniqueId val="{00000002-8838-4E9D-A98A-7A5477C35D59}"/>
            </c:ext>
          </c:extLst>
        </c:ser>
        <c:ser>
          <c:idx val="3"/>
          <c:order val="3"/>
          <c:tx>
            <c:v>14</c:v>
          </c:tx>
          <c:spPr>
            <a:solidFill>
              <a:schemeClr val="accent4"/>
            </a:solidFill>
            <a:ln>
              <a:noFill/>
            </a:ln>
            <a:effectLst/>
          </c:spPr>
          <c:invertIfNegative val="0"/>
          <c:dPt>
            <c:idx val="0"/>
            <c:invertIfNegative val="0"/>
            <c:bubble3D val="0"/>
            <c:spPr>
              <a:solidFill>
                <a:schemeClr val="accent4"/>
              </a:solidFill>
              <a:ln>
                <a:noFill/>
              </a:ln>
              <a:effectLst/>
            </c:spPr>
            <c:extLst>
              <c:ext xmlns:c16="http://schemas.microsoft.com/office/drawing/2014/chart" uri="{C3380CC4-5D6E-409C-BE32-E72D297353CC}">
                <c16:uniqueId val="{00000004-8838-4E9D-A98A-7A5477C35D59}"/>
              </c:ext>
            </c:extLst>
          </c:dPt>
          <c:cat>
            <c:strRef>
              <c:f>(Foglio1!$A$24,Foglio1!$A$28:$A$30)</c:f>
              <c:strCache>
                <c:ptCount val="4"/>
                <c:pt idx="0">
                  <c:v>M25</c:v>
                </c:pt>
                <c:pt idx="1">
                  <c:v>M26</c:v>
                </c:pt>
                <c:pt idx="2">
                  <c:v>M28</c:v>
                </c:pt>
                <c:pt idx="3">
                  <c:v>M37</c:v>
                </c:pt>
              </c:strCache>
              <c:extLst/>
            </c:strRef>
          </c:cat>
          <c:val>
            <c:numRef>
              <c:f>(Foglio1!$E$24,Foglio1!$E$28:$E$30)</c:f>
              <c:numCache>
                <c:formatCode>0.0</c:formatCode>
                <c:ptCount val="4"/>
                <c:pt idx="0">
                  <c:v>2777.77</c:v>
                </c:pt>
                <c:pt idx="1">
                  <c:v>2976.19</c:v>
                </c:pt>
                <c:pt idx="2">
                  <c:v>3012.04</c:v>
                </c:pt>
                <c:pt idx="3">
                  <c:v>2873.56</c:v>
                </c:pt>
              </c:numCache>
              <c:extLst/>
            </c:numRef>
          </c:val>
          <c:extLst>
            <c:ext xmlns:c16="http://schemas.microsoft.com/office/drawing/2014/chart" uri="{C3380CC4-5D6E-409C-BE32-E72D297353CC}">
              <c16:uniqueId val="{00000005-8838-4E9D-A98A-7A5477C35D59}"/>
            </c:ext>
          </c:extLst>
        </c:ser>
        <c:ser>
          <c:idx val="4"/>
          <c:order val="4"/>
          <c:tx>
            <c:v>28</c:v>
          </c:tx>
          <c:spPr>
            <a:solidFill>
              <a:schemeClr val="accent5"/>
            </a:solidFill>
            <a:ln>
              <a:noFill/>
            </a:ln>
            <a:effectLst/>
          </c:spPr>
          <c:invertIfNegative val="0"/>
          <c:cat>
            <c:strRef>
              <c:f>(Foglio1!$A$24,Foglio1!$A$28:$A$30)</c:f>
              <c:strCache>
                <c:ptCount val="4"/>
                <c:pt idx="0">
                  <c:v>M25</c:v>
                </c:pt>
                <c:pt idx="1">
                  <c:v>M26</c:v>
                </c:pt>
                <c:pt idx="2">
                  <c:v>M28</c:v>
                </c:pt>
                <c:pt idx="3">
                  <c:v>M37</c:v>
                </c:pt>
              </c:strCache>
              <c:extLst/>
            </c:strRef>
          </c:cat>
          <c:val>
            <c:numRef>
              <c:f>(Foglio1!$F$24,Foglio1!$F$28:$F$30)</c:f>
              <c:numCache>
                <c:formatCode>0.0</c:formatCode>
                <c:ptCount val="4"/>
                <c:pt idx="0">
                  <c:v>2793.3</c:v>
                </c:pt>
                <c:pt idx="1">
                  <c:v>2994.01</c:v>
                </c:pt>
                <c:pt idx="2">
                  <c:v>3030.3</c:v>
                </c:pt>
                <c:pt idx="3">
                  <c:v>2890.17</c:v>
                </c:pt>
              </c:numCache>
              <c:extLst/>
            </c:numRef>
          </c:val>
          <c:extLst>
            <c:ext xmlns:c16="http://schemas.microsoft.com/office/drawing/2014/chart" uri="{C3380CC4-5D6E-409C-BE32-E72D297353CC}">
              <c16:uniqueId val="{00000006-8838-4E9D-A98A-7A5477C35D59}"/>
            </c:ext>
          </c:extLst>
        </c:ser>
        <c:dLbls>
          <c:showLegendKey val="0"/>
          <c:showVal val="0"/>
          <c:showCatName val="0"/>
          <c:showSerName val="0"/>
          <c:showPercent val="0"/>
          <c:showBubbleSize val="0"/>
        </c:dLbls>
        <c:gapWidth val="219"/>
        <c:overlap val="-27"/>
        <c:axId val="-2108731000"/>
        <c:axId val="-2108724536"/>
      </c:barChart>
      <c:catAx>
        <c:axId val="-2108731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Curing time [Days]</a:t>
                </a:r>
              </a:p>
            </c:rich>
          </c:tx>
          <c:layout>
            <c:manualLayout>
              <c:xMode val="edge"/>
              <c:yMode val="edge"/>
              <c:x val="0.368754855248209"/>
              <c:y val="0.742404724842444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08724536"/>
        <c:crosses val="autoZero"/>
        <c:auto val="1"/>
        <c:lblAlgn val="ctr"/>
        <c:lblOffset val="100"/>
        <c:noMultiLvlLbl val="0"/>
      </c:catAx>
      <c:valAx>
        <c:axId val="-2108724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US Pulse Vel. [m/s]</a:t>
                </a:r>
              </a:p>
            </c:rich>
          </c:tx>
          <c:layout>
            <c:manualLayout>
              <c:xMode val="edge"/>
              <c:yMode val="edge"/>
              <c:x val="1.5042305002277099E-2"/>
              <c:y val="0.147291318823540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08731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307370766688"/>
          <c:y val="8.6240387266766694E-2"/>
          <c:w val="0.74804330803919294"/>
          <c:h val="0.71574525352108398"/>
        </c:manualLayout>
      </c:layout>
      <c:barChart>
        <c:barDir val="col"/>
        <c:grouping val="clustered"/>
        <c:varyColors val="0"/>
        <c:ser>
          <c:idx val="1"/>
          <c:order val="0"/>
          <c:tx>
            <c:strRef>
              <c:f>Foglio1!$I$51</c:f>
              <c:strCache>
                <c:ptCount val="1"/>
                <c:pt idx="0">
                  <c:v>M*[g/cm2]</c:v>
                </c:pt>
              </c:strCache>
            </c:strRef>
          </c:tx>
          <c:spPr>
            <a:solidFill>
              <a:schemeClr val="bg1">
                <a:lumMod val="65000"/>
              </a:schemeClr>
            </a:solidFill>
            <a:ln>
              <a:noFill/>
            </a:ln>
            <a:effectLst/>
          </c:spPr>
          <c:invertIfNegative val="0"/>
          <c:cat>
            <c:numRef>
              <c:f>(Foglio1!$J$49:$K$49,Foglio1!$M$49:$N$49)</c:f>
              <c:numCache>
                <c:formatCode>General</c:formatCode>
                <c:ptCount val="4"/>
                <c:pt idx="0">
                  <c:v>28</c:v>
                </c:pt>
                <c:pt idx="1">
                  <c:v>26</c:v>
                </c:pt>
                <c:pt idx="2">
                  <c:v>25</c:v>
                </c:pt>
                <c:pt idx="3">
                  <c:v>37</c:v>
                </c:pt>
              </c:numCache>
              <c:extLst/>
            </c:numRef>
          </c:cat>
          <c:val>
            <c:numRef>
              <c:f>(Foglio1!$J$51:$K$51,Foglio1!$M$51:$N$51)</c:f>
              <c:numCache>
                <c:formatCode>0.000</c:formatCode>
                <c:ptCount val="4"/>
                <c:pt idx="0">
                  <c:v>0.100562997476218</c:v>
                </c:pt>
                <c:pt idx="1">
                  <c:v>0.109</c:v>
                </c:pt>
                <c:pt idx="2">
                  <c:v>0.13528085481815499</c:v>
                </c:pt>
                <c:pt idx="3">
                  <c:v>0.62978062512133703</c:v>
                </c:pt>
              </c:numCache>
              <c:extLst/>
            </c:numRef>
          </c:val>
          <c:extLst>
            <c:ext xmlns:c16="http://schemas.microsoft.com/office/drawing/2014/chart" uri="{C3380CC4-5D6E-409C-BE32-E72D297353CC}">
              <c16:uniqueId val="{00000000-D1F4-49A1-B93E-8AC9F0D0358C}"/>
            </c:ext>
          </c:extLst>
        </c:ser>
        <c:dLbls>
          <c:showLegendKey val="0"/>
          <c:showVal val="0"/>
          <c:showCatName val="0"/>
          <c:showSerName val="0"/>
          <c:showPercent val="0"/>
          <c:showBubbleSize val="0"/>
        </c:dLbls>
        <c:gapWidth val="219"/>
        <c:overlap val="-27"/>
        <c:axId val="-2108710744"/>
        <c:axId val="-2108704312"/>
      </c:barChart>
      <c:catAx>
        <c:axId val="-2108710744"/>
        <c:scaling>
          <c:orientation val="minMax"/>
        </c:scaling>
        <c:delete val="0"/>
        <c:axPos val="b"/>
        <c:title>
          <c:tx>
            <c:rich>
              <a:bodyPr rot="0" spcFirstLastPara="1" vertOverflow="ellipsis" vert="horz" wrap="square" anchor="ctr" anchorCtr="1"/>
              <a:lstStyle/>
              <a:p>
                <a:pPr>
                  <a:defRPr sz="810" b="0" i="0" u="none" strike="noStrike" kern="1200" baseline="0">
                    <a:solidFill>
                      <a:schemeClr val="tx1">
                        <a:lumMod val="65000"/>
                        <a:lumOff val="35000"/>
                      </a:schemeClr>
                    </a:solidFill>
                    <a:latin typeface="+mn-lt"/>
                    <a:ea typeface="+mn-ea"/>
                    <a:cs typeface="+mn-cs"/>
                  </a:defRPr>
                </a:pPr>
                <a:r>
                  <a:rPr lang="en-US" sz="900" baseline="0"/>
                  <a:t>Mix</a:t>
                </a:r>
              </a:p>
            </c:rich>
          </c:tx>
          <c:layout>
            <c:manualLayout>
              <c:xMode val="edge"/>
              <c:yMode val="edge"/>
              <c:x val="0.52719638677643899"/>
              <c:y val="0.8868347682220649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08704312"/>
        <c:crossesAt val="0"/>
        <c:auto val="1"/>
        <c:lblAlgn val="ctr"/>
        <c:lblOffset val="100"/>
        <c:noMultiLvlLbl val="0"/>
      </c:catAx>
      <c:valAx>
        <c:axId val="-2108704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it-IT" sz="900"/>
                  <a:t>M*[g/cm</a:t>
                </a:r>
                <a:r>
                  <a:rPr lang="it-IT" sz="900" baseline="30000"/>
                  <a:t>2</a:t>
                </a:r>
                <a:r>
                  <a:rPr lang="it-IT" sz="900"/>
                  <a:t>]</a:t>
                </a:r>
              </a:p>
            </c:rich>
          </c:tx>
          <c:layout>
            <c:manualLayout>
              <c:xMode val="edge"/>
              <c:yMode val="edge"/>
              <c:x val="1.38888261900008E-2"/>
              <c:y val="0.19880423610317999"/>
            </c:manualLayout>
          </c:layout>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08710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480540676627"/>
          <c:y val="0.101896739583365"/>
          <c:w val="0.70018005191467902"/>
          <c:h val="0.67401760001481603"/>
        </c:manualLayout>
      </c:layout>
      <c:barChart>
        <c:barDir val="col"/>
        <c:grouping val="clustered"/>
        <c:varyColors val="0"/>
        <c:ser>
          <c:idx val="0"/>
          <c:order val="0"/>
          <c:tx>
            <c:strRef>
              <c:f>Foglio1!$Q$50</c:f>
              <c:strCache>
                <c:ptCount val="1"/>
                <c:pt idx="0">
                  <c:v>C.A. [g/cm2/radQ t]</c:v>
                </c:pt>
              </c:strCache>
            </c:strRef>
          </c:tx>
          <c:spPr>
            <a:solidFill>
              <a:schemeClr val="bg1">
                <a:lumMod val="65000"/>
              </a:schemeClr>
            </a:solidFill>
            <a:ln>
              <a:noFill/>
            </a:ln>
            <a:effectLst/>
          </c:spPr>
          <c:invertIfNegative val="0"/>
          <c:cat>
            <c:numRef>
              <c:f>(Foglio1!$R$49:$S$49,Foglio1!$U$49:$V$49)</c:f>
              <c:numCache>
                <c:formatCode>General</c:formatCode>
                <c:ptCount val="4"/>
                <c:pt idx="0">
                  <c:v>28</c:v>
                </c:pt>
                <c:pt idx="1">
                  <c:v>26</c:v>
                </c:pt>
                <c:pt idx="2">
                  <c:v>25</c:v>
                </c:pt>
                <c:pt idx="3">
                  <c:v>37</c:v>
                </c:pt>
              </c:numCache>
              <c:extLst/>
            </c:numRef>
          </c:cat>
          <c:val>
            <c:numRef>
              <c:f>(Foglio1!$R$50:$S$50,Foglio1!$U$50:$V$50)</c:f>
              <c:numCache>
                <c:formatCode>General</c:formatCode>
                <c:ptCount val="4"/>
                <c:pt idx="0">
                  <c:v>3.9399999999999998E-4</c:v>
                </c:pt>
                <c:pt idx="1">
                  <c:v>2.8699999999999998E-4</c:v>
                </c:pt>
                <c:pt idx="2">
                  <c:v>1.93E-4</c:v>
                </c:pt>
                <c:pt idx="3">
                  <c:v>1.0369999999999999E-3</c:v>
                </c:pt>
              </c:numCache>
              <c:extLst/>
            </c:numRef>
          </c:val>
          <c:extLst>
            <c:ext xmlns:c16="http://schemas.microsoft.com/office/drawing/2014/chart" uri="{C3380CC4-5D6E-409C-BE32-E72D297353CC}">
              <c16:uniqueId val="{00000000-49CD-489F-8408-FCCF09654E16}"/>
            </c:ext>
          </c:extLst>
        </c:ser>
        <c:dLbls>
          <c:showLegendKey val="0"/>
          <c:showVal val="0"/>
          <c:showCatName val="0"/>
          <c:showSerName val="0"/>
          <c:showPercent val="0"/>
          <c:showBubbleSize val="0"/>
        </c:dLbls>
        <c:gapWidth val="219"/>
        <c:overlap val="-27"/>
        <c:axId val="-2107579864"/>
        <c:axId val="-2107573480"/>
      </c:barChart>
      <c:catAx>
        <c:axId val="-210757986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it-IT" baseline="0"/>
                  <a:t>Mix</a:t>
                </a:r>
              </a:p>
            </c:rich>
          </c:tx>
          <c:layout>
            <c:manualLayout>
              <c:xMode val="edge"/>
              <c:yMode val="edge"/>
              <c:x val="0.54451241003915296"/>
              <c:y val="0.8854733515033480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07573480"/>
        <c:crosses val="autoZero"/>
        <c:auto val="1"/>
        <c:lblAlgn val="ctr"/>
        <c:lblOffset val="100"/>
        <c:noMultiLvlLbl val="0"/>
      </c:catAx>
      <c:valAx>
        <c:axId val="-2107573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C.A. [g/cm</a:t>
                </a:r>
                <a:r>
                  <a:rPr lang="en-US" baseline="30000"/>
                  <a:t>2</a:t>
                </a:r>
                <a:r>
                  <a:rPr lang="en-US" baseline="0"/>
                  <a:t>/RadQ  t] </a:t>
                </a:r>
              </a:p>
            </c:rich>
          </c:tx>
          <c:layout>
            <c:manualLayout>
              <c:xMode val="edge"/>
              <c:yMode val="edge"/>
              <c:x val="9.4786828603425702E-3"/>
              <c:y val="0.156677788855382"/>
            </c:manualLayout>
          </c:layout>
          <c:overlay val="0"/>
          <c:spPr>
            <a:noFill/>
            <a:ln>
              <a:noFill/>
            </a:ln>
            <a:effectLst/>
          </c:spPr>
        </c:title>
        <c:numFmt formatCode="0.0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07579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pPr>
      <a:endParaRPr lang="it-IT"/>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E1976-A9B1-4F50-AC70-AF329B986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6</Pages>
  <Words>2914</Words>
  <Characters>16610</Characters>
  <Application>Microsoft Office Word</Application>
  <DocSecurity>0</DocSecurity>
  <Lines>138</Lines>
  <Paragraphs>38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Roberta Licheri</cp:lastModifiedBy>
  <cp:revision>48</cp:revision>
  <cp:lastPrinted>2015-05-12T18:31:00Z</cp:lastPrinted>
  <dcterms:created xsi:type="dcterms:W3CDTF">2023-04-12T13:52:00Z</dcterms:created>
  <dcterms:modified xsi:type="dcterms:W3CDTF">2023-04-13T22:33:00Z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