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C40E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C40E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C40EB">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F53A278" w:rsidR="00E978D0" w:rsidRPr="003A2ED3" w:rsidRDefault="006C40EB" w:rsidP="00E978D0">
      <w:pPr>
        <w:pStyle w:val="CETTitle"/>
        <w:rPr>
          <w:lang w:val="en-US" w:eastAsia="ja-JP"/>
        </w:rPr>
      </w:pPr>
      <w:r w:rsidRPr="006C40EB">
        <w:rPr>
          <w:lang w:val="en-US"/>
        </w:rPr>
        <w:t xml:space="preserve">Numerical simulation during development of </w:t>
      </w:r>
      <w:proofErr w:type="spellStart"/>
      <w:r w:rsidRPr="006C40EB">
        <w:rPr>
          <w:lang w:val="en-US"/>
        </w:rPr>
        <w:t>Taylor</w:t>
      </w:r>
      <w:r w:rsidRPr="006C40EB">
        <w:rPr>
          <w:rFonts w:ascii="Symbol" w:eastAsia="Symbol" w:hAnsi="Symbol" w:cs="Symbol"/>
          <w:lang w:val="en-US"/>
        </w:rPr>
        <w:t>-</w:t>
      </w:r>
      <w:r w:rsidRPr="006C40EB">
        <w:rPr>
          <w:lang w:val="en-US"/>
        </w:rPr>
        <w:t>Couette</w:t>
      </w:r>
      <w:proofErr w:type="spellEnd"/>
      <w:r w:rsidRPr="006C40EB">
        <w:rPr>
          <w:lang w:val="en-US"/>
        </w:rPr>
        <w:t xml:space="preserve"> flow with shear-thinning fluids</w:t>
      </w:r>
    </w:p>
    <w:p w14:paraId="0488FED2" w14:textId="4299CCE8" w:rsidR="00B57E6F" w:rsidRPr="00B57B36" w:rsidRDefault="00717F15" w:rsidP="00B57E6F">
      <w:pPr>
        <w:pStyle w:val="CETAuthors"/>
      </w:pPr>
      <w:r>
        <w:t>Hayato Masuda</w:t>
      </w:r>
      <w:r w:rsidR="00B57E6F" w:rsidRPr="00B57B36">
        <w:rPr>
          <w:vertAlign w:val="superscript"/>
        </w:rPr>
        <w:t>a</w:t>
      </w:r>
      <w:r w:rsidR="00DE01C9" w:rsidRPr="00B57B36">
        <w:rPr>
          <w:vertAlign w:val="superscript"/>
        </w:rPr>
        <w:t>,</w:t>
      </w:r>
      <w:r w:rsidR="00DE01C9" w:rsidRPr="00B57B36">
        <w:t>*</w:t>
      </w:r>
      <w:r w:rsidR="00B57E6F" w:rsidRPr="00B57B36">
        <w:t xml:space="preserve">, </w:t>
      </w:r>
      <w:r>
        <w:t>Hiroyuki Iyota</w:t>
      </w:r>
      <w:r w:rsidRPr="00440E7B">
        <w:rPr>
          <w:vertAlign w:val="superscript"/>
        </w:rPr>
        <w:t>a</w:t>
      </w:r>
      <w:r>
        <w:t xml:space="preserve">, </w:t>
      </w:r>
      <w:r w:rsidR="00DE01C9">
        <w:t>Naoto</w:t>
      </w:r>
      <w:r w:rsidR="00B57E6F" w:rsidRPr="00B57B36">
        <w:t xml:space="preserve"> </w:t>
      </w:r>
      <w:r w:rsidR="00DE01C9">
        <w:t>Ohmura</w:t>
      </w:r>
      <w:r w:rsidR="00B57E6F" w:rsidRPr="00B57B36">
        <w:rPr>
          <w:vertAlign w:val="superscript"/>
        </w:rPr>
        <w:t>b</w:t>
      </w:r>
    </w:p>
    <w:p w14:paraId="6B2D21B3" w14:textId="59506AC1" w:rsidR="00B57E6F" w:rsidRPr="00B57B36" w:rsidRDefault="00B57E6F" w:rsidP="00B57E6F">
      <w:pPr>
        <w:pStyle w:val="CETAddress"/>
      </w:pPr>
      <w:r w:rsidRPr="00B57B36">
        <w:rPr>
          <w:vertAlign w:val="superscript"/>
        </w:rPr>
        <w:t>a</w:t>
      </w:r>
      <w:r w:rsidR="005638A9" w:rsidRPr="005638A9">
        <w:rPr>
          <w:rFonts w:ascii="Times New Roman" w:eastAsia="ＭＳ 明朝" w:hAnsi="Times New Roman" w:cs="Times New Roman (本文のフォント - コンプレ"/>
          <w:noProof w:val="0"/>
          <w:kern w:val="2"/>
          <w:sz w:val="22"/>
          <w:szCs w:val="28"/>
          <w:lang w:val="en-US" w:eastAsia="ja-JP"/>
        </w:rPr>
        <w:t xml:space="preserve"> </w:t>
      </w:r>
      <w:r w:rsidR="005638A9" w:rsidRPr="005638A9">
        <w:rPr>
          <w:lang w:val="en-US"/>
        </w:rPr>
        <w:t>Department of Mechanical Engineering, Graduate School of Engineering, Osaka Metropolitan University, 3-3-138 Sugimoto, Sumiyoshi-ku, Osaka, 558-8585, Japan</w:t>
      </w:r>
    </w:p>
    <w:p w14:paraId="3D72B0B0" w14:textId="3A267F61" w:rsidR="00B57E6F" w:rsidRPr="00B57B36" w:rsidRDefault="00B57E6F" w:rsidP="00B57E6F">
      <w:pPr>
        <w:pStyle w:val="CETAddress"/>
      </w:pPr>
      <w:r w:rsidRPr="00B57B36">
        <w:rPr>
          <w:vertAlign w:val="superscript"/>
        </w:rPr>
        <w:t>b</w:t>
      </w:r>
      <w:r w:rsidR="00446237" w:rsidRPr="00446237">
        <w:rPr>
          <w:rFonts w:ascii="Times New Roman" w:eastAsia="ＭＳ 明朝" w:hAnsi="Times New Roman" w:cs="Times New Roman (本文のフォント - コンプレ"/>
          <w:noProof w:val="0"/>
          <w:kern w:val="2"/>
          <w:sz w:val="22"/>
          <w:szCs w:val="28"/>
          <w:lang w:val="en-US" w:eastAsia="ja-JP"/>
        </w:rPr>
        <w:t xml:space="preserve"> </w:t>
      </w:r>
      <w:r w:rsidR="00446237" w:rsidRPr="00446237">
        <w:rPr>
          <w:lang w:val="en-US"/>
        </w:rPr>
        <w:t>Department of Chemical Science and Engineering, Graduate School of Engineering, Kobe University, 1-1 Rokkodai, Nada-ku, Kobe, 657-8501, Japan</w:t>
      </w:r>
    </w:p>
    <w:p w14:paraId="73F1267A" w14:textId="621986D7" w:rsidR="00B57E6F" w:rsidRPr="00B57B36" w:rsidRDefault="00B57E6F" w:rsidP="00B57E6F">
      <w:pPr>
        <w:pStyle w:val="CETemail"/>
      </w:pPr>
      <w:r>
        <w:t xml:space="preserve"> </w:t>
      </w:r>
      <w:r w:rsidR="00DE01C9">
        <w:t>hayato-masuda</w:t>
      </w:r>
      <w:r w:rsidRPr="00B57B36">
        <w:t>@</w:t>
      </w:r>
      <w:r w:rsidR="00DE01C9">
        <w:t>omu.ac.jp</w:t>
      </w:r>
    </w:p>
    <w:p w14:paraId="2B5871EE" w14:textId="227614E6" w:rsidR="00372361" w:rsidRDefault="00364051" w:rsidP="42C4B74F">
      <w:pPr>
        <w:pStyle w:val="CETBodytext"/>
        <w:rPr>
          <w:lang w:eastAsia="ja-JP"/>
        </w:rPr>
      </w:pPr>
      <w:r w:rsidRPr="00364051">
        <w:rPr>
          <w:lang w:val="en-GB"/>
        </w:rPr>
        <w:t xml:space="preserve">The Taylor–Couette flow between coaxial cylinders with a rotating inner cylinder is a key tool for achieving process intensification. However, this flow system exhibits </w:t>
      </w:r>
      <w:proofErr w:type="spellStart"/>
      <w:r w:rsidRPr="00364051">
        <w:rPr>
          <w:lang w:val="en-GB"/>
        </w:rPr>
        <w:t>multistability</w:t>
      </w:r>
      <w:proofErr w:type="spellEnd"/>
      <w:r w:rsidRPr="00364051">
        <w:rPr>
          <w:lang w:val="en-GB"/>
        </w:rPr>
        <w:t>. For example, the number of Taylor cells formed stochastically depends on the hysteresis and start-up operations in the steady state. To address this issue from a practical perspective, the development process from the start of inner cylinder rotation was investigated using numerical simulations. Two types of fluids, Newtonian and shear-thinning fluids were used. First, it was confirmed that the number of Taylor cells obtained by the simulation agreed with that having the highest probability in the experiments. In addition, the cell size with shear thinning was larger than that of the Newtonian fluid. This is primarily due to the merging of the distorted cell, which is transiently formed, adjoining the end cell. Furthermore, the number of Taylor cells in a steady state with various angular accelerations was tested. Consequently, it was inferred that the number of cells is affected not only by the steady-state time, but also by the function type of the angular acceleration with time.</w:t>
      </w:r>
    </w:p>
    <w:p w14:paraId="3F9F8F5B" w14:textId="3A287F6F" w:rsidR="007E191B" w:rsidRPr="00B57B36" w:rsidRDefault="007E191B" w:rsidP="42C4B74F">
      <w:pPr>
        <w:pStyle w:val="CETBodytext"/>
        <w:rPr>
          <w:lang w:val="en-GB"/>
        </w:rPr>
      </w:pPr>
    </w:p>
    <w:p w14:paraId="360EF8C9" w14:textId="1E6931A1" w:rsidR="00600535" w:rsidRDefault="00600535" w:rsidP="227C2129">
      <w:pPr>
        <w:pStyle w:val="CETHeading1"/>
        <w:rPr>
          <w:lang w:val="en-GB"/>
        </w:rPr>
      </w:pPr>
      <w:r w:rsidRPr="227C2129">
        <w:rPr>
          <w:lang w:val="en-GB"/>
        </w:rPr>
        <w:t>Introduction</w:t>
      </w:r>
    </w:p>
    <w:p w14:paraId="3174141F" w14:textId="77777777" w:rsidR="00364051" w:rsidRDefault="00364051" w:rsidP="00364051">
      <w:pPr>
        <w:pStyle w:val="CETBodytext"/>
        <w:rPr>
          <w:rFonts w:cs="Arial"/>
          <w:lang w:val="en-GB"/>
        </w:rPr>
      </w:pPr>
      <w:r>
        <w:rPr>
          <w:lang w:val="en-GB"/>
        </w:rPr>
        <w:t>Continuous reactors with both excellent mixing performance and narrow residence time distribution (e.g., slug flow reactor (</w:t>
      </w:r>
      <w:proofErr w:type="spellStart"/>
      <w:r>
        <w:rPr>
          <w:lang w:val="en-GB"/>
        </w:rPr>
        <w:t>Iwamura</w:t>
      </w:r>
      <w:proofErr w:type="spellEnd"/>
      <w:r>
        <w:rPr>
          <w:lang w:val="en-GB"/>
        </w:rPr>
        <w:t xml:space="preserve"> et al., 2020) and oscillatory baffled reactor </w:t>
      </w:r>
      <w:r>
        <w:t>(Avila et al., 2022</w:t>
      </w:r>
      <w:r>
        <w:rPr>
          <w:lang w:val="en-GB"/>
        </w:rPr>
        <w:t xml:space="preserve">)) have been attracting attention for achieving process intensification. </w:t>
      </w:r>
      <w:r w:rsidRPr="227C2129">
        <w:rPr>
          <w:lang w:val="en-GB"/>
        </w:rPr>
        <w:t>A Taylor</w:t>
      </w:r>
      <w:r>
        <w:rPr>
          <w:rFonts w:cs="Arial"/>
          <w:lang w:val="en-GB"/>
        </w:rPr>
        <w:t>–</w:t>
      </w:r>
      <w:r w:rsidRPr="227C2129">
        <w:rPr>
          <w:lang w:val="en-GB"/>
        </w:rPr>
        <w:t>Couette flow</w:t>
      </w:r>
      <w:r>
        <w:rPr>
          <w:lang w:val="en-GB"/>
        </w:rPr>
        <w:t>, which is the flow between coaxial cylinders with a rotating inner cylinder,</w:t>
      </w:r>
      <w:r w:rsidRPr="227C2129">
        <w:rPr>
          <w:lang w:val="en-GB"/>
        </w:rPr>
        <w:t xml:space="preserve"> </w:t>
      </w:r>
      <w:r>
        <w:rPr>
          <w:lang w:val="en-GB"/>
        </w:rPr>
        <w:t>is also suitable for realizing this process intensification</w:t>
      </w:r>
      <w:r>
        <w:t>.</w:t>
      </w:r>
      <w:r>
        <w:rPr>
          <w:lang w:eastAsia="ja-JP"/>
        </w:rPr>
        <w:t xml:space="preserve"> Owing to the toroidal motion in a Taylor cell, mixing and heat/mass transfer are both enhanced. In addition, each cell moves in a single file without causing a breakdown when a relatively small axial flow is introduced. Thus, continuous operation with a narrow residence time distribution is possible. Based on these features, the Taylor</w:t>
      </w:r>
      <w:r>
        <w:rPr>
          <w:rFonts w:cs="Arial"/>
          <w:lang w:val="en-GB"/>
        </w:rPr>
        <w:t xml:space="preserve">–Couette flow has been applied to various chemical processes, such as polymerization (Kataoka et al., 1995), catalytic reactions (Behr and </w:t>
      </w:r>
      <w:proofErr w:type="spellStart"/>
      <w:r w:rsidRPr="007358D0">
        <w:rPr>
          <w:rFonts w:cs="Arial"/>
          <w:lang w:val="en-GB"/>
        </w:rPr>
        <w:t>Färber</w:t>
      </w:r>
      <w:proofErr w:type="spellEnd"/>
      <w:r>
        <w:rPr>
          <w:rFonts w:cs="Arial"/>
          <w:lang w:val="en-GB"/>
        </w:rPr>
        <w:t xml:space="preserve">, 2015), and enzymatic reactions (Masuda et al., 2013; Masuda et al., 2017a; Matsumoto et al., 2020). </w:t>
      </w:r>
    </w:p>
    <w:p w14:paraId="4D34BA7C" w14:textId="3E042D0B" w:rsidR="00364051" w:rsidRDefault="00364051" w:rsidP="00364051">
      <w:pPr>
        <w:pStyle w:val="CETBodytext"/>
        <w:rPr>
          <w:rFonts w:cs="Arial"/>
          <w:lang w:val="en-GB"/>
        </w:rPr>
      </w:pPr>
      <w:r w:rsidRPr="6A89A870">
        <w:rPr>
          <w:rFonts w:cs="Arial"/>
          <w:lang w:val="en-GB"/>
        </w:rPr>
        <w:t xml:space="preserve">From a practical perspective, </w:t>
      </w:r>
      <w:r w:rsidRPr="6A89A870">
        <w:rPr>
          <w:rFonts w:cs="Arial"/>
        </w:rPr>
        <w:t xml:space="preserve">the structure of Taylor cells is one of the most important factors because the cellular structure affects heat and mass transfer performance. According to Ohmura et al. (1998), the axial mass transfer through </w:t>
      </w:r>
      <w:r>
        <w:rPr>
          <w:rFonts w:cs="Arial"/>
        </w:rPr>
        <w:t xml:space="preserve">the </w:t>
      </w:r>
      <w:r w:rsidRPr="6A89A870">
        <w:rPr>
          <w:rFonts w:cs="Arial"/>
        </w:rPr>
        <w:t xml:space="preserve">boundaries between Taylor cells depends on the vortex height (termed “axial wavelength”), </w:t>
      </w:r>
      <w:r w:rsidRPr="6A89A870">
        <w:rPr>
          <w:rFonts w:ascii="Symbol" w:hAnsi="Symbol" w:cs="Arial"/>
          <w:i/>
          <w:iCs/>
        </w:rPr>
        <w:t>l</w:t>
      </w:r>
      <w:r w:rsidRPr="6A89A870">
        <w:rPr>
          <w:rFonts w:cs="Arial"/>
        </w:rPr>
        <w:t xml:space="preserve">, </w:t>
      </w:r>
      <w:r>
        <w:rPr>
          <w:rFonts w:cs="Arial"/>
        </w:rPr>
        <w:t>and</w:t>
      </w:r>
      <w:r w:rsidRPr="6A89A870">
        <w:rPr>
          <w:rFonts w:cs="Arial"/>
        </w:rPr>
        <w:t xml:space="preserve"> Reynolds number, </w:t>
      </w:r>
      <w:r w:rsidRPr="6A89A870">
        <w:rPr>
          <w:rFonts w:cs="Arial"/>
          <w:i/>
          <w:iCs/>
        </w:rPr>
        <w:t>Re</w:t>
      </w:r>
      <w:r w:rsidRPr="6A89A870">
        <w:rPr>
          <w:rFonts w:cs="Arial"/>
        </w:rPr>
        <w:t xml:space="preserve">. </w:t>
      </w:r>
      <w:r w:rsidR="00A55318" w:rsidRPr="00A55318">
        <w:rPr>
          <w:rFonts w:cs="Arial"/>
          <w:lang w:val="en-GB"/>
        </w:rPr>
        <w:t xml:space="preserve">In particular, they reported that for </w:t>
      </w:r>
      <w:r w:rsidR="00C54F90">
        <w:rPr>
          <w:rFonts w:cs="Arial"/>
        </w:rPr>
        <w:t xml:space="preserve">local </w:t>
      </w:r>
      <w:r w:rsidR="00A55318" w:rsidRPr="00A55318">
        <w:rPr>
          <w:rFonts w:cs="Arial"/>
          <w:lang w:val="en-GB"/>
        </w:rPr>
        <w:t>mass transfer, the axial wavelength</w:t>
      </w:r>
      <w:r w:rsidR="002E3E1B">
        <w:rPr>
          <w:rFonts w:cs="Arial"/>
          <w:lang w:val="en-GB"/>
        </w:rPr>
        <w:t xml:space="preserve"> </w:t>
      </w:r>
      <w:r w:rsidR="00A55318" w:rsidRPr="00A55318">
        <w:rPr>
          <w:rFonts w:cs="Arial"/>
          <w:lang w:val="en-GB"/>
        </w:rPr>
        <w:t xml:space="preserve">is </w:t>
      </w:r>
      <w:r w:rsidR="002E3E1B">
        <w:rPr>
          <w:rFonts w:cs="Arial"/>
          <w:lang w:val="en-GB"/>
        </w:rPr>
        <w:t xml:space="preserve">one of the </w:t>
      </w:r>
      <w:r w:rsidR="00A55318" w:rsidRPr="00A55318">
        <w:rPr>
          <w:rFonts w:cs="Arial"/>
          <w:lang w:val="en-GB"/>
        </w:rPr>
        <w:t>important</w:t>
      </w:r>
      <w:r w:rsidR="002E3E1B">
        <w:rPr>
          <w:rFonts w:cs="Arial"/>
          <w:lang w:val="en-GB"/>
        </w:rPr>
        <w:t xml:space="preserve"> parameters</w:t>
      </w:r>
      <w:r w:rsidR="00A55318" w:rsidRPr="00A55318">
        <w:rPr>
          <w:rFonts w:cs="Arial"/>
          <w:lang w:val="en-GB"/>
        </w:rPr>
        <w:t>.</w:t>
      </w:r>
      <w:r w:rsidRPr="6A89A870">
        <w:rPr>
          <w:rFonts w:cs="Arial"/>
        </w:rPr>
        <w:t xml:space="preserve"> Subsequently, </w:t>
      </w:r>
      <w:proofErr w:type="spellStart"/>
      <w:r w:rsidRPr="6A89A870">
        <w:rPr>
          <w:rFonts w:cs="Arial"/>
        </w:rPr>
        <w:t>Nemri</w:t>
      </w:r>
      <w:proofErr w:type="spellEnd"/>
      <w:r w:rsidRPr="6A89A870">
        <w:rPr>
          <w:rFonts w:cs="Arial"/>
        </w:rPr>
        <w:t xml:space="preserve"> et al. (2016) summarized the effect of axial wavelength on axial mass transfer using numerical simulation</w:t>
      </w:r>
      <w:r>
        <w:rPr>
          <w:rFonts w:cs="Arial"/>
        </w:rPr>
        <w:t xml:space="preserve">s and experiments. </w:t>
      </w:r>
      <w:r w:rsidRPr="6A89A870">
        <w:rPr>
          <w:rFonts w:cs="Arial"/>
        </w:rPr>
        <w:t>Thus, control of</w:t>
      </w:r>
      <w:r>
        <w:rPr>
          <w:rFonts w:cs="Arial"/>
        </w:rPr>
        <w:t xml:space="preserve"> the cellular structure is one of the </w:t>
      </w:r>
      <w:r w:rsidRPr="6A89A870">
        <w:rPr>
          <w:rFonts w:cs="Arial"/>
        </w:rPr>
        <w:t xml:space="preserve">fundamental issues for </w:t>
      </w:r>
      <w:r>
        <w:rPr>
          <w:rFonts w:cs="Arial"/>
        </w:rPr>
        <w:t xml:space="preserve">the </w:t>
      </w:r>
      <w:r w:rsidR="00A55318">
        <w:rPr>
          <w:rFonts w:cs="Arial"/>
        </w:rPr>
        <w:t>application</w:t>
      </w:r>
      <w:r>
        <w:rPr>
          <w:rFonts w:cs="Arial"/>
        </w:rPr>
        <w:t xml:space="preserve"> of </w:t>
      </w:r>
      <w:r>
        <w:rPr>
          <w:rFonts w:cs="Arial"/>
          <w:lang w:val="en-GB"/>
        </w:rPr>
        <w:t xml:space="preserve">the </w:t>
      </w:r>
      <w:r w:rsidRPr="6A89A870">
        <w:rPr>
          <w:rFonts w:cs="Arial"/>
          <w:lang w:val="en-GB"/>
        </w:rPr>
        <w:t xml:space="preserve">Taylor–Couette. This issue </w:t>
      </w:r>
      <w:r>
        <w:rPr>
          <w:rFonts w:cs="Arial"/>
          <w:lang w:val="en-GB"/>
        </w:rPr>
        <w:t>is closely</w:t>
      </w:r>
      <w:r w:rsidRPr="6A89A870">
        <w:rPr>
          <w:rFonts w:cs="Arial"/>
          <w:lang w:val="en-GB"/>
        </w:rPr>
        <w:t xml:space="preserve"> related to the </w:t>
      </w:r>
      <w:proofErr w:type="spellStart"/>
      <w:r w:rsidRPr="6A89A870">
        <w:rPr>
          <w:rFonts w:cs="Arial"/>
          <w:lang w:val="en-GB"/>
        </w:rPr>
        <w:t>multistability</w:t>
      </w:r>
      <w:proofErr w:type="spellEnd"/>
      <w:r w:rsidRPr="6A89A870">
        <w:rPr>
          <w:rFonts w:cs="Arial"/>
          <w:lang w:val="en-GB"/>
        </w:rPr>
        <w:t xml:space="preserve"> of </w:t>
      </w:r>
      <w:r>
        <w:rPr>
          <w:rFonts w:cs="Arial"/>
          <w:lang w:val="en-GB"/>
        </w:rPr>
        <w:t>the Taylor–Couette flow, owing to the hysteresis of the flow, determined by the start-up operation.</w:t>
      </w:r>
      <w:r w:rsidRPr="6A89A870">
        <w:rPr>
          <w:rFonts w:cs="Arial"/>
          <w:lang w:val="en-GB"/>
        </w:rPr>
        <w:t xml:space="preserve"> Kataoka (1999) showed that the highest probability of the number of Taylor cells formed in the entire region of the system can be controlled by the </w:t>
      </w:r>
      <w:r>
        <w:rPr>
          <w:rFonts w:cs="Arial"/>
          <w:lang w:val="en-GB"/>
        </w:rPr>
        <w:t>angular</w:t>
      </w:r>
      <w:r w:rsidRPr="6A89A870">
        <w:rPr>
          <w:rFonts w:cs="Arial"/>
          <w:lang w:val="en-GB"/>
        </w:rPr>
        <w:t xml:space="preserve"> acceleration of the inner cylinder, </w:t>
      </w:r>
      <w:r w:rsidRPr="6A89A870">
        <w:rPr>
          <w:rFonts w:ascii="Symbol" w:eastAsia="Symbol" w:hAnsi="Symbol" w:cs="Symbol"/>
          <w:i/>
          <w:iCs/>
          <w:lang w:val="en-GB"/>
        </w:rPr>
        <w:t>a</w:t>
      </w:r>
      <w:r w:rsidRPr="6A89A870">
        <w:rPr>
          <w:rFonts w:cs="Arial"/>
          <w:lang w:val="en-GB"/>
        </w:rPr>
        <w:t xml:space="preserve">, </w:t>
      </w:r>
      <w:r>
        <w:rPr>
          <w:rFonts w:cs="Arial"/>
          <w:lang w:val="en-GB"/>
        </w:rPr>
        <w:t>even though</w:t>
      </w:r>
      <w:r w:rsidRPr="6A89A870">
        <w:rPr>
          <w:rFonts w:cs="Arial"/>
          <w:lang w:val="en-GB"/>
        </w:rPr>
        <w:t xml:space="preserve"> the number of Taylor cells formed is stochastic. In other words, the structure of </w:t>
      </w:r>
      <w:r>
        <w:rPr>
          <w:rFonts w:cs="Arial"/>
          <w:lang w:val="en-GB"/>
        </w:rPr>
        <w:t xml:space="preserve">the Taylor cell is </w:t>
      </w:r>
      <w:r w:rsidRPr="6A89A870">
        <w:rPr>
          <w:rFonts w:cs="Arial"/>
          <w:lang w:val="en-GB"/>
        </w:rPr>
        <w:t xml:space="preserve">primarily determined by the </w:t>
      </w:r>
      <w:r>
        <w:rPr>
          <w:rFonts w:cs="Arial"/>
          <w:lang w:val="en-GB"/>
        </w:rPr>
        <w:lastRenderedPageBreak/>
        <w:t>angular</w:t>
      </w:r>
      <w:r w:rsidRPr="6A89A870">
        <w:rPr>
          <w:rFonts w:cs="Arial"/>
          <w:lang w:val="en-GB"/>
        </w:rPr>
        <w:t xml:space="preserve"> acceleration of the inner cylinder. To accurately reproduce the flow field of </w:t>
      </w:r>
      <w:r>
        <w:rPr>
          <w:rFonts w:cs="Arial"/>
          <w:lang w:val="en-GB"/>
        </w:rPr>
        <w:t>a Taylor</w:t>
      </w:r>
      <w:r w:rsidRPr="6A89A870">
        <w:rPr>
          <w:rFonts w:cs="Arial"/>
          <w:lang w:val="en-GB"/>
        </w:rPr>
        <w:t>–Couette flow, the relation</w:t>
      </w:r>
      <w:r>
        <w:rPr>
          <w:rFonts w:cs="Arial"/>
          <w:lang w:val="en-GB"/>
        </w:rPr>
        <w:t>ship between the angular</w:t>
      </w:r>
      <w:r w:rsidRPr="6A89A870">
        <w:rPr>
          <w:rFonts w:cs="Arial"/>
          <w:lang w:val="en-GB"/>
        </w:rPr>
        <w:t xml:space="preserve"> acceleration of the inner cylinder and axial wavelength of </w:t>
      </w:r>
      <w:r>
        <w:rPr>
          <w:rFonts w:cs="Arial"/>
          <w:lang w:val="en-GB"/>
        </w:rPr>
        <w:t>the Taylor cell must be understood.</w:t>
      </w:r>
      <w:r w:rsidRPr="6A89A870">
        <w:rPr>
          <w:rFonts w:cs="Arial"/>
          <w:lang w:val="en-GB"/>
        </w:rPr>
        <w:t xml:space="preserve"> However, investigation</w:t>
      </w:r>
      <w:r>
        <w:rPr>
          <w:rFonts w:cs="Arial"/>
          <w:lang w:val="en-GB"/>
        </w:rPr>
        <w:t xml:space="preserve">s </w:t>
      </w:r>
      <w:r w:rsidRPr="6A89A870">
        <w:rPr>
          <w:rFonts w:cs="Arial"/>
          <w:lang w:val="en-GB"/>
        </w:rPr>
        <w:t xml:space="preserve">on </w:t>
      </w:r>
      <w:proofErr w:type="spellStart"/>
      <w:r w:rsidRPr="6A89A870">
        <w:rPr>
          <w:rFonts w:cs="Arial"/>
          <w:lang w:val="en-GB"/>
        </w:rPr>
        <w:t>multistability</w:t>
      </w:r>
      <w:proofErr w:type="spellEnd"/>
      <w:r w:rsidRPr="6A89A870">
        <w:rPr>
          <w:rFonts w:cs="Arial"/>
          <w:lang w:val="en-GB"/>
        </w:rPr>
        <w:t xml:space="preserve"> are limited to Newtonian fluid systems. For chemical engineers, knowledge of non-Newtonian fluids is valuable because most fluids used in </w:t>
      </w:r>
      <w:r>
        <w:rPr>
          <w:rFonts w:cs="Arial"/>
          <w:lang w:val="en-GB"/>
        </w:rPr>
        <w:t>the chemical industr</w:t>
      </w:r>
      <w:r w:rsidRPr="6A89A870">
        <w:rPr>
          <w:rFonts w:cs="Arial"/>
          <w:lang w:val="en-GB"/>
        </w:rPr>
        <w:t xml:space="preserve">y exhibit non-Newtonian properties. Nevertheless, the </w:t>
      </w:r>
      <w:proofErr w:type="spellStart"/>
      <w:r w:rsidRPr="6A89A870">
        <w:rPr>
          <w:rFonts w:cs="Arial"/>
          <w:lang w:val="en-GB"/>
        </w:rPr>
        <w:t>multistability</w:t>
      </w:r>
      <w:proofErr w:type="spellEnd"/>
      <w:r w:rsidRPr="6A89A870">
        <w:rPr>
          <w:rFonts w:cs="Arial"/>
          <w:lang w:val="en-GB"/>
        </w:rPr>
        <w:t xml:space="preserve"> of non-Newtonian fluids (e.g., the effect of start-up operation on the flow state) remains unclear.</w:t>
      </w:r>
    </w:p>
    <w:p w14:paraId="491E1EC4" w14:textId="068D5A97" w:rsidR="00146783" w:rsidRDefault="00364051" w:rsidP="00364051">
      <w:pPr>
        <w:pStyle w:val="CETBodytext"/>
        <w:rPr>
          <w:rFonts w:cs="Arial"/>
          <w:lang w:eastAsia="ja-JP"/>
        </w:rPr>
      </w:pPr>
      <w:r>
        <w:rPr>
          <w:rFonts w:cs="Arial" w:hint="eastAsia"/>
          <w:lang w:val="en-GB"/>
        </w:rPr>
        <w:t>T</w:t>
      </w:r>
      <w:r>
        <w:rPr>
          <w:rFonts w:cs="Arial"/>
          <w:lang w:val="en-GB"/>
        </w:rPr>
        <w:t xml:space="preserve">herefore, in this study, the development process of Taylor cells for various </w:t>
      </w:r>
      <w:r w:rsidRPr="00364051">
        <w:rPr>
          <w:rFonts w:cs="Arial"/>
          <w:i/>
          <w:iCs/>
          <w:lang w:val="en-GB"/>
        </w:rPr>
        <w:t>Re</w:t>
      </w:r>
      <w:r>
        <w:rPr>
          <w:rFonts w:cs="Arial"/>
          <w:lang w:val="en-GB"/>
        </w:rPr>
        <w:t xml:space="preserve"> values was simulated using computational fluid dynamics (CFD) to initiate the investigation of the </w:t>
      </w:r>
      <w:proofErr w:type="spellStart"/>
      <w:r>
        <w:rPr>
          <w:rFonts w:cs="Arial"/>
          <w:lang w:val="en-GB"/>
        </w:rPr>
        <w:t>multistability</w:t>
      </w:r>
      <w:proofErr w:type="spellEnd"/>
      <w:r>
        <w:rPr>
          <w:rFonts w:cs="Arial"/>
          <w:lang w:val="en-GB"/>
        </w:rPr>
        <w:t xml:space="preserve"> of non-Newtonian fluids. As a non-Newtonian fluid, a shear-thinning fluid was selected owing to </w:t>
      </w:r>
      <w:r>
        <w:rPr>
          <w:rFonts w:cs="Arial"/>
          <w:lang w:eastAsia="ja-JP"/>
        </w:rPr>
        <w:t>its frequent use in chemical industries.</w:t>
      </w:r>
      <w:r>
        <w:rPr>
          <w:rFonts w:cs="Arial" w:hint="eastAsia"/>
          <w:lang w:eastAsia="ja-JP"/>
        </w:rPr>
        <w:t xml:space="preserve"> </w:t>
      </w:r>
      <w:r>
        <w:rPr>
          <w:rFonts w:cs="Arial"/>
          <w:lang w:val="en-GB"/>
        </w:rPr>
        <w:t xml:space="preserve">In this simulation, a sudden start (i.e., infinite angular acceleration of the cylinder) was </w:t>
      </w:r>
      <w:r w:rsidR="00A55318">
        <w:rPr>
          <w:rFonts w:cs="Arial"/>
          <w:lang w:val="en-GB"/>
        </w:rPr>
        <w:t>conduct</w:t>
      </w:r>
      <w:r>
        <w:rPr>
          <w:rFonts w:cs="Arial"/>
          <w:lang w:val="en-GB"/>
        </w:rPr>
        <w:t xml:space="preserve">ed. Additionally, five types of acceleration patterns were </w:t>
      </w:r>
      <w:r w:rsidR="00A55318">
        <w:rPr>
          <w:rFonts w:cs="Arial"/>
          <w:lang w:val="en-GB"/>
        </w:rPr>
        <w:t>impos</w:t>
      </w:r>
      <w:r>
        <w:rPr>
          <w:rFonts w:cs="Arial"/>
          <w:lang w:val="en-GB"/>
        </w:rPr>
        <w:t>ed on a specific case to demonstrate the multi-stability of shear-thinning fluids.</w:t>
      </w:r>
    </w:p>
    <w:p w14:paraId="54E779EE" w14:textId="4F7E6E77" w:rsidR="00305158" w:rsidRDefault="00305158" w:rsidP="00305158">
      <w:pPr>
        <w:pStyle w:val="CETHeading1"/>
        <w:rPr>
          <w:lang w:val="en-GB"/>
        </w:rPr>
      </w:pPr>
      <w:r w:rsidRPr="3316F1C0">
        <w:rPr>
          <w:lang w:val="en-GB"/>
        </w:rPr>
        <w:t>Numerical simulation</w:t>
      </w:r>
    </w:p>
    <w:p w14:paraId="4464D498" w14:textId="05154B8C" w:rsidR="00305158" w:rsidRDefault="000F75D1" w:rsidP="3316F1C0">
      <w:pPr>
        <w:pStyle w:val="CETBodytext"/>
        <w:rPr>
          <w:rFonts w:cs="Arial"/>
          <w:lang w:eastAsia="ja-JP"/>
        </w:rPr>
      </w:pPr>
      <w:r w:rsidRPr="000F75D1">
        <w:rPr>
          <w:rFonts w:cs="Arial"/>
          <w:lang w:val="en-GB" w:eastAsia="ja-JP"/>
        </w:rPr>
        <w:t xml:space="preserve">The computational domain is shown in Figure 1. The radii of the inner and outer cylinders, </w:t>
      </w:r>
      <w:r w:rsidRPr="000F75D1">
        <w:rPr>
          <w:rFonts w:cs="Arial"/>
          <w:i/>
          <w:iCs/>
          <w:lang w:val="en-GB" w:eastAsia="ja-JP"/>
        </w:rPr>
        <w:t>R</w:t>
      </w:r>
      <w:r w:rsidRPr="000F75D1">
        <w:rPr>
          <w:rFonts w:cs="Arial"/>
          <w:vertAlign w:val="subscript"/>
          <w:lang w:val="en-GB" w:eastAsia="ja-JP"/>
        </w:rPr>
        <w:t>i</w:t>
      </w:r>
      <w:r w:rsidRPr="000F75D1">
        <w:rPr>
          <w:rFonts w:cs="Arial"/>
          <w:lang w:val="en-GB" w:eastAsia="ja-JP"/>
        </w:rPr>
        <w:t xml:space="preserve"> and </w:t>
      </w:r>
      <w:r w:rsidRPr="000F75D1">
        <w:rPr>
          <w:rFonts w:cs="Arial"/>
          <w:i/>
          <w:iCs/>
          <w:lang w:val="en-GB" w:eastAsia="ja-JP"/>
        </w:rPr>
        <w:t>R</w:t>
      </w:r>
      <w:r w:rsidRPr="000F75D1">
        <w:rPr>
          <w:rFonts w:cs="Arial"/>
          <w:vertAlign w:val="subscript"/>
          <w:lang w:val="en-GB" w:eastAsia="ja-JP"/>
        </w:rPr>
        <w:t>o</w:t>
      </w:r>
      <w:r w:rsidRPr="000F75D1">
        <w:rPr>
          <w:rFonts w:cs="Arial"/>
          <w:lang w:val="en-GB" w:eastAsia="ja-JP"/>
        </w:rPr>
        <w:t xml:space="preserve">, were 0.0125 m and 0.0175 m, respectively. The length of the cylinder, </w:t>
      </w:r>
      <w:r w:rsidRPr="000F75D1">
        <w:rPr>
          <w:rFonts w:cs="Arial"/>
          <w:i/>
          <w:iCs/>
          <w:lang w:val="en-GB" w:eastAsia="ja-JP"/>
        </w:rPr>
        <w:t>L</w:t>
      </w:r>
      <w:r w:rsidRPr="000F75D1">
        <w:rPr>
          <w:rFonts w:cs="Arial"/>
          <w:lang w:val="en-GB" w:eastAsia="ja-JP"/>
        </w:rPr>
        <w:t xml:space="preserve">, was 0.15 m. Geometrical parameters including the gap width, </w:t>
      </w:r>
      <w:r w:rsidRPr="000F75D1">
        <w:rPr>
          <w:rFonts w:cs="Arial"/>
          <w:i/>
          <w:iCs/>
          <w:lang w:val="en-GB" w:eastAsia="ja-JP"/>
        </w:rPr>
        <w:t>d</w:t>
      </w:r>
      <w:r w:rsidRPr="000F75D1">
        <w:rPr>
          <w:rFonts w:cs="Arial"/>
          <w:lang w:val="en-GB" w:eastAsia="ja-JP"/>
        </w:rPr>
        <w:t xml:space="preserve">, radius ratio, </w:t>
      </w:r>
      <w:r w:rsidRPr="00DA1C2D">
        <w:rPr>
          <w:rFonts w:ascii="Symbol" w:hAnsi="Symbol" w:cs="Arial"/>
          <w:i/>
          <w:iCs/>
          <w:lang w:val="en-GB" w:eastAsia="ja-JP"/>
        </w:rPr>
        <w:t>e</w:t>
      </w:r>
      <w:r w:rsidRPr="000F75D1">
        <w:rPr>
          <w:rFonts w:cs="Arial"/>
          <w:lang w:val="en-GB" w:eastAsia="ja-JP"/>
        </w:rPr>
        <w:t xml:space="preserve">, and aspect ratio, </w:t>
      </w:r>
      <w:r w:rsidRPr="00DA1C2D">
        <w:rPr>
          <w:rFonts w:ascii="Symbol" w:hAnsi="Symbol" w:cs="Arial"/>
          <w:i/>
          <w:iCs/>
          <w:lang w:val="en-GB" w:eastAsia="ja-JP"/>
        </w:rPr>
        <w:t>G</w:t>
      </w:r>
      <w:r w:rsidRPr="000F75D1">
        <w:rPr>
          <w:rFonts w:cs="Arial"/>
          <w:lang w:val="en-GB" w:eastAsia="ja-JP"/>
        </w:rPr>
        <w:t xml:space="preserve">, are tabulated in Table 1. Considering the boundary condition for the velocity, the velocity at the inner cylinder surface in the circumferential direction was assumed to be </w:t>
      </w:r>
      <w:r w:rsidRPr="000F75D1">
        <w:rPr>
          <w:rFonts w:cs="Arial"/>
          <w:i/>
          <w:iCs/>
          <w:lang w:val="en-GB" w:eastAsia="ja-JP"/>
        </w:rPr>
        <w:t>R</w:t>
      </w:r>
      <w:r w:rsidRPr="000F75D1">
        <w:rPr>
          <w:rFonts w:cs="Arial"/>
          <w:vertAlign w:val="subscript"/>
          <w:lang w:val="en-GB" w:eastAsia="ja-JP"/>
        </w:rPr>
        <w:t>i</w:t>
      </w:r>
      <w:r w:rsidRPr="00DA1C2D">
        <w:rPr>
          <w:rFonts w:ascii="Symbol" w:hAnsi="Symbol" w:cs="Arial"/>
          <w:lang w:val="en-GB" w:eastAsia="ja-JP"/>
        </w:rPr>
        <w:t>w</w:t>
      </w:r>
      <w:r w:rsidRPr="000F75D1">
        <w:rPr>
          <w:rFonts w:cs="Arial"/>
          <w:lang w:val="en-GB" w:eastAsia="ja-JP"/>
        </w:rPr>
        <w:t xml:space="preserve"> (</w:t>
      </w:r>
      <w:r w:rsidRPr="00DA1C2D">
        <w:rPr>
          <w:rFonts w:ascii="Symbol" w:hAnsi="Symbol" w:cs="Arial"/>
          <w:i/>
          <w:iCs/>
          <w:lang w:val="en-GB" w:eastAsia="ja-JP"/>
        </w:rPr>
        <w:t>w</w:t>
      </w:r>
      <w:r w:rsidRPr="000F75D1">
        <w:rPr>
          <w:rFonts w:cs="Arial"/>
          <w:lang w:val="en-GB" w:eastAsia="ja-JP"/>
        </w:rPr>
        <w:t xml:space="preserve"> is the angular velocity of the inner cylinder). The remaining surfaces were regarded as stationary walls. With respect to pressure, a zero gradient was imposed on all surfaces.</w:t>
      </w:r>
    </w:p>
    <w:p w14:paraId="1F5B6706" w14:textId="65664882" w:rsidR="00291C8A" w:rsidRDefault="00291C8A" w:rsidP="3316F1C0">
      <w:pPr>
        <w:pStyle w:val="CETBodytext"/>
        <w:rPr>
          <w:rFonts w:cs="Arial"/>
          <w:lang w:eastAsia="ja-JP"/>
        </w:rPr>
      </w:pPr>
      <w:r w:rsidRPr="00291C8A">
        <w:rPr>
          <w:rFonts w:cs="Arial"/>
          <w:noProof/>
          <w:lang w:val="en-GB" w:eastAsia="ja-JP"/>
        </w:rPr>
        <w:drawing>
          <wp:inline distT="0" distB="0" distL="0" distR="0" wp14:anchorId="697C55DA" wp14:editId="415EE4CF">
            <wp:extent cx="2163651" cy="73771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8828" cy="766756"/>
                    </a:xfrm>
                    <a:prstGeom prst="rect">
                      <a:avLst/>
                    </a:prstGeom>
                  </pic:spPr>
                </pic:pic>
              </a:graphicData>
            </a:graphic>
          </wp:inline>
        </w:drawing>
      </w:r>
    </w:p>
    <w:p w14:paraId="1FF88370" w14:textId="75008BDB" w:rsidR="000809D2" w:rsidRDefault="000809D2" w:rsidP="3316F1C0">
      <w:pPr>
        <w:pStyle w:val="CETBodytext"/>
        <w:rPr>
          <w:rFonts w:cs="Arial"/>
          <w:lang w:eastAsia="ja-JP"/>
        </w:rPr>
      </w:pPr>
      <w:r w:rsidRPr="00BD077D">
        <w:rPr>
          <w:rStyle w:val="CETCaptionCarattere"/>
        </w:rPr>
        <w:t xml:space="preserve">Figure 1: </w:t>
      </w:r>
      <w:r>
        <w:rPr>
          <w:rStyle w:val="CETCaptionCarattere"/>
        </w:rPr>
        <w:t>Computational domain</w:t>
      </w:r>
    </w:p>
    <w:p w14:paraId="46FD67F7" w14:textId="7A90929E" w:rsidR="006A4423" w:rsidRPr="0035443F" w:rsidRDefault="006A4423" w:rsidP="006A4423">
      <w:pPr>
        <w:pStyle w:val="CETTabletitle"/>
        <w:rPr>
          <w:lang w:val="en-US"/>
        </w:rPr>
      </w:pPr>
      <w:r w:rsidRPr="00B57B36">
        <w:t xml:space="preserve">Table 1: </w:t>
      </w:r>
      <w:r>
        <w:t>Geometrical parameters</w:t>
      </w:r>
      <w:r w:rsidR="0035443F">
        <w:rPr>
          <w:lang w:val="en-US"/>
        </w:rPr>
        <w:t xml:space="preserve"> for</w:t>
      </w:r>
      <w:r w:rsidR="000F75D1">
        <w:rPr>
          <w:lang w:val="en-US"/>
        </w:rPr>
        <w:t xml:space="preserve"> the</w:t>
      </w:r>
      <w:r w:rsidR="0035443F">
        <w:rPr>
          <w:lang w:val="en-US"/>
        </w:rPr>
        <w:t xml:space="preserve"> computational domain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7"/>
        <w:gridCol w:w="1417"/>
        <w:gridCol w:w="1417"/>
        <w:gridCol w:w="1417"/>
        <w:gridCol w:w="1417"/>
        <w:gridCol w:w="1417"/>
      </w:tblGrid>
      <w:tr w:rsidR="008E0B0C" w:rsidRPr="00B57B36" w14:paraId="07DA20DC" w14:textId="45BEC117" w:rsidTr="006330F1">
        <w:tc>
          <w:tcPr>
            <w:tcW w:w="1417" w:type="dxa"/>
            <w:tcBorders>
              <w:top w:val="single" w:sz="12" w:space="0" w:color="008000"/>
              <w:bottom w:val="single" w:sz="6" w:space="0" w:color="008000"/>
            </w:tcBorders>
            <w:shd w:val="clear" w:color="auto" w:fill="FFFFFF"/>
            <w:vAlign w:val="center"/>
          </w:tcPr>
          <w:p w14:paraId="028A55FC" w14:textId="3E0DA91C" w:rsidR="008E0B0C" w:rsidRPr="00B57B36" w:rsidRDefault="008E0B0C" w:rsidP="006330F1">
            <w:pPr>
              <w:pStyle w:val="CETBodytext"/>
              <w:jc w:val="center"/>
              <w:rPr>
                <w:lang w:val="en-GB"/>
              </w:rPr>
            </w:pPr>
            <w:r w:rsidRPr="00AA4D67">
              <w:rPr>
                <w:i/>
                <w:iCs/>
                <w:lang w:val="en-GB"/>
              </w:rPr>
              <w:t>R</w:t>
            </w:r>
            <w:r w:rsidRPr="00AA4D67">
              <w:rPr>
                <w:vertAlign w:val="subscript"/>
                <w:lang w:val="en-GB"/>
              </w:rPr>
              <w:t>i</w:t>
            </w:r>
            <w:r>
              <w:rPr>
                <w:lang w:val="en-GB"/>
              </w:rPr>
              <w:t xml:space="preserve"> [m]</w:t>
            </w:r>
          </w:p>
        </w:tc>
        <w:tc>
          <w:tcPr>
            <w:tcW w:w="1417" w:type="dxa"/>
            <w:tcBorders>
              <w:top w:val="single" w:sz="12" w:space="0" w:color="008000"/>
              <w:bottom w:val="single" w:sz="6" w:space="0" w:color="008000"/>
            </w:tcBorders>
            <w:shd w:val="clear" w:color="auto" w:fill="FFFFFF"/>
            <w:vAlign w:val="center"/>
          </w:tcPr>
          <w:p w14:paraId="10116391" w14:textId="01AF0154" w:rsidR="008E0B0C" w:rsidRPr="00B57B36" w:rsidRDefault="008E0B0C" w:rsidP="006330F1">
            <w:pPr>
              <w:pStyle w:val="CETBodytext"/>
              <w:jc w:val="center"/>
              <w:rPr>
                <w:lang w:val="en-GB"/>
              </w:rPr>
            </w:pPr>
            <w:r w:rsidRPr="00AA4D67">
              <w:rPr>
                <w:i/>
                <w:iCs/>
                <w:lang w:val="en-GB"/>
              </w:rPr>
              <w:t>R</w:t>
            </w:r>
            <w:r w:rsidRPr="00AA4D67">
              <w:rPr>
                <w:vertAlign w:val="subscript"/>
                <w:lang w:val="en-GB"/>
              </w:rPr>
              <w:t>o</w:t>
            </w:r>
            <w:r>
              <w:rPr>
                <w:lang w:val="en-GB"/>
              </w:rPr>
              <w:t xml:space="preserve"> [m]</w:t>
            </w:r>
          </w:p>
        </w:tc>
        <w:tc>
          <w:tcPr>
            <w:tcW w:w="1417" w:type="dxa"/>
            <w:tcBorders>
              <w:top w:val="single" w:sz="12" w:space="0" w:color="008000"/>
              <w:bottom w:val="single" w:sz="6" w:space="0" w:color="008000"/>
            </w:tcBorders>
            <w:shd w:val="clear" w:color="auto" w:fill="FFFFFF"/>
            <w:vAlign w:val="center"/>
          </w:tcPr>
          <w:p w14:paraId="06255BF1" w14:textId="7B7FEA70" w:rsidR="008E0B0C" w:rsidRPr="00B57B36" w:rsidRDefault="00EE0AAF" w:rsidP="006330F1">
            <w:pPr>
              <w:pStyle w:val="CETBodytext"/>
              <w:jc w:val="center"/>
              <w:rPr>
                <w:lang w:val="en-GB"/>
              </w:rPr>
            </w:pPr>
            <w:r w:rsidRPr="006330F1">
              <w:rPr>
                <w:i/>
                <w:iCs/>
                <w:lang w:val="en-GB"/>
              </w:rPr>
              <w:t>d</w:t>
            </w:r>
            <w:r>
              <w:rPr>
                <w:lang w:val="en-GB"/>
              </w:rPr>
              <w:t xml:space="preserve"> (= </w:t>
            </w:r>
            <w:r w:rsidRPr="006330F1">
              <w:rPr>
                <w:i/>
                <w:iCs/>
                <w:lang w:val="en-GB"/>
              </w:rPr>
              <w:t>R</w:t>
            </w:r>
            <w:r w:rsidRPr="006330F1">
              <w:rPr>
                <w:vertAlign w:val="subscript"/>
                <w:lang w:val="en-GB"/>
              </w:rPr>
              <w:t>o</w:t>
            </w:r>
            <w:r w:rsidR="005D6140">
              <w:rPr>
                <w:rFonts w:cs="Arial"/>
                <w:lang w:val="en-GB"/>
              </w:rPr>
              <w:t xml:space="preserve"> –</w:t>
            </w:r>
            <w:r w:rsidR="006330F1">
              <w:rPr>
                <w:rFonts w:cs="Arial"/>
                <w:lang w:val="en-GB"/>
              </w:rPr>
              <w:t xml:space="preserve"> </w:t>
            </w:r>
            <w:r w:rsidRPr="006330F1">
              <w:rPr>
                <w:i/>
                <w:iCs/>
                <w:lang w:val="en-GB"/>
              </w:rPr>
              <w:t>R</w:t>
            </w:r>
            <w:r w:rsidRPr="006330F1">
              <w:rPr>
                <w:vertAlign w:val="subscript"/>
                <w:lang w:val="en-GB"/>
              </w:rPr>
              <w:t>i</w:t>
            </w:r>
            <w:r>
              <w:rPr>
                <w:lang w:val="en-GB"/>
              </w:rPr>
              <w:t>) [m]</w:t>
            </w:r>
          </w:p>
        </w:tc>
        <w:tc>
          <w:tcPr>
            <w:tcW w:w="1417" w:type="dxa"/>
            <w:tcBorders>
              <w:top w:val="single" w:sz="12" w:space="0" w:color="008000"/>
              <w:bottom w:val="single" w:sz="6" w:space="0" w:color="008000"/>
            </w:tcBorders>
            <w:shd w:val="clear" w:color="auto" w:fill="FFFFFF"/>
            <w:vAlign w:val="center"/>
          </w:tcPr>
          <w:p w14:paraId="6244E1C0" w14:textId="3A7F2FB0" w:rsidR="008E0B0C" w:rsidRPr="00B57B36" w:rsidRDefault="008E0B0C" w:rsidP="006330F1">
            <w:pPr>
              <w:pStyle w:val="CETBodytext"/>
              <w:ind w:right="-1"/>
              <w:jc w:val="center"/>
              <w:rPr>
                <w:rFonts w:cs="Arial"/>
                <w:szCs w:val="18"/>
                <w:lang w:val="en-GB"/>
              </w:rPr>
            </w:pPr>
            <w:r w:rsidRPr="00AA4D67">
              <w:rPr>
                <w:rFonts w:cs="Arial" w:hint="eastAsia"/>
                <w:i/>
                <w:iCs/>
                <w:szCs w:val="18"/>
                <w:lang w:val="en-GB"/>
              </w:rPr>
              <w:t>L</w:t>
            </w:r>
            <w:r w:rsidR="00013F09">
              <w:rPr>
                <w:rFonts w:cs="Arial"/>
                <w:szCs w:val="18"/>
                <w:lang w:val="en-GB"/>
              </w:rPr>
              <w:t xml:space="preserve"> [m]</w:t>
            </w:r>
          </w:p>
        </w:tc>
        <w:tc>
          <w:tcPr>
            <w:tcW w:w="1417" w:type="dxa"/>
            <w:tcBorders>
              <w:top w:val="single" w:sz="12" w:space="0" w:color="008000"/>
              <w:bottom w:val="single" w:sz="6" w:space="0" w:color="008000"/>
            </w:tcBorders>
            <w:shd w:val="clear" w:color="auto" w:fill="FFFFFF"/>
            <w:vAlign w:val="center"/>
          </w:tcPr>
          <w:p w14:paraId="07955B3E" w14:textId="467C044B" w:rsidR="008E0B0C" w:rsidRPr="00B57B36" w:rsidRDefault="00EE0AAF" w:rsidP="006330F1">
            <w:pPr>
              <w:pStyle w:val="CETBodytext"/>
              <w:ind w:right="-1"/>
              <w:jc w:val="center"/>
              <w:rPr>
                <w:rFonts w:cs="Arial"/>
                <w:szCs w:val="18"/>
                <w:lang w:val="en-GB"/>
              </w:rPr>
            </w:pPr>
            <w:r w:rsidRPr="00061988">
              <w:rPr>
                <w:rFonts w:ascii="Symbol" w:hAnsi="Symbol" w:cs="Arial"/>
                <w:i/>
                <w:iCs/>
                <w:szCs w:val="18"/>
                <w:lang w:val="en-GB"/>
              </w:rPr>
              <w:t>e</w:t>
            </w:r>
            <w:r>
              <w:rPr>
                <w:rFonts w:cs="Arial"/>
                <w:szCs w:val="18"/>
                <w:lang w:val="en-GB"/>
              </w:rPr>
              <w:t xml:space="preserve"> (=</w:t>
            </w:r>
            <w:r w:rsidR="002177AF">
              <w:rPr>
                <w:rFonts w:cs="Arial"/>
                <w:szCs w:val="18"/>
                <w:lang w:val="en-GB"/>
              </w:rPr>
              <w:t xml:space="preserve"> </w:t>
            </w:r>
            <w:r w:rsidR="002177AF" w:rsidRPr="00061988">
              <w:rPr>
                <w:rFonts w:cs="Arial"/>
                <w:i/>
                <w:iCs/>
                <w:szCs w:val="18"/>
                <w:lang w:val="en-GB"/>
              </w:rPr>
              <w:t>R</w:t>
            </w:r>
            <w:r w:rsidR="002177AF" w:rsidRPr="00F432E2">
              <w:rPr>
                <w:rFonts w:cs="Arial"/>
                <w:szCs w:val="18"/>
                <w:vertAlign w:val="subscript"/>
                <w:lang w:val="en-GB"/>
              </w:rPr>
              <w:t>i</w:t>
            </w:r>
            <w:r w:rsidR="00F432E2">
              <w:rPr>
                <w:rFonts w:cs="Arial"/>
                <w:szCs w:val="18"/>
                <w:lang w:val="en-GB"/>
              </w:rPr>
              <w:t xml:space="preserve"> </w:t>
            </w:r>
            <w:r w:rsidR="002177AF">
              <w:rPr>
                <w:rFonts w:cs="Arial"/>
                <w:szCs w:val="18"/>
                <w:lang w:val="en-GB"/>
              </w:rPr>
              <w:t>/</w:t>
            </w:r>
            <w:r w:rsidR="00F432E2">
              <w:rPr>
                <w:rFonts w:cs="Arial"/>
                <w:szCs w:val="18"/>
                <w:lang w:val="en-GB"/>
              </w:rPr>
              <w:t xml:space="preserve"> </w:t>
            </w:r>
            <w:r w:rsidR="002177AF" w:rsidRPr="00061988">
              <w:rPr>
                <w:rFonts w:cs="Arial"/>
                <w:i/>
                <w:iCs/>
                <w:szCs w:val="18"/>
                <w:lang w:val="en-GB"/>
              </w:rPr>
              <w:t>R</w:t>
            </w:r>
            <w:r w:rsidR="002177AF" w:rsidRPr="00061988">
              <w:rPr>
                <w:rFonts w:cs="Arial"/>
                <w:szCs w:val="18"/>
                <w:vertAlign w:val="subscript"/>
                <w:lang w:val="en-GB"/>
              </w:rPr>
              <w:t>o</w:t>
            </w:r>
            <w:r w:rsidR="002177AF">
              <w:rPr>
                <w:rFonts w:cs="Arial"/>
                <w:szCs w:val="18"/>
                <w:lang w:val="en-GB"/>
              </w:rPr>
              <w:t>) [</w:t>
            </w:r>
            <w:r w:rsidR="006330F1">
              <w:rPr>
                <w:rFonts w:cs="Arial"/>
                <w:lang w:val="en-GB"/>
              </w:rPr>
              <w:t>–</w:t>
            </w:r>
            <w:r w:rsidR="002177AF">
              <w:rPr>
                <w:rFonts w:cs="Arial"/>
                <w:szCs w:val="18"/>
                <w:lang w:val="en-GB"/>
              </w:rPr>
              <w:t>]</w:t>
            </w:r>
          </w:p>
        </w:tc>
        <w:tc>
          <w:tcPr>
            <w:tcW w:w="1417" w:type="dxa"/>
            <w:tcBorders>
              <w:top w:val="single" w:sz="12" w:space="0" w:color="008000"/>
              <w:bottom w:val="single" w:sz="6" w:space="0" w:color="008000"/>
            </w:tcBorders>
            <w:shd w:val="clear" w:color="auto" w:fill="FFFFFF"/>
            <w:vAlign w:val="center"/>
          </w:tcPr>
          <w:p w14:paraId="42027003" w14:textId="1EBD865E" w:rsidR="008E0B0C" w:rsidRDefault="008E0B0C" w:rsidP="006330F1">
            <w:pPr>
              <w:pStyle w:val="CETBodytext"/>
              <w:ind w:right="-1"/>
              <w:jc w:val="center"/>
              <w:rPr>
                <w:rFonts w:cs="Arial"/>
                <w:szCs w:val="18"/>
                <w:lang w:val="en-GB"/>
              </w:rPr>
            </w:pPr>
            <w:r w:rsidRPr="00F432E2">
              <w:rPr>
                <w:rFonts w:ascii="Symbol" w:hAnsi="Symbol" w:cs="Arial"/>
                <w:i/>
                <w:iCs/>
                <w:szCs w:val="18"/>
                <w:lang w:val="en-GB"/>
              </w:rPr>
              <w:t>G</w:t>
            </w:r>
            <w:r w:rsidR="002177AF">
              <w:rPr>
                <w:rFonts w:cs="Arial"/>
                <w:szCs w:val="18"/>
                <w:lang w:val="en-GB"/>
              </w:rPr>
              <w:t xml:space="preserve"> (= </w:t>
            </w:r>
            <w:r w:rsidR="002177AF" w:rsidRPr="00F432E2">
              <w:rPr>
                <w:rFonts w:cs="Arial"/>
                <w:i/>
                <w:iCs/>
                <w:szCs w:val="18"/>
                <w:lang w:val="en-GB"/>
              </w:rPr>
              <w:t>L</w:t>
            </w:r>
            <w:r w:rsidR="002177AF">
              <w:rPr>
                <w:rFonts w:cs="Arial"/>
                <w:szCs w:val="18"/>
                <w:lang w:val="en-GB"/>
              </w:rPr>
              <w:t xml:space="preserve"> / </w:t>
            </w:r>
            <w:r w:rsidR="002177AF" w:rsidRPr="00F432E2">
              <w:rPr>
                <w:rFonts w:cs="Arial"/>
                <w:i/>
                <w:iCs/>
                <w:szCs w:val="18"/>
                <w:lang w:val="en-GB"/>
              </w:rPr>
              <w:t>d</w:t>
            </w:r>
            <w:r w:rsidR="002177AF">
              <w:rPr>
                <w:rFonts w:cs="Arial"/>
                <w:szCs w:val="18"/>
                <w:lang w:val="en-GB"/>
              </w:rPr>
              <w:t>) [</w:t>
            </w:r>
            <w:r w:rsidR="006330F1">
              <w:rPr>
                <w:rFonts w:cs="Arial"/>
                <w:lang w:val="en-GB"/>
              </w:rPr>
              <w:t>–</w:t>
            </w:r>
            <w:r w:rsidR="002177AF">
              <w:rPr>
                <w:rFonts w:cs="Arial"/>
                <w:szCs w:val="18"/>
                <w:lang w:val="en-GB"/>
              </w:rPr>
              <w:t>]</w:t>
            </w:r>
          </w:p>
        </w:tc>
      </w:tr>
      <w:tr w:rsidR="008E0B0C" w:rsidRPr="00B57B36" w14:paraId="03EC3668" w14:textId="4C2BB482" w:rsidTr="006330F1">
        <w:tc>
          <w:tcPr>
            <w:tcW w:w="1417" w:type="dxa"/>
            <w:shd w:val="clear" w:color="auto" w:fill="FFFFFF"/>
            <w:vAlign w:val="center"/>
          </w:tcPr>
          <w:p w14:paraId="7C103F06" w14:textId="5081B6DF" w:rsidR="008E0B0C" w:rsidRPr="00B57B36" w:rsidRDefault="005C78C2" w:rsidP="006330F1">
            <w:pPr>
              <w:pStyle w:val="CETBodytext"/>
              <w:ind w:right="-1"/>
              <w:jc w:val="center"/>
              <w:rPr>
                <w:rFonts w:cs="Arial"/>
                <w:szCs w:val="18"/>
                <w:lang w:val="en-GB"/>
              </w:rPr>
            </w:pPr>
            <w:r>
              <w:rPr>
                <w:rFonts w:cs="Arial" w:hint="eastAsia"/>
                <w:szCs w:val="18"/>
                <w:lang w:val="en-GB"/>
              </w:rPr>
              <w:t>0</w:t>
            </w:r>
            <w:r>
              <w:rPr>
                <w:rFonts w:cs="Arial"/>
                <w:szCs w:val="18"/>
                <w:lang w:val="en-GB"/>
              </w:rPr>
              <w:t>.0125</w:t>
            </w:r>
          </w:p>
        </w:tc>
        <w:tc>
          <w:tcPr>
            <w:tcW w:w="1417" w:type="dxa"/>
            <w:shd w:val="clear" w:color="auto" w:fill="FFFFFF"/>
            <w:vAlign w:val="center"/>
          </w:tcPr>
          <w:p w14:paraId="164ED1DA" w14:textId="2E5A1051" w:rsidR="008E0B0C" w:rsidRPr="00B57B36" w:rsidRDefault="005C78C2" w:rsidP="006330F1">
            <w:pPr>
              <w:pStyle w:val="CETBodytext"/>
              <w:ind w:right="-1"/>
              <w:jc w:val="center"/>
              <w:rPr>
                <w:rFonts w:cs="Arial"/>
                <w:szCs w:val="18"/>
                <w:lang w:val="en-GB"/>
              </w:rPr>
            </w:pPr>
            <w:r>
              <w:rPr>
                <w:rFonts w:cs="Arial" w:hint="eastAsia"/>
                <w:szCs w:val="18"/>
                <w:lang w:val="en-GB"/>
              </w:rPr>
              <w:t>0</w:t>
            </w:r>
            <w:r>
              <w:rPr>
                <w:rFonts w:cs="Arial"/>
                <w:szCs w:val="18"/>
                <w:lang w:val="en-GB"/>
              </w:rPr>
              <w:t>.0175</w:t>
            </w:r>
          </w:p>
        </w:tc>
        <w:tc>
          <w:tcPr>
            <w:tcW w:w="1417" w:type="dxa"/>
            <w:shd w:val="clear" w:color="auto" w:fill="FFFFFF"/>
            <w:vAlign w:val="center"/>
          </w:tcPr>
          <w:p w14:paraId="68D557A8" w14:textId="51D08495" w:rsidR="008E0B0C" w:rsidRPr="00B57B36" w:rsidRDefault="005C78C2" w:rsidP="006330F1">
            <w:pPr>
              <w:pStyle w:val="CETBodytext"/>
              <w:ind w:right="-1"/>
              <w:jc w:val="center"/>
              <w:rPr>
                <w:rFonts w:cs="Arial"/>
                <w:szCs w:val="18"/>
                <w:lang w:val="en-GB"/>
              </w:rPr>
            </w:pPr>
            <w:r>
              <w:rPr>
                <w:rFonts w:cs="Arial" w:hint="eastAsia"/>
                <w:szCs w:val="18"/>
                <w:lang w:val="en-GB"/>
              </w:rPr>
              <w:t>0</w:t>
            </w:r>
            <w:r>
              <w:rPr>
                <w:rFonts w:cs="Arial"/>
                <w:szCs w:val="18"/>
                <w:lang w:val="en-GB"/>
              </w:rPr>
              <w:t>.005</w:t>
            </w:r>
          </w:p>
        </w:tc>
        <w:tc>
          <w:tcPr>
            <w:tcW w:w="1417" w:type="dxa"/>
            <w:shd w:val="clear" w:color="auto" w:fill="FFFFFF"/>
            <w:vAlign w:val="center"/>
          </w:tcPr>
          <w:p w14:paraId="5B90C276" w14:textId="65277270" w:rsidR="008E0B0C" w:rsidRPr="00B57B36" w:rsidRDefault="005C78C2" w:rsidP="006330F1">
            <w:pPr>
              <w:pStyle w:val="CETBodytext"/>
              <w:ind w:right="-1"/>
              <w:jc w:val="center"/>
              <w:rPr>
                <w:rFonts w:cs="Arial"/>
                <w:szCs w:val="18"/>
                <w:lang w:val="en-GB"/>
              </w:rPr>
            </w:pPr>
            <w:r>
              <w:rPr>
                <w:rFonts w:cs="Arial" w:hint="eastAsia"/>
                <w:szCs w:val="18"/>
                <w:lang w:val="en-GB"/>
              </w:rPr>
              <w:t>0</w:t>
            </w:r>
            <w:r>
              <w:rPr>
                <w:rFonts w:cs="Arial"/>
                <w:szCs w:val="18"/>
                <w:lang w:val="en-GB"/>
              </w:rPr>
              <w:t>.15</w:t>
            </w:r>
          </w:p>
        </w:tc>
        <w:tc>
          <w:tcPr>
            <w:tcW w:w="1417" w:type="dxa"/>
            <w:shd w:val="clear" w:color="auto" w:fill="FFFFFF"/>
            <w:vAlign w:val="center"/>
          </w:tcPr>
          <w:p w14:paraId="5B81216D" w14:textId="584716C1" w:rsidR="008E0B0C" w:rsidRPr="00B57B36" w:rsidRDefault="005C78C2" w:rsidP="006330F1">
            <w:pPr>
              <w:pStyle w:val="CETBodytext"/>
              <w:ind w:right="-1"/>
              <w:jc w:val="center"/>
              <w:rPr>
                <w:rFonts w:cs="Arial"/>
                <w:szCs w:val="18"/>
                <w:lang w:val="en-GB"/>
              </w:rPr>
            </w:pPr>
            <w:r>
              <w:rPr>
                <w:rFonts w:cs="Arial" w:hint="eastAsia"/>
                <w:szCs w:val="18"/>
                <w:lang w:val="en-GB"/>
              </w:rPr>
              <w:t>0</w:t>
            </w:r>
            <w:r>
              <w:rPr>
                <w:rFonts w:cs="Arial"/>
                <w:szCs w:val="18"/>
                <w:lang w:val="en-GB"/>
              </w:rPr>
              <w:t>.71</w:t>
            </w:r>
          </w:p>
        </w:tc>
        <w:tc>
          <w:tcPr>
            <w:tcW w:w="1417" w:type="dxa"/>
            <w:shd w:val="clear" w:color="auto" w:fill="FFFFFF"/>
            <w:vAlign w:val="center"/>
          </w:tcPr>
          <w:p w14:paraId="43B8CC79" w14:textId="60D862C0" w:rsidR="008E0B0C" w:rsidRPr="00B57B36" w:rsidRDefault="005C78C2" w:rsidP="006330F1">
            <w:pPr>
              <w:pStyle w:val="CETBodytext"/>
              <w:ind w:right="-1"/>
              <w:jc w:val="center"/>
              <w:rPr>
                <w:rFonts w:cs="Arial"/>
                <w:szCs w:val="18"/>
                <w:lang w:val="en-GB"/>
              </w:rPr>
            </w:pPr>
            <w:r>
              <w:rPr>
                <w:rFonts w:cs="Arial" w:hint="eastAsia"/>
                <w:szCs w:val="18"/>
                <w:lang w:val="en-GB"/>
              </w:rPr>
              <w:t>1</w:t>
            </w:r>
            <w:r>
              <w:rPr>
                <w:rFonts w:cs="Arial"/>
                <w:szCs w:val="18"/>
                <w:lang w:val="en-GB"/>
              </w:rPr>
              <w:t>5</w:t>
            </w:r>
          </w:p>
        </w:tc>
      </w:tr>
    </w:tbl>
    <w:p w14:paraId="121BF089" w14:textId="77777777" w:rsidR="00305158" w:rsidRPr="00146783" w:rsidRDefault="00305158" w:rsidP="227C2129">
      <w:pPr>
        <w:pStyle w:val="CETBodytext"/>
        <w:rPr>
          <w:rFonts w:cs="Arial"/>
          <w:lang w:eastAsia="ja-JP"/>
        </w:rPr>
      </w:pPr>
    </w:p>
    <w:p w14:paraId="7745AD92" w14:textId="29BF566C" w:rsidR="57EE6A74" w:rsidRDefault="00D60F56" w:rsidP="57EE6A74">
      <w:pPr>
        <w:pStyle w:val="CETBodytext"/>
        <w:rPr>
          <w:rFonts w:cs="Arial"/>
          <w:lang w:val="en-GB"/>
        </w:rPr>
      </w:pPr>
      <w:r w:rsidRPr="00D60F56">
        <w:rPr>
          <w:rFonts w:cs="Arial" w:hint="eastAsia"/>
          <w:lang w:val="en-GB"/>
        </w:rPr>
        <w:t>T</w:t>
      </w:r>
      <w:r w:rsidRPr="00D60F56">
        <w:rPr>
          <w:rFonts w:cs="Arial"/>
          <w:lang w:val="en-GB"/>
        </w:rPr>
        <w:t xml:space="preserve">he governing equations for the fluid flow are the conservation equations for mass and momentum, given in </w:t>
      </w:r>
      <w:proofErr w:type="spellStart"/>
      <w:r w:rsidRPr="00D60F56">
        <w:rPr>
          <w:rFonts w:cs="Arial"/>
          <w:lang w:val="en-GB"/>
        </w:rPr>
        <w:t>Eqs</w:t>
      </w:r>
      <w:proofErr w:type="spellEnd"/>
      <w:r w:rsidRPr="00D60F56">
        <w:rPr>
          <w:rFonts w:cs="Arial"/>
          <w:lang w:val="en-GB"/>
        </w:rPr>
        <w:t>. (1) and (2), respectively:</w:t>
      </w:r>
    </w:p>
    <w:tbl>
      <w:tblPr>
        <w:tblW w:w="5000" w:type="pct"/>
        <w:tblLook w:val="04A0" w:firstRow="1" w:lastRow="0" w:firstColumn="1" w:lastColumn="0" w:noHBand="0" w:noVBand="1"/>
      </w:tblPr>
      <w:tblGrid>
        <w:gridCol w:w="7982"/>
        <w:gridCol w:w="805"/>
      </w:tblGrid>
      <w:tr w:rsidR="00537F85" w:rsidRPr="00B57B36" w14:paraId="2687D502" w14:textId="77777777" w:rsidTr="005638A7">
        <w:tc>
          <w:tcPr>
            <w:tcW w:w="7982" w:type="dxa"/>
            <w:shd w:val="clear" w:color="auto" w:fill="auto"/>
            <w:vAlign w:val="center"/>
          </w:tcPr>
          <w:p w14:paraId="3E30BB59" w14:textId="50C853A0" w:rsidR="00537F85" w:rsidRPr="00B57B36" w:rsidRDefault="005638A7" w:rsidP="00777C97">
            <w:pPr>
              <w:pStyle w:val="CETEquation"/>
            </w:pPr>
            <m:oMathPara>
              <m:oMath>
                <m:r>
                  <m:rPr>
                    <m:sty m:val="p"/>
                  </m:rPr>
                  <w:rPr>
                    <w:rFonts w:ascii="Cambria Math" w:hAnsi="Cambria Math"/>
                  </w:rPr>
                  <m:t>∇</m:t>
                </m:r>
                <m:r>
                  <w:rPr>
                    <w:rFonts w:ascii="Cambria Math" w:hAnsi="Cambria Math"/>
                  </w:rPr>
                  <m:t>∙</m:t>
                </m:r>
                <m:r>
                  <m:rPr>
                    <m:sty m:val="b"/>
                  </m:rPr>
                  <w:rPr>
                    <w:rFonts w:ascii="Cambria Math" w:hAnsi="Cambria Math"/>
                  </w:rPr>
                  <m:t>u</m:t>
                </m:r>
                <m:r>
                  <w:rPr>
                    <w:rFonts w:ascii="Cambria Math" w:hAnsi="Cambria Math"/>
                  </w:rPr>
                  <m:t>=0</m:t>
                </m:r>
              </m:oMath>
            </m:oMathPara>
          </w:p>
        </w:tc>
        <w:tc>
          <w:tcPr>
            <w:tcW w:w="805" w:type="dxa"/>
            <w:shd w:val="clear" w:color="auto" w:fill="auto"/>
            <w:vAlign w:val="center"/>
          </w:tcPr>
          <w:p w14:paraId="6E9007CA" w14:textId="77777777" w:rsidR="00537F85" w:rsidRPr="00B57B36" w:rsidRDefault="00537F85" w:rsidP="00777C97">
            <w:pPr>
              <w:pStyle w:val="CETEquation"/>
              <w:jc w:val="right"/>
            </w:pPr>
            <w:r w:rsidRPr="00B57B36">
              <w:t>(1)</w:t>
            </w:r>
          </w:p>
        </w:tc>
      </w:tr>
      <w:tr w:rsidR="005638A7" w:rsidRPr="00B57B36" w14:paraId="520D4E19" w14:textId="77777777" w:rsidTr="005638A7">
        <w:tc>
          <w:tcPr>
            <w:tcW w:w="7982" w:type="dxa"/>
            <w:shd w:val="clear" w:color="auto" w:fill="auto"/>
            <w:vAlign w:val="center"/>
          </w:tcPr>
          <w:p w14:paraId="1E3D272D" w14:textId="62F2248B" w:rsidR="005638A7" w:rsidRPr="005638A7" w:rsidRDefault="00000000" w:rsidP="00777C97">
            <w:pPr>
              <w:pStyle w:val="CETEquation"/>
              <w:rPr>
                <w:rFonts w:ascii="Cambria Math" w:hAnsi="Cambria Math"/>
                <w:oMath/>
              </w:rPr>
            </w:pPr>
            <m:oMathPara>
              <m:oMath>
                <m:f>
                  <m:fPr>
                    <m:ctrlPr>
                      <w:rPr>
                        <w:rFonts w:ascii="Cambria Math" w:hAnsi="Cambria Math" w:cs="Arial"/>
                        <w:i/>
                        <w:iCs/>
                      </w:rPr>
                    </m:ctrlPr>
                  </m:fPr>
                  <m:num>
                    <m:r>
                      <w:rPr>
                        <w:rFonts w:ascii="Cambria Math" w:hAnsi="Cambria Math" w:cs="Arial"/>
                      </w:rPr>
                      <m:t>∂</m:t>
                    </m:r>
                    <m:r>
                      <m:rPr>
                        <m:sty m:val="b"/>
                      </m:rPr>
                      <w:rPr>
                        <w:rFonts w:ascii="Cambria Math" w:hAnsi="Cambria Math" w:cs="Arial"/>
                      </w:rPr>
                      <m:t>u</m:t>
                    </m:r>
                  </m:num>
                  <m:den>
                    <m:r>
                      <w:rPr>
                        <w:rFonts w:ascii="Cambria Math" w:hAnsi="Cambria Math" w:cs="Arial"/>
                      </w:rPr>
                      <m:t>∂t</m:t>
                    </m:r>
                  </m:den>
                </m:f>
                <m:r>
                  <m:rPr>
                    <m:sty m:val="p"/>
                  </m:rPr>
                  <w:rPr>
                    <w:rFonts w:ascii="Cambria Math" w:hAnsi="Cambria Math" w:cs="Arial"/>
                  </w:rPr>
                  <m:t>+</m:t>
                </m:r>
                <m:d>
                  <m:dPr>
                    <m:ctrlPr>
                      <w:rPr>
                        <w:rFonts w:ascii="Cambria Math" w:hAnsi="Cambria Math" w:cs="Arial"/>
                        <w:i/>
                        <w:iCs/>
                      </w:rPr>
                    </m:ctrlPr>
                  </m:dPr>
                  <m:e>
                    <m:r>
                      <m:rPr>
                        <m:sty m:val="b"/>
                      </m:rPr>
                      <w:rPr>
                        <w:rFonts w:ascii="Cambria Math" w:hAnsi="Cambria Math" w:cs="Arial"/>
                      </w:rPr>
                      <m:t>u</m:t>
                    </m:r>
                    <m:r>
                      <m:rPr>
                        <m:sty m:val="p"/>
                      </m:rPr>
                      <w:rPr>
                        <w:rFonts w:ascii="Cambria Math" w:hAnsi="Cambria Math" w:cs="Arial"/>
                      </w:rPr>
                      <m:t>∙∇</m:t>
                    </m:r>
                  </m:e>
                </m:d>
                <m:r>
                  <m:rPr>
                    <m:sty m:val="b"/>
                  </m:rPr>
                  <w:rPr>
                    <w:rFonts w:ascii="Cambria Math" w:hAnsi="Cambria Math" w:cs="Arial"/>
                  </w:rPr>
                  <m:t>u</m:t>
                </m:r>
                <m:r>
                  <m:rPr>
                    <m:sty m:val="p"/>
                  </m:rPr>
                  <w:rPr>
                    <w:rFonts w:ascii="Cambria Math" w:hAnsi="Cambria Math" w:cs="Arial"/>
                  </w:rPr>
                  <m:t>=-</m:t>
                </m:r>
                <m:f>
                  <m:fPr>
                    <m:ctrlPr>
                      <w:rPr>
                        <w:rFonts w:ascii="Cambria Math" w:hAnsi="Cambria Math" w:cs="Arial"/>
                        <w:i/>
                        <w:iCs/>
                      </w:rPr>
                    </m:ctrlPr>
                  </m:fPr>
                  <m:num>
                    <m:r>
                      <w:rPr>
                        <w:rFonts w:ascii="Cambria Math" w:hAnsi="Cambria Math" w:cs="Arial"/>
                      </w:rPr>
                      <m:t>∇P</m:t>
                    </m:r>
                  </m:num>
                  <m:den>
                    <m:r>
                      <w:rPr>
                        <w:rFonts w:ascii="Cambria Math" w:hAnsi="Cambria Math" w:cs="Arial"/>
                      </w:rPr>
                      <m:t>ρ</m:t>
                    </m:r>
                  </m:den>
                </m:f>
                <m:r>
                  <m:rPr>
                    <m:sty m:val="p"/>
                  </m:rPr>
                  <w:rPr>
                    <w:rFonts w:ascii="Cambria Math" w:hAnsi="Cambria Math" w:cs="Arial"/>
                  </w:rPr>
                  <m:t>+</m:t>
                </m:r>
                <m:f>
                  <m:fPr>
                    <m:ctrlPr>
                      <w:rPr>
                        <w:rFonts w:ascii="Cambria Math" w:hAnsi="Cambria Math" w:cs="Arial"/>
                        <w:i/>
                        <w:iCs/>
                      </w:rPr>
                    </m:ctrlPr>
                  </m:fPr>
                  <m:num>
                    <m:r>
                      <m:rPr>
                        <m:sty m:val="p"/>
                      </m:rPr>
                      <w:rPr>
                        <w:rFonts w:ascii="Cambria Math" w:hAnsi="Cambria Math" w:cs="Arial"/>
                      </w:rPr>
                      <m:t>1</m:t>
                    </m:r>
                  </m:num>
                  <m:den>
                    <m:r>
                      <w:rPr>
                        <w:rFonts w:ascii="Cambria Math" w:hAnsi="Cambria Math" w:cs="Arial"/>
                      </w:rPr>
                      <m:t>ρ</m:t>
                    </m:r>
                  </m:den>
                </m:f>
                <m:r>
                  <m:rPr>
                    <m:sty m:val="p"/>
                  </m:rPr>
                  <w:rPr>
                    <w:rFonts w:ascii="Cambria Math" w:hAnsi="Cambria Math" w:cs="Arial"/>
                  </w:rPr>
                  <m:t>∇∙</m:t>
                </m:r>
                <m:d>
                  <m:dPr>
                    <m:ctrlPr>
                      <w:rPr>
                        <w:rFonts w:ascii="Cambria Math" w:hAnsi="Cambria Math" w:cs="Arial"/>
                        <w:i/>
                        <w:iCs/>
                      </w:rPr>
                    </m:ctrlPr>
                  </m:dPr>
                  <m:e>
                    <m:r>
                      <m:rPr>
                        <m:sty m:val="p"/>
                      </m:rPr>
                      <w:rPr>
                        <w:rFonts w:ascii="Cambria Math" w:hAnsi="Cambria Math" w:cs="Arial"/>
                      </w:rPr>
                      <m:t>2</m:t>
                    </m:r>
                    <m:r>
                      <w:rPr>
                        <w:rFonts w:ascii="Cambria Math" w:hAnsi="Cambria Math" w:cs="Arial"/>
                      </w:rPr>
                      <m:t>η</m:t>
                    </m:r>
                    <m:r>
                      <m:rPr>
                        <m:sty m:val="b"/>
                      </m:rPr>
                      <w:rPr>
                        <w:rFonts w:ascii="Cambria Math" w:hAnsi="Cambria Math" w:cs="Arial"/>
                      </w:rPr>
                      <m:t>D</m:t>
                    </m:r>
                  </m:e>
                </m:d>
                <m:r>
                  <m:rPr>
                    <m:sty m:val="p"/>
                  </m:rPr>
                  <w:rPr>
                    <w:rFonts w:ascii="Cambria Math" w:hAnsi="Cambria Math" w:cs="Arial"/>
                  </w:rPr>
                  <m:t>+</m:t>
                </m:r>
                <m:r>
                  <m:rPr>
                    <m:sty m:val="b"/>
                  </m:rPr>
                  <w:rPr>
                    <w:rFonts w:ascii="Cambria Math" w:hAnsi="Cambria Math" w:cs="Arial"/>
                  </w:rPr>
                  <m:t>g</m:t>
                </m:r>
              </m:oMath>
            </m:oMathPara>
          </w:p>
        </w:tc>
        <w:tc>
          <w:tcPr>
            <w:tcW w:w="805" w:type="dxa"/>
            <w:shd w:val="clear" w:color="auto" w:fill="auto"/>
            <w:vAlign w:val="center"/>
          </w:tcPr>
          <w:p w14:paraId="2B14A511" w14:textId="20CB59D8" w:rsidR="005638A7" w:rsidRPr="00B57B36" w:rsidRDefault="005638A7" w:rsidP="00777C97">
            <w:pPr>
              <w:pStyle w:val="CETEquation"/>
              <w:jc w:val="right"/>
            </w:pPr>
            <w:r w:rsidRPr="00B57B36">
              <w:t>(</w:t>
            </w:r>
            <w:r>
              <w:t>2</w:t>
            </w:r>
            <w:r w:rsidRPr="00B57B36">
              <w:t>)</w:t>
            </w:r>
          </w:p>
        </w:tc>
      </w:tr>
    </w:tbl>
    <w:p w14:paraId="2CE0A80B" w14:textId="195B0332" w:rsidR="00A64435" w:rsidRPr="005638A7" w:rsidRDefault="00D60F56" w:rsidP="38400D7D">
      <w:pPr>
        <w:pStyle w:val="CETBodytext"/>
        <w:rPr>
          <w:rFonts w:cs="Arial"/>
          <w:lang w:val="en-GB"/>
        </w:rPr>
      </w:pPr>
      <w:r w:rsidRPr="00D60F56">
        <w:rPr>
          <w:rFonts w:cs="Arial"/>
          <w:lang w:val="en-GB"/>
        </w:rPr>
        <w:t xml:space="preserve">where </w:t>
      </w:r>
      <w:r w:rsidRPr="00D60F56">
        <w:rPr>
          <w:rFonts w:cs="Arial"/>
          <w:b/>
          <w:bCs/>
          <w:lang w:val="en-GB"/>
        </w:rPr>
        <w:t>u</w:t>
      </w:r>
      <w:r w:rsidRPr="00D60F56">
        <w:rPr>
          <w:rFonts w:cs="Arial"/>
          <w:lang w:val="en-GB"/>
        </w:rPr>
        <w:t xml:space="preserve"> is velocity; </w:t>
      </w:r>
      <w:r w:rsidRPr="00D60F56">
        <w:rPr>
          <w:rFonts w:cs="Arial"/>
          <w:i/>
          <w:iCs/>
          <w:lang w:val="en-GB"/>
        </w:rPr>
        <w:t>t</w:t>
      </w:r>
      <w:r w:rsidRPr="00D60F56">
        <w:rPr>
          <w:rFonts w:cs="Arial"/>
          <w:lang w:val="en-GB"/>
        </w:rPr>
        <w:t xml:space="preserve"> is time; </w:t>
      </w:r>
      <w:r w:rsidRPr="00D60F56">
        <w:rPr>
          <w:rFonts w:cs="Arial"/>
          <w:i/>
          <w:iCs/>
          <w:lang w:val="en-GB"/>
        </w:rPr>
        <w:t>P</w:t>
      </w:r>
      <w:r w:rsidRPr="00D60F56">
        <w:rPr>
          <w:rFonts w:cs="Arial"/>
          <w:lang w:val="en-GB"/>
        </w:rPr>
        <w:t xml:space="preserve"> is pressure; </w:t>
      </w:r>
      <w:r w:rsidRPr="006E3D48">
        <w:rPr>
          <w:rFonts w:ascii="Symbol" w:hAnsi="Symbol" w:cs="Arial"/>
          <w:i/>
          <w:iCs/>
          <w:lang w:val="en-GB"/>
        </w:rPr>
        <w:t>r</w:t>
      </w:r>
      <w:r w:rsidRPr="00D60F56">
        <w:rPr>
          <w:rFonts w:cs="Arial"/>
          <w:lang w:val="en-GB"/>
        </w:rPr>
        <w:t xml:space="preserve"> is the density; </w:t>
      </w:r>
      <w:r w:rsidRPr="006E3D48">
        <w:rPr>
          <w:rFonts w:ascii="Symbol" w:hAnsi="Symbol" w:cs="Arial"/>
          <w:i/>
          <w:iCs/>
          <w:lang w:val="en-GB"/>
        </w:rPr>
        <w:t>h</w:t>
      </w:r>
      <w:r w:rsidRPr="00D60F56">
        <w:rPr>
          <w:rFonts w:cs="Arial"/>
          <w:lang w:val="en-GB"/>
        </w:rPr>
        <w:t xml:space="preserve"> is the viscosity; </w:t>
      </w:r>
      <w:r w:rsidRPr="00D60F56">
        <w:rPr>
          <w:rFonts w:cs="Arial"/>
          <w:b/>
          <w:bCs/>
          <w:lang w:val="en-GB"/>
        </w:rPr>
        <w:t xml:space="preserve">D </w:t>
      </w:r>
      <w:r w:rsidRPr="00D60F56">
        <w:rPr>
          <w:rFonts w:cs="Arial"/>
          <w:lang w:val="en-GB"/>
        </w:rPr>
        <w:t>is the deformation rate tensor, defined by (</w:t>
      </w:r>
      <w:r w:rsidRPr="3316F1C0">
        <w:rPr>
          <w:rFonts w:ascii="Symbol" w:eastAsia="Symbol" w:hAnsi="Symbol" w:cs="Symbol"/>
          <w:lang w:val="en-GB"/>
        </w:rPr>
        <w:t>Ñ</w:t>
      </w:r>
      <w:r w:rsidRPr="00D60F56">
        <w:rPr>
          <w:rFonts w:cs="Arial"/>
          <w:b/>
          <w:bCs/>
          <w:lang w:val="en-GB"/>
        </w:rPr>
        <w:t>u</w:t>
      </w:r>
      <w:r w:rsidRPr="00D60F56">
        <w:rPr>
          <w:rFonts w:cs="Arial"/>
          <w:lang w:val="en-GB"/>
        </w:rPr>
        <w:t xml:space="preserve"> + </w:t>
      </w:r>
      <w:r w:rsidRPr="3316F1C0">
        <w:rPr>
          <w:rFonts w:ascii="Symbol" w:eastAsia="Symbol" w:hAnsi="Symbol" w:cs="Symbol"/>
          <w:lang w:val="en-GB"/>
        </w:rPr>
        <w:t>Ñ</w:t>
      </w:r>
      <w:proofErr w:type="spellStart"/>
      <w:r w:rsidRPr="00D60F56">
        <w:rPr>
          <w:rFonts w:cs="Arial"/>
          <w:b/>
          <w:bCs/>
          <w:lang w:val="en-GB"/>
        </w:rPr>
        <w:t>u</w:t>
      </w:r>
      <w:r w:rsidRPr="00D60F56">
        <w:rPr>
          <w:rFonts w:cs="Arial"/>
          <w:vertAlign w:val="superscript"/>
          <w:lang w:val="en-GB"/>
        </w:rPr>
        <w:t>T</w:t>
      </w:r>
      <w:proofErr w:type="spellEnd"/>
      <w:r w:rsidRPr="00D60F56">
        <w:rPr>
          <w:rFonts w:cs="Arial"/>
          <w:lang w:val="en-GB"/>
        </w:rPr>
        <w:t>)</w:t>
      </w:r>
      <w:r>
        <w:rPr>
          <w:rFonts w:cs="Arial"/>
          <w:lang w:val="en-GB"/>
        </w:rPr>
        <w:t xml:space="preserve"> </w:t>
      </w:r>
      <w:r w:rsidRPr="00D60F56">
        <w:rPr>
          <w:rFonts w:cs="Arial"/>
          <w:lang w:val="en-GB"/>
        </w:rPr>
        <w:t>/</w:t>
      </w:r>
      <w:r>
        <w:rPr>
          <w:rFonts w:cs="Arial"/>
          <w:lang w:val="en-GB"/>
        </w:rPr>
        <w:t xml:space="preserve"> </w:t>
      </w:r>
      <w:r w:rsidRPr="00D60F56">
        <w:rPr>
          <w:rFonts w:cs="Arial"/>
          <w:lang w:val="en-GB"/>
        </w:rPr>
        <w:t xml:space="preserve">2; and </w:t>
      </w:r>
      <w:r w:rsidRPr="00D60F56">
        <w:rPr>
          <w:rFonts w:cs="Arial"/>
          <w:b/>
          <w:bCs/>
          <w:lang w:val="en-GB"/>
        </w:rPr>
        <w:t>g</w:t>
      </w:r>
      <w:r w:rsidRPr="00D60F56">
        <w:rPr>
          <w:rFonts w:cs="Arial"/>
          <w:lang w:val="en-GB"/>
        </w:rPr>
        <w:t xml:space="preserve"> is the gravitational acceleration.</w:t>
      </w:r>
    </w:p>
    <w:p w14:paraId="5B0EC55B" w14:textId="69E72F05" w:rsidR="00CD0B48" w:rsidRDefault="00CD0B48" w:rsidP="38400D7D">
      <w:pPr>
        <w:pStyle w:val="CETBodytext"/>
        <w:rPr>
          <w:rFonts w:cs="Arial"/>
          <w:lang w:val="en-GB"/>
        </w:rPr>
      </w:pPr>
      <w:r w:rsidRPr="000809D2">
        <w:rPr>
          <w:rFonts w:cs="Arial"/>
          <w:noProof/>
          <w:lang w:val="en-GB" w:eastAsia="ja-JP"/>
        </w:rPr>
        <w:drawing>
          <wp:inline distT="0" distB="0" distL="0" distR="0" wp14:anchorId="42AD68D3" wp14:editId="53925798">
            <wp:extent cx="2127624" cy="1339238"/>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7624" cy="1339238"/>
                    </a:xfrm>
                    <a:prstGeom prst="rect">
                      <a:avLst/>
                    </a:prstGeom>
                  </pic:spPr>
                </pic:pic>
              </a:graphicData>
            </a:graphic>
          </wp:inline>
        </w:drawing>
      </w:r>
    </w:p>
    <w:p w14:paraId="1614A371" w14:textId="77777777" w:rsidR="00CD0B48" w:rsidRDefault="00CD0B48" w:rsidP="00CD0B48">
      <w:pPr>
        <w:pStyle w:val="CETBodytext"/>
        <w:rPr>
          <w:rFonts w:cs="Arial"/>
          <w:lang w:eastAsia="ja-JP"/>
        </w:rPr>
      </w:pPr>
      <w:r w:rsidRPr="00BD077D">
        <w:rPr>
          <w:rStyle w:val="CETCaptionCarattere"/>
        </w:rPr>
        <w:t xml:space="preserve">Figure </w:t>
      </w:r>
      <w:r>
        <w:rPr>
          <w:rStyle w:val="CETCaptionCarattere"/>
        </w:rPr>
        <w:t>2</w:t>
      </w:r>
      <w:r w:rsidRPr="00BD077D">
        <w:rPr>
          <w:rStyle w:val="CETCaptionCarattere"/>
        </w:rPr>
        <w:t xml:space="preserve">: </w:t>
      </w:r>
      <w:r>
        <w:rPr>
          <w:rStyle w:val="CETCaptionCarattere"/>
        </w:rPr>
        <w:t>Rheological properties of fluids used in this study</w:t>
      </w:r>
    </w:p>
    <w:p w14:paraId="6503B50C" w14:textId="77777777" w:rsidR="00CD0B48" w:rsidRDefault="00CD0B48" w:rsidP="38400D7D">
      <w:pPr>
        <w:pStyle w:val="CETBodytext"/>
        <w:rPr>
          <w:rFonts w:cs="Arial"/>
          <w:lang w:val="en-GB"/>
        </w:rPr>
      </w:pPr>
    </w:p>
    <w:p w14:paraId="224CBAFC" w14:textId="1C135330" w:rsidR="00A64435" w:rsidRPr="005638A7" w:rsidRDefault="00C65FE5" w:rsidP="38400D7D">
      <w:pPr>
        <w:pStyle w:val="CETBodytext"/>
        <w:rPr>
          <w:rFonts w:cs="Arial"/>
          <w:lang w:val="en-GB"/>
        </w:rPr>
      </w:pPr>
      <w:r w:rsidRPr="00C65FE5">
        <w:rPr>
          <w:rFonts w:cs="Arial"/>
          <w:lang w:val="en-GB"/>
        </w:rPr>
        <w:t xml:space="preserve">In this study, two types of fluids were used: Newtonian and shear-thinning. The rheological properties of these two fluids are shown in Figure 2. To characterize the rheological properties, the </w:t>
      </w:r>
      <w:proofErr w:type="spellStart"/>
      <w:r w:rsidRPr="00C65FE5">
        <w:rPr>
          <w:rFonts w:cs="Arial"/>
          <w:lang w:val="en-GB"/>
        </w:rPr>
        <w:t>Carreau</w:t>
      </w:r>
      <w:proofErr w:type="spellEnd"/>
      <w:r w:rsidRPr="00C65FE5">
        <w:rPr>
          <w:rFonts w:cs="Arial"/>
          <w:lang w:val="en-GB"/>
        </w:rPr>
        <w:t xml:space="preserve"> model (</w:t>
      </w:r>
      <w:proofErr w:type="spellStart"/>
      <w:r w:rsidRPr="00C65FE5">
        <w:rPr>
          <w:rFonts w:cs="Arial"/>
          <w:lang w:val="en-GB"/>
        </w:rPr>
        <w:t>Carreau</w:t>
      </w:r>
      <w:proofErr w:type="spellEnd"/>
      <w:r w:rsidRPr="00C65FE5">
        <w:rPr>
          <w:rFonts w:cs="Arial"/>
          <w:lang w:val="en-GB"/>
        </w:rPr>
        <w:t>, 1972) shown in Eq. (3) was used.</w:t>
      </w:r>
    </w:p>
    <w:tbl>
      <w:tblPr>
        <w:tblW w:w="5000" w:type="pct"/>
        <w:tblLook w:val="04A0" w:firstRow="1" w:lastRow="0" w:firstColumn="1" w:lastColumn="0" w:noHBand="0" w:noVBand="1"/>
      </w:tblPr>
      <w:tblGrid>
        <w:gridCol w:w="7982"/>
        <w:gridCol w:w="805"/>
      </w:tblGrid>
      <w:tr w:rsidR="00575BFC" w:rsidRPr="00B57B36" w14:paraId="53EF7FEA" w14:textId="77777777" w:rsidTr="0003563D">
        <w:tc>
          <w:tcPr>
            <w:tcW w:w="7982" w:type="dxa"/>
            <w:shd w:val="clear" w:color="auto" w:fill="auto"/>
            <w:vAlign w:val="center"/>
          </w:tcPr>
          <w:p w14:paraId="0106AAB0" w14:textId="3B694D84" w:rsidR="00575BFC" w:rsidRPr="00B57B36" w:rsidRDefault="00575BFC" w:rsidP="0003563D">
            <w:pPr>
              <w:pStyle w:val="CETEquation"/>
            </w:pPr>
            <m:oMathPara>
              <m:oMath>
                <m:r>
                  <w:rPr>
                    <w:rFonts w:ascii="Cambria Math" w:hAnsi="Cambria Math"/>
                    <w:lang w:val="en-US"/>
                  </w:rPr>
                  <m:t>η=</m:t>
                </m:r>
                <m:sSub>
                  <m:sSubPr>
                    <m:ctrlPr>
                      <w:rPr>
                        <w:rFonts w:ascii="Cambria Math" w:hAnsi="Cambria Math"/>
                        <w:i/>
                        <w:iCs/>
                        <w:lang w:val="en-US"/>
                      </w:rPr>
                    </m:ctrlPr>
                  </m:sSubPr>
                  <m:e>
                    <m:r>
                      <w:rPr>
                        <w:rFonts w:ascii="Cambria Math" w:hAnsi="Cambria Math"/>
                        <w:lang w:val="en-US"/>
                      </w:rPr>
                      <m:t>η</m:t>
                    </m:r>
                  </m:e>
                  <m:sub>
                    <m:r>
                      <w:rPr>
                        <w:rFonts w:ascii="Cambria Math" w:hAnsi="Cambria Math"/>
                        <w:lang w:val="en-US"/>
                      </w:rPr>
                      <m:t>0</m:t>
                    </m:r>
                  </m:sub>
                </m:sSub>
                <m:sSup>
                  <m:sSupPr>
                    <m:ctrlPr>
                      <w:rPr>
                        <w:rFonts w:ascii="Cambria Math" w:hAnsi="Cambria Math"/>
                        <w:i/>
                        <w:iCs/>
                        <w:lang w:val="en-US"/>
                      </w:rPr>
                    </m:ctrlPr>
                  </m:sSupPr>
                  <m:e>
                    <m:d>
                      <m:dPr>
                        <m:begChr m:val="["/>
                        <m:endChr m:val="]"/>
                        <m:ctrlPr>
                          <w:rPr>
                            <w:rFonts w:ascii="Cambria Math" w:hAnsi="Cambria Math"/>
                            <w:i/>
                            <w:iCs/>
                            <w:lang w:val="en-US"/>
                          </w:rPr>
                        </m:ctrlPr>
                      </m:dPr>
                      <m:e>
                        <m:r>
                          <w:rPr>
                            <w:rFonts w:ascii="Cambria Math" w:hAnsi="Cambria Math"/>
                            <w:lang w:val="en-US"/>
                          </w:rPr>
                          <m:t>1+</m:t>
                        </m:r>
                        <m:sSup>
                          <m:sSupPr>
                            <m:ctrlPr>
                              <w:rPr>
                                <w:rFonts w:ascii="Cambria Math" w:hAnsi="Cambria Math"/>
                                <w:i/>
                                <w:iCs/>
                                <w:lang w:val="en-US"/>
                              </w:rPr>
                            </m:ctrlPr>
                          </m:sSupPr>
                          <m:e>
                            <m:d>
                              <m:dPr>
                                <m:ctrlPr>
                                  <w:rPr>
                                    <w:rFonts w:ascii="Cambria Math" w:hAnsi="Cambria Math"/>
                                    <w:i/>
                                    <w:iCs/>
                                    <w:lang w:val="en-US"/>
                                  </w:rPr>
                                </m:ctrlPr>
                              </m:dPr>
                              <m:e>
                                <m:r>
                                  <w:rPr>
                                    <w:rFonts w:ascii="Cambria Math" w:hAnsi="Cambria Math"/>
                                    <w:lang w:val="en-US"/>
                                  </w:rPr>
                                  <m:t>β∙</m:t>
                                </m:r>
                                <m:acc>
                                  <m:accPr>
                                    <m:chr m:val="̇"/>
                                    <m:ctrlPr>
                                      <w:rPr>
                                        <w:rFonts w:ascii="Cambria Math" w:hAnsi="Cambria Math"/>
                                        <w:i/>
                                        <w:lang w:val="en-US"/>
                                      </w:rPr>
                                    </m:ctrlPr>
                                  </m:accPr>
                                  <m:e>
                                    <m:r>
                                      <w:rPr>
                                        <w:rFonts w:ascii="Cambria Math" w:hAnsi="Cambria Math"/>
                                        <w:lang w:val="en-US"/>
                                      </w:rPr>
                                      <m:t>γ</m:t>
                                    </m:r>
                                  </m:e>
                                </m:acc>
                              </m:e>
                            </m:d>
                          </m:e>
                          <m:sup>
                            <m:r>
                              <w:rPr>
                                <w:rFonts w:ascii="Cambria Math" w:hAnsi="Cambria Math"/>
                                <w:lang w:val="en-US"/>
                              </w:rPr>
                              <m:t>2</m:t>
                            </m:r>
                          </m:sup>
                        </m:sSup>
                      </m:e>
                    </m:d>
                  </m:e>
                  <m:sup>
                    <m:d>
                      <m:dPr>
                        <m:ctrlPr>
                          <w:rPr>
                            <w:rFonts w:ascii="Cambria Math" w:hAnsi="Cambria Math"/>
                            <w:i/>
                            <w:iCs/>
                            <w:lang w:val="en-US"/>
                          </w:rPr>
                        </m:ctrlPr>
                      </m:dPr>
                      <m:e>
                        <m:r>
                          <w:rPr>
                            <w:rFonts w:ascii="Cambria Math" w:hAnsi="Cambria Math"/>
                            <w:lang w:val="en-US"/>
                          </w:rPr>
                          <m:t>n-1</m:t>
                        </m:r>
                      </m:e>
                    </m:d>
                    <m:r>
                      <m:rPr>
                        <m:lit/>
                      </m:rPr>
                      <w:rPr>
                        <w:rFonts w:ascii="Cambria Math" w:hAnsi="Cambria Math"/>
                        <w:lang w:val="en-US"/>
                      </w:rPr>
                      <m:t>/</m:t>
                    </m:r>
                    <m:r>
                      <w:rPr>
                        <w:rFonts w:ascii="Cambria Math" w:hAnsi="Cambria Math"/>
                        <w:lang w:val="en-US"/>
                      </w:rPr>
                      <m:t>2</m:t>
                    </m:r>
                  </m:sup>
                </m:sSup>
              </m:oMath>
            </m:oMathPara>
          </w:p>
        </w:tc>
        <w:tc>
          <w:tcPr>
            <w:tcW w:w="805" w:type="dxa"/>
            <w:shd w:val="clear" w:color="auto" w:fill="auto"/>
            <w:vAlign w:val="center"/>
          </w:tcPr>
          <w:p w14:paraId="77CECF31" w14:textId="124FC1CC" w:rsidR="00575BFC" w:rsidRPr="00B57B36" w:rsidRDefault="00575BFC" w:rsidP="0003563D">
            <w:pPr>
              <w:pStyle w:val="CETEquation"/>
              <w:jc w:val="right"/>
            </w:pPr>
            <w:r w:rsidRPr="00B57B36">
              <w:t>(</w:t>
            </w:r>
            <w:r>
              <w:t>3</w:t>
            </w:r>
            <w:r w:rsidRPr="00B57B36">
              <w:t>)</w:t>
            </w:r>
          </w:p>
        </w:tc>
      </w:tr>
    </w:tbl>
    <w:p w14:paraId="2179C1C0" w14:textId="779C3D81" w:rsidR="00C65FE5" w:rsidRPr="00C65FE5" w:rsidRDefault="00C65FE5" w:rsidP="00C65FE5">
      <w:pPr>
        <w:pStyle w:val="CETBodytext"/>
        <w:rPr>
          <w:rFonts w:cs="Arial"/>
        </w:rPr>
      </w:pPr>
      <w:r w:rsidRPr="00C65FE5">
        <w:rPr>
          <w:rFonts w:cs="Arial"/>
        </w:rPr>
        <w:lastRenderedPageBreak/>
        <w:t xml:space="preserve">where </w:t>
      </w:r>
      <w:r w:rsidRPr="00C65FE5">
        <w:rPr>
          <w:rFonts w:ascii="Symbol" w:hAnsi="Symbol" w:cs="Arial"/>
          <w:i/>
        </w:rPr>
        <w:t>h</w:t>
      </w:r>
      <w:r w:rsidRPr="00C65FE5">
        <w:rPr>
          <w:rFonts w:cs="Arial"/>
          <w:vertAlign w:val="subscript"/>
        </w:rPr>
        <w:t>0</w:t>
      </w:r>
      <w:r w:rsidRPr="00C65FE5">
        <w:rPr>
          <w:rFonts w:cs="Arial"/>
        </w:rPr>
        <w:t xml:space="preserve"> is the zero shear</w:t>
      </w:r>
      <w:r>
        <w:rPr>
          <w:rFonts w:cs="Arial"/>
        </w:rPr>
        <w:t>-</w:t>
      </w:r>
      <w:r w:rsidRPr="00C65FE5">
        <w:rPr>
          <w:rFonts w:cs="Arial"/>
        </w:rPr>
        <w:t xml:space="preserve">rate viscosity; </w:t>
      </w:r>
      <w:r w:rsidRPr="00C65FE5">
        <w:rPr>
          <w:rFonts w:ascii="Symbol" w:hAnsi="Symbol" w:cs="Arial"/>
          <w:i/>
        </w:rPr>
        <w:t>b</w:t>
      </w:r>
      <w:r w:rsidRPr="00C65FE5">
        <w:rPr>
          <w:rFonts w:cs="Arial"/>
        </w:rPr>
        <w:t xml:space="preserve"> is the characteristic time; </w:t>
      </w:r>
      <m:oMath>
        <m:acc>
          <m:accPr>
            <m:chr m:val="̇"/>
            <m:ctrlPr>
              <w:rPr>
                <w:rFonts w:ascii="Cambria Math" w:hAnsi="Cambria Math" w:cs="Arial"/>
                <w:i/>
              </w:rPr>
            </m:ctrlPr>
          </m:accPr>
          <m:e>
            <m:r>
              <w:rPr>
                <w:rFonts w:ascii="Cambria Math" w:hAnsi="Cambria Math" w:cs="Arial"/>
              </w:rPr>
              <m:t>γ</m:t>
            </m:r>
          </m:e>
        </m:acc>
      </m:oMath>
      <w:r w:rsidRPr="00C65FE5">
        <w:rPr>
          <w:rFonts w:cs="Arial"/>
        </w:rPr>
        <w:t xml:space="preserve"> is the shear</w:t>
      </w:r>
      <w:r>
        <w:rPr>
          <w:rFonts w:cs="Arial"/>
        </w:rPr>
        <w:t>-</w:t>
      </w:r>
      <w:r w:rsidRPr="00C65FE5">
        <w:rPr>
          <w:rFonts w:cs="Arial"/>
        </w:rPr>
        <w:t xml:space="preserve">rate, defined as </w:t>
      </w:r>
      <m:oMath>
        <m:acc>
          <m:accPr>
            <m:chr m:val="̇"/>
            <m:ctrlPr>
              <w:rPr>
                <w:rFonts w:ascii="Cambria Math" w:hAnsi="Cambria Math" w:cs="Arial"/>
                <w:i/>
              </w:rPr>
            </m:ctrlPr>
          </m:accPr>
          <m:e>
            <m:r>
              <w:rPr>
                <w:rFonts w:ascii="Cambria Math" w:hAnsi="Cambria Math" w:cs="Arial"/>
              </w:rPr>
              <m:t>γ</m:t>
            </m:r>
          </m:e>
        </m:acc>
        <m:r>
          <m:rPr>
            <m:sty m:val="p"/>
          </m:rPr>
          <w:rPr>
            <w:rFonts w:ascii="Cambria Math" w:hAnsi="Cambria Math" w:cs="Arial"/>
          </w:rPr>
          <m:t>=</m:t>
        </m:r>
        <m:rad>
          <m:radPr>
            <m:degHide m:val="1"/>
            <m:ctrlPr>
              <w:rPr>
                <w:rFonts w:ascii="Cambria Math" w:hAnsi="Cambria Math" w:cs="Arial"/>
              </w:rPr>
            </m:ctrlPr>
          </m:radPr>
          <m:deg/>
          <m:e>
            <m:r>
              <w:rPr>
                <w:rFonts w:ascii="Cambria Math" w:hAnsi="Cambria Math" w:cs="Arial"/>
              </w:rPr>
              <m:t>2</m:t>
            </m:r>
            <m:r>
              <m:rPr>
                <m:sty m:val="b"/>
              </m:rPr>
              <w:rPr>
                <w:rFonts w:ascii="Cambria Math" w:hAnsi="Cambria Math" w:cs="Arial"/>
              </w:rPr>
              <m:t>D</m:t>
            </m:r>
            <m:r>
              <w:rPr>
                <w:rFonts w:ascii="Cambria Math" w:hAnsi="Cambria Math" w:cs="Arial"/>
              </w:rPr>
              <m:t>:</m:t>
            </m:r>
            <m:r>
              <m:rPr>
                <m:sty m:val="b"/>
              </m:rPr>
              <w:rPr>
                <w:rFonts w:ascii="Cambria Math" w:hAnsi="Cambria Math" w:cs="Arial"/>
              </w:rPr>
              <m:t>D</m:t>
            </m:r>
          </m:e>
        </m:rad>
      </m:oMath>
      <w:r w:rsidRPr="00C65FE5">
        <w:rPr>
          <w:rFonts w:cs="Arial"/>
        </w:rPr>
        <w:t xml:space="preserve">; </w:t>
      </w:r>
      <w:r w:rsidRPr="00C65FE5">
        <w:rPr>
          <w:rFonts w:cs="Arial"/>
          <w:i/>
        </w:rPr>
        <w:t>n</w:t>
      </w:r>
      <w:r w:rsidRPr="00C65FE5">
        <w:rPr>
          <w:rFonts w:cs="Arial"/>
        </w:rPr>
        <w:t xml:space="preserve">is the power-law exponent. The value of </w:t>
      </w:r>
      <w:r w:rsidRPr="00C65FE5">
        <w:rPr>
          <w:rFonts w:ascii="Symbol" w:hAnsi="Symbol" w:cs="Arial"/>
          <w:i/>
          <w:iCs/>
        </w:rPr>
        <w:t>b</w:t>
      </w:r>
      <w:r w:rsidRPr="00C65FE5">
        <w:rPr>
          <w:rFonts w:cs="Arial"/>
        </w:rPr>
        <w:t xml:space="preserve"> determines the shear</w:t>
      </w:r>
      <w:r>
        <w:rPr>
          <w:rFonts w:cs="Arial"/>
        </w:rPr>
        <w:t>-</w:t>
      </w:r>
      <w:r w:rsidRPr="00C65FE5">
        <w:rPr>
          <w:rFonts w:cs="Arial"/>
        </w:rPr>
        <w:t xml:space="preserve">rate at which viscosity begins to decrease. If the value of </w:t>
      </w:r>
      <w:r w:rsidRPr="00C65FE5">
        <w:rPr>
          <w:rFonts w:ascii="Symbol" w:hAnsi="Symbol" w:cs="Arial"/>
          <w:i/>
          <w:iCs/>
        </w:rPr>
        <w:t>b</w:t>
      </w:r>
      <w:r w:rsidRPr="00C65FE5">
        <w:rPr>
          <w:rFonts w:cs="Arial"/>
        </w:rPr>
        <w:t xml:space="preserve"> is too small, the shear-thinning behavior will not appear. In this study, the value of </w:t>
      </w:r>
      <w:r w:rsidRPr="00C65FE5">
        <w:rPr>
          <w:rFonts w:ascii="Symbol" w:hAnsi="Symbol" w:cs="Arial"/>
          <w:i/>
          <w:iCs/>
        </w:rPr>
        <w:t>b</w:t>
      </w:r>
      <w:r w:rsidRPr="00C65FE5">
        <w:rPr>
          <w:rFonts w:cs="Arial"/>
        </w:rPr>
        <w:t xml:space="preserve"> was set to 10 s to allow the emergence under a moderate shear</w:t>
      </w:r>
      <w:r>
        <w:rPr>
          <w:rFonts w:cs="Arial"/>
        </w:rPr>
        <w:t>-</w:t>
      </w:r>
      <w:r w:rsidRPr="00C65FE5">
        <w:rPr>
          <w:rFonts w:cs="Arial"/>
        </w:rPr>
        <w:t xml:space="preserve">rate flow such as the Taylor–Couette flow. For the value of </w:t>
      </w:r>
      <w:r w:rsidRPr="00C65FE5">
        <w:rPr>
          <w:rFonts w:cs="Arial"/>
          <w:i/>
          <w:iCs/>
        </w:rPr>
        <w:t>n</w:t>
      </w:r>
      <w:r w:rsidRPr="00C65FE5">
        <w:rPr>
          <w:rFonts w:cs="Arial"/>
        </w:rPr>
        <w:t xml:space="preserve">, which expresses the degree of viscosity decrease, the condition </w:t>
      </w:r>
      <w:r w:rsidRPr="00C65FE5">
        <w:rPr>
          <w:rFonts w:cs="Arial"/>
          <w:i/>
          <w:iCs/>
        </w:rPr>
        <w:t>n</w:t>
      </w:r>
      <w:r w:rsidRPr="00C65FE5">
        <w:rPr>
          <w:rFonts w:cs="Arial"/>
        </w:rPr>
        <w:t xml:space="preserve"> = 0.5 was selected as the moderate shear-thinning fluid. It was noted that </w:t>
      </w:r>
      <w:r w:rsidRPr="00C65FE5">
        <w:rPr>
          <w:rFonts w:cs="Arial"/>
          <w:i/>
          <w:iCs/>
        </w:rPr>
        <w:t>n</w:t>
      </w:r>
      <w:r w:rsidRPr="00C65FE5">
        <w:rPr>
          <w:rFonts w:cs="Arial"/>
        </w:rPr>
        <w:t xml:space="preserve"> = 1 corresponds to a Newtonian fluid.</w:t>
      </w:r>
    </w:p>
    <w:p w14:paraId="05EAFD8F" w14:textId="08D63BDB" w:rsidR="00B749DC" w:rsidRDefault="00C65FE5" w:rsidP="00C65FE5">
      <w:pPr>
        <w:pStyle w:val="CETBodytext"/>
        <w:rPr>
          <w:rFonts w:cs="Arial"/>
          <w:lang w:eastAsia="ja-JP"/>
        </w:rPr>
      </w:pPr>
      <w:r w:rsidRPr="00C65FE5">
        <w:rPr>
          <w:rFonts w:cs="Arial"/>
          <w:lang w:val="en-GB"/>
        </w:rPr>
        <w:t xml:space="preserve">Owing to the dependence of the viscosity on the shear rate, the definition of </w:t>
      </w:r>
      <w:r w:rsidRPr="00C65FE5">
        <w:rPr>
          <w:rFonts w:cs="Arial"/>
          <w:i/>
          <w:iCs/>
          <w:lang w:val="en-GB"/>
        </w:rPr>
        <w:t>Re</w:t>
      </w:r>
      <w:r w:rsidRPr="00C65FE5">
        <w:rPr>
          <w:rFonts w:cs="Arial"/>
          <w:lang w:val="en-GB"/>
        </w:rPr>
        <w:t xml:space="preserve"> is complicated in shear-thinning fluids. For practicality, the effective </w:t>
      </w:r>
      <w:r w:rsidRPr="00C65FE5">
        <w:rPr>
          <w:rFonts w:cs="Arial"/>
          <w:i/>
          <w:iCs/>
          <w:lang w:val="en-GB"/>
        </w:rPr>
        <w:t>Re</w:t>
      </w:r>
      <w:r w:rsidRPr="00C65FE5">
        <w:rPr>
          <w:rFonts w:cs="Arial"/>
          <w:lang w:val="en-GB"/>
        </w:rPr>
        <w:t xml:space="preserve">, </w:t>
      </w:r>
      <w:proofErr w:type="spellStart"/>
      <w:r w:rsidRPr="00C65FE5">
        <w:rPr>
          <w:rFonts w:cs="Arial"/>
          <w:i/>
          <w:iCs/>
          <w:lang w:val="en-GB"/>
        </w:rPr>
        <w:t>Re</w:t>
      </w:r>
      <w:r w:rsidRPr="00C65FE5">
        <w:rPr>
          <w:rFonts w:cs="Arial"/>
          <w:vertAlign w:val="subscript"/>
          <w:lang w:val="en-GB"/>
        </w:rPr>
        <w:t>eff</w:t>
      </w:r>
      <w:proofErr w:type="spellEnd"/>
      <w:r w:rsidRPr="00C65FE5">
        <w:rPr>
          <w:rFonts w:cs="Arial"/>
          <w:lang w:val="en-GB"/>
        </w:rPr>
        <w:t xml:space="preserve">, is defined using the effective viscosity, </w:t>
      </w:r>
      <w:r w:rsidRPr="00C65FE5">
        <w:rPr>
          <w:rFonts w:ascii="Symbol" w:hAnsi="Symbol" w:cs="Arial"/>
          <w:i/>
          <w:iCs/>
          <w:lang w:val="en-GB"/>
        </w:rPr>
        <w:t>h</w:t>
      </w:r>
      <w:r w:rsidRPr="00C65FE5">
        <w:rPr>
          <w:rFonts w:cs="Arial"/>
          <w:vertAlign w:val="subscript"/>
          <w:lang w:val="en-GB"/>
        </w:rPr>
        <w:t>eff</w:t>
      </w:r>
      <w:r w:rsidRPr="00C65FE5">
        <w:rPr>
          <w:rFonts w:cs="Arial"/>
          <w:lang w:val="en-GB"/>
        </w:rPr>
        <w:t>, which corresponds to the effective shear</w:t>
      </w:r>
      <w:r>
        <w:rPr>
          <w:rFonts w:cs="Arial"/>
          <w:lang w:val="en-GB"/>
        </w:rPr>
        <w:t>-</w:t>
      </w:r>
      <w:r w:rsidRPr="00C65FE5">
        <w:rPr>
          <w:rFonts w:cs="Arial"/>
          <w:lang w:val="en-GB"/>
        </w:rPr>
        <w:t xml:space="preserve">rate,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γ</m:t>
                </m:r>
              </m:e>
            </m:acc>
          </m:e>
          <m:sub>
            <m:r>
              <m:rPr>
                <m:sty m:val="p"/>
              </m:rPr>
              <w:rPr>
                <w:rFonts w:ascii="Cambria Math" w:hAnsi="Cambria Math" w:cs="Arial"/>
                <w:lang w:val="en-GB"/>
              </w:rPr>
              <m:t>eff</m:t>
            </m:r>
          </m:sub>
        </m:sSub>
      </m:oMath>
      <w:r w:rsidRPr="00C65FE5">
        <w:rPr>
          <w:rFonts w:cs="Arial" w:hint="eastAsia"/>
          <w:lang w:val="en-GB"/>
        </w:rPr>
        <w:t>.</w:t>
      </w:r>
      <w:r w:rsidRPr="00C65FE5">
        <w:rPr>
          <w:rFonts w:cs="Arial"/>
          <w:lang w:val="en-GB"/>
        </w:rPr>
        <w:t xml:space="preserve"> In this study,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γ</m:t>
                </m:r>
              </m:e>
            </m:acc>
          </m:e>
          <m:sub>
            <m:r>
              <m:rPr>
                <m:sty m:val="p"/>
              </m:rPr>
              <w:rPr>
                <w:rFonts w:ascii="Cambria Math" w:hAnsi="Cambria Math" w:cs="Arial"/>
                <w:lang w:val="en-GB"/>
              </w:rPr>
              <m:t>eff</m:t>
            </m:r>
          </m:sub>
        </m:sSub>
      </m:oMath>
      <w:r w:rsidRPr="00C65FE5">
        <w:rPr>
          <w:rFonts w:cs="Arial" w:hint="eastAsia"/>
          <w:lang w:val="en-GB"/>
        </w:rPr>
        <w:t xml:space="preserve"> </w:t>
      </w:r>
      <w:r w:rsidRPr="00C65FE5">
        <w:rPr>
          <w:rFonts w:cs="Arial"/>
          <w:lang w:val="en-GB"/>
        </w:rPr>
        <w:t>was calculated using the empirical equation proposed by Masuda et al. (2017b) as follows:</w:t>
      </w:r>
    </w:p>
    <w:tbl>
      <w:tblPr>
        <w:tblW w:w="5000" w:type="pct"/>
        <w:tblLook w:val="04A0" w:firstRow="1" w:lastRow="0" w:firstColumn="1" w:lastColumn="0" w:noHBand="0" w:noVBand="1"/>
      </w:tblPr>
      <w:tblGrid>
        <w:gridCol w:w="7982"/>
        <w:gridCol w:w="805"/>
      </w:tblGrid>
      <w:tr w:rsidR="007416E1" w:rsidRPr="00B57B36" w14:paraId="0856F0D9" w14:textId="77777777" w:rsidTr="00777C97">
        <w:tc>
          <w:tcPr>
            <w:tcW w:w="7982" w:type="dxa"/>
            <w:shd w:val="clear" w:color="auto" w:fill="auto"/>
            <w:vAlign w:val="center"/>
          </w:tcPr>
          <w:p w14:paraId="425C8502" w14:textId="6D47EB1C" w:rsidR="007416E1" w:rsidRPr="00B57B36" w:rsidRDefault="00000000" w:rsidP="00777C97">
            <w:pPr>
              <w:pStyle w:val="CETEquation"/>
            </w:pPr>
            <m:oMathPara>
              <m:oMath>
                <m:sSub>
                  <m:sSubPr>
                    <m:ctrlPr>
                      <w:rPr>
                        <w:rFonts w:ascii="Cambria Math" w:hAnsi="Cambria Math" w:cs="Arial"/>
                        <w:i/>
                        <w:lang w:val="en-US" w:eastAsia="ja-JP"/>
                      </w:rPr>
                    </m:ctrlPr>
                  </m:sSubPr>
                  <m:e>
                    <m:acc>
                      <m:accPr>
                        <m:chr m:val="̇"/>
                        <m:ctrlPr>
                          <w:rPr>
                            <w:rFonts w:ascii="Cambria Math" w:hAnsi="Cambria Math" w:cs="Arial"/>
                            <w:i/>
                            <w:lang w:val="en-US" w:eastAsia="ja-JP"/>
                          </w:rPr>
                        </m:ctrlPr>
                      </m:accPr>
                      <m:e>
                        <m:r>
                          <w:rPr>
                            <w:rFonts w:ascii="Cambria Math" w:hAnsi="Cambria Math" w:cs="Arial"/>
                            <w:lang w:eastAsia="ja-JP"/>
                          </w:rPr>
                          <m:t>γ</m:t>
                        </m:r>
                      </m:e>
                    </m:acc>
                  </m:e>
                  <m:sub>
                    <m:r>
                      <m:rPr>
                        <m:sty m:val="p"/>
                      </m:rPr>
                      <w:rPr>
                        <w:rFonts w:ascii="Cambria Math" w:hAnsi="Cambria Math" w:cs="Arial"/>
                        <w:lang w:eastAsia="ja-JP"/>
                      </w:rPr>
                      <m:t>eff</m:t>
                    </m:r>
                  </m:sub>
                </m:sSub>
                <m:r>
                  <w:rPr>
                    <w:rFonts w:ascii="Cambria Math" w:hAnsi="Cambria Math" w:cs="Arial"/>
                    <w:lang w:val="en-US" w:eastAsia="ja-JP"/>
                  </w:rPr>
                  <m:t>=</m:t>
                </m:r>
                <m:d>
                  <m:dPr>
                    <m:ctrlPr>
                      <w:rPr>
                        <w:rFonts w:ascii="Cambria Math" w:hAnsi="Cambria Math" w:cs="Arial"/>
                        <w:i/>
                        <w:lang w:val="en-US" w:eastAsia="ja-JP"/>
                      </w:rPr>
                    </m:ctrlPr>
                  </m:dPr>
                  <m:e>
                    <m:r>
                      <w:rPr>
                        <w:rFonts w:ascii="Cambria Math" w:hAnsi="Cambria Math" w:cs="Arial"/>
                        <w:lang w:val="en-US" w:eastAsia="ja-JP"/>
                      </w:rPr>
                      <m:t>77.05</m:t>
                    </m:r>
                    <m:sSup>
                      <m:sSupPr>
                        <m:ctrlPr>
                          <w:rPr>
                            <w:rFonts w:ascii="Cambria Math" w:hAnsi="Cambria Math" w:cs="Arial"/>
                            <w:i/>
                            <w:lang w:val="en-US" w:eastAsia="ja-JP"/>
                          </w:rPr>
                        </m:ctrlPr>
                      </m:sSupPr>
                      <m:e>
                        <m:r>
                          <w:rPr>
                            <w:rFonts w:ascii="Cambria Math" w:hAnsi="Cambria Math" w:cs="Arial"/>
                            <w:lang w:val="en-US" w:eastAsia="ja-JP"/>
                          </w:rPr>
                          <m:t>n</m:t>
                        </m:r>
                      </m:e>
                      <m:sup>
                        <m:r>
                          <w:rPr>
                            <w:rFonts w:ascii="Cambria Math" w:hAnsi="Cambria Math" w:cs="Arial"/>
                            <w:lang w:val="en-US" w:eastAsia="ja-JP"/>
                          </w:rPr>
                          <m:t>0.32</m:t>
                        </m:r>
                      </m:sup>
                    </m:sSup>
                    <m:sSup>
                      <m:sSupPr>
                        <m:ctrlPr>
                          <w:rPr>
                            <w:rFonts w:ascii="Cambria Math" w:hAnsi="Cambria Math" w:cs="Arial"/>
                            <w:i/>
                            <w:lang w:val="en-US" w:eastAsia="ja-JP"/>
                          </w:rPr>
                        </m:ctrlPr>
                      </m:sSupPr>
                      <m:e>
                        <m:r>
                          <w:rPr>
                            <w:rFonts w:ascii="Cambria Math" w:hAnsi="Cambria Math" w:cs="Arial"/>
                            <w:lang w:val="en-US" w:eastAsia="ja-JP"/>
                          </w:rPr>
                          <m:t>ε</m:t>
                        </m:r>
                      </m:e>
                      <m:sup>
                        <m:r>
                          <w:rPr>
                            <w:rFonts w:ascii="Cambria Math" w:hAnsi="Cambria Math" w:cs="Arial"/>
                            <w:lang w:val="en-US" w:eastAsia="ja-JP"/>
                          </w:rPr>
                          <m:t>2</m:t>
                        </m:r>
                      </m:sup>
                    </m:sSup>
                    <m:r>
                      <w:rPr>
                        <w:rFonts w:ascii="Cambria Math" w:hAnsi="Cambria Math" w:cs="Arial"/>
                        <w:lang w:val="en-US" w:eastAsia="ja-JP"/>
                      </w:rPr>
                      <m:t>-88.73</m:t>
                    </m:r>
                    <m:sSup>
                      <m:sSupPr>
                        <m:ctrlPr>
                          <w:rPr>
                            <w:rFonts w:ascii="Cambria Math" w:hAnsi="Cambria Math" w:cs="Arial"/>
                            <w:i/>
                            <w:lang w:val="en-US" w:eastAsia="ja-JP"/>
                          </w:rPr>
                        </m:ctrlPr>
                      </m:sSupPr>
                      <m:e>
                        <m:r>
                          <w:rPr>
                            <w:rFonts w:ascii="Cambria Math" w:hAnsi="Cambria Math" w:cs="Arial"/>
                            <w:lang w:val="en-US" w:eastAsia="ja-JP"/>
                          </w:rPr>
                          <m:t>n</m:t>
                        </m:r>
                      </m:e>
                      <m:sup>
                        <m:r>
                          <w:rPr>
                            <w:rFonts w:ascii="Cambria Math" w:hAnsi="Cambria Math" w:cs="Arial"/>
                            <w:lang w:val="en-US" w:eastAsia="ja-JP"/>
                          </w:rPr>
                          <m:t>0.31</m:t>
                        </m:r>
                      </m:sup>
                    </m:sSup>
                    <m:r>
                      <w:rPr>
                        <w:rFonts w:ascii="Cambria Math" w:hAnsi="Cambria Math" w:cs="Arial"/>
                        <w:lang w:val="en-US" w:eastAsia="ja-JP"/>
                      </w:rPr>
                      <m:t>ε+26.85</m:t>
                    </m:r>
                    <m:sSup>
                      <m:sSupPr>
                        <m:ctrlPr>
                          <w:rPr>
                            <w:rFonts w:ascii="Cambria Math" w:hAnsi="Cambria Math" w:cs="Arial"/>
                            <w:i/>
                            <w:lang w:val="en-US" w:eastAsia="ja-JP"/>
                          </w:rPr>
                        </m:ctrlPr>
                      </m:sSupPr>
                      <m:e>
                        <m:r>
                          <w:rPr>
                            <w:rFonts w:ascii="Cambria Math" w:hAnsi="Cambria Math" w:cs="Arial"/>
                            <w:lang w:val="en-US" w:eastAsia="ja-JP"/>
                          </w:rPr>
                          <m:t>n</m:t>
                        </m:r>
                      </m:e>
                      <m:sup>
                        <m:r>
                          <w:rPr>
                            <w:rFonts w:ascii="Cambria Math" w:hAnsi="Cambria Math" w:cs="Arial"/>
                            <w:lang w:val="en-US" w:eastAsia="ja-JP"/>
                          </w:rPr>
                          <m:t>0.21</m:t>
                        </m:r>
                      </m:sup>
                    </m:sSup>
                  </m:e>
                </m:d>
                <m:r>
                  <w:rPr>
                    <w:rFonts w:ascii="Cambria Math" w:hAnsi="Cambria Math" w:cs="Arial"/>
                    <w:lang w:val="en-US" w:eastAsia="ja-JP"/>
                  </w:rPr>
                  <m:t>ω</m:t>
                </m:r>
              </m:oMath>
            </m:oMathPara>
          </w:p>
        </w:tc>
        <w:tc>
          <w:tcPr>
            <w:tcW w:w="805" w:type="dxa"/>
            <w:shd w:val="clear" w:color="auto" w:fill="auto"/>
            <w:vAlign w:val="center"/>
          </w:tcPr>
          <w:p w14:paraId="7267849A" w14:textId="7DFD5CB6" w:rsidR="007416E1" w:rsidRPr="00B57B36" w:rsidRDefault="007416E1" w:rsidP="00777C97">
            <w:pPr>
              <w:pStyle w:val="CETEquation"/>
              <w:jc w:val="right"/>
            </w:pPr>
            <w:r w:rsidRPr="00B57B36">
              <w:t>(</w:t>
            </w:r>
            <w:r>
              <w:t>4</w:t>
            </w:r>
            <w:r w:rsidRPr="00B57B36">
              <w:t>)</w:t>
            </w:r>
          </w:p>
        </w:tc>
      </w:tr>
    </w:tbl>
    <w:p w14:paraId="566380C8" w14:textId="77777777" w:rsidR="00C65FE5" w:rsidRDefault="00C65FE5" w:rsidP="00C65FE5">
      <w:pPr>
        <w:pStyle w:val="CETBodytext"/>
        <w:rPr>
          <w:rFonts w:cs="Arial"/>
          <w:lang w:eastAsia="ja-JP"/>
        </w:rPr>
      </w:pPr>
      <w:r>
        <w:rPr>
          <w:rFonts w:cs="Arial" w:hint="eastAsia"/>
          <w:lang w:eastAsia="ja-JP"/>
        </w:rPr>
        <w:t>T</w:t>
      </w:r>
      <w:r>
        <w:rPr>
          <w:rFonts w:cs="Arial"/>
          <w:lang w:eastAsia="ja-JP"/>
        </w:rPr>
        <w:t xml:space="preserve">he estimated </w:t>
      </w:r>
      <m:oMath>
        <m:sSub>
          <m:sSubPr>
            <m:ctrlPr>
              <w:rPr>
                <w:rFonts w:ascii="Cambria Math" w:hAnsi="Cambria Math" w:cs="Arial"/>
                <w:i/>
                <w:lang w:eastAsia="ja-JP"/>
              </w:rPr>
            </m:ctrlPr>
          </m:sSubPr>
          <m:e>
            <m:acc>
              <m:accPr>
                <m:chr m:val="̇"/>
                <m:ctrlPr>
                  <w:rPr>
                    <w:rFonts w:ascii="Cambria Math" w:hAnsi="Cambria Math" w:cs="Arial"/>
                    <w:i/>
                    <w:lang w:eastAsia="ja-JP"/>
                  </w:rPr>
                </m:ctrlPr>
              </m:accPr>
              <m:e>
                <m:r>
                  <w:rPr>
                    <w:rFonts w:ascii="Cambria Math" w:hAnsi="Cambria Math" w:cs="Arial"/>
                    <w:lang w:eastAsia="ja-JP"/>
                  </w:rPr>
                  <m:t>γ</m:t>
                </m:r>
              </m:e>
            </m:acc>
          </m:e>
          <m:sub>
            <m:r>
              <m:rPr>
                <m:sty m:val="p"/>
              </m:rPr>
              <w:rPr>
                <w:rFonts w:ascii="Cambria Math" w:hAnsi="Cambria Math" w:cs="Arial"/>
                <w:lang w:eastAsia="ja-JP"/>
              </w:rPr>
              <m:t>eff</m:t>
            </m:r>
          </m:sub>
        </m:sSub>
      </m:oMath>
      <w:r>
        <w:rPr>
          <w:rFonts w:cs="Arial" w:hint="eastAsia"/>
          <w:lang w:eastAsia="ja-JP"/>
        </w:rPr>
        <w:t xml:space="preserve"> </w:t>
      </w:r>
      <w:r>
        <w:rPr>
          <w:rFonts w:cs="Arial"/>
          <w:lang w:eastAsia="ja-JP"/>
        </w:rPr>
        <w:t xml:space="preserve">is then substituted to the </w:t>
      </w:r>
      <m:oMath>
        <m:acc>
          <m:accPr>
            <m:chr m:val="̇"/>
            <m:ctrlPr>
              <w:rPr>
                <w:rFonts w:ascii="Cambria Math" w:hAnsi="Cambria Math" w:cs="Arial"/>
                <w:i/>
                <w:lang w:eastAsia="ja-JP"/>
              </w:rPr>
            </m:ctrlPr>
          </m:accPr>
          <m:e>
            <m:r>
              <w:rPr>
                <w:rFonts w:ascii="Cambria Math" w:hAnsi="Cambria Math" w:cs="Arial"/>
                <w:lang w:eastAsia="ja-JP"/>
              </w:rPr>
              <m:t>γ</m:t>
            </m:r>
          </m:e>
        </m:acc>
      </m:oMath>
      <w:r>
        <w:rPr>
          <w:rFonts w:cs="Arial"/>
          <w:lang w:eastAsia="ja-JP"/>
        </w:rPr>
        <w:t xml:space="preserve"> term</w:t>
      </w:r>
      <w:r>
        <w:rPr>
          <w:rFonts w:cs="Arial" w:hint="eastAsia"/>
          <w:lang w:eastAsia="ja-JP"/>
        </w:rPr>
        <w:t xml:space="preserve"> </w:t>
      </w:r>
      <w:r>
        <w:rPr>
          <w:rFonts w:cs="Arial"/>
          <w:lang w:eastAsia="ja-JP"/>
        </w:rPr>
        <w:t xml:space="preserve">in Eq. (3) to obtain </w:t>
      </w:r>
      <w:r w:rsidRPr="00F008B6">
        <w:rPr>
          <w:rFonts w:ascii="Symbol" w:hAnsi="Symbol" w:cs="Arial"/>
          <w:i/>
          <w:iCs/>
          <w:lang w:eastAsia="ja-JP"/>
        </w:rPr>
        <w:t>h</w:t>
      </w:r>
      <w:r w:rsidRPr="00F008B6">
        <w:rPr>
          <w:rFonts w:cs="Arial"/>
          <w:vertAlign w:val="subscript"/>
          <w:lang w:eastAsia="ja-JP"/>
        </w:rPr>
        <w:t>eff</w:t>
      </w:r>
      <w:r>
        <w:rPr>
          <w:rFonts w:cs="Arial"/>
          <w:lang w:eastAsia="ja-JP"/>
        </w:rPr>
        <w:t xml:space="preserve">. Finally, </w:t>
      </w:r>
      <w:proofErr w:type="spellStart"/>
      <w:r w:rsidRPr="002D7F21">
        <w:rPr>
          <w:rFonts w:cs="Arial"/>
          <w:i/>
          <w:iCs/>
          <w:lang w:eastAsia="ja-JP"/>
        </w:rPr>
        <w:t>Re</w:t>
      </w:r>
      <w:r w:rsidRPr="002D7F21">
        <w:rPr>
          <w:rFonts w:cs="Arial"/>
          <w:vertAlign w:val="subscript"/>
          <w:lang w:eastAsia="ja-JP"/>
        </w:rPr>
        <w:t>eff</w:t>
      </w:r>
      <w:proofErr w:type="spellEnd"/>
      <w:r>
        <w:rPr>
          <w:rFonts w:cs="Arial"/>
          <w:lang w:eastAsia="ja-JP"/>
        </w:rPr>
        <w:t xml:space="preserve"> was calculated using </w:t>
      </w:r>
      <w:r w:rsidRPr="00F008B6">
        <w:rPr>
          <w:rFonts w:ascii="Symbol" w:hAnsi="Symbol" w:cs="Arial"/>
          <w:i/>
          <w:iCs/>
          <w:lang w:eastAsia="ja-JP"/>
        </w:rPr>
        <w:t>h</w:t>
      </w:r>
      <w:r w:rsidRPr="00F008B6">
        <w:rPr>
          <w:rFonts w:cs="Arial"/>
          <w:vertAlign w:val="subscript"/>
          <w:lang w:eastAsia="ja-JP"/>
        </w:rPr>
        <w:t>eff</w:t>
      </w:r>
      <w:r>
        <w:rPr>
          <w:rFonts w:cs="Arial"/>
          <w:lang w:eastAsia="ja-JP"/>
        </w:rPr>
        <w:t>.</w:t>
      </w:r>
    </w:p>
    <w:p w14:paraId="5D021D42" w14:textId="2D2F90DC" w:rsidR="570DD277" w:rsidRPr="00A50213" w:rsidRDefault="00C65FE5" w:rsidP="00C65FE5">
      <w:pPr>
        <w:pStyle w:val="CETBodytext"/>
        <w:rPr>
          <w:rFonts w:cs="Arial"/>
          <w:lang w:eastAsia="ja-JP"/>
        </w:rPr>
      </w:pPr>
      <w:r w:rsidRPr="4366696E">
        <w:rPr>
          <w:rFonts w:cs="Arial"/>
          <w:lang w:eastAsia="ja-JP"/>
        </w:rPr>
        <w:t xml:space="preserve">For the simulation, </w:t>
      </w:r>
      <w:r w:rsidRPr="4366696E">
        <w:rPr>
          <w:rFonts w:cs="Arial"/>
          <w:lang w:val="en-GB" w:eastAsia="ja-JP"/>
        </w:rPr>
        <w:t>OpenFOAM</w:t>
      </w:r>
      <w:r w:rsidRPr="4366696E">
        <w:rPr>
          <w:rFonts w:cs="Arial"/>
          <w:vertAlign w:val="superscript"/>
          <w:lang w:val="en-GB" w:eastAsia="ja-JP"/>
        </w:rPr>
        <w:t>®</w:t>
      </w:r>
      <w:r w:rsidRPr="4366696E">
        <w:rPr>
          <w:rFonts w:cs="Arial"/>
          <w:lang w:val="en-GB" w:eastAsia="ja-JP"/>
        </w:rPr>
        <w:t>4.1 code based on a finite volume method was utilized</w:t>
      </w:r>
      <w:r w:rsidRPr="4366696E">
        <w:rPr>
          <w:rFonts w:cs="Arial"/>
          <w:lang w:eastAsia="ja-JP"/>
        </w:rPr>
        <w:t xml:space="preserve">. </w:t>
      </w:r>
      <w:r w:rsidRPr="4366696E">
        <w:rPr>
          <w:rFonts w:cs="Arial"/>
          <w:lang w:val="en-GB" w:eastAsia="ja-JP"/>
        </w:rPr>
        <w:t xml:space="preserve">The Crank-Nicolson scheme was used for time advancement. A second-order central difference </w:t>
      </w:r>
      <w:r>
        <w:rPr>
          <w:rFonts w:cs="Arial"/>
          <w:lang w:val="en-GB" w:eastAsia="ja-JP"/>
        </w:rPr>
        <w:t>wa</w:t>
      </w:r>
      <w:r w:rsidRPr="4366696E">
        <w:rPr>
          <w:rFonts w:cs="Arial"/>
          <w:lang w:val="en-GB" w:eastAsia="ja-JP"/>
        </w:rPr>
        <w:t>s applied to the viscous and convective terms. The time step was determined by maintaining the Courant number below 0.4.</w:t>
      </w:r>
      <w:r>
        <w:rPr>
          <w:rFonts w:cs="Arial"/>
          <w:lang w:val="en-GB" w:eastAsia="ja-JP"/>
        </w:rPr>
        <w:t xml:space="preserve"> </w:t>
      </w:r>
      <w:r>
        <w:rPr>
          <w:rFonts w:cs="Arial"/>
          <w:lang w:val="en-GB"/>
        </w:rPr>
        <w:t>T</w:t>
      </w:r>
      <w:r w:rsidRPr="4366696E">
        <w:rPr>
          <w:rFonts w:cs="Arial"/>
          <w:lang w:val="en-GB"/>
        </w:rPr>
        <w:t>he numerical procedure was identical to that used in previous studies by the authors. The simulation code has been validated in previous studies</w:t>
      </w:r>
      <w:r w:rsidRPr="4366696E">
        <w:rPr>
          <w:rFonts w:cs="Arial"/>
        </w:rPr>
        <w:t xml:space="preserve"> (Masuda et al., 2017b, Masuda et al., 2019)</w:t>
      </w:r>
      <w:r w:rsidRPr="4366696E">
        <w:rPr>
          <w:rFonts w:cs="Arial"/>
          <w:lang w:val="en-GB"/>
        </w:rPr>
        <w:t xml:space="preserve">. Therefore, in this section, only the mesh resolution is verified. Figure 3 indicates </w:t>
      </w:r>
      <w:r>
        <w:rPr>
          <w:rFonts w:cs="Arial"/>
          <w:lang w:val="en-GB"/>
        </w:rPr>
        <w:t>the mesh system for</w:t>
      </w:r>
      <w:r w:rsidRPr="4366696E">
        <w:rPr>
          <w:rFonts w:cs="Arial"/>
          <w:lang w:val="en-GB"/>
        </w:rPr>
        <w:t xml:space="preserve"> shear-thinning fluid</w:t>
      </w:r>
      <w:r>
        <w:rPr>
          <w:rFonts w:cs="Arial"/>
          <w:lang w:val="en-GB"/>
        </w:rPr>
        <w:t xml:space="preserve"> with</w:t>
      </w:r>
      <w:r w:rsidRPr="4366696E">
        <w:rPr>
          <w:rFonts w:cs="Arial"/>
          <w:lang w:val="en-GB"/>
        </w:rPr>
        <w:t xml:space="preserve"> the axial distribution of the velocity component in the </w:t>
      </w:r>
      <w:r w:rsidR="003A2ED3">
        <w:rPr>
          <w:rFonts w:cs="Arial"/>
          <w:lang w:val="en-GB"/>
        </w:rPr>
        <w:t xml:space="preserve">axial and </w:t>
      </w:r>
      <w:r w:rsidRPr="4366696E">
        <w:rPr>
          <w:rFonts w:cs="Arial"/>
          <w:lang w:val="en-GB"/>
        </w:rPr>
        <w:t xml:space="preserve">circumferential directions, </w:t>
      </w:r>
      <w:proofErr w:type="spellStart"/>
      <w:r w:rsidRPr="4366696E">
        <w:rPr>
          <w:rFonts w:cs="Arial"/>
          <w:i/>
          <w:iCs/>
          <w:lang w:val="en-GB"/>
        </w:rPr>
        <w:t>u</w:t>
      </w:r>
      <w:r w:rsidR="009C5787" w:rsidRPr="4366696E">
        <w:rPr>
          <w:rFonts w:cs="Arial"/>
          <w:i/>
          <w:iCs/>
          <w:vertAlign w:val="subscript"/>
          <w:lang w:val="en-GB"/>
        </w:rPr>
        <w:t>z</w:t>
      </w:r>
      <w:proofErr w:type="spellEnd"/>
      <w:r w:rsidRPr="4366696E">
        <w:rPr>
          <w:rFonts w:cs="Arial"/>
          <w:lang w:val="en-GB"/>
        </w:rPr>
        <w:t xml:space="preserve"> and </w:t>
      </w:r>
      <w:r w:rsidRPr="4366696E">
        <w:rPr>
          <w:rFonts w:cs="Arial"/>
          <w:i/>
          <w:iCs/>
          <w:lang w:val="en-GB"/>
        </w:rPr>
        <w:t>u</w:t>
      </w:r>
      <w:r w:rsidR="009C5787" w:rsidRPr="4366696E">
        <w:rPr>
          <w:rFonts w:ascii="Symbol" w:hAnsi="Symbol" w:cs="Arial"/>
          <w:i/>
          <w:iCs/>
          <w:vertAlign w:val="subscript"/>
          <w:lang w:val="en-GB"/>
        </w:rPr>
        <w:t>q</w:t>
      </w:r>
      <w:r w:rsidRPr="4366696E">
        <w:rPr>
          <w:rFonts w:cs="Arial"/>
          <w:lang w:val="en-GB"/>
        </w:rPr>
        <w:t xml:space="preserve">, along the </w:t>
      </w:r>
      <w:proofErr w:type="spellStart"/>
      <w:r w:rsidRPr="4366696E">
        <w:rPr>
          <w:rFonts w:cs="Arial"/>
          <w:lang w:val="en-GB"/>
        </w:rPr>
        <w:t>center</w:t>
      </w:r>
      <w:proofErr w:type="spellEnd"/>
      <w:r w:rsidRPr="4366696E">
        <w:rPr>
          <w:rFonts w:cs="Arial"/>
          <w:lang w:val="en-GB"/>
        </w:rPr>
        <w:t xml:space="preserve"> line of the gap at </w:t>
      </w:r>
      <w:r w:rsidRPr="4366696E">
        <w:rPr>
          <w:rFonts w:cs="Arial"/>
          <w:i/>
          <w:iCs/>
          <w:lang w:val="en-GB"/>
        </w:rPr>
        <w:t>Re</w:t>
      </w:r>
      <w:r w:rsidRPr="4366696E">
        <w:rPr>
          <w:rFonts w:cs="Arial"/>
          <w:lang w:val="en-GB"/>
        </w:rPr>
        <w:t xml:space="preserve"> / </w:t>
      </w:r>
      <w:proofErr w:type="spellStart"/>
      <w:r w:rsidRPr="4366696E">
        <w:rPr>
          <w:rFonts w:cs="Arial"/>
          <w:i/>
          <w:iCs/>
          <w:lang w:val="en-GB"/>
        </w:rPr>
        <w:t>Re</w:t>
      </w:r>
      <w:r w:rsidRPr="4366696E">
        <w:rPr>
          <w:rFonts w:cs="Arial"/>
          <w:vertAlign w:val="subscript"/>
          <w:lang w:val="en-GB"/>
        </w:rPr>
        <w:t>cr</w:t>
      </w:r>
      <w:proofErr w:type="spellEnd"/>
      <w:r w:rsidRPr="4366696E">
        <w:rPr>
          <w:rFonts w:cs="Arial"/>
          <w:lang w:val="en-GB"/>
        </w:rPr>
        <w:t xml:space="preserve"> = 2.0 after 2 s from the sudden start of rotation of the inner cylinder </w:t>
      </w:r>
      <w:r>
        <w:rPr>
          <w:rFonts w:cs="Arial"/>
          <w:lang w:val="en-GB"/>
        </w:rPr>
        <w:t>for</w:t>
      </w:r>
      <w:r w:rsidRPr="4366696E">
        <w:rPr>
          <w:rFonts w:cs="Arial"/>
          <w:lang w:val="en-GB"/>
        </w:rPr>
        <w:t xml:space="preserve"> three mesh system</w:t>
      </w:r>
      <w:r>
        <w:rPr>
          <w:rFonts w:cs="Arial"/>
          <w:lang w:val="en-GB"/>
        </w:rPr>
        <w:t xml:space="preserve"> types</w:t>
      </w:r>
      <w:r w:rsidR="005336CB">
        <w:rPr>
          <w:rFonts w:cs="Arial"/>
          <w:lang w:val="en-GB"/>
        </w:rPr>
        <w:t>. The</w:t>
      </w:r>
      <w:r w:rsidR="0065229B">
        <w:rPr>
          <w:rFonts w:cs="Arial"/>
          <w:lang w:val="en-GB"/>
        </w:rPr>
        <w:t xml:space="preserve"> </w:t>
      </w:r>
      <w:r w:rsidR="00F15F07">
        <w:rPr>
          <w:rFonts w:cs="Arial"/>
          <w:lang w:val="en-GB"/>
        </w:rPr>
        <w:t>number of hexa</w:t>
      </w:r>
      <w:r w:rsidR="00965797">
        <w:rPr>
          <w:rFonts w:cs="Arial"/>
          <w:lang w:val="en-GB"/>
        </w:rPr>
        <w:t xml:space="preserve">hedral </w:t>
      </w:r>
      <w:r w:rsidR="00F15F07">
        <w:rPr>
          <w:rFonts w:cs="Arial"/>
          <w:lang w:val="en-GB"/>
        </w:rPr>
        <w:t xml:space="preserve">grids </w:t>
      </w:r>
      <w:r w:rsidRPr="4366696E">
        <w:rPr>
          <w:rFonts w:cs="Arial"/>
          <w:lang w:val="en-GB"/>
        </w:rPr>
        <w:t>24 × 96 × 72 (system</w:t>
      </w:r>
      <w:r w:rsidR="00DA1C2D">
        <w:rPr>
          <w:rFonts w:cs="Arial"/>
          <w:lang w:val="en-GB"/>
        </w:rPr>
        <w:t>1</w:t>
      </w:r>
      <w:r w:rsidRPr="4366696E">
        <w:rPr>
          <w:rFonts w:cs="Arial"/>
          <w:lang w:val="en-GB"/>
        </w:rPr>
        <w:t>), 36 × 144 × 108 (system2), and 48 × 192 × 144 (system3)</w:t>
      </w:r>
      <w:r w:rsidR="00E6376C">
        <w:rPr>
          <w:rFonts w:cs="Arial"/>
          <w:lang w:val="en-GB"/>
        </w:rPr>
        <w:t xml:space="preserve"> in radial, circumferential, and axial directions, respectively</w:t>
      </w:r>
      <w:r w:rsidRPr="4366696E">
        <w:rPr>
          <w:rFonts w:cs="Arial"/>
          <w:lang w:val="en-GB"/>
        </w:rPr>
        <w:t xml:space="preserve">. </w:t>
      </w:r>
      <w:r>
        <w:rPr>
          <w:rFonts w:cs="Arial"/>
          <w:lang w:val="en-GB"/>
        </w:rPr>
        <w:t xml:space="preserve">Noted that </w:t>
      </w:r>
      <w:proofErr w:type="spellStart"/>
      <w:r w:rsidRPr="4366696E">
        <w:rPr>
          <w:rFonts w:cs="Arial"/>
          <w:i/>
          <w:iCs/>
          <w:lang w:val="en-GB"/>
        </w:rPr>
        <w:t>Re</w:t>
      </w:r>
      <w:r w:rsidRPr="4366696E">
        <w:rPr>
          <w:rFonts w:cs="Arial"/>
          <w:vertAlign w:val="subscript"/>
          <w:lang w:val="en-GB"/>
        </w:rPr>
        <w:t>cr</w:t>
      </w:r>
      <w:proofErr w:type="spellEnd"/>
      <w:r w:rsidRPr="4366696E">
        <w:rPr>
          <w:rFonts w:cs="Arial"/>
          <w:lang w:val="en-GB"/>
        </w:rPr>
        <w:t xml:space="preserve"> is the critical </w:t>
      </w:r>
      <w:r w:rsidRPr="4366696E">
        <w:rPr>
          <w:rFonts w:cs="Arial"/>
          <w:i/>
          <w:iCs/>
          <w:lang w:val="en-GB"/>
        </w:rPr>
        <w:t>Re</w:t>
      </w:r>
      <w:r>
        <w:rPr>
          <w:rFonts w:cs="Arial"/>
          <w:i/>
          <w:iCs/>
          <w:lang w:val="en-GB"/>
        </w:rPr>
        <w:t>,</w:t>
      </w:r>
      <w:r w:rsidRPr="4366696E">
        <w:rPr>
          <w:rFonts w:cs="Arial"/>
          <w:lang w:val="en-GB"/>
        </w:rPr>
        <w:t xml:space="preserve"> at which</w:t>
      </w:r>
      <w:r>
        <w:rPr>
          <w:rFonts w:cs="Arial"/>
          <w:lang w:val="en-GB"/>
        </w:rPr>
        <w:t>,</w:t>
      </w:r>
      <w:r w:rsidRPr="4366696E">
        <w:rPr>
          <w:rFonts w:cs="Arial"/>
          <w:lang w:val="en-GB"/>
        </w:rPr>
        <w:t xml:space="preserve"> Taylor vortex flow </w:t>
      </w:r>
      <w:r>
        <w:rPr>
          <w:rFonts w:cs="Arial"/>
          <w:lang w:val="en-GB"/>
        </w:rPr>
        <w:t>starts to appear</w:t>
      </w:r>
      <w:r w:rsidRPr="4366696E">
        <w:rPr>
          <w:rFonts w:cs="Arial"/>
          <w:lang w:val="en-GB"/>
        </w:rPr>
        <w:t xml:space="preserve">. From the analysis of </w:t>
      </w:r>
      <w:r>
        <w:rPr>
          <w:rFonts w:cs="Arial"/>
          <w:lang w:val="en-GB"/>
        </w:rPr>
        <w:t xml:space="preserve">the linear stability theory by Taylor (1923), </w:t>
      </w:r>
      <w:proofErr w:type="spellStart"/>
      <w:r w:rsidRPr="4366696E">
        <w:rPr>
          <w:rFonts w:cs="Arial"/>
          <w:i/>
          <w:iCs/>
          <w:lang w:val="en-GB"/>
        </w:rPr>
        <w:t>Re</w:t>
      </w:r>
      <w:r w:rsidRPr="4366696E">
        <w:rPr>
          <w:rFonts w:cs="Arial"/>
          <w:vertAlign w:val="subscript"/>
          <w:lang w:val="en-GB"/>
        </w:rPr>
        <w:t>cr</w:t>
      </w:r>
      <w:proofErr w:type="spellEnd"/>
      <w:r w:rsidRPr="4366696E">
        <w:rPr>
          <w:rFonts w:cs="Arial"/>
          <w:lang w:val="en-GB"/>
        </w:rPr>
        <w:t xml:space="preserve"> for the geometry </w:t>
      </w:r>
      <w:r>
        <w:rPr>
          <w:rFonts w:cs="Arial"/>
          <w:lang w:val="en-GB"/>
        </w:rPr>
        <w:t>in</w:t>
      </w:r>
      <w:r w:rsidRPr="4366696E">
        <w:rPr>
          <w:rFonts w:cs="Arial"/>
          <w:lang w:val="en-GB"/>
        </w:rPr>
        <w:t xml:space="preserve"> this study (</w:t>
      </w:r>
      <w:r w:rsidRPr="4366696E">
        <w:rPr>
          <w:rFonts w:ascii="Symbol" w:hAnsi="Symbol" w:cs="Arial"/>
          <w:i/>
          <w:iCs/>
          <w:lang w:val="en-GB"/>
        </w:rPr>
        <w:t>e</w:t>
      </w:r>
      <w:r w:rsidRPr="4366696E">
        <w:rPr>
          <w:rFonts w:cs="Arial"/>
          <w:lang w:val="en-GB"/>
        </w:rPr>
        <w:t xml:space="preserve"> = 0.71) </w:t>
      </w:r>
      <w:r>
        <w:rPr>
          <w:rFonts w:cs="Arial"/>
          <w:lang w:val="en-GB"/>
        </w:rPr>
        <w:t>is</w:t>
      </w:r>
      <w:r w:rsidRPr="4366696E">
        <w:rPr>
          <w:rFonts w:cs="Arial"/>
          <w:lang w:val="en-GB"/>
        </w:rPr>
        <w:t xml:space="preserve"> 82.2. As shown in Fig</w:t>
      </w:r>
      <w:r>
        <w:rPr>
          <w:rFonts w:cs="Arial"/>
          <w:lang w:val="en-GB"/>
        </w:rPr>
        <w:t>ure</w:t>
      </w:r>
      <w:r w:rsidRPr="4366696E">
        <w:rPr>
          <w:rFonts w:cs="Arial"/>
          <w:lang w:val="en-GB"/>
        </w:rPr>
        <w:t xml:space="preserve"> 3, there was no clear difference in the results of system2 and system3. Th</w:t>
      </w:r>
      <w:r>
        <w:rPr>
          <w:rFonts w:cs="Arial"/>
          <w:lang w:val="en-GB"/>
        </w:rPr>
        <w:t>erefore</w:t>
      </w:r>
      <w:r w:rsidRPr="4366696E">
        <w:rPr>
          <w:rFonts w:cs="Arial"/>
          <w:lang w:val="en-GB"/>
        </w:rPr>
        <w:t>, to reduce the simulation time, the mesh “system2” was selected.</w:t>
      </w:r>
    </w:p>
    <w:p w14:paraId="5EF004C7" w14:textId="3757BBFD" w:rsidR="601C655E" w:rsidRDefault="00A97D53" w:rsidP="3316F1C0">
      <w:pPr>
        <w:pStyle w:val="CETBodytext"/>
        <w:rPr>
          <w:rFonts w:cs="Arial"/>
          <w:lang w:val="en-GB"/>
        </w:rPr>
      </w:pPr>
      <w:r>
        <w:rPr>
          <w:noProof/>
        </w:rPr>
        <w:drawing>
          <wp:inline distT="0" distB="0" distL="0" distR="0" wp14:anchorId="3BD3A3EA" wp14:editId="4C118532">
            <wp:extent cx="3905955" cy="1339324"/>
            <wp:effectExtent l="0" t="0" r="5715" b="0"/>
            <wp:docPr id="8" name="図 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 折れ線グラフ&#10;&#10;自動的に生成された説明"/>
                    <pic:cNvPicPr/>
                  </pic:nvPicPr>
                  <pic:blipFill>
                    <a:blip r:embed="rId12"/>
                    <a:stretch>
                      <a:fillRect/>
                    </a:stretch>
                  </pic:blipFill>
                  <pic:spPr>
                    <a:xfrm>
                      <a:off x="0" y="0"/>
                      <a:ext cx="4031570" cy="1382397"/>
                    </a:xfrm>
                    <a:prstGeom prst="rect">
                      <a:avLst/>
                    </a:prstGeom>
                  </pic:spPr>
                </pic:pic>
              </a:graphicData>
            </a:graphic>
          </wp:inline>
        </w:drawing>
      </w:r>
    </w:p>
    <w:p w14:paraId="55A0FF0C" w14:textId="05E0F0AB" w:rsidR="00A96C4D" w:rsidRDefault="00A96C4D" w:rsidP="00A96C4D">
      <w:pPr>
        <w:pStyle w:val="CETBodytext"/>
        <w:rPr>
          <w:rFonts w:cs="Arial"/>
          <w:lang w:eastAsia="ja-JP"/>
        </w:rPr>
      </w:pPr>
      <w:r w:rsidRPr="00BD077D">
        <w:rPr>
          <w:rStyle w:val="CETCaptionCarattere"/>
        </w:rPr>
        <w:t xml:space="preserve">Figure </w:t>
      </w:r>
      <w:r>
        <w:rPr>
          <w:rStyle w:val="CETCaptionCarattere"/>
        </w:rPr>
        <w:t>3</w:t>
      </w:r>
      <w:r w:rsidRPr="00BD077D">
        <w:rPr>
          <w:rStyle w:val="CETCaptionCarattere"/>
        </w:rPr>
        <w:t>:</w:t>
      </w:r>
      <w:r>
        <w:rPr>
          <w:rStyle w:val="CETCaptionCarattere"/>
        </w:rPr>
        <w:t xml:space="preserve"> Effect of mesh system on simulation results: (a) circumferential velocity </w:t>
      </w:r>
      <w:r w:rsidR="00C65FE5">
        <w:rPr>
          <w:rStyle w:val="CETCaptionCarattere"/>
        </w:rPr>
        <w:t xml:space="preserve">and </w:t>
      </w:r>
      <w:r>
        <w:rPr>
          <w:rStyle w:val="CETCaptionCarattere"/>
        </w:rPr>
        <w:t>(b) axial velocity</w:t>
      </w:r>
    </w:p>
    <w:p w14:paraId="3FC0DBAE" w14:textId="77777777" w:rsidR="000809D2" w:rsidRPr="005E6672" w:rsidRDefault="000809D2" w:rsidP="3316F1C0">
      <w:pPr>
        <w:pStyle w:val="CETBodytext"/>
        <w:rPr>
          <w:rFonts w:cs="Arial"/>
          <w:lang w:eastAsia="ja-JP"/>
        </w:rPr>
      </w:pPr>
    </w:p>
    <w:p w14:paraId="0F857310" w14:textId="507D24C3" w:rsidR="00DC6E09" w:rsidRDefault="00DC6E09" w:rsidP="00DC6E09">
      <w:pPr>
        <w:pStyle w:val="CETHeading1"/>
        <w:rPr>
          <w:lang w:val="en-GB"/>
        </w:rPr>
      </w:pPr>
      <w:r>
        <w:rPr>
          <w:lang w:val="en-GB"/>
        </w:rPr>
        <w:t>Results and discussion</w:t>
      </w:r>
    </w:p>
    <w:p w14:paraId="0C0637B0" w14:textId="15041B15" w:rsidR="00F73FD4" w:rsidRDefault="00F73FD4" w:rsidP="00F73FD4">
      <w:pPr>
        <w:pStyle w:val="CETBodytext"/>
        <w:rPr>
          <w:rFonts w:cs="Arial"/>
          <w:lang w:eastAsia="ja-JP"/>
        </w:rPr>
      </w:pPr>
      <w:r>
        <w:rPr>
          <w:rFonts w:cs="Arial"/>
          <w:lang w:val="en-GB"/>
        </w:rPr>
        <w:t>It</w:t>
      </w:r>
      <w:r w:rsidRPr="6A89A870">
        <w:rPr>
          <w:rFonts w:cs="Arial"/>
          <w:lang w:val="en-GB"/>
        </w:rPr>
        <w:t xml:space="preserve"> is necessary to determine which of the obtained solution</w:t>
      </w:r>
      <w:r>
        <w:rPr>
          <w:rFonts w:cs="Arial"/>
          <w:lang w:val="en-GB"/>
        </w:rPr>
        <w:t xml:space="preserve">s </w:t>
      </w:r>
      <w:r w:rsidRPr="6A89A870">
        <w:rPr>
          <w:rFonts w:cs="Arial"/>
          <w:lang w:val="en-GB"/>
        </w:rPr>
        <w:t>is in a stable state.</w:t>
      </w:r>
      <w:r w:rsidRPr="6A89A870">
        <w:rPr>
          <w:rFonts w:cs="Arial"/>
          <w:lang w:eastAsia="ja-JP"/>
        </w:rPr>
        <w:t xml:space="preserve"> To date, this issue has not been investigated despite </w:t>
      </w:r>
      <w:r>
        <w:rPr>
          <w:rFonts w:cs="Arial"/>
          <w:lang w:eastAsia="ja-JP"/>
        </w:rPr>
        <w:t xml:space="preserve">the </w:t>
      </w:r>
      <w:r w:rsidRPr="6A89A870">
        <w:rPr>
          <w:rFonts w:cs="Arial"/>
          <w:lang w:eastAsia="ja-JP"/>
        </w:rPr>
        <w:t>long history of Taylor</w:t>
      </w:r>
      <w:r w:rsidRPr="6A89A870">
        <w:rPr>
          <w:rFonts w:cs="Arial"/>
          <w:lang w:val="en-GB"/>
        </w:rPr>
        <w:t>–</w:t>
      </w:r>
      <w:r w:rsidRPr="6A89A870">
        <w:rPr>
          <w:rFonts w:cs="Arial"/>
          <w:lang w:eastAsia="ja-JP"/>
        </w:rPr>
        <w:t xml:space="preserve">Couette flow problem studies. Thus, the number of Taylor cells formed at steady state, </w:t>
      </w:r>
      <w:r w:rsidRPr="00025976">
        <w:rPr>
          <w:rFonts w:cs="Arial"/>
          <w:i/>
          <w:iCs/>
          <w:lang w:eastAsia="ja-JP"/>
        </w:rPr>
        <w:t>N</w:t>
      </w:r>
      <w:r w:rsidRPr="6A89A870">
        <w:rPr>
          <w:rFonts w:cs="Arial"/>
          <w:lang w:eastAsia="ja-JP"/>
        </w:rPr>
        <w:t xml:space="preserve">, was compared between </w:t>
      </w:r>
      <w:r>
        <w:rPr>
          <w:rFonts w:cs="Arial"/>
          <w:lang w:eastAsia="ja-JP"/>
        </w:rPr>
        <w:t>the experiment</w:t>
      </w:r>
      <w:r w:rsidRPr="6A89A870">
        <w:rPr>
          <w:rFonts w:cs="Arial"/>
          <w:lang w:eastAsia="ja-JP"/>
        </w:rPr>
        <w:t xml:space="preserve">al and </w:t>
      </w:r>
      <w:r>
        <w:rPr>
          <w:rFonts w:cs="Arial"/>
          <w:lang w:eastAsia="ja-JP"/>
        </w:rPr>
        <w:t>simulated</w:t>
      </w:r>
      <w:r w:rsidRPr="6A89A870">
        <w:rPr>
          <w:rFonts w:cs="Arial"/>
          <w:lang w:eastAsia="ja-JP"/>
        </w:rPr>
        <w:t xml:space="preserve"> results. Data reported by Kataoka (1999) were used</w:t>
      </w:r>
      <w:r>
        <w:rPr>
          <w:rFonts w:cs="Arial"/>
          <w:lang w:eastAsia="ja-JP"/>
        </w:rPr>
        <w:t xml:space="preserve"> to obtain the experimental results.</w:t>
      </w:r>
      <w:r w:rsidRPr="6A89A870">
        <w:rPr>
          <w:rFonts w:cs="Arial"/>
          <w:lang w:eastAsia="ja-JP"/>
        </w:rPr>
        <w:t xml:space="preserve"> The geometry used in the study by Kataoka (1999), </w:t>
      </w:r>
      <w:r w:rsidRPr="6A89A870">
        <w:rPr>
          <w:rFonts w:ascii="Symbol" w:hAnsi="Symbol" w:cs="Arial"/>
          <w:i/>
          <w:iCs/>
          <w:lang w:eastAsia="ja-JP"/>
        </w:rPr>
        <w:t>e</w:t>
      </w:r>
      <w:r w:rsidRPr="6A89A870">
        <w:rPr>
          <w:rFonts w:cs="Arial"/>
          <w:lang w:eastAsia="ja-JP"/>
        </w:rPr>
        <w:t xml:space="preserve"> = 0.70 and </w:t>
      </w:r>
      <w:r w:rsidRPr="6A89A870">
        <w:rPr>
          <w:rFonts w:ascii="Symbol" w:hAnsi="Symbol" w:cs="Arial"/>
          <w:i/>
          <w:iCs/>
          <w:lang w:eastAsia="ja-JP"/>
        </w:rPr>
        <w:t>G</w:t>
      </w:r>
      <w:r w:rsidRPr="6A89A870">
        <w:rPr>
          <w:rFonts w:cs="Arial"/>
          <w:lang w:eastAsia="ja-JP"/>
        </w:rPr>
        <w:t xml:space="preserve"> = 22, was different from </w:t>
      </w:r>
      <w:r>
        <w:rPr>
          <w:rFonts w:cs="Arial"/>
          <w:lang w:eastAsia="ja-JP"/>
        </w:rPr>
        <w:t>that used in this study</w:t>
      </w:r>
      <w:r w:rsidRPr="6A89A870">
        <w:rPr>
          <w:rFonts w:cs="Arial"/>
          <w:lang w:eastAsia="ja-JP"/>
        </w:rPr>
        <w:t xml:space="preserve">. Therefore, only </w:t>
      </w:r>
      <w:r>
        <w:rPr>
          <w:rFonts w:cs="Arial"/>
          <w:lang w:eastAsia="ja-JP"/>
        </w:rPr>
        <w:t>for</w:t>
      </w:r>
      <w:r w:rsidRPr="6A89A870">
        <w:rPr>
          <w:rFonts w:cs="Arial"/>
          <w:lang w:eastAsia="ja-JP"/>
        </w:rPr>
        <w:t xml:space="preserve"> this comparison, </w:t>
      </w:r>
      <w:r>
        <w:rPr>
          <w:rFonts w:cs="Arial"/>
          <w:lang w:eastAsia="ja-JP"/>
        </w:rPr>
        <w:t>a</w:t>
      </w:r>
      <w:r w:rsidRPr="6A89A870">
        <w:rPr>
          <w:rFonts w:cs="Arial"/>
          <w:lang w:eastAsia="ja-JP"/>
        </w:rPr>
        <w:t xml:space="preserve"> geometry of </w:t>
      </w:r>
      <w:r w:rsidRPr="6A89A870">
        <w:rPr>
          <w:rFonts w:ascii="Symbol" w:hAnsi="Symbol" w:cs="Arial"/>
          <w:i/>
          <w:iCs/>
          <w:lang w:eastAsia="ja-JP"/>
        </w:rPr>
        <w:t>e</w:t>
      </w:r>
      <w:r w:rsidRPr="6A89A870">
        <w:rPr>
          <w:rFonts w:cs="Arial"/>
          <w:lang w:eastAsia="ja-JP"/>
        </w:rPr>
        <w:t xml:space="preserve"> = 0.70 and </w:t>
      </w:r>
      <w:r w:rsidRPr="6A89A870">
        <w:rPr>
          <w:rFonts w:ascii="Symbol" w:hAnsi="Symbol" w:cs="Arial"/>
          <w:i/>
          <w:iCs/>
          <w:lang w:eastAsia="ja-JP"/>
        </w:rPr>
        <w:t>G</w:t>
      </w:r>
      <w:r w:rsidRPr="6A89A870">
        <w:rPr>
          <w:rFonts w:cs="Arial"/>
          <w:lang w:eastAsia="ja-JP"/>
        </w:rPr>
        <w:t xml:space="preserve"> = 22 was used for the simulation. According to Kataoka (1999), at </w:t>
      </w:r>
      <w:r w:rsidRPr="00C52039">
        <w:rPr>
          <w:rFonts w:cs="Arial"/>
          <w:i/>
          <w:iCs/>
          <w:lang w:eastAsia="ja-JP"/>
        </w:rPr>
        <w:t>Re</w:t>
      </w:r>
      <w:r w:rsidRPr="6A89A870">
        <w:rPr>
          <w:rFonts w:cs="Arial"/>
          <w:lang w:eastAsia="ja-JP"/>
        </w:rPr>
        <w:t xml:space="preserve"> / </w:t>
      </w:r>
      <w:proofErr w:type="spellStart"/>
      <w:r w:rsidRPr="00C52039">
        <w:rPr>
          <w:rFonts w:cs="Arial"/>
          <w:i/>
          <w:iCs/>
          <w:lang w:eastAsia="ja-JP"/>
        </w:rPr>
        <w:t>Re</w:t>
      </w:r>
      <w:r w:rsidRPr="00C52039">
        <w:rPr>
          <w:rFonts w:cs="Arial"/>
          <w:vertAlign w:val="subscript"/>
          <w:lang w:eastAsia="ja-JP"/>
        </w:rPr>
        <w:t>cr</w:t>
      </w:r>
      <w:proofErr w:type="spellEnd"/>
      <w:r w:rsidRPr="6A89A870">
        <w:rPr>
          <w:rFonts w:cs="Arial"/>
          <w:lang w:eastAsia="ja-JP"/>
        </w:rPr>
        <w:t xml:space="preserve"> = 12.0, </w:t>
      </w:r>
      <w:r w:rsidRPr="00D014C4">
        <w:rPr>
          <w:rFonts w:cs="Arial"/>
          <w:i/>
          <w:iCs/>
          <w:lang w:eastAsia="ja-JP"/>
        </w:rPr>
        <w:t>N</w:t>
      </w:r>
      <w:r>
        <w:rPr>
          <w:rFonts w:cs="Arial"/>
          <w:lang w:eastAsia="ja-JP"/>
        </w:rPr>
        <w:t xml:space="preserve"> = 20 is the highest probability</w:t>
      </w:r>
      <w:r w:rsidRPr="6A89A870">
        <w:rPr>
          <w:rFonts w:cs="Arial"/>
          <w:lang w:eastAsia="ja-JP"/>
        </w:rPr>
        <w:t xml:space="preserve"> after the sudden rotation of the inner cylinder (i.e., </w:t>
      </w:r>
      <w:r w:rsidRPr="00736782">
        <w:rPr>
          <w:rFonts w:ascii="Symbol" w:hAnsi="Symbol" w:cs="Arial"/>
          <w:i/>
          <w:iCs/>
          <w:lang w:eastAsia="ja-JP"/>
        </w:rPr>
        <w:t>a</w:t>
      </w:r>
      <w:r w:rsidRPr="6A89A870">
        <w:rPr>
          <w:rFonts w:cs="Arial"/>
          <w:lang w:eastAsia="ja-JP"/>
        </w:rPr>
        <w:t xml:space="preserve"> = </w:t>
      </w:r>
      <m:oMath>
        <m:r>
          <w:rPr>
            <w:rFonts w:ascii="Cambria Math" w:hAnsi="Cambria Math" w:cs="Arial"/>
            <w:lang w:eastAsia="ja-JP"/>
          </w:rPr>
          <m:t>∞</m:t>
        </m:r>
      </m:oMath>
      <w:r>
        <w:rPr>
          <w:rFonts w:cs="Arial" w:hint="eastAsia"/>
          <w:lang w:eastAsia="ja-JP"/>
        </w:rPr>
        <w:t xml:space="preserve"> </w:t>
      </w:r>
      <w:r>
        <w:rPr>
          <w:rFonts w:cs="Arial"/>
          <w:lang w:eastAsia="ja-JP"/>
        </w:rPr>
        <w:t>rad</w:t>
      </w:r>
      <w:r w:rsidRPr="6A89A870">
        <w:rPr>
          <w:rFonts w:cs="Arial"/>
          <w:lang w:eastAsia="ja-JP"/>
        </w:rPr>
        <w:t>/s</w:t>
      </w:r>
      <w:r w:rsidRPr="00736782">
        <w:rPr>
          <w:rFonts w:cs="Arial"/>
          <w:vertAlign w:val="superscript"/>
          <w:lang w:eastAsia="ja-JP"/>
        </w:rPr>
        <w:t>2</w:t>
      </w:r>
      <w:r w:rsidRPr="6A89A870">
        <w:rPr>
          <w:rFonts w:cs="Arial"/>
          <w:lang w:eastAsia="ja-JP"/>
        </w:rPr>
        <w:t>).</w:t>
      </w:r>
      <w:r>
        <w:rPr>
          <w:rFonts w:cs="Arial"/>
          <w:lang w:eastAsia="ja-JP"/>
        </w:rPr>
        <w:t xml:space="preserve"> In the simulation under the same conditions, a value of </w:t>
      </w:r>
      <w:r w:rsidRPr="009B425B">
        <w:rPr>
          <w:rFonts w:cs="Arial"/>
          <w:i/>
          <w:iCs/>
          <w:lang w:eastAsia="ja-JP"/>
        </w:rPr>
        <w:t>N</w:t>
      </w:r>
      <w:r>
        <w:rPr>
          <w:rFonts w:cs="Arial"/>
          <w:lang w:eastAsia="ja-JP"/>
        </w:rPr>
        <w:t xml:space="preserve"> = 20 (10 pairs of Taylor cells) was obtained at a steady state. Thus, the highest probability state among the multi-stability states was selected for the numerical simulation as well.</w:t>
      </w:r>
    </w:p>
    <w:p w14:paraId="14845F66" w14:textId="65931022" w:rsidR="00052C1A" w:rsidRDefault="00F73FD4" w:rsidP="00F73FD4">
      <w:pPr>
        <w:pStyle w:val="CETBodytext"/>
        <w:rPr>
          <w:rFonts w:cs="Arial"/>
          <w:lang w:eastAsia="ja-JP"/>
        </w:rPr>
      </w:pPr>
      <w:r w:rsidRPr="5F5B79AC">
        <w:rPr>
          <w:rFonts w:cs="Arial"/>
          <w:lang w:eastAsia="ja-JP"/>
        </w:rPr>
        <w:t xml:space="preserve">Figure </w:t>
      </w:r>
      <w:r>
        <w:rPr>
          <w:rFonts w:cs="Arial"/>
          <w:lang w:eastAsia="ja-JP"/>
        </w:rPr>
        <w:t>4</w:t>
      </w:r>
      <w:r w:rsidRPr="5F5B79AC">
        <w:rPr>
          <w:rFonts w:cs="Arial"/>
          <w:lang w:eastAsia="ja-JP"/>
        </w:rPr>
        <w:t xml:space="preserve"> shows the effect of </w:t>
      </w:r>
      <w:r w:rsidRPr="5F5B79AC">
        <w:rPr>
          <w:rFonts w:cs="Arial"/>
          <w:i/>
          <w:iCs/>
          <w:lang w:eastAsia="ja-JP"/>
        </w:rPr>
        <w:t>Re</w:t>
      </w:r>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sidRPr="5F5B79AC">
        <w:rPr>
          <w:rFonts w:cs="Arial"/>
          <w:lang w:eastAsia="ja-JP"/>
        </w:rPr>
        <w:t xml:space="preserve"> </w:t>
      </w:r>
      <w:r>
        <w:rPr>
          <w:rFonts w:cs="Arial"/>
          <w:lang w:eastAsia="ja-JP"/>
        </w:rPr>
        <w:t>or (</w:t>
      </w:r>
      <w:proofErr w:type="spellStart"/>
      <w:r w:rsidRPr="5F5B79AC">
        <w:rPr>
          <w:rFonts w:cs="Arial"/>
          <w:i/>
          <w:iCs/>
          <w:lang w:eastAsia="ja-JP"/>
        </w:rPr>
        <w:t>Re</w:t>
      </w:r>
      <w:r w:rsidRPr="00600D72">
        <w:rPr>
          <w:rFonts w:cs="Arial"/>
          <w:vertAlign w:val="subscript"/>
          <w:lang w:eastAsia="ja-JP"/>
        </w:rPr>
        <w:t>eff</w:t>
      </w:r>
      <w:proofErr w:type="spellEnd"/>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Pr>
          <w:rFonts w:cs="Arial"/>
          <w:lang w:eastAsia="ja-JP"/>
        </w:rPr>
        <w:t>)</w:t>
      </w:r>
      <w:r w:rsidRPr="5F5B79AC">
        <w:rPr>
          <w:rFonts w:cs="Arial"/>
          <w:lang w:eastAsia="ja-JP"/>
        </w:rPr>
        <w:t xml:space="preserve"> on the number of cells in the steady state </w:t>
      </w:r>
      <w:r>
        <w:rPr>
          <w:rFonts w:cs="Arial"/>
          <w:lang w:eastAsia="ja-JP"/>
        </w:rPr>
        <w:t>for</w:t>
      </w:r>
      <w:r w:rsidRPr="5F5B79AC">
        <w:rPr>
          <w:rFonts w:cs="Arial"/>
          <w:lang w:eastAsia="ja-JP"/>
        </w:rPr>
        <w:t xml:space="preserve"> Newtonian and shear-thinning fluids. For both fluids, the number of Taylor cells decrease</w:t>
      </w:r>
      <w:r>
        <w:rPr>
          <w:rFonts w:cs="Arial"/>
          <w:lang w:eastAsia="ja-JP"/>
        </w:rPr>
        <w:t xml:space="preserve">s with </w:t>
      </w:r>
      <w:r w:rsidRPr="5F5B79AC">
        <w:rPr>
          <w:rFonts w:cs="Arial"/>
          <w:lang w:eastAsia="ja-JP"/>
        </w:rPr>
        <w:t>increasin</w:t>
      </w:r>
      <w:r>
        <w:rPr>
          <w:rFonts w:cs="Arial"/>
          <w:lang w:eastAsia="ja-JP"/>
        </w:rPr>
        <w:t xml:space="preserve">g </w:t>
      </w:r>
      <w:r w:rsidRPr="5F5B79AC">
        <w:rPr>
          <w:rFonts w:cs="Arial"/>
          <w:i/>
          <w:iCs/>
          <w:lang w:eastAsia="ja-JP"/>
        </w:rPr>
        <w:t>Re</w:t>
      </w:r>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sidRPr="5F5B79AC">
        <w:rPr>
          <w:rFonts w:cs="Arial"/>
          <w:lang w:eastAsia="ja-JP"/>
        </w:rPr>
        <w:t>. This</w:t>
      </w:r>
      <w:r>
        <w:rPr>
          <w:rFonts w:cs="Arial"/>
          <w:lang w:eastAsia="ja-JP"/>
        </w:rPr>
        <w:t xml:space="preserve"> relationship</w:t>
      </w:r>
      <w:r w:rsidRPr="5F5B79AC">
        <w:rPr>
          <w:rFonts w:cs="Arial"/>
          <w:lang w:eastAsia="ja-JP"/>
        </w:rPr>
        <w:t xml:space="preserve"> is because </w:t>
      </w:r>
      <w:r>
        <w:rPr>
          <w:rFonts w:cs="Arial"/>
          <w:lang w:eastAsia="ja-JP"/>
        </w:rPr>
        <w:t xml:space="preserve">the merging of Taylor cells during </w:t>
      </w:r>
      <w:r w:rsidRPr="5F5B79AC">
        <w:rPr>
          <w:rFonts w:cs="Arial"/>
          <w:lang w:eastAsia="ja-JP"/>
        </w:rPr>
        <w:t xml:space="preserve">development </w:t>
      </w:r>
      <w:r>
        <w:rPr>
          <w:rFonts w:cs="Arial"/>
          <w:lang w:eastAsia="ja-JP"/>
        </w:rPr>
        <w:t>was induced</w:t>
      </w:r>
      <w:r w:rsidRPr="5F5B79AC">
        <w:rPr>
          <w:rFonts w:cs="Arial"/>
          <w:lang w:eastAsia="ja-JP"/>
        </w:rPr>
        <w:t xml:space="preserve"> by an increase in </w:t>
      </w:r>
      <w:r w:rsidRPr="5F5B79AC">
        <w:rPr>
          <w:rFonts w:cs="Arial"/>
          <w:i/>
          <w:iCs/>
          <w:lang w:eastAsia="ja-JP"/>
        </w:rPr>
        <w:t>Re</w:t>
      </w:r>
      <w:r w:rsidRPr="5F5B79AC">
        <w:rPr>
          <w:rFonts w:cs="Arial"/>
          <w:lang w:eastAsia="ja-JP"/>
        </w:rPr>
        <w:t xml:space="preserve">. In addition, at each </w:t>
      </w:r>
      <w:r w:rsidRPr="5F5B79AC">
        <w:rPr>
          <w:rFonts w:cs="Arial"/>
          <w:i/>
          <w:iCs/>
          <w:lang w:eastAsia="ja-JP"/>
        </w:rPr>
        <w:t>Re</w:t>
      </w:r>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sidRPr="5F5B79AC">
        <w:rPr>
          <w:rFonts w:cs="Arial"/>
          <w:lang w:eastAsia="ja-JP"/>
        </w:rPr>
        <w:t xml:space="preserve">, the number of Taylor cells in the shear-thinning fluid was smaller than that in the Newtonian fluid. This tendency indicates that the cell size of the shear-thinning fluid was larger than that of the Newtonian fluid. Although an increase in cell size for shear-thinning fluids has been pointed out by several researchers (e.g., </w:t>
      </w:r>
      <w:proofErr w:type="spellStart"/>
      <w:r w:rsidRPr="5F5B79AC">
        <w:rPr>
          <w:rFonts w:cs="Arial"/>
          <w:lang w:eastAsia="ja-JP"/>
        </w:rPr>
        <w:t>Escudier</w:t>
      </w:r>
      <w:proofErr w:type="spellEnd"/>
      <w:r w:rsidRPr="5F5B79AC">
        <w:rPr>
          <w:rFonts w:cs="Arial"/>
          <w:lang w:eastAsia="ja-JP"/>
        </w:rPr>
        <w:t xml:space="preserve"> et al, 1995; Masuda et al., 2019), the detailed mechanism</w:t>
      </w:r>
      <w:r>
        <w:rPr>
          <w:rFonts w:cs="Arial"/>
          <w:lang w:eastAsia="ja-JP"/>
        </w:rPr>
        <w:t xml:space="preserve"> by which it occurs</w:t>
      </w:r>
      <w:r w:rsidRPr="5F5B79AC">
        <w:rPr>
          <w:rFonts w:cs="Arial"/>
          <w:lang w:eastAsia="ja-JP"/>
        </w:rPr>
        <w:t xml:space="preserve"> remains unclear. To discuss the cellular structure in more detail, the axial wavelength of </w:t>
      </w:r>
      <w:r>
        <w:rPr>
          <w:rFonts w:cs="Arial"/>
          <w:lang w:eastAsia="ja-JP"/>
        </w:rPr>
        <w:t xml:space="preserve">the </w:t>
      </w:r>
      <w:r w:rsidRPr="5F5B79AC">
        <w:rPr>
          <w:rFonts w:cs="Arial"/>
          <w:lang w:eastAsia="ja-JP"/>
        </w:rPr>
        <w:t xml:space="preserve">cell, which was normalized </w:t>
      </w:r>
      <w:r w:rsidRPr="5F5B79AC">
        <w:rPr>
          <w:rFonts w:cs="Arial"/>
          <w:lang w:eastAsia="ja-JP"/>
        </w:rPr>
        <w:lastRenderedPageBreak/>
        <w:t>by the gap width (</w:t>
      </w:r>
      <w:r w:rsidRPr="00DB3BBC">
        <w:rPr>
          <w:rFonts w:cs="Arial"/>
          <w:i/>
          <w:iCs/>
          <w:lang w:eastAsia="ja-JP"/>
        </w:rPr>
        <w:t>d</w:t>
      </w:r>
      <w:r w:rsidRPr="5F5B79AC">
        <w:rPr>
          <w:rFonts w:cs="Arial"/>
          <w:lang w:eastAsia="ja-JP"/>
        </w:rPr>
        <w:t xml:space="preserve">) at each </w:t>
      </w:r>
      <w:r w:rsidRPr="00CA25A2">
        <w:rPr>
          <w:rFonts w:cs="Arial"/>
          <w:i/>
          <w:iCs/>
          <w:lang w:eastAsia="ja-JP"/>
        </w:rPr>
        <w:t>Re</w:t>
      </w:r>
      <w:r w:rsidRPr="5F5B79AC">
        <w:rPr>
          <w:rFonts w:cs="Arial"/>
          <w:lang w:eastAsia="ja-JP"/>
        </w:rPr>
        <w:t xml:space="preserve"> / </w:t>
      </w:r>
      <w:proofErr w:type="spellStart"/>
      <w:r w:rsidRPr="00CA25A2">
        <w:rPr>
          <w:rFonts w:cs="Arial"/>
          <w:i/>
          <w:iCs/>
          <w:lang w:eastAsia="ja-JP"/>
        </w:rPr>
        <w:t>Re</w:t>
      </w:r>
      <w:r w:rsidRPr="00CA25A2">
        <w:rPr>
          <w:rFonts w:cs="Arial"/>
          <w:vertAlign w:val="subscript"/>
          <w:lang w:eastAsia="ja-JP"/>
        </w:rPr>
        <w:t>cr</w:t>
      </w:r>
      <w:proofErr w:type="spellEnd"/>
      <w:r w:rsidRPr="5F5B79AC">
        <w:rPr>
          <w:rFonts w:cs="Arial"/>
          <w:lang w:eastAsia="ja-JP"/>
        </w:rPr>
        <w:t xml:space="preserve"> is shown in F</w:t>
      </w:r>
      <w:r>
        <w:rPr>
          <w:rFonts w:cs="Arial"/>
          <w:lang w:eastAsia="ja-JP"/>
        </w:rPr>
        <w:t>i</w:t>
      </w:r>
      <w:r w:rsidRPr="5F5B79AC">
        <w:rPr>
          <w:rFonts w:cs="Arial"/>
          <w:lang w:eastAsia="ja-JP"/>
        </w:rPr>
        <w:t>g</w:t>
      </w:r>
      <w:r>
        <w:rPr>
          <w:rFonts w:cs="Arial"/>
          <w:lang w:eastAsia="ja-JP"/>
        </w:rPr>
        <w:t>ure</w:t>
      </w:r>
      <w:r w:rsidRPr="5F5B79AC">
        <w:rPr>
          <w:rFonts w:cs="Arial"/>
          <w:lang w:eastAsia="ja-JP"/>
        </w:rPr>
        <w:t xml:space="preserve"> </w:t>
      </w:r>
      <w:r>
        <w:rPr>
          <w:rFonts w:cs="Arial"/>
          <w:lang w:eastAsia="ja-JP"/>
        </w:rPr>
        <w:t>5</w:t>
      </w:r>
      <w:r w:rsidRPr="5F5B79AC">
        <w:rPr>
          <w:rFonts w:cs="Arial"/>
          <w:lang w:eastAsia="ja-JP"/>
        </w:rPr>
        <w:t xml:space="preserve">. </w:t>
      </w:r>
      <w:r>
        <w:rPr>
          <w:rFonts w:cs="Arial"/>
          <w:lang w:eastAsia="ja-JP"/>
        </w:rPr>
        <w:t>Note</w:t>
      </w:r>
      <w:r w:rsidRPr="5F5B79AC">
        <w:rPr>
          <w:rFonts w:cs="Arial"/>
          <w:lang w:eastAsia="ja-JP"/>
        </w:rPr>
        <w:t xml:space="preserve"> that the size of “a pair of Taylor cells” instead of </w:t>
      </w:r>
      <w:r>
        <w:rPr>
          <w:rFonts w:cs="Arial"/>
          <w:lang w:eastAsia="ja-JP"/>
        </w:rPr>
        <w:t>the</w:t>
      </w:r>
      <w:r w:rsidRPr="5F5B79AC">
        <w:rPr>
          <w:rFonts w:cs="Arial"/>
          <w:lang w:eastAsia="ja-JP"/>
        </w:rPr>
        <w:t xml:space="preserve"> cell</w:t>
      </w:r>
      <w:r>
        <w:rPr>
          <w:rFonts w:cs="Arial"/>
          <w:lang w:eastAsia="ja-JP"/>
        </w:rPr>
        <w:t xml:space="preserve"> size</w:t>
      </w:r>
      <w:r w:rsidRPr="5F5B79AC">
        <w:rPr>
          <w:rFonts w:cs="Arial"/>
          <w:lang w:eastAsia="ja-JP"/>
        </w:rPr>
        <w:t xml:space="preserve"> is shown in Fig</w:t>
      </w:r>
      <w:r>
        <w:rPr>
          <w:rFonts w:cs="Arial"/>
          <w:lang w:eastAsia="ja-JP"/>
        </w:rPr>
        <w:t>ure</w:t>
      </w:r>
      <w:r w:rsidRPr="5F5B79AC">
        <w:rPr>
          <w:rFonts w:cs="Arial"/>
          <w:lang w:eastAsia="ja-JP"/>
        </w:rPr>
        <w:t xml:space="preserve"> </w:t>
      </w:r>
      <w:r>
        <w:rPr>
          <w:rFonts w:cs="Arial"/>
          <w:lang w:eastAsia="ja-JP"/>
        </w:rPr>
        <w:t>5</w:t>
      </w:r>
      <w:r w:rsidRPr="5F5B79AC">
        <w:rPr>
          <w:rFonts w:cs="Arial"/>
          <w:lang w:eastAsia="ja-JP"/>
        </w:rPr>
        <w:t xml:space="preserve"> (b). It is well known that the end cell, sometimes called </w:t>
      </w:r>
      <w:r>
        <w:rPr>
          <w:rFonts w:cs="Arial"/>
          <w:lang w:eastAsia="ja-JP"/>
        </w:rPr>
        <w:t>the Ekman cell,</w:t>
      </w:r>
      <w:r w:rsidRPr="5F5B79AC">
        <w:rPr>
          <w:rFonts w:cs="Arial"/>
          <w:lang w:eastAsia="ja-JP"/>
        </w:rPr>
        <w:t xml:space="preserve"> is larger than </w:t>
      </w:r>
      <w:r>
        <w:rPr>
          <w:rFonts w:cs="Arial"/>
          <w:lang w:eastAsia="ja-JP"/>
        </w:rPr>
        <w:t xml:space="preserve">the </w:t>
      </w:r>
      <w:r w:rsidRPr="5F5B79AC">
        <w:rPr>
          <w:rFonts w:cs="Arial"/>
          <w:lang w:eastAsia="ja-JP"/>
        </w:rPr>
        <w:t>internal cells</w:t>
      </w:r>
      <w:r>
        <w:rPr>
          <w:rFonts w:cs="Arial"/>
          <w:lang w:eastAsia="ja-JP"/>
        </w:rPr>
        <w:t>,</w:t>
      </w:r>
      <w:r w:rsidRPr="5F5B79AC">
        <w:rPr>
          <w:rFonts w:cs="Arial"/>
          <w:lang w:eastAsia="ja-JP"/>
        </w:rPr>
        <w:t xml:space="preserve"> owing to the Ekman boundary. </w:t>
      </w:r>
      <w:r>
        <w:rPr>
          <w:rFonts w:cs="Arial"/>
          <w:lang w:eastAsia="ja-JP"/>
        </w:rPr>
        <w:t xml:space="preserve">For </w:t>
      </w:r>
      <w:r w:rsidRPr="5F5B79AC">
        <w:rPr>
          <w:rFonts w:cs="Arial"/>
          <w:lang w:eastAsia="ja-JP"/>
        </w:rPr>
        <w:t>Newtonian and shear-thinning fluid</w:t>
      </w:r>
      <w:r>
        <w:rPr>
          <w:rFonts w:cs="Arial"/>
          <w:lang w:eastAsia="ja-JP"/>
        </w:rPr>
        <w:t>s, t</w:t>
      </w:r>
      <w:r w:rsidRPr="5F5B79AC">
        <w:rPr>
          <w:rFonts w:cs="Arial"/>
          <w:lang w:eastAsia="ja-JP"/>
        </w:rPr>
        <w:t>he size</w:t>
      </w:r>
      <w:r>
        <w:rPr>
          <w:rFonts w:cs="Arial"/>
          <w:lang w:eastAsia="ja-JP"/>
        </w:rPr>
        <w:t>s of both the cells (end and internal cells) increase</w:t>
      </w:r>
      <w:r w:rsidRPr="5F5B79AC">
        <w:rPr>
          <w:rFonts w:cs="Arial"/>
          <w:lang w:eastAsia="ja-JP"/>
        </w:rPr>
        <w:t xml:space="preserve">d with </w:t>
      </w:r>
      <w:r w:rsidRPr="5F5B79AC">
        <w:rPr>
          <w:rFonts w:cs="Arial"/>
          <w:i/>
          <w:iCs/>
          <w:lang w:eastAsia="ja-JP"/>
        </w:rPr>
        <w:t>Re</w:t>
      </w:r>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sidRPr="5F5B79AC">
        <w:rPr>
          <w:rFonts w:cs="Arial"/>
          <w:lang w:eastAsia="ja-JP"/>
        </w:rPr>
        <w:t xml:space="preserve">. In addition, as described above, both sizes (end and internal cells) of the shear-thinning fluid </w:t>
      </w:r>
      <w:r>
        <w:rPr>
          <w:rFonts w:cs="Arial"/>
          <w:lang w:eastAsia="ja-JP"/>
        </w:rPr>
        <w:t>were</w:t>
      </w:r>
      <w:r w:rsidRPr="5F5B79AC">
        <w:rPr>
          <w:rFonts w:cs="Arial"/>
          <w:lang w:eastAsia="ja-JP"/>
        </w:rPr>
        <w:t xml:space="preserve"> larger than those of the Newtonian fluid. In particular, the difference in cell size between </w:t>
      </w:r>
      <w:r>
        <w:rPr>
          <w:rFonts w:cs="Arial"/>
          <w:lang w:eastAsia="ja-JP"/>
        </w:rPr>
        <w:t xml:space="preserve">the Newtonian and shear-thinning fluids </w:t>
      </w:r>
      <w:r w:rsidRPr="5F5B79AC">
        <w:rPr>
          <w:rFonts w:cs="Arial"/>
          <w:lang w:eastAsia="ja-JP"/>
        </w:rPr>
        <w:t xml:space="preserve">was slightly clearer for the end cell than for the internal cells. In other words, in the shear-thinning fluid systems, the increase in the end cell size resulted in </w:t>
      </w:r>
      <w:r>
        <w:rPr>
          <w:rFonts w:cs="Arial"/>
          <w:lang w:eastAsia="ja-JP"/>
        </w:rPr>
        <w:t>a</w:t>
      </w:r>
      <w:r w:rsidRPr="5F5B79AC">
        <w:rPr>
          <w:rFonts w:cs="Arial"/>
          <w:lang w:eastAsia="ja-JP"/>
        </w:rPr>
        <w:t xml:space="preserve"> decrease in the number of Taylor cells. Therefore, it can be inferred that shear-thinning affects the development of the end cell and its neighboring cells.</w:t>
      </w:r>
    </w:p>
    <w:p w14:paraId="35695AF9" w14:textId="05A72311" w:rsidR="00A27D1C" w:rsidRDefault="00DF3CBF" w:rsidP="3EE949C5">
      <w:pPr>
        <w:pStyle w:val="CETBodytext"/>
        <w:rPr>
          <w:rFonts w:cs="Arial"/>
          <w:lang w:eastAsia="ja-JP"/>
        </w:rPr>
      </w:pPr>
      <w:r w:rsidRPr="00DF3CBF">
        <w:rPr>
          <w:rFonts w:cs="Arial"/>
          <w:noProof/>
          <w:lang w:val="en-GB" w:eastAsia="ja-JP"/>
        </w:rPr>
        <w:drawing>
          <wp:inline distT="0" distB="0" distL="0" distR="0" wp14:anchorId="77F8FF91" wp14:editId="7DA632AA">
            <wp:extent cx="2073600" cy="147972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0200" cy="1491575"/>
                    </a:xfrm>
                    <a:prstGeom prst="rect">
                      <a:avLst/>
                    </a:prstGeom>
                  </pic:spPr>
                </pic:pic>
              </a:graphicData>
            </a:graphic>
          </wp:inline>
        </w:drawing>
      </w:r>
    </w:p>
    <w:p w14:paraId="127CDCCB" w14:textId="76437AA8" w:rsidR="00A27D1C" w:rsidRDefault="00A27D1C" w:rsidP="3EE949C5">
      <w:pPr>
        <w:pStyle w:val="CETBodytext"/>
        <w:rPr>
          <w:rFonts w:cs="Arial"/>
          <w:lang w:eastAsia="ja-JP"/>
        </w:rPr>
      </w:pPr>
      <w:r w:rsidRPr="00BD077D">
        <w:rPr>
          <w:rStyle w:val="CETCaptionCarattere"/>
        </w:rPr>
        <w:t xml:space="preserve">Figure </w:t>
      </w:r>
      <w:r w:rsidR="00D014C4">
        <w:rPr>
          <w:rStyle w:val="CETCaptionCarattere"/>
        </w:rPr>
        <w:t>4</w:t>
      </w:r>
      <w:r w:rsidRPr="00BD077D">
        <w:rPr>
          <w:rStyle w:val="CETCaptionCarattere"/>
        </w:rPr>
        <w:t>:</w:t>
      </w:r>
      <w:r>
        <w:rPr>
          <w:rStyle w:val="CETCaptionCarattere"/>
        </w:rPr>
        <w:t xml:space="preserve"> </w:t>
      </w:r>
      <w:r w:rsidR="00AC171B">
        <w:rPr>
          <w:rFonts w:cs="Arial"/>
          <w:lang w:val="en-GB" w:eastAsia="ja-JP"/>
        </w:rPr>
        <w:t>Effect</w:t>
      </w:r>
      <w:r w:rsidRPr="5F5B79AC">
        <w:rPr>
          <w:rFonts w:cs="Arial"/>
          <w:lang w:eastAsia="ja-JP"/>
        </w:rPr>
        <w:t xml:space="preserve"> of </w:t>
      </w:r>
      <w:r w:rsidRPr="5F5B79AC">
        <w:rPr>
          <w:rFonts w:cs="Arial"/>
          <w:i/>
          <w:iCs/>
          <w:lang w:eastAsia="ja-JP"/>
        </w:rPr>
        <w:t>Re</w:t>
      </w:r>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sidRPr="5F5B79AC">
        <w:rPr>
          <w:rFonts w:cs="Arial"/>
          <w:lang w:eastAsia="ja-JP"/>
        </w:rPr>
        <w:t xml:space="preserve"> </w:t>
      </w:r>
      <w:r>
        <w:rPr>
          <w:rFonts w:cs="Arial"/>
          <w:lang w:eastAsia="ja-JP"/>
        </w:rPr>
        <w:t>or (</w:t>
      </w:r>
      <w:proofErr w:type="spellStart"/>
      <w:r w:rsidRPr="5F5B79AC">
        <w:rPr>
          <w:rFonts w:cs="Arial"/>
          <w:i/>
          <w:iCs/>
          <w:lang w:eastAsia="ja-JP"/>
        </w:rPr>
        <w:t>Re</w:t>
      </w:r>
      <w:r w:rsidRPr="00600D72">
        <w:rPr>
          <w:rFonts w:cs="Arial"/>
          <w:vertAlign w:val="subscript"/>
          <w:lang w:eastAsia="ja-JP"/>
        </w:rPr>
        <w:t>eff</w:t>
      </w:r>
      <w:proofErr w:type="spellEnd"/>
      <w:r w:rsidRPr="5F5B79AC">
        <w:rPr>
          <w:rFonts w:cs="Arial"/>
          <w:lang w:eastAsia="ja-JP"/>
        </w:rPr>
        <w:t xml:space="preserve"> / </w:t>
      </w:r>
      <w:proofErr w:type="spellStart"/>
      <w:r w:rsidRPr="5F5B79AC">
        <w:rPr>
          <w:rFonts w:cs="Arial"/>
          <w:i/>
          <w:iCs/>
          <w:lang w:eastAsia="ja-JP"/>
        </w:rPr>
        <w:t>Re</w:t>
      </w:r>
      <w:r w:rsidRPr="5F5B79AC">
        <w:rPr>
          <w:rFonts w:cs="Arial"/>
          <w:vertAlign w:val="subscript"/>
          <w:lang w:eastAsia="ja-JP"/>
        </w:rPr>
        <w:t>cr</w:t>
      </w:r>
      <w:proofErr w:type="spellEnd"/>
      <w:r>
        <w:rPr>
          <w:rFonts w:cs="Arial"/>
          <w:lang w:eastAsia="ja-JP"/>
        </w:rPr>
        <w:t>)</w:t>
      </w:r>
      <w:r w:rsidRPr="5F5B79AC">
        <w:rPr>
          <w:rFonts w:cs="Arial"/>
          <w:lang w:eastAsia="ja-JP"/>
        </w:rPr>
        <w:t xml:space="preserve"> on the number of cells at the steady state </w:t>
      </w:r>
      <w:r w:rsidR="005A59BA">
        <w:rPr>
          <w:rFonts w:cs="Arial"/>
          <w:lang w:eastAsia="ja-JP"/>
        </w:rPr>
        <w:t>for</w:t>
      </w:r>
      <w:r w:rsidRPr="5F5B79AC">
        <w:rPr>
          <w:rFonts w:cs="Arial"/>
          <w:lang w:eastAsia="ja-JP"/>
        </w:rPr>
        <w:t xml:space="preserve"> Newtonian and shear-thinning fluids</w:t>
      </w:r>
    </w:p>
    <w:p w14:paraId="4D5D979B" w14:textId="27363F7E" w:rsidR="00A27D1C" w:rsidRDefault="00A27D1C" w:rsidP="3EE949C5">
      <w:pPr>
        <w:pStyle w:val="CETBodytext"/>
        <w:rPr>
          <w:rFonts w:cs="Arial"/>
          <w:lang w:eastAsia="ja-JP"/>
        </w:rPr>
      </w:pPr>
    </w:p>
    <w:p w14:paraId="672E88BB" w14:textId="421F0CA7" w:rsidR="00AC171B" w:rsidRDefault="00191C09" w:rsidP="3EE949C5">
      <w:pPr>
        <w:pStyle w:val="CETBodytext"/>
        <w:rPr>
          <w:rFonts w:cs="Arial"/>
          <w:lang w:eastAsia="ja-JP"/>
        </w:rPr>
      </w:pPr>
      <w:r w:rsidRPr="00191C09">
        <w:rPr>
          <w:rFonts w:cs="Arial"/>
          <w:noProof/>
          <w:lang w:val="en-GB" w:eastAsia="ja-JP"/>
        </w:rPr>
        <w:drawing>
          <wp:inline distT="0" distB="0" distL="0" distR="0" wp14:anchorId="3C3538E9" wp14:editId="043632DA">
            <wp:extent cx="4399200" cy="142334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7032" cy="1432349"/>
                    </a:xfrm>
                    <a:prstGeom prst="rect">
                      <a:avLst/>
                    </a:prstGeom>
                  </pic:spPr>
                </pic:pic>
              </a:graphicData>
            </a:graphic>
          </wp:inline>
        </w:drawing>
      </w:r>
    </w:p>
    <w:p w14:paraId="72130569" w14:textId="4F86EAD1" w:rsidR="00AC171B" w:rsidRDefault="00AC171B" w:rsidP="00AC171B">
      <w:pPr>
        <w:pStyle w:val="CETBodytext"/>
        <w:rPr>
          <w:rFonts w:cs="Arial"/>
          <w:lang w:eastAsia="ja-JP"/>
        </w:rPr>
      </w:pPr>
      <w:r w:rsidRPr="00BD077D">
        <w:rPr>
          <w:rStyle w:val="CETCaptionCarattere"/>
        </w:rPr>
        <w:t xml:space="preserve">Figure </w:t>
      </w:r>
      <w:r w:rsidR="00D014C4">
        <w:rPr>
          <w:rStyle w:val="CETCaptionCarattere"/>
        </w:rPr>
        <w:t>5</w:t>
      </w:r>
      <w:r w:rsidRPr="00BD077D">
        <w:rPr>
          <w:rStyle w:val="CETCaptionCarattere"/>
        </w:rPr>
        <w:t>:</w:t>
      </w:r>
      <w:r>
        <w:rPr>
          <w:rStyle w:val="CETCaptionCarattere"/>
        </w:rPr>
        <w:t xml:space="preserve"> </w:t>
      </w:r>
      <w:r w:rsidR="005A59BA">
        <w:rPr>
          <w:rFonts w:cs="Arial"/>
          <w:lang w:val="en-GB" w:eastAsia="ja-JP"/>
        </w:rPr>
        <w:t>Effect</w:t>
      </w:r>
      <w:r w:rsidR="005A59BA" w:rsidRPr="5F5B79AC">
        <w:rPr>
          <w:rFonts w:cs="Arial"/>
          <w:lang w:eastAsia="ja-JP"/>
        </w:rPr>
        <w:t xml:space="preserve"> of </w:t>
      </w:r>
      <w:r w:rsidR="005A59BA" w:rsidRPr="5F5B79AC">
        <w:rPr>
          <w:rFonts w:cs="Arial"/>
          <w:i/>
          <w:iCs/>
          <w:lang w:eastAsia="ja-JP"/>
        </w:rPr>
        <w:t>Re</w:t>
      </w:r>
      <w:r w:rsidR="005A59BA" w:rsidRPr="5F5B79AC">
        <w:rPr>
          <w:rFonts w:cs="Arial"/>
          <w:lang w:eastAsia="ja-JP"/>
        </w:rPr>
        <w:t xml:space="preserve"> / </w:t>
      </w:r>
      <w:proofErr w:type="spellStart"/>
      <w:r w:rsidR="005A59BA" w:rsidRPr="5F5B79AC">
        <w:rPr>
          <w:rFonts w:cs="Arial"/>
          <w:i/>
          <w:iCs/>
          <w:lang w:eastAsia="ja-JP"/>
        </w:rPr>
        <w:t>Re</w:t>
      </w:r>
      <w:r w:rsidR="005A59BA" w:rsidRPr="5F5B79AC">
        <w:rPr>
          <w:rFonts w:cs="Arial"/>
          <w:vertAlign w:val="subscript"/>
          <w:lang w:eastAsia="ja-JP"/>
        </w:rPr>
        <w:t>cr</w:t>
      </w:r>
      <w:proofErr w:type="spellEnd"/>
      <w:r w:rsidR="005A59BA" w:rsidRPr="5F5B79AC">
        <w:rPr>
          <w:rFonts w:cs="Arial"/>
          <w:lang w:eastAsia="ja-JP"/>
        </w:rPr>
        <w:t xml:space="preserve"> </w:t>
      </w:r>
      <w:r w:rsidR="005A59BA">
        <w:rPr>
          <w:rFonts w:cs="Arial"/>
          <w:lang w:eastAsia="ja-JP"/>
        </w:rPr>
        <w:t>or (</w:t>
      </w:r>
      <w:proofErr w:type="spellStart"/>
      <w:r w:rsidR="005A59BA" w:rsidRPr="5F5B79AC">
        <w:rPr>
          <w:rFonts w:cs="Arial"/>
          <w:i/>
          <w:iCs/>
          <w:lang w:eastAsia="ja-JP"/>
        </w:rPr>
        <w:t>Re</w:t>
      </w:r>
      <w:r w:rsidR="005A59BA" w:rsidRPr="00600D72">
        <w:rPr>
          <w:rFonts w:cs="Arial"/>
          <w:vertAlign w:val="subscript"/>
          <w:lang w:eastAsia="ja-JP"/>
        </w:rPr>
        <w:t>eff</w:t>
      </w:r>
      <w:proofErr w:type="spellEnd"/>
      <w:r w:rsidR="005A59BA" w:rsidRPr="5F5B79AC">
        <w:rPr>
          <w:rFonts w:cs="Arial"/>
          <w:lang w:eastAsia="ja-JP"/>
        </w:rPr>
        <w:t xml:space="preserve"> / </w:t>
      </w:r>
      <w:proofErr w:type="spellStart"/>
      <w:r w:rsidR="005A59BA" w:rsidRPr="5F5B79AC">
        <w:rPr>
          <w:rFonts w:cs="Arial"/>
          <w:i/>
          <w:iCs/>
          <w:lang w:eastAsia="ja-JP"/>
        </w:rPr>
        <w:t>Re</w:t>
      </w:r>
      <w:r w:rsidR="005A59BA" w:rsidRPr="5F5B79AC">
        <w:rPr>
          <w:rFonts w:cs="Arial"/>
          <w:vertAlign w:val="subscript"/>
          <w:lang w:eastAsia="ja-JP"/>
        </w:rPr>
        <w:t>cr</w:t>
      </w:r>
      <w:proofErr w:type="spellEnd"/>
      <w:r w:rsidR="005A59BA">
        <w:rPr>
          <w:rFonts w:cs="Arial"/>
          <w:lang w:eastAsia="ja-JP"/>
        </w:rPr>
        <w:t>)</w:t>
      </w:r>
      <w:r w:rsidR="005A59BA" w:rsidRPr="5F5B79AC">
        <w:rPr>
          <w:rFonts w:cs="Arial"/>
          <w:lang w:eastAsia="ja-JP"/>
        </w:rPr>
        <w:t xml:space="preserve"> on </w:t>
      </w:r>
      <w:r w:rsidR="005A59BA">
        <w:rPr>
          <w:rFonts w:cs="Arial"/>
          <w:lang w:eastAsia="ja-JP"/>
        </w:rPr>
        <w:t xml:space="preserve">cell size: (a) </w:t>
      </w:r>
      <w:r w:rsidR="005A59BA" w:rsidRPr="5F5B79AC">
        <w:rPr>
          <w:rFonts w:cs="Arial"/>
          <w:lang w:eastAsia="ja-JP"/>
        </w:rPr>
        <w:t xml:space="preserve">size of </w:t>
      </w:r>
      <w:r w:rsidR="005A59BA">
        <w:rPr>
          <w:rFonts w:cs="Arial"/>
          <w:lang w:eastAsia="ja-JP"/>
        </w:rPr>
        <w:t xml:space="preserve">the </w:t>
      </w:r>
      <w:r w:rsidR="005A59BA" w:rsidRPr="5F5B79AC">
        <w:rPr>
          <w:rFonts w:cs="Arial"/>
          <w:lang w:eastAsia="ja-JP"/>
        </w:rPr>
        <w:t>end cell adjacent to the end wall</w:t>
      </w:r>
      <w:r w:rsidR="005A59BA">
        <w:rPr>
          <w:rFonts w:cs="Arial"/>
          <w:lang w:eastAsia="ja-JP"/>
        </w:rPr>
        <w:t xml:space="preserve"> and (b) </w:t>
      </w:r>
      <w:r w:rsidR="005A59BA" w:rsidRPr="5F5B79AC">
        <w:rPr>
          <w:rFonts w:cs="Arial"/>
          <w:lang w:eastAsia="ja-JP"/>
        </w:rPr>
        <w:t xml:space="preserve">averaged axial wavelength of </w:t>
      </w:r>
      <w:r w:rsidR="005A59BA">
        <w:rPr>
          <w:rFonts w:cs="Arial"/>
          <w:lang w:eastAsia="ja-JP"/>
        </w:rPr>
        <w:t>the internal cells</w:t>
      </w:r>
    </w:p>
    <w:p w14:paraId="645B3711" w14:textId="77777777" w:rsidR="00AC171B" w:rsidRPr="00AC171B" w:rsidRDefault="00AC171B" w:rsidP="3EE949C5">
      <w:pPr>
        <w:pStyle w:val="CETBodytext"/>
        <w:rPr>
          <w:rFonts w:cs="Arial"/>
          <w:lang w:eastAsia="ja-JP"/>
        </w:rPr>
      </w:pPr>
    </w:p>
    <w:p w14:paraId="6DE550A8" w14:textId="77777777" w:rsidR="005A59BA" w:rsidRDefault="005A59BA" w:rsidP="005A59BA">
      <w:pPr>
        <w:pStyle w:val="CETBodytext"/>
        <w:rPr>
          <w:rFonts w:cs="Arial"/>
          <w:lang w:eastAsia="ja-JP"/>
        </w:rPr>
      </w:pPr>
      <w:r w:rsidRPr="4366696E">
        <w:rPr>
          <w:rFonts w:cs="Arial"/>
          <w:lang w:eastAsia="ja-JP"/>
        </w:rPr>
        <w:t xml:space="preserve">Figure </w:t>
      </w:r>
      <w:r>
        <w:rPr>
          <w:rFonts w:cs="Arial"/>
          <w:lang w:eastAsia="ja-JP"/>
        </w:rPr>
        <w:t>6</w:t>
      </w:r>
      <w:r w:rsidRPr="4366696E">
        <w:rPr>
          <w:rFonts w:cs="Arial"/>
          <w:lang w:eastAsia="ja-JP"/>
        </w:rPr>
        <w:t xml:space="preserve"> shows the development process for the velocity vector of </w:t>
      </w:r>
      <w:r>
        <w:rPr>
          <w:rFonts w:cs="Arial"/>
          <w:lang w:eastAsia="ja-JP"/>
        </w:rPr>
        <w:t>the Taylor</w:t>
      </w:r>
      <w:r w:rsidRPr="4366696E">
        <w:rPr>
          <w:rFonts w:cs="Arial"/>
          <w:lang w:val="en-GB"/>
        </w:rPr>
        <w:t>–</w:t>
      </w:r>
      <w:r w:rsidRPr="4366696E">
        <w:rPr>
          <w:rFonts w:cs="Arial"/>
          <w:lang w:eastAsia="ja-JP"/>
        </w:rPr>
        <w:t>Couette flow</w:t>
      </w:r>
      <w:r>
        <w:rPr>
          <w:rFonts w:cs="Arial"/>
          <w:lang w:eastAsia="ja-JP"/>
        </w:rPr>
        <w:t>,</w:t>
      </w:r>
      <w:r w:rsidRPr="4366696E">
        <w:rPr>
          <w:rFonts w:cs="Arial"/>
          <w:lang w:eastAsia="ja-JP"/>
        </w:rPr>
        <w:t xml:space="preserve"> focusing on the end cell and neighbor</w:t>
      </w:r>
      <w:r>
        <w:rPr>
          <w:rFonts w:cs="Arial"/>
          <w:lang w:eastAsia="ja-JP"/>
        </w:rPr>
        <w:t>ing</w:t>
      </w:r>
      <w:r w:rsidRPr="4366696E">
        <w:rPr>
          <w:rFonts w:cs="Arial"/>
          <w:lang w:eastAsia="ja-JP"/>
        </w:rPr>
        <w:t xml:space="preserve"> cells at </w:t>
      </w:r>
      <w:r w:rsidRPr="00CA25A2">
        <w:rPr>
          <w:rFonts w:cs="Arial"/>
          <w:i/>
          <w:iCs/>
          <w:lang w:eastAsia="ja-JP"/>
        </w:rPr>
        <w:t>Re</w:t>
      </w:r>
      <w:r w:rsidRPr="4366696E">
        <w:rPr>
          <w:rFonts w:cs="Arial"/>
          <w:lang w:eastAsia="ja-JP"/>
        </w:rPr>
        <w:t xml:space="preserve"> / </w:t>
      </w:r>
      <w:proofErr w:type="spellStart"/>
      <w:r w:rsidRPr="00CA25A2">
        <w:rPr>
          <w:rFonts w:cs="Arial"/>
          <w:i/>
          <w:iCs/>
          <w:lang w:eastAsia="ja-JP"/>
        </w:rPr>
        <w:t>Re</w:t>
      </w:r>
      <w:r w:rsidRPr="00CA25A2">
        <w:rPr>
          <w:rFonts w:cs="Arial"/>
          <w:vertAlign w:val="subscript"/>
          <w:lang w:eastAsia="ja-JP"/>
        </w:rPr>
        <w:t>cr</w:t>
      </w:r>
      <w:proofErr w:type="spellEnd"/>
      <w:r w:rsidRPr="4366696E">
        <w:rPr>
          <w:rFonts w:cs="Arial"/>
          <w:lang w:eastAsia="ja-JP"/>
        </w:rPr>
        <w:t xml:space="preserve"> = 7.0 for (a) Newtonian and (b) shear-thinning fluids. In </w:t>
      </w:r>
      <w:r>
        <w:rPr>
          <w:rFonts w:cs="Arial"/>
          <w:lang w:eastAsia="ja-JP"/>
        </w:rPr>
        <w:t>this figure</w:t>
      </w:r>
      <w:r w:rsidRPr="4366696E">
        <w:rPr>
          <w:rFonts w:cs="Arial"/>
          <w:lang w:eastAsia="ja-JP"/>
        </w:rPr>
        <w:t xml:space="preserve">, the color contours indicate the velocity magnitude distribution for the Newtonian fluid and </w:t>
      </w:r>
      <w:r>
        <w:rPr>
          <w:rFonts w:cs="Arial"/>
          <w:lang w:eastAsia="ja-JP"/>
        </w:rPr>
        <w:t xml:space="preserve">the viscosity distribution for the shear-thinning fluid. </w:t>
      </w:r>
      <w:r w:rsidRPr="4366696E">
        <w:rPr>
          <w:rFonts w:cs="Arial"/>
          <w:lang w:eastAsia="ja-JP"/>
        </w:rPr>
        <w:t xml:space="preserve">In both </w:t>
      </w:r>
      <w:r>
        <w:rPr>
          <w:rFonts w:cs="Arial"/>
          <w:lang w:eastAsia="ja-JP"/>
        </w:rPr>
        <w:t>systems, the end cell</w:t>
      </w:r>
      <w:r w:rsidRPr="4366696E">
        <w:rPr>
          <w:rFonts w:cs="Arial"/>
          <w:lang w:eastAsia="ja-JP"/>
        </w:rPr>
        <w:t xml:space="preserve"> </w:t>
      </w:r>
      <w:r>
        <w:rPr>
          <w:rFonts w:cs="Arial"/>
          <w:lang w:eastAsia="ja-JP"/>
        </w:rPr>
        <w:t>was the first to appear</w:t>
      </w:r>
      <w:r w:rsidRPr="4366696E">
        <w:rPr>
          <w:rFonts w:cs="Arial"/>
          <w:lang w:eastAsia="ja-JP"/>
        </w:rPr>
        <w:t xml:space="preserve">. At the end </w:t>
      </w:r>
      <w:r>
        <w:rPr>
          <w:rFonts w:cs="Arial"/>
          <w:lang w:eastAsia="ja-JP"/>
        </w:rPr>
        <w:t xml:space="preserve">of the cell development, </w:t>
      </w:r>
      <w:r w:rsidRPr="4366696E">
        <w:rPr>
          <w:rFonts w:cs="Arial"/>
          <w:lang w:eastAsia="ja-JP"/>
        </w:rPr>
        <w:t>difference</w:t>
      </w:r>
      <w:r>
        <w:rPr>
          <w:rFonts w:cs="Arial"/>
          <w:lang w:eastAsia="ja-JP"/>
        </w:rPr>
        <w:t xml:space="preserve">s in the development </w:t>
      </w:r>
      <w:r w:rsidRPr="4366696E">
        <w:rPr>
          <w:rFonts w:cs="Arial"/>
          <w:lang w:eastAsia="ja-JP"/>
        </w:rPr>
        <w:t>process of the internal cells were observed. In the Newtonian fluid, a small vortex adjacent to the end cell smoothly developed to</w:t>
      </w:r>
      <w:r>
        <w:rPr>
          <w:rFonts w:cs="Arial"/>
          <w:lang w:eastAsia="ja-JP"/>
        </w:rPr>
        <w:t>wards the outer cylinder surface</w:t>
      </w:r>
      <w:r w:rsidRPr="4366696E">
        <w:rPr>
          <w:rFonts w:cs="Arial"/>
          <w:lang w:eastAsia="ja-JP"/>
        </w:rPr>
        <w:t>. Subsequently, internal vortices develop</w:t>
      </w:r>
      <w:r>
        <w:rPr>
          <w:rFonts w:cs="Arial"/>
          <w:lang w:eastAsia="ja-JP"/>
        </w:rPr>
        <w:t>ed</w:t>
      </w:r>
      <w:r w:rsidRPr="4366696E">
        <w:rPr>
          <w:rFonts w:cs="Arial"/>
          <w:lang w:eastAsia="ja-JP"/>
        </w:rPr>
        <w:t xml:space="preserve"> sequentially. By contrast, the smooth development of the outer cylinder surface was prevented by the viscosity distribution in the radial direction (the viscosity increased along the radius to the outer cylinder surface). In addition, at </w:t>
      </w:r>
      <w:r w:rsidRPr="00B605A2">
        <w:rPr>
          <w:rFonts w:cs="Arial"/>
          <w:i/>
          <w:iCs/>
          <w:lang w:eastAsia="ja-JP"/>
        </w:rPr>
        <w:t>t</w:t>
      </w:r>
      <w:r w:rsidRPr="4366696E">
        <w:rPr>
          <w:rFonts w:cs="Arial"/>
          <w:lang w:eastAsia="ja-JP"/>
        </w:rPr>
        <w:t xml:space="preserve"> = 0.</w:t>
      </w:r>
      <w:r>
        <w:rPr>
          <w:rFonts w:cs="Arial"/>
          <w:lang w:eastAsia="ja-JP"/>
        </w:rPr>
        <w:t>70</w:t>
      </w:r>
      <w:r w:rsidRPr="4366696E">
        <w:rPr>
          <w:rFonts w:cs="Arial"/>
          <w:lang w:eastAsia="ja-JP"/>
        </w:rPr>
        <w:t xml:space="preserve"> s, the axial wavelength of </w:t>
      </w:r>
      <w:r>
        <w:rPr>
          <w:rFonts w:cs="Arial"/>
          <w:lang w:eastAsia="ja-JP"/>
        </w:rPr>
        <w:t xml:space="preserve">the </w:t>
      </w:r>
      <w:r w:rsidRPr="4366696E">
        <w:rPr>
          <w:rFonts w:cs="Arial"/>
          <w:lang w:eastAsia="ja-JP"/>
        </w:rPr>
        <w:t>cell ad</w:t>
      </w:r>
      <w:r>
        <w:rPr>
          <w:rFonts w:cs="Arial"/>
          <w:lang w:eastAsia="ja-JP"/>
        </w:rPr>
        <w:t>joining</w:t>
      </w:r>
      <w:r w:rsidRPr="4366696E">
        <w:rPr>
          <w:rFonts w:cs="Arial"/>
          <w:lang w:eastAsia="ja-JP"/>
        </w:rPr>
        <w:t xml:space="preserve"> to the end cell was quite small compared </w:t>
      </w:r>
      <w:r>
        <w:rPr>
          <w:rFonts w:cs="Arial"/>
          <w:lang w:eastAsia="ja-JP"/>
        </w:rPr>
        <w:t>to</w:t>
      </w:r>
      <w:r w:rsidRPr="4366696E">
        <w:rPr>
          <w:rFonts w:cs="Arial"/>
          <w:lang w:eastAsia="ja-JP"/>
        </w:rPr>
        <w:t xml:space="preserve"> the gap width, i.e., </w:t>
      </w:r>
      <w:r w:rsidRPr="0074774D">
        <w:rPr>
          <w:rFonts w:ascii="Symbol" w:hAnsi="Symbol" w:cs="Arial"/>
          <w:i/>
          <w:iCs/>
          <w:lang w:eastAsia="ja-JP"/>
        </w:rPr>
        <w:t>l</w:t>
      </w:r>
      <w:r w:rsidRPr="4366696E">
        <w:rPr>
          <w:rFonts w:cs="Arial"/>
          <w:lang w:eastAsia="ja-JP"/>
        </w:rPr>
        <w:t xml:space="preserve"> / </w:t>
      </w:r>
      <w:r w:rsidRPr="0074774D">
        <w:rPr>
          <w:rFonts w:cs="Arial"/>
          <w:i/>
          <w:iCs/>
          <w:lang w:eastAsia="ja-JP"/>
        </w:rPr>
        <w:t>d</w:t>
      </w:r>
      <w:r w:rsidRPr="4366696E">
        <w:rPr>
          <w:rFonts w:cs="Arial"/>
          <w:lang w:eastAsia="ja-JP"/>
        </w:rPr>
        <w:t xml:space="preserve"> &lt;&lt; 1. This distorted cell was unstable</w:t>
      </w:r>
      <w:r>
        <w:rPr>
          <w:rFonts w:cs="Arial"/>
          <w:lang w:eastAsia="ja-JP"/>
        </w:rPr>
        <w:t xml:space="preserve">, leading to its merging </w:t>
      </w:r>
      <w:r w:rsidRPr="4366696E">
        <w:rPr>
          <w:rFonts w:cs="Arial"/>
          <w:lang w:eastAsia="ja-JP"/>
        </w:rPr>
        <w:t>with the end cell. Consequently, a larger end cell was formed. It can be concluded that, in the shear-thinning fluid, merging the transiently formed</w:t>
      </w:r>
      <w:r>
        <w:rPr>
          <w:rFonts w:cs="Arial"/>
          <w:lang w:eastAsia="ja-JP"/>
        </w:rPr>
        <w:t xml:space="preserve"> distorted cell adjacent to the </w:t>
      </w:r>
      <w:r w:rsidRPr="4366696E">
        <w:rPr>
          <w:rFonts w:cs="Arial"/>
          <w:lang w:eastAsia="ja-JP"/>
        </w:rPr>
        <w:t>end cell with the original end cell caused an increase in the end cell size, accompanied by larger internal cells compared with the Newtonian fluid system.</w:t>
      </w:r>
    </w:p>
    <w:p w14:paraId="1A2DC4F9" w14:textId="11542A5B" w:rsidR="00CD0B48" w:rsidRPr="00CD0B48" w:rsidRDefault="005A59BA" w:rsidP="005A59BA">
      <w:pPr>
        <w:pStyle w:val="CETBodytext"/>
        <w:rPr>
          <w:rFonts w:cs="Arial"/>
          <w:lang w:eastAsia="ja-JP"/>
        </w:rPr>
      </w:pPr>
      <w:r w:rsidRPr="4366696E">
        <w:rPr>
          <w:rFonts w:cs="Arial"/>
          <w:lang w:eastAsia="ja-JP"/>
        </w:rPr>
        <w:t xml:space="preserve">Finally, the </w:t>
      </w:r>
      <w:proofErr w:type="spellStart"/>
      <w:r w:rsidRPr="4366696E">
        <w:rPr>
          <w:rFonts w:cs="Arial"/>
          <w:lang w:eastAsia="ja-JP"/>
        </w:rPr>
        <w:t>multistability</w:t>
      </w:r>
      <w:proofErr w:type="spellEnd"/>
      <w:r w:rsidRPr="4366696E">
        <w:rPr>
          <w:rFonts w:cs="Arial"/>
          <w:lang w:eastAsia="ja-JP"/>
        </w:rPr>
        <w:t xml:space="preserve"> </w:t>
      </w:r>
      <w:r>
        <w:rPr>
          <w:rFonts w:cs="Arial"/>
          <w:lang w:eastAsia="ja-JP"/>
        </w:rPr>
        <w:t xml:space="preserve">of the shear-thinning fluid </w:t>
      </w:r>
      <w:r w:rsidRPr="4366696E">
        <w:rPr>
          <w:rFonts w:cs="Arial"/>
          <w:lang w:eastAsia="ja-JP"/>
        </w:rPr>
        <w:t xml:space="preserve">under various startup operations </w:t>
      </w:r>
      <w:r>
        <w:rPr>
          <w:rFonts w:cs="Arial"/>
          <w:lang w:eastAsia="ja-JP"/>
        </w:rPr>
        <w:t>wa</w:t>
      </w:r>
      <w:r w:rsidRPr="4366696E">
        <w:rPr>
          <w:rFonts w:cs="Arial"/>
          <w:lang w:eastAsia="ja-JP"/>
        </w:rPr>
        <w:t xml:space="preserve">s </w:t>
      </w:r>
      <w:r>
        <w:rPr>
          <w:rFonts w:cs="Arial"/>
          <w:lang w:eastAsia="ja-JP"/>
        </w:rPr>
        <w:t xml:space="preserve">preliminarily investigated. As shown in Figure 7, the five types of time-dependent angular acceleration of the inner cylinder up to </w:t>
      </w:r>
      <w:r w:rsidRPr="0093504A">
        <w:rPr>
          <w:rFonts w:ascii="Symbol" w:hAnsi="Symbol" w:cs="Arial"/>
          <w:i/>
          <w:iCs/>
          <w:lang w:eastAsia="ja-JP"/>
        </w:rPr>
        <w:t>w</w:t>
      </w:r>
      <w:r>
        <w:rPr>
          <w:rFonts w:cs="Arial"/>
          <w:lang w:eastAsia="ja-JP"/>
        </w:rPr>
        <w:t xml:space="preserve"> = 45.7 rad/s were used: </w:t>
      </w:r>
      <w:r w:rsidRPr="00D607B1">
        <w:rPr>
          <w:rFonts w:ascii="Symbol" w:hAnsi="Symbol" w:cs="Arial"/>
          <w:i/>
          <w:iCs/>
          <w:lang w:eastAsia="ja-JP"/>
        </w:rPr>
        <w:t>a</w:t>
      </w:r>
      <w:r w:rsidRPr="00D607B1">
        <w:rPr>
          <w:rFonts w:cs="Arial"/>
          <w:vertAlign w:val="subscript"/>
          <w:lang w:eastAsia="ja-JP"/>
        </w:rPr>
        <w:t>1</w:t>
      </w:r>
      <w:r>
        <w:rPr>
          <w:rFonts w:cs="Arial"/>
          <w:lang w:eastAsia="ja-JP"/>
        </w:rPr>
        <w:t xml:space="preserve"> =</w:t>
      </w:r>
      <w:r w:rsidRPr="6A89A870">
        <w:rPr>
          <w:rFonts w:cs="Arial"/>
          <w:lang w:eastAsia="ja-JP"/>
        </w:rPr>
        <w:t xml:space="preserve"> </w:t>
      </w:r>
      <m:oMath>
        <m:r>
          <w:rPr>
            <w:rFonts w:ascii="Cambria Math" w:hAnsi="Cambria Math" w:cs="Arial"/>
            <w:lang w:eastAsia="ja-JP"/>
          </w:rPr>
          <m:t>∞</m:t>
        </m:r>
      </m:oMath>
      <w:r>
        <w:rPr>
          <w:rFonts w:cs="Arial" w:hint="eastAsia"/>
          <w:lang w:eastAsia="ja-JP"/>
        </w:rPr>
        <w:t xml:space="preserve"> </w:t>
      </w:r>
      <w:r>
        <w:rPr>
          <w:rFonts w:cs="Arial"/>
          <w:lang w:eastAsia="ja-JP"/>
        </w:rPr>
        <w:t>rad</w:t>
      </w:r>
      <w:r w:rsidRPr="6A89A870">
        <w:rPr>
          <w:rFonts w:cs="Arial"/>
          <w:lang w:eastAsia="ja-JP"/>
        </w:rPr>
        <w:t>/s</w:t>
      </w:r>
      <w:r w:rsidRPr="00736782">
        <w:rPr>
          <w:rFonts w:cs="Arial"/>
          <w:vertAlign w:val="superscript"/>
          <w:lang w:eastAsia="ja-JP"/>
        </w:rPr>
        <w:t>2</w:t>
      </w:r>
      <w:r>
        <w:rPr>
          <w:rFonts w:cs="Arial"/>
          <w:lang w:eastAsia="ja-JP"/>
        </w:rPr>
        <w:t xml:space="preserve">, </w:t>
      </w:r>
      <w:r w:rsidRPr="00D607B1">
        <w:rPr>
          <w:rFonts w:ascii="Symbol" w:hAnsi="Symbol" w:cs="Arial"/>
          <w:i/>
          <w:iCs/>
          <w:lang w:eastAsia="ja-JP"/>
        </w:rPr>
        <w:t>a</w:t>
      </w:r>
      <w:r w:rsidRPr="00D607B1">
        <w:rPr>
          <w:rFonts w:cs="Arial"/>
          <w:vertAlign w:val="subscript"/>
          <w:lang w:eastAsia="ja-JP"/>
        </w:rPr>
        <w:t>2</w:t>
      </w:r>
      <w:r>
        <w:rPr>
          <w:rFonts w:cs="Arial"/>
          <w:lang w:eastAsia="ja-JP"/>
        </w:rPr>
        <w:t xml:space="preserve"> = 9.17</w:t>
      </w:r>
      <w:r w:rsidRPr="00D607B1">
        <w:rPr>
          <w:rFonts w:cs="Arial"/>
          <w:i/>
          <w:iCs/>
          <w:lang w:eastAsia="ja-JP"/>
        </w:rPr>
        <w:t>t</w:t>
      </w:r>
      <w:r>
        <w:rPr>
          <w:rFonts w:cs="Arial"/>
          <w:lang w:eastAsia="ja-JP"/>
        </w:rPr>
        <w:t xml:space="preserve"> rad/s</w:t>
      </w:r>
      <w:r w:rsidRPr="00D607B1">
        <w:rPr>
          <w:rFonts w:cs="Arial"/>
          <w:vertAlign w:val="superscript"/>
          <w:lang w:eastAsia="ja-JP"/>
        </w:rPr>
        <w:t>2</w:t>
      </w:r>
      <w:r>
        <w:rPr>
          <w:rFonts w:cs="Arial"/>
          <w:lang w:eastAsia="ja-JP"/>
        </w:rPr>
        <w:t xml:space="preserve">, </w:t>
      </w:r>
      <w:r w:rsidRPr="00D607B1">
        <w:rPr>
          <w:rFonts w:ascii="Symbol" w:hAnsi="Symbol" w:cs="Arial"/>
          <w:i/>
          <w:iCs/>
          <w:lang w:eastAsia="ja-JP"/>
        </w:rPr>
        <w:t>a</w:t>
      </w:r>
      <w:r w:rsidRPr="00D607B1">
        <w:rPr>
          <w:rFonts w:cs="Arial"/>
          <w:vertAlign w:val="subscript"/>
          <w:lang w:eastAsia="ja-JP"/>
        </w:rPr>
        <w:t>3</w:t>
      </w:r>
      <w:r>
        <w:rPr>
          <w:rFonts w:cs="Arial"/>
          <w:lang w:eastAsia="ja-JP"/>
        </w:rPr>
        <w:t xml:space="preserve"> = 4.57</w:t>
      </w:r>
      <w:r w:rsidRPr="00D607B1">
        <w:rPr>
          <w:rFonts w:cs="Arial"/>
          <w:i/>
          <w:iCs/>
          <w:lang w:eastAsia="ja-JP"/>
        </w:rPr>
        <w:t>t</w:t>
      </w:r>
      <w:r>
        <w:rPr>
          <w:rFonts w:cs="Arial"/>
          <w:lang w:eastAsia="ja-JP"/>
        </w:rPr>
        <w:t xml:space="preserve"> rad/s</w:t>
      </w:r>
      <w:r w:rsidRPr="00D607B1">
        <w:rPr>
          <w:rFonts w:cs="Arial"/>
          <w:vertAlign w:val="superscript"/>
          <w:lang w:eastAsia="ja-JP"/>
        </w:rPr>
        <w:t>2</w:t>
      </w:r>
      <w:r>
        <w:rPr>
          <w:rFonts w:cs="Arial"/>
          <w:lang w:eastAsia="ja-JP"/>
        </w:rPr>
        <w:t xml:space="preserve">, </w:t>
      </w:r>
      <w:r w:rsidRPr="00D607B1">
        <w:rPr>
          <w:rFonts w:ascii="Symbol" w:hAnsi="Symbol" w:cs="Arial"/>
          <w:i/>
          <w:iCs/>
          <w:lang w:eastAsia="ja-JP"/>
        </w:rPr>
        <w:t>a</w:t>
      </w:r>
      <w:r w:rsidRPr="00D607B1">
        <w:rPr>
          <w:rFonts w:cs="Arial"/>
          <w:vertAlign w:val="subscript"/>
          <w:lang w:eastAsia="ja-JP"/>
        </w:rPr>
        <w:t>4</w:t>
      </w:r>
      <w:r>
        <w:rPr>
          <w:rFonts w:cs="Arial"/>
          <w:lang w:eastAsia="ja-JP"/>
        </w:rPr>
        <w:t xml:space="preserve"> = 0.37</w:t>
      </w:r>
      <w:r w:rsidRPr="00D607B1">
        <w:rPr>
          <w:rFonts w:cs="Arial"/>
          <w:i/>
          <w:iCs/>
          <w:lang w:eastAsia="ja-JP"/>
        </w:rPr>
        <w:t>t</w:t>
      </w:r>
      <w:r w:rsidRPr="00D607B1">
        <w:rPr>
          <w:rFonts w:cs="Arial"/>
          <w:vertAlign w:val="superscript"/>
          <w:lang w:eastAsia="ja-JP"/>
        </w:rPr>
        <w:t>3</w:t>
      </w:r>
      <w:r>
        <w:rPr>
          <w:rFonts w:cs="Arial"/>
          <w:lang w:eastAsia="ja-JP"/>
        </w:rPr>
        <w:t xml:space="preserve"> rad/s</w:t>
      </w:r>
      <w:r w:rsidRPr="00D607B1">
        <w:rPr>
          <w:rFonts w:cs="Arial"/>
          <w:vertAlign w:val="superscript"/>
          <w:lang w:eastAsia="ja-JP"/>
        </w:rPr>
        <w:t>2</w:t>
      </w:r>
      <w:r>
        <w:rPr>
          <w:rFonts w:cs="Arial"/>
          <w:lang w:eastAsia="ja-JP"/>
        </w:rPr>
        <w:t xml:space="preserve">, and </w:t>
      </w:r>
      <w:r w:rsidRPr="00D607B1">
        <w:rPr>
          <w:rFonts w:ascii="Symbol" w:hAnsi="Symbol" w:cs="Arial"/>
          <w:i/>
          <w:iCs/>
          <w:lang w:eastAsia="ja-JP"/>
        </w:rPr>
        <w:t>a</w:t>
      </w:r>
      <w:r w:rsidRPr="00D607B1">
        <w:rPr>
          <w:rFonts w:cs="Arial"/>
          <w:vertAlign w:val="subscript"/>
          <w:lang w:eastAsia="ja-JP"/>
        </w:rPr>
        <w:t>5</w:t>
      </w:r>
      <w:r>
        <w:rPr>
          <w:rFonts w:cs="Arial"/>
          <w:lang w:eastAsia="ja-JP"/>
        </w:rPr>
        <w:t xml:space="preserve"> = 26.73t</w:t>
      </w:r>
      <w:r>
        <w:rPr>
          <w:rFonts w:cs="Arial"/>
          <w:vertAlign w:val="superscript"/>
          <w:lang w:eastAsia="ja-JP"/>
        </w:rPr>
        <w:t>1/3</w:t>
      </w:r>
      <w:r>
        <w:rPr>
          <w:rFonts w:cs="Arial"/>
          <w:lang w:eastAsia="ja-JP"/>
        </w:rPr>
        <w:t xml:space="preserve"> rad/s</w:t>
      </w:r>
      <w:r w:rsidRPr="00FA65ED">
        <w:rPr>
          <w:rFonts w:cs="Arial"/>
          <w:vertAlign w:val="superscript"/>
          <w:lang w:eastAsia="ja-JP"/>
        </w:rPr>
        <w:t>2</w:t>
      </w:r>
      <w:r>
        <w:rPr>
          <w:rFonts w:cs="Arial"/>
          <w:lang w:eastAsia="ja-JP"/>
        </w:rPr>
        <w:t xml:space="preserve">. After the value of </w:t>
      </w:r>
      <w:r w:rsidRPr="001F3725">
        <w:rPr>
          <w:rFonts w:ascii="Symbol" w:hAnsi="Symbol" w:cs="Arial"/>
          <w:i/>
          <w:iCs/>
          <w:lang w:eastAsia="ja-JP"/>
        </w:rPr>
        <w:t>w</w:t>
      </w:r>
      <w:r>
        <w:rPr>
          <w:rFonts w:cs="Arial"/>
          <w:lang w:eastAsia="ja-JP"/>
        </w:rPr>
        <w:t xml:space="preserve"> reaches 45.7 rad/s</w:t>
      </w:r>
      <w:r w:rsidRPr="00B7179E">
        <w:rPr>
          <w:rFonts w:cs="Arial"/>
          <w:vertAlign w:val="superscript"/>
          <w:lang w:eastAsia="ja-JP"/>
        </w:rPr>
        <w:t>2</w:t>
      </w:r>
      <w:r>
        <w:rPr>
          <w:rFonts w:cs="Arial"/>
          <w:lang w:eastAsia="ja-JP"/>
        </w:rPr>
        <w:t xml:space="preserve">, the simulation was conducted at a constant </w:t>
      </w:r>
      <w:r w:rsidRPr="001F3725">
        <w:rPr>
          <w:rFonts w:ascii="Symbol" w:hAnsi="Symbol" w:cs="Arial"/>
          <w:i/>
          <w:iCs/>
          <w:lang w:eastAsia="ja-JP"/>
        </w:rPr>
        <w:t>w</w:t>
      </w:r>
      <w:r>
        <w:rPr>
          <w:rFonts w:cs="Arial"/>
          <w:lang w:eastAsia="ja-JP"/>
        </w:rPr>
        <w:t xml:space="preserve"> until </w:t>
      </w:r>
      <w:r w:rsidRPr="001F3725">
        <w:rPr>
          <w:rFonts w:ascii="Times New Roman" w:hAnsi="Times New Roman"/>
          <w:i/>
          <w:iCs/>
          <w:lang w:eastAsia="ja-JP"/>
        </w:rPr>
        <w:t>t</w:t>
      </w:r>
      <w:r>
        <w:rPr>
          <w:rFonts w:cs="Arial"/>
          <w:lang w:eastAsia="ja-JP"/>
        </w:rPr>
        <w:t xml:space="preserve"> = 20 s. In all cases, </w:t>
      </w:r>
      <w:r w:rsidRPr="001F3725">
        <w:rPr>
          <w:rFonts w:ascii="Symbol" w:hAnsi="Symbol" w:cs="Arial"/>
          <w:i/>
          <w:iCs/>
          <w:lang w:eastAsia="ja-JP"/>
        </w:rPr>
        <w:t>w</w:t>
      </w:r>
      <w:r>
        <w:rPr>
          <w:rFonts w:cs="Arial"/>
          <w:lang w:eastAsia="ja-JP"/>
        </w:rPr>
        <w:t xml:space="preserve"> reached 45.7 rad/s</w:t>
      </w:r>
      <w:r w:rsidRPr="00B7179E">
        <w:rPr>
          <w:rFonts w:cs="Arial"/>
          <w:vertAlign w:val="superscript"/>
          <w:lang w:eastAsia="ja-JP"/>
        </w:rPr>
        <w:t>2</w:t>
      </w:r>
      <w:r>
        <w:rPr>
          <w:rFonts w:cs="Arial"/>
          <w:lang w:eastAsia="ja-JP"/>
        </w:rPr>
        <w:t xml:space="preserve"> at </w:t>
      </w:r>
      <w:r w:rsidRPr="00A433B5">
        <w:rPr>
          <w:rFonts w:cs="Arial"/>
          <w:i/>
          <w:iCs/>
          <w:lang w:eastAsia="ja-JP"/>
        </w:rPr>
        <w:t>t</w:t>
      </w:r>
      <w:r>
        <w:rPr>
          <w:rFonts w:cs="Arial"/>
          <w:lang w:eastAsia="ja-JP"/>
        </w:rPr>
        <w:t xml:space="preserve"> = 5 or 10 s. The condition </w:t>
      </w:r>
      <w:r w:rsidRPr="001F3725">
        <w:rPr>
          <w:rFonts w:ascii="Symbol" w:hAnsi="Symbol" w:cs="Arial"/>
          <w:i/>
          <w:iCs/>
          <w:lang w:eastAsia="ja-JP"/>
        </w:rPr>
        <w:t>w</w:t>
      </w:r>
      <w:r>
        <w:rPr>
          <w:rFonts w:cs="Arial"/>
          <w:lang w:eastAsia="ja-JP"/>
        </w:rPr>
        <w:t xml:space="preserve"> = 45.7 rad/s</w:t>
      </w:r>
      <w:r w:rsidRPr="00B7179E">
        <w:rPr>
          <w:rFonts w:cs="Arial"/>
          <w:vertAlign w:val="superscript"/>
          <w:lang w:eastAsia="ja-JP"/>
        </w:rPr>
        <w:t>2</w:t>
      </w:r>
      <w:r>
        <w:rPr>
          <w:rFonts w:cs="Arial"/>
          <w:lang w:eastAsia="ja-JP"/>
        </w:rPr>
        <w:t xml:space="preserve"> corresponds to </w:t>
      </w:r>
      <w:proofErr w:type="spellStart"/>
      <w:r w:rsidRPr="006B523B">
        <w:rPr>
          <w:rFonts w:cs="Arial"/>
          <w:i/>
          <w:iCs/>
          <w:lang w:eastAsia="ja-JP"/>
        </w:rPr>
        <w:t>Re</w:t>
      </w:r>
      <w:r w:rsidRPr="00600D72">
        <w:rPr>
          <w:rFonts w:cs="Arial"/>
          <w:vertAlign w:val="subscript"/>
          <w:lang w:eastAsia="ja-JP"/>
        </w:rPr>
        <w:t>eff</w:t>
      </w:r>
      <w:proofErr w:type="spellEnd"/>
      <w:r>
        <w:rPr>
          <w:rFonts w:cs="Arial"/>
          <w:lang w:eastAsia="ja-JP"/>
        </w:rPr>
        <w:t xml:space="preserve"> / </w:t>
      </w:r>
      <w:proofErr w:type="spellStart"/>
      <w:r w:rsidRPr="006B523B">
        <w:rPr>
          <w:rFonts w:cs="Arial"/>
          <w:i/>
          <w:iCs/>
          <w:lang w:eastAsia="ja-JP"/>
        </w:rPr>
        <w:t>Re</w:t>
      </w:r>
      <w:r w:rsidRPr="006B523B">
        <w:rPr>
          <w:rFonts w:cs="Arial"/>
          <w:vertAlign w:val="subscript"/>
          <w:lang w:eastAsia="ja-JP"/>
        </w:rPr>
        <w:t>cr</w:t>
      </w:r>
      <w:proofErr w:type="spellEnd"/>
      <w:r>
        <w:rPr>
          <w:rFonts w:cs="Arial"/>
          <w:lang w:eastAsia="ja-JP"/>
        </w:rPr>
        <w:t xml:space="preserve"> = 7.0. The number of Taylor cells at </w:t>
      </w:r>
      <w:r w:rsidRPr="00FF4F75">
        <w:rPr>
          <w:rFonts w:cs="Arial"/>
          <w:i/>
          <w:iCs/>
          <w:lang w:eastAsia="ja-JP"/>
        </w:rPr>
        <w:t>t</w:t>
      </w:r>
      <w:r>
        <w:rPr>
          <w:rFonts w:cs="Arial"/>
          <w:lang w:eastAsia="ja-JP"/>
        </w:rPr>
        <w:t xml:space="preserve"> = 20 s for each angular acceleration is listed in Table 2. As summarized in Table 2, the number of cells N varies widely from 10 to 16, depending on the angular acceleration. In particular, the number of cells for condition </w:t>
      </w:r>
      <w:r w:rsidRPr="00112B3D">
        <w:rPr>
          <w:rFonts w:ascii="Symbol" w:hAnsi="Symbol" w:cs="Arial"/>
          <w:i/>
          <w:iCs/>
          <w:lang w:eastAsia="ja-JP"/>
        </w:rPr>
        <w:t>a</w:t>
      </w:r>
      <w:r w:rsidRPr="00112B3D">
        <w:rPr>
          <w:rFonts w:cs="Arial"/>
          <w:vertAlign w:val="subscript"/>
          <w:lang w:eastAsia="ja-JP"/>
        </w:rPr>
        <w:t>4</w:t>
      </w:r>
      <w:r>
        <w:rPr>
          <w:rFonts w:cs="Arial"/>
          <w:lang w:eastAsia="ja-JP"/>
        </w:rPr>
        <w:t xml:space="preserve"> was different from those for conditions </w:t>
      </w:r>
      <w:r w:rsidRPr="00112B3D">
        <w:rPr>
          <w:rFonts w:ascii="Symbol" w:hAnsi="Symbol" w:cs="Arial"/>
          <w:i/>
          <w:iCs/>
          <w:lang w:eastAsia="ja-JP"/>
        </w:rPr>
        <w:t>a</w:t>
      </w:r>
      <w:r w:rsidRPr="00112B3D">
        <w:rPr>
          <w:rFonts w:cs="Arial"/>
          <w:vertAlign w:val="subscript"/>
          <w:lang w:eastAsia="ja-JP"/>
        </w:rPr>
        <w:t>2</w:t>
      </w:r>
      <w:r>
        <w:rPr>
          <w:rFonts w:cs="Arial"/>
          <w:lang w:eastAsia="ja-JP"/>
        </w:rPr>
        <w:t xml:space="preserve"> and </w:t>
      </w:r>
      <w:r w:rsidRPr="00112B3D">
        <w:rPr>
          <w:rFonts w:ascii="Symbol" w:hAnsi="Symbol" w:cs="Arial"/>
          <w:i/>
          <w:iCs/>
          <w:lang w:eastAsia="ja-JP"/>
        </w:rPr>
        <w:t>a</w:t>
      </w:r>
      <w:r w:rsidRPr="00112B3D">
        <w:rPr>
          <w:rFonts w:cs="Arial"/>
          <w:vertAlign w:val="subscript"/>
          <w:lang w:eastAsia="ja-JP"/>
        </w:rPr>
        <w:t>5</w:t>
      </w:r>
      <w:r>
        <w:rPr>
          <w:rFonts w:cs="Arial"/>
          <w:lang w:eastAsia="ja-JP"/>
        </w:rPr>
        <w:t xml:space="preserve">, despite having the same acceleration time (5s). This result suggests that not only the time for the steady state, but also the type of function of angular acceleration with time is important. Thus far, the effect of the nonlinear angular acceleration </w:t>
      </w:r>
      <w:r>
        <w:rPr>
          <w:rFonts w:cs="Arial"/>
          <w:lang w:eastAsia="ja-JP"/>
        </w:rPr>
        <w:lastRenderedPageBreak/>
        <w:t xml:space="preserve">on the number of cells has been investigated. Therefore, in the future, </w:t>
      </w:r>
      <w:proofErr w:type="spellStart"/>
      <w:r>
        <w:rPr>
          <w:rFonts w:cs="Arial"/>
          <w:lang w:eastAsia="ja-JP"/>
        </w:rPr>
        <w:t>multistability</w:t>
      </w:r>
      <w:proofErr w:type="spellEnd"/>
      <w:r>
        <w:rPr>
          <w:rFonts w:cs="Arial"/>
          <w:lang w:eastAsia="ja-JP"/>
        </w:rPr>
        <w:t xml:space="preserve"> with nonlinear angular acceleration should be investigated in more detail.</w:t>
      </w:r>
    </w:p>
    <w:p w14:paraId="5122D1D4" w14:textId="744C9FAB" w:rsidR="00A27D1C" w:rsidRDefault="00145AE7" w:rsidP="4366696E">
      <w:pPr>
        <w:pStyle w:val="CETBodytext"/>
        <w:rPr>
          <w:rFonts w:cs="Arial"/>
          <w:lang w:eastAsia="ja-JP"/>
        </w:rPr>
      </w:pPr>
      <w:r w:rsidRPr="00145AE7">
        <w:rPr>
          <w:rFonts w:cs="Arial"/>
          <w:noProof/>
          <w:lang w:val="en-GB" w:eastAsia="ja-JP"/>
        </w:rPr>
        <w:drawing>
          <wp:inline distT="0" distB="0" distL="0" distR="0" wp14:anchorId="3A964E7E" wp14:editId="247DD16E">
            <wp:extent cx="5273899" cy="3054984"/>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8400" cy="3063384"/>
                    </a:xfrm>
                    <a:prstGeom prst="rect">
                      <a:avLst/>
                    </a:prstGeom>
                  </pic:spPr>
                </pic:pic>
              </a:graphicData>
            </a:graphic>
          </wp:inline>
        </w:drawing>
      </w:r>
    </w:p>
    <w:p w14:paraId="59C8361F" w14:textId="79DA6297" w:rsidR="00371F26" w:rsidRPr="00371F26" w:rsidRDefault="00371F26" w:rsidP="4366696E">
      <w:pPr>
        <w:pStyle w:val="CETBodytext"/>
        <w:rPr>
          <w:rFonts w:cs="Arial"/>
          <w:i/>
          <w:iCs/>
          <w:lang w:eastAsia="ja-JP"/>
        </w:rPr>
      </w:pPr>
      <w:r w:rsidRPr="00371F26">
        <w:rPr>
          <w:rFonts w:cs="Arial" w:hint="eastAsia"/>
          <w:i/>
          <w:iCs/>
          <w:lang w:eastAsia="ja-JP"/>
        </w:rPr>
        <w:t>F</w:t>
      </w:r>
      <w:r w:rsidRPr="00371F26">
        <w:rPr>
          <w:rFonts w:cs="Arial"/>
          <w:i/>
          <w:iCs/>
          <w:lang w:eastAsia="ja-JP"/>
        </w:rPr>
        <w:t xml:space="preserve">igure </w:t>
      </w:r>
      <w:r w:rsidR="00D014C4">
        <w:rPr>
          <w:rFonts w:cs="Arial"/>
          <w:i/>
          <w:iCs/>
          <w:lang w:eastAsia="ja-JP"/>
        </w:rPr>
        <w:t>6</w:t>
      </w:r>
      <w:r w:rsidRPr="00371F26">
        <w:rPr>
          <w:rFonts w:cs="Arial"/>
          <w:i/>
          <w:iCs/>
          <w:lang w:eastAsia="ja-JP"/>
        </w:rPr>
        <w:t xml:space="preserve"> Develop</w:t>
      </w:r>
      <w:r w:rsidR="0043511A">
        <w:rPr>
          <w:rFonts w:cs="Arial"/>
          <w:i/>
          <w:iCs/>
          <w:lang w:eastAsia="ja-JP"/>
        </w:rPr>
        <w:t>ment</w:t>
      </w:r>
      <w:r w:rsidRPr="00371F26">
        <w:rPr>
          <w:rFonts w:cs="Arial"/>
          <w:i/>
          <w:iCs/>
          <w:lang w:eastAsia="ja-JP"/>
        </w:rPr>
        <w:t xml:space="preserve"> process for the velocity vector of Taylor</w:t>
      </w:r>
      <w:r w:rsidRPr="00371F26">
        <w:rPr>
          <w:rFonts w:cs="Arial"/>
          <w:i/>
          <w:iCs/>
          <w:lang w:val="en-GB"/>
        </w:rPr>
        <w:t>–</w:t>
      </w:r>
      <w:r w:rsidRPr="00371F26">
        <w:rPr>
          <w:rFonts w:cs="Arial"/>
          <w:i/>
          <w:iCs/>
          <w:lang w:eastAsia="ja-JP"/>
        </w:rPr>
        <w:t>Couette flow focusing on the end cell and neighbor</w:t>
      </w:r>
      <w:r w:rsidR="0043511A">
        <w:rPr>
          <w:rFonts w:cs="Arial"/>
          <w:i/>
          <w:iCs/>
          <w:lang w:eastAsia="ja-JP"/>
        </w:rPr>
        <w:t>ing</w:t>
      </w:r>
      <w:r w:rsidRPr="00371F26">
        <w:rPr>
          <w:rFonts w:cs="Arial"/>
          <w:i/>
          <w:iCs/>
          <w:lang w:eastAsia="ja-JP"/>
        </w:rPr>
        <w:t xml:space="preserve"> cells at Re / </w:t>
      </w:r>
      <w:proofErr w:type="spellStart"/>
      <w:r w:rsidRPr="00371F26">
        <w:rPr>
          <w:rFonts w:cs="Arial"/>
          <w:i/>
          <w:iCs/>
          <w:lang w:eastAsia="ja-JP"/>
        </w:rPr>
        <w:t>Re</w:t>
      </w:r>
      <w:r w:rsidRPr="00371F26">
        <w:rPr>
          <w:rFonts w:cs="Arial"/>
          <w:i/>
          <w:iCs/>
          <w:vertAlign w:val="subscript"/>
          <w:lang w:eastAsia="ja-JP"/>
        </w:rPr>
        <w:t>cr</w:t>
      </w:r>
      <w:proofErr w:type="spellEnd"/>
      <w:r w:rsidRPr="00371F26">
        <w:rPr>
          <w:rFonts w:cs="Arial"/>
          <w:i/>
          <w:iCs/>
          <w:lang w:eastAsia="ja-JP"/>
        </w:rPr>
        <w:t xml:space="preserve"> = 7.0 for (a) Newtonian and (b) shear-thinning fluids. The color contours show (a) magnitude of velocity and (b) viscosity.</w:t>
      </w:r>
    </w:p>
    <w:p w14:paraId="73A3F4D8" w14:textId="7EBAB9B5" w:rsidR="00371F26" w:rsidRDefault="00371F26" w:rsidP="4366696E">
      <w:pPr>
        <w:pStyle w:val="CETBodytext"/>
        <w:rPr>
          <w:rFonts w:cs="Arial"/>
          <w:lang w:eastAsia="ja-JP"/>
        </w:rPr>
      </w:pPr>
    </w:p>
    <w:p w14:paraId="5C735614" w14:textId="6A04A3A6" w:rsidR="00371F26" w:rsidRDefault="000E58CA" w:rsidP="4366696E">
      <w:pPr>
        <w:pStyle w:val="CETBodytext"/>
        <w:rPr>
          <w:rFonts w:cs="Arial"/>
          <w:lang w:eastAsia="ja-JP"/>
        </w:rPr>
      </w:pPr>
      <w:r w:rsidRPr="000E58CA">
        <w:rPr>
          <w:rFonts w:cs="Arial"/>
          <w:noProof/>
          <w:lang w:val="en-GB" w:eastAsia="ja-JP"/>
        </w:rPr>
        <w:drawing>
          <wp:inline distT="0" distB="0" distL="0" distR="0" wp14:anchorId="4F0700E1" wp14:editId="0B62BE62">
            <wp:extent cx="2095500" cy="137386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3267" cy="1418298"/>
                    </a:xfrm>
                    <a:prstGeom prst="rect">
                      <a:avLst/>
                    </a:prstGeom>
                  </pic:spPr>
                </pic:pic>
              </a:graphicData>
            </a:graphic>
          </wp:inline>
        </w:drawing>
      </w:r>
    </w:p>
    <w:p w14:paraId="340C1657" w14:textId="21C129DB" w:rsidR="00371F26" w:rsidRPr="00046CA7" w:rsidRDefault="00371F26" w:rsidP="4366696E">
      <w:pPr>
        <w:pStyle w:val="CETBodytext"/>
        <w:rPr>
          <w:rFonts w:cs="Arial"/>
          <w:i/>
          <w:iCs/>
          <w:lang w:eastAsia="ja-JP"/>
        </w:rPr>
      </w:pPr>
      <w:r w:rsidRPr="00046CA7">
        <w:rPr>
          <w:rFonts w:cs="Arial" w:hint="eastAsia"/>
          <w:i/>
          <w:iCs/>
          <w:lang w:eastAsia="ja-JP"/>
        </w:rPr>
        <w:t>F</w:t>
      </w:r>
      <w:r w:rsidRPr="00046CA7">
        <w:rPr>
          <w:rFonts w:cs="Arial"/>
          <w:i/>
          <w:iCs/>
          <w:lang w:eastAsia="ja-JP"/>
        </w:rPr>
        <w:t xml:space="preserve">igure </w:t>
      </w:r>
      <w:r w:rsidR="00D014C4">
        <w:rPr>
          <w:rFonts w:cs="Arial"/>
          <w:i/>
          <w:iCs/>
          <w:lang w:eastAsia="ja-JP"/>
        </w:rPr>
        <w:t>7</w:t>
      </w:r>
      <w:r w:rsidRPr="00046CA7">
        <w:rPr>
          <w:rFonts w:cs="Arial"/>
          <w:i/>
          <w:iCs/>
          <w:lang w:eastAsia="ja-JP"/>
        </w:rPr>
        <w:t xml:space="preserve"> </w:t>
      </w:r>
      <w:r w:rsidR="0043511A" w:rsidRPr="0043511A">
        <w:rPr>
          <w:rFonts w:ascii="Symbol" w:hAnsi="Symbol" w:cs="Arial"/>
          <w:i/>
          <w:iCs/>
          <w:lang w:eastAsia="ja-JP"/>
        </w:rPr>
        <w:t>w</w:t>
      </w:r>
      <w:r w:rsidR="0043511A">
        <w:rPr>
          <w:rFonts w:cs="Arial"/>
          <w:i/>
          <w:iCs/>
          <w:lang w:eastAsia="ja-JP"/>
        </w:rPr>
        <w:t xml:space="preserve"> with respect to f</w:t>
      </w:r>
      <w:r w:rsidRPr="00046CA7">
        <w:rPr>
          <w:rFonts w:cs="Arial"/>
          <w:i/>
          <w:iCs/>
          <w:lang w:eastAsia="ja-JP"/>
        </w:rPr>
        <w:t>ive types of</w:t>
      </w:r>
      <w:r w:rsidR="00046CA7" w:rsidRPr="00046CA7">
        <w:rPr>
          <w:rFonts w:cs="Arial"/>
          <w:i/>
          <w:iCs/>
          <w:lang w:eastAsia="ja-JP"/>
        </w:rPr>
        <w:t xml:space="preserve"> angular acceleration</w:t>
      </w:r>
      <w:r w:rsidR="0043511A">
        <w:rPr>
          <w:rFonts w:cs="Arial"/>
          <w:i/>
          <w:iCs/>
          <w:lang w:eastAsia="ja-JP"/>
        </w:rPr>
        <w:t xml:space="preserve"> (</w:t>
      </w:r>
      <w:r w:rsidR="0043511A" w:rsidRPr="0043511A">
        <w:rPr>
          <w:rFonts w:ascii="Symbol" w:hAnsi="Symbol" w:cs="Arial"/>
          <w:i/>
          <w:iCs/>
          <w:lang w:eastAsia="ja-JP"/>
        </w:rPr>
        <w:t>a</w:t>
      </w:r>
      <w:r w:rsidR="0043511A">
        <w:rPr>
          <w:rFonts w:cs="Arial"/>
          <w:i/>
          <w:iCs/>
          <w:lang w:eastAsia="ja-JP"/>
        </w:rPr>
        <w:t>)</w:t>
      </w:r>
    </w:p>
    <w:p w14:paraId="0386986B" w14:textId="77777777" w:rsidR="00371F26" w:rsidRDefault="00371F26" w:rsidP="4366696E">
      <w:pPr>
        <w:pStyle w:val="CETBodytext"/>
        <w:rPr>
          <w:rFonts w:cs="Arial"/>
          <w:lang w:eastAsia="ja-JP"/>
        </w:rPr>
      </w:pPr>
    </w:p>
    <w:p w14:paraId="5DC1C81E" w14:textId="29D309B9" w:rsidR="00A949D9" w:rsidRPr="0035443F" w:rsidRDefault="00A949D9" w:rsidP="00A949D9">
      <w:pPr>
        <w:pStyle w:val="CETTabletitle"/>
        <w:rPr>
          <w:lang w:val="en-US"/>
        </w:rPr>
      </w:pPr>
      <w:r w:rsidRPr="00B57B36">
        <w:t xml:space="preserve">Table </w:t>
      </w:r>
      <w:r>
        <w:t>2</w:t>
      </w:r>
      <w:r w:rsidRPr="00B57B36">
        <w:t xml:space="preserve">: </w:t>
      </w:r>
      <w:r>
        <w:t>Number of Taylor cells for shear-thinning fluid at steady state with various angular acceleration</w:t>
      </w:r>
      <w:r w:rsidR="0043511A">
        <w:t xml:space="preserve"> at</w:t>
      </w:r>
      <w:r>
        <w:t xml:space="preserve"> </w:t>
      </w:r>
      <w:proofErr w:type="spellStart"/>
      <w:r w:rsidRPr="00600D72">
        <w:t>Re</w:t>
      </w:r>
      <w:r w:rsidR="00600D72" w:rsidRPr="00600D72">
        <w:rPr>
          <w:vertAlign w:val="subscript"/>
        </w:rPr>
        <w:t>eff</w:t>
      </w:r>
      <w:proofErr w:type="spellEnd"/>
      <w:r>
        <w:t xml:space="preserve"> / </w:t>
      </w:r>
      <w:proofErr w:type="spellStart"/>
      <w:r w:rsidRPr="00600D72">
        <w:t>Re</w:t>
      </w:r>
      <w:r w:rsidRPr="00600D72">
        <w:rPr>
          <w:i w:val="0"/>
          <w:iCs/>
          <w:vertAlign w:val="subscript"/>
        </w:rPr>
        <w:t>cr</w:t>
      </w:r>
      <w:proofErr w:type="spellEnd"/>
      <w:r>
        <w:t xml:space="preserve"> = 7.0</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7"/>
        <w:gridCol w:w="1417"/>
        <w:gridCol w:w="1417"/>
        <w:gridCol w:w="1417"/>
        <w:gridCol w:w="1417"/>
        <w:gridCol w:w="1417"/>
      </w:tblGrid>
      <w:tr w:rsidR="00A949D9" w:rsidRPr="00B57B36" w14:paraId="48E6BDF1" w14:textId="3ED82BE1" w:rsidTr="00F22F60">
        <w:tc>
          <w:tcPr>
            <w:tcW w:w="1417" w:type="dxa"/>
            <w:tcBorders>
              <w:top w:val="single" w:sz="12" w:space="0" w:color="008000"/>
              <w:bottom w:val="single" w:sz="6" w:space="0" w:color="008000"/>
            </w:tcBorders>
            <w:shd w:val="clear" w:color="auto" w:fill="FFFFFF"/>
            <w:vAlign w:val="center"/>
          </w:tcPr>
          <w:p w14:paraId="6E272141" w14:textId="22C8D4B8" w:rsidR="00A949D9" w:rsidRPr="00B57B36" w:rsidRDefault="00A949D9" w:rsidP="0003563D">
            <w:pPr>
              <w:pStyle w:val="CETBodytext"/>
              <w:jc w:val="center"/>
              <w:rPr>
                <w:lang w:val="en-GB"/>
              </w:rPr>
            </w:pPr>
          </w:p>
        </w:tc>
        <w:tc>
          <w:tcPr>
            <w:tcW w:w="1417" w:type="dxa"/>
            <w:tcBorders>
              <w:top w:val="single" w:sz="12" w:space="0" w:color="008000"/>
              <w:bottom w:val="single" w:sz="6" w:space="0" w:color="008000"/>
            </w:tcBorders>
            <w:shd w:val="clear" w:color="auto" w:fill="FFFFFF"/>
            <w:vAlign w:val="center"/>
          </w:tcPr>
          <w:p w14:paraId="6E33AC34" w14:textId="547B6F10" w:rsidR="00A949D9" w:rsidRPr="00B57B36" w:rsidRDefault="00A949D9" w:rsidP="0003563D">
            <w:pPr>
              <w:pStyle w:val="CETBodytext"/>
              <w:jc w:val="center"/>
              <w:rPr>
                <w:lang w:val="en-GB"/>
              </w:rPr>
            </w:pPr>
            <w:r w:rsidRPr="00A949D9">
              <w:rPr>
                <w:rFonts w:ascii="Symbol" w:hAnsi="Symbol"/>
                <w:i/>
                <w:iCs/>
                <w:lang w:val="en-GB"/>
              </w:rPr>
              <w:t>a</w:t>
            </w:r>
            <w:r w:rsidRPr="00A949D9">
              <w:rPr>
                <w:vertAlign w:val="subscript"/>
                <w:lang w:val="en-GB"/>
              </w:rPr>
              <w:t>1</w:t>
            </w:r>
          </w:p>
        </w:tc>
        <w:tc>
          <w:tcPr>
            <w:tcW w:w="1417" w:type="dxa"/>
            <w:tcBorders>
              <w:top w:val="single" w:sz="12" w:space="0" w:color="008000"/>
              <w:bottom w:val="single" w:sz="6" w:space="0" w:color="008000"/>
            </w:tcBorders>
            <w:shd w:val="clear" w:color="auto" w:fill="FFFFFF"/>
            <w:vAlign w:val="center"/>
          </w:tcPr>
          <w:p w14:paraId="4F622ED1" w14:textId="2A32AB4E" w:rsidR="00A949D9" w:rsidRPr="00B57B36" w:rsidRDefault="00A949D9" w:rsidP="0003563D">
            <w:pPr>
              <w:pStyle w:val="CETBodytext"/>
              <w:jc w:val="center"/>
              <w:rPr>
                <w:lang w:val="en-GB"/>
              </w:rPr>
            </w:pPr>
            <w:r w:rsidRPr="00A949D9">
              <w:rPr>
                <w:rFonts w:ascii="Symbol" w:hAnsi="Symbol"/>
                <w:i/>
                <w:iCs/>
                <w:lang w:val="en-GB"/>
              </w:rPr>
              <w:t>a</w:t>
            </w:r>
            <w:r>
              <w:rPr>
                <w:vertAlign w:val="subscript"/>
                <w:lang w:val="en-GB"/>
              </w:rPr>
              <w:t>2</w:t>
            </w:r>
          </w:p>
        </w:tc>
        <w:tc>
          <w:tcPr>
            <w:tcW w:w="1417" w:type="dxa"/>
            <w:tcBorders>
              <w:top w:val="single" w:sz="12" w:space="0" w:color="008000"/>
              <w:bottom w:val="single" w:sz="6" w:space="0" w:color="008000"/>
            </w:tcBorders>
            <w:shd w:val="clear" w:color="auto" w:fill="FFFFFF"/>
            <w:vAlign w:val="center"/>
          </w:tcPr>
          <w:p w14:paraId="04AADF5F" w14:textId="369AD3DB" w:rsidR="00A949D9" w:rsidRPr="00B57B36" w:rsidRDefault="00A949D9" w:rsidP="0003563D">
            <w:pPr>
              <w:pStyle w:val="CETBodytext"/>
              <w:ind w:right="-1"/>
              <w:jc w:val="center"/>
              <w:rPr>
                <w:rFonts w:cs="Arial"/>
                <w:szCs w:val="18"/>
                <w:lang w:val="en-GB"/>
              </w:rPr>
            </w:pPr>
            <w:r w:rsidRPr="00A949D9">
              <w:rPr>
                <w:rFonts w:ascii="Symbol" w:hAnsi="Symbol"/>
                <w:i/>
                <w:iCs/>
                <w:lang w:val="en-GB"/>
              </w:rPr>
              <w:t>a</w:t>
            </w:r>
            <w:r>
              <w:rPr>
                <w:vertAlign w:val="subscript"/>
                <w:lang w:val="en-GB"/>
              </w:rPr>
              <w:t>3</w:t>
            </w:r>
          </w:p>
        </w:tc>
        <w:tc>
          <w:tcPr>
            <w:tcW w:w="1417" w:type="dxa"/>
            <w:tcBorders>
              <w:top w:val="single" w:sz="12" w:space="0" w:color="008000"/>
              <w:bottom w:val="single" w:sz="6" w:space="0" w:color="008000"/>
            </w:tcBorders>
            <w:shd w:val="clear" w:color="auto" w:fill="FFFFFF"/>
            <w:vAlign w:val="center"/>
          </w:tcPr>
          <w:p w14:paraId="2A47F204" w14:textId="5C8E632C" w:rsidR="00A949D9" w:rsidRPr="00B57B36" w:rsidRDefault="00A949D9" w:rsidP="0003563D">
            <w:pPr>
              <w:pStyle w:val="CETBodytext"/>
              <w:ind w:right="-1"/>
              <w:jc w:val="center"/>
              <w:rPr>
                <w:rFonts w:cs="Arial"/>
                <w:szCs w:val="18"/>
                <w:lang w:val="en-GB"/>
              </w:rPr>
            </w:pPr>
            <w:r w:rsidRPr="00A949D9">
              <w:rPr>
                <w:rFonts w:ascii="Symbol" w:hAnsi="Symbol"/>
                <w:i/>
                <w:iCs/>
                <w:lang w:val="en-GB"/>
              </w:rPr>
              <w:t>a</w:t>
            </w:r>
            <w:r>
              <w:rPr>
                <w:vertAlign w:val="subscript"/>
                <w:lang w:val="en-GB"/>
              </w:rPr>
              <w:t>4</w:t>
            </w:r>
          </w:p>
        </w:tc>
        <w:tc>
          <w:tcPr>
            <w:tcW w:w="1417" w:type="dxa"/>
            <w:tcBorders>
              <w:top w:val="single" w:sz="12" w:space="0" w:color="008000"/>
              <w:bottom w:val="single" w:sz="6" w:space="0" w:color="008000"/>
            </w:tcBorders>
            <w:shd w:val="clear" w:color="auto" w:fill="FFFFFF"/>
          </w:tcPr>
          <w:p w14:paraId="06183DFE" w14:textId="7FF009C3" w:rsidR="00A949D9" w:rsidRPr="00061988" w:rsidRDefault="00A949D9" w:rsidP="0003563D">
            <w:pPr>
              <w:pStyle w:val="CETBodytext"/>
              <w:ind w:right="-1"/>
              <w:jc w:val="center"/>
              <w:rPr>
                <w:rFonts w:ascii="Symbol" w:hAnsi="Symbol" w:cs="Arial"/>
                <w:i/>
                <w:iCs/>
                <w:szCs w:val="18"/>
                <w:lang w:val="en-GB"/>
              </w:rPr>
            </w:pPr>
            <w:r w:rsidRPr="00A949D9">
              <w:rPr>
                <w:rFonts w:ascii="Symbol" w:hAnsi="Symbol"/>
                <w:i/>
                <w:iCs/>
                <w:lang w:val="en-GB"/>
              </w:rPr>
              <w:t>a</w:t>
            </w:r>
            <w:r>
              <w:rPr>
                <w:vertAlign w:val="subscript"/>
                <w:lang w:val="en-GB"/>
              </w:rPr>
              <w:t>5</w:t>
            </w:r>
          </w:p>
        </w:tc>
      </w:tr>
      <w:tr w:rsidR="00A949D9" w:rsidRPr="00B57B36" w14:paraId="3CFBD008" w14:textId="22F1E2CA" w:rsidTr="00F22F60">
        <w:tc>
          <w:tcPr>
            <w:tcW w:w="1417" w:type="dxa"/>
            <w:shd w:val="clear" w:color="auto" w:fill="FFFFFF"/>
            <w:vAlign w:val="center"/>
          </w:tcPr>
          <w:p w14:paraId="57118FE8" w14:textId="25026207" w:rsidR="00A949D9" w:rsidRPr="00B57B36" w:rsidRDefault="00A949D9" w:rsidP="0003563D">
            <w:pPr>
              <w:pStyle w:val="CETBodytext"/>
              <w:ind w:right="-1"/>
              <w:jc w:val="center"/>
              <w:rPr>
                <w:rFonts w:cs="Arial"/>
                <w:szCs w:val="18"/>
                <w:lang w:val="en-GB"/>
              </w:rPr>
            </w:pPr>
            <w:r w:rsidRPr="00600D72">
              <w:rPr>
                <w:rFonts w:cs="Arial"/>
                <w:i/>
                <w:iCs/>
                <w:szCs w:val="18"/>
                <w:lang w:val="en-GB"/>
              </w:rPr>
              <w:t>N</w:t>
            </w:r>
            <w:r>
              <w:rPr>
                <w:rFonts w:cs="Arial"/>
                <w:szCs w:val="18"/>
                <w:lang w:val="en-GB"/>
              </w:rPr>
              <w:t xml:space="preserve"> [</w:t>
            </w:r>
            <w:r>
              <w:rPr>
                <w:rFonts w:cs="Arial"/>
                <w:lang w:val="en-GB"/>
              </w:rPr>
              <w:t>–</w:t>
            </w:r>
            <w:r>
              <w:rPr>
                <w:rFonts w:cs="Arial"/>
                <w:szCs w:val="18"/>
                <w:lang w:val="en-GB"/>
              </w:rPr>
              <w:t>]</w:t>
            </w:r>
          </w:p>
        </w:tc>
        <w:tc>
          <w:tcPr>
            <w:tcW w:w="1417" w:type="dxa"/>
            <w:shd w:val="clear" w:color="auto" w:fill="FFFFFF"/>
            <w:vAlign w:val="center"/>
          </w:tcPr>
          <w:p w14:paraId="57CA8A73" w14:textId="569784AB" w:rsidR="00A949D9" w:rsidRPr="00B57B36" w:rsidRDefault="00A949D9" w:rsidP="0003563D">
            <w:pPr>
              <w:pStyle w:val="CETBodytext"/>
              <w:ind w:right="-1"/>
              <w:jc w:val="center"/>
              <w:rPr>
                <w:rFonts w:cs="Arial"/>
                <w:szCs w:val="18"/>
                <w:lang w:val="en-GB"/>
              </w:rPr>
            </w:pPr>
            <w:r>
              <w:rPr>
                <w:rFonts w:cs="Arial"/>
                <w:szCs w:val="18"/>
                <w:lang w:val="en-GB"/>
              </w:rPr>
              <w:t>10</w:t>
            </w:r>
          </w:p>
        </w:tc>
        <w:tc>
          <w:tcPr>
            <w:tcW w:w="1417" w:type="dxa"/>
            <w:shd w:val="clear" w:color="auto" w:fill="FFFFFF"/>
            <w:vAlign w:val="center"/>
          </w:tcPr>
          <w:p w14:paraId="102E4F72" w14:textId="1FE8E767" w:rsidR="00A949D9" w:rsidRPr="00B57B36" w:rsidRDefault="00A949D9" w:rsidP="0003563D">
            <w:pPr>
              <w:pStyle w:val="CETBodytext"/>
              <w:ind w:right="-1"/>
              <w:jc w:val="center"/>
              <w:rPr>
                <w:rFonts w:cs="Arial"/>
                <w:szCs w:val="18"/>
                <w:lang w:val="en-GB"/>
              </w:rPr>
            </w:pPr>
            <w:r>
              <w:rPr>
                <w:rFonts w:cs="Arial"/>
                <w:szCs w:val="18"/>
                <w:lang w:val="en-GB"/>
              </w:rPr>
              <w:t>14</w:t>
            </w:r>
          </w:p>
        </w:tc>
        <w:tc>
          <w:tcPr>
            <w:tcW w:w="1417" w:type="dxa"/>
            <w:shd w:val="clear" w:color="auto" w:fill="FFFFFF"/>
            <w:vAlign w:val="center"/>
          </w:tcPr>
          <w:p w14:paraId="5BAA90F1" w14:textId="23F26984" w:rsidR="00A949D9" w:rsidRPr="00B57B36" w:rsidRDefault="00A949D9" w:rsidP="0003563D">
            <w:pPr>
              <w:pStyle w:val="CETBodytext"/>
              <w:ind w:right="-1"/>
              <w:jc w:val="center"/>
              <w:rPr>
                <w:rFonts w:cs="Arial"/>
                <w:szCs w:val="18"/>
                <w:lang w:val="en-GB"/>
              </w:rPr>
            </w:pPr>
            <w:r>
              <w:rPr>
                <w:rFonts w:cs="Arial"/>
                <w:szCs w:val="18"/>
                <w:lang w:val="en-GB"/>
              </w:rPr>
              <w:t>12</w:t>
            </w:r>
          </w:p>
        </w:tc>
        <w:tc>
          <w:tcPr>
            <w:tcW w:w="1417" w:type="dxa"/>
            <w:shd w:val="clear" w:color="auto" w:fill="FFFFFF"/>
            <w:vAlign w:val="center"/>
          </w:tcPr>
          <w:p w14:paraId="39876729" w14:textId="1A8BBFDC" w:rsidR="00A949D9" w:rsidRPr="00B57B36" w:rsidRDefault="00600D72" w:rsidP="0003563D">
            <w:pPr>
              <w:pStyle w:val="CETBodytext"/>
              <w:ind w:right="-1"/>
              <w:jc w:val="center"/>
              <w:rPr>
                <w:rFonts w:cs="Arial"/>
                <w:szCs w:val="18"/>
                <w:lang w:val="en-GB"/>
              </w:rPr>
            </w:pPr>
            <w:r>
              <w:rPr>
                <w:rFonts w:cs="Arial"/>
                <w:szCs w:val="18"/>
                <w:lang w:val="en-GB"/>
              </w:rPr>
              <w:t>16</w:t>
            </w:r>
          </w:p>
        </w:tc>
        <w:tc>
          <w:tcPr>
            <w:tcW w:w="1417" w:type="dxa"/>
            <w:shd w:val="clear" w:color="auto" w:fill="FFFFFF"/>
          </w:tcPr>
          <w:p w14:paraId="34961A94" w14:textId="48274156" w:rsidR="00A949D9" w:rsidRDefault="00600D72" w:rsidP="0003563D">
            <w:pPr>
              <w:pStyle w:val="CETBodytext"/>
              <w:ind w:right="-1"/>
              <w:jc w:val="center"/>
              <w:rPr>
                <w:rFonts w:cs="Arial"/>
                <w:szCs w:val="18"/>
                <w:lang w:val="en-GB"/>
              </w:rPr>
            </w:pPr>
            <w:r>
              <w:rPr>
                <w:rFonts w:cs="Arial" w:hint="eastAsia"/>
                <w:szCs w:val="18"/>
                <w:lang w:val="en-GB"/>
              </w:rPr>
              <w:t>1</w:t>
            </w:r>
            <w:r>
              <w:rPr>
                <w:rFonts w:cs="Arial"/>
                <w:szCs w:val="18"/>
                <w:lang w:val="en-GB"/>
              </w:rPr>
              <w:t>4</w:t>
            </w:r>
          </w:p>
        </w:tc>
      </w:tr>
    </w:tbl>
    <w:p w14:paraId="5374CF4D" w14:textId="77777777" w:rsidR="00DD5E3C" w:rsidRPr="00B57B36" w:rsidRDefault="00DD5E3C" w:rsidP="00DD5E3C">
      <w:pPr>
        <w:pStyle w:val="CETHeading1"/>
        <w:rPr>
          <w:lang w:val="en-GB"/>
        </w:rPr>
      </w:pPr>
      <w:r w:rsidRPr="3316F1C0">
        <w:rPr>
          <w:lang w:val="en-GB"/>
        </w:rPr>
        <w:t>Conclusions</w:t>
      </w:r>
    </w:p>
    <w:p w14:paraId="0FF89FE2" w14:textId="51DD6854" w:rsidR="0043511A" w:rsidRDefault="0043511A" w:rsidP="0043511A">
      <w:pPr>
        <w:pStyle w:val="CETBodytext"/>
        <w:rPr>
          <w:lang w:val="en-GB"/>
        </w:rPr>
      </w:pPr>
      <w:r w:rsidRPr="00DA7EC5">
        <w:rPr>
          <w:lang w:val="en-GB"/>
        </w:rPr>
        <w:t xml:space="preserve">This study </w:t>
      </w:r>
      <w:r>
        <w:rPr>
          <w:lang w:val="en-GB"/>
        </w:rPr>
        <w:t xml:space="preserve">numerically </w:t>
      </w:r>
      <w:r w:rsidRPr="00DA7EC5">
        <w:rPr>
          <w:lang w:val="en-GB"/>
        </w:rPr>
        <w:t>investigated</w:t>
      </w:r>
      <w:r>
        <w:rPr>
          <w:lang w:val="en-GB"/>
        </w:rPr>
        <w:t xml:space="preserve"> the development process of Taylor</w:t>
      </w:r>
      <w:r w:rsidRPr="4366696E">
        <w:rPr>
          <w:rFonts w:cs="Arial"/>
          <w:lang w:val="en-GB"/>
        </w:rPr>
        <w:t>–</w:t>
      </w:r>
      <w:r>
        <w:rPr>
          <w:lang w:val="en-GB"/>
        </w:rPr>
        <w:t xml:space="preserve">Couette flow with Newtonian and shear-thinning fluids to understand the </w:t>
      </w:r>
      <w:proofErr w:type="spellStart"/>
      <w:r>
        <w:rPr>
          <w:lang w:val="en-GB"/>
        </w:rPr>
        <w:t>multistability</w:t>
      </w:r>
      <w:proofErr w:type="spellEnd"/>
      <w:r>
        <w:rPr>
          <w:lang w:val="en-GB"/>
        </w:rPr>
        <w:t xml:space="preserve"> problem from a practical viewpoint</w:t>
      </w:r>
      <w:r w:rsidRPr="00DA7EC5">
        <w:rPr>
          <w:lang w:val="en-GB"/>
        </w:rPr>
        <w:t>. The following conclusions were d</w:t>
      </w:r>
      <w:r w:rsidR="004145F1">
        <w:rPr>
          <w:lang w:val="en-GB"/>
        </w:rPr>
        <w:t>educed</w:t>
      </w:r>
      <w:r w:rsidRPr="00DA7EC5">
        <w:rPr>
          <w:lang w:val="en-GB"/>
        </w:rPr>
        <w:t>:</w:t>
      </w:r>
    </w:p>
    <w:p w14:paraId="501A6908" w14:textId="77777777" w:rsidR="0043511A" w:rsidRDefault="0043511A" w:rsidP="0043511A">
      <w:pPr>
        <w:pStyle w:val="CETBodytext"/>
        <w:numPr>
          <w:ilvl w:val="0"/>
          <w:numId w:val="23"/>
        </w:numPr>
        <w:rPr>
          <w:lang w:val="en-GB"/>
        </w:rPr>
      </w:pPr>
      <w:r>
        <w:rPr>
          <w:lang w:val="en-GB"/>
        </w:rPr>
        <w:t>The number of Taylor cells obtained from the numerical simulations agreed with the number from the experiments. Thus, the solution obtained by the numerical simulation corresponds to the selection of the highest probability state in the experiments.</w:t>
      </w:r>
    </w:p>
    <w:p w14:paraId="203C4022" w14:textId="28E500D8" w:rsidR="0043511A" w:rsidRDefault="0043511A" w:rsidP="0043511A">
      <w:pPr>
        <w:pStyle w:val="CETBodytext"/>
        <w:numPr>
          <w:ilvl w:val="0"/>
          <w:numId w:val="23"/>
        </w:numPr>
        <w:rPr>
          <w:lang w:val="en-GB"/>
        </w:rPr>
      </w:pPr>
      <w:r>
        <w:rPr>
          <w:lang w:val="en-GB"/>
        </w:rPr>
        <w:t>The cell size (i.e., axial wavelength) in a shear-thinning fluid system is larger than that in a Newtonian fluid system because of the more complicated development process of Taylor cells.</w:t>
      </w:r>
      <w:r w:rsidR="00C82156">
        <w:t xml:space="preserve"> However, in the future, </w:t>
      </w:r>
      <w:r w:rsidR="0028610F">
        <w:t xml:space="preserve">a dependence of </w:t>
      </w:r>
      <w:r w:rsidR="00ED149B">
        <w:t>rheological parameters on the cell structure should be investigated</w:t>
      </w:r>
      <w:r w:rsidR="00364044">
        <w:t xml:space="preserve"> in more detail</w:t>
      </w:r>
      <w:r w:rsidR="00ED149B">
        <w:t>.</w:t>
      </w:r>
    </w:p>
    <w:p w14:paraId="4275253A" w14:textId="77777777" w:rsidR="0043511A" w:rsidRDefault="0043511A" w:rsidP="0043511A">
      <w:pPr>
        <w:pStyle w:val="CETBodytext"/>
        <w:numPr>
          <w:ilvl w:val="0"/>
          <w:numId w:val="23"/>
        </w:numPr>
        <w:rPr>
          <w:lang w:val="en-GB"/>
        </w:rPr>
      </w:pPr>
      <w:r>
        <w:rPr>
          <w:rFonts w:hint="eastAsia"/>
          <w:lang w:val="en-GB"/>
        </w:rPr>
        <w:t>T</w:t>
      </w:r>
      <w:r>
        <w:rPr>
          <w:lang w:val="en-GB"/>
        </w:rPr>
        <w:t>he development with nonlinear angular acceleration showed a wide variation in the number of Taylor cells formed in the annular space. Therefore, more accurate control of the structures of Taylor cells is expected.</w:t>
      </w:r>
    </w:p>
    <w:p w14:paraId="7C9490AA" w14:textId="77777777" w:rsidR="00DD5E3C" w:rsidRPr="00280FAF" w:rsidRDefault="00DD5E3C" w:rsidP="00DD5E3C">
      <w:pPr>
        <w:pStyle w:val="CETHeadingxx"/>
        <w:rPr>
          <w:lang w:val="en-GB"/>
        </w:rPr>
        <w:sectPr w:rsidR="00DD5E3C" w:rsidRPr="00280FAF" w:rsidSect="007D0951">
          <w:type w:val="continuous"/>
          <w:pgSz w:w="11906" w:h="16838" w:code="9"/>
          <w:pgMar w:top="1701" w:right="1418" w:bottom="1701" w:left="1701" w:header="1701" w:footer="0" w:gutter="0"/>
          <w:cols w:space="708"/>
          <w:formProt w:val="0"/>
          <w:titlePg/>
          <w:docGrid w:linePitch="360"/>
        </w:sectPr>
      </w:pPr>
      <w:r>
        <w:lastRenderedPageBreak/>
        <w:t>Nomenclature</w:t>
      </w:r>
    </w:p>
    <w:p w14:paraId="5A555AF9" w14:textId="7BDC7CA1" w:rsidR="00871485" w:rsidRDefault="00871485" w:rsidP="00DD5E3C">
      <w:pPr>
        <w:pStyle w:val="CETBodytext"/>
        <w:jc w:val="left"/>
        <w:rPr>
          <w:rFonts w:eastAsia="SimSun"/>
        </w:rPr>
      </w:pPr>
      <w:r>
        <w:rPr>
          <w:rFonts w:eastAsia="SimSun" w:hint="eastAsia"/>
        </w:rPr>
        <w:t>d</w:t>
      </w:r>
      <w:r w:rsidRPr="00280FAF">
        <w:rPr>
          <w:rFonts w:eastAsia="SimSun"/>
        </w:rPr>
        <w:t xml:space="preserve"> – </w:t>
      </w:r>
      <w:r>
        <w:rPr>
          <w:rFonts w:eastAsia="SimSun"/>
        </w:rPr>
        <w:t>gap width, m</w:t>
      </w:r>
    </w:p>
    <w:p w14:paraId="3C00F006" w14:textId="2B45C629" w:rsidR="00F10FA1" w:rsidRDefault="00F10FA1" w:rsidP="00DD5E3C">
      <w:pPr>
        <w:pStyle w:val="CETBodytext"/>
        <w:jc w:val="left"/>
        <w:rPr>
          <w:rFonts w:eastAsia="SimSun"/>
        </w:rPr>
      </w:pPr>
      <w:r>
        <w:rPr>
          <w:rFonts w:eastAsia="SimSun" w:hint="eastAsia"/>
        </w:rPr>
        <w:t>D</w:t>
      </w:r>
      <w:r w:rsidRPr="00280FAF">
        <w:rPr>
          <w:rFonts w:eastAsia="SimSun"/>
        </w:rPr>
        <w:t xml:space="preserve"> – </w:t>
      </w:r>
      <w:r>
        <w:rPr>
          <w:rFonts w:eastAsia="SimSun"/>
        </w:rPr>
        <w:t xml:space="preserve">rate of deformation tensor, </w:t>
      </w:r>
      <w:r w:rsidR="00A262CD">
        <w:rPr>
          <w:rFonts w:eastAsia="SimSun"/>
        </w:rPr>
        <w:t>1/s</w:t>
      </w:r>
    </w:p>
    <w:p w14:paraId="5E9F3748" w14:textId="570ACF51" w:rsidR="00CD2C7F" w:rsidRDefault="00CD2C7F" w:rsidP="00DD5E3C">
      <w:pPr>
        <w:pStyle w:val="CETBodytext"/>
        <w:jc w:val="left"/>
        <w:rPr>
          <w:rFonts w:eastAsia="SimSun"/>
        </w:rPr>
      </w:pPr>
      <w:r>
        <w:rPr>
          <w:rFonts w:eastAsia="SimSun" w:hint="eastAsia"/>
        </w:rPr>
        <w:t>g</w:t>
      </w:r>
      <w:r w:rsidR="00B947DB" w:rsidRPr="00280FAF">
        <w:rPr>
          <w:rFonts w:eastAsia="SimSun"/>
        </w:rPr>
        <w:t xml:space="preserve"> –</w:t>
      </w:r>
      <w:r w:rsidR="00B947DB">
        <w:rPr>
          <w:rFonts w:eastAsia="SimSun"/>
        </w:rPr>
        <w:t xml:space="preserve"> gravitational acceleration. m/s</w:t>
      </w:r>
      <w:r w:rsidR="00B947DB" w:rsidRPr="00B947DB">
        <w:rPr>
          <w:rFonts w:eastAsia="SimSun"/>
          <w:vertAlign w:val="superscript"/>
        </w:rPr>
        <w:t>2</w:t>
      </w:r>
    </w:p>
    <w:p w14:paraId="11456F72" w14:textId="33A1BB67" w:rsidR="00871485" w:rsidRDefault="00187530" w:rsidP="00DD5E3C">
      <w:pPr>
        <w:pStyle w:val="CETBodytext"/>
        <w:jc w:val="left"/>
        <w:rPr>
          <w:rFonts w:eastAsia="SimSun"/>
        </w:rPr>
      </w:pPr>
      <w:r>
        <w:rPr>
          <w:rFonts w:eastAsia="SimSun" w:hint="eastAsia"/>
        </w:rPr>
        <w:t>L</w:t>
      </w:r>
      <w:r w:rsidRPr="00280FAF">
        <w:rPr>
          <w:rFonts w:eastAsia="SimSun"/>
        </w:rPr>
        <w:t xml:space="preserve"> – </w:t>
      </w:r>
      <w:r>
        <w:rPr>
          <w:rFonts w:eastAsia="SimSun"/>
        </w:rPr>
        <w:t>cylinder length, m</w:t>
      </w:r>
    </w:p>
    <w:p w14:paraId="496EC437" w14:textId="739225A9" w:rsidR="00A262CD" w:rsidRDefault="00A8606C" w:rsidP="00DD5E3C">
      <w:pPr>
        <w:pStyle w:val="CETBodytext"/>
        <w:jc w:val="left"/>
        <w:rPr>
          <w:rFonts w:eastAsia="SimSun"/>
        </w:rPr>
      </w:pPr>
      <w:r>
        <w:rPr>
          <w:rFonts w:eastAsia="SimSun"/>
        </w:rPr>
        <w:t>n</w:t>
      </w:r>
      <w:r w:rsidR="0025153E" w:rsidRPr="00280FAF">
        <w:rPr>
          <w:rFonts w:eastAsia="SimSun"/>
        </w:rPr>
        <w:t xml:space="preserve"> – </w:t>
      </w:r>
      <w:r w:rsidR="0025153E">
        <w:rPr>
          <w:rFonts w:eastAsia="SimSun"/>
        </w:rPr>
        <w:t xml:space="preserve">power-law exponent, </w:t>
      </w:r>
      <w:r w:rsidR="0043511A">
        <w:rPr>
          <w:rFonts w:eastAsia="SimSun"/>
        </w:rPr>
        <w:t>constant</w:t>
      </w:r>
    </w:p>
    <w:p w14:paraId="4232E30E" w14:textId="36EE6B2B" w:rsidR="00A8606C" w:rsidRDefault="00A8606C" w:rsidP="00DD5E3C">
      <w:pPr>
        <w:pStyle w:val="CETBodytext"/>
        <w:jc w:val="left"/>
        <w:rPr>
          <w:rFonts w:eastAsia="SimSun"/>
        </w:rPr>
      </w:pPr>
      <w:r>
        <w:rPr>
          <w:rFonts w:eastAsia="SimSun" w:hint="eastAsia"/>
        </w:rPr>
        <w:t>N</w:t>
      </w:r>
      <w:r w:rsidR="00DE40C9" w:rsidRPr="00280FAF">
        <w:rPr>
          <w:rFonts w:eastAsia="SimSun"/>
        </w:rPr>
        <w:t xml:space="preserve"> – </w:t>
      </w:r>
      <w:r w:rsidR="00DE40C9">
        <w:rPr>
          <w:rFonts w:eastAsia="SimSun"/>
        </w:rPr>
        <w:t xml:space="preserve">number of Taylor cells, </w:t>
      </w:r>
      <w:r w:rsidR="0043511A">
        <w:rPr>
          <w:rFonts w:eastAsia="SimSun"/>
        </w:rPr>
        <w:t>constant</w:t>
      </w:r>
    </w:p>
    <w:p w14:paraId="27844A29" w14:textId="4E4009FF" w:rsidR="006007BE" w:rsidRDefault="00C65FE5" w:rsidP="00DD5E3C">
      <w:pPr>
        <w:pStyle w:val="CETBodytext"/>
        <w:jc w:val="left"/>
        <w:rPr>
          <w:rFonts w:eastAsia="SimSun"/>
        </w:rPr>
      </w:pPr>
      <w:r>
        <w:rPr>
          <w:rFonts w:eastAsia="SimSun"/>
        </w:rPr>
        <w:t>P</w:t>
      </w:r>
      <w:r w:rsidR="00DE40C9" w:rsidRPr="00280FAF">
        <w:rPr>
          <w:rFonts w:eastAsia="SimSun"/>
        </w:rPr>
        <w:t xml:space="preserve"> – </w:t>
      </w:r>
      <w:r w:rsidR="00DE40C9">
        <w:rPr>
          <w:rFonts w:eastAsia="SimSun"/>
        </w:rPr>
        <w:t>pressure, Pa</w:t>
      </w:r>
    </w:p>
    <w:p w14:paraId="4502D579" w14:textId="7D123314" w:rsidR="00CC348B" w:rsidRDefault="00CC348B" w:rsidP="00DD5E3C">
      <w:pPr>
        <w:pStyle w:val="CETBodytext"/>
        <w:jc w:val="left"/>
        <w:rPr>
          <w:rFonts w:eastAsia="SimSun"/>
        </w:rPr>
      </w:pPr>
      <w:r>
        <w:rPr>
          <w:rFonts w:eastAsia="SimSun" w:hint="eastAsia"/>
        </w:rPr>
        <w:t>R</w:t>
      </w:r>
      <w:r>
        <w:rPr>
          <w:rFonts w:eastAsia="SimSun"/>
        </w:rPr>
        <w:t>e</w:t>
      </w:r>
      <w:r w:rsidR="00DE40C9" w:rsidRPr="00280FAF">
        <w:rPr>
          <w:rFonts w:eastAsia="SimSun"/>
        </w:rPr>
        <w:t xml:space="preserve"> – </w:t>
      </w:r>
      <w:r w:rsidR="00DE40C9">
        <w:rPr>
          <w:rFonts w:eastAsia="SimSun"/>
        </w:rPr>
        <w:t xml:space="preserve">Reynolds number, </w:t>
      </w:r>
      <w:r w:rsidR="0043511A">
        <w:rPr>
          <w:rFonts w:eastAsia="SimSun"/>
        </w:rPr>
        <w:t>constant</w:t>
      </w:r>
    </w:p>
    <w:p w14:paraId="5BDBF547" w14:textId="419D70F4" w:rsidR="00CC348B" w:rsidRDefault="00CC348B" w:rsidP="00DD5E3C">
      <w:pPr>
        <w:pStyle w:val="CETBodytext"/>
        <w:jc w:val="left"/>
        <w:rPr>
          <w:rFonts w:eastAsia="SimSun"/>
        </w:rPr>
      </w:pPr>
      <w:proofErr w:type="spellStart"/>
      <w:r>
        <w:rPr>
          <w:rFonts w:eastAsia="SimSun" w:hint="eastAsia"/>
        </w:rPr>
        <w:t>R</w:t>
      </w:r>
      <w:r>
        <w:rPr>
          <w:rFonts w:eastAsia="SimSun"/>
        </w:rPr>
        <w:t>e</w:t>
      </w:r>
      <w:r w:rsidRPr="00B060A2">
        <w:rPr>
          <w:rFonts w:eastAsia="SimSun"/>
          <w:vertAlign w:val="subscript"/>
        </w:rPr>
        <w:t>cr</w:t>
      </w:r>
      <w:proofErr w:type="spellEnd"/>
      <w:r w:rsidR="00DE40C9">
        <w:rPr>
          <w:rFonts w:eastAsia="SimSun"/>
        </w:rPr>
        <w:t xml:space="preserve"> </w:t>
      </w:r>
      <w:r w:rsidR="00DE40C9" w:rsidRPr="00280FAF">
        <w:rPr>
          <w:rFonts w:eastAsia="SimSun"/>
        </w:rPr>
        <w:t xml:space="preserve">– </w:t>
      </w:r>
      <w:r w:rsidR="00DE40C9">
        <w:rPr>
          <w:rFonts w:eastAsia="SimSun"/>
        </w:rPr>
        <w:t xml:space="preserve">critical Reynolds number, </w:t>
      </w:r>
      <w:r w:rsidR="0043511A">
        <w:rPr>
          <w:rFonts w:eastAsia="SimSun"/>
        </w:rPr>
        <w:t>constant</w:t>
      </w:r>
    </w:p>
    <w:p w14:paraId="67C1EBC9" w14:textId="389C5D9C" w:rsidR="00364642" w:rsidRDefault="00364642" w:rsidP="00DD5E3C">
      <w:pPr>
        <w:pStyle w:val="CETBodytext"/>
        <w:jc w:val="left"/>
        <w:rPr>
          <w:rFonts w:eastAsia="SimSun"/>
        </w:rPr>
      </w:pPr>
      <w:proofErr w:type="spellStart"/>
      <w:r>
        <w:rPr>
          <w:rFonts w:eastAsia="SimSun" w:hint="eastAsia"/>
        </w:rPr>
        <w:t>R</w:t>
      </w:r>
      <w:r>
        <w:rPr>
          <w:rFonts w:eastAsia="SimSun"/>
        </w:rPr>
        <w:t>e</w:t>
      </w:r>
      <w:r w:rsidRPr="00B060A2">
        <w:rPr>
          <w:rFonts w:eastAsia="SimSun"/>
          <w:vertAlign w:val="subscript"/>
        </w:rPr>
        <w:t>eff</w:t>
      </w:r>
      <w:proofErr w:type="spellEnd"/>
      <w:r w:rsidR="00DE40C9">
        <w:rPr>
          <w:rFonts w:eastAsia="SimSun"/>
        </w:rPr>
        <w:t xml:space="preserve"> </w:t>
      </w:r>
      <w:r w:rsidR="00DE40C9" w:rsidRPr="00280FAF">
        <w:rPr>
          <w:rFonts w:eastAsia="SimSun"/>
        </w:rPr>
        <w:t xml:space="preserve">– </w:t>
      </w:r>
      <w:proofErr w:type="spellStart"/>
      <w:r w:rsidR="00DE40C9">
        <w:rPr>
          <w:rFonts w:eastAsia="SimSun"/>
        </w:rPr>
        <w:t>effectiveReynolds</w:t>
      </w:r>
      <w:proofErr w:type="spellEnd"/>
      <w:r w:rsidR="00DE40C9">
        <w:rPr>
          <w:rFonts w:eastAsia="SimSun"/>
        </w:rPr>
        <w:t xml:space="preserve"> number, </w:t>
      </w:r>
      <w:r w:rsidR="0043511A">
        <w:rPr>
          <w:rFonts w:eastAsia="SimSun"/>
        </w:rPr>
        <w:t>constant</w:t>
      </w:r>
    </w:p>
    <w:p w14:paraId="07890494" w14:textId="5801C0C3" w:rsidR="00871485" w:rsidRDefault="006007BE" w:rsidP="00DD5E3C">
      <w:pPr>
        <w:pStyle w:val="CETBodytext"/>
        <w:jc w:val="left"/>
        <w:rPr>
          <w:rFonts w:eastAsia="SimSun"/>
        </w:rPr>
      </w:pPr>
      <w:r>
        <w:rPr>
          <w:rFonts w:eastAsia="SimSun" w:hint="eastAsia"/>
        </w:rPr>
        <w:t>R</w:t>
      </w:r>
      <w:r w:rsidRPr="00B060A2">
        <w:rPr>
          <w:rFonts w:eastAsia="SimSun"/>
          <w:vertAlign w:val="subscript"/>
        </w:rPr>
        <w:t>i</w:t>
      </w:r>
      <w:r w:rsidR="00DE40C9">
        <w:rPr>
          <w:rFonts w:eastAsia="SimSun"/>
        </w:rPr>
        <w:t xml:space="preserve"> </w:t>
      </w:r>
      <w:r w:rsidR="00DE40C9" w:rsidRPr="00280FAF">
        <w:rPr>
          <w:rFonts w:eastAsia="SimSun"/>
        </w:rPr>
        <w:t xml:space="preserve">– </w:t>
      </w:r>
      <w:r w:rsidR="00DE40C9">
        <w:rPr>
          <w:rFonts w:eastAsia="SimSun"/>
        </w:rPr>
        <w:t>inner cylinder radius, m</w:t>
      </w:r>
    </w:p>
    <w:p w14:paraId="7A0A3658" w14:textId="6CD1E5B5" w:rsidR="00A262CD" w:rsidRDefault="006007BE" w:rsidP="00DD5E3C">
      <w:pPr>
        <w:pStyle w:val="CETBodytext"/>
        <w:jc w:val="left"/>
        <w:rPr>
          <w:rFonts w:eastAsia="SimSun"/>
        </w:rPr>
      </w:pPr>
      <w:r>
        <w:rPr>
          <w:rFonts w:eastAsia="SimSun" w:hint="eastAsia"/>
        </w:rPr>
        <w:t>R</w:t>
      </w:r>
      <w:r w:rsidRPr="00B060A2">
        <w:rPr>
          <w:rFonts w:eastAsia="SimSun"/>
          <w:vertAlign w:val="subscript"/>
        </w:rPr>
        <w:t>o</w:t>
      </w:r>
      <w:r w:rsidR="00DE40C9">
        <w:rPr>
          <w:rFonts w:eastAsia="SimSun"/>
        </w:rPr>
        <w:t xml:space="preserve"> </w:t>
      </w:r>
      <w:r w:rsidR="00DE40C9" w:rsidRPr="00280FAF">
        <w:rPr>
          <w:rFonts w:eastAsia="SimSun"/>
        </w:rPr>
        <w:t xml:space="preserve">– </w:t>
      </w:r>
      <w:r w:rsidR="00DE40C9">
        <w:rPr>
          <w:rFonts w:eastAsia="SimSun"/>
        </w:rPr>
        <w:t>outer cylinder radius, m</w:t>
      </w:r>
    </w:p>
    <w:p w14:paraId="5A3344AD" w14:textId="081A1CDC" w:rsidR="006007BE" w:rsidRDefault="00DE40C9" w:rsidP="00DD5E3C">
      <w:pPr>
        <w:pStyle w:val="CETBodytext"/>
        <w:jc w:val="left"/>
        <w:rPr>
          <w:rFonts w:eastAsia="SimSun"/>
        </w:rPr>
      </w:pPr>
      <w:r>
        <w:rPr>
          <w:rFonts w:eastAsia="SimSun"/>
        </w:rPr>
        <w:t xml:space="preserve">t </w:t>
      </w:r>
      <w:r w:rsidRPr="00280FAF">
        <w:rPr>
          <w:rFonts w:eastAsia="SimSun"/>
        </w:rPr>
        <w:t xml:space="preserve">– </w:t>
      </w:r>
      <w:r>
        <w:rPr>
          <w:rFonts w:eastAsia="SimSun"/>
        </w:rPr>
        <w:t>time, s</w:t>
      </w:r>
    </w:p>
    <w:p w14:paraId="5817A3C7" w14:textId="7936A2E1" w:rsidR="006007BE" w:rsidRDefault="006007BE" w:rsidP="00DD5E3C">
      <w:pPr>
        <w:pStyle w:val="CETBodytext"/>
        <w:jc w:val="left"/>
        <w:rPr>
          <w:rFonts w:eastAsia="SimSun"/>
        </w:rPr>
      </w:pPr>
      <w:r w:rsidRPr="00DE40C9">
        <w:rPr>
          <w:rFonts w:eastAsia="SimSun" w:hint="eastAsia"/>
          <w:b/>
          <w:bCs/>
        </w:rPr>
        <w:t>u</w:t>
      </w:r>
      <w:r w:rsidR="00364642" w:rsidRPr="00280FAF">
        <w:rPr>
          <w:rFonts w:eastAsia="SimSun"/>
        </w:rPr>
        <w:t xml:space="preserve"> – </w:t>
      </w:r>
      <w:r w:rsidR="00364642">
        <w:rPr>
          <w:rFonts w:eastAsia="SimSun"/>
        </w:rPr>
        <w:t>velocity</w:t>
      </w:r>
      <w:r w:rsidR="00DE40C9">
        <w:rPr>
          <w:rFonts w:eastAsia="SimSun"/>
        </w:rPr>
        <w:t>/ m/s</w:t>
      </w:r>
    </w:p>
    <w:p w14:paraId="40138A86" w14:textId="3BF1CF23" w:rsidR="00A053D9" w:rsidRDefault="00A053D9" w:rsidP="00DD5E3C">
      <w:pPr>
        <w:pStyle w:val="CETBodytext"/>
        <w:jc w:val="left"/>
        <w:rPr>
          <w:rFonts w:eastAsia="SimSun"/>
        </w:rPr>
      </w:pPr>
      <w:proofErr w:type="spellStart"/>
      <w:r w:rsidRPr="00A053D9">
        <w:rPr>
          <w:rFonts w:eastAsia="SimSun" w:hint="eastAsia"/>
        </w:rPr>
        <w:t>u</w:t>
      </w:r>
      <w:r w:rsidRPr="00A053D9">
        <w:rPr>
          <w:rFonts w:eastAsia="SimSun"/>
          <w:vertAlign w:val="subscript"/>
        </w:rPr>
        <w:t>z</w:t>
      </w:r>
      <w:proofErr w:type="spellEnd"/>
      <w:r w:rsidRPr="00280FAF">
        <w:rPr>
          <w:rFonts w:eastAsia="SimSun"/>
        </w:rPr>
        <w:t xml:space="preserve"> – </w:t>
      </w:r>
      <w:r>
        <w:rPr>
          <w:rFonts w:eastAsia="SimSun"/>
        </w:rPr>
        <w:t>axial velocity/ m/s</w:t>
      </w:r>
    </w:p>
    <w:p w14:paraId="0E7321ED" w14:textId="6E42B42E" w:rsidR="00A053D9" w:rsidRDefault="00A053D9" w:rsidP="00DD5E3C">
      <w:pPr>
        <w:pStyle w:val="CETBodytext"/>
        <w:jc w:val="left"/>
        <w:rPr>
          <w:rFonts w:eastAsia="SimSun"/>
        </w:rPr>
      </w:pPr>
      <w:r>
        <w:rPr>
          <w:rFonts w:eastAsia="SimSun" w:hint="eastAsia"/>
        </w:rPr>
        <w:t>u</w:t>
      </w:r>
      <w:r w:rsidRPr="00A053D9">
        <w:rPr>
          <w:rFonts w:ascii="Symbol" w:eastAsia="SimSun" w:hAnsi="Symbol"/>
          <w:vertAlign w:val="subscript"/>
        </w:rPr>
        <w:t>q</w:t>
      </w:r>
      <w:r w:rsidRPr="00280FAF">
        <w:rPr>
          <w:rFonts w:eastAsia="SimSun"/>
        </w:rPr>
        <w:t xml:space="preserve"> – </w:t>
      </w:r>
      <w:r>
        <w:rPr>
          <w:rFonts w:eastAsia="SimSun"/>
        </w:rPr>
        <w:t>circumferential velocity/ m/s</w:t>
      </w:r>
    </w:p>
    <w:p w14:paraId="10073DE7" w14:textId="6CAC8FD7" w:rsidR="00440E7B" w:rsidRDefault="00440E7B" w:rsidP="00DD5E3C">
      <w:pPr>
        <w:pStyle w:val="CETBodytext"/>
        <w:jc w:val="left"/>
        <w:rPr>
          <w:rFonts w:eastAsia="SimSun"/>
        </w:rPr>
      </w:pPr>
      <w:r>
        <w:rPr>
          <w:rFonts w:eastAsia="SimSun" w:hint="eastAsia"/>
        </w:rPr>
        <w:t>z</w:t>
      </w:r>
      <w:r>
        <w:rPr>
          <w:rFonts w:eastAsia="SimSun"/>
        </w:rPr>
        <w:t xml:space="preserve"> </w:t>
      </w:r>
      <w:r w:rsidRPr="00280FAF">
        <w:rPr>
          <w:rFonts w:eastAsia="SimSun"/>
          <w:lang w:val="el-GR"/>
        </w:rPr>
        <w:t xml:space="preserve">– </w:t>
      </w:r>
      <w:r>
        <w:rPr>
          <w:rFonts w:eastAsia="SimSun"/>
        </w:rPr>
        <w:t>axial coordinate</w:t>
      </w:r>
      <w:r w:rsidRPr="00280FAF">
        <w:rPr>
          <w:rFonts w:eastAsia="SimSun"/>
        </w:rPr>
        <w:t xml:space="preserve">, </w:t>
      </w:r>
      <w:r>
        <w:rPr>
          <w:rFonts w:eastAsia="SimSun"/>
        </w:rPr>
        <w:t>m</w:t>
      </w:r>
    </w:p>
    <w:p w14:paraId="2FAAE754" w14:textId="279E0E27" w:rsidR="00187530" w:rsidRDefault="00A262CD" w:rsidP="00DD5E3C">
      <w:pPr>
        <w:pStyle w:val="CETBodytext"/>
        <w:jc w:val="left"/>
        <w:rPr>
          <w:rFonts w:eastAsia="SimSun"/>
        </w:rPr>
      </w:pPr>
      <w:r w:rsidRPr="00364642">
        <w:rPr>
          <w:rFonts w:ascii="Symbol" w:eastAsia="SimSun" w:hAnsi="Symbol"/>
        </w:rPr>
        <w:t>a</w:t>
      </w:r>
      <w:r w:rsidR="00080574">
        <w:rPr>
          <w:rFonts w:eastAsia="SimSun"/>
        </w:rPr>
        <w:t xml:space="preserve"> </w:t>
      </w:r>
      <w:r w:rsidR="00080574" w:rsidRPr="00280FAF">
        <w:rPr>
          <w:rFonts w:eastAsia="SimSun"/>
          <w:lang w:val="el-GR"/>
        </w:rPr>
        <w:t xml:space="preserve">– </w:t>
      </w:r>
      <w:r w:rsidR="00080574">
        <w:rPr>
          <w:rFonts w:eastAsia="SimSun"/>
        </w:rPr>
        <w:t xml:space="preserve">angular </w:t>
      </w:r>
      <w:r w:rsidR="00A96423">
        <w:rPr>
          <w:rFonts w:eastAsia="SimSun"/>
        </w:rPr>
        <w:t>acceleration</w:t>
      </w:r>
      <w:r w:rsidR="00080574" w:rsidRPr="00280FAF">
        <w:rPr>
          <w:rFonts w:eastAsia="SimSun"/>
        </w:rPr>
        <w:t xml:space="preserve">, </w:t>
      </w:r>
      <w:r w:rsidR="00A96423">
        <w:rPr>
          <w:rFonts w:eastAsia="SimSun"/>
        </w:rPr>
        <w:t>rad/s</w:t>
      </w:r>
      <w:r w:rsidR="00A96423" w:rsidRPr="00B060A2">
        <w:rPr>
          <w:rFonts w:eastAsia="SimSun"/>
          <w:vertAlign w:val="superscript"/>
        </w:rPr>
        <w:t>2</w:t>
      </w:r>
    </w:p>
    <w:p w14:paraId="25006A23" w14:textId="55E2CCA4" w:rsidR="00F82628" w:rsidRDefault="00A262CD" w:rsidP="00DD5E3C">
      <w:pPr>
        <w:pStyle w:val="CETBodytext"/>
        <w:jc w:val="left"/>
        <w:rPr>
          <w:rFonts w:eastAsia="SimSun"/>
        </w:rPr>
      </w:pPr>
      <w:r w:rsidRPr="00B060A2">
        <w:rPr>
          <w:rFonts w:ascii="Symbol" w:eastAsia="SimSun" w:hAnsi="Symbol"/>
        </w:rPr>
        <w:t>b</w:t>
      </w:r>
      <w:r w:rsidR="003D384F">
        <w:rPr>
          <w:rFonts w:eastAsia="SimSun"/>
        </w:rPr>
        <w:t xml:space="preserve"> </w:t>
      </w:r>
      <w:r w:rsidR="003D384F" w:rsidRPr="00280FAF">
        <w:rPr>
          <w:rFonts w:eastAsia="SimSun"/>
          <w:lang w:val="el-GR"/>
        </w:rPr>
        <w:t xml:space="preserve">– </w:t>
      </w:r>
      <w:r w:rsidR="0025153E">
        <w:rPr>
          <w:rFonts w:eastAsia="SimSun"/>
        </w:rPr>
        <w:t>characteristic</w:t>
      </w:r>
      <w:r w:rsidR="0043511A">
        <w:rPr>
          <w:rFonts w:eastAsia="SimSun"/>
        </w:rPr>
        <w:t xml:space="preserve"> time</w:t>
      </w:r>
      <w:r w:rsidR="003D384F">
        <w:rPr>
          <w:rFonts w:eastAsia="SimSun"/>
        </w:rPr>
        <w:t>, s</w:t>
      </w:r>
    </w:p>
    <w:p w14:paraId="3D498722" w14:textId="4A76DD42" w:rsidR="00F82628" w:rsidRDefault="00A8606C" w:rsidP="00DD5E3C">
      <w:pPr>
        <w:pStyle w:val="CETBodytext"/>
        <w:jc w:val="left"/>
        <w:rPr>
          <w:rFonts w:eastAsia="SimSun"/>
        </w:rPr>
      </w:pPr>
      <w:r w:rsidRPr="00B060A2">
        <w:rPr>
          <w:rFonts w:ascii="Symbol" w:eastAsia="SimSun" w:hAnsi="Symbol"/>
        </w:rPr>
        <w:t>e</w:t>
      </w:r>
      <w:r w:rsidR="00D8568F">
        <w:rPr>
          <w:rFonts w:eastAsia="SimSun"/>
        </w:rPr>
        <w:t xml:space="preserve"> </w:t>
      </w:r>
      <w:r w:rsidR="00D8568F" w:rsidRPr="00280FAF">
        <w:rPr>
          <w:rFonts w:eastAsia="SimSun"/>
          <w:lang w:val="el-GR"/>
        </w:rPr>
        <w:t xml:space="preserve">– </w:t>
      </w:r>
      <w:r w:rsidR="00D8568F">
        <w:rPr>
          <w:rFonts w:eastAsia="SimSun"/>
        </w:rPr>
        <w:t xml:space="preserve">radius ratio, </w:t>
      </w:r>
      <w:r w:rsidR="0043511A">
        <w:rPr>
          <w:rFonts w:eastAsia="SimSun"/>
        </w:rPr>
        <w:t>constant</w:t>
      </w:r>
    </w:p>
    <w:p w14:paraId="2F0528B6" w14:textId="2D4681B8" w:rsidR="00A8606C" w:rsidRDefault="00000000" w:rsidP="00DD5E3C">
      <w:pPr>
        <w:pStyle w:val="CETBodytext"/>
        <w:jc w:val="left"/>
        <w:rPr>
          <w:rFonts w:eastAsia="SimSun"/>
        </w:rPr>
      </w:pPr>
      <m:oMath>
        <m:acc>
          <m:accPr>
            <m:chr m:val="̇"/>
            <m:ctrlPr>
              <w:rPr>
                <w:rFonts w:ascii="Cambria Math" w:eastAsia="SimSun" w:hAnsi="Cambria Math"/>
                <w:i/>
                <w:lang w:val="el-GR"/>
              </w:rPr>
            </m:ctrlPr>
          </m:accPr>
          <m:e>
            <m:r>
              <m:rPr>
                <m:sty m:val="p"/>
              </m:rPr>
              <w:rPr>
                <w:rFonts w:ascii="Cambria Math" w:eastAsia="SimSun" w:hAnsi="Cambria Math"/>
                <w:lang w:val="el-GR"/>
              </w:rPr>
              <m:t>γ</m:t>
            </m:r>
          </m:e>
        </m:acc>
      </m:oMath>
      <w:r w:rsidR="00B060A2">
        <w:rPr>
          <w:rFonts w:eastAsia="SimSun" w:hint="eastAsia"/>
          <w:lang w:val="el-GR"/>
        </w:rPr>
        <w:t xml:space="preserve"> </w:t>
      </w:r>
      <w:r w:rsidR="00D8568F" w:rsidRPr="00280FAF">
        <w:rPr>
          <w:rFonts w:eastAsia="SimSun"/>
          <w:lang w:val="el-GR"/>
        </w:rPr>
        <w:t xml:space="preserve">– </w:t>
      </w:r>
      <w:r w:rsidR="00D8568F">
        <w:rPr>
          <w:rFonts w:eastAsia="SimSun"/>
        </w:rPr>
        <w:t>shear-rate, 1/s</w:t>
      </w:r>
    </w:p>
    <w:p w14:paraId="194B87CF" w14:textId="60EFCA98" w:rsidR="00364642" w:rsidRDefault="00000000" w:rsidP="00DD5E3C">
      <w:pPr>
        <w:pStyle w:val="CETBodytext"/>
        <w:jc w:val="left"/>
        <w:rPr>
          <w:rFonts w:eastAsia="SimSun"/>
        </w:rPr>
      </w:pPr>
      <m:oMath>
        <m:sSub>
          <m:sSubPr>
            <m:ctrlPr>
              <w:rPr>
                <w:rFonts w:ascii="Cambria Math" w:eastAsia="SimSun" w:hAnsi="Cambria Math"/>
                <w:i/>
                <w:lang w:val="el-GR"/>
              </w:rPr>
            </m:ctrlPr>
          </m:sSubPr>
          <m:e>
            <m:acc>
              <m:accPr>
                <m:chr m:val="̇"/>
                <m:ctrlPr>
                  <w:rPr>
                    <w:rFonts w:ascii="Cambria Math" w:eastAsia="SimSun" w:hAnsi="Cambria Math"/>
                    <w:iCs/>
                    <w:lang w:val="el-GR"/>
                  </w:rPr>
                </m:ctrlPr>
              </m:accPr>
              <m:e>
                <m:r>
                  <m:rPr>
                    <m:sty m:val="p"/>
                  </m:rPr>
                  <w:rPr>
                    <w:rFonts w:ascii="Cambria Math" w:eastAsia="SimSun" w:hAnsi="Cambria Math"/>
                    <w:lang w:val="el-GR"/>
                  </w:rPr>
                  <m:t>γ</m:t>
                </m:r>
              </m:e>
            </m:acc>
          </m:e>
          <m:sub>
            <m:r>
              <m:rPr>
                <m:sty m:val="p"/>
              </m:rPr>
              <w:rPr>
                <w:rFonts w:ascii="Cambria Math" w:eastAsia="SimSun" w:hAnsi="Cambria Math"/>
                <w:lang w:val="el-GR"/>
              </w:rPr>
              <m:t>eff</m:t>
            </m:r>
          </m:sub>
        </m:sSub>
      </m:oMath>
      <w:r w:rsidR="00D8568F" w:rsidRPr="00280FAF">
        <w:rPr>
          <w:rFonts w:eastAsia="SimSun"/>
          <w:lang w:val="el-GR"/>
        </w:rPr>
        <w:t xml:space="preserve">– </w:t>
      </w:r>
      <w:r w:rsidR="00D8568F">
        <w:rPr>
          <w:rFonts w:eastAsia="SimSun"/>
        </w:rPr>
        <w:t>effective</w:t>
      </w:r>
      <w:r w:rsidR="00B060A2">
        <w:rPr>
          <w:rFonts w:eastAsia="SimSun"/>
        </w:rPr>
        <w:t xml:space="preserve"> </w:t>
      </w:r>
      <w:r w:rsidR="00D8568F">
        <w:rPr>
          <w:rFonts w:eastAsia="SimSun"/>
        </w:rPr>
        <w:t>shear-rate, 1/s</w:t>
      </w:r>
    </w:p>
    <w:p w14:paraId="0810A083" w14:textId="1F12EBBD" w:rsidR="00D8568F" w:rsidRDefault="00D8568F" w:rsidP="00DD5E3C">
      <w:pPr>
        <w:pStyle w:val="CETBodytext"/>
        <w:jc w:val="left"/>
        <w:rPr>
          <w:rFonts w:eastAsia="SimSun"/>
        </w:rPr>
      </w:pPr>
      <w:r w:rsidRPr="00D8568F">
        <w:rPr>
          <w:rFonts w:ascii="Symbol" w:eastAsia="SimSun" w:hAnsi="Symbol"/>
        </w:rPr>
        <w:t>G</w:t>
      </w:r>
      <w:r>
        <w:rPr>
          <w:rFonts w:eastAsia="SimSun"/>
        </w:rPr>
        <w:t xml:space="preserve"> </w:t>
      </w:r>
      <w:r w:rsidRPr="00280FAF">
        <w:rPr>
          <w:rFonts w:eastAsia="SimSun"/>
        </w:rPr>
        <w:t xml:space="preserve">– </w:t>
      </w:r>
      <w:r>
        <w:rPr>
          <w:rFonts w:eastAsia="SimSun"/>
        </w:rPr>
        <w:t xml:space="preserve">aspect ratio, </w:t>
      </w:r>
      <w:r w:rsidR="0043511A">
        <w:rPr>
          <w:rFonts w:eastAsia="SimSun"/>
        </w:rPr>
        <w:t>constant</w:t>
      </w:r>
    </w:p>
    <w:p w14:paraId="71B85D89" w14:textId="2558E9AC" w:rsidR="00B947DB" w:rsidRDefault="00B947DB" w:rsidP="00DD5E3C">
      <w:pPr>
        <w:pStyle w:val="CETBodytext"/>
        <w:jc w:val="left"/>
        <w:rPr>
          <w:rFonts w:eastAsia="SimSun"/>
        </w:rPr>
      </w:pPr>
      <w:r w:rsidRPr="007459AF">
        <w:rPr>
          <w:rFonts w:ascii="Symbol" w:eastAsia="SimSun" w:hAnsi="Symbol"/>
        </w:rPr>
        <w:t>h</w:t>
      </w:r>
      <w:r w:rsidRPr="007459AF">
        <w:rPr>
          <w:rFonts w:eastAsia="SimSun"/>
          <w:vertAlign w:val="subscript"/>
        </w:rPr>
        <w:t>eff</w:t>
      </w:r>
      <w:r w:rsidR="00B060A2">
        <w:rPr>
          <w:rFonts w:eastAsia="SimSun"/>
        </w:rPr>
        <w:t xml:space="preserve"> </w:t>
      </w:r>
      <w:r w:rsidR="00B060A2" w:rsidRPr="00280FAF">
        <w:rPr>
          <w:rFonts w:eastAsia="SimSun"/>
          <w:lang w:val="el-GR"/>
        </w:rPr>
        <w:t xml:space="preserve">– </w:t>
      </w:r>
      <w:r w:rsidR="007459AF">
        <w:rPr>
          <w:rFonts w:eastAsia="SimSun"/>
        </w:rPr>
        <w:t>effective</w:t>
      </w:r>
      <w:r w:rsidR="00B060A2">
        <w:rPr>
          <w:rFonts w:eastAsia="SimSun"/>
        </w:rPr>
        <w:t xml:space="preserve"> shear-rate viscosity, </w:t>
      </w:r>
      <w:proofErr w:type="spellStart"/>
      <w:r w:rsidR="00B060A2">
        <w:rPr>
          <w:rFonts w:eastAsia="SimSun"/>
        </w:rPr>
        <w:t>Pa</w:t>
      </w:r>
      <w:r w:rsidR="007459AF">
        <w:rPr>
          <w:rFonts w:eastAsia="SimSun" w:cs="Arial"/>
        </w:rPr>
        <w:t>·</w:t>
      </w:r>
      <w:r w:rsidR="00B060A2">
        <w:rPr>
          <w:rFonts w:eastAsia="SimSun"/>
        </w:rPr>
        <w:t>s</w:t>
      </w:r>
      <w:proofErr w:type="spellEnd"/>
    </w:p>
    <w:p w14:paraId="2D92B9A5" w14:textId="51854A4A" w:rsidR="00187530" w:rsidRDefault="00A262CD" w:rsidP="00DD5E3C">
      <w:pPr>
        <w:pStyle w:val="CETBodytext"/>
        <w:jc w:val="left"/>
        <w:rPr>
          <w:rFonts w:eastAsia="SimSun"/>
        </w:rPr>
      </w:pPr>
      <w:r w:rsidRPr="007459AF">
        <w:rPr>
          <w:rFonts w:ascii="Symbol" w:eastAsia="SimSun" w:hAnsi="Symbol"/>
        </w:rPr>
        <w:t>h</w:t>
      </w:r>
      <w:r w:rsidRPr="007459AF">
        <w:rPr>
          <w:rFonts w:eastAsia="SimSun"/>
          <w:vertAlign w:val="subscript"/>
        </w:rPr>
        <w:t>0</w:t>
      </w:r>
      <w:r w:rsidR="007459AF">
        <w:rPr>
          <w:rFonts w:eastAsia="SimSun"/>
        </w:rPr>
        <w:t xml:space="preserve"> </w:t>
      </w:r>
      <w:r w:rsidR="007459AF" w:rsidRPr="00280FAF">
        <w:rPr>
          <w:rFonts w:eastAsia="SimSun"/>
          <w:lang w:val="el-GR"/>
        </w:rPr>
        <w:t xml:space="preserve">– </w:t>
      </w:r>
      <w:r w:rsidR="007459AF">
        <w:rPr>
          <w:rFonts w:eastAsia="SimSun"/>
        </w:rPr>
        <w:t xml:space="preserve">zero shear-rate viscosity, </w:t>
      </w:r>
      <w:proofErr w:type="spellStart"/>
      <w:r w:rsidR="007459AF">
        <w:rPr>
          <w:rFonts w:eastAsia="SimSun"/>
        </w:rPr>
        <w:t>Pa</w:t>
      </w:r>
      <w:r w:rsidR="007459AF">
        <w:rPr>
          <w:rFonts w:eastAsia="SimSun" w:cs="Arial"/>
        </w:rPr>
        <w:t>·</w:t>
      </w:r>
      <w:r w:rsidR="007459AF">
        <w:rPr>
          <w:rFonts w:eastAsia="SimSun"/>
        </w:rPr>
        <w:t>s</w:t>
      </w:r>
      <w:proofErr w:type="spellEnd"/>
    </w:p>
    <w:p w14:paraId="38C65C06" w14:textId="1E3C1C48" w:rsidR="00187530" w:rsidRDefault="007459AF" w:rsidP="00DD5E3C">
      <w:pPr>
        <w:pStyle w:val="CETBodytext"/>
        <w:jc w:val="left"/>
        <w:rPr>
          <w:rFonts w:eastAsia="SimSun"/>
        </w:rPr>
      </w:pPr>
      <w:r w:rsidRPr="007459AF">
        <w:rPr>
          <w:rFonts w:ascii="Symbol" w:eastAsia="SimSun" w:hAnsi="Symbol"/>
        </w:rPr>
        <w:t>h</w:t>
      </w:r>
      <w:r w:rsidRPr="007459AF">
        <w:rPr>
          <w:rFonts w:eastAsia="SimSun" w:hint="eastAsia"/>
          <w:vertAlign w:val="subscript"/>
        </w:rPr>
        <w:sym w:font="Symbol" w:char="F0A5"/>
      </w:r>
      <w:r>
        <w:rPr>
          <w:rFonts w:eastAsia="SimSun"/>
        </w:rPr>
        <w:t xml:space="preserve"> </w:t>
      </w:r>
      <w:r w:rsidRPr="00280FAF">
        <w:rPr>
          <w:rFonts w:eastAsia="SimSun"/>
          <w:lang w:val="el-GR"/>
        </w:rPr>
        <w:t xml:space="preserve">– </w:t>
      </w:r>
      <w:r>
        <w:rPr>
          <w:rFonts w:eastAsia="SimSun"/>
        </w:rPr>
        <w:t xml:space="preserve">infinite shear-rate viscosity, </w:t>
      </w:r>
      <w:proofErr w:type="spellStart"/>
      <w:r>
        <w:rPr>
          <w:rFonts w:eastAsia="SimSun"/>
        </w:rPr>
        <w:t>Pa</w:t>
      </w:r>
      <w:r>
        <w:rPr>
          <w:rFonts w:eastAsia="SimSun" w:cs="Arial"/>
        </w:rPr>
        <w:t>·</w:t>
      </w:r>
      <w:r>
        <w:rPr>
          <w:rFonts w:eastAsia="SimSun"/>
        </w:rPr>
        <w:t>s</w:t>
      </w:r>
      <w:proofErr w:type="spellEnd"/>
    </w:p>
    <w:p w14:paraId="749CB8DE" w14:textId="05DB49F8" w:rsidR="00A8606C" w:rsidRDefault="00A8606C" w:rsidP="00DD5E3C">
      <w:pPr>
        <w:pStyle w:val="CETBodytext"/>
        <w:jc w:val="left"/>
        <w:rPr>
          <w:rFonts w:eastAsia="SimSun"/>
        </w:rPr>
      </w:pPr>
      <w:r w:rsidRPr="007459AF">
        <w:rPr>
          <w:rFonts w:ascii="Symbol" w:eastAsia="SimSun" w:hAnsi="Symbol"/>
        </w:rPr>
        <w:t>l</w:t>
      </w:r>
      <w:r w:rsidR="00080574">
        <w:rPr>
          <w:rFonts w:eastAsia="SimSun"/>
        </w:rPr>
        <w:t xml:space="preserve"> </w:t>
      </w:r>
      <w:r w:rsidR="00080574" w:rsidRPr="00280FAF">
        <w:rPr>
          <w:rFonts w:eastAsia="SimSun"/>
          <w:lang w:val="el-GR"/>
        </w:rPr>
        <w:t xml:space="preserve">– </w:t>
      </w:r>
      <w:r w:rsidR="00D8568F">
        <w:rPr>
          <w:rFonts w:eastAsia="SimSun"/>
        </w:rPr>
        <w:t>axial wavelength of Taylor cell</w:t>
      </w:r>
      <w:r w:rsidR="00080574" w:rsidRPr="00280FAF">
        <w:rPr>
          <w:rFonts w:eastAsia="SimSun"/>
        </w:rPr>
        <w:t xml:space="preserve">, </w:t>
      </w:r>
      <w:r w:rsidR="00D8568F">
        <w:rPr>
          <w:rFonts w:eastAsia="SimSun"/>
        </w:rPr>
        <w:t>m</w:t>
      </w:r>
    </w:p>
    <w:p w14:paraId="48B164E4" w14:textId="31825975" w:rsidR="002A156C" w:rsidRDefault="007459AF" w:rsidP="00DD5E3C">
      <w:pPr>
        <w:pStyle w:val="CETBodytext"/>
        <w:jc w:val="left"/>
        <w:rPr>
          <w:rFonts w:eastAsia="SimSun"/>
        </w:rPr>
      </w:pPr>
      <w:r w:rsidRPr="007459AF">
        <w:rPr>
          <w:rFonts w:ascii="Symbol" w:eastAsia="SimSun" w:hAnsi="Symbol"/>
        </w:rPr>
        <w:t>l</w:t>
      </w:r>
      <w:r w:rsidR="002A156C" w:rsidRPr="007459AF">
        <w:rPr>
          <w:rFonts w:eastAsia="SimSun"/>
          <w:vertAlign w:val="subscript"/>
        </w:rPr>
        <w:t>E</w:t>
      </w:r>
      <w:r w:rsidR="002A156C">
        <w:rPr>
          <w:rFonts w:eastAsia="SimSun"/>
        </w:rPr>
        <w:t xml:space="preserve"> </w:t>
      </w:r>
      <w:r w:rsidR="002A156C" w:rsidRPr="00280FAF">
        <w:rPr>
          <w:rFonts w:eastAsia="SimSun"/>
          <w:lang w:val="el-GR"/>
        </w:rPr>
        <w:t xml:space="preserve">– </w:t>
      </w:r>
      <w:r w:rsidR="002A156C">
        <w:rPr>
          <w:rFonts w:eastAsia="SimSun"/>
        </w:rPr>
        <w:t xml:space="preserve">axial wavelength of </w:t>
      </w:r>
      <w:r>
        <w:rPr>
          <w:rFonts w:eastAsia="SimSun"/>
        </w:rPr>
        <w:t>end</w:t>
      </w:r>
      <w:r w:rsidR="002A156C">
        <w:rPr>
          <w:rFonts w:eastAsia="SimSun"/>
        </w:rPr>
        <w:t xml:space="preserve"> cell</w:t>
      </w:r>
      <w:r w:rsidR="002A156C" w:rsidRPr="00280FAF">
        <w:rPr>
          <w:rFonts w:eastAsia="SimSun"/>
        </w:rPr>
        <w:t xml:space="preserve">, </w:t>
      </w:r>
      <w:r w:rsidR="002A156C">
        <w:rPr>
          <w:rFonts w:eastAsia="SimSun"/>
        </w:rPr>
        <w:t>m</w:t>
      </w:r>
    </w:p>
    <w:p w14:paraId="43958845" w14:textId="55A72BCD" w:rsidR="002A156C" w:rsidRDefault="007459AF" w:rsidP="00DD5E3C">
      <w:pPr>
        <w:pStyle w:val="CETBodytext"/>
        <w:jc w:val="left"/>
        <w:rPr>
          <w:rFonts w:eastAsia="SimSun"/>
        </w:rPr>
      </w:pPr>
      <w:r w:rsidRPr="007459AF">
        <w:rPr>
          <w:rFonts w:ascii="Symbol" w:eastAsia="SimSun" w:hAnsi="Symbol"/>
        </w:rPr>
        <w:t>l</w:t>
      </w:r>
      <w:r w:rsidR="009B3BC5">
        <w:rPr>
          <w:rFonts w:eastAsia="SimSun"/>
          <w:vertAlign w:val="subscript"/>
        </w:rPr>
        <w:t>eff</w:t>
      </w:r>
      <w:r w:rsidR="002A156C">
        <w:rPr>
          <w:rFonts w:eastAsia="SimSun"/>
        </w:rPr>
        <w:t xml:space="preserve"> </w:t>
      </w:r>
      <w:r w:rsidR="002A156C" w:rsidRPr="00280FAF">
        <w:rPr>
          <w:rFonts w:eastAsia="SimSun"/>
          <w:lang w:val="el-GR"/>
        </w:rPr>
        <w:t xml:space="preserve">– </w:t>
      </w:r>
      <w:r w:rsidR="002A156C">
        <w:rPr>
          <w:rFonts w:eastAsia="SimSun"/>
        </w:rPr>
        <w:t xml:space="preserve">axial wavelength of </w:t>
      </w:r>
      <w:r>
        <w:rPr>
          <w:rFonts w:eastAsia="SimSun"/>
        </w:rPr>
        <w:t>internal</w:t>
      </w:r>
      <w:r w:rsidR="002A156C">
        <w:rPr>
          <w:rFonts w:eastAsia="SimSun"/>
        </w:rPr>
        <w:t xml:space="preserve"> cell</w:t>
      </w:r>
      <w:r w:rsidR="002A156C" w:rsidRPr="00280FAF">
        <w:rPr>
          <w:rFonts w:eastAsia="SimSun"/>
        </w:rPr>
        <w:t xml:space="preserve">, </w:t>
      </w:r>
      <w:proofErr w:type="gramStart"/>
      <w:r w:rsidR="002A156C">
        <w:rPr>
          <w:rFonts w:eastAsia="SimSun"/>
        </w:rPr>
        <w:t>m</w:t>
      </w:r>
      <w:proofErr w:type="gramEnd"/>
    </w:p>
    <w:p w14:paraId="073687F0" w14:textId="5EA827F5" w:rsidR="00871485" w:rsidRDefault="00F107A4" w:rsidP="00DD5E3C">
      <w:pPr>
        <w:pStyle w:val="CETBodytext"/>
        <w:jc w:val="left"/>
        <w:rPr>
          <w:rFonts w:eastAsia="SimSun"/>
        </w:rPr>
      </w:pPr>
      <w:r w:rsidRPr="007459AF">
        <w:rPr>
          <w:rFonts w:ascii="Symbol" w:eastAsia="SimSun" w:hAnsi="Symbol"/>
        </w:rPr>
        <w:t>w</w:t>
      </w:r>
      <w:r w:rsidR="00080574">
        <w:rPr>
          <w:rFonts w:eastAsia="SimSun"/>
        </w:rPr>
        <w:t xml:space="preserve"> </w:t>
      </w:r>
      <w:r w:rsidRPr="00280FAF">
        <w:rPr>
          <w:rFonts w:eastAsia="SimSun"/>
          <w:lang w:val="el-GR"/>
        </w:rPr>
        <w:t xml:space="preserve">– </w:t>
      </w:r>
      <w:r>
        <w:rPr>
          <w:rFonts w:eastAsia="SimSun"/>
        </w:rPr>
        <w:t>angular velocity</w:t>
      </w:r>
      <w:r w:rsidRPr="00280FAF">
        <w:rPr>
          <w:rFonts w:eastAsia="SimSun"/>
        </w:rPr>
        <w:t xml:space="preserve">, </w:t>
      </w:r>
      <w:r w:rsidR="00080574">
        <w:rPr>
          <w:rFonts w:eastAsia="SimSun"/>
        </w:rPr>
        <w:t>rad/s</w:t>
      </w:r>
    </w:p>
    <w:p w14:paraId="6A7ED559" w14:textId="0095AF23" w:rsidR="00DD5E3C" w:rsidRPr="00280FAF" w:rsidRDefault="00DD5E3C" w:rsidP="00DD5E3C">
      <w:pPr>
        <w:pStyle w:val="CETBodytext"/>
        <w:jc w:val="left"/>
        <w:rPr>
          <w:rFonts w:eastAsia="SimSun"/>
        </w:rPr>
      </w:pPr>
    </w:p>
    <w:p w14:paraId="1ECBA075" w14:textId="77777777" w:rsidR="00DD5E3C" w:rsidRPr="00280FAF" w:rsidRDefault="00DD5E3C" w:rsidP="00DD5E3C">
      <w:pPr>
        <w:pStyle w:val="CETBodytext"/>
        <w:jc w:val="left"/>
        <w:rPr>
          <w:rFonts w:eastAsia="SimSun"/>
        </w:rPr>
        <w:sectPr w:rsidR="00DD5E3C" w:rsidRPr="00280FAF" w:rsidSect="00871485">
          <w:type w:val="continuous"/>
          <w:pgSz w:w="11906" w:h="16838" w:code="9"/>
          <w:pgMar w:top="1701" w:right="1418" w:bottom="1701" w:left="1701" w:header="1701" w:footer="0" w:gutter="0"/>
          <w:cols w:num="2" w:space="708"/>
          <w:formProt w:val="0"/>
          <w:titlePg/>
          <w:docGrid w:linePitch="360"/>
        </w:sectPr>
      </w:pPr>
    </w:p>
    <w:p w14:paraId="48FC989E" w14:textId="77777777" w:rsidR="00DD5E3C" w:rsidRPr="00B57B36" w:rsidRDefault="00DD5E3C" w:rsidP="00DD5E3C">
      <w:pPr>
        <w:pStyle w:val="CETAcknowledgementstitle"/>
      </w:pPr>
      <w:r w:rsidRPr="00B57B36">
        <w:t>Acknowledgments</w:t>
      </w:r>
    </w:p>
    <w:p w14:paraId="1D77C349" w14:textId="7C2DFC78" w:rsidR="00DD5E3C" w:rsidRPr="00B57B36" w:rsidRDefault="00071D4B" w:rsidP="00DD5E3C">
      <w:pPr>
        <w:pStyle w:val="CETBodytext"/>
        <w:rPr>
          <w:lang w:val="en-GB"/>
        </w:rPr>
      </w:pPr>
      <w:r w:rsidRPr="003300C8">
        <w:t xml:space="preserve">This research was partially supported by JSPS KAKENHI (Nos. </w:t>
      </w:r>
      <w:r w:rsidRPr="00A27FBB">
        <w:t>18H03853</w:t>
      </w:r>
      <w:r>
        <w:t xml:space="preserve">, </w:t>
      </w:r>
      <w:r w:rsidRPr="003300C8">
        <w:t>19KK0127 and 21K14450) from the Japan Society for the Promotion of Science (JSPS)</w:t>
      </w:r>
      <w:r>
        <w:t>.</w:t>
      </w:r>
    </w:p>
    <w:p w14:paraId="168B91DA" w14:textId="77777777" w:rsidR="00DD5E3C" w:rsidRPr="00B57B36" w:rsidRDefault="00DD5E3C" w:rsidP="00DD5E3C">
      <w:pPr>
        <w:pStyle w:val="CETReference"/>
      </w:pPr>
      <w:r w:rsidRPr="00B57B36">
        <w:t>References</w:t>
      </w:r>
    </w:p>
    <w:p w14:paraId="16823DAB" w14:textId="77777777" w:rsidR="00434963" w:rsidRDefault="00434963" w:rsidP="00434963">
      <w:pPr>
        <w:pStyle w:val="CETBodytext"/>
        <w:rPr>
          <w:lang w:val="en-GB"/>
        </w:rPr>
      </w:pPr>
      <w:r>
        <w:rPr>
          <w:rFonts w:hint="eastAsia"/>
          <w:lang w:val="en-GB"/>
        </w:rPr>
        <w:t>A</w:t>
      </w:r>
      <w:r>
        <w:rPr>
          <w:lang w:val="en-GB"/>
        </w:rPr>
        <w:t xml:space="preserve">vila M., Kawas B., Fletcher D. F., </w:t>
      </w:r>
      <w:proofErr w:type="spellStart"/>
      <w:r>
        <w:rPr>
          <w:lang w:val="en-GB"/>
        </w:rPr>
        <w:t>Poux</w:t>
      </w:r>
      <w:proofErr w:type="spellEnd"/>
      <w:r>
        <w:rPr>
          <w:lang w:val="en-GB"/>
        </w:rPr>
        <w:t xml:space="preserve"> M., </w:t>
      </w:r>
      <w:proofErr w:type="spellStart"/>
      <w:r>
        <w:rPr>
          <w:lang w:val="en-GB"/>
        </w:rPr>
        <w:t>Xuereb</w:t>
      </w:r>
      <w:proofErr w:type="spellEnd"/>
      <w:r>
        <w:rPr>
          <w:lang w:val="en-GB"/>
        </w:rPr>
        <w:t xml:space="preserve"> C., Aubin J., 2022, </w:t>
      </w:r>
      <w:r w:rsidRPr="0058438B">
        <w:rPr>
          <w:lang w:val="en-GB"/>
        </w:rPr>
        <w:t>Design, performance characterization and applications of continuous oscillatory baffled reactors</w:t>
      </w:r>
      <w:r>
        <w:rPr>
          <w:lang w:val="en-GB"/>
        </w:rPr>
        <w:t>, Chemical Engineering and Processing – Process Intensification, 180, 108718.</w:t>
      </w:r>
    </w:p>
    <w:p w14:paraId="1D8477A7" w14:textId="77777777" w:rsidR="00434963" w:rsidRDefault="00434963" w:rsidP="00434963">
      <w:pPr>
        <w:pStyle w:val="CETBodytext"/>
        <w:rPr>
          <w:lang w:val="en-GB"/>
        </w:rPr>
      </w:pPr>
      <w:r w:rsidRPr="00325BF5">
        <w:rPr>
          <w:lang w:val="en-GB"/>
        </w:rPr>
        <w:t xml:space="preserve">Behr A., </w:t>
      </w:r>
      <w:proofErr w:type="spellStart"/>
      <w:r w:rsidRPr="00F7740D">
        <w:rPr>
          <w:lang w:val="en-GB"/>
        </w:rPr>
        <w:t>Färber</w:t>
      </w:r>
      <w:proofErr w:type="spellEnd"/>
      <w:r w:rsidRPr="00325BF5">
        <w:rPr>
          <w:lang w:val="en-GB"/>
        </w:rPr>
        <w:t xml:space="preserve"> T., 2015, Application of a Taylor-Couette </w:t>
      </w:r>
      <w:r>
        <w:rPr>
          <w:lang w:val="en-GB"/>
        </w:rPr>
        <w:t>r</w:t>
      </w:r>
      <w:r w:rsidRPr="00325BF5">
        <w:rPr>
          <w:lang w:val="en-GB"/>
        </w:rPr>
        <w:t xml:space="preserve">eactor in </w:t>
      </w:r>
      <w:r>
        <w:rPr>
          <w:lang w:val="en-GB"/>
        </w:rPr>
        <w:t>h</w:t>
      </w:r>
      <w:r w:rsidRPr="00325BF5">
        <w:rPr>
          <w:lang w:val="en-GB"/>
        </w:rPr>
        <w:t xml:space="preserve">omogeneous </w:t>
      </w:r>
      <w:r>
        <w:rPr>
          <w:lang w:val="en-GB"/>
        </w:rPr>
        <w:t>c</w:t>
      </w:r>
      <w:r w:rsidRPr="00325BF5">
        <w:rPr>
          <w:lang w:val="en-GB"/>
        </w:rPr>
        <w:t>atalysis, Chemical Engineering Transactions, 43, 835</w:t>
      </w:r>
      <w:r>
        <w:rPr>
          <w:lang w:val="en-GB"/>
        </w:rPr>
        <w:t>–</w:t>
      </w:r>
      <w:r w:rsidRPr="00325BF5">
        <w:rPr>
          <w:lang w:val="en-GB"/>
        </w:rPr>
        <w:t>840.</w:t>
      </w:r>
    </w:p>
    <w:p w14:paraId="57D70938" w14:textId="77777777" w:rsidR="00434963" w:rsidRDefault="00434963" w:rsidP="00434963">
      <w:pPr>
        <w:pStyle w:val="CETBodytext"/>
        <w:rPr>
          <w:lang w:val="en-GB"/>
        </w:rPr>
      </w:pPr>
      <w:proofErr w:type="spellStart"/>
      <w:r>
        <w:rPr>
          <w:rFonts w:hint="eastAsia"/>
          <w:lang w:val="en-GB"/>
        </w:rPr>
        <w:t>C</w:t>
      </w:r>
      <w:r>
        <w:rPr>
          <w:lang w:val="en-GB"/>
        </w:rPr>
        <w:t>arrrau</w:t>
      </w:r>
      <w:proofErr w:type="spellEnd"/>
      <w:r>
        <w:rPr>
          <w:lang w:val="en-GB"/>
        </w:rPr>
        <w:t xml:space="preserve"> P. J., 1972, </w:t>
      </w:r>
      <w:r w:rsidRPr="00132361">
        <w:rPr>
          <w:lang w:val="en-GB"/>
        </w:rPr>
        <w:t xml:space="preserve">Rheological </w:t>
      </w:r>
      <w:r>
        <w:rPr>
          <w:lang w:val="en-GB"/>
        </w:rPr>
        <w:t>e</w:t>
      </w:r>
      <w:r w:rsidRPr="00132361">
        <w:rPr>
          <w:lang w:val="en-GB"/>
        </w:rPr>
        <w:t xml:space="preserve">quations from </w:t>
      </w:r>
      <w:r>
        <w:rPr>
          <w:lang w:val="en-GB"/>
        </w:rPr>
        <w:t>m</w:t>
      </w:r>
      <w:r w:rsidRPr="00132361">
        <w:rPr>
          <w:lang w:val="en-GB"/>
        </w:rPr>
        <w:t xml:space="preserve">olecular </w:t>
      </w:r>
      <w:r>
        <w:rPr>
          <w:lang w:val="en-GB"/>
        </w:rPr>
        <w:t>n</w:t>
      </w:r>
      <w:r w:rsidRPr="00132361">
        <w:rPr>
          <w:lang w:val="en-GB"/>
        </w:rPr>
        <w:t xml:space="preserve">etwork </w:t>
      </w:r>
      <w:r>
        <w:rPr>
          <w:lang w:val="en-GB"/>
        </w:rPr>
        <w:t>t</w:t>
      </w:r>
      <w:r w:rsidRPr="00132361">
        <w:rPr>
          <w:lang w:val="en-GB"/>
        </w:rPr>
        <w:t>heories</w:t>
      </w:r>
      <w:r>
        <w:rPr>
          <w:lang w:val="en-GB"/>
        </w:rPr>
        <w:t>, Transactions of the Society of Rheology, 16, 99</w:t>
      </w:r>
      <w:r w:rsidRPr="00386AE6">
        <w:t>–</w:t>
      </w:r>
      <w:r>
        <w:rPr>
          <w:lang w:val="en-GB"/>
        </w:rPr>
        <w:t>127.</w:t>
      </w:r>
    </w:p>
    <w:p w14:paraId="6F898547" w14:textId="77777777" w:rsidR="00434963" w:rsidRDefault="00434963" w:rsidP="00434963">
      <w:pPr>
        <w:pStyle w:val="CETBodytext"/>
        <w:rPr>
          <w:lang w:val="en-GB"/>
        </w:rPr>
      </w:pPr>
      <w:proofErr w:type="spellStart"/>
      <w:r>
        <w:rPr>
          <w:rFonts w:hint="eastAsia"/>
          <w:lang w:val="en-GB"/>
        </w:rPr>
        <w:t>E</w:t>
      </w:r>
      <w:r>
        <w:rPr>
          <w:lang w:val="en-GB"/>
        </w:rPr>
        <w:t>scudier</w:t>
      </w:r>
      <w:proofErr w:type="spellEnd"/>
      <w:r>
        <w:rPr>
          <w:lang w:val="en-GB"/>
        </w:rPr>
        <w:t xml:space="preserve"> M. P., </w:t>
      </w:r>
      <w:proofErr w:type="spellStart"/>
      <w:r>
        <w:rPr>
          <w:lang w:val="en-GB"/>
        </w:rPr>
        <w:t>Gouldson</w:t>
      </w:r>
      <w:proofErr w:type="spellEnd"/>
      <w:r>
        <w:rPr>
          <w:lang w:val="en-GB"/>
        </w:rPr>
        <w:t xml:space="preserve"> I. W., </w:t>
      </w:r>
      <w:proofErr w:type="spellStart"/>
      <w:r>
        <w:rPr>
          <w:lang w:val="en-GB"/>
        </w:rPr>
        <w:t>Jone</w:t>
      </w:r>
      <w:proofErr w:type="spellEnd"/>
      <w:r>
        <w:rPr>
          <w:lang w:val="en-GB"/>
        </w:rPr>
        <w:t xml:space="preserve"> D. M., 1995, Taylor vortices in Newtonian and shear-thinning liquids, Proceedings of the Royal Society A, 449, 155</w:t>
      </w:r>
      <w:r w:rsidRPr="00386AE6">
        <w:t>–</w:t>
      </w:r>
      <w:r>
        <w:rPr>
          <w:lang w:val="en-GB"/>
        </w:rPr>
        <w:t>176.</w:t>
      </w:r>
    </w:p>
    <w:p w14:paraId="09CAF021" w14:textId="77777777" w:rsidR="00434963" w:rsidRDefault="00434963" w:rsidP="00434963">
      <w:pPr>
        <w:pStyle w:val="CETBodytext"/>
        <w:rPr>
          <w:lang w:val="en-GB"/>
        </w:rPr>
      </w:pPr>
      <w:proofErr w:type="spellStart"/>
      <w:r>
        <w:rPr>
          <w:rFonts w:hint="eastAsia"/>
          <w:lang w:val="en-GB"/>
        </w:rPr>
        <w:t>I</w:t>
      </w:r>
      <w:r>
        <w:rPr>
          <w:lang w:val="en-GB"/>
        </w:rPr>
        <w:t>wamura</w:t>
      </w:r>
      <w:proofErr w:type="spellEnd"/>
      <w:r>
        <w:rPr>
          <w:lang w:val="en-GB"/>
        </w:rPr>
        <w:t xml:space="preserve"> Y., </w:t>
      </w:r>
      <w:proofErr w:type="spellStart"/>
      <w:r>
        <w:rPr>
          <w:lang w:val="en-GB"/>
        </w:rPr>
        <w:t>Horie</w:t>
      </w:r>
      <w:proofErr w:type="spellEnd"/>
      <w:r>
        <w:rPr>
          <w:lang w:val="en-GB"/>
        </w:rPr>
        <w:t xml:space="preserve"> T., </w:t>
      </w:r>
      <w:proofErr w:type="spellStart"/>
      <w:r>
        <w:rPr>
          <w:lang w:val="en-GB"/>
        </w:rPr>
        <w:t>Watabe</w:t>
      </w:r>
      <w:proofErr w:type="spellEnd"/>
      <w:r>
        <w:rPr>
          <w:lang w:val="en-GB"/>
        </w:rPr>
        <w:t xml:space="preserve">, Y., Masuda H., Wang S., Hirai K., </w:t>
      </w:r>
      <w:proofErr w:type="spellStart"/>
      <w:r>
        <w:rPr>
          <w:lang w:val="en-GB"/>
        </w:rPr>
        <w:t>Kumagai</w:t>
      </w:r>
      <w:proofErr w:type="spellEnd"/>
      <w:r>
        <w:rPr>
          <w:lang w:val="en-GB"/>
        </w:rPr>
        <w:t xml:space="preserve"> N., Taniya K., Ichihashi Y., </w:t>
      </w:r>
      <w:proofErr w:type="spellStart"/>
      <w:r>
        <w:rPr>
          <w:lang w:val="en-GB"/>
        </w:rPr>
        <w:t>Komoda</w:t>
      </w:r>
      <w:proofErr w:type="spellEnd"/>
      <w:r>
        <w:rPr>
          <w:lang w:val="en-GB"/>
        </w:rPr>
        <w:t xml:space="preserve"> Y., Ohmura N., 2020, </w:t>
      </w:r>
      <w:r w:rsidRPr="0071193A">
        <w:rPr>
          <w:lang w:val="en-GB"/>
        </w:rPr>
        <w:t xml:space="preserve">Gas </w:t>
      </w:r>
      <w:r>
        <w:rPr>
          <w:lang w:val="en-GB"/>
        </w:rPr>
        <w:t>a</w:t>
      </w:r>
      <w:r w:rsidRPr="0071193A">
        <w:rPr>
          <w:lang w:val="en-GB"/>
        </w:rPr>
        <w:t xml:space="preserve">bsorption </w:t>
      </w:r>
      <w:r>
        <w:rPr>
          <w:lang w:val="en-GB"/>
        </w:rPr>
        <w:t>e</w:t>
      </w:r>
      <w:r w:rsidRPr="0071193A">
        <w:rPr>
          <w:lang w:val="en-GB"/>
        </w:rPr>
        <w:t xml:space="preserve">nhancement of </w:t>
      </w:r>
      <w:r>
        <w:rPr>
          <w:lang w:val="en-GB"/>
        </w:rPr>
        <w:t>s</w:t>
      </w:r>
      <w:r w:rsidRPr="0071193A">
        <w:rPr>
          <w:lang w:val="en-GB"/>
        </w:rPr>
        <w:t xml:space="preserve">lug </w:t>
      </w:r>
      <w:r>
        <w:rPr>
          <w:lang w:val="en-GB"/>
        </w:rPr>
        <w:t>f</w:t>
      </w:r>
      <w:r w:rsidRPr="0071193A">
        <w:rPr>
          <w:lang w:val="en-GB"/>
        </w:rPr>
        <w:t xml:space="preserve">low in the </w:t>
      </w:r>
      <w:r>
        <w:rPr>
          <w:lang w:val="en-GB"/>
        </w:rPr>
        <w:t>p</w:t>
      </w:r>
      <w:r w:rsidRPr="0071193A">
        <w:rPr>
          <w:lang w:val="en-GB"/>
        </w:rPr>
        <w:t xml:space="preserve">resence of </w:t>
      </w:r>
      <w:r>
        <w:rPr>
          <w:lang w:val="en-GB"/>
        </w:rPr>
        <w:t>n</w:t>
      </w:r>
      <w:r w:rsidRPr="0071193A">
        <w:rPr>
          <w:lang w:val="en-GB"/>
        </w:rPr>
        <w:t>on-</w:t>
      </w:r>
      <w:r>
        <w:rPr>
          <w:lang w:val="en-GB"/>
        </w:rPr>
        <w:t>p</w:t>
      </w:r>
      <w:r w:rsidRPr="0071193A">
        <w:rPr>
          <w:lang w:val="en-GB"/>
        </w:rPr>
        <w:t xml:space="preserve">orous </w:t>
      </w:r>
      <w:r>
        <w:rPr>
          <w:lang w:val="en-GB"/>
        </w:rPr>
        <w:t>s</w:t>
      </w:r>
      <w:r w:rsidRPr="0071193A">
        <w:rPr>
          <w:lang w:val="en-GB"/>
        </w:rPr>
        <w:t xml:space="preserve">ilica </w:t>
      </w:r>
      <w:r>
        <w:rPr>
          <w:lang w:val="en-GB"/>
        </w:rPr>
        <w:t>f</w:t>
      </w:r>
      <w:r w:rsidRPr="0071193A">
        <w:rPr>
          <w:lang w:val="en-GB"/>
        </w:rPr>
        <w:t xml:space="preserve">ine </w:t>
      </w:r>
      <w:r>
        <w:rPr>
          <w:lang w:val="en-GB"/>
        </w:rPr>
        <w:t>p</w:t>
      </w:r>
      <w:r w:rsidRPr="0071193A">
        <w:rPr>
          <w:lang w:val="en-GB"/>
        </w:rPr>
        <w:t>articles</w:t>
      </w:r>
      <w:r>
        <w:rPr>
          <w:lang w:val="en-GB"/>
        </w:rPr>
        <w:t>, Journal of Chemical Engineering of Japan, 53, 409</w:t>
      </w:r>
      <w:r w:rsidRPr="00386AE6">
        <w:t>–</w:t>
      </w:r>
      <w:r>
        <w:rPr>
          <w:lang w:val="en-GB"/>
        </w:rPr>
        <w:t>413.</w:t>
      </w:r>
    </w:p>
    <w:p w14:paraId="227508F0" w14:textId="77777777" w:rsidR="00434963" w:rsidRDefault="00434963" w:rsidP="00434963">
      <w:pPr>
        <w:pStyle w:val="CETBodytext"/>
      </w:pPr>
      <w:r>
        <w:rPr>
          <w:rFonts w:hint="eastAsia"/>
          <w:lang w:val="en-GB"/>
        </w:rPr>
        <w:t>K</w:t>
      </w:r>
      <w:r>
        <w:rPr>
          <w:lang w:val="en-GB"/>
        </w:rPr>
        <w:t xml:space="preserve">ataoka K., Ohmura N., </w:t>
      </w:r>
      <w:proofErr w:type="spellStart"/>
      <w:r>
        <w:rPr>
          <w:lang w:val="en-GB"/>
        </w:rPr>
        <w:t>Kouzu</w:t>
      </w:r>
      <w:proofErr w:type="spellEnd"/>
      <w:r>
        <w:rPr>
          <w:lang w:val="en-GB"/>
        </w:rPr>
        <w:t xml:space="preserve"> M., </w:t>
      </w:r>
      <w:proofErr w:type="spellStart"/>
      <w:r>
        <w:rPr>
          <w:lang w:val="en-GB"/>
        </w:rPr>
        <w:t>Simamura</w:t>
      </w:r>
      <w:proofErr w:type="spellEnd"/>
      <w:r>
        <w:rPr>
          <w:lang w:val="en-GB"/>
        </w:rPr>
        <w:t xml:space="preserve"> Y., Okubo M., 1995, </w:t>
      </w:r>
      <w:r w:rsidRPr="005332E9">
        <w:t>Emulsion polymerization of styrene in a continuous Taylor vortex flow reactor</w:t>
      </w:r>
      <w:r>
        <w:t>, Chemical Engineering Science, 50, 1409</w:t>
      </w:r>
      <w:r w:rsidRPr="00386AE6">
        <w:t>–</w:t>
      </w:r>
      <w:r>
        <w:t>1413, 1415</w:t>
      </w:r>
      <w:r w:rsidRPr="00386AE6">
        <w:t>–</w:t>
      </w:r>
      <w:r>
        <w:t>1416.</w:t>
      </w:r>
    </w:p>
    <w:p w14:paraId="7EE4B32E" w14:textId="77777777" w:rsidR="00434963" w:rsidRDefault="00434963" w:rsidP="00434963">
      <w:pPr>
        <w:pStyle w:val="CETBodytext"/>
        <w:rPr>
          <w:lang w:val="en-GB"/>
        </w:rPr>
      </w:pPr>
      <w:r>
        <w:rPr>
          <w:rFonts w:hint="eastAsia"/>
        </w:rPr>
        <w:t>K</w:t>
      </w:r>
      <w:r>
        <w:t xml:space="preserve">ataoka K., 1999, </w:t>
      </w:r>
      <w:r w:rsidRPr="00552EF3">
        <w:rPr>
          <w:rFonts w:hint="eastAsia"/>
          <w:lang w:val="en-GB"/>
        </w:rPr>
        <w:t xml:space="preserve">Emergent </w:t>
      </w:r>
      <w:r>
        <w:rPr>
          <w:lang w:val="en-GB"/>
        </w:rPr>
        <w:t>s</w:t>
      </w:r>
      <w:r w:rsidRPr="00552EF3">
        <w:rPr>
          <w:rFonts w:hint="eastAsia"/>
          <w:lang w:val="en-GB"/>
        </w:rPr>
        <w:t xml:space="preserve">ynthesis of </w:t>
      </w:r>
      <w:r>
        <w:rPr>
          <w:lang w:val="en-GB"/>
        </w:rPr>
        <w:t>n</w:t>
      </w:r>
      <w:r w:rsidRPr="00552EF3">
        <w:rPr>
          <w:rFonts w:hint="eastAsia"/>
          <w:lang w:val="en-GB"/>
        </w:rPr>
        <w:t xml:space="preserve">onlinear </w:t>
      </w:r>
      <w:r>
        <w:rPr>
          <w:lang w:val="en-GB"/>
        </w:rPr>
        <w:t>p</w:t>
      </w:r>
      <w:r w:rsidRPr="00552EF3">
        <w:rPr>
          <w:rFonts w:hint="eastAsia"/>
          <w:lang w:val="en-GB"/>
        </w:rPr>
        <w:t xml:space="preserve">henomena in </w:t>
      </w:r>
      <w:r>
        <w:rPr>
          <w:lang w:val="en-GB"/>
        </w:rPr>
        <w:t>c</w:t>
      </w:r>
      <w:r w:rsidRPr="00552EF3">
        <w:rPr>
          <w:rFonts w:hint="eastAsia"/>
          <w:lang w:val="en-GB"/>
        </w:rPr>
        <w:t xml:space="preserve">omplex </w:t>
      </w:r>
      <w:r>
        <w:rPr>
          <w:lang w:val="en-GB"/>
        </w:rPr>
        <w:t>c</w:t>
      </w:r>
      <w:r w:rsidRPr="00552EF3">
        <w:rPr>
          <w:rFonts w:hint="eastAsia"/>
          <w:lang w:val="en-GB"/>
        </w:rPr>
        <w:t xml:space="preserve">hemical </w:t>
      </w:r>
      <w:r>
        <w:rPr>
          <w:lang w:val="en-GB"/>
        </w:rPr>
        <w:t>p</w:t>
      </w:r>
      <w:r w:rsidRPr="00552EF3">
        <w:rPr>
          <w:rFonts w:hint="eastAsia"/>
          <w:lang w:val="en-GB"/>
        </w:rPr>
        <w:t xml:space="preserve">rocesses and </w:t>
      </w:r>
      <w:r>
        <w:rPr>
          <w:lang w:val="en-GB"/>
        </w:rPr>
        <w:t>s</w:t>
      </w:r>
      <w:r w:rsidRPr="00552EF3">
        <w:rPr>
          <w:rFonts w:hint="eastAsia"/>
          <w:lang w:val="en-GB"/>
        </w:rPr>
        <w:t>ystems</w:t>
      </w:r>
      <w:r>
        <w:rPr>
          <w:lang w:val="en-GB"/>
        </w:rPr>
        <w:t xml:space="preserve">, Kagaku Kogaku </w:t>
      </w:r>
      <w:proofErr w:type="spellStart"/>
      <w:r>
        <w:rPr>
          <w:lang w:val="en-GB"/>
        </w:rPr>
        <w:t>Ronbunshu</w:t>
      </w:r>
      <w:proofErr w:type="spellEnd"/>
      <w:r>
        <w:rPr>
          <w:lang w:val="en-GB"/>
        </w:rPr>
        <w:t>, 25, 501</w:t>
      </w:r>
      <w:r w:rsidRPr="00386AE6">
        <w:t>–</w:t>
      </w:r>
      <w:r>
        <w:rPr>
          <w:lang w:val="en-GB"/>
        </w:rPr>
        <w:t>509.</w:t>
      </w:r>
    </w:p>
    <w:p w14:paraId="69C8BAE5" w14:textId="77777777" w:rsidR="00434963" w:rsidRDefault="00434963" w:rsidP="00434963">
      <w:pPr>
        <w:pStyle w:val="CETBodytext"/>
        <w:rPr>
          <w:lang w:val="en-GB"/>
        </w:rPr>
      </w:pPr>
      <w:r>
        <w:rPr>
          <w:rFonts w:hint="eastAsia"/>
          <w:lang w:val="en-GB"/>
        </w:rPr>
        <w:t>M</w:t>
      </w:r>
      <w:r>
        <w:rPr>
          <w:lang w:val="en-GB"/>
        </w:rPr>
        <w:t xml:space="preserve">asuda H., </w:t>
      </w:r>
      <w:proofErr w:type="spellStart"/>
      <w:r>
        <w:rPr>
          <w:lang w:val="en-GB"/>
        </w:rPr>
        <w:t>Horie</w:t>
      </w:r>
      <w:proofErr w:type="spellEnd"/>
      <w:r>
        <w:rPr>
          <w:lang w:val="en-GB"/>
        </w:rPr>
        <w:t xml:space="preserve"> T., </w:t>
      </w:r>
      <w:proofErr w:type="spellStart"/>
      <w:r>
        <w:rPr>
          <w:lang w:val="en-GB"/>
        </w:rPr>
        <w:t>Hubacz</w:t>
      </w:r>
      <w:proofErr w:type="spellEnd"/>
      <w:r>
        <w:rPr>
          <w:lang w:val="en-GB"/>
        </w:rPr>
        <w:t xml:space="preserve"> R., Ohmura N., 2013, </w:t>
      </w:r>
      <w:r w:rsidRPr="00F512EB">
        <w:rPr>
          <w:lang w:val="en-GB"/>
        </w:rPr>
        <w:t>Process intensification of continuous starch hydrolysis with a Couette-Taylor flow reactor</w:t>
      </w:r>
      <w:r>
        <w:rPr>
          <w:lang w:val="en-GB"/>
        </w:rPr>
        <w:t>, Chemical Engineering Research &amp; Design, 91, 2259</w:t>
      </w:r>
      <w:r w:rsidRPr="00386AE6">
        <w:t>–</w:t>
      </w:r>
      <w:r>
        <w:rPr>
          <w:lang w:val="en-GB"/>
        </w:rPr>
        <w:t>2264.</w:t>
      </w:r>
    </w:p>
    <w:p w14:paraId="54B6E0EC" w14:textId="77777777" w:rsidR="00434963" w:rsidRDefault="00434963" w:rsidP="00434963">
      <w:pPr>
        <w:pStyle w:val="CETBodytext"/>
        <w:rPr>
          <w:lang w:val="en-GB"/>
        </w:rPr>
      </w:pPr>
      <w:r>
        <w:rPr>
          <w:lang w:val="en-GB"/>
        </w:rPr>
        <w:t xml:space="preserve">Masuda H., </w:t>
      </w:r>
      <w:proofErr w:type="spellStart"/>
      <w:r>
        <w:rPr>
          <w:lang w:val="en-GB"/>
        </w:rPr>
        <w:t>Horie</w:t>
      </w:r>
      <w:proofErr w:type="spellEnd"/>
      <w:r>
        <w:rPr>
          <w:lang w:val="en-GB"/>
        </w:rPr>
        <w:t xml:space="preserve"> T., </w:t>
      </w:r>
      <w:proofErr w:type="spellStart"/>
      <w:r>
        <w:rPr>
          <w:lang w:val="en-GB"/>
        </w:rPr>
        <w:t>Hubacz</w:t>
      </w:r>
      <w:proofErr w:type="spellEnd"/>
      <w:r>
        <w:rPr>
          <w:lang w:val="en-GB"/>
        </w:rPr>
        <w:t xml:space="preserve"> R., Ohmura N., </w:t>
      </w:r>
      <w:proofErr w:type="spellStart"/>
      <w:r>
        <w:rPr>
          <w:lang w:val="en-GB"/>
        </w:rPr>
        <w:t>Shimoyamada</w:t>
      </w:r>
      <w:proofErr w:type="spellEnd"/>
      <w:r>
        <w:rPr>
          <w:lang w:val="en-GB"/>
        </w:rPr>
        <w:t xml:space="preserve"> M., 2017a, </w:t>
      </w:r>
      <w:r w:rsidRPr="003874B9">
        <w:rPr>
          <w:lang w:val="en-GB"/>
        </w:rPr>
        <w:t>Process development of starch hydrolysis using mixing characteristics of Taylor vortices</w:t>
      </w:r>
      <w:r>
        <w:rPr>
          <w:lang w:val="en-GB"/>
        </w:rPr>
        <w:t>, Bioscience, Biotechnology, and Biochemistry, 81, 755</w:t>
      </w:r>
      <w:r w:rsidRPr="00386AE6">
        <w:t>–</w:t>
      </w:r>
      <w:r>
        <w:rPr>
          <w:lang w:val="en-GB"/>
        </w:rPr>
        <w:t>761.</w:t>
      </w:r>
    </w:p>
    <w:p w14:paraId="06DF8FA3" w14:textId="77777777" w:rsidR="00434963" w:rsidRPr="00EE64B5" w:rsidRDefault="00434963" w:rsidP="00434963">
      <w:pPr>
        <w:pStyle w:val="CETBodytext"/>
        <w:rPr>
          <w:lang w:eastAsia="ja-JP"/>
        </w:rPr>
      </w:pPr>
      <w:r>
        <w:rPr>
          <w:lang w:eastAsia="ja-JP"/>
        </w:rPr>
        <w:t xml:space="preserve">Masuda H., </w:t>
      </w:r>
      <w:proofErr w:type="spellStart"/>
      <w:r>
        <w:rPr>
          <w:lang w:eastAsia="ja-JP"/>
        </w:rPr>
        <w:t>Horie</w:t>
      </w:r>
      <w:proofErr w:type="spellEnd"/>
      <w:r>
        <w:rPr>
          <w:lang w:eastAsia="ja-JP"/>
        </w:rPr>
        <w:t xml:space="preserve"> T., </w:t>
      </w:r>
      <w:proofErr w:type="spellStart"/>
      <w:r>
        <w:rPr>
          <w:lang w:eastAsia="ja-JP"/>
        </w:rPr>
        <w:t>Hubacz</w:t>
      </w:r>
      <w:proofErr w:type="spellEnd"/>
      <w:r>
        <w:rPr>
          <w:lang w:eastAsia="ja-JP"/>
        </w:rPr>
        <w:t xml:space="preserve"> R., </w:t>
      </w:r>
      <w:proofErr w:type="spellStart"/>
      <w:r>
        <w:rPr>
          <w:lang w:eastAsia="ja-JP"/>
        </w:rPr>
        <w:t>Ohta</w:t>
      </w:r>
      <w:proofErr w:type="spellEnd"/>
      <w:r>
        <w:rPr>
          <w:lang w:eastAsia="ja-JP"/>
        </w:rPr>
        <w:t xml:space="preserve"> M., Ohmura N., 2017b, </w:t>
      </w:r>
      <w:r w:rsidRPr="00220939">
        <w:rPr>
          <w:lang w:eastAsia="ja-JP"/>
        </w:rPr>
        <w:t>Prediction of onset of Taylor-Couette instability for shear-thinning fluids</w:t>
      </w:r>
      <w:r>
        <w:rPr>
          <w:lang w:eastAsia="ja-JP"/>
        </w:rPr>
        <w:t xml:space="preserve">, </w:t>
      </w:r>
      <w:proofErr w:type="spellStart"/>
      <w:r>
        <w:rPr>
          <w:lang w:eastAsia="ja-JP"/>
        </w:rPr>
        <w:t>Rheologica</w:t>
      </w:r>
      <w:proofErr w:type="spellEnd"/>
      <w:r>
        <w:rPr>
          <w:lang w:eastAsia="ja-JP"/>
        </w:rPr>
        <w:t xml:space="preserve"> Acta, 56, 73</w:t>
      </w:r>
      <w:r w:rsidRPr="00386AE6">
        <w:t>–</w:t>
      </w:r>
      <w:r>
        <w:rPr>
          <w:lang w:eastAsia="ja-JP"/>
        </w:rPr>
        <w:t>84.</w:t>
      </w:r>
    </w:p>
    <w:p w14:paraId="499601C8" w14:textId="77777777" w:rsidR="00434963" w:rsidRPr="00A24B4C" w:rsidRDefault="00434963" w:rsidP="00434963">
      <w:pPr>
        <w:pStyle w:val="CETBodytext"/>
      </w:pPr>
      <w:r>
        <w:rPr>
          <w:rFonts w:hint="eastAsia"/>
          <w:lang w:val="en-GB"/>
        </w:rPr>
        <w:t>M</w:t>
      </w:r>
      <w:r>
        <w:rPr>
          <w:lang w:val="en-GB"/>
        </w:rPr>
        <w:t xml:space="preserve">asuda H., </w:t>
      </w:r>
      <w:proofErr w:type="spellStart"/>
      <w:r>
        <w:rPr>
          <w:lang w:val="en-GB"/>
        </w:rPr>
        <w:t>Shimoyamada</w:t>
      </w:r>
      <w:proofErr w:type="spellEnd"/>
      <w:r>
        <w:rPr>
          <w:lang w:val="en-GB"/>
        </w:rPr>
        <w:t xml:space="preserve"> M., Ohmura, N., 2019, </w:t>
      </w:r>
      <w:r w:rsidRPr="00A24B4C">
        <w:t>Heat transfer characteristics of Taylor vortex flow with shear-thinning fluids</w:t>
      </w:r>
      <w:r>
        <w:t>, International Journal of Heat and Mass Transfer, 130, 274</w:t>
      </w:r>
      <w:r w:rsidRPr="00386AE6">
        <w:t>–</w:t>
      </w:r>
      <w:r>
        <w:t>281.</w:t>
      </w:r>
    </w:p>
    <w:p w14:paraId="1ACF3DE2" w14:textId="01C615DC" w:rsidR="00434963" w:rsidRDefault="00434963" w:rsidP="00434963">
      <w:pPr>
        <w:pStyle w:val="CETBodytext"/>
      </w:pPr>
      <w:r>
        <w:rPr>
          <w:lang w:val="en-GB"/>
        </w:rPr>
        <w:t xml:space="preserve">Matsumoto M., Masuda H., </w:t>
      </w:r>
      <w:proofErr w:type="spellStart"/>
      <w:r>
        <w:rPr>
          <w:lang w:val="en-GB"/>
        </w:rPr>
        <w:t>Hubacz</w:t>
      </w:r>
      <w:proofErr w:type="spellEnd"/>
      <w:r>
        <w:rPr>
          <w:lang w:val="en-GB"/>
        </w:rPr>
        <w:t xml:space="preserve"> R., </w:t>
      </w:r>
      <w:proofErr w:type="spellStart"/>
      <w:r>
        <w:rPr>
          <w:lang w:val="en-GB"/>
        </w:rPr>
        <w:t>Horie</w:t>
      </w:r>
      <w:proofErr w:type="spellEnd"/>
      <w:r>
        <w:rPr>
          <w:lang w:val="en-GB"/>
        </w:rPr>
        <w:t xml:space="preserve"> T., </w:t>
      </w:r>
      <w:proofErr w:type="spellStart"/>
      <w:r>
        <w:rPr>
          <w:lang w:val="en-GB"/>
        </w:rPr>
        <w:t>Iyota</w:t>
      </w:r>
      <w:proofErr w:type="spellEnd"/>
      <w:r>
        <w:rPr>
          <w:lang w:val="en-GB"/>
        </w:rPr>
        <w:t xml:space="preserve"> H., </w:t>
      </w:r>
      <w:proofErr w:type="spellStart"/>
      <w:r>
        <w:rPr>
          <w:lang w:val="en-GB"/>
        </w:rPr>
        <w:t>Shimoyamada</w:t>
      </w:r>
      <w:proofErr w:type="spellEnd"/>
      <w:r>
        <w:rPr>
          <w:lang w:val="en-GB"/>
        </w:rPr>
        <w:t xml:space="preserve"> M., Ohmura N., </w:t>
      </w:r>
      <w:r w:rsidR="00CC520E">
        <w:rPr>
          <w:lang w:val="en-GB"/>
        </w:rPr>
        <w:t>202</w:t>
      </w:r>
      <w:r w:rsidR="00D813B6">
        <w:rPr>
          <w:lang w:val="en-GB"/>
        </w:rPr>
        <w:t>1</w:t>
      </w:r>
      <w:r w:rsidR="00CC520E">
        <w:rPr>
          <w:lang w:val="en-GB"/>
        </w:rPr>
        <w:t xml:space="preserve">, </w:t>
      </w:r>
      <w:r w:rsidRPr="000B0672">
        <w:t>Enzymatic starch hydrolysis performance of Taylor-Couette flow reactor with ribbed inner cylinder</w:t>
      </w:r>
      <w:r>
        <w:t>, Chemical Engineering Science, 231, 116270.</w:t>
      </w:r>
    </w:p>
    <w:p w14:paraId="1B85D3FB" w14:textId="0F1CD069" w:rsidR="00434963" w:rsidRDefault="00434963" w:rsidP="00434963">
      <w:pPr>
        <w:pStyle w:val="CETBodytext"/>
      </w:pPr>
      <w:proofErr w:type="spellStart"/>
      <w:r>
        <w:rPr>
          <w:rFonts w:hint="eastAsia"/>
        </w:rPr>
        <w:t>N</w:t>
      </w:r>
      <w:r>
        <w:t>emri</w:t>
      </w:r>
      <w:proofErr w:type="spellEnd"/>
      <w:r>
        <w:t xml:space="preserve"> M., </w:t>
      </w:r>
      <w:proofErr w:type="spellStart"/>
      <w:r>
        <w:t>Charton</w:t>
      </w:r>
      <w:proofErr w:type="spellEnd"/>
      <w:r>
        <w:t xml:space="preserve"> S., </w:t>
      </w:r>
      <w:proofErr w:type="spellStart"/>
      <w:r>
        <w:t>Climent</w:t>
      </w:r>
      <w:proofErr w:type="spellEnd"/>
      <w:r>
        <w:t xml:space="preserve"> E., 2016, </w:t>
      </w:r>
      <w:r w:rsidRPr="00990C31">
        <w:t>Mixing and axial dispersion in Taylor–Couette flows: The effect of the flow regime</w:t>
      </w:r>
      <w:r>
        <w:t>, Chemical Engineering Science, 139, 109</w:t>
      </w:r>
      <w:r w:rsidRPr="00386AE6">
        <w:t>–</w:t>
      </w:r>
      <w:r>
        <w:t>124.</w:t>
      </w:r>
    </w:p>
    <w:p w14:paraId="78220598" w14:textId="77777777" w:rsidR="00434963" w:rsidRPr="004E44BE" w:rsidRDefault="00434963" w:rsidP="00434963">
      <w:pPr>
        <w:pStyle w:val="CETBodytext"/>
      </w:pPr>
      <w:r>
        <w:rPr>
          <w:rFonts w:hint="eastAsia"/>
        </w:rPr>
        <w:t>O</w:t>
      </w:r>
      <w:r>
        <w:t xml:space="preserve">hmura N., Makino T., </w:t>
      </w:r>
      <w:proofErr w:type="spellStart"/>
      <w:r>
        <w:t>Motomura</w:t>
      </w:r>
      <w:proofErr w:type="spellEnd"/>
      <w:r>
        <w:t xml:space="preserve"> A., Shibata Y., Kataoka K., 1998, </w:t>
      </w:r>
      <w:r w:rsidRPr="00C84CC0">
        <w:t xml:space="preserve">Intercellular mass transfer in wavy/turbulent Taylor vortex </w:t>
      </w:r>
      <w:r>
        <w:t>fl</w:t>
      </w:r>
      <w:r w:rsidRPr="00C84CC0">
        <w:t>ow</w:t>
      </w:r>
      <w:r>
        <w:t>, International Journal of Heat and Fluid Flow, 19, 159</w:t>
      </w:r>
      <w:r w:rsidRPr="00386AE6">
        <w:t>–</w:t>
      </w:r>
      <w:r>
        <w:t>166.</w:t>
      </w:r>
    </w:p>
    <w:p w14:paraId="6F97B53A" w14:textId="77777777" w:rsidR="00434963" w:rsidRDefault="00434963" w:rsidP="00434963">
      <w:pPr>
        <w:pStyle w:val="CETBodytext"/>
        <w:rPr>
          <w:lang w:val="en-GB"/>
        </w:rPr>
      </w:pPr>
      <w:r>
        <w:rPr>
          <w:rFonts w:hint="eastAsia"/>
          <w:lang w:val="en-GB"/>
        </w:rPr>
        <w:t>T</w:t>
      </w:r>
      <w:r>
        <w:rPr>
          <w:lang w:val="en-GB"/>
        </w:rPr>
        <w:t>aylor G. I., 1923, Stability of a viscous liquid contained between two rotating cylinders, Philosophical Transactions of the Royal Society, 223, 289</w:t>
      </w:r>
      <w:r w:rsidRPr="00386AE6">
        <w:t>–</w:t>
      </w:r>
      <w:r>
        <w:rPr>
          <w:lang w:val="en-GB"/>
        </w:rPr>
        <w:t>343.</w:t>
      </w:r>
    </w:p>
    <w:sectPr w:rsidR="0043496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16AA" w14:textId="77777777" w:rsidR="004D1601" w:rsidRDefault="004D1601" w:rsidP="004F5E36">
      <w:r>
        <w:separator/>
      </w:r>
    </w:p>
  </w:endnote>
  <w:endnote w:type="continuationSeparator" w:id="0">
    <w:p w14:paraId="42EE338E" w14:textId="77777777" w:rsidR="004D1601" w:rsidRDefault="004D160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00"/>
    <w:family w:val="auto"/>
    <w:notTrueType/>
    <w:pitch w:val="default"/>
    <w:sig w:usb0="00000003" w:usb1="00000000" w:usb2="00000000" w:usb3="00000000" w:csb0="00000001" w:csb1="00000000"/>
  </w:font>
  <w:font w:name="Times New Roman (本文のフォント - コンプレ">
    <w:altName w:val="ＭＳ 明朝"/>
    <w:panose1 w:val="020B0604020202020204"/>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DCE7" w14:textId="77777777" w:rsidR="004D1601" w:rsidRDefault="004D1601" w:rsidP="004F5E36">
      <w:r>
        <w:separator/>
      </w:r>
    </w:p>
  </w:footnote>
  <w:footnote w:type="continuationSeparator" w:id="0">
    <w:p w14:paraId="67438A47" w14:textId="77777777" w:rsidR="004D1601" w:rsidRDefault="004D160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B8E58B3"/>
    <w:multiLevelType w:val="hybridMultilevel"/>
    <w:tmpl w:val="181A26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2501796">
    <w:abstractNumId w:val="11"/>
  </w:num>
  <w:num w:numId="2" w16cid:durableId="1747654785">
    <w:abstractNumId w:val="8"/>
  </w:num>
  <w:num w:numId="3" w16cid:durableId="89202424">
    <w:abstractNumId w:val="3"/>
  </w:num>
  <w:num w:numId="4" w16cid:durableId="1041130861">
    <w:abstractNumId w:val="2"/>
  </w:num>
  <w:num w:numId="5" w16cid:durableId="2141606700">
    <w:abstractNumId w:val="1"/>
  </w:num>
  <w:num w:numId="6" w16cid:durableId="723062889">
    <w:abstractNumId w:val="0"/>
  </w:num>
  <w:num w:numId="7" w16cid:durableId="867109932">
    <w:abstractNumId w:val="9"/>
  </w:num>
  <w:num w:numId="8" w16cid:durableId="376122652">
    <w:abstractNumId w:val="7"/>
  </w:num>
  <w:num w:numId="9" w16cid:durableId="1600674932">
    <w:abstractNumId w:val="6"/>
  </w:num>
  <w:num w:numId="10" w16cid:durableId="1411200451">
    <w:abstractNumId w:val="5"/>
  </w:num>
  <w:num w:numId="11" w16cid:durableId="1993826946">
    <w:abstractNumId w:val="4"/>
  </w:num>
  <w:num w:numId="12" w16cid:durableId="166018807">
    <w:abstractNumId w:val="18"/>
  </w:num>
  <w:num w:numId="13" w16cid:durableId="548146920">
    <w:abstractNumId w:val="13"/>
  </w:num>
  <w:num w:numId="14" w16cid:durableId="1370882142">
    <w:abstractNumId w:val="19"/>
  </w:num>
  <w:num w:numId="15" w16cid:durableId="1038355523">
    <w:abstractNumId w:val="21"/>
  </w:num>
  <w:num w:numId="16" w16cid:durableId="777405874">
    <w:abstractNumId w:val="20"/>
  </w:num>
  <w:num w:numId="17" w16cid:durableId="1249850669">
    <w:abstractNumId w:val="12"/>
  </w:num>
  <w:num w:numId="18" w16cid:durableId="1510368388">
    <w:abstractNumId w:val="13"/>
    <w:lvlOverride w:ilvl="0">
      <w:startOverride w:val="1"/>
    </w:lvlOverride>
  </w:num>
  <w:num w:numId="19" w16cid:durableId="1804690206">
    <w:abstractNumId w:val="17"/>
  </w:num>
  <w:num w:numId="20" w16cid:durableId="2042127698">
    <w:abstractNumId w:val="16"/>
  </w:num>
  <w:num w:numId="21" w16cid:durableId="1992368899">
    <w:abstractNumId w:val="15"/>
  </w:num>
  <w:num w:numId="22" w16cid:durableId="1355107180">
    <w:abstractNumId w:val="14"/>
  </w:num>
  <w:num w:numId="23" w16cid:durableId="20473680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7C"/>
    <w:rsid w:val="000027C0"/>
    <w:rsid w:val="00002FAD"/>
    <w:rsid w:val="00004C84"/>
    <w:rsid w:val="000052FB"/>
    <w:rsid w:val="00006D27"/>
    <w:rsid w:val="000117CB"/>
    <w:rsid w:val="00013F09"/>
    <w:rsid w:val="00015176"/>
    <w:rsid w:val="000174F5"/>
    <w:rsid w:val="000234B7"/>
    <w:rsid w:val="000242C9"/>
    <w:rsid w:val="00025976"/>
    <w:rsid w:val="0003148D"/>
    <w:rsid w:val="00031EEC"/>
    <w:rsid w:val="00041684"/>
    <w:rsid w:val="00046222"/>
    <w:rsid w:val="00046CA7"/>
    <w:rsid w:val="00050119"/>
    <w:rsid w:val="00051566"/>
    <w:rsid w:val="00052204"/>
    <w:rsid w:val="00052C1A"/>
    <w:rsid w:val="000562A9"/>
    <w:rsid w:val="00061988"/>
    <w:rsid w:val="00062A9A"/>
    <w:rsid w:val="00064A06"/>
    <w:rsid w:val="00065058"/>
    <w:rsid w:val="00066223"/>
    <w:rsid w:val="00071D4B"/>
    <w:rsid w:val="00072A41"/>
    <w:rsid w:val="000763A5"/>
    <w:rsid w:val="00076D43"/>
    <w:rsid w:val="00080574"/>
    <w:rsid w:val="000809D2"/>
    <w:rsid w:val="00085E06"/>
    <w:rsid w:val="000867E5"/>
    <w:rsid w:val="00086C39"/>
    <w:rsid w:val="000A03B2"/>
    <w:rsid w:val="000A0556"/>
    <w:rsid w:val="000A5013"/>
    <w:rsid w:val="000A73B1"/>
    <w:rsid w:val="000B0672"/>
    <w:rsid w:val="000B48D6"/>
    <w:rsid w:val="000B6F31"/>
    <w:rsid w:val="000C546F"/>
    <w:rsid w:val="000C5ABA"/>
    <w:rsid w:val="000D0268"/>
    <w:rsid w:val="000D0D76"/>
    <w:rsid w:val="000D34BE"/>
    <w:rsid w:val="000D52BB"/>
    <w:rsid w:val="000E0817"/>
    <w:rsid w:val="000E102F"/>
    <w:rsid w:val="000E309B"/>
    <w:rsid w:val="000E36F1"/>
    <w:rsid w:val="000E3A73"/>
    <w:rsid w:val="000E414A"/>
    <w:rsid w:val="000E4FD8"/>
    <w:rsid w:val="000E58CA"/>
    <w:rsid w:val="000E7723"/>
    <w:rsid w:val="000E789F"/>
    <w:rsid w:val="000F093C"/>
    <w:rsid w:val="000F1B54"/>
    <w:rsid w:val="000F1CEC"/>
    <w:rsid w:val="000F75D1"/>
    <w:rsid w:val="000F787B"/>
    <w:rsid w:val="00112B3D"/>
    <w:rsid w:val="00114D33"/>
    <w:rsid w:val="0012091F"/>
    <w:rsid w:val="001243E0"/>
    <w:rsid w:val="00126BC2"/>
    <w:rsid w:val="001308B6"/>
    <w:rsid w:val="0013121F"/>
    <w:rsid w:val="00131FE6"/>
    <w:rsid w:val="00132361"/>
    <w:rsid w:val="0013263F"/>
    <w:rsid w:val="001331DF"/>
    <w:rsid w:val="00134DE4"/>
    <w:rsid w:val="0014034D"/>
    <w:rsid w:val="00140BE8"/>
    <w:rsid w:val="001418B1"/>
    <w:rsid w:val="00144D16"/>
    <w:rsid w:val="00145AE7"/>
    <w:rsid w:val="00146783"/>
    <w:rsid w:val="00150E59"/>
    <w:rsid w:val="0015121E"/>
    <w:rsid w:val="00152DE3"/>
    <w:rsid w:val="0015652B"/>
    <w:rsid w:val="00156DE2"/>
    <w:rsid w:val="00164CF9"/>
    <w:rsid w:val="00164EE5"/>
    <w:rsid w:val="001667A6"/>
    <w:rsid w:val="0017283D"/>
    <w:rsid w:val="00173D64"/>
    <w:rsid w:val="00184AD6"/>
    <w:rsid w:val="001856AE"/>
    <w:rsid w:val="00187530"/>
    <w:rsid w:val="00187ECF"/>
    <w:rsid w:val="00190966"/>
    <w:rsid w:val="00191C09"/>
    <w:rsid w:val="001924F4"/>
    <w:rsid w:val="001970F8"/>
    <w:rsid w:val="001976BE"/>
    <w:rsid w:val="001A007A"/>
    <w:rsid w:val="001A4AF7"/>
    <w:rsid w:val="001B0349"/>
    <w:rsid w:val="001B1E93"/>
    <w:rsid w:val="001B65C1"/>
    <w:rsid w:val="001B69C5"/>
    <w:rsid w:val="001C5080"/>
    <w:rsid w:val="001C684B"/>
    <w:rsid w:val="001C77EA"/>
    <w:rsid w:val="001D0450"/>
    <w:rsid w:val="001D0967"/>
    <w:rsid w:val="001D0CFB"/>
    <w:rsid w:val="001D21AF"/>
    <w:rsid w:val="001D53FC"/>
    <w:rsid w:val="001E1C1D"/>
    <w:rsid w:val="001E2556"/>
    <w:rsid w:val="001E5524"/>
    <w:rsid w:val="001E5B21"/>
    <w:rsid w:val="001F3725"/>
    <w:rsid w:val="001F42A5"/>
    <w:rsid w:val="001F7B9D"/>
    <w:rsid w:val="00201419"/>
    <w:rsid w:val="00201C93"/>
    <w:rsid w:val="00206D47"/>
    <w:rsid w:val="002116DF"/>
    <w:rsid w:val="002135F4"/>
    <w:rsid w:val="00214797"/>
    <w:rsid w:val="00215832"/>
    <w:rsid w:val="00215FB0"/>
    <w:rsid w:val="002177AF"/>
    <w:rsid w:val="00220939"/>
    <w:rsid w:val="002224B4"/>
    <w:rsid w:val="002229C1"/>
    <w:rsid w:val="00236EE3"/>
    <w:rsid w:val="00242131"/>
    <w:rsid w:val="002447EF"/>
    <w:rsid w:val="002470DB"/>
    <w:rsid w:val="00247A59"/>
    <w:rsid w:val="0025153E"/>
    <w:rsid w:val="00251550"/>
    <w:rsid w:val="00253EC8"/>
    <w:rsid w:val="002565AC"/>
    <w:rsid w:val="0025671F"/>
    <w:rsid w:val="00263B05"/>
    <w:rsid w:val="00265486"/>
    <w:rsid w:val="0027221A"/>
    <w:rsid w:val="00272D0E"/>
    <w:rsid w:val="00274BFD"/>
    <w:rsid w:val="00275B61"/>
    <w:rsid w:val="00276B59"/>
    <w:rsid w:val="00277DB0"/>
    <w:rsid w:val="00280FAF"/>
    <w:rsid w:val="00282656"/>
    <w:rsid w:val="0028610F"/>
    <w:rsid w:val="00290160"/>
    <w:rsid w:val="00290560"/>
    <w:rsid w:val="00291C8A"/>
    <w:rsid w:val="002932BA"/>
    <w:rsid w:val="00296B83"/>
    <w:rsid w:val="0029A556"/>
    <w:rsid w:val="002A156C"/>
    <w:rsid w:val="002B0C9E"/>
    <w:rsid w:val="002B4015"/>
    <w:rsid w:val="002B64C7"/>
    <w:rsid w:val="002B78CE"/>
    <w:rsid w:val="002C2FB6"/>
    <w:rsid w:val="002D7F21"/>
    <w:rsid w:val="002E07C7"/>
    <w:rsid w:val="002E2722"/>
    <w:rsid w:val="002E3E1B"/>
    <w:rsid w:val="002E5FA7"/>
    <w:rsid w:val="002F03D5"/>
    <w:rsid w:val="002F3309"/>
    <w:rsid w:val="003006B3"/>
    <w:rsid w:val="003008CE"/>
    <w:rsid w:val="003009B7"/>
    <w:rsid w:val="003009D3"/>
    <w:rsid w:val="00300E56"/>
    <w:rsid w:val="0030152C"/>
    <w:rsid w:val="0030469C"/>
    <w:rsid w:val="00305158"/>
    <w:rsid w:val="003102BC"/>
    <w:rsid w:val="00312594"/>
    <w:rsid w:val="00312DCD"/>
    <w:rsid w:val="003201DB"/>
    <w:rsid w:val="00320E6C"/>
    <w:rsid w:val="00321CA6"/>
    <w:rsid w:val="00322C1E"/>
    <w:rsid w:val="00323763"/>
    <w:rsid w:val="00323C5F"/>
    <w:rsid w:val="00324766"/>
    <w:rsid w:val="00325864"/>
    <w:rsid w:val="00325BF5"/>
    <w:rsid w:val="003330B5"/>
    <w:rsid w:val="00333B74"/>
    <w:rsid w:val="003341F5"/>
    <w:rsid w:val="003346EF"/>
    <w:rsid w:val="00334C09"/>
    <w:rsid w:val="00341165"/>
    <w:rsid w:val="00345748"/>
    <w:rsid w:val="0034673D"/>
    <w:rsid w:val="00347282"/>
    <w:rsid w:val="003535A1"/>
    <w:rsid w:val="0035443F"/>
    <w:rsid w:val="00356661"/>
    <w:rsid w:val="00361D34"/>
    <w:rsid w:val="00364044"/>
    <w:rsid w:val="00364051"/>
    <w:rsid w:val="00364642"/>
    <w:rsid w:val="00370CBC"/>
    <w:rsid w:val="00371F26"/>
    <w:rsid w:val="00372361"/>
    <w:rsid w:val="003723D4"/>
    <w:rsid w:val="003726B1"/>
    <w:rsid w:val="00381905"/>
    <w:rsid w:val="00384CC8"/>
    <w:rsid w:val="0038577A"/>
    <w:rsid w:val="003871FD"/>
    <w:rsid w:val="003874B9"/>
    <w:rsid w:val="003A12C8"/>
    <w:rsid w:val="003A166B"/>
    <w:rsid w:val="003A1E30"/>
    <w:rsid w:val="003A2829"/>
    <w:rsid w:val="003A2ED3"/>
    <w:rsid w:val="003A6E1B"/>
    <w:rsid w:val="003A7D1C"/>
    <w:rsid w:val="003B1910"/>
    <w:rsid w:val="003B2BBD"/>
    <w:rsid w:val="003B304B"/>
    <w:rsid w:val="003B3146"/>
    <w:rsid w:val="003C2210"/>
    <w:rsid w:val="003C57CE"/>
    <w:rsid w:val="003C58A4"/>
    <w:rsid w:val="003C616F"/>
    <w:rsid w:val="003C662C"/>
    <w:rsid w:val="003C7FC2"/>
    <w:rsid w:val="003D384F"/>
    <w:rsid w:val="003E0B88"/>
    <w:rsid w:val="003E18E9"/>
    <w:rsid w:val="003E4D41"/>
    <w:rsid w:val="003F015E"/>
    <w:rsid w:val="003F070C"/>
    <w:rsid w:val="003F16C3"/>
    <w:rsid w:val="003F30DE"/>
    <w:rsid w:val="003F77FA"/>
    <w:rsid w:val="00400414"/>
    <w:rsid w:val="00404F25"/>
    <w:rsid w:val="00405267"/>
    <w:rsid w:val="0040674E"/>
    <w:rsid w:val="0040726D"/>
    <w:rsid w:val="004107D9"/>
    <w:rsid w:val="00414422"/>
    <w:rsid w:val="0041446B"/>
    <w:rsid w:val="004145F1"/>
    <w:rsid w:val="00421BDE"/>
    <w:rsid w:val="00423DDE"/>
    <w:rsid w:val="00433C7C"/>
    <w:rsid w:val="00434963"/>
    <w:rsid w:val="0043511A"/>
    <w:rsid w:val="004401A4"/>
    <w:rsid w:val="0044071E"/>
    <w:rsid w:val="00440E7B"/>
    <w:rsid w:val="0044329C"/>
    <w:rsid w:val="00444864"/>
    <w:rsid w:val="00446237"/>
    <w:rsid w:val="00450F7E"/>
    <w:rsid w:val="00451D30"/>
    <w:rsid w:val="00453E24"/>
    <w:rsid w:val="00454855"/>
    <w:rsid w:val="0045525D"/>
    <w:rsid w:val="00455880"/>
    <w:rsid w:val="004560C7"/>
    <w:rsid w:val="00457456"/>
    <w:rsid w:val="004577FE"/>
    <w:rsid w:val="00457B9C"/>
    <w:rsid w:val="0046164A"/>
    <w:rsid w:val="004628D2"/>
    <w:rsid w:val="00462DCD"/>
    <w:rsid w:val="004648AD"/>
    <w:rsid w:val="004703A9"/>
    <w:rsid w:val="0047099C"/>
    <w:rsid w:val="004740A3"/>
    <w:rsid w:val="004760DE"/>
    <w:rsid w:val="004763D7"/>
    <w:rsid w:val="004858AD"/>
    <w:rsid w:val="00486608"/>
    <w:rsid w:val="0049075E"/>
    <w:rsid w:val="00494570"/>
    <w:rsid w:val="004A004E"/>
    <w:rsid w:val="004A11AC"/>
    <w:rsid w:val="004A1CD3"/>
    <w:rsid w:val="004A24CF"/>
    <w:rsid w:val="004B06CB"/>
    <w:rsid w:val="004B42E3"/>
    <w:rsid w:val="004B55D0"/>
    <w:rsid w:val="004C0DB3"/>
    <w:rsid w:val="004C3D1D"/>
    <w:rsid w:val="004C3D84"/>
    <w:rsid w:val="004C7913"/>
    <w:rsid w:val="004D1601"/>
    <w:rsid w:val="004D2194"/>
    <w:rsid w:val="004E44BE"/>
    <w:rsid w:val="004E4DD6"/>
    <w:rsid w:val="004E584B"/>
    <w:rsid w:val="004F06F4"/>
    <w:rsid w:val="004F5E36"/>
    <w:rsid w:val="004F5EC1"/>
    <w:rsid w:val="004F6360"/>
    <w:rsid w:val="00507B47"/>
    <w:rsid w:val="00507BEF"/>
    <w:rsid w:val="00507CC9"/>
    <w:rsid w:val="005119A5"/>
    <w:rsid w:val="005128A9"/>
    <w:rsid w:val="00515E98"/>
    <w:rsid w:val="00521CC6"/>
    <w:rsid w:val="00525F89"/>
    <w:rsid w:val="005278B7"/>
    <w:rsid w:val="005317C3"/>
    <w:rsid w:val="00532016"/>
    <w:rsid w:val="005332E9"/>
    <w:rsid w:val="005336CB"/>
    <w:rsid w:val="005346C8"/>
    <w:rsid w:val="00537F85"/>
    <w:rsid w:val="00542B58"/>
    <w:rsid w:val="00543E7D"/>
    <w:rsid w:val="005457CF"/>
    <w:rsid w:val="00546C1B"/>
    <w:rsid w:val="00547A68"/>
    <w:rsid w:val="00552EF3"/>
    <w:rsid w:val="005531C9"/>
    <w:rsid w:val="0055557F"/>
    <w:rsid w:val="00555CE4"/>
    <w:rsid w:val="00560CCF"/>
    <w:rsid w:val="005638A7"/>
    <w:rsid w:val="005638A9"/>
    <w:rsid w:val="00570C43"/>
    <w:rsid w:val="00571E7F"/>
    <w:rsid w:val="00575109"/>
    <w:rsid w:val="00575BFC"/>
    <w:rsid w:val="0058438B"/>
    <w:rsid w:val="005A31E0"/>
    <w:rsid w:val="005A59BA"/>
    <w:rsid w:val="005B136C"/>
    <w:rsid w:val="005B2110"/>
    <w:rsid w:val="005B61E6"/>
    <w:rsid w:val="005B7A68"/>
    <w:rsid w:val="005C69A7"/>
    <w:rsid w:val="005C77E1"/>
    <w:rsid w:val="005C78C2"/>
    <w:rsid w:val="005D20C7"/>
    <w:rsid w:val="005D560B"/>
    <w:rsid w:val="005D6140"/>
    <w:rsid w:val="005D668A"/>
    <w:rsid w:val="005D6A2F"/>
    <w:rsid w:val="005E1A82"/>
    <w:rsid w:val="005E24BD"/>
    <w:rsid w:val="005E3804"/>
    <w:rsid w:val="005E6672"/>
    <w:rsid w:val="005E794C"/>
    <w:rsid w:val="005F0A28"/>
    <w:rsid w:val="005F0E5E"/>
    <w:rsid w:val="00600535"/>
    <w:rsid w:val="006007BE"/>
    <w:rsid w:val="00600D72"/>
    <w:rsid w:val="00610CD6"/>
    <w:rsid w:val="006141CF"/>
    <w:rsid w:val="00620DEE"/>
    <w:rsid w:val="00621F92"/>
    <w:rsid w:val="0062280A"/>
    <w:rsid w:val="00625478"/>
    <w:rsid w:val="00625639"/>
    <w:rsid w:val="00631B33"/>
    <w:rsid w:val="006330F1"/>
    <w:rsid w:val="0063603B"/>
    <w:rsid w:val="006400FD"/>
    <w:rsid w:val="006409FC"/>
    <w:rsid w:val="0064184D"/>
    <w:rsid w:val="006422CC"/>
    <w:rsid w:val="006428A3"/>
    <w:rsid w:val="00651079"/>
    <w:rsid w:val="0065229B"/>
    <w:rsid w:val="00652829"/>
    <w:rsid w:val="006600B1"/>
    <w:rsid w:val="00660E3E"/>
    <w:rsid w:val="0066275C"/>
    <w:rsid w:val="00662E74"/>
    <w:rsid w:val="00664023"/>
    <w:rsid w:val="00671B1A"/>
    <w:rsid w:val="00680C23"/>
    <w:rsid w:val="006832A7"/>
    <w:rsid w:val="00684B7D"/>
    <w:rsid w:val="00693766"/>
    <w:rsid w:val="006965B0"/>
    <w:rsid w:val="0069729B"/>
    <w:rsid w:val="006A3281"/>
    <w:rsid w:val="006A4423"/>
    <w:rsid w:val="006A4713"/>
    <w:rsid w:val="006B4888"/>
    <w:rsid w:val="006B523B"/>
    <w:rsid w:val="006B6E7F"/>
    <w:rsid w:val="006C2E45"/>
    <w:rsid w:val="006C359C"/>
    <w:rsid w:val="006C40EB"/>
    <w:rsid w:val="006C5579"/>
    <w:rsid w:val="006D41B3"/>
    <w:rsid w:val="006D6E8B"/>
    <w:rsid w:val="006D7157"/>
    <w:rsid w:val="006E2195"/>
    <w:rsid w:val="006E3D48"/>
    <w:rsid w:val="006E737D"/>
    <w:rsid w:val="006F3250"/>
    <w:rsid w:val="006F326A"/>
    <w:rsid w:val="006F3493"/>
    <w:rsid w:val="00702C2E"/>
    <w:rsid w:val="00706DEB"/>
    <w:rsid w:val="0071193A"/>
    <w:rsid w:val="007136D9"/>
    <w:rsid w:val="00713973"/>
    <w:rsid w:val="00717AE9"/>
    <w:rsid w:val="00717F15"/>
    <w:rsid w:val="00720A24"/>
    <w:rsid w:val="00731264"/>
    <w:rsid w:val="00731F35"/>
    <w:rsid w:val="00732386"/>
    <w:rsid w:val="0073514D"/>
    <w:rsid w:val="007358D0"/>
    <w:rsid w:val="00736782"/>
    <w:rsid w:val="00736D6E"/>
    <w:rsid w:val="007416E1"/>
    <w:rsid w:val="007447F3"/>
    <w:rsid w:val="007459AF"/>
    <w:rsid w:val="00747475"/>
    <w:rsid w:val="0074774D"/>
    <w:rsid w:val="0075499F"/>
    <w:rsid w:val="00754E44"/>
    <w:rsid w:val="0076167F"/>
    <w:rsid w:val="0076224C"/>
    <w:rsid w:val="0076526E"/>
    <w:rsid w:val="007660C2"/>
    <w:rsid w:val="007661C8"/>
    <w:rsid w:val="0077098D"/>
    <w:rsid w:val="00777741"/>
    <w:rsid w:val="00782DF2"/>
    <w:rsid w:val="00783C1E"/>
    <w:rsid w:val="00786E5F"/>
    <w:rsid w:val="00787E8E"/>
    <w:rsid w:val="007931FA"/>
    <w:rsid w:val="007A4861"/>
    <w:rsid w:val="007A7BBA"/>
    <w:rsid w:val="007B0C50"/>
    <w:rsid w:val="007B48F9"/>
    <w:rsid w:val="007B5B36"/>
    <w:rsid w:val="007C09B5"/>
    <w:rsid w:val="007C14F9"/>
    <w:rsid w:val="007C1761"/>
    <w:rsid w:val="007C1A43"/>
    <w:rsid w:val="007C4DAB"/>
    <w:rsid w:val="007D0951"/>
    <w:rsid w:val="007D2472"/>
    <w:rsid w:val="007E191B"/>
    <w:rsid w:val="007F1F4D"/>
    <w:rsid w:val="007F461B"/>
    <w:rsid w:val="0080013E"/>
    <w:rsid w:val="008021A0"/>
    <w:rsid w:val="0080255A"/>
    <w:rsid w:val="00802E5A"/>
    <w:rsid w:val="008050B1"/>
    <w:rsid w:val="00813288"/>
    <w:rsid w:val="008149E5"/>
    <w:rsid w:val="008168FC"/>
    <w:rsid w:val="008233B6"/>
    <w:rsid w:val="0082757D"/>
    <w:rsid w:val="00827BEF"/>
    <w:rsid w:val="00827E70"/>
    <w:rsid w:val="00830996"/>
    <w:rsid w:val="00831779"/>
    <w:rsid w:val="008345F1"/>
    <w:rsid w:val="0084453E"/>
    <w:rsid w:val="0084EE0B"/>
    <w:rsid w:val="00861177"/>
    <w:rsid w:val="00865B07"/>
    <w:rsid w:val="008667EA"/>
    <w:rsid w:val="00871485"/>
    <w:rsid w:val="0087637F"/>
    <w:rsid w:val="0087C258"/>
    <w:rsid w:val="008812C5"/>
    <w:rsid w:val="00881FD2"/>
    <w:rsid w:val="00886D1B"/>
    <w:rsid w:val="00890496"/>
    <w:rsid w:val="00892AD5"/>
    <w:rsid w:val="008A1512"/>
    <w:rsid w:val="008A1853"/>
    <w:rsid w:val="008B0694"/>
    <w:rsid w:val="008B431A"/>
    <w:rsid w:val="008B4691"/>
    <w:rsid w:val="008D32B9"/>
    <w:rsid w:val="008D433B"/>
    <w:rsid w:val="008D4A16"/>
    <w:rsid w:val="008E0B0C"/>
    <w:rsid w:val="008E4455"/>
    <w:rsid w:val="008E566E"/>
    <w:rsid w:val="0090161A"/>
    <w:rsid w:val="00901EB6"/>
    <w:rsid w:val="00904C62"/>
    <w:rsid w:val="0091768E"/>
    <w:rsid w:val="00920CAE"/>
    <w:rsid w:val="00922BA8"/>
    <w:rsid w:val="00924DAC"/>
    <w:rsid w:val="00927058"/>
    <w:rsid w:val="0093424D"/>
    <w:rsid w:val="0093504A"/>
    <w:rsid w:val="00942750"/>
    <w:rsid w:val="00943AEB"/>
    <w:rsid w:val="00944215"/>
    <w:rsid w:val="009450CE"/>
    <w:rsid w:val="009459BB"/>
    <w:rsid w:val="0094713C"/>
    <w:rsid w:val="00947179"/>
    <w:rsid w:val="009510FB"/>
    <w:rsid w:val="0095164B"/>
    <w:rsid w:val="0095233A"/>
    <w:rsid w:val="00954090"/>
    <w:rsid w:val="009573E7"/>
    <w:rsid w:val="00961256"/>
    <w:rsid w:val="00963E05"/>
    <w:rsid w:val="00964686"/>
    <w:rsid w:val="00964A45"/>
    <w:rsid w:val="00965619"/>
    <w:rsid w:val="00965797"/>
    <w:rsid w:val="00967843"/>
    <w:rsid w:val="00967D54"/>
    <w:rsid w:val="00971028"/>
    <w:rsid w:val="00971725"/>
    <w:rsid w:val="0097390D"/>
    <w:rsid w:val="00981B91"/>
    <w:rsid w:val="00982FED"/>
    <w:rsid w:val="00990C31"/>
    <w:rsid w:val="0099265E"/>
    <w:rsid w:val="00993B84"/>
    <w:rsid w:val="00993F93"/>
    <w:rsid w:val="00996483"/>
    <w:rsid w:val="00996F5A"/>
    <w:rsid w:val="009A3013"/>
    <w:rsid w:val="009A70D2"/>
    <w:rsid w:val="009B041A"/>
    <w:rsid w:val="009B14FC"/>
    <w:rsid w:val="009B3BC5"/>
    <w:rsid w:val="009B425B"/>
    <w:rsid w:val="009B4F1C"/>
    <w:rsid w:val="009C37C3"/>
    <w:rsid w:val="009C4308"/>
    <w:rsid w:val="009C550B"/>
    <w:rsid w:val="009C5718"/>
    <w:rsid w:val="009C5787"/>
    <w:rsid w:val="009C7C86"/>
    <w:rsid w:val="009D2FF7"/>
    <w:rsid w:val="009D32D7"/>
    <w:rsid w:val="009D3A19"/>
    <w:rsid w:val="009D7614"/>
    <w:rsid w:val="009E7884"/>
    <w:rsid w:val="009E788A"/>
    <w:rsid w:val="009F0E08"/>
    <w:rsid w:val="009F1339"/>
    <w:rsid w:val="00A053D9"/>
    <w:rsid w:val="00A11253"/>
    <w:rsid w:val="00A15DE9"/>
    <w:rsid w:val="00A1763D"/>
    <w:rsid w:val="00A17CEC"/>
    <w:rsid w:val="00A24B4C"/>
    <w:rsid w:val="00A262CD"/>
    <w:rsid w:val="00A27D1C"/>
    <w:rsid w:val="00A27EF0"/>
    <w:rsid w:val="00A37D2B"/>
    <w:rsid w:val="00A41EAF"/>
    <w:rsid w:val="00A42361"/>
    <w:rsid w:val="00A433B5"/>
    <w:rsid w:val="00A4782C"/>
    <w:rsid w:val="00A50213"/>
    <w:rsid w:val="00A50B20"/>
    <w:rsid w:val="00A51390"/>
    <w:rsid w:val="00A55318"/>
    <w:rsid w:val="00A60D13"/>
    <w:rsid w:val="00A60FCC"/>
    <w:rsid w:val="00A64435"/>
    <w:rsid w:val="00A64C75"/>
    <w:rsid w:val="00A65A31"/>
    <w:rsid w:val="00A701C7"/>
    <w:rsid w:val="00A7223D"/>
    <w:rsid w:val="00A72745"/>
    <w:rsid w:val="00A7655A"/>
    <w:rsid w:val="00A76EFC"/>
    <w:rsid w:val="00A8606C"/>
    <w:rsid w:val="00A86990"/>
    <w:rsid w:val="00A87D50"/>
    <w:rsid w:val="00A91010"/>
    <w:rsid w:val="00A949D9"/>
    <w:rsid w:val="00A96423"/>
    <w:rsid w:val="00A96C4D"/>
    <w:rsid w:val="00A97D53"/>
    <w:rsid w:val="00A97F29"/>
    <w:rsid w:val="00AA43B0"/>
    <w:rsid w:val="00AA46AE"/>
    <w:rsid w:val="00AA4D67"/>
    <w:rsid w:val="00AA702E"/>
    <w:rsid w:val="00AA7D26"/>
    <w:rsid w:val="00AB0964"/>
    <w:rsid w:val="00AB3B5C"/>
    <w:rsid w:val="00AB5011"/>
    <w:rsid w:val="00AC171B"/>
    <w:rsid w:val="00AC62E0"/>
    <w:rsid w:val="00AC7368"/>
    <w:rsid w:val="00AD16B9"/>
    <w:rsid w:val="00AD1939"/>
    <w:rsid w:val="00AD4DAB"/>
    <w:rsid w:val="00AD54D6"/>
    <w:rsid w:val="00AD59E6"/>
    <w:rsid w:val="00AD7747"/>
    <w:rsid w:val="00AE377D"/>
    <w:rsid w:val="00AF0EBA"/>
    <w:rsid w:val="00AF1983"/>
    <w:rsid w:val="00AF2CB0"/>
    <w:rsid w:val="00AF4F45"/>
    <w:rsid w:val="00B012EC"/>
    <w:rsid w:val="00B02C8A"/>
    <w:rsid w:val="00B060A2"/>
    <w:rsid w:val="00B17FBD"/>
    <w:rsid w:val="00B21192"/>
    <w:rsid w:val="00B24EE5"/>
    <w:rsid w:val="00B315A6"/>
    <w:rsid w:val="00B31813"/>
    <w:rsid w:val="00B33365"/>
    <w:rsid w:val="00B3395F"/>
    <w:rsid w:val="00B37691"/>
    <w:rsid w:val="00B5251C"/>
    <w:rsid w:val="00B57B36"/>
    <w:rsid w:val="00B57E6F"/>
    <w:rsid w:val="00B605A2"/>
    <w:rsid w:val="00B636F7"/>
    <w:rsid w:val="00B7179E"/>
    <w:rsid w:val="00B74574"/>
    <w:rsid w:val="00B749DC"/>
    <w:rsid w:val="00B7600F"/>
    <w:rsid w:val="00B8234F"/>
    <w:rsid w:val="00B833C1"/>
    <w:rsid w:val="00B8686D"/>
    <w:rsid w:val="00B87053"/>
    <w:rsid w:val="00B931D2"/>
    <w:rsid w:val="00B93F69"/>
    <w:rsid w:val="00B947DB"/>
    <w:rsid w:val="00BA25B6"/>
    <w:rsid w:val="00BB1DDC"/>
    <w:rsid w:val="00BB2773"/>
    <w:rsid w:val="00BB3186"/>
    <w:rsid w:val="00BB7485"/>
    <w:rsid w:val="00BC30C9"/>
    <w:rsid w:val="00BD077D"/>
    <w:rsid w:val="00BD5BD7"/>
    <w:rsid w:val="00BE3E58"/>
    <w:rsid w:val="00BE4ECF"/>
    <w:rsid w:val="00BF484C"/>
    <w:rsid w:val="00C01616"/>
    <w:rsid w:val="00C0162B"/>
    <w:rsid w:val="00C068ED"/>
    <w:rsid w:val="00C07B34"/>
    <w:rsid w:val="00C16BD2"/>
    <w:rsid w:val="00C175C3"/>
    <w:rsid w:val="00C20A08"/>
    <w:rsid w:val="00C22E0C"/>
    <w:rsid w:val="00C3072F"/>
    <w:rsid w:val="00C345B1"/>
    <w:rsid w:val="00C40142"/>
    <w:rsid w:val="00C42B73"/>
    <w:rsid w:val="00C50C81"/>
    <w:rsid w:val="00C51407"/>
    <w:rsid w:val="00C52039"/>
    <w:rsid w:val="00C52C3C"/>
    <w:rsid w:val="00C54F90"/>
    <w:rsid w:val="00C57182"/>
    <w:rsid w:val="00C57863"/>
    <w:rsid w:val="00C640AF"/>
    <w:rsid w:val="00C643F5"/>
    <w:rsid w:val="00C654AB"/>
    <w:rsid w:val="00C655FD"/>
    <w:rsid w:val="00C65FE5"/>
    <w:rsid w:val="00C739DD"/>
    <w:rsid w:val="00C7473A"/>
    <w:rsid w:val="00C75407"/>
    <w:rsid w:val="00C82156"/>
    <w:rsid w:val="00C84CC0"/>
    <w:rsid w:val="00C870A8"/>
    <w:rsid w:val="00C93C51"/>
    <w:rsid w:val="00C94434"/>
    <w:rsid w:val="00C94CDD"/>
    <w:rsid w:val="00C9E8BE"/>
    <w:rsid w:val="00CA0088"/>
    <w:rsid w:val="00CA0D75"/>
    <w:rsid w:val="00CA1C95"/>
    <w:rsid w:val="00CA25A2"/>
    <w:rsid w:val="00CA5A9C"/>
    <w:rsid w:val="00CA77F4"/>
    <w:rsid w:val="00CB13E4"/>
    <w:rsid w:val="00CC22D9"/>
    <w:rsid w:val="00CC348B"/>
    <w:rsid w:val="00CC4C20"/>
    <w:rsid w:val="00CC520E"/>
    <w:rsid w:val="00CD0B48"/>
    <w:rsid w:val="00CD2C7F"/>
    <w:rsid w:val="00CD3517"/>
    <w:rsid w:val="00CD4A73"/>
    <w:rsid w:val="00CD5FE2"/>
    <w:rsid w:val="00CD6507"/>
    <w:rsid w:val="00CE7C68"/>
    <w:rsid w:val="00CF40D5"/>
    <w:rsid w:val="00CF7B39"/>
    <w:rsid w:val="00D014C4"/>
    <w:rsid w:val="00D02B4C"/>
    <w:rsid w:val="00D040C4"/>
    <w:rsid w:val="00D13C70"/>
    <w:rsid w:val="00D20AD1"/>
    <w:rsid w:val="00D22597"/>
    <w:rsid w:val="00D2388E"/>
    <w:rsid w:val="00D30747"/>
    <w:rsid w:val="00D46B7E"/>
    <w:rsid w:val="00D47589"/>
    <w:rsid w:val="00D5191D"/>
    <w:rsid w:val="00D54601"/>
    <w:rsid w:val="00D57C84"/>
    <w:rsid w:val="00D6057D"/>
    <w:rsid w:val="00D607B1"/>
    <w:rsid w:val="00D60F56"/>
    <w:rsid w:val="00D62BAF"/>
    <w:rsid w:val="00D65DF1"/>
    <w:rsid w:val="00D65EBD"/>
    <w:rsid w:val="00D71640"/>
    <w:rsid w:val="00D77F64"/>
    <w:rsid w:val="00D813B6"/>
    <w:rsid w:val="00D836C5"/>
    <w:rsid w:val="00D83D14"/>
    <w:rsid w:val="00D84576"/>
    <w:rsid w:val="00D8568F"/>
    <w:rsid w:val="00D866DD"/>
    <w:rsid w:val="00D877A6"/>
    <w:rsid w:val="00DA1399"/>
    <w:rsid w:val="00DA1C2D"/>
    <w:rsid w:val="00DA24C6"/>
    <w:rsid w:val="00DA4D7B"/>
    <w:rsid w:val="00DA7C6A"/>
    <w:rsid w:val="00DA7EC5"/>
    <w:rsid w:val="00DB1E38"/>
    <w:rsid w:val="00DB3BBC"/>
    <w:rsid w:val="00DC0956"/>
    <w:rsid w:val="00DC140F"/>
    <w:rsid w:val="00DC3259"/>
    <w:rsid w:val="00DC6AF6"/>
    <w:rsid w:val="00DC6E09"/>
    <w:rsid w:val="00DC7E46"/>
    <w:rsid w:val="00DD271C"/>
    <w:rsid w:val="00DD4D74"/>
    <w:rsid w:val="00DD5D38"/>
    <w:rsid w:val="00DD5E3C"/>
    <w:rsid w:val="00DE01C9"/>
    <w:rsid w:val="00DE1A0C"/>
    <w:rsid w:val="00DE264A"/>
    <w:rsid w:val="00DE40C9"/>
    <w:rsid w:val="00DE57ED"/>
    <w:rsid w:val="00DE636D"/>
    <w:rsid w:val="00DE6E4A"/>
    <w:rsid w:val="00DE7B54"/>
    <w:rsid w:val="00DF3CBF"/>
    <w:rsid w:val="00DF5072"/>
    <w:rsid w:val="00E02D18"/>
    <w:rsid w:val="00E0379E"/>
    <w:rsid w:val="00E041E7"/>
    <w:rsid w:val="00E05BEB"/>
    <w:rsid w:val="00E0754D"/>
    <w:rsid w:val="00E134AF"/>
    <w:rsid w:val="00E13E1E"/>
    <w:rsid w:val="00E178E8"/>
    <w:rsid w:val="00E23CA1"/>
    <w:rsid w:val="00E24FB7"/>
    <w:rsid w:val="00E27819"/>
    <w:rsid w:val="00E409A8"/>
    <w:rsid w:val="00E47E97"/>
    <w:rsid w:val="00E50C12"/>
    <w:rsid w:val="00E53831"/>
    <w:rsid w:val="00E630B7"/>
    <w:rsid w:val="00E6376C"/>
    <w:rsid w:val="00E649E1"/>
    <w:rsid w:val="00E657AE"/>
    <w:rsid w:val="00E65B91"/>
    <w:rsid w:val="00E6693F"/>
    <w:rsid w:val="00E677B3"/>
    <w:rsid w:val="00E7209D"/>
    <w:rsid w:val="00E72EAD"/>
    <w:rsid w:val="00E77223"/>
    <w:rsid w:val="00E8528B"/>
    <w:rsid w:val="00E85B94"/>
    <w:rsid w:val="00E91593"/>
    <w:rsid w:val="00E978D0"/>
    <w:rsid w:val="00EA3D01"/>
    <w:rsid w:val="00EA4613"/>
    <w:rsid w:val="00EA5546"/>
    <w:rsid w:val="00EA7F91"/>
    <w:rsid w:val="00EB1523"/>
    <w:rsid w:val="00EB1B15"/>
    <w:rsid w:val="00EB28EB"/>
    <w:rsid w:val="00EC0E49"/>
    <w:rsid w:val="00EC101F"/>
    <w:rsid w:val="00EC1D9F"/>
    <w:rsid w:val="00EC20FD"/>
    <w:rsid w:val="00EC23B7"/>
    <w:rsid w:val="00ED149B"/>
    <w:rsid w:val="00EE0131"/>
    <w:rsid w:val="00EE0AAF"/>
    <w:rsid w:val="00EE17B0"/>
    <w:rsid w:val="00EE1DA2"/>
    <w:rsid w:val="00EE3BF0"/>
    <w:rsid w:val="00EE5997"/>
    <w:rsid w:val="00EE64B5"/>
    <w:rsid w:val="00EF0049"/>
    <w:rsid w:val="00EF06D9"/>
    <w:rsid w:val="00EF3544"/>
    <w:rsid w:val="00F008B6"/>
    <w:rsid w:val="00F107A4"/>
    <w:rsid w:val="00F10FA1"/>
    <w:rsid w:val="00F13C18"/>
    <w:rsid w:val="00F15F07"/>
    <w:rsid w:val="00F216D6"/>
    <w:rsid w:val="00F26817"/>
    <w:rsid w:val="00F3049E"/>
    <w:rsid w:val="00F30C64"/>
    <w:rsid w:val="00F32BA2"/>
    <w:rsid w:val="00F32CDB"/>
    <w:rsid w:val="00F40A77"/>
    <w:rsid w:val="00F432E2"/>
    <w:rsid w:val="00F45B21"/>
    <w:rsid w:val="00F512EB"/>
    <w:rsid w:val="00F565FE"/>
    <w:rsid w:val="00F60982"/>
    <w:rsid w:val="00F61EAC"/>
    <w:rsid w:val="00F63760"/>
    <w:rsid w:val="00F63A70"/>
    <w:rsid w:val="00F63D8C"/>
    <w:rsid w:val="00F646F1"/>
    <w:rsid w:val="00F6498E"/>
    <w:rsid w:val="00F6599F"/>
    <w:rsid w:val="00F73FD4"/>
    <w:rsid w:val="00F7534E"/>
    <w:rsid w:val="00F7740D"/>
    <w:rsid w:val="00F8025A"/>
    <w:rsid w:val="00F82628"/>
    <w:rsid w:val="00F83A0D"/>
    <w:rsid w:val="00F84E99"/>
    <w:rsid w:val="00F93EDF"/>
    <w:rsid w:val="00F94BA1"/>
    <w:rsid w:val="00FA1802"/>
    <w:rsid w:val="00FA21D0"/>
    <w:rsid w:val="00FA5F5F"/>
    <w:rsid w:val="00FA65ED"/>
    <w:rsid w:val="00FB730C"/>
    <w:rsid w:val="00FC1923"/>
    <w:rsid w:val="00FC2695"/>
    <w:rsid w:val="00FC3E03"/>
    <w:rsid w:val="00FC3FC1"/>
    <w:rsid w:val="00FC68FB"/>
    <w:rsid w:val="00FD143B"/>
    <w:rsid w:val="00FD4EDD"/>
    <w:rsid w:val="00FD6D59"/>
    <w:rsid w:val="00FD7465"/>
    <w:rsid w:val="00FE6ADE"/>
    <w:rsid w:val="00FF06C0"/>
    <w:rsid w:val="00FF36FE"/>
    <w:rsid w:val="00FF4F75"/>
    <w:rsid w:val="00FF5D52"/>
    <w:rsid w:val="01EFA987"/>
    <w:rsid w:val="0220BE6C"/>
    <w:rsid w:val="022392B9"/>
    <w:rsid w:val="030A5921"/>
    <w:rsid w:val="03746427"/>
    <w:rsid w:val="0432B573"/>
    <w:rsid w:val="04EFE02E"/>
    <w:rsid w:val="05274A49"/>
    <w:rsid w:val="055B337B"/>
    <w:rsid w:val="0566B7CB"/>
    <w:rsid w:val="056B065E"/>
    <w:rsid w:val="05923021"/>
    <w:rsid w:val="05BD797E"/>
    <w:rsid w:val="0653254E"/>
    <w:rsid w:val="06ACF82C"/>
    <w:rsid w:val="06BD7E32"/>
    <w:rsid w:val="070CF6AA"/>
    <w:rsid w:val="0719CB28"/>
    <w:rsid w:val="07A615CB"/>
    <w:rsid w:val="0850C663"/>
    <w:rsid w:val="08E86BD6"/>
    <w:rsid w:val="08F4714E"/>
    <w:rsid w:val="09090396"/>
    <w:rsid w:val="0983402D"/>
    <w:rsid w:val="098AC610"/>
    <w:rsid w:val="09F3990D"/>
    <w:rsid w:val="0A369224"/>
    <w:rsid w:val="0AA9525F"/>
    <w:rsid w:val="0B656791"/>
    <w:rsid w:val="0BB1D6B4"/>
    <w:rsid w:val="0BC11F85"/>
    <w:rsid w:val="0BFF6FA7"/>
    <w:rsid w:val="0C832DB7"/>
    <w:rsid w:val="0D4F8174"/>
    <w:rsid w:val="0E23C144"/>
    <w:rsid w:val="0EDA409D"/>
    <w:rsid w:val="0EE97776"/>
    <w:rsid w:val="0EF395E3"/>
    <w:rsid w:val="0F29E116"/>
    <w:rsid w:val="0F31D60C"/>
    <w:rsid w:val="0F824CFC"/>
    <w:rsid w:val="0FB6CEE4"/>
    <w:rsid w:val="0FBB5E62"/>
    <w:rsid w:val="108547D7"/>
    <w:rsid w:val="10A5D3A8"/>
    <w:rsid w:val="111A63B6"/>
    <w:rsid w:val="114FEFE9"/>
    <w:rsid w:val="11BC829F"/>
    <w:rsid w:val="11D5AAFC"/>
    <w:rsid w:val="11E1D3E9"/>
    <w:rsid w:val="11E80BA9"/>
    <w:rsid w:val="127B99B2"/>
    <w:rsid w:val="128DF00B"/>
    <w:rsid w:val="13585300"/>
    <w:rsid w:val="135F93F5"/>
    <w:rsid w:val="137447F3"/>
    <w:rsid w:val="148A57A8"/>
    <w:rsid w:val="14F3217A"/>
    <w:rsid w:val="15BCAE75"/>
    <w:rsid w:val="173DB5AA"/>
    <w:rsid w:val="17447E54"/>
    <w:rsid w:val="17B3D90A"/>
    <w:rsid w:val="17D90364"/>
    <w:rsid w:val="18C49B15"/>
    <w:rsid w:val="192A07D0"/>
    <w:rsid w:val="19BB8317"/>
    <w:rsid w:val="19F17FB7"/>
    <w:rsid w:val="1A12B7D9"/>
    <w:rsid w:val="1A89252A"/>
    <w:rsid w:val="1AE81D80"/>
    <w:rsid w:val="1AF0EE0C"/>
    <w:rsid w:val="1B030F3F"/>
    <w:rsid w:val="1BC28AE8"/>
    <w:rsid w:val="1BE8864F"/>
    <w:rsid w:val="1CCA16E1"/>
    <w:rsid w:val="1D10CAF8"/>
    <w:rsid w:val="1D36B64F"/>
    <w:rsid w:val="1EB514AB"/>
    <w:rsid w:val="1EBBFAB7"/>
    <w:rsid w:val="1EC4F0DA"/>
    <w:rsid w:val="1F0829F4"/>
    <w:rsid w:val="1F16D197"/>
    <w:rsid w:val="1F5C6ABC"/>
    <w:rsid w:val="1FEDDF6F"/>
    <w:rsid w:val="2050E50C"/>
    <w:rsid w:val="2099C4FC"/>
    <w:rsid w:val="2169A5A3"/>
    <w:rsid w:val="2175A190"/>
    <w:rsid w:val="2190FA70"/>
    <w:rsid w:val="223F2988"/>
    <w:rsid w:val="227C2129"/>
    <w:rsid w:val="23A69112"/>
    <w:rsid w:val="23B7E688"/>
    <w:rsid w:val="240D935F"/>
    <w:rsid w:val="241FDB40"/>
    <w:rsid w:val="249D1F98"/>
    <w:rsid w:val="255CC52A"/>
    <w:rsid w:val="259BC785"/>
    <w:rsid w:val="259D6D95"/>
    <w:rsid w:val="26C02690"/>
    <w:rsid w:val="2718112F"/>
    <w:rsid w:val="2721E37C"/>
    <w:rsid w:val="2738C78F"/>
    <w:rsid w:val="275A8593"/>
    <w:rsid w:val="2853A332"/>
    <w:rsid w:val="28655C53"/>
    <w:rsid w:val="28770F18"/>
    <w:rsid w:val="29017BDC"/>
    <w:rsid w:val="294386EB"/>
    <w:rsid w:val="294FB9E4"/>
    <w:rsid w:val="2978CD0F"/>
    <w:rsid w:val="29961A3E"/>
    <w:rsid w:val="2A59843E"/>
    <w:rsid w:val="2B5D6E2A"/>
    <w:rsid w:val="2BA55466"/>
    <w:rsid w:val="2BCBA78B"/>
    <w:rsid w:val="2BEBA639"/>
    <w:rsid w:val="2C0DB494"/>
    <w:rsid w:val="2C1046C9"/>
    <w:rsid w:val="2C2F02AC"/>
    <w:rsid w:val="2C3C3BC1"/>
    <w:rsid w:val="2D92EECD"/>
    <w:rsid w:val="2DEFF3A6"/>
    <w:rsid w:val="2E027AFD"/>
    <w:rsid w:val="2F483651"/>
    <w:rsid w:val="2F67A200"/>
    <w:rsid w:val="2F8BC407"/>
    <w:rsid w:val="31ACB5D2"/>
    <w:rsid w:val="3293D0A5"/>
    <w:rsid w:val="32959910"/>
    <w:rsid w:val="3316F1C0"/>
    <w:rsid w:val="339B204A"/>
    <w:rsid w:val="339B69F2"/>
    <w:rsid w:val="33FAF04C"/>
    <w:rsid w:val="345F352A"/>
    <w:rsid w:val="3489205D"/>
    <w:rsid w:val="359E00B2"/>
    <w:rsid w:val="35AFF203"/>
    <w:rsid w:val="36016599"/>
    <w:rsid w:val="368C153E"/>
    <w:rsid w:val="369619C3"/>
    <w:rsid w:val="36A73AC2"/>
    <w:rsid w:val="3755A936"/>
    <w:rsid w:val="37A86B9E"/>
    <w:rsid w:val="37F4C3CE"/>
    <w:rsid w:val="382324C3"/>
    <w:rsid w:val="38400D7D"/>
    <w:rsid w:val="386E718D"/>
    <w:rsid w:val="38F04BA0"/>
    <w:rsid w:val="38F17997"/>
    <w:rsid w:val="38FA6709"/>
    <w:rsid w:val="39DEDB84"/>
    <w:rsid w:val="3A8C1C01"/>
    <w:rsid w:val="3A9AC629"/>
    <w:rsid w:val="3AF861E1"/>
    <w:rsid w:val="3BC97A96"/>
    <w:rsid w:val="3C450102"/>
    <w:rsid w:val="3CAF5B43"/>
    <w:rsid w:val="3D02D8F7"/>
    <w:rsid w:val="3D4632AE"/>
    <w:rsid w:val="3DC3BCC3"/>
    <w:rsid w:val="3DC86176"/>
    <w:rsid w:val="3E548A62"/>
    <w:rsid w:val="3E54B110"/>
    <w:rsid w:val="3ECB5F53"/>
    <w:rsid w:val="3EE949C5"/>
    <w:rsid w:val="3F5F8D24"/>
    <w:rsid w:val="3F912841"/>
    <w:rsid w:val="402D1361"/>
    <w:rsid w:val="408A76FB"/>
    <w:rsid w:val="409CEBB9"/>
    <w:rsid w:val="40F69375"/>
    <w:rsid w:val="40FB5D85"/>
    <w:rsid w:val="4144A3D1"/>
    <w:rsid w:val="414BA675"/>
    <w:rsid w:val="41AA3B51"/>
    <w:rsid w:val="42AEC1B3"/>
    <w:rsid w:val="42C4B74F"/>
    <w:rsid w:val="42E776D6"/>
    <w:rsid w:val="4366696E"/>
    <w:rsid w:val="442041A1"/>
    <w:rsid w:val="4436EEA4"/>
    <w:rsid w:val="4456AE06"/>
    <w:rsid w:val="44B97CDD"/>
    <w:rsid w:val="461916DB"/>
    <w:rsid w:val="462AAC8D"/>
    <w:rsid w:val="4643020E"/>
    <w:rsid w:val="46ABBCFE"/>
    <w:rsid w:val="46AF67B1"/>
    <w:rsid w:val="46D8F7B7"/>
    <w:rsid w:val="470C2D3D"/>
    <w:rsid w:val="4757E263"/>
    <w:rsid w:val="47B8DC34"/>
    <w:rsid w:val="48140D3F"/>
    <w:rsid w:val="48365E78"/>
    <w:rsid w:val="48A7FD9E"/>
    <w:rsid w:val="48F3B2C4"/>
    <w:rsid w:val="49B7D7AD"/>
    <w:rsid w:val="4A197994"/>
    <w:rsid w:val="4A3CE8F4"/>
    <w:rsid w:val="4AB858FA"/>
    <w:rsid w:val="4AD28F3C"/>
    <w:rsid w:val="4B167331"/>
    <w:rsid w:val="4B1FBF5F"/>
    <w:rsid w:val="4B44C7A5"/>
    <w:rsid w:val="4B59AC4B"/>
    <w:rsid w:val="4BF9D2C7"/>
    <w:rsid w:val="4C7248EB"/>
    <w:rsid w:val="4CCDAACB"/>
    <w:rsid w:val="4CE77E62"/>
    <w:rsid w:val="4CF767F9"/>
    <w:rsid w:val="4DAC3DA7"/>
    <w:rsid w:val="4DF838F8"/>
    <w:rsid w:val="4E7F2F64"/>
    <w:rsid w:val="4E8EBBC2"/>
    <w:rsid w:val="4F8CEE7E"/>
    <w:rsid w:val="501F1F24"/>
    <w:rsid w:val="50464BEA"/>
    <w:rsid w:val="51196ED5"/>
    <w:rsid w:val="516D5F34"/>
    <w:rsid w:val="51BAEF85"/>
    <w:rsid w:val="51F68CBF"/>
    <w:rsid w:val="5217D9C7"/>
    <w:rsid w:val="523782F0"/>
    <w:rsid w:val="525A1AFD"/>
    <w:rsid w:val="5311A8E7"/>
    <w:rsid w:val="53218516"/>
    <w:rsid w:val="53D822FE"/>
    <w:rsid w:val="5461B00F"/>
    <w:rsid w:val="546CDC75"/>
    <w:rsid w:val="54BD5577"/>
    <w:rsid w:val="5524EA9E"/>
    <w:rsid w:val="55904C33"/>
    <w:rsid w:val="5596A589"/>
    <w:rsid w:val="559E272F"/>
    <w:rsid w:val="55C02447"/>
    <w:rsid w:val="55F9D448"/>
    <w:rsid w:val="56624D8C"/>
    <w:rsid w:val="5672ED3B"/>
    <w:rsid w:val="56B54715"/>
    <w:rsid w:val="570DD277"/>
    <w:rsid w:val="576F9FFC"/>
    <w:rsid w:val="57A9BCB4"/>
    <w:rsid w:val="57EE6A74"/>
    <w:rsid w:val="58A4A3B5"/>
    <w:rsid w:val="58ABA659"/>
    <w:rsid w:val="58F4E348"/>
    <w:rsid w:val="592AC706"/>
    <w:rsid w:val="5931FB68"/>
    <w:rsid w:val="59D812FA"/>
    <w:rsid w:val="59F7CF24"/>
    <w:rsid w:val="5A1FB5E3"/>
    <w:rsid w:val="5AAD6F0A"/>
    <w:rsid w:val="5AB55467"/>
    <w:rsid w:val="5B06D391"/>
    <w:rsid w:val="5C7D2BC1"/>
    <w:rsid w:val="5CD6F7D6"/>
    <w:rsid w:val="5D76C08B"/>
    <w:rsid w:val="5DE50FCC"/>
    <w:rsid w:val="5E240844"/>
    <w:rsid w:val="5EB7E247"/>
    <w:rsid w:val="5F511D83"/>
    <w:rsid w:val="5F5B79AC"/>
    <w:rsid w:val="5F67DD3B"/>
    <w:rsid w:val="5F80E02D"/>
    <w:rsid w:val="6000BC8D"/>
    <w:rsid w:val="601C655E"/>
    <w:rsid w:val="608DEE06"/>
    <w:rsid w:val="60B0B781"/>
    <w:rsid w:val="60BE938C"/>
    <w:rsid w:val="60CAC685"/>
    <w:rsid w:val="60E3FFB2"/>
    <w:rsid w:val="611A018E"/>
    <w:rsid w:val="611CB08E"/>
    <w:rsid w:val="61441F69"/>
    <w:rsid w:val="61F681D6"/>
    <w:rsid w:val="623C7F88"/>
    <w:rsid w:val="632AAC32"/>
    <w:rsid w:val="638A942D"/>
    <w:rsid w:val="648A9EA8"/>
    <w:rsid w:val="650BCED4"/>
    <w:rsid w:val="65615ABF"/>
    <w:rsid w:val="658428A4"/>
    <w:rsid w:val="65F021B1"/>
    <w:rsid w:val="65FF6AC4"/>
    <w:rsid w:val="661F3CDC"/>
    <w:rsid w:val="665E16A9"/>
    <w:rsid w:val="66BF8FCA"/>
    <w:rsid w:val="66C2F42C"/>
    <w:rsid w:val="66F41FD1"/>
    <w:rsid w:val="6718665A"/>
    <w:rsid w:val="6730C02B"/>
    <w:rsid w:val="6749E438"/>
    <w:rsid w:val="675808E0"/>
    <w:rsid w:val="67A5D4C0"/>
    <w:rsid w:val="67F9E70A"/>
    <w:rsid w:val="68B07D14"/>
    <w:rsid w:val="6968B625"/>
    <w:rsid w:val="699628F1"/>
    <w:rsid w:val="6A3B57A7"/>
    <w:rsid w:val="6A8923BD"/>
    <w:rsid w:val="6A89A870"/>
    <w:rsid w:val="6B87A4D3"/>
    <w:rsid w:val="6B9B2F91"/>
    <w:rsid w:val="6BEBD77D"/>
    <w:rsid w:val="6C0144E4"/>
    <w:rsid w:val="6C01586B"/>
    <w:rsid w:val="6C610A6F"/>
    <w:rsid w:val="6CA7602E"/>
    <w:rsid w:val="6CFB2803"/>
    <w:rsid w:val="6D0B6E4D"/>
    <w:rsid w:val="6D51848F"/>
    <w:rsid w:val="6D72F869"/>
    <w:rsid w:val="6D87A7DE"/>
    <w:rsid w:val="6E001682"/>
    <w:rsid w:val="6E0817DC"/>
    <w:rsid w:val="6EACC1F4"/>
    <w:rsid w:val="6ECB0C59"/>
    <w:rsid w:val="6F2C2431"/>
    <w:rsid w:val="6F4E6A58"/>
    <w:rsid w:val="6F710890"/>
    <w:rsid w:val="6FD5DBFD"/>
    <w:rsid w:val="70BE4D79"/>
    <w:rsid w:val="70C66A9A"/>
    <w:rsid w:val="7177E5E6"/>
    <w:rsid w:val="71EE3B37"/>
    <w:rsid w:val="71F1DEC9"/>
    <w:rsid w:val="72060B7A"/>
    <w:rsid w:val="724EC7FB"/>
    <w:rsid w:val="725B1901"/>
    <w:rsid w:val="72942409"/>
    <w:rsid w:val="72A8A952"/>
    <w:rsid w:val="72E04169"/>
    <w:rsid w:val="72E71FB6"/>
    <w:rsid w:val="732BBBA3"/>
    <w:rsid w:val="73607DB7"/>
    <w:rsid w:val="73C303E0"/>
    <w:rsid w:val="73F0B3DE"/>
    <w:rsid w:val="73F62AAF"/>
    <w:rsid w:val="74064DCA"/>
    <w:rsid w:val="7439B1C4"/>
    <w:rsid w:val="74A26FBF"/>
    <w:rsid w:val="75AB0F44"/>
    <w:rsid w:val="767C27F9"/>
    <w:rsid w:val="7700B252"/>
    <w:rsid w:val="7767FD66"/>
    <w:rsid w:val="776E987C"/>
    <w:rsid w:val="77C85CE2"/>
    <w:rsid w:val="7817F85A"/>
    <w:rsid w:val="7855CF48"/>
    <w:rsid w:val="78AEFBCE"/>
    <w:rsid w:val="78F3E9BA"/>
    <w:rsid w:val="79E05135"/>
    <w:rsid w:val="7A7F4900"/>
    <w:rsid w:val="7AE9E633"/>
    <w:rsid w:val="7C1B600E"/>
    <w:rsid w:val="7C3D4052"/>
    <w:rsid w:val="7C7C0D41"/>
    <w:rsid w:val="7CBAE111"/>
    <w:rsid w:val="7D3601F7"/>
    <w:rsid w:val="7DABF0A5"/>
    <w:rsid w:val="7DC75ADD"/>
    <w:rsid w:val="7E3B796C"/>
    <w:rsid w:val="7EA14D7C"/>
    <w:rsid w:val="7ED1F892"/>
    <w:rsid w:val="7EE91DA9"/>
    <w:rsid w:val="7EEA0BCB"/>
    <w:rsid w:val="7EFD864A"/>
    <w:rsid w:val="7F632B3E"/>
    <w:rsid w:val="7F993DE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qFormat/>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吹き出し (文字)"/>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本文 2 (文字)"/>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本文 3 (文字)"/>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本文 (文字)"/>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日付 (文字)"/>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署名 (文字)"/>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電子メール署名 (文字)"/>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挨拶文 (文字)"/>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結語 (文字)"/>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HTML アドレス (文字)"/>
    <w:basedOn w:val="a2"/>
    <w:link w:val="HTML"/>
    <w:uiPriority w:val="99"/>
    <w:semiHidden/>
    <w:rsid w:val="0003148D"/>
    <w:rPr>
      <w:i/>
      <w:iCs/>
    </w:rPr>
  </w:style>
  <w:style w:type="paragraph" w:styleId="afb">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c">
    <w:name w:val="Message Header"/>
    <w:basedOn w:val="a1"/>
    <w:link w:val="afd"/>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d">
    <w:name w:val="メッセージ見出し (文字)"/>
    <w:basedOn w:val="a2"/>
    <w:link w:val="afc"/>
    <w:uiPriority w:val="99"/>
    <w:semiHidden/>
    <w:rsid w:val="0003148D"/>
    <w:rPr>
      <w:rFonts w:asciiTheme="majorHAnsi" w:eastAsiaTheme="majorEastAsia" w:hAnsiTheme="majorHAnsi" w:cstheme="majorBidi"/>
      <w:sz w:val="24"/>
      <w:szCs w:val="24"/>
      <w:shd w:val="pct20" w:color="auto" w:fill="auto"/>
    </w:rPr>
  </w:style>
  <w:style w:type="paragraph" w:styleId="afe">
    <w:name w:val="Note Heading"/>
    <w:basedOn w:val="a1"/>
    <w:next w:val="a1"/>
    <w:link w:val="aff"/>
    <w:uiPriority w:val="99"/>
    <w:semiHidden/>
    <w:unhideWhenUsed/>
    <w:rsid w:val="0003148D"/>
    <w:pPr>
      <w:spacing w:line="240" w:lineRule="auto"/>
    </w:pPr>
  </w:style>
  <w:style w:type="character" w:customStyle="1" w:styleId="aff">
    <w:name w:val="記 (文字)"/>
    <w:basedOn w:val="a2"/>
    <w:link w:val="afe"/>
    <w:uiPriority w:val="99"/>
    <w:semiHidden/>
    <w:rsid w:val="0003148D"/>
  </w:style>
  <w:style w:type="paragraph" w:styleId="aff0">
    <w:name w:val="Document Map"/>
    <w:basedOn w:val="a1"/>
    <w:link w:val="aff1"/>
    <w:uiPriority w:val="99"/>
    <w:semiHidden/>
    <w:unhideWhenUsed/>
    <w:rsid w:val="0003148D"/>
    <w:pPr>
      <w:spacing w:line="240" w:lineRule="auto"/>
    </w:pPr>
    <w:rPr>
      <w:rFonts w:ascii="Tahoma" w:hAnsi="Tahoma" w:cs="Tahoma"/>
      <w:sz w:val="16"/>
      <w:szCs w:val="16"/>
    </w:rPr>
  </w:style>
  <w:style w:type="character" w:customStyle="1" w:styleId="aff1">
    <w:name w:val="見出しマップ (文字)"/>
    <w:basedOn w:val="a2"/>
    <w:link w:val="aff0"/>
    <w:uiPriority w:val="99"/>
    <w:semiHidden/>
    <w:rsid w:val="0003148D"/>
    <w:rPr>
      <w:rFonts w:ascii="Tahoma" w:hAnsi="Tahoma" w:cs="Tahoma"/>
      <w:sz w:val="16"/>
      <w:szCs w:val="16"/>
    </w:rPr>
  </w:style>
  <w:style w:type="paragraph" w:styleId="Web">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HTML 書式付き (文字)"/>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本文字下げ (文字)"/>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本文インデント (文字)"/>
    <w:basedOn w:val="a2"/>
    <w:link w:val="aff4"/>
    <w:uiPriority w:val="99"/>
    <w:semiHidden/>
    <w:rsid w:val="0003148D"/>
  </w:style>
  <w:style w:type="paragraph" w:styleId="28">
    <w:name w:val="Body Text First Indent 2"/>
    <w:basedOn w:val="aff4"/>
    <w:link w:val="29"/>
    <w:uiPriority w:val="99"/>
    <w:semiHidden/>
    <w:unhideWhenUsed/>
    <w:rsid w:val="0003148D"/>
    <w:pPr>
      <w:spacing w:after="200"/>
      <w:ind w:left="360" w:firstLine="360"/>
    </w:pPr>
  </w:style>
  <w:style w:type="character" w:customStyle="1" w:styleId="29">
    <w:name w:val="本文字下げ 2 (文字)"/>
    <w:basedOn w:val="aff5"/>
    <w:link w:val="28"/>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a">
    <w:name w:val="Body Text Indent 2"/>
    <w:basedOn w:val="a1"/>
    <w:link w:val="2b"/>
    <w:uiPriority w:val="99"/>
    <w:semiHidden/>
    <w:unhideWhenUsed/>
    <w:rsid w:val="0003148D"/>
    <w:pPr>
      <w:spacing w:after="120" w:line="480" w:lineRule="auto"/>
      <w:ind w:left="283"/>
    </w:pPr>
  </w:style>
  <w:style w:type="character" w:customStyle="1" w:styleId="2b">
    <w:name w:val="本文インデント 2 (文字)"/>
    <w:basedOn w:val="a2"/>
    <w:link w:val="2a"/>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本文インデント 3 (文字)"/>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コメント文字列 (文字)"/>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コメント内容 (文字)"/>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c">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マクロ文字列 (文字)"/>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書式なし (文字)"/>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脚注文字列 (文字)"/>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文末脚注文字列 (文字)"/>
    <w:basedOn w:val="a2"/>
    <w:link w:val="afff2"/>
    <w:uiPriority w:val="99"/>
    <w:semiHidden/>
    <w:rsid w:val="0003148D"/>
    <w:rPr>
      <w:sz w:val="20"/>
      <w:szCs w:val="20"/>
    </w:rPr>
  </w:style>
  <w:style w:type="character" w:customStyle="1" w:styleId="11">
    <w:name w:val="見出し 1 (文字)"/>
    <w:basedOn w:val="a2"/>
    <w:link w:val="10"/>
    <w:uiPriority w:val="9"/>
    <w:rsid w:val="004F5E36"/>
    <w:rPr>
      <w:rFonts w:ascii="Arial" w:eastAsia="Times New Roman" w:hAnsi="Arial" w:cs="Times New Roman"/>
      <w:b/>
      <w:sz w:val="20"/>
      <w:szCs w:val="20"/>
      <w:lang w:val="en-GB"/>
    </w:rPr>
  </w:style>
  <w:style w:type="character" w:customStyle="1" w:styleId="22">
    <w:name w:val="見出し 2 (文字)"/>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見出し 4 (文字)"/>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見出し 5 (文字)"/>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見出し 9 (文字)"/>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ヘッダー (文字)"/>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フッター (文字)"/>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fffd">
    <w:name w:val="List Paragraph"/>
    <w:basedOn w:val="a1"/>
    <w:uiPriority w:val="34"/>
    <w:rsid w:val="00280FAF"/>
    <w:pPr>
      <w:ind w:left="720"/>
      <w:contextualSpacing/>
    </w:pPr>
  </w:style>
  <w:style w:type="character" w:styleId="afffe">
    <w:name w:val="Placeholder Text"/>
    <w:basedOn w:val="a2"/>
    <w:uiPriority w:val="99"/>
    <w:semiHidden/>
    <w:rsid w:val="005638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772833">
      <w:bodyDiv w:val="1"/>
      <w:marLeft w:val="0"/>
      <w:marRight w:val="0"/>
      <w:marTop w:val="0"/>
      <w:marBottom w:val="0"/>
      <w:divBdr>
        <w:top w:val="none" w:sz="0" w:space="0" w:color="auto"/>
        <w:left w:val="none" w:sz="0" w:space="0" w:color="auto"/>
        <w:bottom w:val="none" w:sz="0" w:space="0" w:color="auto"/>
        <w:right w:val="none" w:sz="0" w:space="0" w:color="auto"/>
      </w:divBdr>
    </w:div>
    <w:div w:id="727194027">
      <w:bodyDiv w:val="1"/>
      <w:marLeft w:val="0"/>
      <w:marRight w:val="0"/>
      <w:marTop w:val="0"/>
      <w:marBottom w:val="0"/>
      <w:divBdr>
        <w:top w:val="none" w:sz="0" w:space="0" w:color="auto"/>
        <w:left w:val="none" w:sz="0" w:space="0" w:color="auto"/>
        <w:bottom w:val="none" w:sz="0" w:space="0" w:color="auto"/>
        <w:right w:val="none" w:sz="0" w:space="0" w:color="auto"/>
      </w:divBdr>
    </w:div>
    <w:div w:id="777453580">
      <w:bodyDiv w:val="1"/>
      <w:marLeft w:val="0"/>
      <w:marRight w:val="0"/>
      <w:marTop w:val="0"/>
      <w:marBottom w:val="0"/>
      <w:divBdr>
        <w:top w:val="none" w:sz="0" w:space="0" w:color="auto"/>
        <w:left w:val="none" w:sz="0" w:space="0" w:color="auto"/>
        <w:bottom w:val="none" w:sz="0" w:space="0" w:color="auto"/>
        <w:right w:val="none" w:sz="0" w:space="0" w:color="auto"/>
      </w:divBdr>
      <w:divsChild>
        <w:div w:id="1769933352">
          <w:marLeft w:val="0"/>
          <w:marRight w:val="0"/>
          <w:marTop w:val="0"/>
          <w:marBottom w:val="0"/>
          <w:divBdr>
            <w:top w:val="none" w:sz="0" w:space="0" w:color="auto"/>
            <w:left w:val="none" w:sz="0" w:space="0" w:color="auto"/>
            <w:bottom w:val="none" w:sz="0" w:space="0" w:color="auto"/>
            <w:right w:val="none" w:sz="0" w:space="0" w:color="auto"/>
          </w:divBdr>
          <w:divsChild>
            <w:div w:id="1858691155">
              <w:marLeft w:val="0"/>
              <w:marRight w:val="0"/>
              <w:marTop w:val="0"/>
              <w:marBottom w:val="0"/>
              <w:divBdr>
                <w:top w:val="none" w:sz="0" w:space="0" w:color="auto"/>
                <w:left w:val="none" w:sz="0" w:space="0" w:color="auto"/>
                <w:bottom w:val="none" w:sz="0" w:space="0" w:color="auto"/>
                <w:right w:val="none" w:sz="0" w:space="0" w:color="auto"/>
              </w:divBdr>
              <w:divsChild>
                <w:div w:id="318120151">
                  <w:marLeft w:val="0"/>
                  <w:marRight w:val="0"/>
                  <w:marTop w:val="0"/>
                  <w:marBottom w:val="0"/>
                  <w:divBdr>
                    <w:top w:val="none" w:sz="0" w:space="0" w:color="auto"/>
                    <w:left w:val="none" w:sz="0" w:space="0" w:color="auto"/>
                    <w:bottom w:val="none" w:sz="0" w:space="0" w:color="auto"/>
                    <w:right w:val="none" w:sz="0" w:space="0" w:color="auto"/>
                  </w:divBdr>
                  <w:divsChild>
                    <w:div w:id="1709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027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8694">
      <w:bodyDiv w:val="1"/>
      <w:marLeft w:val="0"/>
      <w:marRight w:val="0"/>
      <w:marTop w:val="0"/>
      <w:marBottom w:val="0"/>
      <w:divBdr>
        <w:top w:val="none" w:sz="0" w:space="0" w:color="auto"/>
        <w:left w:val="none" w:sz="0" w:space="0" w:color="auto"/>
        <w:bottom w:val="none" w:sz="0" w:space="0" w:color="auto"/>
        <w:right w:val="none" w:sz="0" w:space="0" w:color="auto"/>
      </w:divBdr>
    </w:div>
    <w:div w:id="193188727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Pages>
  <Words>3154</Words>
  <Characters>17978</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Dipartimento CMIC - Politecnico di Milano</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Hayato Masuda</cp:lastModifiedBy>
  <cp:revision>59</cp:revision>
  <cp:lastPrinted>2015-05-12T18:31:00Z</cp:lastPrinted>
  <dcterms:created xsi:type="dcterms:W3CDTF">2023-02-10T13:41:00Z</dcterms:created>
  <dcterms:modified xsi:type="dcterms:W3CDTF">2023-04-14T03:24:00Z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