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EB59AD">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EB59AD">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EB59AD">
        <w:trPr>
          <w:trHeight w:val="68"/>
          <w:jc w:val="center"/>
        </w:trPr>
        <w:tc>
          <w:tcPr>
            <w:tcW w:w="8782" w:type="dxa"/>
            <w:gridSpan w:val="2"/>
          </w:tcPr>
          <w:p w14:paraId="1D8DD3C9" w14:textId="77777777"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r w:rsidRPr="00293D18">
              <w:rPr>
                <w:rFonts w:ascii="Tahoma" w:hAnsi="Tahoma" w:cs="Tahoma"/>
                <w:sz w:val="14"/>
                <w:szCs w:val="14"/>
              </w:rPr>
              <w:t xml:space="preserve">, </w:t>
            </w:r>
            <w:proofErr w:type="spellStart"/>
            <w:r w:rsidRPr="00293D18">
              <w:rPr>
                <w:rFonts w:ascii="Tahoma" w:hAnsi="Tahoma" w:cs="Tahoma"/>
                <w:sz w:val="14"/>
                <w:szCs w:val="14"/>
                <w:shd w:val="clear" w:color="auto" w:fill="FFFFFF"/>
              </w:rPr>
              <w:t>Jiří</w:t>
            </w:r>
            <w:proofErr w:type="spellEnd"/>
            <w:r w:rsidRPr="00293D18">
              <w:rPr>
                <w:rFonts w:ascii="Tahoma" w:hAnsi="Tahoma" w:cs="Tahoma"/>
                <w:sz w:val="14"/>
                <w:szCs w:val="14"/>
                <w:shd w:val="clear" w:color="auto" w:fill="FFFFFF"/>
              </w:rPr>
              <w:t xml:space="preserve"> Jaromír </w:t>
            </w:r>
            <w:proofErr w:type="spellStart"/>
            <w:r w:rsidRPr="00293D18">
              <w:rPr>
                <w:rFonts w:ascii="Tahoma" w:hAnsi="Tahoma" w:cs="Tahoma"/>
                <w:sz w:val="14"/>
                <w:szCs w:val="14"/>
                <w:shd w:val="clear" w:color="auto" w:fill="FFFFFF"/>
              </w:rPr>
              <w:t>Klemeš</w:t>
            </w:r>
            <w:proofErr w:type="spellEnd"/>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6CC7E24E" w:rsidR="00E978D0" w:rsidRPr="00D34A80" w:rsidRDefault="00E60372" w:rsidP="00EB59AD">
      <w:pPr>
        <w:pStyle w:val="CETBodytext"/>
        <w:jc w:val="center"/>
        <w:rPr>
          <w:b/>
          <w:bCs/>
          <w:sz w:val="32"/>
        </w:rPr>
      </w:pPr>
      <w:r w:rsidRPr="00D34A80">
        <w:rPr>
          <w:b/>
          <w:bCs/>
          <w:sz w:val="32"/>
        </w:rPr>
        <w:t xml:space="preserve">Exploiting tannery sludge as renewable resource for </w:t>
      </w:r>
      <w:r w:rsidR="005150C9">
        <w:rPr>
          <w:b/>
          <w:bCs/>
          <w:sz w:val="32"/>
        </w:rPr>
        <w:t xml:space="preserve">biogas and </w:t>
      </w:r>
      <w:r w:rsidRPr="00D34A80">
        <w:rPr>
          <w:b/>
          <w:bCs/>
          <w:sz w:val="32"/>
        </w:rPr>
        <w:t>short-chain fatty (SCFAs) acids production</w:t>
      </w:r>
      <w:r w:rsidR="00C7419E" w:rsidRPr="00D34A80">
        <w:rPr>
          <w:b/>
          <w:bCs/>
          <w:sz w:val="32"/>
        </w:rPr>
        <w:t xml:space="preserve"> </w:t>
      </w:r>
    </w:p>
    <w:p w14:paraId="0A68CD7E" w14:textId="77777777" w:rsidR="00747C2A" w:rsidRPr="0019430C" w:rsidRDefault="00747C2A" w:rsidP="00747C2A">
      <w:pPr>
        <w:pStyle w:val="CETBodytext"/>
        <w:rPr>
          <w:b/>
          <w:bCs/>
          <w:strike/>
        </w:rPr>
      </w:pPr>
    </w:p>
    <w:p w14:paraId="0488FED2" w14:textId="2A701E03" w:rsidR="00B57E6F" w:rsidRPr="00EB59AD" w:rsidRDefault="000D7703" w:rsidP="00820F52">
      <w:pPr>
        <w:pStyle w:val="CETAuthors"/>
        <w:rPr>
          <w:lang w:val="it-IT"/>
        </w:rPr>
      </w:pPr>
      <w:r w:rsidRPr="00EB59AD">
        <w:rPr>
          <w:lang w:val="it-IT"/>
        </w:rPr>
        <w:t>Marco Gottardo*</w:t>
      </w:r>
      <w:r>
        <w:rPr>
          <w:lang w:val="it-IT"/>
        </w:rPr>
        <w:t xml:space="preserve">, </w:t>
      </w:r>
      <w:r w:rsidR="00EB59AD" w:rsidRPr="00EB59AD">
        <w:rPr>
          <w:lang w:val="it-IT"/>
        </w:rPr>
        <w:t>Giulia A.</w:t>
      </w:r>
      <w:r w:rsidR="00EB59AD" w:rsidRPr="00EB59AD">
        <w:rPr>
          <w:vertAlign w:val="superscript"/>
          <w:lang w:val="it-IT"/>
        </w:rPr>
        <w:t xml:space="preserve"> </w:t>
      </w:r>
      <w:r w:rsidR="00EB59AD" w:rsidRPr="00EB59AD">
        <w:rPr>
          <w:lang w:val="it-IT"/>
        </w:rPr>
        <w:t>Tuci, Francesco Valentino, Paolo Pavan</w:t>
      </w:r>
    </w:p>
    <w:p w14:paraId="32127A7E" w14:textId="4FED42C0" w:rsidR="00EB59AD" w:rsidRPr="00EB59AD" w:rsidRDefault="00EB59AD" w:rsidP="00820F52">
      <w:pPr>
        <w:pStyle w:val="CETAddress"/>
        <w:rPr>
          <w:lang w:val="en-US"/>
        </w:rPr>
      </w:pPr>
      <w:r w:rsidRPr="00EB59AD">
        <w:rPr>
          <w:lang w:val="en-US"/>
        </w:rPr>
        <w:t>Department of Environmental Science</w:t>
      </w:r>
      <w:r w:rsidR="00A00D63">
        <w:rPr>
          <w:lang w:val="en-US"/>
        </w:rPr>
        <w:t>s</w:t>
      </w:r>
      <w:r w:rsidRPr="00EB59AD">
        <w:rPr>
          <w:lang w:val="en-US"/>
        </w:rPr>
        <w:t xml:space="preserve">, Informatics and Statistics, Ca’ Foscari University of Venice, </w:t>
      </w:r>
      <w:r w:rsidR="00A00D63">
        <w:rPr>
          <w:lang w:val="en-US"/>
        </w:rPr>
        <w:t xml:space="preserve">Via Torino 155, 30172, </w:t>
      </w:r>
      <w:r w:rsidRPr="00EB59AD">
        <w:rPr>
          <w:lang w:val="en-US"/>
        </w:rPr>
        <w:t>Mestre-Venice, Italy</w:t>
      </w:r>
    </w:p>
    <w:p w14:paraId="5387BC34" w14:textId="77777777" w:rsidR="00EB59AD" w:rsidRDefault="00EB59AD" w:rsidP="00600535">
      <w:pPr>
        <w:rPr>
          <w:noProof/>
          <w:sz w:val="16"/>
        </w:rPr>
      </w:pPr>
      <w:r w:rsidRPr="00EB59AD">
        <w:rPr>
          <w:noProof/>
          <w:sz w:val="16"/>
        </w:rPr>
        <w:t xml:space="preserve">marco.gottardo@unive.it </w:t>
      </w:r>
    </w:p>
    <w:p w14:paraId="10BB2EFB" w14:textId="6B1CBF2B" w:rsidR="00EB59AD" w:rsidRDefault="00EB59AD" w:rsidP="00600535">
      <w:pPr>
        <w:rPr>
          <w:noProof/>
          <w:sz w:val="16"/>
        </w:rPr>
      </w:pPr>
    </w:p>
    <w:p w14:paraId="6B645619" w14:textId="03EB8568" w:rsidR="00C94DAD" w:rsidRPr="00F003CF" w:rsidRDefault="00E227C3" w:rsidP="00C94DAD">
      <w:pPr>
        <w:rPr>
          <w:lang w:val="en-US"/>
        </w:rPr>
      </w:pPr>
      <w:r w:rsidRPr="00E227C3">
        <w:t xml:space="preserve">The tannery industry is a very lucrative and widespread sector in </w:t>
      </w:r>
      <w:r w:rsidR="00615FF3" w:rsidRPr="00E227C3">
        <w:t>Italy,</w:t>
      </w:r>
      <w:r w:rsidR="00852C32">
        <w:t xml:space="preserve"> and </w:t>
      </w:r>
      <w:r w:rsidRPr="00E227C3">
        <w:t xml:space="preserve">it is </w:t>
      </w:r>
      <w:r w:rsidR="00852C32">
        <w:t xml:space="preserve">yet </w:t>
      </w:r>
      <w:r w:rsidRPr="00E227C3">
        <w:t>one of the most polluting</w:t>
      </w:r>
      <w:r w:rsidR="00852C32">
        <w:t>,</w:t>
      </w:r>
      <w:r w:rsidRPr="00E227C3">
        <w:t xml:space="preserve"> mainly due to </w:t>
      </w:r>
      <w:r w:rsidR="008A4CE4">
        <w:t xml:space="preserve">the </w:t>
      </w:r>
      <w:r w:rsidRPr="00E227C3">
        <w:t>tannery sludge</w:t>
      </w:r>
      <w:r w:rsidR="00C7419E">
        <w:t>’s</w:t>
      </w:r>
      <w:r w:rsidRPr="00E227C3">
        <w:t xml:space="preserve"> disposal in landfills, as it is considered a special residue by Italian legislation. An evaluation of the performance of the anaerobic fermentation process to obtain biogas and </w:t>
      </w:r>
      <w:r w:rsidR="00C7419E">
        <w:t>short-chain fatty acids (</w:t>
      </w:r>
      <w:r w:rsidRPr="00E227C3">
        <w:t>SCFAs</w:t>
      </w:r>
      <w:r w:rsidR="00C7419E">
        <w:t>)</w:t>
      </w:r>
      <w:r w:rsidRPr="00E227C3">
        <w:t xml:space="preserve"> has been performed in this paper in different conditions concerning temperature, total solids content</w:t>
      </w:r>
      <w:r w:rsidR="001B34EB">
        <w:t>,</w:t>
      </w:r>
      <w:r w:rsidRPr="00E227C3">
        <w:t xml:space="preserve"> and oxidizing and</w:t>
      </w:r>
      <w:r w:rsidR="00C7419E">
        <w:t>/or</w:t>
      </w:r>
      <w:r w:rsidRPr="00E227C3">
        <w:t xml:space="preserve"> thermal pretreatments. The batch test trials revealed that the hydrogen peroxide pretreatment proved to be effective in increasing the biogas production, </w:t>
      </w:r>
      <w:r w:rsidR="00B45A8C">
        <w:t>already at low doses but r</w:t>
      </w:r>
      <w:r w:rsidRPr="00E227C3">
        <w:t xml:space="preserve">eaching </w:t>
      </w:r>
      <w:r w:rsidR="00B45A8C">
        <w:t>the highest</w:t>
      </w:r>
      <w:r w:rsidRPr="00E227C3">
        <w:t xml:space="preserve"> </w:t>
      </w:r>
      <w:r w:rsidR="00B45A8C">
        <w:t>amount</w:t>
      </w:r>
      <w:r w:rsidRPr="00E227C3">
        <w:t xml:space="preserve"> of 204 mL</w:t>
      </w:r>
      <w:r w:rsidR="00B45A8C">
        <w:t xml:space="preserve"> with the dose of </w:t>
      </w:r>
      <w:r w:rsidR="00B45A8C" w:rsidRPr="00E227C3">
        <w:t>0.6 g H</w:t>
      </w:r>
      <w:r w:rsidR="00B45A8C" w:rsidRPr="00E227C3">
        <w:rPr>
          <w:vertAlign w:val="subscript"/>
        </w:rPr>
        <w:t>2</w:t>
      </w:r>
      <w:r w:rsidR="00B45A8C" w:rsidRPr="00E227C3">
        <w:t>O</w:t>
      </w:r>
      <w:r w:rsidR="00B45A8C" w:rsidRPr="00E227C3">
        <w:rPr>
          <w:vertAlign w:val="subscript"/>
        </w:rPr>
        <w:t>2</w:t>
      </w:r>
      <w:r w:rsidR="00B45A8C" w:rsidRPr="00E227C3">
        <w:t>/</w:t>
      </w:r>
      <w:proofErr w:type="spellStart"/>
      <w:r w:rsidR="00B45A8C" w:rsidRPr="00E227C3">
        <w:t>gTS</w:t>
      </w:r>
      <w:proofErr w:type="spellEnd"/>
      <w:r w:rsidRPr="00E227C3">
        <w:t xml:space="preserve">. </w:t>
      </w:r>
      <w:r w:rsidR="008A4CE4">
        <w:t>Regarding</w:t>
      </w:r>
      <w:r w:rsidRPr="00E227C3">
        <w:t xml:space="preserve"> the SCFAs production, the combined microwave and hydrogen peroxide (MW-H</w:t>
      </w:r>
      <w:r w:rsidRPr="00E227C3">
        <w:rPr>
          <w:vertAlign w:val="subscript"/>
        </w:rPr>
        <w:t>2</w:t>
      </w:r>
      <w:r w:rsidRPr="00E227C3">
        <w:t>O</w:t>
      </w:r>
      <w:r w:rsidRPr="00E227C3">
        <w:rPr>
          <w:vertAlign w:val="subscript"/>
        </w:rPr>
        <w:t>2</w:t>
      </w:r>
      <w:r w:rsidRPr="00E227C3">
        <w:t xml:space="preserve">) </w:t>
      </w:r>
      <w:proofErr w:type="spellStart"/>
      <w:r w:rsidRPr="00E227C3">
        <w:t>pretreatment</w:t>
      </w:r>
      <w:proofErr w:type="spellEnd"/>
      <w:r w:rsidRPr="00E227C3">
        <w:t xml:space="preserve"> followed by thermophilic conditions gave the best results, with maximal SCFA concentration above </w:t>
      </w:r>
      <w:r w:rsidR="00C94DAD" w:rsidRPr="00F003CF">
        <w:rPr>
          <w:lang w:val="en-US"/>
        </w:rPr>
        <w:t>24 g COD</w:t>
      </w:r>
      <w:r w:rsidR="00C94DAD" w:rsidRPr="00F003CF">
        <w:rPr>
          <w:vertAlign w:val="subscript"/>
          <w:lang w:val="en-US"/>
        </w:rPr>
        <w:t>SCFA</w:t>
      </w:r>
      <w:r w:rsidR="00C94DAD" w:rsidRPr="00F003CF">
        <w:rPr>
          <w:lang w:val="en-US"/>
        </w:rPr>
        <w:t xml:space="preserve">/L. </w:t>
      </w:r>
    </w:p>
    <w:p w14:paraId="5E9B00A4" w14:textId="6F6500ED" w:rsidR="00E227C3" w:rsidRPr="00E227C3" w:rsidRDefault="00E227C3" w:rsidP="00E227C3">
      <w:pPr>
        <w:pStyle w:val="CETBodytext"/>
      </w:pPr>
      <w:r w:rsidRPr="00E227C3">
        <w:t xml:space="preserve">In the tests conducted without pretreatment, the mesophilic temperature </w:t>
      </w:r>
      <w:r w:rsidR="008A4CE4">
        <w:t xml:space="preserve">seem preferable </w:t>
      </w:r>
      <w:r w:rsidRPr="00E227C3">
        <w:t>since the acidification performances were comparable to or even better than their thermophilic counterparts</w:t>
      </w:r>
      <w:r w:rsidR="008A4CE4">
        <w:t xml:space="preserve"> while being less energy intensive</w:t>
      </w:r>
      <w:r w:rsidRPr="00E227C3">
        <w:t>. The obtained results prove</w:t>
      </w:r>
      <w:r w:rsidR="00852C32">
        <w:t>d</w:t>
      </w:r>
      <w:r w:rsidRPr="00E227C3">
        <w:t xml:space="preserve"> that </w:t>
      </w:r>
      <w:r w:rsidR="00852C32" w:rsidRPr="00E227C3">
        <w:t>t</w:t>
      </w:r>
      <w:r w:rsidR="00852C32">
        <w:t>annery</w:t>
      </w:r>
      <w:r w:rsidR="00852C32" w:rsidRPr="00E227C3">
        <w:t xml:space="preserve"> </w:t>
      </w:r>
      <w:r w:rsidR="00852C32">
        <w:t>sludge</w:t>
      </w:r>
      <w:r w:rsidR="00852C32" w:rsidRPr="00E227C3">
        <w:t xml:space="preserve"> </w:t>
      </w:r>
      <w:r w:rsidRPr="00E227C3">
        <w:t>can be employed in different ways and provide a viable alternative to landfilling, to handle this waste in a greener way</w:t>
      </w:r>
      <w:r w:rsidR="00C7419E">
        <w:t>,</w:t>
      </w:r>
      <w:r w:rsidRPr="00E227C3">
        <w:t xml:space="preserve"> in a circular economy approach. </w:t>
      </w:r>
    </w:p>
    <w:p w14:paraId="17E27445" w14:textId="77777777" w:rsidR="00EB59AD" w:rsidRDefault="00EB59AD" w:rsidP="00600535">
      <w:pPr>
        <w:rPr>
          <w:noProof/>
          <w:sz w:val="16"/>
        </w:rPr>
      </w:pPr>
    </w:p>
    <w:p w14:paraId="4F9BB836" w14:textId="23F6BD52" w:rsidR="00A50910" w:rsidRPr="00A50910" w:rsidRDefault="00EB59AD" w:rsidP="00A50910">
      <w:pPr>
        <w:pStyle w:val="CETHeading1"/>
      </w:pPr>
      <w:r w:rsidRPr="00EB59AD">
        <w:t xml:space="preserve">Introduction </w:t>
      </w:r>
    </w:p>
    <w:p w14:paraId="75B32E97" w14:textId="0B7A451D" w:rsidR="00A50910" w:rsidRPr="00A50910" w:rsidRDefault="00E227C3" w:rsidP="00A50910">
      <w:pPr>
        <w:pStyle w:val="NormaleWeb"/>
        <w:rPr>
          <w:sz w:val="18"/>
          <w:szCs w:val="20"/>
          <w:lang w:val="en-US"/>
        </w:rPr>
      </w:pPr>
      <w:r w:rsidRPr="00A50910">
        <w:rPr>
          <w:sz w:val="18"/>
          <w:szCs w:val="20"/>
          <w:lang w:val="en-US"/>
        </w:rPr>
        <w:t>The tannery industry is considered one of the m</w:t>
      </w:r>
      <w:r w:rsidR="00C7419E" w:rsidRPr="00A50910">
        <w:rPr>
          <w:sz w:val="18"/>
          <w:szCs w:val="20"/>
          <w:lang w:val="en-US"/>
        </w:rPr>
        <w:t>ost</w:t>
      </w:r>
      <w:r w:rsidRPr="00A50910">
        <w:rPr>
          <w:sz w:val="18"/>
          <w:szCs w:val="20"/>
          <w:lang w:val="en-US"/>
        </w:rPr>
        <w:t xml:space="preserve"> pollut</w:t>
      </w:r>
      <w:r w:rsidR="00C7419E" w:rsidRPr="00A50910">
        <w:rPr>
          <w:sz w:val="18"/>
          <w:szCs w:val="20"/>
          <w:lang w:val="en-US"/>
        </w:rPr>
        <w:t>ing sectors</w:t>
      </w:r>
      <w:r w:rsidRPr="00A50910">
        <w:rPr>
          <w:sz w:val="18"/>
          <w:szCs w:val="20"/>
          <w:lang w:val="en-US"/>
        </w:rPr>
        <w:t>, as it is chemical intensive and characterized by large volumes of effluent</w:t>
      </w:r>
      <w:r w:rsidR="00852C32" w:rsidRPr="00A50910">
        <w:rPr>
          <w:sz w:val="18"/>
          <w:szCs w:val="20"/>
          <w:lang w:val="en-US"/>
        </w:rPr>
        <w:t>s</w:t>
      </w:r>
      <w:r w:rsidRPr="00A50910">
        <w:rPr>
          <w:sz w:val="18"/>
          <w:szCs w:val="20"/>
          <w:lang w:val="en-US"/>
        </w:rPr>
        <w:t xml:space="preserve"> a</w:t>
      </w:r>
      <w:r w:rsidR="00852C32" w:rsidRPr="00A50910">
        <w:rPr>
          <w:sz w:val="18"/>
          <w:szCs w:val="20"/>
          <w:lang w:val="en-US"/>
        </w:rPr>
        <w:t xml:space="preserve">s well as </w:t>
      </w:r>
      <w:r w:rsidRPr="00A50910">
        <w:rPr>
          <w:sz w:val="18"/>
          <w:szCs w:val="20"/>
          <w:lang w:val="en-US"/>
        </w:rPr>
        <w:t>the production of a sludge</w:t>
      </w:r>
      <w:r w:rsidR="00852C32" w:rsidRPr="00A50910">
        <w:rPr>
          <w:sz w:val="18"/>
          <w:szCs w:val="20"/>
          <w:lang w:val="en-US"/>
        </w:rPr>
        <w:t>, which</w:t>
      </w:r>
      <w:r w:rsidRPr="00A50910">
        <w:rPr>
          <w:sz w:val="18"/>
          <w:szCs w:val="20"/>
          <w:lang w:val="en-US"/>
        </w:rPr>
        <w:t xml:space="preserve"> contains high amounts of organics and inorganics such as toxic metal salts, </w:t>
      </w:r>
      <w:r w:rsidR="00852C32" w:rsidRPr="00A50910">
        <w:rPr>
          <w:sz w:val="18"/>
          <w:szCs w:val="20"/>
          <w:lang w:val="en-US"/>
        </w:rPr>
        <w:t xml:space="preserve">usually </w:t>
      </w:r>
      <w:r w:rsidRPr="00A50910">
        <w:rPr>
          <w:sz w:val="18"/>
          <w:szCs w:val="20"/>
          <w:lang w:val="en-US"/>
        </w:rPr>
        <w:t>employed in the tanning process (</w:t>
      </w:r>
      <w:r w:rsidR="00B45A8C" w:rsidRPr="00A50910">
        <w:rPr>
          <w:sz w:val="18"/>
          <w:szCs w:val="20"/>
          <w:lang w:val="en-US"/>
        </w:rPr>
        <w:t>M</w:t>
      </w:r>
      <w:r w:rsidRPr="00A50910">
        <w:rPr>
          <w:sz w:val="18"/>
          <w:szCs w:val="20"/>
          <w:lang w:val="en-US"/>
        </w:rPr>
        <w:t>pofu</w:t>
      </w:r>
      <w:r w:rsidR="00B45A8C" w:rsidRPr="00A50910">
        <w:rPr>
          <w:sz w:val="18"/>
          <w:szCs w:val="20"/>
          <w:lang w:val="en-US"/>
        </w:rPr>
        <w:t xml:space="preserve"> et al.,</w:t>
      </w:r>
      <w:r w:rsidRPr="00A50910">
        <w:rPr>
          <w:sz w:val="18"/>
          <w:szCs w:val="20"/>
          <w:lang w:val="en-US"/>
        </w:rPr>
        <w:t xml:space="preserve"> </w:t>
      </w:r>
      <w:r w:rsidR="00B45A8C" w:rsidRPr="00A50910">
        <w:rPr>
          <w:sz w:val="18"/>
          <w:szCs w:val="20"/>
          <w:lang w:val="en-US"/>
        </w:rPr>
        <w:t>20</w:t>
      </w:r>
      <w:r w:rsidRPr="00A50910">
        <w:rPr>
          <w:sz w:val="18"/>
          <w:szCs w:val="20"/>
          <w:lang w:val="en-US"/>
        </w:rPr>
        <w:t>21</w:t>
      </w:r>
      <w:r w:rsidR="00F238A2">
        <w:rPr>
          <w:sz w:val="18"/>
          <w:szCs w:val="20"/>
          <w:lang w:val="en-US"/>
        </w:rPr>
        <w:t xml:space="preserve">; </w:t>
      </w:r>
      <w:proofErr w:type="spellStart"/>
      <w:r w:rsidR="00F238A2">
        <w:rPr>
          <w:sz w:val="18"/>
          <w:szCs w:val="20"/>
          <w:lang w:val="en-US"/>
        </w:rPr>
        <w:t>Basegio</w:t>
      </w:r>
      <w:proofErr w:type="spellEnd"/>
      <w:r w:rsidR="00F238A2">
        <w:rPr>
          <w:sz w:val="18"/>
          <w:szCs w:val="20"/>
          <w:lang w:val="en-US"/>
        </w:rPr>
        <w:t xml:space="preserve"> et al., 2022</w:t>
      </w:r>
      <w:r w:rsidRPr="00A50910">
        <w:rPr>
          <w:sz w:val="18"/>
          <w:szCs w:val="20"/>
          <w:lang w:val="en-US"/>
        </w:rPr>
        <w:t>)</w:t>
      </w:r>
      <w:r w:rsidR="00701CE8" w:rsidRPr="00A50910">
        <w:rPr>
          <w:sz w:val="18"/>
          <w:szCs w:val="20"/>
          <w:lang w:val="en-US"/>
        </w:rPr>
        <w:t>.</w:t>
      </w:r>
      <w:r w:rsidR="00852C32" w:rsidRPr="00A50910">
        <w:rPr>
          <w:sz w:val="18"/>
          <w:szCs w:val="20"/>
          <w:lang w:val="en-US"/>
        </w:rPr>
        <w:t xml:space="preserve"> </w:t>
      </w:r>
      <w:r w:rsidR="00A50910" w:rsidRPr="00A50910">
        <w:rPr>
          <w:sz w:val="18"/>
          <w:szCs w:val="20"/>
          <w:lang w:val="en-US"/>
        </w:rPr>
        <w:t xml:space="preserve">This sludge is also characterized by the presence of </w:t>
      </w:r>
      <w:r w:rsidR="005B0A26">
        <w:rPr>
          <w:sz w:val="18"/>
          <w:szCs w:val="20"/>
          <w:lang w:val="en-US"/>
        </w:rPr>
        <w:t>c</w:t>
      </w:r>
      <w:r w:rsidR="00A50910" w:rsidRPr="00A50910">
        <w:rPr>
          <w:sz w:val="18"/>
          <w:szCs w:val="20"/>
          <w:lang w:val="en-US"/>
        </w:rPr>
        <w:t>hromium</w:t>
      </w:r>
      <w:r w:rsidR="005B0A26">
        <w:rPr>
          <w:sz w:val="18"/>
          <w:szCs w:val="20"/>
          <w:lang w:val="en-US"/>
        </w:rPr>
        <w:t>; for this reason, it</w:t>
      </w:r>
      <w:r w:rsidR="00A50910" w:rsidRPr="00A50910">
        <w:rPr>
          <w:sz w:val="18"/>
          <w:szCs w:val="20"/>
          <w:lang w:val="en-US"/>
        </w:rPr>
        <w:t xml:space="preserve"> is considered a special non-hazardous waste by the Italian legislation (Ronchi Decree, 1997) and consequently </w:t>
      </w:r>
      <w:proofErr w:type="gramStart"/>
      <w:r w:rsidR="00A50910" w:rsidRPr="00A50910">
        <w:rPr>
          <w:sz w:val="18"/>
          <w:szCs w:val="20"/>
          <w:lang w:val="en-US"/>
        </w:rPr>
        <w:t>has to</w:t>
      </w:r>
      <w:proofErr w:type="gramEnd"/>
      <w:r w:rsidR="00A50910" w:rsidRPr="00A50910">
        <w:rPr>
          <w:sz w:val="18"/>
          <w:szCs w:val="20"/>
          <w:lang w:val="en-US"/>
        </w:rPr>
        <w:t xml:space="preserve"> be disposed of in special landfills, namely a second-class type B controlled landfill (</w:t>
      </w:r>
      <w:proofErr w:type="spellStart"/>
      <w:r w:rsidR="00A50910" w:rsidRPr="00A50910">
        <w:rPr>
          <w:sz w:val="18"/>
          <w:szCs w:val="20"/>
          <w:lang w:val="en-US"/>
        </w:rPr>
        <w:t>D.Lgs</w:t>
      </w:r>
      <w:proofErr w:type="spellEnd"/>
      <w:r w:rsidR="00A50910" w:rsidRPr="00A50910">
        <w:rPr>
          <w:sz w:val="18"/>
          <w:szCs w:val="20"/>
          <w:lang w:val="en-US"/>
        </w:rPr>
        <w:t xml:space="preserve">. 04/06). </w:t>
      </w:r>
    </w:p>
    <w:p w14:paraId="1C62C5BF" w14:textId="7415ADDE" w:rsidR="00E227C3" w:rsidRPr="00E227C3" w:rsidRDefault="00E227C3" w:rsidP="00E227C3">
      <w:pPr>
        <w:rPr>
          <w:lang w:val="en-US"/>
        </w:rPr>
      </w:pPr>
      <w:r w:rsidRPr="00E227C3">
        <w:rPr>
          <w:lang w:val="en-US"/>
        </w:rPr>
        <w:t xml:space="preserve">Consequently, the environmental impact of this industry is non-negligible, and the costs sustained by the tannery industries to dispose of the generated waste are very high, creating the need to find more sustainable and less costly alternatives. </w:t>
      </w:r>
    </w:p>
    <w:p w14:paraId="37E441B0" w14:textId="669B03A2" w:rsidR="0031503B" w:rsidRPr="00E227C3" w:rsidRDefault="0031503B" w:rsidP="00E227C3">
      <w:pPr>
        <w:rPr>
          <w:lang w:val="en-US"/>
        </w:rPr>
      </w:pPr>
      <w:r w:rsidRPr="0031503B">
        <w:rPr>
          <w:lang w:val="en-US"/>
        </w:rPr>
        <w:t xml:space="preserve">Anaerobic fermentation is a stage of anaerobic digestion in which organisms digest organic matter, transforming </w:t>
      </w:r>
      <w:r>
        <w:rPr>
          <w:lang w:val="en-US"/>
        </w:rPr>
        <w:t>it</w:t>
      </w:r>
      <w:r w:rsidRPr="0031503B">
        <w:rPr>
          <w:lang w:val="en-US"/>
        </w:rPr>
        <w:t xml:space="preserve"> into </w:t>
      </w:r>
      <w:r w:rsidR="00852C32">
        <w:rPr>
          <w:lang w:val="en-US"/>
        </w:rPr>
        <w:t xml:space="preserve">mainly short-chain fatty acids (SCFAs) and </w:t>
      </w:r>
      <w:r>
        <w:rPr>
          <w:lang w:val="en-US"/>
        </w:rPr>
        <w:t>CO</w:t>
      </w:r>
      <w:r>
        <w:rPr>
          <w:vertAlign w:val="subscript"/>
          <w:lang w:val="en-US"/>
        </w:rPr>
        <w:t>2</w:t>
      </w:r>
      <w:r w:rsidR="00852C32">
        <w:rPr>
          <w:vertAlign w:val="subscript"/>
          <w:lang w:val="en-US"/>
        </w:rPr>
        <w:t xml:space="preserve">, </w:t>
      </w:r>
      <w:r>
        <w:rPr>
          <w:lang w:val="en-US"/>
        </w:rPr>
        <w:t xml:space="preserve">and </w:t>
      </w:r>
      <w:r w:rsidR="00852C32">
        <w:rPr>
          <w:lang w:val="en-US"/>
        </w:rPr>
        <w:t xml:space="preserve">producing </w:t>
      </w:r>
      <w:r>
        <w:rPr>
          <w:lang w:val="en-US"/>
        </w:rPr>
        <w:t>H</w:t>
      </w:r>
      <w:r>
        <w:rPr>
          <w:vertAlign w:val="subscript"/>
          <w:lang w:val="en-US"/>
        </w:rPr>
        <w:t>2</w:t>
      </w:r>
      <w:r w:rsidRPr="0031503B">
        <w:rPr>
          <w:lang w:val="en-US"/>
        </w:rPr>
        <w:t xml:space="preserve"> </w:t>
      </w:r>
      <w:r w:rsidR="000E4298">
        <w:rPr>
          <w:lang w:val="en-US"/>
        </w:rPr>
        <w:t xml:space="preserve">in a wide range of gas percentage, </w:t>
      </w:r>
      <w:r w:rsidRPr="0031503B">
        <w:rPr>
          <w:lang w:val="en-US"/>
        </w:rPr>
        <w:t xml:space="preserve">through three </w:t>
      </w:r>
      <w:r w:rsidR="000E4298">
        <w:rPr>
          <w:lang w:val="en-US"/>
        </w:rPr>
        <w:t>steps</w:t>
      </w:r>
      <w:r w:rsidRPr="0031503B">
        <w:rPr>
          <w:lang w:val="en-US"/>
        </w:rPr>
        <w:t>: hydrolysis, acidogenesis</w:t>
      </w:r>
      <w:r w:rsidR="00D374AE">
        <w:rPr>
          <w:lang w:val="en-US"/>
        </w:rPr>
        <w:t>,</w:t>
      </w:r>
      <w:r w:rsidRPr="0031503B">
        <w:rPr>
          <w:lang w:val="en-US"/>
        </w:rPr>
        <w:t xml:space="preserve"> and acetogenesis. </w:t>
      </w:r>
      <w:r w:rsidR="000E4298">
        <w:rPr>
          <w:lang w:val="en-US"/>
        </w:rPr>
        <w:t xml:space="preserve">The </w:t>
      </w:r>
      <w:r>
        <w:rPr>
          <w:lang w:val="en-US"/>
        </w:rPr>
        <w:t>SCFAs</w:t>
      </w:r>
      <w:r w:rsidRPr="0031503B">
        <w:rPr>
          <w:lang w:val="en-US"/>
        </w:rPr>
        <w:t xml:space="preserve"> </w:t>
      </w:r>
      <w:r w:rsidR="00D374AE">
        <w:rPr>
          <w:lang w:val="en-US"/>
        </w:rPr>
        <w:t>are</w:t>
      </w:r>
      <w:r w:rsidRPr="0031503B">
        <w:rPr>
          <w:lang w:val="en-US"/>
        </w:rPr>
        <w:t xml:space="preserve"> produced when fermentative bacteria break down soluble chemicals derived from the hydrolysis phase during the acetogenesis phase</w:t>
      </w:r>
      <w:r>
        <w:rPr>
          <w:lang w:val="en-US"/>
        </w:rPr>
        <w:t xml:space="preserve"> (Valentino et al., 2022)</w:t>
      </w:r>
      <w:r w:rsidRPr="0031503B">
        <w:rPr>
          <w:lang w:val="en-US"/>
        </w:rPr>
        <w:t xml:space="preserve">. </w:t>
      </w:r>
      <w:r>
        <w:rPr>
          <w:lang w:val="en-US"/>
        </w:rPr>
        <w:t xml:space="preserve">The final step of anaerobic digestion is methanogenesis during which </w:t>
      </w:r>
      <w:r w:rsidR="000E4298">
        <w:rPr>
          <w:lang w:val="en-US"/>
        </w:rPr>
        <w:t xml:space="preserve">biogas </w:t>
      </w:r>
      <w:r>
        <w:rPr>
          <w:lang w:val="en-US"/>
        </w:rPr>
        <w:t>is produced</w:t>
      </w:r>
      <w:r w:rsidR="000E4298">
        <w:rPr>
          <w:lang w:val="en-US"/>
        </w:rPr>
        <w:t xml:space="preserve"> mainly by utilizing H</w:t>
      </w:r>
      <w:r w:rsidR="000E4298" w:rsidRPr="001C3135">
        <w:rPr>
          <w:vertAlign w:val="subscript"/>
          <w:lang w:val="en-US"/>
        </w:rPr>
        <w:t>2</w:t>
      </w:r>
      <w:r w:rsidR="000E4298">
        <w:rPr>
          <w:lang w:val="en-US"/>
        </w:rPr>
        <w:t xml:space="preserve"> as electron donor and CO</w:t>
      </w:r>
      <w:r w:rsidR="000E4298" w:rsidRPr="001C3135">
        <w:rPr>
          <w:vertAlign w:val="subscript"/>
          <w:lang w:val="en-US"/>
        </w:rPr>
        <w:t>2</w:t>
      </w:r>
      <w:r w:rsidR="000E4298">
        <w:rPr>
          <w:lang w:val="en-US"/>
        </w:rPr>
        <w:t xml:space="preserve">, in the process known as </w:t>
      </w:r>
      <w:proofErr w:type="spellStart"/>
      <w:r w:rsidR="000E4298">
        <w:rPr>
          <w:lang w:val="en-US"/>
        </w:rPr>
        <w:t>hydrogeno</w:t>
      </w:r>
      <w:r w:rsidR="00197485">
        <w:rPr>
          <w:lang w:val="en-US"/>
        </w:rPr>
        <w:t>philic</w:t>
      </w:r>
      <w:proofErr w:type="spellEnd"/>
      <w:r w:rsidR="00197485">
        <w:rPr>
          <w:lang w:val="en-US"/>
        </w:rPr>
        <w:t xml:space="preserve"> </w:t>
      </w:r>
      <w:r w:rsidR="000E4298">
        <w:rPr>
          <w:lang w:val="en-US"/>
        </w:rPr>
        <w:t>methanogenesis</w:t>
      </w:r>
      <w:r>
        <w:rPr>
          <w:lang w:val="en-US"/>
        </w:rPr>
        <w:t xml:space="preserve">. </w:t>
      </w:r>
      <w:r w:rsidR="00197485">
        <w:rPr>
          <w:lang w:val="en-US"/>
        </w:rPr>
        <w:t xml:space="preserve">The </w:t>
      </w:r>
      <w:r>
        <w:rPr>
          <w:lang w:val="en-US"/>
        </w:rPr>
        <w:t>whole process allows the recovery of bio-products</w:t>
      </w:r>
      <w:r w:rsidRPr="0031503B">
        <w:rPr>
          <w:lang w:val="en-US"/>
        </w:rPr>
        <w:t xml:space="preserve">, while significantly reducing the mass of the waste, thus decreasing the </w:t>
      </w:r>
      <w:r w:rsidR="00197485">
        <w:rPr>
          <w:lang w:val="en-US"/>
        </w:rPr>
        <w:t>disposal</w:t>
      </w:r>
      <w:r w:rsidR="00197485" w:rsidRPr="0031503B">
        <w:rPr>
          <w:lang w:val="en-US"/>
        </w:rPr>
        <w:t xml:space="preserve"> </w:t>
      </w:r>
      <w:r w:rsidRPr="0031503B">
        <w:rPr>
          <w:lang w:val="en-US"/>
        </w:rPr>
        <w:t>costs and the environmental impact. Consequently, tannery waste is a great candidate for this process due to its high organic load and high costs for its disposal.</w:t>
      </w:r>
    </w:p>
    <w:p w14:paraId="7805519B" w14:textId="5B06DC7E" w:rsidR="00E227C3" w:rsidRPr="00E227C3" w:rsidRDefault="00C7419E" w:rsidP="00E227C3">
      <w:pPr>
        <w:rPr>
          <w:lang w:val="en-US"/>
        </w:rPr>
      </w:pPr>
      <w:r>
        <w:rPr>
          <w:lang w:val="en-US"/>
        </w:rPr>
        <w:t>Several pretreatments have been explored t</w:t>
      </w:r>
      <w:r w:rsidR="00E227C3" w:rsidRPr="00E227C3">
        <w:rPr>
          <w:lang w:val="en-US"/>
        </w:rPr>
        <w:t>o improve the efficiency of the process</w:t>
      </w:r>
      <w:r>
        <w:rPr>
          <w:lang w:val="en-US"/>
        </w:rPr>
        <w:t xml:space="preserve"> on different substrates and </w:t>
      </w:r>
      <w:r w:rsidR="00E227C3" w:rsidRPr="00E227C3">
        <w:rPr>
          <w:lang w:val="en-US"/>
        </w:rPr>
        <w:t xml:space="preserve">one of the most promising is </w:t>
      </w:r>
      <w:r>
        <w:rPr>
          <w:lang w:val="en-US"/>
        </w:rPr>
        <w:t xml:space="preserve">oxidation, for example </w:t>
      </w:r>
      <w:r w:rsidR="00D374AE">
        <w:rPr>
          <w:lang w:val="en-US"/>
        </w:rPr>
        <w:t>with</w:t>
      </w:r>
      <w:r w:rsidR="00E227C3" w:rsidRPr="00E227C3">
        <w:rPr>
          <w:lang w:val="en-US"/>
        </w:rPr>
        <w:t xml:space="preserve"> hydrogen peroxide (H</w:t>
      </w:r>
      <w:r w:rsidR="00E227C3" w:rsidRPr="00E227C3">
        <w:rPr>
          <w:vertAlign w:val="subscript"/>
          <w:lang w:val="en-US"/>
        </w:rPr>
        <w:t>2</w:t>
      </w:r>
      <w:r w:rsidR="00E227C3" w:rsidRPr="00E227C3">
        <w:rPr>
          <w:lang w:val="en-US"/>
        </w:rPr>
        <w:t>O</w:t>
      </w:r>
      <w:r w:rsidR="00E227C3" w:rsidRPr="00E227C3">
        <w:rPr>
          <w:vertAlign w:val="subscript"/>
          <w:lang w:val="en-US"/>
        </w:rPr>
        <w:t>2</w:t>
      </w:r>
      <w:r w:rsidR="00E227C3" w:rsidRPr="00E227C3">
        <w:rPr>
          <w:lang w:val="en-US"/>
        </w:rPr>
        <w:t xml:space="preserve">) </w:t>
      </w:r>
      <w:r w:rsidR="00B45A8C">
        <w:rPr>
          <w:lang w:val="en-US"/>
        </w:rPr>
        <w:t xml:space="preserve">employed </w:t>
      </w:r>
      <w:r w:rsidR="00E227C3" w:rsidRPr="00E227C3">
        <w:rPr>
          <w:lang w:val="en-US"/>
        </w:rPr>
        <w:t>to oxidize the organic compounds and increase their availability to the microorganisms. This pretreatment has been previously employed with good results due to its promising characteristics, namely its effectiveness, low costs, easy availability and conduction, and harmless by-products (</w:t>
      </w:r>
      <w:proofErr w:type="spellStart"/>
      <w:r w:rsidR="00B45A8C">
        <w:rPr>
          <w:lang w:val="en-US"/>
        </w:rPr>
        <w:t>A</w:t>
      </w:r>
      <w:r w:rsidR="00E227C3" w:rsidRPr="00E227C3">
        <w:rPr>
          <w:lang w:val="en-US"/>
        </w:rPr>
        <w:t>chouri</w:t>
      </w:r>
      <w:proofErr w:type="spellEnd"/>
      <w:r w:rsidR="00B45A8C">
        <w:rPr>
          <w:lang w:val="en-US"/>
        </w:rPr>
        <w:t xml:space="preserve"> et al.,</w:t>
      </w:r>
      <w:r w:rsidR="00E227C3" w:rsidRPr="00E227C3">
        <w:rPr>
          <w:lang w:val="en-US"/>
        </w:rPr>
        <w:t xml:space="preserve"> </w:t>
      </w:r>
      <w:r w:rsidR="00B45A8C">
        <w:rPr>
          <w:lang w:val="en-US"/>
        </w:rPr>
        <w:t>20</w:t>
      </w:r>
      <w:r w:rsidR="00E227C3" w:rsidRPr="00E227C3">
        <w:rPr>
          <w:lang w:val="en-US"/>
        </w:rPr>
        <w:t xml:space="preserve">21, </w:t>
      </w:r>
      <w:r w:rsidR="00B45A8C">
        <w:rPr>
          <w:lang w:val="en-US"/>
        </w:rPr>
        <w:t>L</w:t>
      </w:r>
      <w:r w:rsidR="00E227C3" w:rsidRPr="00E227C3">
        <w:rPr>
          <w:lang w:val="en-US"/>
        </w:rPr>
        <w:t>iu</w:t>
      </w:r>
      <w:r w:rsidR="00B45A8C">
        <w:rPr>
          <w:lang w:val="en-US"/>
        </w:rPr>
        <w:t xml:space="preserve"> et al.,</w:t>
      </w:r>
      <w:r w:rsidR="00E227C3" w:rsidRPr="00E227C3">
        <w:rPr>
          <w:lang w:val="en-US"/>
        </w:rPr>
        <w:t xml:space="preserve"> 2017). </w:t>
      </w:r>
    </w:p>
    <w:p w14:paraId="7F18A988" w14:textId="12A0ED42" w:rsidR="00E227C3" w:rsidRPr="00E227C3" w:rsidRDefault="00E227C3" w:rsidP="00E227C3">
      <w:pPr>
        <w:rPr>
          <w:lang w:val="en-US"/>
        </w:rPr>
      </w:pPr>
      <w:r w:rsidRPr="00E227C3">
        <w:rPr>
          <w:lang w:val="en-US"/>
        </w:rPr>
        <w:lastRenderedPageBreak/>
        <w:t>Additionally, it has been demonstrated that this oxidizing treatment increases its effectiveness when coupled with a thermal pretreatment,</w:t>
      </w:r>
      <w:r w:rsidR="00D374AE">
        <w:rPr>
          <w:lang w:val="en-US"/>
        </w:rPr>
        <w:t xml:space="preserve"> </w:t>
      </w:r>
      <w:r w:rsidRPr="00E227C3">
        <w:rPr>
          <w:lang w:val="en-US"/>
        </w:rPr>
        <w:t>mak</w:t>
      </w:r>
      <w:r w:rsidR="00D374AE">
        <w:rPr>
          <w:lang w:val="en-US"/>
        </w:rPr>
        <w:t>ing</w:t>
      </w:r>
      <w:r w:rsidRPr="00E227C3">
        <w:rPr>
          <w:lang w:val="en-US"/>
        </w:rPr>
        <w:t xml:space="preserve"> use of the advantages of the synergism between individual techniques (Ambrose et al., 2020). </w:t>
      </w:r>
      <w:r w:rsidR="00C7419E">
        <w:rPr>
          <w:lang w:val="en-US"/>
        </w:rPr>
        <w:t>Consequently, different combinations of these pretreatments have been assessed in this study to verify their effectiveness on this substrate</w:t>
      </w:r>
      <w:r w:rsidR="00197485">
        <w:rPr>
          <w:lang w:val="en-US"/>
        </w:rPr>
        <w:t xml:space="preserve"> in terms of SCFAs production</w:t>
      </w:r>
      <w:r w:rsidR="00197485" w:rsidRPr="0031503B">
        <w:rPr>
          <w:lang w:val="en-US"/>
        </w:rPr>
        <w:t>.</w:t>
      </w:r>
      <w:r w:rsidR="00C7419E">
        <w:rPr>
          <w:lang w:val="en-US"/>
        </w:rPr>
        <w:t xml:space="preserve"> </w:t>
      </w:r>
    </w:p>
    <w:p w14:paraId="702CBAEB" w14:textId="317ACA27" w:rsidR="00E227C3" w:rsidRPr="00E227C3" w:rsidRDefault="00E227C3" w:rsidP="00E227C3">
      <w:pPr>
        <w:rPr>
          <w:lang w:val="en-US"/>
        </w:rPr>
      </w:pPr>
      <w:r w:rsidRPr="00E227C3">
        <w:rPr>
          <w:lang w:val="en-US"/>
        </w:rPr>
        <w:t xml:space="preserve">The aim of this work is to provide a viable alternative to the wasteful disposal of tannery sludge in landfills and use it instead to produce added-value products, </w:t>
      </w:r>
      <w:r w:rsidR="00197485">
        <w:rPr>
          <w:lang w:val="en-US"/>
        </w:rPr>
        <w:t>since SCFAs</w:t>
      </w:r>
      <w:r w:rsidR="00197485" w:rsidRPr="0031503B">
        <w:rPr>
          <w:lang w:val="en-US"/>
        </w:rPr>
        <w:t xml:space="preserve"> are frequently employed in the chemical industry due to their functional groups</w:t>
      </w:r>
      <w:r w:rsidR="00197485">
        <w:rPr>
          <w:lang w:val="en-US"/>
        </w:rPr>
        <w:t>,</w:t>
      </w:r>
      <w:r w:rsidR="00197485" w:rsidRPr="00E227C3">
        <w:rPr>
          <w:lang w:val="en-US"/>
        </w:rPr>
        <w:t xml:space="preserve"> </w:t>
      </w:r>
      <w:r w:rsidRPr="00E227C3">
        <w:rPr>
          <w:lang w:val="en-US"/>
        </w:rPr>
        <w:t xml:space="preserve">in line with the EU strategy. </w:t>
      </w:r>
    </w:p>
    <w:p w14:paraId="06013295" w14:textId="77777777" w:rsidR="00EB59AD" w:rsidRPr="00EB59AD" w:rsidRDefault="00EB59AD" w:rsidP="00820F52">
      <w:pPr>
        <w:pStyle w:val="CETHeading1"/>
        <w:tabs>
          <w:tab w:val="clear" w:pos="360"/>
        </w:tabs>
      </w:pPr>
      <w:r w:rsidRPr="00EB59AD">
        <w:t xml:space="preserve">2. Materials and methods </w:t>
      </w:r>
    </w:p>
    <w:p w14:paraId="76FE39B2" w14:textId="413EDCC1" w:rsidR="00EB59AD" w:rsidRPr="00EB59AD" w:rsidRDefault="00EB59AD" w:rsidP="00F003CF">
      <w:pPr>
        <w:pStyle w:val="CETheadingx"/>
      </w:pPr>
      <w:r w:rsidRPr="00EB59AD">
        <w:t>Substrate</w:t>
      </w:r>
      <w:r w:rsidR="00E23CB1">
        <w:t>’</w:t>
      </w:r>
      <w:r w:rsidR="00E227C3">
        <w:t>s characteristics and inoculum</w:t>
      </w:r>
      <w:r w:rsidRPr="00EB59AD">
        <w:t xml:space="preserve"> </w:t>
      </w:r>
    </w:p>
    <w:p w14:paraId="4F39CA1C" w14:textId="38BAB033" w:rsidR="00E227C3" w:rsidRPr="00E227C3" w:rsidRDefault="00E227C3" w:rsidP="00E227C3">
      <w:pPr>
        <w:rPr>
          <w:lang w:val="en-US"/>
        </w:rPr>
      </w:pPr>
      <w:r w:rsidRPr="00E227C3">
        <w:rPr>
          <w:lang w:val="en-US"/>
        </w:rPr>
        <w:t xml:space="preserve">The tannery sludge used for this study is a mixture of primary and secondary sludge obtained from the wastewater treatment plant (WWTP) of Montebello </w:t>
      </w:r>
      <w:proofErr w:type="spellStart"/>
      <w:r w:rsidRPr="00E227C3">
        <w:rPr>
          <w:lang w:val="en-US"/>
        </w:rPr>
        <w:t>Vicentino</w:t>
      </w:r>
      <w:proofErr w:type="spellEnd"/>
      <w:r w:rsidRPr="00E227C3">
        <w:rPr>
          <w:lang w:val="en-US"/>
        </w:rPr>
        <w:t xml:space="preserve"> (northeast Italy), where the wastewater</w:t>
      </w:r>
      <w:r w:rsidR="00197485">
        <w:rPr>
          <w:lang w:val="en-US"/>
        </w:rPr>
        <w:t>s</w:t>
      </w:r>
      <w:r w:rsidRPr="00E227C3">
        <w:rPr>
          <w:lang w:val="en-US"/>
        </w:rPr>
        <w:t xml:space="preserve"> from 23 tannery plants (about 10000 m</w:t>
      </w:r>
      <w:r w:rsidRPr="00E227C3">
        <w:rPr>
          <w:vertAlign w:val="superscript"/>
          <w:lang w:val="en-US"/>
        </w:rPr>
        <w:t>3</w:t>
      </w:r>
      <w:r w:rsidRPr="00E227C3">
        <w:rPr>
          <w:lang w:val="en-US"/>
        </w:rPr>
        <w:t xml:space="preserve">/d) </w:t>
      </w:r>
      <w:r w:rsidR="00197485">
        <w:rPr>
          <w:lang w:val="en-US"/>
        </w:rPr>
        <w:t>are</w:t>
      </w:r>
      <w:r w:rsidR="00197485" w:rsidRPr="00E227C3">
        <w:rPr>
          <w:lang w:val="en-US"/>
        </w:rPr>
        <w:t xml:space="preserve"> </w:t>
      </w:r>
      <w:r w:rsidRPr="00E227C3">
        <w:rPr>
          <w:lang w:val="en-US"/>
        </w:rPr>
        <w:t xml:space="preserve">treated both with primary treatment </w:t>
      </w:r>
      <w:r w:rsidR="00197485">
        <w:rPr>
          <w:lang w:val="en-US"/>
        </w:rPr>
        <w:t>(alkaline flocculation)</w:t>
      </w:r>
      <w:r w:rsidRPr="00E227C3">
        <w:rPr>
          <w:lang w:val="en-US"/>
        </w:rPr>
        <w:t xml:space="preserve"> and secondary biological treatment (anoxic/aerobic process).</w:t>
      </w:r>
    </w:p>
    <w:p w14:paraId="215EDC65" w14:textId="3499C98F" w:rsidR="00E227C3" w:rsidRPr="00EB59AD" w:rsidRDefault="00F52903" w:rsidP="00EB59AD">
      <w:pPr>
        <w:rPr>
          <w:lang w:val="en-US"/>
        </w:rPr>
      </w:pPr>
      <w:r>
        <w:rPr>
          <w:lang w:val="en-US"/>
        </w:rPr>
        <w:t>In terms of</w:t>
      </w:r>
      <w:r w:rsidR="00E227C3" w:rsidRPr="00E227C3">
        <w:rPr>
          <w:lang w:val="en-US"/>
        </w:rPr>
        <w:t xml:space="preserve"> chemical and physical </w:t>
      </w:r>
      <w:r>
        <w:rPr>
          <w:lang w:val="en-US"/>
        </w:rPr>
        <w:t>characteristics</w:t>
      </w:r>
      <w:r w:rsidR="00E227C3" w:rsidRPr="00E227C3">
        <w:rPr>
          <w:lang w:val="en-US"/>
        </w:rPr>
        <w:t xml:space="preserve">, the tannery sludge showed an average </w:t>
      </w:r>
      <w:r>
        <w:rPr>
          <w:lang w:val="en-US"/>
        </w:rPr>
        <w:t xml:space="preserve">total and volatile solids content of </w:t>
      </w:r>
      <w:r w:rsidR="00E227C3" w:rsidRPr="00E227C3">
        <w:rPr>
          <w:lang w:val="en-US"/>
        </w:rPr>
        <w:t xml:space="preserve">830 ± 14 g TS/kg and 590 ± 4 g VS/kg </w:t>
      </w:r>
      <w:r>
        <w:rPr>
          <w:lang w:val="en-US"/>
        </w:rPr>
        <w:t>respectively</w:t>
      </w:r>
      <w:r w:rsidR="00E227C3" w:rsidRPr="00E227C3">
        <w:rPr>
          <w:lang w:val="en-US"/>
        </w:rPr>
        <w:t xml:space="preserve">. The chemical oxygen demand (COD) was 793 ± 18 g COD/kg TS; the total phosphorus (TP) and nitrogen (as TKN) were 7.9 ± 0.4 g P/kg TS and 32.8 ± 0.9 g N/kg TS, respectively. </w:t>
      </w:r>
    </w:p>
    <w:p w14:paraId="4ADDE144" w14:textId="77777777" w:rsidR="00EB59AD" w:rsidRPr="00EB59AD" w:rsidRDefault="00EB59AD" w:rsidP="00EB59AD">
      <w:pPr>
        <w:rPr>
          <w:lang w:val="en-US"/>
        </w:rPr>
      </w:pPr>
    </w:p>
    <w:p w14:paraId="3D17DB06" w14:textId="65DB00E2" w:rsidR="00EB59AD" w:rsidRPr="00EB59AD" w:rsidRDefault="00E227C3" w:rsidP="00F003CF">
      <w:pPr>
        <w:pStyle w:val="CETheadingx"/>
      </w:pPr>
      <w:r w:rsidRPr="00E227C3">
        <w:t>Experimental setup and parameters</w:t>
      </w:r>
      <w:r w:rsidR="00EB59AD" w:rsidRPr="00EB59AD">
        <w:t xml:space="preserve"> </w:t>
      </w:r>
    </w:p>
    <w:p w14:paraId="47B16F91" w14:textId="1067E28D" w:rsidR="00E227C3" w:rsidRPr="00E227C3" w:rsidRDefault="00E227C3" w:rsidP="00197485">
      <w:pPr>
        <w:rPr>
          <w:lang w:val="en-US"/>
        </w:rPr>
      </w:pPr>
      <w:r w:rsidRPr="00E227C3">
        <w:rPr>
          <w:lang w:val="en-US"/>
        </w:rPr>
        <w:t>All the batch tests were set up in 250 mL glass bottles sealed with a cap with a silicon plug, with 180 mL working volume, and each test was performed in duplicate. As anaerobic inoculum, 50 mL of mesophilic anaerobic digestate</w:t>
      </w:r>
      <w:r w:rsidR="00197485">
        <w:rPr>
          <w:lang w:val="en-US"/>
        </w:rPr>
        <w:t xml:space="preserve"> </w:t>
      </w:r>
      <w:r w:rsidR="00197485" w:rsidRPr="00E227C3">
        <w:rPr>
          <w:lang w:val="en-US"/>
        </w:rPr>
        <w:t>(35 g VS/L)</w:t>
      </w:r>
      <w:r w:rsidRPr="00E227C3">
        <w:rPr>
          <w:lang w:val="en-US"/>
        </w:rPr>
        <w:t xml:space="preserve"> from a full-scale digester located in Treviso (northeast Italy) was used</w:t>
      </w:r>
      <w:r w:rsidR="00197485">
        <w:rPr>
          <w:lang w:val="en-US"/>
        </w:rPr>
        <w:t xml:space="preserve"> in the biomethane potential tests (BMP) and in the mesophilic fermentation tests</w:t>
      </w:r>
      <w:r w:rsidRPr="00E227C3">
        <w:rPr>
          <w:lang w:val="en-US"/>
        </w:rPr>
        <w:t xml:space="preserve">. </w:t>
      </w:r>
      <w:r w:rsidR="00197485">
        <w:rPr>
          <w:lang w:val="en-US"/>
        </w:rPr>
        <w:t xml:space="preserve">A thermophilic inoculum from a parallel pilot-scale reactor was instead used for the thermophilic fermentation tests. </w:t>
      </w:r>
      <w:r w:rsidR="00F52903">
        <w:rPr>
          <w:lang w:val="en-US"/>
        </w:rPr>
        <w:t xml:space="preserve">Both full-scale and pilot-scale reactors were fed with sewage sludge and squeezed food waste mixture. </w:t>
      </w:r>
      <w:r w:rsidR="00197485">
        <w:rPr>
          <w:lang w:val="en-US"/>
        </w:rPr>
        <w:t>All t</w:t>
      </w:r>
      <w:r w:rsidRPr="00E227C3">
        <w:rPr>
          <w:lang w:val="en-US"/>
        </w:rPr>
        <w:t xml:space="preserve">he tests were performed </w:t>
      </w:r>
      <w:r w:rsidR="001B34EB">
        <w:rPr>
          <w:lang w:val="en-US"/>
        </w:rPr>
        <w:t>at</w:t>
      </w:r>
      <w:r w:rsidRPr="00E227C3">
        <w:rPr>
          <w:lang w:val="en-US"/>
        </w:rPr>
        <w:t xml:space="preserve"> neutral pH; the operating conditions for each test are presented in table 1</w:t>
      </w:r>
      <w:r w:rsidR="009B50E5">
        <w:rPr>
          <w:lang w:val="en-US"/>
        </w:rPr>
        <w:t>.</w:t>
      </w:r>
      <w:r w:rsidR="00FF41BE">
        <w:rPr>
          <w:lang w:val="en-US"/>
        </w:rPr>
        <w:t xml:space="preserve"> In both BMP and fermentation tests, the bottles were </w:t>
      </w:r>
      <w:r w:rsidR="00CC76A1">
        <w:rPr>
          <w:lang w:val="en-US"/>
        </w:rPr>
        <w:t>subjected to</w:t>
      </w:r>
      <w:r w:rsidR="00FF41BE">
        <w:rPr>
          <w:lang w:val="en-US"/>
        </w:rPr>
        <w:t xml:space="preserve"> a</w:t>
      </w:r>
      <w:r w:rsidR="00CC76A1">
        <w:rPr>
          <w:lang w:val="en-US"/>
        </w:rPr>
        <w:t xml:space="preserve"> </w:t>
      </w:r>
      <w:r w:rsidR="00FF41BE">
        <w:rPr>
          <w:lang w:val="en-US"/>
        </w:rPr>
        <w:t xml:space="preserve">constant temperature (37 °C and 55 °C for mesophilic and thermophilic tests, respectively) </w:t>
      </w:r>
      <w:r w:rsidR="00CC76A1">
        <w:rPr>
          <w:lang w:val="en-US"/>
        </w:rPr>
        <w:t xml:space="preserve">and kept </w:t>
      </w:r>
      <w:r w:rsidR="00FF41BE">
        <w:rPr>
          <w:lang w:val="en-US"/>
        </w:rPr>
        <w:t>in an oven</w:t>
      </w:r>
      <w:r w:rsidR="00CC76A1">
        <w:rPr>
          <w:lang w:val="en-US"/>
        </w:rPr>
        <w:t>.</w:t>
      </w:r>
      <w:r w:rsidR="00FF41BE">
        <w:rPr>
          <w:lang w:val="en-US"/>
        </w:rPr>
        <w:t xml:space="preserve"> </w:t>
      </w:r>
      <w:r w:rsidR="00CC76A1">
        <w:rPr>
          <w:lang w:val="en-US"/>
        </w:rPr>
        <w:t>T</w:t>
      </w:r>
      <w:r w:rsidR="00FF41BE">
        <w:rPr>
          <w:lang w:val="en-US"/>
        </w:rPr>
        <w:t>he</w:t>
      </w:r>
      <w:r w:rsidR="00CC76A1">
        <w:rPr>
          <w:lang w:val="en-US"/>
        </w:rPr>
        <w:t xml:space="preserve"> </w:t>
      </w:r>
      <w:r w:rsidR="00CC76A1" w:rsidRPr="00CC76A1">
        <w:rPr>
          <w:lang w:val="en-US"/>
        </w:rPr>
        <w:t>slurry was manually mixed twice a day</w:t>
      </w:r>
      <w:r w:rsidR="00CC76A1">
        <w:rPr>
          <w:lang w:val="en-US"/>
        </w:rPr>
        <w:t>. For the BMP te</w:t>
      </w:r>
      <w:r w:rsidR="00CC76A1" w:rsidRPr="00CC76A1">
        <w:rPr>
          <w:lang w:val="en-US"/>
        </w:rPr>
        <w:t xml:space="preserve">sts, </w:t>
      </w:r>
      <w:r w:rsidR="00CC76A1">
        <w:rPr>
          <w:lang w:val="en-US"/>
        </w:rPr>
        <w:t>t</w:t>
      </w:r>
      <w:r w:rsidR="00CC76A1" w:rsidRPr="00CC76A1">
        <w:rPr>
          <w:lang w:val="en-US"/>
        </w:rPr>
        <w:t xml:space="preserve">he </w:t>
      </w:r>
      <w:r w:rsidR="00CC76A1">
        <w:rPr>
          <w:lang w:val="en-US"/>
        </w:rPr>
        <w:t>produced bio</w:t>
      </w:r>
      <w:r w:rsidR="00CC76A1" w:rsidRPr="00CC76A1">
        <w:rPr>
          <w:lang w:val="en-US"/>
        </w:rPr>
        <w:t>gas was measured every 24 h by inserting a syringe in</w:t>
      </w:r>
      <w:r w:rsidR="00193AD0">
        <w:rPr>
          <w:lang w:val="en-US"/>
        </w:rPr>
        <w:t>to</w:t>
      </w:r>
      <w:r w:rsidR="00CC76A1" w:rsidRPr="00CC76A1">
        <w:rPr>
          <w:lang w:val="en-US"/>
        </w:rPr>
        <w:t xml:space="preserve"> the silicon plug</w:t>
      </w:r>
      <w:r w:rsidR="00CC76A1">
        <w:rPr>
          <w:lang w:val="en-US"/>
        </w:rPr>
        <w:t>; for the fermentation tests, t</w:t>
      </w:r>
      <w:r w:rsidR="00CC76A1" w:rsidRPr="00CC76A1">
        <w:rPr>
          <w:lang w:val="en-US"/>
        </w:rPr>
        <w:t xml:space="preserve">he </w:t>
      </w:r>
      <w:r w:rsidR="00CC76A1">
        <w:rPr>
          <w:lang w:val="en-US"/>
        </w:rPr>
        <w:t>sampling</w:t>
      </w:r>
      <w:r w:rsidR="00CC76A1" w:rsidRPr="00CC76A1">
        <w:rPr>
          <w:lang w:val="en-US"/>
        </w:rPr>
        <w:t xml:space="preserve"> w</w:t>
      </w:r>
      <w:r w:rsidR="00CC76A1">
        <w:rPr>
          <w:lang w:val="en-US"/>
        </w:rPr>
        <w:t>as similarly performed, and the slurry was easily taken from each bottle by using the overpressure generated by the fermentation tests</w:t>
      </w:r>
      <w:r w:rsidR="00B55FD1" w:rsidRPr="00CC76A1">
        <w:rPr>
          <w:lang w:val="en-US"/>
        </w:rPr>
        <w:t>.</w:t>
      </w:r>
      <w:r w:rsidR="00B55FD1">
        <w:rPr>
          <w:lang w:val="en-US"/>
        </w:rPr>
        <w:t xml:space="preserve"> </w:t>
      </w:r>
    </w:p>
    <w:p w14:paraId="40094300" w14:textId="17D2A88A" w:rsidR="00F003CF" w:rsidRPr="00E23CB1" w:rsidRDefault="00F3296F" w:rsidP="009C17EE">
      <w:pPr>
        <w:pStyle w:val="CETTabletitle"/>
      </w:pPr>
      <w:r w:rsidRPr="00B57B36">
        <w:t xml:space="preserve">Table 1: </w:t>
      </w:r>
      <w:r w:rsidRPr="00EB59AD">
        <w:t>Summary of the operating conditions investigated in the batch tests and the assigned names; H</w:t>
      </w:r>
      <w:r w:rsidRPr="008463B5">
        <w:rPr>
          <w:vertAlign w:val="subscript"/>
        </w:rPr>
        <w:t>2</w:t>
      </w:r>
      <w:r w:rsidRPr="00EB59AD">
        <w:t>O</w:t>
      </w:r>
      <w:r w:rsidRPr="008463B5">
        <w:rPr>
          <w:vertAlign w:val="subscript"/>
        </w:rPr>
        <w:t>2</w:t>
      </w:r>
      <w:r w:rsidRPr="00EB59AD">
        <w:t xml:space="preserve"> at 35</w:t>
      </w:r>
      <w:r w:rsidR="008463B5">
        <w:t xml:space="preserve"> </w:t>
      </w:r>
      <w:r w:rsidRPr="00EB59AD">
        <w:t>% w/w.</w:t>
      </w:r>
      <w:r w:rsidR="00EE4489">
        <w:t xml:space="preserve"> </w:t>
      </w:r>
      <w:proofErr w:type="gramStart"/>
      <w:r w:rsidR="00EE4489">
        <w:rPr>
          <w:vertAlign w:val="superscript"/>
        </w:rPr>
        <w:t>a</w:t>
      </w:r>
      <w:r w:rsidR="00E227C3" w:rsidRPr="004E2CB1">
        <w:rPr>
          <w:rFonts w:ascii="Times New Roman" w:hAnsi="Times New Roman"/>
          <w:iCs/>
          <w:sz w:val="20"/>
        </w:rPr>
        <w:t>(</w:t>
      </w:r>
      <w:proofErr w:type="gramEnd"/>
      <w:r w:rsidR="00E227C3" w:rsidRPr="004E2CB1">
        <w:rPr>
          <w:rFonts w:ascii="Times New Roman" w:hAnsi="Times New Roman"/>
          <w:iCs/>
          <w:sz w:val="20"/>
        </w:rPr>
        <w:t>g H</w:t>
      </w:r>
      <w:r w:rsidR="00E227C3" w:rsidRPr="004E2CB1">
        <w:rPr>
          <w:rFonts w:ascii="Times New Roman" w:hAnsi="Times New Roman"/>
          <w:iCs/>
          <w:sz w:val="20"/>
          <w:vertAlign w:val="subscript"/>
        </w:rPr>
        <w:t>2</w:t>
      </w:r>
      <w:r w:rsidR="00E227C3" w:rsidRPr="004E2CB1">
        <w:rPr>
          <w:rFonts w:ascii="Times New Roman" w:hAnsi="Times New Roman"/>
          <w:iCs/>
          <w:sz w:val="20"/>
        </w:rPr>
        <w:t>O</w:t>
      </w:r>
      <w:r w:rsidR="00E227C3" w:rsidRPr="004E2CB1">
        <w:rPr>
          <w:rFonts w:ascii="Times New Roman" w:hAnsi="Times New Roman"/>
          <w:iCs/>
          <w:sz w:val="20"/>
          <w:vertAlign w:val="subscript"/>
        </w:rPr>
        <w:t>2</w:t>
      </w:r>
      <w:r w:rsidR="00E227C3" w:rsidRPr="004E2CB1">
        <w:rPr>
          <w:rFonts w:ascii="Times New Roman" w:hAnsi="Times New Roman"/>
          <w:iCs/>
          <w:sz w:val="20"/>
        </w:rPr>
        <w:t>*/ g TS</w:t>
      </w:r>
      <w:r w:rsidR="00E227C3">
        <w:rPr>
          <w:rFonts w:ascii="Times New Roman" w:hAnsi="Times New Roman"/>
          <w:iCs/>
          <w:sz w:val="20"/>
        </w:rPr>
        <w:t xml:space="preserve">); </w:t>
      </w:r>
      <w:r w:rsidR="00E227C3" w:rsidRPr="0030353A">
        <w:rPr>
          <w:vertAlign w:val="superscript"/>
        </w:rPr>
        <w:t xml:space="preserve"> </w:t>
      </w:r>
      <w:r w:rsidR="00EE4489">
        <w:rPr>
          <w:vertAlign w:val="superscript"/>
        </w:rPr>
        <w:t>b</w:t>
      </w:r>
      <w:r w:rsidR="00E227C3" w:rsidRPr="000274CB">
        <w:t>H</w:t>
      </w:r>
      <w:r w:rsidR="00E227C3" w:rsidRPr="000274CB">
        <w:rPr>
          <w:vertAlign w:val="subscript"/>
        </w:rPr>
        <w:t>2</w:t>
      </w:r>
      <w:r w:rsidR="00E227C3" w:rsidRPr="000274CB">
        <w:t>O</w:t>
      </w:r>
      <w:r w:rsidR="00E227C3" w:rsidRPr="000274CB">
        <w:rPr>
          <w:vertAlign w:val="subscript"/>
        </w:rPr>
        <w:t>2</w:t>
      </w:r>
      <w:r w:rsidR="00E227C3" w:rsidRPr="000274CB">
        <w:t xml:space="preserve"> at 35</w:t>
      </w:r>
      <w:r w:rsidR="008463B5">
        <w:t xml:space="preserve"> </w:t>
      </w:r>
      <w:r w:rsidR="00E227C3" w:rsidRPr="000274CB">
        <w:t>% w/w</w:t>
      </w:r>
      <w:r w:rsidR="00E227C3">
        <w:t>; 80-90</w:t>
      </w:r>
      <w:r w:rsidR="008463B5">
        <w:t xml:space="preserve"> </w:t>
      </w:r>
      <w:r w:rsidR="00E227C3">
        <w:t>°C, 600 W, 10 min, 0.2 g H</w:t>
      </w:r>
      <w:r w:rsidR="00E227C3" w:rsidRPr="004C5B77">
        <w:rPr>
          <w:vertAlign w:val="subscript"/>
        </w:rPr>
        <w:t>2</w:t>
      </w:r>
      <w:r w:rsidR="00E227C3">
        <w:t>O</w:t>
      </w:r>
      <w:r w:rsidR="00E227C3" w:rsidRPr="004C5B77">
        <w:rPr>
          <w:vertAlign w:val="subscript"/>
        </w:rPr>
        <w:t>2</w:t>
      </w:r>
      <w:r w:rsidR="00E227C3">
        <w:t>/ g TS</w:t>
      </w:r>
    </w:p>
    <w:tbl>
      <w:tblPr>
        <w:tblW w:w="5042" w:type="pct"/>
        <w:jc w:val="center"/>
        <w:tblBorders>
          <w:top w:val="single" w:sz="4" w:space="0" w:color="auto"/>
          <w:bottom w:val="single" w:sz="4" w:space="0" w:color="auto"/>
        </w:tblBorders>
        <w:tblLook w:val="04A0" w:firstRow="1" w:lastRow="0" w:firstColumn="1" w:lastColumn="0" w:noHBand="0" w:noVBand="1"/>
      </w:tblPr>
      <w:tblGrid>
        <w:gridCol w:w="1598"/>
        <w:gridCol w:w="470"/>
        <w:gridCol w:w="822"/>
        <w:gridCol w:w="822"/>
        <w:gridCol w:w="822"/>
        <w:gridCol w:w="633"/>
        <w:gridCol w:w="470"/>
        <w:gridCol w:w="572"/>
        <w:gridCol w:w="844"/>
        <w:gridCol w:w="431"/>
        <w:gridCol w:w="532"/>
        <w:gridCol w:w="845"/>
      </w:tblGrid>
      <w:tr w:rsidR="00221AF3" w:rsidRPr="00615FF3" w14:paraId="66297AB4" w14:textId="013FCC03" w:rsidTr="00A50910">
        <w:trPr>
          <w:trHeight w:val="552"/>
          <w:jc w:val="center"/>
        </w:trPr>
        <w:tc>
          <w:tcPr>
            <w:tcW w:w="901" w:type="pct"/>
            <w:vMerge w:val="restart"/>
            <w:tcBorders>
              <w:top w:val="single" w:sz="12" w:space="0" w:color="008000"/>
              <w:bottom w:val="nil"/>
            </w:tcBorders>
            <w:vAlign w:val="center"/>
          </w:tcPr>
          <w:p w14:paraId="563FB870" w14:textId="77777777" w:rsidR="00221AF3" w:rsidRPr="00615FF3" w:rsidRDefault="00221AF3" w:rsidP="00E227C3">
            <w:pPr>
              <w:pStyle w:val="CETBodytext"/>
              <w:ind w:right="-1"/>
              <w:jc w:val="center"/>
              <w:rPr>
                <w:rFonts w:cs="Arial"/>
                <w:szCs w:val="18"/>
                <w:lang w:val="en-GB"/>
              </w:rPr>
            </w:pPr>
            <w:r w:rsidRPr="00615FF3">
              <w:rPr>
                <w:rFonts w:cs="Arial"/>
                <w:szCs w:val="18"/>
                <w:lang w:val="en-GB"/>
              </w:rPr>
              <w:t>Operating Conditions</w:t>
            </w:r>
          </w:p>
        </w:tc>
        <w:tc>
          <w:tcPr>
            <w:tcW w:w="265" w:type="pct"/>
            <w:tcBorders>
              <w:top w:val="single" w:sz="12" w:space="0" w:color="008000"/>
              <w:bottom w:val="single" w:sz="4" w:space="0" w:color="auto"/>
            </w:tcBorders>
          </w:tcPr>
          <w:p w14:paraId="5B19562F" w14:textId="77777777" w:rsidR="00221AF3" w:rsidRPr="00615FF3" w:rsidRDefault="00221AF3" w:rsidP="00E227C3">
            <w:pPr>
              <w:pStyle w:val="CETBodytext"/>
              <w:ind w:right="-1"/>
              <w:jc w:val="center"/>
              <w:rPr>
                <w:rFonts w:cs="Arial"/>
                <w:szCs w:val="18"/>
                <w:lang w:val="en-GB"/>
              </w:rPr>
            </w:pPr>
          </w:p>
        </w:tc>
        <w:tc>
          <w:tcPr>
            <w:tcW w:w="3833" w:type="pct"/>
            <w:gridSpan w:val="10"/>
            <w:tcBorders>
              <w:top w:val="single" w:sz="12" w:space="0" w:color="008000"/>
              <w:bottom w:val="single" w:sz="4" w:space="0" w:color="auto"/>
            </w:tcBorders>
            <w:vAlign w:val="center"/>
          </w:tcPr>
          <w:p w14:paraId="65937CD9" w14:textId="5918C505" w:rsidR="00221AF3" w:rsidRPr="00615FF3" w:rsidRDefault="00F52903" w:rsidP="00E227C3">
            <w:pPr>
              <w:pStyle w:val="CETBodytext"/>
              <w:ind w:right="-1"/>
              <w:jc w:val="center"/>
              <w:rPr>
                <w:rFonts w:cs="Arial"/>
                <w:szCs w:val="18"/>
                <w:lang w:val="en-GB"/>
              </w:rPr>
            </w:pPr>
            <w:proofErr w:type="spellStart"/>
            <w:r>
              <w:rPr>
                <w:rFonts w:cs="Arial"/>
                <w:szCs w:val="18"/>
                <w:lang w:val="en-GB"/>
              </w:rPr>
              <w:t>Biomethanation</w:t>
            </w:r>
            <w:proofErr w:type="spellEnd"/>
            <w:r>
              <w:rPr>
                <w:rFonts w:cs="Arial"/>
                <w:szCs w:val="18"/>
                <w:lang w:val="en-GB"/>
              </w:rPr>
              <w:t xml:space="preserve"> </w:t>
            </w:r>
            <w:r w:rsidR="009B50E5">
              <w:rPr>
                <w:rFonts w:cs="Arial"/>
                <w:szCs w:val="18"/>
                <w:lang w:val="en-GB"/>
              </w:rPr>
              <w:t>and a</w:t>
            </w:r>
            <w:r w:rsidR="009B50E5" w:rsidRPr="00615FF3">
              <w:rPr>
                <w:rFonts w:cs="Arial"/>
                <w:szCs w:val="18"/>
                <w:lang w:val="en-GB"/>
              </w:rPr>
              <w:t xml:space="preserve">cidogenic </w:t>
            </w:r>
            <w:r w:rsidR="009B50E5">
              <w:rPr>
                <w:rFonts w:cs="Arial"/>
                <w:szCs w:val="18"/>
                <w:lang w:val="en-GB"/>
              </w:rPr>
              <w:t>f</w:t>
            </w:r>
            <w:r w:rsidR="009B50E5" w:rsidRPr="00615FF3">
              <w:rPr>
                <w:rFonts w:cs="Arial"/>
                <w:szCs w:val="18"/>
                <w:lang w:val="en-GB"/>
              </w:rPr>
              <w:t xml:space="preserve">ermentation </w:t>
            </w:r>
            <w:r w:rsidR="009B50E5">
              <w:rPr>
                <w:rFonts w:cs="Arial"/>
                <w:szCs w:val="18"/>
                <w:lang w:val="en-GB"/>
              </w:rPr>
              <w:t>b</w:t>
            </w:r>
            <w:r w:rsidR="00221AF3" w:rsidRPr="00615FF3">
              <w:rPr>
                <w:rFonts w:cs="Arial"/>
                <w:szCs w:val="18"/>
                <w:lang w:val="en-GB"/>
              </w:rPr>
              <w:t xml:space="preserve">atch </w:t>
            </w:r>
            <w:r w:rsidR="009B50E5">
              <w:rPr>
                <w:rFonts w:cs="Arial"/>
                <w:szCs w:val="18"/>
                <w:lang w:val="en-GB"/>
              </w:rPr>
              <w:t>t</w:t>
            </w:r>
            <w:r w:rsidR="00221AF3" w:rsidRPr="00615FF3">
              <w:rPr>
                <w:rFonts w:cs="Arial"/>
                <w:szCs w:val="18"/>
                <w:lang w:val="en-GB"/>
              </w:rPr>
              <w:t>est (series)</w:t>
            </w:r>
          </w:p>
        </w:tc>
      </w:tr>
      <w:tr w:rsidR="00F26690" w:rsidRPr="00615FF3" w14:paraId="46538005" w14:textId="2B6024EE" w:rsidTr="00A50910">
        <w:trPr>
          <w:trHeight w:val="552"/>
          <w:jc w:val="center"/>
        </w:trPr>
        <w:tc>
          <w:tcPr>
            <w:tcW w:w="901" w:type="pct"/>
            <w:vMerge/>
            <w:tcBorders>
              <w:top w:val="nil"/>
              <w:bottom w:val="single" w:sz="6" w:space="0" w:color="008000"/>
            </w:tcBorders>
            <w:vAlign w:val="center"/>
          </w:tcPr>
          <w:p w14:paraId="3FABFCEB" w14:textId="77777777" w:rsidR="00F26690" w:rsidRPr="00615FF3" w:rsidRDefault="00F26690" w:rsidP="00E227C3">
            <w:pPr>
              <w:pStyle w:val="CETBodytext"/>
              <w:ind w:right="-1"/>
              <w:jc w:val="center"/>
              <w:rPr>
                <w:rFonts w:cs="Arial"/>
                <w:szCs w:val="18"/>
                <w:lang w:val="en-GB"/>
              </w:rPr>
            </w:pPr>
          </w:p>
        </w:tc>
        <w:tc>
          <w:tcPr>
            <w:tcW w:w="2014" w:type="pct"/>
            <w:gridSpan w:val="5"/>
            <w:tcBorders>
              <w:top w:val="single" w:sz="6" w:space="0" w:color="008000"/>
              <w:bottom w:val="single" w:sz="6" w:space="0" w:color="008000"/>
              <w:right w:val="single" w:sz="4" w:space="0" w:color="auto"/>
            </w:tcBorders>
            <w:vAlign w:val="center"/>
          </w:tcPr>
          <w:p w14:paraId="287F4AA7" w14:textId="1A736A55" w:rsidR="00F26690" w:rsidRPr="00615FF3" w:rsidRDefault="00F26690" w:rsidP="00F26690">
            <w:pPr>
              <w:pStyle w:val="CETBodytext"/>
              <w:ind w:right="-1"/>
              <w:jc w:val="center"/>
              <w:rPr>
                <w:rFonts w:cs="Arial"/>
                <w:szCs w:val="18"/>
                <w:lang w:val="en-GB"/>
              </w:rPr>
            </w:pPr>
            <w:r w:rsidRPr="00615FF3">
              <w:rPr>
                <w:rFonts w:cs="Arial"/>
                <w:szCs w:val="18"/>
                <w:lang w:val="en-GB"/>
              </w:rPr>
              <w:t>B</w:t>
            </w:r>
            <w:r w:rsidR="00197485" w:rsidRPr="00615FF3">
              <w:rPr>
                <w:rFonts w:cs="Arial"/>
                <w:szCs w:val="18"/>
                <w:lang w:val="en-GB"/>
              </w:rPr>
              <w:t>MP</w:t>
            </w:r>
          </w:p>
        </w:tc>
        <w:tc>
          <w:tcPr>
            <w:tcW w:w="2084" w:type="pct"/>
            <w:gridSpan w:val="6"/>
            <w:tcBorders>
              <w:top w:val="single" w:sz="6" w:space="0" w:color="008000"/>
              <w:left w:val="single" w:sz="4" w:space="0" w:color="auto"/>
              <w:bottom w:val="single" w:sz="6" w:space="0" w:color="008000"/>
            </w:tcBorders>
            <w:vAlign w:val="center"/>
          </w:tcPr>
          <w:p w14:paraId="60EDAABC" w14:textId="28FFC61E" w:rsidR="00F26690" w:rsidRPr="00615FF3" w:rsidRDefault="009B50E5" w:rsidP="00E227C3">
            <w:pPr>
              <w:pStyle w:val="CETBodytext"/>
              <w:ind w:right="-1"/>
              <w:jc w:val="center"/>
              <w:rPr>
                <w:rFonts w:cs="Arial"/>
                <w:szCs w:val="18"/>
                <w:lang w:val="en-GB"/>
              </w:rPr>
            </w:pPr>
            <w:r>
              <w:rPr>
                <w:rFonts w:cs="Arial"/>
                <w:szCs w:val="18"/>
                <w:lang w:val="en-GB"/>
              </w:rPr>
              <w:t>Acidogenic Fermentation</w:t>
            </w:r>
          </w:p>
        </w:tc>
      </w:tr>
      <w:tr w:rsidR="00A50910" w:rsidRPr="00615FF3" w14:paraId="6AD86388" w14:textId="268158B8" w:rsidTr="00A50910">
        <w:trPr>
          <w:trHeight w:val="552"/>
          <w:jc w:val="center"/>
        </w:trPr>
        <w:tc>
          <w:tcPr>
            <w:tcW w:w="901" w:type="pct"/>
            <w:vMerge/>
            <w:tcBorders>
              <w:top w:val="nil"/>
              <w:bottom w:val="single" w:sz="6" w:space="0" w:color="008000"/>
            </w:tcBorders>
            <w:vAlign w:val="center"/>
          </w:tcPr>
          <w:p w14:paraId="60553E7B" w14:textId="77777777" w:rsidR="00221AF3" w:rsidRPr="00615FF3" w:rsidRDefault="00221AF3" w:rsidP="00221AF3">
            <w:pPr>
              <w:pStyle w:val="CETBodytext"/>
              <w:ind w:right="-1"/>
              <w:jc w:val="center"/>
              <w:rPr>
                <w:rFonts w:cs="Arial"/>
                <w:szCs w:val="18"/>
                <w:lang w:val="en-GB"/>
              </w:rPr>
            </w:pPr>
          </w:p>
        </w:tc>
        <w:tc>
          <w:tcPr>
            <w:tcW w:w="265" w:type="pct"/>
            <w:tcBorders>
              <w:top w:val="single" w:sz="6" w:space="0" w:color="008000"/>
              <w:bottom w:val="single" w:sz="6" w:space="0" w:color="008000"/>
            </w:tcBorders>
            <w:vAlign w:val="center"/>
          </w:tcPr>
          <w:p w14:paraId="472F5F0F" w14:textId="721D949D" w:rsidR="00221AF3" w:rsidRPr="00615FF3" w:rsidRDefault="00221AF3" w:rsidP="00221AF3">
            <w:pPr>
              <w:pStyle w:val="CETBodytext"/>
              <w:ind w:right="-1"/>
              <w:jc w:val="center"/>
              <w:rPr>
                <w:rFonts w:cs="Arial"/>
                <w:szCs w:val="18"/>
                <w:lang w:val="en-GB"/>
              </w:rPr>
            </w:pPr>
            <w:r w:rsidRPr="00615FF3">
              <w:rPr>
                <w:rFonts w:cs="Arial"/>
                <w:szCs w:val="18"/>
                <w:lang w:val="en-GB"/>
              </w:rPr>
              <w:t>0.0</w:t>
            </w:r>
          </w:p>
        </w:tc>
        <w:tc>
          <w:tcPr>
            <w:tcW w:w="464" w:type="pct"/>
            <w:tcBorders>
              <w:top w:val="single" w:sz="6" w:space="0" w:color="008000"/>
              <w:bottom w:val="single" w:sz="6" w:space="0" w:color="008000"/>
            </w:tcBorders>
            <w:vAlign w:val="center"/>
          </w:tcPr>
          <w:p w14:paraId="414ACE86" w14:textId="564599F0" w:rsidR="00221AF3" w:rsidRPr="00615FF3" w:rsidRDefault="00221AF3" w:rsidP="00221AF3">
            <w:pPr>
              <w:pStyle w:val="CETBodytext"/>
              <w:ind w:right="-1"/>
              <w:jc w:val="center"/>
              <w:rPr>
                <w:rFonts w:cs="Arial"/>
                <w:szCs w:val="18"/>
                <w:lang w:val="en-GB"/>
              </w:rPr>
            </w:pPr>
            <w:r w:rsidRPr="00615FF3">
              <w:rPr>
                <w:rFonts w:cs="Arial"/>
                <w:szCs w:val="18"/>
                <w:lang w:val="en-GB"/>
              </w:rPr>
              <w:t>0.1</w:t>
            </w:r>
          </w:p>
        </w:tc>
        <w:tc>
          <w:tcPr>
            <w:tcW w:w="464" w:type="pct"/>
            <w:tcBorders>
              <w:top w:val="single" w:sz="6" w:space="0" w:color="008000"/>
              <w:bottom w:val="single" w:sz="6" w:space="0" w:color="008000"/>
            </w:tcBorders>
            <w:vAlign w:val="center"/>
          </w:tcPr>
          <w:p w14:paraId="6DE1BC59" w14:textId="1D9AFA75" w:rsidR="00221AF3" w:rsidRPr="00615FF3" w:rsidRDefault="00221AF3" w:rsidP="00221AF3">
            <w:pPr>
              <w:pStyle w:val="CETBodytext"/>
              <w:ind w:right="-1"/>
              <w:jc w:val="center"/>
              <w:rPr>
                <w:rFonts w:cs="Arial"/>
                <w:szCs w:val="18"/>
                <w:lang w:val="en-GB"/>
              </w:rPr>
            </w:pPr>
            <w:r w:rsidRPr="00615FF3">
              <w:rPr>
                <w:rFonts w:cs="Arial"/>
                <w:szCs w:val="18"/>
                <w:lang w:val="en-GB"/>
              </w:rPr>
              <w:t>0.2</w:t>
            </w:r>
          </w:p>
        </w:tc>
        <w:tc>
          <w:tcPr>
            <w:tcW w:w="464" w:type="pct"/>
            <w:tcBorders>
              <w:top w:val="single" w:sz="6" w:space="0" w:color="008000"/>
              <w:bottom w:val="single" w:sz="6" w:space="0" w:color="008000"/>
            </w:tcBorders>
            <w:vAlign w:val="center"/>
          </w:tcPr>
          <w:p w14:paraId="0803A217" w14:textId="22A2F72D" w:rsidR="00221AF3" w:rsidRPr="00615FF3" w:rsidRDefault="00221AF3" w:rsidP="00221AF3">
            <w:pPr>
              <w:pStyle w:val="CETBodytext"/>
              <w:ind w:right="-1"/>
              <w:jc w:val="center"/>
              <w:rPr>
                <w:rFonts w:cs="Arial"/>
                <w:szCs w:val="18"/>
                <w:lang w:val="en-GB"/>
              </w:rPr>
            </w:pPr>
            <w:r w:rsidRPr="00615FF3">
              <w:rPr>
                <w:rFonts w:cs="Arial"/>
                <w:szCs w:val="18"/>
                <w:lang w:val="en-GB"/>
              </w:rPr>
              <w:t>0.4</w:t>
            </w:r>
          </w:p>
        </w:tc>
        <w:tc>
          <w:tcPr>
            <w:tcW w:w="354" w:type="pct"/>
            <w:tcBorders>
              <w:top w:val="single" w:sz="6" w:space="0" w:color="008000"/>
              <w:bottom w:val="single" w:sz="6" w:space="0" w:color="008000"/>
              <w:right w:val="single" w:sz="4" w:space="0" w:color="auto"/>
            </w:tcBorders>
            <w:vAlign w:val="center"/>
          </w:tcPr>
          <w:p w14:paraId="0E6DF44C" w14:textId="201203A9" w:rsidR="00221AF3" w:rsidRPr="00615FF3" w:rsidRDefault="00221AF3" w:rsidP="00221AF3">
            <w:pPr>
              <w:pStyle w:val="CETBodytext"/>
              <w:ind w:right="-1"/>
              <w:jc w:val="center"/>
              <w:rPr>
                <w:rFonts w:cs="Arial"/>
                <w:szCs w:val="18"/>
                <w:lang w:val="en-GB"/>
              </w:rPr>
            </w:pPr>
            <w:r w:rsidRPr="00615FF3">
              <w:rPr>
                <w:rFonts w:cs="Arial"/>
                <w:szCs w:val="18"/>
                <w:lang w:val="en-GB"/>
              </w:rPr>
              <w:t>0.6</w:t>
            </w:r>
          </w:p>
        </w:tc>
        <w:tc>
          <w:tcPr>
            <w:tcW w:w="265" w:type="pct"/>
            <w:tcBorders>
              <w:top w:val="single" w:sz="6" w:space="0" w:color="008000"/>
              <w:left w:val="single" w:sz="4" w:space="0" w:color="auto"/>
              <w:bottom w:val="single" w:sz="6" w:space="0" w:color="008000"/>
            </w:tcBorders>
            <w:vAlign w:val="center"/>
          </w:tcPr>
          <w:p w14:paraId="12A1F8F4" w14:textId="47B55B11" w:rsidR="00221AF3" w:rsidRPr="00615FF3" w:rsidRDefault="00221AF3" w:rsidP="00221AF3">
            <w:pPr>
              <w:pStyle w:val="CETBodytext"/>
              <w:ind w:right="-1"/>
              <w:jc w:val="center"/>
              <w:rPr>
                <w:rFonts w:cs="Arial"/>
                <w:szCs w:val="18"/>
                <w:lang w:val="en-GB"/>
              </w:rPr>
            </w:pPr>
            <w:r w:rsidRPr="00615FF3">
              <w:rPr>
                <w:rFonts w:cs="Arial"/>
                <w:szCs w:val="18"/>
                <w:lang w:val="en-GB"/>
              </w:rPr>
              <w:t>M8</w:t>
            </w:r>
          </w:p>
        </w:tc>
        <w:tc>
          <w:tcPr>
            <w:tcW w:w="323" w:type="pct"/>
            <w:tcBorders>
              <w:top w:val="single" w:sz="6" w:space="0" w:color="008000"/>
              <w:bottom w:val="single" w:sz="6" w:space="0" w:color="008000"/>
            </w:tcBorders>
            <w:vAlign w:val="center"/>
          </w:tcPr>
          <w:p w14:paraId="457AE9B2" w14:textId="13736EA6" w:rsidR="00221AF3" w:rsidRPr="00615FF3" w:rsidRDefault="00221AF3" w:rsidP="00221AF3">
            <w:pPr>
              <w:pStyle w:val="CETBodytext"/>
              <w:ind w:right="-1"/>
              <w:jc w:val="center"/>
              <w:rPr>
                <w:rFonts w:cs="Arial"/>
                <w:szCs w:val="18"/>
                <w:lang w:val="en-GB"/>
              </w:rPr>
            </w:pPr>
            <w:r w:rsidRPr="00615FF3">
              <w:rPr>
                <w:rFonts w:cs="Arial"/>
                <w:szCs w:val="18"/>
                <w:lang w:val="en-GB"/>
              </w:rPr>
              <w:t>M12</w:t>
            </w:r>
          </w:p>
        </w:tc>
        <w:tc>
          <w:tcPr>
            <w:tcW w:w="476" w:type="pct"/>
            <w:tcBorders>
              <w:top w:val="single" w:sz="6" w:space="0" w:color="008000"/>
              <w:bottom w:val="single" w:sz="6" w:space="0" w:color="008000"/>
            </w:tcBorders>
            <w:vAlign w:val="center"/>
          </w:tcPr>
          <w:p w14:paraId="66463822" w14:textId="2BA8544D" w:rsidR="00221AF3" w:rsidRPr="00615FF3" w:rsidRDefault="00221AF3" w:rsidP="00221AF3">
            <w:pPr>
              <w:pStyle w:val="CETBodytext"/>
              <w:ind w:right="-1"/>
              <w:jc w:val="center"/>
              <w:rPr>
                <w:rFonts w:cs="Arial"/>
                <w:szCs w:val="18"/>
                <w:lang w:val="en-GB"/>
              </w:rPr>
            </w:pPr>
            <w:r w:rsidRPr="00615FF3">
              <w:rPr>
                <w:rFonts w:cs="Arial"/>
                <w:szCs w:val="18"/>
                <w:lang w:val="en-GB"/>
              </w:rPr>
              <w:t>MP</w:t>
            </w:r>
          </w:p>
        </w:tc>
        <w:tc>
          <w:tcPr>
            <w:tcW w:w="243" w:type="pct"/>
            <w:tcBorders>
              <w:top w:val="single" w:sz="6" w:space="0" w:color="008000"/>
              <w:bottom w:val="single" w:sz="6" w:space="0" w:color="008000"/>
            </w:tcBorders>
            <w:vAlign w:val="center"/>
          </w:tcPr>
          <w:p w14:paraId="149EF438" w14:textId="1D7A384F" w:rsidR="00221AF3" w:rsidRPr="00615FF3" w:rsidRDefault="00221AF3" w:rsidP="00221AF3">
            <w:pPr>
              <w:pStyle w:val="CETBodytext"/>
              <w:ind w:right="-1"/>
              <w:jc w:val="center"/>
              <w:rPr>
                <w:rFonts w:cs="Arial"/>
                <w:szCs w:val="18"/>
                <w:lang w:val="en-GB"/>
              </w:rPr>
            </w:pPr>
            <w:r w:rsidRPr="00615FF3">
              <w:rPr>
                <w:rFonts w:cs="Arial"/>
                <w:szCs w:val="18"/>
                <w:lang w:val="en-GB"/>
              </w:rPr>
              <w:t>T8</w:t>
            </w:r>
          </w:p>
        </w:tc>
        <w:tc>
          <w:tcPr>
            <w:tcW w:w="300" w:type="pct"/>
            <w:tcBorders>
              <w:top w:val="single" w:sz="6" w:space="0" w:color="008000"/>
              <w:bottom w:val="single" w:sz="6" w:space="0" w:color="008000"/>
            </w:tcBorders>
            <w:vAlign w:val="center"/>
          </w:tcPr>
          <w:p w14:paraId="145E019D" w14:textId="4559BCCE" w:rsidR="00221AF3" w:rsidRPr="00615FF3" w:rsidRDefault="00221AF3" w:rsidP="00221AF3">
            <w:pPr>
              <w:pStyle w:val="CETBodytext"/>
              <w:ind w:right="-1"/>
              <w:jc w:val="center"/>
              <w:rPr>
                <w:rFonts w:cs="Arial"/>
                <w:szCs w:val="18"/>
                <w:lang w:val="en-GB"/>
              </w:rPr>
            </w:pPr>
            <w:r w:rsidRPr="00615FF3">
              <w:rPr>
                <w:rFonts w:cs="Arial"/>
                <w:szCs w:val="18"/>
                <w:lang w:val="en-GB"/>
              </w:rPr>
              <w:t>T12</w:t>
            </w:r>
          </w:p>
        </w:tc>
        <w:tc>
          <w:tcPr>
            <w:tcW w:w="476" w:type="pct"/>
            <w:tcBorders>
              <w:top w:val="single" w:sz="6" w:space="0" w:color="008000"/>
              <w:bottom w:val="single" w:sz="6" w:space="0" w:color="008000"/>
            </w:tcBorders>
            <w:vAlign w:val="center"/>
          </w:tcPr>
          <w:p w14:paraId="0F69CD7E" w14:textId="06A21DCD" w:rsidR="00221AF3" w:rsidRPr="00615FF3" w:rsidRDefault="00221AF3" w:rsidP="00221AF3">
            <w:pPr>
              <w:pStyle w:val="CETBodytext"/>
              <w:ind w:right="-1"/>
              <w:jc w:val="center"/>
              <w:rPr>
                <w:rFonts w:cs="Arial"/>
                <w:szCs w:val="18"/>
                <w:lang w:val="en-GB"/>
              </w:rPr>
            </w:pPr>
            <w:r w:rsidRPr="00615FF3">
              <w:rPr>
                <w:rFonts w:cs="Arial"/>
                <w:szCs w:val="18"/>
                <w:lang w:val="en-GB"/>
              </w:rPr>
              <w:t>TP</w:t>
            </w:r>
          </w:p>
        </w:tc>
      </w:tr>
      <w:tr w:rsidR="00A50910" w:rsidRPr="00615FF3" w14:paraId="334EDF50" w14:textId="07BA74F3" w:rsidTr="00A50910">
        <w:trPr>
          <w:trHeight w:val="552"/>
          <w:jc w:val="center"/>
        </w:trPr>
        <w:tc>
          <w:tcPr>
            <w:tcW w:w="901" w:type="pct"/>
            <w:tcBorders>
              <w:top w:val="single" w:sz="6" w:space="0" w:color="008000"/>
              <w:bottom w:val="single" w:sz="6" w:space="0" w:color="008000"/>
            </w:tcBorders>
            <w:vAlign w:val="center"/>
          </w:tcPr>
          <w:p w14:paraId="0A6F4FC5" w14:textId="1F8DA3FA" w:rsidR="00221AF3" w:rsidRPr="00615FF3" w:rsidRDefault="00221AF3" w:rsidP="00221AF3">
            <w:pPr>
              <w:pStyle w:val="CETBodytext"/>
              <w:ind w:right="-1"/>
              <w:jc w:val="center"/>
              <w:rPr>
                <w:rFonts w:cs="Arial"/>
                <w:szCs w:val="18"/>
                <w:lang w:val="en-GB"/>
              </w:rPr>
            </w:pPr>
            <w:r w:rsidRPr="00615FF3">
              <w:rPr>
                <w:rFonts w:cs="Arial"/>
                <w:szCs w:val="18"/>
                <w:lang w:val="en-GB"/>
              </w:rPr>
              <w:t>Temperature</w:t>
            </w:r>
          </w:p>
          <w:p w14:paraId="6B53F9AD" w14:textId="77777777" w:rsidR="00221AF3" w:rsidRPr="00615FF3" w:rsidRDefault="00221AF3" w:rsidP="00221AF3">
            <w:pPr>
              <w:pStyle w:val="CETBodytext"/>
              <w:ind w:right="-1"/>
              <w:jc w:val="center"/>
              <w:rPr>
                <w:rFonts w:cs="Arial"/>
                <w:szCs w:val="18"/>
                <w:lang w:val="en-GB"/>
              </w:rPr>
            </w:pPr>
            <w:r w:rsidRPr="00615FF3">
              <w:rPr>
                <w:rFonts w:cs="Arial"/>
                <w:szCs w:val="18"/>
                <w:lang w:val="en-GB"/>
              </w:rPr>
              <w:t>(°C)</w:t>
            </w:r>
          </w:p>
        </w:tc>
        <w:tc>
          <w:tcPr>
            <w:tcW w:w="265" w:type="pct"/>
            <w:tcBorders>
              <w:top w:val="single" w:sz="6" w:space="0" w:color="008000"/>
              <w:bottom w:val="single" w:sz="6" w:space="0" w:color="008000"/>
            </w:tcBorders>
            <w:vAlign w:val="center"/>
          </w:tcPr>
          <w:p w14:paraId="6B035B89" w14:textId="523F4511" w:rsidR="00221AF3" w:rsidRPr="00615FF3" w:rsidRDefault="00221AF3" w:rsidP="00221AF3">
            <w:pPr>
              <w:pStyle w:val="CETBodytext"/>
              <w:ind w:right="-1"/>
              <w:jc w:val="center"/>
              <w:rPr>
                <w:rFonts w:cs="Arial"/>
                <w:szCs w:val="18"/>
                <w:lang w:val="en-GB"/>
              </w:rPr>
            </w:pPr>
            <w:r w:rsidRPr="00615FF3">
              <w:rPr>
                <w:rFonts w:cs="Arial"/>
                <w:szCs w:val="18"/>
                <w:lang w:val="en-GB"/>
              </w:rPr>
              <w:t>40</w:t>
            </w:r>
          </w:p>
        </w:tc>
        <w:tc>
          <w:tcPr>
            <w:tcW w:w="464" w:type="pct"/>
            <w:tcBorders>
              <w:top w:val="single" w:sz="6" w:space="0" w:color="008000"/>
              <w:bottom w:val="single" w:sz="6" w:space="0" w:color="008000"/>
            </w:tcBorders>
            <w:vAlign w:val="center"/>
          </w:tcPr>
          <w:p w14:paraId="0F9E5C22" w14:textId="7F5E983D" w:rsidR="00221AF3" w:rsidRPr="00615FF3" w:rsidRDefault="00221AF3" w:rsidP="00221AF3">
            <w:pPr>
              <w:pStyle w:val="CETBodytext"/>
              <w:ind w:right="-1"/>
              <w:jc w:val="center"/>
              <w:rPr>
                <w:rFonts w:cs="Arial"/>
                <w:szCs w:val="18"/>
                <w:lang w:val="en-GB"/>
              </w:rPr>
            </w:pPr>
            <w:r w:rsidRPr="00615FF3">
              <w:rPr>
                <w:rFonts w:cs="Arial"/>
                <w:szCs w:val="18"/>
                <w:lang w:val="en-GB"/>
              </w:rPr>
              <w:t>40</w:t>
            </w:r>
          </w:p>
        </w:tc>
        <w:tc>
          <w:tcPr>
            <w:tcW w:w="464" w:type="pct"/>
            <w:tcBorders>
              <w:top w:val="single" w:sz="6" w:space="0" w:color="008000"/>
              <w:bottom w:val="single" w:sz="6" w:space="0" w:color="008000"/>
            </w:tcBorders>
            <w:vAlign w:val="center"/>
          </w:tcPr>
          <w:p w14:paraId="4941489C" w14:textId="36BDCAF3" w:rsidR="00221AF3" w:rsidRPr="00615FF3" w:rsidRDefault="00221AF3" w:rsidP="00221AF3">
            <w:pPr>
              <w:pStyle w:val="CETBodytext"/>
              <w:ind w:right="-1"/>
              <w:jc w:val="center"/>
              <w:rPr>
                <w:rFonts w:cs="Arial"/>
                <w:szCs w:val="18"/>
                <w:lang w:val="en-GB"/>
              </w:rPr>
            </w:pPr>
            <w:r w:rsidRPr="00615FF3">
              <w:rPr>
                <w:rFonts w:cs="Arial"/>
                <w:szCs w:val="18"/>
                <w:lang w:val="en-GB"/>
              </w:rPr>
              <w:t>40</w:t>
            </w:r>
          </w:p>
        </w:tc>
        <w:tc>
          <w:tcPr>
            <w:tcW w:w="464" w:type="pct"/>
            <w:tcBorders>
              <w:top w:val="single" w:sz="6" w:space="0" w:color="008000"/>
              <w:bottom w:val="single" w:sz="6" w:space="0" w:color="008000"/>
            </w:tcBorders>
            <w:vAlign w:val="center"/>
          </w:tcPr>
          <w:p w14:paraId="688B74B7" w14:textId="177489C5" w:rsidR="00221AF3" w:rsidRPr="00615FF3" w:rsidRDefault="00221AF3" w:rsidP="00221AF3">
            <w:pPr>
              <w:pStyle w:val="CETBodytext"/>
              <w:ind w:right="-1"/>
              <w:jc w:val="center"/>
              <w:rPr>
                <w:rFonts w:cs="Arial"/>
                <w:szCs w:val="18"/>
                <w:lang w:val="en-GB"/>
              </w:rPr>
            </w:pPr>
            <w:r w:rsidRPr="00615FF3">
              <w:rPr>
                <w:rFonts w:cs="Arial"/>
                <w:szCs w:val="18"/>
                <w:lang w:val="en-GB"/>
              </w:rPr>
              <w:t>40</w:t>
            </w:r>
          </w:p>
        </w:tc>
        <w:tc>
          <w:tcPr>
            <w:tcW w:w="354" w:type="pct"/>
            <w:tcBorders>
              <w:top w:val="single" w:sz="6" w:space="0" w:color="008000"/>
              <w:bottom w:val="single" w:sz="6" w:space="0" w:color="008000"/>
              <w:right w:val="single" w:sz="4" w:space="0" w:color="auto"/>
            </w:tcBorders>
            <w:vAlign w:val="center"/>
          </w:tcPr>
          <w:p w14:paraId="49098DD6" w14:textId="67BC4676" w:rsidR="00221AF3" w:rsidRPr="00615FF3" w:rsidRDefault="00221AF3" w:rsidP="00221AF3">
            <w:pPr>
              <w:pStyle w:val="CETBodytext"/>
              <w:ind w:right="-1"/>
              <w:jc w:val="center"/>
              <w:rPr>
                <w:rFonts w:cs="Arial"/>
                <w:szCs w:val="18"/>
                <w:lang w:val="en-GB"/>
              </w:rPr>
            </w:pPr>
            <w:r w:rsidRPr="00615FF3">
              <w:rPr>
                <w:rFonts w:cs="Arial"/>
                <w:szCs w:val="18"/>
                <w:lang w:val="en-GB"/>
              </w:rPr>
              <w:t>40</w:t>
            </w:r>
          </w:p>
        </w:tc>
        <w:tc>
          <w:tcPr>
            <w:tcW w:w="265" w:type="pct"/>
            <w:tcBorders>
              <w:top w:val="single" w:sz="6" w:space="0" w:color="008000"/>
              <w:left w:val="single" w:sz="4" w:space="0" w:color="auto"/>
              <w:bottom w:val="single" w:sz="6" w:space="0" w:color="008000"/>
            </w:tcBorders>
            <w:vAlign w:val="center"/>
          </w:tcPr>
          <w:p w14:paraId="3D45A16E" w14:textId="74CF0371" w:rsidR="00221AF3" w:rsidRPr="00615FF3" w:rsidRDefault="00221AF3" w:rsidP="00221AF3">
            <w:pPr>
              <w:pStyle w:val="CETBodytext"/>
              <w:ind w:right="-1"/>
              <w:jc w:val="center"/>
              <w:rPr>
                <w:rFonts w:cs="Arial"/>
                <w:szCs w:val="18"/>
                <w:lang w:val="en-GB"/>
              </w:rPr>
            </w:pPr>
            <w:r w:rsidRPr="00615FF3">
              <w:rPr>
                <w:rFonts w:cs="Arial"/>
                <w:szCs w:val="18"/>
                <w:lang w:val="en-GB"/>
              </w:rPr>
              <w:t>40</w:t>
            </w:r>
          </w:p>
        </w:tc>
        <w:tc>
          <w:tcPr>
            <w:tcW w:w="323" w:type="pct"/>
            <w:tcBorders>
              <w:top w:val="single" w:sz="6" w:space="0" w:color="008000"/>
              <w:bottom w:val="single" w:sz="6" w:space="0" w:color="008000"/>
            </w:tcBorders>
            <w:vAlign w:val="center"/>
          </w:tcPr>
          <w:p w14:paraId="7A94F222" w14:textId="44C3F099" w:rsidR="00221AF3" w:rsidRPr="00615FF3" w:rsidRDefault="00221AF3" w:rsidP="00221AF3">
            <w:pPr>
              <w:pStyle w:val="CETBodytext"/>
              <w:ind w:right="-1"/>
              <w:jc w:val="center"/>
              <w:rPr>
                <w:rFonts w:cs="Arial"/>
                <w:szCs w:val="18"/>
                <w:lang w:val="en-GB"/>
              </w:rPr>
            </w:pPr>
            <w:r w:rsidRPr="00615FF3">
              <w:rPr>
                <w:rFonts w:cs="Arial"/>
                <w:szCs w:val="18"/>
                <w:lang w:val="en-GB"/>
              </w:rPr>
              <w:t>40</w:t>
            </w:r>
          </w:p>
        </w:tc>
        <w:tc>
          <w:tcPr>
            <w:tcW w:w="476" w:type="pct"/>
            <w:tcBorders>
              <w:top w:val="single" w:sz="6" w:space="0" w:color="008000"/>
              <w:bottom w:val="single" w:sz="6" w:space="0" w:color="008000"/>
            </w:tcBorders>
            <w:vAlign w:val="center"/>
          </w:tcPr>
          <w:p w14:paraId="0B5D392B" w14:textId="2BF202D0" w:rsidR="00221AF3" w:rsidRPr="00615FF3" w:rsidRDefault="00221AF3" w:rsidP="00221AF3">
            <w:pPr>
              <w:pStyle w:val="CETBodytext"/>
              <w:ind w:right="-1"/>
              <w:jc w:val="center"/>
              <w:rPr>
                <w:rFonts w:cs="Arial"/>
                <w:szCs w:val="18"/>
                <w:lang w:val="en-GB"/>
              </w:rPr>
            </w:pPr>
            <w:r w:rsidRPr="00615FF3">
              <w:rPr>
                <w:rFonts w:cs="Arial"/>
                <w:szCs w:val="18"/>
                <w:lang w:val="en-GB"/>
              </w:rPr>
              <w:t>40</w:t>
            </w:r>
          </w:p>
        </w:tc>
        <w:tc>
          <w:tcPr>
            <w:tcW w:w="243" w:type="pct"/>
            <w:tcBorders>
              <w:top w:val="single" w:sz="6" w:space="0" w:color="008000"/>
              <w:bottom w:val="single" w:sz="6" w:space="0" w:color="008000"/>
            </w:tcBorders>
            <w:vAlign w:val="center"/>
          </w:tcPr>
          <w:p w14:paraId="2B030F86" w14:textId="7E62A83F" w:rsidR="00221AF3" w:rsidRPr="00615FF3" w:rsidRDefault="00221AF3" w:rsidP="00221AF3">
            <w:pPr>
              <w:pStyle w:val="CETBodytext"/>
              <w:ind w:right="-1"/>
              <w:jc w:val="center"/>
              <w:rPr>
                <w:rFonts w:cs="Arial"/>
                <w:szCs w:val="18"/>
                <w:lang w:val="en-GB"/>
              </w:rPr>
            </w:pPr>
            <w:r w:rsidRPr="00615FF3">
              <w:rPr>
                <w:rFonts w:cs="Arial"/>
                <w:szCs w:val="18"/>
                <w:lang w:val="en-GB"/>
              </w:rPr>
              <w:t>55</w:t>
            </w:r>
          </w:p>
        </w:tc>
        <w:tc>
          <w:tcPr>
            <w:tcW w:w="300" w:type="pct"/>
            <w:tcBorders>
              <w:top w:val="single" w:sz="6" w:space="0" w:color="008000"/>
              <w:bottom w:val="single" w:sz="6" w:space="0" w:color="008000"/>
            </w:tcBorders>
            <w:vAlign w:val="center"/>
          </w:tcPr>
          <w:p w14:paraId="7E3A2E2F" w14:textId="1EACFFA8" w:rsidR="00221AF3" w:rsidRPr="00615FF3" w:rsidRDefault="00221AF3" w:rsidP="00221AF3">
            <w:pPr>
              <w:pStyle w:val="CETBodytext"/>
              <w:ind w:right="-1"/>
              <w:jc w:val="center"/>
              <w:rPr>
                <w:rFonts w:cs="Arial"/>
                <w:szCs w:val="18"/>
                <w:lang w:val="en-GB"/>
              </w:rPr>
            </w:pPr>
            <w:r w:rsidRPr="00615FF3">
              <w:rPr>
                <w:rFonts w:cs="Arial"/>
                <w:szCs w:val="18"/>
                <w:lang w:val="en-GB"/>
              </w:rPr>
              <w:t>55</w:t>
            </w:r>
          </w:p>
        </w:tc>
        <w:tc>
          <w:tcPr>
            <w:tcW w:w="476" w:type="pct"/>
            <w:tcBorders>
              <w:top w:val="single" w:sz="6" w:space="0" w:color="008000"/>
              <w:bottom w:val="single" w:sz="6" w:space="0" w:color="008000"/>
            </w:tcBorders>
            <w:vAlign w:val="center"/>
          </w:tcPr>
          <w:p w14:paraId="4E8305A5" w14:textId="7570AA17" w:rsidR="00221AF3" w:rsidRPr="00615FF3" w:rsidRDefault="00221AF3" w:rsidP="00221AF3">
            <w:pPr>
              <w:pStyle w:val="CETBodytext"/>
              <w:ind w:right="-1"/>
              <w:jc w:val="center"/>
              <w:rPr>
                <w:rFonts w:cs="Arial"/>
                <w:szCs w:val="18"/>
                <w:lang w:val="en-GB"/>
              </w:rPr>
            </w:pPr>
            <w:r w:rsidRPr="00615FF3">
              <w:rPr>
                <w:rFonts w:cs="Arial"/>
                <w:szCs w:val="18"/>
                <w:lang w:val="en-GB"/>
              </w:rPr>
              <w:t>55</w:t>
            </w:r>
          </w:p>
        </w:tc>
      </w:tr>
      <w:tr w:rsidR="00A50910" w:rsidRPr="00615FF3" w14:paraId="47F80CE8" w14:textId="4382BBCF" w:rsidTr="00A50910">
        <w:trPr>
          <w:trHeight w:val="552"/>
          <w:jc w:val="center"/>
        </w:trPr>
        <w:tc>
          <w:tcPr>
            <w:tcW w:w="901" w:type="pct"/>
            <w:tcBorders>
              <w:top w:val="single" w:sz="6" w:space="0" w:color="008000"/>
              <w:bottom w:val="single" w:sz="6" w:space="0" w:color="008000"/>
            </w:tcBorders>
            <w:vAlign w:val="center"/>
          </w:tcPr>
          <w:p w14:paraId="73D9DE8B" w14:textId="76C1035A" w:rsidR="00221AF3" w:rsidRPr="00615FF3" w:rsidRDefault="00221AF3" w:rsidP="00221AF3">
            <w:pPr>
              <w:pStyle w:val="CETBodytext"/>
              <w:ind w:right="-1"/>
              <w:jc w:val="center"/>
              <w:rPr>
                <w:rFonts w:cs="Arial"/>
                <w:szCs w:val="18"/>
                <w:lang w:val="en-GB"/>
              </w:rPr>
            </w:pPr>
            <w:r w:rsidRPr="00615FF3">
              <w:rPr>
                <w:rFonts w:cs="Arial"/>
                <w:szCs w:val="18"/>
                <w:lang w:val="en-GB"/>
              </w:rPr>
              <w:t>Solid content</w:t>
            </w:r>
          </w:p>
          <w:p w14:paraId="083B7C93" w14:textId="77777777" w:rsidR="00221AF3" w:rsidRPr="00615FF3" w:rsidRDefault="00221AF3" w:rsidP="00221AF3">
            <w:pPr>
              <w:pStyle w:val="CETBodytext"/>
              <w:ind w:right="-1"/>
              <w:jc w:val="center"/>
              <w:rPr>
                <w:rFonts w:cs="Arial"/>
                <w:szCs w:val="18"/>
                <w:lang w:val="en-GB"/>
              </w:rPr>
            </w:pPr>
            <w:r w:rsidRPr="00615FF3">
              <w:rPr>
                <w:rFonts w:cs="Arial"/>
                <w:szCs w:val="18"/>
                <w:lang w:val="en-GB"/>
              </w:rPr>
              <w:t>(g TS/L)</w:t>
            </w:r>
          </w:p>
        </w:tc>
        <w:tc>
          <w:tcPr>
            <w:tcW w:w="265" w:type="pct"/>
            <w:tcBorders>
              <w:top w:val="single" w:sz="6" w:space="0" w:color="008000"/>
              <w:bottom w:val="single" w:sz="6" w:space="0" w:color="008000"/>
            </w:tcBorders>
            <w:vAlign w:val="center"/>
          </w:tcPr>
          <w:p w14:paraId="54052E2C" w14:textId="7E7B99B5" w:rsidR="00221AF3" w:rsidRPr="00615FF3" w:rsidRDefault="00221AF3" w:rsidP="00221AF3">
            <w:pPr>
              <w:pStyle w:val="CETBodytext"/>
              <w:ind w:right="-1"/>
              <w:jc w:val="center"/>
              <w:rPr>
                <w:rFonts w:cs="Arial"/>
                <w:szCs w:val="18"/>
                <w:lang w:val="en-GB"/>
              </w:rPr>
            </w:pPr>
            <w:r w:rsidRPr="00615FF3">
              <w:rPr>
                <w:rFonts w:cs="Arial"/>
                <w:szCs w:val="18"/>
                <w:lang w:val="en-GB"/>
              </w:rPr>
              <w:t>80</w:t>
            </w:r>
          </w:p>
        </w:tc>
        <w:tc>
          <w:tcPr>
            <w:tcW w:w="464" w:type="pct"/>
            <w:tcBorders>
              <w:top w:val="single" w:sz="6" w:space="0" w:color="008000"/>
              <w:bottom w:val="single" w:sz="6" w:space="0" w:color="008000"/>
            </w:tcBorders>
            <w:vAlign w:val="center"/>
          </w:tcPr>
          <w:p w14:paraId="6D26D377" w14:textId="7ADB8EE0" w:rsidR="00221AF3" w:rsidRPr="00615FF3" w:rsidRDefault="00221AF3" w:rsidP="00221AF3">
            <w:pPr>
              <w:pStyle w:val="CETBodytext"/>
              <w:ind w:right="-1"/>
              <w:jc w:val="center"/>
              <w:rPr>
                <w:rFonts w:cs="Arial"/>
                <w:szCs w:val="18"/>
                <w:lang w:val="en-GB"/>
              </w:rPr>
            </w:pPr>
            <w:r w:rsidRPr="00615FF3">
              <w:rPr>
                <w:rFonts w:cs="Arial"/>
                <w:szCs w:val="18"/>
                <w:lang w:val="en-GB"/>
              </w:rPr>
              <w:t>80</w:t>
            </w:r>
          </w:p>
        </w:tc>
        <w:tc>
          <w:tcPr>
            <w:tcW w:w="464" w:type="pct"/>
            <w:tcBorders>
              <w:top w:val="single" w:sz="6" w:space="0" w:color="008000"/>
              <w:bottom w:val="single" w:sz="6" w:space="0" w:color="008000"/>
            </w:tcBorders>
            <w:vAlign w:val="center"/>
          </w:tcPr>
          <w:p w14:paraId="058B61B0" w14:textId="07F113F6" w:rsidR="00221AF3" w:rsidRPr="00615FF3" w:rsidRDefault="00221AF3" w:rsidP="00221AF3">
            <w:pPr>
              <w:pStyle w:val="CETBodytext"/>
              <w:ind w:right="-1"/>
              <w:jc w:val="center"/>
              <w:rPr>
                <w:rFonts w:cs="Arial"/>
                <w:szCs w:val="18"/>
                <w:lang w:val="en-GB"/>
              </w:rPr>
            </w:pPr>
            <w:r w:rsidRPr="00615FF3">
              <w:rPr>
                <w:rFonts w:cs="Arial"/>
                <w:szCs w:val="18"/>
                <w:lang w:val="en-GB"/>
              </w:rPr>
              <w:t>80</w:t>
            </w:r>
          </w:p>
        </w:tc>
        <w:tc>
          <w:tcPr>
            <w:tcW w:w="464" w:type="pct"/>
            <w:tcBorders>
              <w:top w:val="single" w:sz="6" w:space="0" w:color="008000"/>
              <w:bottom w:val="single" w:sz="6" w:space="0" w:color="008000"/>
            </w:tcBorders>
            <w:vAlign w:val="center"/>
          </w:tcPr>
          <w:p w14:paraId="4F2F4E51" w14:textId="3A06005A" w:rsidR="00221AF3" w:rsidRPr="00615FF3" w:rsidRDefault="00221AF3" w:rsidP="00221AF3">
            <w:pPr>
              <w:pStyle w:val="CETBodytext"/>
              <w:ind w:right="-1"/>
              <w:jc w:val="center"/>
              <w:rPr>
                <w:rFonts w:cs="Arial"/>
                <w:szCs w:val="18"/>
                <w:lang w:val="en-GB"/>
              </w:rPr>
            </w:pPr>
            <w:r w:rsidRPr="00615FF3">
              <w:rPr>
                <w:rFonts w:cs="Arial"/>
                <w:szCs w:val="18"/>
                <w:lang w:val="en-GB"/>
              </w:rPr>
              <w:t>80</w:t>
            </w:r>
          </w:p>
        </w:tc>
        <w:tc>
          <w:tcPr>
            <w:tcW w:w="354" w:type="pct"/>
            <w:tcBorders>
              <w:top w:val="single" w:sz="6" w:space="0" w:color="008000"/>
              <w:bottom w:val="single" w:sz="6" w:space="0" w:color="008000"/>
              <w:right w:val="single" w:sz="4" w:space="0" w:color="auto"/>
            </w:tcBorders>
            <w:vAlign w:val="center"/>
          </w:tcPr>
          <w:p w14:paraId="64DC47CD" w14:textId="56E7F190" w:rsidR="00221AF3" w:rsidRPr="00615FF3" w:rsidRDefault="00221AF3" w:rsidP="00221AF3">
            <w:pPr>
              <w:pStyle w:val="CETBodytext"/>
              <w:ind w:right="-1"/>
              <w:jc w:val="center"/>
              <w:rPr>
                <w:rFonts w:cs="Arial"/>
                <w:szCs w:val="18"/>
                <w:lang w:val="en-GB"/>
              </w:rPr>
            </w:pPr>
            <w:r w:rsidRPr="00615FF3">
              <w:rPr>
                <w:rFonts w:cs="Arial"/>
                <w:szCs w:val="18"/>
                <w:lang w:val="en-GB"/>
              </w:rPr>
              <w:t>80</w:t>
            </w:r>
          </w:p>
        </w:tc>
        <w:tc>
          <w:tcPr>
            <w:tcW w:w="265" w:type="pct"/>
            <w:tcBorders>
              <w:top w:val="single" w:sz="6" w:space="0" w:color="008000"/>
              <w:left w:val="single" w:sz="4" w:space="0" w:color="auto"/>
              <w:bottom w:val="single" w:sz="6" w:space="0" w:color="008000"/>
            </w:tcBorders>
            <w:vAlign w:val="center"/>
          </w:tcPr>
          <w:p w14:paraId="3BF1D7FE" w14:textId="29DD6C0E" w:rsidR="00221AF3" w:rsidRPr="00615FF3" w:rsidRDefault="00221AF3" w:rsidP="00221AF3">
            <w:pPr>
              <w:pStyle w:val="CETBodytext"/>
              <w:ind w:right="-1"/>
              <w:jc w:val="center"/>
              <w:rPr>
                <w:rFonts w:cs="Arial"/>
                <w:szCs w:val="18"/>
                <w:lang w:val="en-GB"/>
              </w:rPr>
            </w:pPr>
            <w:r w:rsidRPr="00615FF3">
              <w:rPr>
                <w:rFonts w:cs="Arial"/>
                <w:szCs w:val="18"/>
                <w:lang w:val="en-GB"/>
              </w:rPr>
              <w:t>80</w:t>
            </w:r>
          </w:p>
        </w:tc>
        <w:tc>
          <w:tcPr>
            <w:tcW w:w="323" w:type="pct"/>
            <w:tcBorders>
              <w:top w:val="single" w:sz="6" w:space="0" w:color="008000"/>
              <w:bottom w:val="single" w:sz="6" w:space="0" w:color="008000"/>
            </w:tcBorders>
            <w:vAlign w:val="center"/>
          </w:tcPr>
          <w:p w14:paraId="6328DB9C" w14:textId="2E870F9B" w:rsidR="00221AF3" w:rsidRPr="00615FF3" w:rsidRDefault="00221AF3" w:rsidP="00221AF3">
            <w:pPr>
              <w:pStyle w:val="CETBodytext"/>
              <w:ind w:right="-1"/>
              <w:jc w:val="center"/>
              <w:rPr>
                <w:rFonts w:cs="Arial"/>
                <w:szCs w:val="18"/>
                <w:lang w:val="en-GB"/>
              </w:rPr>
            </w:pPr>
            <w:r w:rsidRPr="00615FF3">
              <w:rPr>
                <w:rFonts w:cs="Arial"/>
                <w:szCs w:val="18"/>
                <w:lang w:val="en-GB"/>
              </w:rPr>
              <w:t>120</w:t>
            </w:r>
          </w:p>
        </w:tc>
        <w:tc>
          <w:tcPr>
            <w:tcW w:w="476" w:type="pct"/>
            <w:tcBorders>
              <w:top w:val="single" w:sz="6" w:space="0" w:color="008000"/>
              <w:bottom w:val="single" w:sz="6" w:space="0" w:color="008000"/>
            </w:tcBorders>
            <w:vAlign w:val="center"/>
          </w:tcPr>
          <w:p w14:paraId="0FF1D570" w14:textId="0E6E81D5" w:rsidR="00221AF3" w:rsidRPr="00615FF3" w:rsidRDefault="00221AF3" w:rsidP="00221AF3">
            <w:pPr>
              <w:pStyle w:val="CETBodytext"/>
              <w:ind w:right="-1"/>
              <w:jc w:val="center"/>
              <w:rPr>
                <w:rFonts w:cs="Arial"/>
                <w:szCs w:val="18"/>
                <w:lang w:val="en-GB"/>
              </w:rPr>
            </w:pPr>
            <w:r w:rsidRPr="00615FF3">
              <w:rPr>
                <w:rFonts w:cs="Arial"/>
                <w:szCs w:val="18"/>
                <w:lang w:val="en-GB"/>
              </w:rPr>
              <w:t>80</w:t>
            </w:r>
          </w:p>
        </w:tc>
        <w:tc>
          <w:tcPr>
            <w:tcW w:w="243" w:type="pct"/>
            <w:tcBorders>
              <w:top w:val="single" w:sz="6" w:space="0" w:color="008000"/>
              <w:bottom w:val="single" w:sz="6" w:space="0" w:color="008000"/>
            </w:tcBorders>
            <w:vAlign w:val="center"/>
          </w:tcPr>
          <w:p w14:paraId="0CFCD582" w14:textId="407777A9" w:rsidR="00221AF3" w:rsidRPr="00615FF3" w:rsidRDefault="00221AF3" w:rsidP="00221AF3">
            <w:pPr>
              <w:pStyle w:val="CETBodytext"/>
              <w:ind w:right="-1"/>
              <w:jc w:val="center"/>
              <w:rPr>
                <w:rFonts w:cs="Arial"/>
                <w:szCs w:val="18"/>
                <w:lang w:val="en-GB"/>
              </w:rPr>
            </w:pPr>
            <w:r w:rsidRPr="00615FF3">
              <w:rPr>
                <w:rFonts w:cs="Arial"/>
                <w:szCs w:val="18"/>
                <w:lang w:val="en-GB"/>
              </w:rPr>
              <w:t>80</w:t>
            </w:r>
          </w:p>
        </w:tc>
        <w:tc>
          <w:tcPr>
            <w:tcW w:w="300" w:type="pct"/>
            <w:tcBorders>
              <w:top w:val="single" w:sz="6" w:space="0" w:color="008000"/>
              <w:bottom w:val="single" w:sz="6" w:space="0" w:color="008000"/>
            </w:tcBorders>
            <w:vAlign w:val="center"/>
          </w:tcPr>
          <w:p w14:paraId="4EAAFB43" w14:textId="6DD89B2F" w:rsidR="00221AF3" w:rsidRPr="00615FF3" w:rsidRDefault="00221AF3" w:rsidP="00221AF3">
            <w:pPr>
              <w:pStyle w:val="CETBodytext"/>
              <w:ind w:right="-1"/>
              <w:jc w:val="center"/>
              <w:rPr>
                <w:rFonts w:cs="Arial"/>
                <w:szCs w:val="18"/>
                <w:lang w:val="en-GB"/>
              </w:rPr>
            </w:pPr>
            <w:r w:rsidRPr="00615FF3">
              <w:rPr>
                <w:rFonts w:cs="Arial"/>
                <w:szCs w:val="18"/>
                <w:lang w:val="en-GB"/>
              </w:rPr>
              <w:t>120</w:t>
            </w:r>
          </w:p>
        </w:tc>
        <w:tc>
          <w:tcPr>
            <w:tcW w:w="476" w:type="pct"/>
            <w:tcBorders>
              <w:top w:val="single" w:sz="6" w:space="0" w:color="008000"/>
              <w:bottom w:val="single" w:sz="6" w:space="0" w:color="008000"/>
            </w:tcBorders>
            <w:vAlign w:val="center"/>
          </w:tcPr>
          <w:p w14:paraId="2980384F" w14:textId="190ACEC4" w:rsidR="00221AF3" w:rsidRPr="00615FF3" w:rsidRDefault="00221AF3" w:rsidP="00221AF3">
            <w:pPr>
              <w:pStyle w:val="CETBodytext"/>
              <w:ind w:right="-1"/>
              <w:jc w:val="center"/>
              <w:rPr>
                <w:rFonts w:cs="Arial"/>
                <w:szCs w:val="18"/>
                <w:lang w:val="en-GB"/>
              </w:rPr>
            </w:pPr>
            <w:r w:rsidRPr="00615FF3">
              <w:rPr>
                <w:rFonts w:cs="Arial"/>
                <w:szCs w:val="18"/>
                <w:lang w:val="en-GB"/>
              </w:rPr>
              <w:t>80</w:t>
            </w:r>
          </w:p>
        </w:tc>
      </w:tr>
      <w:tr w:rsidR="00A50910" w:rsidRPr="00615FF3" w14:paraId="711E6512" w14:textId="77777777" w:rsidTr="00A50910">
        <w:trPr>
          <w:trHeight w:val="552"/>
          <w:jc w:val="center"/>
        </w:trPr>
        <w:tc>
          <w:tcPr>
            <w:tcW w:w="901" w:type="pct"/>
            <w:tcBorders>
              <w:top w:val="single" w:sz="6" w:space="0" w:color="008000"/>
              <w:bottom w:val="single" w:sz="6" w:space="0" w:color="008000"/>
            </w:tcBorders>
            <w:vAlign w:val="center"/>
          </w:tcPr>
          <w:p w14:paraId="17EE8F4F" w14:textId="62384531" w:rsidR="00221AF3" w:rsidRPr="00615FF3" w:rsidRDefault="00E60372" w:rsidP="00221AF3">
            <w:pPr>
              <w:pStyle w:val="CETBodytext"/>
              <w:ind w:right="-1"/>
              <w:jc w:val="center"/>
              <w:rPr>
                <w:rFonts w:cs="Arial"/>
                <w:szCs w:val="18"/>
                <w:lang w:val="en-GB"/>
              </w:rPr>
            </w:pPr>
            <w:r w:rsidRPr="00615FF3">
              <w:rPr>
                <w:rFonts w:cs="Arial"/>
                <w:szCs w:val="18"/>
                <w:lang w:val="en-GB"/>
              </w:rPr>
              <w:t>Pre-treatment</w:t>
            </w:r>
          </w:p>
        </w:tc>
        <w:tc>
          <w:tcPr>
            <w:tcW w:w="265" w:type="pct"/>
            <w:tcBorders>
              <w:top w:val="single" w:sz="6" w:space="0" w:color="008000"/>
              <w:bottom w:val="single" w:sz="6" w:space="0" w:color="008000"/>
            </w:tcBorders>
            <w:vAlign w:val="center"/>
          </w:tcPr>
          <w:p w14:paraId="6FBC2A53" w14:textId="69ACFC20" w:rsidR="00221AF3" w:rsidRPr="00615FF3" w:rsidRDefault="00EE4489" w:rsidP="00221AF3">
            <w:pPr>
              <w:pStyle w:val="CETBodytext"/>
              <w:ind w:right="-1"/>
              <w:jc w:val="center"/>
              <w:rPr>
                <w:rFonts w:cs="Arial"/>
                <w:szCs w:val="18"/>
                <w:lang w:val="en-GB"/>
              </w:rPr>
            </w:pPr>
            <w:r w:rsidRPr="00615FF3">
              <w:rPr>
                <w:szCs w:val="18"/>
              </w:rPr>
              <w:t>-</w:t>
            </w:r>
          </w:p>
        </w:tc>
        <w:tc>
          <w:tcPr>
            <w:tcW w:w="464" w:type="pct"/>
            <w:tcBorders>
              <w:top w:val="single" w:sz="6" w:space="0" w:color="008000"/>
              <w:bottom w:val="single" w:sz="6" w:space="0" w:color="008000"/>
            </w:tcBorders>
            <w:vAlign w:val="center"/>
          </w:tcPr>
          <w:p w14:paraId="35FC84E5" w14:textId="354442F1" w:rsidR="00221AF3" w:rsidRPr="00615FF3" w:rsidRDefault="00221AF3" w:rsidP="00221AF3">
            <w:pPr>
              <w:pStyle w:val="CETBodytext"/>
              <w:ind w:right="-1"/>
              <w:jc w:val="center"/>
              <w:rPr>
                <w:rFonts w:cs="Arial"/>
                <w:szCs w:val="18"/>
                <w:vertAlign w:val="subscript"/>
                <w:lang w:val="en-GB"/>
              </w:rPr>
            </w:pPr>
            <w:r w:rsidRPr="00615FF3">
              <w:rPr>
                <w:szCs w:val="18"/>
              </w:rPr>
              <w:t>0.1</w:t>
            </w:r>
            <w:r w:rsidR="00EE4489" w:rsidRPr="00615FF3">
              <w:rPr>
                <w:szCs w:val="18"/>
                <w:vertAlign w:val="superscript"/>
              </w:rPr>
              <w:t>a</w:t>
            </w:r>
            <w:r w:rsidRPr="00615FF3">
              <w:rPr>
                <w:szCs w:val="18"/>
              </w:rPr>
              <w:t xml:space="preserve"> H</w:t>
            </w:r>
            <w:r w:rsidRPr="00615FF3">
              <w:rPr>
                <w:szCs w:val="18"/>
                <w:vertAlign w:val="subscript"/>
              </w:rPr>
              <w:t>2</w:t>
            </w:r>
            <w:r w:rsidRPr="00615FF3">
              <w:rPr>
                <w:szCs w:val="18"/>
              </w:rPr>
              <w:t>O</w:t>
            </w:r>
            <w:r w:rsidRPr="00615FF3">
              <w:rPr>
                <w:szCs w:val="18"/>
                <w:vertAlign w:val="subscript"/>
              </w:rPr>
              <w:t>2</w:t>
            </w:r>
          </w:p>
        </w:tc>
        <w:tc>
          <w:tcPr>
            <w:tcW w:w="464" w:type="pct"/>
            <w:tcBorders>
              <w:top w:val="single" w:sz="6" w:space="0" w:color="008000"/>
              <w:bottom w:val="single" w:sz="6" w:space="0" w:color="008000"/>
            </w:tcBorders>
            <w:vAlign w:val="center"/>
          </w:tcPr>
          <w:p w14:paraId="33830BB3" w14:textId="5A952AC6" w:rsidR="00221AF3" w:rsidRPr="00615FF3" w:rsidRDefault="00221AF3" w:rsidP="00221AF3">
            <w:pPr>
              <w:pStyle w:val="CETBodytext"/>
              <w:ind w:right="-1"/>
              <w:jc w:val="center"/>
              <w:rPr>
                <w:rFonts w:cs="Arial"/>
                <w:szCs w:val="18"/>
                <w:lang w:val="en-GB"/>
              </w:rPr>
            </w:pPr>
            <w:r w:rsidRPr="00615FF3">
              <w:rPr>
                <w:szCs w:val="18"/>
              </w:rPr>
              <w:t>0.2</w:t>
            </w:r>
            <w:r w:rsidR="00EE4489" w:rsidRPr="00615FF3">
              <w:rPr>
                <w:szCs w:val="18"/>
                <w:vertAlign w:val="superscript"/>
              </w:rPr>
              <w:t>a</w:t>
            </w:r>
            <w:r w:rsidRPr="00615FF3">
              <w:rPr>
                <w:szCs w:val="18"/>
              </w:rPr>
              <w:t xml:space="preserve"> H</w:t>
            </w:r>
            <w:r w:rsidRPr="00615FF3">
              <w:rPr>
                <w:szCs w:val="18"/>
                <w:vertAlign w:val="subscript"/>
              </w:rPr>
              <w:t>2</w:t>
            </w:r>
            <w:r w:rsidRPr="00615FF3">
              <w:rPr>
                <w:szCs w:val="18"/>
              </w:rPr>
              <w:t>O</w:t>
            </w:r>
            <w:r w:rsidRPr="00615FF3">
              <w:rPr>
                <w:szCs w:val="18"/>
                <w:vertAlign w:val="subscript"/>
              </w:rPr>
              <w:t>2</w:t>
            </w:r>
          </w:p>
        </w:tc>
        <w:tc>
          <w:tcPr>
            <w:tcW w:w="464" w:type="pct"/>
            <w:tcBorders>
              <w:top w:val="single" w:sz="6" w:space="0" w:color="008000"/>
              <w:bottom w:val="single" w:sz="6" w:space="0" w:color="008000"/>
            </w:tcBorders>
            <w:vAlign w:val="center"/>
          </w:tcPr>
          <w:p w14:paraId="4564A8F2" w14:textId="5F3859B3" w:rsidR="00221AF3" w:rsidRPr="00615FF3" w:rsidRDefault="00221AF3" w:rsidP="00221AF3">
            <w:pPr>
              <w:pStyle w:val="CETBodytext"/>
              <w:ind w:right="-1"/>
              <w:jc w:val="center"/>
              <w:rPr>
                <w:rFonts w:cs="Arial"/>
                <w:szCs w:val="18"/>
                <w:lang w:val="en-GB"/>
              </w:rPr>
            </w:pPr>
            <w:r w:rsidRPr="00615FF3">
              <w:rPr>
                <w:szCs w:val="18"/>
              </w:rPr>
              <w:t>0.4</w:t>
            </w:r>
            <w:r w:rsidR="00EE4489" w:rsidRPr="00615FF3">
              <w:rPr>
                <w:szCs w:val="18"/>
                <w:vertAlign w:val="superscript"/>
              </w:rPr>
              <w:t>a</w:t>
            </w:r>
            <w:r w:rsidRPr="00615FF3">
              <w:rPr>
                <w:szCs w:val="18"/>
              </w:rPr>
              <w:t xml:space="preserve"> H</w:t>
            </w:r>
            <w:r w:rsidRPr="00615FF3">
              <w:rPr>
                <w:szCs w:val="18"/>
                <w:vertAlign w:val="subscript"/>
              </w:rPr>
              <w:t>2</w:t>
            </w:r>
            <w:r w:rsidRPr="00615FF3">
              <w:rPr>
                <w:szCs w:val="18"/>
              </w:rPr>
              <w:t>O</w:t>
            </w:r>
            <w:r w:rsidRPr="00615FF3">
              <w:rPr>
                <w:szCs w:val="18"/>
                <w:vertAlign w:val="subscript"/>
              </w:rPr>
              <w:t>2</w:t>
            </w:r>
          </w:p>
        </w:tc>
        <w:tc>
          <w:tcPr>
            <w:tcW w:w="354" w:type="pct"/>
            <w:tcBorders>
              <w:top w:val="single" w:sz="6" w:space="0" w:color="008000"/>
              <w:bottom w:val="single" w:sz="6" w:space="0" w:color="008000"/>
              <w:right w:val="single" w:sz="4" w:space="0" w:color="auto"/>
            </w:tcBorders>
            <w:vAlign w:val="center"/>
          </w:tcPr>
          <w:p w14:paraId="652297D2" w14:textId="253CB7D5" w:rsidR="00221AF3" w:rsidRPr="00615FF3" w:rsidRDefault="00221AF3" w:rsidP="00221AF3">
            <w:pPr>
              <w:pStyle w:val="CETBodytext"/>
              <w:rPr>
                <w:szCs w:val="18"/>
                <w:vertAlign w:val="superscript"/>
              </w:rPr>
            </w:pPr>
            <w:r w:rsidRPr="00615FF3">
              <w:rPr>
                <w:szCs w:val="18"/>
              </w:rPr>
              <w:t>0.6</w:t>
            </w:r>
            <w:r w:rsidR="00EE4489" w:rsidRPr="00615FF3">
              <w:rPr>
                <w:szCs w:val="18"/>
                <w:vertAlign w:val="superscript"/>
              </w:rPr>
              <w:t>a</w:t>
            </w:r>
          </w:p>
          <w:p w14:paraId="41B21A5D" w14:textId="7B2737B1" w:rsidR="00221AF3" w:rsidRPr="00615FF3" w:rsidRDefault="00221AF3" w:rsidP="00221AF3">
            <w:pPr>
              <w:pStyle w:val="CETBodytext"/>
              <w:ind w:right="-1"/>
              <w:jc w:val="center"/>
              <w:rPr>
                <w:rFonts w:cs="Arial"/>
                <w:szCs w:val="18"/>
                <w:lang w:val="en-GB"/>
              </w:rPr>
            </w:pPr>
            <w:r w:rsidRPr="00615FF3">
              <w:rPr>
                <w:szCs w:val="18"/>
              </w:rPr>
              <w:t>H</w:t>
            </w:r>
            <w:r w:rsidRPr="00615FF3">
              <w:rPr>
                <w:szCs w:val="18"/>
                <w:vertAlign w:val="subscript"/>
              </w:rPr>
              <w:t>2</w:t>
            </w:r>
            <w:r w:rsidRPr="00615FF3">
              <w:rPr>
                <w:szCs w:val="18"/>
              </w:rPr>
              <w:t>O</w:t>
            </w:r>
            <w:r w:rsidRPr="00615FF3">
              <w:rPr>
                <w:szCs w:val="18"/>
                <w:vertAlign w:val="subscript"/>
              </w:rPr>
              <w:t>2</w:t>
            </w:r>
          </w:p>
        </w:tc>
        <w:tc>
          <w:tcPr>
            <w:tcW w:w="265" w:type="pct"/>
            <w:tcBorders>
              <w:top w:val="single" w:sz="6" w:space="0" w:color="008000"/>
              <w:left w:val="single" w:sz="4" w:space="0" w:color="auto"/>
              <w:bottom w:val="single" w:sz="6" w:space="0" w:color="008000"/>
            </w:tcBorders>
            <w:vAlign w:val="center"/>
          </w:tcPr>
          <w:p w14:paraId="68AA4271" w14:textId="4735F69A" w:rsidR="00221AF3" w:rsidRPr="00615FF3" w:rsidRDefault="00EE4489" w:rsidP="00221AF3">
            <w:pPr>
              <w:pStyle w:val="CETBodytext"/>
              <w:ind w:right="-1"/>
              <w:jc w:val="center"/>
              <w:rPr>
                <w:rFonts w:cs="Arial"/>
                <w:szCs w:val="18"/>
                <w:lang w:val="en-GB"/>
              </w:rPr>
            </w:pPr>
            <w:r w:rsidRPr="00615FF3">
              <w:rPr>
                <w:rFonts w:cs="Arial"/>
                <w:szCs w:val="18"/>
                <w:lang w:val="en-GB"/>
              </w:rPr>
              <w:t>-</w:t>
            </w:r>
          </w:p>
        </w:tc>
        <w:tc>
          <w:tcPr>
            <w:tcW w:w="323" w:type="pct"/>
            <w:tcBorders>
              <w:top w:val="single" w:sz="6" w:space="0" w:color="008000"/>
              <w:bottom w:val="single" w:sz="6" w:space="0" w:color="008000"/>
            </w:tcBorders>
            <w:vAlign w:val="center"/>
          </w:tcPr>
          <w:p w14:paraId="66C3CF07" w14:textId="16C9AB0A" w:rsidR="00221AF3" w:rsidRPr="00615FF3" w:rsidRDefault="00EE4489" w:rsidP="00221AF3">
            <w:pPr>
              <w:pStyle w:val="CETBodytext"/>
              <w:ind w:right="-1"/>
              <w:jc w:val="center"/>
              <w:rPr>
                <w:rFonts w:cs="Arial"/>
                <w:szCs w:val="18"/>
                <w:lang w:val="en-GB"/>
              </w:rPr>
            </w:pPr>
            <w:r w:rsidRPr="00615FF3">
              <w:rPr>
                <w:rFonts w:cs="Arial"/>
                <w:szCs w:val="18"/>
                <w:lang w:val="en-GB"/>
              </w:rPr>
              <w:t>-</w:t>
            </w:r>
          </w:p>
        </w:tc>
        <w:tc>
          <w:tcPr>
            <w:tcW w:w="476" w:type="pct"/>
            <w:tcBorders>
              <w:top w:val="single" w:sz="6" w:space="0" w:color="008000"/>
              <w:bottom w:val="single" w:sz="6" w:space="0" w:color="008000"/>
            </w:tcBorders>
            <w:vAlign w:val="center"/>
          </w:tcPr>
          <w:p w14:paraId="00EA218E" w14:textId="35EAD236" w:rsidR="00221AF3" w:rsidRPr="00615FF3" w:rsidRDefault="00221AF3" w:rsidP="00221AF3">
            <w:pPr>
              <w:pStyle w:val="CETBodytext"/>
              <w:ind w:right="-1"/>
              <w:jc w:val="center"/>
              <w:rPr>
                <w:rFonts w:cs="Arial"/>
                <w:szCs w:val="18"/>
                <w:vertAlign w:val="superscript"/>
                <w:lang w:val="en-GB"/>
              </w:rPr>
            </w:pPr>
            <w:r w:rsidRPr="00615FF3">
              <w:rPr>
                <w:szCs w:val="18"/>
              </w:rPr>
              <w:t>M</w:t>
            </w:r>
            <w:r w:rsidRPr="00615FF3">
              <w:rPr>
                <w:szCs w:val="18"/>
                <w:vertAlign w:val="subscript"/>
              </w:rPr>
              <w:t>W</w:t>
            </w:r>
            <w:r w:rsidRPr="00615FF3">
              <w:rPr>
                <w:szCs w:val="18"/>
              </w:rPr>
              <w:t>-H</w:t>
            </w:r>
            <w:r w:rsidRPr="00615FF3">
              <w:rPr>
                <w:szCs w:val="18"/>
                <w:vertAlign w:val="subscript"/>
              </w:rPr>
              <w:t>2</w:t>
            </w:r>
            <w:r w:rsidRPr="00615FF3">
              <w:rPr>
                <w:szCs w:val="18"/>
              </w:rPr>
              <w:t>O</w:t>
            </w:r>
            <w:r w:rsidRPr="00615FF3">
              <w:rPr>
                <w:szCs w:val="18"/>
                <w:vertAlign w:val="subscript"/>
              </w:rPr>
              <w:t>2</w:t>
            </w:r>
            <w:r w:rsidR="00EE4489" w:rsidRPr="00615FF3">
              <w:rPr>
                <w:szCs w:val="18"/>
                <w:vertAlign w:val="superscript"/>
              </w:rPr>
              <w:t>b</w:t>
            </w:r>
          </w:p>
        </w:tc>
        <w:tc>
          <w:tcPr>
            <w:tcW w:w="243" w:type="pct"/>
            <w:tcBorders>
              <w:top w:val="single" w:sz="6" w:space="0" w:color="008000"/>
              <w:bottom w:val="single" w:sz="6" w:space="0" w:color="008000"/>
            </w:tcBorders>
            <w:vAlign w:val="center"/>
          </w:tcPr>
          <w:p w14:paraId="3115E82E" w14:textId="6819C591" w:rsidR="00221AF3" w:rsidRPr="00615FF3" w:rsidRDefault="00EE4489" w:rsidP="00221AF3">
            <w:pPr>
              <w:pStyle w:val="CETBodytext"/>
              <w:ind w:right="-1"/>
              <w:jc w:val="center"/>
              <w:rPr>
                <w:rFonts w:cs="Arial"/>
                <w:szCs w:val="18"/>
                <w:lang w:val="en-GB"/>
              </w:rPr>
            </w:pPr>
            <w:r w:rsidRPr="00615FF3">
              <w:rPr>
                <w:rFonts w:cs="Arial"/>
                <w:szCs w:val="18"/>
                <w:lang w:val="en-GB"/>
              </w:rPr>
              <w:t>-</w:t>
            </w:r>
          </w:p>
        </w:tc>
        <w:tc>
          <w:tcPr>
            <w:tcW w:w="300" w:type="pct"/>
            <w:tcBorders>
              <w:top w:val="single" w:sz="6" w:space="0" w:color="008000"/>
              <w:bottom w:val="single" w:sz="6" w:space="0" w:color="008000"/>
            </w:tcBorders>
            <w:vAlign w:val="center"/>
          </w:tcPr>
          <w:p w14:paraId="3078EAE7" w14:textId="56FBC31F" w:rsidR="00221AF3" w:rsidRPr="00615FF3" w:rsidRDefault="00EE4489" w:rsidP="00221AF3">
            <w:pPr>
              <w:pStyle w:val="CETBodytext"/>
              <w:ind w:right="-1"/>
              <w:jc w:val="center"/>
              <w:rPr>
                <w:rFonts w:cs="Arial"/>
                <w:szCs w:val="18"/>
                <w:lang w:val="en-GB"/>
              </w:rPr>
            </w:pPr>
            <w:r w:rsidRPr="00615FF3">
              <w:rPr>
                <w:szCs w:val="18"/>
              </w:rPr>
              <w:t>-</w:t>
            </w:r>
          </w:p>
        </w:tc>
        <w:tc>
          <w:tcPr>
            <w:tcW w:w="476" w:type="pct"/>
            <w:tcBorders>
              <w:top w:val="single" w:sz="6" w:space="0" w:color="008000"/>
              <w:bottom w:val="single" w:sz="6" w:space="0" w:color="008000"/>
            </w:tcBorders>
            <w:vAlign w:val="center"/>
          </w:tcPr>
          <w:p w14:paraId="29D87C1E" w14:textId="6A7EF07D" w:rsidR="00221AF3" w:rsidRPr="00615FF3" w:rsidRDefault="00221AF3" w:rsidP="00221AF3">
            <w:pPr>
              <w:pStyle w:val="CETBodytext"/>
              <w:ind w:right="-1"/>
              <w:jc w:val="center"/>
              <w:rPr>
                <w:rFonts w:cs="Arial"/>
                <w:szCs w:val="18"/>
                <w:vertAlign w:val="superscript"/>
                <w:lang w:val="en-GB"/>
              </w:rPr>
            </w:pPr>
            <w:r w:rsidRPr="00615FF3">
              <w:rPr>
                <w:szCs w:val="18"/>
              </w:rPr>
              <w:t>M</w:t>
            </w:r>
            <w:r w:rsidRPr="00615FF3">
              <w:rPr>
                <w:szCs w:val="18"/>
                <w:vertAlign w:val="subscript"/>
              </w:rPr>
              <w:t>W</w:t>
            </w:r>
            <w:r w:rsidRPr="00615FF3">
              <w:rPr>
                <w:szCs w:val="18"/>
              </w:rPr>
              <w:t>-H</w:t>
            </w:r>
            <w:r w:rsidRPr="00615FF3">
              <w:rPr>
                <w:szCs w:val="18"/>
                <w:vertAlign w:val="subscript"/>
              </w:rPr>
              <w:t>2</w:t>
            </w:r>
            <w:r w:rsidRPr="00615FF3">
              <w:rPr>
                <w:szCs w:val="18"/>
              </w:rPr>
              <w:t>O</w:t>
            </w:r>
            <w:r w:rsidRPr="00615FF3">
              <w:rPr>
                <w:szCs w:val="18"/>
                <w:vertAlign w:val="subscript"/>
              </w:rPr>
              <w:t>2</w:t>
            </w:r>
            <w:r w:rsidR="00EE4489" w:rsidRPr="00615FF3">
              <w:rPr>
                <w:szCs w:val="18"/>
                <w:vertAlign w:val="superscript"/>
              </w:rPr>
              <w:t>b</w:t>
            </w:r>
          </w:p>
        </w:tc>
      </w:tr>
    </w:tbl>
    <w:p w14:paraId="4B5D5126" w14:textId="77777777" w:rsidR="00EB59AD" w:rsidRPr="00EB59AD" w:rsidRDefault="00EB59AD" w:rsidP="00EB59AD">
      <w:pPr>
        <w:rPr>
          <w:lang w:val="en-US"/>
        </w:rPr>
      </w:pPr>
    </w:p>
    <w:p w14:paraId="07C1A097" w14:textId="03F778C9" w:rsidR="000E2B23" w:rsidRPr="000E2B23" w:rsidRDefault="00EB59AD" w:rsidP="00EB59AD">
      <w:pPr>
        <w:rPr>
          <w:lang w:val="en-US"/>
        </w:rPr>
      </w:pPr>
      <w:r w:rsidRPr="00EB59AD">
        <w:rPr>
          <w:lang w:val="en-US"/>
        </w:rPr>
        <w:t xml:space="preserve">Each test was prepared by diluting the dried sludge with tap water to reach the required TS concentrations, which have been chosen based on the performances of a </w:t>
      </w:r>
      <w:r w:rsidR="00CC5F25">
        <w:rPr>
          <w:lang w:val="en-US"/>
        </w:rPr>
        <w:t>dynamic</w:t>
      </w:r>
      <w:r w:rsidRPr="00EB59AD">
        <w:rPr>
          <w:lang w:val="en-US"/>
        </w:rPr>
        <w:t xml:space="preserve"> sludge thickening.</w:t>
      </w:r>
      <w:r w:rsidR="000E2B23">
        <w:rPr>
          <w:lang w:val="en-US"/>
        </w:rPr>
        <w:t xml:space="preserve"> </w:t>
      </w:r>
      <w:r w:rsidRPr="00EB59AD">
        <w:rPr>
          <w:lang w:val="en-US"/>
        </w:rPr>
        <w:t>The MW-H</w:t>
      </w:r>
      <w:r w:rsidRPr="00EB59AD">
        <w:rPr>
          <w:vertAlign w:val="subscript"/>
          <w:lang w:val="en-US"/>
        </w:rPr>
        <w:t>2</w:t>
      </w:r>
      <w:r w:rsidRPr="00EB59AD">
        <w:rPr>
          <w:lang w:val="en-US"/>
        </w:rPr>
        <w:t>O</w:t>
      </w:r>
      <w:r w:rsidRPr="00EB59AD">
        <w:rPr>
          <w:vertAlign w:val="subscript"/>
          <w:lang w:val="en-US"/>
        </w:rPr>
        <w:t>2</w:t>
      </w:r>
      <w:r w:rsidRPr="00EB59AD">
        <w:rPr>
          <w:lang w:val="en-US"/>
        </w:rPr>
        <w:t xml:space="preserve"> pretreatment was performed based on the strategy proposed by</w:t>
      </w:r>
      <w:r w:rsidR="00B45A8C">
        <w:rPr>
          <w:lang w:val="en-US"/>
        </w:rPr>
        <w:t xml:space="preserve"> Liu et al., 201</w:t>
      </w:r>
      <w:r w:rsidR="00A50910">
        <w:rPr>
          <w:lang w:val="en-US"/>
        </w:rPr>
        <w:t>8</w:t>
      </w:r>
      <w:r w:rsidR="00B45A8C">
        <w:rPr>
          <w:lang w:val="en-US"/>
        </w:rPr>
        <w:t xml:space="preserve"> and Ambrose et al., 2020</w:t>
      </w:r>
      <w:r w:rsidRPr="00EB59AD">
        <w:rPr>
          <w:lang w:val="en-US"/>
        </w:rPr>
        <w:t xml:space="preserve"> with some adaptations. Namely, after sludge dilution, the bottles were heated to 80</w:t>
      </w:r>
      <w:r w:rsidR="008463B5">
        <w:rPr>
          <w:lang w:val="en-US"/>
        </w:rPr>
        <w:t xml:space="preserve"> </w:t>
      </w:r>
      <w:r w:rsidRPr="00EB59AD">
        <w:rPr>
          <w:lang w:val="en-US"/>
        </w:rPr>
        <w:t>°C with a microwave oven set at 600</w:t>
      </w:r>
      <w:r w:rsidR="000E2B23">
        <w:rPr>
          <w:lang w:val="en-US"/>
        </w:rPr>
        <w:t xml:space="preserve"> </w:t>
      </w:r>
      <w:r w:rsidRPr="00EB59AD">
        <w:rPr>
          <w:lang w:val="en-US"/>
        </w:rPr>
        <w:t xml:space="preserve">W for 10 min; the treatment was carried out with intermittent breaks every 1.30 min to avoid water loss by </w:t>
      </w:r>
      <w:r w:rsidRPr="00EB59AD">
        <w:rPr>
          <w:lang w:val="en-US"/>
        </w:rPr>
        <w:lastRenderedPageBreak/>
        <w:t>evaporation and to allow manual mixing of the sludge. After the sludge was allowed to cool to room temperature, the H</w:t>
      </w:r>
      <w:r w:rsidRPr="00EB59AD">
        <w:rPr>
          <w:vertAlign w:val="subscript"/>
          <w:lang w:val="en-US"/>
        </w:rPr>
        <w:t>2</w:t>
      </w:r>
      <w:r w:rsidRPr="00EB59AD">
        <w:rPr>
          <w:lang w:val="en-US"/>
        </w:rPr>
        <w:t>O</w:t>
      </w:r>
      <w:r w:rsidRPr="00EB59AD">
        <w:rPr>
          <w:vertAlign w:val="subscript"/>
          <w:lang w:val="en-US"/>
        </w:rPr>
        <w:t>2</w:t>
      </w:r>
      <w:r w:rsidRPr="00EB59AD">
        <w:rPr>
          <w:lang w:val="en-US"/>
        </w:rPr>
        <w:t xml:space="preserve"> was added at the chosen dosage of 0.2 g H</w:t>
      </w:r>
      <w:r w:rsidRPr="00EB59AD">
        <w:rPr>
          <w:vertAlign w:val="subscript"/>
          <w:lang w:val="en-US"/>
        </w:rPr>
        <w:t>2</w:t>
      </w:r>
      <w:r w:rsidRPr="00EB59AD">
        <w:rPr>
          <w:lang w:val="en-US"/>
        </w:rPr>
        <w:t>O</w:t>
      </w:r>
      <w:r w:rsidRPr="00EB59AD">
        <w:rPr>
          <w:vertAlign w:val="subscript"/>
          <w:lang w:val="en-US"/>
        </w:rPr>
        <w:t>2</w:t>
      </w:r>
      <w:r w:rsidRPr="00EB59AD">
        <w:rPr>
          <w:lang w:val="en-US"/>
        </w:rPr>
        <w:t>/ g TS, using H</w:t>
      </w:r>
      <w:r w:rsidRPr="00EB59AD">
        <w:rPr>
          <w:vertAlign w:val="subscript"/>
          <w:lang w:val="en-US"/>
        </w:rPr>
        <w:t>2</w:t>
      </w:r>
      <w:r w:rsidRPr="00EB59AD">
        <w:rPr>
          <w:lang w:val="en-US"/>
        </w:rPr>
        <w:t>O</w:t>
      </w:r>
      <w:r w:rsidRPr="00EB59AD">
        <w:rPr>
          <w:vertAlign w:val="subscript"/>
          <w:lang w:val="en-US"/>
        </w:rPr>
        <w:t>2</w:t>
      </w:r>
      <w:r w:rsidRPr="00EB59AD">
        <w:rPr>
          <w:lang w:val="en-US"/>
        </w:rPr>
        <w:t xml:space="preserve"> at 35</w:t>
      </w:r>
      <w:r w:rsidR="008463B5">
        <w:rPr>
          <w:lang w:val="en-US"/>
        </w:rPr>
        <w:t xml:space="preserve"> </w:t>
      </w:r>
      <w:r w:rsidRPr="00EB59AD">
        <w:rPr>
          <w:lang w:val="en-US"/>
        </w:rPr>
        <w:t>%.</w:t>
      </w:r>
      <w:r w:rsidR="00197485">
        <w:rPr>
          <w:lang w:val="en-US"/>
        </w:rPr>
        <w:t xml:space="preserve"> </w:t>
      </w:r>
      <w:r w:rsidRPr="00EB59AD">
        <w:rPr>
          <w:lang w:val="en-US"/>
        </w:rPr>
        <w:t>The bottles were left for 40 min to rest allowing the H</w:t>
      </w:r>
      <w:r w:rsidRPr="00EB59AD">
        <w:rPr>
          <w:vertAlign w:val="subscript"/>
          <w:lang w:val="en-US"/>
        </w:rPr>
        <w:t>2</w:t>
      </w:r>
      <w:r w:rsidRPr="00EB59AD">
        <w:rPr>
          <w:lang w:val="en-US"/>
        </w:rPr>
        <w:t>O</w:t>
      </w:r>
      <w:r w:rsidRPr="00EB59AD">
        <w:rPr>
          <w:vertAlign w:val="subscript"/>
          <w:lang w:val="en-US"/>
        </w:rPr>
        <w:t>2</w:t>
      </w:r>
      <w:r w:rsidRPr="00EB59AD">
        <w:rPr>
          <w:lang w:val="en-US"/>
        </w:rPr>
        <w:t xml:space="preserve"> to react and then were heated again with the MW at 90</w:t>
      </w:r>
      <w:r w:rsidR="008463B5">
        <w:rPr>
          <w:lang w:val="en-US"/>
        </w:rPr>
        <w:t xml:space="preserve"> </w:t>
      </w:r>
      <w:r w:rsidRPr="00EB59AD">
        <w:rPr>
          <w:lang w:val="en-US"/>
        </w:rPr>
        <w:t xml:space="preserve">°C, with the same method described before. </w:t>
      </w:r>
      <w:r w:rsidR="000E2B23">
        <w:rPr>
          <w:lang w:val="en-US"/>
        </w:rPr>
        <w:t>The pretreatment with only H</w:t>
      </w:r>
      <w:r w:rsidR="000E2B23">
        <w:rPr>
          <w:vertAlign w:val="subscript"/>
          <w:lang w:val="en-US"/>
        </w:rPr>
        <w:t>2</w:t>
      </w:r>
      <w:r w:rsidR="000E2B23">
        <w:rPr>
          <w:lang w:val="en-US"/>
        </w:rPr>
        <w:t>O</w:t>
      </w:r>
      <w:r w:rsidR="000E2B23">
        <w:rPr>
          <w:vertAlign w:val="subscript"/>
          <w:lang w:val="en-US"/>
        </w:rPr>
        <w:t>2</w:t>
      </w:r>
      <w:r w:rsidR="000E2B23">
        <w:rPr>
          <w:lang w:val="en-US"/>
        </w:rPr>
        <w:t xml:space="preserve"> instead was simply performed by adding the desired amount of hydrogen peroxide to the diluted sludge and allowing it to react for at least 24 h. In this case</w:t>
      </w:r>
      <w:r w:rsidR="000E2B23" w:rsidRPr="00F003CF">
        <w:rPr>
          <w:lang w:val="en-US" w:bidi="en-US"/>
        </w:rPr>
        <w:t>, the chosen amounts were 0.1, 0.2, 0.4, and 0.6 g H</w:t>
      </w:r>
      <w:r w:rsidR="000E2B23" w:rsidRPr="00F003CF">
        <w:rPr>
          <w:vertAlign w:val="subscript"/>
          <w:lang w:val="en-US" w:bidi="en-US"/>
        </w:rPr>
        <w:t>2</w:t>
      </w:r>
      <w:r w:rsidR="000E2B23" w:rsidRPr="00F003CF">
        <w:rPr>
          <w:lang w:val="en-US" w:bidi="en-US"/>
        </w:rPr>
        <w:t>O</w:t>
      </w:r>
      <w:r w:rsidR="000E2B23" w:rsidRPr="00F003CF">
        <w:rPr>
          <w:vertAlign w:val="subscript"/>
          <w:lang w:val="en-US" w:bidi="en-US"/>
        </w:rPr>
        <w:t>2</w:t>
      </w:r>
      <w:r w:rsidR="000E2B23" w:rsidRPr="00F003CF">
        <w:rPr>
          <w:lang w:val="en-US" w:bidi="en-US"/>
        </w:rPr>
        <w:t xml:space="preserve">/ g TS, based on previous work </w:t>
      </w:r>
      <w:r w:rsidR="000E2B23" w:rsidRPr="004223A0">
        <w:rPr>
          <w:lang w:val="en-US" w:bidi="en-US"/>
        </w:rPr>
        <w:t>(</w:t>
      </w:r>
      <w:r w:rsidR="00B45A8C" w:rsidRPr="004223A0">
        <w:rPr>
          <w:lang w:val="en-US" w:bidi="en-US"/>
        </w:rPr>
        <w:t>Tyagi</w:t>
      </w:r>
      <w:r w:rsidR="00B45A8C" w:rsidRPr="00F003CF">
        <w:rPr>
          <w:lang w:val="en-US" w:bidi="en-US"/>
        </w:rPr>
        <w:t xml:space="preserve"> </w:t>
      </w:r>
      <w:r w:rsidR="00361D25">
        <w:rPr>
          <w:lang w:val="en-US" w:bidi="en-US"/>
        </w:rPr>
        <w:t>and Lo</w:t>
      </w:r>
      <w:r w:rsidR="00B45A8C" w:rsidRPr="00F003CF">
        <w:rPr>
          <w:lang w:val="en-US" w:bidi="en-US"/>
        </w:rPr>
        <w:t>, 2011</w:t>
      </w:r>
      <w:r w:rsidR="00B45A8C">
        <w:rPr>
          <w:lang w:val="en-US" w:bidi="en-US"/>
        </w:rPr>
        <w:t xml:space="preserve">; </w:t>
      </w:r>
      <w:r w:rsidR="004223A0" w:rsidRPr="004223A0">
        <w:rPr>
          <w:lang w:val="en-US" w:bidi="en-US"/>
        </w:rPr>
        <w:t>Liu et al.,</w:t>
      </w:r>
      <w:r w:rsidR="004223A0">
        <w:rPr>
          <w:lang w:val="en-US" w:bidi="en-US"/>
        </w:rPr>
        <w:t xml:space="preserve"> </w:t>
      </w:r>
      <w:r w:rsidR="004223A0" w:rsidRPr="004223A0">
        <w:rPr>
          <w:lang w:val="en-US" w:bidi="en-US"/>
        </w:rPr>
        <w:t>2017</w:t>
      </w:r>
      <w:r w:rsidR="000E2B23" w:rsidRPr="00F003CF">
        <w:rPr>
          <w:lang w:val="en-US" w:bidi="en-US"/>
        </w:rPr>
        <w:t>).</w:t>
      </w:r>
    </w:p>
    <w:p w14:paraId="38A98DAC" w14:textId="77777777" w:rsidR="00EB59AD" w:rsidRPr="00EB59AD" w:rsidRDefault="00EB59AD" w:rsidP="00EB59AD">
      <w:pPr>
        <w:rPr>
          <w:lang w:val="en-US"/>
        </w:rPr>
      </w:pPr>
    </w:p>
    <w:p w14:paraId="5BACC23E" w14:textId="2A153FE9" w:rsidR="00EB59AD" w:rsidRPr="00EB59AD" w:rsidRDefault="00EB59AD" w:rsidP="00F003CF">
      <w:pPr>
        <w:pStyle w:val="CETheadingx"/>
      </w:pPr>
      <w:r w:rsidRPr="00EB59AD">
        <w:t>Analytical methods and calculations</w:t>
      </w:r>
    </w:p>
    <w:p w14:paraId="5A380AB6" w14:textId="5D57644C" w:rsidR="00124430" w:rsidRDefault="00646BC9" w:rsidP="00F003CF">
      <w:pPr>
        <w:rPr>
          <w:lang w:val="en-US" w:bidi="en-US"/>
        </w:rPr>
      </w:pPr>
      <w:r>
        <w:rPr>
          <w:lang w:val="en-US"/>
        </w:rPr>
        <w:t>The</w:t>
      </w:r>
      <w:r w:rsidR="00F003CF" w:rsidRPr="00F003CF">
        <w:rPr>
          <w:lang w:val="en-US"/>
        </w:rPr>
        <w:t xml:space="preserve"> substrate was analyzed according to Standard Methods (APHA, 20</w:t>
      </w:r>
      <w:r w:rsidR="00361D25">
        <w:rPr>
          <w:lang w:val="en-US"/>
        </w:rPr>
        <w:t>05</w:t>
      </w:r>
      <w:r w:rsidR="00F003CF" w:rsidRPr="00F003CF">
        <w:rPr>
          <w:lang w:val="en-US"/>
        </w:rPr>
        <w:t xml:space="preserve">) </w:t>
      </w:r>
      <w:r>
        <w:rPr>
          <w:lang w:val="en-US"/>
        </w:rPr>
        <w:t>for</w:t>
      </w:r>
      <w:r w:rsidR="00F003CF" w:rsidRPr="00F003CF">
        <w:rPr>
          <w:lang w:val="en-US"/>
        </w:rPr>
        <w:t xml:space="preserve"> total </w:t>
      </w:r>
      <w:proofErr w:type="spellStart"/>
      <w:r w:rsidR="00F003CF" w:rsidRPr="00F003CF">
        <w:rPr>
          <w:lang w:val="en-US"/>
        </w:rPr>
        <w:t>Kjeldahl</w:t>
      </w:r>
      <w:proofErr w:type="spellEnd"/>
      <w:r w:rsidR="00F003CF" w:rsidRPr="00F003CF">
        <w:rPr>
          <w:lang w:val="en-US"/>
        </w:rPr>
        <w:t xml:space="preserve"> Nitrogen (TKN), </w:t>
      </w:r>
      <w:r w:rsidR="00F32D89" w:rsidRPr="00F32D89">
        <w:rPr>
          <w:lang w:val="en-US"/>
        </w:rPr>
        <w:t>N-NH</w:t>
      </w:r>
      <w:r w:rsidR="00F32D89" w:rsidRPr="00F32D89">
        <w:rPr>
          <w:vertAlign w:val="subscript"/>
          <w:lang w:val="en-US"/>
        </w:rPr>
        <w:t>4</w:t>
      </w:r>
      <w:r w:rsidR="00F32D89" w:rsidRPr="00F32D89">
        <w:rPr>
          <w:vertAlign w:val="superscript"/>
          <w:lang w:val="en-US"/>
        </w:rPr>
        <w:t>+</w:t>
      </w:r>
      <w:r w:rsidR="00F32D89">
        <w:rPr>
          <w:lang w:val="en-US"/>
        </w:rPr>
        <w:t xml:space="preserve">, </w:t>
      </w:r>
      <w:r w:rsidR="00F003CF" w:rsidRPr="00F003CF">
        <w:rPr>
          <w:lang w:val="en-US"/>
        </w:rPr>
        <w:t>total phosphorus</w:t>
      </w:r>
      <w:r w:rsidR="00F32D89" w:rsidRPr="00F32D89">
        <w:rPr>
          <w:lang w:val="en-US"/>
        </w:rPr>
        <w:t>, P-PO</w:t>
      </w:r>
      <w:r w:rsidR="00F32D89" w:rsidRPr="00F32D89">
        <w:rPr>
          <w:vertAlign w:val="subscript"/>
          <w:lang w:val="en-US"/>
        </w:rPr>
        <w:t>4</w:t>
      </w:r>
      <w:r w:rsidR="00F32D89" w:rsidRPr="00F32D89">
        <w:rPr>
          <w:vertAlign w:val="superscript"/>
          <w:lang w:val="en-US"/>
        </w:rPr>
        <w:t>3−</w:t>
      </w:r>
      <w:r w:rsidR="00F32D89">
        <w:rPr>
          <w:lang w:val="en-US"/>
        </w:rPr>
        <w:t xml:space="preserve">, </w:t>
      </w:r>
      <w:r w:rsidR="00F32D89" w:rsidRPr="00F32D89">
        <w:rPr>
          <w:lang w:val="en-US"/>
        </w:rPr>
        <w:t>[Cr(VI)],</w:t>
      </w:r>
      <w:r w:rsidR="00F32D89">
        <w:rPr>
          <w:lang w:val="en-US"/>
        </w:rPr>
        <w:t xml:space="preserve"> </w:t>
      </w:r>
      <w:r w:rsidR="00F003CF" w:rsidRPr="00F003CF">
        <w:rPr>
          <w:lang w:val="en-US"/>
        </w:rPr>
        <w:t>volatile solids (VS), dry matter (TS), and COD.</w:t>
      </w:r>
      <w:r w:rsidR="00EA4916">
        <w:rPr>
          <w:lang w:val="en-US" w:bidi="en-US"/>
        </w:rPr>
        <w:t xml:space="preserve"> </w:t>
      </w:r>
    </w:p>
    <w:p w14:paraId="289C84B5" w14:textId="65D9F4A2" w:rsidR="00F003CF" w:rsidRPr="00F32D89" w:rsidRDefault="00646BC9" w:rsidP="00F003CF">
      <w:pPr>
        <w:rPr>
          <w:lang w:val="en-US"/>
        </w:rPr>
      </w:pPr>
      <w:r>
        <w:rPr>
          <w:lang w:val="en-US" w:bidi="en-US"/>
        </w:rPr>
        <w:t xml:space="preserve">The determination of the </w:t>
      </w:r>
      <w:r w:rsidR="00F003CF" w:rsidRPr="00F003CF">
        <w:rPr>
          <w:lang w:val="en-US" w:bidi="en-US"/>
        </w:rPr>
        <w:t xml:space="preserve">SCFAs </w:t>
      </w:r>
      <w:r>
        <w:rPr>
          <w:lang w:val="en-US" w:bidi="en-US"/>
        </w:rPr>
        <w:t>was performed</w:t>
      </w:r>
      <w:r w:rsidR="00F003CF" w:rsidRPr="00F003CF">
        <w:rPr>
          <w:lang w:val="en-US" w:bidi="en-US"/>
        </w:rPr>
        <w:t xml:space="preserve"> using an Agilent 6890 N gas chromatograph equipped with a flame ionization detector (FID) (T = 250 °C). Samples were analyzed through an Agilent J&amp;W DB-FFAP fused silica capillary column (15 m length, 0.53 mm </w:t>
      </w:r>
      <w:proofErr w:type="spellStart"/>
      <w:r w:rsidR="00F003CF" w:rsidRPr="00F003CF">
        <w:rPr>
          <w:lang w:val="en-US" w:bidi="en-US"/>
        </w:rPr>
        <w:t>i.D.</w:t>
      </w:r>
      <w:proofErr w:type="spellEnd"/>
      <w:r w:rsidR="00F003CF" w:rsidRPr="00F003CF">
        <w:rPr>
          <w:lang w:val="en-US" w:bidi="en-US"/>
        </w:rPr>
        <w:t>, 0.5 mm film) using hydrogen as carrier</w:t>
      </w:r>
      <w:r>
        <w:rPr>
          <w:lang w:val="en-US" w:bidi="en-US"/>
        </w:rPr>
        <w:t>, with t</w:t>
      </w:r>
      <w:r w:rsidR="00F003CF" w:rsidRPr="00F003CF">
        <w:rPr>
          <w:lang w:val="en-US" w:bidi="en-US"/>
        </w:rPr>
        <w:t>he inlet working in split mode, with a split ratio of 20:1. The instrument was programmed with a ramp temperature from 80</w:t>
      </w:r>
      <w:r w:rsidR="008463B5">
        <w:rPr>
          <w:lang w:val="en-US" w:bidi="en-US"/>
        </w:rPr>
        <w:t xml:space="preserve"> </w:t>
      </w:r>
      <w:r w:rsidR="00F003CF" w:rsidRPr="00F003CF">
        <w:rPr>
          <w:lang w:val="en-US" w:bidi="en-US"/>
        </w:rPr>
        <w:t>°C to 100</w:t>
      </w:r>
      <w:r w:rsidR="008463B5">
        <w:rPr>
          <w:lang w:val="en-US" w:bidi="en-US"/>
        </w:rPr>
        <w:t xml:space="preserve"> </w:t>
      </w:r>
      <w:r w:rsidR="00F003CF" w:rsidRPr="00F003CF">
        <w:rPr>
          <w:lang w:val="en-US" w:bidi="en-US"/>
        </w:rPr>
        <w:t xml:space="preserve">°C (10 °C/min)., </w:t>
      </w:r>
      <w:r>
        <w:rPr>
          <w:lang w:val="en-US" w:bidi="en-US"/>
        </w:rPr>
        <w:t>S</w:t>
      </w:r>
      <w:r w:rsidR="00F003CF" w:rsidRPr="00F003CF">
        <w:rPr>
          <w:lang w:val="en-US" w:bidi="en-US"/>
        </w:rPr>
        <w:t xml:space="preserve">amples were centrifuged at 4.500 rpm for </w:t>
      </w:r>
      <w:r w:rsidR="005D6942">
        <w:rPr>
          <w:lang w:val="en-US" w:bidi="en-US"/>
        </w:rPr>
        <w:t>5 min</w:t>
      </w:r>
      <w:r w:rsidR="00F003CF" w:rsidRPr="00F003CF">
        <w:rPr>
          <w:lang w:val="en-US" w:bidi="en-US"/>
        </w:rPr>
        <w:t xml:space="preserve"> and the supernatant was filtered at 0.2 mm using acetate cellulose syringe filters (Whatman)</w:t>
      </w:r>
      <w:r>
        <w:rPr>
          <w:lang w:val="en-US" w:bidi="en-US"/>
        </w:rPr>
        <w:t>, b</w:t>
      </w:r>
      <w:r w:rsidRPr="00F003CF">
        <w:rPr>
          <w:lang w:val="en-US" w:bidi="en-US"/>
        </w:rPr>
        <w:t>efore GC analyses</w:t>
      </w:r>
      <w:r>
        <w:rPr>
          <w:lang w:val="en-US" w:bidi="en-US"/>
        </w:rPr>
        <w:t>.</w:t>
      </w:r>
    </w:p>
    <w:p w14:paraId="10FCFB17" w14:textId="069457C3" w:rsidR="00F32D89" w:rsidRPr="00F32D89" w:rsidRDefault="00D46616" w:rsidP="00F32D89">
      <w:pPr>
        <w:rPr>
          <w:lang w:val="en-US"/>
        </w:rPr>
      </w:pPr>
      <w:r w:rsidRPr="00D46616">
        <w:rPr>
          <w:lang w:val="en-US"/>
        </w:rPr>
        <w:t xml:space="preserve">The </w:t>
      </w:r>
      <w:r w:rsidR="00646BC9">
        <w:rPr>
          <w:lang w:val="en-US"/>
        </w:rPr>
        <w:t xml:space="preserve">assessment of the </w:t>
      </w:r>
      <w:r w:rsidRPr="00D46616">
        <w:rPr>
          <w:lang w:val="en-US"/>
        </w:rPr>
        <w:t xml:space="preserve">acidogenic fermentation </w:t>
      </w:r>
      <w:r w:rsidR="00646BC9">
        <w:rPr>
          <w:lang w:val="en-US"/>
        </w:rPr>
        <w:t xml:space="preserve">was performed </w:t>
      </w:r>
      <w:r>
        <w:rPr>
          <w:lang w:val="en-US"/>
        </w:rPr>
        <w:t xml:space="preserve">through the </w:t>
      </w:r>
      <w:r w:rsidRPr="00D46616">
        <w:rPr>
          <w:lang w:val="en-US"/>
        </w:rPr>
        <w:t>SCFA concentration, the ratio between the SCFAs and the soluble COD, and the fermentation yield (Y</w:t>
      </w:r>
      <w:r w:rsidRPr="00D46616">
        <w:rPr>
          <w:vertAlign w:val="subscript"/>
          <w:lang w:val="en-US"/>
        </w:rPr>
        <w:t>F</w:t>
      </w:r>
      <w:r w:rsidRPr="00D46616">
        <w:rPr>
          <w:lang w:val="en-US"/>
        </w:rPr>
        <w:t xml:space="preserve">), </w:t>
      </w:r>
      <w:r>
        <w:rPr>
          <w:lang w:val="en-US"/>
        </w:rPr>
        <w:t xml:space="preserve">which was calculated as </w:t>
      </w:r>
      <w:r w:rsidRPr="00D46616">
        <w:rPr>
          <w:lang w:val="en-US"/>
        </w:rPr>
        <w:t>Y</w:t>
      </w:r>
      <w:r w:rsidRPr="00D46616">
        <w:rPr>
          <w:vertAlign w:val="subscript"/>
          <w:lang w:val="en-US"/>
        </w:rPr>
        <w:t>F</w:t>
      </w:r>
      <w:r w:rsidRPr="00D46616">
        <w:rPr>
          <w:lang w:val="en-US"/>
        </w:rPr>
        <w:t xml:space="preserve"> = [COD</w:t>
      </w:r>
      <w:r w:rsidRPr="00D46616">
        <w:rPr>
          <w:vertAlign w:val="subscript"/>
          <w:lang w:val="en-US"/>
        </w:rPr>
        <w:t>SCFA</w:t>
      </w:r>
      <w:r w:rsidRPr="00D46616">
        <w:rPr>
          <w:lang w:val="en-US"/>
        </w:rPr>
        <w:t>]</w:t>
      </w:r>
      <w:r w:rsidRPr="00D46616">
        <w:rPr>
          <w:vertAlign w:val="subscript"/>
          <w:lang w:val="en-US"/>
        </w:rPr>
        <w:t>t</w:t>
      </w:r>
      <w:r w:rsidRPr="00D46616">
        <w:rPr>
          <w:lang w:val="en-US"/>
        </w:rPr>
        <w:t>/VS</w:t>
      </w:r>
      <w:r w:rsidRPr="00D46616">
        <w:rPr>
          <w:vertAlign w:val="subscript"/>
          <w:lang w:val="en-US"/>
        </w:rPr>
        <w:t>0</w:t>
      </w:r>
      <w:r>
        <w:rPr>
          <w:lang w:val="en-US"/>
        </w:rPr>
        <w:t xml:space="preserve">, where </w:t>
      </w:r>
      <w:r w:rsidRPr="00D46616">
        <w:rPr>
          <w:lang w:val="en-US"/>
        </w:rPr>
        <w:t>[COD</w:t>
      </w:r>
      <w:r w:rsidRPr="00D46616">
        <w:rPr>
          <w:vertAlign w:val="subscript"/>
          <w:lang w:val="en-US"/>
        </w:rPr>
        <w:t>SCFA</w:t>
      </w:r>
      <w:r w:rsidRPr="00D46616">
        <w:rPr>
          <w:lang w:val="en-US"/>
        </w:rPr>
        <w:t>]</w:t>
      </w:r>
      <w:r w:rsidRPr="00D46616">
        <w:rPr>
          <w:vertAlign w:val="subscript"/>
          <w:lang w:val="en-US"/>
        </w:rPr>
        <w:t>t</w:t>
      </w:r>
      <w:r>
        <w:rPr>
          <w:lang w:val="en-US"/>
        </w:rPr>
        <w:t xml:space="preserve"> is the </w:t>
      </w:r>
      <w:r w:rsidRPr="00D46616">
        <w:rPr>
          <w:lang w:val="en-US"/>
        </w:rPr>
        <w:t>produced SCFAs over time (“t”), and VS</w:t>
      </w:r>
      <w:r w:rsidRPr="00D46616">
        <w:rPr>
          <w:vertAlign w:val="subscript"/>
          <w:lang w:val="en-US"/>
        </w:rPr>
        <w:t>0</w:t>
      </w:r>
      <w:r>
        <w:rPr>
          <w:vertAlign w:val="subscript"/>
          <w:lang w:val="en-US"/>
        </w:rPr>
        <w:t xml:space="preserve"> </w:t>
      </w:r>
      <w:r>
        <w:rPr>
          <w:lang w:val="en-US"/>
        </w:rPr>
        <w:t xml:space="preserve">is </w:t>
      </w:r>
      <w:r w:rsidRPr="00D46616">
        <w:rPr>
          <w:lang w:val="en-US"/>
        </w:rPr>
        <w:t xml:space="preserve">the </w:t>
      </w:r>
      <w:r>
        <w:rPr>
          <w:lang w:val="en-US"/>
        </w:rPr>
        <w:t xml:space="preserve">initial VS </w:t>
      </w:r>
      <w:r w:rsidRPr="00D46616">
        <w:rPr>
          <w:lang w:val="en-US"/>
        </w:rPr>
        <w:t xml:space="preserve">concentration </w:t>
      </w:r>
      <w:r>
        <w:rPr>
          <w:lang w:val="en-US"/>
        </w:rPr>
        <w:t xml:space="preserve">in the batch tests. </w:t>
      </w:r>
      <w:r w:rsidR="00F32D89">
        <w:rPr>
          <w:lang w:val="en-US"/>
        </w:rPr>
        <w:t xml:space="preserve">The assessment of the release of nutrients, namely </w:t>
      </w:r>
      <w:r w:rsidR="00F32D89" w:rsidRPr="00F32D89">
        <w:rPr>
          <w:lang w:val="en-US"/>
        </w:rPr>
        <w:t>[N-NH</w:t>
      </w:r>
      <w:r w:rsidR="00F32D89" w:rsidRPr="00F32D89">
        <w:rPr>
          <w:vertAlign w:val="subscript"/>
          <w:lang w:val="en-US"/>
        </w:rPr>
        <w:t>4</w:t>
      </w:r>
      <w:r w:rsidR="00F32D89" w:rsidRPr="00F32D89">
        <w:rPr>
          <w:vertAlign w:val="superscript"/>
          <w:lang w:val="en-US"/>
        </w:rPr>
        <w:t>+</w:t>
      </w:r>
      <w:r w:rsidR="00F32D89" w:rsidRPr="00F32D89">
        <w:rPr>
          <w:lang w:val="en-US"/>
        </w:rPr>
        <w:t>] and [P-PO</w:t>
      </w:r>
      <w:r w:rsidR="00F32D89" w:rsidRPr="00F32D89">
        <w:rPr>
          <w:vertAlign w:val="subscript"/>
          <w:lang w:val="en-US"/>
        </w:rPr>
        <w:t>4</w:t>
      </w:r>
      <w:r w:rsidR="00F32D89" w:rsidRPr="00F32D89">
        <w:rPr>
          <w:vertAlign w:val="superscript"/>
          <w:lang w:val="en-US"/>
        </w:rPr>
        <w:t>3−</w:t>
      </w:r>
      <w:r w:rsidR="00F32D89" w:rsidRPr="00F32D89">
        <w:rPr>
          <w:lang w:val="en-US"/>
        </w:rPr>
        <w:t xml:space="preserve">], </w:t>
      </w:r>
      <w:r w:rsidR="00F32D89">
        <w:rPr>
          <w:lang w:val="en-US"/>
        </w:rPr>
        <w:t xml:space="preserve">was calculated considering their final concentrations in the liquid phase and the initial content in the substrate according to these equations: </w:t>
      </w:r>
      <w:r w:rsidR="00F32D89" w:rsidRPr="00F32D89">
        <w:rPr>
          <w:lang w:val="en-US"/>
        </w:rPr>
        <w:t>N-NH</w:t>
      </w:r>
      <w:r w:rsidR="00F32D89" w:rsidRPr="00124430">
        <w:rPr>
          <w:vertAlign w:val="subscript"/>
          <w:lang w:val="en-US"/>
        </w:rPr>
        <w:t>4</w:t>
      </w:r>
      <w:r w:rsidR="00F32D89" w:rsidRPr="00124430">
        <w:rPr>
          <w:vertAlign w:val="superscript"/>
          <w:lang w:val="en-US"/>
        </w:rPr>
        <w:t>+</w:t>
      </w:r>
      <w:r w:rsidR="00F32D89" w:rsidRPr="00F32D89">
        <w:rPr>
          <w:lang w:val="en-US"/>
        </w:rPr>
        <w:t xml:space="preserve"> release (%) = [N-NH</w:t>
      </w:r>
      <w:r w:rsidR="00F32D89" w:rsidRPr="00F32D89">
        <w:rPr>
          <w:vertAlign w:val="subscript"/>
          <w:lang w:val="en-US"/>
        </w:rPr>
        <w:t>4</w:t>
      </w:r>
      <w:r w:rsidR="00F32D89" w:rsidRPr="00F32D89">
        <w:rPr>
          <w:vertAlign w:val="superscript"/>
          <w:lang w:val="en-US"/>
        </w:rPr>
        <w:t>+</w:t>
      </w:r>
      <w:r w:rsidR="00F32D89" w:rsidRPr="00F32D89">
        <w:rPr>
          <w:lang w:val="en-US"/>
        </w:rPr>
        <w:t>]/TKN; P-PO</w:t>
      </w:r>
      <w:r w:rsidR="00F32D89" w:rsidRPr="00F32D89">
        <w:rPr>
          <w:vertAlign w:val="subscript"/>
          <w:lang w:val="en-US"/>
        </w:rPr>
        <w:t>4</w:t>
      </w:r>
      <w:r w:rsidR="00F32D89" w:rsidRPr="00F32D89">
        <w:rPr>
          <w:vertAlign w:val="superscript"/>
          <w:lang w:val="en-US"/>
        </w:rPr>
        <w:t>3−</w:t>
      </w:r>
      <w:r w:rsidR="00F32D89" w:rsidRPr="00F32D89">
        <w:rPr>
          <w:lang w:val="en-US"/>
        </w:rPr>
        <w:t>− release (%) = [P-PO</w:t>
      </w:r>
      <w:r w:rsidR="00F32D89" w:rsidRPr="00F32D89">
        <w:rPr>
          <w:vertAlign w:val="subscript"/>
          <w:lang w:val="en-US"/>
        </w:rPr>
        <w:t>4</w:t>
      </w:r>
      <w:r w:rsidR="00F32D89" w:rsidRPr="00F32D89">
        <w:rPr>
          <w:vertAlign w:val="superscript"/>
          <w:lang w:val="en-US"/>
        </w:rPr>
        <w:t>3−</w:t>
      </w:r>
      <w:r w:rsidR="00F32D89" w:rsidRPr="00F32D89">
        <w:rPr>
          <w:lang w:val="en-US"/>
        </w:rPr>
        <w:t>]</w:t>
      </w:r>
      <w:r w:rsidR="00F32D89">
        <w:rPr>
          <w:lang w:val="en-US"/>
        </w:rPr>
        <w:t>/</w:t>
      </w:r>
      <w:r w:rsidR="00F32D89" w:rsidRPr="00F32D89">
        <w:rPr>
          <w:lang w:val="en-US"/>
        </w:rPr>
        <w:t xml:space="preserve">TP. </w:t>
      </w:r>
    </w:p>
    <w:p w14:paraId="35EED3C5" w14:textId="77777777" w:rsidR="00EB59AD" w:rsidRPr="00D46616" w:rsidRDefault="00EB59AD" w:rsidP="00EB59AD">
      <w:pPr>
        <w:rPr>
          <w:lang w:val="en-US"/>
        </w:rPr>
      </w:pPr>
    </w:p>
    <w:p w14:paraId="263F02D0" w14:textId="36C13A45" w:rsidR="00EB59AD" w:rsidRPr="00EB59AD" w:rsidRDefault="00F003CF" w:rsidP="00820F52">
      <w:pPr>
        <w:pStyle w:val="CETHeading1"/>
      </w:pPr>
      <w:r>
        <w:t xml:space="preserve">3. </w:t>
      </w:r>
      <w:r w:rsidR="00EB59AD" w:rsidRPr="00EB59AD">
        <w:t>Results and discussion</w:t>
      </w:r>
    </w:p>
    <w:p w14:paraId="79B99610" w14:textId="5AB341EE" w:rsidR="000E2B23" w:rsidRPr="008A4CE4" w:rsidRDefault="000E2B23" w:rsidP="000E2B23">
      <w:pPr>
        <w:pStyle w:val="CETheadingx"/>
        <w:numPr>
          <w:ilvl w:val="0"/>
          <w:numId w:val="0"/>
        </w:numPr>
      </w:pPr>
      <w:r w:rsidRPr="008A4CE4">
        <w:t>3.</w:t>
      </w:r>
      <w:r>
        <w:t>1</w:t>
      </w:r>
      <w:r w:rsidRPr="008A4CE4">
        <w:t xml:space="preserve"> Biogas production</w:t>
      </w:r>
    </w:p>
    <w:p w14:paraId="5FBED687" w14:textId="5CB75354" w:rsidR="000E2B23" w:rsidRPr="00F003CF" w:rsidRDefault="000E2B23" w:rsidP="000E2B23">
      <w:pPr>
        <w:rPr>
          <w:lang w:val="en-US"/>
        </w:rPr>
      </w:pPr>
      <w:r w:rsidRPr="00F003CF">
        <w:rPr>
          <w:lang w:val="en-US"/>
        </w:rPr>
        <w:t>Fig</w:t>
      </w:r>
      <w:r w:rsidR="005A3135">
        <w:rPr>
          <w:lang w:val="en-US"/>
        </w:rPr>
        <w:t>ure</w:t>
      </w:r>
      <w:r w:rsidRPr="00F003CF">
        <w:rPr>
          <w:lang w:val="en-US"/>
        </w:rPr>
        <w:t xml:space="preserve"> </w:t>
      </w:r>
      <w:r w:rsidR="005A3135">
        <w:rPr>
          <w:lang w:val="en-US"/>
        </w:rPr>
        <w:t>1</w:t>
      </w:r>
      <w:r w:rsidRPr="00F003CF">
        <w:rPr>
          <w:lang w:val="en-US"/>
        </w:rPr>
        <w:t xml:space="preserve"> shows the specific gas production </w:t>
      </w:r>
      <w:r w:rsidR="00EA4916">
        <w:rPr>
          <w:lang w:val="en-US"/>
        </w:rPr>
        <w:t xml:space="preserve">(SGP) </w:t>
      </w:r>
      <w:r w:rsidRPr="00F003CF">
        <w:rPr>
          <w:lang w:val="en-US"/>
        </w:rPr>
        <w:t xml:space="preserve">for the BMP trials for tests </w:t>
      </w:r>
      <w:r w:rsidR="00221AF3">
        <w:rPr>
          <w:lang w:val="en-US"/>
        </w:rPr>
        <w:t>0.0</w:t>
      </w:r>
      <w:r w:rsidRPr="00F003CF">
        <w:rPr>
          <w:lang w:val="en-US"/>
        </w:rPr>
        <w:t>, 0.1, 0.2, 0.4, and 0.6</w:t>
      </w:r>
      <w:r w:rsidR="00F52903">
        <w:rPr>
          <w:lang w:val="en-US"/>
        </w:rPr>
        <w:t xml:space="preserve">; the related </w:t>
      </w:r>
      <w:r w:rsidRPr="00F003CF">
        <w:rPr>
          <w:lang w:val="en-US"/>
        </w:rPr>
        <w:t>cumulative biogas productions were 1</w:t>
      </w:r>
      <w:r w:rsidR="009B50E5">
        <w:rPr>
          <w:lang w:val="en-US"/>
        </w:rPr>
        <w:t>30</w:t>
      </w:r>
      <w:r w:rsidRPr="00F003CF">
        <w:rPr>
          <w:lang w:val="en-US"/>
        </w:rPr>
        <w:t>, 185, 1</w:t>
      </w:r>
      <w:r w:rsidR="009B50E5">
        <w:rPr>
          <w:lang w:val="en-US"/>
        </w:rPr>
        <w:t>90</w:t>
      </w:r>
      <w:r w:rsidRPr="00F003CF">
        <w:rPr>
          <w:lang w:val="en-US"/>
        </w:rPr>
        <w:t>, 19</w:t>
      </w:r>
      <w:r w:rsidR="009B50E5">
        <w:rPr>
          <w:lang w:val="en-US"/>
        </w:rPr>
        <w:t>6</w:t>
      </w:r>
      <w:r w:rsidRPr="00F003CF">
        <w:rPr>
          <w:lang w:val="en-US"/>
        </w:rPr>
        <w:t xml:space="preserve"> and 204 mL respectively. </w:t>
      </w:r>
    </w:p>
    <w:p w14:paraId="12F4D513" w14:textId="7F1ADB35" w:rsidR="000E2B23" w:rsidRPr="00EB59AD" w:rsidRDefault="000E2B23" w:rsidP="000E2B23">
      <w:pPr>
        <w:rPr>
          <w:lang w:val="en-US"/>
        </w:rPr>
      </w:pPr>
      <w:r w:rsidRPr="00F003CF">
        <w:rPr>
          <w:lang w:val="en-US"/>
        </w:rPr>
        <w:t xml:space="preserve">Both </w:t>
      </w:r>
      <w:r w:rsidR="009B50E5">
        <w:rPr>
          <w:lang w:val="en-US"/>
        </w:rPr>
        <w:t xml:space="preserve">data </w:t>
      </w:r>
      <w:r w:rsidRPr="00F003CF">
        <w:rPr>
          <w:lang w:val="en-US"/>
        </w:rPr>
        <w:t>show</w:t>
      </w:r>
      <w:r w:rsidR="009B50E5">
        <w:rPr>
          <w:lang w:val="en-US"/>
        </w:rPr>
        <w:t>ed</w:t>
      </w:r>
      <w:r w:rsidRPr="00F003CF">
        <w:rPr>
          <w:lang w:val="en-US"/>
        </w:rPr>
        <w:t xml:space="preserve"> that there </w:t>
      </w:r>
      <w:r w:rsidR="009B50E5">
        <w:rPr>
          <w:lang w:val="en-US"/>
        </w:rPr>
        <w:t>was</w:t>
      </w:r>
      <w:r w:rsidRPr="00F003CF">
        <w:rPr>
          <w:lang w:val="en-US"/>
        </w:rPr>
        <w:t xml:space="preserve"> a </w:t>
      </w:r>
      <w:r w:rsidR="00D374AE">
        <w:rPr>
          <w:lang w:val="en-US"/>
        </w:rPr>
        <w:t>significant</w:t>
      </w:r>
      <w:r w:rsidR="0000510C">
        <w:rPr>
          <w:lang w:val="en-US"/>
        </w:rPr>
        <w:t xml:space="preserve"> </w:t>
      </w:r>
      <w:r w:rsidRPr="00F003CF">
        <w:rPr>
          <w:lang w:val="en-US"/>
        </w:rPr>
        <w:t xml:space="preserve">improvement in the biogas production </w:t>
      </w:r>
      <w:r w:rsidR="0000510C">
        <w:rPr>
          <w:lang w:val="en-US"/>
        </w:rPr>
        <w:t>in the tests</w:t>
      </w:r>
      <w:r w:rsidR="009B50E5">
        <w:rPr>
          <w:lang w:val="en-US"/>
        </w:rPr>
        <w:t xml:space="preserve"> conducted with pre-treated sludge</w:t>
      </w:r>
      <w:r w:rsidR="00B45A8C">
        <w:rPr>
          <w:lang w:val="en-US"/>
        </w:rPr>
        <w:t xml:space="preserve">, </w:t>
      </w:r>
      <w:r w:rsidR="009B50E5">
        <w:rPr>
          <w:lang w:val="en-US"/>
        </w:rPr>
        <w:t xml:space="preserve">even at the </w:t>
      </w:r>
      <w:r w:rsidR="00B45A8C">
        <w:rPr>
          <w:lang w:val="en-US"/>
        </w:rPr>
        <w:t>lowe</w:t>
      </w:r>
      <w:r w:rsidR="009B50E5">
        <w:rPr>
          <w:lang w:val="en-US"/>
        </w:rPr>
        <w:t>st</w:t>
      </w:r>
      <w:r w:rsidR="00B45A8C">
        <w:rPr>
          <w:lang w:val="en-US"/>
        </w:rPr>
        <w:t xml:space="preserve"> </w:t>
      </w:r>
      <w:r w:rsidR="009B50E5">
        <w:rPr>
          <w:lang w:val="en-US"/>
        </w:rPr>
        <w:t>dosage</w:t>
      </w:r>
      <w:r w:rsidR="00B45A8C">
        <w:rPr>
          <w:lang w:val="en-US"/>
        </w:rPr>
        <w:t xml:space="preserve"> of H</w:t>
      </w:r>
      <w:r w:rsidR="00B45A8C">
        <w:rPr>
          <w:vertAlign w:val="subscript"/>
          <w:lang w:val="en-US"/>
        </w:rPr>
        <w:t>2</w:t>
      </w:r>
      <w:r w:rsidR="00B45A8C">
        <w:rPr>
          <w:lang w:val="en-US"/>
        </w:rPr>
        <w:t>O</w:t>
      </w:r>
      <w:r w:rsidR="00B45A8C">
        <w:rPr>
          <w:vertAlign w:val="subscript"/>
          <w:lang w:val="en-US"/>
        </w:rPr>
        <w:t xml:space="preserve">2 </w:t>
      </w:r>
      <w:r w:rsidR="00B45A8C">
        <w:rPr>
          <w:lang w:val="en-US"/>
        </w:rPr>
        <w:t xml:space="preserve">(0.1), </w:t>
      </w:r>
      <w:r w:rsidR="0000510C">
        <w:rPr>
          <w:lang w:val="en-US"/>
        </w:rPr>
        <w:t>where a</w:t>
      </w:r>
      <w:r w:rsidR="006E15EE">
        <w:rPr>
          <w:lang w:val="en-US"/>
        </w:rPr>
        <w:t>n</w:t>
      </w:r>
      <w:r w:rsidRPr="00F003CF">
        <w:rPr>
          <w:lang w:val="en-US"/>
        </w:rPr>
        <w:t xml:space="preserve"> increase </w:t>
      </w:r>
      <w:r w:rsidR="006E15EE">
        <w:rPr>
          <w:lang w:val="en-US"/>
        </w:rPr>
        <w:t>of</w:t>
      </w:r>
      <w:r w:rsidR="0000510C">
        <w:rPr>
          <w:lang w:val="en-US"/>
        </w:rPr>
        <w:t xml:space="preserve"> SGP of almost 10 times</w:t>
      </w:r>
      <w:r w:rsidR="00B45A8C">
        <w:rPr>
          <w:lang w:val="en-US"/>
        </w:rPr>
        <w:t xml:space="preserve"> </w:t>
      </w:r>
      <w:r w:rsidR="009B50E5">
        <w:rPr>
          <w:lang w:val="en-US"/>
        </w:rPr>
        <w:t xml:space="preserve">compared to the test conducted with untreated sludge </w:t>
      </w:r>
      <w:r w:rsidR="00B45A8C">
        <w:rPr>
          <w:lang w:val="en-US"/>
        </w:rPr>
        <w:t>was observed</w:t>
      </w:r>
      <w:r w:rsidR="0000510C">
        <w:rPr>
          <w:lang w:val="en-US"/>
        </w:rPr>
        <w:t xml:space="preserve">. The effect of the pretreatment becomes less </w:t>
      </w:r>
      <w:r w:rsidR="009B50E5">
        <w:rPr>
          <w:lang w:val="en-US"/>
        </w:rPr>
        <w:t>affecting</w:t>
      </w:r>
      <w:r w:rsidR="0000510C">
        <w:rPr>
          <w:lang w:val="en-US"/>
        </w:rPr>
        <w:t xml:space="preserve"> in tests 0.4 and 0.6, making the lower </w:t>
      </w:r>
      <w:r w:rsidR="009B50E5">
        <w:rPr>
          <w:lang w:val="en-US"/>
        </w:rPr>
        <w:t>H</w:t>
      </w:r>
      <w:r w:rsidR="009B50E5">
        <w:rPr>
          <w:vertAlign w:val="subscript"/>
          <w:lang w:val="en-US"/>
        </w:rPr>
        <w:t>2</w:t>
      </w:r>
      <w:r w:rsidR="009B50E5">
        <w:rPr>
          <w:lang w:val="en-US"/>
        </w:rPr>
        <w:t>O</w:t>
      </w:r>
      <w:r w:rsidR="009B50E5">
        <w:rPr>
          <w:vertAlign w:val="subscript"/>
          <w:lang w:val="en-US"/>
        </w:rPr>
        <w:t>2</w:t>
      </w:r>
      <w:r w:rsidR="009B50E5" w:rsidRPr="009B50E5">
        <w:rPr>
          <w:lang w:val="en-US"/>
        </w:rPr>
        <w:t xml:space="preserve"> </w:t>
      </w:r>
      <w:r w:rsidR="0000510C">
        <w:rPr>
          <w:lang w:val="en-US"/>
        </w:rPr>
        <w:t xml:space="preserve">doses preferable </w:t>
      </w:r>
      <w:r w:rsidR="009B50E5">
        <w:rPr>
          <w:lang w:val="en-US"/>
        </w:rPr>
        <w:t xml:space="preserve">(in a perspective of process scale-up), </w:t>
      </w:r>
      <w:r w:rsidR="00B45A8C">
        <w:rPr>
          <w:lang w:val="en-US"/>
        </w:rPr>
        <w:t xml:space="preserve">due to the </w:t>
      </w:r>
      <w:r w:rsidR="009B50E5">
        <w:rPr>
          <w:lang w:val="en-US"/>
        </w:rPr>
        <w:t>comparable</w:t>
      </w:r>
      <w:r w:rsidR="00B45A8C">
        <w:rPr>
          <w:lang w:val="en-US"/>
        </w:rPr>
        <w:t xml:space="preserve"> results</w:t>
      </w:r>
      <w:r w:rsidR="009B50E5">
        <w:rPr>
          <w:lang w:val="en-US"/>
        </w:rPr>
        <w:t xml:space="preserve"> obtained at the different H</w:t>
      </w:r>
      <w:r w:rsidR="009B50E5">
        <w:rPr>
          <w:vertAlign w:val="subscript"/>
          <w:lang w:val="en-US"/>
        </w:rPr>
        <w:t>2</w:t>
      </w:r>
      <w:r w:rsidR="009B50E5">
        <w:rPr>
          <w:lang w:val="en-US"/>
        </w:rPr>
        <w:t>O</w:t>
      </w:r>
      <w:r w:rsidR="009B50E5">
        <w:rPr>
          <w:vertAlign w:val="subscript"/>
          <w:lang w:val="en-US"/>
        </w:rPr>
        <w:t>2</w:t>
      </w:r>
      <w:r w:rsidR="009B50E5" w:rsidRPr="009B50E5">
        <w:rPr>
          <w:lang w:val="en-US"/>
        </w:rPr>
        <w:t xml:space="preserve"> </w:t>
      </w:r>
      <w:r w:rsidR="009B50E5">
        <w:rPr>
          <w:lang w:val="en-US"/>
        </w:rPr>
        <w:t>dosage</w:t>
      </w:r>
      <w:r w:rsidR="0000510C">
        <w:rPr>
          <w:lang w:val="en-US"/>
        </w:rPr>
        <w:t xml:space="preserve">. </w:t>
      </w:r>
      <w:r w:rsidR="00B45A8C">
        <w:rPr>
          <w:lang w:val="en-US"/>
        </w:rPr>
        <w:t>However, the o</w:t>
      </w:r>
      <w:r w:rsidRPr="00F003CF">
        <w:rPr>
          <w:lang w:val="en-US"/>
        </w:rPr>
        <w:t>verall</w:t>
      </w:r>
      <w:r w:rsidR="00B45A8C">
        <w:rPr>
          <w:lang w:val="en-US"/>
        </w:rPr>
        <w:t xml:space="preserve"> </w:t>
      </w:r>
      <w:r w:rsidRPr="00F003CF">
        <w:rPr>
          <w:lang w:val="en-US"/>
        </w:rPr>
        <w:t xml:space="preserve">best performing test was 0.6, </w:t>
      </w:r>
      <w:r w:rsidR="00EA4916">
        <w:rPr>
          <w:lang w:val="en-US"/>
        </w:rPr>
        <w:t xml:space="preserve">in </w:t>
      </w:r>
      <w:r w:rsidRPr="00F003CF">
        <w:rPr>
          <w:lang w:val="en-US"/>
        </w:rPr>
        <w:t>which a maximum SGP of 0</w:t>
      </w:r>
      <w:r w:rsidR="009B50E5">
        <w:rPr>
          <w:lang w:val="en-US"/>
        </w:rPr>
        <w:t>.</w:t>
      </w:r>
      <w:r w:rsidRPr="00F003CF">
        <w:rPr>
          <w:lang w:val="en-US"/>
        </w:rPr>
        <w:t>26 m</w:t>
      </w:r>
      <w:r w:rsidRPr="00F003CF">
        <w:rPr>
          <w:vertAlign w:val="superscript"/>
          <w:lang w:val="en-US"/>
        </w:rPr>
        <w:t>3</w:t>
      </w:r>
      <w:r w:rsidRPr="00F003CF">
        <w:rPr>
          <w:lang w:val="en-US"/>
        </w:rPr>
        <w:t>/kg</w:t>
      </w:r>
      <w:r w:rsidR="009B50E5">
        <w:rPr>
          <w:lang w:val="en-US"/>
        </w:rPr>
        <w:t xml:space="preserve"> </w:t>
      </w:r>
      <w:r w:rsidRPr="00F003CF">
        <w:rPr>
          <w:lang w:val="en-US"/>
        </w:rPr>
        <w:t xml:space="preserve">VS </w:t>
      </w:r>
      <w:r w:rsidR="009B50E5">
        <w:rPr>
          <w:lang w:val="en-US"/>
        </w:rPr>
        <w:t>(in</w:t>
      </w:r>
      <w:r w:rsidRPr="00F003CF">
        <w:rPr>
          <w:lang w:val="en-US"/>
        </w:rPr>
        <w:t xml:space="preserve"> 24 days</w:t>
      </w:r>
      <w:r w:rsidR="009B50E5">
        <w:rPr>
          <w:lang w:val="en-US"/>
        </w:rPr>
        <w:t>)</w:t>
      </w:r>
      <w:r w:rsidRPr="00F003CF">
        <w:rPr>
          <w:lang w:val="en-US"/>
        </w:rPr>
        <w:t xml:space="preserve"> and cumulative biogas production of 204 mL</w:t>
      </w:r>
      <w:r w:rsidR="00EA4916">
        <w:rPr>
          <w:lang w:val="en-US"/>
        </w:rPr>
        <w:t xml:space="preserve"> were obtained.</w:t>
      </w:r>
      <w:r w:rsidR="00EA4916" w:rsidRPr="00F003CF">
        <w:rPr>
          <w:lang w:val="en-US"/>
        </w:rPr>
        <w:t xml:space="preserve"> </w:t>
      </w:r>
      <w:r w:rsidR="00EA4916">
        <w:rPr>
          <w:lang w:val="en-US"/>
        </w:rPr>
        <w:t xml:space="preserve">Both results were </w:t>
      </w:r>
      <w:r w:rsidRPr="00F003CF">
        <w:rPr>
          <w:lang w:val="en-US"/>
        </w:rPr>
        <w:t xml:space="preserve">very similar to </w:t>
      </w:r>
      <w:r w:rsidR="00EA4916">
        <w:rPr>
          <w:lang w:val="en-US"/>
        </w:rPr>
        <w:t xml:space="preserve">those reported in </w:t>
      </w:r>
      <w:proofErr w:type="spellStart"/>
      <w:r w:rsidRPr="00F003CF">
        <w:rPr>
          <w:lang w:val="en-US"/>
        </w:rPr>
        <w:t>Simioni</w:t>
      </w:r>
      <w:proofErr w:type="spellEnd"/>
      <w:r w:rsidRPr="00F003CF">
        <w:rPr>
          <w:lang w:val="en-US"/>
        </w:rPr>
        <w:t xml:space="preserve"> et al., 202</w:t>
      </w:r>
      <w:r w:rsidR="00361D25">
        <w:rPr>
          <w:lang w:val="en-US"/>
        </w:rPr>
        <w:t>2</w:t>
      </w:r>
      <w:r w:rsidR="00EA4916">
        <w:rPr>
          <w:lang w:val="en-US"/>
        </w:rPr>
        <w:t>,</w:t>
      </w:r>
      <w:r w:rsidRPr="00F003CF">
        <w:rPr>
          <w:lang w:val="en-US"/>
        </w:rPr>
        <w:t xml:space="preserve"> working on the co-digestion of tannery sludge and leather shavings (203.25 ± 1.80 mL), whereas leather shavings are characterized by a much higher organic content (94</w:t>
      </w:r>
      <w:r>
        <w:rPr>
          <w:lang w:val="en-US"/>
        </w:rPr>
        <w:t xml:space="preserve"> </w:t>
      </w:r>
      <w:r w:rsidRPr="00F003CF">
        <w:rPr>
          <w:lang w:val="en-US"/>
        </w:rPr>
        <w:t xml:space="preserve">% </w:t>
      </w:r>
      <w:r w:rsidR="009B50E5">
        <w:rPr>
          <w:lang w:val="en-US"/>
        </w:rPr>
        <w:t xml:space="preserve">g </w:t>
      </w:r>
      <w:r w:rsidRPr="00F003CF">
        <w:rPr>
          <w:lang w:val="en-US"/>
        </w:rPr>
        <w:t>VS</w:t>
      </w:r>
      <w:r w:rsidR="009B50E5">
        <w:rPr>
          <w:lang w:val="en-US"/>
        </w:rPr>
        <w:t>/g TS</w:t>
      </w:r>
      <w:r w:rsidRPr="00F003CF">
        <w:rPr>
          <w:lang w:val="en-US"/>
        </w:rPr>
        <w:t>) (</w:t>
      </w:r>
      <w:proofErr w:type="spellStart"/>
      <w:r w:rsidR="004223A0">
        <w:rPr>
          <w:lang w:val="en-US"/>
        </w:rPr>
        <w:t>A</w:t>
      </w:r>
      <w:r w:rsidRPr="00F003CF">
        <w:rPr>
          <w:lang w:val="en-US"/>
        </w:rPr>
        <w:t>ugustini</w:t>
      </w:r>
      <w:proofErr w:type="spellEnd"/>
      <w:r w:rsidR="004223A0">
        <w:rPr>
          <w:lang w:val="en-US"/>
        </w:rPr>
        <w:t xml:space="preserve"> et al.,</w:t>
      </w:r>
      <w:r w:rsidRPr="00F003CF">
        <w:rPr>
          <w:lang w:val="en-US"/>
        </w:rPr>
        <w:t xml:space="preserve"> </w:t>
      </w:r>
      <w:r w:rsidR="004223A0">
        <w:rPr>
          <w:lang w:val="en-US"/>
        </w:rPr>
        <w:t>20</w:t>
      </w:r>
      <w:r w:rsidRPr="00F003CF">
        <w:rPr>
          <w:lang w:val="en-US"/>
        </w:rPr>
        <w:t>18)</w:t>
      </w:r>
      <w:r w:rsidR="009B50E5">
        <w:rPr>
          <w:lang w:val="en-US"/>
        </w:rPr>
        <w:t>,</w:t>
      </w:r>
      <w:r w:rsidRPr="00F003CF">
        <w:rPr>
          <w:lang w:val="en-US"/>
        </w:rPr>
        <w:t xml:space="preserve"> compared to tannery sludge (70</w:t>
      </w:r>
      <w:r>
        <w:rPr>
          <w:lang w:val="en-US"/>
        </w:rPr>
        <w:t xml:space="preserve"> </w:t>
      </w:r>
      <w:r w:rsidRPr="00F003CF">
        <w:rPr>
          <w:lang w:val="en-US"/>
        </w:rPr>
        <w:t xml:space="preserve">% </w:t>
      </w:r>
      <w:r w:rsidR="009B50E5">
        <w:rPr>
          <w:lang w:val="en-US"/>
        </w:rPr>
        <w:t xml:space="preserve">g </w:t>
      </w:r>
      <w:r w:rsidRPr="00F003CF">
        <w:rPr>
          <w:lang w:val="en-US"/>
        </w:rPr>
        <w:t>VS</w:t>
      </w:r>
      <w:r w:rsidR="009B50E5">
        <w:rPr>
          <w:lang w:val="en-US"/>
        </w:rPr>
        <w:t>/g TS</w:t>
      </w:r>
      <w:r w:rsidRPr="00F003CF">
        <w:rPr>
          <w:lang w:val="en-US"/>
        </w:rPr>
        <w:t>), thus representing a promising result for the H</w:t>
      </w:r>
      <w:r w:rsidRPr="00F003CF">
        <w:rPr>
          <w:vertAlign w:val="subscript"/>
          <w:lang w:val="en-US"/>
        </w:rPr>
        <w:t>2</w:t>
      </w:r>
      <w:r w:rsidRPr="00F003CF">
        <w:rPr>
          <w:lang w:val="en-US"/>
        </w:rPr>
        <w:t>O</w:t>
      </w:r>
      <w:r w:rsidRPr="00F003CF">
        <w:rPr>
          <w:vertAlign w:val="subscript"/>
          <w:lang w:val="en-US"/>
        </w:rPr>
        <w:t>2</w:t>
      </w:r>
      <w:r w:rsidRPr="00F003CF">
        <w:rPr>
          <w:lang w:val="en-US"/>
        </w:rPr>
        <w:t xml:space="preserve"> pretreatment</w:t>
      </w:r>
      <w:r w:rsidR="009B50E5">
        <w:rPr>
          <w:lang w:val="en-US"/>
        </w:rPr>
        <w:t xml:space="preserve"> and a necessary step as pre-treatment</w:t>
      </w:r>
      <w:r w:rsidRPr="00F003CF">
        <w:rPr>
          <w:lang w:val="en-US"/>
        </w:rPr>
        <w:t xml:space="preserve">. </w:t>
      </w:r>
    </w:p>
    <w:p w14:paraId="559EF3BF" w14:textId="415D9D4E" w:rsidR="000E2B23" w:rsidRDefault="005A3135" w:rsidP="000E2B23">
      <w:pPr>
        <w:pStyle w:val="CETCaption"/>
        <w:rPr>
          <w:lang w:val="en-US"/>
        </w:rPr>
      </w:pPr>
      <w:r>
        <w:rPr>
          <w:noProof/>
          <w:lang w:val="en-US"/>
        </w:rPr>
        <w:drawing>
          <wp:inline distT="0" distB="0" distL="0" distR="0" wp14:anchorId="666B5DE7" wp14:editId="33273C63">
            <wp:extent cx="3036344" cy="1980000"/>
            <wp:effectExtent l="0" t="0" r="0" b="127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0"/>
                    <a:stretch>
                      <a:fillRect/>
                    </a:stretch>
                  </pic:blipFill>
                  <pic:spPr>
                    <a:xfrm>
                      <a:off x="0" y="0"/>
                      <a:ext cx="3036344" cy="1980000"/>
                    </a:xfrm>
                    <a:prstGeom prst="rect">
                      <a:avLst/>
                    </a:prstGeom>
                  </pic:spPr>
                </pic:pic>
              </a:graphicData>
            </a:graphic>
          </wp:inline>
        </w:drawing>
      </w:r>
    </w:p>
    <w:p w14:paraId="3626633B" w14:textId="0A2F097B" w:rsidR="000E2B23" w:rsidRPr="000E2B23" w:rsidRDefault="000E2B23" w:rsidP="000E2B23">
      <w:pPr>
        <w:pStyle w:val="CETCaption"/>
        <w:rPr>
          <w:lang w:val="en-US"/>
        </w:rPr>
      </w:pPr>
      <w:r w:rsidRPr="005A3135">
        <w:rPr>
          <w:lang w:val="en-US"/>
        </w:rPr>
        <w:t xml:space="preserve">Figure </w:t>
      </w:r>
      <w:r w:rsidR="005A3135">
        <w:rPr>
          <w:lang w:val="en-US"/>
        </w:rPr>
        <w:t>1</w:t>
      </w:r>
      <w:r w:rsidRPr="005A3135">
        <w:rPr>
          <w:lang w:val="en-US"/>
        </w:rPr>
        <w:t xml:space="preserve">: </w:t>
      </w:r>
      <w:r w:rsidRPr="005A3135">
        <w:rPr>
          <w:iCs/>
          <w:lang w:val="en-US"/>
        </w:rPr>
        <w:t>Specific Gas Production</w:t>
      </w:r>
      <w:r w:rsidR="005A3135">
        <w:rPr>
          <w:lang w:val="en-US"/>
        </w:rPr>
        <w:t xml:space="preserve"> </w:t>
      </w:r>
      <w:r w:rsidR="00F52903">
        <w:rPr>
          <w:lang w:val="en-US"/>
        </w:rPr>
        <w:t xml:space="preserve">(SGP) </w:t>
      </w:r>
      <w:r w:rsidR="005A3135">
        <w:rPr>
          <w:lang w:val="en-US"/>
        </w:rPr>
        <w:t xml:space="preserve">of the batch tests at mesophilic temperature. </w:t>
      </w:r>
    </w:p>
    <w:p w14:paraId="080ED2D2" w14:textId="30244EB6" w:rsidR="00F003CF" w:rsidRDefault="00F003CF" w:rsidP="005A3135">
      <w:pPr>
        <w:pStyle w:val="CETheadingx"/>
        <w:numPr>
          <w:ilvl w:val="0"/>
          <w:numId w:val="0"/>
        </w:numPr>
        <w:ind w:left="360" w:hanging="360"/>
      </w:pPr>
      <w:r>
        <w:lastRenderedPageBreak/>
        <w:t>3.</w:t>
      </w:r>
      <w:r w:rsidR="000E2B23">
        <w:t>2</w:t>
      </w:r>
      <w:r>
        <w:t xml:space="preserve"> S</w:t>
      </w:r>
      <w:r w:rsidR="000E2B23">
        <w:t>hort-chain fatty acid</w:t>
      </w:r>
      <w:r>
        <w:t>s production</w:t>
      </w:r>
      <w:r w:rsidR="00EB59AD" w:rsidRPr="00EB59AD">
        <w:t xml:space="preserve"> </w:t>
      </w:r>
    </w:p>
    <w:p w14:paraId="7BEAA449" w14:textId="6F63EDE8" w:rsidR="00F003CF" w:rsidRPr="00F003CF" w:rsidRDefault="009B50E5" w:rsidP="00F003CF">
      <w:pPr>
        <w:rPr>
          <w:lang w:val="en-US"/>
        </w:rPr>
      </w:pPr>
      <w:r>
        <w:rPr>
          <w:lang w:val="en-US"/>
        </w:rPr>
        <w:t xml:space="preserve">Given the </w:t>
      </w:r>
      <w:r w:rsidR="006B37BB">
        <w:rPr>
          <w:lang w:val="en-US"/>
        </w:rPr>
        <w:t>increased biodegradability of the tannery sludge due to the H</w:t>
      </w:r>
      <w:r w:rsidR="006B37BB">
        <w:rPr>
          <w:vertAlign w:val="subscript"/>
          <w:lang w:val="en-US"/>
        </w:rPr>
        <w:t>2</w:t>
      </w:r>
      <w:r w:rsidR="006B37BB">
        <w:rPr>
          <w:lang w:val="en-US"/>
        </w:rPr>
        <w:t>O</w:t>
      </w:r>
      <w:r w:rsidR="006B37BB">
        <w:rPr>
          <w:vertAlign w:val="subscript"/>
          <w:lang w:val="en-US"/>
        </w:rPr>
        <w:t>2</w:t>
      </w:r>
      <w:r w:rsidR="006B37BB" w:rsidRPr="009B50E5">
        <w:rPr>
          <w:lang w:val="en-US"/>
        </w:rPr>
        <w:t xml:space="preserve"> </w:t>
      </w:r>
      <w:r w:rsidR="006B37BB">
        <w:rPr>
          <w:lang w:val="en-US"/>
        </w:rPr>
        <w:t xml:space="preserve">dosage, as demonstrated by the BMP tests, the following fermentation tests have been conducted including the oxidizing pretreatment </w:t>
      </w:r>
      <w:proofErr w:type="gramStart"/>
      <w:r w:rsidR="006B37BB">
        <w:rPr>
          <w:lang w:val="en-US"/>
        </w:rPr>
        <w:t>in order to</w:t>
      </w:r>
      <w:proofErr w:type="gramEnd"/>
      <w:r w:rsidR="006B37BB">
        <w:rPr>
          <w:lang w:val="en-US"/>
        </w:rPr>
        <w:t xml:space="preserve"> set the best condition for the SCFAs production. </w:t>
      </w:r>
      <w:r w:rsidR="00F003CF" w:rsidRPr="00F003CF">
        <w:rPr>
          <w:lang w:val="en-US"/>
        </w:rPr>
        <w:t xml:space="preserve">As shown in Figure </w:t>
      </w:r>
      <w:r w:rsidR="005A3135">
        <w:rPr>
          <w:lang w:val="en-US"/>
        </w:rPr>
        <w:t>2</w:t>
      </w:r>
      <w:r w:rsidR="000E2B23">
        <w:rPr>
          <w:lang w:val="en-US"/>
        </w:rPr>
        <w:t>A</w:t>
      </w:r>
      <w:r w:rsidR="00F003CF" w:rsidRPr="00F003CF">
        <w:rPr>
          <w:lang w:val="en-US"/>
        </w:rPr>
        <w:t>–</w:t>
      </w:r>
      <w:r w:rsidR="000E2B23">
        <w:rPr>
          <w:lang w:val="en-US"/>
        </w:rPr>
        <w:t>B</w:t>
      </w:r>
      <w:r w:rsidR="00F003CF" w:rsidRPr="00F003CF">
        <w:rPr>
          <w:lang w:val="en-US"/>
        </w:rPr>
        <w:t>, all the tests show</w:t>
      </w:r>
      <w:r w:rsidR="006B37BB">
        <w:rPr>
          <w:lang w:val="en-US"/>
        </w:rPr>
        <w:t>ed</w:t>
      </w:r>
      <w:r w:rsidR="00F003CF" w:rsidRPr="00F003CF">
        <w:rPr>
          <w:lang w:val="en-US"/>
        </w:rPr>
        <w:t xml:space="preserve"> similar behavior of a fast initial SCFAs </w:t>
      </w:r>
      <w:r w:rsidR="006B37BB">
        <w:rPr>
          <w:lang w:val="en-US"/>
        </w:rPr>
        <w:t>production</w:t>
      </w:r>
      <w:r w:rsidR="00F003CF" w:rsidRPr="00F003CF">
        <w:rPr>
          <w:lang w:val="en-US"/>
        </w:rPr>
        <w:t xml:space="preserve"> until a plateau in the concentration was reached, around 10-15 days for all tests </w:t>
      </w:r>
      <w:r w:rsidR="006B37BB">
        <w:rPr>
          <w:lang w:val="en-US"/>
        </w:rPr>
        <w:t>(except for the T</w:t>
      </w:r>
      <w:r w:rsidR="00F003CF" w:rsidRPr="00F003CF">
        <w:rPr>
          <w:lang w:val="en-US"/>
        </w:rPr>
        <w:t>P</w:t>
      </w:r>
      <w:r w:rsidR="006B37BB">
        <w:rPr>
          <w:lang w:val="en-US"/>
        </w:rPr>
        <w:t xml:space="preserve"> tests)</w:t>
      </w:r>
      <w:r w:rsidR="00F003CF" w:rsidRPr="00F003CF">
        <w:rPr>
          <w:lang w:val="en-US"/>
        </w:rPr>
        <w:t xml:space="preserve">. Regarding the maximum concentration of SCFAs achieved, the pretreated sludge (MP) showed the highest </w:t>
      </w:r>
      <w:r w:rsidR="004E3249">
        <w:rPr>
          <w:lang w:val="en-US"/>
        </w:rPr>
        <w:t>result</w:t>
      </w:r>
      <w:r w:rsidR="00F003CF" w:rsidRPr="00F003CF">
        <w:rPr>
          <w:lang w:val="en-US"/>
        </w:rPr>
        <w:t xml:space="preserve"> between the mesophilic tests, </w:t>
      </w:r>
      <w:r w:rsidR="006E15EE">
        <w:rPr>
          <w:lang w:val="en-US"/>
        </w:rPr>
        <w:t xml:space="preserve">reaching values of </w:t>
      </w:r>
      <w:r w:rsidR="006E15EE" w:rsidRPr="006E15EE">
        <w:rPr>
          <w:lang w:val="en-US"/>
        </w:rPr>
        <w:t>16</w:t>
      </w:r>
      <w:r w:rsidR="006E15EE">
        <w:rPr>
          <w:lang w:val="en-US"/>
        </w:rPr>
        <w:t>.</w:t>
      </w:r>
      <w:r w:rsidR="006E15EE" w:rsidRPr="006E15EE">
        <w:rPr>
          <w:lang w:val="en-US"/>
        </w:rPr>
        <w:t>4</w:t>
      </w:r>
      <w:r w:rsidR="006E15EE">
        <w:rPr>
          <w:lang w:val="en-US"/>
        </w:rPr>
        <w:t xml:space="preserve"> </w:t>
      </w:r>
      <w:r w:rsidR="00F003CF" w:rsidRPr="00F003CF">
        <w:rPr>
          <w:lang w:val="en-US"/>
        </w:rPr>
        <w:t>g COD</w:t>
      </w:r>
      <w:r w:rsidR="00F003CF" w:rsidRPr="00F003CF">
        <w:rPr>
          <w:vertAlign w:val="subscript"/>
          <w:lang w:val="en-US"/>
        </w:rPr>
        <w:t>SCFA</w:t>
      </w:r>
      <w:r w:rsidR="00F003CF" w:rsidRPr="00F003CF">
        <w:rPr>
          <w:lang w:val="en-US"/>
        </w:rPr>
        <w:t xml:space="preserve">/L, demonstrating how the partial oxidation of the organic matter coupled with the microwave treatment, can substantially boost the acidification performances. In addition, the maximum SCFA concentration depended on the initial TS level, being </w:t>
      </w:r>
      <w:r w:rsidR="006E15EE">
        <w:rPr>
          <w:lang w:val="en-US"/>
        </w:rPr>
        <w:t>around</w:t>
      </w:r>
      <w:r w:rsidR="00F003CF" w:rsidRPr="00F003CF">
        <w:rPr>
          <w:lang w:val="en-US"/>
        </w:rPr>
        <w:t xml:space="preserve"> 9.</w:t>
      </w:r>
      <w:r w:rsidR="006E15EE">
        <w:rPr>
          <w:lang w:val="en-US"/>
        </w:rPr>
        <w:t>27</w:t>
      </w:r>
      <w:r w:rsidR="00F003CF" w:rsidRPr="00F003CF">
        <w:rPr>
          <w:lang w:val="en-US"/>
        </w:rPr>
        <w:t xml:space="preserve"> g </w:t>
      </w:r>
      <w:r w:rsidR="00F003CF" w:rsidRPr="00813A11">
        <w:rPr>
          <w:lang w:val="en-US"/>
        </w:rPr>
        <w:t>COD</w:t>
      </w:r>
      <w:r w:rsidR="00F003CF" w:rsidRPr="00813A11">
        <w:rPr>
          <w:vertAlign w:val="subscript"/>
          <w:lang w:val="en-US"/>
        </w:rPr>
        <w:t>SCFA</w:t>
      </w:r>
      <w:r w:rsidR="00F003CF" w:rsidRPr="00813A11">
        <w:rPr>
          <w:lang w:val="en-US"/>
        </w:rPr>
        <w:t>/L</w:t>
      </w:r>
      <w:r w:rsidR="00F003CF" w:rsidRPr="00F003CF">
        <w:rPr>
          <w:lang w:val="en-US"/>
        </w:rPr>
        <w:t xml:space="preserve"> and 14.</w:t>
      </w:r>
      <w:r w:rsidR="006E15EE">
        <w:rPr>
          <w:lang w:val="en-US"/>
        </w:rPr>
        <w:t>97</w:t>
      </w:r>
      <w:r w:rsidR="00F003CF" w:rsidRPr="00F003CF">
        <w:rPr>
          <w:lang w:val="en-US"/>
        </w:rPr>
        <w:t xml:space="preserve"> g COD</w:t>
      </w:r>
      <w:r w:rsidR="00F003CF" w:rsidRPr="00813A11">
        <w:rPr>
          <w:vertAlign w:val="subscript"/>
          <w:lang w:val="en-US"/>
        </w:rPr>
        <w:t>SCFA</w:t>
      </w:r>
      <w:r w:rsidR="00F003CF" w:rsidRPr="00F003CF">
        <w:rPr>
          <w:lang w:val="en-US"/>
        </w:rPr>
        <w:t xml:space="preserve">/L in the series M8 and M12, respectively. In practice, the applied pretreatment almost doubled the SCFA production (M8 vs. MP). </w:t>
      </w:r>
    </w:p>
    <w:p w14:paraId="6CAAE649" w14:textId="1C03EBA8" w:rsidR="00F003CF" w:rsidRPr="00F003CF" w:rsidRDefault="00F003CF" w:rsidP="00F003CF">
      <w:pPr>
        <w:rPr>
          <w:lang w:val="en-US"/>
        </w:rPr>
      </w:pPr>
      <w:r w:rsidRPr="00F003CF">
        <w:rPr>
          <w:lang w:val="en-US"/>
        </w:rPr>
        <w:t xml:space="preserve">The thermophilic series T8 and T12 gave a lower peak of the SCFA concentration compared to the corresponding mesophilic series M8 and M12, with maximum SCFAs </w:t>
      </w:r>
      <w:r w:rsidR="00D374AE">
        <w:rPr>
          <w:lang w:val="en-US"/>
        </w:rPr>
        <w:t>levels</w:t>
      </w:r>
      <w:r w:rsidRPr="00F003CF">
        <w:rPr>
          <w:lang w:val="en-US"/>
        </w:rPr>
        <w:t xml:space="preserve"> </w:t>
      </w:r>
      <w:r w:rsidR="006E15EE">
        <w:rPr>
          <w:lang w:val="en-US"/>
        </w:rPr>
        <w:t>of</w:t>
      </w:r>
      <w:r w:rsidRPr="00F003CF">
        <w:rPr>
          <w:lang w:val="en-US"/>
        </w:rPr>
        <w:t xml:space="preserve"> 7.</w:t>
      </w:r>
      <w:r w:rsidR="006E15EE">
        <w:rPr>
          <w:lang w:val="en-US"/>
        </w:rPr>
        <w:t>04</w:t>
      </w:r>
      <w:r w:rsidRPr="00F003CF">
        <w:rPr>
          <w:lang w:val="en-US"/>
        </w:rPr>
        <w:t xml:space="preserve"> and 1</w:t>
      </w:r>
      <w:r w:rsidR="006E15EE">
        <w:rPr>
          <w:lang w:val="en-US"/>
        </w:rPr>
        <w:t>4</w:t>
      </w:r>
      <w:r w:rsidRPr="00F003CF">
        <w:rPr>
          <w:lang w:val="en-US"/>
        </w:rPr>
        <w:t>.</w:t>
      </w:r>
      <w:r w:rsidR="006E15EE">
        <w:rPr>
          <w:lang w:val="en-US"/>
        </w:rPr>
        <w:t>7</w:t>
      </w:r>
      <w:r w:rsidRPr="00F003CF">
        <w:rPr>
          <w:lang w:val="en-US"/>
        </w:rPr>
        <w:t xml:space="preserve"> g COD</w:t>
      </w:r>
      <w:r w:rsidRPr="00F003CF">
        <w:rPr>
          <w:vertAlign w:val="subscript"/>
          <w:lang w:val="en-US"/>
        </w:rPr>
        <w:t>SCFA</w:t>
      </w:r>
      <w:r w:rsidRPr="00F003CF">
        <w:rPr>
          <w:lang w:val="en-US"/>
        </w:rPr>
        <w:t xml:space="preserve">/L for the series T8 and T12, respectively. </w:t>
      </w:r>
      <w:r w:rsidR="006B37BB">
        <w:rPr>
          <w:lang w:val="en-US"/>
        </w:rPr>
        <w:t>However, t</w:t>
      </w:r>
      <w:r w:rsidRPr="00F003CF">
        <w:rPr>
          <w:lang w:val="en-US"/>
        </w:rPr>
        <w:t xml:space="preserve">he TP series had a different behavior, </w:t>
      </w:r>
      <w:r w:rsidR="006B37BB">
        <w:rPr>
          <w:lang w:val="en-US"/>
        </w:rPr>
        <w:t xml:space="preserve">since it was </w:t>
      </w:r>
      <w:r w:rsidRPr="00F003CF">
        <w:rPr>
          <w:lang w:val="en-US"/>
        </w:rPr>
        <w:t>characterized by a continuous increase in the production of SCFAs for the whole duration of the experiment, with only a slight slowdown during the final days, reaching values up to 24.2 g COD</w:t>
      </w:r>
      <w:r w:rsidRPr="00F003CF">
        <w:rPr>
          <w:vertAlign w:val="subscript"/>
          <w:lang w:val="en-US"/>
        </w:rPr>
        <w:t>SCFA</w:t>
      </w:r>
      <w:r w:rsidRPr="00F003CF">
        <w:rPr>
          <w:lang w:val="en-US"/>
        </w:rPr>
        <w:t>/L</w:t>
      </w:r>
      <w:r w:rsidR="006B37BB">
        <w:rPr>
          <w:lang w:val="en-US"/>
        </w:rPr>
        <w:t xml:space="preserve"> in 27 days</w:t>
      </w:r>
      <w:r w:rsidRPr="00F003CF">
        <w:rPr>
          <w:lang w:val="en-US"/>
        </w:rPr>
        <w:t xml:space="preserve">. This can be caused by a synergetic effect of a higher operating temperature (55 °C) and the pre-oxidization of the sludge, as the solubilization of the organic matter is favored by both, triggering an almost continuous fermentation mechanism. </w:t>
      </w:r>
    </w:p>
    <w:p w14:paraId="2A4AA677" w14:textId="6478E53C" w:rsidR="00D3719A" w:rsidRDefault="00F003CF" w:rsidP="00D3719A">
      <w:pPr>
        <w:rPr>
          <w:lang w:val="en-US"/>
        </w:rPr>
      </w:pPr>
      <w:r w:rsidRPr="00F003CF">
        <w:rPr>
          <w:lang w:val="en-US"/>
        </w:rPr>
        <w:t>Apart from the TP test</w:t>
      </w:r>
      <w:r w:rsidR="00EA4916">
        <w:rPr>
          <w:lang w:val="en-US"/>
        </w:rPr>
        <w:t>, where the highest SCFAs concentration was achieved under the combined treatment</w:t>
      </w:r>
      <w:r w:rsidRPr="00F003CF">
        <w:rPr>
          <w:lang w:val="en-US"/>
        </w:rPr>
        <w:t xml:space="preserve">, the mesophilic conditions </w:t>
      </w:r>
      <w:r w:rsidR="00EA4916">
        <w:rPr>
          <w:lang w:val="en-US"/>
        </w:rPr>
        <w:t xml:space="preserve">could </w:t>
      </w:r>
      <w:r w:rsidRPr="00F003CF">
        <w:rPr>
          <w:lang w:val="en-US"/>
        </w:rPr>
        <w:t>offer a good compromise for the tannery sludge acidification process</w:t>
      </w:r>
      <w:r w:rsidR="00C94DAD">
        <w:rPr>
          <w:lang w:val="en-US"/>
        </w:rPr>
        <w:t xml:space="preserve">, obtaining slightly higher peaks than the thermophilic tests with a less </w:t>
      </w:r>
      <w:r w:rsidR="00D374AE">
        <w:rPr>
          <w:lang w:val="en-US"/>
        </w:rPr>
        <w:t>energy-intensive</w:t>
      </w:r>
      <w:r w:rsidR="00C94DAD">
        <w:rPr>
          <w:lang w:val="en-US"/>
        </w:rPr>
        <w:t xml:space="preserve"> process. </w:t>
      </w:r>
      <w:r w:rsidR="006B37BB">
        <w:rPr>
          <w:lang w:val="en-US"/>
        </w:rPr>
        <w:t>However, the high concentration of SCFAs in the TP tests (</w:t>
      </w:r>
      <w:r w:rsidR="006B37BB" w:rsidRPr="00F003CF">
        <w:rPr>
          <w:lang w:val="en-US"/>
        </w:rPr>
        <w:t>24.2 g COD</w:t>
      </w:r>
      <w:r w:rsidR="006B37BB" w:rsidRPr="00F003CF">
        <w:rPr>
          <w:vertAlign w:val="subscript"/>
          <w:lang w:val="en-US"/>
        </w:rPr>
        <w:t>SCFA</w:t>
      </w:r>
      <w:r w:rsidR="006B37BB" w:rsidRPr="00F003CF">
        <w:rPr>
          <w:lang w:val="en-US"/>
        </w:rPr>
        <w:t>/L</w:t>
      </w:r>
      <w:r w:rsidR="006B37BB">
        <w:rPr>
          <w:lang w:val="en-US"/>
        </w:rPr>
        <w:t xml:space="preserve">) was a remarkable achievement, which </w:t>
      </w:r>
      <w:proofErr w:type="gramStart"/>
      <w:r w:rsidR="006B37BB">
        <w:rPr>
          <w:lang w:val="en-US"/>
        </w:rPr>
        <w:t>has to</w:t>
      </w:r>
      <w:proofErr w:type="gramEnd"/>
      <w:r w:rsidR="006B37BB">
        <w:rPr>
          <w:lang w:val="en-US"/>
        </w:rPr>
        <w:t xml:space="preserve"> be considered in its possible improvement, such as the increase of the initial kinetics, which in turn can led to such high SCFAs concentration in a shorter time. </w:t>
      </w:r>
      <w:r w:rsidR="00D3719A" w:rsidRPr="004223A0">
        <w:rPr>
          <w:lang w:val="en-US"/>
        </w:rPr>
        <w:t xml:space="preserve">The maximal SCFA concentration obtained </w:t>
      </w:r>
      <w:r w:rsidR="006B37BB">
        <w:rPr>
          <w:lang w:val="en-US"/>
        </w:rPr>
        <w:t>was</w:t>
      </w:r>
      <w:r w:rsidR="00D3719A" w:rsidRPr="004223A0">
        <w:rPr>
          <w:lang w:val="en-US"/>
        </w:rPr>
        <w:t xml:space="preserve"> higher than the values reported in the literature for municipal sludge </w:t>
      </w:r>
      <w:r w:rsidR="004223A0" w:rsidRPr="004223A0">
        <w:rPr>
          <w:lang w:val="en-US"/>
        </w:rPr>
        <w:t xml:space="preserve">(Zhang et al., 2019; </w:t>
      </w:r>
      <w:proofErr w:type="spellStart"/>
      <w:r w:rsidR="00F32D89">
        <w:rPr>
          <w:lang w:val="en-US"/>
        </w:rPr>
        <w:t>Presti</w:t>
      </w:r>
      <w:proofErr w:type="spellEnd"/>
      <w:r w:rsidR="00F32D89">
        <w:rPr>
          <w:lang w:val="en-US"/>
        </w:rPr>
        <w:t xml:space="preserve"> et al., 2021</w:t>
      </w:r>
      <w:r w:rsidR="004223A0" w:rsidRPr="004223A0">
        <w:rPr>
          <w:lang w:val="en-US"/>
        </w:rPr>
        <w:t>)</w:t>
      </w:r>
      <w:r w:rsidR="00D3719A" w:rsidRPr="004223A0">
        <w:rPr>
          <w:lang w:val="en-US"/>
        </w:rPr>
        <w:t>.</w:t>
      </w:r>
      <w:r w:rsidR="00D3719A" w:rsidRPr="00D3719A">
        <w:rPr>
          <w:lang w:val="en-US"/>
        </w:rPr>
        <w:t xml:space="preserve"> </w:t>
      </w:r>
    </w:p>
    <w:p w14:paraId="1A2003BE" w14:textId="77777777" w:rsidR="005A3135" w:rsidRDefault="005A3135" w:rsidP="00D3719A">
      <w:pPr>
        <w:rPr>
          <w:lang w:val="en-US"/>
        </w:rPr>
      </w:pPr>
    </w:p>
    <w:p w14:paraId="1E67BA5C" w14:textId="4D6F5958" w:rsidR="005A3135" w:rsidRDefault="00B61329" w:rsidP="005A3135">
      <w:pPr>
        <w:rPr>
          <w:lang w:val="en-US"/>
        </w:rPr>
      </w:pPr>
      <w:r>
        <w:rPr>
          <w:noProof/>
          <w:lang w:val="en-US"/>
        </w:rPr>
        <w:drawing>
          <wp:inline distT="0" distB="0" distL="0" distR="0" wp14:anchorId="128C74F8" wp14:editId="497FF88F">
            <wp:extent cx="3934225" cy="2115536"/>
            <wp:effectExtent l="0" t="0" r="3175" b="5715"/>
            <wp:docPr id="2" name="Immagine 2" descr="Immagine che contiene graf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grafico&#10;&#10;Descrizione generata automaticamente"/>
                    <pic:cNvPicPr/>
                  </pic:nvPicPr>
                  <pic:blipFill>
                    <a:blip r:embed="rId11"/>
                    <a:stretch>
                      <a:fillRect/>
                    </a:stretch>
                  </pic:blipFill>
                  <pic:spPr>
                    <a:xfrm>
                      <a:off x="0" y="0"/>
                      <a:ext cx="3985617" cy="2143171"/>
                    </a:xfrm>
                    <a:prstGeom prst="rect">
                      <a:avLst/>
                    </a:prstGeom>
                  </pic:spPr>
                </pic:pic>
              </a:graphicData>
            </a:graphic>
          </wp:inline>
        </w:drawing>
      </w:r>
      <w:r>
        <w:rPr>
          <w:noProof/>
          <w:lang w:val="en-US"/>
        </w:rPr>
        <w:drawing>
          <wp:inline distT="0" distB="0" distL="0" distR="0" wp14:anchorId="0F0A3014" wp14:editId="43C3652D">
            <wp:extent cx="3765176" cy="2024634"/>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2"/>
                    <a:stretch>
                      <a:fillRect/>
                    </a:stretch>
                  </pic:blipFill>
                  <pic:spPr>
                    <a:xfrm>
                      <a:off x="0" y="0"/>
                      <a:ext cx="3784188" cy="2034857"/>
                    </a:xfrm>
                    <a:prstGeom prst="rect">
                      <a:avLst/>
                    </a:prstGeom>
                  </pic:spPr>
                </pic:pic>
              </a:graphicData>
            </a:graphic>
          </wp:inline>
        </w:drawing>
      </w:r>
    </w:p>
    <w:p w14:paraId="3FD77C51" w14:textId="498B6D74" w:rsidR="00714DD5" w:rsidRPr="00D3719A" w:rsidRDefault="005A3135" w:rsidP="00C94DAD">
      <w:pPr>
        <w:pStyle w:val="CETCaption"/>
        <w:rPr>
          <w:lang w:val="en-US"/>
        </w:rPr>
      </w:pPr>
      <w:r>
        <w:rPr>
          <w:lang w:val="en-US"/>
        </w:rPr>
        <w:t xml:space="preserve">Figure 2: </w:t>
      </w:r>
      <w:r w:rsidRPr="00EB59AD">
        <w:rPr>
          <w:lang w:val="en-US"/>
        </w:rPr>
        <w:t>SCFAs concentration trends (mg</w:t>
      </w:r>
      <w:r w:rsidR="00F52903">
        <w:rPr>
          <w:lang w:val="en-US"/>
        </w:rPr>
        <w:t xml:space="preserve"> </w:t>
      </w:r>
      <w:r w:rsidRPr="00EB59AD">
        <w:rPr>
          <w:lang w:val="en-US"/>
        </w:rPr>
        <w:t>COD/L)</w:t>
      </w:r>
      <w:r>
        <w:rPr>
          <w:lang w:val="en-US"/>
        </w:rPr>
        <w:t xml:space="preserve"> of the mesophilic (A) and thermophilic tests (B). </w:t>
      </w:r>
    </w:p>
    <w:p w14:paraId="7075D056" w14:textId="5DF40C29" w:rsidR="00370AAC" w:rsidRPr="00370AAC" w:rsidRDefault="00040102" w:rsidP="00370AAC">
      <w:pPr>
        <w:rPr>
          <w:lang w:val="en-US"/>
        </w:rPr>
      </w:pPr>
      <w:r w:rsidRPr="00040102">
        <w:rPr>
          <w:lang w:val="en-US"/>
        </w:rPr>
        <w:lastRenderedPageBreak/>
        <w:t xml:space="preserve">Another tested parameter </w:t>
      </w:r>
      <w:r w:rsidR="00EA4916">
        <w:rPr>
          <w:lang w:val="en-US"/>
        </w:rPr>
        <w:t>was the</w:t>
      </w:r>
      <w:r w:rsidR="00EA4916" w:rsidRPr="00040102">
        <w:rPr>
          <w:lang w:val="en-US"/>
        </w:rPr>
        <w:t xml:space="preserve"> </w:t>
      </w:r>
      <w:r w:rsidRPr="00040102">
        <w:rPr>
          <w:lang w:val="en-US"/>
        </w:rPr>
        <w:t>SCFAs composition in the different tested conditions</w:t>
      </w:r>
      <w:r w:rsidR="004E3249">
        <w:rPr>
          <w:lang w:val="en-US"/>
        </w:rPr>
        <w:t xml:space="preserve">: </w:t>
      </w:r>
      <w:r>
        <w:rPr>
          <w:lang w:val="en-US"/>
        </w:rPr>
        <w:t xml:space="preserve">acetic and butyric acids were dominant in all tests, collectively making up for more than half of the obtained SCFAs. </w:t>
      </w:r>
      <w:r w:rsidR="000E2B23">
        <w:rPr>
          <w:lang w:val="en-US"/>
        </w:rPr>
        <w:t xml:space="preserve">All tests were quite </w:t>
      </w:r>
      <w:r w:rsidR="005B0A26">
        <w:rPr>
          <w:lang w:val="en-US"/>
        </w:rPr>
        <w:t>comparable in terms of SCFAs distribution,</w:t>
      </w:r>
      <w:r w:rsidR="000E2B23">
        <w:rPr>
          <w:lang w:val="en-US"/>
        </w:rPr>
        <w:t xml:space="preserve"> </w:t>
      </w:r>
      <w:r w:rsidR="001B34EB">
        <w:rPr>
          <w:lang w:val="en-US"/>
        </w:rPr>
        <w:t>except for</w:t>
      </w:r>
      <w:r w:rsidR="000E2B23">
        <w:rPr>
          <w:lang w:val="en-US"/>
        </w:rPr>
        <w:t xml:space="preserve"> </w:t>
      </w:r>
      <w:r>
        <w:rPr>
          <w:lang w:val="en-US"/>
        </w:rPr>
        <w:t>t</w:t>
      </w:r>
      <w:r w:rsidRPr="00040102">
        <w:rPr>
          <w:lang w:val="en-US"/>
        </w:rPr>
        <w:t>he</w:t>
      </w:r>
      <w:r w:rsidR="000E2B23">
        <w:rPr>
          <w:lang w:val="en-US"/>
        </w:rPr>
        <w:t xml:space="preserve"> mesophilic</w:t>
      </w:r>
      <w:r w:rsidRPr="00040102">
        <w:rPr>
          <w:lang w:val="en-US"/>
        </w:rPr>
        <w:t xml:space="preserve"> </w:t>
      </w:r>
      <w:r w:rsidR="000E2B23">
        <w:rPr>
          <w:lang w:val="en-US"/>
        </w:rPr>
        <w:t>pretreated test</w:t>
      </w:r>
      <w:r w:rsidR="005B0A26">
        <w:rPr>
          <w:lang w:val="en-US"/>
        </w:rPr>
        <w:t>s</w:t>
      </w:r>
      <w:r w:rsidR="000E2B23">
        <w:rPr>
          <w:lang w:val="en-US"/>
        </w:rPr>
        <w:t xml:space="preserve"> (MP)</w:t>
      </w:r>
      <w:r w:rsidR="005B0A26">
        <w:rPr>
          <w:lang w:val="en-US"/>
        </w:rPr>
        <w:t>,</w:t>
      </w:r>
      <w:r w:rsidRPr="00040102">
        <w:rPr>
          <w:lang w:val="en-US"/>
        </w:rPr>
        <w:t xml:space="preserve"> </w:t>
      </w:r>
      <w:r w:rsidR="000E2B23">
        <w:rPr>
          <w:lang w:val="en-US"/>
        </w:rPr>
        <w:t xml:space="preserve">in </w:t>
      </w:r>
      <w:r>
        <w:rPr>
          <w:lang w:val="en-US"/>
        </w:rPr>
        <w:t xml:space="preserve">which </w:t>
      </w:r>
      <w:r w:rsidR="000E2B23">
        <w:rPr>
          <w:lang w:val="en-US"/>
        </w:rPr>
        <w:t xml:space="preserve">the pretreatment </w:t>
      </w:r>
      <w:r w:rsidRPr="00040102">
        <w:rPr>
          <w:lang w:val="en-US"/>
        </w:rPr>
        <w:t xml:space="preserve">caused a shift in the </w:t>
      </w:r>
      <w:r w:rsidR="000E2B23">
        <w:rPr>
          <w:lang w:val="en-US"/>
        </w:rPr>
        <w:t>acid</w:t>
      </w:r>
      <w:r w:rsidR="001B34EB">
        <w:rPr>
          <w:lang w:val="en-US"/>
        </w:rPr>
        <w:t>’</w:t>
      </w:r>
      <w:r w:rsidR="000E2B23">
        <w:rPr>
          <w:lang w:val="en-US"/>
        </w:rPr>
        <w:t xml:space="preserve">s </w:t>
      </w:r>
      <w:r w:rsidRPr="00040102">
        <w:rPr>
          <w:lang w:val="en-US"/>
        </w:rPr>
        <w:t>composition towards acetic acid, making up 52% of the total</w:t>
      </w:r>
      <w:r>
        <w:rPr>
          <w:lang w:val="en-US"/>
        </w:rPr>
        <w:t xml:space="preserve">. Consequently, </w:t>
      </w:r>
      <w:r w:rsidR="00370AAC" w:rsidRPr="00370AAC">
        <w:rPr>
          <w:lang w:val="en-US"/>
        </w:rPr>
        <w:t>it appears that this pretreatment moved the metabolic fermentation pathways closer to the final fermentation products (</w:t>
      </w:r>
      <w:r w:rsidR="00370AAC">
        <w:rPr>
          <w:lang w:val="en-US"/>
        </w:rPr>
        <w:t xml:space="preserve">e.g., </w:t>
      </w:r>
      <w:r w:rsidR="00370AAC" w:rsidRPr="00370AAC">
        <w:rPr>
          <w:lang w:val="en-US"/>
        </w:rPr>
        <w:t>acetic acids).</w:t>
      </w:r>
    </w:p>
    <w:p w14:paraId="16CD6CC4" w14:textId="4A65D721" w:rsidR="00F238A2" w:rsidRDefault="00370AAC" w:rsidP="00EB59AD">
      <w:pPr>
        <w:rPr>
          <w:lang w:val="en-US"/>
        </w:rPr>
      </w:pPr>
      <w:r w:rsidRPr="00370AAC">
        <w:rPr>
          <w:lang w:val="en-US"/>
        </w:rPr>
        <w:t>In addition, the higher temperature in the thermophilic series eliminated the MW-H</w:t>
      </w:r>
      <w:r w:rsidRPr="00370AAC">
        <w:rPr>
          <w:vertAlign w:val="subscript"/>
          <w:lang w:val="en-US"/>
        </w:rPr>
        <w:t>2</w:t>
      </w:r>
      <w:r w:rsidRPr="00370AAC">
        <w:rPr>
          <w:lang w:val="en-US"/>
        </w:rPr>
        <w:t>O</w:t>
      </w:r>
      <w:r w:rsidRPr="00370AAC">
        <w:rPr>
          <w:vertAlign w:val="subscript"/>
          <w:lang w:val="en-US"/>
        </w:rPr>
        <w:t>2</w:t>
      </w:r>
      <w:r w:rsidRPr="00370AAC">
        <w:rPr>
          <w:lang w:val="en-US"/>
        </w:rPr>
        <w:t xml:space="preserve"> </w:t>
      </w:r>
      <w:r w:rsidR="005B0A26">
        <w:rPr>
          <w:lang w:val="en-US"/>
        </w:rPr>
        <w:t>impact</w:t>
      </w:r>
      <w:r w:rsidRPr="00370AAC">
        <w:rPr>
          <w:lang w:val="en-US"/>
        </w:rPr>
        <w:t xml:space="preserve"> on SCFA</w:t>
      </w:r>
      <w:r w:rsidR="005B0A26">
        <w:rPr>
          <w:lang w:val="en-US"/>
        </w:rPr>
        <w:t>s</w:t>
      </w:r>
      <w:r w:rsidRPr="00370AAC">
        <w:rPr>
          <w:lang w:val="en-US"/>
        </w:rPr>
        <w:t xml:space="preserve"> distribution. In contrast to the corresponding mesophilic series, valeric acid disappeared completely. Th</w:t>
      </w:r>
      <w:r>
        <w:rPr>
          <w:lang w:val="en-US"/>
        </w:rPr>
        <w:t>is was the</w:t>
      </w:r>
      <w:r w:rsidRPr="00370AAC">
        <w:rPr>
          <w:lang w:val="en-US"/>
        </w:rPr>
        <w:t xml:space="preserve"> only significant change brought about by the two applied temperature regimes.</w:t>
      </w:r>
      <w:r w:rsidR="00EA4916">
        <w:rPr>
          <w:lang w:val="en-US"/>
        </w:rPr>
        <w:t xml:space="preserve"> </w:t>
      </w:r>
      <w:r w:rsidR="006E4168">
        <w:rPr>
          <w:lang w:val="en-US"/>
        </w:rPr>
        <w:t xml:space="preserve">The observed distribution </w:t>
      </w:r>
      <w:r w:rsidR="005B0A26">
        <w:rPr>
          <w:lang w:val="en-US"/>
        </w:rPr>
        <w:t>was</w:t>
      </w:r>
      <w:r w:rsidR="006E4168">
        <w:rPr>
          <w:lang w:val="en-US"/>
        </w:rPr>
        <w:t xml:space="preserve"> quite </w:t>
      </w:r>
      <w:proofErr w:type="gramStart"/>
      <w:r w:rsidR="006E4168">
        <w:rPr>
          <w:lang w:val="en-US"/>
        </w:rPr>
        <w:t>similar to</w:t>
      </w:r>
      <w:proofErr w:type="gramEnd"/>
      <w:r w:rsidR="006E4168">
        <w:rPr>
          <w:lang w:val="en-US"/>
        </w:rPr>
        <w:t xml:space="preserve"> those found in the literature from </w:t>
      </w:r>
      <w:r w:rsidRPr="00AB226D">
        <w:rPr>
          <w:lang w:val="en-US"/>
        </w:rPr>
        <w:t xml:space="preserve">batch sewage sludge </w:t>
      </w:r>
      <w:r w:rsidR="00AB226D" w:rsidRPr="00AB226D">
        <w:rPr>
          <w:lang w:val="en-US"/>
        </w:rPr>
        <w:t xml:space="preserve">test </w:t>
      </w:r>
      <w:r w:rsidRPr="00AB226D">
        <w:rPr>
          <w:lang w:val="en-US"/>
        </w:rPr>
        <w:t>without a pH-control strategy, thermally, and non-thermally pretreated:</w:t>
      </w:r>
      <w:r w:rsidR="00714DD5" w:rsidRPr="00AB226D">
        <w:rPr>
          <w:rFonts w:ascii="URWPalladioL" w:hAnsi="URWPalladioL"/>
          <w:b/>
          <w:lang w:val="en-US" w:eastAsia="it-IT"/>
        </w:rPr>
        <w:t xml:space="preserve"> </w:t>
      </w:r>
      <w:r w:rsidR="00714DD5" w:rsidRPr="00AB226D">
        <w:rPr>
          <w:lang w:val="en-US"/>
        </w:rPr>
        <w:t>(Zhang et al., 2019; Morgan-</w:t>
      </w:r>
      <w:proofErr w:type="spellStart"/>
      <w:r w:rsidR="00714DD5" w:rsidRPr="00AB226D">
        <w:rPr>
          <w:lang w:val="en-US"/>
        </w:rPr>
        <w:t>Sagastume</w:t>
      </w:r>
      <w:proofErr w:type="spellEnd"/>
      <w:r w:rsidR="00714DD5" w:rsidRPr="00AB226D">
        <w:rPr>
          <w:lang w:val="en-US"/>
        </w:rPr>
        <w:t xml:space="preserve"> et al., 2015).</w:t>
      </w:r>
      <w:r w:rsidR="00D46616">
        <w:rPr>
          <w:lang w:val="en-US"/>
        </w:rPr>
        <w:t xml:space="preserve"> </w:t>
      </w:r>
    </w:p>
    <w:p w14:paraId="32E357CF" w14:textId="74709169" w:rsidR="00A652EB" w:rsidRPr="00A652EB" w:rsidRDefault="005B0A26" w:rsidP="00EB59AD">
      <w:pPr>
        <w:rPr>
          <w:lang w:val="en-US"/>
        </w:rPr>
      </w:pPr>
      <w:r>
        <w:rPr>
          <w:lang w:val="en-US"/>
        </w:rPr>
        <w:t xml:space="preserve">In terms of potential Cr(VI) production, due to the oxidizing pretreatment adopted, </w:t>
      </w:r>
      <w:r w:rsidR="00A652EB" w:rsidRPr="00A652EB">
        <w:rPr>
          <w:lang w:val="en-US"/>
        </w:rPr>
        <w:t xml:space="preserve">Cr(VI) was not released during the </w:t>
      </w:r>
      <w:r w:rsidR="00A652EB">
        <w:rPr>
          <w:lang w:val="en-US"/>
        </w:rPr>
        <w:t xml:space="preserve">whole duration of the experiments and remained below the </w:t>
      </w:r>
      <w:r w:rsidR="008E4CBD">
        <w:rPr>
          <w:lang w:val="en-US"/>
        </w:rPr>
        <w:t>l</w:t>
      </w:r>
      <w:proofErr w:type="spellStart"/>
      <w:r w:rsidR="008E4CBD" w:rsidRPr="008E4CBD">
        <w:t>imit</w:t>
      </w:r>
      <w:proofErr w:type="spellEnd"/>
      <w:r w:rsidR="008E4CBD" w:rsidRPr="008E4CBD">
        <w:t xml:space="preserve"> of quantification</w:t>
      </w:r>
      <w:r w:rsidR="008E4CBD">
        <w:rPr>
          <w:lang w:val="en-US"/>
        </w:rPr>
        <w:t xml:space="preserve"> (</w:t>
      </w:r>
      <w:r w:rsidR="008E4CBD" w:rsidRPr="00A652EB">
        <w:rPr>
          <w:lang w:val="en-US"/>
        </w:rPr>
        <w:t>LOQ</w:t>
      </w:r>
      <w:r w:rsidR="008E4CBD">
        <w:rPr>
          <w:lang w:val="en-US"/>
        </w:rPr>
        <w:t>)</w:t>
      </w:r>
      <w:r w:rsidR="008E4CBD" w:rsidRPr="00A652EB">
        <w:rPr>
          <w:lang w:val="en-US"/>
        </w:rPr>
        <w:t xml:space="preserve"> </w:t>
      </w:r>
      <w:r w:rsidR="00A652EB" w:rsidRPr="00A652EB">
        <w:rPr>
          <w:lang w:val="en-US"/>
        </w:rPr>
        <w:t>of 0.03 mg/L</w:t>
      </w:r>
      <w:r>
        <w:rPr>
          <w:lang w:val="en-US"/>
        </w:rPr>
        <w:t xml:space="preserve"> (table 2)</w:t>
      </w:r>
      <w:r w:rsidR="00A652EB">
        <w:rPr>
          <w:lang w:val="en-US"/>
        </w:rPr>
        <w:t xml:space="preserve">, demonstrating that the recovery of SCFAs from this substrate is </w:t>
      </w:r>
      <w:r w:rsidR="00A652EB" w:rsidRPr="00A652EB">
        <w:rPr>
          <w:lang w:val="en-US"/>
        </w:rPr>
        <w:t>viab</w:t>
      </w:r>
      <w:r w:rsidR="00A652EB">
        <w:rPr>
          <w:lang w:val="en-US"/>
        </w:rPr>
        <w:t>le</w:t>
      </w:r>
      <w:r w:rsidR="00A652EB" w:rsidRPr="00A652EB">
        <w:rPr>
          <w:lang w:val="en-US"/>
        </w:rPr>
        <w:t>, with</w:t>
      </w:r>
      <w:r w:rsidR="00A652EB">
        <w:rPr>
          <w:lang w:val="en-US"/>
        </w:rPr>
        <w:t>out</w:t>
      </w:r>
      <w:r w:rsidR="00A652EB" w:rsidRPr="00A652EB">
        <w:rPr>
          <w:lang w:val="en-US"/>
        </w:rPr>
        <w:t xml:space="preserve"> risk</w:t>
      </w:r>
      <w:r w:rsidR="00A652EB">
        <w:rPr>
          <w:lang w:val="en-US"/>
        </w:rPr>
        <w:t>s</w:t>
      </w:r>
      <w:r w:rsidR="00A652EB" w:rsidRPr="00A652EB">
        <w:rPr>
          <w:lang w:val="en-US"/>
        </w:rPr>
        <w:t xml:space="preserve"> </w:t>
      </w:r>
      <w:r w:rsidR="00A652EB">
        <w:rPr>
          <w:lang w:val="en-US"/>
        </w:rPr>
        <w:t>associated</w:t>
      </w:r>
      <w:r w:rsidR="00A652EB" w:rsidRPr="00A652EB">
        <w:rPr>
          <w:lang w:val="en-US"/>
        </w:rPr>
        <w:t xml:space="preserve"> to the Cr(VI) release.</w:t>
      </w:r>
    </w:p>
    <w:p w14:paraId="30C423E8" w14:textId="3F943BF9" w:rsidR="00960892" w:rsidRPr="001C3135" w:rsidRDefault="00960892" w:rsidP="00E361D8">
      <w:pPr>
        <w:pStyle w:val="CETTabletitle"/>
        <w:rPr>
          <w:lang w:val="en-US"/>
        </w:rPr>
      </w:pPr>
      <w:r>
        <w:rPr>
          <w:lang w:val="en-US"/>
        </w:rPr>
        <w:t xml:space="preserve">Table 2: </w:t>
      </w:r>
      <w:r w:rsidRPr="00960892">
        <w:rPr>
          <w:lang w:val="en-US"/>
        </w:rPr>
        <w:t>Summary of the main results obtained in the anaerobic fermentation of tannery sludge</w:t>
      </w:r>
      <w:r w:rsidR="001C3135">
        <w:rPr>
          <w:iCs/>
          <w:lang w:val="en-US"/>
        </w:rPr>
        <w:t>.</w:t>
      </w:r>
      <w:r w:rsidR="00EA4916" w:rsidRPr="001C3135">
        <w:rPr>
          <w:iCs/>
          <w:lang w:val="en-US"/>
        </w:rPr>
        <w:t xml:space="preserve"> </w:t>
      </w:r>
    </w:p>
    <w:tbl>
      <w:tblPr>
        <w:tblW w:w="5000" w:type="pct"/>
        <w:jc w:val="center"/>
        <w:tblBorders>
          <w:top w:val="single" w:sz="4" w:space="0" w:color="auto"/>
          <w:bottom w:val="single" w:sz="4" w:space="0" w:color="auto"/>
        </w:tblBorders>
        <w:tblLook w:val="04A0" w:firstRow="1" w:lastRow="0" w:firstColumn="1" w:lastColumn="0" w:noHBand="0" w:noVBand="1"/>
      </w:tblPr>
      <w:tblGrid>
        <w:gridCol w:w="1418"/>
        <w:gridCol w:w="1416"/>
        <w:gridCol w:w="968"/>
        <w:gridCol w:w="1016"/>
        <w:gridCol w:w="1016"/>
        <w:gridCol w:w="916"/>
        <w:gridCol w:w="1016"/>
        <w:gridCol w:w="1021"/>
      </w:tblGrid>
      <w:tr w:rsidR="00653C18" w:rsidRPr="00653C18" w14:paraId="29B07BE1" w14:textId="77777777" w:rsidTr="00A50910">
        <w:trPr>
          <w:trHeight w:val="483"/>
          <w:jc w:val="center"/>
        </w:trPr>
        <w:tc>
          <w:tcPr>
            <w:tcW w:w="807" w:type="pct"/>
            <w:vMerge w:val="restart"/>
            <w:tcBorders>
              <w:top w:val="single" w:sz="12" w:space="0" w:color="008000"/>
            </w:tcBorders>
            <w:vAlign w:val="center"/>
          </w:tcPr>
          <w:p w14:paraId="2AE090A8" w14:textId="60A3B9B0" w:rsidR="00EA4916" w:rsidRPr="00653C18" w:rsidRDefault="00EA4916" w:rsidP="00EA4916">
            <w:pPr>
              <w:pStyle w:val="CETBodytext"/>
              <w:ind w:right="-1"/>
              <w:jc w:val="center"/>
              <w:rPr>
                <w:rFonts w:cs="Arial"/>
                <w:sz w:val="14"/>
                <w:szCs w:val="14"/>
                <w:lang w:val="en-GB"/>
              </w:rPr>
            </w:pPr>
            <w:r w:rsidRPr="00653C18">
              <w:rPr>
                <w:rFonts w:cs="Arial"/>
                <w:sz w:val="14"/>
                <w:szCs w:val="14"/>
                <w:lang w:val="en-GB"/>
              </w:rPr>
              <w:t>Parameter</w:t>
            </w:r>
          </w:p>
        </w:tc>
        <w:tc>
          <w:tcPr>
            <w:tcW w:w="806" w:type="pct"/>
            <w:vMerge w:val="restart"/>
            <w:tcBorders>
              <w:top w:val="single" w:sz="12" w:space="0" w:color="008000"/>
            </w:tcBorders>
            <w:vAlign w:val="center"/>
          </w:tcPr>
          <w:p w14:paraId="041A57B3" w14:textId="274B221F" w:rsidR="00EA4916" w:rsidRPr="00653C18" w:rsidRDefault="00EA4916" w:rsidP="00EA4916">
            <w:pPr>
              <w:pStyle w:val="CETBodytext"/>
              <w:ind w:right="-1"/>
              <w:jc w:val="center"/>
              <w:rPr>
                <w:rFonts w:cs="Arial"/>
                <w:sz w:val="14"/>
                <w:szCs w:val="14"/>
                <w:lang w:val="en-GB"/>
              </w:rPr>
            </w:pPr>
            <w:r w:rsidRPr="00653C18">
              <w:rPr>
                <w:rFonts w:cs="Arial"/>
                <w:sz w:val="14"/>
                <w:szCs w:val="14"/>
                <w:lang w:val="en-GB"/>
              </w:rPr>
              <w:t>Unit</w:t>
            </w:r>
          </w:p>
        </w:tc>
        <w:tc>
          <w:tcPr>
            <w:tcW w:w="3387" w:type="pct"/>
            <w:gridSpan w:val="6"/>
            <w:tcBorders>
              <w:top w:val="single" w:sz="12" w:space="0" w:color="008000"/>
              <w:bottom w:val="single" w:sz="4" w:space="0" w:color="auto"/>
            </w:tcBorders>
          </w:tcPr>
          <w:p w14:paraId="00CF3EFF" w14:textId="62DE0599" w:rsidR="00EA4916" w:rsidRPr="00653C18" w:rsidRDefault="00EA4916" w:rsidP="001C3135">
            <w:pPr>
              <w:pStyle w:val="CETBodytext"/>
              <w:ind w:right="-1"/>
              <w:jc w:val="center"/>
              <w:rPr>
                <w:rFonts w:cs="Arial"/>
                <w:sz w:val="14"/>
                <w:szCs w:val="14"/>
                <w:lang w:val="en-GB"/>
              </w:rPr>
            </w:pPr>
            <w:r w:rsidRPr="00653C18">
              <w:rPr>
                <w:rFonts w:cs="Arial"/>
                <w:sz w:val="14"/>
                <w:szCs w:val="14"/>
                <w:lang w:val="en-GB"/>
              </w:rPr>
              <w:t>Test name</w:t>
            </w:r>
          </w:p>
        </w:tc>
      </w:tr>
      <w:tr w:rsidR="00653C18" w:rsidRPr="00653C18" w14:paraId="67438719" w14:textId="77777777" w:rsidTr="00A50910">
        <w:trPr>
          <w:trHeight w:val="483"/>
          <w:jc w:val="center"/>
        </w:trPr>
        <w:tc>
          <w:tcPr>
            <w:tcW w:w="807" w:type="pct"/>
            <w:vMerge/>
            <w:tcBorders>
              <w:bottom w:val="single" w:sz="4" w:space="0" w:color="auto"/>
            </w:tcBorders>
          </w:tcPr>
          <w:p w14:paraId="3B68D724" w14:textId="38C46000" w:rsidR="00EA4916" w:rsidRPr="00653C18" w:rsidRDefault="00EA4916" w:rsidP="001015A7">
            <w:pPr>
              <w:pStyle w:val="CETBodytext"/>
              <w:ind w:right="-1"/>
              <w:jc w:val="center"/>
              <w:rPr>
                <w:rFonts w:cs="Arial"/>
                <w:sz w:val="14"/>
                <w:szCs w:val="14"/>
                <w:lang w:val="en-GB"/>
              </w:rPr>
            </w:pPr>
          </w:p>
        </w:tc>
        <w:tc>
          <w:tcPr>
            <w:tcW w:w="806" w:type="pct"/>
            <w:vMerge/>
            <w:tcBorders>
              <w:bottom w:val="single" w:sz="4" w:space="0" w:color="auto"/>
            </w:tcBorders>
          </w:tcPr>
          <w:p w14:paraId="03DAE2AC" w14:textId="76229215" w:rsidR="00EA4916" w:rsidRPr="00653C18" w:rsidRDefault="00EA4916" w:rsidP="001015A7">
            <w:pPr>
              <w:pStyle w:val="CETBodytext"/>
              <w:ind w:right="-1"/>
              <w:jc w:val="center"/>
              <w:rPr>
                <w:rFonts w:cs="Arial"/>
                <w:sz w:val="14"/>
                <w:szCs w:val="14"/>
                <w:lang w:val="en-GB"/>
              </w:rPr>
            </w:pPr>
          </w:p>
        </w:tc>
        <w:tc>
          <w:tcPr>
            <w:tcW w:w="551" w:type="pct"/>
            <w:tcBorders>
              <w:top w:val="single" w:sz="12" w:space="0" w:color="008000"/>
              <w:bottom w:val="single" w:sz="4" w:space="0" w:color="auto"/>
            </w:tcBorders>
          </w:tcPr>
          <w:p w14:paraId="058AA366" w14:textId="6143DF50" w:rsidR="00EA4916" w:rsidRPr="00653C18" w:rsidRDefault="00EA4916" w:rsidP="001015A7">
            <w:pPr>
              <w:pStyle w:val="CETBodytext"/>
              <w:ind w:right="-1"/>
              <w:jc w:val="center"/>
              <w:rPr>
                <w:rFonts w:cs="Arial"/>
                <w:sz w:val="14"/>
                <w:szCs w:val="14"/>
                <w:lang w:val="en-GB"/>
              </w:rPr>
            </w:pPr>
            <w:r w:rsidRPr="00653C18">
              <w:rPr>
                <w:rFonts w:cs="Arial"/>
                <w:sz w:val="14"/>
                <w:szCs w:val="14"/>
                <w:lang w:val="en-GB"/>
              </w:rPr>
              <w:t>M8</w:t>
            </w:r>
          </w:p>
        </w:tc>
        <w:tc>
          <w:tcPr>
            <w:tcW w:w="578" w:type="pct"/>
            <w:tcBorders>
              <w:top w:val="single" w:sz="12" w:space="0" w:color="008000"/>
              <w:bottom w:val="single" w:sz="4" w:space="0" w:color="auto"/>
            </w:tcBorders>
          </w:tcPr>
          <w:p w14:paraId="3A6E7301" w14:textId="72FD96AF" w:rsidR="00EA4916" w:rsidRPr="00653C18" w:rsidRDefault="00EA4916" w:rsidP="001015A7">
            <w:pPr>
              <w:pStyle w:val="CETBodytext"/>
              <w:ind w:right="-1"/>
              <w:jc w:val="center"/>
              <w:rPr>
                <w:rFonts w:cs="Arial"/>
                <w:sz w:val="14"/>
                <w:szCs w:val="14"/>
                <w:lang w:val="en-GB"/>
              </w:rPr>
            </w:pPr>
            <w:r w:rsidRPr="00653C18">
              <w:rPr>
                <w:rFonts w:cs="Arial"/>
                <w:sz w:val="14"/>
                <w:szCs w:val="14"/>
                <w:lang w:val="en-GB"/>
              </w:rPr>
              <w:t>M12</w:t>
            </w:r>
          </w:p>
        </w:tc>
        <w:tc>
          <w:tcPr>
            <w:tcW w:w="578" w:type="pct"/>
            <w:tcBorders>
              <w:top w:val="single" w:sz="12" w:space="0" w:color="008000"/>
              <w:bottom w:val="single" w:sz="4" w:space="0" w:color="auto"/>
            </w:tcBorders>
          </w:tcPr>
          <w:p w14:paraId="2F5E9807" w14:textId="09734545" w:rsidR="00EA4916" w:rsidRPr="00653C18" w:rsidRDefault="00EA4916" w:rsidP="001015A7">
            <w:pPr>
              <w:pStyle w:val="CETBodytext"/>
              <w:ind w:right="-1"/>
              <w:jc w:val="center"/>
              <w:rPr>
                <w:rFonts w:cs="Arial"/>
                <w:sz w:val="14"/>
                <w:szCs w:val="14"/>
                <w:lang w:val="en-GB"/>
              </w:rPr>
            </w:pPr>
            <w:r w:rsidRPr="00653C18">
              <w:rPr>
                <w:rFonts w:cs="Arial"/>
                <w:sz w:val="14"/>
                <w:szCs w:val="14"/>
                <w:lang w:val="en-GB"/>
              </w:rPr>
              <w:t>MP</w:t>
            </w:r>
          </w:p>
        </w:tc>
        <w:tc>
          <w:tcPr>
            <w:tcW w:w="521" w:type="pct"/>
            <w:tcBorders>
              <w:top w:val="single" w:sz="12" w:space="0" w:color="008000"/>
              <w:bottom w:val="single" w:sz="4" w:space="0" w:color="auto"/>
            </w:tcBorders>
          </w:tcPr>
          <w:p w14:paraId="56CC5AA7" w14:textId="3E33E9CA" w:rsidR="00EA4916" w:rsidRPr="00653C18" w:rsidRDefault="00EA4916" w:rsidP="001015A7">
            <w:pPr>
              <w:pStyle w:val="CETBodytext"/>
              <w:ind w:right="-1"/>
              <w:jc w:val="center"/>
              <w:rPr>
                <w:rFonts w:cs="Arial"/>
                <w:sz w:val="14"/>
                <w:szCs w:val="14"/>
                <w:lang w:val="en-GB"/>
              </w:rPr>
            </w:pPr>
            <w:r w:rsidRPr="00653C18">
              <w:rPr>
                <w:rFonts w:cs="Arial"/>
                <w:sz w:val="14"/>
                <w:szCs w:val="14"/>
                <w:lang w:val="en-GB"/>
              </w:rPr>
              <w:t>T8</w:t>
            </w:r>
          </w:p>
        </w:tc>
        <w:tc>
          <w:tcPr>
            <w:tcW w:w="578" w:type="pct"/>
            <w:tcBorders>
              <w:top w:val="single" w:sz="12" w:space="0" w:color="008000"/>
              <w:bottom w:val="single" w:sz="4" w:space="0" w:color="auto"/>
            </w:tcBorders>
          </w:tcPr>
          <w:p w14:paraId="3DF648A9" w14:textId="7DC57A86" w:rsidR="00EA4916" w:rsidRPr="00653C18" w:rsidRDefault="00EA4916" w:rsidP="001015A7">
            <w:pPr>
              <w:pStyle w:val="CETBodytext"/>
              <w:ind w:right="-1"/>
              <w:jc w:val="center"/>
              <w:rPr>
                <w:rFonts w:cs="Arial"/>
                <w:sz w:val="14"/>
                <w:szCs w:val="14"/>
                <w:lang w:val="en-GB"/>
              </w:rPr>
            </w:pPr>
            <w:r w:rsidRPr="00653C18">
              <w:rPr>
                <w:rFonts w:cs="Arial"/>
                <w:sz w:val="14"/>
                <w:szCs w:val="14"/>
                <w:lang w:val="en-GB"/>
              </w:rPr>
              <w:t>T12</w:t>
            </w:r>
          </w:p>
        </w:tc>
        <w:tc>
          <w:tcPr>
            <w:tcW w:w="581" w:type="pct"/>
            <w:tcBorders>
              <w:top w:val="single" w:sz="12" w:space="0" w:color="008000"/>
              <w:bottom w:val="single" w:sz="4" w:space="0" w:color="auto"/>
            </w:tcBorders>
          </w:tcPr>
          <w:p w14:paraId="34878C3B" w14:textId="73B2641E" w:rsidR="00EA4916" w:rsidRPr="00653C18" w:rsidRDefault="00EA4916" w:rsidP="001015A7">
            <w:pPr>
              <w:pStyle w:val="CETBodytext"/>
              <w:ind w:right="-1"/>
              <w:jc w:val="center"/>
              <w:rPr>
                <w:rFonts w:cs="Arial"/>
                <w:sz w:val="14"/>
                <w:szCs w:val="14"/>
                <w:lang w:val="en-GB"/>
              </w:rPr>
            </w:pPr>
            <w:r w:rsidRPr="00653C18">
              <w:rPr>
                <w:rFonts w:cs="Arial"/>
                <w:sz w:val="14"/>
                <w:szCs w:val="14"/>
                <w:lang w:val="en-GB"/>
              </w:rPr>
              <w:t>TP</w:t>
            </w:r>
          </w:p>
        </w:tc>
      </w:tr>
      <w:tr w:rsidR="00653C18" w:rsidRPr="00653C18" w14:paraId="6F0E8547" w14:textId="77777777" w:rsidTr="00A50910">
        <w:trPr>
          <w:trHeight w:val="483"/>
          <w:jc w:val="center"/>
        </w:trPr>
        <w:tc>
          <w:tcPr>
            <w:tcW w:w="807" w:type="pct"/>
            <w:tcBorders>
              <w:top w:val="single" w:sz="6" w:space="0" w:color="008000"/>
              <w:bottom w:val="single" w:sz="6" w:space="0" w:color="008000"/>
            </w:tcBorders>
          </w:tcPr>
          <w:p w14:paraId="2CBF4829" w14:textId="037A8EDD" w:rsidR="001015A7" w:rsidRPr="00653C18" w:rsidRDefault="001015A7" w:rsidP="001015A7">
            <w:pPr>
              <w:pStyle w:val="CETBodytext"/>
              <w:ind w:right="-1"/>
              <w:jc w:val="center"/>
              <w:rPr>
                <w:rFonts w:cs="Arial"/>
                <w:sz w:val="14"/>
                <w:szCs w:val="14"/>
                <w:lang w:val="en-GB"/>
              </w:rPr>
            </w:pPr>
            <w:r w:rsidRPr="00653C18">
              <w:rPr>
                <w:rFonts w:cs="Arial"/>
                <w:sz w:val="14"/>
                <w:szCs w:val="14"/>
                <w:lang w:val="en-GB"/>
              </w:rPr>
              <w:t>SCFAs</w:t>
            </w:r>
          </w:p>
        </w:tc>
        <w:tc>
          <w:tcPr>
            <w:tcW w:w="806" w:type="pct"/>
            <w:tcBorders>
              <w:top w:val="single" w:sz="6" w:space="0" w:color="008000"/>
              <w:bottom w:val="single" w:sz="6" w:space="0" w:color="008000"/>
            </w:tcBorders>
          </w:tcPr>
          <w:p w14:paraId="6C109373" w14:textId="78675360" w:rsidR="001015A7" w:rsidRPr="00653C18" w:rsidRDefault="001015A7" w:rsidP="001015A7">
            <w:pPr>
              <w:pStyle w:val="CETBodytext"/>
              <w:ind w:right="-1"/>
              <w:jc w:val="center"/>
              <w:rPr>
                <w:rFonts w:cs="Arial"/>
                <w:sz w:val="14"/>
                <w:szCs w:val="14"/>
                <w:lang w:val="en-GB"/>
              </w:rPr>
            </w:pPr>
            <w:r w:rsidRPr="00653C18">
              <w:rPr>
                <w:rFonts w:cs="Arial"/>
                <w:sz w:val="14"/>
                <w:szCs w:val="14"/>
                <w:lang w:val="en-GB"/>
              </w:rPr>
              <w:t>g COD/L</w:t>
            </w:r>
          </w:p>
        </w:tc>
        <w:tc>
          <w:tcPr>
            <w:tcW w:w="551" w:type="pct"/>
            <w:tcBorders>
              <w:top w:val="single" w:sz="6" w:space="0" w:color="008000"/>
              <w:bottom w:val="single" w:sz="6" w:space="0" w:color="008000"/>
            </w:tcBorders>
          </w:tcPr>
          <w:p w14:paraId="6F1820BA" w14:textId="1B98861B" w:rsidR="001015A7" w:rsidRPr="00653C18" w:rsidRDefault="00B128BE" w:rsidP="001015A7">
            <w:pPr>
              <w:pStyle w:val="CETBodytext"/>
              <w:ind w:right="-1"/>
              <w:jc w:val="center"/>
              <w:rPr>
                <w:rFonts w:cs="Arial"/>
                <w:sz w:val="14"/>
                <w:szCs w:val="14"/>
                <w:lang w:val="en-GB"/>
              </w:rPr>
            </w:pPr>
            <w:r w:rsidRPr="00653C18">
              <w:rPr>
                <w:rFonts w:cs="Arial"/>
                <w:sz w:val="14"/>
                <w:szCs w:val="14"/>
                <w:lang w:val="en-GB"/>
              </w:rPr>
              <w:t>9.</w:t>
            </w:r>
            <w:r w:rsidR="00F52903">
              <w:rPr>
                <w:rFonts w:cs="Arial"/>
                <w:sz w:val="14"/>
                <w:szCs w:val="14"/>
                <w:lang w:val="en-GB"/>
              </w:rPr>
              <w:t>3</w:t>
            </w:r>
            <w:r w:rsidR="00653C18">
              <w:rPr>
                <w:rFonts w:cs="Arial"/>
                <w:sz w:val="14"/>
                <w:szCs w:val="14"/>
                <w:lang w:val="en-GB"/>
              </w:rPr>
              <w:t xml:space="preserve"> </w:t>
            </w:r>
            <w:r w:rsidR="00653C18" w:rsidRPr="00653C18">
              <w:rPr>
                <w:rFonts w:cs="Arial"/>
                <w:sz w:val="14"/>
                <w:szCs w:val="14"/>
                <w:lang w:val="en-GB"/>
              </w:rPr>
              <w:t>±</w:t>
            </w:r>
            <w:r w:rsidR="00F52903">
              <w:rPr>
                <w:rFonts w:cs="Arial"/>
                <w:sz w:val="14"/>
                <w:szCs w:val="14"/>
                <w:lang w:val="en-GB"/>
              </w:rPr>
              <w:t xml:space="preserve"> </w:t>
            </w:r>
            <w:r w:rsidR="00653C18" w:rsidRPr="00653C18">
              <w:rPr>
                <w:rFonts w:cs="Arial"/>
                <w:sz w:val="14"/>
                <w:szCs w:val="14"/>
                <w:lang w:val="en-GB"/>
              </w:rPr>
              <w:t>0.2</w:t>
            </w:r>
          </w:p>
        </w:tc>
        <w:tc>
          <w:tcPr>
            <w:tcW w:w="578" w:type="pct"/>
            <w:tcBorders>
              <w:top w:val="single" w:sz="6" w:space="0" w:color="008000"/>
              <w:bottom w:val="single" w:sz="6" w:space="0" w:color="008000"/>
            </w:tcBorders>
          </w:tcPr>
          <w:p w14:paraId="31B7FE14" w14:textId="3792CC28" w:rsidR="001015A7" w:rsidRPr="00653C18" w:rsidRDefault="00B128BE" w:rsidP="001015A7">
            <w:pPr>
              <w:pStyle w:val="CETBodytext"/>
              <w:ind w:right="-1"/>
              <w:jc w:val="center"/>
              <w:rPr>
                <w:rFonts w:cs="Arial"/>
                <w:sz w:val="14"/>
                <w:szCs w:val="14"/>
                <w:lang w:val="en-GB"/>
              </w:rPr>
            </w:pPr>
            <w:r w:rsidRPr="00653C18">
              <w:rPr>
                <w:rFonts w:cs="Arial"/>
                <w:sz w:val="14"/>
                <w:szCs w:val="14"/>
                <w:lang w:val="en-GB"/>
              </w:rPr>
              <w:t>1</w:t>
            </w:r>
            <w:r w:rsidR="00F52903">
              <w:rPr>
                <w:rFonts w:cs="Arial"/>
                <w:sz w:val="14"/>
                <w:szCs w:val="14"/>
                <w:lang w:val="en-GB"/>
              </w:rPr>
              <w:t>5</w:t>
            </w:r>
            <w:r w:rsidRPr="00653C18">
              <w:rPr>
                <w:rFonts w:cs="Arial"/>
                <w:sz w:val="14"/>
                <w:szCs w:val="14"/>
                <w:lang w:val="en-GB"/>
              </w:rPr>
              <w:t>.</w:t>
            </w:r>
            <w:r w:rsidR="00F52903">
              <w:rPr>
                <w:rFonts w:cs="Arial"/>
                <w:sz w:val="14"/>
                <w:szCs w:val="14"/>
                <w:lang w:val="en-GB"/>
              </w:rPr>
              <w:t>0</w:t>
            </w:r>
            <w:r w:rsidR="00653C18">
              <w:rPr>
                <w:rFonts w:cs="Arial"/>
                <w:sz w:val="14"/>
                <w:szCs w:val="14"/>
                <w:lang w:val="en-GB"/>
              </w:rPr>
              <w:t xml:space="preserve"> </w:t>
            </w:r>
            <w:r w:rsidR="00653C18" w:rsidRPr="00653C18">
              <w:rPr>
                <w:rFonts w:cs="Arial"/>
                <w:sz w:val="14"/>
                <w:szCs w:val="14"/>
                <w:lang w:val="en-GB"/>
              </w:rPr>
              <w:t>±</w:t>
            </w:r>
            <w:r w:rsidR="00F52903">
              <w:rPr>
                <w:rFonts w:cs="Arial"/>
                <w:sz w:val="14"/>
                <w:szCs w:val="14"/>
                <w:lang w:val="en-GB"/>
              </w:rPr>
              <w:t xml:space="preserve"> </w:t>
            </w:r>
            <w:r w:rsidR="00653C18" w:rsidRPr="00653C18">
              <w:rPr>
                <w:rFonts w:cs="Arial"/>
                <w:sz w:val="14"/>
                <w:szCs w:val="14"/>
                <w:lang w:val="en-GB"/>
              </w:rPr>
              <w:t>0.3</w:t>
            </w:r>
          </w:p>
        </w:tc>
        <w:tc>
          <w:tcPr>
            <w:tcW w:w="578" w:type="pct"/>
            <w:tcBorders>
              <w:top w:val="single" w:sz="6" w:space="0" w:color="008000"/>
              <w:bottom w:val="single" w:sz="6" w:space="0" w:color="008000"/>
            </w:tcBorders>
          </w:tcPr>
          <w:p w14:paraId="6B00B2DB" w14:textId="71F0688E" w:rsidR="001015A7" w:rsidRPr="00653C18" w:rsidRDefault="00B128BE" w:rsidP="001015A7">
            <w:pPr>
              <w:pStyle w:val="CETBodytext"/>
              <w:ind w:right="-1"/>
              <w:jc w:val="center"/>
              <w:rPr>
                <w:rFonts w:cs="Arial"/>
                <w:sz w:val="14"/>
                <w:szCs w:val="14"/>
                <w:lang w:val="en-GB"/>
              </w:rPr>
            </w:pPr>
            <w:r w:rsidRPr="00653C18">
              <w:rPr>
                <w:rFonts w:cs="Arial"/>
                <w:sz w:val="14"/>
                <w:szCs w:val="14"/>
                <w:lang w:val="en-GB"/>
              </w:rPr>
              <w:t>16.4</w:t>
            </w:r>
            <w:r w:rsidR="00653C18">
              <w:rPr>
                <w:rFonts w:cs="Arial"/>
                <w:sz w:val="14"/>
                <w:szCs w:val="14"/>
                <w:lang w:val="en-GB"/>
              </w:rPr>
              <w:t xml:space="preserve"> </w:t>
            </w:r>
            <w:r w:rsidR="00653C18" w:rsidRPr="00653C18">
              <w:rPr>
                <w:rFonts w:cs="Arial"/>
                <w:sz w:val="14"/>
                <w:szCs w:val="14"/>
                <w:lang w:val="en-GB"/>
              </w:rPr>
              <w:t>±</w:t>
            </w:r>
            <w:r w:rsidR="00F52903">
              <w:rPr>
                <w:rFonts w:cs="Arial"/>
                <w:sz w:val="14"/>
                <w:szCs w:val="14"/>
                <w:lang w:val="en-GB"/>
              </w:rPr>
              <w:t xml:space="preserve"> </w:t>
            </w:r>
            <w:r w:rsidR="00653C18" w:rsidRPr="00653C18">
              <w:rPr>
                <w:rFonts w:cs="Arial"/>
                <w:sz w:val="14"/>
                <w:szCs w:val="14"/>
                <w:lang w:val="en-GB"/>
              </w:rPr>
              <w:t>0.4</w:t>
            </w:r>
          </w:p>
        </w:tc>
        <w:tc>
          <w:tcPr>
            <w:tcW w:w="521" w:type="pct"/>
            <w:tcBorders>
              <w:top w:val="single" w:sz="6" w:space="0" w:color="008000"/>
              <w:bottom w:val="single" w:sz="6" w:space="0" w:color="008000"/>
            </w:tcBorders>
          </w:tcPr>
          <w:p w14:paraId="448E19CD" w14:textId="2A8879F8" w:rsidR="001015A7" w:rsidRPr="00653C18" w:rsidRDefault="00B128BE" w:rsidP="001015A7">
            <w:pPr>
              <w:pStyle w:val="CETBodytext"/>
              <w:ind w:right="-1"/>
              <w:jc w:val="center"/>
              <w:rPr>
                <w:rFonts w:cs="Arial"/>
                <w:sz w:val="14"/>
                <w:szCs w:val="14"/>
                <w:lang w:val="en-GB"/>
              </w:rPr>
            </w:pPr>
            <w:r w:rsidRPr="00653C18">
              <w:rPr>
                <w:rFonts w:cs="Arial"/>
                <w:sz w:val="14"/>
                <w:szCs w:val="14"/>
                <w:lang w:val="en-GB"/>
              </w:rPr>
              <w:t>7.0</w:t>
            </w:r>
            <w:r w:rsidR="00653C18">
              <w:rPr>
                <w:rFonts w:cs="Arial"/>
                <w:sz w:val="14"/>
                <w:szCs w:val="14"/>
                <w:lang w:val="en-GB"/>
              </w:rPr>
              <w:t xml:space="preserve"> </w:t>
            </w:r>
            <w:r w:rsidR="00653C18" w:rsidRPr="00653C18">
              <w:rPr>
                <w:rFonts w:cs="Arial"/>
                <w:sz w:val="14"/>
                <w:szCs w:val="14"/>
                <w:lang w:val="en-GB"/>
              </w:rPr>
              <w:t>±</w:t>
            </w:r>
            <w:r w:rsidR="00F52903">
              <w:rPr>
                <w:rFonts w:cs="Arial"/>
                <w:sz w:val="14"/>
                <w:szCs w:val="14"/>
                <w:lang w:val="en-GB"/>
              </w:rPr>
              <w:t xml:space="preserve"> </w:t>
            </w:r>
            <w:r w:rsidR="00653C18" w:rsidRPr="00653C18">
              <w:rPr>
                <w:rFonts w:cs="Arial"/>
                <w:sz w:val="14"/>
                <w:szCs w:val="14"/>
                <w:lang w:val="en-GB"/>
              </w:rPr>
              <w:t>0.2</w:t>
            </w:r>
          </w:p>
        </w:tc>
        <w:tc>
          <w:tcPr>
            <w:tcW w:w="578" w:type="pct"/>
            <w:tcBorders>
              <w:top w:val="single" w:sz="6" w:space="0" w:color="008000"/>
              <w:bottom w:val="single" w:sz="6" w:space="0" w:color="008000"/>
            </w:tcBorders>
          </w:tcPr>
          <w:p w14:paraId="53317B97" w14:textId="36892D53" w:rsidR="001015A7" w:rsidRPr="00653C18" w:rsidRDefault="00B128BE" w:rsidP="001015A7">
            <w:pPr>
              <w:pStyle w:val="CETBodytext"/>
              <w:ind w:right="-1"/>
              <w:jc w:val="center"/>
              <w:rPr>
                <w:rFonts w:cs="Arial"/>
                <w:sz w:val="14"/>
                <w:szCs w:val="14"/>
                <w:lang w:val="en-GB"/>
              </w:rPr>
            </w:pPr>
            <w:r w:rsidRPr="00653C18">
              <w:rPr>
                <w:rFonts w:cs="Arial"/>
                <w:sz w:val="14"/>
                <w:szCs w:val="14"/>
                <w:lang w:val="en-GB"/>
              </w:rPr>
              <w:t>14.7</w:t>
            </w:r>
            <w:r w:rsidR="00653C18">
              <w:rPr>
                <w:rFonts w:cs="Arial"/>
                <w:sz w:val="14"/>
                <w:szCs w:val="14"/>
                <w:lang w:val="en-GB"/>
              </w:rPr>
              <w:t xml:space="preserve"> </w:t>
            </w:r>
            <w:r w:rsidR="00653C18" w:rsidRPr="00653C18">
              <w:rPr>
                <w:rFonts w:cs="Arial"/>
                <w:sz w:val="14"/>
                <w:szCs w:val="14"/>
                <w:lang w:val="en-GB"/>
              </w:rPr>
              <w:t>±</w:t>
            </w:r>
            <w:r w:rsidR="00F52903">
              <w:rPr>
                <w:rFonts w:cs="Arial"/>
                <w:sz w:val="14"/>
                <w:szCs w:val="14"/>
                <w:lang w:val="en-GB"/>
              </w:rPr>
              <w:t xml:space="preserve"> </w:t>
            </w:r>
            <w:r w:rsidR="00653C18" w:rsidRPr="00653C18">
              <w:rPr>
                <w:rFonts w:cs="Arial"/>
                <w:sz w:val="14"/>
                <w:szCs w:val="14"/>
                <w:lang w:val="en-GB"/>
              </w:rPr>
              <w:t>0.2</w:t>
            </w:r>
          </w:p>
        </w:tc>
        <w:tc>
          <w:tcPr>
            <w:tcW w:w="581" w:type="pct"/>
            <w:tcBorders>
              <w:top w:val="single" w:sz="6" w:space="0" w:color="008000"/>
              <w:bottom w:val="single" w:sz="6" w:space="0" w:color="008000"/>
            </w:tcBorders>
          </w:tcPr>
          <w:p w14:paraId="6E389169" w14:textId="5DBE6C1C" w:rsidR="001015A7" w:rsidRPr="00653C18" w:rsidRDefault="00B128BE" w:rsidP="001015A7">
            <w:pPr>
              <w:pStyle w:val="CETBodytext"/>
              <w:ind w:right="-1"/>
              <w:jc w:val="center"/>
              <w:rPr>
                <w:rFonts w:cs="Arial"/>
                <w:sz w:val="14"/>
                <w:szCs w:val="14"/>
                <w:lang w:val="en-GB"/>
              </w:rPr>
            </w:pPr>
            <w:r w:rsidRPr="00653C18">
              <w:rPr>
                <w:rFonts w:cs="Arial"/>
                <w:sz w:val="14"/>
                <w:szCs w:val="14"/>
                <w:lang w:val="en-GB"/>
              </w:rPr>
              <w:t>24.2</w:t>
            </w:r>
            <w:r w:rsidR="00653C18">
              <w:rPr>
                <w:rFonts w:cs="Arial"/>
                <w:sz w:val="14"/>
                <w:szCs w:val="14"/>
                <w:lang w:val="en-GB"/>
              </w:rPr>
              <w:t xml:space="preserve"> </w:t>
            </w:r>
            <w:r w:rsidR="00653C18" w:rsidRPr="00653C18">
              <w:rPr>
                <w:rFonts w:cs="Arial"/>
                <w:sz w:val="14"/>
                <w:szCs w:val="14"/>
                <w:lang w:val="en-GB"/>
              </w:rPr>
              <w:t>±</w:t>
            </w:r>
            <w:r w:rsidR="00F52903">
              <w:rPr>
                <w:rFonts w:cs="Arial"/>
                <w:sz w:val="14"/>
                <w:szCs w:val="14"/>
                <w:lang w:val="en-GB"/>
              </w:rPr>
              <w:t xml:space="preserve"> </w:t>
            </w:r>
            <w:r w:rsidR="00653C18" w:rsidRPr="00653C18">
              <w:rPr>
                <w:rFonts w:cs="Arial"/>
                <w:sz w:val="14"/>
                <w:szCs w:val="14"/>
                <w:lang w:val="en-GB"/>
              </w:rPr>
              <w:t>0.1</w:t>
            </w:r>
          </w:p>
        </w:tc>
      </w:tr>
      <w:tr w:rsidR="00653C18" w:rsidRPr="00653C18" w14:paraId="709246F1" w14:textId="77777777" w:rsidTr="00A50910">
        <w:trPr>
          <w:trHeight w:val="483"/>
          <w:jc w:val="center"/>
        </w:trPr>
        <w:tc>
          <w:tcPr>
            <w:tcW w:w="807" w:type="pct"/>
            <w:tcBorders>
              <w:top w:val="single" w:sz="6" w:space="0" w:color="008000"/>
              <w:bottom w:val="single" w:sz="6" w:space="0" w:color="008000"/>
            </w:tcBorders>
          </w:tcPr>
          <w:p w14:paraId="7560023C" w14:textId="77777777" w:rsidR="001015A7" w:rsidRPr="00653C18" w:rsidRDefault="001015A7" w:rsidP="001015A7">
            <w:pPr>
              <w:pStyle w:val="CETBodytext"/>
              <w:ind w:right="-1"/>
              <w:jc w:val="center"/>
              <w:rPr>
                <w:rFonts w:cs="Arial"/>
                <w:sz w:val="14"/>
                <w:szCs w:val="14"/>
                <w:lang w:val="it-IT"/>
              </w:rPr>
            </w:pPr>
            <w:proofErr w:type="spellStart"/>
            <w:r w:rsidRPr="00653C18">
              <w:rPr>
                <w:rFonts w:cs="Arial"/>
                <w:sz w:val="14"/>
                <w:szCs w:val="14"/>
                <w:lang w:val="it-IT"/>
              </w:rPr>
              <w:t>SCFAs</w:t>
            </w:r>
            <w:proofErr w:type="spellEnd"/>
            <w:r w:rsidRPr="00653C18">
              <w:rPr>
                <w:rFonts w:cs="Arial"/>
                <w:sz w:val="14"/>
                <w:szCs w:val="14"/>
                <w:lang w:val="it-IT"/>
              </w:rPr>
              <w:t>/COD</w:t>
            </w:r>
            <w:r w:rsidRPr="00653C18">
              <w:rPr>
                <w:rFonts w:cs="Arial"/>
                <w:sz w:val="14"/>
                <w:szCs w:val="14"/>
                <w:vertAlign w:val="subscript"/>
                <w:lang w:val="it-IT"/>
              </w:rPr>
              <w:t>SOL</w:t>
            </w:r>
          </w:p>
          <w:p w14:paraId="1C42C0D5" w14:textId="77777777" w:rsidR="001015A7" w:rsidRPr="00653C18" w:rsidRDefault="001015A7" w:rsidP="001015A7">
            <w:pPr>
              <w:pStyle w:val="CETBodytext"/>
              <w:ind w:right="-1"/>
              <w:jc w:val="center"/>
              <w:rPr>
                <w:rFonts w:cs="Arial"/>
                <w:sz w:val="14"/>
                <w:szCs w:val="14"/>
                <w:lang w:val="en-GB"/>
              </w:rPr>
            </w:pPr>
          </w:p>
        </w:tc>
        <w:tc>
          <w:tcPr>
            <w:tcW w:w="806" w:type="pct"/>
            <w:tcBorders>
              <w:top w:val="single" w:sz="6" w:space="0" w:color="008000"/>
              <w:bottom w:val="single" w:sz="6" w:space="0" w:color="008000"/>
            </w:tcBorders>
          </w:tcPr>
          <w:p w14:paraId="33945347" w14:textId="4980A576" w:rsidR="001015A7" w:rsidRPr="00653C18" w:rsidRDefault="00960892" w:rsidP="001015A7">
            <w:pPr>
              <w:pStyle w:val="CETBodytext"/>
              <w:ind w:right="-1"/>
              <w:jc w:val="center"/>
              <w:rPr>
                <w:rFonts w:cs="Arial"/>
                <w:sz w:val="14"/>
                <w:szCs w:val="14"/>
                <w:lang w:val="en-GB"/>
              </w:rPr>
            </w:pPr>
            <w:r w:rsidRPr="00653C18">
              <w:rPr>
                <w:rFonts w:cs="Arial"/>
                <w:sz w:val="14"/>
                <w:szCs w:val="14"/>
                <w:lang w:val="en-GB"/>
              </w:rPr>
              <w:t>COD/COD</w:t>
            </w:r>
          </w:p>
        </w:tc>
        <w:tc>
          <w:tcPr>
            <w:tcW w:w="551" w:type="pct"/>
            <w:tcBorders>
              <w:top w:val="single" w:sz="6" w:space="0" w:color="008000"/>
              <w:bottom w:val="single" w:sz="6" w:space="0" w:color="008000"/>
            </w:tcBorders>
          </w:tcPr>
          <w:p w14:paraId="734CE512" w14:textId="400BB12B" w:rsidR="001015A7" w:rsidRPr="00653C18" w:rsidRDefault="00B128BE" w:rsidP="001015A7">
            <w:pPr>
              <w:pStyle w:val="CETBodytext"/>
              <w:ind w:right="-1"/>
              <w:jc w:val="center"/>
              <w:rPr>
                <w:rFonts w:cs="Arial"/>
                <w:sz w:val="14"/>
                <w:szCs w:val="14"/>
                <w:lang w:val="en-GB"/>
              </w:rPr>
            </w:pPr>
            <w:r w:rsidRPr="00653C18">
              <w:rPr>
                <w:rFonts w:cs="Arial"/>
                <w:sz w:val="14"/>
                <w:szCs w:val="14"/>
                <w:lang w:val="en-GB"/>
              </w:rPr>
              <w:t>0.72</w:t>
            </w:r>
            <w:r w:rsidR="00653C18">
              <w:rPr>
                <w:rFonts w:cs="Arial"/>
                <w:sz w:val="14"/>
                <w:szCs w:val="14"/>
                <w:lang w:val="en-GB"/>
              </w:rPr>
              <w:t xml:space="preserve"> </w:t>
            </w:r>
            <w:r w:rsidR="00653C18" w:rsidRPr="00653C18">
              <w:rPr>
                <w:rFonts w:cs="Arial"/>
                <w:sz w:val="14"/>
                <w:szCs w:val="14"/>
                <w:lang w:val="en-GB"/>
              </w:rPr>
              <w:t>±</w:t>
            </w:r>
            <w:r w:rsidR="00F52903">
              <w:rPr>
                <w:rFonts w:cs="Arial"/>
                <w:sz w:val="14"/>
                <w:szCs w:val="14"/>
                <w:lang w:val="en-GB"/>
              </w:rPr>
              <w:t xml:space="preserve"> </w:t>
            </w:r>
            <w:r w:rsidR="00653C18" w:rsidRPr="00653C18">
              <w:rPr>
                <w:rFonts w:cs="Arial"/>
                <w:sz w:val="14"/>
                <w:szCs w:val="14"/>
                <w:lang w:val="en-GB"/>
              </w:rPr>
              <w:t>0.02</w:t>
            </w:r>
          </w:p>
        </w:tc>
        <w:tc>
          <w:tcPr>
            <w:tcW w:w="578" w:type="pct"/>
            <w:tcBorders>
              <w:top w:val="single" w:sz="6" w:space="0" w:color="008000"/>
              <w:bottom w:val="single" w:sz="6" w:space="0" w:color="008000"/>
            </w:tcBorders>
          </w:tcPr>
          <w:p w14:paraId="1936F30A" w14:textId="6C6C2D9E" w:rsidR="001015A7" w:rsidRPr="00653C18" w:rsidRDefault="00B128BE" w:rsidP="001015A7">
            <w:pPr>
              <w:pStyle w:val="CETBodytext"/>
              <w:ind w:right="-1"/>
              <w:jc w:val="center"/>
              <w:rPr>
                <w:rFonts w:cs="Arial"/>
                <w:sz w:val="14"/>
                <w:szCs w:val="14"/>
                <w:lang w:val="en-GB"/>
              </w:rPr>
            </w:pPr>
            <w:r w:rsidRPr="00653C18">
              <w:rPr>
                <w:rFonts w:cs="Arial"/>
                <w:sz w:val="14"/>
                <w:szCs w:val="14"/>
                <w:lang w:val="en-GB"/>
              </w:rPr>
              <w:t>0.73</w:t>
            </w:r>
            <w:r w:rsidR="00653C18">
              <w:rPr>
                <w:rFonts w:cs="Arial"/>
                <w:sz w:val="14"/>
                <w:szCs w:val="14"/>
                <w:lang w:val="en-GB"/>
              </w:rPr>
              <w:t xml:space="preserve"> </w:t>
            </w:r>
            <w:r w:rsidR="00653C18" w:rsidRPr="00653C18">
              <w:rPr>
                <w:rFonts w:cs="Arial"/>
                <w:sz w:val="14"/>
                <w:szCs w:val="14"/>
                <w:lang w:val="en-GB"/>
              </w:rPr>
              <w:t>±</w:t>
            </w:r>
            <w:r w:rsidR="00F52903">
              <w:rPr>
                <w:rFonts w:cs="Arial"/>
                <w:sz w:val="14"/>
                <w:szCs w:val="14"/>
                <w:lang w:val="en-GB"/>
              </w:rPr>
              <w:t xml:space="preserve"> </w:t>
            </w:r>
            <w:r w:rsidR="00653C18" w:rsidRPr="00653C18">
              <w:rPr>
                <w:rFonts w:cs="Arial"/>
                <w:sz w:val="14"/>
                <w:szCs w:val="14"/>
                <w:lang w:val="en-GB"/>
              </w:rPr>
              <w:t>0.02</w:t>
            </w:r>
          </w:p>
        </w:tc>
        <w:tc>
          <w:tcPr>
            <w:tcW w:w="578" w:type="pct"/>
            <w:tcBorders>
              <w:top w:val="single" w:sz="6" w:space="0" w:color="008000"/>
              <w:bottom w:val="single" w:sz="6" w:space="0" w:color="008000"/>
            </w:tcBorders>
          </w:tcPr>
          <w:p w14:paraId="1821CF2F" w14:textId="2EE7FF61" w:rsidR="001015A7" w:rsidRPr="00653C18" w:rsidRDefault="00B128BE" w:rsidP="001015A7">
            <w:pPr>
              <w:pStyle w:val="CETBodytext"/>
              <w:ind w:right="-1"/>
              <w:jc w:val="center"/>
              <w:rPr>
                <w:rFonts w:cs="Arial"/>
                <w:sz w:val="14"/>
                <w:szCs w:val="14"/>
                <w:lang w:val="en-GB"/>
              </w:rPr>
            </w:pPr>
            <w:r w:rsidRPr="00653C18">
              <w:rPr>
                <w:rFonts w:cs="Arial"/>
                <w:sz w:val="14"/>
                <w:szCs w:val="14"/>
                <w:lang w:val="en-GB"/>
              </w:rPr>
              <w:t>0.75</w:t>
            </w:r>
            <w:r w:rsidR="00653C18">
              <w:rPr>
                <w:rFonts w:cs="Arial"/>
                <w:sz w:val="14"/>
                <w:szCs w:val="14"/>
                <w:lang w:val="en-GB"/>
              </w:rPr>
              <w:t xml:space="preserve"> </w:t>
            </w:r>
            <w:r w:rsidR="00653C18" w:rsidRPr="00653C18">
              <w:rPr>
                <w:rFonts w:cs="Arial"/>
                <w:sz w:val="14"/>
                <w:szCs w:val="14"/>
                <w:lang w:val="en-GB"/>
              </w:rPr>
              <w:t>±</w:t>
            </w:r>
            <w:r w:rsidR="00F52903">
              <w:rPr>
                <w:rFonts w:cs="Arial"/>
                <w:sz w:val="14"/>
                <w:szCs w:val="14"/>
                <w:lang w:val="en-GB"/>
              </w:rPr>
              <w:t xml:space="preserve"> </w:t>
            </w:r>
            <w:r w:rsidR="00653C18" w:rsidRPr="00653C18">
              <w:rPr>
                <w:rFonts w:cs="Arial"/>
                <w:sz w:val="14"/>
                <w:szCs w:val="14"/>
                <w:lang w:val="en-GB"/>
              </w:rPr>
              <w:t>0.03</w:t>
            </w:r>
          </w:p>
        </w:tc>
        <w:tc>
          <w:tcPr>
            <w:tcW w:w="521" w:type="pct"/>
            <w:tcBorders>
              <w:top w:val="single" w:sz="6" w:space="0" w:color="008000"/>
              <w:bottom w:val="single" w:sz="6" w:space="0" w:color="008000"/>
            </w:tcBorders>
          </w:tcPr>
          <w:p w14:paraId="539705A2" w14:textId="50BBFB2E" w:rsidR="001015A7" w:rsidRPr="00653C18" w:rsidRDefault="00B128BE" w:rsidP="001015A7">
            <w:pPr>
              <w:pStyle w:val="CETBodytext"/>
              <w:ind w:right="-1"/>
              <w:jc w:val="center"/>
              <w:rPr>
                <w:rFonts w:cs="Arial"/>
                <w:sz w:val="14"/>
                <w:szCs w:val="14"/>
                <w:lang w:val="en-GB"/>
              </w:rPr>
            </w:pPr>
            <w:r w:rsidRPr="00653C18">
              <w:rPr>
                <w:rFonts w:cs="Arial"/>
                <w:sz w:val="14"/>
                <w:szCs w:val="14"/>
                <w:lang w:val="en-GB"/>
              </w:rPr>
              <w:t>0.57</w:t>
            </w:r>
            <w:r w:rsidR="00653C18">
              <w:rPr>
                <w:rFonts w:cs="Arial"/>
                <w:sz w:val="14"/>
                <w:szCs w:val="14"/>
                <w:lang w:val="en-GB"/>
              </w:rPr>
              <w:t xml:space="preserve"> </w:t>
            </w:r>
            <w:r w:rsidR="00653C18" w:rsidRPr="00653C18">
              <w:rPr>
                <w:rFonts w:cs="Arial"/>
                <w:sz w:val="14"/>
                <w:szCs w:val="14"/>
                <w:lang w:val="en-GB"/>
              </w:rPr>
              <w:t>±</w:t>
            </w:r>
            <w:r w:rsidR="00F52903">
              <w:rPr>
                <w:rFonts w:cs="Arial"/>
                <w:sz w:val="14"/>
                <w:szCs w:val="14"/>
                <w:lang w:val="en-GB"/>
              </w:rPr>
              <w:t xml:space="preserve"> </w:t>
            </w:r>
            <w:r w:rsidR="00653C18" w:rsidRPr="00653C18">
              <w:rPr>
                <w:rFonts w:cs="Arial"/>
                <w:sz w:val="14"/>
                <w:szCs w:val="14"/>
                <w:lang w:val="en-GB"/>
              </w:rPr>
              <w:t>0.02</w:t>
            </w:r>
          </w:p>
        </w:tc>
        <w:tc>
          <w:tcPr>
            <w:tcW w:w="578" w:type="pct"/>
            <w:tcBorders>
              <w:top w:val="single" w:sz="6" w:space="0" w:color="008000"/>
              <w:bottom w:val="single" w:sz="6" w:space="0" w:color="008000"/>
            </w:tcBorders>
          </w:tcPr>
          <w:p w14:paraId="5B1CD455" w14:textId="45A26E36" w:rsidR="001015A7" w:rsidRPr="00653C18" w:rsidRDefault="00B128BE" w:rsidP="001015A7">
            <w:pPr>
              <w:pStyle w:val="CETBodytext"/>
              <w:ind w:right="-1"/>
              <w:jc w:val="center"/>
              <w:rPr>
                <w:rFonts w:cs="Arial"/>
                <w:sz w:val="14"/>
                <w:szCs w:val="14"/>
                <w:lang w:val="en-GB"/>
              </w:rPr>
            </w:pPr>
            <w:r w:rsidRPr="00653C18">
              <w:rPr>
                <w:rFonts w:cs="Arial"/>
                <w:sz w:val="14"/>
                <w:szCs w:val="14"/>
                <w:lang w:val="en-GB"/>
              </w:rPr>
              <w:t>0.63</w:t>
            </w:r>
            <w:r w:rsidR="00653C18">
              <w:rPr>
                <w:rFonts w:cs="Arial"/>
                <w:sz w:val="14"/>
                <w:szCs w:val="14"/>
                <w:lang w:val="en-GB"/>
              </w:rPr>
              <w:t xml:space="preserve"> </w:t>
            </w:r>
            <w:r w:rsidR="00653C18" w:rsidRPr="00653C18">
              <w:rPr>
                <w:rFonts w:cs="Arial"/>
                <w:sz w:val="14"/>
                <w:szCs w:val="14"/>
                <w:lang w:val="en-GB"/>
              </w:rPr>
              <w:t>±</w:t>
            </w:r>
            <w:r w:rsidR="00F52903">
              <w:rPr>
                <w:rFonts w:cs="Arial"/>
                <w:sz w:val="14"/>
                <w:szCs w:val="14"/>
                <w:lang w:val="en-GB"/>
              </w:rPr>
              <w:t xml:space="preserve"> </w:t>
            </w:r>
            <w:r w:rsidR="00653C18" w:rsidRPr="00653C18">
              <w:rPr>
                <w:rFonts w:cs="Arial"/>
                <w:sz w:val="14"/>
                <w:szCs w:val="14"/>
                <w:lang w:val="en-GB"/>
              </w:rPr>
              <w:t>0.01</w:t>
            </w:r>
          </w:p>
        </w:tc>
        <w:tc>
          <w:tcPr>
            <w:tcW w:w="581" w:type="pct"/>
            <w:tcBorders>
              <w:top w:val="single" w:sz="6" w:space="0" w:color="008000"/>
              <w:bottom w:val="single" w:sz="6" w:space="0" w:color="008000"/>
            </w:tcBorders>
          </w:tcPr>
          <w:p w14:paraId="33511F72" w14:textId="6D4657F8" w:rsidR="001015A7" w:rsidRPr="00653C18" w:rsidRDefault="00B128BE" w:rsidP="001015A7">
            <w:pPr>
              <w:pStyle w:val="CETBodytext"/>
              <w:ind w:right="-1"/>
              <w:jc w:val="center"/>
              <w:rPr>
                <w:rFonts w:cs="Arial"/>
                <w:sz w:val="14"/>
                <w:szCs w:val="14"/>
                <w:lang w:val="en-GB"/>
              </w:rPr>
            </w:pPr>
            <w:r w:rsidRPr="00653C18">
              <w:rPr>
                <w:rFonts w:cs="Arial"/>
                <w:sz w:val="14"/>
                <w:szCs w:val="14"/>
                <w:lang w:val="en-GB"/>
              </w:rPr>
              <w:t>0.73</w:t>
            </w:r>
            <w:r w:rsidR="00653C18">
              <w:rPr>
                <w:rFonts w:cs="Arial"/>
                <w:sz w:val="14"/>
                <w:szCs w:val="14"/>
                <w:lang w:val="en-GB"/>
              </w:rPr>
              <w:t xml:space="preserve"> </w:t>
            </w:r>
            <w:r w:rsidR="00653C18" w:rsidRPr="00653C18">
              <w:rPr>
                <w:rFonts w:cs="Arial"/>
                <w:sz w:val="14"/>
                <w:szCs w:val="14"/>
                <w:lang w:val="en-GB"/>
              </w:rPr>
              <w:t>±</w:t>
            </w:r>
            <w:r w:rsidR="00F52903">
              <w:rPr>
                <w:rFonts w:cs="Arial"/>
                <w:sz w:val="14"/>
                <w:szCs w:val="14"/>
                <w:lang w:val="en-GB"/>
              </w:rPr>
              <w:t xml:space="preserve"> </w:t>
            </w:r>
            <w:r w:rsidR="00653C18" w:rsidRPr="00653C18">
              <w:rPr>
                <w:rFonts w:cs="Arial"/>
                <w:sz w:val="14"/>
                <w:szCs w:val="14"/>
                <w:lang w:val="en-GB"/>
              </w:rPr>
              <w:t>0.02</w:t>
            </w:r>
          </w:p>
        </w:tc>
      </w:tr>
      <w:tr w:rsidR="00653C18" w:rsidRPr="00653C18" w14:paraId="0600B475" w14:textId="77777777" w:rsidTr="00A50910">
        <w:trPr>
          <w:trHeight w:val="483"/>
          <w:jc w:val="center"/>
        </w:trPr>
        <w:tc>
          <w:tcPr>
            <w:tcW w:w="807" w:type="pct"/>
            <w:tcBorders>
              <w:top w:val="single" w:sz="6" w:space="0" w:color="008000"/>
              <w:bottom w:val="single" w:sz="6" w:space="0" w:color="008000"/>
            </w:tcBorders>
          </w:tcPr>
          <w:p w14:paraId="456B8D59" w14:textId="3BA5ED97" w:rsidR="00B128BE" w:rsidRPr="00653C18" w:rsidRDefault="00B128BE" w:rsidP="001015A7">
            <w:pPr>
              <w:pStyle w:val="CETBodytext"/>
              <w:ind w:right="-1"/>
              <w:jc w:val="center"/>
              <w:rPr>
                <w:rFonts w:cs="Arial"/>
                <w:sz w:val="14"/>
                <w:szCs w:val="14"/>
                <w:vertAlign w:val="subscript"/>
                <w:lang w:val="it-IT"/>
              </w:rPr>
            </w:pPr>
            <w:r w:rsidRPr="00653C18">
              <w:rPr>
                <w:rFonts w:cs="Arial"/>
                <w:sz w:val="14"/>
                <w:szCs w:val="14"/>
                <w:lang w:val="it-IT"/>
              </w:rPr>
              <w:t>Y</w:t>
            </w:r>
            <w:r w:rsidRPr="00653C18">
              <w:rPr>
                <w:rFonts w:cs="Arial"/>
                <w:sz w:val="14"/>
                <w:szCs w:val="14"/>
                <w:vertAlign w:val="subscript"/>
                <w:lang w:val="it-IT"/>
              </w:rPr>
              <w:t>F</w:t>
            </w:r>
          </w:p>
        </w:tc>
        <w:tc>
          <w:tcPr>
            <w:tcW w:w="806" w:type="pct"/>
            <w:tcBorders>
              <w:top w:val="single" w:sz="6" w:space="0" w:color="008000"/>
              <w:bottom w:val="single" w:sz="6" w:space="0" w:color="008000"/>
            </w:tcBorders>
          </w:tcPr>
          <w:p w14:paraId="400B707C" w14:textId="1DD705BC" w:rsidR="00B128BE" w:rsidRPr="00653C18" w:rsidRDefault="00F52903" w:rsidP="00B128BE">
            <w:pPr>
              <w:pStyle w:val="CETBodytext"/>
              <w:ind w:right="-1"/>
              <w:jc w:val="center"/>
              <w:rPr>
                <w:rFonts w:cs="Arial"/>
                <w:sz w:val="14"/>
                <w:szCs w:val="14"/>
                <w:lang w:val="it-IT"/>
              </w:rPr>
            </w:pPr>
            <w:r>
              <w:rPr>
                <w:rFonts w:cs="Arial"/>
                <w:sz w:val="14"/>
                <w:szCs w:val="14"/>
                <w:lang w:val="it-IT"/>
              </w:rPr>
              <w:t xml:space="preserve">g </w:t>
            </w:r>
            <w:r w:rsidR="00B128BE" w:rsidRPr="00653C18">
              <w:rPr>
                <w:rFonts w:cs="Arial"/>
                <w:sz w:val="14"/>
                <w:szCs w:val="14"/>
                <w:lang w:val="it-IT"/>
              </w:rPr>
              <w:t>COD</w:t>
            </w:r>
            <w:r w:rsidR="00B128BE" w:rsidRPr="00653C18">
              <w:rPr>
                <w:rFonts w:cs="Arial"/>
                <w:sz w:val="14"/>
                <w:szCs w:val="14"/>
                <w:vertAlign w:val="subscript"/>
                <w:lang w:val="it-IT"/>
              </w:rPr>
              <w:t>SCFA</w:t>
            </w:r>
            <w:r w:rsidR="00B128BE" w:rsidRPr="00653C18">
              <w:rPr>
                <w:rFonts w:cs="Arial"/>
                <w:sz w:val="14"/>
                <w:szCs w:val="14"/>
                <w:lang w:val="it-IT"/>
              </w:rPr>
              <w:t>/g</w:t>
            </w:r>
            <w:r>
              <w:rPr>
                <w:rFonts w:cs="Arial"/>
                <w:sz w:val="14"/>
                <w:szCs w:val="14"/>
                <w:lang w:val="it-IT"/>
              </w:rPr>
              <w:t xml:space="preserve"> </w:t>
            </w:r>
            <w:r w:rsidR="00B128BE" w:rsidRPr="00653C18">
              <w:rPr>
                <w:rFonts w:cs="Arial"/>
                <w:sz w:val="14"/>
                <w:szCs w:val="14"/>
                <w:lang w:val="it-IT"/>
              </w:rPr>
              <w:t>VS</w:t>
            </w:r>
            <w:r w:rsidR="00B128BE" w:rsidRPr="00653C18">
              <w:rPr>
                <w:rFonts w:cs="Arial"/>
                <w:sz w:val="14"/>
                <w:szCs w:val="14"/>
                <w:vertAlign w:val="subscript"/>
                <w:lang w:val="it-IT"/>
              </w:rPr>
              <w:t>0</w:t>
            </w:r>
            <w:r w:rsidR="00B128BE" w:rsidRPr="00653C18">
              <w:rPr>
                <w:rFonts w:cs="Arial"/>
                <w:sz w:val="14"/>
                <w:szCs w:val="14"/>
                <w:lang w:val="it-IT"/>
              </w:rPr>
              <w:t xml:space="preserve"> </w:t>
            </w:r>
          </w:p>
          <w:p w14:paraId="4A1A5697" w14:textId="77777777" w:rsidR="00B128BE" w:rsidRPr="00653C18" w:rsidRDefault="00B128BE" w:rsidP="001015A7">
            <w:pPr>
              <w:pStyle w:val="CETBodytext"/>
              <w:ind w:right="-1"/>
              <w:jc w:val="center"/>
              <w:rPr>
                <w:rFonts w:cs="Arial"/>
                <w:sz w:val="14"/>
                <w:szCs w:val="14"/>
                <w:lang w:val="en-GB"/>
              </w:rPr>
            </w:pPr>
          </w:p>
        </w:tc>
        <w:tc>
          <w:tcPr>
            <w:tcW w:w="551" w:type="pct"/>
            <w:tcBorders>
              <w:top w:val="single" w:sz="6" w:space="0" w:color="008000"/>
              <w:bottom w:val="single" w:sz="6" w:space="0" w:color="008000"/>
            </w:tcBorders>
          </w:tcPr>
          <w:p w14:paraId="6F78AEBA" w14:textId="3653986F" w:rsidR="00B128BE" w:rsidRPr="00653C18" w:rsidRDefault="007A3E68" w:rsidP="001015A7">
            <w:pPr>
              <w:pStyle w:val="CETBodytext"/>
              <w:ind w:right="-1"/>
              <w:jc w:val="center"/>
              <w:rPr>
                <w:rFonts w:cs="Arial"/>
                <w:sz w:val="14"/>
                <w:szCs w:val="14"/>
                <w:lang w:val="en-GB"/>
              </w:rPr>
            </w:pPr>
            <w:r w:rsidRPr="00653C18">
              <w:rPr>
                <w:rFonts w:cs="Arial"/>
                <w:sz w:val="14"/>
                <w:szCs w:val="14"/>
                <w:lang w:val="en-GB"/>
              </w:rPr>
              <w:t>0.16</w:t>
            </w:r>
            <w:r w:rsidR="00653C18">
              <w:rPr>
                <w:rFonts w:cs="Arial"/>
                <w:sz w:val="14"/>
                <w:szCs w:val="14"/>
                <w:lang w:val="en-GB"/>
              </w:rPr>
              <w:t xml:space="preserve"> ±</w:t>
            </w:r>
            <w:r w:rsidR="00F52903">
              <w:rPr>
                <w:rFonts w:cs="Arial"/>
                <w:sz w:val="14"/>
                <w:szCs w:val="14"/>
                <w:lang w:val="en-GB"/>
              </w:rPr>
              <w:t xml:space="preserve"> </w:t>
            </w:r>
            <w:r w:rsidR="00653C18">
              <w:rPr>
                <w:rFonts w:cs="Arial"/>
                <w:sz w:val="14"/>
                <w:szCs w:val="14"/>
                <w:lang w:val="en-GB"/>
              </w:rPr>
              <w:t>0.01</w:t>
            </w:r>
          </w:p>
        </w:tc>
        <w:tc>
          <w:tcPr>
            <w:tcW w:w="578" w:type="pct"/>
            <w:tcBorders>
              <w:top w:val="single" w:sz="6" w:space="0" w:color="008000"/>
              <w:bottom w:val="single" w:sz="6" w:space="0" w:color="008000"/>
            </w:tcBorders>
          </w:tcPr>
          <w:p w14:paraId="03D4078A" w14:textId="43CEB7C1" w:rsidR="00B128BE" w:rsidRPr="00653C18" w:rsidRDefault="007A3E68" w:rsidP="001015A7">
            <w:pPr>
              <w:pStyle w:val="CETBodytext"/>
              <w:ind w:right="-1"/>
              <w:jc w:val="center"/>
              <w:rPr>
                <w:rFonts w:cs="Arial"/>
                <w:sz w:val="14"/>
                <w:szCs w:val="14"/>
                <w:lang w:val="en-GB"/>
              </w:rPr>
            </w:pPr>
            <w:r w:rsidRPr="00653C18">
              <w:rPr>
                <w:rFonts w:cs="Arial"/>
                <w:sz w:val="14"/>
                <w:szCs w:val="14"/>
                <w:lang w:val="en-GB"/>
              </w:rPr>
              <w:t>0.17</w:t>
            </w:r>
            <w:r w:rsidR="00653C18">
              <w:rPr>
                <w:rFonts w:cs="Arial"/>
                <w:sz w:val="14"/>
                <w:szCs w:val="14"/>
                <w:lang w:val="en-GB"/>
              </w:rPr>
              <w:t xml:space="preserve"> ±</w:t>
            </w:r>
            <w:r w:rsidR="00F52903">
              <w:rPr>
                <w:rFonts w:cs="Arial"/>
                <w:sz w:val="14"/>
                <w:szCs w:val="14"/>
                <w:lang w:val="en-GB"/>
              </w:rPr>
              <w:t xml:space="preserve"> </w:t>
            </w:r>
            <w:r w:rsidR="00653C18">
              <w:rPr>
                <w:rFonts w:cs="Arial"/>
                <w:sz w:val="14"/>
                <w:szCs w:val="14"/>
                <w:lang w:val="en-GB"/>
              </w:rPr>
              <w:t>0.01</w:t>
            </w:r>
          </w:p>
        </w:tc>
        <w:tc>
          <w:tcPr>
            <w:tcW w:w="578" w:type="pct"/>
            <w:tcBorders>
              <w:top w:val="single" w:sz="6" w:space="0" w:color="008000"/>
              <w:bottom w:val="single" w:sz="6" w:space="0" w:color="008000"/>
            </w:tcBorders>
          </w:tcPr>
          <w:p w14:paraId="7831F73F" w14:textId="153D0661" w:rsidR="00B128BE" w:rsidRPr="00653C18" w:rsidRDefault="007A3E68" w:rsidP="001015A7">
            <w:pPr>
              <w:pStyle w:val="CETBodytext"/>
              <w:ind w:right="-1"/>
              <w:jc w:val="center"/>
              <w:rPr>
                <w:rFonts w:cs="Arial"/>
                <w:sz w:val="14"/>
                <w:szCs w:val="14"/>
                <w:lang w:val="en-GB"/>
              </w:rPr>
            </w:pPr>
            <w:r w:rsidRPr="00653C18">
              <w:rPr>
                <w:rFonts w:cs="Arial"/>
                <w:sz w:val="14"/>
                <w:szCs w:val="14"/>
                <w:lang w:val="en-GB"/>
              </w:rPr>
              <w:t>0.29</w:t>
            </w:r>
            <w:r w:rsidR="00653C18">
              <w:rPr>
                <w:rFonts w:cs="Arial"/>
                <w:sz w:val="14"/>
                <w:szCs w:val="14"/>
                <w:lang w:val="en-GB"/>
              </w:rPr>
              <w:t xml:space="preserve"> ±</w:t>
            </w:r>
            <w:r w:rsidR="00F52903">
              <w:rPr>
                <w:rFonts w:cs="Arial"/>
                <w:sz w:val="14"/>
                <w:szCs w:val="14"/>
                <w:lang w:val="en-GB"/>
              </w:rPr>
              <w:t xml:space="preserve"> </w:t>
            </w:r>
            <w:r w:rsidR="00653C18">
              <w:rPr>
                <w:rFonts w:cs="Arial"/>
                <w:sz w:val="14"/>
                <w:szCs w:val="14"/>
                <w:lang w:val="en-GB"/>
              </w:rPr>
              <w:t>0.01</w:t>
            </w:r>
          </w:p>
        </w:tc>
        <w:tc>
          <w:tcPr>
            <w:tcW w:w="521" w:type="pct"/>
            <w:tcBorders>
              <w:top w:val="single" w:sz="6" w:space="0" w:color="008000"/>
              <w:bottom w:val="single" w:sz="6" w:space="0" w:color="008000"/>
            </w:tcBorders>
          </w:tcPr>
          <w:p w14:paraId="2FE71BFB" w14:textId="569FF69D" w:rsidR="00B128BE" w:rsidRPr="00653C18" w:rsidRDefault="007A3E68" w:rsidP="001015A7">
            <w:pPr>
              <w:pStyle w:val="CETBodytext"/>
              <w:ind w:right="-1"/>
              <w:jc w:val="center"/>
              <w:rPr>
                <w:rFonts w:cs="Arial"/>
                <w:sz w:val="14"/>
                <w:szCs w:val="14"/>
                <w:lang w:val="en-GB"/>
              </w:rPr>
            </w:pPr>
            <w:r w:rsidRPr="00653C18">
              <w:rPr>
                <w:rFonts w:cs="Arial"/>
                <w:sz w:val="14"/>
                <w:szCs w:val="14"/>
                <w:lang w:val="en-GB"/>
              </w:rPr>
              <w:t>0.12</w:t>
            </w:r>
            <w:r w:rsidR="00653C18">
              <w:rPr>
                <w:rFonts w:cs="Arial"/>
                <w:sz w:val="14"/>
                <w:szCs w:val="14"/>
                <w:lang w:val="en-GB"/>
              </w:rPr>
              <w:t xml:space="preserve"> ±</w:t>
            </w:r>
            <w:r w:rsidR="00F52903">
              <w:rPr>
                <w:rFonts w:cs="Arial"/>
                <w:sz w:val="14"/>
                <w:szCs w:val="14"/>
                <w:lang w:val="en-GB"/>
              </w:rPr>
              <w:t xml:space="preserve"> </w:t>
            </w:r>
            <w:r w:rsidR="00653C18">
              <w:rPr>
                <w:rFonts w:cs="Arial"/>
                <w:sz w:val="14"/>
                <w:szCs w:val="14"/>
                <w:lang w:val="en-GB"/>
              </w:rPr>
              <w:t>0.01</w:t>
            </w:r>
          </w:p>
        </w:tc>
        <w:tc>
          <w:tcPr>
            <w:tcW w:w="578" w:type="pct"/>
            <w:tcBorders>
              <w:top w:val="single" w:sz="6" w:space="0" w:color="008000"/>
              <w:bottom w:val="single" w:sz="6" w:space="0" w:color="008000"/>
            </w:tcBorders>
          </w:tcPr>
          <w:p w14:paraId="50293BD5" w14:textId="68454CDB" w:rsidR="00B128BE" w:rsidRPr="00653C18" w:rsidRDefault="007A3E68" w:rsidP="001015A7">
            <w:pPr>
              <w:pStyle w:val="CETBodytext"/>
              <w:ind w:right="-1"/>
              <w:jc w:val="center"/>
              <w:rPr>
                <w:rFonts w:cs="Arial"/>
                <w:sz w:val="14"/>
                <w:szCs w:val="14"/>
                <w:lang w:val="en-GB"/>
              </w:rPr>
            </w:pPr>
            <w:r w:rsidRPr="00653C18">
              <w:rPr>
                <w:rFonts w:cs="Arial"/>
                <w:sz w:val="14"/>
                <w:szCs w:val="14"/>
                <w:lang w:val="en-GB"/>
              </w:rPr>
              <w:t>0.17</w:t>
            </w:r>
            <w:r w:rsidR="00653C18">
              <w:rPr>
                <w:rFonts w:cs="Arial"/>
                <w:sz w:val="14"/>
                <w:szCs w:val="14"/>
                <w:lang w:val="en-GB"/>
              </w:rPr>
              <w:t xml:space="preserve"> ±</w:t>
            </w:r>
            <w:r w:rsidR="00F52903">
              <w:rPr>
                <w:rFonts w:cs="Arial"/>
                <w:sz w:val="14"/>
                <w:szCs w:val="14"/>
                <w:lang w:val="en-GB"/>
              </w:rPr>
              <w:t xml:space="preserve"> </w:t>
            </w:r>
            <w:r w:rsidR="00653C18">
              <w:rPr>
                <w:rFonts w:cs="Arial"/>
                <w:sz w:val="14"/>
                <w:szCs w:val="14"/>
                <w:lang w:val="en-GB"/>
              </w:rPr>
              <w:t>0.01</w:t>
            </w:r>
          </w:p>
        </w:tc>
        <w:tc>
          <w:tcPr>
            <w:tcW w:w="581" w:type="pct"/>
            <w:tcBorders>
              <w:top w:val="single" w:sz="6" w:space="0" w:color="008000"/>
              <w:bottom w:val="single" w:sz="6" w:space="0" w:color="008000"/>
            </w:tcBorders>
          </w:tcPr>
          <w:p w14:paraId="58E93770" w14:textId="3EA9B137" w:rsidR="00B128BE" w:rsidRPr="00653C18" w:rsidRDefault="007A3E68" w:rsidP="001015A7">
            <w:pPr>
              <w:pStyle w:val="CETBodytext"/>
              <w:ind w:right="-1"/>
              <w:jc w:val="center"/>
              <w:rPr>
                <w:rFonts w:cs="Arial"/>
                <w:sz w:val="14"/>
                <w:szCs w:val="14"/>
                <w:lang w:val="en-GB"/>
              </w:rPr>
            </w:pPr>
            <w:r w:rsidRPr="00653C18">
              <w:rPr>
                <w:rFonts w:cs="Arial"/>
                <w:sz w:val="14"/>
                <w:szCs w:val="14"/>
                <w:lang w:val="en-GB"/>
              </w:rPr>
              <w:t>0.30</w:t>
            </w:r>
            <w:r w:rsidR="00653C18">
              <w:rPr>
                <w:rFonts w:cs="Arial"/>
                <w:sz w:val="14"/>
                <w:szCs w:val="14"/>
                <w:lang w:val="en-GB"/>
              </w:rPr>
              <w:t xml:space="preserve"> ±</w:t>
            </w:r>
            <w:r w:rsidR="00F52903">
              <w:rPr>
                <w:rFonts w:cs="Arial"/>
                <w:sz w:val="14"/>
                <w:szCs w:val="14"/>
                <w:lang w:val="en-GB"/>
              </w:rPr>
              <w:t xml:space="preserve"> </w:t>
            </w:r>
            <w:r w:rsidR="00653C18">
              <w:rPr>
                <w:rFonts w:cs="Arial"/>
                <w:sz w:val="14"/>
                <w:szCs w:val="14"/>
                <w:lang w:val="en-GB"/>
              </w:rPr>
              <w:t>0.01</w:t>
            </w:r>
          </w:p>
        </w:tc>
      </w:tr>
      <w:tr w:rsidR="00653C18" w:rsidRPr="00653C18" w14:paraId="4FA8E401" w14:textId="77777777" w:rsidTr="00A50910">
        <w:trPr>
          <w:trHeight w:val="483"/>
          <w:jc w:val="center"/>
        </w:trPr>
        <w:tc>
          <w:tcPr>
            <w:tcW w:w="807" w:type="pct"/>
            <w:tcBorders>
              <w:top w:val="single" w:sz="6" w:space="0" w:color="008000"/>
              <w:bottom w:val="single" w:sz="6" w:space="0" w:color="008000"/>
            </w:tcBorders>
          </w:tcPr>
          <w:p w14:paraId="7011B6D1" w14:textId="1D2F4D64" w:rsidR="001015A7" w:rsidRPr="00653C18" w:rsidRDefault="00960892" w:rsidP="00960892">
            <w:pPr>
              <w:pStyle w:val="CETBodytext"/>
              <w:ind w:right="-1"/>
              <w:jc w:val="center"/>
              <w:rPr>
                <w:rFonts w:cs="Arial"/>
                <w:sz w:val="14"/>
                <w:szCs w:val="14"/>
                <w:lang w:val="it-IT"/>
              </w:rPr>
            </w:pPr>
            <w:r w:rsidRPr="00653C18">
              <w:rPr>
                <w:rFonts w:cs="Arial"/>
                <w:sz w:val="14"/>
                <w:szCs w:val="14"/>
                <w:lang w:val="it-IT"/>
              </w:rPr>
              <w:t>COD</w:t>
            </w:r>
            <w:r w:rsidRPr="00653C18">
              <w:rPr>
                <w:rFonts w:cs="Arial"/>
                <w:sz w:val="14"/>
                <w:szCs w:val="14"/>
                <w:vertAlign w:val="subscript"/>
                <w:lang w:val="it-IT"/>
              </w:rPr>
              <w:t>SOL</w:t>
            </w:r>
          </w:p>
        </w:tc>
        <w:tc>
          <w:tcPr>
            <w:tcW w:w="806" w:type="pct"/>
            <w:tcBorders>
              <w:top w:val="single" w:sz="6" w:space="0" w:color="008000"/>
              <w:bottom w:val="single" w:sz="6" w:space="0" w:color="008000"/>
            </w:tcBorders>
          </w:tcPr>
          <w:p w14:paraId="5B9BDC2C" w14:textId="1A29F60A" w:rsidR="001015A7" w:rsidRPr="00653C18" w:rsidRDefault="00960892" w:rsidP="001015A7">
            <w:pPr>
              <w:pStyle w:val="CETBodytext"/>
              <w:ind w:right="-1"/>
              <w:jc w:val="center"/>
              <w:rPr>
                <w:rFonts w:cs="Arial"/>
                <w:sz w:val="14"/>
                <w:szCs w:val="14"/>
                <w:lang w:val="it-IT"/>
              </w:rPr>
            </w:pPr>
            <w:r w:rsidRPr="00653C18">
              <w:rPr>
                <w:rFonts w:cs="Arial"/>
                <w:sz w:val="14"/>
                <w:szCs w:val="14"/>
                <w:lang w:val="it-IT"/>
              </w:rPr>
              <w:t>g COD/L</w:t>
            </w:r>
          </w:p>
        </w:tc>
        <w:tc>
          <w:tcPr>
            <w:tcW w:w="551" w:type="pct"/>
            <w:tcBorders>
              <w:top w:val="single" w:sz="6" w:space="0" w:color="008000"/>
              <w:bottom w:val="single" w:sz="6" w:space="0" w:color="008000"/>
            </w:tcBorders>
          </w:tcPr>
          <w:p w14:paraId="6AB42D76" w14:textId="0F1223A2" w:rsidR="001015A7" w:rsidRPr="00653C18" w:rsidRDefault="00B128BE" w:rsidP="001015A7">
            <w:pPr>
              <w:pStyle w:val="CETBodytext"/>
              <w:ind w:right="-1"/>
              <w:jc w:val="center"/>
              <w:rPr>
                <w:rFonts w:cs="Arial"/>
                <w:sz w:val="14"/>
                <w:szCs w:val="14"/>
                <w:lang w:val="it-IT"/>
              </w:rPr>
            </w:pPr>
            <w:r w:rsidRPr="00653C18">
              <w:rPr>
                <w:rFonts w:cs="Arial"/>
                <w:sz w:val="14"/>
                <w:szCs w:val="14"/>
                <w:lang w:val="it-IT"/>
              </w:rPr>
              <w:t>13</w:t>
            </w:r>
            <w:r w:rsidR="00653C18">
              <w:rPr>
                <w:rFonts w:cs="Arial"/>
                <w:sz w:val="14"/>
                <w:szCs w:val="14"/>
                <w:lang w:val="it-IT"/>
              </w:rPr>
              <w:t xml:space="preserve"> ±</w:t>
            </w:r>
            <w:r w:rsidR="00F52903">
              <w:rPr>
                <w:rFonts w:cs="Arial"/>
                <w:sz w:val="14"/>
                <w:szCs w:val="14"/>
                <w:lang w:val="it-IT"/>
              </w:rPr>
              <w:t xml:space="preserve"> </w:t>
            </w:r>
            <w:r w:rsidR="00653C18">
              <w:rPr>
                <w:rFonts w:cs="Arial"/>
                <w:sz w:val="14"/>
                <w:szCs w:val="14"/>
                <w:lang w:val="it-IT"/>
              </w:rPr>
              <w:t>1</w:t>
            </w:r>
          </w:p>
        </w:tc>
        <w:tc>
          <w:tcPr>
            <w:tcW w:w="578" w:type="pct"/>
            <w:tcBorders>
              <w:top w:val="single" w:sz="6" w:space="0" w:color="008000"/>
              <w:bottom w:val="single" w:sz="6" w:space="0" w:color="008000"/>
            </w:tcBorders>
          </w:tcPr>
          <w:p w14:paraId="5D52856A" w14:textId="4F5D27DA" w:rsidR="001015A7" w:rsidRPr="00653C18" w:rsidRDefault="00B128BE" w:rsidP="001015A7">
            <w:pPr>
              <w:pStyle w:val="CETBodytext"/>
              <w:ind w:right="-1"/>
              <w:jc w:val="center"/>
              <w:rPr>
                <w:rFonts w:cs="Arial"/>
                <w:sz w:val="14"/>
                <w:szCs w:val="14"/>
                <w:lang w:val="it-IT"/>
              </w:rPr>
            </w:pPr>
            <w:r w:rsidRPr="00653C18">
              <w:rPr>
                <w:rFonts w:cs="Arial"/>
                <w:sz w:val="14"/>
                <w:szCs w:val="14"/>
                <w:lang w:val="it-IT"/>
              </w:rPr>
              <w:t>2</w:t>
            </w:r>
            <w:r w:rsidR="00F52903">
              <w:rPr>
                <w:rFonts w:cs="Arial"/>
                <w:sz w:val="14"/>
                <w:szCs w:val="14"/>
                <w:lang w:val="it-IT"/>
              </w:rPr>
              <w:t>1</w:t>
            </w:r>
            <w:r w:rsidR="00653C18">
              <w:rPr>
                <w:rFonts w:cs="Arial"/>
                <w:sz w:val="14"/>
                <w:szCs w:val="14"/>
                <w:lang w:val="it-IT"/>
              </w:rPr>
              <w:t xml:space="preserve"> ±</w:t>
            </w:r>
            <w:r w:rsidR="00F52903">
              <w:rPr>
                <w:rFonts w:cs="Arial"/>
                <w:sz w:val="14"/>
                <w:szCs w:val="14"/>
                <w:lang w:val="it-IT"/>
              </w:rPr>
              <w:t xml:space="preserve"> </w:t>
            </w:r>
            <w:r w:rsidR="00653C18">
              <w:rPr>
                <w:rFonts w:cs="Arial"/>
                <w:sz w:val="14"/>
                <w:szCs w:val="14"/>
                <w:lang w:val="it-IT"/>
              </w:rPr>
              <w:t>1</w:t>
            </w:r>
          </w:p>
        </w:tc>
        <w:tc>
          <w:tcPr>
            <w:tcW w:w="578" w:type="pct"/>
            <w:tcBorders>
              <w:top w:val="single" w:sz="6" w:space="0" w:color="008000"/>
              <w:bottom w:val="single" w:sz="6" w:space="0" w:color="008000"/>
            </w:tcBorders>
          </w:tcPr>
          <w:p w14:paraId="3C24FA43" w14:textId="3640BE24" w:rsidR="001015A7" w:rsidRPr="00653C18" w:rsidRDefault="00B128BE" w:rsidP="001015A7">
            <w:pPr>
              <w:pStyle w:val="CETBodytext"/>
              <w:ind w:right="-1"/>
              <w:jc w:val="center"/>
              <w:rPr>
                <w:rFonts w:cs="Arial"/>
                <w:sz w:val="14"/>
                <w:szCs w:val="14"/>
                <w:lang w:val="it-IT"/>
              </w:rPr>
            </w:pPr>
            <w:r w:rsidRPr="00653C18">
              <w:rPr>
                <w:rFonts w:cs="Arial"/>
                <w:sz w:val="14"/>
                <w:szCs w:val="14"/>
                <w:lang w:val="it-IT"/>
              </w:rPr>
              <w:t>23.4</w:t>
            </w:r>
            <w:r w:rsidR="00653C18">
              <w:rPr>
                <w:rFonts w:cs="Arial"/>
                <w:sz w:val="14"/>
                <w:szCs w:val="14"/>
                <w:lang w:val="it-IT"/>
              </w:rPr>
              <w:t xml:space="preserve"> ±</w:t>
            </w:r>
            <w:r w:rsidR="00F52903">
              <w:rPr>
                <w:rFonts w:cs="Arial"/>
                <w:sz w:val="14"/>
                <w:szCs w:val="14"/>
                <w:lang w:val="it-IT"/>
              </w:rPr>
              <w:t xml:space="preserve"> </w:t>
            </w:r>
            <w:r w:rsidR="00653C18">
              <w:rPr>
                <w:rFonts w:cs="Arial"/>
                <w:sz w:val="14"/>
                <w:szCs w:val="14"/>
                <w:lang w:val="it-IT"/>
              </w:rPr>
              <w:t>0.6</w:t>
            </w:r>
          </w:p>
        </w:tc>
        <w:tc>
          <w:tcPr>
            <w:tcW w:w="521" w:type="pct"/>
            <w:tcBorders>
              <w:top w:val="single" w:sz="6" w:space="0" w:color="008000"/>
              <w:bottom w:val="single" w:sz="6" w:space="0" w:color="008000"/>
            </w:tcBorders>
          </w:tcPr>
          <w:p w14:paraId="54EA2D82" w14:textId="039EC577" w:rsidR="001015A7" w:rsidRPr="00653C18" w:rsidRDefault="00B128BE" w:rsidP="001015A7">
            <w:pPr>
              <w:pStyle w:val="CETBodytext"/>
              <w:ind w:right="-1"/>
              <w:jc w:val="center"/>
              <w:rPr>
                <w:rFonts w:cs="Arial"/>
                <w:sz w:val="14"/>
                <w:szCs w:val="14"/>
                <w:lang w:val="it-IT"/>
              </w:rPr>
            </w:pPr>
            <w:r w:rsidRPr="00653C18">
              <w:rPr>
                <w:rFonts w:cs="Arial"/>
                <w:sz w:val="14"/>
                <w:szCs w:val="14"/>
                <w:lang w:val="it-IT"/>
              </w:rPr>
              <w:t>12.</w:t>
            </w:r>
            <w:r w:rsidR="00F52903">
              <w:rPr>
                <w:rFonts w:cs="Arial"/>
                <w:sz w:val="14"/>
                <w:szCs w:val="14"/>
                <w:lang w:val="it-IT"/>
              </w:rPr>
              <w:t>8</w:t>
            </w:r>
            <w:r w:rsidR="00653C18">
              <w:rPr>
                <w:rFonts w:cs="Arial"/>
                <w:sz w:val="14"/>
                <w:szCs w:val="14"/>
                <w:lang w:val="it-IT"/>
              </w:rPr>
              <w:t xml:space="preserve"> ±</w:t>
            </w:r>
            <w:r w:rsidR="00F52903">
              <w:rPr>
                <w:rFonts w:cs="Arial"/>
                <w:sz w:val="14"/>
                <w:szCs w:val="14"/>
                <w:lang w:val="it-IT"/>
              </w:rPr>
              <w:t xml:space="preserve"> </w:t>
            </w:r>
            <w:r w:rsidR="00653C18">
              <w:rPr>
                <w:rFonts w:cs="Arial"/>
                <w:sz w:val="14"/>
                <w:szCs w:val="14"/>
                <w:lang w:val="it-IT"/>
              </w:rPr>
              <w:t>0.3</w:t>
            </w:r>
          </w:p>
        </w:tc>
        <w:tc>
          <w:tcPr>
            <w:tcW w:w="578" w:type="pct"/>
            <w:tcBorders>
              <w:top w:val="single" w:sz="6" w:space="0" w:color="008000"/>
              <w:bottom w:val="single" w:sz="6" w:space="0" w:color="008000"/>
            </w:tcBorders>
          </w:tcPr>
          <w:p w14:paraId="40E67399" w14:textId="248DA024" w:rsidR="001015A7" w:rsidRPr="00653C18" w:rsidRDefault="00B128BE" w:rsidP="001015A7">
            <w:pPr>
              <w:pStyle w:val="CETBodytext"/>
              <w:ind w:right="-1"/>
              <w:jc w:val="center"/>
              <w:rPr>
                <w:rFonts w:cs="Arial"/>
                <w:sz w:val="14"/>
                <w:szCs w:val="14"/>
                <w:lang w:val="it-IT"/>
              </w:rPr>
            </w:pPr>
            <w:r w:rsidRPr="00653C18">
              <w:rPr>
                <w:rFonts w:cs="Arial"/>
                <w:sz w:val="14"/>
                <w:szCs w:val="14"/>
                <w:lang w:val="it-IT"/>
              </w:rPr>
              <w:t>23.</w:t>
            </w:r>
            <w:r w:rsidR="00F52903">
              <w:rPr>
                <w:rFonts w:cs="Arial"/>
                <w:sz w:val="14"/>
                <w:szCs w:val="14"/>
                <w:lang w:val="it-IT"/>
              </w:rPr>
              <w:t>5</w:t>
            </w:r>
            <w:r w:rsidR="00653C18">
              <w:rPr>
                <w:rFonts w:cs="Arial"/>
                <w:sz w:val="14"/>
                <w:szCs w:val="14"/>
                <w:lang w:val="it-IT"/>
              </w:rPr>
              <w:t xml:space="preserve"> ±</w:t>
            </w:r>
            <w:r w:rsidR="00F52903">
              <w:rPr>
                <w:rFonts w:cs="Arial"/>
                <w:sz w:val="14"/>
                <w:szCs w:val="14"/>
                <w:lang w:val="it-IT"/>
              </w:rPr>
              <w:t xml:space="preserve"> </w:t>
            </w:r>
            <w:r w:rsidR="00653C18">
              <w:rPr>
                <w:rFonts w:cs="Arial"/>
                <w:sz w:val="14"/>
                <w:szCs w:val="14"/>
                <w:lang w:val="it-IT"/>
              </w:rPr>
              <w:t>0.4</w:t>
            </w:r>
          </w:p>
        </w:tc>
        <w:tc>
          <w:tcPr>
            <w:tcW w:w="581" w:type="pct"/>
            <w:tcBorders>
              <w:top w:val="single" w:sz="6" w:space="0" w:color="008000"/>
              <w:bottom w:val="single" w:sz="6" w:space="0" w:color="008000"/>
            </w:tcBorders>
          </w:tcPr>
          <w:p w14:paraId="32B4BF70" w14:textId="1DC996B9" w:rsidR="001015A7" w:rsidRPr="00653C18" w:rsidRDefault="00B128BE" w:rsidP="001015A7">
            <w:pPr>
              <w:pStyle w:val="CETBodytext"/>
              <w:ind w:right="-1"/>
              <w:jc w:val="center"/>
              <w:rPr>
                <w:rFonts w:cs="Arial"/>
                <w:sz w:val="14"/>
                <w:szCs w:val="14"/>
                <w:lang w:val="it-IT"/>
              </w:rPr>
            </w:pPr>
            <w:r w:rsidRPr="00653C18">
              <w:rPr>
                <w:rFonts w:cs="Arial"/>
                <w:sz w:val="14"/>
                <w:szCs w:val="14"/>
                <w:lang w:val="it-IT"/>
              </w:rPr>
              <w:t>34.6</w:t>
            </w:r>
            <w:r w:rsidR="00653C18">
              <w:rPr>
                <w:rFonts w:cs="Arial"/>
                <w:sz w:val="14"/>
                <w:szCs w:val="14"/>
                <w:lang w:val="it-IT"/>
              </w:rPr>
              <w:t xml:space="preserve"> ±</w:t>
            </w:r>
            <w:r w:rsidR="00F52903">
              <w:rPr>
                <w:rFonts w:cs="Arial"/>
                <w:sz w:val="14"/>
                <w:szCs w:val="14"/>
                <w:lang w:val="it-IT"/>
              </w:rPr>
              <w:t xml:space="preserve"> </w:t>
            </w:r>
            <w:r w:rsidR="00653C18">
              <w:rPr>
                <w:rFonts w:cs="Arial"/>
                <w:sz w:val="14"/>
                <w:szCs w:val="14"/>
                <w:lang w:val="it-IT"/>
              </w:rPr>
              <w:t>0.</w:t>
            </w:r>
            <w:r w:rsidR="00584823">
              <w:rPr>
                <w:rFonts w:cs="Arial"/>
                <w:sz w:val="14"/>
                <w:szCs w:val="14"/>
                <w:lang w:val="it-IT"/>
              </w:rPr>
              <w:t>2</w:t>
            </w:r>
          </w:p>
        </w:tc>
      </w:tr>
      <w:tr w:rsidR="00653C18" w:rsidRPr="00653C18" w14:paraId="56076BCF" w14:textId="77777777" w:rsidTr="00A50910">
        <w:trPr>
          <w:trHeight w:val="483"/>
          <w:jc w:val="center"/>
        </w:trPr>
        <w:tc>
          <w:tcPr>
            <w:tcW w:w="807" w:type="pct"/>
            <w:tcBorders>
              <w:top w:val="single" w:sz="6" w:space="0" w:color="008000"/>
              <w:bottom w:val="single" w:sz="6" w:space="0" w:color="008000"/>
            </w:tcBorders>
          </w:tcPr>
          <w:p w14:paraId="1F315391" w14:textId="721BC20C" w:rsidR="001015A7" w:rsidRPr="00653C18" w:rsidRDefault="00960892" w:rsidP="001015A7">
            <w:pPr>
              <w:pStyle w:val="CETBodytext"/>
              <w:ind w:right="-1"/>
              <w:jc w:val="center"/>
              <w:rPr>
                <w:rFonts w:cs="Arial"/>
                <w:sz w:val="14"/>
                <w:szCs w:val="14"/>
                <w:lang w:val="it-IT"/>
              </w:rPr>
            </w:pPr>
            <w:r w:rsidRPr="00653C18">
              <w:rPr>
                <w:rFonts w:cs="Arial"/>
                <w:sz w:val="14"/>
                <w:szCs w:val="14"/>
                <w:lang w:val="it-IT"/>
              </w:rPr>
              <w:t>N-NH</w:t>
            </w:r>
            <w:r w:rsidRPr="00653C18">
              <w:rPr>
                <w:rFonts w:cs="Arial"/>
                <w:sz w:val="14"/>
                <w:szCs w:val="14"/>
                <w:vertAlign w:val="subscript"/>
                <w:lang w:val="it-IT"/>
              </w:rPr>
              <w:t>4</w:t>
            </w:r>
            <w:r w:rsidRPr="00653C18">
              <w:rPr>
                <w:rFonts w:cs="Arial"/>
                <w:sz w:val="14"/>
                <w:szCs w:val="14"/>
                <w:vertAlign w:val="superscript"/>
                <w:lang w:val="it-IT"/>
              </w:rPr>
              <w:t>+</w:t>
            </w:r>
          </w:p>
        </w:tc>
        <w:tc>
          <w:tcPr>
            <w:tcW w:w="806" w:type="pct"/>
            <w:tcBorders>
              <w:top w:val="single" w:sz="6" w:space="0" w:color="008000"/>
              <w:bottom w:val="single" w:sz="6" w:space="0" w:color="008000"/>
            </w:tcBorders>
          </w:tcPr>
          <w:p w14:paraId="76BA1A3A" w14:textId="3B325F53" w:rsidR="001015A7" w:rsidRPr="00653C18" w:rsidRDefault="00960892" w:rsidP="001015A7">
            <w:pPr>
              <w:pStyle w:val="CETBodytext"/>
              <w:ind w:right="-1"/>
              <w:jc w:val="center"/>
              <w:rPr>
                <w:rFonts w:cs="Arial"/>
                <w:sz w:val="14"/>
                <w:szCs w:val="14"/>
                <w:lang w:val="it-IT"/>
              </w:rPr>
            </w:pPr>
            <w:r w:rsidRPr="00653C18">
              <w:rPr>
                <w:rFonts w:cs="Arial"/>
                <w:sz w:val="14"/>
                <w:szCs w:val="14"/>
                <w:lang w:val="it-IT"/>
              </w:rPr>
              <w:t>mg/L</w:t>
            </w:r>
          </w:p>
        </w:tc>
        <w:tc>
          <w:tcPr>
            <w:tcW w:w="551" w:type="pct"/>
            <w:tcBorders>
              <w:top w:val="single" w:sz="6" w:space="0" w:color="008000"/>
              <w:bottom w:val="single" w:sz="6" w:space="0" w:color="008000"/>
            </w:tcBorders>
          </w:tcPr>
          <w:p w14:paraId="61839BDC" w14:textId="45EDBA2B" w:rsidR="001015A7" w:rsidRPr="00653C18" w:rsidRDefault="00B128BE" w:rsidP="001015A7">
            <w:pPr>
              <w:pStyle w:val="CETBodytext"/>
              <w:ind w:right="-1"/>
              <w:jc w:val="center"/>
              <w:rPr>
                <w:rFonts w:cs="Arial"/>
                <w:sz w:val="14"/>
                <w:szCs w:val="14"/>
                <w:lang w:val="it-IT"/>
              </w:rPr>
            </w:pPr>
            <w:r w:rsidRPr="00653C18">
              <w:rPr>
                <w:rFonts w:cs="Arial"/>
                <w:sz w:val="14"/>
                <w:szCs w:val="14"/>
                <w:lang w:val="it-IT"/>
              </w:rPr>
              <w:t>780</w:t>
            </w:r>
            <w:r w:rsidR="00584823">
              <w:rPr>
                <w:rFonts w:cs="Arial"/>
                <w:sz w:val="14"/>
                <w:szCs w:val="14"/>
                <w:lang w:val="it-IT"/>
              </w:rPr>
              <w:t xml:space="preserve"> ±</w:t>
            </w:r>
            <w:r w:rsidR="00F52903">
              <w:rPr>
                <w:rFonts w:cs="Arial"/>
                <w:sz w:val="14"/>
                <w:szCs w:val="14"/>
                <w:lang w:val="it-IT"/>
              </w:rPr>
              <w:t xml:space="preserve"> </w:t>
            </w:r>
            <w:r w:rsidR="00584823">
              <w:rPr>
                <w:rFonts w:cs="Arial"/>
                <w:sz w:val="14"/>
                <w:szCs w:val="14"/>
                <w:lang w:val="it-IT"/>
              </w:rPr>
              <w:t>10</w:t>
            </w:r>
          </w:p>
        </w:tc>
        <w:tc>
          <w:tcPr>
            <w:tcW w:w="578" w:type="pct"/>
            <w:tcBorders>
              <w:top w:val="single" w:sz="6" w:space="0" w:color="008000"/>
              <w:bottom w:val="single" w:sz="6" w:space="0" w:color="008000"/>
            </w:tcBorders>
          </w:tcPr>
          <w:p w14:paraId="573BE947" w14:textId="48DEFF75" w:rsidR="001015A7" w:rsidRPr="00653C18" w:rsidRDefault="00B128BE" w:rsidP="001015A7">
            <w:pPr>
              <w:pStyle w:val="CETBodytext"/>
              <w:ind w:right="-1"/>
              <w:jc w:val="center"/>
              <w:rPr>
                <w:rFonts w:cs="Arial"/>
                <w:sz w:val="14"/>
                <w:szCs w:val="14"/>
                <w:lang w:val="it-IT"/>
              </w:rPr>
            </w:pPr>
            <w:r w:rsidRPr="00653C18">
              <w:rPr>
                <w:rFonts w:cs="Arial"/>
                <w:sz w:val="14"/>
                <w:szCs w:val="14"/>
                <w:lang w:val="it-IT"/>
              </w:rPr>
              <w:t>1181</w:t>
            </w:r>
            <w:r w:rsidR="00584823">
              <w:rPr>
                <w:rFonts w:cs="Arial"/>
                <w:sz w:val="14"/>
                <w:szCs w:val="14"/>
                <w:lang w:val="it-IT"/>
              </w:rPr>
              <w:t xml:space="preserve"> ±</w:t>
            </w:r>
            <w:r w:rsidR="00F52903">
              <w:rPr>
                <w:rFonts w:cs="Arial"/>
                <w:sz w:val="14"/>
                <w:szCs w:val="14"/>
                <w:lang w:val="it-IT"/>
              </w:rPr>
              <w:t xml:space="preserve"> </w:t>
            </w:r>
            <w:r w:rsidR="00584823">
              <w:rPr>
                <w:rFonts w:cs="Arial"/>
                <w:sz w:val="14"/>
                <w:szCs w:val="14"/>
                <w:lang w:val="it-IT"/>
              </w:rPr>
              <w:t>30</w:t>
            </w:r>
          </w:p>
        </w:tc>
        <w:tc>
          <w:tcPr>
            <w:tcW w:w="578" w:type="pct"/>
            <w:tcBorders>
              <w:top w:val="single" w:sz="6" w:space="0" w:color="008000"/>
              <w:bottom w:val="single" w:sz="6" w:space="0" w:color="008000"/>
            </w:tcBorders>
          </w:tcPr>
          <w:p w14:paraId="6247465B" w14:textId="6CCB3ACD" w:rsidR="001015A7" w:rsidRPr="00653C18" w:rsidRDefault="00B128BE" w:rsidP="001015A7">
            <w:pPr>
              <w:pStyle w:val="CETBodytext"/>
              <w:ind w:right="-1"/>
              <w:jc w:val="center"/>
              <w:rPr>
                <w:rFonts w:cs="Arial"/>
                <w:sz w:val="14"/>
                <w:szCs w:val="14"/>
                <w:lang w:val="it-IT"/>
              </w:rPr>
            </w:pPr>
            <w:r w:rsidRPr="00653C18">
              <w:rPr>
                <w:rFonts w:cs="Arial"/>
                <w:sz w:val="14"/>
                <w:szCs w:val="14"/>
                <w:lang w:val="it-IT"/>
              </w:rPr>
              <w:t>1615</w:t>
            </w:r>
            <w:r w:rsidR="00584823">
              <w:rPr>
                <w:rFonts w:cs="Arial"/>
                <w:sz w:val="14"/>
                <w:szCs w:val="14"/>
                <w:lang w:val="it-IT"/>
              </w:rPr>
              <w:t xml:space="preserve"> ±</w:t>
            </w:r>
            <w:r w:rsidR="00F52903">
              <w:rPr>
                <w:rFonts w:cs="Arial"/>
                <w:sz w:val="14"/>
                <w:szCs w:val="14"/>
                <w:lang w:val="it-IT"/>
              </w:rPr>
              <w:t xml:space="preserve"> </w:t>
            </w:r>
            <w:r w:rsidR="00584823">
              <w:rPr>
                <w:rFonts w:cs="Arial"/>
                <w:sz w:val="14"/>
                <w:szCs w:val="14"/>
                <w:lang w:val="it-IT"/>
              </w:rPr>
              <w:t>20</w:t>
            </w:r>
          </w:p>
        </w:tc>
        <w:tc>
          <w:tcPr>
            <w:tcW w:w="521" w:type="pct"/>
            <w:tcBorders>
              <w:top w:val="single" w:sz="6" w:space="0" w:color="008000"/>
              <w:bottom w:val="single" w:sz="6" w:space="0" w:color="008000"/>
            </w:tcBorders>
          </w:tcPr>
          <w:p w14:paraId="64F58EAC" w14:textId="7D0A0C37" w:rsidR="001015A7" w:rsidRPr="00653C18" w:rsidRDefault="007A3E68" w:rsidP="001015A7">
            <w:pPr>
              <w:pStyle w:val="CETBodytext"/>
              <w:ind w:right="-1"/>
              <w:jc w:val="center"/>
              <w:rPr>
                <w:rFonts w:cs="Arial"/>
                <w:sz w:val="14"/>
                <w:szCs w:val="14"/>
                <w:lang w:val="it-IT"/>
              </w:rPr>
            </w:pPr>
            <w:r w:rsidRPr="00653C18">
              <w:rPr>
                <w:rFonts w:cs="Arial"/>
                <w:sz w:val="14"/>
                <w:szCs w:val="14"/>
                <w:lang w:val="it-IT"/>
              </w:rPr>
              <w:t>789</w:t>
            </w:r>
            <w:r w:rsidR="00584823">
              <w:rPr>
                <w:rFonts w:cs="Arial"/>
                <w:sz w:val="14"/>
                <w:szCs w:val="14"/>
                <w:lang w:val="it-IT"/>
              </w:rPr>
              <w:t xml:space="preserve"> ±</w:t>
            </w:r>
            <w:r w:rsidR="00F52903">
              <w:rPr>
                <w:rFonts w:cs="Arial"/>
                <w:sz w:val="14"/>
                <w:szCs w:val="14"/>
                <w:lang w:val="it-IT"/>
              </w:rPr>
              <w:t xml:space="preserve"> </w:t>
            </w:r>
            <w:r w:rsidR="00584823">
              <w:rPr>
                <w:rFonts w:cs="Arial"/>
                <w:sz w:val="14"/>
                <w:szCs w:val="14"/>
                <w:lang w:val="it-IT"/>
              </w:rPr>
              <w:t>20</w:t>
            </w:r>
          </w:p>
        </w:tc>
        <w:tc>
          <w:tcPr>
            <w:tcW w:w="578" w:type="pct"/>
            <w:tcBorders>
              <w:top w:val="single" w:sz="6" w:space="0" w:color="008000"/>
              <w:bottom w:val="single" w:sz="6" w:space="0" w:color="008000"/>
            </w:tcBorders>
          </w:tcPr>
          <w:p w14:paraId="2B6697F1" w14:textId="77CA09D0" w:rsidR="001015A7" w:rsidRPr="00653C18" w:rsidRDefault="007A3E68" w:rsidP="001015A7">
            <w:pPr>
              <w:pStyle w:val="CETBodytext"/>
              <w:ind w:right="-1"/>
              <w:jc w:val="center"/>
              <w:rPr>
                <w:rFonts w:cs="Arial"/>
                <w:sz w:val="14"/>
                <w:szCs w:val="14"/>
                <w:lang w:val="it-IT"/>
              </w:rPr>
            </w:pPr>
            <w:r w:rsidRPr="00653C18">
              <w:rPr>
                <w:rFonts w:cs="Arial"/>
                <w:sz w:val="14"/>
                <w:szCs w:val="14"/>
                <w:lang w:val="it-IT"/>
              </w:rPr>
              <w:t>1225</w:t>
            </w:r>
            <w:r w:rsidR="00584823">
              <w:rPr>
                <w:rFonts w:cs="Arial"/>
                <w:sz w:val="14"/>
                <w:szCs w:val="14"/>
                <w:lang w:val="it-IT"/>
              </w:rPr>
              <w:t xml:space="preserve"> ±</w:t>
            </w:r>
            <w:r w:rsidR="00F52903">
              <w:rPr>
                <w:rFonts w:cs="Arial"/>
                <w:sz w:val="14"/>
                <w:szCs w:val="14"/>
                <w:lang w:val="it-IT"/>
              </w:rPr>
              <w:t xml:space="preserve"> </w:t>
            </w:r>
            <w:r w:rsidR="00584823">
              <w:rPr>
                <w:rFonts w:cs="Arial"/>
                <w:sz w:val="14"/>
                <w:szCs w:val="14"/>
                <w:lang w:val="it-IT"/>
              </w:rPr>
              <w:t>40</w:t>
            </w:r>
          </w:p>
        </w:tc>
        <w:tc>
          <w:tcPr>
            <w:tcW w:w="581" w:type="pct"/>
            <w:tcBorders>
              <w:top w:val="single" w:sz="6" w:space="0" w:color="008000"/>
              <w:bottom w:val="single" w:sz="6" w:space="0" w:color="008000"/>
            </w:tcBorders>
          </w:tcPr>
          <w:p w14:paraId="1B03930E" w14:textId="59A7E9A2" w:rsidR="001015A7" w:rsidRPr="00653C18" w:rsidRDefault="007A3E68" w:rsidP="001015A7">
            <w:pPr>
              <w:pStyle w:val="CETBodytext"/>
              <w:ind w:right="-1"/>
              <w:jc w:val="center"/>
              <w:rPr>
                <w:rFonts w:cs="Arial"/>
                <w:sz w:val="14"/>
                <w:szCs w:val="14"/>
                <w:lang w:val="it-IT"/>
              </w:rPr>
            </w:pPr>
            <w:r w:rsidRPr="00653C18">
              <w:rPr>
                <w:rFonts w:cs="Arial"/>
                <w:sz w:val="14"/>
                <w:szCs w:val="14"/>
                <w:lang w:val="it-IT"/>
              </w:rPr>
              <w:t>1586</w:t>
            </w:r>
            <w:r w:rsidR="00584823">
              <w:rPr>
                <w:rFonts w:cs="Arial"/>
                <w:sz w:val="14"/>
                <w:szCs w:val="14"/>
                <w:lang w:val="it-IT"/>
              </w:rPr>
              <w:t xml:space="preserve"> ±</w:t>
            </w:r>
            <w:r w:rsidR="00F52903">
              <w:rPr>
                <w:rFonts w:cs="Arial"/>
                <w:sz w:val="14"/>
                <w:szCs w:val="14"/>
                <w:lang w:val="it-IT"/>
              </w:rPr>
              <w:t xml:space="preserve"> </w:t>
            </w:r>
            <w:r w:rsidR="00584823">
              <w:rPr>
                <w:rFonts w:cs="Arial"/>
                <w:sz w:val="14"/>
                <w:szCs w:val="14"/>
                <w:lang w:val="it-IT"/>
              </w:rPr>
              <w:t>50</w:t>
            </w:r>
          </w:p>
        </w:tc>
      </w:tr>
      <w:tr w:rsidR="00653C18" w:rsidRPr="00653C18" w14:paraId="6A714859" w14:textId="77777777" w:rsidTr="00A50910">
        <w:trPr>
          <w:trHeight w:val="483"/>
          <w:jc w:val="center"/>
        </w:trPr>
        <w:tc>
          <w:tcPr>
            <w:tcW w:w="807" w:type="pct"/>
            <w:tcBorders>
              <w:top w:val="single" w:sz="6" w:space="0" w:color="008000"/>
              <w:bottom w:val="single" w:sz="6" w:space="0" w:color="008000"/>
            </w:tcBorders>
          </w:tcPr>
          <w:p w14:paraId="36521B5B" w14:textId="77777777" w:rsidR="00B128BE" w:rsidRPr="00653C18" w:rsidRDefault="00B128BE" w:rsidP="00B128BE">
            <w:pPr>
              <w:pStyle w:val="CETBodytext"/>
              <w:ind w:right="-1"/>
              <w:jc w:val="center"/>
              <w:rPr>
                <w:rFonts w:cs="Arial"/>
                <w:sz w:val="14"/>
                <w:szCs w:val="14"/>
                <w:lang w:val="it-IT"/>
              </w:rPr>
            </w:pPr>
            <w:r w:rsidRPr="00653C18">
              <w:rPr>
                <w:rFonts w:cs="Arial"/>
                <w:sz w:val="14"/>
                <w:szCs w:val="14"/>
                <w:lang w:val="it-IT"/>
              </w:rPr>
              <w:t>P-PO</w:t>
            </w:r>
            <w:r w:rsidRPr="00653C18">
              <w:rPr>
                <w:rFonts w:cs="Arial"/>
                <w:sz w:val="14"/>
                <w:szCs w:val="14"/>
                <w:vertAlign w:val="subscript"/>
                <w:lang w:val="it-IT"/>
              </w:rPr>
              <w:t>4</w:t>
            </w:r>
            <w:r w:rsidRPr="00653C18">
              <w:rPr>
                <w:rFonts w:cs="Arial"/>
                <w:sz w:val="14"/>
                <w:szCs w:val="14"/>
                <w:vertAlign w:val="superscript"/>
                <w:lang w:val="it-IT"/>
              </w:rPr>
              <w:t>3-</w:t>
            </w:r>
            <w:r w:rsidRPr="00653C18">
              <w:rPr>
                <w:rFonts w:cs="Arial"/>
                <w:sz w:val="14"/>
                <w:szCs w:val="14"/>
                <w:lang w:val="it-IT"/>
              </w:rPr>
              <w:t xml:space="preserve"> </w:t>
            </w:r>
          </w:p>
          <w:p w14:paraId="0520B3A0" w14:textId="77777777" w:rsidR="00E361D8" w:rsidRPr="00653C18" w:rsidRDefault="00E361D8" w:rsidP="001015A7">
            <w:pPr>
              <w:pStyle w:val="CETBodytext"/>
              <w:ind w:right="-1"/>
              <w:jc w:val="center"/>
              <w:rPr>
                <w:rFonts w:cs="Arial"/>
                <w:sz w:val="14"/>
                <w:szCs w:val="14"/>
                <w:lang w:val="it-IT"/>
              </w:rPr>
            </w:pPr>
          </w:p>
        </w:tc>
        <w:tc>
          <w:tcPr>
            <w:tcW w:w="806" w:type="pct"/>
            <w:tcBorders>
              <w:top w:val="single" w:sz="6" w:space="0" w:color="008000"/>
              <w:bottom w:val="single" w:sz="6" w:space="0" w:color="008000"/>
            </w:tcBorders>
          </w:tcPr>
          <w:p w14:paraId="5297BB1E" w14:textId="4CE921AB" w:rsidR="00E361D8" w:rsidRPr="00653C18" w:rsidRDefault="00B128BE" w:rsidP="001015A7">
            <w:pPr>
              <w:pStyle w:val="CETBodytext"/>
              <w:ind w:right="-1"/>
              <w:jc w:val="center"/>
              <w:rPr>
                <w:rFonts w:cs="Arial"/>
                <w:sz w:val="14"/>
                <w:szCs w:val="14"/>
                <w:lang w:val="it-IT"/>
              </w:rPr>
            </w:pPr>
            <w:r w:rsidRPr="00653C18">
              <w:rPr>
                <w:rFonts w:cs="Arial"/>
                <w:sz w:val="14"/>
                <w:szCs w:val="14"/>
                <w:lang w:val="it-IT"/>
              </w:rPr>
              <w:t>mg/L</w:t>
            </w:r>
          </w:p>
        </w:tc>
        <w:tc>
          <w:tcPr>
            <w:tcW w:w="551" w:type="pct"/>
            <w:tcBorders>
              <w:top w:val="single" w:sz="6" w:space="0" w:color="008000"/>
              <w:bottom w:val="single" w:sz="6" w:space="0" w:color="008000"/>
            </w:tcBorders>
          </w:tcPr>
          <w:p w14:paraId="21F25E5E" w14:textId="03C44A2C" w:rsidR="00E361D8" w:rsidRPr="00653C18" w:rsidRDefault="00B128BE" w:rsidP="00960892">
            <w:pPr>
              <w:pStyle w:val="CETBodytext"/>
              <w:ind w:right="-1"/>
              <w:jc w:val="center"/>
              <w:rPr>
                <w:rFonts w:cs="Arial"/>
                <w:sz w:val="14"/>
                <w:szCs w:val="14"/>
                <w:lang w:val="it-IT"/>
              </w:rPr>
            </w:pPr>
            <w:r w:rsidRPr="00653C18">
              <w:rPr>
                <w:rFonts w:cs="Arial"/>
                <w:sz w:val="14"/>
                <w:szCs w:val="14"/>
                <w:lang w:val="it-IT"/>
              </w:rPr>
              <w:t>1.</w:t>
            </w:r>
            <w:r w:rsidR="00F52903">
              <w:rPr>
                <w:rFonts w:cs="Arial"/>
                <w:sz w:val="14"/>
                <w:szCs w:val="14"/>
                <w:lang w:val="it-IT"/>
              </w:rPr>
              <w:t>2</w:t>
            </w:r>
            <w:r w:rsidR="00653C18">
              <w:rPr>
                <w:rFonts w:cs="Arial"/>
                <w:sz w:val="14"/>
                <w:szCs w:val="14"/>
                <w:lang w:val="it-IT"/>
              </w:rPr>
              <w:t xml:space="preserve"> ±</w:t>
            </w:r>
            <w:r w:rsidR="00F52903">
              <w:rPr>
                <w:rFonts w:cs="Arial"/>
                <w:sz w:val="14"/>
                <w:szCs w:val="14"/>
                <w:lang w:val="it-IT"/>
              </w:rPr>
              <w:t xml:space="preserve"> </w:t>
            </w:r>
            <w:r w:rsidR="00584823">
              <w:rPr>
                <w:rFonts w:cs="Arial"/>
                <w:sz w:val="14"/>
                <w:szCs w:val="14"/>
                <w:lang w:val="it-IT"/>
              </w:rPr>
              <w:t>0.3</w:t>
            </w:r>
          </w:p>
        </w:tc>
        <w:tc>
          <w:tcPr>
            <w:tcW w:w="578" w:type="pct"/>
            <w:tcBorders>
              <w:top w:val="single" w:sz="6" w:space="0" w:color="008000"/>
              <w:bottom w:val="single" w:sz="6" w:space="0" w:color="008000"/>
            </w:tcBorders>
          </w:tcPr>
          <w:p w14:paraId="6A1B0846" w14:textId="62E36678" w:rsidR="00E361D8" w:rsidRPr="00653C18" w:rsidRDefault="00B128BE" w:rsidP="00960892">
            <w:pPr>
              <w:pStyle w:val="CETBodytext"/>
              <w:ind w:right="-1"/>
              <w:jc w:val="center"/>
              <w:rPr>
                <w:rFonts w:cs="Arial"/>
                <w:sz w:val="14"/>
                <w:szCs w:val="14"/>
                <w:lang w:val="it-IT"/>
              </w:rPr>
            </w:pPr>
            <w:r w:rsidRPr="00653C18">
              <w:rPr>
                <w:rFonts w:cs="Arial"/>
                <w:sz w:val="14"/>
                <w:szCs w:val="14"/>
                <w:lang w:val="it-IT"/>
              </w:rPr>
              <w:t>2.0</w:t>
            </w:r>
            <w:r w:rsidR="00584823">
              <w:rPr>
                <w:rFonts w:cs="Arial"/>
                <w:sz w:val="14"/>
                <w:szCs w:val="14"/>
                <w:lang w:val="it-IT"/>
              </w:rPr>
              <w:t xml:space="preserve"> ±</w:t>
            </w:r>
            <w:r w:rsidR="00F52903">
              <w:rPr>
                <w:rFonts w:cs="Arial"/>
                <w:sz w:val="14"/>
                <w:szCs w:val="14"/>
                <w:lang w:val="it-IT"/>
              </w:rPr>
              <w:t xml:space="preserve"> </w:t>
            </w:r>
            <w:r w:rsidR="00584823">
              <w:rPr>
                <w:rFonts w:cs="Arial"/>
                <w:sz w:val="14"/>
                <w:szCs w:val="14"/>
                <w:lang w:val="it-IT"/>
              </w:rPr>
              <w:t>0.3</w:t>
            </w:r>
          </w:p>
        </w:tc>
        <w:tc>
          <w:tcPr>
            <w:tcW w:w="578" w:type="pct"/>
            <w:tcBorders>
              <w:top w:val="single" w:sz="6" w:space="0" w:color="008000"/>
              <w:bottom w:val="single" w:sz="6" w:space="0" w:color="008000"/>
            </w:tcBorders>
          </w:tcPr>
          <w:p w14:paraId="2A195440" w14:textId="59CA5C2A" w:rsidR="00E361D8" w:rsidRPr="00653C18" w:rsidRDefault="00B128BE" w:rsidP="00960892">
            <w:pPr>
              <w:pStyle w:val="CETBodytext"/>
              <w:ind w:right="-1"/>
              <w:jc w:val="center"/>
              <w:rPr>
                <w:rFonts w:cs="Arial"/>
                <w:sz w:val="14"/>
                <w:szCs w:val="14"/>
                <w:lang w:val="it-IT"/>
              </w:rPr>
            </w:pPr>
            <w:r w:rsidRPr="00653C18">
              <w:rPr>
                <w:rFonts w:cs="Arial"/>
                <w:sz w:val="14"/>
                <w:szCs w:val="14"/>
                <w:lang w:val="it-IT"/>
              </w:rPr>
              <w:t>2.</w:t>
            </w:r>
            <w:r w:rsidR="00F52903">
              <w:rPr>
                <w:rFonts w:cs="Arial"/>
                <w:sz w:val="14"/>
                <w:szCs w:val="14"/>
                <w:lang w:val="it-IT"/>
              </w:rPr>
              <w:t>4</w:t>
            </w:r>
            <w:r w:rsidR="00584823">
              <w:rPr>
                <w:rFonts w:cs="Arial"/>
                <w:sz w:val="14"/>
                <w:szCs w:val="14"/>
                <w:lang w:val="it-IT"/>
              </w:rPr>
              <w:t xml:space="preserve"> ±</w:t>
            </w:r>
            <w:r w:rsidR="00F52903">
              <w:rPr>
                <w:rFonts w:cs="Arial"/>
                <w:sz w:val="14"/>
                <w:szCs w:val="14"/>
                <w:lang w:val="it-IT"/>
              </w:rPr>
              <w:t xml:space="preserve"> </w:t>
            </w:r>
            <w:r w:rsidR="00584823">
              <w:rPr>
                <w:rFonts w:cs="Arial"/>
                <w:sz w:val="14"/>
                <w:szCs w:val="14"/>
                <w:lang w:val="it-IT"/>
              </w:rPr>
              <w:t>0.</w:t>
            </w:r>
            <w:r w:rsidR="00F52903">
              <w:rPr>
                <w:rFonts w:cs="Arial"/>
                <w:sz w:val="14"/>
                <w:szCs w:val="14"/>
                <w:lang w:val="it-IT"/>
              </w:rPr>
              <w:t>3</w:t>
            </w:r>
          </w:p>
        </w:tc>
        <w:tc>
          <w:tcPr>
            <w:tcW w:w="521" w:type="pct"/>
            <w:tcBorders>
              <w:top w:val="single" w:sz="6" w:space="0" w:color="008000"/>
              <w:bottom w:val="single" w:sz="6" w:space="0" w:color="008000"/>
            </w:tcBorders>
          </w:tcPr>
          <w:p w14:paraId="28C1E787" w14:textId="028083D5" w:rsidR="00E361D8" w:rsidRPr="00653C18" w:rsidRDefault="007A3E68" w:rsidP="00960892">
            <w:pPr>
              <w:pStyle w:val="CETBodytext"/>
              <w:ind w:right="-1"/>
              <w:jc w:val="center"/>
              <w:rPr>
                <w:rFonts w:cs="Arial"/>
                <w:sz w:val="14"/>
                <w:szCs w:val="14"/>
                <w:lang w:val="it-IT"/>
              </w:rPr>
            </w:pPr>
            <w:r w:rsidRPr="00653C18">
              <w:rPr>
                <w:rFonts w:cs="Arial"/>
                <w:sz w:val="14"/>
                <w:szCs w:val="14"/>
                <w:lang w:val="it-IT"/>
              </w:rPr>
              <w:t>2.</w:t>
            </w:r>
            <w:r w:rsidR="00F52903">
              <w:rPr>
                <w:rFonts w:cs="Arial"/>
                <w:sz w:val="14"/>
                <w:szCs w:val="14"/>
                <w:lang w:val="it-IT"/>
              </w:rPr>
              <w:t>4</w:t>
            </w:r>
            <w:r w:rsidR="00584823">
              <w:rPr>
                <w:rFonts w:cs="Arial"/>
                <w:sz w:val="14"/>
                <w:szCs w:val="14"/>
                <w:lang w:val="it-IT"/>
              </w:rPr>
              <w:t xml:space="preserve"> ±</w:t>
            </w:r>
            <w:r w:rsidR="00F52903">
              <w:rPr>
                <w:rFonts w:cs="Arial"/>
                <w:sz w:val="14"/>
                <w:szCs w:val="14"/>
                <w:lang w:val="it-IT"/>
              </w:rPr>
              <w:t xml:space="preserve"> </w:t>
            </w:r>
            <w:r w:rsidR="00584823">
              <w:rPr>
                <w:rFonts w:cs="Arial"/>
                <w:sz w:val="14"/>
                <w:szCs w:val="14"/>
                <w:lang w:val="it-IT"/>
              </w:rPr>
              <w:t>0.1</w:t>
            </w:r>
          </w:p>
        </w:tc>
        <w:tc>
          <w:tcPr>
            <w:tcW w:w="578" w:type="pct"/>
            <w:tcBorders>
              <w:top w:val="single" w:sz="6" w:space="0" w:color="008000"/>
              <w:bottom w:val="single" w:sz="6" w:space="0" w:color="008000"/>
            </w:tcBorders>
          </w:tcPr>
          <w:p w14:paraId="31DBFC70" w14:textId="08DBEAC4" w:rsidR="00E361D8" w:rsidRPr="00653C18" w:rsidRDefault="007A3E68" w:rsidP="00960892">
            <w:pPr>
              <w:pStyle w:val="CETBodytext"/>
              <w:ind w:right="-1"/>
              <w:jc w:val="center"/>
              <w:rPr>
                <w:rFonts w:cs="Arial"/>
                <w:sz w:val="14"/>
                <w:szCs w:val="14"/>
                <w:lang w:val="it-IT"/>
              </w:rPr>
            </w:pPr>
            <w:r w:rsidRPr="00653C18">
              <w:rPr>
                <w:rFonts w:cs="Arial"/>
                <w:sz w:val="14"/>
                <w:szCs w:val="14"/>
                <w:lang w:val="it-IT"/>
              </w:rPr>
              <w:t>2.</w:t>
            </w:r>
            <w:r w:rsidR="00F52903">
              <w:rPr>
                <w:rFonts w:cs="Arial"/>
                <w:sz w:val="14"/>
                <w:szCs w:val="14"/>
                <w:lang w:val="it-IT"/>
              </w:rPr>
              <w:t>8</w:t>
            </w:r>
            <w:r w:rsidR="00584823">
              <w:rPr>
                <w:rFonts w:cs="Arial"/>
                <w:sz w:val="14"/>
                <w:szCs w:val="14"/>
                <w:lang w:val="it-IT"/>
              </w:rPr>
              <w:t xml:space="preserve"> ±</w:t>
            </w:r>
            <w:r w:rsidR="00F52903">
              <w:rPr>
                <w:rFonts w:cs="Arial"/>
                <w:sz w:val="14"/>
                <w:szCs w:val="14"/>
                <w:lang w:val="it-IT"/>
              </w:rPr>
              <w:t xml:space="preserve"> </w:t>
            </w:r>
            <w:r w:rsidR="00584823">
              <w:rPr>
                <w:rFonts w:cs="Arial"/>
                <w:sz w:val="14"/>
                <w:szCs w:val="14"/>
                <w:lang w:val="it-IT"/>
              </w:rPr>
              <w:t>0.1</w:t>
            </w:r>
          </w:p>
        </w:tc>
        <w:tc>
          <w:tcPr>
            <w:tcW w:w="581" w:type="pct"/>
            <w:tcBorders>
              <w:top w:val="single" w:sz="6" w:space="0" w:color="008000"/>
              <w:bottom w:val="single" w:sz="6" w:space="0" w:color="008000"/>
            </w:tcBorders>
          </w:tcPr>
          <w:p w14:paraId="5F7018B9" w14:textId="1A6B8968" w:rsidR="00E361D8" w:rsidRPr="00653C18" w:rsidRDefault="007A3E68" w:rsidP="00960892">
            <w:pPr>
              <w:pStyle w:val="CETBodytext"/>
              <w:ind w:right="-1"/>
              <w:jc w:val="center"/>
              <w:rPr>
                <w:rFonts w:cs="Arial"/>
                <w:sz w:val="14"/>
                <w:szCs w:val="14"/>
                <w:lang w:val="it-IT"/>
              </w:rPr>
            </w:pPr>
            <w:r w:rsidRPr="00653C18">
              <w:rPr>
                <w:rFonts w:cs="Arial"/>
                <w:sz w:val="14"/>
                <w:szCs w:val="14"/>
                <w:lang w:val="it-IT"/>
              </w:rPr>
              <w:t>2.</w:t>
            </w:r>
            <w:r w:rsidR="00F52903">
              <w:rPr>
                <w:rFonts w:cs="Arial"/>
                <w:sz w:val="14"/>
                <w:szCs w:val="14"/>
                <w:lang w:val="it-IT"/>
              </w:rPr>
              <w:t>8</w:t>
            </w:r>
            <w:r w:rsidR="00584823">
              <w:rPr>
                <w:rFonts w:cs="Arial"/>
                <w:sz w:val="14"/>
                <w:szCs w:val="14"/>
                <w:lang w:val="it-IT"/>
              </w:rPr>
              <w:t xml:space="preserve"> ±</w:t>
            </w:r>
            <w:r w:rsidR="00F52903">
              <w:rPr>
                <w:rFonts w:cs="Arial"/>
                <w:sz w:val="14"/>
                <w:szCs w:val="14"/>
                <w:lang w:val="it-IT"/>
              </w:rPr>
              <w:t xml:space="preserve"> </w:t>
            </w:r>
            <w:r w:rsidR="00584823">
              <w:rPr>
                <w:rFonts w:cs="Arial"/>
                <w:sz w:val="14"/>
                <w:szCs w:val="14"/>
                <w:lang w:val="it-IT"/>
              </w:rPr>
              <w:t>0.2</w:t>
            </w:r>
          </w:p>
        </w:tc>
      </w:tr>
      <w:tr w:rsidR="00653C18" w:rsidRPr="00653C18" w14:paraId="156598C9" w14:textId="77777777" w:rsidTr="00A50910">
        <w:trPr>
          <w:trHeight w:val="483"/>
          <w:jc w:val="center"/>
        </w:trPr>
        <w:tc>
          <w:tcPr>
            <w:tcW w:w="807" w:type="pct"/>
            <w:tcBorders>
              <w:top w:val="single" w:sz="6" w:space="0" w:color="008000"/>
              <w:bottom w:val="single" w:sz="6" w:space="0" w:color="008000"/>
            </w:tcBorders>
          </w:tcPr>
          <w:p w14:paraId="025D32EF" w14:textId="77777777" w:rsidR="00B128BE" w:rsidRPr="00653C18" w:rsidRDefault="00B128BE" w:rsidP="00D47C85">
            <w:pPr>
              <w:pStyle w:val="CETBodytext"/>
              <w:ind w:right="-1"/>
              <w:jc w:val="center"/>
              <w:rPr>
                <w:rFonts w:cs="Arial"/>
                <w:sz w:val="14"/>
                <w:szCs w:val="14"/>
                <w:lang w:val="it-IT"/>
              </w:rPr>
            </w:pPr>
            <w:proofErr w:type="spellStart"/>
            <w:r w:rsidRPr="00653C18">
              <w:rPr>
                <w:rFonts w:cs="Arial"/>
                <w:sz w:val="14"/>
                <w:szCs w:val="14"/>
                <w:lang w:val="it-IT"/>
              </w:rPr>
              <w:t>Chromium</w:t>
            </w:r>
            <w:proofErr w:type="spellEnd"/>
            <w:r w:rsidRPr="00653C18">
              <w:rPr>
                <w:rFonts w:cs="Arial"/>
                <w:sz w:val="14"/>
                <w:szCs w:val="14"/>
                <w:lang w:val="it-IT"/>
              </w:rPr>
              <w:t xml:space="preserve"> VI</w:t>
            </w:r>
          </w:p>
        </w:tc>
        <w:tc>
          <w:tcPr>
            <w:tcW w:w="806" w:type="pct"/>
            <w:tcBorders>
              <w:top w:val="single" w:sz="6" w:space="0" w:color="008000"/>
              <w:bottom w:val="single" w:sz="6" w:space="0" w:color="008000"/>
            </w:tcBorders>
          </w:tcPr>
          <w:p w14:paraId="4C77B771" w14:textId="77777777" w:rsidR="00B128BE" w:rsidRPr="00653C18" w:rsidRDefault="00B128BE" w:rsidP="00D47C85">
            <w:pPr>
              <w:pStyle w:val="CETBodytext"/>
              <w:ind w:right="-1"/>
              <w:jc w:val="center"/>
              <w:rPr>
                <w:rFonts w:cs="Arial"/>
                <w:sz w:val="14"/>
                <w:szCs w:val="14"/>
                <w:lang w:val="it-IT"/>
              </w:rPr>
            </w:pPr>
            <w:r w:rsidRPr="00653C18">
              <w:rPr>
                <w:rFonts w:cs="Arial"/>
                <w:sz w:val="14"/>
                <w:szCs w:val="14"/>
                <w:lang w:val="it-IT"/>
              </w:rPr>
              <w:t>mg/L</w:t>
            </w:r>
          </w:p>
        </w:tc>
        <w:tc>
          <w:tcPr>
            <w:tcW w:w="551" w:type="pct"/>
            <w:tcBorders>
              <w:top w:val="single" w:sz="6" w:space="0" w:color="008000"/>
              <w:bottom w:val="single" w:sz="6" w:space="0" w:color="008000"/>
            </w:tcBorders>
          </w:tcPr>
          <w:p w14:paraId="557CCDFE" w14:textId="433E9631" w:rsidR="00B128BE" w:rsidRPr="00653C18" w:rsidRDefault="00B128BE" w:rsidP="00F52903">
            <w:pPr>
              <w:pStyle w:val="CETBodytext"/>
              <w:ind w:right="-1"/>
              <w:jc w:val="center"/>
              <w:rPr>
                <w:rFonts w:cs="Arial"/>
                <w:sz w:val="14"/>
                <w:szCs w:val="14"/>
                <w:lang w:val="it-IT"/>
              </w:rPr>
            </w:pPr>
            <w:r w:rsidRPr="00653C18">
              <w:rPr>
                <w:rFonts w:cs="Arial"/>
                <w:sz w:val="14"/>
                <w:szCs w:val="14"/>
                <w:lang w:val="it-IT"/>
              </w:rPr>
              <w:t xml:space="preserve">&lt; 0.03 </w:t>
            </w:r>
          </w:p>
        </w:tc>
        <w:tc>
          <w:tcPr>
            <w:tcW w:w="578" w:type="pct"/>
            <w:tcBorders>
              <w:top w:val="single" w:sz="6" w:space="0" w:color="008000"/>
              <w:bottom w:val="single" w:sz="6" w:space="0" w:color="008000"/>
            </w:tcBorders>
          </w:tcPr>
          <w:p w14:paraId="44623603" w14:textId="43FE6ACA" w:rsidR="00B128BE" w:rsidRPr="00653C18" w:rsidRDefault="00B128BE" w:rsidP="00F52903">
            <w:pPr>
              <w:pStyle w:val="CETBodytext"/>
              <w:ind w:right="-1"/>
              <w:jc w:val="center"/>
              <w:rPr>
                <w:rFonts w:cs="Arial"/>
                <w:sz w:val="14"/>
                <w:szCs w:val="14"/>
                <w:lang w:val="it-IT"/>
              </w:rPr>
            </w:pPr>
            <w:r w:rsidRPr="00653C18">
              <w:rPr>
                <w:rFonts w:cs="Arial"/>
                <w:sz w:val="14"/>
                <w:szCs w:val="14"/>
                <w:lang w:val="it-IT"/>
              </w:rPr>
              <w:t xml:space="preserve">&lt; 0.03 </w:t>
            </w:r>
          </w:p>
        </w:tc>
        <w:tc>
          <w:tcPr>
            <w:tcW w:w="578" w:type="pct"/>
            <w:tcBorders>
              <w:top w:val="single" w:sz="6" w:space="0" w:color="008000"/>
              <w:bottom w:val="single" w:sz="6" w:space="0" w:color="008000"/>
            </w:tcBorders>
          </w:tcPr>
          <w:p w14:paraId="65E876E3" w14:textId="7D230832" w:rsidR="00B128BE" w:rsidRPr="00653C18" w:rsidRDefault="00B128BE" w:rsidP="00F52903">
            <w:pPr>
              <w:pStyle w:val="CETBodytext"/>
              <w:ind w:right="-1"/>
              <w:jc w:val="center"/>
              <w:rPr>
                <w:rFonts w:cs="Arial"/>
                <w:sz w:val="14"/>
                <w:szCs w:val="14"/>
                <w:lang w:val="it-IT"/>
              </w:rPr>
            </w:pPr>
            <w:r w:rsidRPr="00653C18">
              <w:rPr>
                <w:rFonts w:cs="Arial"/>
                <w:sz w:val="14"/>
                <w:szCs w:val="14"/>
                <w:lang w:val="it-IT"/>
              </w:rPr>
              <w:t xml:space="preserve">&lt; 0.03 </w:t>
            </w:r>
          </w:p>
        </w:tc>
        <w:tc>
          <w:tcPr>
            <w:tcW w:w="521" w:type="pct"/>
            <w:tcBorders>
              <w:top w:val="single" w:sz="6" w:space="0" w:color="008000"/>
              <w:bottom w:val="single" w:sz="6" w:space="0" w:color="008000"/>
            </w:tcBorders>
          </w:tcPr>
          <w:p w14:paraId="224D4D9B" w14:textId="174E42D2" w:rsidR="00B128BE" w:rsidRPr="00653C18" w:rsidRDefault="00B128BE" w:rsidP="00F52903">
            <w:pPr>
              <w:pStyle w:val="CETBodytext"/>
              <w:ind w:right="-1"/>
              <w:jc w:val="center"/>
              <w:rPr>
                <w:rFonts w:cs="Arial"/>
                <w:sz w:val="14"/>
                <w:szCs w:val="14"/>
                <w:lang w:val="it-IT"/>
              </w:rPr>
            </w:pPr>
            <w:r w:rsidRPr="00653C18">
              <w:rPr>
                <w:rFonts w:cs="Arial"/>
                <w:sz w:val="14"/>
                <w:szCs w:val="14"/>
                <w:lang w:val="it-IT"/>
              </w:rPr>
              <w:t>&lt; 0.03</w:t>
            </w:r>
          </w:p>
        </w:tc>
        <w:tc>
          <w:tcPr>
            <w:tcW w:w="578" w:type="pct"/>
            <w:tcBorders>
              <w:top w:val="single" w:sz="6" w:space="0" w:color="008000"/>
              <w:bottom w:val="single" w:sz="6" w:space="0" w:color="008000"/>
            </w:tcBorders>
          </w:tcPr>
          <w:p w14:paraId="42C4DE1A" w14:textId="5C6F0F11" w:rsidR="00B128BE" w:rsidRPr="00653C18" w:rsidRDefault="00B128BE" w:rsidP="00F52903">
            <w:pPr>
              <w:pStyle w:val="CETBodytext"/>
              <w:ind w:right="-1"/>
              <w:jc w:val="center"/>
              <w:rPr>
                <w:rFonts w:cs="Arial"/>
                <w:sz w:val="14"/>
                <w:szCs w:val="14"/>
                <w:lang w:val="it-IT"/>
              </w:rPr>
            </w:pPr>
            <w:r w:rsidRPr="00653C18">
              <w:rPr>
                <w:rFonts w:cs="Arial"/>
                <w:sz w:val="14"/>
                <w:szCs w:val="14"/>
                <w:lang w:val="it-IT"/>
              </w:rPr>
              <w:t xml:space="preserve">&lt; 0.03 </w:t>
            </w:r>
          </w:p>
        </w:tc>
        <w:tc>
          <w:tcPr>
            <w:tcW w:w="581" w:type="pct"/>
            <w:tcBorders>
              <w:top w:val="single" w:sz="6" w:space="0" w:color="008000"/>
              <w:bottom w:val="single" w:sz="6" w:space="0" w:color="008000"/>
            </w:tcBorders>
          </w:tcPr>
          <w:p w14:paraId="5286B89F" w14:textId="5314B4F5" w:rsidR="00B128BE" w:rsidRPr="00653C18" w:rsidRDefault="00B128BE" w:rsidP="00F52903">
            <w:pPr>
              <w:pStyle w:val="CETBodytext"/>
              <w:ind w:right="-1"/>
              <w:jc w:val="center"/>
              <w:rPr>
                <w:rFonts w:cs="Arial"/>
                <w:sz w:val="14"/>
                <w:szCs w:val="14"/>
                <w:lang w:val="it-IT"/>
              </w:rPr>
            </w:pPr>
            <w:r w:rsidRPr="00653C18">
              <w:rPr>
                <w:rFonts w:cs="Arial"/>
                <w:sz w:val="14"/>
                <w:szCs w:val="14"/>
                <w:lang w:val="it-IT"/>
              </w:rPr>
              <w:t xml:space="preserve">&lt; 0.03 </w:t>
            </w:r>
          </w:p>
        </w:tc>
      </w:tr>
    </w:tbl>
    <w:p w14:paraId="0BE7038B" w14:textId="77777777" w:rsidR="00A50910" w:rsidRDefault="00A50910" w:rsidP="0019430C">
      <w:pPr>
        <w:pStyle w:val="CETHeading1"/>
      </w:pPr>
    </w:p>
    <w:p w14:paraId="07958178" w14:textId="46D59CA3" w:rsidR="0019430C" w:rsidRPr="00EB59AD" w:rsidRDefault="0019430C" w:rsidP="0019430C">
      <w:pPr>
        <w:pStyle w:val="CETHeading1"/>
      </w:pPr>
      <w:r>
        <w:t xml:space="preserve">4. </w:t>
      </w:r>
      <w:r w:rsidRPr="00EB59AD">
        <w:t>Conclusion</w:t>
      </w:r>
      <w:r w:rsidR="000420F7">
        <w:t>s</w:t>
      </w:r>
    </w:p>
    <w:p w14:paraId="5BD95E1D" w14:textId="04921852" w:rsidR="00F238A2" w:rsidRDefault="0019430C" w:rsidP="0019430C">
      <w:pPr>
        <w:rPr>
          <w:lang w:val="en-US"/>
        </w:rPr>
      </w:pPr>
      <w:r w:rsidRPr="00F003CF">
        <w:rPr>
          <w:lang w:val="en-US"/>
        </w:rPr>
        <w:t xml:space="preserve">The results obtained from the </w:t>
      </w:r>
      <w:r w:rsidR="00EA4916">
        <w:rPr>
          <w:lang w:val="en-US"/>
        </w:rPr>
        <w:t>anaerobic treatment</w:t>
      </w:r>
      <w:r w:rsidR="00EA4916" w:rsidRPr="00F003CF">
        <w:rPr>
          <w:lang w:val="en-US"/>
        </w:rPr>
        <w:t xml:space="preserve"> </w:t>
      </w:r>
      <w:r w:rsidRPr="00F003CF">
        <w:rPr>
          <w:lang w:val="en-US"/>
        </w:rPr>
        <w:t xml:space="preserve">of tannery sludge showed that </w:t>
      </w:r>
      <w:r w:rsidR="00F52903">
        <w:rPr>
          <w:lang w:val="en-US"/>
        </w:rPr>
        <w:t>such</w:t>
      </w:r>
      <w:r w:rsidR="006E4168">
        <w:rPr>
          <w:lang w:val="en-US"/>
        </w:rPr>
        <w:t xml:space="preserve"> </w:t>
      </w:r>
      <w:r w:rsidRPr="00F003CF">
        <w:rPr>
          <w:lang w:val="en-US"/>
        </w:rPr>
        <w:t>substrate can effectively produce biogas</w:t>
      </w:r>
      <w:r w:rsidR="006E4168">
        <w:rPr>
          <w:lang w:val="en-US"/>
        </w:rPr>
        <w:t xml:space="preserve"> and SCFAs</w:t>
      </w:r>
      <w:r w:rsidRPr="00F003CF">
        <w:rPr>
          <w:lang w:val="en-US"/>
        </w:rPr>
        <w:t xml:space="preserve">. In particular, the oxidizing pretreatment improved the </w:t>
      </w:r>
      <w:r w:rsidR="00EA4916">
        <w:rPr>
          <w:lang w:val="en-US"/>
        </w:rPr>
        <w:t xml:space="preserve">methanogenic activity by increasing the </w:t>
      </w:r>
      <w:r w:rsidR="005B0A26">
        <w:rPr>
          <w:lang w:val="en-US"/>
        </w:rPr>
        <w:t>cumulative biogas production</w:t>
      </w:r>
      <w:r w:rsidR="00EA4916">
        <w:rPr>
          <w:lang w:val="en-US"/>
        </w:rPr>
        <w:t xml:space="preserve"> </w:t>
      </w:r>
      <w:r w:rsidRPr="00F003CF">
        <w:rPr>
          <w:lang w:val="en-US"/>
        </w:rPr>
        <w:t xml:space="preserve">from </w:t>
      </w:r>
      <w:r w:rsidR="001C3135" w:rsidRPr="001C3135">
        <w:rPr>
          <w:lang w:val="en-US"/>
        </w:rPr>
        <w:t>129.7</w:t>
      </w:r>
      <w:r w:rsidR="001C3135">
        <w:rPr>
          <w:lang w:val="en-US"/>
        </w:rPr>
        <w:t xml:space="preserve"> mL</w:t>
      </w:r>
      <w:r w:rsidRPr="00F003CF">
        <w:rPr>
          <w:lang w:val="en-US"/>
        </w:rPr>
        <w:t xml:space="preserve"> </w:t>
      </w:r>
      <w:r w:rsidR="00C5119B">
        <w:rPr>
          <w:lang w:val="en-US"/>
        </w:rPr>
        <w:t>(no H</w:t>
      </w:r>
      <w:r w:rsidR="00C5119B" w:rsidRPr="0031322A">
        <w:rPr>
          <w:vertAlign w:val="subscript"/>
          <w:lang w:val="en-US"/>
        </w:rPr>
        <w:t>2</w:t>
      </w:r>
      <w:r w:rsidR="00C5119B">
        <w:rPr>
          <w:lang w:val="en-US"/>
        </w:rPr>
        <w:t>O</w:t>
      </w:r>
      <w:r w:rsidR="00C5119B" w:rsidRPr="0031322A">
        <w:rPr>
          <w:vertAlign w:val="subscript"/>
          <w:lang w:val="en-US"/>
        </w:rPr>
        <w:t>2</w:t>
      </w:r>
      <w:r w:rsidR="00C5119B">
        <w:rPr>
          <w:lang w:val="en-US"/>
        </w:rPr>
        <w:t xml:space="preserve"> dosage)</w:t>
      </w:r>
      <w:r w:rsidRPr="00F003CF">
        <w:rPr>
          <w:lang w:val="en-US"/>
        </w:rPr>
        <w:t xml:space="preserve"> to </w:t>
      </w:r>
      <w:r w:rsidR="001C3135">
        <w:rPr>
          <w:lang w:val="en-US"/>
        </w:rPr>
        <w:t>204 mL</w:t>
      </w:r>
      <w:r w:rsidR="00C5119B" w:rsidRPr="00F003CF">
        <w:rPr>
          <w:lang w:val="en-US"/>
        </w:rPr>
        <w:t xml:space="preserve"> </w:t>
      </w:r>
      <w:r w:rsidR="00C5119B">
        <w:rPr>
          <w:lang w:val="en-US"/>
        </w:rPr>
        <w:t>(</w:t>
      </w:r>
      <w:r w:rsidRPr="00F003CF">
        <w:rPr>
          <w:lang w:val="en-US"/>
        </w:rPr>
        <w:t>0.6</w:t>
      </w:r>
      <w:r w:rsidR="00C5119B">
        <w:rPr>
          <w:lang w:val="en-US"/>
        </w:rPr>
        <w:t xml:space="preserve"> g H</w:t>
      </w:r>
      <w:r w:rsidR="00C5119B" w:rsidRPr="0031322A">
        <w:rPr>
          <w:vertAlign w:val="subscript"/>
          <w:lang w:val="en-US"/>
        </w:rPr>
        <w:t>2</w:t>
      </w:r>
      <w:r w:rsidR="00C5119B">
        <w:rPr>
          <w:lang w:val="en-US"/>
        </w:rPr>
        <w:t>O</w:t>
      </w:r>
      <w:r w:rsidR="00C5119B" w:rsidRPr="0031322A">
        <w:rPr>
          <w:vertAlign w:val="subscript"/>
          <w:lang w:val="en-US"/>
        </w:rPr>
        <w:t>2</w:t>
      </w:r>
      <w:r w:rsidR="00C5119B">
        <w:rPr>
          <w:lang w:val="en-US"/>
        </w:rPr>
        <w:t>/g TS</w:t>
      </w:r>
      <w:r w:rsidRPr="00F003CF">
        <w:rPr>
          <w:lang w:val="en-US"/>
        </w:rPr>
        <w:t>).</w:t>
      </w:r>
      <w:r w:rsidR="005B0A26">
        <w:rPr>
          <w:lang w:val="en-US"/>
        </w:rPr>
        <w:t xml:space="preserve"> The maximum SGP (</w:t>
      </w:r>
      <w:r w:rsidR="005B0A26" w:rsidRPr="00F003CF">
        <w:rPr>
          <w:lang w:val="en-US"/>
        </w:rPr>
        <w:t>0</w:t>
      </w:r>
      <w:r w:rsidR="005B0A26">
        <w:rPr>
          <w:lang w:val="en-US"/>
        </w:rPr>
        <w:t>.</w:t>
      </w:r>
      <w:r w:rsidR="005B0A26" w:rsidRPr="00F003CF">
        <w:rPr>
          <w:lang w:val="en-US"/>
        </w:rPr>
        <w:t>26 m</w:t>
      </w:r>
      <w:r w:rsidR="005B0A26" w:rsidRPr="00F003CF">
        <w:rPr>
          <w:vertAlign w:val="superscript"/>
          <w:lang w:val="en-US"/>
        </w:rPr>
        <w:t>3</w:t>
      </w:r>
      <w:r w:rsidR="005B0A26" w:rsidRPr="00F003CF">
        <w:rPr>
          <w:lang w:val="en-US"/>
        </w:rPr>
        <w:t>/kg</w:t>
      </w:r>
      <w:r w:rsidR="005B0A26">
        <w:rPr>
          <w:lang w:val="en-US"/>
        </w:rPr>
        <w:t xml:space="preserve"> </w:t>
      </w:r>
      <w:r w:rsidR="005B0A26" w:rsidRPr="00F003CF">
        <w:rPr>
          <w:lang w:val="en-US"/>
        </w:rPr>
        <w:t>VS</w:t>
      </w:r>
      <w:r w:rsidR="005B0A26">
        <w:rPr>
          <w:lang w:val="en-US"/>
        </w:rPr>
        <w:t>) was obtained with the highest H</w:t>
      </w:r>
      <w:r w:rsidR="005B0A26" w:rsidRPr="0031322A">
        <w:rPr>
          <w:vertAlign w:val="subscript"/>
          <w:lang w:val="en-US"/>
        </w:rPr>
        <w:t>2</w:t>
      </w:r>
      <w:r w:rsidR="005B0A26">
        <w:rPr>
          <w:lang w:val="en-US"/>
        </w:rPr>
        <w:t>O</w:t>
      </w:r>
      <w:r w:rsidR="005B0A26" w:rsidRPr="0031322A">
        <w:rPr>
          <w:vertAlign w:val="subscript"/>
          <w:lang w:val="en-US"/>
        </w:rPr>
        <w:t>2</w:t>
      </w:r>
      <w:r w:rsidR="005B0A26">
        <w:rPr>
          <w:lang w:val="en-US"/>
        </w:rPr>
        <w:t xml:space="preserve"> dosage</w:t>
      </w:r>
      <w:r w:rsidRPr="00F003CF">
        <w:rPr>
          <w:lang w:val="en-US"/>
        </w:rPr>
        <w:t xml:space="preserve"> </w:t>
      </w:r>
      <w:r w:rsidR="005B0A26">
        <w:rPr>
          <w:lang w:val="en-US"/>
        </w:rPr>
        <w:t xml:space="preserve">adopted. </w:t>
      </w:r>
      <w:r w:rsidR="00C5119B">
        <w:rPr>
          <w:lang w:val="en-US"/>
        </w:rPr>
        <w:t xml:space="preserve">Once the biodegradability of this sludge was proved, </w:t>
      </w:r>
      <w:r w:rsidR="005B0A26">
        <w:rPr>
          <w:lang w:val="en-US"/>
        </w:rPr>
        <w:t xml:space="preserve">as well as the increased biodegradability with the oxidizing pretreatment, </w:t>
      </w:r>
      <w:r w:rsidR="00C5119B">
        <w:rPr>
          <w:lang w:val="en-US"/>
        </w:rPr>
        <w:t>the</w:t>
      </w:r>
      <w:r w:rsidR="005B0A26">
        <w:rPr>
          <w:lang w:val="en-US"/>
        </w:rPr>
        <w:t xml:space="preserve"> acidogenic</w:t>
      </w:r>
      <w:r w:rsidR="00C5119B">
        <w:rPr>
          <w:lang w:val="en-US"/>
        </w:rPr>
        <w:t xml:space="preserve"> fermentation trials were carried out under both</w:t>
      </w:r>
      <w:r w:rsidR="005F025D">
        <w:rPr>
          <w:lang w:val="en-US"/>
        </w:rPr>
        <w:t xml:space="preserve"> </w:t>
      </w:r>
      <w:r w:rsidR="001B34EB" w:rsidRPr="001B34EB">
        <w:rPr>
          <w:lang w:val="en-US"/>
        </w:rPr>
        <w:t xml:space="preserve">mesophilic and thermophilic </w:t>
      </w:r>
      <w:r w:rsidR="00C5119B">
        <w:rPr>
          <w:lang w:val="en-US"/>
        </w:rPr>
        <w:t xml:space="preserve">conditions. </w:t>
      </w:r>
    </w:p>
    <w:p w14:paraId="177AD874" w14:textId="7EA881A8" w:rsidR="0019430C" w:rsidRDefault="00C5119B" w:rsidP="0019430C">
      <w:pPr>
        <w:rPr>
          <w:lang w:val="en-US"/>
        </w:rPr>
      </w:pPr>
      <w:r>
        <w:rPr>
          <w:lang w:val="en-US"/>
        </w:rPr>
        <w:t>The maximum SCFAs concentration were</w:t>
      </w:r>
      <w:r w:rsidR="001B34EB" w:rsidRPr="001B34EB">
        <w:rPr>
          <w:lang w:val="en-US"/>
        </w:rPr>
        <w:t xml:space="preserve"> 16</w:t>
      </w:r>
      <w:r w:rsidR="005F025D">
        <w:rPr>
          <w:lang w:val="en-US"/>
        </w:rPr>
        <w:t xml:space="preserve">.4 </w:t>
      </w:r>
      <w:r w:rsidR="001B34EB" w:rsidRPr="001B34EB">
        <w:rPr>
          <w:lang w:val="en-US"/>
        </w:rPr>
        <w:t>g COD</w:t>
      </w:r>
      <w:r w:rsidR="001B34EB" w:rsidRPr="00813A11">
        <w:rPr>
          <w:vertAlign w:val="subscript"/>
          <w:lang w:val="en-US"/>
        </w:rPr>
        <w:t>SCFA</w:t>
      </w:r>
      <w:r w:rsidR="001B34EB" w:rsidRPr="001B34EB">
        <w:rPr>
          <w:lang w:val="en-US"/>
        </w:rPr>
        <w:t>/L (achieved in approximately two weeks) and 2</w:t>
      </w:r>
      <w:r w:rsidR="005F025D">
        <w:rPr>
          <w:lang w:val="en-US"/>
        </w:rPr>
        <w:t>4.2</w:t>
      </w:r>
      <w:r w:rsidR="001B34EB" w:rsidRPr="001B34EB">
        <w:rPr>
          <w:lang w:val="en-US"/>
        </w:rPr>
        <w:t xml:space="preserve"> g COD</w:t>
      </w:r>
      <w:r w:rsidR="001B34EB" w:rsidRPr="00813A11">
        <w:rPr>
          <w:vertAlign w:val="subscript"/>
          <w:lang w:val="en-US"/>
        </w:rPr>
        <w:t>SCFA</w:t>
      </w:r>
      <w:r w:rsidR="001B34EB" w:rsidRPr="001B34EB">
        <w:rPr>
          <w:lang w:val="en-US"/>
        </w:rPr>
        <w:t xml:space="preserve">/L (achieved in approximately three weeks) </w:t>
      </w:r>
      <w:r>
        <w:rPr>
          <w:lang w:val="en-US"/>
        </w:rPr>
        <w:t xml:space="preserve">in mesophilic and thermophilic conditions respectively, starting from a </w:t>
      </w:r>
      <w:r w:rsidR="0031322A">
        <w:rPr>
          <w:lang w:val="en-US"/>
        </w:rPr>
        <w:t>thermally oxidized</w:t>
      </w:r>
      <w:r>
        <w:rPr>
          <w:lang w:val="en-US"/>
        </w:rPr>
        <w:t xml:space="preserve"> </w:t>
      </w:r>
      <w:r w:rsidR="005B0A26">
        <w:rPr>
          <w:lang w:val="en-US"/>
        </w:rPr>
        <w:t>(MW-H</w:t>
      </w:r>
      <w:r w:rsidR="005B0A26" w:rsidRPr="005B0A26">
        <w:rPr>
          <w:vertAlign w:val="subscript"/>
          <w:lang w:val="en-US"/>
        </w:rPr>
        <w:t>2</w:t>
      </w:r>
      <w:r w:rsidR="005B0A26">
        <w:rPr>
          <w:lang w:val="en-US"/>
        </w:rPr>
        <w:t>O</w:t>
      </w:r>
      <w:r w:rsidR="005B0A26" w:rsidRPr="005B0A26">
        <w:rPr>
          <w:vertAlign w:val="subscript"/>
          <w:lang w:val="en-US"/>
        </w:rPr>
        <w:t>2</w:t>
      </w:r>
      <w:r w:rsidR="005B0A26">
        <w:rPr>
          <w:lang w:val="en-US"/>
        </w:rPr>
        <w:t xml:space="preserve">) </w:t>
      </w:r>
      <w:r>
        <w:rPr>
          <w:lang w:val="en-US"/>
        </w:rPr>
        <w:t>pre-treated sludge</w:t>
      </w:r>
      <w:r w:rsidR="001B34EB" w:rsidRPr="001B34EB">
        <w:rPr>
          <w:lang w:val="en-US"/>
        </w:rPr>
        <w:t>. The absence of the pretreatment was associated with lower performances, and the various initial VS levels had no significant effect.</w:t>
      </w:r>
      <w:r w:rsidR="001B34EB">
        <w:rPr>
          <w:lang w:val="en-US"/>
        </w:rPr>
        <w:t xml:space="preserve"> </w:t>
      </w:r>
      <w:r w:rsidR="0019430C" w:rsidRPr="00F003CF">
        <w:rPr>
          <w:lang w:val="en-US"/>
        </w:rPr>
        <w:t>Overall, these results prove</w:t>
      </w:r>
      <w:r>
        <w:rPr>
          <w:lang w:val="en-US"/>
        </w:rPr>
        <w:t>d</w:t>
      </w:r>
      <w:r w:rsidR="0019430C" w:rsidRPr="00F003CF">
        <w:rPr>
          <w:lang w:val="en-US"/>
        </w:rPr>
        <w:t xml:space="preserve"> that t</w:t>
      </w:r>
      <w:r>
        <w:rPr>
          <w:lang w:val="en-US"/>
        </w:rPr>
        <w:t xml:space="preserve">annery sludge </w:t>
      </w:r>
      <w:r w:rsidR="0019430C" w:rsidRPr="00F003CF">
        <w:rPr>
          <w:lang w:val="en-US"/>
        </w:rPr>
        <w:t xml:space="preserve">can be employed to produce biogas </w:t>
      </w:r>
      <w:r>
        <w:rPr>
          <w:lang w:val="en-US"/>
        </w:rPr>
        <w:t xml:space="preserve">or SCFAs </w:t>
      </w:r>
      <w:r w:rsidR="0019430C" w:rsidRPr="00F003CF">
        <w:rPr>
          <w:lang w:val="en-US"/>
        </w:rPr>
        <w:t xml:space="preserve">with </w:t>
      </w:r>
      <w:r>
        <w:rPr>
          <w:lang w:val="en-US"/>
        </w:rPr>
        <w:t>promising</w:t>
      </w:r>
      <w:r w:rsidRPr="00F003CF">
        <w:rPr>
          <w:lang w:val="en-US"/>
        </w:rPr>
        <w:t xml:space="preserve"> </w:t>
      </w:r>
      <w:r w:rsidR="0019430C" w:rsidRPr="00F003CF">
        <w:rPr>
          <w:lang w:val="en-US"/>
        </w:rPr>
        <w:t>results</w:t>
      </w:r>
      <w:r w:rsidR="005B0A26">
        <w:rPr>
          <w:lang w:val="en-US"/>
        </w:rPr>
        <w:t xml:space="preserve">; hence, anaerobic digestion as well as acidogenic fermentation can be both applied as </w:t>
      </w:r>
      <w:r w:rsidR="00D422A4">
        <w:rPr>
          <w:lang w:val="en-US"/>
        </w:rPr>
        <w:t xml:space="preserve">already established and more innovative </w:t>
      </w:r>
      <w:proofErr w:type="gramStart"/>
      <w:r w:rsidR="00D422A4">
        <w:rPr>
          <w:lang w:val="en-US"/>
        </w:rPr>
        <w:t>bio-technologies</w:t>
      </w:r>
      <w:proofErr w:type="gramEnd"/>
      <w:r w:rsidR="00D422A4">
        <w:rPr>
          <w:lang w:val="en-US"/>
        </w:rPr>
        <w:t xml:space="preserve"> for its valorization</w:t>
      </w:r>
      <w:r>
        <w:rPr>
          <w:lang w:val="en-US"/>
        </w:rPr>
        <w:t xml:space="preserve">. More efforts need to be dedicated on this research to create a robust knowledge, which in turn can be useful to strongly limit </w:t>
      </w:r>
      <w:r w:rsidR="0019430C" w:rsidRPr="00F003CF">
        <w:rPr>
          <w:lang w:val="en-US"/>
        </w:rPr>
        <w:t xml:space="preserve">the </w:t>
      </w:r>
      <w:r>
        <w:rPr>
          <w:lang w:val="en-US"/>
        </w:rPr>
        <w:t>landfilling, which still represent</w:t>
      </w:r>
      <w:r w:rsidR="00D422A4">
        <w:rPr>
          <w:lang w:val="en-US"/>
        </w:rPr>
        <w:t>s</w:t>
      </w:r>
      <w:r>
        <w:rPr>
          <w:lang w:val="en-US"/>
        </w:rPr>
        <w:t xml:space="preserve"> the only</w:t>
      </w:r>
      <w:r w:rsidR="00D422A4">
        <w:rPr>
          <w:lang w:val="en-US"/>
        </w:rPr>
        <w:t xml:space="preserve"> and not-sustainable</w:t>
      </w:r>
      <w:r>
        <w:rPr>
          <w:lang w:val="en-US"/>
        </w:rPr>
        <w:t xml:space="preserve"> disposal practice at this moment.</w:t>
      </w:r>
      <w:r w:rsidR="0019430C" w:rsidRPr="00F003CF">
        <w:rPr>
          <w:lang w:val="en-US"/>
        </w:rPr>
        <w:t xml:space="preserve"> </w:t>
      </w:r>
    </w:p>
    <w:p w14:paraId="218316F9" w14:textId="3D151B8F" w:rsidR="00D422A4" w:rsidRDefault="00D422A4" w:rsidP="0019430C">
      <w:pPr>
        <w:rPr>
          <w:lang w:val="en-US"/>
        </w:rPr>
      </w:pPr>
    </w:p>
    <w:p w14:paraId="6DCF1344" w14:textId="77777777" w:rsidR="00D422A4" w:rsidRPr="00F003CF" w:rsidRDefault="00D422A4" w:rsidP="0019430C">
      <w:pPr>
        <w:rPr>
          <w:lang w:val="en-US"/>
        </w:rPr>
      </w:pPr>
    </w:p>
    <w:p w14:paraId="383AD41E" w14:textId="77777777" w:rsidR="0019430C" w:rsidRPr="00B57B36" w:rsidRDefault="0019430C" w:rsidP="0019430C">
      <w:pPr>
        <w:pStyle w:val="CETAcknowledgementstitle"/>
      </w:pPr>
      <w:r w:rsidRPr="00B57B36">
        <w:lastRenderedPageBreak/>
        <w:t>Acknowledgments</w:t>
      </w:r>
    </w:p>
    <w:p w14:paraId="43E86188" w14:textId="77777777" w:rsidR="0019430C" w:rsidRDefault="0019430C" w:rsidP="000420F7">
      <w:pPr>
        <w:pStyle w:val="CETBodytext"/>
      </w:pPr>
      <w:r w:rsidRPr="00EB59AD">
        <w:t>This work was supported by PON “</w:t>
      </w:r>
      <w:proofErr w:type="spellStart"/>
      <w:r w:rsidRPr="00EB59AD">
        <w:t>Ricerca</w:t>
      </w:r>
      <w:proofErr w:type="spellEnd"/>
      <w:r w:rsidRPr="00EB59AD">
        <w:t xml:space="preserve"> e </w:t>
      </w:r>
      <w:proofErr w:type="spellStart"/>
      <w:r w:rsidRPr="00EB59AD">
        <w:t>Innovazione</w:t>
      </w:r>
      <w:proofErr w:type="spellEnd"/>
      <w:r w:rsidRPr="00EB59AD">
        <w:t xml:space="preserve">”, founded by the European Union </w:t>
      </w:r>
      <w:proofErr w:type="spellStart"/>
      <w:r w:rsidRPr="00EB59AD">
        <w:t>NextGenerationEU</w:t>
      </w:r>
      <w:proofErr w:type="spellEnd"/>
      <w:r w:rsidRPr="00EB59AD">
        <w:t xml:space="preserve">. The authors wish to thank Medio </w:t>
      </w:r>
      <w:proofErr w:type="spellStart"/>
      <w:r w:rsidRPr="00EB59AD">
        <w:t>Chiampo</w:t>
      </w:r>
      <w:proofErr w:type="spellEnd"/>
      <w:r w:rsidRPr="00EB59AD">
        <w:t xml:space="preserve"> </w:t>
      </w:r>
      <w:proofErr w:type="spellStart"/>
      <w:r w:rsidRPr="00EB59AD">
        <w:t>S.p.a</w:t>
      </w:r>
      <w:proofErr w:type="spellEnd"/>
      <w:r w:rsidRPr="00EB59AD">
        <w:t xml:space="preserve">. for providing the raw material for this research. Alto </w:t>
      </w:r>
      <w:proofErr w:type="spellStart"/>
      <w:r w:rsidRPr="00EB59AD">
        <w:t>Trevigiano</w:t>
      </w:r>
      <w:proofErr w:type="spellEnd"/>
      <w:r w:rsidRPr="00EB59AD">
        <w:t xml:space="preserve"> </w:t>
      </w:r>
      <w:proofErr w:type="spellStart"/>
      <w:r w:rsidRPr="00EB59AD">
        <w:t>Servizi</w:t>
      </w:r>
      <w:proofErr w:type="spellEnd"/>
      <w:r w:rsidRPr="00EB59AD">
        <w:t xml:space="preserve"> </w:t>
      </w:r>
      <w:proofErr w:type="spellStart"/>
      <w:r w:rsidRPr="00EB59AD">
        <w:t>S.r.l</w:t>
      </w:r>
      <w:proofErr w:type="spellEnd"/>
      <w:r w:rsidRPr="00EB59AD">
        <w:t>. is also gratefully acknowledged for the hospitality</w:t>
      </w:r>
      <w:r>
        <w:t xml:space="preserve">. </w:t>
      </w:r>
    </w:p>
    <w:p w14:paraId="275A5F46" w14:textId="77777777" w:rsidR="0019430C" w:rsidRPr="00EB59AD" w:rsidRDefault="0019430C" w:rsidP="0019430C">
      <w:pPr>
        <w:pStyle w:val="CETBodytext"/>
        <w:rPr>
          <w:b/>
          <w:bCs/>
        </w:rPr>
      </w:pPr>
    </w:p>
    <w:p w14:paraId="759BF49E" w14:textId="77777777" w:rsidR="00EB59AD" w:rsidRPr="00EB59AD" w:rsidRDefault="00EB59AD" w:rsidP="00EB59AD">
      <w:pPr>
        <w:rPr>
          <w:lang w:val="en-US"/>
        </w:rPr>
      </w:pPr>
    </w:p>
    <w:p w14:paraId="7B044F93" w14:textId="3543954D" w:rsidR="00A50910" w:rsidRPr="00EB59AD" w:rsidRDefault="00A50910" w:rsidP="00EB59AD">
      <w:pPr>
        <w:rPr>
          <w:b/>
          <w:bCs/>
          <w:lang w:val="en-US"/>
        </w:rPr>
        <w:sectPr w:rsidR="00A50910" w:rsidRPr="00EB59AD" w:rsidSect="00E23CB1">
          <w:footerReference w:type="even" r:id="rId13"/>
          <w:footerReference w:type="default" r:id="rId14"/>
          <w:type w:val="continuous"/>
          <w:pgSz w:w="11906" w:h="16838"/>
          <w:pgMar w:top="1701" w:right="1418" w:bottom="1701" w:left="1701" w:header="709" w:footer="709" w:gutter="0"/>
          <w:cols w:space="708"/>
          <w:docGrid w:linePitch="360"/>
        </w:sectPr>
      </w:pPr>
    </w:p>
    <w:p w14:paraId="59E0B5D3" w14:textId="77777777" w:rsidR="00EB59AD" w:rsidRPr="00EB59AD" w:rsidRDefault="00EB59AD" w:rsidP="006B504C">
      <w:pPr>
        <w:rPr>
          <w:lang w:val="en-US"/>
        </w:rPr>
      </w:pPr>
      <w:r w:rsidRPr="00EB59AD">
        <w:rPr>
          <w:b/>
          <w:bCs/>
          <w:lang w:val="en-US"/>
        </w:rPr>
        <w:t xml:space="preserve">References </w:t>
      </w:r>
    </w:p>
    <w:p w14:paraId="4A81369D" w14:textId="46C5AD2A" w:rsidR="00615FF3" w:rsidRPr="00615FF3" w:rsidRDefault="00615FF3" w:rsidP="00615FF3">
      <w:pPr>
        <w:pStyle w:val="CETReferencetext"/>
        <w:rPr>
          <w:rFonts w:ascii="Times New Roman" w:hAnsi="Times New Roman"/>
          <w:lang w:val="en-US" w:eastAsia="it-IT"/>
        </w:rPr>
      </w:pPr>
      <w:proofErr w:type="spellStart"/>
      <w:r w:rsidRPr="00926D9E">
        <w:rPr>
          <w:shd w:val="clear" w:color="auto" w:fill="FFFFFF"/>
          <w:lang w:val="en-US" w:eastAsia="it-IT"/>
        </w:rPr>
        <w:t>Achouri</w:t>
      </w:r>
      <w:proofErr w:type="spellEnd"/>
      <w:r w:rsidRPr="00926D9E">
        <w:rPr>
          <w:shd w:val="clear" w:color="auto" w:fill="FFFFFF"/>
          <w:lang w:val="en-US" w:eastAsia="it-IT"/>
        </w:rPr>
        <w:t xml:space="preserve"> O., </w:t>
      </w:r>
      <w:proofErr w:type="spellStart"/>
      <w:r w:rsidRPr="00926D9E">
        <w:rPr>
          <w:shd w:val="clear" w:color="auto" w:fill="FFFFFF"/>
          <w:lang w:val="en-US" w:eastAsia="it-IT"/>
        </w:rPr>
        <w:t>Panico</w:t>
      </w:r>
      <w:proofErr w:type="spellEnd"/>
      <w:r w:rsidRPr="00926D9E">
        <w:rPr>
          <w:shd w:val="clear" w:color="auto" w:fill="FFFFFF"/>
          <w:lang w:val="en-US" w:eastAsia="it-IT"/>
        </w:rPr>
        <w:t xml:space="preserve"> A., </w:t>
      </w:r>
      <w:proofErr w:type="spellStart"/>
      <w:r w:rsidRPr="00926D9E">
        <w:rPr>
          <w:shd w:val="clear" w:color="auto" w:fill="FFFFFF"/>
          <w:lang w:val="en-US" w:eastAsia="it-IT"/>
        </w:rPr>
        <w:t>Bencheikh-Lehocine</w:t>
      </w:r>
      <w:proofErr w:type="spellEnd"/>
      <w:r w:rsidRPr="00926D9E">
        <w:rPr>
          <w:shd w:val="clear" w:color="auto" w:fill="FFFFFF"/>
          <w:lang w:val="en-US" w:eastAsia="it-IT"/>
        </w:rPr>
        <w:t xml:space="preserve"> M., </w:t>
      </w:r>
      <w:proofErr w:type="spellStart"/>
      <w:r w:rsidRPr="00926D9E">
        <w:rPr>
          <w:shd w:val="clear" w:color="auto" w:fill="FFFFFF"/>
          <w:lang w:val="en-US" w:eastAsia="it-IT"/>
        </w:rPr>
        <w:t>Derbal</w:t>
      </w:r>
      <w:proofErr w:type="spellEnd"/>
      <w:r w:rsidRPr="00926D9E">
        <w:rPr>
          <w:shd w:val="clear" w:color="auto" w:fill="FFFFFF"/>
          <w:lang w:val="en-US" w:eastAsia="it-IT"/>
        </w:rPr>
        <w:t xml:space="preserve"> K., Arias D., </w:t>
      </w:r>
      <w:proofErr w:type="spellStart"/>
      <w:r w:rsidRPr="00926D9E">
        <w:rPr>
          <w:shd w:val="clear" w:color="auto" w:fill="FFFFFF"/>
          <w:lang w:val="en-US" w:eastAsia="it-IT"/>
        </w:rPr>
        <w:t>Iasimone</w:t>
      </w:r>
      <w:proofErr w:type="spellEnd"/>
      <w:r w:rsidRPr="00926D9E">
        <w:rPr>
          <w:shd w:val="clear" w:color="auto" w:fill="FFFFFF"/>
          <w:lang w:val="en-US" w:eastAsia="it-IT"/>
        </w:rPr>
        <w:t xml:space="preserve"> F., </w:t>
      </w:r>
      <w:proofErr w:type="spellStart"/>
      <w:r w:rsidRPr="00926D9E">
        <w:rPr>
          <w:shd w:val="clear" w:color="auto" w:fill="FFFFFF"/>
          <w:lang w:val="en-US" w:eastAsia="it-IT"/>
        </w:rPr>
        <w:t>Padulano</w:t>
      </w:r>
      <w:proofErr w:type="spellEnd"/>
      <w:r w:rsidRPr="00926D9E">
        <w:rPr>
          <w:shd w:val="clear" w:color="auto" w:fill="FFFFFF"/>
          <w:lang w:val="en-US" w:eastAsia="it-IT"/>
        </w:rPr>
        <w:t xml:space="preserve"> R., </w:t>
      </w:r>
      <w:proofErr w:type="spellStart"/>
      <w:r w:rsidRPr="00926D9E">
        <w:rPr>
          <w:shd w:val="clear" w:color="auto" w:fill="FFFFFF"/>
          <w:lang w:val="en-US" w:eastAsia="it-IT"/>
        </w:rPr>
        <w:t>Bouteraa</w:t>
      </w:r>
      <w:proofErr w:type="spellEnd"/>
      <w:r w:rsidRPr="00926D9E">
        <w:rPr>
          <w:shd w:val="clear" w:color="auto" w:fill="FFFFFF"/>
          <w:lang w:val="en-US" w:eastAsia="it-IT"/>
        </w:rPr>
        <w:t xml:space="preserve"> M., </w:t>
      </w:r>
      <w:proofErr w:type="spellStart"/>
      <w:r w:rsidRPr="00926D9E">
        <w:rPr>
          <w:shd w:val="clear" w:color="auto" w:fill="FFFFFF"/>
          <w:lang w:val="en-US" w:eastAsia="it-IT"/>
        </w:rPr>
        <w:t>Rebahi</w:t>
      </w:r>
      <w:proofErr w:type="spellEnd"/>
      <w:r w:rsidRPr="00926D9E">
        <w:rPr>
          <w:shd w:val="clear" w:color="auto" w:fill="FFFFFF"/>
          <w:lang w:val="en-US" w:eastAsia="it-IT"/>
        </w:rPr>
        <w:t xml:space="preserve"> A., </w:t>
      </w:r>
      <w:proofErr w:type="spellStart"/>
      <w:r w:rsidRPr="00926D9E">
        <w:rPr>
          <w:shd w:val="clear" w:color="auto" w:fill="FFFFFF"/>
          <w:lang w:val="en-US" w:eastAsia="it-IT"/>
        </w:rPr>
        <w:t>Pirozzi</w:t>
      </w:r>
      <w:proofErr w:type="spellEnd"/>
      <w:r w:rsidRPr="00926D9E">
        <w:rPr>
          <w:shd w:val="clear" w:color="auto" w:fill="FFFFFF"/>
          <w:lang w:val="en-US" w:eastAsia="it-IT"/>
        </w:rPr>
        <w:t>, F., 2021, Role of H2O2 dosage on methane production from tannery wastewater: experimental and kinetic study</w:t>
      </w:r>
      <w:r>
        <w:rPr>
          <w:shd w:val="clear" w:color="auto" w:fill="FFFFFF"/>
          <w:lang w:val="en-US" w:eastAsia="it-IT"/>
        </w:rPr>
        <w:t>,</w:t>
      </w:r>
      <w:r w:rsidRPr="00926D9E">
        <w:rPr>
          <w:shd w:val="clear" w:color="auto" w:fill="FFFFFF"/>
          <w:lang w:val="en-US" w:eastAsia="it-IT"/>
        </w:rPr>
        <w:t> </w:t>
      </w:r>
      <w:r w:rsidRPr="00926D9E">
        <w:rPr>
          <w:lang w:val="en-US" w:eastAsia="it-IT"/>
        </w:rPr>
        <w:t>Journal of Water Process Engineering</w:t>
      </w:r>
      <w:r w:rsidRPr="00926D9E">
        <w:rPr>
          <w:shd w:val="clear" w:color="auto" w:fill="FFFFFF"/>
          <w:lang w:val="en-US" w:eastAsia="it-IT"/>
        </w:rPr>
        <w:t>, </w:t>
      </w:r>
      <w:r w:rsidRPr="00926D9E">
        <w:rPr>
          <w:lang w:val="en-US" w:eastAsia="it-IT"/>
        </w:rPr>
        <w:t>43</w:t>
      </w:r>
      <w:r w:rsidRPr="00926D9E">
        <w:rPr>
          <w:shd w:val="clear" w:color="auto" w:fill="FFFFFF"/>
          <w:lang w:val="en-US" w:eastAsia="it-IT"/>
        </w:rPr>
        <w:t>, 102313.</w:t>
      </w:r>
    </w:p>
    <w:p w14:paraId="0BF0E94F" w14:textId="2890FAF4" w:rsidR="00615FF3" w:rsidRPr="00615FF3" w:rsidRDefault="00615FF3" w:rsidP="00615FF3">
      <w:pPr>
        <w:pStyle w:val="CETReferencetext"/>
        <w:rPr>
          <w:rFonts w:ascii="Times New Roman" w:hAnsi="Times New Roman"/>
          <w:lang w:val="en-US" w:eastAsia="it-IT"/>
        </w:rPr>
      </w:pPr>
      <w:proofErr w:type="spellStart"/>
      <w:r w:rsidRPr="00926D9E">
        <w:rPr>
          <w:shd w:val="clear" w:color="auto" w:fill="FFFFFF"/>
          <w:lang w:val="en-US" w:eastAsia="it-IT"/>
        </w:rPr>
        <w:t>Agustini</w:t>
      </w:r>
      <w:proofErr w:type="spellEnd"/>
      <w:r w:rsidRPr="00926D9E">
        <w:rPr>
          <w:shd w:val="clear" w:color="auto" w:fill="FFFFFF"/>
          <w:lang w:val="en-US" w:eastAsia="it-IT"/>
        </w:rPr>
        <w:t xml:space="preserve"> C., da Costa M., </w:t>
      </w:r>
      <w:proofErr w:type="spellStart"/>
      <w:r w:rsidRPr="00926D9E">
        <w:rPr>
          <w:shd w:val="clear" w:color="auto" w:fill="FFFFFF"/>
          <w:lang w:val="en-US" w:eastAsia="it-IT"/>
        </w:rPr>
        <w:t>Gutterres</w:t>
      </w:r>
      <w:proofErr w:type="spellEnd"/>
      <w:r w:rsidRPr="00926D9E">
        <w:rPr>
          <w:shd w:val="clear" w:color="auto" w:fill="FFFFFF"/>
          <w:lang w:val="en-US" w:eastAsia="it-IT"/>
        </w:rPr>
        <w:t xml:space="preserve"> M., 2018, Biogas production from tannery solid wastes–Scale-up and cost saving analysis</w:t>
      </w:r>
      <w:r>
        <w:rPr>
          <w:shd w:val="clear" w:color="auto" w:fill="FFFFFF"/>
          <w:lang w:val="en-US" w:eastAsia="it-IT"/>
        </w:rPr>
        <w:t>,</w:t>
      </w:r>
      <w:r w:rsidRPr="00926D9E">
        <w:rPr>
          <w:shd w:val="clear" w:color="auto" w:fill="FFFFFF"/>
          <w:lang w:val="en-US" w:eastAsia="it-IT"/>
        </w:rPr>
        <w:t> </w:t>
      </w:r>
      <w:r w:rsidRPr="00926D9E">
        <w:rPr>
          <w:lang w:val="en-US" w:eastAsia="it-IT"/>
        </w:rPr>
        <w:t>Journal of Cleaner Production</w:t>
      </w:r>
      <w:r w:rsidRPr="00926D9E">
        <w:rPr>
          <w:shd w:val="clear" w:color="auto" w:fill="FFFFFF"/>
          <w:lang w:val="en-US" w:eastAsia="it-IT"/>
        </w:rPr>
        <w:t>, </w:t>
      </w:r>
      <w:r w:rsidRPr="00926D9E">
        <w:rPr>
          <w:lang w:val="en-US" w:eastAsia="it-IT"/>
        </w:rPr>
        <w:t>187</w:t>
      </w:r>
      <w:r w:rsidRPr="00926D9E">
        <w:rPr>
          <w:shd w:val="clear" w:color="auto" w:fill="FFFFFF"/>
          <w:lang w:val="en-US" w:eastAsia="it-IT"/>
        </w:rPr>
        <w:t>, 158-164.</w:t>
      </w:r>
    </w:p>
    <w:p w14:paraId="2BD09592" w14:textId="5CF81C2F" w:rsidR="00615FF3" w:rsidRPr="00295A26" w:rsidRDefault="00615FF3" w:rsidP="00615FF3">
      <w:pPr>
        <w:pStyle w:val="CETReferencetext"/>
        <w:rPr>
          <w:rFonts w:ascii="Times New Roman" w:hAnsi="Times New Roman"/>
          <w:lang w:val="en-US" w:eastAsia="it-IT"/>
        </w:rPr>
      </w:pPr>
      <w:r w:rsidRPr="00295A26">
        <w:rPr>
          <w:shd w:val="clear" w:color="auto" w:fill="FFFFFF"/>
          <w:lang w:val="en-US" w:eastAsia="it-IT"/>
        </w:rPr>
        <w:t xml:space="preserve">Ambrose H. W., Chin C. T. L., Hong E., Philip L., </w:t>
      </w:r>
      <w:proofErr w:type="spellStart"/>
      <w:r w:rsidRPr="00295A26">
        <w:rPr>
          <w:shd w:val="clear" w:color="auto" w:fill="FFFFFF"/>
          <w:lang w:val="en-US" w:eastAsia="it-IT"/>
        </w:rPr>
        <w:t>Suraishkumar</w:t>
      </w:r>
      <w:proofErr w:type="spellEnd"/>
      <w:r w:rsidRPr="00295A26">
        <w:rPr>
          <w:shd w:val="clear" w:color="auto" w:fill="FFFFFF"/>
          <w:lang w:val="en-US" w:eastAsia="it-IT"/>
        </w:rPr>
        <w:t xml:space="preserve"> G. K., Sen T. K., </w:t>
      </w:r>
      <w:proofErr w:type="spellStart"/>
      <w:r w:rsidRPr="00295A26">
        <w:rPr>
          <w:shd w:val="clear" w:color="auto" w:fill="FFFFFF"/>
          <w:lang w:val="en-US" w:eastAsia="it-IT"/>
        </w:rPr>
        <w:t>Khiadani</w:t>
      </w:r>
      <w:proofErr w:type="spellEnd"/>
      <w:r w:rsidRPr="00295A26">
        <w:rPr>
          <w:shd w:val="clear" w:color="auto" w:fill="FFFFFF"/>
          <w:lang w:val="en-US" w:eastAsia="it-IT"/>
        </w:rPr>
        <w:t xml:space="preserve"> M.</w:t>
      </w:r>
      <w:r>
        <w:rPr>
          <w:shd w:val="clear" w:color="auto" w:fill="FFFFFF"/>
          <w:lang w:val="en-US" w:eastAsia="it-IT"/>
        </w:rPr>
        <w:t>,</w:t>
      </w:r>
      <w:r w:rsidRPr="00295A26">
        <w:rPr>
          <w:shd w:val="clear" w:color="auto" w:fill="FFFFFF"/>
          <w:lang w:val="en-US" w:eastAsia="it-IT"/>
        </w:rPr>
        <w:t xml:space="preserve"> 2020</w:t>
      </w:r>
      <w:r>
        <w:rPr>
          <w:shd w:val="clear" w:color="auto" w:fill="FFFFFF"/>
          <w:lang w:val="en-US" w:eastAsia="it-IT"/>
        </w:rPr>
        <w:t>,</w:t>
      </w:r>
      <w:r w:rsidRPr="00295A26">
        <w:rPr>
          <w:shd w:val="clear" w:color="auto" w:fill="FFFFFF"/>
          <w:lang w:val="en-US" w:eastAsia="it-IT"/>
        </w:rPr>
        <w:t xml:space="preserve"> Effect of hybrid (microwave-H2O2) feed sludge pretreatment on single and two-stage anaerobic digestion efficiency of real mixed sewage sludge</w:t>
      </w:r>
      <w:r>
        <w:rPr>
          <w:shd w:val="clear" w:color="auto" w:fill="FFFFFF"/>
          <w:lang w:val="en-US" w:eastAsia="it-IT"/>
        </w:rPr>
        <w:t>,</w:t>
      </w:r>
      <w:r w:rsidRPr="00295A26">
        <w:rPr>
          <w:shd w:val="clear" w:color="auto" w:fill="FFFFFF"/>
          <w:lang w:val="en-US" w:eastAsia="it-IT"/>
        </w:rPr>
        <w:t> </w:t>
      </w:r>
      <w:r w:rsidRPr="00295A26">
        <w:rPr>
          <w:lang w:val="en-US" w:eastAsia="it-IT"/>
        </w:rPr>
        <w:t>Process Safety and Environmental Protection</w:t>
      </w:r>
      <w:r w:rsidRPr="00295A26">
        <w:rPr>
          <w:shd w:val="clear" w:color="auto" w:fill="FFFFFF"/>
          <w:lang w:val="en-US" w:eastAsia="it-IT"/>
        </w:rPr>
        <w:t>, </w:t>
      </w:r>
      <w:r w:rsidRPr="00295A26">
        <w:rPr>
          <w:lang w:val="en-US" w:eastAsia="it-IT"/>
        </w:rPr>
        <w:t>136</w:t>
      </w:r>
      <w:r w:rsidRPr="00295A26">
        <w:rPr>
          <w:shd w:val="clear" w:color="auto" w:fill="FFFFFF"/>
          <w:lang w:val="en-US" w:eastAsia="it-IT"/>
        </w:rPr>
        <w:t>, 194-202.</w:t>
      </w:r>
    </w:p>
    <w:p w14:paraId="2D1FE491" w14:textId="17EAFA46" w:rsidR="00615FF3" w:rsidRDefault="00615FF3" w:rsidP="00615FF3">
      <w:pPr>
        <w:pStyle w:val="CETReferencetext"/>
        <w:rPr>
          <w:lang w:val="en-US"/>
        </w:rPr>
      </w:pPr>
      <w:proofErr w:type="spellStart"/>
      <w:r w:rsidRPr="00EE4BBC">
        <w:rPr>
          <w:lang w:val="en-US"/>
        </w:rPr>
        <w:t>Apha</w:t>
      </w:r>
      <w:proofErr w:type="spellEnd"/>
      <w:r w:rsidRPr="00EE4BBC">
        <w:rPr>
          <w:lang w:val="en-US"/>
        </w:rPr>
        <w:t xml:space="preserve"> </w:t>
      </w:r>
      <w:proofErr w:type="spellStart"/>
      <w:r w:rsidRPr="00EE4BBC">
        <w:rPr>
          <w:lang w:val="en-US"/>
        </w:rPr>
        <w:t>Awwa</w:t>
      </w:r>
      <w:proofErr w:type="spellEnd"/>
      <w:r w:rsidRPr="00EE4BBC">
        <w:rPr>
          <w:lang w:val="en-US"/>
        </w:rPr>
        <w:t>, W. E. F</w:t>
      </w:r>
      <w:r w:rsidRPr="00926D9E">
        <w:rPr>
          <w:lang w:val="en-US"/>
        </w:rPr>
        <w:t>., 2005, “Stan</w:t>
      </w:r>
      <w:r w:rsidRPr="00EE4BBC">
        <w:rPr>
          <w:lang w:val="en-US"/>
        </w:rPr>
        <w:t>dard Methods for the Examination of Water and Wastewater”</w:t>
      </w:r>
      <w:r>
        <w:rPr>
          <w:lang w:val="en-US"/>
        </w:rPr>
        <w:t>,</w:t>
      </w:r>
      <w:r w:rsidRPr="00EE4BBC">
        <w:rPr>
          <w:lang w:val="en-US"/>
        </w:rPr>
        <w:t xml:space="preserve"> </w:t>
      </w:r>
      <w:r w:rsidRPr="00926D9E">
        <w:rPr>
          <w:lang w:val="en-US"/>
        </w:rPr>
        <w:t>American Public Health Association, American Water Works Association, and Water Environment Federation.</w:t>
      </w:r>
    </w:p>
    <w:p w14:paraId="2C901C28" w14:textId="7198DD64" w:rsidR="00F238A2" w:rsidRPr="00F238A2" w:rsidRDefault="00F238A2" w:rsidP="00F238A2">
      <w:pPr>
        <w:pStyle w:val="CETReferencetext"/>
        <w:rPr>
          <w:lang w:val="en-US"/>
        </w:rPr>
      </w:pPr>
      <w:proofErr w:type="spellStart"/>
      <w:r w:rsidRPr="00F238A2">
        <w:rPr>
          <w:lang w:val="en-US"/>
        </w:rPr>
        <w:t>Basegio</w:t>
      </w:r>
      <w:proofErr w:type="spellEnd"/>
      <w:r w:rsidRPr="00F238A2">
        <w:rPr>
          <w:lang w:val="en-US"/>
        </w:rPr>
        <w:t xml:space="preserve"> T., </w:t>
      </w:r>
      <w:proofErr w:type="spellStart"/>
      <w:r w:rsidRPr="00F238A2">
        <w:rPr>
          <w:lang w:val="en-US"/>
        </w:rPr>
        <w:t>Berutti</w:t>
      </w:r>
      <w:proofErr w:type="spellEnd"/>
      <w:r w:rsidRPr="00F238A2">
        <w:rPr>
          <w:lang w:val="en-US"/>
        </w:rPr>
        <w:t xml:space="preserve"> F., </w:t>
      </w:r>
      <w:proofErr w:type="spellStart"/>
      <w:r w:rsidRPr="00F238A2">
        <w:rPr>
          <w:lang w:val="en-US"/>
        </w:rPr>
        <w:t>Bernardes</w:t>
      </w:r>
      <w:proofErr w:type="spellEnd"/>
      <w:r w:rsidRPr="00F238A2">
        <w:rPr>
          <w:lang w:val="en-US"/>
        </w:rPr>
        <w:t xml:space="preserve"> A., Bergmann C. P.</w:t>
      </w:r>
      <w:r>
        <w:rPr>
          <w:lang w:val="en-US"/>
        </w:rPr>
        <w:t>,</w:t>
      </w:r>
      <w:r w:rsidRPr="00F238A2">
        <w:rPr>
          <w:lang w:val="en-US"/>
        </w:rPr>
        <w:t xml:space="preserve"> 2002</w:t>
      </w:r>
      <w:r>
        <w:rPr>
          <w:lang w:val="en-US"/>
        </w:rPr>
        <w:t>,</w:t>
      </w:r>
      <w:r w:rsidRPr="00F238A2">
        <w:rPr>
          <w:lang w:val="en-US"/>
        </w:rPr>
        <w:t xml:space="preserve"> Environmental and technical aspects of the </w:t>
      </w:r>
      <w:proofErr w:type="spellStart"/>
      <w:r w:rsidRPr="00F238A2">
        <w:rPr>
          <w:lang w:val="en-US"/>
        </w:rPr>
        <w:t>utilisation</w:t>
      </w:r>
      <w:proofErr w:type="spellEnd"/>
      <w:r w:rsidRPr="00F238A2">
        <w:rPr>
          <w:lang w:val="en-US"/>
        </w:rPr>
        <w:t xml:space="preserve"> of tannery sludge as a raw material for clay products</w:t>
      </w:r>
      <w:r>
        <w:rPr>
          <w:lang w:val="en-US"/>
        </w:rPr>
        <w:t>,</w:t>
      </w:r>
      <w:r w:rsidRPr="00F238A2">
        <w:rPr>
          <w:lang w:val="en-US"/>
        </w:rPr>
        <w:t> Journal of the European ceramic Society, 22(13), 2251-2259.</w:t>
      </w:r>
    </w:p>
    <w:p w14:paraId="2E84DBF0" w14:textId="03630DEB" w:rsidR="00615FF3" w:rsidRDefault="00615FF3" w:rsidP="00615FF3">
      <w:pPr>
        <w:pStyle w:val="CETReferencetext"/>
        <w:rPr>
          <w:shd w:val="clear" w:color="auto" w:fill="FFFFFF"/>
          <w:lang w:val="en-US" w:eastAsia="it-IT"/>
        </w:rPr>
      </w:pPr>
      <w:r w:rsidRPr="00295A26">
        <w:rPr>
          <w:shd w:val="clear" w:color="auto" w:fill="FFFFFF"/>
          <w:lang w:val="en-US" w:eastAsia="it-IT"/>
        </w:rPr>
        <w:t>Liu J., Jia R., Wang Y., Wei Y., Zhang J., Wang R., Cai X.</w:t>
      </w:r>
      <w:r>
        <w:rPr>
          <w:shd w:val="clear" w:color="auto" w:fill="FFFFFF"/>
          <w:lang w:val="en-US" w:eastAsia="it-IT"/>
        </w:rPr>
        <w:t xml:space="preserve">, </w:t>
      </w:r>
      <w:r w:rsidRPr="00295A26">
        <w:rPr>
          <w:shd w:val="clear" w:color="auto" w:fill="FFFFFF"/>
          <w:lang w:val="en-US" w:eastAsia="it-IT"/>
        </w:rPr>
        <w:t>2017</w:t>
      </w:r>
      <w:r>
        <w:rPr>
          <w:shd w:val="clear" w:color="auto" w:fill="FFFFFF"/>
          <w:lang w:val="en-US" w:eastAsia="it-IT"/>
        </w:rPr>
        <w:t>,</w:t>
      </w:r>
      <w:r w:rsidRPr="00295A26">
        <w:rPr>
          <w:shd w:val="clear" w:color="auto" w:fill="FFFFFF"/>
          <w:lang w:val="en-US" w:eastAsia="it-IT"/>
        </w:rPr>
        <w:t xml:space="preserve"> Does residual H 2 O 2 result in inhibitory effect on enhanced anaerobic digestion of sludge pretreated by microwave-H 2 O 2 pretreatment process? </w:t>
      </w:r>
      <w:r w:rsidRPr="00295A26">
        <w:rPr>
          <w:lang w:val="en-US" w:eastAsia="it-IT"/>
        </w:rPr>
        <w:t>Environmental Science and Pollution Research</w:t>
      </w:r>
      <w:r w:rsidRPr="00295A26">
        <w:rPr>
          <w:shd w:val="clear" w:color="auto" w:fill="FFFFFF"/>
          <w:lang w:val="en-US" w:eastAsia="it-IT"/>
        </w:rPr>
        <w:t>, </w:t>
      </w:r>
      <w:r w:rsidRPr="00295A26">
        <w:rPr>
          <w:lang w:val="en-US" w:eastAsia="it-IT"/>
        </w:rPr>
        <w:t>24</w:t>
      </w:r>
      <w:r w:rsidRPr="00295A26">
        <w:rPr>
          <w:shd w:val="clear" w:color="auto" w:fill="FFFFFF"/>
          <w:lang w:val="en-US" w:eastAsia="it-IT"/>
        </w:rPr>
        <w:t>, 9016-9025.</w:t>
      </w:r>
    </w:p>
    <w:p w14:paraId="0A19AB7E" w14:textId="3E693547" w:rsidR="00A50910" w:rsidRPr="00615FF3" w:rsidRDefault="00A50910" w:rsidP="00A50910">
      <w:pPr>
        <w:pStyle w:val="CETReferencetext"/>
        <w:rPr>
          <w:shd w:val="clear" w:color="auto" w:fill="FFFFFF"/>
          <w:lang w:val="en-US" w:eastAsia="it-IT"/>
        </w:rPr>
      </w:pPr>
      <w:r w:rsidRPr="00A50910">
        <w:rPr>
          <w:shd w:val="clear" w:color="auto" w:fill="FFFFFF"/>
          <w:lang w:val="en-US" w:eastAsia="it-IT"/>
        </w:rPr>
        <w:t>Liu J., Yang M., Zhang J., Zheng J., Xu H., Wang Y., Wei Y., 2018, A comprehensive insight into the effects of microwave-H2O2 pretreatment on concentrated sewage sludge anaerobic digestion based on semi-continuous operation, Bioresource technology, 256, 118-127.</w:t>
      </w:r>
    </w:p>
    <w:p w14:paraId="316BC2B3" w14:textId="4124AA82" w:rsidR="00615FF3" w:rsidRPr="00615FF3" w:rsidRDefault="00615FF3" w:rsidP="00615FF3">
      <w:pPr>
        <w:pStyle w:val="CETReferencetext"/>
        <w:rPr>
          <w:shd w:val="clear" w:color="auto" w:fill="FFFFFF"/>
          <w:lang w:val="en-US" w:eastAsia="it-IT"/>
        </w:rPr>
      </w:pPr>
      <w:r w:rsidRPr="00295A26">
        <w:rPr>
          <w:shd w:val="clear" w:color="auto" w:fill="FFFFFF"/>
          <w:lang w:val="en-US" w:eastAsia="it-IT"/>
        </w:rPr>
        <w:t>Morgan-</w:t>
      </w:r>
      <w:proofErr w:type="spellStart"/>
      <w:r w:rsidRPr="00295A26">
        <w:rPr>
          <w:shd w:val="clear" w:color="auto" w:fill="FFFFFF"/>
          <w:lang w:val="en-US" w:eastAsia="it-IT"/>
        </w:rPr>
        <w:t>Sagastume</w:t>
      </w:r>
      <w:proofErr w:type="spellEnd"/>
      <w:r w:rsidRPr="00295A26">
        <w:rPr>
          <w:shd w:val="clear" w:color="auto" w:fill="FFFFFF"/>
          <w:lang w:val="en-US" w:eastAsia="it-IT"/>
        </w:rPr>
        <w:t xml:space="preserve"> F., </w:t>
      </w:r>
      <w:proofErr w:type="spellStart"/>
      <w:r w:rsidRPr="00295A26">
        <w:rPr>
          <w:shd w:val="clear" w:color="auto" w:fill="FFFFFF"/>
          <w:lang w:val="en-US" w:eastAsia="it-IT"/>
        </w:rPr>
        <w:t>Hjort</w:t>
      </w:r>
      <w:proofErr w:type="spellEnd"/>
      <w:r w:rsidRPr="00295A26">
        <w:rPr>
          <w:shd w:val="clear" w:color="auto" w:fill="FFFFFF"/>
          <w:lang w:val="en-US" w:eastAsia="it-IT"/>
        </w:rPr>
        <w:t xml:space="preserve"> M., </w:t>
      </w:r>
      <w:proofErr w:type="spellStart"/>
      <w:r w:rsidRPr="00295A26">
        <w:rPr>
          <w:shd w:val="clear" w:color="auto" w:fill="FFFFFF"/>
          <w:lang w:val="en-US" w:eastAsia="it-IT"/>
        </w:rPr>
        <w:t>Cirne</w:t>
      </w:r>
      <w:proofErr w:type="spellEnd"/>
      <w:r w:rsidRPr="00295A26">
        <w:rPr>
          <w:shd w:val="clear" w:color="auto" w:fill="FFFFFF"/>
          <w:lang w:val="en-US" w:eastAsia="it-IT"/>
        </w:rPr>
        <w:t xml:space="preserve"> D., </w:t>
      </w:r>
      <w:proofErr w:type="spellStart"/>
      <w:r w:rsidRPr="00295A26">
        <w:rPr>
          <w:shd w:val="clear" w:color="auto" w:fill="FFFFFF"/>
          <w:lang w:val="en-US" w:eastAsia="it-IT"/>
        </w:rPr>
        <w:t>Gérardin</w:t>
      </w:r>
      <w:proofErr w:type="spellEnd"/>
      <w:r w:rsidRPr="00295A26">
        <w:rPr>
          <w:shd w:val="clear" w:color="auto" w:fill="FFFFFF"/>
          <w:lang w:val="en-US" w:eastAsia="it-IT"/>
        </w:rPr>
        <w:t xml:space="preserve"> F., Lacroix S., </w:t>
      </w:r>
      <w:proofErr w:type="spellStart"/>
      <w:r w:rsidRPr="00295A26">
        <w:rPr>
          <w:shd w:val="clear" w:color="auto" w:fill="FFFFFF"/>
          <w:lang w:val="en-US" w:eastAsia="it-IT"/>
        </w:rPr>
        <w:t>Gaval</w:t>
      </w:r>
      <w:proofErr w:type="spellEnd"/>
      <w:r w:rsidRPr="00295A26">
        <w:rPr>
          <w:shd w:val="clear" w:color="auto" w:fill="FFFFFF"/>
          <w:lang w:val="en-US" w:eastAsia="it-IT"/>
        </w:rPr>
        <w:t xml:space="preserve"> G.,</w:t>
      </w:r>
      <w:r w:rsidRPr="00295A26">
        <w:rPr>
          <w:rFonts w:ascii="AdvGulliv" w:hAnsi="AdvGulliv"/>
          <w:sz w:val="22"/>
          <w:szCs w:val="22"/>
          <w:lang w:val="en-US" w:eastAsia="it-IT"/>
        </w:rPr>
        <w:t xml:space="preserve"> </w:t>
      </w:r>
      <w:proofErr w:type="spellStart"/>
      <w:r w:rsidRPr="00295A26">
        <w:rPr>
          <w:shd w:val="clear" w:color="auto" w:fill="FFFFFF"/>
          <w:lang w:val="en-US" w:eastAsia="it-IT"/>
        </w:rPr>
        <w:t>Karabegovic</w:t>
      </w:r>
      <w:proofErr w:type="spellEnd"/>
      <w:r w:rsidRPr="00295A26">
        <w:rPr>
          <w:shd w:val="clear" w:color="auto" w:fill="FFFFFF"/>
          <w:lang w:val="en-US" w:eastAsia="it-IT"/>
        </w:rPr>
        <w:t xml:space="preserve"> </w:t>
      </w:r>
      <w:r>
        <w:rPr>
          <w:shd w:val="clear" w:color="auto" w:fill="FFFFFF"/>
          <w:lang w:val="en-US" w:eastAsia="it-IT"/>
        </w:rPr>
        <w:t>L.</w:t>
      </w:r>
      <w:r w:rsidRPr="00295A26">
        <w:rPr>
          <w:shd w:val="clear" w:color="auto" w:fill="FFFFFF"/>
          <w:lang w:val="en-US" w:eastAsia="it-IT"/>
        </w:rPr>
        <w:t>,</w:t>
      </w:r>
      <w:r w:rsidRPr="00295A26">
        <w:rPr>
          <w:shd w:val="clear" w:color="auto" w:fill="FFFFFF"/>
          <w:lang w:val="en-US" w:eastAsia="it-IT"/>
        </w:rPr>
        <w:br/>
      </w:r>
      <w:proofErr w:type="spellStart"/>
      <w:r w:rsidRPr="00295A26">
        <w:rPr>
          <w:shd w:val="clear" w:color="auto" w:fill="FFFFFF"/>
          <w:lang w:val="en-US" w:eastAsia="it-IT"/>
        </w:rPr>
        <w:t>Alexandersson</w:t>
      </w:r>
      <w:proofErr w:type="spellEnd"/>
      <w:r w:rsidRPr="00295A26">
        <w:rPr>
          <w:shd w:val="clear" w:color="auto" w:fill="FFFFFF"/>
          <w:lang w:val="en-US" w:eastAsia="it-IT"/>
        </w:rPr>
        <w:t xml:space="preserve"> </w:t>
      </w:r>
      <w:r>
        <w:rPr>
          <w:shd w:val="clear" w:color="auto" w:fill="FFFFFF"/>
          <w:lang w:val="en-US" w:eastAsia="it-IT"/>
        </w:rPr>
        <w:t>T.</w:t>
      </w:r>
      <w:r w:rsidRPr="00295A26">
        <w:rPr>
          <w:shd w:val="clear" w:color="auto" w:fill="FFFFFF"/>
          <w:lang w:val="en-US" w:eastAsia="it-IT"/>
        </w:rPr>
        <w:t>, Johansson P.</w:t>
      </w:r>
      <w:r>
        <w:rPr>
          <w:shd w:val="clear" w:color="auto" w:fill="FFFFFF"/>
          <w:lang w:val="en-US" w:eastAsia="it-IT"/>
        </w:rPr>
        <w:t xml:space="preserve">, </w:t>
      </w:r>
      <w:r w:rsidRPr="00295A26">
        <w:rPr>
          <w:shd w:val="clear" w:color="auto" w:fill="FFFFFF"/>
          <w:lang w:val="en-US" w:eastAsia="it-IT"/>
        </w:rPr>
        <w:t xml:space="preserve">Karlsson A., Bengtsson S., </w:t>
      </w:r>
      <w:proofErr w:type="spellStart"/>
      <w:r w:rsidRPr="00295A26">
        <w:rPr>
          <w:shd w:val="clear" w:color="auto" w:fill="FFFFFF"/>
          <w:lang w:val="en-US" w:eastAsia="it-IT"/>
        </w:rPr>
        <w:t>Arcos-Hernández</w:t>
      </w:r>
      <w:proofErr w:type="spellEnd"/>
      <w:r w:rsidRPr="00295A26">
        <w:rPr>
          <w:shd w:val="clear" w:color="auto" w:fill="FFFFFF"/>
          <w:lang w:val="en-US" w:eastAsia="it-IT"/>
        </w:rPr>
        <w:t xml:space="preserve"> M.V., Magnusson P.,</w:t>
      </w:r>
      <w:r>
        <w:rPr>
          <w:shd w:val="clear" w:color="auto" w:fill="FFFFFF"/>
          <w:lang w:val="en-US" w:eastAsia="it-IT"/>
        </w:rPr>
        <w:t xml:space="preserve"> </w:t>
      </w:r>
      <w:proofErr w:type="spellStart"/>
      <w:r w:rsidRPr="00615FF3">
        <w:rPr>
          <w:shd w:val="clear" w:color="auto" w:fill="FFFFFF"/>
          <w:lang w:val="en-US" w:eastAsia="it-IT"/>
        </w:rPr>
        <w:t>Werker</w:t>
      </w:r>
      <w:proofErr w:type="spellEnd"/>
      <w:r w:rsidRPr="00615FF3">
        <w:rPr>
          <w:shd w:val="clear" w:color="auto" w:fill="FFFFFF"/>
          <w:lang w:val="en-US" w:eastAsia="it-IT"/>
        </w:rPr>
        <w:t>, A., 2015. Integrated production of polyhydroxyalkanoates (PHAs) with municipal wastewater and sludge treatment at pilot scale, </w:t>
      </w:r>
      <w:r w:rsidRPr="00615FF3">
        <w:rPr>
          <w:lang w:val="en-US" w:eastAsia="it-IT"/>
        </w:rPr>
        <w:t>Bioresource technology</w:t>
      </w:r>
      <w:r w:rsidRPr="00615FF3">
        <w:rPr>
          <w:shd w:val="clear" w:color="auto" w:fill="FFFFFF"/>
          <w:lang w:val="en-US" w:eastAsia="it-IT"/>
        </w:rPr>
        <w:t>, </w:t>
      </w:r>
      <w:r w:rsidRPr="00615FF3">
        <w:rPr>
          <w:lang w:val="en-US" w:eastAsia="it-IT"/>
        </w:rPr>
        <w:t>181</w:t>
      </w:r>
      <w:r w:rsidRPr="00615FF3">
        <w:rPr>
          <w:shd w:val="clear" w:color="auto" w:fill="FFFFFF"/>
          <w:lang w:val="en-US" w:eastAsia="it-IT"/>
        </w:rPr>
        <w:t>, 78-89.</w:t>
      </w:r>
    </w:p>
    <w:p w14:paraId="75FD83EE" w14:textId="41B6440A" w:rsidR="00615FF3" w:rsidRDefault="00615FF3" w:rsidP="00615FF3">
      <w:pPr>
        <w:pStyle w:val="CETReferencetext"/>
        <w:rPr>
          <w:shd w:val="clear" w:color="auto" w:fill="FFFFFF"/>
          <w:lang w:val="en-US" w:eastAsia="it-IT"/>
        </w:rPr>
      </w:pPr>
      <w:r w:rsidRPr="00295A26">
        <w:rPr>
          <w:shd w:val="clear" w:color="auto" w:fill="FFFFFF"/>
          <w:lang w:eastAsia="it-IT"/>
        </w:rPr>
        <w:t xml:space="preserve">Mpofu A. B., </w:t>
      </w:r>
      <w:proofErr w:type="spellStart"/>
      <w:r w:rsidRPr="00295A26">
        <w:rPr>
          <w:shd w:val="clear" w:color="auto" w:fill="FFFFFF"/>
          <w:lang w:eastAsia="it-IT"/>
        </w:rPr>
        <w:t>Kibangou</w:t>
      </w:r>
      <w:proofErr w:type="spellEnd"/>
      <w:r w:rsidRPr="00295A26">
        <w:rPr>
          <w:shd w:val="clear" w:color="auto" w:fill="FFFFFF"/>
          <w:lang w:eastAsia="it-IT"/>
        </w:rPr>
        <w:t xml:space="preserve"> V. A., Kaira W. M., </w:t>
      </w:r>
      <w:proofErr w:type="spellStart"/>
      <w:r w:rsidRPr="00295A26">
        <w:rPr>
          <w:shd w:val="clear" w:color="auto" w:fill="FFFFFF"/>
          <w:lang w:eastAsia="it-IT"/>
        </w:rPr>
        <w:t>Oyekola</w:t>
      </w:r>
      <w:proofErr w:type="spellEnd"/>
      <w:r w:rsidRPr="00295A26">
        <w:rPr>
          <w:shd w:val="clear" w:color="auto" w:fill="FFFFFF"/>
          <w:lang w:eastAsia="it-IT"/>
        </w:rPr>
        <w:t xml:space="preserve"> O. O., </w:t>
      </w:r>
      <w:proofErr w:type="spellStart"/>
      <w:r w:rsidRPr="00295A26">
        <w:rPr>
          <w:shd w:val="clear" w:color="auto" w:fill="FFFFFF"/>
          <w:lang w:eastAsia="it-IT"/>
        </w:rPr>
        <w:t>Welz</w:t>
      </w:r>
      <w:proofErr w:type="spellEnd"/>
      <w:r w:rsidRPr="00295A26">
        <w:rPr>
          <w:shd w:val="clear" w:color="auto" w:fill="FFFFFF"/>
          <w:lang w:eastAsia="it-IT"/>
        </w:rPr>
        <w:t xml:space="preserve"> P. J.</w:t>
      </w:r>
      <w:r>
        <w:rPr>
          <w:shd w:val="clear" w:color="auto" w:fill="FFFFFF"/>
          <w:lang w:eastAsia="it-IT"/>
        </w:rPr>
        <w:t>,</w:t>
      </w:r>
      <w:r w:rsidRPr="00295A26">
        <w:rPr>
          <w:shd w:val="clear" w:color="auto" w:fill="FFFFFF"/>
          <w:lang w:eastAsia="it-IT"/>
        </w:rPr>
        <w:t xml:space="preserve"> 2021</w:t>
      </w:r>
      <w:r>
        <w:rPr>
          <w:shd w:val="clear" w:color="auto" w:fill="FFFFFF"/>
          <w:lang w:eastAsia="it-IT"/>
        </w:rPr>
        <w:t>,</w:t>
      </w:r>
      <w:r w:rsidRPr="00295A26">
        <w:rPr>
          <w:shd w:val="clear" w:color="auto" w:fill="FFFFFF"/>
          <w:lang w:eastAsia="it-IT"/>
        </w:rPr>
        <w:t xml:space="preserve"> </w:t>
      </w:r>
      <w:r w:rsidRPr="00295A26">
        <w:rPr>
          <w:shd w:val="clear" w:color="auto" w:fill="FFFFFF"/>
          <w:lang w:val="en-US" w:eastAsia="it-IT"/>
        </w:rPr>
        <w:t>Anaerobic Co-digestion of tannery and slaughterhouse wastewater for solids reduction and resource recovery: Effect of sulfate concentration and inoculum to substrate ratio, </w:t>
      </w:r>
      <w:r w:rsidRPr="00295A26">
        <w:rPr>
          <w:lang w:val="en-US" w:eastAsia="it-IT"/>
        </w:rPr>
        <w:t>Energies</w:t>
      </w:r>
      <w:r w:rsidRPr="00295A26">
        <w:rPr>
          <w:shd w:val="clear" w:color="auto" w:fill="FFFFFF"/>
          <w:lang w:val="en-US" w:eastAsia="it-IT"/>
        </w:rPr>
        <w:t>, </w:t>
      </w:r>
      <w:r w:rsidRPr="00295A26">
        <w:rPr>
          <w:lang w:val="en-US" w:eastAsia="it-IT"/>
        </w:rPr>
        <w:t>14</w:t>
      </w:r>
      <w:r w:rsidRPr="00295A26">
        <w:rPr>
          <w:shd w:val="clear" w:color="auto" w:fill="FFFFFF"/>
          <w:lang w:val="en-US" w:eastAsia="it-IT"/>
        </w:rPr>
        <w:t>(9), 2491.</w:t>
      </w:r>
    </w:p>
    <w:p w14:paraId="085D01A3" w14:textId="282355CF" w:rsidR="00F32D89" w:rsidRDefault="00F32D89" w:rsidP="00F32D89">
      <w:pPr>
        <w:pStyle w:val="CETReferencetext"/>
        <w:rPr>
          <w:shd w:val="clear" w:color="auto" w:fill="FFFFFF"/>
          <w:lang w:val="en-US" w:eastAsia="it-IT"/>
        </w:rPr>
      </w:pPr>
      <w:proofErr w:type="spellStart"/>
      <w:r w:rsidRPr="00F32D89">
        <w:rPr>
          <w:shd w:val="clear" w:color="auto" w:fill="FFFFFF"/>
          <w:lang w:val="en-US" w:eastAsia="it-IT"/>
        </w:rPr>
        <w:t>Presti</w:t>
      </w:r>
      <w:proofErr w:type="spellEnd"/>
      <w:r w:rsidRPr="00F32D89">
        <w:rPr>
          <w:shd w:val="clear" w:color="auto" w:fill="FFFFFF"/>
          <w:lang w:val="en-US" w:eastAsia="it-IT"/>
        </w:rPr>
        <w:t xml:space="preserve"> D., Cosenza A., Capri F.C., Gallo G., </w:t>
      </w:r>
      <w:proofErr w:type="spellStart"/>
      <w:r w:rsidRPr="00F32D89">
        <w:rPr>
          <w:shd w:val="clear" w:color="auto" w:fill="FFFFFF"/>
          <w:lang w:val="en-US" w:eastAsia="it-IT"/>
        </w:rPr>
        <w:t>Alduina</w:t>
      </w:r>
      <w:proofErr w:type="spellEnd"/>
      <w:r w:rsidRPr="00F32D89">
        <w:rPr>
          <w:shd w:val="clear" w:color="auto" w:fill="FFFFFF"/>
          <w:lang w:val="en-US" w:eastAsia="it-IT"/>
        </w:rPr>
        <w:t xml:space="preserve"> R., </w:t>
      </w:r>
      <w:proofErr w:type="spellStart"/>
      <w:r w:rsidRPr="00F32D89">
        <w:rPr>
          <w:shd w:val="clear" w:color="auto" w:fill="FFFFFF"/>
          <w:lang w:val="en-US" w:eastAsia="it-IT"/>
        </w:rPr>
        <w:t>Mannina</w:t>
      </w:r>
      <w:proofErr w:type="spellEnd"/>
      <w:r w:rsidRPr="00F32D89">
        <w:rPr>
          <w:shd w:val="clear" w:color="auto" w:fill="FFFFFF"/>
          <w:lang w:val="en-US" w:eastAsia="it-IT"/>
        </w:rPr>
        <w:t xml:space="preserve"> G., 2021, Influence of volatile solids and pH </w:t>
      </w:r>
      <w:proofErr w:type="gramStart"/>
      <w:r w:rsidRPr="00F32D89">
        <w:rPr>
          <w:shd w:val="clear" w:color="auto" w:fill="FFFFFF"/>
          <w:lang w:val="en-US" w:eastAsia="it-IT"/>
        </w:rPr>
        <w:t>for the production of</w:t>
      </w:r>
      <w:proofErr w:type="gramEnd"/>
      <w:r w:rsidRPr="00F32D89">
        <w:rPr>
          <w:shd w:val="clear" w:color="auto" w:fill="FFFFFF"/>
          <w:lang w:val="en-US" w:eastAsia="it-IT"/>
        </w:rPr>
        <w:t xml:space="preserve"> volatile fatty acids: Batch fermentation tests using sewage sludge, Bioresource Technology 342, 125853. </w:t>
      </w:r>
    </w:p>
    <w:p w14:paraId="71CF9C93" w14:textId="42C6AC71" w:rsidR="00A50910" w:rsidRPr="00A50910" w:rsidRDefault="00A50910" w:rsidP="00A50910">
      <w:pPr>
        <w:pStyle w:val="CETReferencetext"/>
        <w:rPr>
          <w:shd w:val="clear" w:color="auto" w:fill="FFFFFF"/>
          <w:lang w:eastAsia="it-IT"/>
        </w:rPr>
      </w:pPr>
      <w:r w:rsidRPr="00A50910">
        <w:rPr>
          <w:shd w:val="clear" w:color="auto" w:fill="FFFFFF"/>
          <w:lang w:eastAsia="it-IT"/>
        </w:rPr>
        <w:t xml:space="preserve">Ronchi Decree. 1997. Available online: www.parlamento.it/parlam/leggi/deleghe/97022dl.htm (accessed on 24 </w:t>
      </w:r>
      <w:r>
        <w:rPr>
          <w:shd w:val="clear" w:color="auto" w:fill="FFFFFF"/>
          <w:lang w:eastAsia="it-IT"/>
        </w:rPr>
        <w:t>January</w:t>
      </w:r>
      <w:r w:rsidRPr="00A50910">
        <w:rPr>
          <w:shd w:val="clear" w:color="auto" w:fill="FFFFFF"/>
          <w:lang w:eastAsia="it-IT"/>
        </w:rPr>
        <w:t xml:space="preserve"> 202</w:t>
      </w:r>
      <w:r>
        <w:rPr>
          <w:shd w:val="clear" w:color="auto" w:fill="FFFFFF"/>
          <w:lang w:eastAsia="it-IT"/>
        </w:rPr>
        <w:t>3</w:t>
      </w:r>
      <w:r w:rsidRPr="00A50910">
        <w:rPr>
          <w:shd w:val="clear" w:color="auto" w:fill="FFFFFF"/>
          <w:lang w:eastAsia="it-IT"/>
        </w:rPr>
        <w:t>).</w:t>
      </w:r>
    </w:p>
    <w:p w14:paraId="3DE75E8B" w14:textId="2E088212" w:rsidR="00615FF3" w:rsidRPr="00615FF3" w:rsidRDefault="00615FF3" w:rsidP="00615FF3">
      <w:pPr>
        <w:pStyle w:val="CETReferencetext"/>
        <w:rPr>
          <w:rFonts w:ascii="Times New Roman" w:hAnsi="Times New Roman"/>
          <w:lang w:val="en-US" w:eastAsia="it-IT"/>
        </w:rPr>
      </w:pPr>
      <w:proofErr w:type="spellStart"/>
      <w:r w:rsidRPr="00926D9E">
        <w:rPr>
          <w:shd w:val="clear" w:color="auto" w:fill="FFFFFF"/>
          <w:lang w:val="en-US" w:eastAsia="it-IT"/>
        </w:rPr>
        <w:t>Simioni</w:t>
      </w:r>
      <w:proofErr w:type="spellEnd"/>
      <w:r w:rsidRPr="00926D9E">
        <w:rPr>
          <w:shd w:val="clear" w:color="auto" w:fill="FFFFFF"/>
          <w:lang w:val="en-US" w:eastAsia="it-IT"/>
        </w:rPr>
        <w:t xml:space="preserve"> T., </w:t>
      </w:r>
      <w:proofErr w:type="spellStart"/>
      <w:r w:rsidRPr="00926D9E">
        <w:rPr>
          <w:shd w:val="clear" w:color="auto" w:fill="FFFFFF"/>
          <w:lang w:val="en-US" w:eastAsia="it-IT"/>
        </w:rPr>
        <w:t>Agustini</w:t>
      </w:r>
      <w:proofErr w:type="spellEnd"/>
      <w:r w:rsidRPr="00926D9E">
        <w:rPr>
          <w:shd w:val="clear" w:color="auto" w:fill="FFFFFF"/>
          <w:lang w:val="en-US" w:eastAsia="it-IT"/>
        </w:rPr>
        <w:t xml:space="preserve"> C. B., Dettmer A., </w:t>
      </w:r>
      <w:proofErr w:type="spellStart"/>
      <w:r w:rsidRPr="00926D9E">
        <w:rPr>
          <w:shd w:val="clear" w:color="auto" w:fill="FFFFFF"/>
          <w:lang w:val="en-US" w:eastAsia="it-IT"/>
        </w:rPr>
        <w:t>Gutterres</w:t>
      </w:r>
      <w:proofErr w:type="spellEnd"/>
      <w:r w:rsidRPr="00926D9E">
        <w:rPr>
          <w:shd w:val="clear" w:color="auto" w:fill="FFFFFF"/>
          <w:lang w:val="en-US" w:eastAsia="it-IT"/>
        </w:rPr>
        <w:t xml:space="preserve"> M., 2022, Anaerobic co-digestion of tannery wastes and untreated/pretreated oat straw</w:t>
      </w:r>
      <w:r>
        <w:rPr>
          <w:shd w:val="clear" w:color="auto" w:fill="FFFFFF"/>
          <w:lang w:val="en-US" w:eastAsia="it-IT"/>
        </w:rPr>
        <w:t>,</w:t>
      </w:r>
      <w:r w:rsidRPr="00926D9E">
        <w:rPr>
          <w:shd w:val="clear" w:color="auto" w:fill="FFFFFF"/>
          <w:lang w:val="en-US" w:eastAsia="it-IT"/>
        </w:rPr>
        <w:t> </w:t>
      </w:r>
      <w:proofErr w:type="spellStart"/>
      <w:r w:rsidRPr="00926D9E">
        <w:rPr>
          <w:lang w:val="en-US" w:eastAsia="it-IT"/>
        </w:rPr>
        <w:t>BioEnergy</w:t>
      </w:r>
      <w:proofErr w:type="spellEnd"/>
      <w:r w:rsidRPr="00926D9E">
        <w:rPr>
          <w:lang w:val="en-US" w:eastAsia="it-IT"/>
        </w:rPr>
        <w:t xml:space="preserve"> Research</w:t>
      </w:r>
      <w:r w:rsidRPr="00926D9E">
        <w:rPr>
          <w:shd w:val="clear" w:color="auto" w:fill="FFFFFF"/>
          <w:lang w:val="en-US" w:eastAsia="it-IT"/>
        </w:rPr>
        <w:t>, </w:t>
      </w:r>
      <w:r w:rsidRPr="00926D9E">
        <w:rPr>
          <w:lang w:val="en-US" w:eastAsia="it-IT"/>
        </w:rPr>
        <w:t>15</w:t>
      </w:r>
      <w:r w:rsidRPr="00926D9E">
        <w:rPr>
          <w:shd w:val="clear" w:color="auto" w:fill="FFFFFF"/>
          <w:lang w:val="en-US" w:eastAsia="it-IT"/>
        </w:rPr>
        <w:t>(1), 589-601.</w:t>
      </w:r>
    </w:p>
    <w:p w14:paraId="0546C140" w14:textId="1772C794" w:rsidR="00615FF3" w:rsidRPr="00615FF3" w:rsidRDefault="00615FF3" w:rsidP="00615FF3">
      <w:pPr>
        <w:pStyle w:val="CETReferencetext"/>
        <w:rPr>
          <w:rFonts w:ascii="Times New Roman" w:hAnsi="Times New Roman"/>
          <w:lang w:val="en-US" w:eastAsia="it-IT"/>
        </w:rPr>
      </w:pPr>
      <w:r w:rsidRPr="00295A26">
        <w:rPr>
          <w:shd w:val="clear" w:color="auto" w:fill="FFFFFF"/>
          <w:lang w:val="en-US" w:eastAsia="it-IT"/>
        </w:rPr>
        <w:t>Tyagi V. K., Lo S. L.</w:t>
      </w:r>
      <w:r w:rsidRPr="00926D9E">
        <w:rPr>
          <w:shd w:val="clear" w:color="auto" w:fill="FFFFFF"/>
          <w:lang w:val="en-US" w:eastAsia="it-IT"/>
        </w:rPr>
        <w:t xml:space="preserve">, </w:t>
      </w:r>
      <w:r w:rsidRPr="00295A26">
        <w:rPr>
          <w:shd w:val="clear" w:color="auto" w:fill="FFFFFF"/>
          <w:lang w:val="en-US" w:eastAsia="it-IT"/>
        </w:rPr>
        <w:t>2011</w:t>
      </w:r>
      <w:r w:rsidRPr="00926D9E">
        <w:rPr>
          <w:shd w:val="clear" w:color="auto" w:fill="FFFFFF"/>
          <w:lang w:val="en-US" w:eastAsia="it-IT"/>
        </w:rPr>
        <w:t>,</w:t>
      </w:r>
      <w:r w:rsidRPr="00295A26">
        <w:rPr>
          <w:shd w:val="clear" w:color="auto" w:fill="FFFFFF"/>
          <w:lang w:val="en-US" w:eastAsia="it-IT"/>
        </w:rPr>
        <w:t xml:space="preserve"> Application of </w:t>
      </w:r>
      <w:proofErr w:type="spellStart"/>
      <w:r w:rsidRPr="00295A26">
        <w:rPr>
          <w:shd w:val="clear" w:color="auto" w:fill="FFFFFF"/>
          <w:lang w:val="en-US" w:eastAsia="it-IT"/>
        </w:rPr>
        <w:t>physico</w:t>
      </w:r>
      <w:proofErr w:type="spellEnd"/>
      <w:r w:rsidRPr="00295A26">
        <w:rPr>
          <w:shd w:val="clear" w:color="auto" w:fill="FFFFFF"/>
          <w:lang w:val="en-US" w:eastAsia="it-IT"/>
        </w:rPr>
        <w:t xml:space="preserve">-chemical pretreatment methods to enhance the sludge disintegration and subsequent anaerobic digestion: an </w:t>
      </w:r>
      <w:proofErr w:type="gramStart"/>
      <w:r w:rsidRPr="00295A26">
        <w:rPr>
          <w:shd w:val="clear" w:color="auto" w:fill="FFFFFF"/>
          <w:lang w:val="en-US" w:eastAsia="it-IT"/>
        </w:rPr>
        <w:t>up to date</w:t>
      </w:r>
      <w:proofErr w:type="gramEnd"/>
      <w:r w:rsidRPr="00295A26">
        <w:rPr>
          <w:shd w:val="clear" w:color="auto" w:fill="FFFFFF"/>
          <w:lang w:val="en-US" w:eastAsia="it-IT"/>
        </w:rPr>
        <w:t xml:space="preserve"> review</w:t>
      </w:r>
      <w:r>
        <w:rPr>
          <w:shd w:val="clear" w:color="auto" w:fill="FFFFFF"/>
          <w:lang w:val="en-US" w:eastAsia="it-IT"/>
        </w:rPr>
        <w:t>,</w:t>
      </w:r>
      <w:r w:rsidRPr="00295A26">
        <w:rPr>
          <w:shd w:val="clear" w:color="auto" w:fill="FFFFFF"/>
          <w:lang w:val="en-US" w:eastAsia="it-IT"/>
        </w:rPr>
        <w:t> </w:t>
      </w:r>
      <w:r w:rsidRPr="00295A26">
        <w:rPr>
          <w:lang w:val="en-US" w:eastAsia="it-IT"/>
        </w:rPr>
        <w:t>Reviews in Environmental Science and Bio/Technology</w:t>
      </w:r>
      <w:r w:rsidRPr="00295A26">
        <w:rPr>
          <w:shd w:val="clear" w:color="auto" w:fill="FFFFFF"/>
          <w:lang w:val="en-US" w:eastAsia="it-IT"/>
        </w:rPr>
        <w:t>, </w:t>
      </w:r>
      <w:r w:rsidRPr="00295A26">
        <w:rPr>
          <w:lang w:val="en-US" w:eastAsia="it-IT"/>
        </w:rPr>
        <w:t>10</w:t>
      </w:r>
      <w:r w:rsidRPr="00295A26">
        <w:rPr>
          <w:shd w:val="clear" w:color="auto" w:fill="FFFFFF"/>
          <w:lang w:val="en-US" w:eastAsia="it-IT"/>
        </w:rPr>
        <w:t>, 215-242.</w:t>
      </w:r>
    </w:p>
    <w:p w14:paraId="2330C642" w14:textId="295F46D8" w:rsidR="00615FF3" w:rsidRPr="00615FF3" w:rsidRDefault="00615FF3" w:rsidP="00615FF3">
      <w:pPr>
        <w:pStyle w:val="CETReferencetext"/>
        <w:rPr>
          <w:rFonts w:ascii="Times New Roman" w:hAnsi="Times New Roman"/>
          <w:lang w:val="en-US" w:eastAsia="it-IT"/>
        </w:rPr>
      </w:pPr>
      <w:r w:rsidRPr="00926D9E">
        <w:rPr>
          <w:shd w:val="clear" w:color="auto" w:fill="FFFFFF"/>
          <w:lang w:val="en-US" w:eastAsia="it-IT"/>
        </w:rPr>
        <w:t xml:space="preserve">Valentino F., Parmar A. C., </w:t>
      </w:r>
      <w:proofErr w:type="spellStart"/>
      <w:r w:rsidRPr="00926D9E">
        <w:rPr>
          <w:shd w:val="clear" w:color="auto" w:fill="FFFFFF"/>
          <w:lang w:val="en-US" w:eastAsia="it-IT"/>
        </w:rPr>
        <w:t>Micolucci</w:t>
      </w:r>
      <w:proofErr w:type="spellEnd"/>
      <w:r w:rsidRPr="00926D9E">
        <w:rPr>
          <w:shd w:val="clear" w:color="auto" w:fill="FFFFFF"/>
          <w:lang w:val="en-US" w:eastAsia="it-IT"/>
        </w:rPr>
        <w:t xml:space="preserve"> F., </w:t>
      </w:r>
      <w:proofErr w:type="spellStart"/>
      <w:r w:rsidRPr="00926D9E">
        <w:rPr>
          <w:shd w:val="clear" w:color="auto" w:fill="FFFFFF"/>
          <w:lang w:val="en-US" w:eastAsia="it-IT"/>
        </w:rPr>
        <w:t>Dosta</w:t>
      </w:r>
      <w:proofErr w:type="spellEnd"/>
      <w:r w:rsidRPr="00926D9E">
        <w:rPr>
          <w:shd w:val="clear" w:color="auto" w:fill="FFFFFF"/>
          <w:lang w:val="en-US" w:eastAsia="it-IT"/>
        </w:rPr>
        <w:t xml:space="preserve"> J., Pavan P., Gottardo M., 2022, Valuable Routes for Sewage Sludge Utilization: Effect of Temperature and Hydraulic Retention Time in the Acidogenic Fermentation Process</w:t>
      </w:r>
      <w:r>
        <w:rPr>
          <w:shd w:val="clear" w:color="auto" w:fill="FFFFFF"/>
          <w:lang w:val="en-US" w:eastAsia="it-IT"/>
        </w:rPr>
        <w:t>,</w:t>
      </w:r>
      <w:r w:rsidRPr="00926D9E">
        <w:rPr>
          <w:shd w:val="clear" w:color="auto" w:fill="FFFFFF"/>
          <w:lang w:val="en-US" w:eastAsia="it-IT"/>
        </w:rPr>
        <w:t> </w:t>
      </w:r>
      <w:r w:rsidRPr="00926D9E">
        <w:rPr>
          <w:lang w:val="en-US" w:eastAsia="it-IT"/>
        </w:rPr>
        <w:t>Chemical Engineering Transactions</w:t>
      </w:r>
      <w:r w:rsidRPr="00926D9E">
        <w:rPr>
          <w:shd w:val="clear" w:color="auto" w:fill="FFFFFF"/>
          <w:lang w:val="en-US" w:eastAsia="it-IT"/>
        </w:rPr>
        <w:t>, </w:t>
      </w:r>
      <w:r w:rsidRPr="00926D9E">
        <w:rPr>
          <w:lang w:val="en-US" w:eastAsia="it-IT"/>
        </w:rPr>
        <w:t>93</w:t>
      </w:r>
      <w:r w:rsidRPr="00926D9E">
        <w:rPr>
          <w:shd w:val="clear" w:color="auto" w:fill="FFFFFF"/>
          <w:lang w:val="en-US" w:eastAsia="it-IT"/>
        </w:rPr>
        <w:t>, 193-198.</w:t>
      </w:r>
    </w:p>
    <w:p w14:paraId="2132A154" w14:textId="77777777" w:rsidR="00615FF3" w:rsidRPr="00926D9E" w:rsidRDefault="00615FF3" w:rsidP="00615FF3">
      <w:pPr>
        <w:pStyle w:val="CETReferencetext"/>
        <w:rPr>
          <w:rFonts w:ascii="Times New Roman" w:hAnsi="Times New Roman"/>
          <w:lang w:val="en-US" w:eastAsia="it-IT"/>
        </w:rPr>
      </w:pPr>
      <w:r w:rsidRPr="00926D9E">
        <w:rPr>
          <w:shd w:val="clear" w:color="auto" w:fill="FFFFFF"/>
          <w:lang w:val="en-US" w:eastAsia="it-IT"/>
        </w:rPr>
        <w:t>Zhang D., Jiang H., Chang J., Sun J., Tu W., Wang H.</w:t>
      </w:r>
      <w:r>
        <w:rPr>
          <w:shd w:val="clear" w:color="auto" w:fill="FFFFFF"/>
          <w:lang w:val="en-US" w:eastAsia="it-IT"/>
        </w:rPr>
        <w:t>,</w:t>
      </w:r>
      <w:r w:rsidRPr="00926D9E">
        <w:rPr>
          <w:shd w:val="clear" w:color="auto" w:fill="FFFFFF"/>
          <w:lang w:val="en-US" w:eastAsia="it-IT"/>
        </w:rPr>
        <w:t xml:space="preserve"> 2019</w:t>
      </w:r>
      <w:r>
        <w:rPr>
          <w:shd w:val="clear" w:color="auto" w:fill="FFFFFF"/>
          <w:lang w:val="en-US" w:eastAsia="it-IT"/>
        </w:rPr>
        <w:t>,</w:t>
      </w:r>
      <w:r w:rsidRPr="00926D9E">
        <w:rPr>
          <w:shd w:val="clear" w:color="auto" w:fill="FFFFFF"/>
          <w:lang w:val="en-US" w:eastAsia="it-IT"/>
        </w:rPr>
        <w:t xml:space="preserve"> Effect of thermal hydrolysis pretreatment on volatile fatty acids production in sludge acidification and subsequent polyhydroxyalkanoates production</w:t>
      </w:r>
      <w:r>
        <w:rPr>
          <w:shd w:val="clear" w:color="auto" w:fill="FFFFFF"/>
          <w:lang w:val="en-US" w:eastAsia="it-IT"/>
        </w:rPr>
        <w:t>,</w:t>
      </w:r>
      <w:r w:rsidRPr="00926D9E">
        <w:rPr>
          <w:shd w:val="clear" w:color="auto" w:fill="FFFFFF"/>
          <w:lang w:val="en-US" w:eastAsia="it-IT"/>
        </w:rPr>
        <w:t> </w:t>
      </w:r>
      <w:r w:rsidRPr="00926D9E">
        <w:rPr>
          <w:lang w:val="en-US" w:eastAsia="it-IT"/>
        </w:rPr>
        <w:t>Bioresource technology</w:t>
      </w:r>
      <w:r w:rsidRPr="00926D9E">
        <w:rPr>
          <w:shd w:val="clear" w:color="auto" w:fill="FFFFFF"/>
          <w:lang w:val="en-US" w:eastAsia="it-IT"/>
        </w:rPr>
        <w:t>, </w:t>
      </w:r>
      <w:r w:rsidRPr="00926D9E">
        <w:rPr>
          <w:lang w:val="en-US" w:eastAsia="it-IT"/>
        </w:rPr>
        <w:t>279</w:t>
      </w:r>
      <w:r w:rsidRPr="00926D9E">
        <w:rPr>
          <w:shd w:val="clear" w:color="auto" w:fill="FFFFFF"/>
          <w:lang w:val="en-US" w:eastAsia="it-IT"/>
        </w:rPr>
        <w:t>, 92-100.</w:t>
      </w:r>
    </w:p>
    <w:p w14:paraId="2E63D4B4" w14:textId="77777777" w:rsidR="00615FF3" w:rsidRDefault="00615FF3" w:rsidP="00615FF3">
      <w:pPr>
        <w:pStyle w:val="CETReferencetext"/>
        <w:rPr>
          <w:lang w:val="en-US"/>
        </w:rPr>
      </w:pPr>
    </w:p>
    <w:p w14:paraId="46E3D847" w14:textId="77777777" w:rsidR="00615FF3" w:rsidRDefault="00615FF3" w:rsidP="00615FF3">
      <w:pPr>
        <w:pStyle w:val="CETReferencetext"/>
        <w:rPr>
          <w:lang w:val="en-US"/>
        </w:rPr>
      </w:pPr>
    </w:p>
    <w:p w14:paraId="2DED024C" w14:textId="77777777" w:rsidR="00615FF3" w:rsidRDefault="00615FF3" w:rsidP="00615FF3">
      <w:pPr>
        <w:rPr>
          <w:lang w:val="en-US"/>
        </w:rPr>
      </w:pPr>
    </w:p>
    <w:p w14:paraId="787DE3AA" w14:textId="77777777" w:rsidR="00615FF3" w:rsidRDefault="00615FF3" w:rsidP="00615FF3">
      <w:pPr>
        <w:rPr>
          <w:lang w:val="en-US"/>
        </w:rPr>
      </w:pPr>
    </w:p>
    <w:p w14:paraId="19C4FC68" w14:textId="65B05ED4" w:rsidR="004628D2" w:rsidRDefault="004628D2" w:rsidP="00FA5F5F"/>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73120" w14:textId="77777777" w:rsidR="00202FA1" w:rsidRDefault="00202FA1" w:rsidP="004F5E36">
      <w:r>
        <w:separator/>
      </w:r>
    </w:p>
  </w:endnote>
  <w:endnote w:type="continuationSeparator" w:id="0">
    <w:p w14:paraId="1A8CE24B" w14:textId="77777777" w:rsidR="00202FA1" w:rsidRDefault="00202FA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dvP6960">
    <w:altName w:val="Cambria"/>
    <w:panose1 w:val="020B0604020202020204"/>
    <w:charset w:val="4D"/>
    <w:family w:val="roman"/>
    <w:notTrueType/>
    <w:pitch w:val="default"/>
    <w:sig w:usb0="00000003" w:usb1="00000000" w:usb2="00000000" w:usb3="00000000" w:csb0="00000001" w:csb1="00000000"/>
  </w:font>
  <w:font w:name="URWPalladioL">
    <w:altName w:val="Cambria"/>
    <w:panose1 w:val="020B0604020202020204"/>
    <w:charset w:val="00"/>
    <w:family w:val="roman"/>
    <w:notTrueType/>
    <w:pitch w:val="default"/>
  </w:font>
  <w:font w:name="AdvGulliv">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riga"/>
      </w:rPr>
      <w:id w:val="-2089909809"/>
      <w:docPartObj>
        <w:docPartGallery w:val="Page Numbers (Bottom of Page)"/>
        <w:docPartUnique/>
      </w:docPartObj>
    </w:sdtPr>
    <w:sdtContent>
      <w:p w14:paraId="664ECDE6" w14:textId="77777777" w:rsidR="00EB59AD" w:rsidRDefault="00EB59AD" w:rsidP="008B2A69">
        <w:pPr>
          <w:framePr w:wrap="none" w:vAnchor="text" w:hAnchor="margin" w:xAlign="right" w:y="1"/>
          <w:rPr>
            <w:rStyle w:val="Numeroriga"/>
          </w:rPr>
        </w:pPr>
        <w:r>
          <w:rPr>
            <w:rStyle w:val="Numeroriga"/>
          </w:rPr>
          <w:fldChar w:fldCharType="begin"/>
        </w:r>
        <w:r>
          <w:rPr>
            <w:rStyle w:val="Numeroriga"/>
          </w:rPr>
          <w:instrText xml:space="preserve"> PAGE </w:instrText>
        </w:r>
        <w:r>
          <w:rPr>
            <w:rStyle w:val="Numeroriga"/>
          </w:rPr>
          <w:fldChar w:fldCharType="end"/>
        </w:r>
      </w:p>
    </w:sdtContent>
  </w:sdt>
  <w:p w14:paraId="783DDB2D" w14:textId="77777777" w:rsidR="00EB59AD" w:rsidRDefault="00EB59AD" w:rsidP="00CA3117">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04CF" w14:textId="77777777" w:rsidR="00EB59AD" w:rsidRDefault="00EB59AD" w:rsidP="00CA3117">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BE040" w14:textId="77777777" w:rsidR="00202FA1" w:rsidRDefault="00202FA1" w:rsidP="004F5E36">
      <w:r>
        <w:separator/>
      </w:r>
    </w:p>
  </w:footnote>
  <w:footnote w:type="continuationSeparator" w:id="0">
    <w:p w14:paraId="6382BA07" w14:textId="77777777" w:rsidR="00202FA1" w:rsidRDefault="00202FA1"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320.8pt;height:812.55pt;visibility:visible;mso-wrap-style:square" o:bullet="t">
        <v:imagedata r:id="rId1" o:title=""/>
      </v:shape>
    </w:pict>
  </w:numPicBullet>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14C6789"/>
    <w:multiLevelType w:val="hybridMultilevel"/>
    <w:tmpl w:val="98880B2A"/>
    <w:lvl w:ilvl="0" w:tplc="8E20F5EC">
      <w:start w:val="1"/>
      <w:numFmt w:val="bullet"/>
      <w:lvlText w:val=""/>
      <w:lvlPicBulletId w:val="0"/>
      <w:lvlJc w:val="left"/>
      <w:pPr>
        <w:tabs>
          <w:tab w:val="num" w:pos="720"/>
        </w:tabs>
        <w:ind w:left="720" w:hanging="360"/>
      </w:pPr>
      <w:rPr>
        <w:rFonts w:ascii="Symbol" w:hAnsi="Symbol" w:hint="default"/>
      </w:rPr>
    </w:lvl>
    <w:lvl w:ilvl="1" w:tplc="E49E46C4" w:tentative="1">
      <w:start w:val="1"/>
      <w:numFmt w:val="bullet"/>
      <w:lvlText w:val=""/>
      <w:lvlJc w:val="left"/>
      <w:pPr>
        <w:tabs>
          <w:tab w:val="num" w:pos="1440"/>
        </w:tabs>
        <w:ind w:left="1440" w:hanging="360"/>
      </w:pPr>
      <w:rPr>
        <w:rFonts w:ascii="Symbol" w:hAnsi="Symbol" w:hint="default"/>
      </w:rPr>
    </w:lvl>
    <w:lvl w:ilvl="2" w:tplc="52060FB8" w:tentative="1">
      <w:start w:val="1"/>
      <w:numFmt w:val="bullet"/>
      <w:lvlText w:val=""/>
      <w:lvlJc w:val="left"/>
      <w:pPr>
        <w:tabs>
          <w:tab w:val="num" w:pos="2160"/>
        </w:tabs>
        <w:ind w:left="2160" w:hanging="360"/>
      </w:pPr>
      <w:rPr>
        <w:rFonts w:ascii="Symbol" w:hAnsi="Symbol" w:hint="default"/>
      </w:rPr>
    </w:lvl>
    <w:lvl w:ilvl="3" w:tplc="8CA2B858" w:tentative="1">
      <w:start w:val="1"/>
      <w:numFmt w:val="bullet"/>
      <w:lvlText w:val=""/>
      <w:lvlJc w:val="left"/>
      <w:pPr>
        <w:tabs>
          <w:tab w:val="num" w:pos="2880"/>
        </w:tabs>
        <w:ind w:left="2880" w:hanging="360"/>
      </w:pPr>
      <w:rPr>
        <w:rFonts w:ascii="Symbol" w:hAnsi="Symbol" w:hint="default"/>
      </w:rPr>
    </w:lvl>
    <w:lvl w:ilvl="4" w:tplc="BBAC4C36" w:tentative="1">
      <w:start w:val="1"/>
      <w:numFmt w:val="bullet"/>
      <w:lvlText w:val=""/>
      <w:lvlJc w:val="left"/>
      <w:pPr>
        <w:tabs>
          <w:tab w:val="num" w:pos="3600"/>
        </w:tabs>
        <w:ind w:left="3600" w:hanging="360"/>
      </w:pPr>
      <w:rPr>
        <w:rFonts w:ascii="Symbol" w:hAnsi="Symbol" w:hint="default"/>
      </w:rPr>
    </w:lvl>
    <w:lvl w:ilvl="5" w:tplc="18B439A4" w:tentative="1">
      <w:start w:val="1"/>
      <w:numFmt w:val="bullet"/>
      <w:lvlText w:val=""/>
      <w:lvlJc w:val="left"/>
      <w:pPr>
        <w:tabs>
          <w:tab w:val="num" w:pos="4320"/>
        </w:tabs>
        <w:ind w:left="4320" w:hanging="360"/>
      </w:pPr>
      <w:rPr>
        <w:rFonts w:ascii="Symbol" w:hAnsi="Symbol" w:hint="default"/>
      </w:rPr>
    </w:lvl>
    <w:lvl w:ilvl="6" w:tplc="9BC0BD64" w:tentative="1">
      <w:start w:val="1"/>
      <w:numFmt w:val="bullet"/>
      <w:lvlText w:val=""/>
      <w:lvlJc w:val="left"/>
      <w:pPr>
        <w:tabs>
          <w:tab w:val="num" w:pos="5040"/>
        </w:tabs>
        <w:ind w:left="5040" w:hanging="360"/>
      </w:pPr>
      <w:rPr>
        <w:rFonts w:ascii="Symbol" w:hAnsi="Symbol" w:hint="default"/>
      </w:rPr>
    </w:lvl>
    <w:lvl w:ilvl="7" w:tplc="30663C90" w:tentative="1">
      <w:start w:val="1"/>
      <w:numFmt w:val="bullet"/>
      <w:lvlText w:val=""/>
      <w:lvlJc w:val="left"/>
      <w:pPr>
        <w:tabs>
          <w:tab w:val="num" w:pos="5760"/>
        </w:tabs>
        <w:ind w:left="5760" w:hanging="360"/>
      </w:pPr>
      <w:rPr>
        <w:rFonts w:ascii="Symbol" w:hAnsi="Symbol" w:hint="default"/>
      </w:rPr>
    </w:lvl>
    <w:lvl w:ilvl="8" w:tplc="F232FF0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042335D"/>
    <w:multiLevelType w:val="multilevel"/>
    <w:tmpl w:val="AAE0FF86"/>
    <w:lvl w:ilvl="0">
      <w:start w:val="2"/>
      <w:numFmt w:val="decimal"/>
      <w:lvlText w:val="%1"/>
      <w:lvlJc w:val="left"/>
      <w:pPr>
        <w:ind w:left="360" w:hanging="360"/>
      </w:pPr>
      <w:rPr>
        <w:rFonts w:hint="default"/>
      </w:rPr>
    </w:lvl>
    <w:lvl w:ilvl="1">
      <w:start w:val="1"/>
      <w:numFmt w:val="decimal"/>
      <w:pStyle w:val="CETheadingx"/>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438217E"/>
    <w:multiLevelType w:val="multilevel"/>
    <w:tmpl w:val="A036B0C2"/>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43E634B"/>
    <w:multiLevelType w:val="multilevel"/>
    <w:tmpl w:val="0BA2BEF6"/>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9B149B0"/>
    <w:multiLevelType w:val="hybridMultilevel"/>
    <w:tmpl w:val="C2441ED0"/>
    <w:lvl w:ilvl="0" w:tplc="7E063E4E">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3"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3AC6003"/>
    <w:multiLevelType w:val="hybridMultilevel"/>
    <w:tmpl w:val="5D4A412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115981095">
    <w:abstractNumId w:val="12"/>
  </w:num>
  <w:num w:numId="2" w16cid:durableId="862789962">
    <w:abstractNumId w:val="8"/>
  </w:num>
  <w:num w:numId="3" w16cid:durableId="1769764586">
    <w:abstractNumId w:val="3"/>
  </w:num>
  <w:num w:numId="4" w16cid:durableId="1390763542">
    <w:abstractNumId w:val="2"/>
  </w:num>
  <w:num w:numId="5" w16cid:durableId="1825244829">
    <w:abstractNumId w:val="1"/>
  </w:num>
  <w:num w:numId="6" w16cid:durableId="777480432">
    <w:abstractNumId w:val="0"/>
  </w:num>
  <w:num w:numId="7" w16cid:durableId="832990480">
    <w:abstractNumId w:val="9"/>
  </w:num>
  <w:num w:numId="8" w16cid:durableId="1940139235">
    <w:abstractNumId w:val="7"/>
  </w:num>
  <w:num w:numId="9" w16cid:durableId="552817095">
    <w:abstractNumId w:val="6"/>
  </w:num>
  <w:num w:numId="10" w16cid:durableId="1591156210">
    <w:abstractNumId w:val="5"/>
  </w:num>
  <w:num w:numId="11" w16cid:durableId="1457065943">
    <w:abstractNumId w:val="4"/>
  </w:num>
  <w:num w:numId="12" w16cid:durableId="418411411">
    <w:abstractNumId w:val="22"/>
  </w:num>
  <w:num w:numId="13" w16cid:durableId="7413023">
    <w:abstractNumId w:val="16"/>
  </w:num>
  <w:num w:numId="14" w16cid:durableId="1015571239">
    <w:abstractNumId w:val="23"/>
  </w:num>
  <w:num w:numId="15" w16cid:durableId="104351782">
    <w:abstractNumId w:val="25"/>
  </w:num>
  <w:num w:numId="16" w16cid:durableId="2079284041">
    <w:abstractNumId w:val="24"/>
  </w:num>
  <w:num w:numId="17" w16cid:durableId="539560556">
    <w:abstractNumId w:val="14"/>
  </w:num>
  <w:num w:numId="18" w16cid:durableId="1451823922">
    <w:abstractNumId w:val="16"/>
    <w:lvlOverride w:ilvl="0">
      <w:startOverride w:val="1"/>
    </w:lvlOverride>
  </w:num>
  <w:num w:numId="19" w16cid:durableId="1294560494">
    <w:abstractNumId w:val="21"/>
  </w:num>
  <w:num w:numId="20" w16cid:durableId="1776904042">
    <w:abstractNumId w:val="20"/>
  </w:num>
  <w:num w:numId="21" w16cid:durableId="861867424">
    <w:abstractNumId w:val="18"/>
  </w:num>
  <w:num w:numId="22" w16cid:durableId="1400903200">
    <w:abstractNumId w:val="17"/>
  </w:num>
  <w:num w:numId="23" w16cid:durableId="994725805">
    <w:abstractNumId w:val="26"/>
  </w:num>
  <w:num w:numId="24" w16cid:durableId="410200300">
    <w:abstractNumId w:val="19"/>
  </w:num>
  <w:num w:numId="25" w16cid:durableId="584531035">
    <w:abstractNumId w:val="15"/>
  </w:num>
  <w:num w:numId="26" w16cid:durableId="497962004">
    <w:abstractNumId w:val="10"/>
  </w:num>
  <w:num w:numId="27" w16cid:durableId="1765614431">
    <w:abstractNumId w:val="12"/>
    <w:lvlOverride w:ilvl="0">
      <w:startOverride w:val="1"/>
    </w:lvlOverride>
    <w:lvlOverride w:ilvl="1">
      <w:startOverride w:val="1"/>
    </w:lvlOverride>
  </w:num>
  <w:num w:numId="28" w16cid:durableId="1792477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18090542">
    <w:abstractNumId w:val="13"/>
  </w:num>
  <w:num w:numId="30" w16cid:durableId="1468932591">
    <w:abstractNumId w:val="11"/>
  </w:num>
  <w:num w:numId="31" w16cid:durableId="1533415580">
    <w:abstractNumId w:val="11"/>
    <w:lvlOverride w:ilvl="0">
      <w:startOverride w:val="3"/>
    </w:lvlOverride>
    <w:lvlOverride w:ilvl="1">
      <w:startOverride w:val="1"/>
    </w:lvlOverride>
  </w:num>
  <w:num w:numId="32" w16cid:durableId="1966277865">
    <w:abstractNumId w:val="11"/>
    <w:lvlOverride w:ilvl="0">
      <w:startOverride w:val="3"/>
    </w:lvlOverride>
    <w:lvlOverride w:ilvl="1">
      <w:startOverride w:val="1"/>
    </w:lvlOverride>
  </w:num>
  <w:num w:numId="33" w16cid:durableId="1195464236">
    <w:abstractNumId w:val="11"/>
    <w:lvlOverride w:ilvl="0">
      <w:startOverride w:val="3"/>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Titolo3Caratter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10C"/>
    <w:rsid w:val="000052FB"/>
    <w:rsid w:val="000117CB"/>
    <w:rsid w:val="0003148D"/>
    <w:rsid w:val="00031EEC"/>
    <w:rsid w:val="00036FEA"/>
    <w:rsid w:val="00040102"/>
    <w:rsid w:val="00040E39"/>
    <w:rsid w:val="000420F7"/>
    <w:rsid w:val="00051566"/>
    <w:rsid w:val="000562A9"/>
    <w:rsid w:val="00062A9A"/>
    <w:rsid w:val="00065058"/>
    <w:rsid w:val="00086C39"/>
    <w:rsid w:val="000A03B2"/>
    <w:rsid w:val="000D0268"/>
    <w:rsid w:val="000D34BE"/>
    <w:rsid w:val="000D7703"/>
    <w:rsid w:val="000E102F"/>
    <w:rsid w:val="000E2B23"/>
    <w:rsid w:val="000E36F1"/>
    <w:rsid w:val="000E3A73"/>
    <w:rsid w:val="000E414A"/>
    <w:rsid w:val="000E4298"/>
    <w:rsid w:val="000F093C"/>
    <w:rsid w:val="000F787B"/>
    <w:rsid w:val="001015A7"/>
    <w:rsid w:val="00110FAC"/>
    <w:rsid w:val="0012091F"/>
    <w:rsid w:val="00124430"/>
    <w:rsid w:val="00126BC2"/>
    <w:rsid w:val="001273E4"/>
    <w:rsid w:val="001308B6"/>
    <w:rsid w:val="0013121F"/>
    <w:rsid w:val="00131FE6"/>
    <w:rsid w:val="0013263F"/>
    <w:rsid w:val="001331DF"/>
    <w:rsid w:val="00134DE4"/>
    <w:rsid w:val="0014034D"/>
    <w:rsid w:val="00144D16"/>
    <w:rsid w:val="00150E59"/>
    <w:rsid w:val="00152DE3"/>
    <w:rsid w:val="00164CF9"/>
    <w:rsid w:val="001667A6"/>
    <w:rsid w:val="00182EFE"/>
    <w:rsid w:val="00184AD6"/>
    <w:rsid w:val="00193AD0"/>
    <w:rsid w:val="00193F13"/>
    <w:rsid w:val="0019430C"/>
    <w:rsid w:val="00197485"/>
    <w:rsid w:val="001A4AF7"/>
    <w:rsid w:val="001B0349"/>
    <w:rsid w:val="001B1E93"/>
    <w:rsid w:val="001B34EB"/>
    <w:rsid w:val="001B65C1"/>
    <w:rsid w:val="001C3135"/>
    <w:rsid w:val="001C684B"/>
    <w:rsid w:val="001D0CFB"/>
    <w:rsid w:val="001D21AF"/>
    <w:rsid w:val="001D53FC"/>
    <w:rsid w:val="001F42A5"/>
    <w:rsid w:val="001F7B9D"/>
    <w:rsid w:val="00201C93"/>
    <w:rsid w:val="00202FA1"/>
    <w:rsid w:val="00221AF3"/>
    <w:rsid w:val="002224B4"/>
    <w:rsid w:val="002447EF"/>
    <w:rsid w:val="00251550"/>
    <w:rsid w:val="00263B05"/>
    <w:rsid w:val="0026636A"/>
    <w:rsid w:val="00270E9D"/>
    <w:rsid w:val="0027221A"/>
    <w:rsid w:val="00275B61"/>
    <w:rsid w:val="00280FAF"/>
    <w:rsid w:val="00282656"/>
    <w:rsid w:val="00296B83"/>
    <w:rsid w:val="002B4015"/>
    <w:rsid w:val="002B78CE"/>
    <w:rsid w:val="002C2FB6"/>
    <w:rsid w:val="002E5FA7"/>
    <w:rsid w:val="002F3309"/>
    <w:rsid w:val="003008CE"/>
    <w:rsid w:val="003009B7"/>
    <w:rsid w:val="00300E56"/>
    <w:rsid w:val="0030152C"/>
    <w:rsid w:val="0030469C"/>
    <w:rsid w:val="003062F1"/>
    <w:rsid w:val="0031322A"/>
    <w:rsid w:val="0031503B"/>
    <w:rsid w:val="00321CA6"/>
    <w:rsid w:val="00323763"/>
    <w:rsid w:val="00323C5F"/>
    <w:rsid w:val="0033051B"/>
    <w:rsid w:val="00334C09"/>
    <w:rsid w:val="00361D25"/>
    <w:rsid w:val="00365A09"/>
    <w:rsid w:val="00370AAC"/>
    <w:rsid w:val="003723D4"/>
    <w:rsid w:val="00381905"/>
    <w:rsid w:val="00383E52"/>
    <w:rsid w:val="00384CC8"/>
    <w:rsid w:val="003871FD"/>
    <w:rsid w:val="003A1E30"/>
    <w:rsid w:val="003A2829"/>
    <w:rsid w:val="003A7D1C"/>
    <w:rsid w:val="003B304B"/>
    <w:rsid w:val="003B3146"/>
    <w:rsid w:val="003E4EFF"/>
    <w:rsid w:val="003F015E"/>
    <w:rsid w:val="00400414"/>
    <w:rsid w:val="0041446B"/>
    <w:rsid w:val="004223A0"/>
    <w:rsid w:val="00427D5B"/>
    <w:rsid w:val="00430B61"/>
    <w:rsid w:val="0043122A"/>
    <w:rsid w:val="0044071E"/>
    <w:rsid w:val="0044329C"/>
    <w:rsid w:val="00453E24"/>
    <w:rsid w:val="00457456"/>
    <w:rsid w:val="004577FE"/>
    <w:rsid w:val="00457B9C"/>
    <w:rsid w:val="0046164A"/>
    <w:rsid w:val="004628D2"/>
    <w:rsid w:val="00462DCD"/>
    <w:rsid w:val="004648AD"/>
    <w:rsid w:val="004703A9"/>
    <w:rsid w:val="004760DE"/>
    <w:rsid w:val="004763D7"/>
    <w:rsid w:val="004A004E"/>
    <w:rsid w:val="004A24CF"/>
    <w:rsid w:val="004C3D1D"/>
    <w:rsid w:val="004C3D84"/>
    <w:rsid w:val="004C7913"/>
    <w:rsid w:val="004E3249"/>
    <w:rsid w:val="004E4DD6"/>
    <w:rsid w:val="004F5E36"/>
    <w:rsid w:val="005003CE"/>
    <w:rsid w:val="00507B47"/>
    <w:rsid w:val="00507BEF"/>
    <w:rsid w:val="00507CC9"/>
    <w:rsid w:val="005119A5"/>
    <w:rsid w:val="005150C9"/>
    <w:rsid w:val="005278B7"/>
    <w:rsid w:val="00532016"/>
    <w:rsid w:val="005346C8"/>
    <w:rsid w:val="00543E7D"/>
    <w:rsid w:val="00546ACE"/>
    <w:rsid w:val="00547A68"/>
    <w:rsid w:val="005531C9"/>
    <w:rsid w:val="00570C43"/>
    <w:rsid w:val="00584823"/>
    <w:rsid w:val="005A1093"/>
    <w:rsid w:val="005A3135"/>
    <w:rsid w:val="005B0879"/>
    <w:rsid w:val="005B0A26"/>
    <w:rsid w:val="005B2110"/>
    <w:rsid w:val="005B61E6"/>
    <w:rsid w:val="005C77E1"/>
    <w:rsid w:val="005D6326"/>
    <w:rsid w:val="005D668A"/>
    <w:rsid w:val="005D6942"/>
    <w:rsid w:val="005D6A2F"/>
    <w:rsid w:val="005E1A82"/>
    <w:rsid w:val="005E794C"/>
    <w:rsid w:val="005F025D"/>
    <w:rsid w:val="005F0A28"/>
    <w:rsid w:val="005F0E5E"/>
    <w:rsid w:val="00600535"/>
    <w:rsid w:val="00610CD6"/>
    <w:rsid w:val="00615FF3"/>
    <w:rsid w:val="00620DEE"/>
    <w:rsid w:val="00621F92"/>
    <w:rsid w:val="0062280A"/>
    <w:rsid w:val="00625639"/>
    <w:rsid w:val="00631B33"/>
    <w:rsid w:val="0064184D"/>
    <w:rsid w:val="006422CC"/>
    <w:rsid w:val="00646BC9"/>
    <w:rsid w:val="00650C62"/>
    <w:rsid w:val="00653C18"/>
    <w:rsid w:val="00660E3E"/>
    <w:rsid w:val="00662E74"/>
    <w:rsid w:val="00664A1F"/>
    <w:rsid w:val="00680C23"/>
    <w:rsid w:val="006829DD"/>
    <w:rsid w:val="00693766"/>
    <w:rsid w:val="006A3281"/>
    <w:rsid w:val="006B37BB"/>
    <w:rsid w:val="006B4888"/>
    <w:rsid w:val="006B504C"/>
    <w:rsid w:val="006C2E45"/>
    <w:rsid w:val="006C359C"/>
    <w:rsid w:val="006C3C21"/>
    <w:rsid w:val="006C5579"/>
    <w:rsid w:val="006D6E8B"/>
    <w:rsid w:val="006E15EE"/>
    <w:rsid w:val="006E4168"/>
    <w:rsid w:val="006E737D"/>
    <w:rsid w:val="00701CE8"/>
    <w:rsid w:val="00713973"/>
    <w:rsid w:val="00714DD5"/>
    <w:rsid w:val="00720A24"/>
    <w:rsid w:val="00732386"/>
    <w:rsid w:val="0073514D"/>
    <w:rsid w:val="007447F3"/>
    <w:rsid w:val="00747C2A"/>
    <w:rsid w:val="0075499F"/>
    <w:rsid w:val="007661C8"/>
    <w:rsid w:val="0077098D"/>
    <w:rsid w:val="007931FA"/>
    <w:rsid w:val="007A3E68"/>
    <w:rsid w:val="007A4861"/>
    <w:rsid w:val="007A7BBA"/>
    <w:rsid w:val="007B0C50"/>
    <w:rsid w:val="007B48F9"/>
    <w:rsid w:val="007C1A43"/>
    <w:rsid w:val="007D0951"/>
    <w:rsid w:val="0080013E"/>
    <w:rsid w:val="00813288"/>
    <w:rsid w:val="00813A11"/>
    <w:rsid w:val="008168FC"/>
    <w:rsid w:val="00820F52"/>
    <w:rsid w:val="00830996"/>
    <w:rsid w:val="008345F1"/>
    <w:rsid w:val="00844C5F"/>
    <w:rsid w:val="008455FB"/>
    <w:rsid w:val="008463B5"/>
    <w:rsid w:val="00852C32"/>
    <w:rsid w:val="00865B07"/>
    <w:rsid w:val="008667EA"/>
    <w:rsid w:val="0087637F"/>
    <w:rsid w:val="008901EF"/>
    <w:rsid w:val="00892AD5"/>
    <w:rsid w:val="008A1512"/>
    <w:rsid w:val="008A238B"/>
    <w:rsid w:val="008A4CE4"/>
    <w:rsid w:val="008B7AEA"/>
    <w:rsid w:val="008C4A95"/>
    <w:rsid w:val="008D32B9"/>
    <w:rsid w:val="008D433B"/>
    <w:rsid w:val="008D4A16"/>
    <w:rsid w:val="008E0092"/>
    <w:rsid w:val="008E4CBD"/>
    <w:rsid w:val="008E566E"/>
    <w:rsid w:val="0090161A"/>
    <w:rsid w:val="00901EB6"/>
    <w:rsid w:val="00904C62"/>
    <w:rsid w:val="00922BA8"/>
    <w:rsid w:val="00924DAC"/>
    <w:rsid w:val="00927058"/>
    <w:rsid w:val="00942750"/>
    <w:rsid w:val="009450CE"/>
    <w:rsid w:val="009459BB"/>
    <w:rsid w:val="00947179"/>
    <w:rsid w:val="0095164B"/>
    <w:rsid w:val="00954090"/>
    <w:rsid w:val="009573E7"/>
    <w:rsid w:val="00960892"/>
    <w:rsid w:val="00963E05"/>
    <w:rsid w:val="00964A45"/>
    <w:rsid w:val="00967128"/>
    <w:rsid w:val="00967843"/>
    <w:rsid w:val="00967D54"/>
    <w:rsid w:val="00971028"/>
    <w:rsid w:val="00980DE3"/>
    <w:rsid w:val="00993B84"/>
    <w:rsid w:val="00996483"/>
    <w:rsid w:val="00996F5A"/>
    <w:rsid w:val="009B041A"/>
    <w:rsid w:val="009B50E5"/>
    <w:rsid w:val="009C17EE"/>
    <w:rsid w:val="009C37C3"/>
    <w:rsid w:val="009C7C86"/>
    <w:rsid w:val="009D2FF7"/>
    <w:rsid w:val="009E7884"/>
    <w:rsid w:val="009E788A"/>
    <w:rsid w:val="009F0E08"/>
    <w:rsid w:val="00A00D63"/>
    <w:rsid w:val="00A1763D"/>
    <w:rsid w:val="00A17CEC"/>
    <w:rsid w:val="00A27EF0"/>
    <w:rsid w:val="00A42361"/>
    <w:rsid w:val="00A50910"/>
    <w:rsid w:val="00A50B20"/>
    <w:rsid w:val="00A51390"/>
    <w:rsid w:val="00A60D13"/>
    <w:rsid w:val="00A652EB"/>
    <w:rsid w:val="00A65812"/>
    <w:rsid w:val="00A7223D"/>
    <w:rsid w:val="00A72745"/>
    <w:rsid w:val="00A743AA"/>
    <w:rsid w:val="00A76EFC"/>
    <w:rsid w:val="00A87D50"/>
    <w:rsid w:val="00A91010"/>
    <w:rsid w:val="00A97F29"/>
    <w:rsid w:val="00AA702E"/>
    <w:rsid w:val="00AA7D26"/>
    <w:rsid w:val="00AB0964"/>
    <w:rsid w:val="00AB226D"/>
    <w:rsid w:val="00AB5011"/>
    <w:rsid w:val="00AB635D"/>
    <w:rsid w:val="00AC1E0A"/>
    <w:rsid w:val="00AC7368"/>
    <w:rsid w:val="00AD16B9"/>
    <w:rsid w:val="00AE377D"/>
    <w:rsid w:val="00AF0EBA"/>
    <w:rsid w:val="00B02C8A"/>
    <w:rsid w:val="00B128BE"/>
    <w:rsid w:val="00B17FBD"/>
    <w:rsid w:val="00B2029C"/>
    <w:rsid w:val="00B315A6"/>
    <w:rsid w:val="00B31813"/>
    <w:rsid w:val="00B33365"/>
    <w:rsid w:val="00B45A8C"/>
    <w:rsid w:val="00B55FD1"/>
    <w:rsid w:val="00B56E5A"/>
    <w:rsid w:val="00B57B36"/>
    <w:rsid w:val="00B57E6F"/>
    <w:rsid w:val="00B6080A"/>
    <w:rsid w:val="00B61329"/>
    <w:rsid w:val="00B8686D"/>
    <w:rsid w:val="00B93F69"/>
    <w:rsid w:val="00BB1DDC"/>
    <w:rsid w:val="00BC30C9"/>
    <w:rsid w:val="00BC7329"/>
    <w:rsid w:val="00BD077D"/>
    <w:rsid w:val="00BE3E58"/>
    <w:rsid w:val="00C01616"/>
    <w:rsid w:val="00C0162B"/>
    <w:rsid w:val="00C068ED"/>
    <w:rsid w:val="00C22E0C"/>
    <w:rsid w:val="00C345B1"/>
    <w:rsid w:val="00C40142"/>
    <w:rsid w:val="00C5119B"/>
    <w:rsid w:val="00C52C3C"/>
    <w:rsid w:val="00C57182"/>
    <w:rsid w:val="00C57863"/>
    <w:rsid w:val="00C640AF"/>
    <w:rsid w:val="00C655FD"/>
    <w:rsid w:val="00C7419E"/>
    <w:rsid w:val="00C75407"/>
    <w:rsid w:val="00C870A8"/>
    <w:rsid w:val="00C94434"/>
    <w:rsid w:val="00C94DAD"/>
    <w:rsid w:val="00CA0D75"/>
    <w:rsid w:val="00CA1C95"/>
    <w:rsid w:val="00CA5A9C"/>
    <w:rsid w:val="00CC4C20"/>
    <w:rsid w:val="00CC5F25"/>
    <w:rsid w:val="00CC76A1"/>
    <w:rsid w:val="00CD3517"/>
    <w:rsid w:val="00CD49F1"/>
    <w:rsid w:val="00CD5FE2"/>
    <w:rsid w:val="00CE7C68"/>
    <w:rsid w:val="00CF02FA"/>
    <w:rsid w:val="00D02B4C"/>
    <w:rsid w:val="00D040C4"/>
    <w:rsid w:val="00D20AD1"/>
    <w:rsid w:val="00D21522"/>
    <w:rsid w:val="00D34A80"/>
    <w:rsid w:val="00D3719A"/>
    <w:rsid w:val="00D374AE"/>
    <w:rsid w:val="00D422A4"/>
    <w:rsid w:val="00D4367D"/>
    <w:rsid w:val="00D46616"/>
    <w:rsid w:val="00D46B7E"/>
    <w:rsid w:val="00D57C84"/>
    <w:rsid w:val="00D6057D"/>
    <w:rsid w:val="00D7069C"/>
    <w:rsid w:val="00D71640"/>
    <w:rsid w:val="00D836C5"/>
    <w:rsid w:val="00D84576"/>
    <w:rsid w:val="00DA1399"/>
    <w:rsid w:val="00DA24C6"/>
    <w:rsid w:val="00DA4D7B"/>
    <w:rsid w:val="00DD271C"/>
    <w:rsid w:val="00DD3ED9"/>
    <w:rsid w:val="00DE264A"/>
    <w:rsid w:val="00DF5072"/>
    <w:rsid w:val="00E02D18"/>
    <w:rsid w:val="00E041E7"/>
    <w:rsid w:val="00E2047B"/>
    <w:rsid w:val="00E227C3"/>
    <w:rsid w:val="00E23CA1"/>
    <w:rsid w:val="00E23CB1"/>
    <w:rsid w:val="00E330E3"/>
    <w:rsid w:val="00E361D8"/>
    <w:rsid w:val="00E409A8"/>
    <w:rsid w:val="00E50C12"/>
    <w:rsid w:val="00E60372"/>
    <w:rsid w:val="00E65B91"/>
    <w:rsid w:val="00E7209D"/>
    <w:rsid w:val="00E72EAD"/>
    <w:rsid w:val="00E77223"/>
    <w:rsid w:val="00E8528B"/>
    <w:rsid w:val="00E85442"/>
    <w:rsid w:val="00E85B94"/>
    <w:rsid w:val="00E978D0"/>
    <w:rsid w:val="00EA4613"/>
    <w:rsid w:val="00EA4916"/>
    <w:rsid w:val="00EA7F91"/>
    <w:rsid w:val="00EB1523"/>
    <w:rsid w:val="00EB59AD"/>
    <w:rsid w:val="00EB6A2B"/>
    <w:rsid w:val="00EC0E49"/>
    <w:rsid w:val="00EC101F"/>
    <w:rsid w:val="00EC1D9F"/>
    <w:rsid w:val="00EE0131"/>
    <w:rsid w:val="00EE17B0"/>
    <w:rsid w:val="00EE4489"/>
    <w:rsid w:val="00EF0660"/>
    <w:rsid w:val="00EF06D9"/>
    <w:rsid w:val="00F003CF"/>
    <w:rsid w:val="00F14C1F"/>
    <w:rsid w:val="00F238A2"/>
    <w:rsid w:val="00F26690"/>
    <w:rsid w:val="00F2713B"/>
    <w:rsid w:val="00F3049E"/>
    <w:rsid w:val="00F30C64"/>
    <w:rsid w:val="00F3296F"/>
    <w:rsid w:val="00F32BA2"/>
    <w:rsid w:val="00F32CDB"/>
    <w:rsid w:val="00F32D89"/>
    <w:rsid w:val="00F52903"/>
    <w:rsid w:val="00F5369D"/>
    <w:rsid w:val="00F565FE"/>
    <w:rsid w:val="00F63A70"/>
    <w:rsid w:val="00F63D8C"/>
    <w:rsid w:val="00F7534E"/>
    <w:rsid w:val="00F837E9"/>
    <w:rsid w:val="00F93EDF"/>
    <w:rsid w:val="00F940CE"/>
    <w:rsid w:val="00FA1802"/>
    <w:rsid w:val="00FA21D0"/>
    <w:rsid w:val="00FA5F5F"/>
    <w:rsid w:val="00FB730C"/>
    <w:rsid w:val="00FC25EA"/>
    <w:rsid w:val="00FC2695"/>
    <w:rsid w:val="00FC3647"/>
    <w:rsid w:val="00FC3E03"/>
    <w:rsid w:val="00FC3FC1"/>
    <w:rsid w:val="00FF41B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040102"/>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Heading1">
    <w:name w:val="CET Heading1"/>
    <w:next w:val="CETBodytext"/>
    <w:qFormat/>
    <w:rsid w:val="009E788A"/>
    <w:pPr>
      <w:keepNext/>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x">
    <w:name w:val="CET headingx"/>
    <w:next w:val="CETBodytext"/>
    <w:link w:val="CETheadingxCarattere"/>
    <w:autoRedefine/>
    <w:qFormat/>
    <w:rsid w:val="00F003CF"/>
    <w:pPr>
      <w:keepNext/>
      <w:numPr>
        <w:ilvl w:val="1"/>
        <w:numId w:val="30"/>
      </w:numPr>
      <w:suppressAutoHyphens/>
      <w:spacing w:before="120" w:after="120" w:line="240" w:lineRule="auto"/>
    </w:pPr>
    <w:rPr>
      <w:rFonts w:ascii="Arial" w:eastAsia="Times New Roman" w:hAnsi="Arial" w:cs="Times New Roman"/>
      <w:b/>
      <w:sz w:val="18"/>
      <w:szCs w:val="20"/>
      <w:lang w:val="en-US"/>
    </w:rPr>
  </w:style>
  <w:style w:type="character" w:customStyle="1" w:styleId="CETheadingxCarattere">
    <w:name w:val="CET headingx Carattere"/>
    <w:link w:val="CETheadingx"/>
    <w:rsid w:val="00F003CF"/>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character" w:customStyle="1" w:styleId="apple-converted-space">
    <w:name w:val="apple-converted-space"/>
    <w:basedOn w:val="Carpredefinitoparagrafo"/>
    <w:rsid w:val="00EB59AD"/>
  </w:style>
  <w:style w:type="paragraph" w:styleId="Sottotitolo">
    <w:name w:val="Subtitle"/>
    <w:basedOn w:val="Normale"/>
    <w:next w:val="Normale"/>
    <w:link w:val="SottotitoloCarattere"/>
    <w:uiPriority w:val="11"/>
    <w:qFormat/>
    <w:rsid w:val="00EB59AD"/>
    <w:pPr>
      <w:numPr>
        <w:ilvl w:val="1"/>
      </w:numPr>
      <w:tabs>
        <w:tab w:val="clear" w:pos="7100"/>
      </w:tabs>
      <w:spacing w:after="160" w:line="240" w:lineRule="auto"/>
      <w:jc w:val="left"/>
    </w:pPr>
    <w:rPr>
      <w:rFonts w:asciiTheme="minorHAnsi" w:eastAsiaTheme="minorEastAsia" w:hAnsiTheme="minorHAnsi" w:cstheme="minorBidi"/>
      <w:color w:val="5A5A5A" w:themeColor="text1" w:themeTint="A5"/>
      <w:spacing w:val="15"/>
      <w:sz w:val="22"/>
      <w:szCs w:val="22"/>
      <w:lang w:val="it-IT" w:eastAsia="it-IT"/>
    </w:rPr>
  </w:style>
  <w:style w:type="character" w:customStyle="1" w:styleId="SottotitoloCarattere">
    <w:name w:val="Sottotitolo Carattere"/>
    <w:basedOn w:val="Carpredefinitoparagrafo"/>
    <w:link w:val="Sottotitolo"/>
    <w:uiPriority w:val="11"/>
    <w:rsid w:val="00EB59AD"/>
    <w:rPr>
      <w:rFonts w:eastAsiaTheme="minorEastAsia"/>
      <w:color w:val="5A5A5A" w:themeColor="text1" w:themeTint="A5"/>
      <w:spacing w:val="15"/>
      <w:lang w:eastAsia="it-IT"/>
    </w:rPr>
  </w:style>
  <w:style w:type="character" w:styleId="Numeropagina">
    <w:name w:val="page number"/>
    <w:basedOn w:val="Carpredefinitoparagrafo"/>
    <w:uiPriority w:val="99"/>
    <w:semiHidden/>
    <w:unhideWhenUsed/>
    <w:rsid w:val="00EB59AD"/>
  </w:style>
  <w:style w:type="character" w:styleId="Numeroriga">
    <w:name w:val="line number"/>
    <w:basedOn w:val="Carpredefinitoparagrafo"/>
    <w:uiPriority w:val="99"/>
    <w:semiHidden/>
    <w:unhideWhenUsed/>
    <w:rsid w:val="00EB59AD"/>
  </w:style>
  <w:style w:type="paragraph" w:customStyle="1" w:styleId="MDPI41tablecaption">
    <w:name w:val="MDPI_4.1_table_caption"/>
    <w:qFormat/>
    <w:rsid w:val="00E227C3"/>
    <w:pPr>
      <w:adjustRightInd w:val="0"/>
      <w:snapToGrid w:val="0"/>
      <w:spacing w:before="240" w:after="120" w:line="228" w:lineRule="auto"/>
      <w:ind w:left="2608"/>
      <w:jc w:val="both"/>
    </w:pPr>
    <w:rPr>
      <w:rFonts w:ascii="Palatino Linotype" w:eastAsia="Times New Roman" w:hAnsi="Palatino Linotype" w:cs="Cordia New"/>
      <w:color w:val="000000"/>
      <w:sz w:val="18"/>
      <w:lang w:val="en-US" w:eastAsia="de-DE" w:bidi="en-US"/>
    </w:rPr>
  </w:style>
  <w:style w:type="paragraph" w:customStyle="1" w:styleId="MDPI43tablefooter">
    <w:name w:val="MDPI_4.3_table_footer"/>
    <w:next w:val="Normale"/>
    <w:qFormat/>
    <w:rsid w:val="00E227C3"/>
    <w:pPr>
      <w:adjustRightInd w:val="0"/>
      <w:snapToGrid w:val="0"/>
      <w:spacing w:after="0" w:line="228" w:lineRule="auto"/>
      <w:ind w:left="2608"/>
      <w:jc w:val="both"/>
    </w:pPr>
    <w:rPr>
      <w:rFonts w:ascii="Palatino Linotype" w:eastAsia="Times New Roman" w:hAnsi="Palatino Linotype" w:cs="Cordia New"/>
      <w:color w:val="000000"/>
      <w:sz w:val="18"/>
      <w:lang w:val="en-US" w:eastAsia="de-DE" w:bidi="en-US"/>
    </w:rPr>
  </w:style>
  <w:style w:type="paragraph" w:styleId="Revisione">
    <w:name w:val="Revision"/>
    <w:hidden/>
    <w:uiPriority w:val="99"/>
    <w:semiHidden/>
    <w:rsid w:val="00852C32"/>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4575">
      <w:bodyDiv w:val="1"/>
      <w:marLeft w:val="0"/>
      <w:marRight w:val="0"/>
      <w:marTop w:val="0"/>
      <w:marBottom w:val="0"/>
      <w:divBdr>
        <w:top w:val="none" w:sz="0" w:space="0" w:color="auto"/>
        <w:left w:val="none" w:sz="0" w:space="0" w:color="auto"/>
        <w:bottom w:val="none" w:sz="0" w:space="0" w:color="auto"/>
        <w:right w:val="none" w:sz="0" w:space="0" w:color="auto"/>
      </w:divBdr>
      <w:divsChild>
        <w:div w:id="1125461329">
          <w:marLeft w:val="0"/>
          <w:marRight w:val="0"/>
          <w:marTop w:val="0"/>
          <w:marBottom w:val="0"/>
          <w:divBdr>
            <w:top w:val="none" w:sz="0" w:space="0" w:color="auto"/>
            <w:left w:val="none" w:sz="0" w:space="0" w:color="auto"/>
            <w:bottom w:val="none" w:sz="0" w:space="0" w:color="auto"/>
            <w:right w:val="none" w:sz="0" w:space="0" w:color="auto"/>
          </w:divBdr>
          <w:divsChild>
            <w:div w:id="920603551">
              <w:marLeft w:val="0"/>
              <w:marRight w:val="0"/>
              <w:marTop w:val="0"/>
              <w:marBottom w:val="0"/>
              <w:divBdr>
                <w:top w:val="none" w:sz="0" w:space="0" w:color="auto"/>
                <w:left w:val="none" w:sz="0" w:space="0" w:color="auto"/>
                <w:bottom w:val="none" w:sz="0" w:space="0" w:color="auto"/>
                <w:right w:val="none" w:sz="0" w:space="0" w:color="auto"/>
              </w:divBdr>
              <w:divsChild>
                <w:div w:id="7803199">
                  <w:marLeft w:val="0"/>
                  <w:marRight w:val="0"/>
                  <w:marTop w:val="0"/>
                  <w:marBottom w:val="0"/>
                  <w:divBdr>
                    <w:top w:val="none" w:sz="0" w:space="0" w:color="auto"/>
                    <w:left w:val="none" w:sz="0" w:space="0" w:color="auto"/>
                    <w:bottom w:val="none" w:sz="0" w:space="0" w:color="auto"/>
                    <w:right w:val="none" w:sz="0" w:space="0" w:color="auto"/>
                  </w:divBdr>
                  <w:divsChild>
                    <w:div w:id="64909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81341">
      <w:bodyDiv w:val="1"/>
      <w:marLeft w:val="0"/>
      <w:marRight w:val="0"/>
      <w:marTop w:val="0"/>
      <w:marBottom w:val="0"/>
      <w:divBdr>
        <w:top w:val="none" w:sz="0" w:space="0" w:color="auto"/>
        <w:left w:val="none" w:sz="0" w:space="0" w:color="auto"/>
        <w:bottom w:val="none" w:sz="0" w:space="0" w:color="auto"/>
        <w:right w:val="none" w:sz="0" w:space="0" w:color="auto"/>
      </w:divBdr>
      <w:divsChild>
        <w:div w:id="1277983346">
          <w:marLeft w:val="0"/>
          <w:marRight w:val="0"/>
          <w:marTop w:val="0"/>
          <w:marBottom w:val="0"/>
          <w:divBdr>
            <w:top w:val="none" w:sz="0" w:space="0" w:color="auto"/>
            <w:left w:val="none" w:sz="0" w:space="0" w:color="auto"/>
            <w:bottom w:val="none" w:sz="0" w:space="0" w:color="auto"/>
            <w:right w:val="none" w:sz="0" w:space="0" w:color="auto"/>
          </w:divBdr>
          <w:divsChild>
            <w:div w:id="1449622285">
              <w:marLeft w:val="0"/>
              <w:marRight w:val="0"/>
              <w:marTop w:val="0"/>
              <w:marBottom w:val="0"/>
              <w:divBdr>
                <w:top w:val="none" w:sz="0" w:space="0" w:color="auto"/>
                <w:left w:val="none" w:sz="0" w:space="0" w:color="auto"/>
                <w:bottom w:val="none" w:sz="0" w:space="0" w:color="auto"/>
                <w:right w:val="none" w:sz="0" w:space="0" w:color="auto"/>
              </w:divBdr>
              <w:divsChild>
                <w:div w:id="19833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18104">
      <w:bodyDiv w:val="1"/>
      <w:marLeft w:val="0"/>
      <w:marRight w:val="0"/>
      <w:marTop w:val="0"/>
      <w:marBottom w:val="0"/>
      <w:divBdr>
        <w:top w:val="none" w:sz="0" w:space="0" w:color="auto"/>
        <w:left w:val="none" w:sz="0" w:space="0" w:color="auto"/>
        <w:bottom w:val="none" w:sz="0" w:space="0" w:color="auto"/>
        <w:right w:val="none" w:sz="0" w:space="0" w:color="auto"/>
      </w:divBdr>
    </w:div>
    <w:div w:id="99187601">
      <w:bodyDiv w:val="1"/>
      <w:marLeft w:val="0"/>
      <w:marRight w:val="0"/>
      <w:marTop w:val="0"/>
      <w:marBottom w:val="0"/>
      <w:divBdr>
        <w:top w:val="none" w:sz="0" w:space="0" w:color="auto"/>
        <w:left w:val="none" w:sz="0" w:space="0" w:color="auto"/>
        <w:bottom w:val="none" w:sz="0" w:space="0" w:color="auto"/>
        <w:right w:val="none" w:sz="0" w:space="0" w:color="auto"/>
      </w:divBdr>
    </w:div>
    <w:div w:id="125780380">
      <w:bodyDiv w:val="1"/>
      <w:marLeft w:val="0"/>
      <w:marRight w:val="0"/>
      <w:marTop w:val="0"/>
      <w:marBottom w:val="0"/>
      <w:divBdr>
        <w:top w:val="none" w:sz="0" w:space="0" w:color="auto"/>
        <w:left w:val="none" w:sz="0" w:space="0" w:color="auto"/>
        <w:bottom w:val="none" w:sz="0" w:space="0" w:color="auto"/>
        <w:right w:val="none" w:sz="0" w:space="0" w:color="auto"/>
      </w:divBdr>
    </w:div>
    <w:div w:id="128741515">
      <w:bodyDiv w:val="1"/>
      <w:marLeft w:val="0"/>
      <w:marRight w:val="0"/>
      <w:marTop w:val="0"/>
      <w:marBottom w:val="0"/>
      <w:divBdr>
        <w:top w:val="none" w:sz="0" w:space="0" w:color="auto"/>
        <w:left w:val="none" w:sz="0" w:space="0" w:color="auto"/>
        <w:bottom w:val="none" w:sz="0" w:space="0" w:color="auto"/>
        <w:right w:val="none" w:sz="0" w:space="0" w:color="auto"/>
      </w:divBdr>
    </w:div>
    <w:div w:id="253323032">
      <w:bodyDiv w:val="1"/>
      <w:marLeft w:val="0"/>
      <w:marRight w:val="0"/>
      <w:marTop w:val="0"/>
      <w:marBottom w:val="0"/>
      <w:divBdr>
        <w:top w:val="none" w:sz="0" w:space="0" w:color="auto"/>
        <w:left w:val="none" w:sz="0" w:space="0" w:color="auto"/>
        <w:bottom w:val="none" w:sz="0" w:space="0" w:color="auto"/>
        <w:right w:val="none" w:sz="0" w:space="0" w:color="auto"/>
      </w:divBdr>
      <w:divsChild>
        <w:div w:id="36317767">
          <w:marLeft w:val="480"/>
          <w:marRight w:val="0"/>
          <w:marTop w:val="0"/>
          <w:marBottom w:val="0"/>
          <w:divBdr>
            <w:top w:val="none" w:sz="0" w:space="0" w:color="auto"/>
            <w:left w:val="none" w:sz="0" w:space="0" w:color="auto"/>
            <w:bottom w:val="none" w:sz="0" w:space="0" w:color="auto"/>
            <w:right w:val="none" w:sz="0" w:space="0" w:color="auto"/>
          </w:divBdr>
        </w:div>
        <w:div w:id="11227998">
          <w:marLeft w:val="480"/>
          <w:marRight w:val="0"/>
          <w:marTop w:val="0"/>
          <w:marBottom w:val="0"/>
          <w:divBdr>
            <w:top w:val="none" w:sz="0" w:space="0" w:color="auto"/>
            <w:left w:val="none" w:sz="0" w:space="0" w:color="auto"/>
            <w:bottom w:val="none" w:sz="0" w:space="0" w:color="auto"/>
            <w:right w:val="none" w:sz="0" w:space="0" w:color="auto"/>
          </w:divBdr>
        </w:div>
        <w:div w:id="1260219537">
          <w:marLeft w:val="480"/>
          <w:marRight w:val="0"/>
          <w:marTop w:val="0"/>
          <w:marBottom w:val="0"/>
          <w:divBdr>
            <w:top w:val="none" w:sz="0" w:space="0" w:color="auto"/>
            <w:left w:val="none" w:sz="0" w:space="0" w:color="auto"/>
            <w:bottom w:val="none" w:sz="0" w:space="0" w:color="auto"/>
            <w:right w:val="none" w:sz="0" w:space="0" w:color="auto"/>
          </w:divBdr>
        </w:div>
        <w:div w:id="544101348">
          <w:marLeft w:val="480"/>
          <w:marRight w:val="0"/>
          <w:marTop w:val="0"/>
          <w:marBottom w:val="0"/>
          <w:divBdr>
            <w:top w:val="none" w:sz="0" w:space="0" w:color="auto"/>
            <w:left w:val="none" w:sz="0" w:space="0" w:color="auto"/>
            <w:bottom w:val="none" w:sz="0" w:space="0" w:color="auto"/>
            <w:right w:val="none" w:sz="0" w:space="0" w:color="auto"/>
          </w:divBdr>
        </w:div>
        <w:div w:id="1853765175">
          <w:marLeft w:val="480"/>
          <w:marRight w:val="0"/>
          <w:marTop w:val="0"/>
          <w:marBottom w:val="0"/>
          <w:divBdr>
            <w:top w:val="none" w:sz="0" w:space="0" w:color="auto"/>
            <w:left w:val="none" w:sz="0" w:space="0" w:color="auto"/>
            <w:bottom w:val="none" w:sz="0" w:space="0" w:color="auto"/>
            <w:right w:val="none" w:sz="0" w:space="0" w:color="auto"/>
          </w:divBdr>
        </w:div>
        <w:div w:id="1913195774">
          <w:marLeft w:val="480"/>
          <w:marRight w:val="0"/>
          <w:marTop w:val="0"/>
          <w:marBottom w:val="0"/>
          <w:divBdr>
            <w:top w:val="none" w:sz="0" w:space="0" w:color="auto"/>
            <w:left w:val="none" w:sz="0" w:space="0" w:color="auto"/>
            <w:bottom w:val="none" w:sz="0" w:space="0" w:color="auto"/>
            <w:right w:val="none" w:sz="0" w:space="0" w:color="auto"/>
          </w:divBdr>
        </w:div>
        <w:div w:id="1318654">
          <w:marLeft w:val="480"/>
          <w:marRight w:val="0"/>
          <w:marTop w:val="0"/>
          <w:marBottom w:val="0"/>
          <w:divBdr>
            <w:top w:val="none" w:sz="0" w:space="0" w:color="auto"/>
            <w:left w:val="none" w:sz="0" w:space="0" w:color="auto"/>
            <w:bottom w:val="none" w:sz="0" w:space="0" w:color="auto"/>
            <w:right w:val="none" w:sz="0" w:space="0" w:color="auto"/>
          </w:divBdr>
        </w:div>
        <w:div w:id="48575606">
          <w:marLeft w:val="480"/>
          <w:marRight w:val="0"/>
          <w:marTop w:val="0"/>
          <w:marBottom w:val="0"/>
          <w:divBdr>
            <w:top w:val="none" w:sz="0" w:space="0" w:color="auto"/>
            <w:left w:val="none" w:sz="0" w:space="0" w:color="auto"/>
            <w:bottom w:val="none" w:sz="0" w:space="0" w:color="auto"/>
            <w:right w:val="none" w:sz="0" w:space="0" w:color="auto"/>
          </w:divBdr>
        </w:div>
        <w:div w:id="836728577">
          <w:marLeft w:val="480"/>
          <w:marRight w:val="0"/>
          <w:marTop w:val="0"/>
          <w:marBottom w:val="0"/>
          <w:divBdr>
            <w:top w:val="none" w:sz="0" w:space="0" w:color="auto"/>
            <w:left w:val="none" w:sz="0" w:space="0" w:color="auto"/>
            <w:bottom w:val="none" w:sz="0" w:space="0" w:color="auto"/>
            <w:right w:val="none" w:sz="0" w:space="0" w:color="auto"/>
          </w:divBdr>
        </w:div>
        <w:div w:id="344216306">
          <w:marLeft w:val="480"/>
          <w:marRight w:val="0"/>
          <w:marTop w:val="0"/>
          <w:marBottom w:val="0"/>
          <w:divBdr>
            <w:top w:val="none" w:sz="0" w:space="0" w:color="auto"/>
            <w:left w:val="none" w:sz="0" w:space="0" w:color="auto"/>
            <w:bottom w:val="none" w:sz="0" w:space="0" w:color="auto"/>
            <w:right w:val="none" w:sz="0" w:space="0" w:color="auto"/>
          </w:divBdr>
        </w:div>
        <w:div w:id="925579191">
          <w:marLeft w:val="480"/>
          <w:marRight w:val="0"/>
          <w:marTop w:val="0"/>
          <w:marBottom w:val="0"/>
          <w:divBdr>
            <w:top w:val="none" w:sz="0" w:space="0" w:color="auto"/>
            <w:left w:val="none" w:sz="0" w:space="0" w:color="auto"/>
            <w:bottom w:val="none" w:sz="0" w:space="0" w:color="auto"/>
            <w:right w:val="none" w:sz="0" w:space="0" w:color="auto"/>
          </w:divBdr>
        </w:div>
        <w:div w:id="272444212">
          <w:marLeft w:val="480"/>
          <w:marRight w:val="0"/>
          <w:marTop w:val="0"/>
          <w:marBottom w:val="0"/>
          <w:divBdr>
            <w:top w:val="none" w:sz="0" w:space="0" w:color="auto"/>
            <w:left w:val="none" w:sz="0" w:space="0" w:color="auto"/>
            <w:bottom w:val="none" w:sz="0" w:space="0" w:color="auto"/>
            <w:right w:val="none" w:sz="0" w:space="0" w:color="auto"/>
          </w:divBdr>
        </w:div>
        <w:div w:id="218632494">
          <w:marLeft w:val="480"/>
          <w:marRight w:val="0"/>
          <w:marTop w:val="0"/>
          <w:marBottom w:val="0"/>
          <w:divBdr>
            <w:top w:val="none" w:sz="0" w:space="0" w:color="auto"/>
            <w:left w:val="none" w:sz="0" w:space="0" w:color="auto"/>
            <w:bottom w:val="none" w:sz="0" w:space="0" w:color="auto"/>
            <w:right w:val="none" w:sz="0" w:space="0" w:color="auto"/>
          </w:divBdr>
        </w:div>
        <w:div w:id="584724169">
          <w:marLeft w:val="480"/>
          <w:marRight w:val="0"/>
          <w:marTop w:val="0"/>
          <w:marBottom w:val="0"/>
          <w:divBdr>
            <w:top w:val="none" w:sz="0" w:space="0" w:color="auto"/>
            <w:left w:val="none" w:sz="0" w:space="0" w:color="auto"/>
            <w:bottom w:val="none" w:sz="0" w:space="0" w:color="auto"/>
            <w:right w:val="none" w:sz="0" w:space="0" w:color="auto"/>
          </w:divBdr>
        </w:div>
        <w:div w:id="1676760605">
          <w:marLeft w:val="480"/>
          <w:marRight w:val="0"/>
          <w:marTop w:val="0"/>
          <w:marBottom w:val="0"/>
          <w:divBdr>
            <w:top w:val="none" w:sz="0" w:space="0" w:color="auto"/>
            <w:left w:val="none" w:sz="0" w:space="0" w:color="auto"/>
            <w:bottom w:val="none" w:sz="0" w:space="0" w:color="auto"/>
            <w:right w:val="none" w:sz="0" w:space="0" w:color="auto"/>
          </w:divBdr>
        </w:div>
        <w:div w:id="652107245">
          <w:marLeft w:val="480"/>
          <w:marRight w:val="0"/>
          <w:marTop w:val="0"/>
          <w:marBottom w:val="0"/>
          <w:divBdr>
            <w:top w:val="none" w:sz="0" w:space="0" w:color="auto"/>
            <w:left w:val="none" w:sz="0" w:space="0" w:color="auto"/>
            <w:bottom w:val="none" w:sz="0" w:space="0" w:color="auto"/>
            <w:right w:val="none" w:sz="0" w:space="0" w:color="auto"/>
          </w:divBdr>
        </w:div>
        <w:div w:id="1714648660">
          <w:marLeft w:val="480"/>
          <w:marRight w:val="0"/>
          <w:marTop w:val="0"/>
          <w:marBottom w:val="0"/>
          <w:divBdr>
            <w:top w:val="none" w:sz="0" w:space="0" w:color="auto"/>
            <w:left w:val="none" w:sz="0" w:space="0" w:color="auto"/>
            <w:bottom w:val="none" w:sz="0" w:space="0" w:color="auto"/>
            <w:right w:val="none" w:sz="0" w:space="0" w:color="auto"/>
          </w:divBdr>
        </w:div>
        <w:div w:id="374474822">
          <w:marLeft w:val="480"/>
          <w:marRight w:val="0"/>
          <w:marTop w:val="0"/>
          <w:marBottom w:val="0"/>
          <w:divBdr>
            <w:top w:val="none" w:sz="0" w:space="0" w:color="auto"/>
            <w:left w:val="none" w:sz="0" w:space="0" w:color="auto"/>
            <w:bottom w:val="none" w:sz="0" w:space="0" w:color="auto"/>
            <w:right w:val="none" w:sz="0" w:space="0" w:color="auto"/>
          </w:divBdr>
        </w:div>
        <w:div w:id="1870946973">
          <w:marLeft w:val="480"/>
          <w:marRight w:val="0"/>
          <w:marTop w:val="0"/>
          <w:marBottom w:val="0"/>
          <w:divBdr>
            <w:top w:val="none" w:sz="0" w:space="0" w:color="auto"/>
            <w:left w:val="none" w:sz="0" w:space="0" w:color="auto"/>
            <w:bottom w:val="none" w:sz="0" w:space="0" w:color="auto"/>
            <w:right w:val="none" w:sz="0" w:space="0" w:color="auto"/>
          </w:divBdr>
        </w:div>
        <w:div w:id="1155104299">
          <w:marLeft w:val="480"/>
          <w:marRight w:val="0"/>
          <w:marTop w:val="0"/>
          <w:marBottom w:val="0"/>
          <w:divBdr>
            <w:top w:val="none" w:sz="0" w:space="0" w:color="auto"/>
            <w:left w:val="none" w:sz="0" w:space="0" w:color="auto"/>
            <w:bottom w:val="none" w:sz="0" w:space="0" w:color="auto"/>
            <w:right w:val="none" w:sz="0" w:space="0" w:color="auto"/>
          </w:divBdr>
        </w:div>
        <w:div w:id="1742755360">
          <w:marLeft w:val="480"/>
          <w:marRight w:val="0"/>
          <w:marTop w:val="0"/>
          <w:marBottom w:val="0"/>
          <w:divBdr>
            <w:top w:val="none" w:sz="0" w:space="0" w:color="auto"/>
            <w:left w:val="none" w:sz="0" w:space="0" w:color="auto"/>
            <w:bottom w:val="none" w:sz="0" w:space="0" w:color="auto"/>
            <w:right w:val="none" w:sz="0" w:space="0" w:color="auto"/>
          </w:divBdr>
        </w:div>
        <w:div w:id="672997946">
          <w:marLeft w:val="480"/>
          <w:marRight w:val="0"/>
          <w:marTop w:val="0"/>
          <w:marBottom w:val="0"/>
          <w:divBdr>
            <w:top w:val="none" w:sz="0" w:space="0" w:color="auto"/>
            <w:left w:val="none" w:sz="0" w:space="0" w:color="auto"/>
            <w:bottom w:val="none" w:sz="0" w:space="0" w:color="auto"/>
            <w:right w:val="none" w:sz="0" w:space="0" w:color="auto"/>
          </w:divBdr>
        </w:div>
        <w:div w:id="719018230">
          <w:marLeft w:val="480"/>
          <w:marRight w:val="0"/>
          <w:marTop w:val="0"/>
          <w:marBottom w:val="0"/>
          <w:divBdr>
            <w:top w:val="none" w:sz="0" w:space="0" w:color="auto"/>
            <w:left w:val="none" w:sz="0" w:space="0" w:color="auto"/>
            <w:bottom w:val="none" w:sz="0" w:space="0" w:color="auto"/>
            <w:right w:val="none" w:sz="0" w:space="0" w:color="auto"/>
          </w:divBdr>
        </w:div>
        <w:div w:id="173687195">
          <w:marLeft w:val="480"/>
          <w:marRight w:val="0"/>
          <w:marTop w:val="0"/>
          <w:marBottom w:val="0"/>
          <w:divBdr>
            <w:top w:val="none" w:sz="0" w:space="0" w:color="auto"/>
            <w:left w:val="none" w:sz="0" w:space="0" w:color="auto"/>
            <w:bottom w:val="none" w:sz="0" w:space="0" w:color="auto"/>
            <w:right w:val="none" w:sz="0" w:space="0" w:color="auto"/>
          </w:divBdr>
        </w:div>
        <w:div w:id="1919441519">
          <w:marLeft w:val="480"/>
          <w:marRight w:val="0"/>
          <w:marTop w:val="0"/>
          <w:marBottom w:val="0"/>
          <w:divBdr>
            <w:top w:val="none" w:sz="0" w:space="0" w:color="auto"/>
            <w:left w:val="none" w:sz="0" w:space="0" w:color="auto"/>
            <w:bottom w:val="none" w:sz="0" w:space="0" w:color="auto"/>
            <w:right w:val="none" w:sz="0" w:space="0" w:color="auto"/>
          </w:divBdr>
        </w:div>
        <w:div w:id="2135175575">
          <w:marLeft w:val="480"/>
          <w:marRight w:val="0"/>
          <w:marTop w:val="0"/>
          <w:marBottom w:val="0"/>
          <w:divBdr>
            <w:top w:val="none" w:sz="0" w:space="0" w:color="auto"/>
            <w:left w:val="none" w:sz="0" w:space="0" w:color="auto"/>
            <w:bottom w:val="none" w:sz="0" w:space="0" w:color="auto"/>
            <w:right w:val="none" w:sz="0" w:space="0" w:color="auto"/>
          </w:divBdr>
        </w:div>
        <w:div w:id="314728057">
          <w:marLeft w:val="480"/>
          <w:marRight w:val="0"/>
          <w:marTop w:val="0"/>
          <w:marBottom w:val="0"/>
          <w:divBdr>
            <w:top w:val="none" w:sz="0" w:space="0" w:color="auto"/>
            <w:left w:val="none" w:sz="0" w:space="0" w:color="auto"/>
            <w:bottom w:val="none" w:sz="0" w:space="0" w:color="auto"/>
            <w:right w:val="none" w:sz="0" w:space="0" w:color="auto"/>
          </w:divBdr>
        </w:div>
        <w:div w:id="1918713013">
          <w:marLeft w:val="480"/>
          <w:marRight w:val="0"/>
          <w:marTop w:val="0"/>
          <w:marBottom w:val="0"/>
          <w:divBdr>
            <w:top w:val="none" w:sz="0" w:space="0" w:color="auto"/>
            <w:left w:val="none" w:sz="0" w:space="0" w:color="auto"/>
            <w:bottom w:val="none" w:sz="0" w:space="0" w:color="auto"/>
            <w:right w:val="none" w:sz="0" w:space="0" w:color="auto"/>
          </w:divBdr>
        </w:div>
        <w:div w:id="2095393758">
          <w:marLeft w:val="480"/>
          <w:marRight w:val="0"/>
          <w:marTop w:val="0"/>
          <w:marBottom w:val="0"/>
          <w:divBdr>
            <w:top w:val="none" w:sz="0" w:space="0" w:color="auto"/>
            <w:left w:val="none" w:sz="0" w:space="0" w:color="auto"/>
            <w:bottom w:val="none" w:sz="0" w:space="0" w:color="auto"/>
            <w:right w:val="none" w:sz="0" w:space="0" w:color="auto"/>
          </w:divBdr>
        </w:div>
        <w:div w:id="68500984">
          <w:marLeft w:val="480"/>
          <w:marRight w:val="0"/>
          <w:marTop w:val="0"/>
          <w:marBottom w:val="0"/>
          <w:divBdr>
            <w:top w:val="none" w:sz="0" w:space="0" w:color="auto"/>
            <w:left w:val="none" w:sz="0" w:space="0" w:color="auto"/>
            <w:bottom w:val="none" w:sz="0" w:space="0" w:color="auto"/>
            <w:right w:val="none" w:sz="0" w:space="0" w:color="auto"/>
          </w:divBdr>
        </w:div>
        <w:div w:id="2023781405">
          <w:marLeft w:val="480"/>
          <w:marRight w:val="0"/>
          <w:marTop w:val="0"/>
          <w:marBottom w:val="0"/>
          <w:divBdr>
            <w:top w:val="none" w:sz="0" w:space="0" w:color="auto"/>
            <w:left w:val="none" w:sz="0" w:space="0" w:color="auto"/>
            <w:bottom w:val="none" w:sz="0" w:space="0" w:color="auto"/>
            <w:right w:val="none" w:sz="0" w:space="0" w:color="auto"/>
          </w:divBdr>
        </w:div>
        <w:div w:id="927155784">
          <w:marLeft w:val="480"/>
          <w:marRight w:val="0"/>
          <w:marTop w:val="0"/>
          <w:marBottom w:val="0"/>
          <w:divBdr>
            <w:top w:val="none" w:sz="0" w:space="0" w:color="auto"/>
            <w:left w:val="none" w:sz="0" w:space="0" w:color="auto"/>
            <w:bottom w:val="none" w:sz="0" w:space="0" w:color="auto"/>
            <w:right w:val="none" w:sz="0" w:space="0" w:color="auto"/>
          </w:divBdr>
        </w:div>
        <w:div w:id="1275213046">
          <w:marLeft w:val="480"/>
          <w:marRight w:val="0"/>
          <w:marTop w:val="0"/>
          <w:marBottom w:val="0"/>
          <w:divBdr>
            <w:top w:val="none" w:sz="0" w:space="0" w:color="auto"/>
            <w:left w:val="none" w:sz="0" w:space="0" w:color="auto"/>
            <w:bottom w:val="none" w:sz="0" w:space="0" w:color="auto"/>
            <w:right w:val="none" w:sz="0" w:space="0" w:color="auto"/>
          </w:divBdr>
        </w:div>
        <w:div w:id="1250886731">
          <w:marLeft w:val="480"/>
          <w:marRight w:val="0"/>
          <w:marTop w:val="0"/>
          <w:marBottom w:val="0"/>
          <w:divBdr>
            <w:top w:val="none" w:sz="0" w:space="0" w:color="auto"/>
            <w:left w:val="none" w:sz="0" w:space="0" w:color="auto"/>
            <w:bottom w:val="none" w:sz="0" w:space="0" w:color="auto"/>
            <w:right w:val="none" w:sz="0" w:space="0" w:color="auto"/>
          </w:divBdr>
        </w:div>
        <w:div w:id="1022970373">
          <w:marLeft w:val="480"/>
          <w:marRight w:val="0"/>
          <w:marTop w:val="0"/>
          <w:marBottom w:val="0"/>
          <w:divBdr>
            <w:top w:val="none" w:sz="0" w:space="0" w:color="auto"/>
            <w:left w:val="none" w:sz="0" w:space="0" w:color="auto"/>
            <w:bottom w:val="none" w:sz="0" w:space="0" w:color="auto"/>
            <w:right w:val="none" w:sz="0" w:space="0" w:color="auto"/>
          </w:divBdr>
        </w:div>
        <w:div w:id="1333024739">
          <w:marLeft w:val="480"/>
          <w:marRight w:val="0"/>
          <w:marTop w:val="0"/>
          <w:marBottom w:val="0"/>
          <w:divBdr>
            <w:top w:val="none" w:sz="0" w:space="0" w:color="auto"/>
            <w:left w:val="none" w:sz="0" w:space="0" w:color="auto"/>
            <w:bottom w:val="none" w:sz="0" w:space="0" w:color="auto"/>
            <w:right w:val="none" w:sz="0" w:space="0" w:color="auto"/>
          </w:divBdr>
        </w:div>
        <w:div w:id="927808156">
          <w:marLeft w:val="480"/>
          <w:marRight w:val="0"/>
          <w:marTop w:val="0"/>
          <w:marBottom w:val="0"/>
          <w:divBdr>
            <w:top w:val="none" w:sz="0" w:space="0" w:color="auto"/>
            <w:left w:val="none" w:sz="0" w:space="0" w:color="auto"/>
            <w:bottom w:val="none" w:sz="0" w:space="0" w:color="auto"/>
            <w:right w:val="none" w:sz="0" w:space="0" w:color="auto"/>
          </w:divBdr>
        </w:div>
      </w:divsChild>
    </w:div>
    <w:div w:id="289673209">
      <w:bodyDiv w:val="1"/>
      <w:marLeft w:val="0"/>
      <w:marRight w:val="0"/>
      <w:marTop w:val="0"/>
      <w:marBottom w:val="0"/>
      <w:divBdr>
        <w:top w:val="none" w:sz="0" w:space="0" w:color="auto"/>
        <w:left w:val="none" w:sz="0" w:space="0" w:color="auto"/>
        <w:bottom w:val="none" w:sz="0" w:space="0" w:color="auto"/>
        <w:right w:val="none" w:sz="0" w:space="0" w:color="auto"/>
      </w:divBdr>
      <w:divsChild>
        <w:div w:id="1793089830">
          <w:marLeft w:val="0"/>
          <w:marRight w:val="0"/>
          <w:marTop w:val="0"/>
          <w:marBottom w:val="0"/>
          <w:divBdr>
            <w:top w:val="none" w:sz="0" w:space="0" w:color="auto"/>
            <w:left w:val="none" w:sz="0" w:space="0" w:color="auto"/>
            <w:bottom w:val="none" w:sz="0" w:space="0" w:color="auto"/>
            <w:right w:val="none" w:sz="0" w:space="0" w:color="auto"/>
          </w:divBdr>
          <w:divsChild>
            <w:div w:id="1691564582">
              <w:marLeft w:val="0"/>
              <w:marRight w:val="0"/>
              <w:marTop w:val="0"/>
              <w:marBottom w:val="0"/>
              <w:divBdr>
                <w:top w:val="none" w:sz="0" w:space="0" w:color="auto"/>
                <w:left w:val="none" w:sz="0" w:space="0" w:color="auto"/>
                <w:bottom w:val="none" w:sz="0" w:space="0" w:color="auto"/>
                <w:right w:val="none" w:sz="0" w:space="0" w:color="auto"/>
              </w:divBdr>
              <w:divsChild>
                <w:div w:id="7165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39347">
      <w:bodyDiv w:val="1"/>
      <w:marLeft w:val="0"/>
      <w:marRight w:val="0"/>
      <w:marTop w:val="0"/>
      <w:marBottom w:val="0"/>
      <w:divBdr>
        <w:top w:val="none" w:sz="0" w:space="0" w:color="auto"/>
        <w:left w:val="none" w:sz="0" w:space="0" w:color="auto"/>
        <w:bottom w:val="none" w:sz="0" w:space="0" w:color="auto"/>
        <w:right w:val="none" w:sz="0" w:space="0" w:color="auto"/>
      </w:divBdr>
      <w:divsChild>
        <w:div w:id="1854103773">
          <w:marLeft w:val="0"/>
          <w:marRight w:val="0"/>
          <w:marTop w:val="0"/>
          <w:marBottom w:val="0"/>
          <w:divBdr>
            <w:top w:val="none" w:sz="0" w:space="0" w:color="auto"/>
            <w:left w:val="none" w:sz="0" w:space="0" w:color="auto"/>
            <w:bottom w:val="none" w:sz="0" w:space="0" w:color="auto"/>
            <w:right w:val="none" w:sz="0" w:space="0" w:color="auto"/>
          </w:divBdr>
          <w:divsChild>
            <w:div w:id="1217161279">
              <w:marLeft w:val="0"/>
              <w:marRight w:val="0"/>
              <w:marTop w:val="0"/>
              <w:marBottom w:val="0"/>
              <w:divBdr>
                <w:top w:val="none" w:sz="0" w:space="0" w:color="auto"/>
                <w:left w:val="none" w:sz="0" w:space="0" w:color="auto"/>
                <w:bottom w:val="none" w:sz="0" w:space="0" w:color="auto"/>
                <w:right w:val="none" w:sz="0" w:space="0" w:color="auto"/>
              </w:divBdr>
              <w:divsChild>
                <w:div w:id="14855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98403">
      <w:bodyDiv w:val="1"/>
      <w:marLeft w:val="0"/>
      <w:marRight w:val="0"/>
      <w:marTop w:val="0"/>
      <w:marBottom w:val="0"/>
      <w:divBdr>
        <w:top w:val="none" w:sz="0" w:space="0" w:color="auto"/>
        <w:left w:val="none" w:sz="0" w:space="0" w:color="auto"/>
        <w:bottom w:val="none" w:sz="0" w:space="0" w:color="auto"/>
        <w:right w:val="none" w:sz="0" w:space="0" w:color="auto"/>
      </w:divBdr>
    </w:div>
    <w:div w:id="389042426">
      <w:bodyDiv w:val="1"/>
      <w:marLeft w:val="0"/>
      <w:marRight w:val="0"/>
      <w:marTop w:val="0"/>
      <w:marBottom w:val="0"/>
      <w:divBdr>
        <w:top w:val="none" w:sz="0" w:space="0" w:color="auto"/>
        <w:left w:val="none" w:sz="0" w:space="0" w:color="auto"/>
        <w:bottom w:val="none" w:sz="0" w:space="0" w:color="auto"/>
        <w:right w:val="none" w:sz="0" w:space="0" w:color="auto"/>
      </w:divBdr>
      <w:divsChild>
        <w:div w:id="499807281">
          <w:marLeft w:val="0"/>
          <w:marRight w:val="0"/>
          <w:marTop w:val="0"/>
          <w:marBottom w:val="0"/>
          <w:divBdr>
            <w:top w:val="none" w:sz="0" w:space="0" w:color="auto"/>
            <w:left w:val="none" w:sz="0" w:space="0" w:color="auto"/>
            <w:bottom w:val="none" w:sz="0" w:space="0" w:color="auto"/>
            <w:right w:val="none" w:sz="0" w:space="0" w:color="auto"/>
          </w:divBdr>
          <w:divsChild>
            <w:div w:id="1179853627">
              <w:marLeft w:val="0"/>
              <w:marRight w:val="0"/>
              <w:marTop w:val="0"/>
              <w:marBottom w:val="0"/>
              <w:divBdr>
                <w:top w:val="none" w:sz="0" w:space="0" w:color="auto"/>
                <w:left w:val="none" w:sz="0" w:space="0" w:color="auto"/>
                <w:bottom w:val="none" w:sz="0" w:space="0" w:color="auto"/>
                <w:right w:val="none" w:sz="0" w:space="0" w:color="auto"/>
              </w:divBdr>
              <w:divsChild>
                <w:div w:id="133649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38150">
      <w:bodyDiv w:val="1"/>
      <w:marLeft w:val="0"/>
      <w:marRight w:val="0"/>
      <w:marTop w:val="0"/>
      <w:marBottom w:val="0"/>
      <w:divBdr>
        <w:top w:val="none" w:sz="0" w:space="0" w:color="auto"/>
        <w:left w:val="none" w:sz="0" w:space="0" w:color="auto"/>
        <w:bottom w:val="none" w:sz="0" w:space="0" w:color="auto"/>
        <w:right w:val="none" w:sz="0" w:space="0" w:color="auto"/>
      </w:divBdr>
      <w:divsChild>
        <w:div w:id="1292321981">
          <w:marLeft w:val="0"/>
          <w:marRight w:val="0"/>
          <w:marTop w:val="0"/>
          <w:marBottom w:val="0"/>
          <w:divBdr>
            <w:top w:val="none" w:sz="0" w:space="0" w:color="auto"/>
            <w:left w:val="none" w:sz="0" w:space="0" w:color="auto"/>
            <w:bottom w:val="none" w:sz="0" w:space="0" w:color="auto"/>
            <w:right w:val="none" w:sz="0" w:space="0" w:color="auto"/>
          </w:divBdr>
          <w:divsChild>
            <w:div w:id="235630752">
              <w:marLeft w:val="0"/>
              <w:marRight w:val="0"/>
              <w:marTop w:val="0"/>
              <w:marBottom w:val="0"/>
              <w:divBdr>
                <w:top w:val="none" w:sz="0" w:space="0" w:color="auto"/>
                <w:left w:val="none" w:sz="0" w:space="0" w:color="auto"/>
                <w:bottom w:val="none" w:sz="0" w:space="0" w:color="auto"/>
                <w:right w:val="none" w:sz="0" w:space="0" w:color="auto"/>
              </w:divBdr>
              <w:divsChild>
                <w:div w:id="84131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77">
      <w:bodyDiv w:val="1"/>
      <w:marLeft w:val="0"/>
      <w:marRight w:val="0"/>
      <w:marTop w:val="0"/>
      <w:marBottom w:val="0"/>
      <w:divBdr>
        <w:top w:val="none" w:sz="0" w:space="0" w:color="auto"/>
        <w:left w:val="none" w:sz="0" w:space="0" w:color="auto"/>
        <w:bottom w:val="none" w:sz="0" w:space="0" w:color="auto"/>
        <w:right w:val="none" w:sz="0" w:space="0" w:color="auto"/>
      </w:divBdr>
    </w:div>
    <w:div w:id="488253052">
      <w:bodyDiv w:val="1"/>
      <w:marLeft w:val="0"/>
      <w:marRight w:val="0"/>
      <w:marTop w:val="0"/>
      <w:marBottom w:val="0"/>
      <w:divBdr>
        <w:top w:val="none" w:sz="0" w:space="0" w:color="auto"/>
        <w:left w:val="none" w:sz="0" w:space="0" w:color="auto"/>
        <w:bottom w:val="none" w:sz="0" w:space="0" w:color="auto"/>
        <w:right w:val="none" w:sz="0" w:space="0" w:color="auto"/>
      </w:divBdr>
      <w:divsChild>
        <w:div w:id="1843159054">
          <w:marLeft w:val="480"/>
          <w:marRight w:val="0"/>
          <w:marTop w:val="0"/>
          <w:marBottom w:val="0"/>
          <w:divBdr>
            <w:top w:val="none" w:sz="0" w:space="0" w:color="auto"/>
            <w:left w:val="none" w:sz="0" w:space="0" w:color="auto"/>
            <w:bottom w:val="none" w:sz="0" w:space="0" w:color="auto"/>
            <w:right w:val="none" w:sz="0" w:space="0" w:color="auto"/>
          </w:divBdr>
        </w:div>
        <w:div w:id="310718404">
          <w:marLeft w:val="480"/>
          <w:marRight w:val="0"/>
          <w:marTop w:val="0"/>
          <w:marBottom w:val="0"/>
          <w:divBdr>
            <w:top w:val="none" w:sz="0" w:space="0" w:color="auto"/>
            <w:left w:val="none" w:sz="0" w:space="0" w:color="auto"/>
            <w:bottom w:val="none" w:sz="0" w:space="0" w:color="auto"/>
            <w:right w:val="none" w:sz="0" w:space="0" w:color="auto"/>
          </w:divBdr>
        </w:div>
        <w:div w:id="317148281">
          <w:marLeft w:val="480"/>
          <w:marRight w:val="0"/>
          <w:marTop w:val="0"/>
          <w:marBottom w:val="0"/>
          <w:divBdr>
            <w:top w:val="none" w:sz="0" w:space="0" w:color="auto"/>
            <w:left w:val="none" w:sz="0" w:space="0" w:color="auto"/>
            <w:bottom w:val="none" w:sz="0" w:space="0" w:color="auto"/>
            <w:right w:val="none" w:sz="0" w:space="0" w:color="auto"/>
          </w:divBdr>
        </w:div>
        <w:div w:id="1748111245">
          <w:marLeft w:val="480"/>
          <w:marRight w:val="0"/>
          <w:marTop w:val="0"/>
          <w:marBottom w:val="0"/>
          <w:divBdr>
            <w:top w:val="none" w:sz="0" w:space="0" w:color="auto"/>
            <w:left w:val="none" w:sz="0" w:space="0" w:color="auto"/>
            <w:bottom w:val="none" w:sz="0" w:space="0" w:color="auto"/>
            <w:right w:val="none" w:sz="0" w:space="0" w:color="auto"/>
          </w:divBdr>
        </w:div>
        <w:div w:id="541095194">
          <w:marLeft w:val="480"/>
          <w:marRight w:val="0"/>
          <w:marTop w:val="0"/>
          <w:marBottom w:val="0"/>
          <w:divBdr>
            <w:top w:val="none" w:sz="0" w:space="0" w:color="auto"/>
            <w:left w:val="none" w:sz="0" w:space="0" w:color="auto"/>
            <w:bottom w:val="none" w:sz="0" w:space="0" w:color="auto"/>
            <w:right w:val="none" w:sz="0" w:space="0" w:color="auto"/>
          </w:divBdr>
        </w:div>
        <w:div w:id="491721100">
          <w:marLeft w:val="480"/>
          <w:marRight w:val="0"/>
          <w:marTop w:val="0"/>
          <w:marBottom w:val="0"/>
          <w:divBdr>
            <w:top w:val="none" w:sz="0" w:space="0" w:color="auto"/>
            <w:left w:val="none" w:sz="0" w:space="0" w:color="auto"/>
            <w:bottom w:val="none" w:sz="0" w:space="0" w:color="auto"/>
            <w:right w:val="none" w:sz="0" w:space="0" w:color="auto"/>
          </w:divBdr>
        </w:div>
        <w:div w:id="962227882">
          <w:marLeft w:val="480"/>
          <w:marRight w:val="0"/>
          <w:marTop w:val="0"/>
          <w:marBottom w:val="0"/>
          <w:divBdr>
            <w:top w:val="none" w:sz="0" w:space="0" w:color="auto"/>
            <w:left w:val="none" w:sz="0" w:space="0" w:color="auto"/>
            <w:bottom w:val="none" w:sz="0" w:space="0" w:color="auto"/>
            <w:right w:val="none" w:sz="0" w:space="0" w:color="auto"/>
          </w:divBdr>
        </w:div>
        <w:div w:id="163590903">
          <w:marLeft w:val="480"/>
          <w:marRight w:val="0"/>
          <w:marTop w:val="0"/>
          <w:marBottom w:val="0"/>
          <w:divBdr>
            <w:top w:val="none" w:sz="0" w:space="0" w:color="auto"/>
            <w:left w:val="none" w:sz="0" w:space="0" w:color="auto"/>
            <w:bottom w:val="none" w:sz="0" w:space="0" w:color="auto"/>
            <w:right w:val="none" w:sz="0" w:space="0" w:color="auto"/>
          </w:divBdr>
        </w:div>
        <w:div w:id="1150829615">
          <w:marLeft w:val="480"/>
          <w:marRight w:val="0"/>
          <w:marTop w:val="0"/>
          <w:marBottom w:val="0"/>
          <w:divBdr>
            <w:top w:val="none" w:sz="0" w:space="0" w:color="auto"/>
            <w:left w:val="none" w:sz="0" w:space="0" w:color="auto"/>
            <w:bottom w:val="none" w:sz="0" w:space="0" w:color="auto"/>
            <w:right w:val="none" w:sz="0" w:space="0" w:color="auto"/>
          </w:divBdr>
        </w:div>
        <w:div w:id="1794593016">
          <w:marLeft w:val="480"/>
          <w:marRight w:val="0"/>
          <w:marTop w:val="0"/>
          <w:marBottom w:val="0"/>
          <w:divBdr>
            <w:top w:val="none" w:sz="0" w:space="0" w:color="auto"/>
            <w:left w:val="none" w:sz="0" w:space="0" w:color="auto"/>
            <w:bottom w:val="none" w:sz="0" w:space="0" w:color="auto"/>
            <w:right w:val="none" w:sz="0" w:space="0" w:color="auto"/>
          </w:divBdr>
        </w:div>
        <w:div w:id="1463230420">
          <w:marLeft w:val="480"/>
          <w:marRight w:val="0"/>
          <w:marTop w:val="0"/>
          <w:marBottom w:val="0"/>
          <w:divBdr>
            <w:top w:val="none" w:sz="0" w:space="0" w:color="auto"/>
            <w:left w:val="none" w:sz="0" w:space="0" w:color="auto"/>
            <w:bottom w:val="none" w:sz="0" w:space="0" w:color="auto"/>
            <w:right w:val="none" w:sz="0" w:space="0" w:color="auto"/>
          </w:divBdr>
        </w:div>
        <w:div w:id="501356957">
          <w:marLeft w:val="480"/>
          <w:marRight w:val="0"/>
          <w:marTop w:val="0"/>
          <w:marBottom w:val="0"/>
          <w:divBdr>
            <w:top w:val="none" w:sz="0" w:space="0" w:color="auto"/>
            <w:left w:val="none" w:sz="0" w:space="0" w:color="auto"/>
            <w:bottom w:val="none" w:sz="0" w:space="0" w:color="auto"/>
            <w:right w:val="none" w:sz="0" w:space="0" w:color="auto"/>
          </w:divBdr>
        </w:div>
        <w:div w:id="733090736">
          <w:marLeft w:val="480"/>
          <w:marRight w:val="0"/>
          <w:marTop w:val="0"/>
          <w:marBottom w:val="0"/>
          <w:divBdr>
            <w:top w:val="none" w:sz="0" w:space="0" w:color="auto"/>
            <w:left w:val="none" w:sz="0" w:space="0" w:color="auto"/>
            <w:bottom w:val="none" w:sz="0" w:space="0" w:color="auto"/>
            <w:right w:val="none" w:sz="0" w:space="0" w:color="auto"/>
          </w:divBdr>
        </w:div>
        <w:div w:id="1703048481">
          <w:marLeft w:val="480"/>
          <w:marRight w:val="0"/>
          <w:marTop w:val="0"/>
          <w:marBottom w:val="0"/>
          <w:divBdr>
            <w:top w:val="none" w:sz="0" w:space="0" w:color="auto"/>
            <w:left w:val="none" w:sz="0" w:space="0" w:color="auto"/>
            <w:bottom w:val="none" w:sz="0" w:space="0" w:color="auto"/>
            <w:right w:val="none" w:sz="0" w:space="0" w:color="auto"/>
          </w:divBdr>
        </w:div>
        <w:div w:id="671951922">
          <w:marLeft w:val="480"/>
          <w:marRight w:val="0"/>
          <w:marTop w:val="0"/>
          <w:marBottom w:val="0"/>
          <w:divBdr>
            <w:top w:val="none" w:sz="0" w:space="0" w:color="auto"/>
            <w:left w:val="none" w:sz="0" w:space="0" w:color="auto"/>
            <w:bottom w:val="none" w:sz="0" w:space="0" w:color="auto"/>
            <w:right w:val="none" w:sz="0" w:space="0" w:color="auto"/>
          </w:divBdr>
        </w:div>
        <w:div w:id="485629987">
          <w:marLeft w:val="480"/>
          <w:marRight w:val="0"/>
          <w:marTop w:val="0"/>
          <w:marBottom w:val="0"/>
          <w:divBdr>
            <w:top w:val="none" w:sz="0" w:space="0" w:color="auto"/>
            <w:left w:val="none" w:sz="0" w:space="0" w:color="auto"/>
            <w:bottom w:val="none" w:sz="0" w:space="0" w:color="auto"/>
            <w:right w:val="none" w:sz="0" w:space="0" w:color="auto"/>
          </w:divBdr>
        </w:div>
        <w:div w:id="2068919884">
          <w:marLeft w:val="480"/>
          <w:marRight w:val="0"/>
          <w:marTop w:val="0"/>
          <w:marBottom w:val="0"/>
          <w:divBdr>
            <w:top w:val="none" w:sz="0" w:space="0" w:color="auto"/>
            <w:left w:val="none" w:sz="0" w:space="0" w:color="auto"/>
            <w:bottom w:val="none" w:sz="0" w:space="0" w:color="auto"/>
            <w:right w:val="none" w:sz="0" w:space="0" w:color="auto"/>
          </w:divBdr>
        </w:div>
        <w:div w:id="475339734">
          <w:marLeft w:val="480"/>
          <w:marRight w:val="0"/>
          <w:marTop w:val="0"/>
          <w:marBottom w:val="0"/>
          <w:divBdr>
            <w:top w:val="none" w:sz="0" w:space="0" w:color="auto"/>
            <w:left w:val="none" w:sz="0" w:space="0" w:color="auto"/>
            <w:bottom w:val="none" w:sz="0" w:space="0" w:color="auto"/>
            <w:right w:val="none" w:sz="0" w:space="0" w:color="auto"/>
          </w:divBdr>
        </w:div>
        <w:div w:id="2090272176">
          <w:marLeft w:val="480"/>
          <w:marRight w:val="0"/>
          <w:marTop w:val="0"/>
          <w:marBottom w:val="0"/>
          <w:divBdr>
            <w:top w:val="none" w:sz="0" w:space="0" w:color="auto"/>
            <w:left w:val="none" w:sz="0" w:space="0" w:color="auto"/>
            <w:bottom w:val="none" w:sz="0" w:space="0" w:color="auto"/>
            <w:right w:val="none" w:sz="0" w:space="0" w:color="auto"/>
          </w:divBdr>
        </w:div>
        <w:div w:id="1262106724">
          <w:marLeft w:val="480"/>
          <w:marRight w:val="0"/>
          <w:marTop w:val="0"/>
          <w:marBottom w:val="0"/>
          <w:divBdr>
            <w:top w:val="none" w:sz="0" w:space="0" w:color="auto"/>
            <w:left w:val="none" w:sz="0" w:space="0" w:color="auto"/>
            <w:bottom w:val="none" w:sz="0" w:space="0" w:color="auto"/>
            <w:right w:val="none" w:sz="0" w:space="0" w:color="auto"/>
          </w:divBdr>
        </w:div>
        <w:div w:id="1962031546">
          <w:marLeft w:val="480"/>
          <w:marRight w:val="0"/>
          <w:marTop w:val="0"/>
          <w:marBottom w:val="0"/>
          <w:divBdr>
            <w:top w:val="none" w:sz="0" w:space="0" w:color="auto"/>
            <w:left w:val="none" w:sz="0" w:space="0" w:color="auto"/>
            <w:bottom w:val="none" w:sz="0" w:space="0" w:color="auto"/>
            <w:right w:val="none" w:sz="0" w:space="0" w:color="auto"/>
          </w:divBdr>
        </w:div>
        <w:div w:id="1027870085">
          <w:marLeft w:val="480"/>
          <w:marRight w:val="0"/>
          <w:marTop w:val="0"/>
          <w:marBottom w:val="0"/>
          <w:divBdr>
            <w:top w:val="none" w:sz="0" w:space="0" w:color="auto"/>
            <w:left w:val="none" w:sz="0" w:space="0" w:color="auto"/>
            <w:bottom w:val="none" w:sz="0" w:space="0" w:color="auto"/>
            <w:right w:val="none" w:sz="0" w:space="0" w:color="auto"/>
          </w:divBdr>
        </w:div>
        <w:div w:id="1175876148">
          <w:marLeft w:val="480"/>
          <w:marRight w:val="0"/>
          <w:marTop w:val="0"/>
          <w:marBottom w:val="0"/>
          <w:divBdr>
            <w:top w:val="none" w:sz="0" w:space="0" w:color="auto"/>
            <w:left w:val="none" w:sz="0" w:space="0" w:color="auto"/>
            <w:bottom w:val="none" w:sz="0" w:space="0" w:color="auto"/>
            <w:right w:val="none" w:sz="0" w:space="0" w:color="auto"/>
          </w:divBdr>
        </w:div>
        <w:div w:id="1600719268">
          <w:marLeft w:val="480"/>
          <w:marRight w:val="0"/>
          <w:marTop w:val="0"/>
          <w:marBottom w:val="0"/>
          <w:divBdr>
            <w:top w:val="none" w:sz="0" w:space="0" w:color="auto"/>
            <w:left w:val="none" w:sz="0" w:space="0" w:color="auto"/>
            <w:bottom w:val="none" w:sz="0" w:space="0" w:color="auto"/>
            <w:right w:val="none" w:sz="0" w:space="0" w:color="auto"/>
          </w:divBdr>
        </w:div>
        <w:div w:id="1642031199">
          <w:marLeft w:val="480"/>
          <w:marRight w:val="0"/>
          <w:marTop w:val="0"/>
          <w:marBottom w:val="0"/>
          <w:divBdr>
            <w:top w:val="none" w:sz="0" w:space="0" w:color="auto"/>
            <w:left w:val="none" w:sz="0" w:space="0" w:color="auto"/>
            <w:bottom w:val="none" w:sz="0" w:space="0" w:color="auto"/>
            <w:right w:val="none" w:sz="0" w:space="0" w:color="auto"/>
          </w:divBdr>
        </w:div>
        <w:div w:id="808789953">
          <w:marLeft w:val="480"/>
          <w:marRight w:val="0"/>
          <w:marTop w:val="0"/>
          <w:marBottom w:val="0"/>
          <w:divBdr>
            <w:top w:val="none" w:sz="0" w:space="0" w:color="auto"/>
            <w:left w:val="none" w:sz="0" w:space="0" w:color="auto"/>
            <w:bottom w:val="none" w:sz="0" w:space="0" w:color="auto"/>
            <w:right w:val="none" w:sz="0" w:space="0" w:color="auto"/>
          </w:divBdr>
        </w:div>
        <w:div w:id="884684029">
          <w:marLeft w:val="480"/>
          <w:marRight w:val="0"/>
          <w:marTop w:val="0"/>
          <w:marBottom w:val="0"/>
          <w:divBdr>
            <w:top w:val="none" w:sz="0" w:space="0" w:color="auto"/>
            <w:left w:val="none" w:sz="0" w:space="0" w:color="auto"/>
            <w:bottom w:val="none" w:sz="0" w:space="0" w:color="auto"/>
            <w:right w:val="none" w:sz="0" w:space="0" w:color="auto"/>
          </w:divBdr>
        </w:div>
        <w:div w:id="1824737011">
          <w:marLeft w:val="480"/>
          <w:marRight w:val="0"/>
          <w:marTop w:val="0"/>
          <w:marBottom w:val="0"/>
          <w:divBdr>
            <w:top w:val="none" w:sz="0" w:space="0" w:color="auto"/>
            <w:left w:val="none" w:sz="0" w:space="0" w:color="auto"/>
            <w:bottom w:val="none" w:sz="0" w:space="0" w:color="auto"/>
            <w:right w:val="none" w:sz="0" w:space="0" w:color="auto"/>
          </w:divBdr>
        </w:div>
        <w:div w:id="2010323796">
          <w:marLeft w:val="480"/>
          <w:marRight w:val="0"/>
          <w:marTop w:val="0"/>
          <w:marBottom w:val="0"/>
          <w:divBdr>
            <w:top w:val="none" w:sz="0" w:space="0" w:color="auto"/>
            <w:left w:val="none" w:sz="0" w:space="0" w:color="auto"/>
            <w:bottom w:val="none" w:sz="0" w:space="0" w:color="auto"/>
            <w:right w:val="none" w:sz="0" w:space="0" w:color="auto"/>
          </w:divBdr>
        </w:div>
        <w:div w:id="1677221383">
          <w:marLeft w:val="480"/>
          <w:marRight w:val="0"/>
          <w:marTop w:val="0"/>
          <w:marBottom w:val="0"/>
          <w:divBdr>
            <w:top w:val="none" w:sz="0" w:space="0" w:color="auto"/>
            <w:left w:val="none" w:sz="0" w:space="0" w:color="auto"/>
            <w:bottom w:val="none" w:sz="0" w:space="0" w:color="auto"/>
            <w:right w:val="none" w:sz="0" w:space="0" w:color="auto"/>
          </w:divBdr>
        </w:div>
        <w:div w:id="1687946791">
          <w:marLeft w:val="480"/>
          <w:marRight w:val="0"/>
          <w:marTop w:val="0"/>
          <w:marBottom w:val="0"/>
          <w:divBdr>
            <w:top w:val="none" w:sz="0" w:space="0" w:color="auto"/>
            <w:left w:val="none" w:sz="0" w:space="0" w:color="auto"/>
            <w:bottom w:val="none" w:sz="0" w:space="0" w:color="auto"/>
            <w:right w:val="none" w:sz="0" w:space="0" w:color="auto"/>
          </w:divBdr>
        </w:div>
        <w:div w:id="460538312">
          <w:marLeft w:val="480"/>
          <w:marRight w:val="0"/>
          <w:marTop w:val="0"/>
          <w:marBottom w:val="0"/>
          <w:divBdr>
            <w:top w:val="none" w:sz="0" w:space="0" w:color="auto"/>
            <w:left w:val="none" w:sz="0" w:space="0" w:color="auto"/>
            <w:bottom w:val="none" w:sz="0" w:space="0" w:color="auto"/>
            <w:right w:val="none" w:sz="0" w:space="0" w:color="auto"/>
          </w:divBdr>
        </w:div>
        <w:div w:id="592127754">
          <w:marLeft w:val="480"/>
          <w:marRight w:val="0"/>
          <w:marTop w:val="0"/>
          <w:marBottom w:val="0"/>
          <w:divBdr>
            <w:top w:val="none" w:sz="0" w:space="0" w:color="auto"/>
            <w:left w:val="none" w:sz="0" w:space="0" w:color="auto"/>
            <w:bottom w:val="none" w:sz="0" w:space="0" w:color="auto"/>
            <w:right w:val="none" w:sz="0" w:space="0" w:color="auto"/>
          </w:divBdr>
        </w:div>
        <w:div w:id="758908053">
          <w:marLeft w:val="480"/>
          <w:marRight w:val="0"/>
          <w:marTop w:val="0"/>
          <w:marBottom w:val="0"/>
          <w:divBdr>
            <w:top w:val="none" w:sz="0" w:space="0" w:color="auto"/>
            <w:left w:val="none" w:sz="0" w:space="0" w:color="auto"/>
            <w:bottom w:val="none" w:sz="0" w:space="0" w:color="auto"/>
            <w:right w:val="none" w:sz="0" w:space="0" w:color="auto"/>
          </w:divBdr>
        </w:div>
        <w:div w:id="1197159404">
          <w:marLeft w:val="480"/>
          <w:marRight w:val="0"/>
          <w:marTop w:val="0"/>
          <w:marBottom w:val="0"/>
          <w:divBdr>
            <w:top w:val="none" w:sz="0" w:space="0" w:color="auto"/>
            <w:left w:val="none" w:sz="0" w:space="0" w:color="auto"/>
            <w:bottom w:val="none" w:sz="0" w:space="0" w:color="auto"/>
            <w:right w:val="none" w:sz="0" w:space="0" w:color="auto"/>
          </w:divBdr>
        </w:div>
        <w:div w:id="125970987">
          <w:marLeft w:val="480"/>
          <w:marRight w:val="0"/>
          <w:marTop w:val="0"/>
          <w:marBottom w:val="0"/>
          <w:divBdr>
            <w:top w:val="none" w:sz="0" w:space="0" w:color="auto"/>
            <w:left w:val="none" w:sz="0" w:space="0" w:color="auto"/>
            <w:bottom w:val="none" w:sz="0" w:space="0" w:color="auto"/>
            <w:right w:val="none" w:sz="0" w:space="0" w:color="auto"/>
          </w:divBdr>
        </w:div>
        <w:div w:id="1268464415">
          <w:marLeft w:val="480"/>
          <w:marRight w:val="0"/>
          <w:marTop w:val="0"/>
          <w:marBottom w:val="0"/>
          <w:divBdr>
            <w:top w:val="none" w:sz="0" w:space="0" w:color="auto"/>
            <w:left w:val="none" w:sz="0" w:space="0" w:color="auto"/>
            <w:bottom w:val="none" w:sz="0" w:space="0" w:color="auto"/>
            <w:right w:val="none" w:sz="0" w:space="0" w:color="auto"/>
          </w:divBdr>
        </w:div>
      </w:divsChild>
    </w:div>
    <w:div w:id="492180799">
      <w:bodyDiv w:val="1"/>
      <w:marLeft w:val="0"/>
      <w:marRight w:val="0"/>
      <w:marTop w:val="0"/>
      <w:marBottom w:val="0"/>
      <w:divBdr>
        <w:top w:val="none" w:sz="0" w:space="0" w:color="auto"/>
        <w:left w:val="none" w:sz="0" w:space="0" w:color="auto"/>
        <w:bottom w:val="none" w:sz="0" w:space="0" w:color="auto"/>
        <w:right w:val="none" w:sz="0" w:space="0" w:color="auto"/>
      </w:divBdr>
      <w:divsChild>
        <w:div w:id="1746143333">
          <w:marLeft w:val="0"/>
          <w:marRight w:val="0"/>
          <w:marTop w:val="0"/>
          <w:marBottom w:val="0"/>
          <w:divBdr>
            <w:top w:val="none" w:sz="0" w:space="0" w:color="auto"/>
            <w:left w:val="none" w:sz="0" w:space="0" w:color="auto"/>
            <w:bottom w:val="none" w:sz="0" w:space="0" w:color="auto"/>
            <w:right w:val="none" w:sz="0" w:space="0" w:color="auto"/>
          </w:divBdr>
          <w:divsChild>
            <w:div w:id="1552109993">
              <w:marLeft w:val="0"/>
              <w:marRight w:val="0"/>
              <w:marTop w:val="0"/>
              <w:marBottom w:val="0"/>
              <w:divBdr>
                <w:top w:val="none" w:sz="0" w:space="0" w:color="auto"/>
                <w:left w:val="none" w:sz="0" w:space="0" w:color="auto"/>
                <w:bottom w:val="none" w:sz="0" w:space="0" w:color="auto"/>
                <w:right w:val="none" w:sz="0" w:space="0" w:color="auto"/>
              </w:divBdr>
              <w:divsChild>
                <w:div w:id="191812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305082">
      <w:bodyDiv w:val="1"/>
      <w:marLeft w:val="0"/>
      <w:marRight w:val="0"/>
      <w:marTop w:val="0"/>
      <w:marBottom w:val="0"/>
      <w:divBdr>
        <w:top w:val="none" w:sz="0" w:space="0" w:color="auto"/>
        <w:left w:val="none" w:sz="0" w:space="0" w:color="auto"/>
        <w:bottom w:val="none" w:sz="0" w:space="0" w:color="auto"/>
        <w:right w:val="none" w:sz="0" w:space="0" w:color="auto"/>
      </w:divBdr>
    </w:div>
    <w:div w:id="613438008">
      <w:bodyDiv w:val="1"/>
      <w:marLeft w:val="0"/>
      <w:marRight w:val="0"/>
      <w:marTop w:val="0"/>
      <w:marBottom w:val="0"/>
      <w:divBdr>
        <w:top w:val="none" w:sz="0" w:space="0" w:color="auto"/>
        <w:left w:val="none" w:sz="0" w:space="0" w:color="auto"/>
        <w:bottom w:val="none" w:sz="0" w:space="0" w:color="auto"/>
        <w:right w:val="none" w:sz="0" w:space="0" w:color="auto"/>
      </w:divBdr>
    </w:div>
    <w:div w:id="640575259">
      <w:bodyDiv w:val="1"/>
      <w:marLeft w:val="0"/>
      <w:marRight w:val="0"/>
      <w:marTop w:val="0"/>
      <w:marBottom w:val="0"/>
      <w:divBdr>
        <w:top w:val="none" w:sz="0" w:space="0" w:color="auto"/>
        <w:left w:val="none" w:sz="0" w:space="0" w:color="auto"/>
        <w:bottom w:val="none" w:sz="0" w:space="0" w:color="auto"/>
        <w:right w:val="none" w:sz="0" w:space="0" w:color="auto"/>
      </w:divBdr>
      <w:divsChild>
        <w:div w:id="866024548">
          <w:marLeft w:val="0"/>
          <w:marRight w:val="0"/>
          <w:marTop w:val="0"/>
          <w:marBottom w:val="0"/>
          <w:divBdr>
            <w:top w:val="none" w:sz="0" w:space="0" w:color="auto"/>
            <w:left w:val="none" w:sz="0" w:space="0" w:color="auto"/>
            <w:bottom w:val="none" w:sz="0" w:space="0" w:color="auto"/>
            <w:right w:val="none" w:sz="0" w:space="0" w:color="auto"/>
          </w:divBdr>
          <w:divsChild>
            <w:div w:id="1448817395">
              <w:marLeft w:val="0"/>
              <w:marRight w:val="0"/>
              <w:marTop w:val="0"/>
              <w:marBottom w:val="0"/>
              <w:divBdr>
                <w:top w:val="none" w:sz="0" w:space="0" w:color="auto"/>
                <w:left w:val="none" w:sz="0" w:space="0" w:color="auto"/>
                <w:bottom w:val="none" w:sz="0" w:space="0" w:color="auto"/>
                <w:right w:val="none" w:sz="0" w:space="0" w:color="auto"/>
              </w:divBdr>
              <w:divsChild>
                <w:div w:id="85034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71938">
      <w:bodyDiv w:val="1"/>
      <w:marLeft w:val="0"/>
      <w:marRight w:val="0"/>
      <w:marTop w:val="0"/>
      <w:marBottom w:val="0"/>
      <w:divBdr>
        <w:top w:val="none" w:sz="0" w:space="0" w:color="auto"/>
        <w:left w:val="none" w:sz="0" w:space="0" w:color="auto"/>
        <w:bottom w:val="none" w:sz="0" w:space="0" w:color="auto"/>
        <w:right w:val="none" w:sz="0" w:space="0" w:color="auto"/>
      </w:divBdr>
      <w:divsChild>
        <w:div w:id="623390954">
          <w:marLeft w:val="0"/>
          <w:marRight w:val="0"/>
          <w:marTop w:val="0"/>
          <w:marBottom w:val="0"/>
          <w:divBdr>
            <w:top w:val="none" w:sz="0" w:space="0" w:color="auto"/>
            <w:left w:val="none" w:sz="0" w:space="0" w:color="auto"/>
            <w:bottom w:val="none" w:sz="0" w:space="0" w:color="auto"/>
            <w:right w:val="none" w:sz="0" w:space="0" w:color="auto"/>
          </w:divBdr>
          <w:divsChild>
            <w:div w:id="414475389">
              <w:marLeft w:val="0"/>
              <w:marRight w:val="0"/>
              <w:marTop w:val="0"/>
              <w:marBottom w:val="0"/>
              <w:divBdr>
                <w:top w:val="none" w:sz="0" w:space="0" w:color="auto"/>
                <w:left w:val="none" w:sz="0" w:space="0" w:color="auto"/>
                <w:bottom w:val="none" w:sz="0" w:space="0" w:color="auto"/>
                <w:right w:val="none" w:sz="0" w:space="0" w:color="auto"/>
              </w:divBdr>
              <w:divsChild>
                <w:div w:id="180862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57112">
      <w:bodyDiv w:val="1"/>
      <w:marLeft w:val="0"/>
      <w:marRight w:val="0"/>
      <w:marTop w:val="0"/>
      <w:marBottom w:val="0"/>
      <w:divBdr>
        <w:top w:val="none" w:sz="0" w:space="0" w:color="auto"/>
        <w:left w:val="none" w:sz="0" w:space="0" w:color="auto"/>
        <w:bottom w:val="none" w:sz="0" w:space="0" w:color="auto"/>
        <w:right w:val="none" w:sz="0" w:space="0" w:color="auto"/>
      </w:divBdr>
    </w:div>
    <w:div w:id="691153317">
      <w:bodyDiv w:val="1"/>
      <w:marLeft w:val="0"/>
      <w:marRight w:val="0"/>
      <w:marTop w:val="0"/>
      <w:marBottom w:val="0"/>
      <w:divBdr>
        <w:top w:val="none" w:sz="0" w:space="0" w:color="auto"/>
        <w:left w:val="none" w:sz="0" w:space="0" w:color="auto"/>
        <w:bottom w:val="none" w:sz="0" w:space="0" w:color="auto"/>
        <w:right w:val="none" w:sz="0" w:space="0" w:color="auto"/>
      </w:divBdr>
    </w:div>
    <w:div w:id="691882097">
      <w:bodyDiv w:val="1"/>
      <w:marLeft w:val="0"/>
      <w:marRight w:val="0"/>
      <w:marTop w:val="0"/>
      <w:marBottom w:val="0"/>
      <w:divBdr>
        <w:top w:val="none" w:sz="0" w:space="0" w:color="auto"/>
        <w:left w:val="none" w:sz="0" w:space="0" w:color="auto"/>
        <w:bottom w:val="none" w:sz="0" w:space="0" w:color="auto"/>
        <w:right w:val="none" w:sz="0" w:space="0" w:color="auto"/>
      </w:divBdr>
      <w:divsChild>
        <w:div w:id="371420943">
          <w:marLeft w:val="0"/>
          <w:marRight w:val="0"/>
          <w:marTop w:val="0"/>
          <w:marBottom w:val="0"/>
          <w:divBdr>
            <w:top w:val="none" w:sz="0" w:space="0" w:color="auto"/>
            <w:left w:val="none" w:sz="0" w:space="0" w:color="auto"/>
            <w:bottom w:val="none" w:sz="0" w:space="0" w:color="auto"/>
            <w:right w:val="none" w:sz="0" w:space="0" w:color="auto"/>
          </w:divBdr>
          <w:divsChild>
            <w:div w:id="620264857">
              <w:marLeft w:val="0"/>
              <w:marRight w:val="0"/>
              <w:marTop w:val="0"/>
              <w:marBottom w:val="0"/>
              <w:divBdr>
                <w:top w:val="none" w:sz="0" w:space="0" w:color="auto"/>
                <w:left w:val="none" w:sz="0" w:space="0" w:color="auto"/>
                <w:bottom w:val="none" w:sz="0" w:space="0" w:color="auto"/>
                <w:right w:val="none" w:sz="0" w:space="0" w:color="auto"/>
              </w:divBdr>
              <w:divsChild>
                <w:div w:id="184825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92456">
      <w:bodyDiv w:val="1"/>
      <w:marLeft w:val="0"/>
      <w:marRight w:val="0"/>
      <w:marTop w:val="0"/>
      <w:marBottom w:val="0"/>
      <w:divBdr>
        <w:top w:val="none" w:sz="0" w:space="0" w:color="auto"/>
        <w:left w:val="none" w:sz="0" w:space="0" w:color="auto"/>
        <w:bottom w:val="none" w:sz="0" w:space="0" w:color="auto"/>
        <w:right w:val="none" w:sz="0" w:space="0" w:color="auto"/>
      </w:divBdr>
      <w:divsChild>
        <w:div w:id="836916534">
          <w:marLeft w:val="0"/>
          <w:marRight w:val="0"/>
          <w:marTop w:val="0"/>
          <w:marBottom w:val="0"/>
          <w:divBdr>
            <w:top w:val="none" w:sz="0" w:space="0" w:color="auto"/>
            <w:left w:val="none" w:sz="0" w:space="0" w:color="auto"/>
            <w:bottom w:val="none" w:sz="0" w:space="0" w:color="auto"/>
            <w:right w:val="none" w:sz="0" w:space="0" w:color="auto"/>
          </w:divBdr>
          <w:divsChild>
            <w:div w:id="511799165">
              <w:marLeft w:val="0"/>
              <w:marRight w:val="0"/>
              <w:marTop w:val="0"/>
              <w:marBottom w:val="0"/>
              <w:divBdr>
                <w:top w:val="none" w:sz="0" w:space="0" w:color="auto"/>
                <w:left w:val="none" w:sz="0" w:space="0" w:color="auto"/>
                <w:bottom w:val="none" w:sz="0" w:space="0" w:color="auto"/>
                <w:right w:val="none" w:sz="0" w:space="0" w:color="auto"/>
              </w:divBdr>
              <w:divsChild>
                <w:div w:id="116995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17895">
      <w:bodyDiv w:val="1"/>
      <w:marLeft w:val="0"/>
      <w:marRight w:val="0"/>
      <w:marTop w:val="0"/>
      <w:marBottom w:val="0"/>
      <w:divBdr>
        <w:top w:val="none" w:sz="0" w:space="0" w:color="auto"/>
        <w:left w:val="none" w:sz="0" w:space="0" w:color="auto"/>
        <w:bottom w:val="none" w:sz="0" w:space="0" w:color="auto"/>
        <w:right w:val="none" w:sz="0" w:space="0" w:color="auto"/>
      </w:divBdr>
    </w:div>
    <w:div w:id="710886870">
      <w:bodyDiv w:val="1"/>
      <w:marLeft w:val="0"/>
      <w:marRight w:val="0"/>
      <w:marTop w:val="0"/>
      <w:marBottom w:val="0"/>
      <w:divBdr>
        <w:top w:val="none" w:sz="0" w:space="0" w:color="auto"/>
        <w:left w:val="none" w:sz="0" w:space="0" w:color="auto"/>
        <w:bottom w:val="none" w:sz="0" w:space="0" w:color="auto"/>
        <w:right w:val="none" w:sz="0" w:space="0" w:color="auto"/>
      </w:divBdr>
      <w:divsChild>
        <w:div w:id="1839344047">
          <w:marLeft w:val="0"/>
          <w:marRight w:val="0"/>
          <w:marTop w:val="0"/>
          <w:marBottom w:val="0"/>
          <w:divBdr>
            <w:top w:val="none" w:sz="0" w:space="0" w:color="auto"/>
            <w:left w:val="none" w:sz="0" w:space="0" w:color="auto"/>
            <w:bottom w:val="none" w:sz="0" w:space="0" w:color="auto"/>
            <w:right w:val="none" w:sz="0" w:space="0" w:color="auto"/>
          </w:divBdr>
          <w:divsChild>
            <w:div w:id="1947275488">
              <w:marLeft w:val="0"/>
              <w:marRight w:val="0"/>
              <w:marTop w:val="0"/>
              <w:marBottom w:val="0"/>
              <w:divBdr>
                <w:top w:val="none" w:sz="0" w:space="0" w:color="auto"/>
                <w:left w:val="none" w:sz="0" w:space="0" w:color="auto"/>
                <w:bottom w:val="none" w:sz="0" w:space="0" w:color="auto"/>
                <w:right w:val="none" w:sz="0" w:space="0" w:color="auto"/>
              </w:divBdr>
              <w:divsChild>
                <w:div w:id="71952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14361">
      <w:bodyDiv w:val="1"/>
      <w:marLeft w:val="0"/>
      <w:marRight w:val="0"/>
      <w:marTop w:val="0"/>
      <w:marBottom w:val="0"/>
      <w:divBdr>
        <w:top w:val="none" w:sz="0" w:space="0" w:color="auto"/>
        <w:left w:val="none" w:sz="0" w:space="0" w:color="auto"/>
        <w:bottom w:val="none" w:sz="0" w:space="0" w:color="auto"/>
        <w:right w:val="none" w:sz="0" w:space="0" w:color="auto"/>
      </w:divBdr>
      <w:divsChild>
        <w:div w:id="755829221">
          <w:marLeft w:val="0"/>
          <w:marRight w:val="0"/>
          <w:marTop w:val="0"/>
          <w:marBottom w:val="0"/>
          <w:divBdr>
            <w:top w:val="none" w:sz="0" w:space="0" w:color="auto"/>
            <w:left w:val="none" w:sz="0" w:space="0" w:color="auto"/>
            <w:bottom w:val="none" w:sz="0" w:space="0" w:color="auto"/>
            <w:right w:val="none" w:sz="0" w:space="0" w:color="auto"/>
          </w:divBdr>
          <w:divsChild>
            <w:div w:id="1246841849">
              <w:marLeft w:val="0"/>
              <w:marRight w:val="0"/>
              <w:marTop w:val="0"/>
              <w:marBottom w:val="0"/>
              <w:divBdr>
                <w:top w:val="none" w:sz="0" w:space="0" w:color="auto"/>
                <w:left w:val="none" w:sz="0" w:space="0" w:color="auto"/>
                <w:bottom w:val="none" w:sz="0" w:space="0" w:color="auto"/>
                <w:right w:val="none" w:sz="0" w:space="0" w:color="auto"/>
              </w:divBdr>
              <w:divsChild>
                <w:div w:id="120641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28509">
      <w:bodyDiv w:val="1"/>
      <w:marLeft w:val="0"/>
      <w:marRight w:val="0"/>
      <w:marTop w:val="0"/>
      <w:marBottom w:val="0"/>
      <w:divBdr>
        <w:top w:val="none" w:sz="0" w:space="0" w:color="auto"/>
        <w:left w:val="none" w:sz="0" w:space="0" w:color="auto"/>
        <w:bottom w:val="none" w:sz="0" w:space="0" w:color="auto"/>
        <w:right w:val="none" w:sz="0" w:space="0" w:color="auto"/>
      </w:divBdr>
    </w:div>
    <w:div w:id="822116147">
      <w:bodyDiv w:val="1"/>
      <w:marLeft w:val="0"/>
      <w:marRight w:val="0"/>
      <w:marTop w:val="0"/>
      <w:marBottom w:val="0"/>
      <w:divBdr>
        <w:top w:val="none" w:sz="0" w:space="0" w:color="auto"/>
        <w:left w:val="none" w:sz="0" w:space="0" w:color="auto"/>
        <w:bottom w:val="none" w:sz="0" w:space="0" w:color="auto"/>
        <w:right w:val="none" w:sz="0" w:space="0" w:color="auto"/>
      </w:divBdr>
      <w:divsChild>
        <w:div w:id="2046250601">
          <w:marLeft w:val="0"/>
          <w:marRight w:val="0"/>
          <w:marTop w:val="0"/>
          <w:marBottom w:val="0"/>
          <w:divBdr>
            <w:top w:val="none" w:sz="0" w:space="0" w:color="auto"/>
            <w:left w:val="none" w:sz="0" w:space="0" w:color="auto"/>
            <w:bottom w:val="none" w:sz="0" w:space="0" w:color="auto"/>
            <w:right w:val="none" w:sz="0" w:space="0" w:color="auto"/>
          </w:divBdr>
          <w:divsChild>
            <w:div w:id="431051425">
              <w:marLeft w:val="0"/>
              <w:marRight w:val="0"/>
              <w:marTop w:val="0"/>
              <w:marBottom w:val="0"/>
              <w:divBdr>
                <w:top w:val="none" w:sz="0" w:space="0" w:color="auto"/>
                <w:left w:val="none" w:sz="0" w:space="0" w:color="auto"/>
                <w:bottom w:val="none" w:sz="0" w:space="0" w:color="auto"/>
                <w:right w:val="none" w:sz="0" w:space="0" w:color="auto"/>
              </w:divBdr>
              <w:divsChild>
                <w:div w:id="213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8980878">
      <w:bodyDiv w:val="1"/>
      <w:marLeft w:val="0"/>
      <w:marRight w:val="0"/>
      <w:marTop w:val="0"/>
      <w:marBottom w:val="0"/>
      <w:divBdr>
        <w:top w:val="none" w:sz="0" w:space="0" w:color="auto"/>
        <w:left w:val="none" w:sz="0" w:space="0" w:color="auto"/>
        <w:bottom w:val="none" w:sz="0" w:space="0" w:color="auto"/>
        <w:right w:val="none" w:sz="0" w:space="0" w:color="auto"/>
      </w:divBdr>
      <w:divsChild>
        <w:div w:id="1179657957">
          <w:marLeft w:val="480"/>
          <w:marRight w:val="0"/>
          <w:marTop w:val="0"/>
          <w:marBottom w:val="0"/>
          <w:divBdr>
            <w:top w:val="none" w:sz="0" w:space="0" w:color="auto"/>
            <w:left w:val="none" w:sz="0" w:space="0" w:color="auto"/>
            <w:bottom w:val="none" w:sz="0" w:space="0" w:color="auto"/>
            <w:right w:val="none" w:sz="0" w:space="0" w:color="auto"/>
          </w:divBdr>
        </w:div>
        <w:div w:id="982275288">
          <w:marLeft w:val="480"/>
          <w:marRight w:val="0"/>
          <w:marTop w:val="0"/>
          <w:marBottom w:val="0"/>
          <w:divBdr>
            <w:top w:val="none" w:sz="0" w:space="0" w:color="auto"/>
            <w:left w:val="none" w:sz="0" w:space="0" w:color="auto"/>
            <w:bottom w:val="none" w:sz="0" w:space="0" w:color="auto"/>
            <w:right w:val="none" w:sz="0" w:space="0" w:color="auto"/>
          </w:divBdr>
        </w:div>
        <w:div w:id="95836247">
          <w:marLeft w:val="480"/>
          <w:marRight w:val="0"/>
          <w:marTop w:val="0"/>
          <w:marBottom w:val="0"/>
          <w:divBdr>
            <w:top w:val="none" w:sz="0" w:space="0" w:color="auto"/>
            <w:left w:val="none" w:sz="0" w:space="0" w:color="auto"/>
            <w:bottom w:val="none" w:sz="0" w:space="0" w:color="auto"/>
            <w:right w:val="none" w:sz="0" w:space="0" w:color="auto"/>
          </w:divBdr>
        </w:div>
        <w:div w:id="791751515">
          <w:marLeft w:val="480"/>
          <w:marRight w:val="0"/>
          <w:marTop w:val="0"/>
          <w:marBottom w:val="0"/>
          <w:divBdr>
            <w:top w:val="none" w:sz="0" w:space="0" w:color="auto"/>
            <w:left w:val="none" w:sz="0" w:space="0" w:color="auto"/>
            <w:bottom w:val="none" w:sz="0" w:space="0" w:color="auto"/>
            <w:right w:val="none" w:sz="0" w:space="0" w:color="auto"/>
          </w:divBdr>
        </w:div>
        <w:div w:id="1451240978">
          <w:marLeft w:val="480"/>
          <w:marRight w:val="0"/>
          <w:marTop w:val="0"/>
          <w:marBottom w:val="0"/>
          <w:divBdr>
            <w:top w:val="none" w:sz="0" w:space="0" w:color="auto"/>
            <w:left w:val="none" w:sz="0" w:space="0" w:color="auto"/>
            <w:bottom w:val="none" w:sz="0" w:space="0" w:color="auto"/>
            <w:right w:val="none" w:sz="0" w:space="0" w:color="auto"/>
          </w:divBdr>
        </w:div>
        <w:div w:id="2055764189">
          <w:marLeft w:val="480"/>
          <w:marRight w:val="0"/>
          <w:marTop w:val="0"/>
          <w:marBottom w:val="0"/>
          <w:divBdr>
            <w:top w:val="none" w:sz="0" w:space="0" w:color="auto"/>
            <w:left w:val="none" w:sz="0" w:space="0" w:color="auto"/>
            <w:bottom w:val="none" w:sz="0" w:space="0" w:color="auto"/>
            <w:right w:val="none" w:sz="0" w:space="0" w:color="auto"/>
          </w:divBdr>
        </w:div>
        <w:div w:id="1710835912">
          <w:marLeft w:val="480"/>
          <w:marRight w:val="0"/>
          <w:marTop w:val="0"/>
          <w:marBottom w:val="0"/>
          <w:divBdr>
            <w:top w:val="none" w:sz="0" w:space="0" w:color="auto"/>
            <w:left w:val="none" w:sz="0" w:space="0" w:color="auto"/>
            <w:bottom w:val="none" w:sz="0" w:space="0" w:color="auto"/>
            <w:right w:val="none" w:sz="0" w:space="0" w:color="auto"/>
          </w:divBdr>
        </w:div>
        <w:div w:id="1122654755">
          <w:marLeft w:val="480"/>
          <w:marRight w:val="0"/>
          <w:marTop w:val="0"/>
          <w:marBottom w:val="0"/>
          <w:divBdr>
            <w:top w:val="none" w:sz="0" w:space="0" w:color="auto"/>
            <w:left w:val="none" w:sz="0" w:space="0" w:color="auto"/>
            <w:bottom w:val="none" w:sz="0" w:space="0" w:color="auto"/>
            <w:right w:val="none" w:sz="0" w:space="0" w:color="auto"/>
          </w:divBdr>
        </w:div>
        <w:div w:id="154541656">
          <w:marLeft w:val="480"/>
          <w:marRight w:val="0"/>
          <w:marTop w:val="0"/>
          <w:marBottom w:val="0"/>
          <w:divBdr>
            <w:top w:val="none" w:sz="0" w:space="0" w:color="auto"/>
            <w:left w:val="none" w:sz="0" w:space="0" w:color="auto"/>
            <w:bottom w:val="none" w:sz="0" w:space="0" w:color="auto"/>
            <w:right w:val="none" w:sz="0" w:space="0" w:color="auto"/>
          </w:divBdr>
        </w:div>
        <w:div w:id="532033571">
          <w:marLeft w:val="480"/>
          <w:marRight w:val="0"/>
          <w:marTop w:val="0"/>
          <w:marBottom w:val="0"/>
          <w:divBdr>
            <w:top w:val="none" w:sz="0" w:space="0" w:color="auto"/>
            <w:left w:val="none" w:sz="0" w:space="0" w:color="auto"/>
            <w:bottom w:val="none" w:sz="0" w:space="0" w:color="auto"/>
            <w:right w:val="none" w:sz="0" w:space="0" w:color="auto"/>
          </w:divBdr>
        </w:div>
        <w:div w:id="970281881">
          <w:marLeft w:val="480"/>
          <w:marRight w:val="0"/>
          <w:marTop w:val="0"/>
          <w:marBottom w:val="0"/>
          <w:divBdr>
            <w:top w:val="none" w:sz="0" w:space="0" w:color="auto"/>
            <w:left w:val="none" w:sz="0" w:space="0" w:color="auto"/>
            <w:bottom w:val="none" w:sz="0" w:space="0" w:color="auto"/>
            <w:right w:val="none" w:sz="0" w:space="0" w:color="auto"/>
          </w:divBdr>
        </w:div>
        <w:div w:id="950627275">
          <w:marLeft w:val="480"/>
          <w:marRight w:val="0"/>
          <w:marTop w:val="0"/>
          <w:marBottom w:val="0"/>
          <w:divBdr>
            <w:top w:val="none" w:sz="0" w:space="0" w:color="auto"/>
            <w:left w:val="none" w:sz="0" w:space="0" w:color="auto"/>
            <w:bottom w:val="none" w:sz="0" w:space="0" w:color="auto"/>
            <w:right w:val="none" w:sz="0" w:space="0" w:color="auto"/>
          </w:divBdr>
        </w:div>
        <w:div w:id="1889562801">
          <w:marLeft w:val="480"/>
          <w:marRight w:val="0"/>
          <w:marTop w:val="0"/>
          <w:marBottom w:val="0"/>
          <w:divBdr>
            <w:top w:val="none" w:sz="0" w:space="0" w:color="auto"/>
            <w:left w:val="none" w:sz="0" w:space="0" w:color="auto"/>
            <w:bottom w:val="none" w:sz="0" w:space="0" w:color="auto"/>
            <w:right w:val="none" w:sz="0" w:space="0" w:color="auto"/>
          </w:divBdr>
        </w:div>
        <w:div w:id="1410538134">
          <w:marLeft w:val="480"/>
          <w:marRight w:val="0"/>
          <w:marTop w:val="0"/>
          <w:marBottom w:val="0"/>
          <w:divBdr>
            <w:top w:val="none" w:sz="0" w:space="0" w:color="auto"/>
            <w:left w:val="none" w:sz="0" w:space="0" w:color="auto"/>
            <w:bottom w:val="none" w:sz="0" w:space="0" w:color="auto"/>
            <w:right w:val="none" w:sz="0" w:space="0" w:color="auto"/>
          </w:divBdr>
        </w:div>
        <w:div w:id="1975526528">
          <w:marLeft w:val="480"/>
          <w:marRight w:val="0"/>
          <w:marTop w:val="0"/>
          <w:marBottom w:val="0"/>
          <w:divBdr>
            <w:top w:val="none" w:sz="0" w:space="0" w:color="auto"/>
            <w:left w:val="none" w:sz="0" w:space="0" w:color="auto"/>
            <w:bottom w:val="none" w:sz="0" w:space="0" w:color="auto"/>
            <w:right w:val="none" w:sz="0" w:space="0" w:color="auto"/>
          </w:divBdr>
        </w:div>
        <w:div w:id="1663200568">
          <w:marLeft w:val="480"/>
          <w:marRight w:val="0"/>
          <w:marTop w:val="0"/>
          <w:marBottom w:val="0"/>
          <w:divBdr>
            <w:top w:val="none" w:sz="0" w:space="0" w:color="auto"/>
            <w:left w:val="none" w:sz="0" w:space="0" w:color="auto"/>
            <w:bottom w:val="none" w:sz="0" w:space="0" w:color="auto"/>
            <w:right w:val="none" w:sz="0" w:space="0" w:color="auto"/>
          </w:divBdr>
        </w:div>
        <w:div w:id="672758363">
          <w:marLeft w:val="480"/>
          <w:marRight w:val="0"/>
          <w:marTop w:val="0"/>
          <w:marBottom w:val="0"/>
          <w:divBdr>
            <w:top w:val="none" w:sz="0" w:space="0" w:color="auto"/>
            <w:left w:val="none" w:sz="0" w:space="0" w:color="auto"/>
            <w:bottom w:val="none" w:sz="0" w:space="0" w:color="auto"/>
            <w:right w:val="none" w:sz="0" w:space="0" w:color="auto"/>
          </w:divBdr>
        </w:div>
        <w:div w:id="284577595">
          <w:marLeft w:val="480"/>
          <w:marRight w:val="0"/>
          <w:marTop w:val="0"/>
          <w:marBottom w:val="0"/>
          <w:divBdr>
            <w:top w:val="none" w:sz="0" w:space="0" w:color="auto"/>
            <w:left w:val="none" w:sz="0" w:space="0" w:color="auto"/>
            <w:bottom w:val="none" w:sz="0" w:space="0" w:color="auto"/>
            <w:right w:val="none" w:sz="0" w:space="0" w:color="auto"/>
          </w:divBdr>
        </w:div>
        <w:div w:id="735014141">
          <w:marLeft w:val="480"/>
          <w:marRight w:val="0"/>
          <w:marTop w:val="0"/>
          <w:marBottom w:val="0"/>
          <w:divBdr>
            <w:top w:val="none" w:sz="0" w:space="0" w:color="auto"/>
            <w:left w:val="none" w:sz="0" w:space="0" w:color="auto"/>
            <w:bottom w:val="none" w:sz="0" w:space="0" w:color="auto"/>
            <w:right w:val="none" w:sz="0" w:space="0" w:color="auto"/>
          </w:divBdr>
        </w:div>
        <w:div w:id="1600526725">
          <w:marLeft w:val="480"/>
          <w:marRight w:val="0"/>
          <w:marTop w:val="0"/>
          <w:marBottom w:val="0"/>
          <w:divBdr>
            <w:top w:val="none" w:sz="0" w:space="0" w:color="auto"/>
            <w:left w:val="none" w:sz="0" w:space="0" w:color="auto"/>
            <w:bottom w:val="none" w:sz="0" w:space="0" w:color="auto"/>
            <w:right w:val="none" w:sz="0" w:space="0" w:color="auto"/>
          </w:divBdr>
        </w:div>
        <w:div w:id="357705078">
          <w:marLeft w:val="480"/>
          <w:marRight w:val="0"/>
          <w:marTop w:val="0"/>
          <w:marBottom w:val="0"/>
          <w:divBdr>
            <w:top w:val="none" w:sz="0" w:space="0" w:color="auto"/>
            <w:left w:val="none" w:sz="0" w:space="0" w:color="auto"/>
            <w:bottom w:val="none" w:sz="0" w:space="0" w:color="auto"/>
            <w:right w:val="none" w:sz="0" w:space="0" w:color="auto"/>
          </w:divBdr>
        </w:div>
        <w:div w:id="808546997">
          <w:marLeft w:val="480"/>
          <w:marRight w:val="0"/>
          <w:marTop w:val="0"/>
          <w:marBottom w:val="0"/>
          <w:divBdr>
            <w:top w:val="none" w:sz="0" w:space="0" w:color="auto"/>
            <w:left w:val="none" w:sz="0" w:space="0" w:color="auto"/>
            <w:bottom w:val="none" w:sz="0" w:space="0" w:color="auto"/>
            <w:right w:val="none" w:sz="0" w:space="0" w:color="auto"/>
          </w:divBdr>
        </w:div>
        <w:div w:id="847601833">
          <w:marLeft w:val="480"/>
          <w:marRight w:val="0"/>
          <w:marTop w:val="0"/>
          <w:marBottom w:val="0"/>
          <w:divBdr>
            <w:top w:val="none" w:sz="0" w:space="0" w:color="auto"/>
            <w:left w:val="none" w:sz="0" w:space="0" w:color="auto"/>
            <w:bottom w:val="none" w:sz="0" w:space="0" w:color="auto"/>
            <w:right w:val="none" w:sz="0" w:space="0" w:color="auto"/>
          </w:divBdr>
        </w:div>
        <w:div w:id="1464806240">
          <w:marLeft w:val="480"/>
          <w:marRight w:val="0"/>
          <w:marTop w:val="0"/>
          <w:marBottom w:val="0"/>
          <w:divBdr>
            <w:top w:val="none" w:sz="0" w:space="0" w:color="auto"/>
            <w:left w:val="none" w:sz="0" w:space="0" w:color="auto"/>
            <w:bottom w:val="none" w:sz="0" w:space="0" w:color="auto"/>
            <w:right w:val="none" w:sz="0" w:space="0" w:color="auto"/>
          </w:divBdr>
        </w:div>
        <w:div w:id="534585321">
          <w:marLeft w:val="480"/>
          <w:marRight w:val="0"/>
          <w:marTop w:val="0"/>
          <w:marBottom w:val="0"/>
          <w:divBdr>
            <w:top w:val="none" w:sz="0" w:space="0" w:color="auto"/>
            <w:left w:val="none" w:sz="0" w:space="0" w:color="auto"/>
            <w:bottom w:val="none" w:sz="0" w:space="0" w:color="auto"/>
            <w:right w:val="none" w:sz="0" w:space="0" w:color="auto"/>
          </w:divBdr>
        </w:div>
        <w:div w:id="1180240071">
          <w:marLeft w:val="480"/>
          <w:marRight w:val="0"/>
          <w:marTop w:val="0"/>
          <w:marBottom w:val="0"/>
          <w:divBdr>
            <w:top w:val="none" w:sz="0" w:space="0" w:color="auto"/>
            <w:left w:val="none" w:sz="0" w:space="0" w:color="auto"/>
            <w:bottom w:val="none" w:sz="0" w:space="0" w:color="auto"/>
            <w:right w:val="none" w:sz="0" w:space="0" w:color="auto"/>
          </w:divBdr>
        </w:div>
        <w:div w:id="1237865127">
          <w:marLeft w:val="480"/>
          <w:marRight w:val="0"/>
          <w:marTop w:val="0"/>
          <w:marBottom w:val="0"/>
          <w:divBdr>
            <w:top w:val="none" w:sz="0" w:space="0" w:color="auto"/>
            <w:left w:val="none" w:sz="0" w:space="0" w:color="auto"/>
            <w:bottom w:val="none" w:sz="0" w:space="0" w:color="auto"/>
            <w:right w:val="none" w:sz="0" w:space="0" w:color="auto"/>
          </w:divBdr>
        </w:div>
        <w:div w:id="2017608328">
          <w:marLeft w:val="480"/>
          <w:marRight w:val="0"/>
          <w:marTop w:val="0"/>
          <w:marBottom w:val="0"/>
          <w:divBdr>
            <w:top w:val="none" w:sz="0" w:space="0" w:color="auto"/>
            <w:left w:val="none" w:sz="0" w:space="0" w:color="auto"/>
            <w:bottom w:val="none" w:sz="0" w:space="0" w:color="auto"/>
            <w:right w:val="none" w:sz="0" w:space="0" w:color="auto"/>
          </w:divBdr>
        </w:div>
        <w:div w:id="55863833">
          <w:marLeft w:val="480"/>
          <w:marRight w:val="0"/>
          <w:marTop w:val="0"/>
          <w:marBottom w:val="0"/>
          <w:divBdr>
            <w:top w:val="none" w:sz="0" w:space="0" w:color="auto"/>
            <w:left w:val="none" w:sz="0" w:space="0" w:color="auto"/>
            <w:bottom w:val="none" w:sz="0" w:space="0" w:color="auto"/>
            <w:right w:val="none" w:sz="0" w:space="0" w:color="auto"/>
          </w:divBdr>
        </w:div>
        <w:div w:id="1995916093">
          <w:marLeft w:val="480"/>
          <w:marRight w:val="0"/>
          <w:marTop w:val="0"/>
          <w:marBottom w:val="0"/>
          <w:divBdr>
            <w:top w:val="none" w:sz="0" w:space="0" w:color="auto"/>
            <w:left w:val="none" w:sz="0" w:space="0" w:color="auto"/>
            <w:bottom w:val="none" w:sz="0" w:space="0" w:color="auto"/>
            <w:right w:val="none" w:sz="0" w:space="0" w:color="auto"/>
          </w:divBdr>
        </w:div>
        <w:div w:id="482695107">
          <w:marLeft w:val="480"/>
          <w:marRight w:val="0"/>
          <w:marTop w:val="0"/>
          <w:marBottom w:val="0"/>
          <w:divBdr>
            <w:top w:val="none" w:sz="0" w:space="0" w:color="auto"/>
            <w:left w:val="none" w:sz="0" w:space="0" w:color="auto"/>
            <w:bottom w:val="none" w:sz="0" w:space="0" w:color="auto"/>
            <w:right w:val="none" w:sz="0" w:space="0" w:color="auto"/>
          </w:divBdr>
        </w:div>
        <w:div w:id="2127654085">
          <w:marLeft w:val="480"/>
          <w:marRight w:val="0"/>
          <w:marTop w:val="0"/>
          <w:marBottom w:val="0"/>
          <w:divBdr>
            <w:top w:val="none" w:sz="0" w:space="0" w:color="auto"/>
            <w:left w:val="none" w:sz="0" w:space="0" w:color="auto"/>
            <w:bottom w:val="none" w:sz="0" w:space="0" w:color="auto"/>
            <w:right w:val="none" w:sz="0" w:space="0" w:color="auto"/>
          </w:divBdr>
        </w:div>
        <w:div w:id="1637368403">
          <w:marLeft w:val="480"/>
          <w:marRight w:val="0"/>
          <w:marTop w:val="0"/>
          <w:marBottom w:val="0"/>
          <w:divBdr>
            <w:top w:val="none" w:sz="0" w:space="0" w:color="auto"/>
            <w:left w:val="none" w:sz="0" w:space="0" w:color="auto"/>
            <w:bottom w:val="none" w:sz="0" w:space="0" w:color="auto"/>
            <w:right w:val="none" w:sz="0" w:space="0" w:color="auto"/>
          </w:divBdr>
        </w:div>
        <w:div w:id="1988895121">
          <w:marLeft w:val="480"/>
          <w:marRight w:val="0"/>
          <w:marTop w:val="0"/>
          <w:marBottom w:val="0"/>
          <w:divBdr>
            <w:top w:val="none" w:sz="0" w:space="0" w:color="auto"/>
            <w:left w:val="none" w:sz="0" w:space="0" w:color="auto"/>
            <w:bottom w:val="none" w:sz="0" w:space="0" w:color="auto"/>
            <w:right w:val="none" w:sz="0" w:space="0" w:color="auto"/>
          </w:divBdr>
        </w:div>
        <w:div w:id="1463956961">
          <w:marLeft w:val="480"/>
          <w:marRight w:val="0"/>
          <w:marTop w:val="0"/>
          <w:marBottom w:val="0"/>
          <w:divBdr>
            <w:top w:val="none" w:sz="0" w:space="0" w:color="auto"/>
            <w:left w:val="none" w:sz="0" w:space="0" w:color="auto"/>
            <w:bottom w:val="none" w:sz="0" w:space="0" w:color="auto"/>
            <w:right w:val="none" w:sz="0" w:space="0" w:color="auto"/>
          </w:divBdr>
        </w:div>
        <w:div w:id="2128885085">
          <w:marLeft w:val="480"/>
          <w:marRight w:val="0"/>
          <w:marTop w:val="0"/>
          <w:marBottom w:val="0"/>
          <w:divBdr>
            <w:top w:val="none" w:sz="0" w:space="0" w:color="auto"/>
            <w:left w:val="none" w:sz="0" w:space="0" w:color="auto"/>
            <w:bottom w:val="none" w:sz="0" w:space="0" w:color="auto"/>
            <w:right w:val="none" w:sz="0" w:space="0" w:color="auto"/>
          </w:divBdr>
        </w:div>
        <w:div w:id="1157309664">
          <w:marLeft w:val="480"/>
          <w:marRight w:val="0"/>
          <w:marTop w:val="0"/>
          <w:marBottom w:val="0"/>
          <w:divBdr>
            <w:top w:val="none" w:sz="0" w:space="0" w:color="auto"/>
            <w:left w:val="none" w:sz="0" w:space="0" w:color="auto"/>
            <w:bottom w:val="none" w:sz="0" w:space="0" w:color="auto"/>
            <w:right w:val="none" w:sz="0" w:space="0" w:color="auto"/>
          </w:divBdr>
        </w:div>
      </w:divsChild>
    </w:div>
    <w:div w:id="922645789">
      <w:bodyDiv w:val="1"/>
      <w:marLeft w:val="0"/>
      <w:marRight w:val="0"/>
      <w:marTop w:val="0"/>
      <w:marBottom w:val="0"/>
      <w:divBdr>
        <w:top w:val="none" w:sz="0" w:space="0" w:color="auto"/>
        <w:left w:val="none" w:sz="0" w:space="0" w:color="auto"/>
        <w:bottom w:val="none" w:sz="0" w:space="0" w:color="auto"/>
        <w:right w:val="none" w:sz="0" w:space="0" w:color="auto"/>
      </w:divBdr>
    </w:div>
    <w:div w:id="927932684">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5641">
      <w:bodyDiv w:val="1"/>
      <w:marLeft w:val="0"/>
      <w:marRight w:val="0"/>
      <w:marTop w:val="0"/>
      <w:marBottom w:val="0"/>
      <w:divBdr>
        <w:top w:val="none" w:sz="0" w:space="0" w:color="auto"/>
        <w:left w:val="none" w:sz="0" w:space="0" w:color="auto"/>
        <w:bottom w:val="none" w:sz="0" w:space="0" w:color="auto"/>
        <w:right w:val="none" w:sz="0" w:space="0" w:color="auto"/>
      </w:divBdr>
      <w:divsChild>
        <w:div w:id="226306713">
          <w:marLeft w:val="0"/>
          <w:marRight w:val="0"/>
          <w:marTop w:val="0"/>
          <w:marBottom w:val="0"/>
          <w:divBdr>
            <w:top w:val="none" w:sz="0" w:space="0" w:color="auto"/>
            <w:left w:val="none" w:sz="0" w:space="0" w:color="auto"/>
            <w:bottom w:val="none" w:sz="0" w:space="0" w:color="auto"/>
            <w:right w:val="none" w:sz="0" w:space="0" w:color="auto"/>
          </w:divBdr>
          <w:divsChild>
            <w:div w:id="971519397">
              <w:marLeft w:val="0"/>
              <w:marRight w:val="0"/>
              <w:marTop w:val="0"/>
              <w:marBottom w:val="0"/>
              <w:divBdr>
                <w:top w:val="none" w:sz="0" w:space="0" w:color="auto"/>
                <w:left w:val="none" w:sz="0" w:space="0" w:color="auto"/>
                <w:bottom w:val="none" w:sz="0" w:space="0" w:color="auto"/>
                <w:right w:val="none" w:sz="0" w:space="0" w:color="auto"/>
              </w:divBdr>
              <w:divsChild>
                <w:div w:id="8671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861354">
      <w:bodyDiv w:val="1"/>
      <w:marLeft w:val="0"/>
      <w:marRight w:val="0"/>
      <w:marTop w:val="0"/>
      <w:marBottom w:val="0"/>
      <w:divBdr>
        <w:top w:val="none" w:sz="0" w:space="0" w:color="auto"/>
        <w:left w:val="none" w:sz="0" w:space="0" w:color="auto"/>
        <w:bottom w:val="none" w:sz="0" w:space="0" w:color="auto"/>
        <w:right w:val="none" w:sz="0" w:space="0" w:color="auto"/>
      </w:divBdr>
      <w:divsChild>
        <w:div w:id="823858606">
          <w:marLeft w:val="0"/>
          <w:marRight w:val="0"/>
          <w:marTop w:val="0"/>
          <w:marBottom w:val="0"/>
          <w:divBdr>
            <w:top w:val="none" w:sz="0" w:space="0" w:color="auto"/>
            <w:left w:val="none" w:sz="0" w:space="0" w:color="auto"/>
            <w:bottom w:val="none" w:sz="0" w:space="0" w:color="auto"/>
            <w:right w:val="none" w:sz="0" w:space="0" w:color="auto"/>
          </w:divBdr>
          <w:divsChild>
            <w:div w:id="858203994">
              <w:marLeft w:val="0"/>
              <w:marRight w:val="0"/>
              <w:marTop w:val="0"/>
              <w:marBottom w:val="0"/>
              <w:divBdr>
                <w:top w:val="none" w:sz="0" w:space="0" w:color="auto"/>
                <w:left w:val="none" w:sz="0" w:space="0" w:color="auto"/>
                <w:bottom w:val="none" w:sz="0" w:space="0" w:color="auto"/>
                <w:right w:val="none" w:sz="0" w:space="0" w:color="auto"/>
              </w:divBdr>
              <w:divsChild>
                <w:div w:id="1299720857">
                  <w:marLeft w:val="0"/>
                  <w:marRight w:val="0"/>
                  <w:marTop w:val="0"/>
                  <w:marBottom w:val="0"/>
                  <w:divBdr>
                    <w:top w:val="none" w:sz="0" w:space="0" w:color="auto"/>
                    <w:left w:val="none" w:sz="0" w:space="0" w:color="auto"/>
                    <w:bottom w:val="none" w:sz="0" w:space="0" w:color="auto"/>
                    <w:right w:val="none" w:sz="0" w:space="0" w:color="auto"/>
                  </w:divBdr>
                  <w:divsChild>
                    <w:div w:id="88960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677242">
      <w:bodyDiv w:val="1"/>
      <w:marLeft w:val="0"/>
      <w:marRight w:val="0"/>
      <w:marTop w:val="0"/>
      <w:marBottom w:val="0"/>
      <w:divBdr>
        <w:top w:val="none" w:sz="0" w:space="0" w:color="auto"/>
        <w:left w:val="none" w:sz="0" w:space="0" w:color="auto"/>
        <w:bottom w:val="none" w:sz="0" w:space="0" w:color="auto"/>
        <w:right w:val="none" w:sz="0" w:space="0" w:color="auto"/>
      </w:divBdr>
      <w:divsChild>
        <w:div w:id="1694183095">
          <w:marLeft w:val="0"/>
          <w:marRight w:val="0"/>
          <w:marTop w:val="0"/>
          <w:marBottom w:val="0"/>
          <w:divBdr>
            <w:top w:val="none" w:sz="0" w:space="0" w:color="auto"/>
            <w:left w:val="none" w:sz="0" w:space="0" w:color="auto"/>
            <w:bottom w:val="none" w:sz="0" w:space="0" w:color="auto"/>
            <w:right w:val="none" w:sz="0" w:space="0" w:color="auto"/>
          </w:divBdr>
          <w:divsChild>
            <w:div w:id="1598977128">
              <w:marLeft w:val="0"/>
              <w:marRight w:val="0"/>
              <w:marTop w:val="0"/>
              <w:marBottom w:val="0"/>
              <w:divBdr>
                <w:top w:val="none" w:sz="0" w:space="0" w:color="auto"/>
                <w:left w:val="none" w:sz="0" w:space="0" w:color="auto"/>
                <w:bottom w:val="none" w:sz="0" w:space="0" w:color="auto"/>
                <w:right w:val="none" w:sz="0" w:space="0" w:color="auto"/>
              </w:divBdr>
              <w:divsChild>
                <w:div w:id="195732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6549">
      <w:bodyDiv w:val="1"/>
      <w:marLeft w:val="0"/>
      <w:marRight w:val="0"/>
      <w:marTop w:val="0"/>
      <w:marBottom w:val="0"/>
      <w:divBdr>
        <w:top w:val="none" w:sz="0" w:space="0" w:color="auto"/>
        <w:left w:val="none" w:sz="0" w:space="0" w:color="auto"/>
        <w:bottom w:val="none" w:sz="0" w:space="0" w:color="auto"/>
        <w:right w:val="none" w:sz="0" w:space="0" w:color="auto"/>
      </w:divBdr>
    </w:div>
    <w:div w:id="1169250159">
      <w:bodyDiv w:val="1"/>
      <w:marLeft w:val="0"/>
      <w:marRight w:val="0"/>
      <w:marTop w:val="0"/>
      <w:marBottom w:val="0"/>
      <w:divBdr>
        <w:top w:val="none" w:sz="0" w:space="0" w:color="auto"/>
        <w:left w:val="none" w:sz="0" w:space="0" w:color="auto"/>
        <w:bottom w:val="none" w:sz="0" w:space="0" w:color="auto"/>
        <w:right w:val="none" w:sz="0" w:space="0" w:color="auto"/>
      </w:divBdr>
    </w:div>
    <w:div w:id="1207833216">
      <w:bodyDiv w:val="1"/>
      <w:marLeft w:val="0"/>
      <w:marRight w:val="0"/>
      <w:marTop w:val="0"/>
      <w:marBottom w:val="0"/>
      <w:divBdr>
        <w:top w:val="none" w:sz="0" w:space="0" w:color="auto"/>
        <w:left w:val="none" w:sz="0" w:space="0" w:color="auto"/>
        <w:bottom w:val="none" w:sz="0" w:space="0" w:color="auto"/>
        <w:right w:val="none" w:sz="0" w:space="0" w:color="auto"/>
      </w:divBdr>
      <w:divsChild>
        <w:div w:id="1481069506">
          <w:marLeft w:val="0"/>
          <w:marRight w:val="0"/>
          <w:marTop w:val="0"/>
          <w:marBottom w:val="0"/>
          <w:divBdr>
            <w:top w:val="none" w:sz="0" w:space="0" w:color="auto"/>
            <w:left w:val="none" w:sz="0" w:space="0" w:color="auto"/>
            <w:bottom w:val="none" w:sz="0" w:space="0" w:color="auto"/>
            <w:right w:val="none" w:sz="0" w:space="0" w:color="auto"/>
          </w:divBdr>
          <w:divsChild>
            <w:div w:id="541673089">
              <w:marLeft w:val="0"/>
              <w:marRight w:val="0"/>
              <w:marTop w:val="0"/>
              <w:marBottom w:val="0"/>
              <w:divBdr>
                <w:top w:val="none" w:sz="0" w:space="0" w:color="auto"/>
                <w:left w:val="none" w:sz="0" w:space="0" w:color="auto"/>
                <w:bottom w:val="none" w:sz="0" w:space="0" w:color="auto"/>
                <w:right w:val="none" w:sz="0" w:space="0" w:color="auto"/>
              </w:divBdr>
              <w:divsChild>
                <w:div w:id="182100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928571">
      <w:bodyDiv w:val="1"/>
      <w:marLeft w:val="0"/>
      <w:marRight w:val="0"/>
      <w:marTop w:val="0"/>
      <w:marBottom w:val="0"/>
      <w:divBdr>
        <w:top w:val="none" w:sz="0" w:space="0" w:color="auto"/>
        <w:left w:val="none" w:sz="0" w:space="0" w:color="auto"/>
        <w:bottom w:val="none" w:sz="0" w:space="0" w:color="auto"/>
        <w:right w:val="none" w:sz="0" w:space="0" w:color="auto"/>
      </w:divBdr>
      <w:divsChild>
        <w:div w:id="2020278781">
          <w:marLeft w:val="0"/>
          <w:marRight w:val="0"/>
          <w:marTop w:val="0"/>
          <w:marBottom w:val="0"/>
          <w:divBdr>
            <w:top w:val="none" w:sz="0" w:space="0" w:color="auto"/>
            <w:left w:val="none" w:sz="0" w:space="0" w:color="auto"/>
            <w:bottom w:val="none" w:sz="0" w:space="0" w:color="auto"/>
            <w:right w:val="none" w:sz="0" w:space="0" w:color="auto"/>
          </w:divBdr>
          <w:divsChild>
            <w:div w:id="1662537576">
              <w:marLeft w:val="0"/>
              <w:marRight w:val="0"/>
              <w:marTop w:val="0"/>
              <w:marBottom w:val="0"/>
              <w:divBdr>
                <w:top w:val="none" w:sz="0" w:space="0" w:color="auto"/>
                <w:left w:val="none" w:sz="0" w:space="0" w:color="auto"/>
                <w:bottom w:val="none" w:sz="0" w:space="0" w:color="auto"/>
                <w:right w:val="none" w:sz="0" w:space="0" w:color="auto"/>
              </w:divBdr>
              <w:divsChild>
                <w:div w:id="4390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3657">
      <w:bodyDiv w:val="1"/>
      <w:marLeft w:val="0"/>
      <w:marRight w:val="0"/>
      <w:marTop w:val="0"/>
      <w:marBottom w:val="0"/>
      <w:divBdr>
        <w:top w:val="none" w:sz="0" w:space="0" w:color="auto"/>
        <w:left w:val="none" w:sz="0" w:space="0" w:color="auto"/>
        <w:bottom w:val="none" w:sz="0" w:space="0" w:color="auto"/>
        <w:right w:val="none" w:sz="0" w:space="0" w:color="auto"/>
      </w:divBdr>
    </w:div>
    <w:div w:id="1339456389">
      <w:bodyDiv w:val="1"/>
      <w:marLeft w:val="0"/>
      <w:marRight w:val="0"/>
      <w:marTop w:val="0"/>
      <w:marBottom w:val="0"/>
      <w:divBdr>
        <w:top w:val="none" w:sz="0" w:space="0" w:color="auto"/>
        <w:left w:val="none" w:sz="0" w:space="0" w:color="auto"/>
        <w:bottom w:val="none" w:sz="0" w:space="0" w:color="auto"/>
        <w:right w:val="none" w:sz="0" w:space="0" w:color="auto"/>
      </w:divBdr>
    </w:div>
    <w:div w:id="1405371735">
      <w:bodyDiv w:val="1"/>
      <w:marLeft w:val="0"/>
      <w:marRight w:val="0"/>
      <w:marTop w:val="0"/>
      <w:marBottom w:val="0"/>
      <w:divBdr>
        <w:top w:val="none" w:sz="0" w:space="0" w:color="auto"/>
        <w:left w:val="none" w:sz="0" w:space="0" w:color="auto"/>
        <w:bottom w:val="none" w:sz="0" w:space="0" w:color="auto"/>
        <w:right w:val="none" w:sz="0" w:space="0" w:color="auto"/>
      </w:divBdr>
      <w:divsChild>
        <w:div w:id="1343161038">
          <w:marLeft w:val="480"/>
          <w:marRight w:val="0"/>
          <w:marTop w:val="0"/>
          <w:marBottom w:val="0"/>
          <w:divBdr>
            <w:top w:val="none" w:sz="0" w:space="0" w:color="auto"/>
            <w:left w:val="none" w:sz="0" w:space="0" w:color="auto"/>
            <w:bottom w:val="none" w:sz="0" w:space="0" w:color="auto"/>
            <w:right w:val="none" w:sz="0" w:space="0" w:color="auto"/>
          </w:divBdr>
        </w:div>
        <w:div w:id="687220045">
          <w:marLeft w:val="480"/>
          <w:marRight w:val="0"/>
          <w:marTop w:val="0"/>
          <w:marBottom w:val="0"/>
          <w:divBdr>
            <w:top w:val="none" w:sz="0" w:space="0" w:color="auto"/>
            <w:left w:val="none" w:sz="0" w:space="0" w:color="auto"/>
            <w:bottom w:val="none" w:sz="0" w:space="0" w:color="auto"/>
            <w:right w:val="none" w:sz="0" w:space="0" w:color="auto"/>
          </w:divBdr>
        </w:div>
        <w:div w:id="490096248">
          <w:marLeft w:val="480"/>
          <w:marRight w:val="0"/>
          <w:marTop w:val="0"/>
          <w:marBottom w:val="0"/>
          <w:divBdr>
            <w:top w:val="none" w:sz="0" w:space="0" w:color="auto"/>
            <w:left w:val="none" w:sz="0" w:space="0" w:color="auto"/>
            <w:bottom w:val="none" w:sz="0" w:space="0" w:color="auto"/>
            <w:right w:val="none" w:sz="0" w:space="0" w:color="auto"/>
          </w:divBdr>
        </w:div>
        <w:div w:id="268122289">
          <w:marLeft w:val="480"/>
          <w:marRight w:val="0"/>
          <w:marTop w:val="0"/>
          <w:marBottom w:val="0"/>
          <w:divBdr>
            <w:top w:val="none" w:sz="0" w:space="0" w:color="auto"/>
            <w:left w:val="none" w:sz="0" w:space="0" w:color="auto"/>
            <w:bottom w:val="none" w:sz="0" w:space="0" w:color="auto"/>
            <w:right w:val="none" w:sz="0" w:space="0" w:color="auto"/>
          </w:divBdr>
        </w:div>
        <w:div w:id="1983802564">
          <w:marLeft w:val="480"/>
          <w:marRight w:val="0"/>
          <w:marTop w:val="0"/>
          <w:marBottom w:val="0"/>
          <w:divBdr>
            <w:top w:val="none" w:sz="0" w:space="0" w:color="auto"/>
            <w:left w:val="none" w:sz="0" w:space="0" w:color="auto"/>
            <w:bottom w:val="none" w:sz="0" w:space="0" w:color="auto"/>
            <w:right w:val="none" w:sz="0" w:space="0" w:color="auto"/>
          </w:divBdr>
        </w:div>
        <w:div w:id="1007945509">
          <w:marLeft w:val="480"/>
          <w:marRight w:val="0"/>
          <w:marTop w:val="0"/>
          <w:marBottom w:val="0"/>
          <w:divBdr>
            <w:top w:val="none" w:sz="0" w:space="0" w:color="auto"/>
            <w:left w:val="none" w:sz="0" w:space="0" w:color="auto"/>
            <w:bottom w:val="none" w:sz="0" w:space="0" w:color="auto"/>
            <w:right w:val="none" w:sz="0" w:space="0" w:color="auto"/>
          </w:divBdr>
        </w:div>
        <w:div w:id="622611909">
          <w:marLeft w:val="480"/>
          <w:marRight w:val="0"/>
          <w:marTop w:val="0"/>
          <w:marBottom w:val="0"/>
          <w:divBdr>
            <w:top w:val="none" w:sz="0" w:space="0" w:color="auto"/>
            <w:left w:val="none" w:sz="0" w:space="0" w:color="auto"/>
            <w:bottom w:val="none" w:sz="0" w:space="0" w:color="auto"/>
            <w:right w:val="none" w:sz="0" w:space="0" w:color="auto"/>
          </w:divBdr>
        </w:div>
        <w:div w:id="715199985">
          <w:marLeft w:val="480"/>
          <w:marRight w:val="0"/>
          <w:marTop w:val="0"/>
          <w:marBottom w:val="0"/>
          <w:divBdr>
            <w:top w:val="none" w:sz="0" w:space="0" w:color="auto"/>
            <w:left w:val="none" w:sz="0" w:space="0" w:color="auto"/>
            <w:bottom w:val="none" w:sz="0" w:space="0" w:color="auto"/>
            <w:right w:val="none" w:sz="0" w:space="0" w:color="auto"/>
          </w:divBdr>
        </w:div>
        <w:div w:id="1297563417">
          <w:marLeft w:val="480"/>
          <w:marRight w:val="0"/>
          <w:marTop w:val="0"/>
          <w:marBottom w:val="0"/>
          <w:divBdr>
            <w:top w:val="none" w:sz="0" w:space="0" w:color="auto"/>
            <w:left w:val="none" w:sz="0" w:space="0" w:color="auto"/>
            <w:bottom w:val="none" w:sz="0" w:space="0" w:color="auto"/>
            <w:right w:val="none" w:sz="0" w:space="0" w:color="auto"/>
          </w:divBdr>
        </w:div>
        <w:div w:id="789203582">
          <w:marLeft w:val="480"/>
          <w:marRight w:val="0"/>
          <w:marTop w:val="0"/>
          <w:marBottom w:val="0"/>
          <w:divBdr>
            <w:top w:val="none" w:sz="0" w:space="0" w:color="auto"/>
            <w:left w:val="none" w:sz="0" w:space="0" w:color="auto"/>
            <w:bottom w:val="none" w:sz="0" w:space="0" w:color="auto"/>
            <w:right w:val="none" w:sz="0" w:space="0" w:color="auto"/>
          </w:divBdr>
        </w:div>
        <w:div w:id="1644122622">
          <w:marLeft w:val="480"/>
          <w:marRight w:val="0"/>
          <w:marTop w:val="0"/>
          <w:marBottom w:val="0"/>
          <w:divBdr>
            <w:top w:val="none" w:sz="0" w:space="0" w:color="auto"/>
            <w:left w:val="none" w:sz="0" w:space="0" w:color="auto"/>
            <w:bottom w:val="none" w:sz="0" w:space="0" w:color="auto"/>
            <w:right w:val="none" w:sz="0" w:space="0" w:color="auto"/>
          </w:divBdr>
        </w:div>
        <w:div w:id="537816001">
          <w:marLeft w:val="480"/>
          <w:marRight w:val="0"/>
          <w:marTop w:val="0"/>
          <w:marBottom w:val="0"/>
          <w:divBdr>
            <w:top w:val="none" w:sz="0" w:space="0" w:color="auto"/>
            <w:left w:val="none" w:sz="0" w:space="0" w:color="auto"/>
            <w:bottom w:val="none" w:sz="0" w:space="0" w:color="auto"/>
            <w:right w:val="none" w:sz="0" w:space="0" w:color="auto"/>
          </w:divBdr>
        </w:div>
        <w:div w:id="4551892">
          <w:marLeft w:val="480"/>
          <w:marRight w:val="0"/>
          <w:marTop w:val="0"/>
          <w:marBottom w:val="0"/>
          <w:divBdr>
            <w:top w:val="none" w:sz="0" w:space="0" w:color="auto"/>
            <w:left w:val="none" w:sz="0" w:space="0" w:color="auto"/>
            <w:bottom w:val="none" w:sz="0" w:space="0" w:color="auto"/>
            <w:right w:val="none" w:sz="0" w:space="0" w:color="auto"/>
          </w:divBdr>
        </w:div>
        <w:div w:id="254677089">
          <w:marLeft w:val="480"/>
          <w:marRight w:val="0"/>
          <w:marTop w:val="0"/>
          <w:marBottom w:val="0"/>
          <w:divBdr>
            <w:top w:val="none" w:sz="0" w:space="0" w:color="auto"/>
            <w:left w:val="none" w:sz="0" w:space="0" w:color="auto"/>
            <w:bottom w:val="none" w:sz="0" w:space="0" w:color="auto"/>
            <w:right w:val="none" w:sz="0" w:space="0" w:color="auto"/>
          </w:divBdr>
        </w:div>
        <w:div w:id="1954092314">
          <w:marLeft w:val="480"/>
          <w:marRight w:val="0"/>
          <w:marTop w:val="0"/>
          <w:marBottom w:val="0"/>
          <w:divBdr>
            <w:top w:val="none" w:sz="0" w:space="0" w:color="auto"/>
            <w:left w:val="none" w:sz="0" w:space="0" w:color="auto"/>
            <w:bottom w:val="none" w:sz="0" w:space="0" w:color="auto"/>
            <w:right w:val="none" w:sz="0" w:space="0" w:color="auto"/>
          </w:divBdr>
        </w:div>
        <w:div w:id="576326820">
          <w:marLeft w:val="480"/>
          <w:marRight w:val="0"/>
          <w:marTop w:val="0"/>
          <w:marBottom w:val="0"/>
          <w:divBdr>
            <w:top w:val="none" w:sz="0" w:space="0" w:color="auto"/>
            <w:left w:val="none" w:sz="0" w:space="0" w:color="auto"/>
            <w:bottom w:val="none" w:sz="0" w:space="0" w:color="auto"/>
            <w:right w:val="none" w:sz="0" w:space="0" w:color="auto"/>
          </w:divBdr>
        </w:div>
        <w:div w:id="120344059">
          <w:marLeft w:val="480"/>
          <w:marRight w:val="0"/>
          <w:marTop w:val="0"/>
          <w:marBottom w:val="0"/>
          <w:divBdr>
            <w:top w:val="none" w:sz="0" w:space="0" w:color="auto"/>
            <w:left w:val="none" w:sz="0" w:space="0" w:color="auto"/>
            <w:bottom w:val="none" w:sz="0" w:space="0" w:color="auto"/>
            <w:right w:val="none" w:sz="0" w:space="0" w:color="auto"/>
          </w:divBdr>
        </w:div>
        <w:div w:id="601645080">
          <w:marLeft w:val="480"/>
          <w:marRight w:val="0"/>
          <w:marTop w:val="0"/>
          <w:marBottom w:val="0"/>
          <w:divBdr>
            <w:top w:val="none" w:sz="0" w:space="0" w:color="auto"/>
            <w:left w:val="none" w:sz="0" w:space="0" w:color="auto"/>
            <w:bottom w:val="none" w:sz="0" w:space="0" w:color="auto"/>
            <w:right w:val="none" w:sz="0" w:space="0" w:color="auto"/>
          </w:divBdr>
        </w:div>
        <w:div w:id="605507362">
          <w:marLeft w:val="480"/>
          <w:marRight w:val="0"/>
          <w:marTop w:val="0"/>
          <w:marBottom w:val="0"/>
          <w:divBdr>
            <w:top w:val="none" w:sz="0" w:space="0" w:color="auto"/>
            <w:left w:val="none" w:sz="0" w:space="0" w:color="auto"/>
            <w:bottom w:val="none" w:sz="0" w:space="0" w:color="auto"/>
            <w:right w:val="none" w:sz="0" w:space="0" w:color="auto"/>
          </w:divBdr>
        </w:div>
        <w:div w:id="1780489031">
          <w:marLeft w:val="480"/>
          <w:marRight w:val="0"/>
          <w:marTop w:val="0"/>
          <w:marBottom w:val="0"/>
          <w:divBdr>
            <w:top w:val="none" w:sz="0" w:space="0" w:color="auto"/>
            <w:left w:val="none" w:sz="0" w:space="0" w:color="auto"/>
            <w:bottom w:val="none" w:sz="0" w:space="0" w:color="auto"/>
            <w:right w:val="none" w:sz="0" w:space="0" w:color="auto"/>
          </w:divBdr>
        </w:div>
        <w:div w:id="208298877">
          <w:marLeft w:val="480"/>
          <w:marRight w:val="0"/>
          <w:marTop w:val="0"/>
          <w:marBottom w:val="0"/>
          <w:divBdr>
            <w:top w:val="none" w:sz="0" w:space="0" w:color="auto"/>
            <w:left w:val="none" w:sz="0" w:space="0" w:color="auto"/>
            <w:bottom w:val="none" w:sz="0" w:space="0" w:color="auto"/>
            <w:right w:val="none" w:sz="0" w:space="0" w:color="auto"/>
          </w:divBdr>
        </w:div>
        <w:div w:id="1383477746">
          <w:marLeft w:val="480"/>
          <w:marRight w:val="0"/>
          <w:marTop w:val="0"/>
          <w:marBottom w:val="0"/>
          <w:divBdr>
            <w:top w:val="none" w:sz="0" w:space="0" w:color="auto"/>
            <w:left w:val="none" w:sz="0" w:space="0" w:color="auto"/>
            <w:bottom w:val="none" w:sz="0" w:space="0" w:color="auto"/>
            <w:right w:val="none" w:sz="0" w:space="0" w:color="auto"/>
          </w:divBdr>
        </w:div>
        <w:div w:id="729840892">
          <w:marLeft w:val="480"/>
          <w:marRight w:val="0"/>
          <w:marTop w:val="0"/>
          <w:marBottom w:val="0"/>
          <w:divBdr>
            <w:top w:val="none" w:sz="0" w:space="0" w:color="auto"/>
            <w:left w:val="none" w:sz="0" w:space="0" w:color="auto"/>
            <w:bottom w:val="none" w:sz="0" w:space="0" w:color="auto"/>
            <w:right w:val="none" w:sz="0" w:space="0" w:color="auto"/>
          </w:divBdr>
        </w:div>
        <w:div w:id="179515686">
          <w:marLeft w:val="480"/>
          <w:marRight w:val="0"/>
          <w:marTop w:val="0"/>
          <w:marBottom w:val="0"/>
          <w:divBdr>
            <w:top w:val="none" w:sz="0" w:space="0" w:color="auto"/>
            <w:left w:val="none" w:sz="0" w:space="0" w:color="auto"/>
            <w:bottom w:val="none" w:sz="0" w:space="0" w:color="auto"/>
            <w:right w:val="none" w:sz="0" w:space="0" w:color="auto"/>
          </w:divBdr>
        </w:div>
        <w:div w:id="44988110">
          <w:marLeft w:val="480"/>
          <w:marRight w:val="0"/>
          <w:marTop w:val="0"/>
          <w:marBottom w:val="0"/>
          <w:divBdr>
            <w:top w:val="none" w:sz="0" w:space="0" w:color="auto"/>
            <w:left w:val="none" w:sz="0" w:space="0" w:color="auto"/>
            <w:bottom w:val="none" w:sz="0" w:space="0" w:color="auto"/>
            <w:right w:val="none" w:sz="0" w:space="0" w:color="auto"/>
          </w:divBdr>
        </w:div>
        <w:div w:id="2062442652">
          <w:marLeft w:val="480"/>
          <w:marRight w:val="0"/>
          <w:marTop w:val="0"/>
          <w:marBottom w:val="0"/>
          <w:divBdr>
            <w:top w:val="none" w:sz="0" w:space="0" w:color="auto"/>
            <w:left w:val="none" w:sz="0" w:space="0" w:color="auto"/>
            <w:bottom w:val="none" w:sz="0" w:space="0" w:color="auto"/>
            <w:right w:val="none" w:sz="0" w:space="0" w:color="auto"/>
          </w:divBdr>
        </w:div>
        <w:div w:id="1465004084">
          <w:marLeft w:val="480"/>
          <w:marRight w:val="0"/>
          <w:marTop w:val="0"/>
          <w:marBottom w:val="0"/>
          <w:divBdr>
            <w:top w:val="none" w:sz="0" w:space="0" w:color="auto"/>
            <w:left w:val="none" w:sz="0" w:space="0" w:color="auto"/>
            <w:bottom w:val="none" w:sz="0" w:space="0" w:color="auto"/>
            <w:right w:val="none" w:sz="0" w:space="0" w:color="auto"/>
          </w:divBdr>
        </w:div>
        <w:div w:id="1527864069">
          <w:marLeft w:val="480"/>
          <w:marRight w:val="0"/>
          <w:marTop w:val="0"/>
          <w:marBottom w:val="0"/>
          <w:divBdr>
            <w:top w:val="none" w:sz="0" w:space="0" w:color="auto"/>
            <w:left w:val="none" w:sz="0" w:space="0" w:color="auto"/>
            <w:bottom w:val="none" w:sz="0" w:space="0" w:color="auto"/>
            <w:right w:val="none" w:sz="0" w:space="0" w:color="auto"/>
          </w:divBdr>
        </w:div>
        <w:div w:id="80219286">
          <w:marLeft w:val="480"/>
          <w:marRight w:val="0"/>
          <w:marTop w:val="0"/>
          <w:marBottom w:val="0"/>
          <w:divBdr>
            <w:top w:val="none" w:sz="0" w:space="0" w:color="auto"/>
            <w:left w:val="none" w:sz="0" w:space="0" w:color="auto"/>
            <w:bottom w:val="none" w:sz="0" w:space="0" w:color="auto"/>
            <w:right w:val="none" w:sz="0" w:space="0" w:color="auto"/>
          </w:divBdr>
        </w:div>
        <w:div w:id="1445222676">
          <w:marLeft w:val="480"/>
          <w:marRight w:val="0"/>
          <w:marTop w:val="0"/>
          <w:marBottom w:val="0"/>
          <w:divBdr>
            <w:top w:val="none" w:sz="0" w:space="0" w:color="auto"/>
            <w:left w:val="none" w:sz="0" w:space="0" w:color="auto"/>
            <w:bottom w:val="none" w:sz="0" w:space="0" w:color="auto"/>
            <w:right w:val="none" w:sz="0" w:space="0" w:color="auto"/>
          </w:divBdr>
        </w:div>
        <w:div w:id="1872377124">
          <w:marLeft w:val="480"/>
          <w:marRight w:val="0"/>
          <w:marTop w:val="0"/>
          <w:marBottom w:val="0"/>
          <w:divBdr>
            <w:top w:val="none" w:sz="0" w:space="0" w:color="auto"/>
            <w:left w:val="none" w:sz="0" w:space="0" w:color="auto"/>
            <w:bottom w:val="none" w:sz="0" w:space="0" w:color="auto"/>
            <w:right w:val="none" w:sz="0" w:space="0" w:color="auto"/>
          </w:divBdr>
        </w:div>
        <w:div w:id="973095977">
          <w:marLeft w:val="480"/>
          <w:marRight w:val="0"/>
          <w:marTop w:val="0"/>
          <w:marBottom w:val="0"/>
          <w:divBdr>
            <w:top w:val="none" w:sz="0" w:space="0" w:color="auto"/>
            <w:left w:val="none" w:sz="0" w:space="0" w:color="auto"/>
            <w:bottom w:val="none" w:sz="0" w:space="0" w:color="auto"/>
            <w:right w:val="none" w:sz="0" w:space="0" w:color="auto"/>
          </w:divBdr>
        </w:div>
        <w:div w:id="128937342">
          <w:marLeft w:val="480"/>
          <w:marRight w:val="0"/>
          <w:marTop w:val="0"/>
          <w:marBottom w:val="0"/>
          <w:divBdr>
            <w:top w:val="none" w:sz="0" w:space="0" w:color="auto"/>
            <w:left w:val="none" w:sz="0" w:space="0" w:color="auto"/>
            <w:bottom w:val="none" w:sz="0" w:space="0" w:color="auto"/>
            <w:right w:val="none" w:sz="0" w:space="0" w:color="auto"/>
          </w:divBdr>
        </w:div>
        <w:div w:id="549272642">
          <w:marLeft w:val="480"/>
          <w:marRight w:val="0"/>
          <w:marTop w:val="0"/>
          <w:marBottom w:val="0"/>
          <w:divBdr>
            <w:top w:val="none" w:sz="0" w:space="0" w:color="auto"/>
            <w:left w:val="none" w:sz="0" w:space="0" w:color="auto"/>
            <w:bottom w:val="none" w:sz="0" w:space="0" w:color="auto"/>
            <w:right w:val="none" w:sz="0" w:space="0" w:color="auto"/>
          </w:divBdr>
        </w:div>
        <w:div w:id="993610001">
          <w:marLeft w:val="480"/>
          <w:marRight w:val="0"/>
          <w:marTop w:val="0"/>
          <w:marBottom w:val="0"/>
          <w:divBdr>
            <w:top w:val="none" w:sz="0" w:space="0" w:color="auto"/>
            <w:left w:val="none" w:sz="0" w:space="0" w:color="auto"/>
            <w:bottom w:val="none" w:sz="0" w:space="0" w:color="auto"/>
            <w:right w:val="none" w:sz="0" w:space="0" w:color="auto"/>
          </w:divBdr>
        </w:div>
        <w:div w:id="910237999">
          <w:marLeft w:val="480"/>
          <w:marRight w:val="0"/>
          <w:marTop w:val="0"/>
          <w:marBottom w:val="0"/>
          <w:divBdr>
            <w:top w:val="none" w:sz="0" w:space="0" w:color="auto"/>
            <w:left w:val="none" w:sz="0" w:space="0" w:color="auto"/>
            <w:bottom w:val="none" w:sz="0" w:space="0" w:color="auto"/>
            <w:right w:val="none" w:sz="0" w:space="0" w:color="auto"/>
          </w:divBdr>
        </w:div>
        <w:div w:id="232085222">
          <w:marLeft w:val="480"/>
          <w:marRight w:val="0"/>
          <w:marTop w:val="0"/>
          <w:marBottom w:val="0"/>
          <w:divBdr>
            <w:top w:val="none" w:sz="0" w:space="0" w:color="auto"/>
            <w:left w:val="none" w:sz="0" w:space="0" w:color="auto"/>
            <w:bottom w:val="none" w:sz="0" w:space="0" w:color="auto"/>
            <w:right w:val="none" w:sz="0" w:space="0" w:color="auto"/>
          </w:divBdr>
        </w:div>
      </w:divsChild>
    </w:div>
    <w:div w:id="1408187854">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2652726">
      <w:bodyDiv w:val="1"/>
      <w:marLeft w:val="0"/>
      <w:marRight w:val="0"/>
      <w:marTop w:val="0"/>
      <w:marBottom w:val="0"/>
      <w:divBdr>
        <w:top w:val="none" w:sz="0" w:space="0" w:color="auto"/>
        <w:left w:val="none" w:sz="0" w:space="0" w:color="auto"/>
        <w:bottom w:val="none" w:sz="0" w:space="0" w:color="auto"/>
        <w:right w:val="none" w:sz="0" w:space="0" w:color="auto"/>
      </w:divBdr>
    </w:div>
    <w:div w:id="1448894199">
      <w:bodyDiv w:val="1"/>
      <w:marLeft w:val="0"/>
      <w:marRight w:val="0"/>
      <w:marTop w:val="0"/>
      <w:marBottom w:val="0"/>
      <w:divBdr>
        <w:top w:val="none" w:sz="0" w:space="0" w:color="auto"/>
        <w:left w:val="none" w:sz="0" w:space="0" w:color="auto"/>
        <w:bottom w:val="none" w:sz="0" w:space="0" w:color="auto"/>
        <w:right w:val="none" w:sz="0" w:space="0" w:color="auto"/>
      </w:divBdr>
      <w:divsChild>
        <w:div w:id="326179098">
          <w:marLeft w:val="480"/>
          <w:marRight w:val="0"/>
          <w:marTop w:val="0"/>
          <w:marBottom w:val="0"/>
          <w:divBdr>
            <w:top w:val="none" w:sz="0" w:space="0" w:color="auto"/>
            <w:left w:val="none" w:sz="0" w:space="0" w:color="auto"/>
            <w:bottom w:val="none" w:sz="0" w:space="0" w:color="auto"/>
            <w:right w:val="none" w:sz="0" w:space="0" w:color="auto"/>
          </w:divBdr>
        </w:div>
        <w:div w:id="239874362">
          <w:marLeft w:val="480"/>
          <w:marRight w:val="0"/>
          <w:marTop w:val="0"/>
          <w:marBottom w:val="0"/>
          <w:divBdr>
            <w:top w:val="none" w:sz="0" w:space="0" w:color="auto"/>
            <w:left w:val="none" w:sz="0" w:space="0" w:color="auto"/>
            <w:bottom w:val="none" w:sz="0" w:space="0" w:color="auto"/>
            <w:right w:val="none" w:sz="0" w:space="0" w:color="auto"/>
          </w:divBdr>
        </w:div>
        <w:div w:id="397047917">
          <w:marLeft w:val="480"/>
          <w:marRight w:val="0"/>
          <w:marTop w:val="0"/>
          <w:marBottom w:val="0"/>
          <w:divBdr>
            <w:top w:val="none" w:sz="0" w:space="0" w:color="auto"/>
            <w:left w:val="none" w:sz="0" w:space="0" w:color="auto"/>
            <w:bottom w:val="none" w:sz="0" w:space="0" w:color="auto"/>
            <w:right w:val="none" w:sz="0" w:space="0" w:color="auto"/>
          </w:divBdr>
        </w:div>
        <w:div w:id="400180000">
          <w:marLeft w:val="480"/>
          <w:marRight w:val="0"/>
          <w:marTop w:val="0"/>
          <w:marBottom w:val="0"/>
          <w:divBdr>
            <w:top w:val="none" w:sz="0" w:space="0" w:color="auto"/>
            <w:left w:val="none" w:sz="0" w:space="0" w:color="auto"/>
            <w:bottom w:val="none" w:sz="0" w:space="0" w:color="auto"/>
            <w:right w:val="none" w:sz="0" w:space="0" w:color="auto"/>
          </w:divBdr>
        </w:div>
        <w:div w:id="803350038">
          <w:marLeft w:val="480"/>
          <w:marRight w:val="0"/>
          <w:marTop w:val="0"/>
          <w:marBottom w:val="0"/>
          <w:divBdr>
            <w:top w:val="none" w:sz="0" w:space="0" w:color="auto"/>
            <w:left w:val="none" w:sz="0" w:space="0" w:color="auto"/>
            <w:bottom w:val="none" w:sz="0" w:space="0" w:color="auto"/>
            <w:right w:val="none" w:sz="0" w:space="0" w:color="auto"/>
          </w:divBdr>
        </w:div>
        <w:div w:id="607087009">
          <w:marLeft w:val="480"/>
          <w:marRight w:val="0"/>
          <w:marTop w:val="0"/>
          <w:marBottom w:val="0"/>
          <w:divBdr>
            <w:top w:val="none" w:sz="0" w:space="0" w:color="auto"/>
            <w:left w:val="none" w:sz="0" w:space="0" w:color="auto"/>
            <w:bottom w:val="none" w:sz="0" w:space="0" w:color="auto"/>
            <w:right w:val="none" w:sz="0" w:space="0" w:color="auto"/>
          </w:divBdr>
        </w:div>
        <w:div w:id="1778207462">
          <w:marLeft w:val="480"/>
          <w:marRight w:val="0"/>
          <w:marTop w:val="0"/>
          <w:marBottom w:val="0"/>
          <w:divBdr>
            <w:top w:val="none" w:sz="0" w:space="0" w:color="auto"/>
            <w:left w:val="none" w:sz="0" w:space="0" w:color="auto"/>
            <w:bottom w:val="none" w:sz="0" w:space="0" w:color="auto"/>
            <w:right w:val="none" w:sz="0" w:space="0" w:color="auto"/>
          </w:divBdr>
        </w:div>
        <w:div w:id="2003461232">
          <w:marLeft w:val="480"/>
          <w:marRight w:val="0"/>
          <w:marTop w:val="0"/>
          <w:marBottom w:val="0"/>
          <w:divBdr>
            <w:top w:val="none" w:sz="0" w:space="0" w:color="auto"/>
            <w:left w:val="none" w:sz="0" w:space="0" w:color="auto"/>
            <w:bottom w:val="none" w:sz="0" w:space="0" w:color="auto"/>
            <w:right w:val="none" w:sz="0" w:space="0" w:color="auto"/>
          </w:divBdr>
        </w:div>
        <w:div w:id="1271736765">
          <w:marLeft w:val="480"/>
          <w:marRight w:val="0"/>
          <w:marTop w:val="0"/>
          <w:marBottom w:val="0"/>
          <w:divBdr>
            <w:top w:val="none" w:sz="0" w:space="0" w:color="auto"/>
            <w:left w:val="none" w:sz="0" w:space="0" w:color="auto"/>
            <w:bottom w:val="none" w:sz="0" w:space="0" w:color="auto"/>
            <w:right w:val="none" w:sz="0" w:space="0" w:color="auto"/>
          </w:divBdr>
        </w:div>
        <w:div w:id="973489024">
          <w:marLeft w:val="480"/>
          <w:marRight w:val="0"/>
          <w:marTop w:val="0"/>
          <w:marBottom w:val="0"/>
          <w:divBdr>
            <w:top w:val="none" w:sz="0" w:space="0" w:color="auto"/>
            <w:left w:val="none" w:sz="0" w:space="0" w:color="auto"/>
            <w:bottom w:val="none" w:sz="0" w:space="0" w:color="auto"/>
            <w:right w:val="none" w:sz="0" w:space="0" w:color="auto"/>
          </w:divBdr>
        </w:div>
        <w:div w:id="534268849">
          <w:marLeft w:val="480"/>
          <w:marRight w:val="0"/>
          <w:marTop w:val="0"/>
          <w:marBottom w:val="0"/>
          <w:divBdr>
            <w:top w:val="none" w:sz="0" w:space="0" w:color="auto"/>
            <w:left w:val="none" w:sz="0" w:space="0" w:color="auto"/>
            <w:bottom w:val="none" w:sz="0" w:space="0" w:color="auto"/>
            <w:right w:val="none" w:sz="0" w:space="0" w:color="auto"/>
          </w:divBdr>
        </w:div>
        <w:div w:id="1832326220">
          <w:marLeft w:val="480"/>
          <w:marRight w:val="0"/>
          <w:marTop w:val="0"/>
          <w:marBottom w:val="0"/>
          <w:divBdr>
            <w:top w:val="none" w:sz="0" w:space="0" w:color="auto"/>
            <w:left w:val="none" w:sz="0" w:space="0" w:color="auto"/>
            <w:bottom w:val="none" w:sz="0" w:space="0" w:color="auto"/>
            <w:right w:val="none" w:sz="0" w:space="0" w:color="auto"/>
          </w:divBdr>
        </w:div>
        <w:div w:id="1194658606">
          <w:marLeft w:val="480"/>
          <w:marRight w:val="0"/>
          <w:marTop w:val="0"/>
          <w:marBottom w:val="0"/>
          <w:divBdr>
            <w:top w:val="none" w:sz="0" w:space="0" w:color="auto"/>
            <w:left w:val="none" w:sz="0" w:space="0" w:color="auto"/>
            <w:bottom w:val="none" w:sz="0" w:space="0" w:color="auto"/>
            <w:right w:val="none" w:sz="0" w:space="0" w:color="auto"/>
          </w:divBdr>
        </w:div>
        <w:div w:id="1946762952">
          <w:marLeft w:val="480"/>
          <w:marRight w:val="0"/>
          <w:marTop w:val="0"/>
          <w:marBottom w:val="0"/>
          <w:divBdr>
            <w:top w:val="none" w:sz="0" w:space="0" w:color="auto"/>
            <w:left w:val="none" w:sz="0" w:space="0" w:color="auto"/>
            <w:bottom w:val="none" w:sz="0" w:space="0" w:color="auto"/>
            <w:right w:val="none" w:sz="0" w:space="0" w:color="auto"/>
          </w:divBdr>
        </w:div>
        <w:div w:id="248275700">
          <w:marLeft w:val="480"/>
          <w:marRight w:val="0"/>
          <w:marTop w:val="0"/>
          <w:marBottom w:val="0"/>
          <w:divBdr>
            <w:top w:val="none" w:sz="0" w:space="0" w:color="auto"/>
            <w:left w:val="none" w:sz="0" w:space="0" w:color="auto"/>
            <w:bottom w:val="none" w:sz="0" w:space="0" w:color="auto"/>
            <w:right w:val="none" w:sz="0" w:space="0" w:color="auto"/>
          </w:divBdr>
        </w:div>
        <w:div w:id="1096747496">
          <w:marLeft w:val="480"/>
          <w:marRight w:val="0"/>
          <w:marTop w:val="0"/>
          <w:marBottom w:val="0"/>
          <w:divBdr>
            <w:top w:val="none" w:sz="0" w:space="0" w:color="auto"/>
            <w:left w:val="none" w:sz="0" w:space="0" w:color="auto"/>
            <w:bottom w:val="none" w:sz="0" w:space="0" w:color="auto"/>
            <w:right w:val="none" w:sz="0" w:space="0" w:color="auto"/>
          </w:divBdr>
        </w:div>
        <w:div w:id="193463714">
          <w:marLeft w:val="480"/>
          <w:marRight w:val="0"/>
          <w:marTop w:val="0"/>
          <w:marBottom w:val="0"/>
          <w:divBdr>
            <w:top w:val="none" w:sz="0" w:space="0" w:color="auto"/>
            <w:left w:val="none" w:sz="0" w:space="0" w:color="auto"/>
            <w:bottom w:val="none" w:sz="0" w:space="0" w:color="auto"/>
            <w:right w:val="none" w:sz="0" w:space="0" w:color="auto"/>
          </w:divBdr>
        </w:div>
        <w:div w:id="853568108">
          <w:marLeft w:val="480"/>
          <w:marRight w:val="0"/>
          <w:marTop w:val="0"/>
          <w:marBottom w:val="0"/>
          <w:divBdr>
            <w:top w:val="none" w:sz="0" w:space="0" w:color="auto"/>
            <w:left w:val="none" w:sz="0" w:space="0" w:color="auto"/>
            <w:bottom w:val="none" w:sz="0" w:space="0" w:color="auto"/>
            <w:right w:val="none" w:sz="0" w:space="0" w:color="auto"/>
          </w:divBdr>
        </w:div>
        <w:div w:id="1308897893">
          <w:marLeft w:val="480"/>
          <w:marRight w:val="0"/>
          <w:marTop w:val="0"/>
          <w:marBottom w:val="0"/>
          <w:divBdr>
            <w:top w:val="none" w:sz="0" w:space="0" w:color="auto"/>
            <w:left w:val="none" w:sz="0" w:space="0" w:color="auto"/>
            <w:bottom w:val="none" w:sz="0" w:space="0" w:color="auto"/>
            <w:right w:val="none" w:sz="0" w:space="0" w:color="auto"/>
          </w:divBdr>
        </w:div>
        <w:div w:id="1870601600">
          <w:marLeft w:val="480"/>
          <w:marRight w:val="0"/>
          <w:marTop w:val="0"/>
          <w:marBottom w:val="0"/>
          <w:divBdr>
            <w:top w:val="none" w:sz="0" w:space="0" w:color="auto"/>
            <w:left w:val="none" w:sz="0" w:space="0" w:color="auto"/>
            <w:bottom w:val="none" w:sz="0" w:space="0" w:color="auto"/>
            <w:right w:val="none" w:sz="0" w:space="0" w:color="auto"/>
          </w:divBdr>
        </w:div>
        <w:div w:id="1058944100">
          <w:marLeft w:val="480"/>
          <w:marRight w:val="0"/>
          <w:marTop w:val="0"/>
          <w:marBottom w:val="0"/>
          <w:divBdr>
            <w:top w:val="none" w:sz="0" w:space="0" w:color="auto"/>
            <w:left w:val="none" w:sz="0" w:space="0" w:color="auto"/>
            <w:bottom w:val="none" w:sz="0" w:space="0" w:color="auto"/>
            <w:right w:val="none" w:sz="0" w:space="0" w:color="auto"/>
          </w:divBdr>
        </w:div>
        <w:div w:id="1712849108">
          <w:marLeft w:val="480"/>
          <w:marRight w:val="0"/>
          <w:marTop w:val="0"/>
          <w:marBottom w:val="0"/>
          <w:divBdr>
            <w:top w:val="none" w:sz="0" w:space="0" w:color="auto"/>
            <w:left w:val="none" w:sz="0" w:space="0" w:color="auto"/>
            <w:bottom w:val="none" w:sz="0" w:space="0" w:color="auto"/>
            <w:right w:val="none" w:sz="0" w:space="0" w:color="auto"/>
          </w:divBdr>
        </w:div>
        <w:div w:id="1595161502">
          <w:marLeft w:val="480"/>
          <w:marRight w:val="0"/>
          <w:marTop w:val="0"/>
          <w:marBottom w:val="0"/>
          <w:divBdr>
            <w:top w:val="none" w:sz="0" w:space="0" w:color="auto"/>
            <w:left w:val="none" w:sz="0" w:space="0" w:color="auto"/>
            <w:bottom w:val="none" w:sz="0" w:space="0" w:color="auto"/>
            <w:right w:val="none" w:sz="0" w:space="0" w:color="auto"/>
          </w:divBdr>
        </w:div>
        <w:div w:id="882907730">
          <w:marLeft w:val="480"/>
          <w:marRight w:val="0"/>
          <w:marTop w:val="0"/>
          <w:marBottom w:val="0"/>
          <w:divBdr>
            <w:top w:val="none" w:sz="0" w:space="0" w:color="auto"/>
            <w:left w:val="none" w:sz="0" w:space="0" w:color="auto"/>
            <w:bottom w:val="none" w:sz="0" w:space="0" w:color="auto"/>
            <w:right w:val="none" w:sz="0" w:space="0" w:color="auto"/>
          </w:divBdr>
        </w:div>
        <w:div w:id="1226064458">
          <w:marLeft w:val="480"/>
          <w:marRight w:val="0"/>
          <w:marTop w:val="0"/>
          <w:marBottom w:val="0"/>
          <w:divBdr>
            <w:top w:val="none" w:sz="0" w:space="0" w:color="auto"/>
            <w:left w:val="none" w:sz="0" w:space="0" w:color="auto"/>
            <w:bottom w:val="none" w:sz="0" w:space="0" w:color="auto"/>
            <w:right w:val="none" w:sz="0" w:space="0" w:color="auto"/>
          </w:divBdr>
        </w:div>
        <w:div w:id="798767451">
          <w:marLeft w:val="480"/>
          <w:marRight w:val="0"/>
          <w:marTop w:val="0"/>
          <w:marBottom w:val="0"/>
          <w:divBdr>
            <w:top w:val="none" w:sz="0" w:space="0" w:color="auto"/>
            <w:left w:val="none" w:sz="0" w:space="0" w:color="auto"/>
            <w:bottom w:val="none" w:sz="0" w:space="0" w:color="auto"/>
            <w:right w:val="none" w:sz="0" w:space="0" w:color="auto"/>
          </w:divBdr>
        </w:div>
        <w:div w:id="1711220414">
          <w:marLeft w:val="480"/>
          <w:marRight w:val="0"/>
          <w:marTop w:val="0"/>
          <w:marBottom w:val="0"/>
          <w:divBdr>
            <w:top w:val="none" w:sz="0" w:space="0" w:color="auto"/>
            <w:left w:val="none" w:sz="0" w:space="0" w:color="auto"/>
            <w:bottom w:val="none" w:sz="0" w:space="0" w:color="auto"/>
            <w:right w:val="none" w:sz="0" w:space="0" w:color="auto"/>
          </w:divBdr>
        </w:div>
        <w:div w:id="1665938391">
          <w:marLeft w:val="480"/>
          <w:marRight w:val="0"/>
          <w:marTop w:val="0"/>
          <w:marBottom w:val="0"/>
          <w:divBdr>
            <w:top w:val="none" w:sz="0" w:space="0" w:color="auto"/>
            <w:left w:val="none" w:sz="0" w:space="0" w:color="auto"/>
            <w:bottom w:val="none" w:sz="0" w:space="0" w:color="auto"/>
            <w:right w:val="none" w:sz="0" w:space="0" w:color="auto"/>
          </w:divBdr>
        </w:div>
        <w:div w:id="1643659316">
          <w:marLeft w:val="480"/>
          <w:marRight w:val="0"/>
          <w:marTop w:val="0"/>
          <w:marBottom w:val="0"/>
          <w:divBdr>
            <w:top w:val="none" w:sz="0" w:space="0" w:color="auto"/>
            <w:left w:val="none" w:sz="0" w:space="0" w:color="auto"/>
            <w:bottom w:val="none" w:sz="0" w:space="0" w:color="auto"/>
            <w:right w:val="none" w:sz="0" w:space="0" w:color="auto"/>
          </w:divBdr>
        </w:div>
        <w:div w:id="768547500">
          <w:marLeft w:val="480"/>
          <w:marRight w:val="0"/>
          <w:marTop w:val="0"/>
          <w:marBottom w:val="0"/>
          <w:divBdr>
            <w:top w:val="none" w:sz="0" w:space="0" w:color="auto"/>
            <w:left w:val="none" w:sz="0" w:space="0" w:color="auto"/>
            <w:bottom w:val="none" w:sz="0" w:space="0" w:color="auto"/>
            <w:right w:val="none" w:sz="0" w:space="0" w:color="auto"/>
          </w:divBdr>
        </w:div>
        <w:div w:id="1452703259">
          <w:marLeft w:val="480"/>
          <w:marRight w:val="0"/>
          <w:marTop w:val="0"/>
          <w:marBottom w:val="0"/>
          <w:divBdr>
            <w:top w:val="none" w:sz="0" w:space="0" w:color="auto"/>
            <w:left w:val="none" w:sz="0" w:space="0" w:color="auto"/>
            <w:bottom w:val="none" w:sz="0" w:space="0" w:color="auto"/>
            <w:right w:val="none" w:sz="0" w:space="0" w:color="auto"/>
          </w:divBdr>
        </w:div>
        <w:div w:id="46103415">
          <w:marLeft w:val="480"/>
          <w:marRight w:val="0"/>
          <w:marTop w:val="0"/>
          <w:marBottom w:val="0"/>
          <w:divBdr>
            <w:top w:val="none" w:sz="0" w:space="0" w:color="auto"/>
            <w:left w:val="none" w:sz="0" w:space="0" w:color="auto"/>
            <w:bottom w:val="none" w:sz="0" w:space="0" w:color="auto"/>
            <w:right w:val="none" w:sz="0" w:space="0" w:color="auto"/>
          </w:divBdr>
        </w:div>
        <w:div w:id="634528058">
          <w:marLeft w:val="480"/>
          <w:marRight w:val="0"/>
          <w:marTop w:val="0"/>
          <w:marBottom w:val="0"/>
          <w:divBdr>
            <w:top w:val="none" w:sz="0" w:space="0" w:color="auto"/>
            <w:left w:val="none" w:sz="0" w:space="0" w:color="auto"/>
            <w:bottom w:val="none" w:sz="0" w:space="0" w:color="auto"/>
            <w:right w:val="none" w:sz="0" w:space="0" w:color="auto"/>
          </w:divBdr>
        </w:div>
        <w:div w:id="1363287146">
          <w:marLeft w:val="480"/>
          <w:marRight w:val="0"/>
          <w:marTop w:val="0"/>
          <w:marBottom w:val="0"/>
          <w:divBdr>
            <w:top w:val="none" w:sz="0" w:space="0" w:color="auto"/>
            <w:left w:val="none" w:sz="0" w:space="0" w:color="auto"/>
            <w:bottom w:val="none" w:sz="0" w:space="0" w:color="auto"/>
            <w:right w:val="none" w:sz="0" w:space="0" w:color="auto"/>
          </w:divBdr>
        </w:div>
        <w:div w:id="415789228">
          <w:marLeft w:val="480"/>
          <w:marRight w:val="0"/>
          <w:marTop w:val="0"/>
          <w:marBottom w:val="0"/>
          <w:divBdr>
            <w:top w:val="none" w:sz="0" w:space="0" w:color="auto"/>
            <w:left w:val="none" w:sz="0" w:space="0" w:color="auto"/>
            <w:bottom w:val="none" w:sz="0" w:space="0" w:color="auto"/>
            <w:right w:val="none" w:sz="0" w:space="0" w:color="auto"/>
          </w:divBdr>
        </w:div>
        <w:div w:id="438793178">
          <w:marLeft w:val="480"/>
          <w:marRight w:val="0"/>
          <w:marTop w:val="0"/>
          <w:marBottom w:val="0"/>
          <w:divBdr>
            <w:top w:val="none" w:sz="0" w:space="0" w:color="auto"/>
            <w:left w:val="none" w:sz="0" w:space="0" w:color="auto"/>
            <w:bottom w:val="none" w:sz="0" w:space="0" w:color="auto"/>
            <w:right w:val="none" w:sz="0" w:space="0" w:color="auto"/>
          </w:divBdr>
        </w:div>
        <w:div w:id="404881483">
          <w:marLeft w:val="48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01844705">
      <w:bodyDiv w:val="1"/>
      <w:marLeft w:val="0"/>
      <w:marRight w:val="0"/>
      <w:marTop w:val="0"/>
      <w:marBottom w:val="0"/>
      <w:divBdr>
        <w:top w:val="none" w:sz="0" w:space="0" w:color="auto"/>
        <w:left w:val="none" w:sz="0" w:space="0" w:color="auto"/>
        <w:bottom w:val="none" w:sz="0" w:space="0" w:color="auto"/>
        <w:right w:val="none" w:sz="0" w:space="0" w:color="auto"/>
      </w:divBdr>
    </w:div>
    <w:div w:id="1510753780">
      <w:bodyDiv w:val="1"/>
      <w:marLeft w:val="0"/>
      <w:marRight w:val="0"/>
      <w:marTop w:val="0"/>
      <w:marBottom w:val="0"/>
      <w:divBdr>
        <w:top w:val="none" w:sz="0" w:space="0" w:color="auto"/>
        <w:left w:val="none" w:sz="0" w:space="0" w:color="auto"/>
        <w:bottom w:val="none" w:sz="0" w:space="0" w:color="auto"/>
        <w:right w:val="none" w:sz="0" w:space="0" w:color="auto"/>
      </w:divBdr>
    </w:div>
    <w:div w:id="1515614522">
      <w:bodyDiv w:val="1"/>
      <w:marLeft w:val="0"/>
      <w:marRight w:val="0"/>
      <w:marTop w:val="0"/>
      <w:marBottom w:val="0"/>
      <w:divBdr>
        <w:top w:val="none" w:sz="0" w:space="0" w:color="auto"/>
        <w:left w:val="none" w:sz="0" w:space="0" w:color="auto"/>
        <w:bottom w:val="none" w:sz="0" w:space="0" w:color="auto"/>
        <w:right w:val="none" w:sz="0" w:space="0" w:color="auto"/>
      </w:divBdr>
      <w:divsChild>
        <w:div w:id="719331199">
          <w:marLeft w:val="0"/>
          <w:marRight w:val="0"/>
          <w:marTop w:val="0"/>
          <w:marBottom w:val="0"/>
          <w:divBdr>
            <w:top w:val="none" w:sz="0" w:space="0" w:color="auto"/>
            <w:left w:val="none" w:sz="0" w:space="0" w:color="auto"/>
            <w:bottom w:val="none" w:sz="0" w:space="0" w:color="auto"/>
            <w:right w:val="none" w:sz="0" w:space="0" w:color="auto"/>
          </w:divBdr>
          <w:divsChild>
            <w:div w:id="1965845639">
              <w:marLeft w:val="0"/>
              <w:marRight w:val="0"/>
              <w:marTop w:val="0"/>
              <w:marBottom w:val="0"/>
              <w:divBdr>
                <w:top w:val="none" w:sz="0" w:space="0" w:color="auto"/>
                <w:left w:val="none" w:sz="0" w:space="0" w:color="auto"/>
                <w:bottom w:val="none" w:sz="0" w:space="0" w:color="auto"/>
                <w:right w:val="none" w:sz="0" w:space="0" w:color="auto"/>
              </w:divBdr>
              <w:divsChild>
                <w:div w:id="992877546">
                  <w:marLeft w:val="0"/>
                  <w:marRight w:val="0"/>
                  <w:marTop w:val="0"/>
                  <w:marBottom w:val="0"/>
                  <w:divBdr>
                    <w:top w:val="none" w:sz="0" w:space="0" w:color="auto"/>
                    <w:left w:val="none" w:sz="0" w:space="0" w:color="auto"/>
                    <w:bottom w:val="none" w:sz="0" w:space="0" w:color="auto"/>
                    <w:right w:val="none" w:sz="0" w:space="0" w:color="auto"/>
                  </w:divBdr>
                  <w:divsChild>
                    <w:div w:id="119322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543604">
      <w:bodyDiv w:val="1"/>
      <w:marLeft w:val="0"/>
      <w:marRight w:val="0"/>
      <w:marTop w:val="0"/>
      <w:marBottom w:val="0"/>
      <w:divBdr>
        <w:top w:val="none" w:sz="0" w:space="0" w:color="auto"/>
        <w:left w:val="none" w:sz="0" w:space="0" w:color="auto"/>
        <w:bottom w:val="none" w:sz="0" w:space="0" w:color="auto"/>
        <w:right w:val="none" w:sz="0" w:space="0" w:color="auto"/>
      </w:divBdr>
    </w:div>
    <w:div w:id="1588078245">
      <w:bodyDiv w:val="1"/>
      <w:marLeft w:val="0"/>
      <w:marRight w:val="0"/>
      <w:marTop w:val="0"/>
      <w:marBottom w:val="0"/>
      <w:divBdr>
        <w:top w:val="none" w:sz="0" w:space="0" w:color="auto"/>
        <w:left w:val="none" w:sz="0" w:space="0" w:color="auto"/>
        <w:bottom w:val="none" w:sz="0" w:space="0" w:color="auto"/>
        <w:right w:val="none" w:sz="0" w:space="0" w:color="auto"/>
      </w:divBdr>
    </w:div>
    <w:div w:id="1590696673">
      <w:bodyDiv w:val="1"/>
      <w:marLeft w:val="0"/>
      <w:marRight w:val="0"/>
      <w:marTop w:val="0"/>
      <w:marBottom w:val="0"/>
      <w:divBdr>
        <w:top w:val="none" w:sz="0" w:space="0" w:color="auto"/>
        <w:left w:val="none" w:sz="0" w:space="0" w:color="auto"/>
        <w:bottom w:val="none" w:sz="0" w:space="0" w:color="auto"/>
        <w:right w:val="none" w:sz="0" w:space="0" w:color="auto"/>
      </w:divBdr>
    </w:div>
    <w:div w:id="1619411741">
      <w:bodyDiv w:val="1"/>
      <w:marLeft w:val="0"/>
      <w:marRight w:val="0"/>
      <w:marTop w:val="0"/>
      <w:marBottom w:val="0"/>
      <w:divBdr>
        <w:top w:val="none" w:sz="0" w:space="0" w:color="auto"/>
        <w:left w:val="none" w:sz="0" w:space="0" w:color="auto"/>
        <w:bottom w:val="none" w:sz="0" w:space="0" w:color="auto"/>
        <w:right w:val="none" w:sz="0" w:space="0" w:color="auto"/>
      </w:divBdr>
      <w:divsChild>
        <w:div w:id="711852692">
          <w:marLeft w:val="0"/>
          <w:marRight w:val="0"/>
          <w:marTop w:val="0"/>
          <w:marBottom w:val="0"/>
          <w:divBdr>
            <w:top w:val="none" w:sz="0" w:space="0" w:color="auto"/>
            <w:left w:val="none" w:sz="0" w:space="0" w:color="auto"/>
            <w:bottom w:val="none" w:sz="0" w:space="0" w:color="auto"/>
            <w:right w:val="none" w:sz="0" w:space="0" w:color="auto"/>
          </w:divBdr>
          <w:divsChild>
            <w:div w:id="1117792350">
              <w:marLeft w:val="0"/>
              <w:marRight w:val="0"/>
              <w:marTop w:val="0"/>
              <w:marBottom w:val="0"/>
              <w:divBdr>
                <w:top w:val="none" w:sz="0" w:space="0" w:color="auto"/>
                <w:left w:val="none" w:sz="0" w:space="0" w:color="auto"/>
                <w:bottom w:val="none" w:sz="0" w:space="0" w:color="auto"/>
                <w:right w:val="none" w:sz="0" w:space="0" w:color="auto"/>
              </w:divBdr>
              <w:divsChild>
                <w:div w:id="18024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335012">
      <w:bodyDiv w:val="1"/>
      <w:marLeft w:val="0"/>
      <w:marRight w:val="0"/>
      <w:marTop w:val="0"/>
      <w:marBottom w:val="0"/>
      <w:divBdr>
        <w:top w:val="none" w:sz="0" w:space="0" w:color="auto"/>
        <w:left w:val="none" w:sz="0" w:space="0" w:color="auto"/>
        <w:bottom w:val="none" w:sz="0" w:space="0" w:color="auto"/>
        <w:right w:val="none" w:sz="0" w:space="0" w:color="auto"/>
      </w:divBdr>
      <w:divsChild>
        <w:div w:id="1232928838">
          <w:marLeft w:val="480"/>
          <w:marRight w:val="0"/>
          <w:marTop w:val="0"/>
          <w:marBottom w:val="0"/>
          <w:divBdr>
            <w:top w:val="none" w:sz="0" w:space="0" w:color="auto"/>
            <w:left w:val="none" w:sz="0" w:space="0" w:color="auto"/>
            <w:bottom w:val="none" w:sz="0" w:space="0" w:color="auto"/>
            <w:right w:val="none" w:sz="0" w:space="0" w:color="auto"/>
          </w:divBdr>
        </w:div>
        <w:div w:id="157695162">
          <w:marLeft w:val="480"/>
          <w:marRight w:val="0"/>
          <w:marTop w:val="0"/>
          <w:marBottom w:val="0"/>
          <w:divBdr>
            <w:top w:val="none" w:sz="0" w:space="0" w:color="auto"/>
            <w:left w:val="none" w:sz="0" w:space="0" w:color="auto"/>
            <w:bottom w:val="none" w:sz="0" w:space="0" w:color="auto"/>
            <w:right w:val="none" w:sz="0" w:space="0" w:color="auto"/>
          </w:divBdr>
        </w:div>
        <w:div w:id="1457020529">
          <w:marLeft w:val="480"/>
          <w:marRight w:val="0"/>
          <w:marTop w:val="0"/>
          <w:marBottom w:val="0"/>
          <w:divBdr>
            <w:top w:val="none" w:sz="0" w:space="0" w:color="auto"/>
            <w:left w:val="none" w:sz="0" w:space="0" w:color="auto"/>
            <w:bottom w:val="none" w:sz="0" w:space="0" w:color="auto"/>
            <w:right w:val="none" w:sz="0" w:space="0" w:color="auto"/>
          </w:divBdr>
        </w:div>
        <w:div w:id="690304515">
          <w:marLeft w:val="480"/>
          <w:marRight w:val="0"/>
          <w:marTop w:val="0"/>
          <w:marBottom w:val="0"/>
          <w:divBdr>
            <w:top w:val="none" w:sz="0" w:space="0" w:color="auto"/>
            <w:left w:val="none" w:sz="0" w:space="0" w:color="auto"/>
            <w:bottom w:val="none" w:sz="0" w:space="0" w:color="auto"/>
            <w:right w:val="none" w:sz="0" w:space="0" w:color="auto"/>
          </w:divBdr>
        </w:div>
        <w:div w:id="948052470">
          <w:marLeft w:val="480"/>
          <w:marRight w:val="0"/>
          <w:marTop w:val="0"/>
          <w:marBottom w:val="0"/>
          <w:divBdr>
            <w:top w:val="none" w:sz="0" w:space="0" w:color="auto"/>
            <w:left w:val="none" w:sz="0" w:space="0" w:color="auto"/>
            <w:bottom w:val="none" w:sz="0" w:space="0" w:color="auto"/>
            <w:right w:val="none" w:sz="0" w:space="0" w:color="auto"/>
          </w:divBdr>
        </w:div>
        <w:div w:id="2073768454">
          <w:marLeft w:val="480"/>
          <w:marRight w:val="0"/>
          <w:marTop w:val="0"/>
          <w:marBottom w:val="0"/>
          <w:divBdr>
            <w:top w:val="none" w:sz="0" w:space="0" w:color="auto"/>
            <w:left w:val="none" w:sz="0" w:space="0" w:color="auto"/>
            <w:bottom w:val="none" w:sz="0" w:space="0" w:color="auto"/>
            <w:right w:val="none" w:sz="0" w:space="0" w:color="auto"/>
          </w:divBdr>
        </w:div>
        <w:div w:id="536622121">
          <w:marLeft w:val="480"/>
          <w:marRight w:val="0"/>
          <w:marTop w:val="0"/>
          <w:marBottom w:val="0"/>
          <w:divBdr>
            <w:top w:val="none" w:sz="0" w:space="0" w:color="auto"/>
            <w:left w:val="none" w:sz="0" w:space="0" w:color="auto"/>
            <w:bottom w:val="none" w:sz="0" w:space="0" w:color="auto"/>
            <w:right w:val="none" w:sz="0" w:space="0" w:color="auto"/>
          </w:divBdr>
        </w:div>
        <w:div w:id="389575318">
          <w:marLeft w:val="480"/>
          <w:marRight w:val="0"/>
          <w:marTop w:val="0"/>
          <w:marBottom w:val="0"/>
          <w:divBdr>
            <w:top w:val="none" w:sz="0" w:space="0" w:color="auto"/>
            <w:left w:val="none" w:sz="0" w:space="0" w:color="auto"/>
            <w:bottom w:val="none" w:sz="0" w:space="0" w:color="auto"/>
            <w:right w:val="none" w:sz="0" w:space="0" w:color="auto"/>
          </w:divBdr>
        </w:div>
        <w:div w:id="196502543">
          <w:marLeft w:val="480"/>
          <w:marRight w:val="0"/>
          <w:marTop w:val="0"/>
          <w:marBottom w:val="0"/>
          <w:divBdr>
            <w:top w:val="none" w:sz="0" w:space="0" w:color="auto"/>
            <w:left w:val="none" w:sz="0" w:space="0" w:color="auto"/>
            <w:bottom w:val="none" w:sz="0" w:space="0" w:color="auto"/>
            <w:right w:val="none" w:sz="0" w:space="0" w:color="auto"/>
          </w:divBdr>
        </w:div>
        <w:div w:id="916981960">
          <w:marLeft w:val="480"/>
          <w:marRight w:val="0"/>
          <w:marTop w:val="0"/>
          <w:marBottom w:val="0"/>
          <w:divBdr>
            <w:top w:val="none" w:sz="0" w:space="0" w:color="auto"/>
            <w:left w:val="none" w:sz="0" w:space="0" w:color="auto"/>
            <w:bottom w:val="none" w:sz="0" w:space="0" w:color="auto"/>
            <w:right w:val="none" w:sz="0" w:space="0" w:color="auto"/>
          </w:divBdr>
        </w:div>
        <w:div w:id="1784878236">
          <w:marLeft w:val="480"/>
          <w:marRight w:val="0"/>
          <w:marTop w:val="0"/>
          <w:marBottom w:val="0"/>
          <w:divBdr>
            <w:top w:val="none" w:sz="0" w:space="0" w:color="auto"/>
            <w:left w:val="none" w:sz="0" w:space="0" w:color="auto"/>
            <w:bottom w:val="none" w:sz="0" w:space="0" w:color="auto"/>
            <w:right w:val="none" w:sz="0" w:space="0" w:color="auto"/>
          </w:divBdr>
        </w:div>
        <w:div w:id="611978154">
          <w:marLeft w:val="480"/>
          <w:marRight w:val="0"/>
          <w:marTop w:val="0"/>
          <w:marBottom w:val="0"/>
          <w:divBdr>
            <w:top w:val="none" w:sz="0" w:space="0" w:color="auto"/>
            <w:left w:val="none" w:sz="0" w:space="0" w:color="auto"/>
            <w:bottom w:val="none" w:sz="0" w:space="0" w:color="auto"/>
            <w:right w:val="none" w:sz="0" w:space="0" w:color="auto"/>
          </w:divBdr>
        </w:div>
        <w:div w:id="2088645540">
          <w:marLeft w:val="480"/>
          <w:marRight w:val="0"/>
          <w:marTop w:val="0"/>
          <w:marBottom w:val="0"/>
          <w:divBdr>
            <w:top w:val="none" w:sz="0" w:space="0" w:color="auto"/>
            <w:left w:val="none" w:sz="0" w:space="0" w:color="auto"/>
            <w:bottom w:val="none" w:sz="0" w:space="0" w:color="auto"/>
            <w:right w:val="none" w:sz="0" w:space="0" w:color="auto"/>
          </w:divBdr>
        </w:div>
        <w:div w:id="756561777">
          <w:marLeft w:val="480"/>
          <w:marRight w:val="0"/>
          <w:marTop w:val="0"/>
          <w:marBottom w:val="0"/>
          <w:divBdr>
            <w:top w:val="none" w:sz="0" w:space="0" w:color="auto"/>
            <w:left w:val="none" w:sz="0" w:space="0" w:color="auto"/>
            <w:bottom w:val="none" w:sz="0" w:space="0" w:color="auto"/>
            <w:right w:val="none" w:sz="0" w:space="0" w:color="auto"/>
          </w:divBdr>
        </w:div>
        <w:div w:id="241835755">
          <w:marLeft w:val="480"/>
          <w:marRight w:val="0"/>
          <w:marTop w:val="0"/>
          <w:marBottom w:val="0"/>
          <w:divBdr>
            <w:top w:val="none" w:sz="0" w:space="0" w:color="auto"/>
            <w:left w:val="none" w:sz="0" w:space="0" w:color="auto"/>
            <w:bottom w:val="none" w:sz="0" w:space="0" w:color="auto"/>
            <w:right w:val="none" w:sz="0" w:space="0" w:color="auto"/>
          </w:divBdr>
        </w:div>
        <w:div w:id="514736731">
          <w:marLeft w:val="480"/>
          <w:marRight w:val="0"/>
          <w:marTop w:val="0"/>
          <w:marBottom w:val="0"/>
          <w:divBdr>
            <w:top w:val="none" w:sz="0" w:space="0" w:color="auto"/>
            <w:left w:val="none" w:sz="0" w:space="0" w:color="auto"/>
            <w:bottom w:val="none" w:sz="0" w:space="0" w:color="auto"/>
            <w:right w:val="none" w:sz="0" w:space="0" w:color="auto"/>
          </w:divBdr>
        </w:div>
        <w:div w:id="682783652">
          <w:marLeft w:val="480"/>
          <w:marRight w:val="0"/>
          <w:marTop w:val="0"/>
          <w:marBottom w:val="0"/>
          <w:divBdr>
            <w:top w:val="none" w:sz="0" w:space="0" w:color="auto"/>
            <w:left w:val="none" w:sz="0" w:space="0" w:color="auto"/>
            <w:bottom w:val="none" w:sz="0" w:space="0" w:color="auto"/>
            <w:right w:val="none" w:sz="0" w:space="0" w:color="auto"/>
          </w:divBdr>
        </w:div>
        <w:div w:id="2362138">
          <w:marLeft w:val="480"/>
          <w:marRight w:val="0"/>
          <w:marTop w:val="0"/>
          <w:marBottom w:val="0"/>
          <w:divBdr>
            <w:top w:val="none" w:sz="0" w:space="0" w:color="auto"/>
            <w:left w:val="none" w:sz="0" w:space="0" w:color="auto"/>
            <w:bottom w:val="none" w:sz="0" w:space="0" w:color="auto"/>
            <w:right w:val="none" w:sz="0" w:space="0" w:color="auto"/>
          </w:divBdr>
        </w:div>
        <w:div w:id="1956253125">
          <w:marLeft w:val="480"/>
          <w:marRight w:val="0"/>
          <w:marTop w:val="0"/>
          <w:marBottom w:val="0"/>
          <w:divBdr>
            <w:top w:val="none" w:sz="0" w:space="0" w:color="auto"/>
            <w:left w:val="none" w:sz="0" w:space="0" w:color="auto"/>
            <w:bottom w:val="none" w:sz="0" w:space="0" w:color="auto"/>
            <w:right w:val="none" w:sz="0" w:space="0" w:color="auto"/>
          </w:divBdr>
        </w:div>
        <w:div w:id="989135625">
          <w:marLeft w:val="480"/>
          <w:marRight w:val="0"/>
          <w:marTop w:val="0"/>
          <w:marBottom w:val="0"/>
          <w:divBdr>
            <w:top w:val="none" w:sz="0" w:space="0" w:color="auto"/>
            <w:left w:val="none" w:sz="0" w:space="0" w:color="auto"/>
            <w:bottom w:val="none" w:sz="0" w:space="0" w:color="auto"/>
            <w:right w:val="none" w:sz="0" w:space="0" w:color="auto"/>
          </w:divBdr>
        </w:div>
        <w:div w:id="1730035303">
          <w:marLeft w:val="480"/>
          <w:marRight w:val="0"/>
          <w:marTop w:val="0"/>
          <w:marBottom w:val="0"/>
          <w:divBdr>
            <w:top w:val="none" w:sz="0" w:space="0" w:color="auto"/>
            <w:left w:val="none" w:sz="0" w:space="0" w:color="auto"/>
            <w:bottom w:val="none" w:sz="0" w:space="0" w:color="auto"/>
            <w:right w:val="none" w:sz="0" w:space="0" w:color="auto"/>
          </w:divBdr>
        </w:div>
        <w:div w:id="149256655">
          <w:marLeft w:val="480"/>
          <w:marRight w:val="0"/>
          <w:marTop w:val="0"/>
          <w:marBottom w:val="0"/>
          <w:divBdr>
            <w:top w:val="none" w:sz="0" w:space="0" w:color="auto"/>
            <w:left w:val="none" w:sz="0" w:space="0" w:color="auto"/>
            <w:bottom w:val="none" w:sz="0" w:space="0" w:color="auto"/>
            <w:right w:val="none" w:sz="0" w:space="0" w:color="auto"/>
          </w:divBdr>
        </w:div>
        <w:div w:id="519053248">
          <w:marLeft w:val="480"/>
          <w:marRight w:val="0"/>
          <w:marTop w:val="0"/>
          <w:marBottom w:val="0"/>
          <w:divBdr>
            <w:top w:val="none" w:sz="0" w:space="0" w:color="auto"/>
            <w:left w:val="none" w:sz="0" w:space="0" w:color="auto"/>
            <w:bottom w:val="none" w:sz="0" w:space="0" w:color="auto"/>
            <w:right w:val="none" w:sz="0" w:space="0" w:color="auto"/>
          </w:divBdr>
        </w:div>
        <w:div w:id="434449420">
          <w:marLeft w:val="480"/>
          <w:marRight w:val="0"/>
          <w:marTop w:val="0"/>
          <w:marBottom w:val="0"/>
          <w:divBdr>
            <w:top w:val="none" w:sz="0" w:space="0" w:color="auto"/>
            <w:left w:val="none" w:sz="0" w:space="0" w:color="auto"/>
            <w:bottom w:val="none" w:sz="0" w:space="0" w:color="auto"/>
            <w:right w:val="none" w:sz="0" w:space="0" w:color="auto"/>
          </w:divBdr>
        </w:div>
        <w:div w:id="1626696761">
          <w:marLeft w:val="480"/>
          <w:marRight w:val="0"/>
          <w:marTop w:val="0"/>
          <w:marBottom w:val="0"/>
          <w:divBdr>
            <w:top w:val="none" w:sz="0" w:space="0" w:color="auto"/>
            <w:left w:val="none" w:sz="0" w:space="0" w:color="auto"/>
            <w:bottom w:val="none" w:sz="0" w:space="0" w:color="auto"/>
            <w:right w:val="none" w:sz="0" w:space="0" w:color="auto"/>
          </w:divBdr>
        </w:div>
        <w:div w:id="4791442">
          <w:marLeft w:val="480"/>
          <w:marRight w:val="0"/>
          <w:marTop w:val="0"/>
          <w:marBottom w:val="0"/>
          <w:divBdr>
            <w:top w:val="none" w:sz="0" w:space="0" w:color="auto"/>
            <w:left w:val="none" w:sz="0" w:space="0" w:color="auto"/>
            <w:bottom w:val="none" w:sz="0" w:space="0" w:color="auto"/>
            <w:right w:val="none" w:sz="0" w:space="0" w:color="auto"/>
          </w:divBdr>
        </w:div>
        <w:div w:id="556864014">
          <w:marLeft w:val="480"/>
          <w:marRight w:val="0"/>
          <w:marTop w:val="0"/>
          <w:marBottom w:val="0"/>
          <w:divBdr>
            <w:top w:val="none" w:sz="0" w:space="0" w:color="auto"/>
            <w:left w:val="none" w:sz="0" w:space="0" w:color="auto"/>
            <w:bottom w:val="none" w:sz="0" w:space="0" w:color="auto"/>
            <w:right w:val="none" w:sz="0" w:space="0" w:color="auto"/>
          </w:divBdr>
        </w:div>
        <w:div w:id="632490775">
          <w:marLeft w:val="480"/>
          <w:marRight w:val="0"/>
          <w:marTop w:val="0"/>
          <w:marBottom w:val="0"/>
          <w:divBdr>
            <w:top w:val="none" w:sz="0" w:space="0" w:color="auto"/>
            <w:left w:val="none" w:sz="0" w:space="0" w:color="auto"/>
            <w:bottom w:val="none" w:sz="0" w:space="0" w:color="auto"/>
            <w:right w:val="none" w:sz="0" w:space="0" w:color="auto"/>
          </w:divBdr>
        </w:div>
        <w:div w:id="1927297977">
          <w:marLeft w:val="480"/>
          <w:marRight w:val="0"/>
          <w:marTop w:val="0"/>
          <w:marBottom w:val="0"/>
          <w:divBdr>
            <w:top w:val="none" w:sz="0" w:space="0" w:color="auto"/>
            <w:left w:val="none" w:sz="0" w:space="0" w:color="auto"/>
            <w:bottom w:val="none" w:sz="0" w:space="0" w:color="auto"/>
            <w:right w:val="none" w:sz="0" w:space="0" w:color="auto"/>
          </w:divBdr>
        </w:div>
        <w:div w:id="912934707">
          <w:marLeft w:val="480"/>
          <w:marRight w:val="0"/>
          <w:marTop w:val="0"/>
          <w:marBottom w:val="0"/>
          <w:divBdr>
            <w:top w:val="none" w:sz="0" w:space="0" w:color="auto"/>
            <w:left w:val="none" w:sz="0" w:space="0" w:color="auto"/>
            <w:bottom w:val="none" w:sz="0" w:space="0" w:color="auto"/>
            <w:right w:val="none" w:sz="0" w:space="0" w:color="auto"/>
          </w:divBdr>
        </w:div>
        <w:div w:id="159469670">
          <w:marLeft w:val="480"/>
          <w:marRight w:val="0"/>
          <w:marTop w:val="0"/>
          <w:marBottom w:val="0"/>
          <w:divBdr>
            <w:top w:val="none" w:sz="0" w:space="0" w:color="auto"/>
            <w:left w:val="none" w:sz="0" w:space="0" w:color="auto"/>
            <w:bottom w:val="none" w:sz="0" w:space="0" w:color="auto"/>
            <w:right w:val="none" w:sz="0" w:space="0" w:color="auto"/>
          </w:divBdr>
        </w:div>
        <w:div w:id="1963994046">
          <w:marLeft w:val="480"/>
          <w:marRight w:val="0"/>
          <w:marTop w:val="0"/>
          <w:marBottom w:val="0"/>
          <w:divBdr>
            <w:top w:val="none" w:sz="0" w:space="0" w:color="auto"/>
            <w:left w:val="none" w:sz="0" w:space="0" w:color="auto"/>
            <w:bottom w:val="none" w:sz="0" w:space="0" w:color="auto"/>
            <w:right w:val="none" w:sz="0" w:space="0" w:color="auto"/>
          </w:divBdr>
        </w:div>
        <w:div w:id="605776743">
          <w:marLeft w:val="480"/>
          <w:marRight w:val="0"/>
          <w:marTop w:val="0"/>
          <w:marBottom w:val="0"/>
          <w:divBdr>
            <w:top w:val="none" w:sz="0" w:space="0" w:color="auto"/>
            <w:left w:val="none" w:sz="0" w:space="0" w:color="auto"/>
            <w:bottom w:val="none" w:sz="0" w:space="0" w:color="auto"/>
            <w:right w:val="none" w:sz="0" w:space="0" w:color="auto"/>
          </w:divBdr>
        </w:div>
        <w:div w:id="1732725782">
          <w:marLeft w:val="480"/>
          <w:marRight w:val="0"/>
          <w:marTop w:val="0"/>
          <w:marBottom w:val="0"/>
          <w:divBdr>
            <w:top w:val="none" w:sz="0" w:space="0" w:color="auto"/>
            <w:left w:val="none" w:sz="0" w:space="0" w:color="auto"/>
            <w:bottom w:val="none" w:sz="0" w:space="0" w:color="auto"/>
            <w:right w:val="none" w:sz="0" w:space="0" w:color="auto"/>
          </w:divBdr>
        </w:div>
        <w:div w:id="1944914760">
          <w:marLeft w:val="480"/>
          <w:marRight w:val="0"/>
          <w:marTop w:val="0"/>
          <w:marBottom w:val="0"/>
          <w:divBdr>
            <w:top w:val="none" w:sz="0" w:space="0" w:color="auto"/>
            <w:left w:val="none" w:sz="0" w:space="0" w:color="auto"/>
            <w:bottom w:val="none" w:sz="0" w:space="0" w:color="auto"/>
            <w:right w:val="none" w:sz="0" w:space="0" w:color="auto"/>
          </w:divBdr>
        </w:div>
        <w:div w:id="1629118875">
          <w:marLeft w:val="480"/>
          <w:marRight w:val="0"/>
          <w:marTop w:val="0"/>
          <w:marBottom w:val="0"/>
          <w:divBdr>
            <w:top w:val="none" w:sz="0" w:space="0" w:color="auto"/>
            <w:left w:val="none" w:sz="0" w:space="0" w:color="auto"/>
            <w:bottom w:val="none" w:sz="0" w:space="0" w:color="auto"/>
            <w:right w:val="none" w:sz="0" w:space="0" w:color="auto"/>
          </w:divBdr>
        </w:div>
        <w:div w:id="407463158">
          <w:marLeft w:val="480"/>
          <w:marRight w:val="0"/>
          <w:marTop w:val="0"/>
          <w:marBottom w:val="0"/>
          <w:divBdr>
            <w:top w:val="none" w:sz="0" w:space="0" w:color="auto"/>
            <w:left w:val="none" w:sz="0" w:space="0" w:color="auto"/>
            <w:bottom w:val="none" w:sz="0" w:space="0" w:color="auto"/>
            <w:right w:val="none" w:sz="0" w:space="0" w:color="auto"/>
          </w:divBdr>
        </w:div>
      </w:divsChild>
    </w:div>
    <w:div w:id="1621909341">
      <w:bodyDiv w:val="1"/>
      <w:marLeft w:val="0"/>
      <w:marRight w:val="0"/>
      <w:marTop w:val="0"/>
      <w:marBottom w:val="0"/>
      <w:divBdr>
        <w:top w:val="none" w:sz="0" w:space="0" w:color="auto"/>
        <w:left w:val="none" w:sz="0" w:space="0" w:color="auto"/>
        <w:bottom w:val="none" w:sz="0" w:space="0" w:color="auto"/>
        <w:right w:val="none" w:sz="0" w:space="0" w:color="auto"/>
      </w:divBdr>
      <w:divsChild>
        <w:div w:id="893083677">
          <w:marLeft w:val="0"/>
          <w:marRight w:val="0"/>
          <w:marTop w:val="0"/>
          <w:marBottom w:val="0"/>
          <w:divBdr>
            <w:top w:val="none" w:sz="0" w:space="0" w:color="auto"/>
            <w:left w:val="none" w:sz="0" w:space="0" w:color="auto"/>
            <w:bottom w:val="none" w:sz="0" w:space="0" w:color="auto"/>
            <w:right w:val="none" w:sz="0" w:space="0" w:color="auto"/>
          </w:divBdr>
          <w:divsChild>
            <w:div w:id="1723407677">
              <w:marLeft w:val="0"/>
              <w:marRight w:val="0"/>
              <w:marTop w:val="0"/>
              <w:marBottom w:val="0"/>
              <w:divBdr>
                <w:top w:val="none" w:sz="0" w:space="0" w:color="auto"/>
                <w:left w:val="none" w:sz="0" w:space="0" w:color="auto"/>
                <w:bottom w:val="none" w:sz="0" w:space="0" w:color="auto"/>
                <w:right w:val="none" w:sz="0" w:space="0" w:color="auto"/>
              </w:divBdr>
              <w:divsChild>
                <w:div w:id="9023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53668">
      <w:bodyDiv w:val="1"/>
      <w:marLeft w:val="0"/>
      <w:marRight w:val="0"/>
      <w:marTop w:val="0"/>
      <w:marBottom w:val="0"/>
      <w:divBdr>
        <w:top w:val="none" w:sz="0" w:space="0" w:color="auto"/>
        <w:left w:val="none" w:sz="0" w:space="0" w:color="auto"/>
        <w:bottom w:val="none" w:sz="0" w:space="0" w:color="auto"/>
        <w:right w:val="none" w:sz="0" w:space="0" w:color="auto"/>
      </w:divBdr>
    </w:div>
    <w:div w:id="1681470551">
      <w:bodyDiv w:val="1"/>
      <w:marLeft w:val="0"/>
      <w:marRight w:val="0"/>
      <w:marTop w:val="0"/>
      <w:marBottom w:val="0"/>
      <w:divBdr>
        <w:top w:val="none" w:sz="0" w:space="0" w:color="auto"/>
        <w:left w:val="none" w:sz="0" w:space="0" w:color="auto"/>
        <w:bottom w:val="none" w:sz="0" w:space="0" w:color="auto"/>
        <w:right w:val="none" w:sz="0" w:space="0" w:color="auto"/>
      </w:divBdr>
      <w:divsChild>
        <w:div w:id="1650355270">
          <w:marLeft w:val="0"/>
          <w:marRight w:val="0"/>
          <w:marTop w:val="0"/>
          <w:marBottom w:val="0"/>
          <w:divBdr>
            <w:top w:val="none" w:sz="0" w:space="0" w:color="auto"/>
            <w:left w:val="none" w:sz="0" w:space="0" w:color="auto"/>
            <w:bottom w:val="none" w:sz="0" w:space="0" w:color="auto"/>
            <w:right w:val="none" w:sz="0" w:space="0" w:color="auto"/>
          </w:divBdr>
          <w:divsChild>
            <w:div w:id="1898976887">
              <w:marLeft w:val="0"/>
              <w:marRight w:val="0"/>
              <w:marTop w:val="0"/>
              <w:marBottom w:val="0"/>
              <w:divBdr>
                <w:top w:val="none" w:sz="0" w:space="0" w:color="auto"/>
                <w:left w:val="none" w:sz="0" w:space="0" w:color="auto"/>
                <w:bottom w:val="none" w:sz="0" w:space="0" w:color="auto"/>
                <w:right w:val="none" w:sz="0" w:space="0" w:color="auto"/>
              </w:divBdr>
              <w:divsChild>
                <w:div w:id="131690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4798">
      <w:bodyDiv w:val="1"/>
      <w:marLeft w:val="0"/>
      <w:marRight w:val="0"/>
      <w:marTop w:val="0"/>
      <w:marBottom w:val="0"/>
      <w:divBdr>
        <w:top w:val="none" w:sz="0" w:space="0" w:color="auto"/>
        <w:left w:val="none" w:sz="0" w:space="0" w:color="auto"/>
        <w:bottom w:val="none" w:sz="0" w:space="0" w:color="auto"/>
        <w:right w:val="none" w:sz="0" w:space="0" w:color="auto"/>
      </w:divBdr>
    </w:div>
    <w:div w:id="1730231076">
      <w:bodyDiv w:val="1"/>
      <w:marLeft w:val="0"/>
      <w:marRight w:val="0"/>
      <w:marTop w:val="0"/>
      <w:marBottom w:val="0"/>
      <w:divBdr>
        <w:top w:val="none" w:sz="0" w:space="0" w:color="auto"/>
        <w:left w:val="none" w:sz="0" w:space="0" w:color="auto"/>
        <w:bottom w:val="none" w:sz="0" w:space="0" w:color="auto"/>
        <w:right w:val="none" w:sz="0" w:space="0" w:color="auto"/>
      </w:divBdr>
    </w:div>
    <w:div w:id="1758091255">
      <w:bodyDiv w:val="1"/>
      <w:marLeft w:val="0"/>
      <w:marRight w:val="0"/>
      <w:marTop w:val="0"/>
      <w:marBottom w:val="0"/>
      <w:divBdr>
        <w:top w:val="none" w:sz="0" w:space="0" w:color="auto"/>
        <w:left w:val="none" w:sz="0" w:space="0" w:color="auto"/>
        <w:bottom w:val="none" w:sz="0" w:space="0" w:color="auto"/>
        <w:right w:val="none" w:sz="0" w:space="0" w:color="auto"/>
      </w:divBdr>
      <w:divsChild>
        <w:div w:id="514996097">
          <w:marLeft w:val="0"/>
          <w:marRight w:val="0"/>
          <w:marTop w:val="0"/>
          <w:marBottom w:val="0"/>
          <w:divBdr>
            <w:top w:val="none" w:sz="0" w:space="0" w:color="auto"/>
            <w:left w:val="none" w:sz="0" w:space="0" w:color="auto"/>
            <w:bottom w:val="none" w:sz="0" w:space="0" w:color="auto"/>
            <w:right w:val="none" w:sz="0" w:space="0" w:color="auto"/>
          </w:divBdr>
          <w:divsChild>
            <w:div w:id="2102481723">
              <w:marLeft w:val="0"/>
              <w:marRight w:val="0"/>
              <w:marTop w:val="0"/>
              <w:marBottom w:val="0"/>
              <w:divBdr>
                <w:top w:val="none" w:sz="0" w:space="0" w:color="auto"/>
                <w:left w:val="none" w:sz="0" w:space="0" w:color="auto"/>
                <w:bottom w:val="none" w:sz="0" w:space="0" w:color="auto"/>
                <w:right w:val="none" w:sz="0" w:space="0" w:color="auto"/>
              </w:divBdr>
              <w:divsChild>
                <w:div w:id="68717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02338">
      <w:bodyDiv w:val="1"/>
      <w:marLeft w:val="0"/>
      <w:marRight w:val="0"/>
      <w:marTop w:val="0"/>
      <w:marBottom w:val="0"/>
      <w:divBdr>
        <w:top w:val="none" w:sz="0" w:space="0" w:color="auto"/>
        <w:left w:val="none" w:sz="0" w:space="0" w:color="auto"/>
        <w:bottom w:val="none" w:sz="0" w:space="0" w:color="auto"/>
        <w:right w:val="none" w:sz="0" w:space="0" w:color="auto"/>
      </w:divBdr>
    </w:div>
    <w:div w:id="1812862172">
      <w:bodyDiv w:val="1"/>
      <w:marLeft w:val="0"/>
      <w:marRight w:val="0"/>
      <w:marTop w:val="0"/>
      <w:marBottom w:val="0"/>
      <w:divBdr>
        <w:top w:val="none" w:sz="0" w:space="0" w:color="auto"/>
        <w:left w:val="none" w:sz="0" w:space="0" w:color="auto"/>
        <w:bottom w:val="none" w:sz="0" w:space="0" w:color="auto"/>
        <w:right w:val="none" w:sz="0" w:space="0" w:color="auto"/>
      </w:divBdr>
      <w:divsChild>
        <w:div w:id="699553661">
          <w:marLeft w:val="0"/>
          <w:marRight w:val="0"/>
          <w:marTop w:val="0"/>
          <w:marBottom w:val="0"/>
          <w:divBdr>
            <w:top w:val="none" w:sz="0" w:space="0" w:color="auto"/>
            <w:left w:val="none" w:sz="0" w:space="0" w:color="auto"/>
            <w:bottom w:val="none" w:sz="0" w:space="0" w:color="auto"/>
            <w:right w:val="none" w:sz="0" w:space="0" w:color="auto"/>
          </w:divBdr>
          <w:divsChild>
            <w:div w:id="123742929">
              <w:marLeft w:val="0"/>
              <w:marRight w:val="0"/>
              <w:marTop w:val="0"/>
              <w:marBottom w:val="0"/>
              <w:divBdr>
                <w:top w:val="none" w:sz="0" w:space="0" w:color="auto"/>
                <w:left w:val="none" w:sz="0" w:space="0" w:color="auto"/>
                <w:bottom w:val="none" w:sz="0" w:space="0" w:color="auto"/>
                <w:right w:val="none" w:sz="0" w:space="0" w:color="auto"/>
              </w:divBdr>
              <w:divsChild>
                <w:div w:id="2476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80904">
      <w:bodyDiv w:val="1"/>
      <w:marLeft w:val="0"/>
      <w:marRight w:val="0"/>
      <w:marTop w:val="0"/>
      <w:marBottom w:val="0"/>
      <w:divBdr>
        <w:top w:val="none" w:sz="0" w:space="0" w:color="auto"/>
        <w:left w:val="none" w:sz="0" w:space="0" w:color="auto"/>
        <w:bottom w:val="none" w:sz="0" w:space="0" w:color="auto"/>
        <w:right w:val="none" w:sz="0" w:space="0" w:color="auto"/>
      </w:divBdr>
    </w:div>
    <w:div w:id="1886212904">
      <w:bodyDiv w:val="1"/>
      <w:marLeft w:val="0"/>
      <w:marRight w:val="0"/>
      <w:marTop w:val="0"/>
      <w:marBottom w:val="0"/>
      <w:divBdr>
        <w:top w:val="none" w:sz="0" w:space="0" w:color="auto"/>
        <w:left w:val="none" w:sz="0" w:space="0" w:color="auto"/>
        <w:bottom w:val="none" w:sz="0" w:space="0" w:color="auto"/>
        <w:right w:val="none" w:sz="0" w:space="0" w:color="auto"/>
      </w:divBdr>
    </w:div>
    <w:div w:id="1912502766">
      <w:bodyDiv w:val="1"/>
      <w:marLeft w:val="0"/>
      <w:marRight w:val="0"/>
      <w:marTop w:val="0"/>
      <w:marBottom w:val="0"/>
      <w:divBdr>
        <w:top w:val="none" w:sz="0" w:space="0" w:color="auto"/>
        <w:left w:val="none" w:sz="0" w:space="0" w:color="auto"/>
        <w:bottom w:val="none" w:sz="0" w:space="0" w:color="auto"/>
        <w:right w:val="none" w:sz="0" w:space="0" w:color="auto"/>
      </w:divBdr>
    </w:div>
    <w:div w:id="1923641465">
      <w:bodyDiv w:val="1"/>
      <w:marLeft w:val="0"/>
      <w:marRight w:val="0"/>
      <w:marTop w:val="0"/>
      <w:marBottom w:val="0"/>
      <w:divBdr>
        <w:top w:val="none" w:sz="0" w:space="0" w:color="auto"/>
        <w:left w:val="none" w:sz="0" w:space="0" w:color="auto"/>
        <w:bottom w:val="none" w:sz="0" w:space="0" w:color="auto"/>
        <w:right w:val="none" w:sz="0" w:space="0" w:color="auto"/>
      </w:divBdr>
      <w:divsChild>
        <w:div w:id="1594708227">
          <w:marLeft w:val="0"/>
          <w:marRight w:val="0"/>
          <w:marTop w:val="0"/>
          <w:marBottom w:val="0"/>
          <w:divBdr>
            <w:top w:val="none" w:sz="0" w:space="0" w:color="auto"/>
            <w:left w:val="none" w:sz="0" w:space="0" w:color="auto"/>
            <w:bottom w:val="none" w:sz="0" w:space="0" w:color="auto"/>
            <w:right w:val="none" w:sz="0" w:space="0" w:color="auto"/>
          </w:divBdr>
          <w:divsChild>
            <w:div w:id="1896045874">
              <w:marLeft w:val="0"/>
              <w:marRight w:val="0"/>
              <w:marTop w:val="0"/>
              <w:marBottom w:val="0"/>
              <w:divBdr>
                <w:top w:val="none" w:sz="0" w:space="0" w:color="auto"/>
                <w:left w:val="none" w:sz="0" w:space="0" w:color="auto"/>
                <w:bottom w:val="none" w:sz="0" w:space="0" w:color="auto"/>
                <w:right w:val="none" w:sz="0" w:space="0" w:color="auto"/>
              </w:divBdr>
              <w:divsChild>
                <w:div w:id="52511988">
                  <w:marLeft w:val="0"/>
                  <w:marRight w:val="0"/>
                  <w:marTop w:val="0"/>
                  <w:marBottom w:val="0"/>
                  <w:divBdr>
                    <w:top w:val="none" w:sz="0" w:space="0" w:color="auto"/>
                    <w:left w:val="none" w:sz="0" w:space="0" w:color="auto"/>
                    <w:bottom w:val="none" w:sz="0" w:space="0" w:color="auto"/>
                    <w:right w:val="none" w:sz="0" w:space="0" w:color="auto"/>
                  </w:divBdr>
                  <w:divsChild>
                    <w:div w:id="162793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804863">
      <w:bodyDiv w:val="1"/>
      <w:marLeft w:val="0"/>
      <w:marRight w:val="0"/>
      <w:marTop w:val="0"/>
      <w:marBottom w:val="0"/>
      <w:divBdr>
        <w:top w:val="none" w:sz="0" w:space="0" w:color="auto"/>
        <w:left w:val="none" w:sz="0" w:space="0" w:color="auto"/>
        <w:bottom w:val="none" w:sz="0" w:space="0" w:color="auto"/>
        <w:right w:val="none" w:sz="0" w:space="0" w:color="auto"/>
      </w:divBdr>
    </w:div>
    <w:div w:id="1958177096">
      <w:bodyDiv w:val="1"/>
      <w:marLeft w:val="0"/>
      <w:marRight w:val="0"/>
      <w:marTop w:val="0"/>
      <w:marBottom w:val="0"/>
      <w:divBdr>
        <w:top w:val="none" w:sz="0" w:space="0" w:color="auto"/>
        <w:left w:val="none" w:sz="0" w:space="0" w:color="auto"/>
        <w:bottom w:val="none" w:sz="0" w:space="0" w:color="auto"/>
        <w:right w:val="none" w:sz="0" w:space="0" w:color="auto"/>
      </w:divBdr>
      <w:divsChild>
        <w:div w:id="1274439824">
          <w:marLeft w:val="0"/>
          <w:marRight w:val="0"/>
          <w:marTop w:val="0"/>
          <w:marBottom w:val="0"/>
          <w:divBdr>
            <w:top w:val="none" w:sz="0" w:space="0" w:color="auto"/>
            <w:left w:val="none" w:sz="0" w:space="0" w:color="auto"/>
            <w:bottom w:val="none" w:sz="0" w:space="0" w:color="auto"/>
            <w:right w:val="none" w:sz="0" w:space="0" w:color="auto"/>
          </w:divBdr>
          <w:divsChild>
            <w:div w:id="46224125">
              <w:marLeft w:val="0"/>
              <w:marRight w:val="0"/>
              <w:marTop w:val="0"/>
              <w:marBottom w:val="0"/>
              <w:divBdr>
                <w:top w:val="none" w:sz="0" w:space="0" w:color="auto"/>
                <w:left w:val="none" w:sz="0" w:space="0" w:color="auto"/>
                <w:bottom w:val="none" w:sz="0" w:space="0" w:color="auto"/>
                <w:right w:val="none" w:sz="0" w:space="0" w:color="auto"/>
              </w:divBdr>
              <w:divsChild>
                <w:div w:id="298876543">
                  <w:marLeft w:val="0"/>
                  <w:marRight w:val="0"/>
                  <w:marTop w:val="0"/>
                  <w:marBottom w:val="0"/>
                  <w:divBdr>
                    <w:top w:val="none" w:sz="0" w:space="0" w:color="auto"/>
                    <w:left w:val="none" w:sz="0" w:space="0" w:color="auto"/>
                    <w:bottom w:val="none" w:sz="0" w:space="0" w:color="auto"/>
                    <w:right w:val="none" w:sz="0" w:space="0" w:color="auto"/>
                  </w:divBdr>
                  <w:divsChild>
                    <w:div w:id="188147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659718">
      <w:bodyDiv w:val="1"/>
      <w:marLeft w:val="0"/>
      <w:marRight w:val="0"/>
      <w:marTop w:val="0"/>
      <w:marBottom w:val="0"/>
      <w:divBdr>
        <w:top w:val="none" w:sz="0" w:space="0" w:color="auto"/>
        <w:left w:val="none" w:sz="0" w:space="0" w:color="auto"/>
        <w:bottom w:val="none" w:sz="0" w:space="0" w:color="auto"/>
        <w:right w:val="none" w:sz="0" w:space="0" w:color="auto"/>
      </w:divBdr>
      <w:divsChild>
        <w:div w:id="892304425">
          <w:marLeft w:val="480"/>
          <w:marRight w:val="0"/>
          <w:marTop w:val="0"/>
          <w:marBottom w:val="0"/>
          <w:divBdr>
            <w:top w:val="none" w:sz="0" w:space="0" w:color="auto"/>
            <w:left w:val="none" w:sz="0" w:space="0" w:color="auto"/>
            <w:bottom w:val="none" w:sz="0" w:space="0" w:color="auto"/>
            <w:right w:val="none" w:sz="0" w:space="0" w:color="auto"/>
          </w:divBdr>
        </w:div>
        <w:div w:id="1817527716">
          <w:marLeft w:val="480"/>
          <w:marRight w:val="0"/>
          <w:marTop w:val="0"/>
          <w:marBottom w:val="0"/>
          <w:divBdr>
            <w:top w:val="none" w:sz="0" w:space="0" w:color="auto"/>
            <w:left w:val="none" w:sz="0" w:space="0" w:color="auto"/>
            <w:bottom w:val="none" w:sz="0" w:space="0" w:color="auto"/>
            <w:right w:val="none" w:sz="0" w:space="0" w:color="auto"/>
          </w:divBdr>
        </w:div>
        <w:div w:id="1002780354">
          <w:marLeft w:val="480"/>
          <w:marRight w:val="0"/>
          <w:marTop w:val="0"/>
          <w:marBottom w:val="0"/>
          <w:divBdr>
            <w:top w:val="none" w:sz="0" w:space="0" w:color="auto"/>
            <w:left w:val="none" w:sz="0" w:space="0" w:color="auto"/>
            <w:bottom w:val="none" w:sz="0" w:space="0" w:color="auto"/>
            <w:right w:val="none" w:sz="0" w:space="0" w:color="auto"/>
          </w:divBdr>
        </w:div>
        <w:div w:id="1193299205">
          <w:marLeft w:val="480"/>
          <w:marRight w:val="0"/>
          <w:marTop w:val="0"/>
          <w:marBottom w:val="0"/>
          <w:divBdr>
            <w:top w:val="none" w:sz="0" w:space="0" w:color="auto"/>
            <w:left w:val="none" w:sz="0" w:space="0" w:color="auto"/>
            <w:bottom w:val="none" w:sz="0" w:space="0" w:color="auto"/>
            <w:right w:val="none" w:sz="0" w:space="0" w:color="auto"/>
          </w:divBdr>
        </w:div>
        <w:div w:id="1458068481">
          <w:marLeft w:val="480"/>
          <w:marRight w:val="0"/>
          <w:marTop w:val="0"/>
          <w:marBottom w:val="0"/>
          <w:divBdr>
            <w:top w:val="none" w:sz="0" w:space="0" w:color="auto"/>
            <w:left w:val="none" w:sz="0" w:space="0" w:color="auto"/>
            <w:bottom w:val="none" w:sz="0" w:space="0" w:color="auto"/>
            <w:right w:val="none" w:sz="0" w:space="0" w:color="auto"/>
          </w:divBdr>
        </w:div>
        <w:div w:id="902720130">
          <w:marLeft w:val="480"/>
          <w:marRight w:val="0"/>
          <w:marTop w:val="0"/>
          <w:marBottom w:val="0"/>
          <w:divBdr>
            <w:top w:val="none" w:sz="0" w:space="0" w:color="auto"/>
            <w:left w:val="none" w:sz="0" w:space="0" w:color="auto"/>
            <w:bottom w:val="none" w:sz="0" w:space="0" w:color="auto"/>
            <w:right w:val="none" w:sz="0" w:space="0" w:color="auto"/>
          </w:divBdr>
        </w:div>
        <w:div w:id="428160090">
          <w:marLeft w:val="480"/>
          <w:marRight w:val="0"/>
          <w:marTop w:val="0"/>
          <w:marBottom w:val="0"/>
          <w:divBdr>
            <w:top w:val="none" w:sz="0" w:space="0" w:color="auto"/>
            <w:left w:val="none" w:sz="0" w:space="0" w:color="auto"/>
            <w:bottom w:val="none" w:sz="0" w:space="0" w:color="auto"/>
            <w:right w:val="none" w:sz="0" w:space="0" w:color="auto"/>
          </w:divBdr>
        </w:div>
        <w:div w:id="1759012210">
          <w:marLeft w:val="480"/>
          <w:marRight w:val="0"/>
          <w:marTop w:val="0"/>
          <w:marBottom w:val="0"/>
          <w:divBdr>
            <w:top w:val="none" w:sz="0" w:space="0" w:color="auto"/>
            <w:left w:val="none" w:sz="0" w:space="0" w:color="auto"/>
            <w:bottom w:val="none" w:sz="0" w:space="0" w:color="auto"/>
            <w:right w:val="none" w:sz="0" w:space="0" w:color="auto"/>
          </w:divBdr>
        </w:div>
        <w:div w:id="2013414067">
          <w:marLeft w:val="480"/>
          <w:marRight w:val="0"/>
          <w:marTop w:val="0"/>
          <w:marBottom w:val="0"/>
          <w:divBdr>
            <w:top w:val="none" w:sz="0" w:space="0" w:color="auto"/>
            <w:left w:val="none" w:sz="0" w:space="0" w:color="auto"/>
            <w:bottom w:val="none" w:sz="0" w:space="0" w:color="auto"/>
            <w:right w:val="none" w:sz="0" w:space="0" w:color="auto"/>
          </w:divBdr>
        </w:div>
        <w:div w:id="1831676978">
          <w:marLeft w:val="480"/>
          <w:marRight w:val="0"/>
          <w:marTop w:val="0"/>
          <w:marBottom w:val="0"/>
          <w:divBdr>
            <w:top w:val="none" w:sz="0" w:space="0" w:color="auto"/>
            <w:left w:val="none" w:sz="0" w:space="0" w:color="auto"/>
            <w:bottom w:val="none" w:sz="0" w:space="0" w:color="auto"/>
            <w:right w:val="none" w:sz="0" w:space="0" w:color="auto"/>
          </w:divBdr>
        </w:div>
        <w:div w:id="91240807">
          <w:marLeft w:val="480"/>
          <w:marRight w:val="0"/>
          <w:marTop w:val="0"/>
          <w:marBottom w:val="0"/>
          <w:divBdr>
            <w:top w:val="none" w:sz="0" w:space="0" w:color="auto"/>
            <w:left w:val="none" w:sz="0" w:space="0" w:color="auto"/>
            <w:bottom w:val="none" w:sz="0" w:space="0" w:color="auto"/>
            <w:right w:val="none" w:sz="0" w:space="0" w:color="auto"/>
          </w:divBdr>
        </w:div>
        <w:div w:id="1192298398">
          <w:marLeft w:val="480"/>
          <w:marRight w:val="0"/>
          <w:marTop w:val="0"/>
          <w:marBottom w:val="0"/>
          <w:divBdr>
            <w:top w:val="none" w:sz="0" w:space="0" w:color="auto"/>
            <w:left w:val="none" w:sz="0" w:space="0" w:color="auto"/>
            <w:bottom w:val="none" w:sz="0" w:space="0" w:color="auto"/>
            <w:right w:val="none" w:sz="0" w:space="0" w:color="auto"/>
          </w:divBdr>
        </w:div>
        <w:div w:id="1296793569">
          <w:marLeft w:val="480"/>
          <w:marRight w:val="0"/>
          <w:marTop w:val="0"/>
          <w:marBottom w:val="0"/>
          <w:divBdr>
            <w:top w:val="none" w:sz="0" w:space="0" w:color="auto"/>
            <w:left w:val="none" w:sz="0" w:space="0" w:color="auto"/>
            <w:bottom w:val="none" w:sz="0" w:space="0" w:color="auto"/>
            <w:right w:val="none" w:sz="0" w:space="0" w:color="auto"/>
          </w:divBdr>
        </w:div>
        <w:div w:id="269972199">
          <w:marLeft w:val="480"/>
          <w:marRight w:val="0"/>
          <w:marTop w:val="0"/>
          <w:marBottom w:val="0"/>
          <w:divBdr>
            <w:top w:val="none" w:sz="0" w:space="0" w:color="auto"/>
            <w:left w:val="none" w:sz="0" w:space="0" w:color="auto"/>
            <w:bottom w:val="none" w:sz="0" w:space="0" w:color="auto"/>
            <w:right w:val="none" w:sz="0" w:space="0" w:color="auto"/>
          </w:divBdr>
        </w:div>
        <w:div w:id="760108074">
          <w:marLeft w:val="480"/>
          <w:marRight w:val="0"/>
          <w:marTop w:val="0"/>
          <w:marBottom w:val="0"/>
          <w:divBdr>
            <w:top w:val="none" w:sz="0" w:space="0" w:color="auto"/>
            <w:left w:val="none" w:sz="0" w:space="0" w:color="auto"/>
            <w:bottom w:val="none" w:sz="0" w:space="0" w:color="auto"/>
            <w:right w:val="none" w:sz="0" w:space="0" w:color="auto"/>
          </w:divBdr>
        </w:div>
        <w:div w:id="2011788432">
          <w:marLeft w:val="480"/>
          <w:marRight w:val="0"/>
          <w:marTop w:val="0"/>
          <w:marBottom w:val="0"/>
          <w:divBdr>
            <w:top w:val="none" w:sz="0" w:space="0" w:color="auto"/>
            <w:left w:val="none" w:sz="0" w:space="0" w:color="auto"/>
            <w:bottom w:val="none" w:sz="0" w:space="0" w:color="auto"/>
            <w:right w:val="none" w:sz="0" w:space="0" w:color="auto"/>
          </w:divBdr>
        </w:div>
        <w:div w:id="1391198418">
          <w:marLeft w:val="480"/>
          <w:marRight w:val="0"/>
          <w:marTop w:val="0"/>
          <w:marBottom w:val="0"/>
          <w:divBdr>
            <w:top w:val="none" w:sz="0" w:space="0" w:color="auto"/>
            <w:left w:val="none" w:sz="0" w:space="0" w:color="auto"/>
            <w:bottom w:val="none" w:sz="0" w:space="0" w:color="auto"/>
            <w:right w:val="none" w:sz="0" w:space="0" w:color="auto"/>
          </w:divBdr>
        </w:div>
        <w:div w:id="1898932120">
          <w:marLeft w:val="480"/>
          <w:marRight w:val="0"/>
          <w:marTop w:val="0"/>
          <w:marBottom w:val="0"/>
          <w:divBdr>
            <w:top w:val="none" w:sz="0" w:space="0" w:color="auto"/>
            <w:left w:val="none" w:sz="0" w:space="0" w:color="auto"/>
            <w:bottom w:val="none" w:sz="0" w:space="0" w:color="auto"/>
            <w:right w:val="none" w:sz="0" w:space="0" w:color="auto"/>
          </w:divBdr>
        </w:div>
        <w:div w:id="1766266579">
          <w:marLeft w:val="480"/>
          <w:marRight w:val="0"/>
          <w:marTop w:val="0"/>
          <w:marBottom w:val="0"/>
          <w:divBdr>
            <w:top w:val="none" w:sz="0" w:space="0" w:color="auto"/>
            <w:left w:val="none" w:sz="0" w:space="0" w:color="auto"/>
            <w:bottom w:val="none" w:sz="0" w:space="0" w:color="auto"/>
            <w:right w:val="none" w:sz="0" w:space="0" w:color="auto"/>
          </w:divBdr>
        </w:div>
        <w:div w:id="730421171">
          <w:marLeft w:val="480"/>
          <w:marRight w:val="0"/>
          <w:marTop w:val="0"/>
          <w:marBottom w:val="0"/>
          <w:divBdr>
            <w:top w:val="none" w:sz="0" w:space="0" w:color="auto"/>
            <w:left w:val="none" w:sz="0" w:space="0" w:color="auto"/>
            <w:bottom w:val="none" w:sz="0" w:space="0" w:color="auto"/>
            <w:right w:val="none" w:sz="0" w:space="0" w:color="auto"/>
          </w:divBdr>
        </w:div>
        <w:div w:id="540939459">
          <w:marLeft w:val="480"/>
          <w:marRight w:val="0"/>
          <w:marTop w:val="0"/>
          <w:marBottom w:val="0"/>
          <w:divBdr>
            <w:top w:val="none" w:sz="0" w:space="0" w:color="auto"/>
            <w:left w:val="none" w:sz="0" w:space="0" w:color="auto"/>
            <w:bottom w:val="none" w:sz="0" w:space="0" w:color="auto"/>
            <w:right w:val="none" w:sz="0" w:space="0" w:color="auto"/>
          </w:divBdr>
        </w:div>
        <w:div w:id="418408399">
          <w:marLeft w:val="480"/>
          <w:marRight w:val="0"/>
          <w:marTop w:val="0"/>
          <w:marBottom w:val="0"/>
          <w:divBdr>
            <w:top w:val="none" w:sz="0" w:space="0" w:color="auto"/>
            <w:left w:val="none" w:sz="0" w:space="0" w:color="auto"/>
            <w:bottom w:val="none" w:sz="0" w:space="0" w:color="auto"/>
            <w:right w:val="none" w:sz="0" w:space="0" w:color="auto"/>
          </w:divBdr>
        </w:div>
        <w:div w:id="649292495">
          <w:marLeft w:val="480"/>
          <w:marRight w:val="0"/>
          <w:marTop w:val="0"/>
          <w:marBottom w:val="0"/>
          <w:divBdr>
            <w:top w:val="none" w:sz="0" w:space="0" w:color="auto"/>
            <w:left w:val="none" w:sz="0" w:space="0" w:color="auto"/>
            <w:bottom w:val="none" w:sz="0" w:space="0" w:color="auto"/>
            <w:right w:val="none" w:sz="0" w:space="0" w:color="auto"/>
          </w:divBdr>
        </w:div>
        <w:div w:id="1019503002">
          <w:marLeft w:val="480"/>
          <w:marRight w:val="0"/>
          <w:marTop w:val="0"/>
          <w:marBottom w:val="0"/>
          <w:divBdr>
            <w:top w:val="none" w:sz="0" w:space="0" w:color="auto"/>
            <w:left w:val="none" w:sz="0" w:space="0" w:color="auto"/>
            <w:bottom w:val="none" w:sz="0" w:space="0" w:color="auto"/>
            <w:right w:val="none" w:sz="0" w:space="0" w:color="auto"/>
          </w:divBdr>
        </w:div>
        <w:div w:id="1700201580">
          <w:marLeft w:val="480"/>
          <w:marRight w:val="0"/>
          <w:marTop w:val="0"/>
          <w:marBottom w:val="0"/>
          <w:divBdr>
            <w:top w:val="none" w:sz="0" w:space="0" w:color="auto"/>
            <w:left w:val="none" w:sz="0" w:space="0" w:color="auto"/>
            <w:bottom w:val="none" w:sz="0" w:space="0" w:color="auto"/>
            <w:right w:val="none" w:sz="0" w:space="0" w:color="auto"/>
          </w:divBdr>
        </w:div>
        <w:div w:id="549346650">
          <w:marLeft w:val="480"/>
          <w:marRight w:val="0"/>
          <w:marTop w:val="0"/>
          <w:marBottom w:val="0"/>
          <w:divBdr>
            <w:top w:val="none" w:sz="0" w:space="0" w:color="auto"/>
            <w:left w:val="none" w:sz="0" w:space="0" w:color="auto"/>
            <w:bottom w:val="none" w:sz="0" w:space="0" w:color="auto"/>
            <w:right w:val="none" w:sz="0" w:space="0" w:color="auto"/>
          </w:divBdr>
        </w:div>
        <w:div w:id="1515874493">
          <w:marLeft w:val="480"/>
          <w:marRight w:val="0"/>
          <w:marTop w:val="0"/>
          <w:marBottom w:val="0"/>
          <w:divBdr>
            <w:top w:val="none" w:sz="0" w:space="0" w:color="auto"/>
            <w:left w:val="none" w:sz="0" w:space="0" w:color="auto"/>
            <w:bottom w:val="none" w:sz="0" w:space="0" w:color="auto"/>
            <w:right w:val="none" w:sz="0" w:space="0" w:color="auto"/>
          </w:divBdr>
        </w:div>
        <w:div w:id="1414474998">
          <w:marLeft w:val="480"/>
          <w:marRight w:val="0"/>
          <w:marTop w:val="0"/>
          <w:marBottom w:val="0"/>
          <w:divBdr>
            <w:top w:val="none" w:sz="0" w:space="0" w:color="auto"/>
            <w:left w:val="none" w:sz="0" w:space="0" w:color="auto"/>
            <w:bottom w:val="none" w:sz="0" w:space="0" w:color="auto"/>
            <w:right w:val="none" w:sz="0" w:space="0" w:color="auto"/>
          </w:divBdr>
        </w:div>
        <w:div w:id="2134908538">
          <w:marLeft w:val="480"/>
          <w:marRight w:val="0"/>
          <w:marTop w:val="0"/>
          <w:marBottom w:val="0"/>
          <w:divBdr>
            <w:top w:val="none" w:sz="0" w:space="0" w:color="auto"/>
            <w:left w:val="none" w:sz="0" w:space="0" w:color="auto"/>
            <w:bottom w:val="none" w:sz="0" w:space="0" w:color="auto"/>
            <w:right w:val="none" w:sz="0" w:space="0" w:color="auto"/>
          </w:divBdr>
        </w:div>
        <w:div w:id="1076897683">
          <w:marLeft w:val="480"/>
          <w:marRight w:val="0"/>
          <w:marTop w:val="0"/>
          <w:marBottom w:val="0"/>
          <w:divBdr>
            <w:top w:val="none" w:sz="0" w:space="0" w:color="auto"/>
            <w:left w:val="none" w:sz="0" w:space="0" w:color="auto"/>
            <w:bottom w:val="none" w:sz="0" w:space="0" w:color="auto"/>
            <w:right w:val="none" w:sz="0" w:space="0" w:color="auto"/>
          </w:divBdr>
        </w:div>
        <w:div w:id="951404376">
          <w:marLeft w:val="480"/>
          <w:marRight w:val="0"/>
          <w:marTop w:val="0"/>
          <w:marBottom w:val="0"/>
          <w:divBdr>
            <w:top w:val="none" w:sz="0" w:space="0" w:color="auto"/>
            <w:left w:val="none" w:sz="0" w:space="0" w:color="auto"/>
            <w:bottom w:val="none" w:sz="0" w:space="0" w:color="auto"/>
            <w:right w:val="none" w:sz="0" w:space="0" w:color="auto"/>
          </w:divBdr>
        </w:div>
        <w:div w:id="376007569">
          <w:marLeft w:val="480"/>
          <w:marRight w:val="0"/>
          <w:marTop w:val="0"/>
          <w:marBottom w:val="0"/>
          <w:divBdr>
            <w:top w:val="none" w:sz="0" w:space="0" w:color="auto"/>
            <w:left w:val="none" w:sz="0" w:space="0" w:color="auto"/>
            <w:bottom w:val="none" w:sz="0" w:space="0" w:color="auto"/>
            <w:right w:val="none" w:sz="0" w:space="0" w:color="auto"/>
          </w:divBdr>
        </w:div>
        <w:div w:id="1371608818">
          <w:marLeft w:val="480"/>
          <w:marRight w:val="0"/>
          <w:marTop w:val="0"/>
          <w:marBottom w:val="0"/>
          <w:divBdr>
            <w:top w:val="none" w:sz="0" w:space="0" w:color="auto"/>
            <w:left w:val="none" w:sz="0" w:space="0" w:color="auto"/>
            <w:bottom w:val="none" w:sz="0" w:space="0" w:color="auto"/>
            <w:right w:val="none" w:sz="0" w:space="0" w:color="auto"/>
          </w:divBdr>
        </w:div>
        <w:div w:id="1351908259">
          <w:marLeft w:val="480"/>
          <w:marRight w:val="0"/>
          <w:marTop w:val="0"/>
          <w:marBottom w:val="0"/>
          <w:divBdr>
            <w:top w:val="none" w:sz="0" w:space="0" w:color="auto"/>
            <w:left w:val="none" w:sz="0" w:space="0" w:color="auto"/>
            <w:bottom w:val="none" w:sz="0" w:space="0" w:color="auto"/>
            <w:right w:val="none" w:sz="0" w:space="0" w:color="auto"/>
          </w:divBdr>
        </w:div>
        <w:div w:id="1443500169">
          <w:marLeft w:val="480"/>
          <w:marRight w:val="0"/>
          <w:marTop w:val="0"/>
          <w:marBottom w:val="0"/>
          <w:divBdr>
            <w:top w:val="none" w:sz="0" w:space="0" w:color="auto"/>
            <w:left w:val="none" w:sz="0" w:space="0" w:color="auto"/>
            <w:bottom w:val="none" w:sz="0" w:space="0" w:color="auto"/>
            <w:right w:val="none" w:sz="0" w:space="0" w:color="auto"/>
          </w:divBdr>
        </w:div>
        <w:div w:id="1980306186">
          <w:marLeft w:val="480"/>
          <w:marRight w:val="0"/>
          <w:marTop w:val="0"/>
          <w:marBottom w:val="0"/>
          <w:divBdr>
            <w:top w:val="none" w:sz="0" w:space="0" w:color="auto"/>
            <w:left w:val="none" w:sz="0" w:space="0" w:color="auto"/>
            <w:bottom w:val="none" w:sz="0" w:space="0" w:color="auto"/>
            <w:right w:val="none" w:sz="0" w:space="0" w:color="auto"/>
          </w:divBdr>
        </w:div>
        <w:div w:id="1745763926">
          <w:marLeft w:val="480"/>
          <w:marRight w:val="0"/>
          <w:marTop w:val="0"/>
          <w:marBottom w:val="0"/>
          <w:divBdr>
            <w:top w:val="none" w:sz="0" w:space="0" w:color="auto"/>
            <w:left w:val="none" w:sz="0" w:space="0" w:color="auto"/>
            <w:bottom w:val="none" w:sz="0" w:space="0" w:color="auto"/>
            <w:right w:val="none" w:sz="0" w:space="0" w:color="auto"/>
          </w:divBdr>
        </w:div>
      </w:divsChild>
    </w:div>
    <w:div w:id="2019457427">
      <w:bodyDiv w:val="1"/>
      <w:marLeft w:val="0"/>
      <w:marRight w:val="0"/>
      <w:marTop w:val="0"/>
      <w:marBottom w:val="0"/>
      <w:divBdr>
        <w:top w:val="none" w:sz="0" w:space="0" w:color="auto"/>
        <w:left w:val="none" w:sz="0" w:space="0" w:color="auto"/>
        <w:bottom w:val="none" w:sz="0" w:space="0" w:color="auto"/>
        <w:right w:val="none" w:sz="0" w:space="0" w:color="auto"/>
      </w:divBdr>
      <w:divsChild>
        <w:div w:id="1605570948">
          <w:marLeft w:val="0"/>
          <w:marRight w:val="0"/>
          <w:marTop w:val="0"/>
          <w:marBottom w:val="0"/>
          <w:divBdr>
            <w:top w:val="none" w:sz="0" w:space="0" w:color="auto"/>
            <w:left w:val="none" w:sz="0" w:space="0" w:color="auto"/>
            <w:bottom w:val="none" w:sz="0" w:space="0" w:color="auto"/>
            <w:right w:val="none" w:sz="0" w:space="0" w:color="auto"/>
          </w:divBdr>
          <w:divsChild>
            <w:div w:id="698698980">
              <w:marLeft w:val="0"/>
              <w:marRight w:val="0"/>
              <w:marTop w:val="0"/>
              <w:marBottom w:val="0"/>
              <w:divBdr>
                <w:top w:val="none" w:sz="0" w:space="0" w:color="auto"/>
                <w:left w:val="none" w:sz="0" w:space="0" w:color="auto"/>
                <w:bottom w:val="none" w:sz="0" w:space="0" w:color="auto"/>
                <w:right w:val="none" w:sz="0" w:space="0" w:color="auto"/>
              </w:divBdr>
              <w:divsChild>
                <w:div w:id="66841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94191">
      <w:bodyDiv w:val="1"/>
      <w:marLeft w:val="0"/>
      <w:marRight w:val="0"/>
      <w:marTop w:val="0"/>
      <w:marBottom w:val="0"/>
      <w:divBdr>
        <w:top w:val="none" w:sz="0" w:space="0" w:color="auto"/>
        <w:left w:val="none" w:sz="0" w:space="0" w:color="auto"/>
        <w:bottom w:val="none" w:sz="0" w:space="0" w:color="auto"/>
        <w:right w:val="none" w:sz="0" w:space="0" w:color="auto"/>
      </w:divBdr>
    </w:div>
    <w:div w:id="2089617109">
      <w:bodyDiv w:val="1"/>
      <w:marLeft w:val="0"/>
      <w:marRight w:val="0"/>
      <w:marTop w:val="0"/>
      <w:marBottom w:val="0"/>
      <w:divBdr>
        <w:top w:val="none" w:sz="0" w:space="0" w:color="auto"/>
        <w:left w:val="none" w:sz="0" w:space="0" w:color="auto"/>
        <w:bottom w:val="none" w:sz="0" w:space="0" w:color="auto"/>
        <w:right w:val="none" w:sz="0" w:space="0" w:color="auto"/>
      </w:divBdr>
      <w:divsChild>
        <w:div w:id="403796519">
          <w:marLeft w:val="0"/>
          <w:marRight w:val="0"/>
          <w:marTop w:val="0"/>
          <w:marBottom w:val="0"/>
          <w:divBdr>
            <w:top w:val="none" w:sz="0" w:space="0" w:color="auto"/>
            <w:left w:val="none" w:sz="0" w:space="0" w:color="auto"/>
            <w:bottom w:val="none" w:sz="0" w:space="0" w:color="auto"/>
            <w:right w:val="none" w:sz="0" w:space="0" w:color="auto"/>
          </w:divBdr>
          <w:divsChild>
            <w:div w:id="1041442516">
              <w:marLeft w:val="0"/>
              <w:marRight w:val="0"/>
              <w:marTop w:val="0"/>
              <w:marBottom w:val="0"/>
              <w:divBdr>
                <w:top w:val="none" w:sz="0" w:space="0" w:color="auto"/>
                <w:left w:val="none" w:sz="0" w:space="0" w:color="auto"/>
                <w:bottom w:val="none" w:sz="0" w:space="0" w:color="auto"/>
                <w:right w:val="none" w:sz="0" w:space="0" w:color="auto"/>
              </w:divBdr>
              <w:divsChild>
                <w:div w:id="213956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0252">
      <w:bodyDiv w:val="1"/>
      <w:marLeft w:val="0"/>
      <w:marRight w:val="0"/>
      <w:marTop w:val="0"/>
      <w:marBottom w:val="0"/>
      <w:divBdr>
        <w:top w:val="none" w:sz="0" w:space="0" w:color="auto"/>
        <w:left w:val="none" w:sz="0" w:space="0" w:color="auto"/>
        <w:bottom w:val="none" w:sz="0" w:space="0" w:color="auto"/>
        <w:right w:val="none" w:sz="0" w:space="0" w:color="auto"/>
      </w:divBdr>
      <w:divsChild>
        <w:div w:id="1824882430">
          <w:marLeft w:val="0"/>
          <w:marRight w:val="0"/>
          <w:marTop w:val="0"/>
          <w:marBottom w:val="0"/>
          <w:divBdr>
            <w:top w:val="none" w:sz="0" w:space="0" w:color="auto"/>
            <w:left w:val="none" w:sz="0" w:space="0" w:color="auto"/>
            <w:bottom w:val="none" w:sz="0" w:space="0" w:color="auto"/>
            <w:right w:val="none" w:sz="0" w:space="0" w:color="auto"/>
          </w:divBdr>
          <w:divsChild>
            <w:div w:id="1511946551">
              <w:marLeft w:val="0"/>
              <w:marRight w:val="0"/>
              <w:marTop w:val="0"/>
              <w:marBottom w:val="0"/>
              <w:divBdr>
                <w:top w:val="none" w:sz="0" w:space="0" w:color="auto"/>
                <w:left w:val="none" w:sz="0" w:space="0" w:color="auto"/>
                <w:bottom w:val="none" w:sz="0" w:space="0" w:color="auto"/>
                <w:right w:val="none" w:sz="0" w:space="0" w:color="auto"/>
              </w:divBdr>
              <w:divsChild>
                <w:div w:id="11647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A54A73C6-8879-8A4A-899A-67A2EE189817}">
  <we:reference id="f78a3046-9e99-4300-aa2b-5814002b01a2" version="1.46.0.0" store="EXCatalog" storeType="EXCatalog"/>
  <we:alternateReferences>
    <we:reference id="WA104382081" version="1.46.0.0" store="en-US" storeType="OMEX"/>
  </we:alternateReferences>
  <we:properties>
    <we:property name="MENDELEY_CITATIONS" value="[{&quot;properties&quot;:{&quot;noteIndex&quot;:0},&quot;citationID&quot;:&quot;MENDELEY_CITATION_7c90a939-8ec1-4110-8662-3143df34cfa4&quot;,&quot;isEdited&quot;:false,&quot;citationTag&quot;:&quot;MENDELEY_CITATION_v3_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&quot;,&quot;citationItems&quot;:[{&quot;id&quot;:&quot;180c7b97-57a2-3f77-8224-28453649cdb8&quot;,&quot;isTemporary&quot;:false,&quot;itemData&quot;:{&quot;type&quot;:&quot;webpage&quot;,&quot;id&quot;:&quot;180c7b97-57a2-3f77-8224-28453649cdb8&quot;,&quot;title&quot;:&quot;ec.europa.eu&quot;,&quot;accessed&quot;:{&quot;date-parts&quot;:[[2022,5,26]]},&quot;URL&quot;:&quot;https://ec.europa.eu/clima/policies/strategies/2030_en&quot;,&quot;container-title-short&quot;:&quot;&quot;}}],&quot;manualOverride&quot;:{&quot;manualOverrideText&quot;:&quot;&quot;,&quot;isManuallyOverridden&quot;:false,&quot;citeprocText&quot;:&quot;(“Ec.Europa.Eu” 2022)&quot;}},{&quot;properties&quot;:{&quot;noteIndex&quot;:0},&quot;citationID&quot;:&quot;MENDELEY_CITATION_a721c7a5-1c67-4b5c-a6b6-af2ef176fe48&quot;,&quot;isEdited&quot;:false,&quot;citationTag&quot;:&quot;MENDELEY_CITATION_v3_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&quot;,&quot;citationItems&quot;:[{&quot;id&quot;:&quot;c91a13cf-a579-3a9f-8d62-b514774a4839&quot;,&quot;isTemporary&quot;:false,&quot;itemData&quot;:{&quot;type&quot;:&quot;article-journal&quot;,&quot;id&quot;:&quot;c91a13cf-a579-3a9f-8d62-b514774a4839&quot;,&quot;title&quot;:&quot;Business Overview on Italian Tanning Industry&quot;,&quot;author&quot;:[{&quot;family&quot;:&quot;UNIC Italian Tanneries&quot;,&quot;given&quot;:&quot;&quot;,&quot;parse-names&quot;:false,&quot;dropping-particle&quot;:&quot;&quot;,&quot;non-dropping-particle&quot;:&quot;&quot;}],&quot;issued&quot;:{&quot;date-parts&quot;:[[2020]]},&quot;container-title-short&quot;:&quot;&quot;}}],&quot;manualOverride&quot;:{&quot;manualOverrideText&quot;:&quot;&quot;,&quot;isManuallyOverridden&quot;:false,&quot;citeprocText&quot;:&quot;(UNIC Italian Tanneries 2020)&quot;}},{&quot;properties&quot;:{&quot;noteIndex&quot;:0},&quot;citationID&quot;:&quot;MENDELEY_CITATION_8acffae9-10d9-4732-aca7-367dc50f5827&quot;,&quot;isEdited&quot;:false,&quot;citationTag&quot;:&quot;MENDELEY_CITATION_v3_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&quot;,&quot;citationItems&quot;:[{&quot;id&quot;:&quot;f5f700e3-116f-32ba-af29-8aaf55307a8b&quot;,&quot;isTemporary&quot;:false,&quot;itemData&quot;:{&quot;type&quot;:&quot;article-journal&quot;,&quot;id&quot;:&quot;f5f700e3-116f-32ba-af29-8aaf55307a8b&quot;,&quot;title&quot;:&quot;Characterization of a chromium-rich tannery waste and its potential use in ceramics&quot;,&quot;author&quot;:[{&quot;family&quot;:&quot;Abreu&quot;,&quot;given&quot;:&quot;M. A.&quot;,&quot;parse-names&quot;:false,&quot;dropping-particle&quot;:&quot;&quot;,&quot;non-dropping-particle&quot;:&quot;&quot;},{&quot;family&quot;:&quot;Toffoli&quot;,&quot;given&quot;:&quot;S. M.&quot;,&quot;parse-names&quot;:false,&quot;dropping-particle&quot;:&quot;&quot;,&quot;non-dropping-particle&quot;:&quot;&quot;}],&quot;container-title&quot;:&quot;Ceramics International&quot;,&quot;DOI&quot;:&quot;10.1016/j.ceramint.2008.12.011&quot;,&quot;ISSN&quot;:&quot;02728842&quot;,&quot;issued&quot;:{&quot;date-parts&quot;:[[2009,8]]},&quot;page&quot;:&quot;2225-2234&quot;,&quot;abstract&quot;:&quot;Leather industries which promote hide stabilization by the conventional chrome-tanning process are a major source of pollution because of the resultant chromium-rich wastes. In this work, an extensive characterization of such a chromium-rich waste sludge is presented, regarding its chemical composition (XRF), crystalline phase contents (XRD), organic carbon content (TOC), thermal behavior by thermogravimetry (TG) and differential scanning calorimetry (DSC), as well as its stability under chemical attack (the concentration of important ions in the leachates being determined by capillary electrophoresis) and when submitted to temperatures as high as 1100 °C, in air. The material showed the tendency to produce some undesirable, and previously non-detected hexavalent chromium when exposed to high temperatures, but after washing off the soluble salts and the elimination of the organic matter by firing, the resultant material was succesfully tested as a ceramic pigment in a conventional glaze composition usually employed in the ceramic tile industry. © 2009 Elsevier Ltd and Techna Group S.r.l.&quot;,&quot;issue&quot;:&quot;6&quot;,&quot;volume&quot;:&quot;35&quot;,&quot;container-title-short&quot;:&quot;Ceram Int&quot;}},{&quot;id&quot;:&quot;3ae12798-7f1a-3ae6-8dc9-27319a60b32a&quot;,&quot;isTemporary&quot;:false,&quot;itemData&quot;:{&quot;type&quot;:&quot;article-journal&quot;,&quot;id&quot;:&quot;3ae12798-7f1a-3ae6-8dc9-27319a60b32a&quot;,&quot;title&quot;:&quot;Pre-treatment of tannery sludge for sustainable landfilling&quot;,&quot;author&quot;:[{&quot;family&quot;:&quot;Alibardi&quot;,&quot;given&quot;:&quot;Luca&quot;,&quot;parse-names&quot;:false,&quot;dropping-particle&quot;:&quot;&quot;,&quot;non-dropping-particle&quot;:&quot;&quot;},{&quot;family&quot;:&quot;Cossu&quot;,&quot;given&quot;:&quot;Raffaello&quot;,&quot;parse-names&quot;:false,&quot;dropping-particle&quot;:&quot;&quot;,&quot;non-dropping-particle&quot;:&quot;&quot;}],&quot;container-title&quot;:&quot;Waste Management&quot;,&quot;DOI&quot;:&quot;10.1016/j.wasman.2016.04.008&quot;,&quot;ISSN&quot;:&quot;18792456&quot;,&quot;PMID&quot;:&quot;27103400&quot;,&quot;issued&quot;:{&quot;date-parts&quot;:[[2016,6,1]]},&quot;page&quot;:&quot;202-211&quot;,&quot;abstract&quot;:&quot;The wastewater produced during tanning activities are commonly conveyed to centralised industrial wastewater treatment plants. Sludge from physical-chemical treatments (i.e. primary sedimentation) and waste activated sludge from biological treatment units are called tannery sludge. Tannery sludge is a solid waste that needs to be carefully managed and its disposal represents one of the major problems in tannery industry. Conventional treatment and disposal of tannery sludge are based mainly on incineration and landfilling. The aim of this study was to evaluate the effects of a pre-treatment process composed of aerobic stabilisation, compaction and drying, for a sustainable landfilling of tannery sludge. The process produced a reduction of volume, mass and biodegradability of treated sludge. Results also demonstrated a reduced leachability of organic and inorganic compounds from treated sludge. The pre-treatment process could allow to extend landfill life time due to lower amounts of tannery sludge to be disposed off, minimise long terms landfill emissions and obtain a state of carbon sink for tannery sludge landfilling.&quot;,&quot;publisher&quot;:&quot;Elsevier Ltd&quot;,&quot;volume&quot;:&quot;52&quot;,&quot;container-title-short&quot;:&quot;&quot;}}],&quot;manualOverride&quot;:{&quot;isManuallyOverridden&quot;:false,&quot;manualOverrideText&quot;:&quot;&quot;,&quot;citeprocText&quot;:&quot;(Abreu and Toffoli 2009; Alibardi and Cossu 2016)&quot;}},{&quot;properties&quot;:{&quot;noteIndex&quot;:0},&quot;citationID&quot;:&quot;MENDELEY_CITATION_3e4962bf-7218-4709-8270-7e24bb3439c0&quot;,&quot;isEdited&quot;:false,&quot;citationTag&quot;:&quot;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&quot;,&quot;citationItems&quot;:[{&quot;id&quot;:&quot;c36a77a3-115a-39f0-bf14-9d30d5b7e932&quot;,&quot;isTemporary&quot;:false,&quot;itemData&quot;:{&quot;type&quot;:&quot;report&quot;,&quot;id&quot;:&quot;c36a77a3-115a-39f0-bf14-9d30d5b7e932&quot;,&quot;title&quot;:&quot;Environmental and technical aspects of the utilisation of tannery sludge as a raw material for clay products&quot;,&quot;author&quot;:[{&quot;family&quot;:&quot;Basegio&quot;,&quot;given&quot;:&quot;Tania&quot;,&quot;parse-names&quot;:false,&quot;dropping-particle&quot;:&quot;&quot;,&quot;non-dropping-particle&quot;:&quot;&quot;},{&quot;family&quot;:&quot;Berutti&quot;,&quot;given&quot;:&quot;Felipe&quot;,&quot;parse-names&quot;:false,&quot;dropping-particle&quot;:&quot;&quot;,&quot;non-dropping-particle&quot;:&quot;&quot;},{&quot;family&quot;:&quot;Bernardes&quot;,&quot;given&quot;:&quot;Andreá&quot;,&quot;parse-names&quot;:false,&quot;dropping-particle&quot;:&quot;&quot;,&quot;non-dropping-particle&quot;:&quot;&quot;},{&quot;family&quot;:&quot;Pe´rez&quot;,&quot;given&quot;:&quot;Carlos&quot;,&quot;parse-names&quot;:false,&quot;dropping-particle&quot;:&quot;&quot;,&quot;non-dropping-particle&quot;:&quot;&quot;},{&quot;family&quot;:&quot;Bergmann&quot;,&quot;given&quot;:&quot;Pe´rez&quot;,&quot;parse-names&quot;:false,&quot;dropping-particle&quot;:&quot;&quot;,&quot;non-dropping-particle&quot;:&quot;&quot;}],&quot;URL&quot;:&quot;www.elsevier.com/locate/jeurceramsoc&quot;,&quot;issued&quot;:{&quot;date-parts&quot;:[[2002]]},&quot;abstract&quot;:&quot;This paper is a report on the results of a feasibility study on the immobilisation of tannery sludge by producing a ceramic product. The main purpose of this work was to test the clays used in the manufacture of a ceramic that could incorporate tannery sludge. The raw materials, tannery sludge and clay, were mixed together in different proportions. The ceramic specimens were characterised with respect to water absorption, porosity, linear shrinkage and transverse rupture strength. Leaching tests, in accord with the Brazilian and German regulations, were done on ceramic bodies made with different additions of sludge. In order to evaluate the possibility of air contamination during the firing process, preliminary studies of air emissions were carried out The mechanical properties of the samples evaluated were similar to those specified for ceramic bricks. All the leaching tests have shown that the main sludge contaminant i.e. chromium, could be immobilised within a finished ceramic product. The studies of air emissions have shown that zinc and chlorine are mainly collected from gas emissions and hence are not immobilised by the ceramic system. The study shows that the properties of the ceramic materials produced are acceptable for applications such as bricks for the building industry. #&quot;,&quot;container-title-short&quot;:&quot;&quot;}},{&quot;id&quot;:&quot;b64c822d-9fbc-3236-9db2-288e3098c793&quot;,&quot;isTemporary&quot;:false,&quot;itemData&quot;:{&quot;type&quot;:&quot;article-journal&quot;,&quot;id&quot;:&quot;b64c822d-9fbc-3236-9db2-288e3098c793&quot;,&quot;title&quot;:&quot;Synchronous detoxification and reduction treatment of tannery sludge using Cr (VI) resistant bacterial strains&quot;,&quot;author&quot;:[{&quot;family&quot;:&quot;Liu&quot;,&quot;given&quot;:&quot;Haijin&quot;,&quot;parse-names&quot;:false,&quot;dropping-particle&quot;:&quot;&quot;,&quot;non-dropping-particle&quot;:&quot;&quot;},{&quot;family&quot;:&quot;Wang&quot;,&quot;given&quot;:&quot;Yuqian&quot;,&quot;parse-names&quot;:false,&quot;dropping-particle&quot;:&quot;&quot;,&quot;non-dropping-particle&quot;:&quot;&quot;},{&quot;family&quot;:&quot;Zhang&quot;,&quot;given&quot;:&quot;Hui&quot;,&quot;parse-names&quot;:false,&quot;dropping-particle&quot;:&quot;&quot;,&quot;non-dropping-particle&quot;:&quot;&quot;},{&quot;family&quot;:&quot;Huang&quot;,&quot;given&quot;:&quot;Guangdao&quot;,&quot;parse-names&quot;:false,&quot;dropping-particle&quot;:&quot;&quot;,&quot;non-dropping-particle&quot;:&quot;&quot;},{&quot;family&quot;:&quot;Yang&quot;,&quot;given&quot;:&quot;Qingxiang&quot;,&quot;parse-names&quot;:false,&quot;dropping-particle&quot;:&quot;&quot;,&quot;non-dropping-particle&quot;:&quot;&quot;},{&quot;family&quot;:&quot;Wang&quot;,&quot;given&quot;:&quot;Yingling&quot;,&quot;parse-names&quot;:false,&quot;dropping-particle&quot;:&quot;&quot;,&quot;non-dropping-particle&quot;:&quot;&quot;}],&quot;container-title&quot;:&quot;Science of the Total Environment&quot;,&quot;DOI&quot;:&quot;10.1016/j.scitotenv.2019.06.093&quot;,&quot;ISSN&quot;:&quot;18791026&quot;,&quot;PMID&quot;:&quot;31202011&quot;,&quot;issued&quot;:{&quot;date-parts&quot;:[[2019,10,15]]},&quot;page&quot;:&quot;34-40&quot;,&quot;abstract&quot;:&quot;This investigation focused on the simultaneous decrease of tannery sludge and the reduction of its high chromium (Cr(VI)) content. This was accomplished through the addition of mixed bacterial strains that were cultured in the laboratory, subsequent to their isolation from tannery sludge. The results indicated that under anaerobic conditions, the amount of the tannery sludge was decreased by 27% with these mixed bacteria. The impacts of various parameters were explored, such as pH, processing duration, strain inoculation, and temperature. Along with the decreased volume of sludge, the Cr(VI) concentration was lowered as well. Among the isolated bacterial strains, WY601 (belonging to Stenotrophomonas sp.) demonstrated the highest Cr(VI) resistance; from an initial concentration of 300 mg L−1, the Cr(VI) level was decreased by 90% within 65 h. Hexavalent chromate reductase was found to be localized primarily within the extracellular membrane or adsorbed to its surface, and a mechanism was proposed for the removal of Cr(VI) via WY601. Further, the WY601 isolate was found to be tolerant to other toxic heavy metals. In summary, the isolated mixed bacterial strains in our study demonstrated a strong potential for the treatment of tannery sludge, as they could simultaneously decrease its volume while lowering high Cr(VI) levels.&quot;,&quot;publisher&quot;:&quot;Elsevier B.V.&quot;,&quot;volume&quot;:&quot;687&quot;,&quot;container-title-short&quot;:&quot;&quot;}},{&quot;id&quot;:&quot;72f5b615-bf79-325e-a762-4c31d8816096&quot;,&quot;isTemporary&quot;:false,&quot;itemData&quot;:{&quot;type&quot;:&quot;article-journal&quot;,&quot;id&quot;:&quot;72f5b615-bf79-325e-a762-4c31d8816096&quot;,&quot;title&quot;:&quot;Anaerobic Digestion of Secondary Tannery Sludge: Optimisation of Initial pH and Temperature and Evaluation of Kinetics&quot;,&quot;author&quot;:[{&quot;family&quot;:&quot;Mpofu&quot;,&quot;given&quot;:&quot;A. B.&quot;,&quot;parse-names&quot;:false,&quot;dropping-particle&quot;:&quot;&quot;,&quot;non-dropping-particle&quot;:&quot;&quot;},{&quot;family&quot;:&quot;Welz&quot;,&quot;given&quot;:&quot;P. J.&quot;,&quot;parse-names&quot;:false,&quot;dropping-particle&quot;:&quot;&quot;,&quot;non-dropping-particle&quot;:&quot;&quot;},{&quot;family&quot;:&quot;Oyekola&quot;,&quot;given&quot;:&quot;O. O.&quot;,&quot;parse-names&quot;:false,&quot;dropping-particle&quot;:&quot;&quot;,&quot;non-dropping-particle&quot;:&quot;&quot;}],&quot;container-title&quot;:&quot;Waste and Biomass Valorization&quot;,&quot;DOI&quot;:&quot;10.1007/s12649-018-00564-y&quot;,&quot;ISSN&quot;:&quot;1877265X&quot;,&quot;issued&quot;:{&quot;date-parts&quot;:[[2020,3,1]]},&quot;page&quot;:&quot;873-885&quot;,&quot;abstract&quot;:&quot;The feasibility of retrofitting and operating a low cost anaerobic mesophilic batch reactor for the reduction of secondary tannery sludge (STNS) produced in tannery wastewater treatment plants at varying initial reactor pH (pHin) using acclimated inoculum was demonstrated using the bio-methane potential test protocol. Temperature had a significant effect on process indicators whilst the effect of pHin was negated by the STNS’ high alkalinity and its buffering capacity offered by ammonia/ammonium speciation, eliminating the need for pH control during digestion. Furthermore, there was an insignificant and significant variation in the biodegradability (Bo) and gas yields of STNS, respectively. This nullified the need for reactor heating if gas yields were not prioritised. Nonetheless, optimum conditions (35.5–37.0 °C and pHin 6.5) yielded 200–217 mL biogas/gVS (≈ 55% CH4), 108–118 mL CH4/gVS and 69–74% VS, 54–57% TS and 47–48% COD reduction. Cumulative CH4 generations were accurately modelled using the modified Gompertz, Logistic, First order, Cone (0.828 ≤ Adj R2 ≤ 0.986) and process kinetics were determined. However, the correlations between kinetics and process parameters were mostly non-monotonic. The positive effect of temperature on A (r = 0.84) coincided with a decrease in methanogenesis rate (k) and ratio of hydrolysis and methanogenesis (K/µm) at optimum pHin signifying an inhibited steady state reactor condition.&quot;,&quot;publisher&quot;:&quot;Springer&quot;,&quot;issue&quot;:&quot;3&quot;,&quot;volume&quot;:&quot;11&quot;,&quot;container-title-short&quot;:&quot;Waste Biomass Valorization&quot;}},{&quot;id&quot;:&quot;8376c349-e8d3-3deb-948c-089ad3631826&quot;,&quot;isTemporary&quot;:false,&quot;itemData&quot;:{&quot;type&quot;:&quot;article-journal&quot;,&quot;id&quot;:&quot;8376c349-e8d3-3deb-948c-089ad3631826&quot;,&quot;title&quot;:&quot;Anaerobic co-digestion of tannery and slaughterhouse wastewater for solids reduction and resource recovery: Effect of sulfate concentration and inoculum to substrate ratio&quot;,&quot;author&quot;:[{&quot;family&quot;:&quot;Mpofu&quot;,&quot;given&quot;:&quot;Ashton B.&quot;,&quot;parse-names&quot;:false,&quot;dropping-particle&quot;:&quot;&quot;,&quot;non-dropping-particle&quot;:&quot;&quot;},{&quot;family&quot;:&quot;Kibangou&quot;,&quot;given&quot;:&quot;Victoria A.&quot;,&quot;parse-names&quot;:false,&quot;dropping-particle&quot;:&quot;&quot;,&quot;non-dropping-particle&quot;:&quot;&quot;},{&quot;family&quot;:&quot;Kaira&quot;,&quot;given&quot;:&quot;Walusungu M.&quot;,&quot;parse-names&quot;:false,&quot;dropping-particle&quot;:&quot;&quot;,&quot;non-dropping-particle&quot;:&quot;&quot;},{&quot;family&quot;:&quot;Oyekola&quot;,&quot;given&quot;:&quot;Oluwaseun O.&quot;,&quot;parse-names&quot;:false,&quot;dropping-particle&quot;:&quot;&quot;,&quot;non-dropping-particle&quot;:&quot;&quot;},{&quot;family&quot;:&quot;Welz&quot;,&quot;given&quot;:&quot;Pamela J.&quot;,&quot;parse-names&quot;:false,&quot;dropping-particle&quot;:&quot;&quot;,&quot;non-dropping-particle&quot;:&quot;&quot;}],&quot;container-title&quot;:&quot;Energies&quot;,&quot;DOI&quot;:&quot;10.3390/en14092491&quot;,&quot;ISSN&quot;:&quot;19961073&quot;,&quot;issued&quot;:{&quot;date-parts&quot;:[[2021,5,1]]},&quot;abstract&quot;:&quot;Anaerobic digestion is considered unsuitable for the bioremediation of tannery effluent due to process inhibition, mainly due to high concentrations of sulfur species, and the accumulation of H2S and/or NH3 . This study using the standardized biochemical methane potential protocol showed that efficient processing is possible with slaughterhouse wastewater, provided sufficient functional biomass is present at the start of the process and the SO42− concentration is below inhibition threshold. Methanogenic activity (K = 13.4–17.5 and µm = 0.15–0.27) and CH4 yields were high when reactors were operated ISR ≥ 3 and/or lower SO42− ≤ 710 mg/L while high SO42− ≥ 1960 mg/L and ISR &lt; 3.0 caused almost complete inhibition regardless of corresponding ISR and SO42−. The theoretical optimum operating conditions (922 mg/L SO42−, ISR = 3.72) are expected to generate 361 mL biogas/gVS, 235 mL CH4/gVS with reduction efficiencies of 27.5% VS, 27.4% TS, 75.1% TOC, 75.6% SO42−, and 41.1% COD. This implies that tannery sludge will be reduced by about 27% (dry mass) and SO42− by 76%, with a fraction of it recovered as S0 . The models displayed a perfect fit to the cumulative CH4 yields with high precision in the order Logistic &gt; Cone &gt; modified Gompertz &gt; first order.&quot;,&quot;publisher&quot;:&quot;MDPI AG&quot;,&quot;issue&quot;:&quot;9&quot;,&quot;volume&quot;:&quot;14&quot;,&quot;container-title-short&quot;:&quot;Energies (Basel)&quot;}}],&quot;manualOverride&quot;:{&quot;manualOverrideText&quot;:&quot;&quot;,&quot;isManuallyOverridden&quot;:false,&quot;citeprocText&quot;:&quot;(Basegio et al. 2002; Haijin Liu et al. 2019; A. B. Mpofu, Welz, and Oyekola 2020; Ashton B. Mpofu et al. 2021)&quot;}},{&quot;properties&quot;:{&quot;noteIndex&quot;:0},&quot;citationID&quot;:&quot;MENDELEY_CITATION_ebcfebf2-632b-422a-9c4f-0d8c4f99e740&quot;,&quot;isEdited&quot;:false,&quot;citationTag&quot;:&quot;MENDELEY_CITATION_v3_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&quot;,&quot;citationItems&quot;:[{&quot;id&quot;:&quot;97b0225a-1046-35a5-a1f2-c66d7804cb26&quot;,&quot;isTemporary&quot;:false,&quot;itemData&quot;:{&quot;type&quot;:&quot;article-journal&quot;,&quot;id&quot;:&quot;97b0225a-1046-35a5-a1f2-c66d7804cb26&quot;,&quot;title&quot;:&quot;Effect of different tannery sludge compost amendment rates on growth, biomass accumulation and yield responses of Capsicum plants&quot;,&quot;author&quot;:[{&quot;family&quot;:&quot;Silva&quot;,&quot;given&quot;:&quot;Jayara D.C.&quot;,&quot;parse-names&quot;:false,&quot;dropping-particle&quot;:&quot;&quot;,&quot;non-dropping-particle&quot;:&quot;&quot;},{&quot;family&quot;:&quot;Leal&quot;,&quot;given&quot;:&quot;Tamara T.B.&quot;,&quot;parse-names&quot;:false,&quot;dropping-particle&quot;:&quot;&quot;,&quot;non-dropping-particle&quot;:&quot;&quot;},{&quot;family&quot;:&quot;Araújo&quot;,&quot;given&quot;:&quot;Ademir S.F.&quot;,&quot;parse-names&quot;:false,&quot;dropping-particle&quot;:&quot;&quot;,&quot;non-dropping-particle&quot;:&quot;&quot;},{&quot;family&quot;:&quot;Araujo&quot;,&quot;given&quot;:&quot;Raul M.&quot;,&quot;parse-names&quot;:false,&quot;dropping-particle&quot;:&quot;&quot;,&quot;non-dropping-particle&quot;:&quot;&quot;},{&quot;family&quot;:&quot;Gomes&quot;,&quot;given&quot;:&quot;Regina L.F.&quot;,&quot;parse-names&quot;:false,&quot;dropping-particle&quot;:&quot;&quot;,&quot;non-dropping-particle&quot;:&quot;&quot;},{&quot;family&quot;:&quot;Melo&quot;,&quot;given&quot;:&quot;Wanderley J.&quot;,&quot;parse-names&quot;:false,&quot;dropping-particle&quot;:&quot;&quot;,&quot;non-dropping-particle&quot;:&quot;&quot;},{&quot;family&quot;:&quot;Singh&quot;,&quot;given&quot;:&quot;Rajeev P.&quot;,&quot;parse-names&quot;:false,&quot;dropping-particle&quot;:&quot;&quot;,&quot;non-dropping-particle&quot;:&quot;&quot;}],&quot;container-title&quot;:&quot;Waste Management&quot;,&quot;DOI&quot;:&quot;10.1016/j.wasman.2010.03.011&quot;,&quot;ISSN&quot;:&quot;0956053X&quot;,&quot;PMID&quot;:&quot;20359878&quot;,&quot;issued&quot;:{&quot;date-parts&quot;:[[2010,10]]},&quot;page&quot;:&quot;1976-1980&quot;,&quot;abstract&quot;:&quot;Composting has been recognized as one of the most cost effective and environmentally sound alternatives for organic wastes recycling from long and composted wastes have a potential to substitute inorganic fertilizers. We investigated the potential of composted tannery sludge for ornamental purposes and to examine the effects of two different composts and concentrations on ornamental Capsicum growth. The two composts were produced with tannery sludge and the composition of each compost was: compost1 of tannery sludge (C1TS) - tannery sludge+sugarcane straw and cattle manure mixed in the ratio 1:3:1 (v:v:v); compost2 of tannery sludge (C2TS) - tannery sludge+\&quot; carnauba\&quot; straw and cattle manure in the ratio 1:3:1 (v:v:v). Each compost was amended with soil at rates (% v:v) of 0%, 25%, 50%, 75% and 100% (designation hereafter as T1-T5, respectively). The number of leaves and fruits were counted, and the stem length was also measured. Chlorophyll content was recorded on three leaves of each harvested plant prior to harvest. Number of leaves and fruits, stem length, dry weight of shoot and roots did not vary significantly between the plants grown in two tannery composts. All the treatments with composted tannery sludge application (T2-T5) significantly increased the number of leaves and fruits, stem length and chlorophyll content compared with the control (T1). The chlorophyll content was higher in plants growing in the C1TS compared to C2TS. The results of the present study further suggest that Capsicum may be a good option to be grown on composted tannery amended soil. © 2010.&quot;,&quot;issue&quot;:&quot;10&quot;,&quot;volume&quot;:&quot;30&quot;,&quot;container-title-short&quot;:&quot;&quot;}},{&quot;id&quot;:&quot;e0ccb58f-c571-3911-926d-cf771920fb23&quot;,&quot;isTemporary&quot;:false,&quot;itemData&quot;:{&quot;type&quot;:&quot;article-journal&quot;,&quot;id&quot;:&quot;e0ccb58f-c571-3911-926d-cf771920fb23&quot;,&quot;title&quot;:&quot;Dual resource utilization for tannery sludge: Effects of sludge biochars (BCs) on volatile fatty acids (VFAs) production from sludge anaerobic digestion&quot;,&quot;author&quot;:[{&quot;family&quot;:&quot;Zhai&quot;,&quot;given&quot;:&quot;Shimin&quot;,&quot;parse-names&quot;:false,&quot;dropping-particle&quot;:&quot;&quot;,&quot;non-dropping-particle&quot;:&quot;&quot;},{&quot;family&quot;:&quot;Li&quot;,&quot;given&quot;:&quot;Min&quot;,&quot;parse-names&quot;:false,&quot;dropping-particle&quot;:&quot;&quot;,&quot;non-dropping-particle&quot;:&quot;&quot;},{&quot;family&quot;:&quot;Xiong&quot;,&quot;given&quot;:&quot;Yonghui&quot;,&quot;parse-names&quot;:false,&quot;dropping-particle&quot;:&quot;&quot;,&quot;non-dropping-particle&quot;:&quot;&quot;},{&quot;family&quot;:&quot;Wang&quot;,&quot;given&quot;:&quot;Dong&quot;,&quot;parse-names&quot;:false,&quot;dropping-particle&quot;:&quot;&quot;,&quot;non-dropping-particle&quot;:&quot;&quot;},{&quot;family&quot;:&quot;Fu&quot;,&quot;given&quot;:&quot;Shaohai&quot;,&quot;parse-names&quot;:false,&quot;dropping-particle&quot;:&quot;&quot;,&quot;non-dropping-particle&quot;:&quot;&quot;}],&quot;container-title&quot;:&quot;Bioresource Technology&quot;,&quot;DOI&quot;:&quot;10.1016/j.biortech.2020.123903&quot;,&quot;ISSN&quot;:&quot;18732976&quot;,&quot;PMID&quot;:&quot;32763801&quot;,&quot;issued&quot;:{&quot;date-parts&quot;:[[2020,11,1]]},&quot;abstract&quot;:&quot;Resource utilization of organic matters in tannery sludge has drawn great attention. In this paper, the influences of sludge biochars (BCs) on volatile fatty acids (VFAs) production from the anaerobic digestion of sludge supernatant (SST) were investigated. Experimental results demonstrated that the VFAs yields improved in the presence of BCs with rich functional groups. The maximum yield of VFAs was 1037.5 mg/g SCOD with the addition of BC-1 biochar (zeta potential −50.42 mV). BCs decreased ammonia nitrogen concentration, thus reducing inhibition for bacteria during the anaerobic digestion. Microbial community analysis indicated that the BCs affected microbial community structures and contributed to a favorable environment for bacteria. Especially, the BC-1 biochar with rich functional groups enhanced the relative abundance of acid-forming bacteria (Clostridiales). A dual strategy was proposed to improve the resource utilization efficiency for tannery sludge.&quot;,&quot;publisher&quot;:&quot;Elsevier Ltd&quot;,&quot;volume&quot;:&quot;316&quot;,&quot;container-title-short&quot;:&quot;Bioresour Technol&quot;}}],&quot;manualOverride&quot;:{&quot;isManuallyOverridden&quot;:false,&quot;manualOverrideText&quot;:&quot;&quot;,&quot;citeprocText&quot;:&quot;(Silva et al. 2010; Zhai et al. 2020)&quot;}},{&quot;properties&quot;:{&quot;noteIndex&quot;:0},&quot;citationID&quot;:&quot;MENDELEY_CITATION_a9fcc1fd-f047-4a6c-beb2-5a12b0fad0af&quot;,&quot;isEdited&quot;:false,&quot;citationTag&quot;:&quot;MENDELEY_CITATION_v3_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&quot;,&quot;citationItems&quot;:[{&quot;id&quot;:&quot;377739e3-c22d-3774-8926-7b8f2a1bc0bd&quot;,&quot;isTemporary&quot;:false,&quot;itemData&quot;:{&quot;type&quot;:&quot;bill&quot;,&quot;id&quot;:&quot;377739e3-c22d-3774-8926-7b8f2a1bc0bd&quot;,&quot;title&quot;:&quot;Ronchi Decree, &lt;parlamento.it/parlam/leggi/deleghe/97022dl.htm&gt; accessed 24.03.2022.&quot;,&quot;issued&quot;:{&quot;date-parts&quot;:[[1997]]},&quot;container-title-short&quot;:&quot;&quot;}}],&quot;manualOverride&quot;:{&quot;manualOverrideText&quot;:&quot;(Ronchi Decree, 1997)&quot;,&quot;isManuallyOverridden&quot;:true,&quot;citeprocText&quot;:&quot;(&lt;i&gt;Ronchi Decree, &amp;#60;parlamento.It/Parlam/Leggi/Deleghe/97022dl.Htm&amp;#62; Accessed 24.03.2022.&lt;/i&gt; 1997)&quot;}},{&quot;properties&quot;:{&quot;noteIndex&quot;:0},&quot;citationID&quot;:&quot;MENDELEY_CITATION_c52ca306-baeb-4df2-9ced-4fd39a1e0018&quot;,&quot;isEdited&quot;:false,&quot;citationTag&quot;:&quot;MENDELEY_CITATION_v3_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&quot;,&quot;citationItems&quot;:[{&quot;id&quot;:&quot;3ae12798-7f1a-3ae6-8dc9-27319a60b32a&quot;,&quot;isTemporary&quot;:false,&quot;itemData&quot;:{&quot;type&quot;:&quot;article-journal&quot;,&quot;id&quot;:&quot;3ae12798-7f1a-3ae6-8dc9-27319a60b32a&quot;,&quot;title&quot;:&quot;Pre-treatment of tannery sludge for sustainable landfilling&quot;,&quot;author&quot;:[{&quot;family&quot;:&quot;Alibardi&quot;,&quot;given&quot;:&quot;Luca&quot;,&quot;parse-names&quot;:false,&quot;dropping-particle&quot;:&quot;&quot;,&quot;non-dropping-particle&quot;:&quot;&quot;},{&quot;family&quot;:&quot;Cossu&quot;,&quot;given&quot;:&quot;Raffaello&quot;,&quot;parse-names&quot;:false,&quot;dropping-particle&quot;:&quot;&quot;,&quot;non-dropping-particle&quot;:&quot;&quot;}],&quot;container-title&quot;:&quot;Waste Management&quot;,&quot;DOI&quot;:&quot;10.1016/j.wasman.2016.04.008&quot;,&quot;ISSN&quot;:&quot;18792456&quot;,&quot;PMID&quot;:&quot;27103400&quot;,&quot;issued&quot;:{&quot;date-parts&quot;:[[2016,6,1]]},&quot;page&quot;:&quot;202-211&quot;,&quot;abstract&quot;:&quot;The wastewater produced during tanning activities are commonly conveyed to centralised industrial wastewater treatment plants. Sludge from physical-chemical treatments (i.e. primary sedimentation) and waste activated sludge from biological treatment units are called tannery sludge. Tannery sludge is a solid waste that needs to be carefully managed and its disposal represents one of the major problems in tannery industry. Conventional treatment and disposal of tannery sludge are based mainly on incineration and landfilling. The aim of this study was to evaluate the effects of a pre-treatment process composed of aerobic stabilisation, compaction and drying, for a sustainable landfilling of tannery sludge. The process produced a reduction of volume, mass and biodegradability of treated sludge. Results also demonstrated a reduced leachability of organic and inorganic compounds from treated sludge. The pre-treatment process could allow to extend landfill life time due to lower amounts of tannery sludge to be disposed off, minimise long terms landfill emissions and obtain a state of carbon sink for tannery sludge landfilling.&quot;,&quot;publisher&quot;:&quot;Elsevier Ltd&quot;,&quot;volume&quot;:&quot;52&quot;,&quot;container-title-short&quot;:&quot;&quot;}}],&quot;manualOverride&quot;:{&quot;isManuallyOverridden&quot;:false,&quot;manualOverrideText&quot;:&quot;&quot;,&quot;citeprocText&quot;:&quot;(Alibardi and Cossu 2016)&quot;}},{&quot;properties&quot;:{&quot;noteIndex&quot;:0},&quot;citationID&quot;:&quot;MENDELEY_CITATION_eb4699a1-6e5a-452d-bac6-7a8a0f3c8011&quot;,&quot;isEdited&quot;:false,&quot;citationTag&quot;:&quot;MENDELEY_CITATION_v3_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&quot;,&quot;citationItems&quot;:[{&quot;id&quot;:&quot;c1930e59-90c1-3383-89da-94d9b96aa451&quot;,&quot;isTemporary&quot;:false,&quot;itemData&quot;:{&quot;type&quot;:&quot;article-journal&quot;,&quot;id&quot;:&quot;c1930e59-90c1-3383-89da-94d9b96aa451&quot;,&quot;title&quot;:&quot;Heavy metals removal and recovery from hazardous leather sludge&quot;,&quot;author&quot;:[{&quot;family&quot;:&quot;Pietrelli&quot;,&quot;given&quot;:&quot;Loris&quot;,&quot;parse-names&quot;:false,&quot;dropping-particle&quot;:&quot;&quot;,&quot;non-dropping-particle&quot;:&quot;&quot;},{&quot;family&quot;:&quot;Ippolito&quot;,&quot;given&quot;:&quot;Nicolò M.&quot;,&quot;parse-names&quot;:false,&quot;dropping-particle&quot;:&quot;&quot;,&quot;non-dropping-particle&quot;:&quot;&quot;},{&quot;family&quot;:&quot;Reverberi&quot;,&quot;given&quot;:&quot;Andrea P.&quot;,&quot;parse-names&quot;:false,&quot;dropping-particle&quot;:&quot;&quot;,&quot;non-dropping-particle&quot;:&quot;&quot;},{&quot;family&quot;:&quot;Vocciante&quot;,&quot;given&quot;:&quot;Marco&quot;,&quot;parse-names&quot;:false,&quot;dropping-particle&quot;:&quot;&quot;,&quot;non-dropping-particle&quot;:&quot;&quot;}],&quot;container-title&quot;:&quot;Chemical Engineering Transactions&quot;,&quot;DOI&quot;:&quot;10.3303/CET1976222&quot;,&quot;ISSN&quot;:&quot;22839216&quot;,&quot;issued&quot;:{&quot;date-parts&quot;:[[2019]]},&quot;page&quot;:&quot;1327-1332&quot;,&quot;abstract&quot;:&quot;The tanning industry is one of the oldest industries in the world and is known for the production of a wide variety of toxic waste (aqueous and solid) containing chromium salts and other heavy metals. Solid waste is produced during the conversion of putrescible collagen fibres into finished non-putrescible leather products. In this process, the use of a variety of chemicals during the fleshing or trimming phases, results in different hazardous waste, such as wet blue leather, crust leather, chrome shaving, finished leather off-cuts, and unusable chrome spilt. In the present study, we deal with the treatment of these hazardous leather sludge and the recovery of heavy metals contained in them. The leather sludge was pyrolyzed in a torch plasma reactor at a temperature of 1,400-1,500 °C producing an inert solid residue. However, the high temperatures involved induce the volatilization of some metals, which condense to form hazardous dusts (21.8% Zn, 0.70% Cr, 4,080 ppm Pb and 123 ppm Cd) that have to be properly dealt with. Numerous leaching tests have been conducted to maximize the amount of the individual components solubilized from the powder. Then, different treatment strategies have been combined for the recovery of the main metals: precipitation for Pb and Zn, and adsorption on chitosan for Cd.&quot;,&quot;publisher&quot;:&quot;Italian Association of Chemical Engineering - AIDIC&quot;,&quot;volume&quot;:&quot;76&quot;,&quot;container-title-short&quot;:&quot;Chem Eng Trans&quot;}}],&quot;manualOverride&quot;:{&quot;isManuallyOverridden&quot;:false,&quot;manualOverrideText&quot;:&quot;&quot;,&quot;citeprocText&quot;:&quot;(Pietrelli et al. 2019)&quot;}},{&quot;properties&quot;:{&quot;noteIndex&quot;:0},&quot;citationID&quot;:&quot;MENDELEY_CITATION_fbea6f99-4832-49d2-b613-3e5e9e49f8cb&quot;,&quot;isEdited&quot;:false,&quot;citationTag&quot;:&quot;MENDELEY_CITATION_v3_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&quot;,&quot;citationItems&quot;:[{&quot;id&quot;:&quot;f5f700e3-116f-32ba-af29-8aaf55307a8b&quot;,&quot;isTemporary&quot;:false,&quot;itemData&quot;:{&quot;type&quot;:&quot;article-journal&quot;,&quot;id&quot;:&quot;f5f700e3-116f-32ba-af29-8aaf55307a8b&quot;,&quot;title&quot;:&quot;Characterization of a chromium-rich tannery waste and its potential use in ceramics&quot;,&quot;author&quot;:[{&quot;family&quot;:&quot;Abreu&quot;,&quot;given&quot;:&quot;M. A.&quot;,&quot;parse-names&quot;:false,&quot;dropping-particle&quot;:&quot;&quot;,&quot;non-dropping-particle&quot;:&quot;&quot;},{&quot;family&quot;:&quot;Toffoli&quot;,&quot;given&quot;:&quot;S. M.&quot;,&quot;parse-names&quot;:false,&quot;dropping-particle&quot;:&quot;&quot;,&quot;non-dropping-particle&quot;:&quot;&quot;}],&quot;container-title&quot;:&quot;Ceramics International&quot;,&quot;DOI&quot;:&quot;10.1016/j.ceramint.2008.12.011&quot;,&quot;ISSN&quot;:&quot;02728842&quot;,&quot;issued&quot;:{&quot;date-parts&quot;:[[2009,8]]},&quot;page&quot;:&quot;2225-2234&quot;,&quot;abstract&quot;:&quot;Leather industries which promote hide stabilization by the conventional chrome-tanning process are a major source of pollution because of the resultant chromium-rich wastes. In this work, an extensive characterization of such a chromium-rich waste sludge is presented, regarding its chemical composition (XRF), crystalline phase contents (XRD), organic carbon content (TOC), thermal behavior by thermogravimetry (TG) and differential scanning calorimetry (DSC), as well as its stability under chemical attack (the concentration of important ions in the leachates being determined by capillary electrophoresis) and when submitted to temperatures as high as 1100 °C, in air. The material showed the tendency to produce some undesirable, and previously non-detected hexavalent chromium when exposed to high temperatures, but after washing off the soluble salts and the elimination of the organic matter by firing, the resultant material was succesfully tested as a ceramic pigment in a conventional glaze composition usually employed in the ceramic tile industry. © 2009 Elsevier Ltd and Techna Group S.r.l.&quot;,&quot;issue&quot;:&quot;6&quot;,&quot;volume&quot;:&quot;35&quot;,&quot;container-title-short&quot;:&quot;Ceram Int&quot;}}],&quot;manualOverride&quot;:{&quot;isManuallyOverridden&quot;:false,&quot;manualOverrideText&quot;:&quot;&quot;,&quot;citeprocText&quot;:&quot;(Abreu and Toffoli 2009)&quot;}},{&quot;properties&quot;:{&quot;noteIndex&quot;:0},&quot;citationID&quot;:&quot;MENDELEY_CITATION_6c4cc41a-f8fa-4115-a5e4-ad23aa4f5aec&quot;,&quot;isEdited&quot;:false,&quot;citationTag&quot;:&quot;MENDELEY_CITATION_v3_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&quot;,&quot;citationItems&quot;:[{&quot;id&quot;:&quot;c36a77a3-115a-39f0-bf14-9d30d5b7e932&quot;,&quot;isTemporary&quot;:false,&quot;itemData&quot;:{&quot;type&quot;:&quot;report&quot;,&quot;id&quot;:&quot;c36a77a3-115a-39f0-bf14-9d30d5b7e932&quot;,&quot;title&quot;:&quot;Environmental and technical aspects of the utilisation of tannery sludge as a raw material for clay products&quot;,&quot;author&quot;:[{&quot;family&quot;:&quot;Basegio&quot;,&quot;given&quot;:&quot;Tania&quot;,&quot;parse-names&quot;:false,&quot;dropping-particle&quot;:&quot;&quot;,&quot;non-dropping-particle&quot;:&quot;&quot;},{&quot;family&quot;:&quot;Berutti&quot;,&quot;given&quot;:&quot;Felipe&quot;,&quot;parse-names&quot;:false,&quot;dropping-particle&quot;:&quot;&quot;,&quot;non-dropping-particle&quot;:&quot;&quot;},{&quot;family&quot;:&quot;Bernardes&quot;,&quot;given&quot;:&quot;Andreá&quot;,&quot;parse-names&quot;:false,&quot;dropping-particle&quot;:&quot;&quot;,&quot;non-dropping-particle&quot;:&quot;&quot;},{&quot;family&quot;:&quot;Pe´rez&quot;,&quot;given&quot;:&quot;Carlos&quot;,&quot;parse-names&quot;:false,&quot;dropping-particle&quot;:&quot;&quot;,&quot;non-dropping-particle&quot;:&quot;&quot;},{&quot;family&quot;:&quot;Bergmann&quot;,&quot;given&quot;:&quot;Pe´rez&quot;,&quot;parse-names&quot;:false,&quot;dropping-particle&quot;:&quot;&quot;,&quot;non-dropping-particle&quot;:&quot;&quot;}],&quot;URL&quot;:&quot;www.elsevier.com/locate/jeurceramsoc&quot;,&quot;issued&quot;:{&quot;date-parts&quot;:[[2002]]},&quot;abstract&quot;:&quot;This paper is a report on the results of a feasibility study on the immobilisation of tannery sludge by producing a ceramic product. The main purpose of this work was to test the clays used in the manufacture of a ceramic that could incorporate tannery sludge. The raw materials, tannery sludge and clay, were mixed together in different proportions. The ceramic specimens were characterised with respect to water absorption, porosity, linear shrinkage and transverse rupture strength. Leaching tests, in accord with the Brazilian and German regulations, were done on ceramic bodies made with different additions of sludge. In order to evaluate the possibility of air contamination during the firing process, preliminary studies of air emissions were carried out The mechanical properties of the samples evaluated were similar to those specified for ceramic bricks. All the leaching tests have shown that the main sludge contaminant i.e. chromium, could be immobilised within a finished ceramic product. The studies of air emissions have shown that zinc and chlorine are mainly collected from gas emissions and hence are not immobilised by the ceramic system. The study shows that the properties of the ceramic materials produced are acceptable for applications such as bricks for the building industry. #&quot;,&quot;container-title-short&quot;:&quot;&quot;}}],&quot;manualOverride&quot;:{&quot;isManuallyOverridden&quot;:false,&quot;manualOverrideText&quot;:&quot;&quot;,&quot;citeprocText&quot;:&quot;(Basegio et al. 2002)&quot;}},{&quot;properties&quot;:{&quot;noteIndex&quot;:0},&quot;citationID&quot;:&quot;MENDELEY_CITATION_35338586-d584-42aa-95a3-06e14e04fdfd&quot;,&quot;isEdited&quot;:false,&quot;citationTag&quot;:&quot;MENDELEY_CITATION_v3_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&quot;,&quot;citationItems&quot;:[{&quot;id&quot;:&quot;f54569fc-0b93-31f6-aa25-0baf4f7923f7&quot;,&quot;isTemporary&quot;:false,&quot;itemData&quot;:{&quot;type&quot;:&quot;article-journal&quot;,&quot;id&quot;:&quot;f54569fc-0b93-31f6-aa25-0baf4f7923f7&quot;,&quot;title&quot;:&quot;Tannery waste-derived biochar as a carrier of micronutrients essential to plants&quot;,&quot;author&quot;:[{&quot;family&quot;:&quot;Skrzypczak&quot;,&quot;given&quot;:&quot;Dawid&quot;,&quot;parse-names&quot;:false,&quot;dropping-particle&quot;:&quot;&quot;,&quot;non-dropping-particle&quot;:&quot;&quot;},{&quot;family&quot;:&quot;Szopa&quot;,&quot;given&quot;:&quot;Daniel&quot;,&quot;parse-names&quot;:false,&quot;dropping-particle&quot;:&quot;&quot;,&quot;non-dropping-particle&quot;:&quot;&quot;},{&quot;family&quot;:&quot;Mikula&quot;,&quot;given&quot;:&quot;Katarzyna&quot;,&quot;parse-names&quot;:false,&quot;dropping-particle&quot;:&quot;&quot;,&quot;non-dropping-particle&quot;:&quot;&quot;},{&quot;family&quot;:&quot;Izydorczyk&quot;,&quot;given&quot;:&quot;Grzegorz&quot;,&quot;parse-names&quot;:false,&quot;dropping-particle&quot;:&quot;&quot;,&quot;non-dropping-particle&quot;:&quot;&quot;},{&quot;family&quot;:&quot;Baśladyńska&quot;,&quot;given&quot;:&quot;Sylwia&quot;,&quot;parse-names&quot;:false,&quot;dropping-particle&quot;:&quot;&quot;,&quot;non-dropping-particle&quot;:&quot;&quot;},{&quot;family&quot;:&quot;Hoppe&quot;,&quot;given&quot;:&quot;Viktoria&quot;,&quot;parse-names&quot;:false,&quot;dropping-particle&quot;:&quot;&quot;,&quot;non-dropping-particle&quot;:&quot;&quot;},{&quot;family&quot;:&quot;Pstrowska&quot;,&quot;given&quot;:&quot;Katarzyna&quot;,&quot;parse-names&quot;:false,&quot;dropping-particle&quot;:&quot;&quot;,&quot;non-dropping-particle&quot;:&quot;&quot;},{&quot;family&quot;:&quot;Wzorek&quot;,&quot;given&quot;:&quot;Zbigniew&quot;,&quot;parse-names&quot;:false,&quot;dropping-particle&quot;:&quot;&quot;,&quot;non-dropping-particle&quot;:&quot;&quot;},{&quot;family&quot;:&quot;Kominko&quot;,&quot;given&quot;:&quot;Halyna&quot;,&quot;parse-names&quot;:false,&quot;dropping-particle&quot;:&quot;&quot;,&quot;non-dropping-particle&quot;:&quot;&quot;},{&quot;family&quot;:&quot;Kułażyński&quot;,&quot;given&quot;:&quot;Marek&quot;,&quot;parse-names&quot;:false,&quot;dropping-particle&quot;:&quot;&quot;,&quot;non-dropping-particle&quot;:&quot;&quot;},{&quot;family&quot;:&quot;Moustakas&quot;,&quot;given&quot;:&quot;Konstantinos&quot;,&quot;parse-names&quot;:false,&quot;dropping-particle&quot;:&quot;&quot;,&quot;non-dropping-particle&quot;:&quot;&quot;},{&quot;family&quot;:&quot;Chojnacka&quot;,&quot;given&quot;:&quot;Katarzyna&quot;,&quot;parse-names&quot;:false,&quot;dropping-particle&quot;:&quot;&quot;,&quot;non-dropping-particle&quot;:&quot;&quot;},{&quot;family&quot;:&quot;Witek – Krowiak&quot;,&quot;given&quot;:&quot;Anna&quot;,&quot;parse-names&quot;:false,&quot;dropping-particle&quot;:&quot;&quot;,&quot;non-dropping-particle&quot;:&quot;&quot;}],&quot;container-title&quot;:&quot;Chemosphere&quot;,&quot;DOI&quot;:&quot;10.1016/j.chemosphere.2022.133720&quot;,&quot;ISSN&quot;:&quot;18791298&quot;,&quot;PMID&quot;:&quot;35085620&quot;,&quot;issued&quot;:{&quot;date-parts&quot;:[[2022,5,1]]},&quot;abstract&quot;:&quot;The leather tannery industry generates about 33 Mt/year of solid waste with different properties, turning its management into a challenge. One of the valorization methods of tannery wastes is the production of biochar by pyrolysis of leather scratches. Biochar's sorption properties and its high nitrogen content (10%) make it suitable for its application as a soil conditioner or carrier of microelements for fertilizers. The paper presents an innovative spray method to enrich biochar with cationic micronutrients: Cu, Mn, Zn. Enriched biochar contained 1095 mg/kg Cu(II), 1334 mg/kg Mn(II) and 1205 mg/kg Zn(II). The high bioavailability of nutrients and the effectiveness of the new fertilizer were demonstrated in extraction in vitro tests - the analysis of leachability of elements to water and bioavailability of micro-nutrients. The functional properties of enriched biochar were examined in vivo (germination, pot) tests. A high biomass increase (approximately 10%) was observed compared to the group fertilized with a commercial product. The proposed solution benefits the environment in that it is made from alternative resources from which innovative fertilizers are produced according to the circular economy concept.&quot;,&quot;publisher&quot;:&quot;Elsevier Ltd&quot;,&quot;volume&quot;:&quot;294&quot;,&quot;container-title-short&quot;:&quot;Chemosphere&quot;}}],&quot;manualOverride&quot;:{&quot;isManuallyOverridden&quot;:false,&quot;manualOverrideText&quot;:&quot;&quot;,&quot;citeprocText&quot;:&quot;(Skrzypczak et al. 2022)&quot;}},{&quot;properties&quot;:{&quot;noteIndex&quot;:0},&quot;citationID&quot;:&quot;MENDELEY_CITATION_e2f49b7e-6a68-48bf-9fec-423da380f1f8&quot;,&quot;isEdited&quot;:false,&quot;citationTag&quot;:&quot;MENDELEY_CITATION_v3_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&quot;,&quot;citationItems&quot;:[{&quot;id&quot;:&quot;4ae41a2d-1443-30af-a9b9-ba70302a5f70&quot;,&quot;isTemporary&quot;:false,&quot;itemData&quot;:{&quot;type&quot;:&quot;article-journal&quot;,&quot;id&quot;:&quot;4ae41a2d-1443-30af-a9b9-ba70302a5f70&quot;,&quot;title&quot;:&quot;Enhancing volatile fatty acids (VFA) production from food waste in a two-phases pilot-scale anaerobic digestion process&quot;,&quot;author&quot;:[{&quot;family&quot;:&quot;Valentino&quot;,&quot;given&quot;:&quot;Francesco&quot;,&quot;parse-names&quot;:false,&quot;dropping-particle&quot;:&quot;&quot;,&quot;non-dropping-particle&quot;:&quot;&quot;},{&quot;family&quot;:&quot;Munarin&quot;,&quot;given&quot;:&quot;Gianluca&quot;,&quot;parse-names&quot;:false,&quot;dropping-particle&quot;:&quot;&quot;,&quot;non-dropping-particle&quot;:&quot;&quot;},{&quot;family&quot;:&quot;Biasiolo&quot;,&quot;given&quot;:&quot;Marco&quot;,&quot;parse-names&quot;:false,&quot;dropping-particle&quot;:&quot;&quot;,&quot;non-dropping-particle&quot;:&quot;&quot;},{&quot;family&quot;:&quot;Cavinato&quot;,&quot;given&quot;:&quot;Cristina&quot;,&quot;parse-names&quot;:false,&quot;dropping-particle&quot;:&quot;&quot;,&quot;non-dropping-particle&quot;:&quot;&quot;},{&quot;family&quot;:&quot;Bolzonella&quot;,&quot;given&quot;:&quot;David&quot;,&quot;parse-names&quot;:false,&quot;dropping-particle&quot;:&quot;&quot;,&quot;non-dropping-particle&quot;:&quot;&quot;},{&quot;family&quot;:&quot;Pavan&quot;,&quot;given&quot;:&quot;Paolo&quot;,&quot;parse-names&quot;:false,&quot;dropping-particle&quot;:&quot;&quot;,&quot;non-dropping-particle&quot;:&quot;&quot;}],&quot;container-title&quot;:&quot;Journal of Environmental Chemical Engineering&quot;,&quot;DOI&quot;:&quot;10.1016/j.jece.2021.106062&quot;,&quot;ISSN&quot;:&quot;22133437&quot;,&quot;issued&quot;:{&quot;date-parts&quot;:[[2021,10,1]]},&quot;abstract&quot;:&quot;The bio-based production of added-value products and energy from waste streams while minimizing environmental impacts is a crucial aspect within the circular economy's principles. A two-phases anaerobic digestion process to produce volatile fatty acids (VFA) and biogas production in an energetically feasible manner from the organic fraction of municipal solid waste (OFMSW) has been investigated. Mesophilic temperature (T) coupled to 5.0 days as hydraulic retention time (HRT) gave a VFA-rich stream with an overall concentration of 24.4 ± 0.2 g CODVFA/L, dominated by propionic and valeric acids, and high acidification yield, being VFA close to 90% of the soluble COD. The pH was maintained around 7.0 by the digestate recirculation from the second methanation reactor (HRT of 20 days) where biogas production was quantified under mesophilic and thermophilic T. The assessment of energy balance showed the benefits to carry out the second methanation stage under thermophilic condition, having more income from electricity generation without losing the thermal sustainability of the two-phases process as a whole.&quot;,&quot;publisher&quot;:&quot;Elsevier Ltd&quot;,&quot;issue&quot;:&quot;5&quot;,&quot;volume&quot;:&quot;9&quot;,&quot;container-title-short&quot;:&quot;J Environ Chem Eng&quot;}}],&quot;manualOverride&quot;:{&quot;isManuallyOverridden&quot;:false,&quot;manualOverrideText&quot;:&quot;&quot;,&quot;citeprocText&quot;:&quot;(Valentino et al. 2021)&quot;}},{&quot;properties&quot;:{&quot;noteIndex&quot;:0},&quot;citationID&quot;:&quot;MENDELEY_CITATION_d0b6b5b4-7f6c-4b45-9c44-85211b692662&quot;,&quot;isEdited&quot;:false,&quot;citationTag&quot;:&quot;MENDELEY_CITATION_v3_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&quot;,&quot;citationItems&quot;:[{&quot;id&quot;:&quot;feff41a9-fae1-3fe5-8aa2-6ebfa3e6c592&quot;,&quot;isTemporary&quot;:false,&quot;itemData&quot;:{&quot;type&quot;:&quot;article&quot;,&quot;id&quot;:&quot;feff41a9-fae1-3fe5-8aa2-6ebfa3e6c592&quot;,&quot;title&quot;:&quot;Upgrading the value of anaerobic fermentation via renewable chemicals production: A sustainable integration for circular bioeconomy&quot;,&quot;author&quot;:[{&quot;family&quot;:&quot;Naresh Kumar&quot;,&quot;given&quot;:&quot;A.&quot;,&quot;parse-names&quot;:false,&quot;dropping-particle&quot;:&quot;&quot;,&quot;non-dropping-particle&quot;:&quot;&quot;},{&quot;family&quot;:&quot;Sarkar&quot;,&quot;given&quot;:&quot;Omprakash&quot;,&quot;parse-names&quot;:false,&quot;dropping-particle&quot;:&quot;&quot;,&quot;non-dropping-particle&quot;:&quot;&quot;},{&quot;family&quot;:&quot;Chandrasekhar&quot;,&quot;given&quot;:&quot;K.&quot;,&quot;parse-names&quot;:false,&quot;dropping-particle&quot;:&quot;&quot;,&quot;non-dropping-particle&quot;:&quot;&quot;},{&quot;family&quot;:&quot;Raj&quot;,&quot;given&quot;:&quot;Tirath&quot;,&quot;parse-names&quot;:false,&quot;dropping-particle&quot;:&quot;&quot;,&quot;non-dropping-particle&quot;:&quot;&quot;},{&quot;family&quot;:&quot;Narisetty&quot;,&quot;given&quot;:&quot;Vivek&quot;,&quot;parse-names&quot;:false,&quot;dropping-particle&quot;:&quot;&quot;,&quot;non-dropping-particle&quot;:&quot;&quot;},{&quot;family&quot;:&quot;Mohan&quot;,&quot;given&quot;:&quot;S. Venkata&quot;,&quot;parse-names&quot;:false,&quot;dropping-particle&quot;:&quot;&quot;,&quot;non-dropping-particle&quot;:&quot;&quot;},{&quot;family&quot;:&quot;Pandey&quot;,&quot;given&quot;:&quot;Ashok&quot;,&quot;parse-names&quot;:false,&quot;dropping-particle&quot;:&quot;&quot;,&quot;non-dropping-particle&quot;:&quot;&quot;},{&quot;family&quot;:&quot;Varjani&quot;,&quot;given&quot;:&quot;Sunita&quot;,&quot;parse-names&quot;:false,&quot;dropping-particle&quot;:&quot;&quot;,&quot;non-dropping-particle&quot;:&quot;&quot;},{&quot;family&quot;:&quot;Kumar&quot;,&quot;given&quot;:&quot;Sunil&quot;,&quot;parse-names&quot;:false,&quot;dropping-particle&quot;:&quot;&quot;,&quot;non-dropping-particle&quot;:&quot;&quot;},{&quot;family&quot;:&quot;Sharma&quot;,&quot;given&quot;:&quot;Pooja&quot;,&quot;parse-names&quot;:false,&quot;dropping-particle&quot;:&quot;&quot;,&quot;non-dropping-particle&quot;:&quot;&quot;},{&quot;family&quot;:&quot;Jeon&quot;,&quot;given&quot;:&quot;Byong Hun&quot;,&quot;parse-names&quot;:false,&quot;dropping-particle&quot;:&quot;&quot;,&quot;non-dropping-particle&quot;:&quot;&quot;},{&quot;family&quot;:&quot;Jang&quot;,&quot;given&quot;:&quot;Min&quot;,&quot;parse-names&quot;:false,&quot;dropping-particle&quot;:&quot;&quot;,&quot;non-dropping-particle&quot;:&quot;&quot;},{&quot;family&quot;:&quot;Kim&quot;,&quot;given&quot;:&quot;Sang Hyoun&quot;,&quot;parse-names&quot;:false,&quot;dropping-particle&quot;:&quot;&quot;,&quot;non-dropping-particle&quot;:&quot;&quot;}],&quot;container-title&quot;:&quot;Science of the Total Environment&quot;,&quot;DOI&quot;:&quot;10.1016/j.scitotenv.2021.150312&quot;,&quot;ISSN&quot;:&quot;18791026&quot;,&quot;PMID&quot;:&quot;34844320&quot;,&quot;issued&quot;:{&quot;date-parts&quot;:[[2022,2,1]]},&quot;abstract&quot;:&quot;The single bioprocess approach has certain limitations in terms of process efficiency, product synthesis, and effective resource utilization. Integrated or combined bioprocessing maximizes resource recovery and creates a novel platform to establish sustainable biorefineries. Anaerobic fermentation (AF) is a well-established process for the transformation of organic waste into biogas; conversely, biogas CO2 separation is a challenging and expensive process. Biological fixation of CO2 for succinic acid (SA) mitigates CO2 separation issues and produces commercially important renewable chemicals. Additionally, utilizing digestate rich in volatile fatty acid (VFA) to produce medium-chain fatty acids (MCFAs) creates a novel integrated platform by utilizing residual organic metabolites. The present review encapsulates the advantages and limitations of AF along with biogas CO2 fixation for SA and digestate rich in VFA utilization for MCFA in a closed-loop approach. Biomethane and biohydrogen processes CO2 utilization for SA production is cohesively deliberated along with the role of biohydrogen as an alternative reducing agent to augment SA yields. Similarly, MCFA production using VFA as a substrate and functional role of electron donors namely ethanol, lactate, and hydrogen are comprehensively discussed. A road map to establish the fermentative biorefinery approach in the framework of AF integrated sustainable bioprocess development is deliberated along with limitations and factors influencing for techno-economic analysis. The discussed integrated approach significantly contributes to promote the circular bioeconomy by establishing carbon-neutral processes in accord with sustainable development goals.&quot;,&quot;publisher&quot;:&quot;Elsevier B.V.&quot;,&quot;volume&quot;:&quot;806&quot;,&quot;container-title-short&quot;:&quot;&quot;}}],&quot;manualOverride&quot;:{&quot;isManuallyOverridden&quot;:false,&quot;manualOverrideText&quot;:&quot;&quot;,&quot;citeprocText&quot;:&quot;(Naresh Kumar et al. 2022)&quot;}},{&quot;properties&quot;:{&quot;noteIndex&quot;:0},&quot;citationID&quot;:&quot;MENDELEY_CITATION_85e1e5fd-4ad8-4ace-87c4-f24fa5425bbb&quot;,&quot;isEdited&quot;:false,&quot;citationTag&quot;:&quot;MENDELEY_CITATION_v3_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&quot;,&quot;citationItems&quot;:[{&quot;id&quot;:&quot;4ae41a2d-1443-30af-a9b9-ba70302a5f70&quot;,&quot;isTemporary&quot;:false,&quot;itemData&quot;:{&quot;type&quot;:&quot;article-journal&quot;,&quot;id&quot;:&quot;4ae41a2d-1443-30af-a9b9-ba70302a5f70&quot;,&quot;title&quot;:&quot;Enhancing volatile fatty acids (VFA) production from food waste in a two-phases pilot-scale anaerobic digestion process&quot;,&quot;author&quot;:[{&quot;family&quot;:&quot;Valentino&quot;,&quot;given&quot;:&quot;Francesco&quot;,&quot;parse-names&quot;:false,&quot;dropping-particle&quot;:&quot;&quot;,&quot;non-dropping-particle&quot;:&quot;&quot;},{&quot;family&quot;:&quot;Munarin&quot;,&quot;given&quot;:&quot;Gianluca&quot;,&quot;parse-names&quot;:false,&quot;dropping-particle&quot;:&quot;&quot;,&quot;non-dropping-particle&quot;:&quot;&quot;},{&quot;family&quot;:&quot;Biasiolo&quot;,&quot;given&quot;:&quot;Marco&quot;,&quot;parse-names&quot;:false,&quot;dropping-particle&quot;:&quot;&quot;,&quot;non-dropping-particle&quot;:&quot;&quot;},{&quot;family&quot;:&quot;Cavinato&quot;,&quot;given&quot;:&quot;Cristina&quot;,&quot;parse-names&quot;:false,&quot;dropping-particle&quot;:&quot;&quot;,&quot;non-dropping-particle&quot;:&quot;&quot;},{&quot;family&quot;:&quot;Bolzonella&quot;,&quot;given&quot;:&quot;David&quot;,&quot;parse-names&quot;:false,&quot;dropping-particle&quot;:&quot;&quot;,&quot;non-dropping-particle&quot;:&quot;&quot;},{&quot;family&quot;:&quot;Pavan&quot;,&quot;given&quot;:&quot;Paolo&quot;,&quot;parse-names&quot;:false,&quot;dropping-particle&quot;:&quot;&quot;,&quot;non-dropping-particle&quot;:&quot;&quot;}],&quot;container-title&quot;:&quot;Journal of Environmental Chemical Engineering&quot;,&quot;DOI&quot;:&quot;10.1016/j.jece.2021.106062&quot;,&quot;ISSN&quot;:&quot;22133437&quot;,&quot;issued&quot;:{&quot;date-parts&quot;:[[2021,10,1]]},&quot;abstract&quot;:&quot;The bio-based production of added-value products and energy from waste streams while minimizing environmental impacts is a crucial aspect within the circular economy's principles. A two-phases anaerobic digestion process to produce volatile fatty acids (VFA) and biogas production in an energetically feasible manner from the organic fraction of municipal solid waste (OFMSW) has been investigated. Mesophilic temperature (T) coupled to 5.0 days as hydraulic retention time (HRT) gave a VFA-rich stream with an overall concentration of 24.4 ± 0.2 g CODVFA/L, dominated by propionic and valeric acids, and high acidification yield, being VFA close to 90% of the soluble COD. The pH was maintained around 7.0 by the digestate recirculation from the second methanation reactor (HRT of 20 days) where biogas production was quantified under mesophilic and thermophilic T. The assessment of energy balance showed the benefits to carry out the second methanation stage under thermophilic condition, having more income from electricity generation without losing the thermal sustainability of the two-phases process as a whole.&quot;,&quot;publisher&quot;:&quot;Elsevier Ltd&quot;,&quot;issue&quot;:&quot;5&quot;,&quot;volume&quot;:&quot;9&quot;,&quot;container-title-short&quot;:&quot;J Environ Chem Eng&quot;}}],&quot;manualOverride&quot;:{&quot;isManuallyOverridden&quot;:false,&quot;manualOverrideText&quot;:&quot;&quot;,&quot;citeprocText&quot;:&quot;(Valentino et al. 2021)&quot;}},{&quot;properties&quot;:{&quot;noteIndex&quot;:0},&quot;citationID&quot;:&quot;MENDELEY_CITATION_0cb61986-cbf1-4d95-be14-07d41e7026f8&quot;,&quot;isEdited&quot;:false,&quot;citationTag&quot;:&quot;MENDELEY_CITATION_v3_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&quot;,&quot;citationItems&quot;:[{&quot;id&quot;:&quot;e0ccb58f-c571-3911-926d-cf771920fb23&quot;,&quot;isTemporary&quot;:false,&quot;itemData&quot;:{&quot;type&quot;:&quot;article-journal&quot;,&quot;id&quot;:&quot;e0ccb58f-c571-3911-926d-cf771920fb23&quot;,&quot;title&quot;:&quot;Dual resource utilization for tannery sludge: Effects of sludge biochars (BCs) on volatile fatty acids (VFAs) production from sludge anaerobic digestion&quot;,&quot;author&quot;:[{&quot;family&quot;:&quot;Zhai&quot;,&quot;given&quot;:&quot;Shimin&quot;,&quot;parse-names&quot;:false,&quot;dropping-particle&quot;:&quot;&quot;,&quot;non-dropping-particle&quot;:&quot;&quot;},{&quot;family&quot;:&quot;Li&quot;,&quot;given&quot;:&quot;Min&quot;,&quot;parse-names&quot;:false,&quot;dropping-particle&quot;:&quot;&quot;,&quot;non-dropping-particle&quot;:&quot;&quot;},{&quot;family&quot;:&quot;Xiong&quot;,&quot;given&quot;:&quot;Yonghui&quot;,&quot;parse-names&quot;:false,&quot;dropping-particle&quot;:&quot;&quot;,&quot;non-dropping-particle&quot;:&quot;&quot;},{&quot;family&quot;:&quot;Wang&quot;,&quot;given&quot;:&quot;Dong&quot;,&quot;parse-names&quot;:false,&quot;dropping-particle&quot;:&quot;&quot;,&quot;non-dropping-particle&quot;:&quot;&quot;},{&quot;family&quot;:&quot;Fu&quot;,&quot;given&quot;:&quot;Shaohai&quot;,&quot;parse-names&quot;:false,&quot;dropping-particle&quot;:&quot;&quot;,&quot;non-dropping-particle&quot;:&quot;&quot;}],&quot;container-title&quot;:&quot;Bioresource Technology&quot;,&quot;DOI&quot;:&quot;10.1016/j.biortech.2020.123903&quot;,&quot;ISSN&quot;:&quot;18732976&quot;,&quot;PMID&quot;:&quot;32763801&quot;,&quot;issued&quot;:{&quot;date-parts&quot;:[[2020,11,1]]},&quot;abstract&quot;:&quot;Resource utilization of organic matters in tannery sludge has drawn great attention. In this paper, the influences of sludge biochars (BCs) on volatile fatty acids (VFAs) production from the anaerobic digestion of sludge supernatant (SST) were investigated. Experimental results demonstrated that the VFAs yields improved in the presence of BCs with rich functional groups. The maximum yield of VFAs was 1037.5 mg/g SCOD with the addition of BC-1 biochar (zeta potential −50.42 mV). BCs decreased ammonia nitrogen concentration, thus reducing inhibition for bacteria during the anaerobic digestion. Microbial community analysis indicated that the BCs affected microbial community structures and contributed to a favorable environment for bacteria. Especially, the BC-1 biochar with rich functional groups enhanced the relative abundance of acid-forming bacteria (Clostridiales). A dual strategy was proposed to improve the resource utilization efficiency for tannery sludge.&quot;,&quot;publisher&quot;:&quot;Elsevier Ltd&quot;,&quot;volume&quot;:&quot;316&quot;,&quot;container-title-short&quot;:&quot;Bioresour Technol&quot;}}],&quot;manualOverride&quot;:{&quot;manualOverrideText&quot;:&quot;&quot;,&quot;isManuallyOverridden&quot;:false,&quot;citeprocText&quot;:&quot;(Zhai et al. 2020)&quot;}},{&quot;properties&quot;:{&quot;noteIndex&quot;:0},&quot;citationID&quot;:&quot;MENDELEY_CITATION_b641cf12-fcaa-427d-9d40-d2c2f5fee077&quot;,&quot;isEdited&quot;:false,&quot;citationTag&quot;:&quot;MENDELEY_CITATION_v3_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&quot;,&quot;citationItems&quot;:[{&quot;id&quot;:&quot;69d0bdf5-f714-37fd-bd88-14339fe11782&quot;,&quot;isTemporary&quot;:false,&quot;itemData&quot;:{&quot;type&quot;:&quot;article-journal&quot;,&quot;id&quot;:&quot;69d0bdf5-f714-37fd-bd88-14339fe11782&quot;,&quot;title&quot;:&quot;Biological desulfurization of tannery effluent using hybrid linear flow channel reactors&quot;,&quot;author&quot;:[{&quot;family&quot;:&quot;Horn&quot;,&quot;given&quot;:&quot;Emma Jane&quot;,&quot;parse-names&quot;:false,&quot;dropping-particle&quot;:&quot;&quot;,&quot;non-dropping-particle&quot;:&quot;&quot;},{&quot;family&quot;:&quot;Oyekola&quot;,&quot;given&quot;:&quot;Oluwaseun O.&quot;,&quot;parse-names&quot;:false,&quot;dropping-particle&quot;:&quot;&quot;,&quot;non-dropping-particle&quot;:&quot;&quot;},{&quot;family&quot;:&quot;Welz&quot;,&quot;given&quot;:&quot;Pamela Jean&quot;,&quot;parse-names&quot;:false,&quot;dropping-particle&quot;:&quot;&quot;,&quot;non-dropping-particle&quot;:&quot;&quot;},{&quot;family&quot;:&quot;Hille&quot;,&quot;given&quot;:&quot;Robert Paul&quot;,&quot;parse-names&quot;:false,&quot;dropping-particle&quot;:&quot;&quot;,&quot;non-dropping-particle&quot;:&quot;van&quot;}],&quot;container-title&quot;:&quot;Water (Switzerland)&quot;,&quot;DOI&quot;:&quot;10.3390/w14010032&quot;,&quot;ISSN&quot;:&quot;20734441&quot;,&quot;issued&quot;:{&quot;date-parts&quot;:[[2022,1,1]]},&quot;abstract&quot;:&quot;The tanning process generates a saline effluent with high residual organics, sulfate and sulfide concentrations. The transition from a linear to circular economy requires reimagining of waste streams as potential resources. The organics in tannery effluent have the potential to be converted to renewable energy in the form of biogas if inhibitors to anaerobic digestion are removed. Hybrid linear flow channel reactors inoculated with culture-enriched halophilic sulfate reducing bacteria from saline environments were evaluated as a novel pretreatment step prior to anaerobic digestion for the concurrent removal of sulfur species and resource recovery (elemental sulfur and biogas). During continuous operation of a 4-day hydraulic retention time, the reactors were capable of near-complete sulfide oxidation (&gt;97%) and a sulfate reduction efficiency of 60–80% with the formation of a floating sulfur biofilm containing elemental sulfur. Batch anaerobic digestion tests showed no activity on untreated tannery effluent, while the pretreated effluent yielded 130 mL methane per gram COD consumed.&quot;,&quot;publisher&quot;:&quot;MDPI&quot;,&quot;issue&quot;:&quot;1&quot;,&quot;volume&quot;:&quot;14&quot;,&quot;container-title-short&quot;:&quot;&quot;}}],&quot;manualOverride&quot;:{&quot;isManuallyOverridden&quot;:false,&quot;manualOverrideText&quot;:&quot;&quot;,&quot;citeprocText&quot;:&quot;(Horn et al. 2022)&quot;}},{&quot;properties&quot;:{&quot;noteIndex&quot;:0},&quot;citationID&quot;:&quot;MENDELEY_CITATION_225e2d90-2639-48d7-be01-0cb762f08b31&quot;,&quot;isEdited&quot;:false,&quot;citationTag&quot;:&quot;MENDELEY_CITATION_v3_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&quot;,&quot;citationItems&quot;:[{&quot;id&quot;:&quot;ffbabfc6-1c3f-386d-b3e2-c13a4ebfb105&quot;,&quot;isTemporary&quot;:false,&quot;itemData&quot;:{&quot;type&quot;:&quot;book&quot;,&quot;id&quot;:&quot;ffbabfc6-1c3f-386d-b3e2-c13a4ebfb105&quot;,&quot;title&quot;:&quot;Industrial Waste Treatment Handbook. Cap 7 Methods for Treating Wastewater from Industry ISBN 978-0-7506-7963-3;&quot;,&quot;author&quot;:[{&quot;family&quot;:&quot;Woodard and Curran&quot;,&quot;given&quot;:&quot;&quot;,&quot;parse-names&quot;:false,&quot;dropping-particle&quot;:&quot;&quot;,&quot;non-dropping-particle&quot;:&quot;&quot;}],&quot;DOI&quot;:&quot;https://doi.org/10.1016/B978-0-7506-7963-3.X5000-0&quot;,&quot;issued&quot;:{&quot;date-parts&quot;:[[2006]]},&quot;number-of-pages&quot;:&quot;149-334&quot;,&quot;container-title-short&quot;:&quot;&quot;}}],&quot;manualOverride&quot;:{&quot;isManuallyOverridden&quot;:false,&quot;manualOverrideText&quot;:&quot;&quot;,&quot;citeprocText&quot;:&quot;(Woodard and Curran 2006)&quot;}},{&quot;properties&quot;:{&quot;noteIndex&quot;:0},&quot;citationID&quot;:&quot;MENDELEY_CITATION_4fe06e70-5e86-48ec-bfb0-350f02e77587&quot;,&quot;isEdited&quot;:false,&quot;citationTag&quot;:&quot;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&quot;,&quot;citationItems&quot;:[{&quot;id&quot;:&quot;d68f2dcb-5067-3b87-9205-57750fa32f43&quot;,&quot;isTemporary&quot;:false,&quot;itemData&quot;:{&quot;type&quot;:&quot;article&quot;,&quot;id&quot;:&quot;d68f2dcb-5067-3b87-9205-57750fa32f43&quot;,&quot;title&quot;:&quot;Application of physico-chemical pretreatment methods to enhance the sludge disintegration and subsequent anaerobic digestion: An up to date review&quot;,&quot;author&quot;:[{&quot;family&quot;:&quot;Tyagi&quot;,&quot;given&quot;:&quot;Vinay Kumar&quot;,&quot;parse-names&quot;:false,&quot;dropping-particle&quot;:&quot;&quot;,&quot;non-dropping-particle&quot;:&quot;&quot;},{&quot;family&quot;:&quot;Lo&quot;,&quot;given&quot;:&quot;Shang Lien&quot;,&quot;parse-names&quot;:false,&quot;dropping-particle&quot;:&quot;&quot;,&quot;non-dropping-particle&quot;:&quot;&quot;}],&quot;container-title&quot;:&quot;Reviews in Environmental Science and Biotechnology&quot;,&quot;DOI&quot;:&quot;10.1007/s11157-011-9244-9&quot;,&quot;ISSN&quot;:&quot;15691705&quot;,&quot;issued&quot;:{&quot;date-parts&quot;:[[2011,9]]},&quot;page&quot;:&quot;215-242&quot;,&quot;abstract&quot;:&quot;Anaerobic digestion of waste activated sludge (WAS) is most commonly used at wastewater treatment facilities to stabilize the sludge. However, poor biodegradation efficiency of sludge and longer retention times (20-30 days) are the major limitations of anaerobic digestion method, which can be overcome by disintegrate the sludge and make intracellular material readily available to anaerobic biodegradation. Several sludge disintegration techniques (Thermal, chemical and mechanical) and their combinations were studied previously in order to improve the anaerobic digestibility of sludge, reduce the sludge retention time and enhance the production of biogas. However, none of the pretreatment technique shows a real breakthrough in enhancement of anaerobic digestibility of WAS due to associated drawbacks, such as high operational and capital cost, poor sanitization and energy intensive. On the other hand, hybrid pretreatment techniques endow with promising outcomes through neutralizing the associated drawbacks with individual pretreatment techniques. Nevertheless, the research on the application of hybrid pretreatment techniques is in its infant stage, presently. Therefore, the satisfactory research in this direction can lead to policy maker and environmental protection agency to select more robust and sustainable solution for sludge treatment. This review encompasses the up-to-date information about the thermal, chemical and mechanical sludge disintegration techniques (principle, performance at lab, pilot and full scale, advantages and disadvantages). A comparative evaluation of these techniques are also presented in terms of COD solubilization, dewaterability, pathogens removal, lab/pilot/full scale application, capital and, operation and maintenance cost involved and energy requirement. © 2011 Springer Science+Business Media B.V.&quot;,&quot;issue&quot;:&quot;3&quot;,&quot;volume&quot;:&quot;10&quot;,&quot;container-title-short&quot;:&quot;Rev Environ Sci Biotechnol&quot;}},{&quot;id&quot;:&quot;203bf703-9653-3535-9145-eb56ca22b261&quot;,&quot;isTemporary&quot;:false,&quot;itemData&quot;:{&quot;type&quot;:&quot;article-journal&quot;,&quot;id&quot;:&quot;203bf703-9653-3535-9145-eb56ca22b261&quot;,&quot;title&quot;:&quot;Effect of hybrid (microwave-H2O2) feed sludge pretreatment on single and two-stage anaerobic digestion efficiency of real mixed sewage sludge&quot;,&quot;author&quot;:[{&quot;family&quot;:&quot;Ambrose&quot;,&quot;given&quot;:&quot;Herald Wilson&quot;,&quot;parse-names&quot;:false,&quot;dropping-particle&quot;:&quot;&quot;,&quot;non-dropping-particle&quot;:&quot;&quot;},{&quot;family&quot;:&quot;Chin&quot;,&quot;given&quot;:&quot;Calvin Tse Liang&quot;,&quot;parse-names&quot;:false,&quot;dropping-particle&quot;:&quot;&quot;,&quot;non-dropping-particle&quot;:&quot;&quot;},{&quot;family&quot;:&quot;Hong&quot;,&quot;given&quot;:&quot;Eugene&quot;,&quot;parse-names&quot;:false,&quot;dropping-particle&quot;:&quot;&quot;,&quot;non-dropping-particle&quot;:&quot;&quot;},{&quot;family&quot;:&quot;Philip&quot;,&quot;given&quot;:&quot;Ligy&quot;,&quot;parse-names&quot;:false,&quot;dropping-particle&quot;:&quot;&quot;,&quot;non-dropping-particle&quot;:&quot;&quot;},{&quot;family&quot;:&quot;Suraishkumar&quot;,&quot;given&quot;:&quot;G. K.&quot;,&quot;parse-names&quot;:false,&quot;dropping-particle&quot;:&quot;&quot;,&quot;non-dropping-particle&quot;:&quot;&quot;},{&quot;family&quot;:&quot;Sen&quot;,&quot;given&quot;:&quot;Tushar Kanti&quot;,&quot;parse-names&quot;:false,&quot;dropping-particle&quot;:&quot;&quot;,&quot;non-dropping-particle&quot;:&quot;&quot;},{&quot;family&quot;:&quot;Khiadani&quot;,&quot;given&quot;:&quot;Mehdi&quot;,&quot;parse-names&quot;:false,&quot;dropping-particle&quot;:&quot;&quot;,&quot;non-dropping-particle&quot;:&quot;&quot;}],&quot;container-title&quot;:&quot;Process Safety and Environmental Protection&quot;,&quot;DOI&quot;:&quot;10.1016/j.psep.2020.01.032&quot;,&quot;ISSN&quot;:&quot;09575820&quot;,&quot;issued&quot;:{&quot;date-parts&quot;:[[2020,4,1]]},&quot;page&quot;:&quot;194-202&quot;,&quot;abstract&quot;:&quot;The impacts of hybrid microwave-oxidative (MW-H2O2) feed sludge pretreatment on performance efficiency of conventional single-stage and a novel two-stage semi-continuous anaerobic digestion of mixed waste activated sludge were studied to enhance biogas production and digestate quality. Untreated two-stage anaerobic digestion (thermophilic followed by mesophilic) achieved 76.4 ml/gTCOD methane yield compared to 40.4 ml/gTCOD achieved through conventional mesophilic anaerobic digestion, with an increase in methane percentage. Application of hybrid (MW-H2O2) sludge pretreatment in the two-stage digestion enhanced initial sludge hydrolysis/solubilisation and consequently achieved 143.4 ml/gTCOD methane yield. Also, the highest methane percentage of 71 % was achieved during peak methanogenesis stage in this process. The synergetic effects of hybrid pretreatment were also confirmed by the higher release of extracellular polymeric substances. Oxidative stress exerted by the pretreatment resulted in the accumulation of superoxide radicals in the initial thermophilic phase; followed by increased sludge activity and biomethanation in the later phase of two-stage digestion. Hybrid feed sludge pretreatment in the two-stage system achieved a 73 % volatile solids reduction and more than 90 % reduction of faecal coliform. The various kinetic model parameters were determined by the application of the modified Gompertz model. These results illustrate that a novel semi-continuous two-stage anaerobic digester with hybrid feed sludge pretreatment improved sludge hydrolysis, sludge solubilisation, biogas production, sludge stabilization and reduces sludge retention time, and also achieves “class-A” biosolids by significant pathogen destruction.&quot;,&quot;publisher&quot;:&quot;Institution of Chemical Engineers&quot;,&quot;volume&quot;:&quot;136&quot;,&quot;container-title-short&quot;:&quot;&quot;}}],&quot;manualOverride&quot;:{&quot;isManuallyOverridden&quot;:false,&quot;manualOverrideText&quot;:&quot;&quot;,&quot;citeprocText&quot;:&quot;(Tyagi and Lo 2011; Ambrose et al. 2020)&quot;}},{&quot;properties&quot;:{&quot;noteIndex&quot;:0},&quot;citationID&quot;:&quot;MENDELEY_CITATION_1df2e57a-5c1e-454c-af13-e131b1157380&quot;,&quot;isEdited&quot;:false,&quot;citationTag&quot;:&quot;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&quot;,&quot;citationItems&quot;:[{&quot;id&quot;:&quot;beb514d7-bb21-3ba6-a15a-c42ca64e99ff&quot;,&quot;isTemporary&quot;:false,&quot;itemData&quot;:{&quot;type&quot;:&quot;article-journal&quot;,&quot;id&quot;:&quot;beb514d7-bb21-3ba6-a15a-c42ca64e99ff&quot;,&quot;title&quot;:&quot;Does residual H2O2 result in inhibitory effect on enhanced anaerobic digestion of sludge pretreated by microwave-H2O2 pretreatment process?&quot;,&quot;author&quot;:[{&quot;family&quot;:&quot;Liu&quot;,&quot;given&quot;:&quot;Jibao&quot;,&quot;parse-names&quot;:false,&quot;dropping-particle&quot;:&quot;&quot;,&quot;non-dropping-particle&quot;:&quot;&quot;},{&quot;family&quot;:&quot;Jia&quot;,&quot;given&quot;:&quot;Ruilai&quot;,&quot;parse-names&quot;:false,&quot;dropping-particle&quot;:&quot;&quot;,&quot;non-dropping-particle&quot;:&quot;&quot;},{&quot;family&quot;:&quot;Wang&quot;,&quot;given&quot;:&quot;Yawei&quot;,&quot;parse-names&quot;:false,&quot;dropping-particle&quot;:&quot;&quot;,&quot;non-dropping-particle&quot;:&quot;&quot;},{&quot;family&quot;:&quot;Wei&quot;,&quot;given&quot;:&quot;Yuansong&quot;,&quot;parse-names&quot;:false,&quot;dropping-particle&quot;:&quot;&quot;,&quot;non-dropping-particle&quot;:&quot;&quot;},{&quot;family&quot;:&quot;Zhang&quot;,&quot;given&quot;:&quot;Junya&quot;,&quot;parse-names&quot;:false,&quot;dropping-particle&quot;:&quot;&quot;,&quot;non-dropping-particle&quot;:&quot;&quot;},{&quot;family&quot;:&quot;Wang&quot;,&quot;given&quot;:&quot;Rui&quot;,&quot;parse-names&quot;:false,&quot;dropping-particle&quot;:&quot;&quot;,&quot;non-dropping-particle&quot;:&quot;&quot;},{&quot;family&quot;:&quot;Cai&quot;,&quot;given&quot;:&quot;Xing&quot;,&quot;parse-names&quot;:false,&quot;dropping-particle&quot;:&quot;&quot;,&quot;non-dropping-particle&quot;:&quot;&quot;}],&quot;container-title&quot;:&quot;Environmental Science and Pollution Research&quot;,&quot;DOI&quot;:&quot;10.1007/s11356-015-5704-z&quot;,&quot;ISSN&quot;:&quot;16147499&quot;,&quot;PMID&quot;:&quot;26561322&quot;,&quot;issued&quot;:{&quot;date-parts&quot;:[[2017,4,1]]},&quot;page&quot;:&quot;9016-9025&quot;,&quot;abstract&quot;:&quot;This study investigated the effects of residual H2O2 on hydrolysis-acidification and methanogenesis stages of anaerobic digestion after microwave-H2O2 (MW-H2O2) pretreatment of waste activated sludge (WAS). Results showed that high sludge solubilization at 35–45 % was achieved after pretreatment, while large amounts of residual H2O2 remained and refractory compounds were thus generated with high dosage of H2O2 (0.6 g H2O2/g total solids (TS), 1.0 g H2O2/g TS) pretreatment. The residual H2O2 not only inhibited hydrolysis-acidification stage mildly, such as hydrolase activity, but also had acute toxic effect on methanogens, resulting in long lag phase, low methane yield rate, and no increase of cumulative methane production during the 30-day BMP tests. When the low dosage of H2O2 at 0.2 g H2O2/g TS was used in MW-H2O2 pretreatment, sludge anaerobic digestion was significantly enhanced. The cumulative methane production increased by 29.02 %, but still with a lag phase of 1.0 day. With removing the residual H2O2 by catalase, the initial lag phase of hydrolysis-acidification stage decreased from 1.0 to 0.5 day.&quot;,&quot;publisher&quot;:&quot;Springer Verlag&quot;,&quot;issue&quot;:&quot;10&quot;,&quot;volume&quot;:&quot;24&quot;,&quot;container-title-short&quot;:&quot;&quot;}},{&quot;id&quot;:&quot;2d0e2a3c-b8ba-3ab5-ae1b-b8a43bcda02f&quot;,&quot;isTemporary&quot;:false,&quot;itemData&quot;:{&quot;type&quot;:&quot;article-journal&quot;,&quot;id&quot;:&quot;2d0e2a3c-b8ba-3ab5-ae1b-b8a43bcda02f&quot;,&quot;title&quot;:&quot;Effects of microwave, H2O2/MW and H2O2/heat pre-treatments on the methane production from wastewater sludges: experimental and modeling approach&quot;,&quot;author&quot;:[{&quot;family&quot;:&quot;Özön&quot;,&quot;given&quot;:&quot;Ece&quot;,&quot;parse-names&quot;:false,&quot;dropping-particle&quot;:&quot;&quot;,&quot;non-dropping-particle&quot;:&quot;&quot;},{&quot;family&quot;:&quot;Erdinçler&quot;,&quot;given&quot;:&quot;Ayşen&quot;,&quot;parse-names&quot;:false,&quot;dropping-particle&quot;:&quot;&quot;,&quot;non-dropping-particle&quot;:&quot;&quot;}],&quot;container-title&quot;:&quot;Environmental Science and Pollution Research&quot;,&quot;DOI&quot;:&quot;10.1007/s11356-019-05190-2&quot;,&quot;ISSN&quot;:&quot;16147499&quot;,&quot;PMID&quot;:&quot;31111386&quot;,&quot;issued&quot;:{&quot;date-parts&quot;:[[2019,12,1]]},&quot;page&quot;:&quot;35411-35421&quot;,&quot;abstract&quot;:&quot;The wastewater sludge stabilization by anaerobic digestion is sufficient to reduce the organic content of the sludge, so that it can be safely disposed of without causing odor problems and pathogen contamination, while producing energy in form of biogas. Efficiency of anaerobic digestion in terms of biogas/methane production and organic removal can be enhanced by pretreating the sludge prior to anaerobic digestion. This study compares the effects of microwave (MW), combined hydrogen peroxide/microwave (H2O2/MW), and combined hydrogen peroxide/heat (H2O2/heat) pre-treatments on the digestion efficiency and methane production potential of wastewater sludges. The methane productions were also estimated by using modified Gompertz equation through the calculation of the kinetic parameters. The pre-treatments applied to sludge samples speeded up the hydrolysis step and improved the biodegradability of the organics by increasing their solubility. Application of MW, combined H2O2/MW, and combined H2O2/heat pre-treatments increased the methane yields by 64%, 38%, and 19%. The modified Gompertz model fitted well to the experimental results (R2 of 0.999, 0.983, 0.997, and 0.998 for control, MW, H2O2/MW, and H2O2/heat, respectively).&quot;,&quot;publisher&quot;:&quot;Springer&quot;,&quot;issue&quot;:&quot;35&quot;,&quot;volume&quot;:&quot;26&quot;,&quot;container-title-short&quot;:&quot;&quot;}},{&quot;id&quot;:&quot;203bf703-9653-3535-9145-eb56ca22b261&quot;,&quot;isTemporary&quot;:false,&quot;itemData&quot;:{&quot;type&quot;:&quot;article-journal&quot;,&quot;id&quot;:&quot;203bf703-9653-3535-9145-eb56ca22b261&quot;,&quot;title&quot;:&quot;Effect of hybrid (microwave-H2O2) feed sludge pretreatment on single and two-stage anaerobic digestion efficiency of real mixed sewage sludge&quot;,&quot;author&quot;:[{&quot;family&quot;:&quot;Ambrose&quot;,&quot;given&quot;:&quot;Herald Wilson&quot;,&quot;parse-names&quot;:false,&quot;dropping-particle&quot;:&quot;&quot;,&quot;non-dropping-particle&quot;:&quot;&quot;},{&quot;family&quot;:&quot;Chin&quot;,&quot;given&quot;:&quot;Calvin Tse Liang&quot;,&quot;parse-names&quot;:false,&quot;dropping-particle&quot;:&quot;&quot;,&quot;non-dropping-particle&quot;:&quot;&quot;},{&quot;family&quot;:&quot;Hong&quot;,&quot;given&quot;:&quot;Eugene&quot;,&quot;parse-names&quot;:false,&quot;dropping-particle&quot;:&quot;&quot;,&quot;non-dropping-particle&quot;:&quot;&quot;},{&quot;family&quot;:&quot;Philip&quot;,&quot;given&quot;:&quot;Ligy&quot;,&quot;parse-names&quot;:false,&quot;dropping-particle&quot;:&quot;&quot;,&quot;non-dropping-particle&quot;:&quot;&quot;},{&quot;family&quot;:&quot;Suraishkumar&quot;,&quot;given&quot;:&quot;G. K.&quot;,&quot;parse-names&quot;:false,&quot;dropping-particle&quot;:&quot;&quot;,&quot;non-dropping-particle&quot;:&quot;&quot;},{&quot;family&quot;:&quot;Sen&quot;,&quot;given&quot;:&quot;Tushar Kanti&quot;,&quot;parse-names&quot;:false,&quot;dropping-particle&quot;:&quot;&quot;,&quot;non-dropping-particle&quot;:&quot;&quot;},{&quot;family&quot;:&quot;Khiadani&quot;,&quot;given&quot;:&quot;Mehdi&quot;,&quot;parse-names&quot;:false,&quot;dropping-particle&quot;:&quot;&quot;,&quot;non-dropping-particle&quot;:&quot;&quot;}],&quot;container-title&quot;:&quot;Process Safety and Environmental Protection&quot;,&quot;DOI&quot;:&quot;10.1016/j.psep.2020.01.032&quot;,&quot;ISSN&quot;:&quot;09575820&quot;,&quot;issued&quot;:{&quot;date-parts&quot;:[[2020,4,1]]},&quot;page&quot;:&quot;194-202&quot;,&quot;abstract&quot;:&quot;The impacts of hybrid microwave-oxidative (MW-H2O2) feed sludge pretreatment on performance efficiency of conventional single-stage and a novel two-stage semi-continuous anaerobic digestion of mixed waste activated sludge were studied to enhance biogas production and digestate quality. Untreated two-stage anaerobic digestion (thermophilic followed by mesophilic) achieved 76.4 ml/gTCOD methane yield compared to 40.4 ml/gTCOD achieved through conventional mesophilic anaerobic digestion, with an increase in methane percentage. Application of hybrid (MW-H2O2) sludge pretreatment in the two-stage digestion enhanced initial sludge hydrolysis/solubilisation and consequently achieved 143.4 ml/gTCOD methane yield. Also, the highest methane percentage of 71 % was achieved during peak methanogenesis stage in this process. The synergetic effects of hybrid pretreatment were also confirmed by the higher release of extracellular polymeric substances. Oxidative stress exerted by the pretreatment resulted in the accumulation of superoxide radicals in the initial thermophilic phase; followed by increased sludge activity and biomethanation in the later phase of two-stage digestion. Hybrid feed sludge pretreatment in the two-stage system achieved a 73 % volatile solids reduction and more than 90 % reduction of faecal coliform. The various kinetic model parameters were determined by the application of the modified Gompertz model. These results illustrate that a novel semi-continuous two-stage anaerobic digester with hybrid feed sludge pretreatment improved sludge hydrolysis, sludge solubilisation, biogas production, sludge stabilization and reduces sludge retention time, and also achieves “class-A” biosolids by significant pathogen destruction.&quot;,&quot;publisher&quot;:&quot;Institution of Chemical Engineers&quot;,&quot;volume&quot;:&quot;136&quot;,&quot;container-title-short&quot;:&quot;&quot;}}],&quot;manualOverride&quot;:{&quot;manualOverrideText&quot;:&quot;&quot;,&quot;isManuallyOverridden&quot;:false,&quot;citeprocText&quot;:&quot;(J. Liu et al. 2017; Özön and Erdinçler 2019; Ambrose et al. 2020)&quot;}},{&quot;properties&quot;:{&quot;noteIndex&quot;:0},&quot;citationID&quot;:&quot;MENDELEY_CITATION_fd629275-6ff7-44c2-bbba-961faca080a9&quot;,&quot;isEdited&quot;:false,&quot;citationTag&quot;:&quot;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&quot;,&quot;citationItems&quot;:[{&quot;id&quot;:&quot;beb514d7-bb21-3ba6-a15a-c42ca64e99ff&quot;,&quot;isTemporary&quot;:false,&quot;itemData&quot;:{&quot;type&quot;:&quot;article-journal&quot;,&quot;id&quot;:&quot;beb514d7-bb21-3ba6-a15a-c42ca64e99ff&quot;,&quot;title&quot;:&quot;Does residual H2O2 result in inhibitory effect on enhanced anaerobic digestion of sludge pretreated by microwave-H2O2 pretreatment process?&quot;,&quot;author&quot;:[{&quot;family&quot;:&quot;Liu&quot;,&quot;given&quot;:&quot;Jibao&quot;,&quot;parse-names&quot;:false,&quot;dropping-particle&quot;:&quot;&quot;,&quot;non-dropping-particle&quot;:&quot;&quot;},{&quot;family&quot;:&quot;Jia&quot;,&quot;given&quot;:&quot;Ruilai&quot;,&quot;parse-names&quot;:false,&quot;dropping-particle&quot;:&quot;&quot;,&quot;non-dropping-particle&quot;:&quot;&quot;},{&quot;family&quot;:&quot;Wang&quot;,&quot;given&quot;:&quot;Yawei&quot;,&quot;parse-names&quot;:false,&quot;dropping-particle&quot;:&quot;&quot;,&quot;non-dropping-particle&quot;:&quot;&quot;},{&quot;family&quot;:&quot;Wei&quot;,&quot;given&quot;:&quot;Yuansong&quot;,&quot;parse-names&quot;:false,&quot;dropping-particle&quot;:&quot;&quot;,&quot;non-dropping-particle&quot;:&quot;&quot;},{&quot;family&quot;:&quot;Zhang&quot;,&quot;given&quot;:&quot;Junya&quot;,&quot;parse-names&quot;:false,&quot;dropping-particle&quot;:&quot;&quot;,&quot;non-dropping-particle&quot;:&quot;&quot;},{&quot;family&quot;:&quot;Wang&quot;,&quot;given&quot;:&quot;Rui&quot;,&quot;parse-names&quot;:false,&quot;dropping-particle&quot;:&quot;&quot;,&quot;non-dropping-particle&quot;:&quot;&quot;},{&quot;family&quot;:&quot;Cai&quot;,&quot;given&quot;:&quot;Xing&quot;,&quot;parse-names&quot;:false,&quot;dropping-particle&quot;:&quot;&quot;,&quot;non-dropping-particle&quot;:&quot;&quot;}],&quot;container-title&quot;:&quot;Environmental Science and Pollution Research&quot;,&quot;DOI&quot;:&quot;10.1007/s11356-015-5704-z&quot;,&quot;ISSN&quot;:&quot;16147499&quot;,&quot;PMID&quot;:&quot;26561322&quot;,&quot;issued&quot;:{&quot;date-parts&quot;:[[2017,4,1]]},&quot;page&quot;:&quot;9016-9025&quot;,&quot;abstract&quot;:&quot;This study investigated the effects of residual H2O2 on hydrolysis-acidification and methanogenesis stages of anaerobic digestion after microwave-H2O2 (MW-H2O2) pretreatment of waste activated sludge (WAS). Results showed that high sludge solubilization at 35–45 % was achieved after pretreatment, while large amounts of residual H2O2 remained and refractory compounds were thus generated with high dosage of H2O2 (0.6 g H2O2/g total solids (TS), 1.0 g H2O2/g TS) pretreatment. The residual H2O2 not only inhibited hydrolysis-acidification stage mildly, such as hydrolase activity, but also had acute toxic effect on methanogens, resulting in long lag phase, low methane yield rate, and no increase of cumulative methane production during the 30-day BMP tests. When the low dosage of H2O2 at 0.2 g H2O2/g TS was used in MW-H2O2 pretreatment, sludge anaerobic digestion was significantly enhanced. The cumulative methane production increased by 29.02 %, but still with a lag phase of 1.0 day. With removing the residual H2O2 by catalase, the initial lag phase of hydrolysis-acidification stage decreased from 1.0 to 0.5 day.&quot;,&quot;publisher&quot;:&quot;Springer Verlag&quot;,&quot;issue&quot;:&quot;10&quot;,&quot;volume&quot;:&quot;24&quot;,&quot;container-title-short&quot;:&quot;&quot;}},{&quot;id&quot;:&quot;74b999cd-4831-3a89-a246-d93d398c3b2a&quot;,&quot;isTemporary&quot;:false,&quot;itemData&quot;:{&quot;type&quot;:&quot;article-journal&quot;,&quot;id&quot;:&quot;74b999cd-4831-3a89-a246-d93d398c3b2a&quot;,&quot;title&quot;:&quot;A comprehensive insight into the effects of microwave-H2O2 pretreatment on concentrated sewage sludge anaerobic digestion based on semi-continuous operation&quot;,&quot;author&quot;:[{&quot;family&quot;:&quot;Liu&quot;,&quot;given&quot;:&quot;Jibao&quot;,&quot;parse-names&quot;:false,&quot;dropping-particle&quot;:&quot;&quot;,&quot;non-dropping-particle&quot;:&quot;&quot;},{&quot;family&quot;:&quot;Yang&quot;,&quot;given&quot;:&quot;Min&quot;,&quot;parse-names&quot;:false,&quot;dropping-particle&quot;:&quot;&quot;,&quot;non-dropping-particle&quot;:&quot;&quot;},{&quot;family&quot;:&quot;Zhang&quot;,&quot;given&quot;:&quot;Junya&quot;,&quot;parse-names&quot;:false,&quot;dropping-particle&quot;:&quot;&quot;,&quot;non-dropping-particle&quot;:&quot;&quot;},{&quot;family&quot;:&quot;Zheng&quot;,&quot;given&quot;:&quot;Jiaxi&quot;,&quot;parse-names&quot;:false,&quot;dropping-particle&quot;:&quot;&quot;,&quot;non-dropping-particle&quot;:&quot;&quot;},{&quot;family&quot;:&quot;Xu&quot;,&quot;given&quot;:&quot;Hui&quot;,&quot;parse-names&quot;:false,&quot;dropping-particle&quot;:&quot;&quot;,&quot;non-dropping-particle&quot;:&quot;&quot;},{&quot;family&quot;:&quot;Wang&quot;,&quot;given&quot;:&quot;Yawei&quot;,&quot;parse-names&quot;:false,&quot;dropping-particle&quot;:&quot;&quot;,&quot;non-dropping-particle&quot;:&quot;&quot;},{&quot;family&quot;:&quot;Wei&quot;,&quot;given&quot;:&quot;Yuansong&quot;,&quot;parse-names&quot;:false,&quot;dropping-particle&quot;:&quot;&quot;,&quot;non-dropping-particle&quot;:&quot;&quot;}],&quot;container-title&quot;:&quot;Bioresource Technology&quot;,&quot;DOI&quot;:&quot;10.1016/j.biortech.2018.01.126&quot;,&quot;ISSN&quot;:&quot;18732976&quot;,&quot;PMID&quot;:&quot;29433046&quot;,&quot;issued&quot;:{&quot;date-parts&quot;:[[2018,5,1]]},&quot;page&quot;:&quot;118-127&quot;,&quot;abstract&quot;:&quot;This study gave a comprehensive insight into the effects of microwave-H2O2 pretreatment on concentrated sludge anaerobic digestion (AD). Results showed that mixture of activated sludge and pretreated sludge at mass ratio of 1:1 was efficient for enhancing AD, methane production was increased from 215.51 mL/g VSadded to 258.38 mL/g VSadded. Pretreatment resulted in the change of sludge properties, such as solubilization of organic matters, decrease of viscosity. For concentrated sludge AD, the “pH buffer system” ensured the “inhibitory steady state” during start-up period, and significant archaeal community shift from Methanosaeta to Methanosarcina ensured the true steady-state operation. Pretreatment further increased the relative abundance of functional microbia such as Bacteroidales, Clostridiales and Methanosarcina, and resulted in the decrease of viscosity of digested sludge in reactors. Based on the CFD simulation, the flow velocity became greater than the control. These comprehensive effects might contribute to enhanced efficiency of concentrated sludge AD.&quot;,&quot;publisher&quot;:&quot;Elsevier Ltd&quot;,&quot;volume&quot;:&quot;256&quot;,&quot;container-title-short&quot;:&quot;Bioresour Technol&quot;}},{&quot;id&quot;:&quot;203bf703-9653-3535-9145-eb56ca22b261&quot;,&quot;isTemporary&quot;:false,&quot;itemData&quot;:{&quot;type&quot;:&quot;article-journal&quot;,&quot;id&quot;:&quot;203bf703-9653-3535-9145-eb56ca22b261&quot;,&quot;title&quot;:&quot;Effect of hybrid (microwave-H2O2) feed sludge pretreatment on single and two-stage anaerobic digestion efficiency of real mixed sewage sludge&quot;,&quot;author&quot;:[{&quot;family&quot;:&quot;Ambrose&quot;,&quot;given&quot;:&quot;Herald Wilson&quot;,&quot;parse-names&quot;:false,&quot;dropping-particle&quot;:&quot;&quot;,&quot;non-dropping-particle&quot;:&quot;&quot;},{&quot;family&quot;:&quot;Chin&quot;,&quot;given&quot;:&quot;Calvin Tse Liang&quot;,&quot;parse-names&quot;:false,&quot;dropping-particle&quot;:&quot;&quot;,&quot;non-dropping-particle&quot;:&quot;&quot;},{&quot;family&quot;:&quot;Hong&quot;,&quot;given&quot;:&quot;Eugene&quot;,&quot;parse-names&quot;:false,&quot;dropping-particle&quot;:&quot;&quot;,&quot;non-dropping-particle&quot;:&quot;&quot;},{&quot;family&quot;:&quot;Philip&quot;,&quot;given&quot;:&quot;Ligy&quot;,&quot;parse-names&quot;:false,&quot;dropping-particle&quot;:&quot;&quot;,&quot;non-dropping-particle&quot;:&quot;&quot;},{&quot;family&quot;:&quot;Suraishkumar&quot;,&quot;given&quot;:&quot;G. K.&quot;,&quot;parse-names&quot;:false,&quot;dropping-particle&quot;:&quot;&quot;,&quot;non-dropping-particle&quot;:&quot;&quot;},{&quot;family&quot;:&quot;Sen&quot;,&quot;given&quot;:&quot;Tushar Kanti&quot;,&quot;parse-names&quot;:false,&quot;dropping-particle&quot;:&quot;&quot;,&quot;non-dropping-particle&quot;:&quot;&quot;},{&quot;family&quot;:&quot;Khiadani&quot;,&quot;given&quot;:&quot;Mehdi&quot;,&quot;parse-names&quot;:false,&quot;dropping-particle&quot;:&quot;&quot;,&quot;non-dropping-particle&quot;:&quot;&quot;}],&quot;container-title&quot;:&quot;Process Safety and Environmental Protection&quot;,&quot;DOI&quot;:&quot;10.1016/j.psep.2020.01.032&quot;,&quot;ISSN&quot;:&quot;09575820&quot;,&quot;issued&quot;:{&quot;date-parts&quot;:[[2020,4,1]]},&quot;page&quot;:&quot;194-202&quot;,&quot;abstract&quot;:&quot;The impacts of hybrid microwave-oxidative (MW-H2O2) feed sludge pretreatment on performance efficiency of conventional single-stage and a novel two-stage semi-continuous anaerobic digestion of mixed waste activated sludge were studied to enhance biogas production and digestate quality. Untreated two-stage anaerobic digestion (thermophilic followed by mesophilic) achieved 76.4 ml/gTCOD methane yield compared to 40.4 ml/gTCOD achieved through conventional mesophilic anaerobic digestion, with an increase in methane percentage. Application of hybrid (MW-H2O2) sludge pretreatment in the two-stage digestion enhanced initial sludge hydrolysis/solubilisation and consequently achieved 143.4 ml/gTCOD methane yield. Also, the highest methane percentage of 71 % was achieved during peak methanogenesis stage in this process. The synergetic effects of hybrid pretreatment were also confirmed by the higher release of extracellular polymeric substances. Oxidative stress exerted by the pretreatment resulted in the accumulation of superoxide radicals in the initial thermophilic phase; followed by increased sludge activity and biomethanation in the later phase of two-stage digestion. Hybrid feed sludge pretreatment in the two-stage system achieved a 73 % volatile solids reduction and more than 90 % reduction of faecal coliform. The various kinetic model parameters were determined by the application of the modified Gompertz model. These results illustrate that a novel semi-continuous two-stage anaerobic digester with hybrid feed sludge pretreatment improved sludge hydrolysis, sludge solubilisation, biogas production, sludge stabilization and reduces sludge retention time, and also achieves “class-A” biosolids by significant pathogen destruction.&quot;,&quot;publisher&quot;:&quot;Institution of Chemical Engineers&quot;,&quot;volume&quot;:&quot;136&quot;,&quot;container-title-short&quot;:&quot;&quot;}}],&quot;manualOverride&quot;:{&quot;manualOverrideText&quot;:&quot;&quot;,&quot;isManuallyOverridden&quot;:false,&quot;citeprocText&quot;:&quot;(J. Liu et al. 2017, 2018; Ambrose et al. 2020)&quot;}},{&quot;properties&quot;:{&quot;noteIndex&quot;:0},&quot;citationID&quot;:&quot;MENDELEY_CITATION_c299d6dc-762b-47b9-aaee-555ff54f0fbb&quot;,&quot;isEdited&quot;:false,&quot;citationTag&quot;:&quot;MENDELEY_CITATION_v3_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&quot;,&quot;citationItems&quot;:[{&quot;id&quot;:&quot;203bf703-9653-3535-9145-eb56ca22b261&quot;,&quot;isTemporary&quot;:false,&quot;itemData&quot;:{&quot;type&quot;:&quot;article-journal&quot;,&quot;id&quot;:&quot;203bf703-9653-3535-9145-eb56ca22b261&quot;,&quot;title&quot;:&quot;Effect of hybrid (microwave-H2O2) feed sludge pretreatment on single and two-stage anaerobic digestion efficiency of real mixed sewage sludge&quot;,&quot;author&quot;:[{&quot;family&quot;:&quot;Ambrose&quot;,&quot;given&quot;:&quot;Herald Wilson&quot;,&quot;parse-names&quot;:false,&quot;dropping-particle&quot;:&quot;&quot;,&quot;non-dropping-particle&quot;:&quot;&quot;},{&quot;family&quot;:&quot;Chin&quot;,&quot;given&quot;:&quot;Calvin Tse Liang&quot;,&quot;parse-names&quot;:false,&quot;dropping-particle&quot;:&quot;&quot;,&quot;non-dropping-particle&quot;:&quot;&quot;},{&quot;family&quot;:&quot;Hong&quot;,&quot;given&quot;:&quot;Eugene&quot;,&quot;parse-names&quot;:false,&quot;dropping-particle&quot;:&quot;&quot;,&quot;non-dropping-particle&quot;:&quot;&quot;},{&quot;family&quot;:&quot;Philip&quot;,&quot;given&quot;:&quot;Ligy&quot;,&quot;parse-names&quot;:false,&quot;dropping-particle&quot;:&quot;&quot;,&quot;non-dropping-particle&quot;:&quot;&quot;},{&quot;family&quot;:&quot;Suraishkumar&quot;,&quot;given&quot;:&quot;G. K.&quot;,&quot;parse-names&quot;:false,&quot;dropping-particle&quot;:&quot;&quot;,&quot;non-dropping-particle&quot;:&quot;&quot;},{&quot;family&quot;:&quot;Sen&quot;,&quot;given&quot;:&quot;Tushar Kanti&quot;,&quot;parse-names&quot;:false,&quot;dropping-particle&quot;:&quot;&quot;,&quot;non-dropping-particle&quot;:&quot;&quot;},{&quot;family&quot;:&quot;Khiadani&quot;,&quot;given&quot;:&quot;Mehdi&quot;,&quot;parse-names&quot;:false,&quot;dropping-particle&quot;:&quot;&quot;,&quot;non-dropping-particle&quot;:&quot;&quot;}],&quot;container-title&quot;:&quot;Process Safety and Environmental Protection&quot;,&quot;DOI&quot;:&quot;10.1016/j.psep.2020.01.032&quot;,&quot;ISSN&quot;:&quot;09575820&quot;,&quot;issued&quot;:{&quot;date-parts&quot;:[[2020,4,1]]},&quot;page&quot;:&quot;194-202&quot;,&quot;abstract&quot;:&quot;The impacts of hybrid microwave-oxidative (MW-H2O2) feed sludge pretreatment on performance efficiency of conventional single-stage and a novel two-stage semi-continuous anaerobic digestion of mixed waste activated sludge were studied to enhance biogas production and digestate quality. Untreated two-stage anaerobic digestion (thermophilic followed by mesophilic) achieved 76.4 ml/gTCOD methane yield compared to 40.4 ml/gTCOD achieved through conventional mesophilic anaerobic digestion, with an increase in methane percentage. Application of hybrid (MW-H2O2) sludge pretreatment in the two-stage digestion enhanced initial sludge hydrolysis/solubilisation and consequently achieved 143.4 ml/gTCOD methane yield. Also, the highest methane percentage of 71 % was achieved during peak methanogenesis stage in this process. The synergetic effects of hybrid pretreatment were also confirmed by the higher release of extracellular polymeric substances. Oxidative stress exerted by the pretreatment resulted in the accumulation of superoxide radicals in the initial thermophilic phase; followed by increased sludge activity and biomethanation in the later phase of two-stage digestion. Hybrid feed sludge pretreatment in the two-stage system achieved a 73 % volatile solids reduction and more than 90 % reduction of faecal coliform. The various kinetic model parameters were determined by the application of the modified Gompertz model. These results illustrate that a novel semi-continuous two-stage anaerobic digester with hybrid feed sludge pretreatment improved sludge hydrolysis, sludge solubilisation, biogas production, sludge stabilization and reduces sludge retention time, and also achieves “class-A” biosolids by significant pathogen destruction.&quot;,&quot;publisher&quot;:&quot;Institution of Chemical Engineers&quot;,&quot;volume&quot;:&quot;136&quot;,&quot;container-title-short&quot;:&quot;&quot;}}],&quot;manualOverride&quot;:{&quot;manualOverrideText&quot;:&quot;&quot;,&quot;isManuallyOverridden&quot;:false,&quot;citeprocText&quot;:&quot;(Ambrose et al. 2020)&quot;}},{&quot;properties&quot;:{&quot;noteIndex&quot;:0},&quot;citationID&quot;:&quot;MENDELEY_CITATION_91bdbc09-d53a-484d-b79c-3d33d62b6255&quot;,&quot;isEdited&quot;:false,&quot;citationTag&quot;:&quot;MENDELEY_CITATION_v3_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&quot;,&quot;citationItems&quot;:[{&quot;id&quot;:&quot;725cbe8e-bd2e-31ba-8c21-e5e2da8e1e7c&quot;,&quot;isTemporary&quot;:false,&quot;itemData&quot;:{&quot;type&quot;:&quot;article-journal&quot;,&quot;id&quot;:&quot;725cbe8e-bd2e-31ba-8c21-e5e2da8e1e7c&quot;,&quot;title&quot;:&quot; Standard methods for the examination of water and wastewater.&quot;,&quot;author&quot;:[{&quot;family&quot;:&quot;Apha Awwa&quot;,&quot;given&quot;:&quot;W. E. F.&quot;,&quot;parse-names&quot;:false,&quot;dropping-particle&quot;:&quot;&quot;,&quot;non-dropping-particle&quot;:&quot;&quot;}],&quot;container-title&quot;:&quot;American Public Health Association, American Water Works Association, and Water Environment Federation.&quot;,&quot;issued&quot;:{&quot;date-parts&quot;:[[2005]]},&quot;container-title-short&quot;:&quot;&quot;}}],&quot;manualOverride&quot;:{&quot;manualOverrideText&quot;:&quot;&quot;,&quot;isManuallyOverridden&quot;:false,&quot;citeprocText&quot;:&quot;(Apha Awwa 2005)&quot;}},{&quot;properties&quot;:{&quot;noteIndex&quot;:0},&quot;citationID&quot;:&quot;MENDELEY_CITATION_d7c61411-25ff-404f-8641-ab5f36389926&quot;,&quot;isEdited&quot;:false,&quot;citationTag&quot;:&quot;MENDELEY_CITATION_v3_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&quot;,&quot;citationItems&quot;:[{&quot;id&quot;:&quot;f6ec7a46-6a95-3d4a-a4dd-d84bfc0c9697&quot;,&quot;isTemporary&quot;:false,&quot;itemData&quot;:{&quot;type&quot;:&quot;article-journal&quot;,&quot;id&quot;:&quot;f6ec7a46-6a95-3d4a-a4dd-d84bfc0c9697&quot;,&quot;title&quot;:&quot;Investigation into the effect of high concentrations of volatile fatty acids in anaerobic digestion on methanogenic communities&quot;,&quot;author&quot;:[{&quot;family&quot;:&quot;Franke-Whittle&quot;,&quot;given&quot;:&quot;Ingrid H.&quot;,&quot;parse-names&quot;:false,&quot;dropping-particle&quot;:&quot;&quot;,&quot;non-dropping-particle&quot;:&quot;&quot;},{&quot;family&quot;:&quot;Walter&quot;,&quot;given&quot;:&quot;Andreas&quot;,&quot;parse-names&quot;:false,&quot;dropping-particle&quot;:&quot;&quot;,&quot;non-dropping-particle&quot;:&quot;&quot;},{&quot;family&quot;:&quot;Ebner&quot;,&quot;given&quot;:&quot;Christian&quot;,&quot;parse-names&quot;:false,&quot;dropping-particle&quot;:&quot;&quot;,&quot;non-dropping-particle&quot;:&quot;&quot;},{&quot;family&quot;:&quot;Insam&quot;,&quot;given&quot;:&quot;Heribert&quot;,&quot;parse-names&quot;:false,&quot;dropping-particle&quot;:&quot;&quot;,&quot;non-dropping-particle&quot;:&quot;&quot;}],&quot;container-title&quot;:&quot;Waste Management&quot;,&quot;DOI&quot;:&quot;10.1016/j.wasman.2014.07.020&quot;,&quot;ISSN&quot;:&quot;18792456&quot;,&quot;PMID&quot;:&quot;25164858&quot;,&quot;issued&quot;:{&quot;date-parts&quot;:[[2014,11,1]]},&quot;page&quot;:&quot;2080-2089&quot;,&quot;abstract&quot;:&quot;A study was conducted to determine whether differences in the levels of volatile fatty acids (VFAs) in anaerobic digester plants could result in variations in the indigenous methanogenic communities. Two digesters (one operated under mesophilic conditions, the other under thermophilic conditions) were monitored, and sampled at points where VFA levels were high, as well as when VFA levels were low. Physical and chemical parameters were measured, and the methanogenic diversity was screened using the phylogenetic microarray ANAEROCHIP. In addition, real-time PCR was used to quantify the presence of the different methanogenic genera in the sludge samples. Array results indicated that the archaeal communities in the different reactors were stable, and that changes in the VFA levels of the anaerobic digesters did not greatly alter the dominating methanogenic organisms. In contrast, the two digesters were found to harbour different dominating methanogenic communities, which appeared to remain stable over time. Real-time PCR results were inline with those of microarray analysis indicating only minimal changes in methanogen numbers during periods of high VFAs, however, revealed a greater diversity in methanogens than found with the array.&quot;,&quot;publisher&quot;:&quot;Elsevier Ltd&quot;,&quot;issue&quot;:&quot;11&quot;,&quot;volume&quot;:&quot;34&quot;,&quot;container-title-short&quot;:&quot;&quot;}},{&quot;id&quot;:&quot;4d22c4bd-3f8f-3c30-b409-e4b48d95289b&quot;,&quot;isTemporary&quot;:false,&quot;itemData&quot;:{&quot;type&quot;:&quot;chapter&quot;,&quot;id&quot;:&quot;4d22c4bd-3f8f-3c30-b409-e4b48d95289b&quot;,&quot;title&quot;:&quot;Acidogenic fermentation of organic wastes for production of volatile fatty acids&quot;,&quot;author&quot;:[{&quot;family&quot;:&quot;Zhang&quot;,&quot;given&quot;:&quot;Le&quot;,&quot;parse-names&quot;:false,&quot;dropping-particle&quot;:&quot;&quot;,&quot;non-dropping-particle&quot;:&quot;&quot;},{&quot;family&quot;:&quot;Tsui&quot;,&quot;given&quot;:&quot;To Hung&quot;,&quot;parse-names&quot;:false,&quot;dropping-particle&quot;:&quot;&quot;,&quot;non-dropping-particle&quot;:&quot;&quot;},{&quot;family&quot;:&quot;Loh&quot;,&quot;given&quot;:&quot;Kai Chee&quot;,&quot;parse-names&quot;:false,&quot;dropping-particle&quot;:&quot;&quot;,&quot;non-dropping-particle&quot;:&quot;&quot;},{&quot;family&quot;:&quot;Dai&quot;,&quot;given&quot;:&quot;Yanjun&quot;,&quot;parse-names&quot;:false,&quot;dropping-particle&quot;:&quot;&quot;,&quot;non-dropping-particle&quot;:&quot;&quot;},{&quot;family&quot;:&quot;Tong&quot;,&quot;given&quot;:&quot;Yen Wah&quot;,&quot;parse-names&quot;:false,&quot;dropping-particle&quot;:&quot;&quot;,&quot;non-dropping-particle&quot;:&quot;&quot;}],&quot;container-title&quot;:&quot;Biomass, Biofuels, Biochemicals: Microbial Fermentation of Biowastes&quot;,&quot;DOI&quot;:&quot;10.1016/B978-0-323-90633-3.00005-5&quot;,&quot;ISBN&quot;:&quot;9780323906333&quot;,&quot;issued&quot;:{&quot;date-parts&quot;:[[2022,1,1]]},&quot;page&quot;:&quot;343-366&quot;,&quot;abstract&quot;:&quot;Volatile fatty acids (VFAs) and their derivatives have value-added applications in the bioenergy and chemical industries. Common VFAs mainly comprise acetic acid (C2), propionic acid (C3), butyric acid (C4), valeric acid (C5), caproic acid (C6), etc. The sustainable production of VFAs from renewable biomass resource (e.g., biowastes) via microbial fermentation has attracted substantial attention. A series of studies on acidogenic fermentation of biowastes involving carbon sources, process conditions, bioreactor design, VFA separation methods, and subsequent applications have been performed over the recent years. This book chapter summarizes current research progress in acidogenic fermentation of biowastes for production of VFAs. Related technical theories, substrates, evaluations, bioreactor configuration, operating parameters, and VFA enhancement and recovery strategies as well as subsequent novel applications of VFAs are focused on. Finally, the future perspectives on sustainable biowastes conversion and VFAs application are also highlighted.&quot;,&quot;publisher&quot;:&quot;Elsevier&quot;,&quot;container-title-short&quot;:&quot;&quot;}}],&quot;manualOverride&quot;:{&quot;isManuallyOverridden&quot;:false,&quot;manualOverrideText&quot;:&quot;&quot;,&quot;citeprocText&quot;:&quot;(Franke-Whittle et al. 2014; L. Zhang et al. 2022)&quot;}},{&quot;properties&quot;:{&quot;noteIndex&quot;:0},&quot;citationID&quot;:&quot;MENDELEY_CITATION_330d873d-8a19-4873-8d1b-0b99bb6f96f1&quot;,&quot;isEdited&quot;:false,&quot;citationTag&quot;:&quot;MENDELEY_CITATION_v3_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&quot;,&quot;citationItems&quot;:[{&quot;id&quot;:&quot;e0ccb58f-c571-3911-926d-cf771920fb23&quot;,&quot;isTemporary&quot;:false,&quot;itemData&quot;:{&quot;type&quot;:&quot;article-journal&quot;,&quot;id&quot;:&quot;e0ccb58f-c571-3911-926d-cf771920fb23&quot;,&quot;title&quot;:&quot;Dual resource utilization for tannery sludge: Effects of sludge biochars (BCs) on volatile fatty acids (VFAs) production from sludge anaerobic digestion&quot;,&quot;author&quot;:[{&quot;family&quot;:&quot;Zhai&quot;,&quot;given&quot;:&quot;Shimin&quot;,&quot;parse-names&quot;:false,&quot;dropping-particle&quot;:&quot;&quot;,&quot;non-dropping-particle&quot;:&quot;&quot;},{&quot;family&quot;:&quot;Li&quot;,&quot;given&quot;:&quot;Min&quot;,&quot;parse-names&quot;:false,&quot;dropping-particle&quot;:&quot;&quot;,&quot;non-dropping-particle&quot;:&quot;&quot;},{&quot;family&quot;:&quot;Xiong&quot;,&quot;given&quot;:&quot;Yonghui&quot;,&quot;parse-names&quot;:false,&quot;dropping-particle&quot;:&quot;&quot;,&quot;non-dropping-particle&quot;:&quot;&quot;},{&quot;family&quot;:&quot;Wang&quot;,&quot;given&quot;:&quot;Dong&quot;,&quot;parse-names&quot;:false,&quot;dropping-particle&quot;:&quot;&quot;,&quot;non-dropping-particle&quot;:&quot;&quot;},{&quot;family&quot;:&quot;Fu&quot;,&quot;given&quot;:&quot;Shaohai&quot;,&quot;parse-names&quot;:false,&quot;dropping-particle&quot;:&quot;&quot;,&quot;non-dropping-particle&quot;:&quot;&quot;}],&quot;container-title&quot;:&quot;Bioresource Technology&quot;,&quot;DOI&quot;:&quot;10.1016/j.biortech.2020.123903&quot;,&quot;ISSN&quot;:&quot;18732976&quot;,&quot;PMID&quot;:&quot;32763801&quot;,&quot;issued&quot;:{&quot;date-parts&quot;:[[2020,11,1]]},&quot;abstract&quot;:&quot;Resource utilization of organic matters in tannery sludge has drawn great attention. In this paper, the influences of sludge biochars (BCs) on volatile fatty acids (VFAs) production from the anaerobic digestion of sludge supernatant (SST) were investigated. Experimental results demonstrated that the VFAs yields improved in the presence of BCs with rich functional groups. The maximum yield of VFAs was 1037.5 mg/g SCOD with the addition of BC-1 biochar (zeta potential −50.42 mV). BCs decreased ammonia nitrogen concentration, thus reducing inhibition for bacteria during the anaerobic digestion. Microbial community analysis indicated that the BCs affected microbial community structures and contributed to a favorable environment for bacteria. Especially, the BC-1 biochar with rich functional groups enhanced the relative abundance of acid-forming bacteria (Clostridiales). A dual strategy was proposed to improve the resource utilization efficiency for tannery sludge.&quot;,&quot;publisher&quot;:&quot;Elsevier Ltd&quot;,&quot;volume&quot;:&quot;316&quot;,&quot;container-title-short&quot;:&quot;Bioresour Technol&quot;}}],&quot;manualOverride&quot;:{&quot;isManuallyOverridden&quot;:false,&quot;manualOverrideText&quot;:&quot;&quot;,&quot;citeprocText&quot;:&quot;(Zhai et al. 2020)&quot;}},{&quot;properties&quot;:{&quot;noteIndex&quot;:0},&quot;citationID&quot;:&quot;MENDELEY_CITATION_787eca20-8945-473e-9446-cf3c943eb6bb&quot;,&quot;isEdited&quot;:false,&quot;citationTag&quot;:&quot;MENDELEY_CITATION_v3_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&quot;,&quot;citationItems&quot;:[{&quot;id&quot;:&quot;c163ace8-ab1c-3a85-9dcc-f110948c5a67&quot;,&quot;isTemporary&quot;:false,&quot;itemData&quot;:{&quot;type&quot;:&quot;article-journal&quot;,&quot;id&quot;:&quot;c163ace8-ab1c-3a85-9dcc-f110948c5a67&quot;,&quot;title&quot;:&quot;Assessing the potential of waste activated sludge and food waste co-fermentation for carboxylic acids production&quot;,&quot;author&quot;:[{&quot;family&quot;:&quot;Vidal-Antich&quot;,&quot;given&quot;:&quot;C.&quot;,&quot;parse-names&quot;:false,&quot;dropping-particle&quot;:&quot;&quot;,&quot;non-dropping-particle&quot;:&quot;&quot;},{&quot;family&quot;:&quot;Perez-Esteban&quot;,&quot;given&quot;:&quot;N.&quot;,&quot;parse-names&quot;:false,&quot;dropping-particle&quot;:&quot;&quot;,&quot;non-dropping-particle&quot;:&quot;&quot;},{&quot;family&quot;:&quot;Astals&quot;,&quot;given&quot;:&quot;S.&quot;,&quot;parse-names&quot;:false,&quot;dropping-particle&quot;:&quot;&quot;,&quot;non-dropping-particle&quot;:&quot;&quot;},{&quot;family&quot;:&quot;Peces&quot;,&quot;given&quot;:&quot;M.&quot;,&quot;parse-names&quot;:false,&quot;dropping-particle&quot;:&quot;&quot;,&quot;non-dropping-particle&quot;:&quot;&quot;},{&quot;family&quot;:&quot;Mata-Alvarez&quot;,&quot;given&quot;:&quot;J.&quot;,&quot;parse-names&quot;:false,&quot;dropping-particle&quot;:&quot;&quot;,&quot;non-dropping-particle&quot;:&quot;&quot;},{&quot;family&quot;:&quot;Dosta&quot;,&quot;given&quot;:&quot;J.&quot;,&quot;parse-names&quot;:false,&quot;dropping-particle&quot;:&quot;&quot;,&quot;non-dropping-particle&quot;:&quot;&quot;}],&quot;container-title&quot;:&quot;Science of the Total Environment&quot;,&quot;DOI&quot;:&quot;10.1016/j.scitotenv.2020.143763&quot;,&quot;ISSN&quot;:&quot;18791026&quot;,&quot;PMID&quot;:&quot;33288258&quot;,&quot;issued&quot;:{&quot;date-parts&quot;:[[2021,2,25]]},&quot;abstract&quot;:&quot;This study investigated waste activated sludge (WAS) and food waste (FW) co-fermentation in batch assays to produce carboxylic acids. Three mixtures (50%, 70% and 90% WAS in VS basis) were studied under different conditions: with and without extra alkalinity, and with and without WAS auto-hydrolysis pre-treatment. All tests were carried out at 35 °C, without pH adjustment and without external inoculum. Experimental results showed that co-fermentation yields, including volatile fatty acids and lactic acid, were always higher than WAS and FW mono-fermentation yields (ca. 100 and 80 mgCOD/gVS, respectively). Co-fermentation yields increased as the proportion of FW in the mixture increased, indicating that the improvement was primarily due to a higher FW degradation under co-fermentation conditions. The maximum co-fermentation yield was on average 480 mgCOD/gVS for the WAS/FW_50/50 mixture. The importance of pH on co-fermentation performance was evident in the experiments carried out with extra alkalinity, which showed that the proportion of WAS in the mixture should be high enough to keep the pH above 5.0. However, fermenters operational conditions should also prevent the enrichment of acetic acid consuming microorganisms. WAS auto-hydrolysis pre-treatment did not enhance co-fermentation yields but showed minor kinetic improvements. Regarding the product profile, butyric acid was enriched as the proportion of FW in the mixture increased and the concomitant pH decreased to the detriment of propionic acid. Propionic acid prevailed under neutral pH in the WAS mono-fermentation and the WAS/FW_90/10 mixture.&quot;,&quot;publisher&quot;:&quot;Elsevier B.V.&quot;,&quot;volume&quot;:&quot;757&quot;,&quot;container-title-short&quot;:&quot;&quot;}}],&quot;manualOverride&quot;:{&quot;isManuallyOverridden&quot;:false,&quot;manualOverrideText&quot;:&quot;&quot;,&quot;citeprocText&quot;:&quot;(Vidal-Antich et al. 2021)&quot;}},{&quot;properties&quot;:{&quot;noteIndex&quot;:0},&quot;citationID&quot;:&quot;MENDELEY_CITATION_c5212dda-e5a9-40d5-8d1c-3d8edcf72f52&quot;,&quot;isEdited&quot;:false,&quot;citationTag&quot;:&quot;MENDELEY_CITATION_v3_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&quot;,&quot;citationItems&quot;:[{&quot;id&quot;:&quot;4de87801-f23a-39ea-8773-4604fb0f47bd&quot;,&quot;isTemporary&quot;:false,&quot;itemData&quot;:{&quot;type&quot;:&quot;article-journal&quot;,&quot;id&quot;:&quot;4de87801-f23a-39ea-8773-4604fb0f47bd&quot;,&quot;title&quot;:&quot;Accelerating acidogenic fermentation of sewage sludge with ash addition&quot;,&quot;author&quot;:[{&quot;family&quot;:&quot;Niero&quot;,&quot;given&quot;:&quot;Luisa&quot;,&quot;parse-names&quot;:false,&quot;dropping-particle&quot;:&quot;&quot;,&quot;non-dropping-particle&quot;:&quot;&quot;},{&quot;family&quot;:&quot;Morgan-Sagastume&quot;,&quot;given&quot;:&quot;Fernando&quot;,&quot;parse-names&quot;:false,&quot;dropping-particle&quot;:&quot;&quot;,&quot;non-dropping-particle&quot;:&quot;&quot;},{&quot;family&quot;:&quot;Lagerkvist&quot;,&quot;given&quot;:&quot;Anders&quot;,&quot;parse-names&quot;:false,&quot;dropping-particle&quot;:&quot;&quot;,&quot;non-dropping-particle&quot;:&quot;&quot;}],&quot;container-title&quot;:&quot;Journal of Environmental Chemical Engineering&quot;,&quot;DOI&quot;:&quot;10.1016/j.jece.2021.106564&quot;,&quot;ISSN&quot;:&quot;22133437&quot;,&quot;issued&quot;:{&quot;date-parts&quot;:[[2021,12,1]]},&quot;abstract&quot;:&quot;A statistically designed range of tests was used in order to map the impact of time, temperature and pH on the acidogenic fermentation of sewage sludge with the addition of wood fly ash. The main factors investigated were temperature (35, 55 and 65 °C), pH (7, 8 and 8.5) and retention time (1, 2 and 4 days). The initial pH was adjusted by adding ash. Up to about a third of the volatile solids could be solubilized in less than two days retention time. Higher temperatures (55 and 65 °C) and adjusted pH (7 and 8) favored hydrolysis whereas fermentation producing organic acids was faster at lower temperatures (35 °C). Sludge hydrolysis occurred fast at 55 and 65 °C, reaching a solubilized total organic carbon (TOC) concentration of 3.84 g TOC L−1 after one day. Thermophilic conditions (55 and 65 °C) resulted in a lower volatile fatty acids (VFA) concentration compared to mesophilic conditions (35 °C). At 35 °C, the highest VFA concentration was measured after 4 days and initial pH 7 (10.0 ± 0.2 g COD L−1). This study showed the potential of using a waste stream to increase and hasten the hydrolysis of particulate organics, resulting in higher TOC solubilized in 2 days, while promoting a higher VFA production presented as g COD L−1.&quot;,&quot;publisher&quot;:&quot;Elsevier Ltd&quot;,&quot;issue&quot;:&quot;6&quot;,&quot;volume&quot;:&quot;9&quot;,&quot;container-title-short&quot;:&quot;J Environ Chem Eng&quot;}},{&quot;id&quot;:&quot;c735f8f2-1065-3816-9fd3-912399344e0e&quot;,&quot;isTemporary&quot;:false,&quot;itemData&quot;:{&quot;type&quot;:&quot;article-journal&quot;,&quot;id&quot;:&quot;c735f8f2-1065-3816-9fd3-912399344e0e&quot;,&quot;title&quot;:&quot;Effect of thermal hydrolysis pretreatment on volatile fatty acids production in sludge acidification and subsequent polyhydroxyalkanoates production&quot;,&quot;author&quot;:[{&quot;family&quot;:&quot;Zhang&quot;,&quot;given&quot;:&quot;Dandan&quot;,&quot;parse-names&quot;:false,&quot;dropping-particle&quot;:&quot;&quot;,&quot;non-dropping-particle&quot;:&quot;&quot;},{&quot;family&quot;:&quot;Jiang&quot;,&quot;given&quot;:&quot;Houlin&quot;,&quot;parse-names&quot;:false,&quot;dropping-particle&quot;:&quot;&quot;,&quot;non-dropping-particle&quot;:&quot;&quot;},{&quot;family&quot;:&quot;Chang&quot;,&quot;given&quot;:&quot;Jing&quot;,&quot;parse-names&quot;:false,&quot;dropping-particle&quot;:&quot;&quot;,&quot;non-dropping-particle&quot;:&quot;&quot;},{&quot;family&quot;:&quot;Sun&quot;,&quot;given&quot;:&quot;Jiao&quot;,&quot;parse-names&quot;:false,&quot;dropping-particle&quot;:&quot;&quot;,&quot;non-dropping-particle&quot;:&quot;&quot;},{&quot;family&quot;:&quot;Tu&quot;,&quot;given&quot;:&quot;Weiming&quot;,&quot;parse-names&quot;:false,&quot;dropping-particle&quot;:&quot;&quot;,&quot;non-dropping-particle&quot;:&quot;&quot;},{&quot;family&quot;:&quot;Wang&quot;,&quot;given&quot;:&quot;Hui&quot;,&quot;parse-names&quot;:false,&quot;dropping-particle&quot;:&quot;&quot;,&quot;non-dropping-particle&quot;:&quot;&quot;}],&quot;container-title&quot;:&quot;Bioresource Technology&quot;,&quot;DOI&quot;:&quot;10.1016/j.biortech.2019.01.077&quot;,&quot;ISSN&quot;:&quot;18732976&quot;,&quot;PMID&quot;:&quot;30711757&quot;,&quot;issued&quot;:{&quot;date-parts&quot;:[[2019,5,1]]},&quot;page&quot;:&quot;92-100&quot;,&quot;abstract&quot;:&quot;The study compared the differences in VFAs production between raw sludge and thermal hydrolyzed sludge (TH-sludge) at different temperature (35 °C and 55 °C) in four semi-continuous acidification reactors. Optimal VFAs yield was obtained from TH-sludge at 35 °C (0.22 gVFACOD/gVS), 44.6% higher than raw sludge at 35 °C, since the advantage of TH-sludge in SCOD solubilization overcame its disadvantage of lower carbon biodegradability. Moreover, high temperature (55 °C) was proved to aid the acidification of raw sludge by 15.7% (in YVFAs), but inhibit that of TH-sludge by 12.2%, mainly due to the suppressed microbial activities under heat. Microbial community analysis showed that TH-sludge had a larger proportion of acidogenic microbes than raw sludge, mainly attributing to the increase of Selenomonadales (37.3% vs. 3.7%); high temperature enriched thermophilic proteolytic microbes, Anaerobaculum and Coprothermobacter. Finally, optimal acidified liquid from TH-sludge at 35 °C was applied for PHAs production and achieved a competitive yield of 34.6% PHAs/DCW.&quot;,&quot;publisher&quot;:&quot;Elsevier Ltd&quot;,&quot;volume&quot;:&quot;279&quot;,&quot;container-title-short&quot;:&quot;Bioresour Technol&quot;}}],&quot;manualOverride&quot;:{&quot;isManuallyOverridden&quot;:false,&quot;manualOverrideText&quot;:&quot;&quot;,&quot;citeprocText&quot;:&quot;(Niero, Morgan-Sagastume, and Lagerkvist 2021; D. Zhang et al. 2019)&quot;}},{&quot;properties&quot;:{&quot;noteIndex&quot;:0},&quot;citationID&quot;:&quot;MENDELEY_CITATION_043d429c-f317-4e0a-a0db-c58da62a8d82&quot;,&quot;isEdited&quot;:false,&quot;citationTag&quot;:&quot;MENDELEY_CITATION_v3_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&quot;,&quot;citationItems&quot;:[{&quot;id&quot;:&quot;4de87801-f23a-39ea-8773-4604fb0f47bd&quot;,&quot;isTemporary&quot;:false,&quot;itemData&quot;:{&quot;type&quot;:&quot;article-journal&quot;,&quot;id&quot;:&quot;4de87801-f23a-39ea-8773-4604fb0f47bd&quot;,&quot;title&quot;:&quot;Accelerating acidogenic fermentation of sewage sludge with ash addition&quot;,&quot;author&quot;:[{&quot;family&quot;:&quot;Niero&quot;,&quot;given&quot;:&quot;Luisa&quot;,&quot;parse-names&quot;:false,&quot;dropping-particle&quot;:&quot;&quot;,&quot;non-dropping-particle&quot;:&quot;&quot;},{&quot;family&quot;:&quot;Morgan-Sagastume&quot;,&quot;given&quot;:&quot;Fernando&quot;,&quot;parse-names&quot;:false,&quot;dropping-particle&quot;:&quot;&quot;,&quot;non-dropping-particle&quot;:&quot;&quot;},{&quot;family&quot;:&quot;Lagerkvist&quot;,&quot;given&quot;:&quot;Anders&quot;,&quot;parse-names&quot;:false,&quot;dropping-particle&quot;:&quot;&quot;,&quot;non-dropping-particle&quot;:&quot;&quot;}],&quot;container-title&quot;:&quot;Journal of Environmental Chemical Engineering&quot;,&quot;DOI&quot;:&quot;10.1016/j.jece.2021.106564&quot;,&quot;ISSN&quot;:&quot;22133437&quot;,&quot;issued&quot;:{&quot;date-parts&quot;:[[2021,12,1]]},&quot;abstract&quot;:&quot;A statistically designed range of tests was used in order to map the impact of time, temperature and pH on the acidogenic fermentation of sewage sludge with the addition of wood fly ash. The main factors investigated were temperature (35, 55 and 65 °C), pH (7, 8 and 8.5) and retention time (1, 2 and 4 days). The initial pH was adjusted by adding ash. Up to about a third of the volatile solids could be solubilized in less than two days retention time. Higher temperatures (55 and 65 °C) and adjusted pH (7 and 8) favored hydrolysis whereas fermentation producing organic acids was faster at lower temperatures (35 °C). Sludge hydrolysis occurred fast at 55 and 65 °C, reaching a solubilized total organic carbon (TOC) concentration of 3.84 g TOC L−1 after one day. Thermophilic conditions (55 and 65 °C) resulted in a lower volatile fatty acids (VFA) concentration compared to mesophilic conditions (35 °C). At 35 °C, the highest VFA concentration was measured after 4 days and initial pH 7 (10.0 ± 0.2 g COD L−1). This study showed the potential of using a waste stream to increase and hasten the hydrolysis of particulate organics, resulting in higher TOC solubilized in 2 days, while promoting a higher VFA production presented as g COD L−1.&quot;,&quot;publisher&quot;:&quot;Elsevier Ltd&quot;,&quot;issue&quot;:&quot;6&quot;,&quot;volume&quot;:&quot;9&quot;,&quot;container-title-short&quot;:&quot;J Environ Chem Eng&quot;}},{&quot;id&quot;:&quot;c735f8f2-1065-3816-9fd3-912399344e0e&quot;,&quot;isTemporary&quot;:false,&quot;itemData&quot;:{&quot;type&quot;:&quot;article-journal&quot;,&quot;id&quot;:&quot;c735f8f2-1065-3816-9fd3-912399344e0e&quot;,&quot;title&quot;:&quot;Effect of thermal hydrolysis pretreatment on volatile fatty acids production in sludge acidification and subsequent polyhydroxyalkanoates production&quot;,&quot;author&quot;:[{&quot;family&quot;:&quot;Zhang&quot;,&quot;given&quot;:&quot;Dandan&quot;,&quot;parse-names&quot;:false,&quot;dropping-particle&quot;:&quot;&quot;,&quot;non-dropping-particle&quot;:&quot;&quot;},{&quot;family&quot;:&quot;Jiang&quot;,&quot;given&quot;:&quot;Houlin&quot;,&quot;parse-names&quot;:false,&quot;dropping-particle&quot;:&quot;&quot;,&quot;non-dropping-particle&quot;:&quot;&quot;},{&quot;family&quot;:&quot;Chang&quot;,&quot;given&quot;:&quot;Jing&quot;,&quot;parse-names&quot;:false,&quot;dropping-particle&quot;:&quot;&quot;,&quot;non-dropping-particle&quot;:&quot;&quot;},{&quot;family&quot;:&quot;Sun&quot;,&quot;given&quot;:&quot;Jiao&quot;,&quot;parse-names&quot;:false,&quot;dropping-particle&quot;:&quot;&quot;,&quot;non-dropping-particle&quot;:&quot;&quot;},{&quot;family&quot;:&quot;Tu&quot;,&quot;given&quot;:&quot;Weiming&quot;,&quot;parse-names&quot;:false,&quot;dropping-particle&quot;:&quot;&quot;,&quot;non-dropping-particle&quot;:&quot;&quot;},{&quot;family&quot;:&quot;Wang&quot;,&quot;given&quot;:&quot;Hui&quot;,&quot;parse-names&quot;:false,&quot;dropping-particle&quot;:&quot;&quot;,&quot;non-dropping-particle&quot;:&quot;&quot;}],&quot;container-title&quot;:&quot;Bioresource Technology&quot;,&quot;DOI&quot;:&quot;10.1016/j.biortech.2019.01.077&quot;,&quot;ISSN&quot;:&quot;18732976&quot;,&quot;PMID&quot;:&quot;30711757&quot;,&quot;issued&quot;:{&quot;date-parts&quot;:[[2019,5,1]]},&quot;page&quot;:&quot;92-100&quot;,&quot;abstract&quot;:&quot;The study compared the differences in VFAs production between raw sludge and thermal hydrolyzed sludge (TH-sludge) at different temperature (35 °C and 55 °C) in four semi-continuous acidification reactors. Optimal VFAs yield was obtained from TH-sludge at 35 °C (0.22 gVFACOD/gVS), 44.6% higher than raw sludge at 35 °C, since the advantage of TH-sludge in SCOD solubilization overcame its disadvantage of lower carbon biodegradability. Moreover, high temperature (55 °C) was proved to aid the acidification of raw sludge by 15.7% (in YVFAs), but inhibit that of TH-sludge by 12.2%, mainly due to the suppressed microbial activities under heat. Microbial community analysis showed that TH-sludge had a larger proportion of acidogenic microbes than raw sludge, mainly attributing to the increase of Selenomonadales (37.3% vs. 3.7%); high temperature enriched thermophilic proteolytic microbes, Anaerobaculum and Coprothermobacter. Finally, optimal acidified liquid from TH-sludge at 35 °C was applied for PHAs production and achieved a competitive yield of 34.6% PHAs/DCW.&quot;,&quot;publisher&quot;:&quot;Elsevier Ltd&quot;,&quot;volume&quot;:&quot;279&quot;,&quot;container-title-short&quot;:&quot;Bioresour Technol&quot;}}],&quot;manualOverride&quot;:{&quot;isManuallyOverridden&quot;:false,&quot;manualOverrideText&quot;:&quot;&quot;,&quot;citeprocText&quot;:&quot;(Niero, Morgan-Sagastume, and Lagerkvist 2021; D. Zhang et al. 2019)&quot;}},{&quot;properties&quot;:{&quot;noteIndex&quot;:0},&quot;citationID&quot;:&quot;MENDELEY_CITATION_61f84f41-e719-4ebc-85f6-d7e13ff5996d&quot;,&quot;isEdited&quot;:false,&quot;citationTag&quot;:&quot;MENDELEY_CITATION_v3_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&quot;,&quot;citationItems&quot;:[{&quot;id&quot;:&quot;4d22c4bd-3f8f-3c30-b409-e4b48d95289b&quot;,&quot;isTemporary&quot;:false,&quot;itemData&quot;:{&quot;type&quot;:&quot;chapter&quot;,&quot;id&quot;:&quot;4d22c4bd-3f8f-3c30-b409-e4b48d95289b&quot;,&quot;title&quot;:&quot;Acidogenic fermentation of organic wastes for production of volatile fatty acids&quot;,&quot;author&quot;:[{&quot;family&quot;:&quot;Zhang&quot;,&quot;given&quot;:&quot;Le&quot;,&quot;parse-names&quot;:false,&quot;dropping-particle&quot;:&quot;&quot;,&quot;non-dropping-particle&quot;:&quot;&quot;},{&quot;family&quot;:&quot;Tsui&quot;,&quot;given&quot;:&quot;To Hung&quot;,&quot;parse-names&quot;:false,&quot;dropping-particle&quot;:&quot;&quot;,&quot;non-dropping-particle&quot;:&quot;&quot;},{&quot;family&quot;:&quot;Loh&quot;,&quot;given&quot;:&quot;Kai Chee&quot;,&quot;parse-names&quot;:false,&quot;dropping-particle&quot;:&quot;&quot;,&quot;non-dropping-particle&quot;:&quot;&quot;},{&quot;family&quot;:&quot;Dai&quot;,&quot;given&quot;:&quot;Yanjun&quot;,&quot;parse-names&quot;:false,&quot;dropping-particle&quot;:&quot;&quot;,&quot;non-dropping-particle&quot;:&quot;&quot;},{&quot;family&quot;:&quot;Tong&quot;,&quot;given&quot;:&quot;Yen Wah&quot;,&quot;parse-names&quot;:false,&quot;dropping-particle&quot;:&quot;&quot;,&quot;non-dropping-particle&quot;:&quot;&quot;}],&quot;container-title&quot;:&quot;Biomass, Biofuels, Biochemicals: Microbial Fermentation of Biowastes&quot;,&quot;DOI&quot;:&quot;10.1016/B978-0-323-90633-3.00005-5&quot;,&quot;ISBN&quot;:&quot;9780323906333&quot;,&quot;issued&quot;:{&quot;date-parts&quot;:[[2022,1,1]]},&quot;page&quot;:&quot;343-366&quot;,&quot;abstract&quot;:&quot;Volatile fatty acids (VFAs) and their derivatives have value-added applications in the bioenergy and chemical industries. Common VFAs mainly comprise acetic acid (C2), propionic acid (C3), butyric acid (C4), valeric acid (C5), caproic acid (C6), etc. The sustainable production of VFAs from renewable biomass resource (e.g., biowastes) via microbial fermentation has attracted substantial attention. A series of studies on acidogenic fermentation of biowastes involving carbon sources, process conditions, bioreactor design, VFA separation methods, and subsequent applications have been performed over the recent years. This book chapter summarizes current research progress in acidogenic fermentation of biowastes for production of VFAs. Related technical theories, substrates, evaluations, bioreactor configuration, operating parameters, and VFA enhancement and recovery strategies as well as subsequent novel applications of VFAs are focused on. Finally, the future perspectives on sustainable biowastes conversion and VFAs application are also highlighted.&quot;,&quot;publisher&quot;:&quot;Elsevier&quot;,&quot;container-title-short&quot;:&quot;&quot;}}],&quot;manualOverride&quot;:{&quot;manualOverrideText&quot;:&quot;&quot;,&quot;isManuallyOverridden&quot;:false,&quot;citeprocText&quot;:&quot;(L. Zhang et al. 2022)&quot;}},{&quot;properties&quot;:{&quot;noteIndex&quot;:0},&quot;citationID&quot;:&quot;MENDELEY_CITATION_553b2913-ce43-42a8-89a8-d0144806e556&quot;,&quot;isEdited&quot;:false,&quot;citationTag&quot;:&quot;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&quot;,&quot;citationItems&quot;:[{&quot;id&quot;:&quot;95d36c00-c4b7-388b-b93d-11dd6de06b30&quot;,&quot;isTemporary&quot;:false,&quot;itemData&quot;:{&quot;type&quot;:&quot;article-journal&quot;,&quot;id&quot;:&quot;95d36c00-c4b7-388b-b93d-11dd6de06b30&quot;,&quot;title&quot;:&quot;Influence of volatile solids and pH for the production of volatile fatty acids: Batch fermentation tests using sewage sludge&quot;,&quot;author&quot;:[{&quot;family&quot;:&quot;Presti&quot;,&quot;given&quot;:&quot;Dario&quot;,&quot;parse-names&quot;:false,&quot;dropping-particle&quot;:&quot;&quot;,&quot;non-dropping-particle&quot;:&quot;&quot;},{&quot;family&quot;:&quot;Cosenza&quot;,&quot;given&quot;:&quot;Alida&quot;,&quot;parse-names&quot;:false,&quot;dropping-particle&quot;:&quot;&quot;,&quot;non-dropping-particle&quot;:&quot;&quot;},{&quot;family&quot;:&quot;Capri&quot;,&quot;given&quot;:&quot;Fanny Claire&quot;,&quot;parse-names&quot;:false,&quot;dropping-particle&quot;:&quot;&quot;,&quot;non-dropping-particle&quot;:&quot;&quot;},{&quot;family&quot;:&quot;Gallo&quot;,&quot;given&quot;:&quot;Giuseppe&quot;,&quot;parse-names&quot;:false,&quot;dropping-particle&quot;:&quot;&quot;,&quot;non-dropping-particle&quot;:&quot;&quot;},{&quot;family&quot;:&quot;Alduina&quot;,&quot;given&quot;:&quot;Rosa&quot;,&quot;parse-names&quot;:false,&quot;dropping-particle&quot;:&quot;&quot;,&quot;non-dropping-particle&quot;:&quot;&quot;},{&quot;family&quot;:&quot;Mannina&quot;,&quot;given&quot;:&quot;Giorgio&quot;,&quot;parse-names&quot;:false,&quot;dropping-particle&quot;:&quot;&quot;,&quot;non-dropping-particle&quot;:&quot;&quot;}],&quot;container-title&quot;:&quot;Bioresource Technology&quot;,&quot;DOI&quot;:&quot;10.1016/j.biortech.2021.125853&quot;,&quot;ISSN&quot;:&quot;18732976&quot;,&quot;PMID&quot;:&quot;34536841&quot;,&quot;issued&quot;:{&quot;date-parts&quot;:[[2021,12,1]]},&quot;abstract&quot;:&quot;The aim of this work was to study the effect of volatile suspended solid (VSS) and pH on volatile fatty acids (VFA) production from waste activated sludge (WAS) fermentation by means of batch tests. The final goal was to gain insights to enhance VFA stream quality, with the novelty of using WAS with high sludge retention time. Results revealed that the optimum conditions to maximize VFAs and minimize nutrients and non-VFA sCOD are a VSS concentration of 5.9 g/L and initial pH adjustment to pH 10. The WAS bacterial community structures were analysed according to Next Generation Sequencing (NGS) of 16S rDNA amplicons. The results revealed changes of bacterial phyla abundance in comparison with the batch test starting condition.&quot;,&quot;publisher&quot;:&quot;Elsevier Ltd&quot;,&quot;volume&quot;:&quot;342&quot;,&quot;container-title-short&quot;:&quot;Bioresour Technol&quot;}},{&quot;id&quot;:&quot;6c326b99-1a2b-38d0-bfd2-7311403eb7f1&quot;,&quot;isTemporary&quot;:false,&quot;itemData&quot;:{&quot;type&quot;:&quot;article-journal&quot;,&quot;id&quot;:&quot;6c326b99-1a2b-38d0-bfd2-7311403eb7f1&quot;,&quot;title&quot;:&quot;Integrated production of polyhydroxyalkanoates (PHAs) with municipal wastewater and sludge treatment at pilot scale&quot;,&quot;author&quot;:[{&quot;family&quot;:&quot;Morgan-Sagastume&quot;,&quot;given&quot;:&quot;F.&quot;,&quot;parse-names&quot;:false,&quot;dropping-particle&quot;:&quot;&quot;,&quot;non-dropping-particle&quot;:&quot;&quot;},{&quot;family&quot;:&quot;Hjort&quot;,&quot;given&quot;:&quot;M.&quot;,&quot;parse-names&quot;:false,&quot;dropping-particle&quot;:&quot;&quot;,&quot;non-dropping-particle&quot;:&quot;&quot;},{&quot;family&quot;:&quot;Cirne&quot;,&quot;given&quot;:&quot;D.&quot;,&quot;parse-names&quot;:false,&quot;dropping-particle&quot;:&quot;&quot;,&quot;non-dropping-particle&quot;:&quot;&quot;},{&quot;family&quot;:&quot;Gérardin&quot;,&quot;given&quot;:&quot;F.&quot;,&quot;parse-names&quot;:false,&quot;dropping-particle&quot;:&quot;&quot;,&quot;non-dropping-particle&quot;:&quot;&quot;},{&quot;family&quot;:&quot;Lacroix&quot;,&quot;given&quot;:&quot;S.&quot;,&quot;parse-names&quot;:false,&quot;dropping-particle&quot;:&quot;&quot;,&quot;non-dropping-particle&quot;:&quot;&quot;},{&quot;family&quot;:&quot;Gaval&quot;,&quot;given&quot;:&quot;G.&quot;,&quot;parse-names&quot;:false,&quot;dropping-particle&quot;:&quot;&quot;,&quot;non-dropping-particle&quot;:&quot;&quot;},{&quot;family&quot;:&quot;Karabegovic&quot;,&quot;given&quot;:&quot;L.&quot;,&quot;parse-names&quot;:false,&quot;dropping-particle&quot;:&quot;&quot;,&quot;non-dropping-particle&quot;:&quot;&quot;},{&quot;family&quot;:&quot;Alexandersson&quot;,&quot;given&quot;:&quot;T.&quot;,&quot;parse-names&quot;:false,&quot;dropping-particle&quot;:&quot;&quot;,&quot;non-dropping-particle&quot;:&quot;&quot;},{&quot;family&quot;:&quot;Johansson&quot;,&quot;given&quot;:&quot;P.&quot;,&quot;parse-names&quot;:false,&quot;dropping-particle&quot;:&quot;&quot;,&quot;non-dropping-particle&quot;:&quot;&quot;},{&quot;family&quot;:&quot;Karlsson&quot;,&quot;given&quot;:&quot;A.&quot;,&quot;parse-names&quot;:false,&quot;dropping-particle&quot;:&quot;&quot;,&quot;non-dropping-particle&quot;:&quot;&quot;},{&quot;family&quot;:&quot;Bengtsson&quot;,&quot;given&quot;:&quot;S.&quot;,&quot;parse-names&quot;:false,&quot;dropping-particle&quot;:&quot;&quot;,&quot;non-dropping-particle&quot;:&quot;&quot;},{&quot;family&quot;:&quot;Arcos-Hernández&quot;,&quot;given&quot;:&quot;M.&quot;,&quot;parse-names&quot;:false,&quot;dropping-particle&quot;:&quot;v.&quot;,&quot;non-dropping-particle&quot;:&quot;&quot;},{&quot;family&quot;:&quot;Magnusson&quot;,&quot;given&quot;:&quot;P.&quot;,&quot;parse-names&quot;:false,&quot;dropping-particle&quot;:&quot;&quot;,&quot;non-dropping-particle&quot;:&quot;&quot;},{&quot;family&quot;:&quot;Werker&quot;,&quot;given&quot;:&quot;A.&quot;,&quot;parse-names&quot;:false,&quot;dropping-particle&quot;:&quot;&quot;,&quot;non-dropping-particle&quot;:&quot;&quot;}],&quot;container-title&quot;:&quot;Bioresource Technology&quot;,&quot;DOI&quot;:&quot;10.1016/j.biortech.2015.01.046&quot;,&quot;ISSN&quot;:&quot;18732976&quot;,&quot;PMID&quot;:&quot;25638407&quot;,&quot;issued&quot;:{&quot;date-parts&quot;:[[2015,4,1]]},&quot;page&quot;:&quot;78-89&quot;,&quot;abstract&quot;:&quot;A pilot-scale process was operated over 22months at the Brussels North Wastewater Treatment Plant (WWTP) in order to evaluate polyhydroxyalkanoate (PHA) production integration with services of municipal wastewater and sludge management. Activated sludge was produced with PHA accumulation potential (PAP) by applying feast-famine selection while treating the readily biodegradable COD from influent wastewater (average removals of 70% COD, 60% CODsol, 24% nitrogen, and 46% phosphorus). The biomass PAP was evaluated to be in excess of 0.4gPHA/gVSS. Batch fermentation of full-scale WWTP sludge at selected temperatures (35, 42 and 55°C) produced centrate (6-9.4gCODVFA/L) of consistent VFA composition, with optimal fermentation performance at 42°C. Centrate was used to accumulate PHA up to 0.39gPHA/gVSS. The centrate nutrients are a challenge to the accumulation process but producing a biomass with 0.5gPHA/gVSS is considered to be realistically achievable within the typically available carbon flows at municipal waste management facilities.&quot;,&quot;publisher&quot;:&quot;Elsevier Ltd&quot;,&quot;volume&quot;:&quot;181&quot;,&quot;container-title-short&quot;:&quot;Bioresour Technol&quot;}},{&quot;id&quot;:&quot;4de87801-f23a-39ea-8773-4604fb0f47bd&quot;,&quot;isTemporary&quot;:false,&quot;itemData&quot;:{&quot;type&quot;:&quot;article-journal&quot;,&quot;id&quot;:&quot;4de87801-f23a-39ea-8773-4604fb0f47bd&quot;,&quot;title&quot;:&quot;Accelerating acidogenic fermentation of sewage sludge with ash addition&quot;,&quot;author&quot;:[{&quot;family&quot;:&quot;Niero&quot;,&quot;given&quot;:&quot;Luisa&quot;,&quot;parse-names&quot;:false,&quot;dropping-particle&quot;:&quot;&quot;,&quot;non-dropping-particle&quot;:&quot;&quot;},{&quot;family&quot;:&quot;Morgan-Sagastume&quot;,&quot;given&quot;:&quot;Fernando&quot;,&quot;parse-names&quot;:false,&quot;dropping-particle&quot;:&quot;&quot;,&quot;non-dropping-particle&quot;:&quot;&quot;},{&quot;family&quot;:&quot;Lagerkvist&quot;,&quot;given&quot;:&quot;Anders&quot;,&quot;parse-names&quot;:false,&quot;dropping-particle&quot;:&quot;&quot;,&quot;non-dropping-particle&quot;:&quot;&quot;}],&quot;container-title&quot;:&quot;Journal of Environmental Chemical Engineering&quot;,&quot;DOI&quot;:&quot;10.1016/j.jece.2021.106564&quot;,&quot;ISSN&quot;:&quot;22133437&quot;,&quot;issued&quot;:{&quot;date-parts&quot;:[[2021,12,1]]},&quot;abstract&quot;:&quot;A statistically designed range of tests was used in order to map the impact of time, temperature and pH on the acidogenic fermentation of sewage sludge with the addition of wood fly ash. The main factors investigated were temperature (35, 55 and 65 °C), pH (7, 8 and 8.5) and retention time (1, 2 and 4 days). The initial pH was adjusted by adding ash. Up to about a third of the volatile solids could be solubilized in less than two days retention time. Higher temperatures (55 and 65 °C) and adjusted pH (7 and 8) favored hydrolysis whereas fermentation producing organic acids was faster at lower temperatures (35 °C). Sludge hydrolysis occurred fast at 55 and 65 °C, reaching a solubilized total organic carbon (TOC) concentration of 3.84 g TOC L−1 after one day. Thermophilic conditions (55 and 65 °C) resulted in a lower volatile fatty acids (VFA) concentration compared to mesophilic conditions (35 °C). At 35 °C, the highest VFA concentration was measured after 4 days and initial pH 7 (10.0 ± 0.2 g COD L−1). This study showed the potential of using a waste stream to increase and hasten the hydrolysis of particulate organics, resulting in higher TOC solubilized in 2 days, while promoting a higher VFA production presented as g COD L−1.&quot;,&quot;publisher&quot;:&quot;Elsevier Ltd&quot;,&quot;issue&quot;:&quot;6&quot;,&quot;volume&quot;:&quot;9&quot;,&quot;container-title-short&quot;:&quot;J Environ Chem Eng&quot;}},{&quot;id&quot;:&quot;c735f8f2-1065-3816-9fd3-912399344e0e&quot;,&quot;isTemporary&quot;:false,&quot;itemData&quot;:{&quot;type&quot;:&quot;article-journal&quot;,&quot;id&quot;:&quot;c735f8f2-1065-3816-9fd3-912399344e0e&quot;,&quot;title&quot;:&quot;Effect of thermal hydrolysis pretreatment on volatile fatty acids production in sludge acidification and subsequent polyhydroxyalkanoates production&quot;,&quot;author&quot;:[{&quot;family&quot;:&quot;Zhang&quot;,&quot;given&quot;:&quot;Dandan&quot;,&quot;parse-names&quot;:false,&quot;dropping-particle&quot;:&quot;&quot;,&quot;non-dropping-particle&quot;:&quot;&quot;},{&quot;family&quot;:&quot;Jiang&quot;,&quot;given&quot;:&quot;Houlin&quot;,&quot;parse-names&quot;:false,&quot;dropping-particle&quot;:&quot;&quot;,&quot;non-dropping-particle&quot;:&quot;&quot;},{&quot;family&quot;:&quot;Chang&quot;,&quot;given&quot;:&quot;Jing&quot;,&quot;parse-names&quot;:false,&quot;dropping-particle&quot;:&quot;&quot;,&quot;non-dropping-particle&quot;:&quot;&quot;},{&quot;family&quot;:&quot;Sun&quot;,&quot;given&quot;:&quot;Jiao&quot;,&quot;parse-names&quot;:false,&quot;dropping-particle&quot;:&quot;&quot;,&quot;non-dropping-particle&quot;:&quot;&quot;},{&quot;family&quot;:&quot;Tu&quot;,&quot;given&quot;:&quot;Weiming&quot;,&quot;parse-names&quot;:false,&quot;dropping-particle&quot;:&quot;&quot;,&quot;non-dropping-particle&quot;:&quot;&quot;},{&quot;family&quot;:&quot;Wang&quot;,&quot;given&quot;:&quot;Hui&quot;,&quot;parse-names&quot;:false,&quot;dropping-particle&quot;:&quot;&quot;,&quot;non-dropping-particle&quot;:&quot;&quot;}],&quot;container-title&quot;:&quot;Bioresource Technology&quot;,&quot;DOI&quot;:&quot;10.1016/j.biortech.2019.01.077&quot;,&quot;ISSN&quot;:&quot;18732976&quot;,&quot;PMID&quot;:&quot;30711757&quot;,&quot;issued&quot;:{&quot;date-parts&quot;:[[2019,5,1]]},&quot;page&quot;:&quot;92-100&quot;,&quot;abstract&quot;:&quot;The study compared the differences in VFAs production between raw sludge and thermal hydrolyzed sludge (TH-sludge) at different temperature (35 °C and 55 °C) in four semi-continuous acidification reactors. Optimal VFAs yield was obtained from TH-sludge at 35 °C (0.22 gVFACOD/gVS), 44.6% higher than raw sludge at 35 °C, since the advantage of TH-sludge in SCOD solubilization overcame its disadvantage of lower carbon biodegradability. Moreover, high temperature (55 °C) was proved to aid the acidification of raw sludge by 15.7% (in YVFAs), but inhibit that of TH-sludge by 12.2%, mainly due to the suppressed microbial activities under heat. Microbial community analysis showed that TH-sludge had a larger proportion of acidogenic microbes than raw sludge, mainly attributing to the increase of Selenomonadales (37.3% vs. 3.7%); high temperature enriched thermophilic proteolytic microbes, Anaerobaculum and Coprothermobacter. Finally, optimal acidified liquid from TH-sludge at 35 °C was applied for PHAs production and achieved a competitive yield of 34.6% PHAs/DCW.&quot;,&quot;publisher&quot;:&quot;Elsevier Ltd&quot;,&quot;volume&quot;:&quot;279&quot;,&quot;container-title-short&quot;:&quot;Bioresour Technol&quot;}}],&quot;manualOverride&quot;:{&quot;isManuallyOverridden&quot;:false,&quot;manualOverrideText&quot;:&quot;&quot;,&quot;citeprocText&quot;:&quot;(Presti et al. 2021; Morgan-Sagastume et al. 2015; Niero, Morgan-Sagastume, and Lagerkvist 2021; D. Zhang et al. 2019)&quot;}},{&quot;properties&quot;:{&quot;noteIndex&quot;:0},&quot;citationID&quot;:&quot;MENDELEY_CITATION_c7f2b0c4-56cd-4842-928a-fc36b5bb2134&quot;,&quot;isEdited&quot;:false,&quot;citationTag&quot;:&quot;MENDELEY_CITATION_v3_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&quot;,&quot;citationItems&quot;:[{&quot;id&quot;:&quot;6c326b99-1a2b-38d0-bfd2-7311403eb7f1&quot;,&quot;isTemporary&quot;:false,&quot;itemData&quot;:{&quot;type&quot;:&quot;article-journal&quot;,&quot;id&quot;:&quot;6c326b99-1a2b-38d0-bfd2-7311403eb7f1&quot;,&quot;title&quot;:&quot;Integrated production of polyhydroxyalkanoates (PHAs) with municipal wastewater and sludge treatment at pilot scale&quot;,&quot;author&quot;:[{&quot;family&quot;:&quot;Morgan-Sagastume&quot;,&quot;given&quot;:&quot;F.&quot;,&quot;parse-names&quot;:false,&quot;dropping-particle&quot;:&quot;&quot;,&quot;non-dropping-particle&quot;:&quot;&quot;},{&quot;family&quot;:&quot;Hjort&quot;,&quot;given&quot;:&quot;M.&quot;,&quot;parse-names&quot;:false,&quot;dropping-particle&quot;:&quot;&quot;,&quot;non-dropping-particle&quot;:&quot;&quot;},{&quot;family&quot;:&quot;Cirne&quot;,&quot;given&quot;:&quot;D.&quot;,&quot;parse-names&quot;:false,&quot;dropping-particle&quot;:&quot;&quot;,&quot;non-dropping-particle&quot;:&quot;&quot;},{&quot;family&quot;:&quot;Gérardin&quot;,&quot;given&quot;:&quot;F.&quot;,&quot;parse-names&quot;:false,&quot;dropping-particle&quot;:&quot;&quot;,&quot;non-dropping-particle&quot;:&quot;&quot;},{&quot;family&quot;:&quot;Lacroix&quot;,&quot;given&quot;:&quot;S.&quot;,&quot;parse-names&quot;:false,&quot;dropping-particle&quot;:&quot;&quot;,&quot;non-dropping-particle&quot;:&quot;&quot;},{&quot;family&quot;:&quot;Gaval&quot;,&quot;given&quot;:&quot;G.&quot;,&quot;parse-names&quot;:false,&quot;dropping-particle&quot;:&quot;&quot;,&quot;non-dropping-particle&quot;:&quot;&quot;},{&quot;family&quot;:&quot;Karabegovic&quot;,&quot;given&quot;:&quot;L.&quot;,&quot;parse-names&quot;:false,&quot;dropping-particle&quot;:&quot;&quot;,&quot;non-dropping-particle&quot;:&quot;&quot;},{&quot;family&quot;:&quot;Alexandersson&quot;,&quot;given&quot;:&quot;T.&quot;,&quot;parse-names&quot;:false,&quot;dropping-particle&quot;:&quot;&quot;,&quot;non-dropping-particle&quot;:&quot;&quot;},{&quot;family&quot;:&quot;Johansson&quot;,&quot;given&quot;:&quot;P.&quot;,&quot;parse-names&quot;:false,&quot;dropping-particle&quot;:&quot;&quot;,&quot;non-dropping-particle&quot;:&quot;&quot;},{&quot;family&quot;:&quot;Karlsson&quot;,&quot;given&quot;:&quot;A.&quot;,&quot;parse-names&quot;:false,&quot;dropping-particle&quot;:&quot;&quot;,&quot;non-dropping-particle&quot;:&quot;&quot;},{&quot;family&quot;:&quot;Bengtsson&quot;,&quot;given&quot;:&quot;S.&quot;,&quot;parse-names&quot;:false,&quot;dropping-particle&quot;:&quot;&quot;,&quot;non-dropping-particle&quot;:&quot;&quot;},{&quot;family&quot;:&quot;Arcos-Hernández&quot;,&quot;given&quot;:&quot;M.&quot;,&quot;parse-names&quot;:false,&quot;dropping-particle&quot;:&quot;v.&quot;,&quot;non-dropping-particle&quot;:&quot;&quot;},{&quot;family&quot;:&quot;Magnusson&quot;,&quot;given&quot;:&quot;P.&quot;,&quot;parse-names&quot;:false,&quot;dropping-particle&quot;:&quot;&quot;,&quot;non-dropping-particle&quot;:&quot;&quot;},{&quot;family&quot;:&quot;Werker&quot;,&quot;given&quot;:&quot;A.&quot;,&quot;parse-names&quot;:false,&quot;dropping-particle&quot;:&quot;&quot;,&quot;non-dropping-particle&quot;:&quot;&quot;}],&quot;container-title&quot;:&quot;Bioresource Technology&quot;,&quot;DOI&quot;:&quot;10.1016/j.biortech.2015.01.046&quot;,&quot;ISSN&quot;:&quot;18732976&quot;,&quot;PMID&quot;:&quot;25638407&quot;,&quot;issued&quot;:{&quot;date-parts&quot;:[[2015,4,1]]},&quot;page&quot;:&quot;78-89&quot;,&quot;abstract&quot;:&quot;A pilot-scale process was operated over 22months at the Brussels North Wastewater Treatment Plant (WWTP) in order to evaluate polyhydroxyalkanoate (PHA) production integration with services of municipal wastewater and sludge management. Activated sludge was produced with PHA accumulation potential (PAP) by applying feast-famine selection while treating the readily biodegradable COD from influent wastewater (average removals of 70% COD, 60% CODsol, 24% nitrogen, and 46% phosphorus). The biomass PAP was evaluated to be in excess of 0.4gPHA/gVSS. Batch fermentation of full-scale WWTP sludge at selected temperatures (35, 42 and 55°C) produced centrate (6-9.4gCODVFA/L) of consistent VFA composition, with optimal fermentation performance at 42°C. Centrate was used to accumulate PHA up to 0.39gPHA/gVSS. The centrate nutrients are a challenge to the accumulation process but producing a biomass with 0.5gPHA/gVSS is considered to be realistically achievable within the typically available carbon flows at municipal waste management facilities.&quot;,&quot;publisher&quot;:&quot;Elsevier Ltd&quot;,&quot;volume&quot;:&quot;181&quot;,&quot;container-title-short&quot;:&quot;Bioresour Technol&quot;}}],&quot;manualOverride&quot;:{&quot;isManuallyOverridden&quot;:false,&quot;manualOverrideText&quot;:&quot;&quot;,&quot;citeprocText&quot;:&quot;(Morgan-Sagastume et al. 2015)&quot;}},{&quot;properties&quot;:{&quot;noteIndex&quot;:0},&quot;citationID&quot;:&quot;MENDELEY_CITATION_8ec8fdab-e110-46b2-ab8c-68369edb901a&quot;,&quot;isEdited&quot;:false,&quot;citationTag&quot;:&quot;MENDELEY_CITATION_v3_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&quot;,&quot;citationItems&quot;:[{&quot;id&quot;:&quot;4ae41a2d-1443-30af-a9b9-ba70302a5f70&quot;,&quot;isTemporary&quot;:false,&quot;itemData&quot;:{&quot;type&quot;:&quot;article-journal&quot;,&quot;id&quot;:&quot;4ae41a2d-1443-30af-a9b9-ba70302a5f70&quot;,&quot;title&quot;:&quot;Enhancing volatile fatty acids (VFA) production from food waste in a two-phases pilot-scale anaerobic digestion process&quot;,&quot;author&quot;:[{&quot;family&quot;:&quot;Valentino&quot;,&quot;given&quot;:&quot;Francesco&quot;,&quot;parse-names&quot;:false,&quot;dropping-particle&quot;:&quot;&quot;,&quot;non-dropping-particle&quot;:&quot;&quot;},{&quot;family&quot;:&quot;Munarin&quot;,&quot;given&quot;:&quot;Gianluca&quot;,&quot;parse-names&quot;:false,&quot;dropping-particle&quot;:&quot;&quot;,&quot;non-dropping-particle&quot;:&quot;&quot;},{&quot;family&quot;:&quot;Biasiolo&quot;,&quot;given&quot;:&quot;Marco&quot;,&quot;parse-names&quot;:false,&quot;dropping-particle&quot;:&quot;&quot;,&quot;non-dropping-particle&quot;:&quot;&quot;},{&quot;family&quot;:&quot;Cavinato&quot;,&quot;given&quot;:&quot;Cristina&quot;,&quot;parse-names&quot;:false,&quot;dropping-particle&quot;:&quot;&quot;,&quot;non-dropping-particle&quot;:&quot;&quot;},{&quot;family&quot;:&quot;Bolzonella&quot;,&quot;given&quot;:&quot;David&quot;,&quot;parse-names&quot;:false,&quot;dropping-particle&quot;:&quot;&quot;,&quot;non-dropping-particle&quot;:&quot;&quot;},{&quot;family&quot;:&quot;Pavan&quot;,&quot;given&quot;:&quot;Paolo&quot;,&quot;parse-names&quot;:false,&quot;dropping-particle&quot;:&quot;&quot;,&quot;non-dropping-particle&quot;:&quot;&quot;}],&quot;container-title&quot;:&quot;Journal of Environmental Chemical Engineering&quot;,&quot;DOI&quot;:&quot;10.1016/j.jece.2021.106062&quot;,&quot;ISSN&quot;:&quot;22133437&quot;,&quot;issued&quot;:{&quot;date-parts&quot;:[[2021,10,1]]},&quot;abstract&quot;:&quot;The bio-based production of added-value products and energy from waste streams while minimizing environmental impacts is a crucial aspect within the circular economy's principles. A two-phases anaerobic digestion process to produce volatile fatty acids (VFA) and biogas production in an energetically feasible manner from the organic fraction of municipal solid waste (OFMSW) has been investigated. Mesophilic temperature (T) coupled to 5.0 days as hydraulic retention time (HRT) gave a VFA-rich stream with an overall concentration of 24.4 ± 0.2 g CODVFA/L, dominated by propionic and valeric acids, and high acidification yield, being VFA close to 90% of the soluble COD. The pH was maintained around 7.0 by the digestate recirculation from the second methanation reactor (HRT of 20 days) where biogas production was quantified under mesophilic and thermophilic T. The assessment of energy balance showed the benefits to carry out the second methanation stage under thermophilic condition, having more income from electricity generation without losing the thermal sustainability of the two-phases process as a whole.&quot;,&quot;publisher&quot;:&quot;Elsevier Ltd&quot;,&quot;issue&quot;:&quot;5&quot;,&quot;volume&quot;:&quot;9&quot;,&quot;container-title-short&quot;:&quot;J Environ Chem Eng&quot;}}],&quot;manualOverride&quot;:{&quot;isManuallyOverridden&quot;:false,&quot;manualOverrideText&quot;:&quot;&quot;,&quot;citeprocText&quot;:&quot;(Valentino et al. 2021)&quot;}},{&quot;properties&quot;:{&quot;noteIndex&quot;:0},&quot;citationID&quot;:&quot;MENDELEY_CITATION_2a730e19-2ec6-46cc-8de7-f0e47fd3f510&quot;,&quot;isEdited&quot;:false,&quot;citationTag&quot;:&quot;MENDELEY_CITATION_v3_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&quot;,&quot;citationItems&quot;:[{&quot;id&quot;:&quot;5f2e9b70-5eb2-3c33-8825-97ccb3ef2595&quot;,&quot;isTemporary&quot;:false,&quot;itemData&quot;:{&quot;type&quot;:&quot;article-journal&quot;,&quot;id&quot;:&quot;5f2e9b70-5eb2-3c33-8825-97ccb3ef2595&quot;,&quot;title&quot;:&quot;Producing volatile fatty acids and polyhydroxyalkanoates from foods by-products and waste: A review&quot;,&quot;author&quot;:[{&quot;family&quot;:&quot;Gottardo&quot;,&quot;given&quot;:&quot;Marco&quot;,&quot;parse-names&quot;:false,&quot;dropping-particle&quot;:&quot;&quot;,&quot;non-dropping-particle&quot;:&quot;&quot;},{&quot;family&quot;:&quot;Bolzonella&quot;,&quot;given&quot;:&quot;David&quot;,&quot;parse-names&quot;:false,&quot;dropping-particle&quot;:&quot;&quot;,&quot;non-dropping-particle&quot;:&quot;&quot;},{&quot;family&quot;:&quot;Adele Tuci&quot;,&quot;given&quot;:&quot;Giulia&quot;,&quot;parse-names&quot;:false,&quot;dropping-particle&quot;:&quot;&quot;,&quot;non-dropping-particle&quot;:&quot;&quot;},{&quot;family&quot;:&quot;Valentino&quot;,&quot;given&quot;:&quot;Francesco&quot;,&quot;parse-names&quot;:false,&quot;dropping-particle&quot;:&quot;&quot;,&quot;non-dropping-particle&quot;:&quot;&quot;},{&quot;family&quot;:&quot;Majone&quot;,&quot;given&quot;:&quot;Mauro&quot;,&quot;parse-names&quot;:false,&quot;dropping-particle&quot;:&quot;&quot;,&quot;non-dropping-particle&quot;:&quot;&quot;},{&quot;family&quot;:&quot;Pavan&quot;,&quot;given&quot;:&quot;Paolo&quot;,&quot;parse-names&quot;:false,&quot;dropping-particle&quot;:&quot;&quot;,&quot;non-dropping-particle&quot;:&quot;&quot;},{&quot;family&quot;:&quot;Battista&quot;,&quot;given&quot;:&quot;Federico&quot;,&quot;parse-names&quot;:false,&quot;dropping-particle&quot;:&quot;&quot;,&quot;non-dropping-particle&quot;:&quot;&quot;}],&quot;container-title&quot;:&quot;Bioresource Technology&quot;,&quot;DOI&quot;:&quot;10.1016/j.biortech.2022.127716&quot;,&quot;ISSN&quot;:&quot;09608524&quot;,&quot;URL&quot;:&quot;https://linkinghub.elsevier.com/retrieve/pii/S0960852422010458&quot;,&quot;issued&quot;:{&quot;date-parts&quot;:[[2022,10]]},&quot;page&quot;:&quot;127716&quot;,&quot;volume&quot;:&quot;361&quot;,&quot;container-title-short&quot;:&quot;Bioresour Technol&quot;}}],&quot;manualOverride&quot;:{&quot;isManuallyOverridden&quot;:false,&quot;manualOverrideText&quot;:&quot;&quot;,&quot;citeprocText&quot;:&quot;(Gottardo et al. 2022)&quot;}},{&quot;properties&quot;:{&quot;noteIndex&quot;:0},&quot;citationID&quot;:&quot;MENDELEY_CITATION_82d4fef9-c74d-4b1d-b42e-06b0bdd4ea92&quot;,&quot;isEdited&quot;:false,&quot;citationTag&quot;:&quot;MENDELEY_CITATION_v3_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&quot;,&quot;citationItems&quot;:[{&quot;id&quot;:&quot;95d36c00-c4b7-388b-b93d-11dd6de06b30&quot;,&quot;isTemporary&quot;:false,&quot;itemData&quot;:{&quot;type&quot;:&quot;article-journal&quot;,&quot;id&quot;:&quot;95d36c00-c4b7-388b-b93d-11dd6de06b30&quot;,&quot;title&quot;:&quot;Influence of volatile solids and pH for the production of volatile fatty acids: Batch fermentation tests using sewage sludge&quot;,&quot;author&quot;:[{&quot;family&quot;:&quot;Presti&quot;,&quot;given&quot;:&quot;Dario&quot;,&quot;parse-names&quot;:false,&quot;dropping-particle&quot;:&quot;&quot;,&quot;non-dropping-particle&quot;:&quot;&quot;},{&quot;family&quot;:&quot;Cosenza&quot;,&quot;given&quot;:&quot;Alida&quot;,&quot;parse-names&quot;:false,&quot;dropping-particle&quot;:&quot;&quot;,&quot;non-dropping-particle&quot;:&quot;&quot;},{&quot;family&quot;:&quot;Capri&quot;,&quot;given&quot;:&quot;Fanny Claire&quot;,&quot;parse-names&quot;:false,&quot;dropping-particle&quot;:&quot;&quot;,&quot;non-dropping-particle&quot;:&quot;&quot;},{&quot;family&quot;:&quot;Gallo&quot;,&quot;given&quot;:&quot;Giuseppe&quot;,&quot;parse-names&quot;:false,&quot;dropping-particle&quot;:&quot;&quot;,&quot;non-dropping-particle&quot;:&quot;&quot;},{&quot;family&quot;:&quot;Alduina&quot;,&quot;given&quot;:&quot;Rosa&quot;,&quot;parse-names&quot;:false,&quot;dropping-particle&quot;:&quot;&quot;,&quot;non-dropping-particle&quot;:&quot;&quot;},{&quot;family&quot;:&quot;Mannina&quot;,&quot;given&quot;:&quot;Giorgio&quot;,&quot;parse-names&quot;:false,&quot;dropping-particle&quot;:&quot;&quot;,&quot;non-dropping-particle&quot;:&quot;&quot;}],&quot;container-title&quot;:&quot;Bioresource Technology&quot;,&quot;DOI&quot;:&quot;10.1016/j.biortech.2021.125853&quot;,&quot;ISSN&quot;:&quot;18732976&quot;,&quot;PMID&quot;:&quot;34536841&quot;,&quot;issued&quot;:{&quot;date-parts&quot;:[[2021,12,1]]},&quot;abstract&quot;:&quot;The aim of this work was to study the effect of volatile suspended solid (VSS) and pH on volatile fatty acids (VFA) production from waste activated sludge (WAS) fermentation by means of batch tests. The final goal was to gain insights to enhance VFA stream quality, with the novelty of using WAS with high sludge retention time. Results revealed that the optimum conditions to maximize VFAs and minimize nutrients and non-VFA sCOD are a VSS concentration of 5.9 g/L and initial pH adjustment to pH 10. The WAS bacterial community structures were analysed according to Next Generation Sequencing (NGS) of 16S rDNA amplicons. The results revealed changes of bacterial phyla abundance in comparison with the batch test starting condition.&quot;,&quot;publisher&quot;:&quot;Elsevier Ltd&quot;,&quot;volume&quot;:&quot;342&quot;,&quot;container-title-short&quot;:&quot;Bioresour Technol&quot;}}],&quot;manualOverride&quot;:{&quot;manualOverrideText&quot;:&quot;&quot;,&quot;isManuallyOverridden&quot;:false,&quot;citeprocText&quot;:&quot;(Presti et al. 2021)&quot;}},{&quot;properties&quot;:{&quot;noteIndex&quot;:0},&quot;citationID&quot;:&quot;MENDELEY_CITATION_6cd4d2d5-b837-4615-96ea-0377ec0a4eda&quot;,&quot;isEdited&quot;:false,&quot;citationTag&quot;:&quot;MENDELEY_CITATION_v3_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&quot;,&quot;citationItems&quot;:[{&quot;id&quot;:&quot;b2fe4828-0782-367c-820d-502dae3e439f&quot;,&quot;isTemporary&quot;:false,&quot;itemData&quot;:{&quot;type&quot;:&quot;article-journal&quot;,&quot;id&quot;:&quot;b2fe4828-0782-367c-820d-502dae3e439f&quot;,&quot;title&quot;:&quot;Full-scale production of VFAs from sewage sludge by anaerobic alkaline fermentation to improve biological nutrients removal in domestic wastewater&quot;,&quot;author&quot;:[{&quot;family&quot;:&quot;Liu&quot;,&quot;given&quot;:&quot;He&quot;,&quot;parse-names&quot;:false,&quot;dropping-particle&quot;:&quot;&quot;,&quot;non-dropping-particle&quot;:&quot;&quot;},{&quot;family&quot;:&quot;Han&quot;,&quot;given&quot;:&quot;Peng&quot;,&quot;parse-names&quot;:false,&quot;dropping-particle&quot;:&quot;&quot;,&quot;non-dropping-particle&quot;:&quot;&quot;},{&quot;family&quot;:&quot;Liu&quot;,&quot;given&quot;:&quot;Hongbo&quot;,&quot;parse-names&quot;:false,&quot;dropping-particle&quot;:&quot;&quot;,&quot;non-dropping-particle&quot;:&quot;&quot;},{&quot;family&quot;:&quot;Zhou&quot;,&quot;given&quot;:&quot;Guangjie&quot;,&quot;parse-names&quot;:false,&quot;dropping-particle&quot;:&quot;&quot;,&quot;non-dropping-particle&quot;:&quot;&quot;},{&quot;family&quot;:&quot;Fu&quot;,&quot;given&quot;:&quot;Bo&quot;,&quot;parse-names&quot;:false,&quot;dropping-particle&quot;:&quot;&quot;,&quot;non-dropping-particle&quot;:&quot;&quot;},{&quot;family&quot;:&quot;Zheng&quot;,&quot;given&quot;:&quot;Zhiyong&quot;,&quot;parse-names&quot;:false,&quot;dropping-particle&quot;:&quot;&quot;,&quot;non-dropping-particle&quot;:&quot;&quot;}],&quot;container-title&quot;:&quot;Bioresource Technology&quot;,&quot;DOI&quot;:&quot;10.1016/j.biortech.2018.03.105&quot;,&quot;ISSN&quot;:&quot;18732976&quot;,&quot;PMID&quot;:&quot;29625281&quot;,&quot;issued&quot;:{&quot;date-parts&quot;:[[2018,7,1]]},&quot;page&quot;:&quot;105-114&quot;,&quot;abstract&quot;:&quot;A full-scale project of thermal-alkaline pretreatment and alkaline fermentation of sewage sludge was built to produce volatile fatty acids (VFAs) which was then used as external carbon source for improving biological nitrogen and phosphorus removals (BNPR) in wastewater plant. Results showed this project had efficient and stable performances in VFA production, sludge reduce and BNPR. Hydrolysis rate in pretreatment, VFAs yield in fermentation and total VS reduction reached 68.7%, 261.32 mg COD/g VSS and 54.19%, respectively. Moreover, fermentation liquid with VFA presented similar efficiency as acetic acid in enhancing BNPR, obtaining removal efficiencies of nitrogen and phosphorus up to 72.39% and 89.65%, respectively. Finally, the project also presented greater economic advantage than traditional processes, and the net profits for VFAs and biogas productions are 9.12 and 3.71 USD/m3 sludge, respectively. Long-term operation indicated that anaerobic alkaline fermentation for VFAs production is technically and economically feasible for sludge carbon recovery.&quot;,&quot;publisher&quot;:&quot;Elsevier Ltd&quot;,&quot;volume&quot;:&quot;260&quot;,&quot;container-title-short&quot;:&quot;Bioresour Technol&quot;}},{&quot;id&quot;:&quot;c735f8f2-1065-3816-9fd3-912399344e0e&quot;,&quot;isTemporary&quot;:false,&quot;itemData&quot;:{&quot;type&quot;:&quot;article-journal&quot;,&quot;id&quot;:&quot;c735f8f2-1065-3816-9fd3-912399344e0e&quot;,&quot;title&quot;:&quot;Effect of thermal hydrolysis pretreatment on volatile fatty acids production in sludge acidification and subsequent polyhydroxyalkanoates production&quot;,&quot;author&quot;:[{&quot;family&quot;:&quot;Zhang&quot;,&quot;given&quot;:&quot;Dandan&quot;,&quot;parse-names&quot;:false,&quot;dropping-particle&quot;:&quot;&quot;,&quot;non-dropping-particle&quot;:&quot;&quot;},{&quot;family&quot;:&quot;Jiang&quot;,&quot;given&quot;:&quot;Houlin&quot;,&quot;parse-names&quot;:false,&quot;dropping-particle&quot;:&quot;&quot;,&quot;non-dropping-particle&quot;:&quot;&quot;},{&quot;family&quot;:&quot;Chang&quot;,&quot;given&quot;:&quot;Jing&quot;,&quot;parse-names&quot;:false,&quot;dropping-particle&quot;:&quot;&quot;,&quot;non-dropping-particle&quot;:&quot;&quot;},{&quot;family&quot;:&quot;Sun&quot;,&quot;given&quot;:&quot;Jiao&quot;,&quot;parse-names&quot;:false,&quot;dropping-particle&quot;:&quot;&quot;,&quot;non-dropping-particle&quot;:&quot;&quot;},{&quot;family&quot;:&quot;Tu&quot;,&quot;given&quot;:&quot;Weiming&quot;,&quot;parse-names&quot;:false,&quot;dropping-particle&quot;:&quot;&quot;,&quot;non-dropping-particle&quot;:&quot;&quot;},{&quot;family&quot;:&quot;Wang&quot;,&quot;given&quot;:&quot;Hui&quot;,&quot;parse-names&quot;:false,&quot;dropping-particle&quot;:&quot;&quot;,&quot;non-dropping-particle&quot;:&quot;&quot;}],&quot;container-title&quot;:&quot;Bioresource Technology&quot;,&quot;DOI&quot;:&quot;10.1016/j.biortech.2019.01.077&quot;,&quot;ISSN&quot;:&quot;18732976&quot;,&quot;PMID&quot;:&quot;30711757&quot;,&quot;issued&quot;:{&quot;date-parts&quot;:[[2019,5,1]]},&quot;page&quot;:&quot;92-100&quot;,&quot;abstract&quot;:&quot;The study compared the differences in VFAs production between raw sludge and thermal hydrolyzed sludge (TH-sludge) at different temperature (35 °C and 55 °C) in four semi-continuous acidification reactors. Optimal VFAs yield was obtained from TH-sludge at 35 °C (0.22 gVFACOD/gVS), 44.6% higher than raw sludge at 35 °C, since the advantage of TH-sludge in SCOD solubilization overcame its disadvantage of lower carbon biodegradability. Moreover, high temperature (55 °C) was proved to aid the acidification of raw sludge by 15.7% (in YVFAs), but inhibit that of TH-sludge by 12.2%, mainly due to the suppressed microbial activities under heat. Microbial community analysis showed that TH-sludge had a larger proportion of acidogenic microbes than raw sludge, mainly attributing to the increase of Selenomonadales (37.3% vs. 3.7%); high temperature enriched thermophilic proteolytic microbes, Anaerobaculum and Coprothermobacter. Finally, optimal acidified liquid from TH-sludge at 35 °C was applied for PHAs production and achieved a competitive yield of 34.6% PHAs/DCW.&quot;,&quot;publisher&quot;:&quot;Elsevier Ltd&quot;,&quot;volume&quot;:&quot;279&quot;,&quot;container-title-short&quot;:&quot;Bioresour Technol&quot;}}],&quot;manualOverride&quot;:{&quot;isManuallyOverridden&quot;:false,&quot;manualOverrideText&quot;:&quot;&quot;,&quot;citeprocText&quot;:&quot;(He Liu et al. 2018; D. Zhang et al. 2019)&quot;}},{&quot;properties&quot;:{&quot;noteIndex&quot;:0},&quot;citationID&quot;:&quot;MENDELEY_CITATION_c65f7744-2021-425f-9655-0bb8e2aa84f5&quot;,&quot;isEdited&quot;:false,&quot;citationTag&quot;:&quot;MENDELEY_CITATION_v3_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&quot;,&quot;citationItems&quot;:[{&quot;id&quot;:&quot;f610797e-8d73-3224-b4d8-11113aa75c75&quot;,&quot;isTemporary&quot;:false,&quot;itemData&quot;:{&quot;type&quot;:&quot;article-journal&quot;,&quot;id&quot;:&quot;f610797e-8d73-3224-b4d8-11113aa75c75&quot;,&quot;title&quot;:&quot;Polyhydroxyalkanoate (PHA) production from sludge and municipal wastewater treatment&quot;,&quot;author&quot;:[{&quot;family&quot;:&quot;Morgan-Sagastume&quot;,&quot;given&quot;:&quot;F.&quot;,&quot;parse-names&quot;:false,&quot;dropping-particle&quot;:&quot;&quot;,&quot;non-dropping-particle&quot;:&quot;&quot;},{&quot;family&quot;:&quot;Valentino&quot;,&quot;given&quot;:&quot;F.&quot;,&quot;parse-names&quot;:false,&quot;dropping-particle&quot;:&quot;&quot;,&quot;non-dropping-particle&quot;:&quot;&quot;},{&quot;family&quot;:&quot;Hjort&quot;,&quot;given&quot;:&quot;M.&quot;,&quot;parse-names&quot;:false,&quot;dropping-particle&quot;:&quot;&quot;,&quot;non-dropping-particle&quot;:&quot;&quot;},{&quot;family&quot;:&quot;Cirne&quot;,&quot;given&quot;:&quot;D.&quot;,&quot;parse-names&quot;:false,&quot;dropping-particle&quot;:&quot;&quot;,&quot;non-dropping-particle&quot;:&quot;&quot;},{&quot;family&quot;:&quot;Karabegovic&quot;,&quot;given&quot;:&quot;L.&quot;,&quot;parse-names&quot;:false,&quot;dropping-particle&quot;:&quot;&quot;,&quot;non-dropping-particle&quot;:&quot;&quot;},{&quot;family&quot;:&quot;Gerardin&quot;,&quot;given&quot;:&quot;F.&quot;,&quot;parse-names&quot;:false,&quot;dropping-particle&quot;:&quot;&quot;,&quot;non-dropping-particle&quot;:&quot;&quot;},{&quot;family&quot;:&quot;Johansson&quot;,&quot;given&quot;:&quot;P.&quot;,&quot;parse-names&quot;:false,&quot;dropping-particle&quot;:&quot;&quot;,&quot;non-dropping-particle&quot;:&quot;&quot;},{&quot;family&quot;:&quot;Karlsson&quot;,&quot;given&quot;:&quot;A.&quot;,&quot;parse-names&quot;:false,&quot;dropping-particle&quot;:&quot;&quot;,&quot;non-dropping-particle&quot;:&quot;&quot;},{&quot;family&quot;:&quot;Magnusson&quot;,&quot;given&quot;:&quot;P.&quot;,&quot;parse-names&quot;:false,&quot;dropping-particle&quot;:&quot;&quot;,&quot;non-dropping-particle&quot;:&quot;&quot;},{&quot;family&quot;:&quot;Alexandersson&quot;,&quot;given&quot;:&quot;T.&quot;,&quot;parse-names&quot;:false,&quot;dropping-particle&quot;:&quot;&quot;,&quot;non-dropping-particle&quot;:&quot;&quot;},{&quot;family&quot;:&quot;Bengtsson&quot;,&quot;given&quot;:&quot;S.&quot;,&quot;parse-names&quot;:false,&quot;dropping-particle&quot;:&quot;&quot;,&quot;non-dropping-particle&quot;:&quot;&quot;},{&quot;family&quot;:&quot;Majone&quot;,&quot;given&quot;:&quot;M.&quot;,&quot;parse-names&quot;:false,&quot;dropping-particle&quot;:&quot;&quot;,&quot;non-dropping-particle&quot;:&quot;&quot;},{&quot;family&quot;:&quot;Werker&quot;,&quot;given&quot;:&quot;A.&quot;,&quot;parse-names&quot;:false,&quot;dropping-particle&quot;:&quot;&quot;,&quot;non-dropping-particle&quot;:&quot;&quot;}],&quot;container-title&quot;:&quot;Water Science and Technology&quot;,&quot;DOI&quot;:&quot;10.2166/wst.2013.643&quot;,&quot;ISSN&quot;:&quot;02731223&quot;,&quot;PMID&quot;:&quot;24434985&quot;,&quot;issued&quot;:{&quot;date-parts&quot;:[[2014]]},&quot;page&quot;:&quot;177-184&quot;,&quot;abstract&quot;:&quot;Polyhydroxyalkanoates (PHAs) are biodegradable polyesters with comparable properties to some petroleum-based polyolefins. PHA production can be achieved in open, mixed microbial cultures and thereby coupled to wastewater and solid residual treatment. In this context, waste organic matter is utilised as a carbon source in activated sludge biological treatment for biopolymer synthesis. Within the EU project Routes, the feasibility of PHA production has been evaluated in processes for sludge treatment and volatile fatty acid (VFA) production and municipal wastewater treatment. This PHA production process is being investigated in four units: (i) wastewater treatment with enrichment and production of a functional biomass sustaining PHA storage capacity, (ii) acidogenic fermentation of sludge for VFA production, (iii) PHA accumulation from VFA-rich streams, and (iv) PHA recovery and characterisation. Laboratory- and pilot-scale studies demonstrated the feasibility of municipal wastewater and solid waste treatment alongside production of PHA-rich biomass. The PHA storage capacity of biomass selected under feast-famine with municipal wastewater has been increased up to 34% (g PHA g VSS-1) in batch accumulations with acetate during 20 h. VFAs obtained from waste activated sludge fermentation were found to be a suitable feedstock for PHA production. © IWA Publishing 2014.&quot;,&quot;issue&quot;:&quot;1&quot;,&quot;volume&quot;:&quot;69&quot;,&quot;container-title-short&quot;:&quot;&quot;}}],&quot;manualOverride&quot;:{&quot;isManuallyOverridden&quot;:false,&quot;manualOverrideText&quot;:&quot;&quot;,&quot;citeprocText&quot;:&quot;(Morgan-Sagastume et al. 2014)&quot;}},{&quot;properties&quot;:{&quot;noteIndex&quot;:0},&quot;citationID&quot;:&quot;MENDELEY_CITATION_439280ab-6c53-44c6-b78f-352e0a19c699&quot;,&quot;isEdited&quot;:false,&quot;citationTag&quot;:&quot;MENDELEY_CITATION_v3_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&quot;,&quot;citationItems&quot;:[{&quot;id&quot;:&quot;6c326b99-1a2b-38d0-bfd2-7311403eb7f1&quot;,&quot;isTemporary&quot;:false,&quot;itemData&quot;:{&quot;type&quot;:&quot;article-journal&quot;,&quot;id&quot;:&quot;6c326b99-1a2b-38d0-bfd2-7311403eb7f1&quot;,&quot;title&quot;:&quot;Integrated production of polyhydroxyalkanoates (PHAs) with municipal wastewater and sludge treatment at pilot scale&quot;,&quot;author&quot;:[{&quot;family&quot;:&quot;Morgan-Sagastume&quot;,&quot;given&quot;:&quot;F.&quot;,&quot;parse-names&quot;:false,&quot;dropping-particle&quot;:&quot;&quot;,&quot;non-dropping-particle&quot;:&quot;&quot;},{&quot;family&quot;:&quot;Hjort&quot;,&quot;given&quot;:&quot;M.&quot;,&quot;parse-names&quot;:false,&quot;dropping-particle&quot;:&quot;&quot;,&quot;non-dropping-particle&quot;:&quot;&quot;},{&quot;family&quot;:&quot;Cirne&quot;,&quot;given&quot;:&quot;D.&quot;,&quot;parse-names&quot;:false,&quot;dropping-particle&quot;:&quot;&quot;,&quot;non-dropping-particle&quot;:&quot;&quot;},{&quot;family&quot;:&quot;Gérardin&quot;,&quot;given&quot;:&quot;F.&quot;,&quot;parse-names&quot;:false,&quot;dropping-particle&quot;:&quot;&quot;,&quot;non-dropping-particle&quot;:&quot;&quot;},{&quot;family&quot;:&quot;Lacroix&quot;,&quot;given&quot;:&quot;S.&quot;,&quot;parse-names&quot;:false,&quot;dropping-particle&quot;:&quot;&quot;,&quot;non-dropping-particle&quot;:&quot;&quot;},{&quot;family&quot;:&quot;Gaval&quot;,&quot;given&quot;:&quot;G.&quot;,&quot;parse-names&quot;:false,&quot;dropping-particle&quot;:&quot;&quot;,&quot;non-dropping-particle&quot;:&quot;&quot;},{&quot;family&quot;:&quot;Karabegovic&quot;,&quot;given&quot;:&quot;L.&quot;,&quot;parse-names&quot;:false,&quot;dropping-particle&quot;:&quot;&quot;,&quot;non-dropping-particle&quot;:&quot;&quot;},{&quot;family&quot;:&quot;Alexandersson&quot;,&quot;given&quot;:&quot;T.&quot;,&quot;parse-names&quot;:false,&quot;dropping-particle&quot;:&quot;&quot;,&quot;non-dropping-particle&quot;:&quot;&quot;},{&quot;family&quot;:&quot;Johansson&quot;,&quot;given&quot;:&quot;P.&quot;,&quot;parse-names&quot;:false,&quot;dropping-particle&quot;:&quot;&quot;,&quot;non-dropping-particle&quot;:&quot;&quot;},{&quot;family&quot;:&quot;Karlsson&quot;,&quot;given&quot;:&quot;A.&quot;,&quot;parse-names&quot;:false,&quot;dropping-particle&quot;:&quot;&quot;,&quot;non-dropping-particle&quot;:&quot;&quot;},{&quot;family&quot;:&quot;Bengtsson&quot;,&quot;given&quot;:&quot;S.&quot;,&quot;parse-names&quot;:false,&quot;dropping-particle&quot;:&quot;&quot;,&quot;non-dropping-particle&quot;:&quot;&quot;},{&quot;family&quot;:&quot;Arcos-Hernández&quot;,&quot;given&quot;:&quot;M.&quot;,&quot;parse-names&quot;:false,&quot;dropping-particle&quot;:&quot;v.&quot;,&quot;non-dropping-particle&quot;:&quot;&quot;},{&quot;family&quot;:&quot;Magnusson&quot;,&quot;given&quot;:&quot;P.&quot;,&quot;parse-names&quot;:false,&quot;dropping-particle&quot;:&quot;&quot;,&quot;non-dropping-particle&quot;:&quot;&quot;},{&quot;family&quot;:&quot;Werker&quot;,&quot;given&quot;:&quot;A.&quot;,&quot;parse-names&quot;:false,&quot;dropping-particle&quot;:&quot;&quot;,&quot;non-dropping-particle&quot;:&quot;&quot;}],&quot;container-title&quot;:&quot;Bioresource Technology&quot;,&quot;DOI&quot;:&quot;10.1016/j.biortech.2015.01.046&quot;,&quot;ISSN&quot;:&quot;18732976&quot;,&quot;PMID&quot;:&quot;25638407&quot;,&quot;issued&quot;:{&quot;date-parts&quot;:[[2015,4,1]]},&quot;page&quot;:&quot;78-89&quot;,&quot;abstract&quot;:&quot;A pilot-scale process was operated over 22months at the Brussels North Wastewater Treatment Plant (WWTP) in order to evaluate polyhydroxyalkanoate (PHA) production integration with services of municipal wastewater and sludge management. Activated sludge was produced with PHA accumulation potential (PAP) by applying feast-famine selection while treating the readily biodegradable COD from influent wastewater (average removals of 70% COD, 60% CODsol, 24% nitrogen, and 46% phosphorus). The biomass PAP was evaluated to be in excess of 0.4gPHA/gVSS. Batch fermentation of full-scale WWTP sludge at selected temperatures (35, 42 and 55°C) produced centrate (6-9.4gCODVFA/L) of consistent VFA composition, with optimal fermentation performance at 42°C. Centrate was used to accumulate PHA up to 0.39gPHA/gVSS. The centrate nutrients are a challenge to the accumulation process but producing a biomass with 0.5gPHA/gVSS is considered to be realistically achievable within the typically available carbon flows at municipal waste management facilities.&quot;,&quot;publisher&quot;:&quot;Elsevier Ltd&quot;,&quot;volume&quot;:&quot;181&quot;,&quot;container-title-short&quot;:&quot;Bioresour Technol&quot;}}],&quot;manualOverride&quot;:{&quot;manualOverrideText&quot;:&quot;&quot;,&quot;isManuallyOverridden&quot;:false,&quot;citeprocText&quot;:&quot;(Morgan-Sagastume et al. 2015)&quot;}},{&quot;properties&quot;:{&quot;noteIndex&quot;:0},&quot;citationID&quot;:&quot;MENDELEY_CITATION_3a87029d-633a-42c0-b817-72ff0d25698f&quot;,&quot;isEdited&quot;:false,&quot;citationTag&quot;:&quot;MENDELEY_CITATION_v3_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&quot;,&quot;citationItems&quot;:[{&quot;id&quot;:&quot;c735f8f2-1065-3816-9fd3-912399344e0e&quot;,&quot;isTemporary&quot;:false,&quot;itemData&quot;:{&quot;type&quot;:&quot;article-journal&quot;,&quot;id&quot;:&quot;c735f8f2-1065-3816-9fd3-912399344e0e&quot;,&quot;title&quot;:&quot;Effect of thermal hydrolysis pretreatment on volatile fatty acids production in sludge acidification and subsequent polyhydroxyalkanoates production&quot;,&quot;author&quot;:[{&quot;family&quot;:&quot;Zhang&quot;,&quot;given&quot;:&quot;Dandan&quot;,&quot;parse-names&quot;:false,&quot;dropping-particle&quot;:&quot;&quot;,&quot;non-dropping-particle&quot;:&quot;&quot;},{&quot;family&quot;:&quot;Jiang&quot;,&quot;given&quot;:&quot;Houlin&quot;,&quot;parse-names&quot;:false,&quot;dropping-particle&quot;:&quot;&quot;,&quot;non-dropping-particle&quot;:&quot;&quot;},{&quot;family&quot;:&quot;Chang&quot;,&quot;given&quot;:&quot;Jing&quot;,&quot;parse-names&quot;:false,&quot;dropping-particle&quot;:&quot;&quot;,&quot;non-dropping-particle&quot;:&quot;&quot;},{&quot;family&quot;:&quot;Sun&quot;,&quot;given&quot;:&quot;Jiao&quot;,&quot;parse-names&quot;:false,&quot;dropping-particle&quot;:&quot;&quot;,&quot;non-dropping-particle&quot;:&quot;&quot;},{&quot;family&quot;:&quot;Tu&quot;,&quot;given&quot;:&quot;Weiming&quot;,&quot;parse-names&quot;:false,&quot;dropping-particle&quot;:&quot;&quot;,&quot;non-dropping-particle&quot;:&quot;&quot;},{&quot;family&quot;:&quot;Wang&quot;,&quot;given&quot;:&quot;Hui&quot;,&quot;parse-names&quot;:false,&quot;dropping-particle&quot;:&quot;&quot;,&quot;non-dropping-particle&quot;:&quot;&quot;}],&quot;container-title&quot;:&quot;Bioresource Technology&quot;,&quot;DOI&quot;:&quot;10.1016/j.biortech.2019.01.077&quot;,&quot;ISSN&quot;:&quot;18732976&quot;,&quot;PMID&quot;:&quot;30711757&quot;,&quot;issued&quot;:{&quot;date-parts&quot;:[[2019,5,1]]},&quot;page&quot;:&quot;92-100&quot;,&quot;abstract&quot;:&quot;The study compared the differences in VFAs production between raw sludge and thermal hydrolyzed sludge (TH-sludge) at different temperature (35 °C and 55 °C) in four semi-continuous acidification reactors. Optimal VFAs yield was obtained from TH-sludge at 35 °C (0.22 gVFACOD/gVS), 44.6% higher than raw sludge at 35 °C, since the advantage of TH-sludge in SCOD solubilization overcame its disadvantage of lower carbon biodegradability. Moreover, high temperature (55 °C) was proved to aid the acidification of raw sludge by 15.7% (in YVFAs), but inhibit that of TH-sludge by 12.2%, mainly due to the suppressed microbial activities under heat. Microbial community analysis showed that TH-sludge had a larger proportion of acidogenic microbes than raw sludge, mainly attributing to the increase of Selenomonadales (37.3% vs. 3.7%); high temperature enriched thermophilic proteolytic microbes, Anaerobaculum and Coprothermobacter. Finally, optimal acidified liquid from TH-sludge at 35 °C was applied for PHAs production and achieved a competitive yield of 34.6% PHAs/DCW.&quot;,&quot;publisher&quot;:&quot;Elsevier Ltd&quot;,&quot;volume&quot;:&quot;279&quot;,&quot;container-title-short&quot;:&quot;Bioresour Technol&quot;}}],&quot;manualOverride&quot;:{&quot;isManuallyOverridden&quot;:false,&quot;manualOverrideText&quot;:&quot;&quot;,&quot;citeprocText&quot;:&quot;(D. Zhang et al. 2019)&quot;}},{&quot;properties&quot;:{&quot;noteIndex&quot;:0},&quot;citationID&quot;:&quot;MENDELEY_CITATION_f8166b53-b94e-4486-8d5e-ff1b4b9843eb&quot;,&quot;isEdited&quot;:false,&quot;citationTag&quot;:&quot;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&quot;,&quot;citationItems&quot;:[{&quot;id&quot;:&quot;f610797e-8d73-3224-b4d8-11113aa75c75&quot;,&quot;isTemporary&quot;:false,&quot;itemData&quot;:{&quot;type&quot;:&quot;article-journal&quot;,&quot;id&quot;:&quot;f610797e-8d73-3224-b4d8-11113aa75c75&quot;,&quot;title&quot;:&quot;Polyhydroxyalkanoate (PHA) production from sludge and municipal wastewater treatment&quot;,&quot;author&quot;:[{&quot;family&quot;:&quot;Morgan-Sagastume&quot;,&quot;given&quot;:&quot;F.&quot;,&quot;parse-names&quot;:false,&quot;dropping-particle&quot;:&quot;&quot;,&quot;non-dropping-particle&quot;:&quot;&quot;},{&quot;family&quot;:&quot;Valentino&quot;,&quot;given&quot;:&quot;F.&quot;,&quot;parse-names&quot;:false,&quot;dropping-particle&quot;:&quot;&quot;,&quot;non-dropping-particle&quot;:&quot;&quot;},{&quot;family&quot;:&quot;Hjort&quot;,&quot;given&quot;:&quot;M.&quot;,&quot;parse-names&quot;:false,&quot;dropping-particle&quot;:&quot;&quot;,&quot;non-dropping-particle&quot;:&quot;&quot;},{&quot;family&quot;:&quot;Cirne&quot;,&quot;given&quot;:&quot;D.&quot;,&quot;parse-names&quot;:false,&quot;dropping-particle&quot;:&quot;&quot;,&quot;non-dropping-particle&quot;:&quot;&quot;},{&quot;family&quot;:&quot;Karabegovic&quot;,&quot;given&quot;:&quot;L.&quot;,&quot;parse-names&quot;:false,&quot;dropping-particle&quot;:&quot;&quot;,&quot;non-dropping-particle&quot;:&quot;&quot;},{&quot;family&quot;:&quot;Gerardin&quot;,&quot;given&quot;:&quot;F.&quot;,&quot;parse-names&quot;:false,&quot;dropping-particle&quot;:&quot;&quot;,&quot;non-dropping-particle&quot;:&quot;&quot;},{&quot;family&quot;:&quot;Johansson&quot;,&quot;given&quot;:&quot;P.&quot;,&quot;parse-names&quot;:false,&quot;dropping-particle&quot;:&quot;&quot;,&quot;non-dropping-particle&quot;:&quot;&quot;},{&quot;family&quot;:&quot;Karlsson&quot;,&quot;given&quot;:&quot;A.&quot;,&quot;parse-names&quot;:false,&quot;dropping-particle&quot;:&quot;&quot;,&quot;non-dropping-particle&quot;:&quot;&quot;},{&quot;family&quot;:&quot;Magnusson&quot;,&quot;given&quot;:&quot;P.&quot;,&quot;parse-names&quot;:false,&quot;dropping-particle&quot;:&quot;&quot;,&quot;non-dropping-particle&quot;:&quot;&quot;},{&quot;family&quot;:&quot;Alexandersson&quot;,&quot;given&quot;:&quot;T.&quot;,&quot;parse-names&quot;:false,&quot;dropping-particle&quot;:&quot;&quot;,&quot;non-dropping-particle&quot;:&quot;&quot;},{&quot;family&quot;:&quot;Bengtsson&quot;,&quot;given&quot;:&quot;S.&quot;,&quot;parse-names&quot;:false,&quot;dropping-particle&quot;:&quot;&quot;,&quot;non-dropping-particle&quot;:&quot;&quot;},{&quot;family&quot;:&quot;Majone&quot;,&quot;given&quot;:&quot;M.&quot;,&quot;parse-names&quot;:false,&quot;dropping-particle&quot;:&quot;&quot;,&quot;non-dropping-particle&quot;:&quot;&quot;},{&quot;family&quot;:&quot;Werker&quot;,&quot;given&quot;:&quot;A.&quot;,&quot;parse-names&quot;:false,&quot;dropping-particle&quot;:&quot;&quot;,&quot;non-dropping-particle&quot;:&quot;&quot;}],&quot;container-title&quot;:&quot;Water Science and Technology&quot;,&quot;DOI&quot;:&quot;10.2166/wst.2013.643&quot;,&quot;ISSN&quot;:&quot;02731223&quot;,&quot;PMID&quot;:&quot;24434985&quot;,&quot;issued&quot;:{&quot;date-parts&quot;:[[2014]]},&quot;page&quot;:&quot;177-184&quot;,&quot;abstract&quot;:&quot;Polyhydroxyalkanoates (PHAs) are biodegradable polyesters with comparable properties to some petroleum-based polyolefins. PHA production can be achieved in open, mixed microbial cultures and thereby coupled to wastewater and solid residual treatment. In this context, waste organic matter is utilised as a carbon source in activated sludge biological treatment for biopolymer synthesis. Within the EU project Routes, the feasibility of PHA production has been evaluated in processes for sludge treatment and volatile fatty acid (VFA) production and municipal wastewater treatment. This PHA production process is being investigated in four units: (i) wastewater treatment with enrichment and production of a functional biomass sustaining PHA storage capacity, (ii) acidogenic fermentation of sludge for VFA production, (iii) PHA accumulation from VFA-rich streams, and (iv) PHA recovery and characterisation. Laboratory- and pilot-scale studies demonstrated the feasibility of municipal wastewater and solid waste treatment alongside production of PHA-rich biomass. The PHA storage capacity of biomass selected under feast-famine with municipal wastewater has been increased up to 34% (g PHA g VSS-1) in batch accumulations with acetate during 20 h. VFAs obtained from waste activated sludge fermentation were found to be a suitable feedstock for PHA production. © IWA Publishing 2014.&quot;,&quot;issue&quot;:&quot;1&quot;,&quot;volume&quot;:&quot;69&quot;,&quot;container-title-short&quot;:&quot;&quot;}},{&quot;id&quot;:&quot;6c326b99-1a2b-38d0-bfd2-7311403eb7f1&quot;,&quot;isTemporary&quot;:false,&quot;itemData&quot;:{&quot;type&quot;:&quot;article-journal&quot;,&quot;id&quot;:&quot;6c326b99-1a2b-38d0-bfd2-7311403eb7f1&quot;,&quot;title&quot;:&quot;Integrated production of polyhydroxyalkanoates (PHAs) with municipal wastewater and sludge treatment at pilot scale&quot;,&quot;author&quot;:[{&quot;family&quot;:&quot;Morgan-Sagastume&quot;,&quot;given&quot;:&quot;F.&quot;,&quot;parse-names&quot;:false,&quot;dropping-particle&quot;:&quot;&quot;,&quot;non-dropping-particle&quot;:&quot;&quot;},{&quot;family&quot;:&quot;Hjort&quot;,&quot;given&quot;:&quot;M.&quot;,&quot;parse-names&quot;:false,&quot;dropping-particle&quot;:&quot;&quot;,&quot;non-dropping-particle&quot;:&quot;&quot;},{&quot;family&quot;:&quot;Cirne&quot;,&quot;given&quot;:&quot;D.&quot;,&quot;parse-names&quot;:false,&quot;dropping-particle&quot;:&quot;&quot;,&quot;non-dropping-particle&quot;:&quot;&quot;},{&quot;family&quot;:&quot;Gérardin&quot;,&quot;given&quot;:&quot;F.&quot;,&quot;parse-names&quot;:false,&quot;dropping-particle&quot;:&quot;&quot;,&quot;non-dropping-particle&quot;:&quot;&quot;},{&quot;family&quot;:&quot;Lacroix&quot;,&quot;given&quot;:&quot;S.&quot;,&quot;parse-names&quot;:false,&quot;dropping-particle&quot;:&quot;&quot;,&quot;non-dropping-particle&quot;:&quot;&quot;},{&quot;family&quot;:&quot;Gaval&quot;,&quot;given&quot;:&quot;G.&quot;,&quot;parse-names&quot;:false,&quot;dropping-particle&quot;:&quot;&quot;,&quot;non-dropping-particle&quot;:&quot;&quot;},{&quot;family&quot;:&quot;Karabegovic&quot;,&quot;given&quot;:&quot;L.&quot;,&quot;parse-names&quot;:false,&quot;dropping-particle&quot;:&quot;&quot;,&quot;non-dropping-particle&quot;:&quot;&quot;},{&quot;family&quot;:&quot;Alexandersson&quot;,&quot;given&quot;:&quot;T.&quot;,&quot;parse-names&quot;:false,&quot;dropping-particle&quot;:&quot;&quot;,&quot;non-dropping-particle&quot;:&quot;&quot;},{&quot;family&quot;:&quot;Johansson&quot;,&quot;given&quot;:&quot;P.&quot;,&quot;parse-names&quot;:false,&quot;dropping-particle&quot;:&quot;&quot;,&quot;non-dropping-particle&quot;:&quot;&quot;},{&quot;family&quot;:&quot;Karlsson&quot;,&quot;given&quot;:&quot;A.&quot;,&quot;parse-names&quot;:false,&quot;dropping-particle&quot;:&quot;&quot;,&quot;non-dropping-particle&quot;:&quot;&quot;},{&quot;family&quot;:&quot;Bengtsson&quot;,&quot;given&quot;:&quot;S.&quot;,&quot;parse-names&quot;:false,&quot;dropping-particle&quot;:&quot;&quot;,&quot;non-dropping-particle&quot;:&quot;&quot;},{&quot;family&quot;:&quot;Arcos-Hernández&quot;,&quot;given&quot;:&quot;M.&quot;,&quot;parse-names&quot;:false,&quot;dropping-particle&quot;:&quot;v.&quot;,&quot;non-dropping-particle&quot;:&quot;&quot;},{&quot;family&quot;:&quot;Magnusson&quot;,&quot;given&quot;:&quot;P.&quot;,&quot;parse-names&quot;:false,&quot;dropping-particle&quot;:&quot;&quot;,&quot;non-dropping-particle&quot;:&quot;&quot;},{&quot;family&quot;:&quot;Werker&quot;,&quot;given&quot;:&quot;A.&quot;,&quot;parse-names&quot;:false,&quot;dropping-particle&quot;:&quot;&quot;,&quot;non-dropping-particle&quot;:&quot;&quot;}],&quot;container-title&quot;:&quot;Bioresource Technology&quot;,&quot;DOI&quot;:&quot;10.1016/j.biortech.2015.01.046&quot;,&quot;ISSN&quot;:&quot;18732976&quot;,&quot;PMID&quot;:&quot;25638407&quot;,&quot;issued&quot;:{&quot;date-parts&quot;:[[2015,4,1]]},&quot;page&quot;:&quot;78-89&quot;,&quot;abstract&quot;:&quot;A pilot-scale process was operated over 22months at the Brussels North Wastewater Treatment Plant (WWTP) in order to evaluate polyhydroxyalkanoate (PHA) production integration with services of municipal wastewater and sludge management. Activated sludge was produced with PHA accumulation potential (PAP) by applying feast-famine selection while treating the readily biodegradable COD from influent wastewater (average removals of 70% COD, 60% CODsol, 24% nitrogen, and 46% phosphorus). The biomass PAP was evaluated to be in excess of 0.4gPHA/gVSS. Batch fermentation of full-scale WWTP sludge at selected temperatures (35, 42 and 55°C) produced centrate (6-9.4gCODVFA/L) of consistent VFA composition, with optimal fermentation performance at 42°C. Centrate was used to accumulate PHA up to 0.39gPHA/gVSS. The centrate nutrients are a challenge to the accumulation process but producing a biomass with 0.5gPHA/gVSS is considered to be realistically achievable within the typically available carbon flows at municipal waste management facilities.&quot;,&quot;publisher&quot;:&quot;Elsevier Ltd&quot;,&quot;volume&quot;:&quot;181&quot;,&quot;container-title-short&quot;:&quot;Bioresour Technol&quot;}},{&quot;id&quot;:&quot;c735f8f2-1065-3816-9fd3-912399344e0e&quot;,&quot;isTemporary&quot;:false,&quot;itemData&quot;:{&quot;type&quot;:&quot;article-journal&quot;,&quot;id&quot;:&quot;c735f8f2-1065-3816-9fd3-912399344e0e&quot;,&quot;title&quot;:&quot;Effect of thermal hydrolysis pretreatment on volatile fatty acids production in sludge acidification and subsequent polyhydroxyalkanoates production&quot;,&quot;author&quot;:[{&quot;family&quot;:&quot;Zhang&quot;,&quot;given&quot;:&quot;Dandan&quot;,&quot;parse-names&quot;:false,&quot;dropping-particle&quot;:&quot;&quot;,&quot;non-dropping-particle&quot;:&quot;&quot;},{&quot;family&quot;:&quot;Jiang&quot;,&quot;given&quot;:&quot;Houlin&quot;,&quot;parse-names&quot;:false,&quot;dropping-particle&quot;:&quot;&quot;,&quot;non-dropping-particle&quot;:&quot;&quot;},{&quot;family&quot;:&quot;Chang&quot;,&quot;given&quot;:&quot;Jing&quot;,&quot;parse-names&quot;:false,&quot;dropping-particle&quot;:&quot;&quot;,&quot;non-dropping-particle&quot;:&quot;&quot;},{&quot;family&quot;:&quot;Sun&quot;,&quot;given&quot;:&quot;Jiao&quot;,&quot;parse-names&quot;:false,&quot;dropping-particle&quot;:&quot;&quot;,&quot;non-dropping-particle&quot;:&quot;&quot;},{&quot;family&quot;:&quot;Tu&quot;,&quot;given&quot;:&quot;Weiming&quot;,&quot;parse-names&quot;:false,&quot;dropping-particle&quot;:&quot;&quot;,&quot;non-dropping-particle&quot;:&quot;&quot;},{&quot;family&quot;:&quot;Wang&quot;,&quot;given&quot;:&quot;Hui&quot;,&quot;parse-names&quot;:false,&quot;dropping-particle&quot;:&quot;&quot;,&quot;non-dropping-particle&quot;:&quot;&quot;}],&quot;container-title&quot;:&quot;Bioresource Technology&quot;,&quot;DOI&quot;:&quot;10.1016/j.biortech.2019.01.077&quot;,&quot;ISSN&quot;:&quot;18732976&quot;,&quot;PMID&quot;:&quot;30711757&quot;,&quot;issued&quot;:{&quot;date-parts&quot;:[[2019,5,1]]},&quot;page&quot;:&quot;92-100&quot;,&quot;abstract&quot;:&quot;The study compared the differences in VFAs production between raw sludge and thermal hydrolyzed sludge (TH-sludge) at different temperature (35 °C and 55 °C) in four semi-continuous acidification reactors. Optimal VFAs yield was obtained from TH-sludge at 35 °C (0.22 gVFACOD/gVS), 44.6% higher than raw sludge at 35 °C, since the advantage of TH-sludge in SCOD solubilization overcame its disadvantage of lower carbon biodegradability. Moreover, high temperature (55 °C) was proved to aid the acidification of raw sludge by 15.7% (in YVFAs), but inhibit that of TH-sludge by 12.2%, mainly due to the suppressed microbial activities under heat. Microbial community analysis showed that TH-sludge had a larger proportion of acidogenic microbes than raw sludge, mainly attributing to the increase of Selenomonadales (37.3% vs. 3.7%); high temperature enriched thermophilic proteolytic microbes, Anaerobaculum and Coprothermobacter. Finally, optimal acidified liquid from TH-sludge at 35 °C was applied for PHAs production and achieved a competitive yield of 34.6% PHAs/DCW.&quot;,&quot;publisher&quot;:&quot;Elsevier Ltd&quot;,&quot;volume&quot;:&quot;279&quot;,&quot;container-title-short&quot;:&quot;Bioresour Technol&quot;}}],&quot;manualOverride&quot;:{&quot;isManuallyOverridden&quot;:false,&quot;manualOverrideText&quot;:&quot;&quot;,&quot;citeprocText&quot;:&quot;(Morgan-Sagastume et al. 2014, 2015; D. Zhang et al. 2019)&quot;}},{&quot;properties&quot;:{&quot;noteIndex&quot;:0},&quot;citationID&quot;:&quot;MENDELEY_CITATION_afd3bcb6-ca68-44c5-a60b-92c01d2c01bc&quot;,&quot;isEdited&quot;:false,&quot;citationTag&quot;:&quot;MENDELEY_CITATION_v3_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&quot;,&quot;citationItems&quot;:[{&quot;id&quot;:&quot;c735f8f2-1065-3816-9fd3-912399344e0e&quot;,&quot;isTemporary&quot;:false,&quot;itemData&quot;:{&quot;type&quot;:&quot;article-journal&quot;,&quot;id&quot;:&quot;c735f8f2-1065-3816-9fd3-912399344e0e&quot;,&quot;title&quot;:&quot;Effect of thermal hydrolysis pretreatment on volatile fatty acids production in sludge acidification and subsequent polyhydroxyalkanoates production&quot;,&quot;author&quot;:[{&quot;family&quot;:&quot;Zhang&quot;,&quot;given&quot;:&quot;Dandan&quot;,&quot;parse-names&quot;:false,&quot;dropping-particle&quot;:&quot;&quot;,&quot;non-dropping-particle&quot;:&quot;&quot;},{&quot;family&quot;:&quot;Jiang&quot;,&quot;given&quot;:&quot;Houlin&quot;,&quot;parse-names&quot;:false,&quot;dropping-particle&quot;:&quot;&quot;,&quot;non-dropping-particle&quot;:&quot;&quot;},{&quot;family&quot;:&quot;Chang&quot;,&quot;given&quot;:&quot;Jing&quot;,&quot;parse-names&quot;:false,&quot;dropping-particle&quot;:&quot;&quot;,&quot;non-dropping-particle&quot;:&quot;&quot;},{&quot;family&quot;:&quot;Sun&quot;,&quot;given&quot;:&quot;Jiao&quot;,&quot;parse-names&quot;:false,&quot;dropping-particle&quot;:&quot;&quot;,&quot;non-dropping-particle&quot;:&quot;&quot;},{&quot;family&quot;:&quot;Tu&quot;,&quot;given&quot;:&quot;Weiming&quot;,&quot;parse-names&quot;:false,&quot;dropping-particle&quot;:&quot;&quot;,&quot;non-dropping-particle&quot;:&quot;&quot;},{&quot;family&quot;:&quot;Wang&quot;,&quot;given&quot;:&quot;Hui&quot;,&quot;parse-names&quot;:false,&quot;dropping-particle&quot;:&quot;&quot;,&quot;non-dropping-particle&quot;:&quot;&quot;}],&quot;container-title&quot;:&quot;Bioresource Technology&quot;,&quot;DOI&quot;:&quot;10.1016/j.biortech.2019.01.077&quot;,&quot;ISSN&quot;:&quot;18732976&quot;,&quot;PMID&quot;:&quot;30711757&quot;,&quot;issued&quot;:{&quot;date-parts&quot;:[[2019,5,1]]},&quot;page&quot;:&quot;92-100&quot;,&quot;abstract&quot;:&quot;The study compared the differences in VFAs production between raw sludge and thermal hydrolyzed sludge (TH-sludge) at different temperature (35 °C and 55 °C) in four semi-continuous acidification reactors. Optimal VFAs yield was obtained from TH-sludge at 35 °C (0.22 gVFACOD/gVS), 44.6% higher than raw sludge at 35 °C, since the advantage of TH-sludge in SCOD solubilization overcame its disadvantage of lower carbon biodegradability. Moreover, high temperature (55 °C) was proved to aid the acidification of raw sludge by 15.7% (in YVFAs), but inhibit that of TH-sludge by 12.2%, mainly due to the suppressed microbial activities under heat. Microbial community analysis showed that TH-sludge had a larger proportion of acidogenic microbes than raw sludge, mainly attributing to the increase of Selenomonadales (37.3% vs. 3.7%); high temperature enriched thermophilic proteolytic microbes, Anaerobaculum and Coprothermobacter. Finally, optimal acidified liquid from TH-sludge at 35 °C was applied for PHAs production and achieved a competitive yield of 34.6% PHAs/DCW.&quot;,&quot;publisher&quot;:&quot;Elsevier Ltd&quot;,&quot;volume&quot;:&quot;279&quot;,&quot;container-title-short&quot;:&quot;Bioresour Technol&quot;}}],&quot;manualOverride&quot;:{&quot;isManuallyOverridden&quot;:false,&quot;manualOverrideText&quot;:&quot;&quot;,&quot;citeprocText&quot;:&quot;(D. Zhang et al. 2019)&quot;}},{&quot;properties&quot;:{&quot;noteIndex&quot;:0},&quot;citationID&quot;:&quot;MENDELEY_CITATION_b0de5a8e-3f27-41e8-8743-4a817a41f492&quot;,&quot;isEdited&quot;:false,&quot;citationTag&quot;:&quot;MENDELEY_CITATION_v3_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&quot;,&quot;citationItems&quot;:[{&quot;id&quot;:&quot;b3f1e921-f6be-3d23-8363-86294a227491&quot;,&quot;isTemporary&quot;:false,&quot;itemData&quot;:{&quot;type&quot;:&quot;article-journal&quot;,&quot;id&quot;:&quot;b3f1e921-f6be-3d23-8363-86294a227491&quot;,&quot;title&quot;:&quot;Formulation and durability of a geopolymer based on metakaolin/tannery sludge&quot;,&quot;author&quot;:[{&quot;family&quot;:&quot;Jin&quot;,&quot;given&quot;:&quot;Mantong&quot;,&quot;parse-names&quot;:false,&quot;dropping-particle&quot;:&quot;&quot;,&quot;non-dropping-particle&quot;:&quot;&quot;},{&quot;family&quot;:&quot;Lian&quot;,&quot;given&quot;:&quot;Fan&quot;,&quot;parse-names&quot;:false,&quot;dropping-particle&quot;:&quot;&quot;,&quot;non-dropping-particle&quot;:&quot;&quot;},{&quot;family&quot;:&quot;Xia&quot;,&quot;given&quot;:&quot;Ruiqi&quot;,&quot;parse-names&quot;:false,&quot;dropping-particle&quot;:&quot;&quot;,&quot;non-dropping-particle&quot;:&quot;&quot;},{&quot;family&quot;:&quot;Wang&quot;,&quot;given&quot;:&quot;Zhuohui&quot;,&quot;parse-names&quot;:false,&quot;dropping-particle&quot;:&quot;&quot;,&quot;non-dropping-particle&quot;:&quot;&quot;}],&quot;container-title&quot;:&quot;Waste Management&quot;,&quot;DOI&quot;:&quot;10.1016/j.wasman.2018.08.039&quot;,&quot;ISSN&quot;:&quot;18792456&quot;,&quot;PMID&quot;:&quot;30343804&quot;,&quot;issued&quot;:{&quot;date-parts&quot;:[[2018,9,1]]},&quot;page&quot;:&quot;717-728&quot;,&quot;abstract&quot;:&quot;In this study, tannery sludge was used as a partial replacement material for a geopolymer. The best raw material composition of the geopolymer and durability of the solidified product were studied. Solidification effect was analyzed via compressive strength and total concentration of chromium leached. Its durability in terms of high-temperature resistance, acid/base resistance property, and resistance to acid rain erosion was studied. Through X-ray diffraction (XRD), Fourier transform infrared spectroscopy (FT-IR), Thermogravimetric Differential Thermal Analysis (TG-DTA) and scanning electron microscopy (SEM), the compressive strength and total concentration of chromium leached in different environments were analyzed. The results show that the mechanical properties of the solidified product were optimal when the silica/alumina mole ratio and sodium oxide/silica mole ratio were 2.45 and 0.37, respectively. The optimal raw material ratio of the above-mentioned product was used to synthesize a geopolymer containing 20% tannery sludge, with the solidified product showing high durability, as indicated by its good high-temperature resistance, high resistance to acids and alkalis, and great resistance to acid rain erosion.&quot;,&quot;publisher&quot;:&quot;Elsevier Ltd&quot;,&quot;volume&quot;:&quot;79&quot;,&quot;container-title-short&quot;:&quot;&quot;}}],&quot;manualOverride&quot;:{&quot;manualOverrideText&quot;:&quot;&quot;,&quot;isManuallyOverridden&quot;:false,&quot;citeprocText&quot;:&quot;(Jin et al. 2018)&quot;}},{&quot;properties&quot;:{&quot;noteIndex&quot;:0},&quot;citationID&quot;:&quot;MENDELEY_CITATION_122dcca6-d867-4138-8a0a-b949e197503d&quot;,&quot;isEdited&quot;:false,&quot;citationTag&quot;:&quot;MENDELEY_CITATION_v3_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&quot;,&quot;citationItems&quot;:[{&quot;id&quot;:&quot;172b62d2-79a7-3e72-900e-43ee43b04447&quot;,&quot;isTemporary&quot;:false,&quot;itemData&quot;:{&quot;type&quot;:&quot;article-journal&quot;,&quot;id&quot;:&quot;172b62d2-79a7-3e72-900e-43ee43b04447&quot;,&quot;title&quot;:&quot;A Multiproduct Biorefinery Approach for the Production of Hydrogen, Methane and Volatile Fatty Acids from Agricultural Waste&quot;,&quot;author&quot;:[{&quot;family&quot;:&quot;Righetti&quot;,&quot;given&quot;:&quot;Edoardo&quot;,&quot;parse-names&quot;:false,&quot;dropping-particle&quot;:&quot;&quot;,&quot;non-dropping-particle&quot;:&quot;&quot;},{&quot;family&quot;:&quot;Nortilli&quot;,&quot;given&quot;:&quot;Simone&quot;,&quot;parse-names&quot;:false,&quot;dropping-particle&quot;:&quot;&quot;,&quot;non-dropping-particle&quot;:&quot;&quot;},{&quot;family&quot;:&quot;Fatone&quot;,&quot;given&quot;:&quot;Francesco&quot;,&quot;parse-names&quot;:false,&quot;dropping-particle&quot;:&quot;&quot;,&quot;non-dropping-particle&quot;:&quot;&quot;},{&quot;family&quot;:&quot;Frison&quot;,&quot;given&quot;:&quot;Nicola&quot;,&quot;parse-names&quot;:false,&quot;dropping-particle&quot;:&quot;&quot;,&quot;non-dropping-particle&quot;:&quot;&quot;},{&quot;family&quot;:&quot;Bolzonella&quot;,&quot;given&quot;:&quot;David&quot;,&quot;parse-names&quot;:false,&quot;dropping-particle&quot;:&quot;&quot;,&quot;non-dropping-particle&quot;:&quot;&quot;}],&quot;container-title&quot;:&quot;Waste and Biomass Valorization&quot;,&quot;DOI&quot;:&quot;10.1007/s12649-020-01023-3&quot;,&quot;ISSN&quot;:&quot;1877265X&quot;,&quot;issued&quot;:{&quot;date-parts&quot;:[[2020,10,1]]},&quot;page&quot;:&quot;5239-5246&quot;,&quot;abstract&quot;:&quot;Abstract: A pilot scale biorefinery platform for the treatment of agro-waste and the production of hydrogen, methane and volatile fatty acids was studied in real environment. The system adopted was a two stage anaerobic process where hydrogen and volatile fatty acids were produced in the first phase (fermentation) and methane in the second one (digestion). The study demonstrated the possibility to produce a biogas composed by hydrogen and methane (10% and 55%, respectively) while recovering volatile fatty acids. The yield for acids production was equivalent to 0.13 gVFA/gTVS (as COD) with acetate and butyrate as dominant observed species. Graphic Abstract: [Figure not available: see fulltext.].&quot;,&quot;publisher&quot;:&quot;Springer Science and Business Media B.V.&quot;,&quot;issue&quot;:&quot;10&quot;,&quot;volume&quot;:&quot;11&quot;,&quot;container-title-short&quot;:&quot;Waste Biomass Valorization&quot;}}],&quot;manualOverride&quot;:{&quot;isManuallyOverridden&quot;:false,&quot;manualOverrideText&quot;:&quot;&quot;,&quot;citeprocText&quot;:&quot;(Righetti et al. 2020)&quot;}},{&quot;properties&quot;:{&quot;noteIndex&quot;:0},&quot;citationID&quot;:&quot;MENDELEY_CITATION_a884ac2c-6c5b-485e-a453-b76bca0993be&quot;,&quot;isEdited&quot;:false,&quot;citationTag&quot;:&quot;MENDELEY_CITATION_v3_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&quot;,&quot;citationItems&quot;:[{&quot;id&quot;:&quot;e827546b-a11f-3b5e-a760-1b3807fb9dac&quot;,&quot;isTemporary&quot;:false,&quot;itemData&quot;:{&quot;type&quot;:&quot;article-journal&quot;,&quot;id&quot;:&quot;e827546b-a11f-3b5e-a760-1b3807fb9dac&quot;,&quot;title&quot;:&quot;Biopolymers from urban organic waste: Influence of the solid retention time to cycle length ratio in the enrichment of a Mixed Microbial Culture (MMC)&quot;,&quot;author&quot;:[{&quot;family&quot;:&quot;Moretto&quot;,&quot;given&quot;:&quot;Giulia&quot;,&quot;parse-names&quot;:false,&quot;dropping-particle&quot;:&quot;&quot;,&quot;non-dropping-particle&quot;:&quot;&quot;},{&quot;family&quot;:&quot;Lorini&quot;,&quot;given&quot;:&quot;Laura&quot;,&quot;parse-names&quot;:false,&quot;dropping-particle&quot;:&quot;&quot;,&quot;non-dropping-particle&quot;:&quot;&quot;},{&quot;family&quot;:&quot;Pavan&quot;,&quot;given&quot;:&quot;Paolo&quot;,&quot;parse-names&quot;:false,&quot;dropping-particle&quot;:&quot;&quot;,&quot;non-dropping-particle&quot;:&quot;&quot;},{&quot;family&quot;:&quot;Crognale&quot;,&quot;given&quot;:&quot;Simona&quot;,&quot;parse-names&quot;:false,&quot;dropping-particle&quot;:&quot;&quot;,&quot;non-dropping-particle&quot;:&quot;&quot;},{&quot;family&quot;:&quot;Tonanzi&quot;,&quot;given&quot;:&quot;Barbara&quot;,&quot;parse-names&quot;:false,&quot;dropping-particle&quot;:&quot;&quot;,&quot;non-dropping-particle&quot;:&quot;&quot;},{&quot;family&quot;:&quot;Rossetti&quot;,&quot;given&quot;:&quot;Simona&quot;,&quot;parse-names&quot;:false,&quot;dropping-particle&quot;:&quot;&quot;,&quot;non-dropping-particle&quot;:&quot;&quot;},{&quot;family&quot;:&quot;Majone&quot;,&quot;given&quot;:&quot;Mauro&quot;,&quot;parse-names&quot;:false,&quot;dropping-particle&quot;:&quot;&quot;,&quot;non-dropping-particle&quot;:&quot;&quot;},{&quot;family&quot;:&quot;Valentino&quot;,&quot;given&quot;:&quot;Francesco&quot;,&quot;parse-names&quot;:false,&quot;dropping-particle&quot;:&quot;&quot;,&quot;non-dropping-particle&quot;:&quot;&quot;}],&quot;container-title&quot;:&quot;ACS Sustainable Chemistry and Engineering&quot;,&quot;DOI&quot;:&quot;10.1021/acssuschemeng.0c04980&quot;,&quot;ISSN&quot;:&quot;21680485&quot;,&quot;issued&quot;:{&quot;date-parts&quot;:[[2020]]},&quot;abstract&quot;:&quot;In this study, the performance of the selection process for polyhydroxyalkanoate (PHA) production from mixed microbial cultures (MMCs) at pilot scale was deeply investigated with the solid retention time (SRT) to cycle length (CL) ratio as main affecting parameter. Four different runs were tested by varying the SRT/CL ratio maintaining the same organic loading rate (OLR). The pilot-scale selection and accumulation reactors were fed with a fermented mixture of source-selected organic fraction of municipal solid waste (OFMSW) and waste activated sludge (WAS), refined with a centrifuge and membrane unit for the coarse solid removal. The selected biomass obtained in the most performing run was characterized by a specific storage rate of 375 mg CODP/g CODXa h and a storage yield of 0.46 CODP/CODSOL. Accumulations performed with the same biomass were characterized by a storage yield of 0.62 CODP/CODVFA. The microbiome composition was assessed. In the most performing run, putative PHA-storing bacteria affiliated with Paracoccus genus were found at high abundance (36.8%), in contrast to all other runs. An overall PHA yield of 110 g PHA/kg VS was estimated for the best scenario, revealing an interesting perspective for biorefinery technology chains based on the three-stage process for PHA production.&quot;,&quot;publisher&quot;:&quot;American Chemical Society&quot;,&quot;issue&quot;:&quot;38&quot;,&quot;volume&quot;:&quot;8&quot;,&quot;container-title-short&quot;:&quot;ACS Sustain Chem Eng&quot;}},{&quot;id&quot;:&quot;172b62d2-79a7-3e72-900e-43ee43b04447&quot;,&quot;isTemporary&quot;:false,&quot;itemData&quot;:{&quot;type&quot;:&quot;article-journal&quot;,&quot;id&quot;:&quot;172b62d2-79a7-3e72-900e-43ee43b04447&quot;,&quot;title&quot;:&quot;A Multiproduct Biorefinery Approach for the Production of Hydrogen, Methane and Volatile Fatty Acids from Agricultural Waste&quot;,&quot;author&quot;:[{&quot;family&quot;:&quot;Righetti&quot;,&quot;given&quot;:&quot;Edoardo&quot;,&quot;parse-names&quot;:false,&quot;dropping-particle&quot;:&quot;&quot;,&quot;non-dropping-particle&quot;:&quot;&quot;},{&quot;family&quot;:&quot;Nortilli&quot;,&quot;given&quot;:&quot;Simone&quot;,&quot;parse-names&quot;:false,&quot;dropping-particle&quot;:&quot;&quot;,&quot;non-dropping-particle&quot;:&quot;&quot;},{&quot;family&quot;:&quot;Fatone&quot;,&quot;given&quot;:&quot;Francesco&quot;,&quot;parse-names&quot;:false,&quot;dropping-particle&quot;:&quot;&quot;,&quot;non-dropping-particle&quot;:&quot;&quot;},{&quot;family&quot;:&quot;Frison&quot;,&quot;given&quot;:&quot;Nicola&quot;,&quot;parse-names&quot;:false,&quot;dropping-particle&quot;:&quot;&quot;,&quot;non-dropping-particle&quot;:&quot;&quot;},{&quot;family&quot;:&quot;Bolzonella&quot;,&quot;given&quot;:&quot;David&quot;,&quot;parse-names&quot;:false,&quot;dropping-particle&quot;:&quot;&quot;,&quot;non-dropping-particle&quot;:&quot;&quot;}],&quot;container-title&quot;:&quot;Waste and Biomass Valorization&quot;,&quot;DOI&quot;:&quot;10.1007/s12649-020-01023-3&quot;,&quot;ISSN&quot;:&quot;1877265X&quot;,&quot;issued&quot;:{&quot;date-parts&quot;:[[2020,10,1]]},&quot;page&quot;:&quot;5239-5246&quot;,&quot;abstract&quot;:&quot;Abstract: A pilot scale biorefinery platform for the treatment of agro-waste and the production of hydrogen, methane and volatile fatty acids was studied in real environment. The system adopted was a two stage anaerobic process where hydrogen and volatile fatty acids were produced in the first phase (fermentation) and methane in the second one (digestion). The study demonstrated the possibility to produce a biogas composed by hydrogen and methane (10% and 55%, respectively) while recovering volatile fatty acids. The yield for acids production was equivalent to 0.13 gVFA/gTVS (as COD) with acetate and butyrate as dominant observed species. Graphic Abstract: [Figure not available: see fulltext.].&quot;,&quot;publisher&quot;:&quot;Springer Science and Business Media B.V.&quot;,&quot;issue&quot;:&quot;10&quot;,&quot;volume&quot;:&quot;11&quot;,&quot;container-title-short&quot;:&quot;Waste Biomass Valorization&quot;}}],&quot;manualOverride&quot;:{&quot;isManuallyOverridden&quot;:false,&quot;manualOverrideText&quot;:&quot;&quot;,&quot;citeprocText&quot;:&quot;(Moretto et al. 2020; Righetti et al. 2020)&quot;}},{&quot;properties&quot;:{&quot;noteIndex&quot;:0},&quot;citationID&quot;:&quot;MENDELEY_CITATION_c5b6d03f-082e-4770-820d-67e897683194&quot;,&quot;isEdited&quot;:false,&quot;citationTag&quot;:&quot;MENDELEY_CITATION_v3_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&quot;,&quot;citationItems&quot;:[{&quot;id&quot;:&quot;d08380ab-faeb-3811-b29c-ad9ea0d43855&quot;,&quot;isTemporary&quot;:false,&quot;itemData&quot;:{&quot;type&quot;:&quot;article&quot;,&quot;id&quot;:&quot;d08380ab-faeb-3811-b29c-ad9ea0d43855&quot;,&quot;title&quot;:&quot;Platform chemical production from food wastes using a biorefinery concept&quot;,&quot;author&quot;:[{&quot;family&quot;:&quot;Uçkun Kiran&quot;,&quot;given&quot;:&quot;Esra&quot;,&quot;parse-names&quot;:false,&quot;dropping-particle&quot;:&quot;&quot;,&quot;non-dropping-particle&quot;:&quot;&quot;},{&quot;family&quot;:&quot;Trzcinski&quot;,&quot;given&quot;:&quot;Antoine P.&quot;,&quot;parse-names&quot;:false,&quot;dropping-particle&quot;:&quot;&quot;,&quot;non-dropping-particle&quot;:&quot;&quot;},{&quot;family&quot;:&quot;Liu&quot;,&quot;given&quot;:&quot;Yu&quot;,&quot;parse-names&quot;:false,&quot;dropping-particle&quot;:&quot;&quot;,&quot;non-dropping-particle&quot;:&quot;&quot;}],&quot;container-title&quot;:&quot;Journal of Chemical Technology and Biotechnology&quot;,&quot;DOI&quot;:&quot;10.1002/jctb.4551&quot;,&quot;ISSN&quot;:&quot;10974660&quot;,&quot;issued&quot;:{&quot;date-parts&quot;:[[2015,8,1]]},&quot;page&quot;:&quot;1364-1379&quot;,&quot;abstract&quot;:&quot;According to the Food and Agricultural Organization (FAO), one-third of food produced globally for human consumption (nearly 1.3 billion tons) is lost along the food supply chain. Food waste has often been incinerated with other combustible municipal wastes for possible recovery of heat or other forms of energy, and the residual ash is disposed of in landfills. However, incineration is not cost-effective, and can potentially cause air pollution. Therefore, green technology is urgently needed for appropriate management of food waste with a focus on material recovery. Due to its organics- and nutrients-rich nature, food waste could be viewed as a useful resource for production of high-value platform chemicals through fermentation. Compared with animal feed or traditional fuel for transportation, platform chemicals obviously have higher economic value, i.e. more profitable. Recently, technologies for production of value added bio-products (e.g. organic acids, biodegradable polymers, etc.) from various kinds of food wastes have gained more and more interest. This review attempts to examine the state of the art of the fermentation technologies of food waste for production of platform chemicals, with emphasis on the Asia-Pacific region.&quot;,&quot;publisher&quot;:&quot;John Wiley and Sons Ltd&quot;,&quot;issue&quot;:&quot;8&quot;,&quot;volume&quot;:&quot;90&quot;,&quot;container-title-short&quot;:&quot;&quot;}}],&quot;manualOverride&quot;:{&quot;isManuallyOverridden&quot;:false,&quot;manualOverrideText&quot;:&quot;&quot;,&quot;citeprocText&quot;:&quot;(Uçkun Kiran, Trzcinski, and Liu 2015)&quot;}}]"/>
    <we:property name="MENDELEY_CITATIONS_STYLE" value="{&quot;id&quot;:&quot;https://www.zotero.org/styles/chicago-author-date-16th-edition&quot;,&quot;title&quot;:&quot;Chicago Manual of Style 16th edition (author-date)&quot;,&quot;format&quot;:&quot;author-date&quot;,&quot;defaultLocale&quot;:null}"/>
  </we:properties>
  <we:bindings/>
  <we:snapshot xmlns:r="http://schemas.openxmlformats.org/officeDocument/2006/relationships"/>
</we:webextension>
</file>

<file path=word/webextensions/webextension2.xml><?xml version="1.0" encoding="utf-8"?>
<we:webextension xmlns:we="http://schemas.microsoft.com/office/webextensions/webextension/2010/11" id="{0FD13089-47CA-DE4A-A288-92AFF35CFDBA}">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3316</Words>
  <Characters>18902</Characters>
  <Application>Microsoft Office Word</Application>
  <DocSecurity>0</DocSecurity>
  <Lines>157</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TUCI GIULIA ADELE</cp:lastModifiedBy>
  <cp:revision>3</cp:revision>
  <cp:lastPrinted>2015-05-12T18:31:00Z</cp:lastPrinted>
  <dcterms:created xsi:type="dcterms:W3CDTF">2023-03-24T11:21:00Z</dcterms:created>
  <dcterms:modified xsi:type="dcterms:W3CDTF">2023-03-24T11:22:00Z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_documentId">
    <vt:lpwstr>documentId_5435</vt:lpwstr>
  </property>
  <property fmtid="{D5CDD505-2E9C-101B-9397-08002B2CF9AE}" pid="5" name="grammarly_documentContext">
    <vt:lpwstr>{"goals":[],"domain":"general","emotions":[],"dialect":"american"}</vt:lpwstr>
  </property>
</Properties>
</file>