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3C49276B" w:rsidR="00E978D0" w:rsidRPr="00B57B36" w:rsidRDefault="00EC0DD9" w:rsidP="00E978D0">
      <w:pPr>
        <w:pStyle w:val="CETTitle"/>
      </w:pPr>
      <w:r w:rsidRPr="00EC0DD9">
        <w:t>Computational Fluid Dynamics Investigation on Transplantation Anastomoses</w:t>
      </w:r>
    </w:p>
    <w:p w14:paraId="0488FED2" w14:textId="1E6399AB" w:rsidR="00B57E6F" w:rsidRPr="00B57B36" w:rsidRDefault="00EC0DD9" w:rsidP="00B57E6F">
      <w:pPr>
        <w:pStyle w:val="CETAuthors"/>
      </w:pPr>
      <w:r>
        <w:t>Filippos F. Karageorgos</w:t>
      </w:r>
      <w:r w:rsidR="00B57E6F" w:rsidRPr="00B57B36">
        <w:rPr>
          <w:vertAlign w:val="superscript"/>
        </w:rPr>
        <w:t>a</w:t>
      </w:r>
      <w:r w:rsidR="00B57E6F" w:rsidRPr="00B57B36">
        <w:t xml:space="preserve">, </w:t>
      </w:r>
      <w:r>
        <w:t>Georgios Tsoulfas</w:t>
      </w:r>
      <w:r w:rsidRPr="00B57B36">
        <w:rPr>
          <w:vertAlign w:val="superscript"/>
        </w:rPr>
        <w:t>a</w:t>
      </w:r>
      <w:r w:rsidRPr="00B57B36">
        <w:t>,</w:t>
      </w:r>
      <w:r>
        <w:t xml:space="preserve"> Aleck</w:t>
      </w:r>
      <w:r w:rsidR="00B57E6F" w:rsidRPr="00B57B36">
        <w:t xml:space="preserve"> </w:t>
      </w:r>
      <w:r>
        <w:t>H</w:t>
      </w:r>
      <w:r w:rsidR="00B57E6F" w:rsidRPr="00B57B36">
        <w:t xml:space="preserve">. </w:t>
      </w:r>
      <w:r>
        <w:t>Alexopoulos</w:t>
      </w:r>
      <w:r w:rsidR="00587B1A" w:rsidRPr="00B57B36">
        <w:rPr>
          <w:vertAlign w:val="superscript"/>
        </w:rPr>
        <w:t>b</w:t>
      </w:r>
      <w:r w:rsidR="00FA7CA5" w:rsidRPr="00B57B36">
        <w:rPr>
          <w:vertAlign w:val="superscript"/>
        </w:rPr>
        <w:t>,</w:t>
      </w:r>
      <w:r w:rsidR="00FA7CA5" w:rsidRPr="00B57B36">
        <w:t>*</w:t>
      </w:r>
    </w:p>
    <w:p w14:paraId="6B2D21B3" w14:textId="3BCACC3C" w:rsidR="00B57E6F" w:rsidRPr="00B57B36" w:rsidRDefault="00B57E6F" w:rsidP="00B57E6F">
      <w:pPr>
        <w:pStyle w:val="CETAddress"/>
      </w:pPr>
      <w:r w:rsidRPr="00B57B36">
        <w:rPr>
          <w:vertAlign w:val="superscript"/>
        </w:rPr>
        <w:t>a</w:t>
      </w:r>
      <w:r w:rsidR="00EC0DD9" w:rsidRPr="00EC0DD9">
        <w:t>Department of Transplantation Surgery, Center for Research and Innovation in Solid Organ Transplantation, Aristotle University School of Medicine, 54642 Thessaloniki, Greece</w:t>
      </w:r>
      <w:r w:rsidRPr="00B57B36">
        <w:t xml:space="preserve"> </w:t>
      </w:r>
    </w:p>
    <w:p w14:paraId="3D72B0B0" w14:textId="22B68C20" w:rsidR="00B57E6F" w:rsidRPr="00B57B36" w:rsidRDefault="00B57E6F" w:rsidP="00B57E6F">
      <w:pPr>
        <w:pStyle w:val="CETAddress"/>
      </w:pPr>
      <w:r w:rsidRPr="00B57B36">
        <w:rPr>
          <w:vertAlign w:val="superscript"/>
        </w:rPr>
        <w:t>b</w:t>
      </w:r>
      <w:r w:rsidR="00EC0DD9" w:rsidRPr="00EC0DD9">
        <w:t>Chemical Process &amp; Energy Resources Institute, 6th km Harilaou-Thermi rd., P.O. Box 60361, 57001, Thessaloniki, Greece</w:t>
      </w:r>
      <w:r w:rsidRPr="00B57B36">
        <w:t xml:space="preserve"> </w:t>
      </w:r>
    </w:p>
    <w:p w14:paraId="73F1267A" w14:textId="63089757" w:rsidR="00B57E6F" w:rsidRPr="00B57B36" w:rsidRDefault="00EC0DD9" w:rsidP="00B57E6F">
      <w:pPr>
        <w:pStyle w:val="CETemail"/>
      </w:pPr>
      <w:r>
        <w:t>aleck</w:t>
      </w:r>
      <w:r w:rsidR="00B57E6F" w:rsidRPr="00B57B36">
        <w:t>@</w:t>
      </w:r>
      <w:r>
        <w:t>certh</w:t>
      </w:r>
      <w:r w:rsidR="00B57E6F" w:rsidRPr="00B57B36">
        <w:t>.</w:t>
      </w:r>
      <w:r>
        <w:t>gr</w:t>
      </w:r>
    </w:p>
    <w:p w14:paraId="6893AF25" w14:textId="2C30A67D" w:rsidR="00600535" w:rsidRPr="007B11B4" w:rsidRDefault="0047226D" w:rsidP="0047226D">
      <w:pPr>
        <w:pStyle w:val="CETBodytext"/>
        <w:rPr>
          <w:lang w:val="en-GB"/>
        </w:rPr>
      </w:pPr>
      <w:bookmarkStart w:id="1" w:name="_Hlk184487488"/>
      <w:r w:rsidRPr="0047226D">
        <w:rPr>
          <w:lang w:val="en-GB"/>
        </w:rPr>
        <w:t>A surgical technique</w:t>
      </w:r>
      <w:r w:rsidRPr="007B11B4">
        <w:rPr>
          <w:lang w:val="en-GB"/>
        </w:rPr>
        <w:t xml:space="preserve">, known as hepatic artery patch, is applied in the anastomosis of the hepatic artery to minimize complications such as </w:t>
      </w:r>
      <w:r w:rsidR="00512000" w:rsidRPr="007B11B4">
        <w:rPr>
          <w:lang w:val="en-GB"/>
        </w:rPr>
        <w:t xml:space="preserve">hepatic artery thrombosis </w:t>
      </w:r>
      <w:bookmarkEnd w:id="1"/>
      <w:r w:rsidR="00512000" w:rsidRPr="007B11B4">
        <w:rPr>
          <w:lang w:val="en-GB"/>
        </w:rPr>
        <w:t>(</w:t>
      </w:r>
      <w:r w:rsidRPr="007B11B4">
        <w:rPr>
          <w:lang w:val="en-GB"/>
        </w:rPr>
        <w:t>HAT</w:t>
      </w:r>
      <w:r w:rsidR="00512000" w:rsidRPr="007B11B4">
        <w:rPr>
          <w:lang w:val="en-GB"/>
        </w:rPr>
        <w:t>)</w:t>
      </w:r>
      <w:r w:rsidRPr="007B11B4">
        <w:rPr>
          <w:lang w:val="en-GB"/>
        </w:rPr>
        <w:t>. This surgical technique is used when there is a diameter size difference in the two connected arteries.</w:t>
      </w:r>
      <w:r w:rsidR="007F3D35" w:rsidRPr="007B11B4">
        <w:rPr>
          <w:lang w:val="en-GB"/>
        </w:rPr>
        <w:t xml:space="preserve"> </w:t>
      </w:r>
      <w:r w:rsidRPr="007B11B4">
        <w:rPr>
          <w:lang w:val="en-GB"/>
        </w:rPr>
        <w:t xml:space="preserve">Computational fluid dynamics (CFD) is a tool for solving problems including various phenomena (e.g., fluid flow, mass transfer, heat transfer) </w:t>
      </w:r>
      <w:r w:rsidR="001A4DBC" w:rsidRPr="007B11B4">
        <w:rPr>
          <w:lang w:val="en-GB"/>
        </w:rPr>
        <w:t>(Raman et al., 2018)</w:t>
      </w:r>
      <w:r w:rsidRPr="007B11B4">
        <w:rPr>
          <w:lang w:val="en-GB"/>
        </w:rPr>
        <w:t xml:space="preserve">. Moreover, CFD has a wide range of applications from turbomachinery design and aerodynamics of aircrafts to food industry, drug delivery and even more </w:t>
      </w:r>
      <w:r w:rsidR="001A4DBC" w:rsidRPr="007B11B4">
        <w:rPr>
          <w:lang w:val="en-GB"/>
        </w:rPr>
        <w:t>(Raman et al., 2018; Kiparissides et al., 2018)</w:t>
      </w:r>
      <w:r w:rsidRPr="007B11B4">
        <w:rPr>
          <w:lang w:val="en-GB"/>
        </w:rPr>
        <w:t xml:space="preserve">. There is limited data from the viewpoint of CFD studying the HAT problem and how it can be reduced or prevented. Herein, the hepatic artery anastomosis using hepatic artery patch is studied. For this, the geometric characteristics, such as the diameter of the connection that the patch should have, in relation to the blood inlet and outlet artery (i.e., the recipient’s blood vessel diameter, the donor’s blood vessel diameter), are studied. In addition, pulsatile flow with various assumed heart rates inside and outside the normal range are considered together with a Carreau model for blood rheology </w:t>
      </w:r>
      <w:r w:rsidR="001A4DBC" w:rsidRPr="007B11B4">
        <w:rPr>
          <w:lang w:val="en-GB"/>
        </w:rPr>
        <w:t>(</w:t>
      </w:r>
      <w:bookmarkStart w:id="2" w:name="_Hlk187324069"/>
      <w:r w:rsidR="001A4DBC" w:rsidRPr="007B11B4">
        <w:rPr>
          <w:lang w:val="en-GB"/>
        </w:rPr>
        <w:t>Zouggari et al., 2018</w:t>
      </w:r>
      <w:bookmarkEnd w:id="2"/>
      <w:r w:rsidR="001A4DBC" w:rsidRPr="007B11B4">
        <w:rPr>
          <w:lang w:val="en-GB"/>
        </w:rPr>
        <w:t>)</w:t>
      </w:r>
      <w:r w:rsidRPr="007B11B4">
        <w:rPr>
          <w:lang w:val="en-GB"/>
        </w:rPr>
        <w:t xml:space="preserve">. The CFD solver, ANSYS, has been used to generate the simulation results. It is known that ANSYS is appropriate to simulate complex geometries </w:t>
      </w:r>
      <w:r w:rsidR="001A4DBC" w:rsidRPr="007B11B4">
        <w:rPr>
          <w:lang w:val="en-GB"/>
        </w:rPr>
        <w:t>(Papadimitriou et al., 2011)</w:t>
      </w:r>
      <w:r w:rsidRPr="007B11B4">
        <w:rPr>
          <w:lang w:val="en-GB"/>
        </w:rPr>
        <w:t xml:space="preserve">. Solutions are obtained over a span of at least </w:t>
      </w:r>
      <w:r w:rsidR="00FD7723">
        <w:rPr>
          <w:lang w:val="en-GB"/>
        </w:rPr>
        <w:t>three</w:t>
      </w:r>
      <w:r w:rsidR="00FD7723" w:rsidRPr="007B11B4">
        <w:rPr>
          <w:lang w:val="en-GB"/>
        </w:rPr>
        <w:t xml:space="preserve"> </w:t>
      </w:r>
      <w:r w:rsidRPr="007B11B4">
        <w:rPr>
          <w:lang w:val="en-GB"/>
        </w:rPr>
        <w:t xml:space="preserve">flow pulses. In the literature wall shear stress and blood velocity are associated with thrombosis and plaque formation </w:t>
      </w:r>
      <w:r w:rsidR="00427A53" w:rsidRPr="007B11B4">
        <w:rPr>
          <w:lang w:val="en-GB"/>
        </w:rPr>
        <w:t>(Reorowicz et al., 2022)</w:t>
      </w:r>
      <w:r w:rsidRPr="007B11B4">
        <w:rPr>
          <w:lang w:val="en-GB"/>
        </w:rPr>
        <w:t>. The simulation results are compared with clinical studies from the literature on the risk of thrombosis</w:t>
      </w:r>
      <w:r w:rsidR="00600535" w:rsidRPr="007B11B4">
        <w:rPr>
          <w:lang w:val="en-GB"/>
        </w:rPr>
        <w:t>.</w:t>
      </w:r>
    </w:p>
    <w:p w14:paraId="476B2F2E" w14:textId="52B36035" w:rsidR="00600535" w:rsidRPr="007B11B4" w:rsidRDefault="00600535" w:rsidP="00600535">
      <w:pPr>
        <w:pStyle w:val="CETHeading1"/>
        <w:rPr>
          <w:lang w:val="en-GB"/>
        </w:rPr>
      </w:pPr>
      <w:r w:rsidRPr="007B11B4">
        <w:rPr>
          <w:lang w:val="en-GB"/>
        </w:rPr>
        <w:t>Introduction</w:t>
      </w:r>
    </w:p>
    <w:p w14:paraId="1C7C0E67" w14:textId="3F566F90" w:rsidR="00512000" w:rsidRPr="007B11B4" w:rsidRDefault="00512000" w:rsidP="00512000">
      <w:pPr>
        <w:pStyle w:val="CETBodytext"/>
        <w:rPr>
          <w:lang w:val="en-GB"/>
        </w:rPr>
      </w:pPr>
      <w:r w:rsidRPr="007B11B4">
        <w:rPr>
          <w:lang w:val="en-GB"/>
        </w:rPr>
        <w:t xml:space="preserve">A solid organ transplantation (e.g., liver transplantation, kidney transplantation) includes a series of steps to be completed during surgery such as blood vessel anastomoses. In liver transplantation there is a number of blood vessel anastomoses </w:t>
      </w:r>
      <w:r w:rsidR="00F32C92" w:rsidRPr="007B11B4">
        <w:rPr>
          <w:lang w:val="en-GB"/>
        </w:rPr>
        <w:t xml:space="preserve">that need </w:t>
      </w:r>
      <w:r w:rsidRPr="007B11B4">
        <w:rPr>
          <w:lang w:val="en-GB"/>
        </w:rPr>
        <w:t xml:space="preserve">to be completed before the transplantation surgery </w:t>
      </w:r>
      <w:r w:rsidR="00F32C92" w:rsidRPr="007B11B4">
        <w:rPr>
          <w:lang w:val="en-GB"/>
        </w:rPr>
        <w:t>can be</w:t>
      </w:r>
      <w:r w:rsidRPr="007B11B4">
        <w:rPr>
          <w:lang w:val="en-GB"/>
        </w:rPr>
        <w:t xml:space="preserve"> completed and the graft can function properly (Cohn et al., 2012). Some of these anastomoses include the hepatic artery anastomosis and the portal vein anastomosis. As in every surgery there may be complications in the postoperative period. The hepatic artery thrombosis (HAT) (Pareja et al., 2010) is a common postoperative complication of the liver transplantation.</w:t>
      </w:r>
    </w:p>
    <w:p w14:paraId="61A9B77A" w14:textId="4E15242E" w:rsidR="00600535" w:rsidRPr="007B11B4" w:rsidRDefault="00CE4679" w:rsidP="002015B8">
      <w:pPr>
        <w:pStyle w:val="CETheadingx"/>
      </w:pPr>
      <w:r w:rsidRPr="007B11B4">
        <w:t>General Information on Liver Transplantation</w:t>
      </w:r>
    </w:p>
    <w:p w14:paraId="1F7A89A5" w14:textId="55A7AD85" w:rsidR="00600535" w:rsidRPr="007B11B4" w:rsidRDefault="00F32C92" w:rsidP="002F0855">
      <w:pPr>
        <w:pStyle w:val="CETBodytext"/>
      </w:pPr>
      <w:r w:rsidRPr="007B11B4">
        <w:t>The f</w:t>
      </w:r>
      <w:r w:rsidR="00CE4679" w:rsidRPr="007B11B4">
        <w:rPr>
          <w:lang w:val="en-GB"/>
        </w:rPr>
        <w:t xml:space="preserve">irst successful liver transplant </w:t>
      </w:r>
      <w:r w:rsidRPr="007B11B4">
        <w:rPr>
          <w:lang w:val="en-GB"/>
        </w:rPr>
        <w:t xml:space="preserve">was </w:t>
      </w:r>
      <w:r w:rsidR="00CE4679" w:rsidRPr="007B11B4">
        <w:rPr>
          <w:lang w:val="en-GB"/>
        </w:rPr>
        <w:t>performed in July 1967 by a surgical team led by Dr Thomas Starzl (</w:t>
      </w:r>
      <w:r w:rsidR="006244F8" w:rsidRPr="007B11B4">
        <w:t>Zarrinpar and Busuttil, 2013</w:t>
      </w:r>
      <w:r w:rsidR="008F754A" w:rsidRPr="007B11B4">
        <w:t>, Karageorgos et al., 2024</w:t>
      </w:r>
      <w:r w:rsidR="00CE4679" w:rsidRPr="007B11B4">
        <w:rPr>
          <w:lang w:val="en-GB"/>
        </w:rPr>
        <w:t xml:space="preserve">). </w:t>
      </w:r>
      <w:r w:rsidRPr="007B11B4">
        <w:rPr>
          <w:lang w:val="en-GB"/>
        </w:rPr>
        <w:t xml:space="preserve">Since </w:t>
      </w:r>
      <w:r w:rsidR="000B1EE5" w:rsidRPr="007B11B4">
        <w:rPr>
          <w:lang w:val="en-GB"/>
        </w:rPr>
        <w:t>then,</w:t>
      </w:r>
      <w:r w:rsidRPr="007B11B4">
        <w:rPr>
          <w:lang w:val="en-GB"/>
        </w:rPr>
        <w:t xml:space="preserve"> these interventions have expanded significantly and a total of </w:t>
      </w:r>
      <w:r w:rsidR="006244F8" w:rsidRPr="007B11B4">
        <w:rPr>
          <w:lang w:val="en-GB"/>
        </w:rPr>
        <w:t xml:space="preserve">34,694 liver transplants </w:t>
      </w:r>
      <w:r w:rsidRPr="007B11B4">
        <w:rPr>
          <w:lang w:val="en-GB"/>
        </w:rPr>
        <w:t xml:space="preserve">were </w:t>
      </w:r>
      <w:r w:rsidR="006244F8" w:rsidRPr="007B11B4">
        <w:rPr>
          <w:lang w:val="en-GB"/>
        </w:rPr>
        <w:t xml:space="preserve">performed globally in 2021 </w:t>
      </w:r>
      <w:r w:rsidR="00CE4679" w:rsidRPr="007B11B4">
        <w:rPr>
          <w:lang w:val="en-GB"/>
        </w:rPr>
        <w:t>(</w:t>
      </w:r>
      <w:r w:rsidR="006244F8" w:rsidRPr="007B11B4">
        <w:rPr>
          <w:lang w:val="en-GB"/>
        </w:rPr>
        <w:t>Terrault et al., 2023</w:t>
      </w:r>
      <w:r w:rsidR="00CE4679" w:rsidRPr="007B11B4">
        <w:rPr>
          <w:lang w:val="en-GB"/>
        </w:rPr>
        <w:t>). During liver transplantation the following vascular anastomoses must be performed</w:t>
      </w:r>
      <w:r w:rsidRPr="007B11B4">
        <w:t>:</w:t>
      </w:r>
      <w:r w:rsidR="002F0855" w:rsidRPr="007B11B4">
        <w:t xml:space="preserve"> the p</w:t>
      </w:r>
      <w:r w:rsidR="00CE4679" w:rsidRPr="007B11B4">
        <w:t>iggy-back inferior vena cava anastomosis</w:t>
      </w:r>
      <w:r w:rsidR="002F0855" w:rsidRPr="007B11B4">
        <w:t>; the p</w:t>
      </w:r>
      <w:r w:rsidR="00CE4679" w:rsidRPr="007B11B4">
        <w:t>ortal vein anastomosis</w:t>
      </w:r>
      <w:r w:rsidR="002F0855" w:rsidRPr="007B11B4">
        <w:t>; the h</w:t>
      </w:r>
      <w:r w:rsidR="00CE4679" w:rsidRPr="007B11B4">
        <w:t>epatic artery anastomosis</w:t>
      </w:r>
      <w:r w:rsidR="002F0855" w:rsidRPr="007B11B4">
        <w:t>; the b</w:t>
      </w:r>
      <w:r w:rsidR="00CE4679" w:rsidRPr="007B11B4">
        <w:t>ile duct anastomosis</w:t>
      </w:r>
      <w:r w:rsidR="002F0855" w:rsidRPr="007B11B4">
        <w:t xml:space="preserve">. </w:t>
      </w:r>
    </w:p>
    <w:p w14:paraId="5559D13E" w14:textId="3D51580B" w:rsidR="00CE4679" w:rsidRPr="007B11B4" w:rsidRDefault="000F3C1B" w:rsidP="00CE4679">
      <w:pPr>
        <w:pStyle w:val="CETListbullets"/>
        <w:ind w:left="0" w:firstLine="0"/>
      </w:pPr>
      <w:r w:rsidRPr="007B11B4">
        <w:t>Non</w:t>
      </w:r>
      <w:r w:rsidR="00F32C92" w:rsidRPr="007B11B4">
        <w:t>-</w:t>
      </w:r>
      <w:r w:rsidRPr="007B11B4">
        <w:t>occlusive and steno-occlusive disease</w:t>
      </w:r>
      <w:r w:rsidR="00F32C92" w:rsidRPr="007B11B4">
        <w:t>s</w:t>
      </w:r>
      <w:r w:rsidRPr="007B11B4">
        <w:t xml:space="preserve"> are the two </w:t>
      </w:r>
      <w:r w:rsidR="00F32C92" w:rsidRPr="007B11B4">
        <w:t xml:space="preserve">main </w:t>
      </w:r>
      <w:r w:rsidRPr="007B11B4">
        <w:t>types of hepatic artery complications (Cizman and Saad, 2023). The term "steno-occlusive disease" refers to a group of conditions including hepatic artery kinks, stenosis, and thrombosis. Arteriovenous fistulae, arterial rupture, pseudoaneurysms, and non</w:t>
      </w:r>
      <w:r w:rsidR="00F32C92" w:rsidRPr="007B11B4">
        <w:t>-</w:t>
      </w:r>
      <w:r w:rsidRPr="007B11B4">
        <w:t>occlusive hepatic artery hypoperfusion syndrome are all referred</w:t>
      </w:r>
      <w:r w:rsidRPr="000F3C1B">
        <w:t xml:space="preserve"> to as non</w:t>
      </w:r>
      <w:r w:rsidR="00F32C92">
        <w:t>-</w:t>
      </w:r>
      <w:r w:rsidRPr="000F3C1B">
        <w:t>occlusive arterial disease.</w:t>
      </w:r>
      <w:r w:rsidR="00CE4679">
        <w:t xml:space="preserve"> </w:t>
      </w:r>
      <w:r>
        <w:t>HAT</w:t>
      </w:r>
      <w:r w:rsidRPr="000F3C1B">
        <w:t xml:space="preserve"> is the most </w:t>
      </w:r>
      <w:r w:rsidRPr="000F3C1B">
        <w:lastRenderedPageBreak/>
        <w:t xml:space="preserve">frequent vascular </w:t>
      </w:r>
      <w:r w:rsidRPr="007B11B4">
        <w:t xml:space="preserve">complication that follows after liver transplantation, occurring in 2–12% of cases </w:t>
      </w:r>
      <w:r w:rsidR="00CE4679" w:rsidRPr="007B11B4">
        <w:t xml:space="preserve">(i.e., </w:t>
      </w:r>
      <w:r w:rsidR="006244F8" w:rsidRPr="007B11B4">
        <w:t>694</w:t>
      </w:r>
      <w:r w:rsidR="00CE4679" w:rsidRPr="007B11B4">
        <w:t>-</w:t>
      </w:r>
      <w:r w:rsidR="006244F8" w:rsidRPr="007B11B4">
        <w:t>4164</w:t>
      </w:r>
      <w:r w:rsidR="00CE4679" w:rsidRPr="007B11B4">
        <w:t xml:space="preserve"> cases per year)</w:t>
      </w:r>
      <w:r w:rsidR="00B72CF1" w:rsidRPr="007B11B4">
        <w:t xml:space="preserve"> (</w:t>
      </w:r>
      <w:r w:rsidR="00DF5DAB" w:rsidRPr="007B11B4">
        <w:t>Katyal et al., 2000</w:t>
      </w:r>
      <w:r w:rsidR="00B72CF1" w:rsidRPr="007B11B4">
        <w:t>)</w:t>
      </w:r>
      <w:r w:rsidR="00CE4679" w:rsidRPr="007B11B4">
        <w:t xml:space="preserve">. Hepatic artery stenosis is the second most </w:t>
      </w:r>
      <w:r w:rsidRPr="007B11B4">
        <w:t>frequent</w:t>
      </w:r>
      <w:r w:rsidR="00CE4679" w:rsidRPr="007B11B4">
        <w:t xml:space="preserve"> vascular complication </w:t>
      </w:r>
      <w:r w:rsidRPr="007B11B4">
        <w:t>following</w:t>
      </w:r>
      <w:r w:rsidR="00CE4679" w:rsidRPr="007B11B4">
        <w:t xml:space="preserve"> liver transplantation</w:t>
      </w:r>
      <w:r w:rsidRPr="007B11B4">
        <w:t xml:space="preserve"> that</w:t>
      </w:r>
      <w:r w:rsidR="00CE4679" w:rsidRPr="007B11B4">
        <w:t xml:space="preserve"> </w:t>
      </w:r>
      <w:r w:rsidRPr="007B11B4">
        <w:t xml:space="preserve">occurs </w:t>
      </w:r>
      <w:r w:rsidR="00CE4679" w:rsidRPr="007B11B4">
        <w:t xml:space="preserve">in </w:t>
      </w:r>
      <w:r w:rsidRPr="007B11B4">
        <w:rPr>
          <w:rFonts w:cs="Arial"/>
        </w:rPr>
        <w:t>≤</w:t>
      </w:r>
      <w:r w:rsidR="00CE4679" w:rsidRPr="007B11B4">
        <w:t>5% of transplants</w:t>
      </w:r>
      <w:r w:rsidR="000F7E1F" w:rsidRPr="007B11B4">
        <w:t xml:space="preserve"> (Katyal et al., 2000)</w:t>
      </w:r>
      <w:r w:rsidR="00CE4679" w:rsidRPr="007B11B4">
        <w:t>.</w:t>
      </w:r>
    </w:p>
    <w:p w14:paraId="3610E801" w14:textId="2E01D1D7" w:rsidR="00CE4679" w:rsidRPr="007B11B4" w:rsidRDefault="00CE4679" w:rsidP="002015B8">
      <w:pPr>
        <w:pStyle w:val="CETheadingx"/>
      </w:pPr>
      <w:r w:rsidRPr="007B11B4">
        <w:t>Hepatic Artery Anastomosis</w:t>
      </w:r>
      <w:r w:rsidR="005146A7" w:rsidRPr="007B11B4">
        <w:t xml:space="preserve"> and Dimensions</w:t>
      </w:r>
    </w:p>
    <w:p w14:paraId="361BA1F8" w14:textId="7B443950" w:rsidR="00D73452" w:rsidRDefault="00A96E59" w:rsidP="005146A7">
      <w:pPr>
        <w:pStyle w:val="CETListbullets"/>
        <w:ind w:left="0" w:firstLine="0"/>
      </w:pPr>
      <w:r w:rsidRPr="007B11B4">
        <w:t>In liver transplant surgeries t</w:t>
      </w:r>
      <w:r w:rsidR="00D73452" w:rsidRPr="007B11B4">
        <w:t>he recipient and donor arteries undergo an anastomosis, where the initial diameter and length of the arteries, together with other factors that differ from patient to patient, determine the level of anastomosis on both the donor and recipient sides. Hepatic graft arterialization is often accomplished by end-to-end anastomosis between the recipient hepatic artery and the small Carrel patch of the graft's celiac trunk (CT) on the CT itself (Todo et al., 1987)</w:t>
      </w:r>
      <w:r w:rsidR="005146A7" w:rsidRPr="007B11B4">
        <w:t xml:space="preserve">. </w:t>
      </w:r>
      <w:r w:rsidR="00D73452" w:rsidRPr="007B11B4">
        <w:t xml:space="preserve">One preferred site for the end-to-end anastomosis is the recipient gastroduodenal artery (GDA) bifurcation at the common hepatic artery (CHA) (see Figure 1) (Todo et al., 1987). To choose an appropriate recipient for anastomosis, the GDA and the proper hepatic artery (PHA) are split to form a patch (see Figure 1). Similar applications include the take-off of the splenic artery (SA) from the CT or the bifurcation of the RHA and LHA at the PHA. Additionally, suitable spots include the CT and CHA (Todo et al., 1987). Regarding the dimensions of the anatomical elements </w:t>
      </w:r>
      <w:r w:rsidR="00E86C61" w:rsidRPr="007B11B4">
        <w:t>from literature the dimension and the length of the CHA are in</w:t>
      </w:r>
      <w:r w:rsidR="00E86C61">
        <w:t xml:space="preserve"> Table 1 and Table 2.</w:t>
      </w:r>
    </w:p>
    <w:p w14:paraId="0DD3615F" w14:textId="75F5C2A8" w:rsidR="004B3FF7" w:rsidRDefault="005853CE" w:rsidP="005146A7">
      <w:pPr>
        <w:pStyle w:val="CETListbullets"/>
        <w:ind w:left="0" w:firstLine="0"/>
      </w:pPr>
      <w:r>
        <w:rPr>
          <w:noProof/>
          <w:lang w:val="en-US"/>
        </w:rPr>
        <w:drawing>
          <wp:inline distT="0" distB="0" distL="0" distR="0" wp14:anchorId="230619E1" wp14:editId="7A2092A1">
            <wp:extent cx="2543109" cy="1800000"/>
            <wp:effectExtent l="0" t="0" r="0" b="0"/>
            <wp:docPr id="28687140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09" cy="1800000"/>
                    </a:xfrm>
                    <a:prstGeom prst="rect">
                      <a:avLst/>
                    </a:prstGeom>
                    <a:noFill/>
                  </pic:spPr>
                </pic:pic>
              </a:graphicData>
            </a:graphic>
          </wp:inline>
        </w:drawing>
      </w:r>
    </w:p>
    <w:p w14:paraId="1BA46E31" w14:textId="7E5AE9CB" w:rsidR="004B3FF7" w:rsidRDefault="004B3FF7" w:rsidP="004B3FF7">
      <w:pPr>
        <w:pStyle w:val="CETCaption"/>
      </w:pPr>
      <w:r w:rsidRPr="00BD077D">
        <w:rPr>
          <w:rStyle w:val="CETCaptionCarattere"/>
          <w:i/>
        </w:rPr>
        <w:t xml:space="preserve">Figure </w:t>
      </w:r>
      <w:r>
        <w:rPr>
          <w:rStyle w:val="CETCaptionCarattere"/>
          <w:i/>
        </w:rPr>
        <w:t>1</w:t>
      </w:r>
      <w:r w:rsidRPr="00BD077D">
        <w:rPr>
          <w:rStyle w:val="CETCaptionCarattere"/>
          <w:i/>
        </w:rPr>
        <w:t xml:space="preserve">: </w:t>
      </w:r>
      <w:r>
        <w:rPr>
          <w:rStyle w:val="CETCaptionCarattere"/>
          <w:i/>
        </w:rPr>
        <w:t xml:space="preserve">Arterial tree of the donor and the recipient to create a patch in the </w:t>
      </w:r>
      <w:r w:rsidRPr="00AB56D8">
        <w:rPr>
          <w:rStyle w:val="CETCaptionCarattere"/>
          <w:i/>
        </w:rPr>
        <w:t>a</w:t>
      </w:r>
      <w:r w:rsidR="00A96E59" w:rsidRPr="00AB56D8">
        <w:rPr>
          <w:rStyle w:val="CETCaptionCarattere"/>
          <w:i/>
        </w:rPr>
        <w:t>n</w:t>
      </w:r>
      <w:r w:rsidRPr="00AB56D8">
        <w:rPr>
          <w:rStyle w:val="CETCaptionCarattere"/>
          <w:i/>
        </w:rPr>
        <w:t>a</w:t>
      </w:r>
      <w:r>
        <w:rPr>
          <w:rStyle w:val="CETCaptionCarattere"/>
          <w:i/>
        </w:rPr>
        <w:t xml:space="preserve">stomosis of the common hepatic arteries (CHA). LHA: Left hepatic artery; RHA: right hepatic artery; GDA: Gastroduodenal artery; CT: Coeliac trunk; SA: </w:t>
      </w:r>
      <w:bookmarkStart w:id="3" w:name="_Hlk184595149"/>
      <w:r>
        <w:rPr>
          <w:rStyle w:val="CETCaptionCarattere"/>
          <w:i/>
        </w:rPr>
        <w:t>Splenic artery</w:t>
      </w:r>
      <w:bookmarkEnd w:id="3"/>
      <w:r>
        <w:rPr>
          <w:rStyle w:val="CETCaptionCarattere"/>
          <w:i/>
        </w:rPr>
        <w:t>; PHA: Proper hepatic artery; CHA: Common hepatic artery; LGA: Left gastric artery .</w:t>
      </w:r>
    </w:p>
    <w:p w14:paraId="7C5EDB4F" w14:textId="7480D0E1" w:rsidR="005146A7" w:rsidRPr="00B57B36" w:rsidRDefault="005146A7" w:rsidP="005146A7">
      <w:pPr>
        <w:pStyle w:val="CETTabletitle"/>
      </w:pPr>
      <w:r w:rsidRPr="00B57B36">
        <w:t>Table</w:t>
      </w:r>
      <w:r w:rsidR="00006FAF">
        <w:t xml:space="preserve"> 1:</w:t>
      </w:r>
      <w:r w:rsidRPr="00B57B36">
        <w:t xml:space="preserve"> </w:t>
      </w:r>
      <w:r w:rsidR="00006FAF">
        <w:t xml:space="preserve">Anatomical </w:t>
      </w:r>
      <w:r w:rsidR="00006FAF" w:rsidRPr="000B1EE5">
        <w:t xml:space="preserve">dimensions of </w:t>
      </w:r>
      <w:r w:rsidR="00A96E59" w:rsidRPr="000B1EE5">
        <w:t xml:space="preserve">the </w:t>
      </w:r>
      <w:r w:rsidR="00006FAF">
        <w:t xml:space="preserve">common hepatic </w:t>
      </w:r>
      <w:r w:rsidR="00006FAF" w:rsidRPr="007B11B4">
        <w:t>artery from</w:t>
      </w:r>
      <w:r w:rsidR="00934A47" w:rsidRPr="007B11B4">
        <w:t xml:space="preserve"> Singh et al., 2014</w:t>
      </w:r>
      <w:r w:rsidR="000B1EE5" w:rsidRPr="007B11B4">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108"/>
        <w:gridCol w:w="1110"/>
        <w:gridCol w:w="1751"/>
      </w:tblGrid>
      <w:tr w:rsidR="00006FAF" w:rsidRPr="00B57B36" w14:paraId="47B4C9AB" w14:textId="77777777" w:rsidTr="00A96E59">
        <w:tc>
          <w:tcPr>
            <w:tcW w:w="1701" w:type="dxa"/>
            <w:tcBorders>
              <w:top w:val="single" w:sz="12" w:space="0" w:color="008000"/>
              <w:bottom w:val="single" w:sz="6" w:space="0" w:color="008000"/>
            </w:tcBorders>
            <w:shd w:val="clear" w:color="auto" w:fill="FFFFFF"/>
          </w:tcPr>
          <w:p w14:paraId="5E107077" w14:textId="233A0A22" w:rsidR="00006FAF" w:rsidRPr="00B57B36" w:rsidRDefault="00006FAF" w:rsidP="00AF42EA">
            <w:pPr>
              <w:pStyle w:val="CETBodytext"/>
              <w:rPr>
                <w:lang w:val="en-GB"/>
              </w:rPr>
            </w:pPr>
            <w:r>
              <w:rPr>
                <w:lang w:val="en-GB"/>
              </w:rPr>
              <w:t>Dimensions</w:t>
            </w:r>
          </w:p>
        </w:tc>
        <w:tc>
          <w:tcPr>
            <w:tcW w:w="1108" w:type="dxa"/>
            <w:tcBorders>
              <w:top w:val="single" w:sz="12" w:space="0" w:color="008000"/>
              <w:bottom w:val="single" w:sz="6" w:space="0" w:color="008000"/>
            </w:tcBorders>
            <w:shd w:val="clear" w:color="auto" w:fill="FFFFFF"/>
          </w:tcPr>
          <w:p w14:paraId="1886D69B" w14:textId="337EA548" w:rsidR="00006FAF" w:rsidRPr="005146A7" w:rsidRDefault="00006FAF" w:rsidP="00A96E59">
            <w:pPr>
              <w:pStyle w:val="CETBodytext"/>
              <w:jc w:val="center"/>
              <w:rPr>
                <w:lang w:val="en-GB"/>
              </w:rPr>
            </w:pPr>
            <w:r>
              <w:rPr>
                <w:lang w:val="en-GB"/>
              </w:rPr>
              <w:t>Men</w:t>
            </w:r>
          </w:p>
        </w:tc>
        <w:tc>
          <w:tcPr>
            <w:tcW w:w="1110" w:type="dxa"/>
            <w:tcBorders>
              <w:top w:val="single" w:sz="12" w:space="0" w:color="008000"/>
              <w:bottom w:val="single" w:sz="6" w:space="0" w:color="008000"/>
            </w:tcBorders>
            <w:shd w:val="clear" w:color="auto" w:fill="FFFFFF"/>
          </w:tcPr>
          <w:p w14:paraId="07E3B741" w14:textId="419B387C" w:rsidR="00006FAF" w:rsidRPr="005146A7" w:rsidRDefault="00006FAF" w:rsidP="00A96E59">
            <w:pPr>
              <w:pStyle w:val="CETBodytext"/>
              <w:jc w:val="center"/>
              <w:rPr>
                <w:lang w:val="en-GB"/>
              </w:rPr>
            </w:pPr>
            <w:r>
              <w:rPr>
                <w:lang w:val="en-GB"/>
              </w:rPr>
              <w:t>Female</w:t>
            </w:r>
          </w:p>
        </w:tc>
        <w:tc>
          <w:tcPr>
            <w:tcW w:w="1751" w:type="dxa"/>
            <w:tcBorders>
              <w:top w:val="single" w:sz="12" w:space="0" w:color="008000"/>
              <w:bottom w:val="single" w:sz="6" w:space="0" w:color="008000"/>
            </w:tcBorders>
            <w:shd w:val="clear" w:color="auto" w:fill="FFFFFF"/>
          </w:tcPr>
          <w:p w14:paraId="1E88DDB4" w14:textId="3F5EC9AD" w:rsidR="00006FAF" w:rsidRPr="005146A7" w:rsidRDefault="00006FAF" w:rsidP="00A96E59">
            <w:pPr>
              <w:pStyle w:val="CETBodytext"/>
              <w:jc w:val="center"/>
              <w:rPr>
                <w:lang w:val="en-GB"/>
              </w:rPr>
            </w:pPr>
            <w:r>
              <w:rPr>
                <w:lang w:val="en-GB"/>
              </w:rPr>
              <w:t>Both sexes average</w:t>
            </w:r>
          </w:p>
        </w:tc>
      </w:tr>
      <w:tr w:rsidR="00006FAF" w:rsidRPr="00B57B36" w14:paraId="45450691" w14:textId="77777777" w:rsidTr="00A96E59">
        <w:tc>
          <w:tcPr>
            <w:tcW w:w="1701" w:type="dxa"/>
            <w:shd w:val="clear" w:color="auto" w:fill="FFFFFF"/>
          </w:tcPr>
          <w:p w14:paraId="7DA98194" w14:textId="21A771B4" w:rsidR="00006FAF" w:rsidRPr="00B57B36" w:rsidRDefault="00006FAF" w:rsidP="00AF42EA">
            <w:pPr>
              <w:pStyle w:val="CETBodytext"/>
              <w:rPr>
                <w:lang w:val="en-GB"/>
              </w:rPr>
            </w:pPr>
            <w:r>
              <w:rPr>
                <w:lang w:val="en-GB"/>
              </w:rPr>
              <w:t xml:space="preserve">Diameter </w:t>
            </w:r>
            <w:r w:rsidR="00A96E59">
              <w:rPr>
                <w:lang w:val="en-GB"/>
              </w:rPr>
              <w:t xml:space="preserve">range </w:t>
            </w:r>
            <w:r>
              <w:rPr>
                <w:lang w:val="en-GB"/>
              </w:rPr>
              <w:t>(mm)</w:t>
            </w:r>
          </w:p>
        </w:tc>
        <w:tc>
          <w:tcPr>
            <w:tcW w:w="1108" w:type="dxa"/>
            <w:shd w:val="clear" w:color="auto" w:fill="FFFFFF"/>
          </w:tcPr>
          <w:p w14:paraId="6ADD1083" w14:textId="5FEAAC54" w:rsidR="00006FAF" w:rsidRPr="00CD3E8E" w:rsidRDefault="00006FAF" w:rsidP="00A96E59">
            <w:pPr>
              <w:pStyle w:val="CETBodytext"/>
              <w:jc w:val="center"/>
              <w:rPr>
                <w:lang w:val="en-GB"/>
              </w:rPr>
            </w:pPr>
            <w:r w:rsidRPr="00CD3E8E">
              <w:rPr>
                <w:lang w:val="en-GB"/>
              </w:rPr>
              <w:t>3-9</w:t>
            </w:r>
          </w:p>
        </w:tc>
        <w:tc>
          <w:tcPr>
            <w:tcW w:w="1110" w:type="dxa"/>
            <w:shd w:val="clear" w:color="auto" w:fill="FFFFFF"/>
          </w:tcPr>
          <w:p w14:paraId="3DCF5445" w14:textId="48E1F13A" w:rsidR="00006FAF" w:rsidRPr="00CD3E8E" w:rsidRDefault="00006FAF" w:rsidP="00A96E59">
            <w:pPr>
              <w:pStyle w:val="CETBodytext"/>
              <w:jc w:val="center"/>
              <w:rPr>
                <w:lang w:val="en-GB"/>
              </w:rPr>
            </w:pPr>
            <w:r w:rsidRPr="00CD3E8E">
              <w:rPr>
                <w:lang w:val="en-GB"/>
              </w:rPr>
              <w:t>2-8</w:t>
            </w:r>
          </w:p>
        </w:tc>
        <w:tc>
          <w:tcPr>
            <w:tcW w:w="1751" w:type="dxa"/>
            <w:shd w:val="clear" w:color="auto" w:fill="FFFFFF"/>
          </w:tcPr>
          <w:p w14:paraId="55E0BD72" w14:textId="05081201" w:rsidR="00006FAF" w:rsidRPr="00CD3E8E" w:rsidRDefault="00006FAF" w:rsidP="00A96E59">
            <w:pPr>
              <w:pStyle w:val="CETBodytext"/>
              <w:ind w:right="-1"/>
              <w:jc w:val="center"/>
              <w:rPr>
                <w:rFonts w:cs="Arial"/>
                <w:szCs w:val="18"/>
                <w:lang w:val="en-GB"/>
              </w:rPr>
            </w:pPr>
            <w:r w:rsidRPr="00CD3E8E">
              <w:rPr>
                <w:rFonts w:cs="Arial"/>
                <w:szCs w:val="18"/>
                <w:lang w:val="en-GB"/>
              </w:rPr>
              <w:t>5.1</w:t>
            </w:r>
          </w:p>
        </w:tc>
      </w:tr>
      <w:tr w:rsidR="00006FAF" w:rsidRPr="00B57B36" w14:paraId="5F097F27" w14:textId="77777777" w:rsidTr="00A96E59">
        <w:tc>
          <w:tcPr>
            <w:tcW w:w="1701" w:type="dxa"/>
            <w:shd w:val="clear" w:color="auto" w:fill="FFFFFF"/>
          </w:tcPr>
          <w:p w14:paraId="0419BB40" w14:textId="2FC1C8DA" w:rsidR="00006FAF" w:rsidRPr="00B57B36" w:rsidRDefault="00006FAF" w:rsidP="00AF42EA">
            <w:pPr>
              <w:pStyle w:val="CETBodytext"/>
              <w:ind w:right="-1"/>
              <w:rPr>
                <w:rFonts w:cs="Arial"/>
                <w:szCs w:val="18"/>
                <w:lang w:val="en-GB"/>
              </w:rPr>
            </w:pPr>
            <w:r>
              <w:rPr>
                <w:rFonts w:cs="Arial"/>
                <w:szCs w:val="18"/>
                <w:lang w:val="en-GB"/>
              </w:rPr>
              <w:t xml:space="preserve">Mean </w:t>
            </w:r>
            <w:r w:rsidR="00A96E59">
              <w:rPr>
                <w:rFonts w:cs="Arial"/>
                <w:szCs w:val="18"/>
                <w:lang w:val="en-GB"/>
              </w:rPr>
              <w:t xml:space="preserve">diameter </w:t>
            </w:r>
            <w:r>
              <w:rPr>
                <w:rFonts w:cs="Arial"/>
                <w:szCs w:val="18"/>
                <w:lang w:val="en-GB"/>
              </w:rPr>
              <w:t>(mm)</w:t>
            </w:r>
          </w:p>
        </w:tc>
        <w:tc>
          <w:tcPr>
            <w:tcW w:w="1108" w:type="dxa"/>
            <w:shd w:val="clear" w:color="auto" w:fill="FFFFFF"/>
          </w:tcPr>
          <w:p w14:paraId="6A31402B" w14:textId="1499BD11" w:rsidR="00006FAF" w:rsidRPr="00B57B36" w:rsidRDefault="00006FAF" w:rsidP="00A96E59">
            <w:pPr>
              <w:pStyle w:val="CETBodytext"/>
              <w:ind w:right="-1"/>
              <w:jc w:val="center"/>
              <w:rPr>
                <w:rFonts w:cs="Arial"/>
                <w:szCs w:val="18"/>
                <w:lang w:val="en-GB"/>
              </w:rPr>
            </w:pPr>
            <w:r>
              <w:rPr>
                <w:rFonts w:cs="Arial"/>
                <w:szCs w:val="18"/>
                <w:lang w:val="en-GB"/>
              </w:rPr>
              <w:t>5.4</w:t>
            </w:r>
          </w:p>
        </w:tc>
        <w:tc>
          <w:tcPr>
            <w:tcW w:w="1110" w:type="dxa"/>
            <w:shd w:val="clear" w:color="auto" w:fill="FFFFFF"/>
          </w:tcPr>
          <w:p w14:paraId="7E779B1E" w14:textId="548C24A6" w:rsidR="00006FAF" w:rsidRPr="00B57B36" w:rsidRDefault="00006FAF" w:rsidP="00A96E59">
            <w:pPr>
              <w:pStyle w:val="CETBodytext"/>
              <w:ind w:right="-1"/>
              <w:jc w:val="center"/>
              <w:rPr>
                <w:rFonts w:cs="Arial"/>
                <w:szCs w:val="18"/>
                <w:lang w:val="en-GB"/>
              </w:rPr>
            </w:pPr>
            <w:r>
              <w:rPr>
                <w:rFonts w:cs="Arial"/>
                <w:szCs w:val="18"/>
                <w:lang w:val="en-GB"/>
              </w:rPr>
              <w:t>5.2</w:t>
            </w:r>
          </w:p>
        </w:tc>
        <w:tc>
          <w:tcPr>
            <w:tcW w:w="1751" w:type="dxa"/>
            <w:shd w:val="clear" w:color="auto" w:fill="FFFFFF"/>
          </w:tcPr>
          <w:p w14:paraId="4D86C482" w14:textId="6A380BF4" w:rsidR="00006FAF" w:rsidRPr="00B57B36" w:rsidRDefault="008F425D" w:rsidP="00A96E59">
            <w:pPr>
              <w:pStyle w:val="CETBodytext"/>
              <w:ind w:right="-1"/>
              <w:jc w:val="center"/>
              <w:rPr>
                <w:rFonts w:cs="Arial"/>
                <w:szCs w:val="18"/>
                <w:lang w:val="en-GB"/>
              </w:rPr>
            </w:pPr>
            <w:r>
              <w:rPr>
                <w:rFonts w:cs="Arial"/>
                <w:szCs w:val="18"/>
                <w:lang w:val="en-GB"/>
              </w:rPr>
              <w:t>-</w:t>
            </w:r>
          </w:p>
        </w:tc>
      </w:tr>
    </w:tbl>
    <w:p w14:paraId="690F2692" w14:textId="1496C228" w:rsidR="008F425D" w:rsidRPr="00B57B36" w:rsidRDefault="008F425D" w:rsidP="008F425D">
      <w:pPr>
        <w:pStyle w:val="CETTabletitle"/>
      </w:pPr>
      <w:r w:rsidRPr="00B57B36">
        <w:t>Table</w:t>
      </w:r>
      <w:r>
        <w:t xml:space="preserve"> </w:t>
      </w:r>
      <w:r w:rsidR="00E86C61">
        <w:t>2</w:t>
      </w:r>
      <w:r>
        <w:t>:</w:t>
      </w:r>
      <w:r w:rsidRPr="00B57B36">
        <w:t xml:space="preserve"> </w:t>
      </w:r>
      <w:r>
        <w:t xml:space="preserve">Anatomical </w:t>
      </w:r>
      <w:r w:rsidRPr="000B1EE5">
        <w:t xml:space="preserve">dimensions of </w:t>
      </w:r>
      <w:r w:rsidR="00A96E59" w:rsidRPr="000B1EE5">
        <w:t xml:space="preserve">the </w:t>
      </w:r>
      <w:r w:rsidRPr="000B1EE5">
        <w:t xml:space="preserve">common </w:t>
      </w:r>
      <w:r w:rsidRPr="007B11B4">
        <w:t>hepatic artery from</w:t>
      </w:r>
      <w:r w:rsidR="00C55DFE" w:rsidRPr="007B11B4">
        <w:t xml:space="preserve"> Saldarriaga et al., 2023</w:t>
      </w:r>
      <w:r w:rsidR="00934A47" w:rsidRPr="007B11B4">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8"/>
        <w:gridCol w:w="813"/>
      </w:tblGrid>
      <w:tr w:rsidR="008F425D" w:rsidRPr="00B57B36" w14:paraId="38EC8640" w14:textId="77777777" w:rsidTr="008F425D">
        <w:tc>
          <w:tcPr>
            <w:tcW w:w="1418" w:type="dxa"/>
            <w:tcBorders>
              <w:top w:val="single" w:sz="12" w:space="0" w:color="008000"/>
              <w:bottom w:val="single" w:sz="6" w:space="0" w:color="008000"/>
            </w:tcBorders>
            <w:shd w:val="clear" w:color="auto" w:fill="FFFFFF"/>
          </w:tcPr>
          <w:p w14:paraId="05479CBD" w14:textId="77777777" w:rsidR="008F425D" w:rsidRPr="00B57B36" w:rsidRDefault="008F425D" w:rsidP="00945854">
            <w:pPr>
              <w:pStyle w:val="CETBodytext"/>
              <w:rPr>
                <w:lang w:val="en-GB"/>
              </w:rPr>
            </w:pPr>
            <w:r>
              <w:rPr>
                <w:lang w:val="en-GB"/>
              </w:rPr>
              <w:t>Dimensions</w:t>
            </w:r>
          </w:p>
        </w:tc>
        <w:tc>
          <w:tcPr>
            <w:tcW w:w="813" w:type="dxa"/>
            <w:tcBorders>
              <w:top w:val="single" w:sz="12" w:space="0" w:color="008000"/>
              <w:bottom w:val="single" w:sz="6" w:space="0" w:color="008000"/>
            </w:tcBorders>
            <w:shd w:val="clear" w:color="auto" w:fill="FFFFFF"/>
          </w:tcPr>
          <w:p w14:paraId="2754AF24" w14:textId="2AD5AF5F" w:rsidR="008F425D" w:rsidRPr="00614E28" w:rsidRDefault="008F425D" w:rsidP="00A96E59">
            <w:pPr>
              <w:pStyle w:val="CETBodytext"/>
              <w:jc w:val="center"/>
              <w:rPr>
                <w:lang w:val="en-GB"/>
              </w:rPr>
            </w:pPr>
            <w:r w:rsidRPr="00614E28">
              <w:rPr>
                <w:lang w:val="en-GB"/>
              </w:rPr>
              <w:t>Value</w:t>
            </w:r>
          </w:p>
        </w:tc>
      </w:tr>
      <w:tr w:rsidR="008F425D" w:rsidRPr="00B57B36" w14:paraId="45A9AF6E" w14:textId="77777777" w:rsidTr="008F425D">
        <w:tc>
          <w:tcPr>
            <w:tcW w:w="1418" w:type="dxa"/>
            <w:shd w:val="clear" w:color="auto" w:fill="FFFFFF"/>
          </w:tcPr>
          <w:p w14:paraId="64E70B62" w14:textId="77777777" w:rsidR="008F425D" w:rsidRPr="00B57B36" w:rsidRDefault="008F425D" w:rsidP="00945854">
            <w:pPr>
              <w:pStyle w:val="CETBodytext"/>
              <w:rPr>
                <w:lang w:val="en-GB"/>
              </w:rPr>
            </w:pPr>
            <w:r>
              <w:rPr>
                <w:lang w:val="en-GB"/>
              </w:rPr>
              <w:t>Diameter (mm)</w:t>
            </w:r>
          </w:p>
        </w:tc>
        <w:tc>
          <w:tcPr>
            <w:tcW w:w="813" w:type="dxa"/>
            <w:shd w:val="clear" w:color="auto" w:fill="FFFFFF"/>
          </w:tcPr>
          <w:p w14:paraId="0EAC890B" w14:textId="761AF8EE" w:rsidR="008F425D" w:rsidRPr="00614E28" w:rsidRDefault="008F425D" w:rsidP="00A96E59">
            <w:pPr>
              <w:pStyle w:val="CETBodytext"/>
              <w:jc w:val="center"/>
              <w:rPr>
                <w:lang w:val="en-GB"/>
              </w:rPr>
            </w:pPr>
            <w:r w:rsidRPr="00614E28">
              <w:rPr>
                <w:lang w:val="en-GB"/>
              </w:rPr>
              <w:t>5.2</w:t>
            </w:r>
          </w:p>
        </w:tc>
      </w:tr>
      <w:tr w:rsidR="008F425D" w:rsidRPr="00B57B36" w14:paraId="1CDC19E0" w14:textId="77777777" w:rsidTr="008F425D">
        <w:tc>
          <w:tcPr>
            <w:tcW w:w="1418" w:type="dxa"/>
            <w:shd w:val="clear" w:color="auto" w:fill="FFFFFF"/>
          </w:tcPr>
          <w:p w14:paraId="19BBE4E8" w14:textId="467ADBF3" w:rsidR="008F425D" w:rsidRPr="00B57B36" w:rsidRDefault="008F425D" w:rsidP="00945854">
            <w:pPr>
              <w:pStyle w:val="CETBodytext"/>
              <w:ind w:right="-1"/>
              <w:rPr>
                <w:rFonts w:cs="Arial"/>
                <w:szCs w:val="18"/>
                <w:lang w:val="en-GB"/>
              </w:rPr>
            </w:pPr>
            <w:r>
              <w:rPr>
                <w:rFonts w:cs="Arial"/>
                <w:szCs w:val="18"/>
                <w:lang w:val="en-GB"/>
              </w:rPr>
              <w:t>Length (mm)</w:t>
            </w:r>
          </w:p>
        </w:tc>
        <w:tc>
          <w:tcPr>
            <w:tcW w:w="813" w:type="dxa"/>
            <w:shd w:val="clear" w:color="auto" w:fill="FFFFFF"/>
          </w:tcPr>
          <w:p w14:paraId="584958DE" w14:textId="3856C0FD" w:rsidR="008F425D" w:rsidRPr="00614E28" w:rsidRDefault="008F425D" w:rsidP="00A96E59">
            <w:pPr>
              <w:pStyle w:val="CETBodytext"/>
              <w:ind w:right="-1"/>
              <w:jc w:val="center"/>
              <w:rPr>
                <w:rFonts w:cs="Arial"/>
                <w:szCs w:val="18"/>
                <w:lang w:val="en-GB"/>
              </w:rPr>
            </w:pPr>
            <w:r w:rsidRPr="00614E28">
              <w:rPr>
                <w:rFonts w:cs="Arial"/>
                <w:szCs w:val="18"/>
                <w:lang w:val="en-GB"/>
              </w:rPr>
              <w:t>26.7</w:t>
            </w:r>
          </w:p>
        </w:tc>
      </w:tr>
    </w:tbl>
    <w:p w14:paraId="6B4C63E5" w14:textId="52C818F2" w:rsidR="00600535" w:rsidRPr="00B57B36" w:rsidRDefault="00600535" w:rsidP="002015B8">
      <w:pPr>
        <w:pStyle w:val="CETheadingx"/>
      </w:pPr>
      <w:bookmarkStart w:id="4" w:name="_Hlk179660491"/>
      <w:r w:rsidRPr="00B57B36">
        <w:t>S</w:t>
      </w:r>
      <w:r w:rsidR="00CE4679">
        <w:t>cope of the Study</w:t>
      </w:r>
    </w:p>
    <w:p w14:paraId="1AED3853" w14:textId="280D2761" w:rsidR="00600535" w:rsidRPr="000B1EE5" w:rsidRDefault="00CE4679" w:rsidP="00CE4679">
      <w:pPr>
        <w:pStyle w:val="CETListbullets"/>
        <w:ind w:left="0" w:firstLine="0"/>
      </w:pPr>
      <w:r w:rsidRPr="000B1EE5">
        <w:t xml:space="preserve">This study aims to examine </w:t>
      </w:r>
      <w:r w:rsidR="00A96E59" w:rsidRPr="000B1EE5">
        <w:t>3 simplified cases of hepatic arterial anastomoses using Computational Fluid D</w:t>
      </w:r>
      <w:r w:rsidRPr="000B1EE5">
        <w:t xml:space="preserve">ynamics </w:t>
      </w:r>
      <w:r w:rsidR="00A96E59" w:rsidRPr="000B1EE5">
        <w:t xml:space="preserve">(CFD) </w:t>
      </w:r>
      <w:r w:rsidRPr="000B1EE5">
        <w:t>and extract conclusions for further study.</w:t>
      </w:r>
    </w:p>
    <w:bookmarkEnd w:id="4"/>
    <w:p w14:paraId="5741900F" w14:textId="4A15DF6A" w:rsidR="00453E24" w:rsidRDefault="005E1821" w:rsidP="00453E24">
      <w:pPr>
        <w:pStyle w:val="CETHeading1"/>
      </w:pPr>
      <w:r>
        <w:t>Materials and Methods</w:t>
      </w:r>
    </w:p>
    <w:p w14:paraId="6DF9B98B" w14:textId="65569108" w:rsidR="00B75BC2" w:rsidRPr="000B1EE5" w:rsidRDefault="00F91439" w:rsidP="00F91439">
      <w:pPr>
        <w:pStyle w:val="CETBodytext"/>
      </w:pPr>
      <w:r w:rsidRPr="00F91439">
        <w:t xml:space="preserve">Three cases were </w:t>
      </w:r>
      <w:r w:rsidRPr="000B1EE5">
        <w:t>simulate</w:t>
      </w:r>
      <w:r w:rsidR="00A96E59" w:rsidRPr="000B1EE5">
        <w:t>d using the CFD</w:t>
      </w:r>
      <w:r w:rsidRPr="000B1EE5">
        <w:t xml:space="preserve"> software Fluent (ANSYS Inc.). These cases are</w:t>
      </w:r>
      <w:r w:rsidR="00A96E59" w:rsidRPr="000B1EE5">
        <w:t>:</w:t>
      </w:r>
      <w:r w:rsidRPr="000B1EE5">
        <w:t xml:space="preserve"> Case I (Vessel – Anastomosis – Vessel = 5mm-12mm-5mm), Case II (Vessel – Anastomosis – Vessel = 4mm-12mm-6mm)</w:t>
      </w:r>
      <w:r w:rsidR="00A96E59" w:rsidRPr="000B1EE5">
        <w:t>,</w:t>
      </w:r>
      <w:r w:rsidRPr="000B1EE5">
        <w:t xml:space="preserve"> and Case III (Vessel – Anastomosis – Vessel = 6mm-12mm-4mm)</w:t>
      </w:r>
      <w:r w:rsidR="009F5C4F" w:rsidRPr="000B1EE5">
        <w:t xml:space="preserve"> (see Fig</w:t>
      </w:r>
      <w:r w:rsidR="00702E5C" w:rsidRPr="000B1EE5">
        <w:t>ure</w:t>
      </w:r>
      <w:r w:rsidR="009F5C4F" w:rsidRPr="000B1EE5">
        <w:t xml:space="preserve"> </w:t>
      </w:r>
      <w:r w:rsidR="00702E5C" w:rsidRPr="000B1EE5">
        <w:t>2</w:t>
      </w:r>
      <w:r w:rsidR="009F5C4F" w:rsidRPr="000B1EE5">
        <w:t>)</w:t>
      </w:r>
      <w:r w:rsidR="00453E24" w:rsidRPr="000B1EE5">
        <w:t>.</w:t>
      </w:r>
      <w:r w:rsidR="00A96E59" w:rsidRPr="000B1EE5">
        <w:t xml:space="preserve"> T</w:t>
      </w:r>
      <w:r w:rsidRPr="000B1EE5">
        <w:t xml:space="preserve">he </w:t>
      </w:r>
      <w:r w:rsidR="00A96E59" w:rsidRPr="000B1EE5">
        <w:t xml:space="preserve">CFD </w:t>
      </w:r>
      <w:r w:rsidRPr="000B1EE5">
        <w:t xml:space="preserve">model </w:t>
      </w:r>
      <w:r w:rsidR="00A96E59" w:rsidRPr="000B1EE5">
        <w:t>assumed axial rotational symmetry, employed a domain discretization of about</w:t>
      </w:r>
      <w:r w:rsidRPr="000B1EE5">
        <w:t xml:space="preserve"> 1</w:t>
      </w:r>
      <w:r w:rsidR="00CC379E">
        <w:t>4</w:t>
      </w:r>
      <w:r w:rsidRPr="000B1EE5">
        <w:t>0,000</w:t>
      </w:r>
      <w:r w:rsidR="00CC379E">
        <w:t>-150,000</w:t>
      </w:r>
      <w:r w:rsidRPr="000B1EE5">
        <w:t xml:space="preserve"> elements in each of the three cases</w:t>
      </w:r>
      <w:r w:rsidR="008A0BE5" w:rsidRPr="000B1EE5">
        <w:t xml:space="preserve"> (see Fig</w:t>
      </w:r>
      <w:r w:rsidR="00702E5C" w:rsidRPr="000B1EE5">
        <w:t>ure</w:t>
      </w:r>
      <w:r w:rsidR="008A0BE5" w:rsidRPr="000B1EE5">
        <w:t xml:space="preserve"> </w:t>
      </w:r>
      <w:r w:rsidR="00702E5C" w:rsidRPr="000B1EE5">
        <w:t>3</w:t>
      </w:r>
      <w:r w:rsidR="008A0BE5" w:rsidRPr="000B1EE5">
        <w:t>)</w:t>
      </w:r>
      <w:r w:rsidR="00A96E59" w:rsidRPr="000B1EE5">
        <w:t xml:space="preserve"> and employed a</w:t>
      </w:r>
      <w:r w:rsidRPr="000B1EE5">
        <w:t xml:space="preserve"> Carr</w:t>
      </w:r>
      <w:r w:rsidR="0081605D" w:rsidRPr="000B1EE5">
        <w:t>e</w:t>
      </w:r>
      <w:r w:rsidRPr="000B1EE5">
        <w:t>au viscosity for blood</w:t>
      </w:r>
      <w:r w:rsidR="00A96E59" w:rsidRPr="000B1EE5">
        <w:t xml:space="preserve"> </w:t>
      </w:r>
      <w:r w:rsidR="0081605D" w:rsidRPr="000B1EE5">
        <w:t>(see equation 1)</w:t>
      </w:r>
      <w:r w:rsidRPr="000B1EE5">
        <w:t xml:space="preserve">. </w:t>
      </w:r>
    </w:p>
    <w:tbl>
      <w:tblPr>
        <w:tblW w:w="5000" w:type="pct"/>
        <w:tblLook w:val="04A0" w:firstRow="1" w:lastRow="0" w:firstColumn="1" w:lastColumn="0" w:noHBand="0" w:noVBand="1"/>
      </w:tblPr>
      <w:tblGrid>
        <w:gridCol w:w="7983"/>
        <w:gridCol w:w="804"/>
      </w:tblGrid>
      <w:tr w:rsidR="005853CE" w:rsidRPr="005853CE" w14:paraId="15D88C4F" w14:textId="77777777" w:rsidTr="00AF42EA">
        <w:tc>
          <w:tcPr>
            <w:tcW w:w="8188" w:type="dxa"/>
            <w:shd w:val="clear" w:color="auto" w:fill="auto"/>
            <w:vAlign w:val="center"/>
          </w:tcPr>
          <w:p w14:paraId="2A79D492" w14:textId="5AB0720E" w:rsidR="00B75BC2" w:rsidRPr="0081605D" w:rsidRDefault="0081605D" w:rsidP="00AF42EA">
            <w:pPr>
              <w:pStyle w:val="CETEquation"/>
              <w:rPr>
                <w:i/>
                <w:lang w:val="en-US"/>
              </w:rPr>
            </w:pPr>
            <m:oMathPara>
              <m:oMathParaPr>
                <m:jc m:val="left"/>
              </m:oMathParaPr>
              <m:oMath>
                <m:r>
                  <w:rPr>
                    <w:rFonts w:ascii="Cambria Math" w:hAnsi="Cambria Math"/>
                  </w:rPr>
                  <m:t>μ</m:t>
                </m:r>
                <m:r>
                  <w:rPr>
                    <w:rFonts w:ascii="Cambria Math" w:hAnsi="Cambria Math"/>
                    <w:lang w:val="el-GR"/>
                  </w:rPr>
                  <m:t>=</m:t>
                </m:r>
                <m:sSub>
                  <m:sSubPr>
                    <m:ctrlPr>
                      <w:rPr>
                        <w:rFonts w:ascii="Cambria Math" w:hAnsi="Cambria Math"/>
                        <w:i/>
                        <w:lang w:val="el-GR"/>
                      </w:rPr>
                    </m:ctrlPr>
                  </m:sSubPr>
                  <m:e>
                    <m:r>
                      <w:rPr>
                        <w:rFonts w:ascii="Cambria Math" w:hAnsi="Cambria Math"/>
                        <w:lang w:val="el-GR"/>
                      </w:rPr>
                      <m:t>μ</m:t>
                    </m:r>
                  </m:e>
                  <m:sub>
                    <m:r>
                      <w:rPr>
                        <w:rFonts w:ascii="Cambria Math" w:hAnsi="Cambria Math"/>
                        <w:lang w:val="el-GR"/>
                      </w:rPr>
                      <m:t>∞</m:t>
                    </m:r>
                  </m:sub>
                </m:sSub>
                <m:r>
                  <w:rPr>
                    <w:rFonts w:ascii="Cambria Math" w:hAnsi="Cambria Math"/>
                    <w:lang w:val="el-GR"/>
                  </w:rPr>
                  <m:t>+</m:t>
                </m:r>
                <m:d>
                  <m:dPr>
                    <m:ctrlPr>
                      <w:rPr>
                        <w:rFonts w:ascii="Cambria Math" w:hAnsi="Cambria Math"/>
                        <w:i/>
                        <w:lang w:val="el-GR"/>
                      </w:rPr>
                    </m:ctrlPr>
                  </m:dPr>
                  <m:e>
                    <m:sSub>
                      <m:sSubPr>
                        <m:ctrlPr>
                          <w:rPr>
                            <w:rFonts w:ascii="Cambria Math" w:hAnsi="Cambria Math"/>
                            <w:i/>
                            <w:lang w:val="el-GR"/>
                          </w:rPr>
                        </m:ctrlPr>
                      </m:sSubPr>
                      <m:e>
                        <m:r>
                          <w:rPr>
                            <w:rFonts w:ascii="Cambria Math" w:hAnsi="Cambria Math"/>
                            <w:lang w:val="el-GR"/>
                          </w:rPr>
                          <m:t>μ</m:t>
                        </m:r>
                      </m:e>
                      <m:sub>
                        <m:r>
                          <w:rPr>
                            <w:rFonts w:ascii="Cambria Math" w:hAnsi="Cambria Math"/>
                            <w:lang w:val="el-GR"/>
                          </w:rPr>
                          <m:t>0</m:t>
                        </m:r>
                      </m:sub>
                    </m:sSub>
                    <m:r>
                      <w:rPr>
                        <w:rFonts w:ascii="Cambria Math" w:hAnsi="Cambria Math"/>
                        <w:lang w:val="el-GR"/>
                      </w:rPr>
                      <m:t>-</m:t>
                    </m:r>
                    <m:sSub>
                      <m:sSubPr>
                        <m:ctrlPr>
                          <w:rPr>
                            <w:rFonts w:ascii="Cambria Math" w:hAnsi="Cambria Math"/>
                            <w:i/>
                            <w:lang w:val="el-GR"/>
                          </w:rPr>
                        </m:ctrlPr>
                      </m:sSubPr>
                      <m:e>
                        <m:r>
                          <w:rPr>
                            <w:rFonts w:ascii="Cambria Math" w:hAnsi="Cambria Math"/>
                            <w:lang w:val="el-GR"/>
                          </w:rPr>
                          <m:t>μ</m:t>
                        </m:r>
                      </m:e>
                      <m:sub>
                        <m:r>
                          <w:rPr>
                            <w:rFonts w:ascii="Cambria Math" w:hAnsi="Cambria Math"/>
                            <w:lang w:val="el-GR"/>
                          </w:rPr>
                          <m:t>∞</m:t>
                        </m:r>
                      </m:sub>
                    </m:sSub>
                  </m:e>
                </m:d>
                <m:sSup>
                  <m:sSupPr>
                    <m:ctrlPr>
                      <w:rPr>
                        <w:rFonts w:ascii="Cambria Math" w:hAnsi="Cambria Math"/>
                        <w:i/>
                        <w:lang w:val="el-GR"/>
                      </w:rPr>
                    </m:ctrlPr>
                  </m:sSupPr>
                  <m:e>
                    <m:d>
                      <m:dPr>
                        <m:ctrlPr>
                          <w:rPr>
                            <w:rFonts w:ascii="Cambria Math" w:hAnsi="Cambria Math"/>
                            <w:i/>
                            <w:lang w:val="el-GR"/>
                          </w:rPr>
                        </m:ctrlPr>
                      </m:dPr>
                      <m:e>
                        <m:r>
                          <w:rPr>
                            <w:rFonts w:ascii="Cambria Math" w:hAnsi="Cambria Math"/>
                            <w:lang w:val="el-GR"/>
                          </w:rPr>
                          <m:t>1</m:t>
                        </m:r>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λ</m:t>
                                </m:r>
                                <m:acc>
                                  <m:accPr>
                                    <m:chr m:val="̇"/>
                                    <m:ctrlPr>
                                      <w:rPr>
                                        <w:rFonts w:ascii="Cambria Math" w:hAnsi="Cambria Math"/>
                                        <w:i/>
                                        <w:lang w:val="el-GR"/>
                                      </w:rPr>
                                    </m:ctrlPr>
                                  </m:accPr>
                                  <m:e>
                                    <m:r>
                                      <w:rPr>
                                        <w:rFonts w:ascii="Cambria Math" w:hAnsi="Cambria Math"/>
                                        <w:lang w:val="el-GR"/>
                                      </w:rPr>
                                      <m:t>γ</m:t>
                                    </m:r>
                                  </m:e>
                                </m:acc>
                              </m:e>
                            </m:d>
                          </m:e>
                          <m:sup>
                            <m:r>
                              <w:rPr>
                                <w:rFonts w:ascii="Cambria Math" w:hAnsi="Cambria Math"/>
                                <w:lang w:val="en-US"/>
                              </w:rPr>
                              <m:t>2</m:t>
                            </m:r>
                          </m:sup>
                        </m:sSup>
                      </m:e>
                    </m:d>
                    <m:ctrlPr>
                      <w:rPr>
                        <w:rFonts w:ascii="Cambria Math" w:hAnsi="Cambria Math"/>
                        <w:i/>
                      </w:rPr>
                    </m:ctrlPr>
                  </m:e>
                  <m:sup>
                    <m:f>
                      <m:fPr>
                        <m:ctrlPr>
                          <w:rPr>
                            <w:rFonts w:ascii="Cambria Math" w:hAnsi="Cambria Math"/>
                            <w:i/>
                          </w:rPr>
                        </m:ctrlPr>
                      </m:fPr>
                      <m:num>
                        <m:r>
                          <w:rPr>
                            <w:rFonts w:ascii="Cambria Math" w:hAnsi="Cambria Math"/>
                            <w:lang w:val="en-US"/>
                          </w:rPr>
                          <m:t>n</m:t>
                        </m:r>
                        <m:r>
                          <w:rPr>
                            <w:rFonts w:ascii="Cambria Math" w:hAnsi="Cambria Math"/>
                            <w:lang w:val="el-GR"/>
                          </w:rPr>
                          <m:t>-1</m:t>
                        </m:r>
                        <m:ctrlPr>
                          <w:rPr>
                            <w:rFonts w:ascii="Cambria Math" w:hAnsi="Cambria Math"/>
                            <w:i/>
                            <w:lang w:val="el-GR"/>
                          </w:rPr>
                        </m:ctrlPr>
                      </m:num>
                      <m:den>
                        <m:r>
                          <w:rPr>
                            <w:rFonts w:ascii="Cambria Math" w:hAnsi="Cambria Math"/>
                            <w:lang w:val="el-GR"/>
                          </w:rPr>
                          <m:t>2</m:t>
                        </m:r>
                      </m:den>
                    </m:f>
                  </m:sup>
                </m:sSup>
              </m:oMath>
            </m:oMathPara>
          </w:p>
        </w:tc>
        <w:tc>
          <w:tcPr>
            <w:tcW w:w="815" w:type="dxa"/>
            <w:shd w:val="clear" w:color="auto" w:fill="auto"/>
            <w:vAlign w:val="center"/>
          </w:tcPr>
          <w:p w14:paraId="1EDCC0AE" w14:textId="77777777" w:rsidR="00B75BC2" w:rsidRPr="005853CE" w:rsidRDefault="00B75BC2" w:rsidP="00AF42EA">
            <w:pPr>
              <w:pStyle w:val="CETEquation"/>
              <w:jc w:val="right"/>
            </w:pPr>
            <w:r w:rsidRPr="005853CE">
              <w:t>(1)</w:t>
            </w:r>
          </w:p>
        </w:tc>
      </w:tr>
    </w:tbl>
    <w:p w14:paraId="12134757" w14:textId="4D89714A" w:rsidR="00F91439" w:rsidRPr="000B1EE5" w:rsidRDefault="00C36053" w:rsidP="00F91439">
      <w:pPr>
        <w:pStyle w:val="CETBodytext"/>
        <w:rPr>
          <w:lang w:val="en-GB"/>
        </w:rPr>
      </w:pPr>
      <w:r>
        <w:lastRenderedPageBreak/>
        <w:t xml:space="preserve">The parameters used in the simulation </w:t>
      </w:r>
      <w:r w:rsidR="00A96E59" w:rsidRPr="000B1EE5">
        <w:t>we</w:t>
      </w:r>
      <w:r w:rsidRPr="000B1EE5">
        <w:t xml:space="preserve">re the </w:t>
      </w:r>
      <w:r w:rsidRPr="00983E52">
        <w:t>following</w:t>
      </w:r>
      <w:r w:rsidR="00DB75B5" w:rsidRPr="00983E52">
        <w:t xml:space="preserve"> (</w:t>
      </w:r>
      <w:r w:rsidR="00DB75B5" w:rsidRPr="00983E52">
        <w:rPr>
          <w:lang w:val="en-GB"/>
        </w:rPr>
        <w:t>Zouggari et al., 2018</w:t>
      </w:r>
      <w:r w:rsidR="00DB75B5" w:rsidRPr="00983E52">
        <w:t>)</w:t>
      </w:r>
      <w:r w:rsidRPr="00983E52">
        <w:t xml:space="preserve">: </w:t>
      </w:r>
      <w:r w:rsidR="00A96E59" w:rsidRPr="00983E52">
        <w:t>Fluid d</w:t>
      </w:r>
      <w:r w:rsidR="00F91439" w:rsidRPr="00983E52">
        <w:t>ensity</w:t>
      </w:r>
      <w:r w:rsidR="0081605D" w:rsidRPr="00983E52">
        <w:t xml:space="preserve"> </w:t>
      </w:r>
      <w:r w:rsidR="0081605D" w:rsidRPr="00983E52">
        <w:rPr>
          <w:lang w:val="el-GR"/>
        </w:rPr>
        <w:t>ρ</w:t>
      </w:r>
      <w:r w:rsidR="0081605D" w:rsidRPr="00983E52">
        <w:rPr>
          <w:vertAlign w:val="subscript"/>
        </w:rPr>
        <w:t>b</w:t>
      </w:r>
      <w:r w:rsidR="00F91439" w:rsidRPr="00983E52">
        <w:t xml:space="preserve"> = 1060 kg/m</w:t>
      </w:r>
      <w:r w:rsidR="00F91439" w:rsidRPr="00983E52">
        <w:rPr>
          <w:vertAlign w:val="superscript"/>
        </w:rPr>
        <w:t>3</w:t>
      </w:r>
      <w:r w:rsidR="00F91439" w:rsidRPr="00983E52">
        <w:t xml:space="preserve">, </w:t>
      </w:r>
      <w:r w:rsidRPr="00983E52">
        <w:t xml:space="preserve">time constant </w:t>
      </w:r>
      <w:r w:rsidR="00F91439" w:rsidRPr="00983E52">
        <w:t xml:space="preserve">λ = 3.3, </w:t>
      </w:r>
      <w:r w:rsidRPr="00983E52">
        <w:t xml:space="preserve">power index </w:t>
      </w:r>
      <w:r w:rsidR="00F91439" w:rsidRPr="00983E52">
        <w:t xml:space="preserve">n = 0.36, zero shear viscosity </w:t>
      </w:r>
      <w:r w:rsidRPr="00983E52">
        <w:rPr>
          <w:lang w:val="el-GR"/>
        </w:rPr>
        <w:t>μ</w:t>
      </w:r>
      <w:r w:rsidRPr="00983E52">
        <w:rPr>
          <w:vertAlign w:val="subscript"/>
        </w:rPr>
        <w:t>0</w:t>
      </w:r>
      <w:r w:rsidR="00F91439" w:rsidRPr="00983E52">
        <w:t xml:space="preserve">= 0.056 kg/m-s, </w:t>
      </w:r>
      <w:r w:rsidR="00F91439" w:rsidRPr="00983E52">
        <w:rPr>
          <w:lang w:val="en-GB"/>
        </w:rPr>
        <w:t xml:space="preserve">infinite shear viscosity </w:t>
      </w:r>
      <w:r w:rsidRPr="00983E52">
        <w:rPr>
          <w:lang w:val="el-GR"/>
        </w:rPr>
        <w:t>μ</w:t>
      </w:r>
      <w:r w:rsidRPr="00983E52">
        <w:rPr>
          <w:rFonts w:cs="Arial"/>
          <w:vertAlign w:val="subscript"/>
        </w:rPr>
        <w:t>∞</w:t>
      </w:r>
      <w:r w:rsidR="00F91439" w:rsidRPr="00983E52">
        <w:rPr>
          <w:lang w:val="en-GB"/>
        </w:rPr>
        <w:t>= 0.0035 kg/m-s.</w:t>
      </w:r>
      <w:r w:rsidR="00F91439" w:rsidRPr="00983E52">
        <w:t xml:space="preserve"> </w:t>
      </w:r>
      <w:r w:rsidR="00C55C4E" w:rsidRPr="00983E52">
        <w:t xml:space="preserve">For the </w:t>
      </w:r>
      <w:r w:rsidR="00C55C4E" w:rsidRPr="00983E52">
        <w:rPr>
          <w:lang w:val="en-GB"/>
        </w:rPr>
        <w:t>b</w:t>
      </w:r>
      <w:r w:rsidR="00F91439" w:rsidRPr="00983E52">
        <w:rPr>
          <w:lang w:val="en-GB"/>
        </w:rPr>
        <w:t xml:space="preserve">oundary condition </w:t>
      </w:r>
      <w:r w:rsidR="00C55C4E" w:rsidRPr="00983E52">
        <w:rPr>
          <w:lang w:val="en-GB"/>
        </w:rPr>
        <w:t>at</w:t>
      </w:r>
      <w:r w:rsidR="00F91439" w:rsidRPr="00983E52">
        <w:rPr>
          <w:lang w:val="en-GB"/>
        </w:rPr>
        <w:t xml:space="preserve"> the inlet</w:t>
      </w:r>
      <w:r w:rsidR="00C55C4E" w:rsidRPr="00983E52">
        <w:rPr>
          <w:lang w:val="en-GB"/>
        </w:rPr>
        <w:t xml:space="preserve"> to the domain a </w:t>
      </w:r>
      <w:r w:rsidR="00F91439" w:rsidRPr="00983E52">
        <w:rPr>
          <w:lang w:val="en-GB"/>
        </w:rPr>
        <w:t xml:space="preserve">user-defined function having the function shown in Figure </w:t>
      </w:r>
      <w:r w:rsidR="000A2FF5" w:rsidRPr="00983E52">
        <w:rPr>
          <w:lang w:val="en-GB"/>
        </w:rPr>
        <w:t>4</w:t>
      </w:r>
      <w:r w:rsidR="00C55C4E" w:rsidRPr="00983E52">
        <w:rPr>
          <w:lang w:val="en-GB"/>
        </w:rPr>
        <w:t xml:space="preserve"> was used</w:t>
      </w:r>
      <w:r w:rsidR="00F91439" w:rsidRPr="00983E52">
        <w:rPr>
          <w:lang w:val="en-GB"/>
        </w:rPr>
        <w:t>. In addition, the physiological parameters of the pulse were: Heart rate = 75 bpm</w:t>
      </w:r>
      <w:r w:rsidR="007A757C" w:rsidRPr="00983E52">
        <w:rPr>
          <w:lang w:val="en-GB"/>
        </w:rPr>
        <w:t xml:space="preserve"> (</w:t>
      </w:r>
      <w:r w:rsidR="00C55C4E" w:rsidRPr="00983E52">
        <w:rPr>
          <w:lang w:val="en-GB"/>
        </w:rPr>
        <w:t xml:space="preserve">a </w:t>
      </w:r>
      <w:r w:rsidR="007A757C" w:rsidRPr="00983E52">
        <w:rPr>
          <w:lang w:val="en-GB"/>
        </w:rPr>
        <w:t>value in the normal heart rate window);</w:t>
      </w:r>
      <w:r w:rsidR="00F91439" w:rsidRPr="00983E52">
        <w:rPr>
          <w:lang w:val="en-GB"/>
        </w:rPr>
        <w:t xml:space="preserve"> Peak velocity </w:t>
      </w:r>
      <w:r w:rsidR="00F91439" w:rsidRPr="002578B8">
        <w:rPr>
          <w:lang w:val="en-GB"/>
        </w:rPr>
        <w:t>= 1.0 m/s</w:t>
      </w:r>
      <w:r w:rsidR="007A757C" w:rsidRPr="002578B8">
        <w:rPr>
          <w:lang w:val="en-GB"/>
        </w:rPr>
        <w:t xml:space="preserve"> (Iranpour et al., 2016);</w:t>
      </w:r>
      <w:r w:rsidR="00F91439" w:rsidRPr="002578B8">
        <w:rPr>
          <w:lang w:val="en-GB"/>
        </w:rPr>
        <w:t xml:space="preserve"> </w:t>
      </w:r>
      <w:r w:rsidR="00FD7723" w:rsidRPr="002578B8">
        <w:rPr>
          <w:lang w:val="en-GB"/>
        </w:rPr>
        <w:t>Lowest</w:t>
      </w:r>
      <w:r w:rsidR="00F91439" w:rsidRPr="002578B8">
        <w:rPr>
          <w:lang w:val="en-GB"/>
        </w:rPr>
        <w:t xml:space="preserve"> velocity = 0.</w:t>
      </w:r>
      <w:r w:rsidR="00380DE5" w:rsidRPr="002578B8">
        <w:rPr>
          <w:lang w:val="en-GB"/>
        </w:rPr>
        <w:t xml:space="preserve">2 </w:t>
      </w:r>
      <w:r w:rsidR="00F91439" w:rsidRPr="002578B8">
        <w:rPr>
          <w:lang w:val="en-GB"/>
        </w:rPr>
        <w:t>m/s</w:t>
      </w:r>
      <w:r w:rsidR="00AB6BE4" w:rsidRPr="002578B8">
        <w:rPr>
          <w:lang w:val="en-GB"/>
        </w:rPr>
        <w:t xml:space="preserve"> with the assumption of resistive index (RI) at 0.8</w:t>
      </w:r>
      <w:r w:rsidR="00380DE5" w:rsidRPr="002578B8">
        <w:rPr>
          <w:lang w:val="en-GB"/>
        </w:rPr>
        <w:t>0</w:t>
      </w:r>
      <w:r w:rsidR="00C55C4E" w:rsidRPr="002578B8">
        <w:rPr>
          <w:lang w:val="en-GB"/>
        </w:rPr>
        <w:t>. A</w:t>
      </w:r>
      <w:r w:rsidR="00C55C4E" w:rsidRPr="00983E52">
        <w:rPr>
          <w:lang w:val="en-GB"/>
        </w:rPr>
        <w:t xml:space="preserve"> pressure boundary condition at</w:t>
      </w:r>
      <w:r w:rsidR="00F91439" w:rsidRPr="00983E52">
        <w:rPr>
          <w:lang w:val="en-GB"/>
        </w:rPr>
        <w:t xml:space="preserve"> the </w:t>
      </w:r>
      <w:r w:rsidR="00C55C4E" w:rsidRPr="00983E52">
        <w:rPr>
          <w:lang w:val="en-GB"/>
        </w:rPr>
        <w:t xml:space="preserve">domain outlet of </w:t>
      </w:r>
      <w:r w:rsidR="00F91439" w:rsidRPr="00983E52">
        <w:rPr>
          <w:lang w:val="en-GB"/>
        </w:rPr>
        <w:t>13332 Pa = 100 mmHg (</w:t>
      </w:r>
      <w:r w:rsidR="00496D98" w:rsidRPr="00983E52">
        <w:rPr>
          <w:lang w:val="en-GB"/>
        </w:rPr>
        <w:t xml:space="preserve">i.e., the </w:t>
      </w:r>
      <w:r w:rsidR="00F91439" w:rsidRPr="00983E52">
        <w:rPr>
          <w:lang w:val="en-GB"/>
        </w:rPr>
        <w:t>mean of 80 mmHg and 120 mmHg)</w:t>
      </w:r>
      <w:r w:rsidR="00C55C4E" w:rsidRPr="00983E52">
        <w:rPr>
          <w:lang w:val="en-GB"/>
        </w:rPr>
        <w:t xml:space="preserve"> was employed</w:t>
      </w:r>
      <w:r w:rsidR="007A757C" w:rsidRPr="00983E52">
        <w:rPr>
          <w:lang w:val="en-GB"/>
        </w:rPr>
        <w:t xml:space="preserve"> </w:t>
      </w:r>
      <w:r w:rsidR="00F91439" w:rsidRPr="00983E52">
        <w:rPr>
          <w:lang w:val="en-GB"/>
        </w:rPr>
        <w:t xml:space="preserve">and 3 consecutive pulses were </w:t>
      </w:r>
      <w:r w:rsidR="00C55C4E" w:rsidRPr="00983E52">
        <w:rPr>
          <w:lang w:val="en-GB"/>
        </w:rPr>
        <w:t xml:space="preserve">considered for each simulation. </w:t>
      </w:r>
      <w:r w:rsidR="00587B1A" w:rsidRPr="00983E52">
        <w:rPr>
          <w:lang w:val="en-GB"/>
        </w:rPr>
        <w:t>Here since this study is a preliminary study of a deeper analysis</w:t>
      </w:r>
      <w:r w:rsidR="00187199" w:rsidRPr="00983E52">
        <w:rPr>
          <w:lang w:val="en-GB"/>
        </w:rPr>
        <w:t xml:space="preserve"> to come </w:t>
      </w:r>
      <w:r w:rsidR="00587B1A" w:rsidRPr="00983E52">
        <w:rPr>
          <w:lang w:val="en-GB"/>
        </w:rPr>
        <w:t>only three consecutive pulses were simulated.</w:t>
      </w:r>
    </w:p>
    <w:p w14:paraId="6D83CF49" w14:textId="77777777" w:rsidR="00D04F4A" w:rsidRDefault="00D04F4A" w:rsidP="00D04F4A">
      <w:pPr>
        <w:pStyle w:val="CETBodytext"/>
        <w:rPr>
          <w:lang w:val="en-GB"/>
        </w:rPr>
      </w:pPr>
    </w:p>
    <w:p w14:paraId="70CBEE62" w14:textId="77777777" w:rsidR="005A2471" w:rsidRDefault="004511D6" w:rsidP="00D04F4A">
      <w:pPr>
        <w:pStyle w:val="CETCaption"/>
      </w:pPr>
      <w:r>
        <w:rPr>
          <w:i w:val="0"/>
          <w:noProof/>
          <w:lang w:val="en-US"/>
        </w:rPr>
        <w:drawing>
          <wp:inline distT="0" distB="0" distL="0" distR="0" wp14:anchorId="35556825" wp14:editId="40A3B7A9">
            <wp:extent cx="2520000" cy="579994"/>
            <wp:effectExtent l="0" t="0" r="0" b="0"/>
            <wp:docPr id="1465794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9558" b="30992"/>
                    <a:stretch/>
                  </pic:blipFill>
                  <pic:spPr bwMode="auto">
                    <a:xfrm>
                      <a:off x="0" y="0"/>
                      <a:ext cx="2520000" cy="579994"/>
                    </a:xfrm>
                    <a:prstGeom prst="rect">
                      <a:avLst/>
                    </a:prstGeom>
                    <a:noFill/>
                    <a:ln>
                      <a:noFill/>
                    </a:ln>
                    <a:extLst>
                      <a:ext uri="{53640926-AAD7-44D8-BBD7-CCE9431645EC}">
                        <a14:shadowObscured xmlns:a14="http://schemas.microsoft.com/office/drawing/2010/main"/>
                      </a:ext>
                    </a:extLst>
                  </pic:spPr>
                </pic:pic>
              </a:graphicData>
            </a:graphic>
          </wp:inline>
        </w:drawing>
      </w:r>
    </w:p>
    <w:p w14:paraId="32638201" w14:textId="4223C1BB" w:rsidR="00D04F4A" w:rsidRDefault="00E402F3" w:rsidP="00D04F4A">
      <w:pPr>
        <w:pStyle w:val="CETCaption"/>
      </w:pPr>
      <w:r w:rsidRPr="00E402F3">
        <w:rPr>
          <w:i w:val="0"/>
          <w:noProof/>
          <w:lang w:val="en-US"/>
        </w:rPr>
        <w:drawing>
          <wp:inline distT="0" distB="0" distL="0" distR="0" wp14:anchorId="2B60672E" wp14:editId="03F1F1EE">
            <wp:extent cx="2517775" cy="584566"/>
            <wp:effectExtent l="0" t="0" r="0" b="6350"/>
            <wp:docPr id="333281744"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81744" name="Picture 1" descr="A graph with numbers and lines&#10;&#10;AI-generated content may be incorrect."/>
                    <pic:cNvPicPr/>
                  </pic:nvPicPr>
                  <pic:blipFill rotWithShape="1">
                    <a:blip r:embed="rId12"/>
                    <a:srcRect t="27687" b="32512"/>
                    <a:stretch/>
                  </pic:blipFill>
                  <pic:spPr bwMode="auto">
                    <a:xfrm>
                      <a:off x="0" y="0"/>
                      <a:ext cx="2520000" cy="585083"/>
                    </a:xfrm>
                    <a:prstGeom prst="rect">
                      <a:avLst/>
                    </a:prstGeom>
                    <a:ln>
                      <a:noFill/>
                    </a:ln>
                    <a:extLst>
                      <a:ext uri="{53640926-AAD7-44D8-BBD7-CCE9431645EC}">
                        <a14:shadowObscured xmlns:a14="http://schemas.microsoft.com/office/drawing/2010/main"/>
                      </a:ext>
                    </a:extLst>
                  </pic:spPr>
                </pic:pic>
              </a:graphicData>
            </a:graphic>
          </wp:inline>
        </w:drawing>
      </w:r>
      <w:r>
        <w:rPr>
          <w:i w:val="0"/>
          <w:noProof/>
          <w:lang w:val="en-US"/>
        </w:rPr>
        <w:drawing>
          <wp:inline distT="0" distB="0" distL="0" distR="0" wp14:anchorId="1A0A389D" wp14:editId="1611E730">
            <wp:extent cx="2517716" cy="587509"/>
            <wp:effectExtent l="0" t="0" r="0" b="3175"/>
            <wp:docPr id="18623221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4832" b="35057"/>
                    <a:stretch/>
                  </pic:blipFill>
                  <pic:spPr bwMode="auto">
                    <a:xfrm>
                      <a:off x="0" y="0"/>
                      <a:ext cx="2520000" cy="588042"/>
                    </a:xfrm>
                    <a:prstGeom prst="rect">
                      <a:avLst/>
                    </a:prstGeom>
                    <a:noFill/>
                    <a:ln>
                      <a:noFill/>
                    </a:ln>
                    <a:extLst>
                      <a:ext uri="{53640926-AAD7-44D8-BBD7-CCE9431645EC}">
                        <a14:shadowObscured xmlns:a14="http://schemas.microsoft.com/office/drawing/2010/main"/>
                      </a:ext>
                    </a:extLst>
                  </pic:spPr>
                </pic:pic>
              </a:graphicData>
            </a:graphic>
          </wp:inline>
        </w:drawing>
      </w:r>
    </w:p>
    <w:p w14:paraId="5766354A" w14:textId="1DF7CCEF" w:rsidR="00D04F4A" w:rsidRDefault="00D04F4A" w:rsidP="00710892">
      <w:pPr>
        <w:pStyle w:val="CETCaption"/>
      </w:pPr>
      <w:r w:rsidRPr="00BD077D">
        <w:rPr>
          <w:rStyle w:val="CETCaptionCarattere"/>
          <w:i/>
        </w:rPr>
        <w:t xml:space="preserve">Figure </w:t>
      </w:r>
      <w:r w:rsidR="00496D98">
        <w:rPr>
          <w:rStyle w:val="CETCaptionCarattere"/>
          <w:i/>
        </w:rPr>
        <w:t>2</w:t>
      </w:r>
      <w:r w:rsidRPr="00BD077D">
        <w:rPr>
          <w:rStyle w:val="CETCaptionCarattere"/>
          <w:i/>
        </w:rPr>
        <w:t xml:space="preserve">: </w:t>
      </w:r>
      <w:r w:rsidR="00710892">
        <w:rPr>
          <w:rStyle w:val="CETCaptionCarattere"/>
          <w:i/>
        </w:rPr>
        <w:t>Dimensions for the three cases used in the simulations. On top is Case I, on the bottom left is Case II and on the bottom right is Case III.</w:t>
      </w:r>
      <w:r w:rsidR="00C55C4E">
        <w:rPr>
          <w:rStyle w:val="CETCaptionCarattere"/>
          <w:i/>
        </w:rPr>
        <w:t xml:space="preserve">   </w:t>
      </w:r>
    </w:p>
    <w:p w14:paraId="32342D81" w14:textId="476E3E49" w:rsidR="008A0BE5" w:rsidRPr="00B57B36" w:rsidRDefault="00DA6DCD" w:rsidP="008A0BE5">
      <w:pPr>
        <w:pStyle w:val="CETCaption"/>
      </w:pPr>
      <w:r w:rsidRPr="00DA6DCD">
        <w:rPr>
          <w:noProof/>
        </w:rPr>
        <w:drawing>
          <wp:inline distT="0" distB="0" distL="0" distR="0" wp14:anchorId="1C083F30" wp14:editId="5D44B722">
            <wp:extent cx="2052000" cy="1284450"/>
            <wp:effectExtent l="0" t="0" r="5715" b="0"/>
            <wp:docPr id="848956899" name="Picture 1" descr="A black wireframe of a cylindric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56899" name="Picture 1" descr="A black wireframe of a cylindrical object&#10;&#10;AI-generated content may be incorrect."/>
                    <pic:cNvPicPr/>
                  </pic:nvPicPr>
                  <pic:blipFill rotWithShape="1">
                    <a:blip r:embed="rId14"/>
                    <a:srcRect l="24694"/>
                    <a:stretch/>
                  </pic:blipFill>
                  <pic:spPr bwMode="auto">
                    <a:xfrm>
                      <a:off x="0" y="0"/>
                      <a:ext cx="2052000" cy="1284450"/>
                    </a:xfrm>
                    <a:prstGeom prst="rect">
                      <a:avLst/>
                    </a:prstGeom>
                    <a:ln>
                      <a:noFill/>
                    </a:ln>
                    <a:extLst>
                      <a:ext uri="{53640926-AAD7-44D8-BBD7-CCE9431645EC}">
                        <a14:shadowObscured xmlns:a14="http://schemas.microsoft.com/office/drawing/2010/main"/>
                      </a:ext>
                    </a:extLst>
                  </pic:spPr>
                </pic:pic>
              </a:graphicData>
            </a:graphic>
          </wp:inline>
        </w:drawing>
      </w:r>
      <w:r w:rsidRPr="00DA6DCD">
        <w:rPr>
          <w:noProof/>
        </w:rPr>
        <w:drawing>
          <wp:inline distT="0" distB="0" distL="0" distR="0" wp14:anchorId="620365D6" wp14:editId="7F86C448">
            <wp:extent cx="2057809" cy="1295244"/>
            <wp:effectExtent l="0" t="0" r="0" b="635"/>
            <wp:docPr id="1513742887" name="Picture 1" descr="A close-up of a cylindric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42887" name="Picture 1" descr="A close-up of a cylindrical object&#10;&#10;AI-generated content may be incorrect."/>
                    <pic:cNvPicPr/>
                  </pic:nvPicPr>
                  <pic:blipFill rotWithShape="1">
                    <a:blip r:embed="rId15"/>
                    <a:srcRect l="25111"/>
                    <a:stretch/>
                  </pic:blipFill>
                  <pic:spPr bwMode="auto">
                    <a:xfrm>
                      <a:off x="0" y="0"/>
                      <a:ext cx="2059009" cy="1296000"/>
                    </a:xfrm>
                    <a:prstGeom prst="rect">
                      <a:avLst/>
                    </a:prstGeom>
                    <a:ln>
                      <a:noFill/>
                    </a:ln>
                    <a:extLst>
                      <a:ext uri="{53640926-AAD7-44D8-BBD7-CCE9431645EC}">
                        <a14:shadowObscured xmlns:a14="http://schemas.microsoft.com/office/drawing/2010/main"/>
                      </a:ext>
                    </a:extLst>
                  </pic:spPr>
                </pic:pic>
              </a:graphicData>
            </a:graphic>
          </wp:inline>
        </w:drawing>
      </w:r>
    </w:p>
    <w:p w14:paraId="4F55C698" w14:textId="2CCBF4BB" w:rsidR="008A0BE5" w:rsidRDefault="008A0BE5" w:rsidP="007908B7">
      <w:pPr>
        <w:pStyle w:val="CETCaption"/>
      </w:pPr>
      <w:r w:rsidRPr="00BD077D">
        <w:rPr>
          <w:rStyle w:val="CETCaptionCarattere"/>
          <w:i/>
        </w:rPr>
        <w:t xml:space="preserve">Figure </w:t>
      </w:r>
      <w:r w:rsidR="00496D98">
        <w:rPr>
          <w:rStyle w:val="CETCaptionCarattere"/>
          <w:i/>
        </w:rPr>
        <w:t>3</w:t>
      </w:r>
      <w:r w:rsidRPr="00BD077D">
        <w:rPr>
          <w:rStyle w:val="CETCaptionCarattere"/>
          <w:i/>
        </w:rPr>
        <w:t xml:space="preserve">: </w:t>
      </w:r>
      <w:r w:rsidR="00FD38E2">
        <w:rPr>
          <w:rStyle w:val="CETCaptionCarattere"/>
          <w:i/>
        </w:rPr>
        <w:t xml:space="preserve">Mesh of the anastomosis on the left side (approximately </w:t>
      </w:r>
      <w:r w:rsidR="00FB490D">
        <w:rPr>
          <w:rStyle w:val="CETCaptionCarattere"/>
          <w:i/>
        </w:rPr>
        <w:t>140</w:t>
      </w:r>
      <w:r w:rsidR="00FD38E2">
        <w:rPr>
          <w:rStyle w:val="CETCaptionCarattere"/>
          <w:i/>
        </w:rPr>
        <w:t>,000 cells were used) and detail of the denser mesh near the edge on the right side.</w:t>
      </w:r>
      <w:r w:rsidRPr="00BD077D">
        <w:t xml:space="preserve"> </w:t>
      </w:r>
    </w:p>
    <w:p w14:paraId="5BE32F83" w14:textId="38B5FE98" w:rsidR="00F91439" w:rsidRPr="00B57B36" w:rsidRDefault="00FD38E2" w:rsidP="00F91439">
      <w:pPr>
        <w:pStyle w:val="CETCaption"/>
      </w:pPr>
      <w:r w:rsidRPr="00FD38E2">
        <w:t xml:space="preserve"> </w:t>
      </w:r>
      <w:r w:rsidR="00FD7723" w:rsidRPr="009E64AD">
        <w:rPr>
          <w:rFonts w:ascii="Times New Roman" w:hAnsi="Times New Roman"/>
          <w:i w:val="0"/>
          <w:noProof/>
        </w:rPr>
        <w:drawing>
          <wp:inline distT="0" distB="0" distL="0" distR="0" wp14:anchorId="2E50B9B4" wp14:editId="177083A5">
            <wp:extent cx="1825313" cy="1368000"/>
            <wp:effectExtent l="0" t="0" r="0" b="0"/>
            <wp:docPr id="295578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825313" cy="1368000"/>
                    </a:xfrm>
                    <a:prstGeom prst="rect">
                      <a:avLst/>
                    </a:prstGeom>
                    <a:noFill/>
                    <a:ln>
                      <a:noFill/>
                    </a:ln>
                  </pic:spPr>
                </pic:pic>
              </a:graphicData>
            </a:graphic>
          </wp:inline>
        </w:drawing>
      </w:r>
    </w:p>
    <w:p w14:paraId="35A2988C" w14:textId="0AE0AC8F" w:rsidR="00F91439" w:rsidRPr="00BD077D" w:rsidRDefault="00F91439" w:rsidP="00F91439">
      <w:pPr>
        <w:pStyle w:val="CETCaption"/>
      </w:pPr>
      <w:r w:rsidRPr="00BD077D">
        <w:rPr>
          <w:rStyle w:val="CETCaptionCarattere"/>
          <w:i/>
        </w:rPr>
        <w:t xml:space="preserve">Figure </w:t>
      </w:r>
      <w:r w:rsidR="00496D98">
        <w:rPr>
          <w:rStyle w:val="CETCaptionCarattere"/>
          <w:i/>
        </w:rPr>
        <w:t>4</w:t>
      </w:r>
      <w:r w:rsidRPr="00BD077D">
        <w:rPr>
          <w:rStyle w:val="CETCaptionCarattere"/>
          <w:i/>
        </w:rPr>
        <w:t xml:space="preserve">: </w:t>
      </w:r>
      <w:r w:rsidR="00FD38E2">
        <w:rPr>
          <w:rStyle w:val="CETCaptionCarattere"/>
          <w:i/>
        </w:rPr>
        <w:t>Plot of blood velocity profile for one heartbeat. In total three heartbeats were used in the simulations.</w:t>
      </w:r>
      <w:r w:rsidRPr="00BD077D">
        <w:t xml:space="preserve"> </w:t>
      </w:r>
    </w:p>
    <w:p w14:paraId="677EBFF0" w14:textId="0B1A3228" w:rsidR="00600535" w:rsidRPr="00B57B36" w:rsidRDefault="00817410" w:rsidP="00600535">
      <w:pPr>
        <w:pStyle w:val="CETHeading1"/>
        <w:tabs>
          <w:tab w:val="right" w:pos="7100"/>
        </w:tabs>
        <w:jc w:val="both"/>
        <w:rPr>
          <w:lang w:val="en-GB"/>
        </w:rPr>
      </w:pPr>
      <w:r>
        <w:rPr>
          <w:lang w:val="en-GB"/>
        </w:rPr>
        <w:t>Results and Discussion</w:t>
      </w:r>
    </w:p>
    <w:p w14:paraId="5E7F2C3B" w14:textId="1851E3D5" w:rsidR="005C7B31" w:rsidRPr="007B11B4" w:rsidRDefault="00C55C4E" w:rsidP="002015B8">
      <w:pPr>
        <w:pStyle w:val="CETListbullets"/>
        <w:ind w:left="0" w:firstLine="0"/>
      </w:pPr>
      <w:r w:rsidRPr="004C4080">
        <w:t>L</w:t>
      </w:r>
      <w:r w:rsidR="002015B8" w:rsidRPr="004C4080">
        <w:t xml:space="preserve">iterature </w:t>
      </w:r>
      <w:r w:rsidR="005853CE" w:rsidRPr="004C4080">
        <w:rPr>
          <w:lang w:val="en-US"/>
        </w:rPr>
        <w:t>studies</w:t>
      </w:r>
      <w:r w:rsidR="002015B8" w:rsidRPr="004C4080">
        <w:t xml:space="preserve"> </w:t>
      </w:r>
      <w:r w:rsidRPr="004C4080">
        <w:t xml:space="preserve">generally </w:t>
      </w:r>
      <w:r w:rsidR="002015B8" w:rsidRPr="005853CE">
        <w:t xml:space="preserve">associate thrombosis and plaque formation with i) Wall shear stress; ii) Blood velocity. </w:t>
      </w:r>
      <w:r w:rsidR="00B21D19" w:rsidRPr="004C4080">
        <w:t xml:space="preserve">The </w:t>
      </w:r>
      <w:r w:rsidRPr="004C4080">
        <w:t>safe levels</w:t>
      </w:r>
      <w:r w:rsidR="00B21D19" w:rsidRPr="004C4080">
        <w:t xml:space="preserve"> of the wall she</w:t>
      </w:r>
      <w:r w:rsidRPr="004C4080">
        <w:t xml:space="preserve">ar stress and the blood velocity have not yet been clearly </w:t>
      </w:r>
      <w:r w:rsidR="00DF0462" w:rsidRPr="004C4080">
        <w:t>establish</w:t>
      </w:r>
      <w:r w:rsidRPr="004C4080">
        <w:t>ed</w:t>
      </w:r>
      <w:r w:rsidR="005C7B31" w:rsidRPr="004C4080">
        <w:t xml:space="preserve">. </w:t>
      </w:r>
      <w:r w:rsidR="00B21D19" w:rsidRPr="007B11B4">
        <w:t>According to Malek et al., (1999), hemodynamic shear stress has a significant role in determining the phenotype and</w:t>
      </w:r>
      <w:r w:rsidRPr="007B11B4">
        <w:t xml:space="preserve"> function of endothelial cells and also </w:t>
      </w:r>
      <w:r w:rsidR="00B21D19" w:rsidRPr="007B11B4">
        <w:t xml:space="preserve">claim that the </w:t>
      </w:r>
      <w:r w:rsidR="002015B8" w:rsidRPr="007B11B4">
        <w:t xml:space="preserve">shear stress </w:t>
      </w:r>
      <w:r w:rsidR="00B21D19" w:rsidRPr="007B11B4">
        <w:t xml:space="preserve">of </w:t>
      </w:r>
      <w:r w:rsidR="002015B8" w:rsidRPr="007B11B4">
        <w:t>&gt;1.5 Pa = 15 dyne/cm</w:t>
      </w:r>
      <w:r w:rsidR="002015B8" w:rsidRPr="007B11B4">
        <w:rPr>
          <w:vertAlign w:val="superscript"/>
        </w:rPr>
        <w:t>2</w:t>
      </w:r>
      <w:r w:rsidR="00B21D19" w:rsidRPr="007B11B4">
        <w:t xml:space="preserve"> (i.e., arterial-level)</w:t>
      </w:r>
      <w:r w:rsidR="002015B8" w:rsidRPr="007B11B4">
        <w:t xml:space="preserve"> induces endothelial quiescence and an atheroprotective gene expression profile</w:t>
      </w:r>
      <w:r w:rsidRPr="007B11B4">
        <w:t>.</w:t>
      </w:r>
      <w:r w:rsidR="00A4471E" w:rsidRPr="007B11B4">
        <w:t xml:space="preserve"> </w:t>
      </w:r>
      <w:r w:rsidR="00B21D19" w:rsidRPr="007B11B4">
        <w:t>Finally, they state that l</w:t>
      </w:r>
      <w:r w:rsidR="002015B8" w:rsidRPr="007B11B4">
        <w:t>ow shear stress (&lt;0.4 Pa = 4 dyne/cm</w:t>
      </w:r>
      <w:r w:rsidR="002015B8" w:rsidRPr="007B11B4">
        <w:rPr>
          <w:vertAlign w:val="superscript"/>
        </w:rPr>
        <w:t>2</w:t>
      </w:r>
      <w:r w:rsidR="002015B8" w:rsidRPr="007B11B4">
        <w:t xml:space="preserve">) </w:t>
      </w:r>
      <w:r w:rsidR="00B21D19" w:rsidRPr="007B11B4">
        <w:t>that</w:t>
      </w:r>
      <w:r w:rsidR="002015B8" w:rsidRPr="007B11B4">
        <w:t xml:space="preserve"> is prevalent at atherosclerosis-prone sites, stimulates an atherogenic phenotype</w:t>
      </w:r>
      <w:r w:rsidR="005853CE" w:rsidRPr="007B11B4">
        <w:t xml:space="preserve"> </w:t>
      </w:r>
      <w:r w:rsidR="00B21D19" w:rsidRPr="007B11B4">
        <w:t>(Malek et al., 1999</w:t>
      </w:r>
      <w:r w:rsidR="005853CE" w:rsidRPr="007B11B4">
        <w:t>)</w:t>
      </w:r>
      <w:r w:rsidR="002015B8" w:rsidRPr="007B11B4">
        <w:t xml:space="preserve">. </w:t>
      </w:r>
      <w:r w:rsidR="005C7B31" w:rsidRPr="007B11B4">
        <w:t xml:space="preserve">Cheng et al., (2006) states that where shear stress is low (i.e., &lt;1.5 </w:t>
      </w:r>
      <w:r w:rsidR="005C7B31" w:rsidRPr="007B11B4">
        <w:lastRenderedPageBreak/>
        <w:t>N/m</w:t>
      </w:r>
      <w:r w:rsidR="005C7B31" w:rsidRPr="007B11B4">
        <w:rPr>
          <w:vertAlign w:val="superscript"/>
        </w:rPr>
        <w:t>2</w:t>
      </w:r>
      <w:r w:rsidR="005C7B31" w:rsidRPr="007B11B4">
        <w:t>=1.5 Pa in humans), like the inner curvatures of coronary arteries, atherosclerotic plaque development preferentially occurs.</w:t>
      </w:r>
      <w:r w:rsidR="002015B8" w:rsidRPr="007B11B4">
        <w:t xml:space="preserve"> </w:t>
      </w:r>
      <w:r w:rsidR="005C7B31" w:rsidRPr="007B11B4">
        <w:t>In the work of</w:t>
      </w:r>
      <w:r w:rsidR="002015B8" w:rsidRPr="007B11B4">
        <w:t xml:space="preserve"> </w:t>
      </w:r>
      <w:r w:rsidR="005C7B31" w:rsidRPr="007B11B4">
        <w:rPr>
          <w:lang w:val="en-US"/>
        </w:rPr>
        <w:t xml:space="preserve">Reorowicz, et al., (2022) it is noted that </w:t>
      </w:r>
      <w:r w:rsidR="005C7B31" w:rsidRPr="007B11B4">
        <w:t>for human arteries, the upper limit of the healthy range of wall shear stress is roughly 7 Pa</w:t>
      </w:r>
      <w:r w:rsidR="002015B8" w:rsidRPr="007B11B4">
        <w:t xml:space="preserve">. </w:t>
      </w:r>
      <w:r w:rsidR="00C7435B" w:rsidRPr="007B11B4">
        <w:t xml:space="preserve">Malek et al., (1999), </w:t>
      </w:r>
      <w:r w:rsidR="00C7435B">
        <w:t xml:space="preserve">recommend </w:t>
      </w:r>
      <w:r w:rsidR="00C7435B" w:rsidRPr="00C7435B">
        <w:t>&gt;7 Pa high shear thrombosis occurs</w:t>
      </w:r>
      <w:r w:rsidR="00C7435B">
        <w:t>.</w:t>
      </w:r>
    </w:p>
    <w:p w14:paraId="5071826B" w14:textId="63CECF05" w:rsidR="002015B8" w:rsidRPr="007B11B4" w:rsidRDefault="005C7B31" w:rsidP="002015B8">
      <w:pPr>
        <w:pStyle w:val="CETListbullets"/>
        <w:ind w:left="0" w:firstLine="0"/>
      </w:pPr>
      <w:r w:rsidRPr="007B11B4">
        <w:t>In addition, in cases of relatively low</w:t>
      </w:r>
      <w:r w:rsidR="00586DA8" w:rsidRPr="007B11B4">
        <w:t xml:space="preserve"> blood velocity</w:t>
      </w:r>
      <w:r w:rsidRPr="007B11B4">
        <w:t xml:space="preserve">, thrombosis and blood stagnation may develop, which can result in clots forming between the aneurysm and the stent </w:t>
      </w:r>
      <w:r w:rsidR="00FE6441" w:rsidRPr="007B11B4">
        <w:t>(</w:t>
      </w:r>
      <w:r w:rsidR="00FE6441" w:rsidRPr="007B11B4">
        <w:rPr>
          <w:lang w:val="en-US"/>
        </w:rPr>
        <w:t>Reorowicz, et al., 2022</w:t>
      </w:r>
      <w:r w:rsidR="00FE6441" w:rsidRPr="007B11B4">
        <w:t>)</w:t>
      </w:r>
      <w:r w:rsidR="002015B8" w:rsidRPr="007B11B4">
        <w:t xml:space="preserve">. </w:t>
      </w:r>
      <w:r w:rsidRPr="007B11B4">
        <w:t xml:space="preserve">In </w:t>
      </w:r>
      <w:r w:rsidRPr="007B11B4">
        <w:rPr>
          <w:lang w:val="en-US"/>
        </w:rPr>
        <w:t>Reorowicz, et al., (2022) there are more tha</w:t>
      </w:r>
      <w:r w:rsidR="00586DA8" w:rsidRPr="007B11B4">
        <w:rPr>
          <w:lang w:val="en-US"/>
        </w:rPr>
        <w:t>n</w:t>
      </w:r>
      <w:r w:rsidRPr="007B11B4">
        <w:rPr>
          <w:lang w:val="en-US"/>
        </w:rPr>
        <w:t xml:space="preserve"> one values of the limit of blood stagnation. Specifically, they </w:t>
      </w:r>
      <w:r w:rsidR="00EC74D6" w:rsidRPr="007B11B4">
        <w:rPr>
          <w:lang w:val="en-US"/>
        </w:rPr>
        <w:t>report that b</w:t>
      </w:r>
      <w:r w:rsidR="002015B8" w:rsidRPr="007B11B4">
        <w:t>lood stagnation occurs when blood velocity drops below 0.001 m/s</w:t>
      </w:r>
      <w:r w:rsidR="00FE6441" w:rsidRPr="007B11B4">
        <w:t xml:space="preserve"> </w:t>
      </w:r>
      <w:r w:rsidR="00EC74D6" w:rsidRPr="007B11B4">
        <w:t xml:space="preserve">from literature values </w:t>
      </w:r>
      <w:r w:rsidR="00FE6441" w:rsidRPr="007B11B4">
        <w:t>(</w:t>
      </w:r>
      <w:r w:rsidR="00FE6441" w:rsidRPr="007B11B4">
        <w:rPr>
          <w:lang w:val="en-US"/>
        </w:rPr>
        <w:t>Reorowicz, et al., 2022</w:t>
      </w:r>
      <w:r w:rsidR="00FE6441" w:rsidRPr="007B11B4">
        <w:t>)</w:t>
      </w:r>
      <w:r w:rsidR="002015B8" w:rsidRPr="007B11B4">
        <w:t xml:space="preserve">. </w:t>
      </w:r>
      <w:r w:rsidR="00EC74D6" w:rsidRPr="007B11B4">
        <w:t xml:space="preserve">Moreover, in their produced work </w:t>
      </w:r>
      <w:r w:rsidR="002015B8" w:rsidRPr="007B11B4">
        <w:t>the blood stagnation can be defined as the region where the blood velocity does not exceed 0.01 m/s</w:t>
      </w:r>
      <w:r w:rsidR="00FE6441" w:rsidRPr="007B11B4">
        <w:t xml:space="preserve"> (</w:t>
      </w:r>
      <w:r w:rsidR="00FE6441" w:rsidRPr="007B11B4">
        <w:rPr>
          <w:lang w:val="en-US"/>
        </w:rPr>
        <w:t>Reorowicz, et al., 2022</w:t>
      </w:r>
      <w:r w:rsidR="00FE6441" w:rsidRPr="007B11B4">
        <w:t>)</w:t>
      </w:r>
      <w:r w:rsidR="002015B8" w:rsidRPr="007B11B4">
        <w:t xml:space="preserve">. For </w:t>
      </w:r>
      <w:r w:rsidRPr="007B11B4">
        <w:t>all these</w:t>
      </w:r>
      <w:r w:rsidR="002015B8" w:rsidRPr="007B11B4">
        <w:t xml:space="preserve"> reason</w:t>
      </w:r>
      <w:r w:rsidRPr="007B11B4">
        <w:t>s</w:t>
      </w:r>
      <w:r w:rsidR="002015B8" w:rsidRPr="007B11B4">
        <w:t>, the current results focus on: i) Blood velocity under 0.01 m/s; ii) Wall Shear ≥7 Pa and ≤1 Pa.</w:t>
      </w:r>
    </w:p>
    <w:p w14:paraId="5D2ADD1D" w14:textId="46B53B7E" w:rsidR="002015B8" w:rsidRPr="007B11B4" w:rsidRDefault="002015B8" w:rsidP="00F874BD">
      <w:pPr>
        <w:pStyle w:val="CETListbullets"/>
        <w:ind w:left="0" w:firstLine="0"/>
        <w:rPr>
          <w:i/>
          <w:iCs/>
        </w:rPr>
      </w:pPr>
      <w:r w:rsidRPr="007B11B4">
        <w:rPr>
          <w:i/>
          <w:iCs/>
        </w:rPr>
        <w:t>Results regarding wall shear</w:t>
      </w:r>
    </w:p>
    <w:p w14:paraId="699DAB04" w14:textId="45A7E331" w:rsidR="00F01F23" w:rsidRDefault="00F91439" w:rsidP="00F874BD">
      <w:pPr>
        <w:pStyle w:val="CETListbullets"/>
        <w:ind w:left="0" w:firstLine="0"/>
      </w:pPr>
      <w:r w:rsidRPr="007B11B4">
        <w:t>In all Cases (i.e., I, II, III) there are areas</w:t>
      </w:r>
      <w:r w:rsidRPr="004C4080">
        <w:t xml:space="preserve"> </w:t>
      </w:r>
      <w:r w:rsidR="00EB69FE" w:rsidRPr="004C4080">
        <w:t>on the</w:t>
      </w:r>
      <w:r w:rsidRPr="004C4080">
        <w:t xml:space="preserve"> wall of the anastomoses where </w:t>
      </w:r>
      <w:r w:rsidR="00EB69FE" w:rsidRPr="004C4080">
        <w:t xml:space="preserve">the </w:t>
      </w:r>
      <w:r w:rsidRPr="004C4080">
        <w:t xml:space="preserve">wall shear </w:t>
      </w:r>
      <w:r w:rsidR="00EB69FE" w:rsidRPr="004C4080">
        <w:t xml:space="preserve">stress </w:t>
      </w:r>
      <w:r w:rsidRPr="004C4080">
        <w:t>is ≤1 Pa during the whole simulation (</w:t>
      </w:r>
      <w:r w:rsidR="00AA6A97" w:rsidRPr="004C4080">
        <w:t xml:space="preserve">i.e., in all </w:t>
      </w:r>
      <w:r w:rsidRPr="004C4080">
        <w:t xml:space="preserve">3 pulses). </w:t>
      </w:r>
      <w:r w:rsidR="00AA6A97" w:rsidRPr="004C4080">
        <w:t>Specifically, i</w:t>
      </w:r>
      <w:r w:rsidRPr="004C4080">
        <w:t xml:space="preserve">n Case I before and after </w:t>
      </w:r>
      <w:r w:rsidR="00AA6A97" w:rsidRPr="004C4080">
        <w:t xml:space="preserve">the </w:t>
      </w:r>
      <w:r w:rsidRPr="004C4080">
        <w:t>anastomosis there are large areas with wall shear ≥7 Pa in the peak of blood velocity</w:t>
      </w:r>
      <w:r w:rsidR="00AA6A97" w:rsidRPr="004C4080">
        <w:t xml:space="preserve"> (</w:t>
      </w:r>
      <w:r w:rsidR="007018CF" w:rsidRPr="004C4080">
        <w:t>data not shown</w:t>
      </w:r>
      <w:r w:rsidR="00AA6A97" w:rsidRPr="004C4080">
        <w:t>)</w:t>
      </w:r>
      <w:r w:rsidRPr="004C4080">
        <w:t>. In Case II before and after anastomosis (in a small area) there are areas with wall shear ≥7 Pa in the peak of blood velocity</w:t>
      </w:r>
      <w:r w:rsidR="00AA6A97" w:rsidRPr="004C4080">
        <w:t xml:space="preserve"> (</w:t>
      </w:r>
      <w:r w:rsidR="007018CF" w:rsidRPr="004C4080">
        <w:t>data not shown</w:t>
      </w:r>
      <w:r w:rsidR="00AA6A97" w:rsidRPr="004C4080">
        <w:t>)</w:t>
      </w:r>
      <w:r w:rsidR="00F874BD" w:rsidRPr="004C4080">
        <w:t xml:space="preserve">. </w:t>
      </w:r>
      <w:r w:rsidR="00AA6A97" w:rsidRPr="004C4080">
        <w:t>In addition, i</w:t>
      </w:r>
      <w:r w:rsidRPr="004C4080">
        <w:t>n Case III before and after anastomosis there are areas with wall shear ≥7 Pa in the peak of blood velocity</w:t>
      </w:r>
      <w:r w:rsidR="002015B8" w:rsidRPr="004C4080">
        <w:t xml:space="preserve"> (</w:t>
      </w:r>
      <w:r w:rsidR="007018CF" w:rsidRPr="004C4080">
        <w:t>data not shown</w:t>
      </w:r>
      <w:r w:rsidR="002015B8" w:rsidRPr="004C4080">
        <w:t>)</w:t>
      </w:r>
      <w:r w:rsidR="00F874BD" w:rsidRPr="004C4080">
        <w:t xml:space="preserve">. </w:t>
      </w:r>
      <w:r w:rsidR="00AA6A97" w:rsidRPr="004C4080">
        <w:t>Moreover</w:t>
      </w:r>
      <w:r w:rsidRPr="004C4080">
        <w:t>, in Case III there is an area after anastomosis where there is wall shear ≥7 Pa during the whole simulation</w:t>
      </w:r>
      <w:r w:rsidR="00AA6A97" w:rsidRPr="004C4080">
        <w:t xml:space="preserve"> </w:t>
      </w:r>
      <w:r w:rsidR="00AA6A97">
        <w:t xml:space="preserve">(i.e., all 3 </w:t>
      </w:r>
      <w:r w:rsidR="00710892">
        <w:t>pulses</w:t>
      </w:r>
      <w:r w:rsidR="00AA6A97">
        <w:t>)</w:t>
      </w:r>
      <w:r w:rsidR="00F874BD">
        <w:t xml:space="preserve">. </w:t>
      </w:r>
    </w:p>
    <w:p w14:paraId="5FBD531E" w14:textId="09CBD25A" w:rsidR="00F874BD" w:rsidRDefault="00BA0532" w:rsidP="00F874BD">
      <w:pPr>
        <w:pStyle w:val="CETListbullets"/>
        <w:ind w:left="0" w:firstLine="0"/>
      </w:pPr>
      <w:r>
        <w:rPr>
          <w:noProof/>
        </w:rPr>
        <w:drawing>
          <wp:inline distT="0" distB="0" distL="0" distR="0" wp14:anchorId="627CE2F5" wp14:editId="34B2587C">
            <wp:extent cx="2519390" cy="1266456"/>
            <wp:effectExtent l="0" t="0" r="0" b="0"/>
            <wp:docPr id="93096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31274"/>
                    <a:stretch/>
                  </pic:blipFill>
                  <pic:spPr bwMode="auto">
                    <a:xfrm>
                      <a:off x="0" y="0"/>
                      <a:ext cx="2520000" cy="12667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A19231" wp14:editId="40ACA50E">
            <wp:extent cx="1838011" cy="1208405"/>
            <wp:effectExtent l="0" t="0" r="0" b="0"/>
            <wp:docPr id="1128591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6977" t="34363"/>
                    <a:stretch/>
                  </pic:blipFill>
                  <pic:spPr bwMode="auto">
                    <a:xfrm>
                      <a:off x="0" y="0"/>
                      <a:ext cx="1840186" cy="12098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5BDCF9" wp14:editId="7AEADBD8">
            <wp:extent cx="2519390" cy="1287721"/>
            <wp:effectExtent l="0" t="0" r="0" b="0"/>
            <wp:docPr id="396560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30121"/>
                    <a:stretch/>
                  </pic:blipFill>
                  <pic:spPr bwMode="auto">
                    <a:xfrm>
                      <a:off x="0" y="0"/>
                      <a:ext cx="2520000" cy="12880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64A6A1" wp14:editId="13754397">
            <wp:extent cx="1838532" cy="1206215"/>
            <wp:effectExtent l="0" t="0" r="0" b="0"/>
            <wp:docPr id="1828500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6967" t="34492"/>
                    <a:stretch/>
                  </pic:blipFill>
                  <pic:spPr bwMode="auto">
                    <a:xfrm>
                      <a:off x="0" y="0"/>
                      <a:ext cx="1840433" cy="12074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8A08FD4" wp14:editId="6EA50BE2">
            <wp:extent cx="2519390" cy="1313712"/>
            <wp:effectExtent l="0" t="0" r="0" b="0"/>
            <wp:docPr id="1448735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b="28710"/>
                    <a:stretch/>
                  </pic:blipFill>
                  <pic:spPr bwMode="auto">
                    <a:xfrm>
                      <a:off x="0" y="0"/>
                      <a:ext cx="2520000" cy="13140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285E2A" wp14:editId="0EE0BC5D">
            <wp:extent cx="1845684" cy="1205230"/>
            <wp:effectExtent l="0" t="0" r="0" b="0"/>
            <wp:docPr id="335393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26624" t="34492" b="1"/>
                    <a:stretch/>
                  </pic:blipFill>
                  <pic:spPr bwMode="auto">
                    <a:xfrm>
                      <a:off x="0" y="0"/>
                      <a:ext cx="1845684" cy="1205230"/>
                    </a:xfrm>
                    <a:prstGeom prst="rect">
                      <a:avLst/>
                    </a:prstGeom>
                    <a:noFill/>
                    <a:ln>
                      <a:noFill/>
                    </a:ln>
                    <a:extLst>
                      <a:ext uri="{53640926-AAD7-44D8-BBD7-CCE9431645EC}">
                        <a14:shadowObscured xmlns:a14="http://schemas.microsoft.com/office/drawing/2010/main"/>
                      </a:ext>
                    </a:extLst>
                  </pic:spPr>
                </pic:pic>
              </a:graphicData>
            </a:graphic>
          </wp:inline>
        </w:drawing>
      </w:r>
    </w:p>
    <w:p w14:paraId="284C9748" w14:textId="4804D94A" w:rsidR="00F874BD" w:rsidRPr="002B1DDA" w:rsidRDefault="00F874BD" w:rsidP="00F874BD">
      <w:pPr>
        <w:pStyle w:val="CETCaption"/>
      </w:pPr>
      <w:r w:rsidRPr="004C4080">
        <w:rPr>
          <w:rStyle w:val="CETCaptionCarattere"/>
          <w:i/>
        </w:rPr>
        <w:t xml:space="preserve">Figure </w:t>
      </w:r>
      <w:r w:rsidR="00496D98" w:rsidRPr="004C4080">
        <w:rPr>
          <w:rStyle w:val="CETCaptionCarattere"/>
          <w:i/>
        </w:rPr>
        <w:t>5</w:t>
      </w:r>
      <w:r w:rsidRPr="004C4080">
        <w:rPr>
          <w:rStyle w:val="CETCaptionCarattere"/>
          <w:i/>
        </w:rPr>
        <w:t xml:space="preserve">: </w:t>
      </w:r>
      <w:r w:rsidR="00DF0462" w:rsidRPr="004C4080">
        <w:rPr>
          <w:rStyle w:val="CETCaptionCarattere"/>
          <w:i/>
        </w:rPr>
        <w:t xml:space="preserve">Blood velocity profile at </w:t>
      </w:r>
      <w:r w:rsidR="00DF0462" w:rsidRPr="000B6EBB">
        <w:rPr>
          <w:rStyle w:val="CETCaptionCarattere"/>
          <w:i/>
        </w:rPr>
        <w:t>t=</w:t>
      </w:r>
      <w:r w:rsidR="005D5A9D">
        <w:rPr>
          <w:rStyle w:val="CETCaptionCarattere"/>
          <w:i/>
        </w:rPr>
        <w:t>2</w:t>
      </w:r>
      <w:r w:rsidR="000B1EE5" w:rsidRPr="000B6EBB">
        <w:rPr>
          <w:rStyle w:val="CETCaptionCarattere"/>
          <w:i/>
        </w:rPr>
        <w:t>.</w:t>
      </w:r>
      <w:r w:rsidR="005D5A9D">
        <w:rPr>
          <w:rStyle w:val="CETCaptionCarattere"/>
          <w:i/>
        </w:rPr>
        <w:t>4</w:t>
      </w:r>
      <w:r w:rsidR="000B1EE5" w:rsidRPr="000B6EBB">
        <w:rPr>
          <w:rStyle w:val="CETCaptionCarattere"/>
          <w:i/>
        </w:rPr>
        <w:t>s</w:t>
      </w:r>
      <w:r w:rsidR="00DF0462" w:rsidRPr="000B6EBB">
        <w:rPr>
          <w:rStyle w:val="CETCaptionCarattere"/>
          <w:i/>
        </w:rPr>
        <w:t xml:space="preserve"> </w:t>
      </w:r>
      <w:r w:rsidR="00DF0462" w:rsidRPr="004C4080">
        <w:rPr>
          <w:rStyle w:val="CETCaptionCarattere"/>
          <w:i/>
        </w:rPr>
        <w:t xml:space="preserve">(only velocity values less than the stagnation limit of 0.01 m/s are shown). </w:t>
      </w:r>
      <w:r w:rsidR="00710892" w:rsidRPr="004C4080">
        <w:rPr>
          <w:rStyle w:val="CETCaptionCarattere"/>
          <w:i/>
        </w:rPr>
        <w:t xml:space="preserve">The side view (on the left) </w:t>
      </w:r>
      <w:r w:rsidR="00710892">
        <w:rPr>
          <w:rStyle w:val="CETCaptionCarattere"/>
          <w:i/>
        </w:rPr>
        <w:t>and the view of the cross section of the anastomosis on the largest diameter (on t</w:t>
      </w:r>
      <w:r w:rsidR="006F1EBA">
        <w:rPr>
          <w:rStyle w:val="CETCaptionCarattere"/>
          <w:i/>
        </w:rPr>
        <w:t>he right). On the top there are</w:t>
      </w:r>
      <w:r w:rsidR="00DF0462">
        <w:rPr>
          <w:rStyle w:val="CETCaptionCarattere"/>
          <w:i/>
        </w:rPr>
        <w:t xml:space="preserve"> </w:t>
      </w:r>
      <w:r w:rsidR="00710892">
        <w:rPr>
          <w:rStyle w:val="CETCaptionCarattere"/>
          <w:i/>
        </w:rPr>
        <w:t xml:space="preserve">the velocity results for Case I, on the middle there are the velocity results for Case II and on the bottom there are the velocity </w:t>
      </w:r>
      <w:r w:rsidR="00710892" w:rsidRPr="002B1DDA">
        <w:rPr>
          <w:rStyle w:val="CETCaptionCarattere"/>
          <w:i/>
        </w:rPr>
        <w:t>results for Case III.</w:t>
      </w:r>
      <w:r w:rsidRPr="002B1DDA">
        <w:t xml:space="preserve"> </w:t>
      </w:r>
    </w:p>
    <w:p w14:paraId="577DF023" w14:textId="77777777" w:rsidR="002C7218" w:rsidRPr="002B1DDA" w:rsidRDefault="002C7218" w:rsidP="002C7218">
      <w:pPr>
        <w:pStyle w:val="CETListbullets"/>
        <w:ind w:left="0" w:firstLine="0"/>
        <w:rPr>
          <w:i/>
          <w:iCs/>
        </w:rPr>
      </w:pPr>
      <w:r w:rsidRPr="002B1DDA">
        <w:rPr>
          <w:i/>
          <w:iCs/>
        </w:rPr>
        <w:t>Results regarding blood velocity</w:t>
      </w:r>
    </w:p>
    <w:p w14:paraId="7B030E68" w14:textId="603BB461" w:rsidR="002C7218" w:rsidRPr="00BD077D" w:rsidRDefault="002C7218" w:rsidP="002C7218">
      <w:pPr>
        <w:pStyle w:val="CETListbullets"/>
        <w:ind w:left="0" w:firstLine="0"/>
      </w:pPr>
      <w:r>
        <w:t xml:space="preserve">In the three simulated cases there were areas in the peak of the heartbeat velocity where the blood velocity is lower than 0.01 m/s </w:t>
      </w:r>
      <w:r w:rsidRPr="00F31E63">
        <w:t xml:space="preserve">(see Figure 5). Note </w:t>
      </w:r>
      <w:r>
        <w:t xml:space="preserve">that the largest area of stagnant flow according to literature is found in Case II. Then Case I follows and finally Case III is the case with the smallest stagnant conditions according to literature. </w:t>
      </w:r>
    </w:p>
    <w:p w14:paraId="74E33D53" w14:textId="3F802A00" w:rsidR="00F961B5" w:rsidRPr="00F961B5" w:rsidRDefault="00F961B5" w:rsidP="002015B8">
      <w:pPr>
        <w:pStyle w:val="CETheadingx"/>
      </w:pPr>
      <w:r w:rsidRPr="00F961B5">
        <w:lastRenderedPageBreak/>
        <w:t>Limitations of this study</w:t>
      </w:r>
    </w:p>
    <w:p w14:paraId="232610CC" w14:textId="658CB3DF" w:rsidR="00AA6A97" w:rsidRDefault="00B64349" w:rsidP="00B64349">
      <w:pPr>
        <w:pStyle w:val="CETListbullets"/>
        <w:ind w:left="0" w:firstLine="0"/>
      </w:pPr>
      <w:r>
        <w:t xml:space="preserve">This study can be seen as a simplistic approach to try to understand and </w:t>
      </w:r>
      <w:r w:rsidR="00B62750">
        <w:t xml:space="preserve">provide solutions for the hepatic artery thrombosis phenomenon in liver transplant recipients. </w:t>
      </w:r>
      <w:r w:rsidR="00B62750" w:rsidRPr="004C4080">
        <w:t xml:space="preserve">There are </w:t>
      </w:r>
      <w:r w:rsidR="00B33C76" w:rsidRPr="004C4080">
        <w:t>several</w:t>
      </w:r>
      <w:r w:rsidR="00B62750" w:rsidRPr="004C4080">
        <w:t xml:space="preserve"> limitations in the present study. The first limitation </w:t>
      </w:r>
      <w:r w:rsidR="00B62750" w:rsidRPr="00983E52">
        <w:t>includes the simplified geometry</w:t>
      </w:r>
      <w:r w:rsidR="00587B1A" w:rsidRPr="00983E52">
        <w:t xml:space="preserve">, which in this case it can provide results in the anastomosis area but </w:t>
      </w:r>
      <w:r w:rsidR="005C6E8F" w:rsidRPr="00983E52">
        <w:t>can only account for</w:t>
      </w:r>
      <w:r w:rsidR="00587B1A" w:rsidRPr="00983E52">
        <w:t xml:space="preserve"> the complex geometry of vessel-anastomosis-vessel structure</w:t>
      </w:r>
      <w:r w:rsidR="005C6E8F" w:rsidRPr="00983E52">
        <w:t xml:space="preserve"> in an approximate sense (e.g., via the hydraulic diameter analogue)</w:t>
      </w:r>
      <w:r w:rsidR="00AA6A97" w:rsidRPr="00983E52">
        <w:t>, the second limitation is the number of the pulses in each simulation. A more important limitation is the number of cases simulated in total which were only three. Finally, a major limitation is that there were no experimental</w:t>
      </w:r>
      <w:r w:rsidR="00AA6A97">
        <w:t xml:space="preserve"> data for comparison with the simulation results. </w:t>
      </w:r>
    </w:p>
    <w:p w14:paraId="1350E7CE" w14:textId="0A83CAD0" w:rsidR="00F961B5" w:rsidRPr="00F961B5" w:rsidRDefault="00F961B5" w:rsidP="002015B8">
      <w:pPr>
        <w:pStyle w:val="CETheadingx"/>
      </w:pPr>
      <w:r w:rsidRPr="00F961B5">
        <w:t>Future Steps</w:t>
      </w:r>
    </w:p>
    <w:p w14:paraId="0F571EA7" w14:textId="491A459C" w:rsidR="00F961B5" w:rsidRPr="002B1DDA" w:rsidRDefault="00016CF5" w:rsidP="00F874BD">
      <w:pPr>
        <w:pStyle w:val="CETListbullets"/>
        <w:ind w:left="0" w:firstLine="0"/>
        <w:rPr>
          <w:lang w:val="en-US"/>
        </w:rPr>
      </w:pPr>
      <w:r>
        <w:t>The current study was a feasibility study to see whether the geometric characteristics of an anastomosis (i.e., diameter</w:t>
      </w:r>
      <w:r w:rsidR="009D371E">
        <w:t xml:space="preserve"> and</w:t>
      </w:r>
      <w:r>
        <w:t xml:space="preserve"> length</w:t>
      </w:r>
      <w:r w:rsidR="00ED7E14">
        <w:t xml:space="preserve"> </w:t>
      </w:r>
      <w:r w:rsidR="009D371E">
        <w:t xml:space="preserve">of the anastomosis </w:t>
      </w:r>
      <w:r w:rsidR="00ED7E14">
        <w:t>and diameter of the vessels</w:t>
      </w:r>
      <w:r>
        <w:t xml:space="preserve">) could be associated with thrombosis and plaque formation in the case of hepatic artery. </w:t>
      </w:r>
      <w:r w:rsidR="00365B23">
        <w:t xml:space="preserve">To advance the quality of the study and see the characteristics that can potentially be used to explain and eventually prevent hepatic artery thrombosis, there are necessary steps to be made in the current model. First of all, the geometry of the anastomosis has to be made more realistic. One way to do that is the use of a computational tomography scan </w:t>
      </w:r>
      <w:r w:rsidR="00CF06F4">
        <w:t>to take the realistic geometry of the anastomosis after a transplant from a real liver graft recipient. The second step would be to simulate more pulses in the total simulation run. This can provide more stable conditions for the flow velocities. Currently, 3 pulses have been utilized and we aim for at least 5 to 10 pulses. Moreover</w:t>
      </w:r>
      <w:r w:rsidR="009D371E">
        <w:t>,</w:t>
      </w:r>
      <w:r w:rsidR="00CF06F4">
        <w:t xml:space="preserve"> the pulses had a steady pace of 75 beats per min. It is better also to include cases with brachycardia (&lt;60 bpm), tachycardia (</w:t>
      </w:r>
      <w:r w:rsidR="00B64349">
        <w:t>&gt;</w:t>
      </w:r>
      <w:r w:rsidR="00CF06F4">
        <w:t xml:space="preserve">100 bpm) and also cases where the </w:t>
      </w:r>
      <w:r w:rsidR="00C9091B">
        <w:t>heartbeat</w:t>
      </w:r>
      <w:r w:rsidR="00CF06F4">
        <w:t xml:space="preserve"> pace changes from a low bpm value to a high bpm value and vice versa. This can </w:t>
      </w:r>
      <w:r w:rsidR="00CF06F4" w:rsidRPr="004C4080">
        <w:t xml:space="preserve">provide conditions that may drastically change wall shear and blood velocity in such values to be problematic for a patient. </w:t>
      </w:r>
      <w:r w:rsidR="009D371E" w:rsidRPr="004C4080">
        <w:t xml:space="preserve">In </w:t>
      </w:r>
      <w:r w:rsidR="009D371E" w:rsidRPr="00983E52">
        <w:t>addition, more geometries with different ratio of D</w:t>
      </w:r>
      <w:r w:rsidR="009D371E" w:rsidRPr="00983E52">
        <w:rPr>
          <w:vertAlign w:val="subscript"/>
        </w:rPr>
        <w:t>anast</w:t>
      </w:r>
      <w:r w:rsidR="009D371E" w:rsidRPr="00983E52">
        <w:t>/D</w:t>
      </w:r>
      <w:r w:rsidR="009D371E" w:rsidRPr="00983E52">
        <w:rPr>
          <w:vertAlign w:val="subscript"/>
        </w:rPr>
        <w:t>vessel</w:t>
      </w:r>
      <w:r w:rsidR="009D371E" w:rsidRPr="00983E52">
        <w:t xml:space="preserve"> to get a map of the phenomenon and try to</w:t>
      </w:r>
      <w:r w:rsidR="00B33C76" w:rsidRPr="00983E52">
        <w:t xml:space="preserve"> achieve</w:t>
      </w:r>
      <w:r w:rsidR="009D371E" w:rsidRPr="00983E52">
        <w:t xml:space="preserve"> clinical-related conclusions. </w:t>
      </w:r>
      <w:r w:rsidR="00587B1A" w:rsidRPr="00983E52">
        <w:t>Th</w:t>
      </w:r>
      <w:r w:rsidR="00316545" w:rsidRPr="00983E52">
        <w:t>ese</w:t>
      </w:r>
      <w:r w:rsidR="00587B1A" w:rsidRPr="00983E52">
        <w:t xml:space="preserve"> can provide the initial step to proceed with the most realistic or patient</w:t>
      </w:r>
      <w:r w:rsidR="00316545" w:rsidRPr="00983E52">
        <w:t>-obtained geometries and reduce the area of different ratio of D</w:t>
      </w:r>
      <w:r w:rsidR="00316545" w:rsidRPr="00983E52">
        <w:rPr>
          <w:vertAlign w:val="subscript"/>
        </w:rPr>
        <w:t>anast</w:t>
      </w:r>
      <w:r w:rsidR="00316545" w:rsidRPr="00983E52">
        <w:t>/D</w:t>
      </w:r>
      <w:r w:rsidR="00316545" w:rsidRPr="00983E52">
        <w:rPr>
          <w:vertAlign w:val="subscript"/>
        </w:rPr>
        <w:t>vessel</w:t>
      </w:r>
      <w:r w:rsidR="00316545" w:rsidRPr="00983E52">
        <w:t xml:space="preserve"> to be examined</w:t>
      </w:r>
      <w:r w:rsidR="00587B1A" w:rsidRPr="00983E52">
        <w:t xml:space="preserve">. </w:t>
      </w:r>
      <w:r w:rsidR="00C9091B" w:rsidRPr="00983E52">
        <w:t xml:space="preserve">It is also </w:t>
      </w:r>
      <w:r w:rsidR="00B33C76" w:rsidRPr="00983E52">
        <w:rPr>
          <w:lang w:val="en-US"/>
        </w:rPr>
        <w:t>desirable to include more</w:t>
      </w:r>
      <w:r w:rsidR="00C9091B" w:rsidRPr="00983E52">
        <w:rPr>
          <w:lang w:val="en-US"/>
        </w:rPr>
        <w:t xml:space="preserve"> realistic conditions in terms of flow and the interaction between the fluid and the structure. For this reason, a</w:t>
      </w:r>
      <w:r w:rsidR="00C9091B" w:rsidRPr="004C4080">
        <w:rPr>
          <w:lang w:val="en-US"/>
        </w:rPr>
        <w:t xml:space="preserve"> fluid structure interaction model should be implemented. </w:t>
      </w:r>
      <w:r w:rsidR="00AA6A97" w:rsidRPr="004C4080">
        <w:rPr>
          <w:lang w:val="en-US"/>
        </w:rPr>
        <w:t xml:space="preserve">Additionally, </w:t>
      </w:r>
      <w:r w:rsidR="00B33C76" w:rsidRPr="004C4080">
        <w:rPr>
          <w:lang w:val="en-US"/>
        </w:rPr>
        <w:t xml:space="preserve">a </w:t>
      </w:r>
      <w:r w:rsidR="00AA6A97" w:rsidRPr="004C4080">
        <w:rPr>
          <w:lang w:val="en-US"/>
        </w:rPr>
        <w:t xml:space="preserve">more realistic </w:t>
      </w:r>
      <w:r w:rsidR="00B62750" w:rsidRPr="004C4080">
        <w:rPr>
          <w:lang w:val="en-US"/>
        </w:rPr>
        <w:t>flow pattern and blood velocity profile</w:t>
      </w:r>
      <w:r w:rsidR="00AA6A97" w:rsidRPr="004C4080">
        <w:rPr>
          <w:lang w:val="en-US"/>
        </w:rPr>
        <w:t xml:space="preserve"> should be utilized. This could be taken from flow velocity measurements during surgery after the transplantation</w:t>
      </w:r>
      <w:r w:rsidR="00B62750" w:rsidRPr="004C4080">
        <w:rPr>
          <w:lang w:val="en-US"/>
        </w:rPr>
        <w:t>.</w:t>
      </w:r>
      <w:r w:rsidR="00AA6A97" w:rsidRPr="004C4080">
        <w:rPr>
          <w:lang w:val="en-US"/>
        </w:rPr>
        <w:t xml:space="preserve"> </w:t>
      </w:r>
      <w:r w:rsidR="00C9091B" w:rsidRPr="004C4080">
        <w:t xml:space="preserve">In the </w:t>
      </w:r>
      <w:r w:rsidR="009D371E" w:rsidRPr="004C4080">
        <w:t>present</w:t>
      </w:r>
      <w:r w:rsidR="00C9091B" w:rsidRPr="004C4080">
        <w:t xml:space="preserve"> study three </w:t>
      </w:r>
      <w:r w:rsidR="00ED7E14" w:rsidRPr="004C4080">
        <w:t xml:space="preserve">cases of geometric </w:t>
      </w:r>
      <w:r w:rsidR="00ED7E14">
        <w:t xml:space="preserve">and flow conditions have been compared to each other and have been put in descending order for thrombosis risk. This idea is good but there should be found a better and more efficient way to measure the risk of </w:t>
      </w:r>
      <w:r w:rsidR="00ED7E14" w:rsidRPr="002B1DDA">
        <w:t xml:space="preserve">thrombosis with an absolute value or with a final probability and finally calculate the risk of thrombosis. </w:t>
      </w:r>
      <w:r w:rsidR="00B33C76" w:rsidRPr="002B1DDA">
        <w:t>There is potential to include a simple thrombosis model to the CFD simulations (</w:t>
      </w:r>
      <w:r w:rsidR="002B1DDA" w:rsidRPr="002B1DDA">
        <w:t>Yazdani et al., 2017</w:t>
      </w:r>
      <w:r w:rsidR="00B33C76" w:rsidRPr="002B1DDA">
        <w:t xml:space="preserve">) or to utilize CFD results in a separate thrombosis model. </w:t>
      </w:r>
    </w:p>
    <w:p w14:paraId="68D26B83" w14:textId="77777777" w:rsidR="00600535" w:rsidRPr="002B1DDA" w:rsidRDefault="00600535" w:rsidP="002015B8">
      <w:pPr>
        <w:pStyle w:val="CETHeading1"/>
        <w:jc w:val="both"/>
        <w:rPr>
          <w:lang w:val="en-GB"/>
        </w:rPr>
      </w:pPr>
      <w:r w:rsidRPr="002B1DDA">
        <w:rPr>
          <w:lang w:val="en-GB"/>
        </w:rPr>
        <w:t>Conclusions</w:t>
      </w:r>
    </w:p>
    <w:p w14:paraId="52DAFDE0" w14:textId="2D5D5A5B" w:rsidR="001D0CFB" w:rsidRDefault="004805CE" w:rsidP="00F874BD">
      <w:pPr>
        <w:pStyle w:val="CETBodytext"/>
        <w:rPr>
          <w:lang w:val="en-GB"/>
        </w:rPr>
      </w:pPr>
      <w:r w:rsidRPr="004C4080">
        <w:rPr>
          <w:lang w:val="en-GB"/>
        </w:rPr>
        <w:t>The h</w:t>
      </w:r>
      <w:r w:rsidR="00B61FC2" w:rsidRPr="004C4080">
        <w:rPr>
          <w:lang w:val="en-GB"/>
        </w:rPr>
        <w:t xml:space="preserve">epatic </w:t>
      </w:r>
      <w:r w:rsidR="00B61FC2" w:rsidRPr="00B61FC2">
        <w:rPr>
          <w:lang w:val="en-GB"/>
        </w:rPr>
        <w:t>artery patc</w:t>
      </w:r>
      <w:r>
        <w:rPr>
          <w:lang w:val="en-GB"/>
        </w:rPr>
        <w:t>h</w:t>
      </w:r>
      <w:r w:rsidR="00B61FC2" w:rsidRPr="00B61FC2">
        <w:rPr>
          <w:lang w:val="en-GB"/>
        </w:rPr>
        <w:t xml:space="preserve"> is applied in the anastomosis of the hepatic artery to minimize complications such as hepatic artery thrombosis</w:t>
      </w:r>
      <w:r w:rsidR="00B61FC2">
        <w:rPr>
          <w:lang w:val="en-GB"/>
        </w:rPr>
        <w:t xml:space="preserve"> during liver transplantation. CFD </w:t>
      </w:r>
      <w:r w:rsidR="00B61FC2" w:rsidRPr="004C4080">
        <w:rPr>
          <w:lang w:val="en-GB"/>
        </w:rPr>
        <w:t xml:space="preserve">simulations have been used to </w:t>
      </w:r>
      <w:r w:rsidRPr="004C4080">
        <w:rPr>
          <w:lang w:val="en-GB"/>
        </w:rPr>
        <w:t>determine</w:t>
      </w:r>
      <w:r w:rsidR="00B61FC2" w:rsidRPr="004C4080">
        <w:rPr>
          <w:lang w:val="en-GB"/>
        </w:rPr>
        <w:t xml:space="preserve"> the wall shear and blood velocity in three different geometries of anastomosis (i.e., Case I-III). </w:t>
      </w:r>
      <w:r w:rsidR="00F874BD" w:rsidRPr="004C4080">
        <w:rPr>
          <w:lang w:val="en-GB"/>
        </w:rPr>
        <w:t xml:space="preserve">Literature findings insist to associate thrombosis and plaque formation with: i) Wall shear stress; ii) Blood velocity. These efforts include blood velocity and wall shear cut-offs (some of them are empirical). The stagnant conditions are decreasing following this order: Case II &gt; Case I &gt; Case III. In all Cases (i.e., I, II, III) there are areas </w:t>
      </w:r>
      <w:r w:rsidRPr="004C4080">
        <w:rPr>
          <w:lang w:val="en-GB"/>
        </w:rPr>
        <w:t>on the</w:t>
      </w:r>
      <w:r w:rsidR="00F874BD" w:rsidRPr="004C4080">
        <w:rPr>
          <w:lang w:val="en-GB"/>
        </w:rPr>
        <w:t xml:space="preserve"> wall of the anastomoses where wall shear </w:t>
      </w:r>
      <w:r w:rsidRPr="004C4080">
        <w:rPr>
          <w:lang w:val="en-GB"/>
        </w:rPr>
        <w:t xml:space="preserve">stress </w:t>
      </w:r>
      <w:r w:rsidR="00F874BD" w:rsidRPr="004C4080">
        <w:rPr>
          <w:lang w:val="en-GB"/>
        </w:rPr>
        <w:t>is ≤1 Pa during the whole simulation (3 pulses). In all Cases (i.e., I, II, III) there are areas</w:t>
      </w:r>
      <w:r w:rsidRPr="004C4080">
        <w:rPr>
          <w:lang w:val="en-GB"/>
        </w:rPr>
        <w:t xml:space="preserve"> on the</w:t>
      </w:r>
      <w:r w:rsidR="00F874BD" w:rsidRPr="004C4080">
        <w:rPr>
          <w:lang w:val="en-GB"/>
        </w:rPr>
        <w:t xml:space="preserve"> wall before and after anastomosis with </w:t>
      </w:r>
      <w:r w:rsidRPr="004C4080">
        <w:rPr>
          <w:lang w:val="en-GB"/>
        </w:rPr>
        <w:t>a wall shear ≥7 Pa at the point of</w:t>
      </w:r>
      <w:r w:rsidR="00F874BD" w:rsidRPr="004C4080">
        <w:rPr>
          <w:lang w:val="en-GB"/>
        </w:rPr>
        <w:t xml:space="preserve"> </w:t>
      </w:r>
      <w:r w:rsidRPr="004C4080">
        <w:rPr>
          <w:lang w:val="en-GB"/>
        </w:rPr>
        <w:t xml:space="preserve">peak </w:t>
      </w:r>
      <w:r w:rsidR="00F874BD" w:rsidRPr="004C4080">
        <w:rPr>
          <w:lang w:val="en-GB"/>
        </w:rPr>
        <w:t xml:space="preserve">blood </w:t>
      </w:r>
      <w:r w:rsidRPr="004C4080">
        <w:rPr>
          <w:lang w:val="en-GB"/>
        </w:rPr>
        <w:t xml:space="preserve">flow </w:t>
      </w:r>
      <w:r w:rsidR="00F874BD" w:rsidRPr="004C4080">
        <w:rPr>
          <w:lang w:val="en-GB"/>
        </w:rPr>
        <w:t xml:space="preserve">velocity. In Case III there is an area after the anastomosis where there is wall shear </w:t>
      </w:r>
      <w:r w:rsidRPr="004C4080">
        <w:rPr>
          <w:lang w:val="en-GB"/>
        </w:rPr>
        <w:t xml:space="preserve">stress </w:t>
      </w:r>
      <w:r w:rsidR="00F874BD" w:rsidRPr="004C4080">
        <w:rPr>
          <w:lang w:val="en-GB"/>
        </w:rPr>
        <w:t xml:space="preserve">≥7 Pa during the whole simulation. Our study may </w:t>
      </w:r>
      <w:r w:rsidR="00F874BD" w:rsidRPr="00983E52">
        <w:rPr>
          <w:lang w:val="en-GB"/>
        </w:rPr>
        <w:t>be beneficial to hepatic artery stenosis</w:t>
      </w:r>
      <w:r w:rsidR="00815AE3" w:rsidRPr="00983E52">
        <w:rPr>
          <w:lang w:val="en-GB"/>
        </w:rPr>
        <w:t>, but more realistic conditions are necessary to be used</w:t>
      </w:r>
      <w:r w:rsidR="001D0CFB" w:rsidRPr="00983E52">
        <w:rPr>
          <w:lang w:val="en-GB"/>
        </w:rPr>
        <w:t>.</w:t>
      </w:r>
      <w:r w:rsidR="00316545" w:rsidRPr="00983E52">
        <w:rPr>
          <w:lang w:val="en-GB"/>
        </w:rPr>
        <w:t xml:space="preserve"> The current results </w:t>
      </w:r>
      <w:r w:rsidR="005C6E8F" w:rsidRPr="00983E52">
        <w:rPr>
          <w:lang w:val="en-GB"/>
        </w:rPr>
        <w:t>are</w:t>
      </w:r>
      <w:r w:rsidR="00316545" w:rsidRPr="00983E52">
        <w:rPr>
          <w:lang w:val="en-GB"/>
        </w:rPr>
        <w:t xml:space="preserve"> one of the first studies to study this effect and could be the basis of more studies to come </w:t>
      </w:r>
      <w:r w:rsidR="005C6E8F" w:rsidRPr="00983E52">
        <w:rPr>
          <w:lang w:val="en-GB"/>
        </w:rPr>
        <w:t>not only by providing guidelines for more precise simulations</w:t>
      </w:r>
      <w:r w:rsidR="00316545" w:rsidRPr="00983E52">
        <w:rPr>
          <w:lang w:val="en-GB"/>
        </w:rPr>
        <w:t xml:space="preserve"> </w:t>
      </w:r>
      <w:r w:rsidR="005C6E8F" w:rsidRPr="00983E52">
        <w:rPr>
          <w:lang w:val="en-GB"/>
        </w:rPr>
        <w:t xml:space="preserve">but also by identifying </w:t>
      </w:r>
      <w:r w:rsidR="00316545" w:rsidRPr="00983E52">
        <w:rPr>
          <w:lang w:val="en-GB"/>
        </w:rPr>
        <w:t>the wors</w:t>
      </w:r>
      <w:r w:rsidR="005C6E8F" w:rsidRPr="00983E52">
        <w:rPr>
          <w:lang w:val="en-GB"/>
        </w:rPr>
        <w:t>e</w:t>
      </w:r>
      <w:r w:rsidR="00316545" w:rsidRPr="00983E52">
        <w:rPr>
          <w:lang w:val="en-GB"/>
        </w:rPr>
        <w:t xml:space="preserve"> cases </w:t>
      </w:r>
      <w:r w:rsidR="005C6E8F" w:rsidRPr="00983E52">
        <w:rPr>
          <w:lang w:val="en-GB"/>
        </w:rPr>
        <w:t>that are likely of high risk for arterial thrombosis</w:t>
      </w:r>
      <w:r w:rsidR="00316545" w:rsidRPr="00983E52">
        <w:rPr>
          <w:lang w:val="en-GB"/>
        </w:rPr>
        <w:t>.</w:t>
      </w:r>
    </w:p>
    <w:p w14:paraId="07A6D20F" w14:textId="0ECF229E" w:rsidR="00280FAF" w:rsidRPr="00280FAF" w:rsidRDefault="00280FAF" w:rsidP="002015B8">
      <w:pPr>
        <w:pStyle w:val="CETHeadingxx"/>
        <w:rPr>
          <w:lang w:val="en-GB"/>
        </w:rPr>
        <w:sectPr w:rsidR="00280FAF" w:rsidRPr="00280FAF" w:rsidSect="00DC73EE">
          <w:type w:val="continuous"/>
          <w:pgSz w:w="11906" w:h="16838" w:code="9"/>
          <w:pgMar w:top="1701" w:right="1418" w:bottom="1701" w:left="1701" w:header="1701" w:footer="0" w:gutter="0"/>
          <w:cols w:space="708"/>
          <w:formProt w:val="0"/>
          <w:titlePg/>
          <w:docGrid w:linePitch="360"/>
        </w:sectPr>
      </w:pPr>
      <w:r>
        <w:t>Nomenclature</w:t>
      </w:r>
    </w:p>
    <w:p w14:paraId="57590CE2" w14:textId="4A2B993F" w:rsidR="00280FAF" w:rsidRPr="00C36053" w:rsidRDefault="00C55DFE" w:rsidP="00280FAF">
      <w:pPr>
        <w:pStyle w:val="CETBodytext"/>
        <w:jc w:val="left"/>
        <w:rPr>
          <w:rFonts w:eastAsia="SimSun"/>
        </w:rPr>
      </w:pPr>
      <w:r w:rsidRPr="00C36053">
        <w:rPr>
          <w:rFonts w:eastAsia="SimSun"/>
          <w:lang w:val="el-GR"/>
        </w:rPr>
        <w:t>ρ</w:t>
      </w:r>
      <w:r w:rsidR="00C36053" w:rsidRPr="00C36053">
        <w:rPr>
          <w:rFonts w:eastAsia="SimSun"/>
          <w:vertAlign w:val="subscript"/>
        </w:rPr>
        <w:t>b</w:t>
      </w:r>
      <w:r w:rsidR="00280FAF" w:rsidRPr="00C36053">
        <w:rPr>
          <w:rFonts w:eastAsia="SimSun"/>
        </w:rPr>
        <w:t xml:space="preserve"> – </w:t>
      </w:r>
      <w:r w:rsidRPr="00C36053">
        <w:rPr>
          <w:rFonts w:eastAsia="SimSun"/>
        </w:rPr>
        <w:t>density of blood</w:t>
      </w:r>
      <w:r w:rsidR="00280FAF" w:rsidRPr="00C36053">
        <w:rPr>
          <w:rFonts w:eastAsia="SimSun"/>
        </w:rPr>
        <w:t xml:space="preserve">, </w:t>
      </w:r>
      <w:r w:rsidRPr="00C36053">
        <w:rPr>
          <w:rFonts w:eastAsia="SimSun"/>
        </w:rPr>
        <w:t>kg/</w:t>
      </w:r>
      <w:r w:rsidR="00280FAF" w:rsidRPr="00C36053">
        <w:rPr>
          <w:rFonts w:eastAsia="SimSun"/>
        </w:rPr>
        <w:t>m</w:t>
      </w:r>
      <w:r w:rsidRPr="00C36053">
        <w:rPr>
          <w:rFonts w:eastAsia="SimSun"/>
          <w:vertAlign w:val="superscript"/>
        </w:rPr>
        <w:t>3</w:t>
      </w:r>
    </w:p>
    <w:p w14:paraId="33D176ED" w14:textId="22CE90E9" w:rsidR="00280FAF" w:rsidRPr="00C36053" w:rsidRDefault="00C55DFE" w:rsidP="00280FAF">
      <w:pPr>
        <w:pStyle w:val="CETBodytext"/>
        <w:jc w:val="left"/>
        <w:rPr>
          <w:rFonts w:eastAsia="SimSun"/>
        </w:rPr>
      </w:pPr>
      <w:r w:rsidRPr="00C36053">
        <w:rPr>
          <w:rFonts w:eastAsia="SimSun"/>
        </w:rPr>
        <w:t>n</w:t>
      </w:r>
      <w:r w:rsidR="00280FAF" w:rsidRPr="00C36053">
        <w:rPr>
          <w:rFonts w:eastAsia="SimSun"/>
        </w:rPr>
        <w:t xml:space="preserve"> – </w:t>
      </w:r>
      <w:r w:rsidR="00C36053" w:rsidRPr="00C36053">
        <w:rPr>
          <w:rFonts w:eastAsia="SimSun"/>
        </w:rPr>
        <w:t>power index</w:t>
      </w:r>
      <w:r w:rsidR="00280FAF" w:rsidRPr="00C36053">
        <w:rPr>
          <w:rFonts w:eastAsia="SimSun"/>
        </w:rPr>
        <w:t xml:space="preserve">, </w:t>
      </w:r>
      <w:r w:rsidRPr="00C36053">
        <w:rPr>
          <w:rFonts w:eastAsia="SimSun"/>
        </w:rPr>
        <w:t>-</w:t>
      </w:r>
    </w:p>
    <w:p w14:paraId="0718B861" w14:textId="6C20CC3B" w:rsidR="00280FAF" w:rsidRPr="00C36053" w:rsidRDefault="00C36053" w:rsidP="00280FAF">
      <w:pPr>
        <w:pStyle w:val="CETBodytext"/>
        <w:jc w:val="left"/>
        <w:rPr>
          <w:rFonts w:eastAsia="SimSun"/>
        </w:rPr>
      </w:pPr>
      <w:r w:rsidRPr="00C36053">
        <w:rPr>
          <w:rFonts w:eastAsia="SimSun"/>
          <w:lang w:val="el-GR"/>
        </w:rPr>
        <w:t>μ</w:t>
      </w:r>
      <w:r w:rsidRPr="00C36053">
        <w:rPr>
          <w:rFonts w:eastAsia="SimSun"/>
          <w:vertAlign w:val="subscript"/>
        </w:rPr>
        <w:t>0</w:t>
      </w:r>
      <w:r w:rsidR="00280FAF" w:rsidRPr="00C36053">
        <w:rPr>
          <w:rFonts w:eastAsia="SimSun"/>
        </w:rPr>
        <w:t xml:space="preserve"> – </w:t>
      </w:r>
      <w:r w:rsidR="00C55DFE" w:rsidRPr="00C36053">
        <w:rPr>
          <w:rFonts w:eastAsia="SimSun"/>
        </w:rPr>
        <w:t>zero shear viscosity</w:t>
      </w:r>
      <w:r w:rsidR="00280FAF" w:rsidRPr="00C36053">
        <w:rPr>
          <w:rFonts w:eastAsia="SimSun"/>
        </w:rPr>
        <w:t xml:space="preserve">, </w:t>
      </w:r>
      <w:r w:rsidRPr="00C36053">
        <w:rPr>
          <w:rFonts w:eastAsia="SimSun"/>
        </w:rPr>
        <w:t>kg/</w:t>
      </w:r>
      <w:r w:rsidR="00280FAF" w:rsidRPr="00C36053">
        <w:rPr>
          <w:rFonts w:eastAsia="SimSun"/>
        </w:rPr>
        <w:t>m</w:t>
      </w:r>
      <w:r w:rsidRPr="00C36053">
        <w:rPr>
          <w:rFonts w:eastAsia="SimSun"/>
        </w:rPr>
        <w:t>-s</w:t>
      </w:r>
    </w:p>
    <w:p w14:paraId="1B9CA67B" w14:textId="2D8B3E14" w:rsidR="00280FAF" w:rsidRPr="00C36053" w:rsidRDefault="00C55DFE" w:rsidP="00280FAF">
      <w:pPr>
        <w:pStyle w:val="CETBodytext"/>
        <w:jc w:val="left"/>
        <w:rPr>
          <w:rFonts w:eastAsia="SimSun"/>
        </w:rPr>
      </w:pPr>
      <w:r w:rsidRPr="00C36053">
        <w:rPr>
          <w:rFonts w:eastAsia="SimSun"/>
        </w:rPr>
        <w:t>RI</w:t>
      </w:r>
      <w:r w:rsidR="00280FAF" w:rsidRPr="00C36053">
        <w:rPr>
          <w:rFonts w:eastAsia="SimSun"/>
        </w:rPr>
        <w:t xml:space="preserve"> – </w:t>
      </w:r>
      <w:r w:rsidRPr="00C36053">
        <w:rPr>
          <w:rFonts w:eastAsia="SimSun"/>
        </w:rPr>
        <w:t>resistive index</w:t>
      </w:r>
      <w:r w:rsidR="00280FAF" w:rsidRPr="00C36053">
        <w:rPr>
          <w:rFonts w:eastAsia="SimSun"/>
        </w:rPr>
        <w:t xml:space="preserve">, </w:t>
      </w:r>
      <w:r w:rsidRPr="00C36053">
        <w:rPr>
          <w:rFonts w:eastAsia="SimSun"/>
        </w:rPr>
        <w:t>-</w:t>
      </w:r>
    </w:p>
    <w:p w14:paraId="24D4E211" w14:textId="17F9B03D" w:rsidR="00280FAF" w:rsidRPr="00C36053" w:rsidRDefault="00C55DFE" w:rsidP="00280FAF">
      <w:pPr>
        <w:pStyle w:val="CETBodytext"/>
        <w:jc w:val="left"/>
        <w:rPr>
          <w:rFonts w:eastAsia="SimSun"/>
        </w:rPr>
      </w:pPr>
      <w:r w:rsidRPr="00C36053">
        <w:rPr>
          <w:rFonts w:eastAsia="SimSun"/>
          <w:lang w:val="el-GR"/>
        </w:rPr>
        <w:t>λ</w:t>
      </w:r>
      <w:r w:rsidRPr="00C36053">
        <w:rPr>
          <w:rFonts w:eastAsia="SimSun"/>
        </w:rPr>
        <w:t xml:space="preserve"> – </w:t>
      </w:r>
      <w:r w:rsidR="00C36053" w:rsidRPr="00C36053">
        <w:rPr>
          <w:rFonts w:eastAsia="SimSun"/>
        </w:rPr>
        <w:t>time constant</w:t>
      </w:r>
      <w:r w:rsidRPr="00C36053">
        <w:rPr>
          <w:rFonts w:eastAsia="SimSun"/>
        </w:rPr>
        <w:t xml:space="preserve">, </w:t>
      </w:r>
      <w:r w:rsidR="00C36053" w:rsidRPr="00C36053">
        <w:rPr>
          <w:rFonts w:eastAsia="SimSun"/>
        </w:rPr>
        <w:t>s</w:t>
      </w:r>
    </w:p>
    <w:p w14:paraId="06C2AEED" w14:textId="360ADCD5" w:rsidR="00C55DFE" w:rsidRPr="00C36053" w:rsidRDefault="00C36053" w:rsidP="00C55DFE">
      <w:pPr>
        <w:pStyle w:val="CETBodytext"/>
        <w:jc w:val="left"/>
        <w:rPr>
          <w:rFonts w:eastAsia="SimSun"/>
        </w:rPr>
      </w:pPr>
      <w:r w:rsidRPr="00C36053">
        <w:rPr>
          <w:rFonts w:eastAsia="SimSun"/>
          <w:lang w:val="el-GR"/>
        </w:rPr>
        <w:t>μ</w:t>
      </w:r>
      <w:r w:rsidR="00C55DFE" w:rsidRPr="00C36053">
        <w:rPr>
          <w:rFonts w:eastAsia="SimSun"/>
        </w:rPr>
        <w:t xml:space="preserve"> –viscosity, </w:t>
      </w:r>
      <w:r w:rsidRPr="00C36053">
        <w:rPr>
          <w:rFonts w:eastAsia="SimSun"/>
        </w:rPr>
        <w:t>kg/m-s</w:t>
      </w:r>
    </w:p>
    <w:p w14:paraId="5E8C0806" w14:textId="58BE0AB0" w:rsidR="00C55DFE" w:rsidRPr="00C36053" w:rsidRDefault="00C36053" w:rsidP="00C55DFE">
      <w:pPr>
        <w:pStyle w:val="CETBodytext"/>
        <w:jc w:val="left"/>
        <w:rPr>
          <w:rFonts w:eastAsia="SimSun"/>
        </w:rPr>
      </w:pPr>
      <w:r w:rsidRPr="00C36053">
        <w:rPr>
          <w:rFonts w:eastAsia="SimSun"/>
          <w:lang w:val="el-GR"/>
        </w:rPr>
        <w:t>μ</w:t>
      </w:r>
      <w:r w:rsidRPr="00C36053">
        <w:rPr>
          <w:rFonts w:eastAsia="SimSun" w:cs="Arial"/>
          <w:vertAlign w:val="subscript"/>
        </w:rPr>
        <w:t>∞</w:t>
      </w:r>
      <w:r w:rsidR="00C55DFE" w:rsidRPr="00C36053">
        <w:rPr>
          <w:rFonts w:eastAsia="SimSun"/>
        </w:rPr>
        <w:t xml:space="preserve"> – infinite shear viscosity, </w:t>
      </w:r>
      <w:r w:rsidRPr="00C36053">
        <w:rPr>
          <w:rFonts w:eastAsia="SimSun"/>
        </w:rPr>
        <w:t>kg/</w:t>
      </w:r>
      <w:r w:rsidR="00C55DFE" w:rsidRPr="00C36053">
        <w:rPr>
          <w:rFonts w:eastAsia="SimSun"/>
        </w:rPr>
        <w:t>m</w:t>
      </w:r>
      <w:r w:rsidRPr="00C36053">
        <w:rPr>
          <w:rFonts w:eastAsia="SimSun"/>
        </w:rPr>
        <w:t>-s</w:t>
      </w:r>
    </w:p>
    <w:p w14:paraId="38BFE636" w14:textId="5F3A18CA" w:rsidR="00280FAF" w:rsidRPr="00E377D0" w:rsidRDefault="00C36053" w:rsidP="00280FAF">
      <w:pPr>
        <w:pStyle w:val="CETBodytext"/>
        <w:jc w:val="left"/>
        <w:rPr>
          <w:rFonts w:eastAsia="SimSun"/>
        </w:rPr>
        <w:sectPr w:rsidR="00280FAF" w:rsidRPr="00E377D0" w:rsidSect="00DC73EE">
          <w:type w:val="continuous"/>
          <w:pgSz w:w="11906" w:h="16838" w:code="9"/>
          <w:pgMar w:top="1701" w:right="1418" w:bottom="1701" w:left="1701" w:header="1701" w:footer="0" w:gutter="0"/>
          <w:cols w:num="2" w:space="708"/>
          <w:formProt w:val="0"/>
          <w:titlePg/>
          <w:docGrid w:linePitch="360"/>
        </w:sectPr>
      </w:pPr>
      <w:r w:rsidRPr="00C36053">
        <w:rPr>
          <w:rFonts w:eastAsia="SimSun"/>
          <w:lang w:val="el-GR"/>
        </w:rPr>
        <w:t>γ</w:t>
      </w:r>
      <w:r w:rsidR="00280FAF" w:rsidRPr="00C36053">
        <w:rPr>
          <w:rFonts w:eastAsia="SimSun"/>
        </w:rPr>
        <w:t xml:space="preserve"> – </w:t>
      </w:r>
      <w:r w:rsidRPr="00C36053">
        <w:rPr>
          <w:rFonts w:eastAsia="SimSun"/>
        </w:rPr>
        <w:t>shear rate</w:t>
      </w:r>
      <w:r w:rsidR="00280FAF" w:rsidRPr="00C36053">
        <w:rPr>
          <w:rFonts w:eastAsia="SimSun"/>
        </w:rPr>
        <w:t xml:space="preserve">, </w:t>
      </w:r>
      <w:r w:rsidRPr="00C36053">
        <w:rPr>
          <w:rFonts w:eastAsia="SimSun"/>
        </w:rPr>
        <w:t>s</w:t>
      </w:r>
      <w:r w:rsidRPr="00C36053">
        <w:rPr>
          <w:rFonts w:eastAsia="SimSun"/>
          <w:vertAlign w:val="superscript"/>
        </w:rPr>
        <w:t>-1</w:t>
      </w:r>
    </w:p>
    <w:p w14:paraId="428B022A" w14:textId="71601EB6" w:rsidR="00E65B91" w:rsidRDefault="00600535" w:rsidP="008A75D9">
      <w:pPr>
        <w:pStyle w:val="CETReference"/>
      </w:pPr>
      <w:r w:rsidRPr="00B57B36">
        <w:t>References</w:t>
      </w:r>
    </w:p>
    <w:p w14:paraId="66B86EFE" w14:textId="050C744D" w:rsidR="00ED56AA" w:rsidRDefault="00ED56AA" w:rsidP="001A4DBC">
      <w:pPr>
        <w:pStyle w:val="CETReferencetext"/>
      </w:pPr>
      <w:r w:rsidRPr="00ED56AA">
        <w:lastRenderedPageBreak/>
        <w:t>Bilir, A., Fazliogullari, Z., Koplay, M., Dogan, N.U. and Karabulut, A.K., 2021. Diameter Measurements and Variations of the Hepatic Arterial System in Multidetector Computed Tomography Images. International Journal of Morphology, 39(3)</w:t>
      </w:r>
    </w:p>
    <w:p w14:paraId="1A8DE90A" w14:textId="185B237B" w:rsidR="00ED56AA" w:rsidRDefault="00ED56AA" w:rsidP="001A4DBC">
      <w:pPr>
        <w:pStyle w:val="CETReferencetext"/>
      </w:pPr>
      <w:r w:rsidRPr="00ED56AA">
        <w:t>Cheng, C., Tempel, D., Van Haperen, R., Van Der Baan, A., Grosveld, F., Daemen, M.J., Krams, R. and De Crom, R., 2006. Atherosclerotic lesion size and vulnerability are determined by patterns of fluid shear stress. Circulation, 113(23), pp.2744-2753</w:t>
      </w:r>
    </w:p>
    <w:p w14:paraId="3C490B32" w14:textId="4101376F" w:rsidR="00F11DB0" w:rsidRDefault="00F11DB0" w:rsidP="001A4DBC">
      <w:pPr>
        <w:pStyle w:val="CETReferencetext"/>
      </w:pPr>
      <w:r w:rsidRPr="00F11DB0">
        <w:t>Cizman, Z. and Saad, W., 2023. Transplant Hepatic Artery Complications. Techniques in Vascular and Interventional Radiology, 26(4), p.100923.</w:t>
      </w:r>
    </w:p>
    <w:p w14:paraId="68D4CA05" w14:textId="085EEA24" w:rsidR="001A4DBC" w:rsidRDefault="001A4DBC" w:rsidP="001A4DBC">
      <w:pPr>
        <w:pStyle w:val="CETReferencetext"/>
      </w:pPr>
      <w:r>
        <w:t>Cohn, S., Stein, J., Koffron, A. and Raofi, V., 2012. Vascular and biliary anastomoses in deceased donor orthotopic liver transplantation. LIVER TRANSPLANTATION–TECHNICAL ISSUES AND COMPLICATIONS, p.97. http://dx.doi.org/10.5772/33305</w:t>
      </w:r>
    </w:p>
    <w:p w14:paraId="3369971E" w14:textId="757C421C" w:rsidR="00ED56AA" w:rsidRDefault="00ED56AA" w:rsidP="001A4DBC">
      <w:pPr>
        <w:pStyle w:val="CETReferencetext"/>
      </w:pPr>
      <w:r w:rsidRPr="00ED56AA">
        <w:t>Iranpour, P., Lall, C., Houshyar, R., Helmy, M., Yang, A., Choi, J.I., Ward, G. and Goodwin, S.C., 2016. Altered Doppler flow patterns in cirrhosis patients: an overview. Ultrasonography, 35(1), p.3.</w:t>
      </w:r>
    </w:p>
    <w:p w14:paraId="27CAAB34" w14:textId="6EF796CA" w:rsidR="008F754A" w:rsidRDefault="001B39EA" w:rsidP="001A4DBC">
      <w:pPr>
        <w:pStyle w:val="CETReferencetext"/>
      </w:pPr>
      <w:r w:rsidRPr="001B39EA">
        <w:t>Karageorgos, F.F., Karakasi, K.E., Vasileiadou, S., Kofinas, A., Antoniadis, N., Katsanos, G. and Tsoulfas, G., 2024. The Evolving Role of Transplant Oncology</w:t>
      </w:r>
      <w:r w:rsidR="008F754A" w:rsidRPr="008F754A">
        <w:t>. In: Interdisciplinary Cancer Research. Springer, Cham.</w:t>
      </w:r>
      <w:r>
        <w:t xml:space="preserve"> </w:t>
      </w:r>
      <w:r w:rsidRPr="001B39EA">
        <w:t>https://doi.org/10.1007/16833_2024_261</w:t>
      </w:r>
    </w:p>
    <w:p w14:paraId="2A101DF0" w14:textId="14589BC6" w:rsidR="00F11DB0" w:rsidRDefault="00F11DB0" w:rsidP="001A4DBC">
      <w:pPr>
        <w:pStyle w:val="CETReferencetext"/>
      </w:pPr>
      <w:r w:rsidRPr="00F11DB0">
        <w:t>Katyal, S., Oliver III, J.H., Buck, D.G. and Federle, M.P., 2000. Detection of vascular complications after liver transplantation: early experience in multislice CT angiography with volume rendering. American Journal of Roentgenology, 175(6), pp.1735-1739</w:t>
      </w:r>
    </w:p>
    <w:p w14:paraId="5165B821" w14:textId="77777777" w:rsidR="001A4DBC" w:rsidRDefault="001A4DBC" w:rsidP="001A4DBC">
      <w:pPr>
        <w:pStyle w:val="CETReferencetext"/>
      </w:pPr>
      <w:r>
        <w:t>Kiparissides, C., Alexopoulos, A.H., Karageorgos, P., Vasileiadou, A. and Bourganis, V., 2018. A Process System Approach to Nose-to-Brain Delivery of Biopharmaceutics. In Computer Aided Chemical Engineering (Vol. 43, pp. 1661-1666). Elsevier. https://doi.org/10.1016/B978-0-444-64235-6.50289-8</w:t>
      </w:r>
    </w:p>
    <w:p w14:paraId="2B906D30" w14:textId="79C490D1" w:rsidR="00F11DB0" w:rsidRDefault="00F11DB0" w:rsidP="001A4DBC">
      <w:pPr>
        <w:pStyle w:val="CETReferencetext"/>
      </w:pPr>
      <w:r w:rsidRPr="00F11DB0">
        <w:t>Makowka, L., Stieber, A.C., Sher, L., Kahn, D., Mieles, L., Bowman, J., Marsh, J.W. and Starzl, T.E., 1988. Surgical technique of orthotopic liver transplantation. Gastroenterology Clinics of North America, 17(1), pp.33-51</w:t>
      </w:r>
    </w:p>
    <w:p w14:paraId="3521C6DE" w14:textId="33496420" w:rsidR="00ED56AA" w:rsidRDefault="00ED56AA" w:rsidP="001A4DBC">
      <w:pPr>
        <w:pStyle w:val="CETReferencetext"/>
      </w:pPr>
      <w:r w:rsidRPr="00ED56AA">
        <w:t>Malek, A.M., Alper, S.L. and Izumo, S., 1999. Hemodynamic shear stress and its role in atherosclerosis. Jama, 282(21), pp.2035-2042</w:t>
      </w:r>
    </w:p>
    <w:p w14:paraId="5742636B" w14:textId="1712DE88" w:rsidR="001A4DBC" w:rsidRDefault="001A4DBC" w:rsidP="001A4DBC">
      <w:pPr>
        <w:pStyle w:val="CETReferencetext"/>
      </w:pPr>
      <w:r>
        <w:t>Papadimitriou, D., Alexopoulos, A.H., Gerasimidis, T. and Kiparissides, C., 2011. Computational investigation of vascular surgical interventions on popliteal artery aneurysms. In Computer Aided Chemical Engineering (Vol. 29, pp. 1515-1519). Elsevier. https://doi.org/10.1016/B978-0-444-54298-4.50082-9</w:t>
      </w:r>
    </w:p>
    <w:p w14:paraId="1434945C" w14:textId="730D1097" w:rsidR="001A4DBC" w:rsidRDefault="001A4DBC" w:rsidP="001A4DBC">
      <w:pPr>
        <w:pStyle w:val="CETReferencetext"/>
      </w:pPr>
      <w:r>
        <w:t>Pareja, E., Cortes, M., Navarro, R., Sanjuan, F., López, R. and Mir, J., 2010, October. Vascular complications after orthotopic liver transplantation: hepatic artery thrombosis. In Transplantation Proceedings (Vol. 42, No. 8, pp. 2970-2972). Elsevier. https://doi.org/10.1016/j.transproceed.2010.07.063</w:t>
      </w:r>
    </w:p>
    <w:p w14:paraId="7C60CD9F" w14:textId="4CAFBC8C" w:rsidR="001A4DBC" w:rsidRDefault="001A4DBC" w:rsidP="001A4DBC">
      <w:pPr>
        <w:pStyle w:val="CETReferencetext"/>
      </w:pPr>
      <w:r>
        <w:t>Raman, R.K., Dewang, Y. and Raghuwanshi, J., 2018. A review on applications of computational fluid dynamics. International Journal of LNCT, 2(6), pp.137-143</w:t>
      </w:r>
    </w:p>
    <w:p w14:paraId="11538E90" w14:textId="25E1A416" w:rsidR="001A4DBC" w:rsidRDefault="001A4DBC" w:rsidP="001A4DBC">
      <w:pPr>
        <w:pStyle w:val="CETReferencetext"/>
      </w:pPr>
      <w:r>
        <w:t>Reorowicz, P., Tyfa, Z., Obidowski, D., Wiśniewski, K., Stefańczyk, L., Jóźwik, K. and Levy, M.L., 2022. Blood flow through the fusiform aneurysm treated with the Flow Diverter stent–Numerical investigations. biocybernetics and biomedical engineering, 42(1), pp.375-390. https://doi.org/10.1016/j.bbe.2022.02.008</w:t>
      </w:r>
    </w:p>
    <w:p w14:paraId="4084E907" w14:textId="2704127D" w:rsidR="00ED56AA" w:rsidRDefault="00ED56AA" w:rsidP="001A4DBC">
      <w:pPr>
        <w:pStyle w:val="CETReferencetext"/>
      </w:pPr>
      <w:r w:rsidRPr="00ED56AA">
        <w:t>Saldarriaga, B., Larrotta, O. and Ballesteros, L., 2023. Morphological characteristics of the left gastric, common hepatic and splenic arteries. A descriptive study in human cadaveric specimens. Revista do Colégio Brasileiro de Cirurgiões, 50, p.e20233403</w:t>
      </w:r>
    </w:p>
    <w:p w14:paraId="13682004" w14:textId="265CAEEF" w:rsidR="00F11DB0" w:rsidRDefault="00F11DB0" w:rsidP="001A4DBC">
      <w:pPr>
        <w:pStyle w:val="CETReferencetext"/>
      </w:pPr>
      <w:r w:rsidRPr="00F11DB0">
        <w:t>Shukla, A., Vadeyar, H., Rela, M. and Shah, S., 2013. Liver transplantation: east versus west. Journal of clinical and experimental hepatology, 3(3), pp.243-253</w:t>
      </w:r>
    </w:p>
    <w:p w14:paraId="3746F857" w14:textId="5241CA78" w:rsidR="00ED56AA" w:rsidRDefault="00ED56AA" w:rsidP="001A4DBC">
      <w:pPr>
        <w:pStyle w:val="CETReferencetext"/>
      </w:pPr>
      <w:r w:rsidRPr="00ED56AA">
        <w:t>Singh, B.G., Bhatt, C.R., Patel, S.V. and Mehta, C.D., 2014. Morphometric study of coeliac trunk specific reference to hepatic artery pattern in the west-indian population. Indian Journal of Surgery, 76, pp.359-362</w:t>
      </w:r>
    </w:p>
    <w:p w14:paraId="0D94DCCA" w14:textId="1A66AB1D" w:rsidR="005A1355" w:rsidRDefault="005A1355" w:rsidP="001A4DBC">
      <w:pPr>
        <w:pStyle w:val="CETReferencetext"/>
      </w:pPr>
      <w:r w:rsidRPr="005A1355">
        <w:t>Terrault, N.A., Francoz, C., Berenguer, M., Charlton, M. and Heimbach, J., 2023. Liver transplantation 2023: status report, current and future challenges. Clinical Gastroenterology and Hepatology, 21(8), pp.2150-2166.</w:t>
      </w:r>
    </w:p>
    <w:p w14:paraId="61F5ED0D" w14:textId="5B10DA58" w:rsidR="00ED56AA" w:rsidRDefault="00ED56AA" w:rsidP="001A4DBC">
      <w:pPr>
        <w:pStyle w:val="CETReferencetext"/>
      </w:pPr>
      <w:r w:rsidRPr="00ED56AA">
        <w:t>Todo, S., Makowka, L., Tzakis, A.G., Marsh Jr, J.W., Karrer, F.M., Armany, M., Miller, C., Tallent, M.B., Esquivel, C.O., Gordon, R.D. and Iwatsuki, S., 1987, February. Hepatic artery in liver transplantation. In Transplantation proceedings (Vol. 19, No. 1 Pt 3, p. 2406). NIH Public Access</w:t>
      </w:r>
    </w:p>
    <w:p w14:paraId="3380E519" w14:textId="45F7E9CF" w:rsidR="002B1DDA" w:rsidRDefault="002B1DDA" w:rsidP="001A4DBC">
      <w:pPr>
        <w:pStyle w:val="CETReferencetext"/>
      </w:pPr>
      <w:bookmarkStart w:id="5" w:name="_Hlk184749548"/>
      <w:r w:rsidRPr="002B1DDA">
        <w:t>Yazdani</w:t>
      </w:r>
      <w:bookmarkEnd w:id="5"/>
      <w:r w:rsidRPr="002B1DDA">
        <w:t>, A., Li, H., Humphrey, J.D. and Karniadakis, G.E., 2017. A general shear-dependent model for thrombus formation. PLoS computational biology, 13(1), p.e1005291.</w:t>
      </w:r>
    </w:p>
    <w:p w14:paraId="7E293857" w14:textId="1319D1A4" w:rsidR="00316545" w:rsidRDefault="00316545" w:rsidP="00316545">
      <w:pPr>
        <w:pStyle w:val="CETReferencetext"/>
      </w:pPr>
      <w:r w:rsidRPr="006244F8">
        <w:t>Zarrinpar, A., Busuttil, R. Liver transplantation: past, present and future. Nat Rev Gastroenterol Hepatol 10, 434–440 (2013).</w:t>
      </w:r>
    </w:p>
    <w:p w14:paraId="69019BE9" w14:textId="15031EFE" w:rsidR="00ED56AA" w:rsidRDefault="00ED56AA" w:rsidP="001A4DBC">
      <w:pPr>
        <w:pStyle w:val="CETReferencetext"/>
      </w:pPr>
      <w:r w:rsidRPr="00ED56AA">
        <w:t>Zhong, J., Smith, C., Walker, P., Sheridan, M., Guthrie, A. and Albazaz, R., 2020. Imaging post liver transplantation part I: vascular complications. Clinical radiology, 75(11), pp.845-853</w:t>
      </w:r>
    </w:p>
    <w:p w14:paraId="4D90EF05" w14:textId="0CE129C5" w:rsidR="001A4DBC" w:rsidRDefault="001A4DBC" w:rsidP="00F11DB0">
      <w:pPr>
        <w:pStyle w:val="CETReferencetext"/>
      </w:pPr>
      <w:r>
        <w:t>Zouggari, L., Bou-said, B., Massi, F., Culla, A. and Millon, A., 2018. The role of biomechanics in the assessment of carotid atherosclerosis severity: a numerical approach. World Journal of Vascular Surgery, 1(1)</w:t>
      </w:r>
    </w:p>
    <w:sectPr w:rsidR="001A4DBC"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3B052" w14:textId="77777777" w:rsidR="00835F7E" w:rsidRDefault="00835F7E" w:rsidP="004F5E36">
      <w:r>
        <w:separator/>
      </w:r>
    </w:p>
  </w:endnote>
  <w:endnote w:type="continuationSeparator" w:id="0">
    <w:p w14:paraId="02A78657" w14:textId="77777777" w:rsidR="00835F7E" w:rsidRDefault="00835F7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6BD17" w14:textId="77777777" w:rsidR="00835F7E" w:rsidRDefault="00835F7E" w:rsidP="004F5E36">
      <w:r>
        <w:separator/>
      </w:r>
    </w:p>
  </w:footnote>
  <w:footnote w:type="continuationSeparator" w:id="0">
    <w:p w14:paraId="4293A9FB" w14:textId="77777777" w:rsidR="00835F7E" w:rsidRDefault="00835F7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B81947"/>
    <w:multiLevelType w:val="hybridMultilevel"/>
    <w:tmpl w:val="D40AFE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3308091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83391114">
    <w:abstractNumId w:val="12"/>
  </w:num>
  <w:num w:numId="2" w16cid:durableId="796023171">
    <w:abstractNumId w:val="8"/>
  </w:num>
  <w:num w:numId="3" w16cid:durableId="616916314">
    <w:abstractNumId w:val="3"/>
  </w:num>
  <w:num w:numId="4" w16cid:durableId="1221555142">
    <w:abstractNumId w:val="2"/>
  </w:num>
  <w:num w:numId="5" w16cid:durableId="554506240">
    <w:abstractNumId w:val="1"/>
  </w:num>
  <w:num w:numId="6" w16cid:durableId="1069966023">
    <w:abstractNumId w:val="0"/>
  </w:num>
  <w:num w:numId="7" w16cid:durableId="528639931">
    <w:abstractNumId w:val="9"/>
  </w:num>
  <w:num w:numId="8" w16cid:durableId="651447131">
    <w:abstractNumId w:val="7"/>
  </w:num>
  <w:num w:numId="9" w16cid:durableId="120659983">
    <w:abstractNumId w:val="6"/>
  </w:num>
  <w:num w:numId="10" w16cid:durableId="11802558">
    <w:abstractNumId w:val="5"/>
  </w:num>
  <w:num w:numId="11" w16cid:durableId="827014422">
    <w:abstractNumId w:val="4"/>
  </w:num>
  <w:num w:numId="12" w16cid:durableId="1072040854">
    <w:abstractNumId w:val="19"/>
  </w:num>
  <w:num w:numId="13" w16cid:durableId="1679624981">
    <w:abstractNumId w:val="14"/>
  </w:num>
  <w:num w:numId="14" w16cid:durableId="292831911">
    <w:abstractNumId w:val="20"/>
  </w:num>
  <w:num w:numId="15" w16cid:durableId="403453555">
    <w:abstractNumId w:val="22"/>
  </w:num>
  <w:num w:numId="16" w16cid:durableId="357777216">
    <w:abstractNumId w:val="21"/>
  </w:num>
  <w:num w:numId="17" w16cid:durableId="1237933136">
    <w:abstractNumId w:val="13"/>
  </w:num>
  <w:num w:numId="18" w16cid:durableId="512190820">
    <w:abstractNumId w:val="14"/>
    <w:lvlOverride w:ilvl="0">
      <w:startOverride w:val="1"/>
    </w:lvlOverride>
  </w:num>
  <w:num w:numId="19" w16cid:durableId="1353651491">
    <w:abstractNumId w:val="18"/>
  </w:num>
  <w:num w:numId="20" w16cid:durableId="1715078252">
    <w:abstractNumId w:val="17"/>
  </w:num>
  <w:num w:numId="21" w16cid:durableId="1536045669">
    <w:abstractNumId w:val="16"/>
  </w:num>
  <w:num w:numId="22" w16cid:durableId="1576356688">
    <w:abstractNumId w:val="15"/>
  </w:num>
  <w:num w:numId="23" w16cid:durableId="229271671">
    <w:abstractNumId w:val="10"/>
  </w:num>
  <w:num w:numId="24" w16cid:durableId="16714444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6FAF"/>
    <w:rsid w:val="000117CB"/>
    <w:rsid w:val="00016CF5"/>
    <w:rsid w:val="0003148D"/>
    <w:rsid w:val="00031EEC"/>
    <w:rsid w:val="00033DD8"/>
    <w:rsid w:val="00037AEA"/>
    <w:rsid w:val="00051566"/>
    <w:rsid w:val="000562A9"/>
    <w:rsid w:val="00062A9A"/>
    <w:rsid w:val="00065058"/>
    <w:rsid w:val="0007676C"/>
    <w:rsid w:val="00082DB7"/>
    <w:rsid w:val="00086C39"/>
    <w:rsid w:val="00090AE3"/>
    <w:rsid w:val="000A03B2"/>
    <w:rsid w:val="000A2FF5"/>
    <w:rsid w:val="000B1EE5"/>
    <w:rsid w:val="000B6498"/>
    <w:rsid w:val="000B6EBB"/>
    <w:rsid w:val="000C74A7"/>
    <w:rsid w:val="000D0268"/>
    <w:rsid w:val="000D34BE"/>
    <w:rsid w:val="000D557C"/>
    <w:rsid w:val="000E0B3C"/>
    <w:rsid w:val="000E102F"/>
    <w:rsid w:val="000E36F1"/>
    <w:rsid w:val="000E3A73"/>
    <w:rsid w:val="000E414A"/>
    <w:rsid w:val="000E75FD"/>
    <w:rsid w:val="000F093C"/>
    <w:rsid w:val="000F3C1B"/>
    <w:rsid w:val="000F787B"/>
    <w:rsid w:val="000F7E1F"/>
    <w:rsid w:val="00100B81"/>
    <w:rsid w:val="00103129"/>
    <w:rsid w:val="0012091F"/>
    <w:rsid w:val="0012262E"/>
    <w:rsid w:val="00123E0E"/>
    <w:rsid w:val="00126BC2"/>
    <w:rsid w:val="001308B6"/>
    <w:rsid w:val="0013121F"/>
    <w:rsid w:val="00131FE6"/>
    <w:rsid w:val="0013263F"/>
    <w:rsid w:val="001331DF"/>
    <w:rsid w:val="00134DE4"/>
    <w:rsid w:val="0014034D"/>
    <w:rsid w:val="00140FE3"/>
    <w:rsid w:val="00144D16"/>
    <w:rsid w:val="00150E59"/>
    <w:rsid w:val="00152DE3"/>
    <w:rsid w:val="00164CF9"/>
    <w:rsid w:val="0016668E"/>
    <w:rsid w:val="001667A6"/>
    <w:rsid w:val="001737CE"/>
    <w:rsid w:val="0018171E"/>
    <w:rsid w:val="00183086"/>
    <w:rsid w:val="00184AD6"/>
    <w:rsid w:val="00187199"/>
    <w:rsid w:val="001A1B08"/>
    <w:rsid w:val="001A4AF7"/>
    <w:rsid w:val="001A4DBC"/>
    <w:rsid w:val="001B0349"/>
    <w:rsid w:val="001B1E93"/>
    <w:rsid w:val="001B39EA"/>
    <w:rsid w:val="001B65C1"/>
    <w:rsid w:val="001C260F"/>
    <w:rsid w:val="001C5C3A"/>
    <w:rsid w:val="001C684B"/>
    <w:rsid w:val="001D0CFB"/>
    <w:rsid w:val="001D21AF"/>
    <w:rsid w:val="001D3D32"/>
    <w:rsid w:val="001D53FC"/>
    <w:rsid w:val="001E500E"/>
    <w:rsid w:val="001F42A5"/>
    <w:rsid w:val="001F7B9D"/>
    <w:rsid w:val="002015B8"/>
    <w:rsid w:val="00201C93"/>
    <w:rsid w:val="00206729"/>
    <w:rsid w:val="002224B4"/>
    <w:rsid w:val="002447EF"/>
    <w:rsid w:val="00251550"/>
    <w:rsid w:val="002578B8"/>
    <w:rsid w:val="0026056C"/>
    <w:rsid w:val="00263B05"/>
    <w:rsid w:val="0026419B"/>
    <w:rsid w:val="0027221A"/>
    <w:rsid w:val="00275B61"/>
    <w:rsid w:val="00280FAF"/>
    <w:rsid w:val="00282656"/>
    <w:rsid w:val="00282CB6"/>
    <w:rsid w:val="0029115D"/>
    <w:rsid w:val="002964DB"/>
    <w:rsid w:val="00296B83"/>
    <w:rsid w:val="002A0FC2"/>
    <w:rsid w:val="002B1DDA"/>
    <w:rsid w:val="002B4015"/>
    <w:rsid w:val="002B78CE"/>
    <w:rsid w:val="002C2FB6"/>
    <w:rsid w:val="002C7218"/>
    <w:rsid w:val="002D79C9"/>
    <w:rsid w:val="002E131F"/>
    <w:rsid w:val="002E5FA7"/>
    <w:rsid w:val="002F0855"/>
    <w:rsid w:val="002F3309"/>
    <w:rsid w:val="003008CE"/>
    <w:rsid w:val="003009B7"/>
    <w:rsid w:val="00300E56"/>
    <w:rsid w:val="0030152C"/>
    <w:rsid w:val="0030469C"/>
    <w:rsid w:val="00304CE8"/>
    <w:rsid w:val="0031286A"/>
    <w:rsid w:val="00316545"/>
    <w:rsid w:val="00321CA6"/>
    <w:rsid w:val="00323763"/>
    <w:rsid w:val="00323C5F"/>
    <w:rsid w:val="00334C09"/>
    <w:rsid w:val="0033773B"/>
    <w:rsid w:val="00356A42"/>
    <w:rsid w:val="00365B23"/>
    <w:rsid w:val="003723D4"/>
    <w:rsid w:val="00377C93"/>
    <w:rsid w:val="00380DE5"/>
    <w:rsid w:val="00381905"/>
    <w:rsid w:val="00384CC8"/>
    <w:rsid w:val="003871FD"/>
    <w:rsid w:val="003A1E30"/>
    <w:rsid w:val="003A2829"/>
    <w:rsid w:val="003A4BE2"/>
    <w:rsid w:val="003A7D1C"/>
    <w:rsid w:val="003B304B"/>
    <w:rsid w:val="003B3146"/>
    <w:rsid w:val="003B49CD"/>
    <w:rsid w:val="003C1B9A"/>
    <w:rsid w:val="003D1E02"/>
    <w:rsid w:val="003E6CC4"/>
    <w:rsid w:val="003F015E"/>
    <w:rsid w:val="00400414"/>
    <w:rsid w:val="004034AB"/>
    <w:rsid w:val="004123CA"/>
    <w:rsid w:val="0041446B"/>
    <w:rsid w:val="00422291"/>
    <w:rsid w:val="00427A53"/>
    <w:rsid w:val="004353C2"/>
    <w:rsid w:val="0044071E"/>
    <w:rsid w:val="0044329C"/>
    <w:rsid w:val="004511D6"/>
    <w:rsid w:val="00453E24"/>
    <w:rsid w:val="00457456"/>
    <w:rsid w:val="004577FE"/>
    <w:rsid w:val="00457B9C"/>
    <w:rsid w:val="0046164A"/>
    <w:rsid w:val="004628D2"/>
    <w:rsid w:val="00462DCD"/>
    <w:rsid w:val="004648AD"/>
    <w:rsid w:val="004703A9"/>
    <w:rsid w:val="0047226D"/>
    <w:rsid w:val="004760DE"/>
    <w:rsid w:val="004763D7"/>
    <w:rsid w:val="004805CE"/>
    <w:rsid w:val="00495ACC"/>
    <w:rsid w:val="00496D98"/>
    <w:rsid w:val="004A004E"/>
    <w:rsid w:val="004A24CF"/>
    <w:rsid w:val="004A432C"/>
    <w:rsid w:val="004B3FF7"/>
    <w:rsid w:val="004C3D1D"/>
    <w:rsid w:val="004C3D84"/>
    <w:rsid w:val="004C4080"/>
    <w:rsid w:val="004C6460"/>
    <w:rsid w:val="004C6C20"/>
    <w:rsid w:val="004C7913"/>
    <w:rsid w:val="004E007A"/>
    <w:rsid w:val="004E4DD6"/>
    <w:rsid w:val="004F5E36"/>
    <w:rsid w:val="00500CFD"/>
    <w:rsid w:val="0050674D"/>
    <w:rsid w:val="00507B47"/>
    <w:rsid w:val="00507BEF"/>
    <w:rsid w:val="00507CC9"/>
    <w:rsid w:val="005119A5"/>
    <w:rsid w:val="00512000"/>
    <w:rsid w:val="005146A7"/>
    <w:rsid w:val="005278B7"/>
    <w:rsid w:val="00532016"/>
    <w:rsid w:val="005346C8"/>
    <w:rsid w:val="00543E7D"/>
    <w:rsid w:val="00547A68"/>
    <w:rsid w:val="005531C9"/>
    <w:rsid w:val="00554879"/>
    <w:rsid w:val="00557F7F"/>
    <w:rsid w:val="00570C43"/>
    <w:rsid w:val="005853CE"/>
    <w:rsid w:val="00586DA8"/>
    <w:rsid w:val="00587B1A"/>
    <w:rsid w:val="00592274"/>
    <w:rsid w:val="005A1355"/>
    <w:rsid w:val="005A2471"/>
    <w:rsid w:val="005B2110"/>
    <w:rsid w:val="005B350B"/>
    <w:rsid w:val="005B61E6"/>
    <w:rsid w:val="005C6E8F"/>
    <w:rsid w:val="005C77E1"/>
    <w:rsid w:val="005C7B31"/>
    <w:rsid w:val="005D5A9D"/>
    <w:rsid w:val="005D5AD7"/>
    <w:rsid w:val="005D668A"/>
    <w:rsid w:val="005D6A2F"/>
    <w:rsid w:val="005E0592"/>
    <w:rsid w:val="005E1821"/>
    <w:rsid w:val="005E1A82"/>
    <w:rsid w:val="005E794C"/>
    <w:rsid w:val="005F0A28"/>
    <w:rsid w:val="005F0E5E"/>
    <w:rsid w:val="005F2F02"/>
    <w:rsid w:val="00600535"/>
    <w:rsid w:val="00610CD6"/>
    <w:rsid w:val="00614E28"/>
    <w:rsid w:val="00620DEE"/>
    <w:rsid w:val="00621F92"/>
    <w:rsid w:val="0062280A"/>
    <w:rsid w:val="006231E1"/>
    <w:rsid w:val="006244F8"/>
    <w:rsid w:val="00625639"/>
    <w:rsid w:val="00626342"/>
    <w:rsid w:val="00631B33"/>
    <w:rsid w:val="0064184D"/>
    <w:rsid w:val="006422CC"/>
    <w:rsid w:val="006437F7"/>
    <w:rsid w:val="00651D18"/>
    <w:rsid w:val="00660E3E"/>
    <w:rsid w:val="00662E74"/>
    <w:rsid w:val="00680C23"/>
    <w:rsid w:val="00683E23"/>
    <w:rsid w:val="00693766"/>
    <w:rsid w:val="006A3281"/>
    <w:rsid w:val="006A4160"/>
    <w:rsid w:val="006A608E"/>
    <w:rsid w:val="006A6DE5"/>
    <w:rsid w:val="006B4888"/>
    <w:rsid w:val="006C260C"/>
    <w:rsid w:val="006C2E45"/>
    <w:rsid w:val="006C359C"/>
    <w:rsid w:val="006C5579"/>
    <w:rsid w:val="006D6E8B"/>
    <w:rsid w:val="006D7209"/>
    <w:rsid w:val="006E3AF1"/>
    <w:rsid w:val="006E737D"/>
    <w:rsid w:val="006E7D27"/>
    <w:rsid w:val="006F1EBA"/>
    <w:rsid w:val="006F5077"/>
    <w:rsid w:val="007018CF"/>
    <w:rsid w:val="00702E5C"/>
    <w:rsid w:val="00707DD1"/>
    <w:rsid w:val="00710892"/>
    <w:rsid w:val="00713973"/>
    <w:rsid w:val="00720A24"/>
    <w:rsid w:val="007254F9"/>
    <w:rsid w:val="00732386"/>
    <w:rsid w:val="0073514D"/>
    <w:rsid w:val="00737054"/>
    <w:rsid w:val="007447F3"/>
    <w:rsid w:val="0075499F"/>
    <w:rsid w:val="007661C8"/>
    <w:rsid w:val="00770352"/>
    <w:rsid w:val="0077098D"/>
    <w:rsid w:val="00785BF9"/>
    <w:rsid w:val="007908B7"/>
    <w:rsid w:val="007931FA"/>
    <w:rsid w:val="007A4861"/>
    <w:rsid w:val="007A757C"/>
    <w:rsid w:val="007A7BBA"/>
    <w:rsid w:val="007B0C50"/>
    <w:rsid w:val="007B11B4"/>
    <w:rsid w:val="007B48F9"/>
    <w:rsid w:val="007C1A43"/>
    <w:rsid w:val="007D0951"/>
    <w:rsid w:val="007D403A"/>
    <w:rsid w:val="007D60A0"/>
    <w:rsid w:val="007D610D"/>
    <w:rsid w:val="007F3D35"/>
    <w:rsid w:val="0080013E"/>
    <w:rsid w:val="00800FD0"/>
    <w:rsid w:val="00801759"/>
    <w:rsid w:val="00813288"/>
    <w:rsid w:val="00815AE3"/>
    <w:rsid w:val="0081605D"/>
    <w:rsid w:val="008168FC"/>
    <w:rsid w:val="00817410"/>
    <w:rsid w:val="00830996"/>
    <w:rsid w:val="008345F1"/>
    <w:rsid w:val="00835F7E"/>
    <w:rsid w:val="008508E3"/>
    <w:rsid w:val="00865B07"/>
    <w:rsid w:val="008667EA"/>
    <w:rsid w:val="0087637F"/>
    <w:rsid w:val="00892AD5"/>
    <w:rsid w:val="0089314B"/>
    <w:rsid w:val="008A0BE5"/>
    <w:rsid w:val="008A1512"/>
    <w:rsid w:val="008A1A18"/>
    <w:rsid w:val="008A2A52"/>
    <w:rsid w:val="008A75D9"/>
    <w:rsid w:val="008D32B9"/>
    <w:rsid w:val="008D433B"/>
    <w:rsid w:val="008D4A16"/>
    <w:rsid w:val="008E5401"/>
    <w:rsid w:val="008E566E"/>
    <w:rsid w:val="008F425D"/>
    <w:rsid w:val="008F754A"/>
    <w:rsid w:val="0090161A"/>
    <w:rsid w:val="00901EB6"/>
    <w:rsid w:val="009041F8"/>
    <w:rsid w:val="00904C62"/>
    <w:rsid w:val="00922BA8"/>
    <w:rsid w:val="00924DAC"/>
    <w:rsid w:val="00927058"/>
    <w:rsid w:val="00930B90"/>
    <w:rsid w:val="00934A47"/>
    <w:rsid w:val="009416F7"/>
    <w:rsid w:val="00942750"/>
    <w:rsid w:val="009450CE"/>
    <w:rsid w:val="009459BB"/>
    <w:rsid w:val="00947179"/>
    <w:rsid w:val="0095164B"/>
    <w:rsid w:val="00954090"/>
    <w:rsid w:val="009573E7"/>
    <w:rsid w:val="00960D81"/>
    <w:rsid w:val="009615A4"/>
    <w:rsid w:val="00963E05"/>
    <w:rsid w:val="00963ECD"/>
    <w:rsid w:val="00964A45"/>
    <w:rsid w:val="00967843"/>
    <w:rsid w:val="00967D54"/>
    <w:rsid w:val="00971028"/>
    <w:rsid w:val="00983E52"/>
    <w:rsid w:val="00993B84"/>
    <w:rsid w:val="00994C6A"/>
    <w:rsid w:val="00996483"/>
    <w:rsid w:val="00996F5A"/>
    <w:rsid w:val="00997DC5"/>
    <w:rsid w:val="009B041A"/>
    <w:rsid w:val="009B27FC"/>
    <w:rsid w:val="009B4E89"/>
    <w:rsid w:val="009B6E57"/>
    <w:rsid w:val="009C37C3"/>
    <w:rsid w:val="009C7C86"/>
    <w:rsid w:val="009D2FF7"/>
    <w:rsid w:val="009D371E"/>
    <w:rsid w:val="009D5E2D"/>
    <w:rsid w:val="009E7884"/>
    <w:rsid w:val="009E788A"/>
    <w:rsid w:val="009F0E08"/>
    <w:rsid w:val="009F4CA9"/>
    <w:rsid w:val="009F5C4F"/>
    <w:rsid w:val="00A079AE"/>
    <w:rsid w:val="00A14CCC"/>
    <w:rsid w:val="00A1763D"/>
    <w:rsid w:val="00A17CEC"/>
    <w:rsid w:val="00A26B7D"/>
    <w:rsid w:val="00A27EF0"/>
    <w:rsid w:val="00A40F2F"/>
    <w:rsid w:val="00A42361"/>
    <w:rsid w:val="00A42AF3"/>
    <w:rsid w:val="00A4471E"/>
    <w:rsid w:val="00A50B20"/>
    <w:rsid w:val="00A51390"/>
    <w:rsid w:val="00A60D13"/>
    <w:rsid w:val="00A7223D"/>
    <w:rsid w:val="00A72745"/>
    <w:rsid w:val="00A76C0A"/>
    <w:rsid w:val="00A76EFC"/>
    <w:rsid w:val="00A87D50"/>
    <w:rsid w:val="00A91010"/>
    <w:rsid w:val="00A96E59"/>
    <w:rsid w:val="00A97F29"/>
    <w:rsid w:val="00AA6A97"/>
    <w:rsid w:val="00AA702E"/>
    <w:rsid w:val="00AA7D26"/>
    <w:rsid w:val="00AB0964"/>
    <w:rsid w:val="00AB5011"/>
    <w:rsid w:val="00AB56D8"/>
    <w:rsid w:val="00AB6BE4"/>
    <w:rsid w:val="00AC1A7D"/>
    <w:rsid w:val="00AC27B3"/>
    <w:rsid w:val="00AC7368"/>
    <w:rsid w:val="00AD16B9"/>
    <w:rsid w:val="00AE377D"/>
    <w:rsid w:val="00AF0EBA"/>
    <w:rsid w:val="00AF2463"/>
    <w:rsid w:val="00B02C8A"/>
    <w:rsid w:val="00B17FBD"/>
    <w:rsid w:val="00B21D19"/>
    <w:rsid w:val="00B315A6"/>
    <w:rsid w:val="00B31813"/>
    <w:rsid w:val="00B33365"/>
    <w:rsid w:val="00B33C76"/>
    <w:rsid w:val="00B41B02"/>
    <w:rsid w:val="00B57B36"/>
    <w:rsid w:val="00B57E6F"/>
    <w:rsid w:val="00B61FC2"/>
    <w:rsid w:val="00B62750"/>
    <w:rsid w:val="00B64349"/>
    <w:rsid w:val="00B72CF1"/>
    <w:rsid w:val="00B75BC2"/>
    <w:rsid w:val="00B8686D"/>
    <w:rsid w:val="00B93F69"/>
    <w:rsid w:val="00BA0532"/>
    <w:rsid w:val="00BA7A35"/>
    <w:rsid w:val="00BB1DDC"/>
    <w:rsid w:val="00BC30C9"/>
    <w:rsid w:val="00BC4CA0"/>
    <w:rsid w:val="00BD077D"/>
    <w:rsid w:val="00BE3E58"/>
    <w:rsid w:val="00BE7919"/>
    <w:rsid w:val="00BF13CE"/>
    <w:rsid w:val="00C01616"/>
    <w:rsid w:val="00C0162B"/>
    <w:rsid w:val="00C068ED"/>
    <w:rsid w:val="00C10F6A"/>
    <w:rsid w:val="00C16E42"/>
    <w:rsid w:val="00C20744"/>
    <w:rsid w:val="00C22E0C"/>
    <w:rsid w:val="00C345B1"/>
    <w:rsid w:val="00C36053"/>
    <w:rsid w:val="00C40142"/>
    <w:rsid w:val="00C52C3C"/>
    <w:rsid w:val="00C55C4E"/>
    <w:rsid w:val="00C55DFE"/>
    <w:rsid w:val="00C56CB4"/>
    <w:rsid w:val="00C57182"/>
    <w:rsid w:val="00C57863"/>
    <w:rsid w:val="00C60AC6"/>
    <w:rsid w:val="00C640AF"/>
    <w:rsid w:val="00C655FD"/>
    <w:rsid w:val="00C65BF9"/>
    <w:rsid w:val="00C66319"/>
    <w:rsid w:val="00C7435B"/>
    <w:rsid w:val="00C75407"/>
    <w:rsid w:val="00C841C6"/>
    <w:rsid w:val="00C870A8"/>
    <w:rsid w:val="00C9091B"/>
    <w:rsid w:val="00C94434"/>
    <w:rsid w:val="00CA0D75"/>
    <w:rsid w:val="00CA1C95"/>
    <w:rsid w:val="00CA5A9C"/>
    <w:rsid w:val="00CB53B6"/>
    <w:rsid w:val="00CB7B2A"/>
    <w:rsid w:val="00CC379E"/>
    <w:rsid w:val="00CC4C20"/>
    <w:rsid w:val="00CD18ED"/>
    <w:rsid w:val="00CD3517"/>
    <w:rsid w:val="00CD3E8E"/>
    <w:rsid w:val="00CD5FE2"/>
    <w:rsid w:val="00CE4679"/>
    <w:rsid w:val="00CE7C68"/>
    <w:rsid w:val="00CF06F4"/>
    <w:rsid w:val="00D02B4C"/>
    <w:rsid w:val="00D040C4"/>
    <w:rsid w:val="00D04F4A"/>
    <w:rsid w:val="00D20AD1"/>
    <w:rsid w:val="00D2582C"/>
    <w:rsid w:val="00D46B7E"/>
    <w:rsid w:val="00D57C84"/>
    <w:rsid w:val="00D6057D"/>
    <w:rsid w:val="00D71640"/>
    <w:rsid w:val="00D73452"/>
    <w:rsid w:val="00D74E2F"/>
    <w:rsid w:val="00D836C5"/>
    <w:rsid w:val="00D84576"/>
    <w:rsid w:val="00D8584A"/>
    <w:rsid w:val="00D85C42"/>
    <w:rsid w:val="00DA1399"/>
    <w:rsid w:val="00DA24C6"/>
    <w:rsid w:val="00DA4D7B"/>
    <w:rsid w:val="00DA6DCD"/>
    <w:rsid w:val="00DB75B5"/>
    <w:rsid w:val="00DC2840"/>
    <w:rsid w:val="00DC73EE"/>
    <w:rsid w:val="00DD271C"/>
    <w:rsid w:val="00DE264A"/>
    <w:rsid w:val="00DF0462"/>
    <w:rsid w:val="00DF5072"/>
    <w:rsid w:val="00DF5DAB"/>
    <w:rsid w:val="00DF6A04"/>
    <w:rsid w:val="00E02D18"/>
    <w:rsid w:val="00E041E7"/>
    <w:rsid w:val="00E16B38"/>
    <w:rsid w:val="00E23CA1"/>
    <w:rsid w:val="00E402F3"/>
    <w:rsid w:val="00E409A8"/>
    <w:rsid w:val="00E50C12"/>
    <w:rsid w:val="00E60551"/>
    <w:rsid w:val="00E652E7"/>
    <w:rsid w:val="00E65B91"/>
    <w:rsid w:val="00E7209D"/>
    <w:rsid w:val="00E72EAD"/>
    <w:rsid w:val="00E77223"/>
    <w:rsid w:val="00E8528B"/>
    <w:rsid w:val="00E85B94"/>
    <w:rsid w:val="00E86C61"/>
    <w:rsid w:val="00E978D0"/>
    <w:rsid w:val="00EA4613"/>
    <w:rsid w:val="00EA4E82"/>
    <w:rsid w:val="00EA7F91"/>
    <w:rsid w:val="00EB1523"/>
    <w:rsid w:val="00EB69FE"/>
    <w:rsid w:val="00EC0DD9"/>
    <w:rsid w:val="00EC0E49"/>
    <w:rsid w:val="00EC101F"/>
    <w:rsid w:val="00EC1D9F"/>
    <w:rsid w:val="00EC1E22"/>
    <w:rsid w:val="00EC74D6"/>
    <w:rsid w:val="00ED56AA"/>
    <w:rsid w:val="00ED7E14"/>
    <w:rsid w:val="00EE0131"/>
    <w:rsid w:val="00EE17B0"/>
    <w:rsid w:val="00EF06D9"/>
    <w:rsid w:val="00F01F23"/>
    <w:rsid w:val="00F01F62"/>
    <w:rsid w:val="00F11DB0"/>
    <w:rsid w:val="00F151A2"/>
    <w:rsid w:val="00F236AC"/>
    <w:rsid w:val="00F3049E"/>
    <w:rsid w:val="00F30C64"/>
    <w:rsid w:val="00F31E63"/>
    <w:rsid w:val="00F32BA2"/>
    <w:rsid w:val="00F32C92"/>
    <w:rsid w:val="00F32CDB"/>
    <w:rsid w:val="00F41EE4"/>
    <w:rsid w:val="00F523BA"/>
    <w:rsid w:val="00F565FE"/>
    <w:rsid w:val="00F60E29"/>
    <w:rsid w:val="00F61EB8"/>
    <w:rsid w:val="00F63A70"/>
    <w:rsid w:val="00F63D8C"/>
    <w:rsid w:val="00F679F5"/>
    <w:rsid w:val="00F7534E"/>
    <w:rsid w:val="00F874BD"/>
    <w:rsid w:val="00F91439"/>
    <w:rsid w:val="00F93EDF"/>
    <w:rsid w:val="00F9464C"/>
    <w:rsid w:val="00F961B5"/>
    <w:rsid w:val="00FA1802"/>
    <w:rsid w:val="00FA21D0"/>
    <w:rsid w:val="00FA5F5F"/>
    <w:rsid w:val="00FA7CA5"/>
    <w:rsid w:val="00FB490D"/>
    <w:rsid w:val="00FB7108"/>
    <w:rsid w:val="00FB730C"/>
    <w:rsid w:val="00FC2695"/>
    <w:rsid w:val="00FC3E03"/>
    <w:rsid w:val="00FC3FC1"/>
    <w:rsid w:val="00FD0851"/>
    <w:rsid w:val="00FD38E2"/>
    <w:rsid w:val="00FD6A6B"/>
    <w:rsid w:val="00FD7723"/>
    <w:rsid w:val="00FE644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015B8"/>
    <w:pPr>
      <w:keepNext/>
      <w:numPr>
        <w:ilvl w:val="2"/>
        <w:numId w:val="1"/>
      </w:numPr>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015B8"/>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customStyle="1" w:styleId="1">
    <w:name w:val="Ανεπίλυτη αναφορά1"/>
    <w:basedOn w:val="DefaultParagraphFont"/>
    <w:uiPriority w:val="99"/>
    <w:semiHidden/>
    <w:unhideWhenUsed/>
    <w:rsid w:val="00F11DB0"/>
    <w:rPr>
      <w:color w:val="605E5C"/>
      <w:shd w:val="clear" w:color="auto" w:fill="E1DFDD"/>
    </w:rPr>
  </w:style>
  <w:style w:type="character" w:styleId="PlaceholderText">
    <w:name w:val="Placeholder Text"/>
    <w:basedOn w:val="DefaultParagraphFont"/>
    <w:uiPriority w:val="99"/>
    <w:semiHidden/>
    <w:rsid w:val="0081605D"/>
    <w:rPr>
      <w:color w:val="666666"/>
    </w:rPr>
  </w:style>
  <w:style w:type="character" w:customStyle="1" w:styleId="UnresolvedMention1">
    <w:name w:val="Unresolved Mention1"/>
    <w:basedOn w:val="DefaultParagraphFont"/>
    <w:uiPriority w:val="99"/>
    <w:semiHidden/>
    <w:unhideWhenUsed/>
    <w:rsid w:val="00587B1A"/>
    <w:rPr>
      <w:color w:val="605E5C"/>
      <w:shd w:val="clear" w:color="auto" w:fill="E1DFDD"/>
    </w:rPr>
  </w:style>
  <w:style w:type="paragraph" w:styleId="Revision">
    <w:name w:val="Revision"/>
    <w:hidden/>
    <w:uiPriority w:val="99"/>
    <w:semiHidden/>
    <w:rsid w:val="00FD772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0483">
      <w:bodyDiv w:val="1"/>
      <w:marLeft w:val="0"/>
      <w:marRight w:val="0"/>
      <w:marTop w:val="0"/>
      <w:marBottom w:val="0"/>
      <w:divBdr>
        <w:top w:val="none" w:sz="0" w:space="0" w:color="auto"/>
        <w:left w:val="none" w:sz="0" w:space="0" w:color="auto"/>
        <w:bottom w:val="none" w:sz="0" w:space="0" w:color="auto"/>
        <w:right w:val="none" w:sz="0" w:space="0" w:color="auto"/>
      </w:divBdr>
    </w:div>
    <w:div w:id="46732320">
      <w:bodyDiv w:val="1"/>
      <w:marLeft w:val="0"/>
      <w:marRight w:val="0"/>
      <w:marTop w:val="0"/>
      <w:marBottom w:val="0"/>
      <w:divBdr>
        <w:top w:val="none" w:sz="0" w:space="0" w:color="auto"/>
        <w:left w:val="none" w:sz="0" w:space="0" w:color="auto"/>
        <w:bottom w:val="none" w:sz="0" w:space="0" w:color="auto"/>
        <w:right w:val="none" w:sz="0" w:space="0" w:color="auto"/>
      </w:divBdr>
      <w:divsChild>
        <w:div w:id="306085153">
          <w:marLeft w:val="446"/>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6882">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027709289">
      <w:bodyDiv w:val="1"/>
      <w:marLeft w:val="0"/>
      <w:marRight w:val="0"/>
      <w:marTop w:val="0"/>
      <w:marBottom w:val="0"/>
      <w:divBdr>
        <w:top w:val="none" w:sz="0" w:space="0" w:color="auto"/>
        <w:left w:val="none" w:sz="0" w:space="0" w:color="auto"/>
        <w:bottom w:val="none" w:sz="0" w:space="0" w:color="auto"/>
        <w:right w:val="none" w:sz="0" w:space="0" w:color="auto"/>
      </w:divBdr>
      <w:divsChild>
        <w:div w:id="283923946">
          <w:marLeft w:val="446"/>
          <w:marRight w:val="0"/>
          <w:marTop w:val="0"/>
          <w:marBottom w:val="0"/>
          <w:divBdr>
            <w:top w:val="none" w:sz="0" w:space="0" w:color="auto"/>
            <w:left w:val="none" w:sz="0" w:space="0" w:color="auto"/>
            <w:bottom w:val="none" w:sz="0" w:space="0" w:color="auto"/>
            <w:right w:val="none" w:sz="0" w:space="0" w:color="auto"/>
          </w:divBdr>
        </w:div>
        <w:div w:id="748231520">
          <w:marLeft w:val="446"/>
          <w:marRight w:val="0"/>
          <w:marTop w:val="0"/>
          <w:marBottom w:val="0"/>
          <w:divBdr>
            <w:top w:val="none" w:sz="0" w:space="0" w:color="auto"/>
            <w:left w:val="none" w:sz="0" w:space="0" w:color="auto"/>
            <w:bottom w:val="none" w:sz="0" w:space="0" w:color="auto"/>
            <w:right w:val="none" w:sz="0" w:space="0" w:color="auto"/>
          </w:divBdr>
        </w:div>
        <w:div w:id="378091320">
          <w:marLeft w:val="446"/>
          <w:marRight w:val="0"/>
          <w:marTop w:val="0"/>
          <w:marBottom w:val="0"/>
          <w:divBdr>
            <w:top w:val="none" w:sz="0" w:space="0" w:color="auto"/>
            <w:left w:val="none" w:sz="0" w:space="0" w:color="auto"/>
            <w:bottom w:val="none" w:sz="0" w:space="0" w:color="auto"/>
            <w:right w:val="none" w:sz="0" w:space="0" w:color="auto"/>
          </w:divBdr>
        </w:div>
        <w:div w:id="128326439">
          <w:marLeft w:val="446"/>
          <w:marRight w:val="0"/>
          <w:marTop w:val="0"/>
          <w:marBottom w:val="0"/>
          <w:divBdr>
            <w:top w:val="none" w:sz="0" w:space="0" w:color="auto"/>
            <w:left w:val="none" w:sz="0" w:space="0" w:color="auto"/>
            <w:bottom w:val="none" w:sz="0" w:space="0" w:color="auto"/>
            <w:right w:val="none" w:sz="0" w:space="0" w:color="auto"/>
          </w:divBdr>
        </w:div>
        <w:div w:id="2000495367">
          <w:marLeft w:val="446"/>
          <w:marRight w:val="0"/>
          <w:marTop w:val="0"/>
          <w:marBottom w:val="0"/>
          <w:divBdr>
            <w:top w:val="none" w:sz="0" w:space="0" w:color="auto"/>
            <w:left w:val="none" w:sz="0" w:space="0" w:color="auto"/>
            <w:bottom w:val="none" w:sz="0" w:space="0" w:color="auto"/>
            <w:right w:val="none" w:sz="0" w:space="0" w:color="auto"/>
          </w:divBdr>
        </w:div>
        <w:div w:id="1165361914">
          <w:marLeft w:val="446"/>
          <w:marRight w:val="0"/>
          <w:marTop w:val="0"/>
          <w:marBottom w:val="0"/>
          <w:divBdr>
            <w:top w:val="none" w:sz="0" w:space="0" w:color="auto"/>
            <w:left w:val="none" w:sz="0" w:space="0" w:color="auto"/>
            <w:bottom w:val="none" w:sz="0" w:space="0" w:color="auto"/>
            <w:right w:val="none" w:sz="0" w:space="0" w:color="auto"/>
          </w:divBdr>
        </w:div>
        <w:div w:id="474029314">
          <w:marLeft w:val="446"/>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E6A14-113F-4FCB-9470-FC08F2339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6</Pages>
  <Words>3310</Words>
  <Characters>18868</Characters>
  <Application>Microsoft Office Word</Application>
  <DocSecurity>0</DocSecurity>
  <Lines>157</Lines>
  <Paragraphs>44</Paragraphs>
  <ScaleCrop>false</ScaleCrop>
  <HeadingPairs>
    <vt:vector size="6" baseType="variant">
      <vt:variant>
        <vt:lpstr>Title</vt:lpstr>
      </vt:variant>
      <vt:variant>
        <vt:i4>1</vt:i4>
      </vt:variant>
      <vt:variant>
        <vt:lpstr>Τίτλος</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Filippos Karageorgos</cp:lastModifiedBy>
  <cp:revision>18</cp:revision>
  <cp:lastPrinted>2015-05-12T18:31:00Z</cp:lastPrinted>
  <dcterms:created xsi:type="dcterms:W3CDTF">2025-01-09T12:46:00Z</dcterms:created>
  <dcterms:modified xsi:type="dcterms:W3CDTF">2025-04-29T04:38:00Z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