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19D7222A" w14:textId="77777777" w:rsidTr="0098421F">
        <w:trPr>
          <w:trHeight w:val="852"/>
          <w:jc w:val="center"/>
        </w:trPr>
        <w:tc>
          <w:tcPr>
            <w:tcW w:w="6940" w:type="dxa"/>
            <w:vMerge w:val="restart"/>
            <w:tcBorders>
              <w:right w:val="single" w:sz="4" w:space="0" w:color="auto"/>
            </w:tcBorders>
          </w:tcPr>
          <w:p w14:paraId="57E3C6EC"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pt-BR" w:eastAsia="pt-BR"/>
              </w:rPr>
              <w:drawing>
                <wp:inline distT="0" distB="0" distL="0" distR="0" wp14:anchorId="583F6024" wp14:editId="12583446">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cs="Arial"/>
                <w:b/>
                <w:bCs/>
                <w:i/>
                <w:iCs/>
                <w:color w:val="000066"/>
                <w:sz w:val="24"/>
                <w:szCs w:val="24"/>
                <w:lang w:eastAsia="it-IT"/>
              </w:rPr>
              <w:t>CHEMICAL ENGINEERING</w:t>
            </w:r>
            <w:r w:rsidRPr="00B57B36">
              <w:rPr>
                <w:rFonts w:cs="Arial"/>
                <w:b/>
                <w:bCs/>
                <w:i/>
                <w:iCs/>
                <w:color w:val="666666"/>
                <w:sz w:val="24"/>
                <w:szCs w:val="24"/>
                <w:lang w:eastAsia="it-IT"/>
              </w:rPr>
              <w:t>TRANSACTIONS</w:t>
            </w:r>
            <w:r w:rsidRPr="00B57B36">
              <w:rPr>
                <w:rFonts w:cs="Arial"/>
                <w:b/>
                <w:bCs/>
                <w:i/>
                <w:iCs/>
                <w:color w:val="000066"/>
                <w:sz w:val="27"/>
                <w:szCs w:val="27"/>
                <w:lang w:eastAsia="it-IT"/>
              </w:rPr>
              <w:br/>
            </w:r>
          </w:p>
          <w:p w14:paraId="5853384E" w14:textId="77777777"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0BA3E9BF"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2A4AFCF6" w14:textId="77777777" w:rsidR="000A03B2" w:rsidRPr="00B57B36" w:rsidRDefault="000A03B2" w:rsidP="00CD5FE2">
            <w:pPr>
              <w:jc w:val="right"/>
            </w:pPr>
            <w:r w:rsidRPr="00B57B36">
              <w:rPr>
                <w:noProof/>
                <w:lang w:val="pt-BR" w:eastAsia="pt-BR"/>
              </w:rPr>
              <w:drawing>
                <wp:inline distT="0" distB="0" distL="0" distR="0" wp14:anchorId="5CDA2A2F" wp14:editId="3891353A">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49DCD755" w14:textId="77777777" w:rsidTr="0098421F">
        <w:trPr>
          <w:trHeight w:val="567"/>
          <w:jc w:val="center"/>
        </w:trPr>
        <w:tc>
          <w:tcPr>
            <w:tcW w:w="6940" w:type="dxa"/>
            <w:vMerge/>
            <w:tcBorders>
              <w:right w:val="single" w:sz="4" w:space="0" w:color="auto"/>
            </w:tcBorders>
          </w:tcPr>
          <w:p w14:paraId="6D4672F5"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2B508B4"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361BCA37"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63297E3D" w14:textId="77777777"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1F85E3EB" w14:textId="77777777" w:rsidTr="0098421F">
        <w:trPr>
          <w:trHeight w:val="68"/>
          <w:jc w:val="center"/>
        </w:trPr>
        <w:tc>
          <w:tcPr>
            <w:tcW w:w="8782" w:type="dxa"/>
            <w:gridSpan w:val="2"/>
          </w:tcPr>
          <w:p w14:paraId="383DA44E" w14:textId="77777777"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7D610D" w:rsidRPr="007D610D">
              <w:rPr>
                <w:rFonts w:ascii="Tahoma" w:hAnsi="Tahoma" w:cs="Tahoma"/>
                <w:color w:val="000000"/>
                <w:sz w:val="14"/>
                <w:szCs w:val="14"/>
                <w:shd w:val="clear" w:color="auto" w:fill="FFFFFF"/>
                <w:lang w:val="it-IT"/>
              </w:rPr>
              <w:t>Gabriele Pannocchia, Almerinda di Benedetto</w:t>
            </w:r>
          </w:p>
          <w:p w14:paraId="2FD528AB" w14:textId="77777777"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proofErr w:type="gramStart"/>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b/>
                <w:iCs/>
                <w:color w:val="333333"/>
                <w:sz w:val="14"/>
                <w:szCs w:val="14"/>
                <w:lang w:eastAsia="it-IT"/>
              </w:rPr>
              <w:t>ISSN</w:t>
            </w:r>
            <w:proofErr w:type="gramEnd"/>
            <w:r w:rsidRPr="00B57B36">
              <w:rPr>
                <w:rFonts w:ascii="Tahoma" w:hAnsi="Tahoma" w:cs="Tahoma"/>
                <w:iCs/>
                <w:color w:val="333333"/>
                <w:sz w:val="14"/>
                <w:szCs w:val="14"/>
                <w:lang w:eastAsia="it-IT"/>
              </w:rPr>
              <w:t xml:space="preserve"> 2283-9216</w:t>
            </w:r>
          </w:p>
        </w:tc>
      </w:tr>
    </w:tbl>
    <w:bookmarkEnd w:id="0"/>
    <w:p w14:paraId="6E855FE5" w14:textId="77777777" w:rsidR="00E978D0" w:rsidRPr="00B57B36" w:rsidRDefault="0098421F" w:rsidP="00E978D0">
      <w:pPr>
        <w:pStyle w:val="CETTitle"/>
      </w:pPr>
      <w:r w:rsidRPr="0098421F">
        <w:t>CO</w:t>
      </w:r>
      <w:r w:rsidRPr="0098421F">
        <w:rPr>
          <w:vertAlign w:val="subscript"/>
        </w:rPr>
        <w:t>2</w:t>
      </w:r>
      <w:r w:rsidRPr="0098421F">
        <w:t xml:space="preserve"> Methanation: Thermodynamic Simulations for Enhanced Methane Production and Hydrogen Source Evaluation</w:t>
      </w:r>
    </w:p>
    <w:p w14:paraId="0DBCD6DF" w14:textId="77777777" w:rsidR="00B57E6F" w:rsidRPr="0098421F" w:rsidRDefault="0098421F" w:rsidP="00B57E6F">
      <w:pPr>
        <w:pStyle w:val="CETAuthors"/>
        <w:rPr>
          <w:lang w:val="pt-BR"/>
        </w:rPr>
      </w:pPr>
      <w:r w:rsidRPr="0098421F">
        <w:rPr>
          <w:lang w:val="pt-BR"/>
        </w:rPr>
        <w:t>Bruna Gava Floriam</w:t>
      </w:r>
      <w:r>
        <w:rPr>
          <w:vertAlign w:val="superscript"/>
          <w:lang w:val="pt-BR"/>
        </w:rPr>
        <w:t>*</w:t>
      </w:r>
      <w:r w:rsidR="00B57E6F" w:rsidRPr="0098421F">
        <w:rPr>
          <w:lang w:val="pt-BR"/>
        </w:rPr>
        <w:t xml:space="preserve">, </w:t>
      </w:r>
      <w:r w:rsidRPr="0098421F">
        <w:rPr>
          <w:lang w:val="pt-BR"/>
        </w:rPr>
        <w:t>Letícia M. S. Barros</w:t>
      </w:r>
      <w:r w:rsidR="00B57E6F" w:rsidRPr="0098421F">
        <w:rPr>
          <w:lang w:val="pt-BR"/>
        </w:rPr>
        <w:t>,</w:t>
      </w:r>
      <w:r>
        <w:rPr>
          <w:lang w:val="pt-BR"/>
        </w:rPr>
        <w:t xml:space="preserve"> Aulus R. R. Bineli, Rubens Maciel Filho</w:t>
      </w:r>
    </w:p>
    <w:p w14:paraId="208BD419" w14:textId="77777777" w:rsidR="00B57E6F" w:rsidRPr="0098421F" w:rsidRDefault="0098421F" w:rsidP="00B57E6F">
      <w:pPr>
        <w:pStyle w:val="CETAddress"/>
        <w:rPr>
          <w:lang w:val="pt-BR"/>
        </w:rPr>
      </w:pPr>
      <w:r>
        <w:t xml:space="preserve">VALPET, </w:t>
      </w:r>
      <w:r w:rsidRPr="003D2E60">
        <w:t>Sch</w:t>
      </w:r>
      <w:r>
        <w:t>o</w:t>
      </w:r>
      <w:r w:rsidRPr="003D2E60">
        <w:t xml:space="preserve">ol of Chemical Engineering, Universidade Estadual de Campinas. </w:t>
      </w:r>
      <w:r w:rsidRPr="003D2E60">
        <w:rPr>
          <w:lang w:val="pt-BR"/>
        </w:rPr>
        <w:t>R. Josiah Willard Gibbs, s/n, Cidade Universitária, Campinas, SP, Zip code 13417-780, Brazil</w:t>
      </w:r>
    </w:p>
    <w:p w14:paraId="2F548791" w14:textId="77777777" w:rsidR="00B57E6F" w:rsidRPr="0098421F" w:rsidRDefault="0098421F" w:rsidP="00B57E6F">
      <w:pPr>
        <w:pStyle w:val="CETemail"/>
        <w:rPr>
          <w:lang w:val="pt-BR"/>
        </w:rPr>
      </w:pPr>
      <w:r w:rsidRPr="0098421F">
        <w:rPr>
          <w:lang w:val="pt-BR"/>
        </w:rPr>
        <w:t>brunna.gfl@gmail.com, b219361@dac.unicamp.br</w:t>
      </w:r>
    </w:p>
    <w:p w14:paraId="58E1A043" w14:textId="77777777" w:rsidR="00917A4D" w:rsidRDefault="0022207D" w:rsidP="001B193B">
      <w:pPr>
        <w:pStyle w:val="CETBodytext"/>
      </w:pPr>
      <w:r>
        <w:t>C</w:t>
      </w:r>
      <w:r w:rsidRPr="0022207D">
        <w:t>arbon dioxide (CO</w:t>
      </w:r>
      <w:r w:rsidRPr="005815A6">
        <w:rPr>
          <w:vertAlign w:val="subscript"/>
        </w:rPr>
        <w:t>2</w:t>
      </w:r>
      <w:r w:rsidRPr="0022207D">
        <w:t xml:space="preserve">) methanation has emerged as a powerful tool, </w:t>
      </w:r>
      <w:r w:rsidR="00EA1530">
        <w:t>allowing</w:t>
      </w:r>
      <w:r w:rsidRPr="0022207D">
        <w:t xml:space="preserve"> CO</w:t>
      </w:r>
      <w:r w:rsidRPr="005815A6">
        <w:rPr>
          <w:vertAlign w:val="subscript"/>
        </w:rPr>
        <w:t>2</w:t>
      </w:r>
      <w:r w:rsidRPr="0022207D">
        <w:t xml:space="preserve">-rich </w:t>
      </w:r>
      <w:r w:rsidR="0081253D">
        <w:t xml:space="preserve">gas </w:t>
      </w:r>
      <w:r w:rsidR="00D12D42">
        <w:t>utilization</w:t>
      </w:r>
      <w:r w:rsidRPr="0022207D">
        <w:t xml:space="preserve"> to generate value-added products, such as methane (CH</w:t>
      </w:r>
      <w:r w:rsidRPr="005815A6">
        <w:rPr>
          <w:vertAlign w:val="subscript"/>
        </w:rPr>
        <w:t>4</w:t>
      </w:r>
      <w:r w:rsidRPr="0022207D">
        <w:t xml:space="preserve">), which can be used as </w:t>
      </w:r>
      <w:r w:rsidR="00E44C06">
        <w:t xml:space="preserve">a </w:t>
      </w:r>
      <w:r w:rsidRPr="0022207D">
        <w:t>fuel</w:t>
      </w:r>
      <w:r w:rsidR="001712B6">
        <w:t xml:space="preserve"> and chemicals</w:t>
      </w:r>
      <w:r w:rsidRPr="0022207D">
        <w:t xml:space="preserve">. </w:t>
      </w:r>
      <w:r w:rsidR="001B193B">
        <w:t xml:space="preserve">This process helps </w:t>
      </w:r>
      <w:r w:rsidR="00C8715A">
        <w:t xml:space="preserve">to </w:t>
      </w:r>
      <w:r w:rsidR="001B193B">
        <w:t xml:space="preserve">recycle gases that would otherwise be released into the atmosphere, contributing to climate change mitigation. </w:t>
      </w:r>
      <w:r w:rsidR="00E3664D">
        <w:t>However, a</w:t>
      </w:r>
      <w:r w:rsidR="001B193B">
        <w:t xml:space="preserve"> key challenge is ensuring that methanation is thermodynamically favorable and operates under optimal conditions. </w:t>
      </w:r>
      <w:r w:rsidR="002979DB">
        <w:t>In this sense, t</w:t>
      </w:r>
      <w:r w:rsidR="001B193B">
        <w:t>h</w:t>
      </w:r>
      <w:r w:rsidR="0081253D">
        <w:t xml:space="preserve">e </w:t>
      </w:r>
      <w:r w:rsidR="0032754A">
        <w:t>present study</w:t>
      </w:r>
      <w:r w:rsidR="001B193B">
        <w:t xml:space="preserve"> employs thermodynamic simulations to identify the best operating parameters, such as temperature, pressure, and </w:t>
      </w:r>
      <w:proofErr w:type="gramStart"/>
      <w:r w:rsidR="001B193B">
        <w:t>feed</w:t>
      </w:r>
      <w:proofErr w:type="gramEnd"/>
      <w:r w:rsidR="001B193B">
        <w:t xml:space="preserve"> composition. The findings indicate that the ideal temperature for methanation is around 573 K, </w:t>
      </w:r>
      <w:r w:rsidR="00D919C0">
        <w:t xml:space="preserve">which significantly </w:t>
      </w:r>
      <w:r w:rsidR="00704389">
        <w:t xml:space="preserve">improves </w:t>
      </w:r>
      <w:r w:rsidR="006726D1">
        <w:t>CH</w:t>
      </w:r>
      <w:r w:rsidR="006726D1" w:rsidRPr="004255C9">
        <w:rPr>
          <w:vertAlign w:val="subscript"/>
        </w:rPr>
        <w:t>4</w:t>
      </w:r>
      <w:r w:rsidR="001B193B">
        <w:t xml:space="preserve"> yield and CO</w:t>
      </w:r>
      <w:r w:rsidR="001B193B" w:rsidRPr="001B193B">
        <w:rPr>
          <w:vertAlign w:val="subscript"/>
        </w:rPr>
        <w:t>2</w:t>
      </w:r>
      <w:r w:rsidR="001B193B">
        <w:t xml:space="preserve"> conversion efficiency. The optimal feed composition has a molar ratio of CO</w:t>
      </w:r>
      <w:r w:rsidR="001B193B" w:rsidRPr="001B193B">
        <w:rPr>
          <w:vertAlign w:val="subscript"/>
        </w:rPr>
        <w:t>2</w:t>
      </w:r>
      <w:r w:rsidR="001B193B">
        <w:t xml:space="preserve"> to hydrogen of 1:4, which meets the reaction's stoichiometric requirements. A comparison of hydrogen sources reveals that while </w:t>
      </w:r>
      <w:r w:rsidR="00C72022">
        <w:t xml:space="preserve">ethanol </w:t>
      </w:r>
      <w:r w:rsidR="001B193B">
        <w:t xml:space="preserve">steam reforming is </w:t>
      </w:r>
      <w:r w:rsidR="00BA3F74">
        <w:t>energetically feasible</w:t>
      </w:r>
      <w:r w:rsidR="001B193B">
        <w:t xml:space="preserve">, </w:t>
      </w:r>
      <w:r w:rsidR="008F1869">
        <w:t xml:space="preserve">water </w:t>
      </w:r>
      <w:r w:rsidR="001B193B">
        <w:t>electrolysis offers higher CO</w:t>
      </w:r>
      <w:r w:rsidR="001B193B" w:rsidRPr="001B193B">
        <w:rPr>
          <w:vertAlign w:val="subscript"/>
        </w:rPr>
        <w:t>2</w:t>
      </w:r>
      <w:r w:rsidR="001B193B">
        <w:t xml:space="preserve"> conversion, though at </w:t>
      </w:r>
      <w:r w:rsidR="00436BB3">
        <w:t xml:space="preserve">a </w:t>
      </w:r>
      <w:r w:rsidR="001B193B">
        <w:t>greater energy cost.</w:t>
      </w:r>
    </w:p>
    <w:p w14:paraId="62CE1B54" w14:textId="77777777" w:rsidR="00600535" w:rsidRPr="00B57B36" w:rsidRDefault="00600535" w:rsidP="00600535">
      <w:pPr>
        <w:pStyle w:val="CETHeading1"/>
        <w:rPr>
          <w:lang w:val="en-GB"/>
        </w:rPr>
      </w:pPr>
      <w:r w:rsidRPr="00B57B36">
        <w:rPr>
          <w:lang w:val="en-GB"/>
        </w:rPr>
        <w:t>Introduction</w:t>
      </w:r>
    </w:p>
    <w:p w14:paraId="17FB626D" w14:textId="6F366CF6" w:rsidR="00F93AC9" w:rsidRPr="00C34222" w:rsidRDefault="006A1C53" w:rsidP="00E63C8D">
      <w:pPr>
        <w:pStyle w:val="CETBodytext"/>
        <w:rPr>
          <w:rFonts w:cs="Arial"/>
        </w:rPr>
      </w:pPr>
      <w:r w:rsidRPr="006A1C53">
        <w:rPr>
          <w:rFonts w:cs="Arial"/>
        </w:rPr>
        <w:t>Carbon dioxide (</w:t>
      </w:r>
      <w:r w:rsidRPr="000E110B">
        <w:t>CO</w:t>
      </w:r>
      <w:r w:rsidRPr="006A1C53">
        <w:rPr>
          <w:vertAlign w:val="subscript"/>
        </w:rPr>
        <w:t>2</w:t>
      </w:r>
      <w:r w:rsidRPr="006A1C53">
        <w:rPr>
          <w:rFonts w:cs="Arial"/>
        </w:rPr>
        <w:t xml:space="preserve">) is a significant contributor to global warming, making its reduction a priority in environmental research. To address this issue, various policies and technologies have been developed to capture and repurpose </w:t>
      </w:r>
      <w:r w:rsidRPr="000E110B">
        <w:t>CO</w:t>
      </w:r>
      <w:r w:rsidRPr="006A1C53">
        <w:rPr>
          <w:vertAlign w:val="subscript"/>
        </w:rPr>
        <w:t>2</w:t>
      </w:r>
      <w:r w:rsidRPr="006A1C53">
        <w:rPr>
          <w:rFonts w:cs="Arial"/>
        </w:rPr>
        <w:t xml:space="preserve">, which helps limit its release into the atmosphere. Reducing </w:t>
      </w:r>
      <w:r w:rsidRPr="000E110B">
        <w:t>CO</w:t>
      </w:r>
      <w:r w:rsidRPr="006A1C53">
        <w:rPr>
          <w:vertAlign w:val="subscript"/>
        </w:rPr>
        <w:t>2</w:t>
      </w:r>
      <w:r w:rsidRPr="006A1C53">
        <w:rPr>
          <w:rFonts w:cs="Arial"/>
        </w:rPr>
        <w:t xml:space="preserve"> levels is essential for controlling temperature rise and supports the goals of the Paris Agreement (UNFCCC, 2015). Furthermore, </w:t>
      </w:r>
      <w:r w:rsidRPr="000E110B">
        <w:t>CO</w:t>
      </w:r>
      <w:r w:rsidRPr="006A1C53">
        <w:rPr>
          <w:vertAlign w:val="subscript"/>
        </w:rPr>
        <w:t>2</w:t>
      </w:r>
      <w:r w:rsidR="001712B6">
        <w:rPr>
          <w:vertAlign w:val="subscript"/>
        </w:rPr>
        <w:t xml:space="preserve"> </w:t>
      </w:r>
      <w:r w:rsidRPr="006A1C53">
        <w:rPr>
          <w:rFonts w:cs="Arial"/>
        </w:rPr>
        <w:t>can be utilized as a resource to produce fuels, chemicals, and materials, thereby promoting a circular economy and decreasing reliance on fossil fuels (Jiang et al., 2010)</w:t>
      </w:r>
      <w:r>
        <w:rPr>
          <w:rFonts w:cs="Arial"/>
        </w:rPr>
        <w:t xml:space="preserve">. </w:t>
      </w:r>
      <w:r w:rsidR="00903B8B" w:rsidRPr="00903B8B">
        <w:rPr>
          <w:rFonts w:cs="Arial"/>
        </w:rPr>
        <w:t>Concurrently, CO</w:t>
      </w:r>
      <w:r w:rsidR="00903B8B" w:rsidRPr="00903B8B">
        <w:rPr>
          <w:rFonts w:cs="Arial"/>
          <w:vertAlign w:val="subscript"/>
        </w:rPr>
        <w:t>2</w:t>
      </w:r>
      <w:r w:rsidR="00903B8B" w:rsidRPr="00903B8B">
        <w:rPr>
          <w:rFonts w:cs="Arial"/>
        </w:rPr>
        <w:t xml:space="preserve"> consumption fosters technological innovation, stimulating the advancement of clean technologies and efficient processes, such as carbon capture and utilization (CCU) (IEA, 2023)</w:t>
      </w:r>
      <w:r w:rsidR="001712B6">
        <w:rPr>
          <w:rFonts w:cs="Arial"/>
        </w:rPr>
        <w:t xml:space="preserve">, </w:t>
      </w:r>
      <w:r w:rsidR="00F516DF">
        <w:rPr>
          <w:rFonts w:cs="Arial"/>
        </w:rPr>
        <w:t>bearing in mind that high conversion, leading to lower production costs is a desired target</w:t>
      </w:r>
      <w:r w:rsidR="00903B8B" w:rsidRPr="00903B8B">
        <w:rPr>
          <w:rFonts w:cs="Arial"/>
        </w:rPr>
        <w:t xml:space="preserve">. For </w:t>
      </w:r>
      <w:r w:rsidR="00DF6B34">
        <w:rPr>
          <w:rFonts w:cs="Arial"/>
        </w:rPr>
        <w:t>instance</w:t>
      </w:r>
      <w:r w:rsidR="00903B8B" w:rsidRPr="00903B8B">
        <w:rPr>
          <w:rFonts w:cs="Arial"/>
        </w:rPr>
        <w:t>, CO</w:t>
      </w:r>
      <w:r w:rsidR="00903B8B" w:rsidRPr="00903B8B">
        <w:rPr>
          <w:rFonts w:cs="Arial"/>
          <w:vertAlign w:val="subscript"/>
        </w:rPr>
        <w:t>2</w:t>
      </w:r>
      <w:r w:rsidR="00903B8B" w:rsidRPr="00903B8B">
        <w:rPr>
          <w:rFonts w:cs="Arial"/>
        </w:rPr>
        <w:t xml:space="preserve"> </w:t>
      </w:r>
      <w:r w:rsidR="00DF6B34" w:rsidRPr="00DF6B34">
        <w:rPr>
          <w:rFonts w:cs="Arial"/>
        </w:rPr>
        <w:t>can be utilized to generate synthetic fuels in combination with green hydrogen</w:t>
      </w:r>
      <w:r w:rsidR="00903B8B" w:rsidRPr="00903B8B">
        <w:rPr>
          <w:rFonts w:cs="Arial"/>
        </w:rPr>
        <w:t xml:space="preserve"> (H</w:t>
      </w:r>
      <w:r w:rsidR="00903B8B" w:rsidRPr="00903B8B">
        <w:rPr>
          <w:rFonts w:cs="Arial"/>
          <w:vertAlign w:val="subscript"/>
        </w:rPr>
        <w:t>2</w:t>
      </w:r>
      <w:r w:rsidR="00903B8B" w:rsidRPr="00903B8B">
        <w:rPr>
          <w:rFonts w:cs="Arial"/>
        </w:rPr>
        <w:t xml:space="preserve">), </w:t>
      </w:r>
      <w:r w:rsidR="00DF6B34" w:rsidRPr="00DF6B34">
        <w:rPr>
          <w:rFonts w:cs="Arial"/>
        </w:rPr>
        <w:t>enhancing global energy security by broadening energy sources and decreasing dependence on fossil fuels</w:t>
      </w:r>
      <w:r w:rsidR="000E110B">
        <w:rPr>
          <w:rFonts w:cs="Arial"/>
        </w:rPr>
        <w:t>.</w:t>
      </w:r>
      <w:r w:rsidR="00F516DF">
        <w:rPr>
          <w:rFonts w:cs="Arial"/>
        </w:rPr>
        <w:t xml:space="preserve"> </w:t>
      </w:r>
      <w:r w:rsidR="000E110B" w:rsidRPr="000E110B">
        <w:rPr>
          <w:rFonts w:cs="Arial"/>
        </w:rPr>
        <w:t>A particularly promising approach is methanation, where CO</w:t>
      </w:r>
      <w:r w:rsidR="000E110B" w:rsidRPr="000E110B">
        <w:rPr>
          <w:rFonts w:cs="Arial"/>
          <w:vertAlign w:val="subscript"/>
        </w:rPr>
        <w:t>2</w:t>
      </w:r>
      <w:r w:rsidR="000E110B" w:rsidRPr="000E110B">
        <w:rPr>
          <w:rFonts w:cs="Arial"/>
        </w:rPr>
        <w:t xml:space="preserve"> reacts with H</w:t>
      </w:r>
      <w:r w:rsidR="000E110B" w:rsidRPr="000E110B">
        <w:rPr>
          <w:rFonts w:cs="Arial"/>
          <w:vertAlign w:val="subscript"/>
        </w:rPr>
        <w:t>2</w:t>
      </w:r>
      <w:r w:rsidR="000E110B" w:rsidRPr="000E110B">
        <w:rPr>
          <w:rFonts w:cs="Arial"/>
        </w:rPr>
        <w:t xml:space="preserve"> to produce methane (CH</w:t>
      </w:r>
      <w:r w:rsidR="000E110B" w:rsidRPr="000E110B">
        <w:rPr>
          <w:rFonts w:cs="Arial"/>
          <w:vertAlign w:val="subscript"/>
        </w:rPr>
        <w:t>4</w:t>
      </w:r>
      <w:r w:rsidR="000E110B" w:rsidRPr="000E110B">
        <w:rPr>
          <w:rFonts w:cs="Arial"/>
        </w:rPr>
        <w:t>) through catalytic processes such as the Sabatier reaction (Eq. 1) (Kakoee and Gharehghani, 2020):</w:t>
      </w:r>
    </w:p>
    <w:tbl>
      <w:tblPr>
        <w:tblW w:w="5000" w:type="pct"/>
        <w:tblLook w:val="04A0" w:firstRow="1" w:lastRow="0" w:firstColumn="1" w:lastColumn="0" w:noHBand="0" w:noVBand="1"/>
      </w:tblPr>
      <w:tblGrid>
        <w:gridCol w:w="6120"/>
        <w:gridCol w:w="1915"/>
        <w:gridCol w:w="752"/>
      </w:tblGrid>
      <w:tr w:rsidR="00736B54" w:rsidRPr="000E110B" w14:paraId="09DA5DAF" w14:textId="77777777" w:rsidTr="00736B54">
        <w:tc>
          <w:tcPr>
            <w:tcW w:w="6120" w:type="dxa"/>
            <w:shd w:val="clear" w:color="auto" w:fill="auto"/>
            <w:vAlign w:val="center"/>
          </w:tcPr>
          <w:p w14:paraId="21FB9B35" w14:textId="77777777" w:rsidR="00736B54" w:rsidRPr="000E110B" w:rsidRDefault="00736B54" w:rsidP="00FC2058">
            <w:pPr>
              <w:pStyle w:val="CETEquation"/>
              <w:rPr>
                <w:rFonts w:cs="Arial"/>
                <w:iCs/>
              </w:rPr>
            </w:pPr>
            <m:oMathPara>
              <m:oMathParaPr>
                <m:jc m:val="left"/>
              </m:oMathParaPr>
              <m:oMath>
                <m:r>
                  <m:rPr>
                    <m:sty m:val="p"/>
                  </m:rPr>
                  <w:rPr>
                    <w:rFonts w:ascii="Cambria Math" w:hAnsi="Cambria Math" w:cs="Arial"/>
                  </w:rPr>
                  <m:t>C</m:t>
                </m:r>
                <m:sSub>
                  <m:sSubPr>
                    <m:ctrlPr>
                      <w:rPr>
                        <w:rFonts w:ascii="Cambria Math" w:hAnsi="Cambria Math" w:cs="Arial"/>
                        <w:iCs/>
                      </w:rPr>
                    </m:ctrlPr>
                  </m:sSubPr>
                  <m:e>
                    <m:sSub>
                      <m:sSubPr>
                        <m:ctrlPr>
                          <w:rPr>
                            <w:rFonts w:ascii="Cambria Math" w:hAnsi="Cambria Math" w:cs="Arial"/>
                            <w:iCs/>
                          </w:rPr>
                        </m:ctrlPr>
                      </m:sSubPr>
                      <m:e>
                        <m:r>
                          <m:rPr>
                            <m:sty m:val="p"/>
                          </m:rPr>
                          <w:rPr>
                            <w:rFonts w:ascii="Cambria Math" w:hAnsi="Cambria Math" w:cs="Arial"/>
                          </w:rPr>
                          <m:t>O</m:t>
                        </m:r>
                      </m:e>
                      <m:sub>
                        <m:r>
                          <m:rPr>
                            <m:sty m:val="p"/>
                          </m:rPr>
                          <w:rPr>
                            <w:rFonts w:ascii="Cambria Math" w:hAnsi="Cambria Math" w:cs="Arial"/>
                          </w:rPr>
                          <m:t>2</m:t>
                        </m:r>
                      </m:sub>
                    </m:sSub>
                  </m:e>
                  <m:sub>
                    <m:r>
                      <m:rPr>
                        <m:sty m:val="p"/>
                      </m:rPr>
                      <w:rPr>
                        <w:rFonts w:ascii="Cambria Math" w:hAnsi="Cambria Math" w:cs="Arial"/>
                      </w:rPr>
                      <m:t>(g)</m:t>
                    </m:r>
                  </m:sub>
                </m:sSub>
                <m:r>
                  <m:rPr>
                    <m:sty m:val="p"/>
                  </m:rPr>
                  <w:rPr>
                    <w:rFonts w:ascii="Cambria Math" w:hAnsi="Cambria Math" w:cs="Arial"/>
                  </w:rPr>
                  <m:t xml:space="preserve">+4 </m:t>
                </m:r>
                <m:sSub>
                  <m:sSubPr>
                    <m:ctrlPr>
                      <w:rPr>
                        <w:rFonts w:ascii="Cambria Math" w:hAnsi="Cambria Math" w:cs="Arial"/>
                        <w:iCs/>
                      </w:rPr>
                    </m:ctrlPr>
                  </m:sSubPr>
                  <m:e>
                    <m:sSub>
                      <m:sSubPr>
                        <m:ctrlPr>
                          <w:rPr>
                            <w:rFonts w:ascii="Cambria Math" w:hAnsi="Cambria Math" w:cs="Arial"/>
                            <w:iCs/>
                          </w:rPr>
                        </m:ctrlPr>
                      </m:sSubPr>
                      <m:e>
                        <m:r>
                          <m:rPr>
                            <m:sty m:val="p"/>
                          </m:rPr>
                          <w:rPr>
                            <w:rFonts w:ascii="Cambria Math" w:hAnsi="Cambria Math" w:cs="Arial"/>
                          </w:rPr>
                          <m:t>H</m:t>
                        </m:r>
                      </m:e>
                      <m:sub>
                        <m:r>
                          <m:rPr>
                            <m:sty m:val="p"/>
                          </m:rPr>
                          <w:rPr>
                            <w:rFonts w:ascii="Cambria Math" w:hAnsi="Cambria Math" w:cs="Arial"/>
                          </w:rPr>
                          <m:t>2</m:t>
                        </m:r>
                      </m:sub>
                    </m:sSub>
                  </m:e>
                  <m:sub>
                    <m:r>
                      <m:rPr>
                        <m:sty m:val="p"/>
                      </m:rPr>
                      <w:rPr>
                        <w:rFonts w:ascii="Cambria Math" w:hAnsi="Cambria Math" w:cs="Arial"/>
                      </w:rPr>
                      <m:t>(g)</m:t>
                    </m:r>
                  </m:sub>
                </m:sSub>
                <m:r>
                  <m:rPr>
                    <m:sty m:val="p"/>
                  </m:rPr>
                  <w:rPr>
                    <w:rFonts w:ascii="Cambria Math" w:hAnsi="Cambria Math" w:cs="Arial"/>
                  </w:rPr>
                  <m:t>⇋C</m:t>
                </m:r>
                <m:sSub>
                  <m:sSubPr>
                    <m:ctrlPr>
                      <w:rPr>
                        <w:rFonts w:ascii="Cambria Math" w:hAnsi="Cambria Math" w:cs="Arial"/>
                        <w:iCs/>
                      </w:rPr>
                    </m:ctrlPr>
                  </m:sSubPr>
                  <m:e>
                    <m:sSub>
                      <m:sSubPr>
                        <m:ctrlPr>
                          <w:rPr>
                            <w:rFonts w:ascii="Cambria Math" w:hAnsi="Cambria Math" w:cs="Arial"/>
                            <w:iCs/>
                          </w:rPr>
                        </m:ctrlPr>
                      </m:sSubPr>
                      <m:e>
                        <m:r>
                          <m:rPr>
                            <m:sty m:val="p"/>
                          </m:rPr>
                          <w:rPr>
                            <w:rFonts w:ascii="Cambria Math" w:hAnsi="Cambria Math" w:cs="Arial"/>
                          </w:rPr>
                          <m:t>H</m:t>
                        </m:r>
                      </m:e>
                      <m:sub>
                        <m:r>
                          <m:rPr>
                            <m:sty m:val="p"/>
                          </m:rPr>
                          <w:rPr>
                            <w:rFonts w:ascii="Cambria Math" w:hAnsi="Cambria Math" w:cs="Arial"/>
                          </w:rPr>
                          <m:t>4</m:t>
                        </m:r>
                      </m:sub>
                    </m:sSub>
                  </m:e>
                  <m:sub>
                    <m:r>
                      <m:rPr>
                        <m:sty m:val="p"/>
                      </m:rPr>
                      <w:rPr>
                        <w:rFonts w:ascii="Cambria Math" w:hAnsi="Cambria Math" w:cs="Arial"/>
                      </w:rPr>
                      <m:t>(g)</m:t>
                    </m:r>
                  </m:sub>
                </m:sSub>
                <m:r>
                  <m:rPr>
                    <m:sty m:val="p"/>
                  </m:rPr>
                  <w:rPr>
                    <w:rFonts w:ascii="Cambria Math" w:hAnsi="Cambria Math" w:cs="Arial"/>
                  </w:rPr>
                  <m:t xml:space="preserve">+2 </m:t>
                </m:r>
                <m:sSub>
                  <m:sSubPr>
                    <m:ctrlPr>
                      <w:rPr>
                        <w:rFonts w:ascii="Cambria Math" w:hAnsi="Cambria Math" w:cs="Arial"/>
                        <w:iCs/>
                      </w:rPr>
                    </m:ctrlPr>
                  </m:sSubPr>
                  <m:e>
                    <m:r>
                      <m:rPr>
                        <m:sty m:val="p"/>
                      </m:rPr>
                      <w:rPr>
                        <w:rFonts w:ascii="Cambria Math" w:hAnsi="Cambria Math" w:cs="Arial"/>
                      </w:rPr>
                      <m:t>H</m:t>
                    </m:r>
                  </m:e>
                  <m:sub>
                    <m:r>
                      <m:rPr>
                        <m:sty m:val="p"/>
                      </m:rPr>
                      <w:rPr>
                        <w:rFonts w:ascii="Cambria Math" w:hAnsi="Cambria Math" w:cs="Arial"/>
                      </w:rPr>
                      <m:t>2</m:t>
                    </m:r>
                  </m:sub>
                </m:sSub>
                <m:sSub>
                  <m:sSubPr>
                    <m:ctrlPr>
                      <w:rPr>
                        <w:rFonts w:ascii="Cambria Math" w:hAnsi="Cambria Math" w:cs="Arial"/>
                        <w:iCs/>
                      </w:rPr>
                    </m:ctrlPr>
                  </m:sSubPr>
                  <m:e>
                    <m:r>
                      <m:rPr>
                        <m:sty m:val="p"/>
                      </m:rPr>
                      <w:rPr>
                        <w:rFonts w:ascii="Cambria Math" w:hAnsi="Cambria Math" w:cs="Arial"/>
                      </w:rPr>
                      <m:t>O</m:t>
                    </m:r>
                  </m:e>
                  <m:sub>
                    <m:r>
                      <m:rPr>
                        <m:sty m:val="p"/>
                      </m:rPr>
                      <w:rPr>
                        <w:rFonts w:ascii="Cambria Math" w:hAnsi="Cambria Math" w:cs="Arial"/>
                      </w:rPr>
                      <m:t>(g)</m:t>
                    </m:r>
                  </m:sub>
                </m:sSub>
              </m:oMath>
            </m:oMathPara>
          </w:p>
        </w:tc>
        <w:tc>
          <w:tcPr>
            <w:tcW w:w="1915" w:type="dxa"/>
          </w:tcPr>
          <w:p w14:paraId="4C7E0F27" w14:textId="77777777" w:rsidR="00736B54" w:rsidRPr="000E110B" w:rsidRDefault="00736B54" w:rsidP="00FC2058">
            <w:pPr>
              <w:pStyle w:val="CETEquation"/>
              <w:jc w:val="right"/>
              <w:rPr>
                <w:rFonts w:cs="Arial"/>
              </w:rPr>
            </w:pPr>
            <m:oMathPara>
              <m:oMath>
                <m:r>
                  <m:rPr>
                    <m:sty m:val="p"/>
                  </m:rPr>
                  <w:rPr>
                    <w:rFonts w:ascii="Cambria Math" w:hAnsi="Cambria Math" w:cs="Arial"/>
                  </w:rPr>
                  <m:t>Δ</m:t>
                </m:r>
                <m:sSubSup>
                  <m:sSubSupPr>
                    <m:ctrlPr>
                      <w:rPr>
                        <w:rFonts w:ascii="Cambria Math" w:hAnsi="Cambria Math" w:cs="Arial"/>
                        <w:i/>
                      </w:rPr>
                    </m:ctrlPr>
                  </m:sSubSupPr>
                  <m:e>
                    <m:r>
                      <w:rPr>
                        <w:rFonts w:ascii="Cambria Math" w:hAnsi="Cambria Math" w:cs="Arial"/>
                      </w:rPr>
                      <m:t>H</m:t>
                    </m:r>
                  </m:e>
                  <m:sub>
                    <m:r>
                      <w:rPr>
                        <w:rFonts w:ascii="Cambria Math" w:hAnsi="Cambria Math" w:cs="Arial"/>
                      </w:rPr>
                      <m:t>298K</m:t>
                    </m:r>
                  </m:sub>
                  <m:sup>
                    <m:r>
                      <w:rPr>
                        <w:rFonts w:ascii="Cambria Math" w:hAnsi="Cambria Math" w:cs="Arial"/>
                      </w:rPr>
                      <m:t>0</m:t>
                    </m:r>
                  </m:sup>
                </m:sSubSup>
                <m:r>
                  <w:rPr>
                    <w:rFonts w:ascii="Cambria Math" w:hAnsi="Cambria Math" w:cs="Arial"/>
                  </w:rPr>
                  <m:t>= -165.1</m:t>
                </m:r>
              </m:oMath>
            </m:oMathPara>
          </w:p>
        </w:tc>
        <w:tc>
          <w:tcPr>
            <w:tcW w:w="752" w:type="dxa"/>
            <w:shd w:val="clear" w:color="auto" w:fill="auto"/>
            <w:vAlign w:val="center"/>
          </w:tcPr>
          <w:p w14:paraId="1B182F46" w14:textId="77777777" w:rsidR="00736B54" w:rsidRPr="000E110B" w:rsidRDefault="00736B54" w:rsidP="00FC2058">
            <w:pPr>
              <w:pStyle w:val="CETEquation"/>
              <w:jc w:val="right"/>
              <w:rPr>
                <w:rFonts w:cs="Arial"/>
              </w:rPr>
            </w:pPr>
            <w:r w:rsidRPr="000E110B">
              <w:rPr>
                <w:rFonts w:cs="Arial"/>
              </w:rPr>
              <w:t>(1)</w:t>
            </w:r>
          </w:p>
        </w:tc>
      </w:tr>
    </w:tbl>
    <w:p w14:paraId="1948C078" w14:textId="7B9218EA" w:rsidR="00402971" w:rsidRPr="000E110B" w:rsidRDefault="000E110B" w:rsidP="000E110B">
      <w:pPr>
        <w:pStyle w:val="CETBodytext"/>
        <w:rPr>
          <w:highlight w:val="yellow"/>
        </w:rPr>
      </w:pPr>
      <w:r w:rsidRPr="000E110B">
        <w:t>Methane</w:t>
      </w:r>
      <w:r w:rsidR="00AE6665">
        <w:t xml:space="preserve"> has </w:t>
      </w:r>
      <w:r w:rsidRPr="000E110B">
        <w:t xml:space="preserve">a high energy density of 891.6 kJ/mol (Waldheim and Nilsson, 2001), </w:t>
      </w:r>
      <w:r w:rsidR="00AE6665" w:rsidRPr="00AE6665">
        <w:t>allowing it to be effectively stored, utilized for power generation, or incorporated into natural gas systems</w:t>
      </w:r>
      <w:r w:rsidRPr="000E110B">
        <w:t xml:space="preserve">. </w:t>
      </w:r>
      <w:r w:rsidR="00AE6665" w:rsidRPr="00AE6665">
        <w:t>Methanation has garnered attention, particularly during energy crises, for its potential to decrease</w:t>
      </w:r>
      <w:r w:rsidR="00AE6665">
        <w:t xml:space="preserve"> </w:t>
      </w:r>
      <w:r w:rsidRPr="000E110B">
        <w:t>CO</w:t>
      </w:r>
      <w:r w:rsidRPr="006A1C53">
        <w:rPr>
          <w:vertAlign w:val="subscript"/>
        </w:rPr>
        <w:t>2</w:t>
      </w:r>
      <w:r w:rsidRPr="000E110B">
        <w:t xml:space="preserve"> emissions, support the circular economy, and provide a sustainable energy source when combined with renewable hydrogen.</w:t>
      </w:r>
    </w:p>
    <w:p w14:paraId="170C706C" w14:textId="77777777" w:rsidR="000E110B" w:rsidRDefault="000E110B" w:rsidP="00402971">
      <w:pPr>
        <w:pStyle w:val="CETBodytext"/>
        <w:rPr>
          <w:rFonts w:cs="Arial"/>
        </w:rPr>
      </w:pPr>
      <w:r w:rsidRPr="000E110B">
        <w:rPr>
          <w:rFonts w:cs="Arial"/>
        </w:rPr>
        <w:t xml:space="preserve">However, producing </w:t>
      </w:r>
      <w:r>
        <w:rPr>
          <w:rFonts w:cs="Arial"/>
        </w:rPr>
        <w:t>H</w:t>
      </w:r>
      <w:r w:rsidRPr="000E110B">
        <w:rPr>
          <w:rFonts w:cs="Arial"/>
          <w:vertAlign w:val="subscript"/>
        </w:rPr>
        <w:t>2</w:t>
      </w:r>
      <w:r w:rsidRPr="000E110B">
        <w:rPr>
          <w:rFonts w:cs="Arial"/>
        </w:rPr>
        <w:t xml:space="preserve"> sustainably and economically remains a challenge. Currently, around 95% of global hydrogen is derived from fossil fuels (IEA, 2023), undermining sustainability goals and potentially increasing </w:t>
      </w:r>
      <w:r w:rsidR="006A1C53" w:rsidRPr="000E110B">
        <w:t>CO</w:t>
      </w:r>
      <w:r w:rsidR="006A1C53" w:rsidRPr="006A1C53">
        <w:rPr>
          <w:vertAlign w:val="subscript"/>
        </w:rPr>
        <w:t>2</w:t>
      </w:r>
      <w:r w:rsidRPr="000E110B">
        <w:rPr>
          <w:rFonts w:cs="Arial"/>
        </w:rPr>
        <w:t xml:space="preserve"> emissions. Green hydrogen, produced through water electrolysis powered by renewable energy, is a cleaner alternative, but its high cost limits the large-scale economic feasibility of methanation (IEA, 2023).</w:t>
      </w:r>
    </w:p>
    <w:p w14:paraId="534194E2" w14:textId="3DA607E7" w:rsidR="00402971" w:rsidRPr="00615E6D" w:rsidRDefault="00402971" w:rsidP="00402971">
      <w:pPr>
        <w:pStyle w:val="CETBodytext"/>
        <w:rPr>
          <w:rFonts w:cs="Arial"/>
        </w:rPr>
      </w:pPr>
      <w:r w:rsidRPr="00615E6D">
        <w:rPr>
          <w:rFonts w:cs="Arial"/>
        </w:rPr>
        <w:t xml:space="preserve">A thermodynamic study of operating conditions is crucial in optimizing the methanation process. By identifying the optimal parameters for maximizing </w:t>
      </w:r>
      <w:r w:rsidR="00CD0982" w:rsidRPr="00615E6D">
        <w:rPr>
          <w:rFonts w:cs="Arial"/>
        </w:rPr>
        <w:t>CO</w:t>
      </w:r>
      <w:r w:rsidR="00CD0982" w:rsidRPr="00615E6D">
        <w:rPr>
          <w:rFonts w:cs="Arial"/>
          <w:vertAlign w:val="subscript"/>
        </w:rPr>
        <w:t xml:space="preserve">2 </w:t>
      </w:r>
      <w:r w:rsidRPr="00615E6D">
        <w:rPr>
          <w:rFonts w:cs="Arial"/>
        </w:rPr>
        <w:t xml:space="preserve">conversion and selectivity to methane, it is possible to ascertain the </w:t>
      </w:r>
      <w:r w:rsidRPr="00615E6D">
        <w:rPr>
          <w:rFonts w:cs="Arial"/>
        </w:rPr>
        <w:lastRenderedPageBreak/>
        <w:t xml:space="preserve">most favorable reaction paths and, consequently, the most desirable by-products. Moreover, the thermodynamic study facilitates comprehension of the influence of </w:t>
      </w:r>
      <w:r w:rsidR="004D04E2">
        <w:rPr>
          <w:rFonts w:cs="Arial"/>
        </w:rPr>
        <w:t>operating</w:t>
      </w:r>
      <w:r w:rsidR="00F516DF">
        <w:rPr>
          <w:rFonts w:cs="Arial"/>
        </w:rPr>
        <w:t xml:space="preserve"> </w:t>
      </w:r>
      <w:r w:rsidRPr="00615E6D">
        <w:rPr>
          <w:rFonts w:cs="Arial"/>
        </w:rPr>
        <w:t xml:space="preserve">conditions on </w:t>
      </w:r>
      <w:r w:rsidR="004D04E2">
        <w:rPr>
          <w:rFonts w:cs="Arial"/>
        </w:rPr>
        <w:t xml:space="preserve">the </w:t>
      </w:r>
      <w:r w:rsidRPr="00615E6D">
        <w:rPr>
          <w:rFonts w:cs="Arial"/>
        </w:rPr>
        <w:t xml:space="preserve">overall energy efficiency. The source of hydrogen is of great consequence in the methanation process, as it directly impacts the process's sustainability and economic viability. Green hydrogen represents the cleanest </w:t>
      </w:r>
      <w:r w:rsidR="00F516DF" w:rsidRPr="00615E6D">
        <w:rPr>
          <w:rFonts w:cs="Arial"/>
        </w:rPr>
        <w:t>option</w:t>
      </w:r>
      <w:r w:rsidR="00F516DF">
        <w:rPr>
          <w:rFonts w:cs="Arial"/>
        </w:rPr>
        <w:t>;</w:t>
      </w:r>
      <w:r w:rsidRPr="00615E6D">
        <w:rPr>
          <w:rFonts w:cs="Arial"/>
        </w:rPr>
        <w:t xml:space="preserve"> however, it remains expensive and requires a high availability of renewable energy</w:t>
      </w:r>
      <w:r w:rsidR="0006718A">
        <w:rPr>
          <w:rFonts w:cs="Arial"/>
        </w:rPr>
        <w:t xml:space="preserve"> (</w:t>
      </w:r>
      <w:r w:rsidR="00917776" w:rsidRPr="00917776">
        <w:rPr>
          <w:rFonts w:cs="Arial"/>
        </w:rPr>
        <w:t>Zhu</w:t>
      </w:r>
      <w:r w:rsidR="00917776">
        <w:rPr>
          <w:rFonts w:cs="Arial"/>
        </w:rPr>
        <w:t xml:space="preserve"> et al.</w:t>
      </w:r>
      <w:r w:rsidR="00917776" w:rsidRPr="00917776">
        <w:rPr>
          <w:rFonts w:cs="Arial"/>
        </w:rPr>
        <w:t>, 2024)</w:t>
      </w:r>
      <w:r w:rsidRPr="00615E6D">
        <w:rPr>
          <w:rFonts w:cs="Arial"/>
        </w:rPr>
        <w:t xml:space="preserve">. Other methods of obtaining sustainable </w:t>
      </w:r>
      <w:r w:rsidR="005C62A9">
        <w:rPr>
          <w:rFonts w:cs="Arial"/>
        </w:rPr>
        <w:t>H</w:t>
      </w:r>
      <w:r w:rsidR="005C62A9" w:rsidRPr="004255C9">
        <w:rPr>
          <w:rFonts w:cs="Arial"/>
          <w:vertAlign w:val="subscript"/>
        </w:rPr>
        <w:t>2</w:t>
      </w:r>
      <w:r w:rsidRPr="00615E6D">
        <w:rPr>
          <w:rFonts w:cs="Arial"/>
        </w:rPr>
        <w:t xml:space="preserve">, such as from a fuel with a negative carbon footprint, </w:t>
      </w:r>
      <w:r w:rsidR="00041C76" w:rsidRPr="004255C9">
        <w:rPr>
          <w:rFonts w:cs="Arial"/>
          <w:i/>
          <w:iCs/>
        </w:rPr>
        <w:t>e.</w:t>
      </w:r>
      <w:r w:rsidR="0004507B">
        <w:rPr>
          <w:rFonts w:cs="Arial"/>
          <w:i/>
          <w:iCs/>
        </w:rPr>
        <w:t>g.</w:t>
      </w:r>
      <w:r w:rsidR="00041C76">
        <w:rPr>
          <w:rFonts w:cs="Arial"/>
        </w:rPr>
        <w:t xml:space="preserve"> bio</w:t>
      </w:r>
      <w:r w:rsidRPr="00615E6D">
        <w:rPr>
          <w:rFonts w:cs="Arial"/>
        </w:rPr>
        <w:t>ethanol, could be a promising avenue to explore, particularly in the medium term</w:t>
      </w:r>
      <w:r w:rsidR="00BB7A2D">
        <w:rPr>
          <w:rFonts w:cs="Arial"/>
        </w:rPr>
        <w:t xml:space="preserve"> whereas</w:t>
      </w:r>
      <w:r w:rsidRPr="00615E6D">
        <w:rPr>
          <w:rFonts w:cs="Arial"/>
        </w:rPr>
        <w:t xml:space="preserve"> technologies for electrolysis remain commercially </w:t>
      </w:r>
      <w:r w:rsidR="00A827A4">
        <w:rPr>
          <w:rFonts w:cs="Arial"/>
        </w:rPr>
        <w:t xml:space="preserve">unfeasible </w:t>
      </w:r>
      <w:r w:rsidR="0006718A">
        <w:rPr>
          <w:rFonts w:cs="Arial"/>
        </w:rPr>
        <w:t>(</w:t>
      </w:r>
      <w:r w:rsidR="00BD2ED2">
        <w:rPr>
          <w:rFonts w:cs="Arial"/>
        </w:rPr>
        <w:t>Bineli</w:t>
      </w:r>
      <w:r w:rsidR="00917776">
        <w:rPr>
          <w:rFonts w:cs="Arial"/>
        </w:rPr>
        <w:t>, 2013</w:t>
      </w:r>
      <w:r w:rsidR="0006718A">
        <w:rPr>
          <w:rFonts w:cs="Arial"/>
        </w:rPr>
        <w:t>)</w:t>
      </w:r>
      <w:r w:rsidRPr="00615E6D">
        <w:rPr>
          <w:rFonts w:cs="Arial"/>
        </w:rPr>
        <w:t>.</w:t>
      </w:r>
      <w:r w:rsidR="00F516DF">
        <w:rPr>
          <w:rFonts w:cs="Arial"/>
        </w:rPr>
        <w:t xml:space="preserve"> </w:t>
      </w:r>
      <w:r w:rsidR="005E4BD9">
        <w:rPr>
          <w:rFonts w:cs="Arial"/>
        </w:rPr>
        <w:t>Ano</w:t>
      </w:r>
      <w:r w:rsidR="001C5889">
        <w:rPr>
          <w:rFonts w:cs="Arial"/>
        </w:rPr>
        <w:t xml:space="preserve">ther possible way to obtain renewable hydrogen is through sugarcane bagasse syngasification which is cheaper than water </w:t>
      </w:r>
      <w:r w:rsidR="001C5889" w:rsidRPr="00615E6D">
        <w:rPr>
          <w:rFonts w:cs="Arial"/>
        </w:rPr>
        <w:t>electrolysis</w:t>
      </w:r>
      <w:r w:rsidR="001C5889">
        <w:rPr>
          <w:rFonts w:cs="Arial"/>
        </w:rPr>
        <w:t xml:space="preserve"> by almost 8 times, </w:t>
      </w:r>
      <w:r w:rsidR="00F44EAE">
        <w:rPr>
          <w:rFonts w:cs="Arial"/>
        </w:rPr>
        <w:t>considering</w:t>
      </w:r>
      <w:r w:rsidR="001C5889">
        <w:rPr>
          <w:rFonts w:cs="Arial"/>
        </w:rPr>
        <w:t xml:space="preserve"> the price of such feedstock in Brazil, but this is not going to be considered in this work. </w:t>
      </w:r>
    </w:p>
    <w:p w14:paraId="15F97E0B" w14:textId="77777777" w:rsidR="00E63C8D" w:rsidRPr="00615E6D" w:rsidRDefault="00402971" w:rsidP="00402971">
      <w:pPr>
        <w:pStyle w:val="CETBodytext"/>
        <w:rPr>
          <w:rFonts w:cs="Arial"/>
        </w:rPr>
      </w:pPr>
      <w:r w:rsidRPr="00615E6D">
        <w:rPr>
          <w:rFonts w:cs="Arial"/>
        </w:rPr>
        <w:t xml:space="preserve">It is important to evaluate routes that require less energy to produce methane. Reducing energy demand increases the overall efficiency of the process, </w:t>
      </w:r>
      <w:r w:rsidR="003E540A">
        <w:rPr>
          <w:rFonts w:cs="Arial"/>
        </w:rPr>
        <w:t>lower</w:t>
      </w:r>
      <w:r w:rsidR="003E540A" w:rsidRPr="00615E6D">
        <w:rPr>
          <w:rFonts w:cs="Arial"/>
        </w:rPr>
        <w:t xml:space="preserve">ing </w:t>
      </w:r>
      <w:r w:rsidRPr="00615E6D">
        <w:rPr>
          <w:rFonts w:cs="Arial"/>
        </w:rPr>
        <w:t>operating costs and indirect emissions associated with energy production. In addition, energy-efficient routes facilitate integration with renewable energy sources, where available energy can be intermittent and limited, making the process more viable and competitive on a large scale.</w:t>
      </w:r>
      <w:r w:rsidR="00F516DF">
        <w:rPr>
          <w:rFonts w:cs="Arial"/>
        </w:rPr>
        <w:t xml:space="preserve"> </w:t>
      </w:r>
      <w:r w:rsidR="00155DA5" w:rsidRPr="00615E6D">
        <w:rPr>
          <w:rFonts w:cs="Arial"/>
        </w:rPr>
        <w:t>The</w:t>
      </w:r>
      <w:r w:rsidRPr="00615E6D">
        <w:rPr>
          <w:rFonts w:cs="Arial"/>
        </w:rPr>
        <w:t xml:space="preserve"> objective of this work is to evaluate the operating conditions for methane production using thermodynamic simulations, searching for operating ranges with the highest methane yield and </w:t>
      </w:r>
      <w:r w:rsidR="00CD0982" w:rsidRPr="00615E6D">
        <w:rPr>
          <w:rFonts w:cs="Arial"/>
        </w:rPr>
        <w:t>CO</w:t>
      </w:r>
      <w:r w:rsidR="00CD0982" w:rsidRPr="00615E6D">
        <w:rPr>
          <w:rFonts w:cs="Arial"/>
          <w:vertAlign w:val="subscript"/>
        </w:rPr>
        <w:t>2</w:t>
      </w:r>
      <w:r w:rsidRPr="00615E6D">
        <w:rPr>
          <w:rFonts w:cs="Arial"/>
        </w:rPr>
        <w:t xml:space="preserve"> conversion. It also evaluates the energy efficiency of two methanation routes by varying the hydrogen source, either by </w:t>
      </w:r>
      <w:r w:rsidR="00AB1747">
        <w:rPr>
          <w:rFonts w:cs="Arial"/>
        </w:rPr>
        <w:t xml:space="preserve">ethanol steam reforming (ESR) or alkaline </w:t>
      </w:r>
      <w:r w:rsidRPr="00615E6D">
        <w:rPr>
          <w:rFonts w:cs="Arial"/>
        </w:rPr>
        <w:t>electrolysis of water.</w:t>
      </w:r>
    </w:p>
    <w:p w14:paraId="1F651A9B" w14:textId="77777777" w:rsidR="00453E24" w:rsidRDefault="00411148" w:rsidP="00411148">
      <w:pPr>
        <w:pStyle w:val="CETHeading1"/>
      </w:pPr>
      <w:r>
        <w:t>Methodology</w:t>
      </w:r>
    </w:p>
    <w:p w14:paraId="04BA5F0A" w14:textId="2ACE7EDC" w:rsidR="00453E24" w:rsidRDefault="00360BB2" w:rsidP="00453E24">
      <w:pPr>
        <w:pStyle w:val="CETBodytext"/>
      </w:pPr>
      <w:r w:rsidRPr="00360BB2">
        <w:t xml:space="preserve">This </w:t>
      </w:r>
      <w:r w:rsidR="00B778DF">
        <w:t>investigation</w:t>
      </w:r>
      <w:r w:rsidR="00B032DF" w:rsidRPr="00360BB2">
        <w:t xml:space="preserve"> </w:t>
      </w:r>
      <w:r w:rsidRPr="00360BB2">
        <w:t xml:space="preserve">was </w:t>
      </w:r>
      <w:r w:rsidR="00417C26">
        <w:t xml:space="preserve">carried out </w:t>
      </w:r>
      <w:r w:rsidRPr="00360BB2">
        <w:t xml:space="preserve">using the Aspen Plus® V10 software </w:t>
      </w:r>
      <w:r w:rsidR="00DB0C47">
        <w:t xml:space="preserve">to </w:t>
      </w:r>
      <w:r w:rsidR="00B06233">
        <w:t>determine</w:t>
      </w:r>
      <w:r w:rsidRPr="00360BB2">
        <w:t xml:space="preserve"> the operating conditions of the methanation reaction and subsequently analyz</w:t>
      </w:r>
      <w:r w:rsidR="0024769E">
        <w:t>e</w:t>
      </w:r>
      <w:r w:rsidRPr="00360BB2">
        <w:t xml:space="preserve"> the energy efficiency of the methanation process </w:t>
      </w:r>
      <w:r w:rsidR="00242A82">
        <w:t>us</w:t>
      </w:r>
      <w:r w:rsidR="00C00903">
        <w:t>ing</w:t>
      </w:r>
      <w:r w:rsidRPr="00360BB2">
        <w:t xml:space="preserve"> two hydrogen sources:</w:t>
      </w:r>
      <w:r w:rsidR="00417C26">
        <w:t xml:space="preserve"> </w:t>
      </w:r>
      <w:r w:rsidR="005815A6" w:rsidRPr="00360BB2">
        <w:t>ethanol steam reforming</w:t>
      </w:r>
      <w:r w:rsidR="00417C26">
        <w:t xml:space="preserve"> </w:t>
      </w:r>
      <w:r w:rsidRPr="00360BB2">
        <w:t xml:space="preserve">and </w:t>
      </w:r>
      <w:r w:rsidR="005815A6" w:rsidRPr="00360BB2">
        <w:t>alkaline water electrolysis</w:t>
      </w:r>
      <w:r>
        <w:t xml:space="preserve">, </w:t>
      </w:r>
      <w:r w:rsidR="00C00903">
        <w:t xml:space="preserve">as </w:t>
      </w:r>
      <w:r w:rsidR="005B77E6">
        <w:t xml:space="preserve">shown </w:t>
      </w:r>
      <w:r w:rsidR="00C00903">
        <w:t>respectively</w:t>
      </w:r>
      <w:r w:rsidR="00417C26">
        <w:t xml:space="preserve"> </w:t>
      </w:r>
      <w:r w:rsidR="00CE3F1D">
        <w:t>in Figures 1a and 1</w:t>
      </w:r>
      <w:r w:rsidR="005815A6">
        <w:t>b</w:t>
      </w:r>
      <w:r w:rsidRPr="00360BB2">
        <w:t xml:space="preserve">. </w:t>
      </w:r>
      <w:r w:rsidR="0024769E">
        <w:t>For this, t</w:t>
      </w:r>
      <w:r w:rsidRPr="00360BB2">
        <w:t xml:space="preserve">hermodynamic analyses were conducted </w:t>
      </w:r>
      <w:r w:rsidR="00242A82">
        <w:t>considering</w:t>
      </w:r>
      <w:r w:rsidRPr="00360BB2">
        <w:t xml:space="preserve"> the ideal temperature and pressure conditions for the</w:t>
      </w:r>
      <w:r w:rsidR="00417C26">
        <w:t xml:space="preserve"> </w:t>
      </w:r>
      <w:r w:rsidR="00267F98" w:rsidRPr="00242A82">
        <w:t>CO</w:t>
      </w:r>
      <w:r w:rsidR="00267F98" w:rsidRPr="00242A82">
        <w:rPr>
          <w:vertAlign w:val="subscript"/>
        </w:rPr>
        <w:t>2</w:t>
      </w:r>
      <w:r w:rsidR="00267F98" w:rsidRPr="00242A82">
        <w:t>methanation</w:t>
      </w:r>
      <w:r w:rsidRPr="00360BB2">
        <w:t xml:space="preserve">, followed by an assessment of the energy performance of each route. In the </w:t>
      </w:r>
      <w:r>
        <w:t>first</w:t>
      </w:r>
      <w:r w:rsidRPr="00360BB2">
        <w:t xml:space="preserve"> process, </w:t>
      </w:r>
      <w:r w:rsidR="007C6C58">
        <w:t>H</w:t>
      </w:r>
      <w:r w:rsidR="007C6C58" w:rsidRPr="004255C9">
        <w:rPr>
          <w:vertAlign w:val="subscript"/>
        </w:rPr>
        <w:t>2</w:t>
      </w:r>
      <w:r w:rsidR="00417C26">
        <w:rPr>
          <w:vertAlign w:val="subscript"/>
        </w:rPr>
        <w:t xml:space="preserve"> </w:t>
      </w:r>
      <w:r w:rsidRPr="00360BB2">
        <w:t xml:space="preserve">was produced by </w:t>
      </w:r>
      <w:r w:rsidR="00AB1747">
        <w:t xml:space="preserve">ESR </w:t>
      </w:r>
      <w:r w:rsidRPr="00360BB2">
        <w:t xml:space="preserve">and employed in the methanation of </w:t>
      </w:r>
      <w:r w:rsidR="00267F98">
        <w:t>CO</w:t>
      </w:r>
      <w:r w:rsidR="00267F98" w:rsidRPr="00267F98">
        <w:rPr>
          <w:vertAlign w:val="subscript"/>
        </w:rPr>
        <w:t>2</w:t>
      </w:r>
      <w:r w:rsidRPr="00360BB2">
        <w:t xml:space="preserve">; in the </w:t>
      </w:r>
      <w:r>
        <w:t>second</w:t>
      </w:r>
      <w:r w:rsidRPr="00360BB2">
        <w:t xml:space="preserve"> process, </w:t>
      </w:r>
      <w:r w:rsidR="001878FC">
        <w:t>H</w:t>
      </w:r>
      <w:r w:rsidR="001878FC" w:rsidRPr="004255C9">
        <w:rPr>
          <w:vertAlign w:val="subscript"/>
        </w:rPr>
        <w:t>2</w:t>
      </w:r>
      <w:r w:rsidR="00417C26">
        <w:rPr>
          <w:vertAlign w:val="subscript"/>
        </w:rPr>
        <w:t xml:space="preserve"> </w:t>
      </w:r>
      <w:r w:rsidRPr="00360BB2">
        <w:t xml:space="preserve">was generated </w:t>
      </w:r>
      <w:r w:rsidR="004255C9" w:rsidRPr="00360BB2">
        <w:t xml:space="preserve">by </w:t>
      </w:r>
      <w:r w:rsidR="004255C9" w:rsidRPr="00AB1747">
        <w:t>alkaline</w:t>
      </w:r>
      <w:r w:rsidR="00AB1747" w:rsidRPr="00360BB2">
        <w:t xml:space="preserve"> electrolysis of water</w:t>
      </w:r>
      <w:r w:rsidR="0060502B">
        <w:t>,</w:t>
      </w:r>
      <w:r w:rsidR="006C510B">
        <w:t xml:space="preserve"> followed </w:t>
      </w:r>
      <w:r w:rsidR="0060502B">
        <w:t xml:space="preserve">by </w:t>
      </w:r>
      <w:r w:rsidR="004255C9">
        <w:t>CO</w:t>
      </w:r>
      <w:r w:rsidR="004255C9" w:rsidRPr="004255C9">
        <w:rPr>
          <w:vertAlign w:val="subscript"/>
        </w:rPr>
        <w:t>2</w:t>
      </w:r>
      <w:r w:rsidR="006C510B">
        <w:t xml:space="preserve"> methanation</w:t>
      </w:r>
      <w:r w:rsidRPr="00360BB2">
        <w:t xml:space="preserve">. The </w:t>
      </w:r>
      <w:r w:rsidR="00533FB6">
        <w:t>aim</w:t>
      </w:r>
      <w:r w:rsidR="00417C26">
        <w:t xml:space="preserve"> </w:t>
      </w:r>
      <w:r w:rsidRPr="00360BB2">
        <w:t xml:space="preserve">was to provide </w:t>
      </w:r>
      <w:r w:rsidR="00267F98" w:rsidRPr="00360BB2">
        <w:t>an</w:t>
      </w:r>
      <w:r w:rsidRPr="00360BB2">
        <w:t xml:space="preserve"> account of both </w:t>
      </w:r>
      <w:r w:rsidR="00533FB6">
        <w:t>systems</w:t>
      </w:r>
      <w:r w:rsidR="00417C26">
        <w:t xml:space="preserve"> </w:t>
      </w:r>
      <w:r w:rsidR="00533FB6">
        <w:t>for</w:t>
      </w:r>
      <w:r w:rsidRPr="00360BB2">
        <w:t xml:space="preserve"> a comparative analysis of their energy efficienc</w:t>
      </w:r>
      <w:r w:rsidR="00E52346">
        <w:t>ies</w:t>
      </w:r>
      <w:r w:rsidR="00453E24">
        <w:t>.</w:t>
      </w:r>
    </w:p>
    <w:p w14:paraId="7CDCB4FB" w14:textId="77777777" w:rsidR="006D01B0" w:rsidRDefault="006D01B0" w:rsidP="006D01B0">
      <w:pPr>
        <w:pStyle w:val="CETheadingx"/>
      </w:pPr>
      <w:r>
        <w:t>Thermodynamic Assessment</w:t>
      </w:r>
    </w:p>
    <w:p w14:paraId="3A1803C9" w14:textId="5326731E" w:rsidR="006D01B0" w:rsidRDefault="006D01B0" w:rsidP="006D01B0">
      <w:pPr>
        <w:pStyle w:val="CETBodytext"/>
      </w:pPr>
      <w:r>
        <w:t xml:space="preserve">The evaluation of the methanation reaction in a reactor </w:t>
      </w:r>
      <w:r w:rsidR="00417C26">
        <w:t xml:space="preserve">was </w:t>
      </w:r>
      <w:r>
        <w:t xml:space="preserve">conducted through the implementation of a </w:t>
      </w:r>
      <w:r w:rsidRPr="004255C9">
        <w:rPr>
          <w:i/>
          <w:iCs/>
        </w:rPr>
        <w:t>RGibbs</w:t>
      </w:r>
      <w:r w:rsidR="00417C26">
        <w:rPr>
          <w:i/>
          <w:iCs/>
        </w:rPr>
        <w:t xml:space="preserve"> </w:t>
      </w:r>
      <w:r>
        <w:t xml:space="preserve">reactor </w:t>
      </w:r>
      <w:r w:rsidRPr="00DB3B69">
        <w:t>model</w:t>
      </w:r>
      <w:r>
        <w:t xml:space="preserve">, which calculates the chemical equilibrium by minimizing the Gibbs energy. </w:t>
      </w:r>
      <w:r w:rsidRPr="004255C9">
        <w:rPr>
          <w:lang w:val="en-GB"/>
        </w:rPr>
        <w:t>Soave</w:t>
      </w:r>
      <w:r w:rsidRPr="00621B52">
        <w:rPr>
          <w:lang w:val="en-GB"/>
        </w:rPr>
        <w:t>–</w:t>
      </w:r>
      <w:r w:rsidRPr="004255C9">
        <w:rPr>
          <w:lang w:val="en-GB"/>
        </w:rPr>
        <w:t>Redlich</w:t>
      </w:r>
      <w:r w:rsidRPr="00621B52">
        <w:rPr>
          <w:lang w:val="en-GB"/>
        </w:rPr>
        <w:t>–</w:t>
      </w:r>
      <w:r w:rsidRPr="004255C9">
        <w:rPr>
          <w:lang w:val="en-GB"/>
        </w:rPr>
        <w:t xml:space="preserve">Kwong </w:t>
      </w:r>
      <w:r>
        <w:rPr>
          <w:lang w:val="en-GB"/>
        </w:rPr>
        <w:t>(</w:t>
      </w:r>
      <w:r w:rsidRPr="00621B52">
        <w:t>S</w:t>
      </w:r>
      <w:r>
        <w:t xml:space="preserve">RK) thermodynamic model </w:t>
      </w:r>
      <w:r w:rsidRPr="00C8578F">
        <w:t>was used to provide satisfactory predictions at high temperature and pressure</w:t>
      </w:r>
      <w:r>
        <w:t xml:space="preserve"> (</w:t>
      </w:r>
      <w:r w:rsidR="00BD2ED2" w:rsidRPr="00F44EAE">
        <w:t>Kakoee</w:t>
      </w:r>
      <w:r w:rsidR="00417C26">
        <w:t xml:space="preserve"> </w:t>
      </w:r>
      <w:r>
        <w:t>and</w:t>
      </w:r>
      <w:r w:rsidR="00417C26">
        <w:t xml:space="preserve"> </w:t>
      </w:r>
      <w:r w:rsidR="00BD2ED2" w:rsidRPr="00F44EAE">
        <w:t>Gharehghani</w:t>
      </w:r>
      <w:r w:rsidRPr="00F44EAE">
        <w:t>, 2020)</w:t>
      </w:r>
      <w:r>
        <w:t>.</w:t>
      </w:r>
    </w:p>
    <w:p w14:paraId="46560093" w14:textId="77777777" w:rsidR="006D01B0" w:rsidRDefault="006D01B0" w:rsidP="006D01B0">
      <w:pPr>
        <w:pStyle w:val="CETheadingx"/>
      </w:pPr>
      <w:r>
        <w:t>Sensitivity Analysis</w:t>
      </w:r>
    </w:p>
    <w:p w14:paraId="6C60D6F9" w14:textId="7CD0EE80" w:rsidR="006D01B0" w:rsidRDefault="006D01B0" w:rsidP="006D01B0">
      <w:pPr>
        <w:pStyle w:val="CETBodytext"/>
        <w:rPr>
          <w:rFonts w:cs="Arial"/>
        </w:rPr>
      </w:pPr>
      <w:r>
        <w:rPr>
          <w:rFonts w:cs="Arial"/>
        </w:rPr>
        <w:t>S</w:t>
      </w:r>
      <w:r w:rsidRPr="00F4337C">
        <w:rPr>
          <w:rFonts w:cs="Arial"/>
        </w:rPr>
        <w:t>ensitivity analys</w:t>
      </w:r>
      <w:r>
        <w:rPr>
          <w:rFonts w:cs="Arial"/>
        </w:rPr>
        <w:t>e</w:t>
      </w:r>
      <w:r w:rsidRPr="00F4337C">
        <w:rPr>
          <w:rFonts w:cs="Arial"/>
        </w:rPr>
        <w:t>s of the methanation reaction in Aspen Plus w</w:t>
      </w:r>
      <w:r>
        <w:rPr>
          <w:rFonts w:cs="Arial"/>
        </w:rPr>
        <w:t>ere</w:t>
      </w:r>
      <w:r w:rsidRPr="00F4337C">
        <w:rPr>
          <w:rFonts w:cs="Arial"/>
        </w:rPr>
        <w:t xml:space="preserve"> </w:t>
      </w:r>
      <w:r w:rsidR="00417C26">
        <w:rPr>
          <w:rFonts w:cs="Arial"/>
        </w:rPr>
        <w:t xml:space="preserve">performed </w:t>
      </w:r>
      <w:r>
        <w:rPr>
          <w:rFonts w:cs="Arial"/>
        </w:rPr>
        <w:t>for a</w:t>
      </w:r>
      <w:r w:rsidRPr="00627D02">
        <w:rPr>
          <w:rFonts w:cs="Arial"/>
        </w:rPr>
        <w:t xml:space="preserve"> temperature range of </w:t>
      </w:r>
      <w:r>
        <w:rPr>
          <w:rFonts w:cs="Arial"/>
        </w:rPr>
        <w:t>300</w:t>
      </w:r>
      <w:r w:rsidRPr="00627D02">
        <w:rPr>
          <w:rFonts w:cs="Arial"/>
        </w:rPr>
        <w:t xml:space="preserve"> to </w:t>
      </w:r>
      <w:r>
        <w:rPr>
          <w:rFonts w:cs="Arial"/>
        </w:rPr>
        <w:t>850 K</w:t>
      </w:r>
      <w:r w:rsidRPr="00627D02">
        <w:rPr>
          <w:rFonts w:cs="Arial"/>
        </w:rPr>
        <w:t xml:space="preserve">, with 50 </w:t>
      </w:r>
      <w:r>
        <w:rPr>
          <w:rFonts w:cs="Arial"/>
        </w:rPr>
        <w:t>K</w:t>
      </w:r>
      <w:r w:rsidRPr="00627D02">
        <w:rPr>
          <w:rFonts w:cs="Arial"/>
        </w:rPr>
        <w:t xml:space="preserve"> increment</w:t>
      </w:r>
      <w:r>
        <w:rPr>
          <w:rFonts w:cs="Arial"/>
        </w:rPr>
        <w:t>s;</w:t>
      </w:r>
      <w:r w:rsidRPr="00627D02">
        <w:rPr>
          <w:rFonts w:cs="Arial"/>
        </w:rPr>
        <w:t xml:space="preserve"> pressures from </w:t>
      </w:r>
      <w:r>
        <w:rPr>
          <w:rFonts w:cs="Arial"/>
        </w:rPr>
        <w:t>0.1</w:t>
      </w:r>
      <w:r w:rsidRPr="00627D02">
        <w:rPr>
          <w:rFonts w:cs="Arial"/>
        </w:rPr>
        <w:t xml:space="preserve"> to </w:t>
      </w:r>
      <w:r>
        <w:rPr>
          <w:rFonts w:cs="Arial"/>
        </w:rPr>
        <w:t>5</w:t>
      </w:r>
      <w:r w:rsidRPr="00627D02">
        <w:rPr>
          <w:rFonts w:cs="Arial"/>
        </w:rPr>
        <w:t xml:space="preserve"> bar</w:t>
      </w:r>
      <w:r>
        <w:rPr>
          <w:rFonts w:cs="Arial"/>
        </w:rPr>
        <w:t>; and H</w:t>
      </w:r>
      <w:r w:rsidRPr="00627D02">
        <w:rPr>
          <w:rFonts w:cs="Arial"/>
          <w:vertAlign w:val="subscript"/>
        </w:rPr>
        <w:t>2</w:t>
      </w:r>
      <w:r>
        <w:rPr>
          <w:rFonts w:cs="Arial"/>
        </w:rPr>
        <w:t>/CO</w:t>
      </w:r>
      <w:r w:rsidRPr="00627D02">
        <w:rPr>
          <w:rFonts w:cs="Arial"/>
          <w:vertAlign w:val="subscript"/>
        </w:rPr>
        <w:t>2</w:t>
      </w:r>
      <w:r>
        <w:rPr>
          <w:rFonts w:cs="Arial"/>
        </w:rPr>
        <w:t>ratio from 2 to 8</w:t>
      </w:r>
      <w:r w:rsidRPr="00F4337C">
        <w:rPr>
          <w:rFonts w:cs="Arial"/>
        </w:rPr>
        <w:t xml:space="preserve">. </w:t>
      </w:r>
      <w:r>
        <w:rPr>
          <w:rFonts w:cs="Arial"/>
        </w:rPr>
        <w:t>T</w:t>
      </w:r>
      <w:r w:rsidRPr="00F4337C">
        <w:rPr>
          <w:rFonts w:cs="Arial"/>
        </w:rPr>
        <w:t xml:space="preserve">he variables </w:t>
      </w:r>
      <w:r w:rsidR="00417C26">
        <w:rPr>
          <w:rFonts w:cs="Arial"/>
        </w:rPr>
        <w:t xml:space="preserve">were </w:t>
      </w:r>
      <w:r w:rsidRPr="00F4337C">
        <w:rPr>
          <w:rFonts w:cs="Arial"/>
        </w:rPr>
        <w:t>adjusted to assess their impact on CO</w:t>
      </w:r>
      <w:r w:rsidRPr="00F4337C">
        <w:rPr>
          <w:rFonts w:cs="Arial"/>
          <w:vertAlign w:val="subscript"/>
        </w:rPr>
        <w:t>2</w:t>
      </w:r>
      <w:r w:rsidRPr="00F4337C">
        <w:rPr>
          <w:rFonts w:cs="Arial"/>
        </w:rPr>
        <w:t xml:space="preserve"> conversion and CH</w:t>
      </w:r>
      <w:r w:rsidRPr="00F4337C">
        <w:rPr>
          <w:rFonts w:cs="Arial"/>
          <w:vertAlign w:val="subscript"/>
        </w:rPr>
        <w:t>4</w:t>
      </w:r>
      <w:r w:rsidRPr="00F4337C">
        <w:rPr>
          <w:rFonts w:cs="Arial"/>
        </w:rPr>
        <w:t xml:space="preserve"> yield, </w:t>
      </w:r>
      <w:r>
        <w:rPr>
          <w:rFonts w:cs="Arial"/>
        </w:rPr>
        <w:t>calculated respectively by</w:t>
      </w:r>
      <w:r w:rsidR="00417C26">
        <w:rPr>
          <w:rFonts w:cs="Arial"/>
        </w:rPr>
        <w:t xml:space="preserve"> </w:t>
      </w:r>
      <w:proofErr w:type="gramStart"/>
      <w:r>
        <w:rPr>
          <w:rFonts w:cs="Arial"/>
        </w:rPr>
        <w:t>Eq</w:t>
      </w:r>
      <w:r w:rsidRPr="00F4337C">
        <w:rPr>
          <w:rFonts w:cs="Arial"/>
        </w:rPr>
        <w:t>(</w:t>
      </w:r>
      <w:proofErr w:type="gramEnd"/>
      <w:r>
        <w:rPr>
          <w:rFonts w:cs="Arial"/>
        </w:rPr>
        <w:t>2</w:t>
      </w:r>
      <w:r w:rsidRPr="00F4337C">
        <w:rPr>
          <w:rFonts w:cs="Arial"/>
        </w:rPr>
        <w:t xml:space="preserve">) and </w:t>
      </w:r>
      <w:proofErr w:type="gramStart"/>
      <w:r>
        <w:rPr>
          <w:rFonts w:cs="Arial"/>
        </w:rPr>
        <w:t>Eq</w:t>
      </w:r>
      <w:r w:rsidRPr="00F4337C">
        <w:rPr>
          <w:rFonts w:cs="Arial"/>
        </w:rPr>
        <w:t>(</w:t>
      </w:r>
      <w:proofErr w:type="gramEnd"/>
      <w:r>
        <w:rPr>
          <w:rFonts w:cs="Arial"/>
        </w:rPr>
        <w:t>3</w:t>
      </w:r>
      <w:r w:rsidRPr="00F4337C">
        <w:rPr>
          <w:rFonts w:cs="Arial"/>
        </w:rPr>
        <w:t>).</w:t>
      </w:r>
    </w:p>
    <w:tbl>
      <w:tblPr>
        <w:tblW w:w="5000" w:type="pct"/>
        <w:tblLook w:val="04A0" w:firstRow="1" w:lastRow="0" w:firstColumn="1" w:lastColumn="0" w:noHBand="0" w:noVBand="1"/>
      </w:tblPr>
      <w:tblGrid>
        <w:gridCol w:w="7825"/>
        <w:gridCol w:w="962"/>
      </w:tblGrid>
      <w:tr w:rsidR="006D01B0" w:rsidRPr="00490FDA" w14:paraId="6E5005E6" w14:textId="77777777" w:rsidTr="00E21919">
        <w:trPr>
          <w:trHeight w:val="520"/>
        </w:trPr>
        <w:tc>
          <w:tcPr>
            <w:tcW w:w="7825" w:type="dxa"/>
            <w:shd w:val="clear" w:color="auto" w:fill="auto"/>
            <w:vAlign w:val="center"/>
          </w:tcPr>
          <w:p w14:paraId="5A240AE9" w14:textId="77777777" w:rsidR="006D01B0" w:rsidRPr="00490FDA" w:rsidRDefault="006D01B0" w:rsidP="00E21919">
            <w:pPr>
              <w:pStyle w:val="CETEquation"/>
              <w:rPr>
                <w:iCs/>
                <w:sz w:val="14"/>
              </w:rPr>
            </w:pPr>
            <m:oMathPara>
              <m:oMathParaPr>
                <m:jc m:val="left"/>
              </m:oMathParaPr>
              <m:oMath>
                <m:r>
                  <m:rPr>
                    <m:sty m:val="p"/>
                  </m:rPr>
                  <w:rPr>
                    <w:rFonts w:ascii="Cambria Math" w:hAnsi="Cambria Math"/>
                    <w:sz w:val="14"/>
                    <w:lang w:val="en-US"/>
                  </w:rPr>
                  <m:t>% Coversion=100 x</m:t>
                </m:r>
                <m:f>
                  <m:fPr>
                    <m:ctrlPr>
                      <w:rPr>
                        <w:rFonts w:ascii="Cambria Math" w:hAnsi="Cambria Math"/>
                        <w:bCs/>
                        <w:iCs/>
                        <w:sz w:val="14"/>
                        <w:lang w:val="en-US"/>
                      </w:rPr>
                    </m:ctrlPr>
                  </m:fPr>
                  <m:num>
                    <m:r>
                      <m:rPr>
                        <m:sty m:val="p"/>
                      </m:rPr>
                      <w:rPr>
                        <w:rFonts w:ascii="Cambria Math" w:hAnsi="Cambria Math"/>
                        <w:sz w:val="14"/>
                        <w:lang w:val="en-US"/>
                      </w:rPr>
                      <m:t xml:space="preserve">mol </m:t>
                    </m:r>
                    <m:sSub>
                      <m:sSubPr>
                        <m:ctrlPr>
                          <w:rPr>
                            <w:rFonts w:ascii="Cambria Math" w:hAnsi="Cambria Math"/>
                            <w:sz w:val="14"/>
                            <w:lang w:val="en-US"/>
                          </w:rPr>
                        </m:ctrlPr>
                      </m:sSubPr>
                      <m:e>
                        <m:r>
                          <m:rPr>
                            <m:sty m:val="p"/>
                          </m:rPr>
                          <w:rPr>
                            <w:rFonts w:ascii="Cambria Math" w:hAnsi="Cambria Math"/>
                            <w:sz w:val="14"/>
                            <w:lang w:val="en-US"/>
                          </w:rPr>
                          <m:t>C</m:t>
                        </m:r>
                        <m:sSub>
                          <m:sSubPr>
                            <m:ctrlPr>
                              <w:rPr>
                                <w:rFonts w:ascii="Cambria Math" w:hAnsi="Cambria Math"/>
                                <w:sz w:val="14"/>
                                <w:lang w:val="en-US"/>
                              </w:rPr>
                            </m:ctrlPr>
                          </m:sSubPr>
                          <m:e>
                            <m:r>
                              <m:rPr>
                                <m:sty m:val="p"/>
                              </m:rPr>
                              <w:rPr>
                                <w:rFonts w:ascii="Cambria Math" w:hAnsi="Cambria Math"/>
                                <w:sz w:val="14"/>
                                <w:lang w:val="en-US"/>
                              </w:rPr>
                              <m:t>O</m:t>
                            </m:r>
                          </m:e>
                          <m:sub>
                            <m:r>
                              <m:rPr>
                                <m:sty m:val="p"/>
                              </m:rPr>
                              <w:rPr>
                                <w:rFonts w:ascii="Cambria Math" w:hAnsi="Cambria Math"/>
                                <w:sz w:val="14"/>
                                <w:lang w:val="en-US"/>
                              </w:rPr>
                              <m:t>2</m:t>
                            </m:r>
                          </m:sub>
                        </m:sSub>
                      </m:e>
                      <m:sub>
                        <m:r>
                          <m:rPr>
                            <m:sty m:val="p"/>
                          </m:rPr>
                          <w:rPr>
                            <w:rFonts w:ascii="Cambria Math" w:hAnsi="Cambria Math"/>
                            <w:sz w:val="14"/>
                            <w:lang w:val="en-US"/>
                          </w:rPr>
                          <m:t>inlet</m:t>
                        </m:r>
                      </m:sub>
                    </m:sSub>
                    <m:r>
                      <m:rPr>
                        <m:sty m:val="p"/>
                      </m:rPr>
                      <w:rPr>
                        <w:rFonts w:ascii="Cambria Math" w:hAnsi="Cambria Math"/>
                        <w:sz w:val="14"/>
                        <w:lang w:val="en-US"/>
                      </w:rPr>
                      <m:t>-</m:t>
                    </m:r>
                    <m:sSub>
                      <m:sSubPr>
                        <m:ctrlPr>
                          <w:rPr>
                            <w:rFonts w:ascii="Cambria Math" w:hAnsi="Cambria Math"/>
                            <w:sz w:val="14"/>
                            <w:lang w:val="en-US"/>
                          </w:rPr>
                        </m:ctrlPr>
                      </m:sSubPr>
                      <m:e>
                        <m:r>
                          <m:rPr>
                            <m:sty m:val="p"/>
                          </m:rPr>
                          <w:rPr>
                            <w:rFonts w:ascii="Cambria Math" w:hAnsi="Cambria Math"/>
                            <w:sz w:val="14"/>
                            <w:lang w:val="en-US"/>
                          </w:rPr>
                          <m:t>mol C</m:t>
                        </m:r>
                        <m:sSub>
                          <m:sSubPr>
                            <m:ctrlPr>
                              <w:rPr>
                                <w:rFonts w:ascii="Cambria Math" w:hAnsi="Cambria Math"/>
                                <w:sz w:val="14"/>
                                <w:lang w:val="en-US"/>
                              </w:rPr>
                            </m:ctrlPr>
                          </m:sSubPr>
                          <m:e>
                            <m:r>
                              <m:rPr>
                                <m:sty m:val="p"/>
                              </m:rPr>
                              <w:rPr>
                                <w:rFonts w:ascii="Cambria Math" w:hAnsi="Cambria Math"/>
                                <w:sz w:val="14"/>
                                <w:lang w:val="en-US"/>
                              </w:rPr>
                              <m:t>O</m:t>
                            </m:r>
                          </m:e>
                          <m:sub>
                            <m:r>
                              <m:rPr>
                                <m:sty m:val="p"/>
                              </m:rPr>
                              <w:rPr>
                                <w:rFonts w:ascii="Cambria Math" w:hAnsi="Cambria Math"/>
                                <w:sz w:val="14"/>
                                <w:lang w:val="en-US"/>
                              </w:rPr>
                              <m:t>2</m:t>
                            </m:r>
                          </m:sub>
                        </m:sSub>
                      </m:e>
                      <m:sub>
                        <m:r>
                          <m:rPr>
                            <m:sty m:val="p"/>
                          </m:rPr>
                          <w:rPr>
                            <w:rFonts w:ascii="Cambria Math" w:hAnsi="Cambria Math"/>
                            <w:sz w:val="14"/>
                            <w:lang w:val="en-US"/>
                          </w:rPr>
                          <m:t>outlet</m:t>
                        </m:r>
                      </m:sub>
                    </m:sSub>
                  </m:num>
                  <m:den>
                    <m:r>
                      <m:rPr>
                        <m:sty m:val="p"/>
                      </m:rPr>
                      <w:rPr>
                        <w:rFonts w:ascii="Cambria Math" w:hAnsi="Cambria Math"/>
                        <w:sz w:val="14"/>
                        <w:lang w:val="en-US"/>
                      </w:rPr>
                      <m:t xml:space="preserve">mol </m:t>
                    </m:r>
                    <m:sSub>
                      <m:sSubPr>
                        <m:ctrlPr>
                          <w:rPr>
                            <w:rFonts w:ascii="Cambria Math" w:hAnsi="Cambria Math"/>
                            <w:sz w:val="14"/>
                            <w:lang w:val="en-US"/>
                          </w:rPr>
                        </m:ctrlPr>
                      </m:sSubPr>
                      <m:e>
                        <m:r>
                          <m:rPr>
                            <m:sty m:val="p"/>
                          </m:rPr>
                          <w:rPr>
                            <w:rFonts w:ascii="Cambria Math" w:hAnsi="Cambria Math"/>
                            <w:sz w:val="14"/>
                            <w:lang w:val="en-US"/>
                          </w:rPr>
                          <m:t>C</m:t>
                        </m:r>
                        <m:sSub>
                          <m:sSubPr>
                            <m:ctrlPr>
                              <w:rPr>
                                <w:rFonts w:ascii="Cambria Math" w:hAnsi="Cambria Math"/>
                                <w:sz w:val="14"/>
                                <w:lang w:val="en-US"/>
                              </w:rPr>
                            </m:ctrlPr>
                          </m:sSubPr>
                          <m:e>
                            <m:r>
                              <m:rPr>
                                <m:sty m:val="p"/>
                              </m:rPr>
                              <w:rPr>
                                <w:rFonts w:ascii="Cambria Math" w:hAnsi="Cambria Math"/>
                                <w:sz w:val="14"/>
                                <w:lang w:val="en-US"/>
                              </w:rPr>
                              <m:t>O</m:t>
                            </m:r>
                          </m:e>
                          <m:sub>
                            <m:r>
                              <m:rPr>
                                <m:sty m:val="p"/>
                              </m:rPr>
                              <w:rPr>
                                <w:rFonts w:ascii="Cambria Math" w:hAnsi="Cambria Math"/>
                                <w:sz w:val="14"/>
                                <w:lang w:val="en-US"/>
                              </w:rPr>
                              <m:t>2</m:t>
                            </m:r>
                          </m:sub>
                        </m:sSub>
                      </m:e>
                      <m:sub>
                        <m:r>
                          <m:rPr>
                            <m:sty m:val="p"/>
                          </m:rPr>
                          <w:rPr>
                            <w:rFonts w:ascii="Cambria Math" w:hAnsi="Cambria Math"/>
                            <w:sz w:val="14"/>
                            <w:lang w:val="en-US"/>
                          </w:rPr>
                          <m:t>inlet</m:t>
                        </m:r>
                      </m:sub>
                    </m:sSub>
                  </m:den>
                </m:f>
              </m:oMath>
            </m:oMathPara>
          </w:p>
        </w:tc>
        <w:tc>
          <w:tcPr>
            <w:tcW w:w="962" w:type="dxa"/>
            <w:shd w:val="clear" w:color="auto" w:fill="auto"/>
            <w:vAlign w:val="center"/>
          </w:tcPr>
          <w:p w14:paraId="33C3819C" w14:textId="77777777" w:rsidR="006D01B0" w:rsidRPr="00490FDA" w:rsidRDefault="006D01B0" w:rsidP="00E21919">
            <w:pPr>
              <w:pStyle w:val="CETEquation"/>
              <w:jc w:val="right"/>
              <w:rPr>
                <w:sz w:val="14"/>
              </w:rPr>
            </w:pPr>
            <w:r w:rsidRPr="00490FDA">
              <w:rPr>
                <w:sz w:val="14"/>
              </w:rPr>
              <w:t>(</w:t>
            </w:r>
            <w:r>
              <w:rPr>
                <w:sz w:val="14"/>
              </w:rPr>
              <w:t>2</w:t>
            </w:r>
            <w:r w:rsidRPr="00490FDA">
              <w:rPr>
                <w:sz w:val="14"/>
              </w:rPr>
              <w:t>)</w:t>
            </w:r>
          </w:p>
        </w:tc>
      </w:tr>
      <w:tr w:rsidR="006D01B0" w:rsidRPr="00490FDA" w14:paraId="0E0A4962" w14:textId="77777777" w:rsidTr="00E21919">
        <w:trPr>
          <w:trHeight w:val="532"/>
        </w:trPr>
        <w:tc>
          <w:tcPr>
            <w:tcW w:w="7825" w:type="dxa"/>
            <w:shd w:val="clear" w:color="auto" w:fill="auto"/>
            <w:vAlign w:val="center"/>
          </w:tcPr>
          <w:p w14:paraId="0EFF4CA8" w14:textId="77777777" w:rsidR="006D01B0" w:rsidRPr="00490FDA" w:rsidRDefault="006D01B0" w:rsidP="00E21919">
            <w:pPr>
              <w:pStyle w:val="CETEquation"/>
              <w:rPr>
                <w:iCs/>
                <w:sz w:val="14"/>
              </w:rPr>
            </w:pPr>
            <m:oMathPara>
              <m:oMathParaPr>
                <m:jc m:val="left"/>
              </m:oMathParaPr>
              <m:oMath>
                <m:r>
                  <m:rPr>
                    <m:sty m:val="p"/>
                  </m:rPr>
                  <w:rPr>
                    <w:rFonts w:ascii="Cambria Math" w:hAnsi="Cambria Math"/>
                    <w:sz w:val="14"/>
                    <w:lang w:val="en-US"/>
                  </w:rPr>
                  <m:t>% Yield=100x</m:t>
                </m:r>
                <m:f>
                  <m:fPr>
                    <m:ctrlPr>
                      <w:rPr>
                        <w:rFonts w:ascii="Cambria Math" w:hAnsi="Cambria Math"/>
                        <w:sz w:val="14"/>
                        <w:lang w:val="en-US"/>
                      </w:rPr>
                    </m:ctrlPr>
                  </m:fPr>
                  <m:num>
                    <m:r>
                      <m:rPr>
                        <m:sty m:val="p"/>
                      </m:rPr>
                      <w:rPr>
                        <w:rFonts w:ascii="Cambria Math" w:hAnsi="Cambria Math"/>
                        <w:sz w:val="14"/>
                        <w:lang w:val="en-US"/>
                      </w:rPr>
                      <m:t xml:space="preserve">mol </m:t>
                    </m:r>
                    <m:sSub>
                      <m:sSubPr>
                        <m:ctrlPr>
                          <w:rPr>
                            <w:rFonts w:ascii="Cambria Math" w:hAnsi="Cambria Math"/>
                            <w:sz w:val="14"/>
                            <w:lang w:val="en-US"/>
                          </w:rPr>
                        </m:ctrlPr>
                      </m:sSubPr>
                      <m:e>
                        <m:sSub>
                          <m:sSubPr>
                            <m:ctrlPr>
                              <w:rPr>
                                <w:rFonts w:ascii="Cambria Math" w:hAnsi="Cambria Math"/>
                                <w:sz w:val="14"/>
                                <w:lang w:val="en-US"/>
                              </w:rPr>
                            </m:ctrlPr>
                          </m:sSubPr>
                          <m:e>
                            <m:r>
                              <m:rPr>
                                <m:sty m:val="p"/>
                              </m:rPr>
                              <w:rPr>
                                <w:rFonts w:ascii="Cambria Math" w:hAnsi="Cambria Math"/>
                                <w:sz w:val="14"/>
                                <w:lang w:val="en-US"/>
                              </w:rPr>
                              <m:t>CH</m:t>
                            </m:r>
                          </m:e>
                          <m:sub>
                            <m:r>
                              <m:rPr>
                                <m:sty m:val="p"/>
                              </m:rPr>
                              <w:rPr>
                                <w:rFonts w:ascii="Cambria Math" w:hAnsi="Cambria Math"/>
                                <w:sz w:val="14"/>
                                <w:lang w:val="en-US"/>
                              </w:rPr>
                              <m:t>4</m:t>
                            </m:r>
                          </m:sub>
                        </m:sSub>
                      </m:e>
                      <m:sub>
                        <m:r>
                          <m:rPr>
                            <m:sty m:val="p"/>
                          </m:rPr>
                          <w:rPr>
                            <w:rFonts w:ascii="Cambria Math" w:hAnsi="Cambria Math"/>
                            <w:sz w:val="14"/>
                            <w:lang w:val="en-US"/>
                          </w:rPr>
                          <m:t>outlet</m:t>
                        </m:r>
                      </m:sub>
                    </m:sSub>
                  </m:num>
                  <m:den>
                    <m:r>
                      <m:rPr>
                        <m:sty m:val="p"/>
                      </m:rPr>
                      <w:rPr>
                        <w:rFonts w:ascii="Cambria Math" w:hAnsi="Cambria Math"/>
                        <w:sz w:val="14"/>
                        <w:lang w:val="en-US"/>
                      </w:rPr>
                      <m:t>mol C</m:t>
                    </m:r>
                    <m:sSub>
                      <m:sSubPr>
                        <m:ctrlPr>
                          <w:rPr>
                            <w:rFonts w:ascii="Cambria Math" w:hAnsi="Cambria Math"/>
                            <w:sz w:val="14"/>
                            <w:lang w:val="en-US"/>
                          </w:rPr>
                        </m:ctrlPr>
                      </m:sSubPr>
                      <m:e>
                        <m:r>
                          <m:rPr>
                            <m:sty m:val="p"/>
                          </m:rPr>
                          <w:rPr>
                            <w:rFonts w:ascii="Cambria Math" w:hAnsi="Cambria Math"/>
                            <w:sz w:val="14"/>
                            <w:lang w:val="en-US"/>
                          </w:rPr>
                          <m:t>O</m:t>
                        </m:r>
                      </m:e>
                      <m:sub>
                        <m:sSub>
                          <m:sSubPr>
                            <m:ctrlPr>
                              <w:rPr>
                                <w:rFonts w:ascii="Cambria Math" w:hAnsi="Cambria Math"/>
                                <w:sz w:val="14"/>
                                <w:lang w:val="en-US"/>
                              </w:rPr>
                            </m:ctrlPr>
                          </m:sSubPr>
                          <m:e>
                            <m:r>
                              <m:rPr>
                                <m:sty m:val="p"/>
                              </m:rPr>
                              <w:rPr>
                                <w:rFonts w:ascii="Cambria Math" w:hAnsi="Cambria Math"/>
                                <w:sz w:val="14"/>
                                <w:lang w:val="en-US"/>
                              </w:rPr>
                              <m:t>2</m:t>
                            </m:r>
                          </m:e>
                          <m:sub>
                            <m:r>
                              <m:rPr>
                                <m:sty m:val="p"/>
                              </m:rPr>
                              <w:rPr>
                                <w:rFonts w:ascii="Cambria Math" w:hAnsi="Cambria Math"/>
                                <w:sz w:val="14"/>
                                <w:lang w:val="en-US"/>
                              </w:rPr>
                              <m:t>inlet</m:t>
                            </m:r>
                          </m:sub>
                        </m:sSub>
                      </m:sub>
                    </m:sSub>
                  </m:den>
                </m:f>
              </m:oMath>
            </m:oMathPara>
          </w:p>
        </w:tc>
        <w:tc>
          <w:tcPr>
            <w:tcW w:w="962" w:type="dxa"/>
            <w:shd w:val="clear" w:color="auto" w:fill="auto"/>
            <w:vAlign w:val="center"/>
          </w:tcPr>
          <w:p w14:paraId="732C857F" w14:textId="77777777" w:rsidR="006D01B0" w:rsidRPr="00490FDA" w:rsidRDefault="006D01B0" w:rsidP="00E21919">
            <w:pPr>
              <w:pStyle w:val="CETEquation"/>
              <w:jc w:val="right"/>
              <w:rPr>
                <w:sz w:val="14"/>
              </w:rPr>
            </w:pPr>
            <w:r w:rsidRPr="00490FDA">
              <w:rPr>
                <w:sz w:val="14"/>
              </w:rPr>
              <w:t>(</w:t>
            </w:r>
            <w:r>
              <w:rPr>
                <w:sz w:val="14"/>
              </w:rPr>
              <w:t>3</w:t>
            </w:r>
            <w:r w:rsidRPr="00490FDA">
              <w:rPr>
                <w:sz w:val="14"/>
              </w:rPr>
              <w:t>)</w:t>
            </w:r>
          </w:p>
        </w:tc>
      </w:tr>
    </w:tbl>
    <w:p w14:paraId="3BADEBF9" w14:textId="77777777" w:rsidR="006D01B0" w:rsidRDefault="006D01B0" w:rsidP="006D01B0">
      <w:pPr>
        <w:pStyle w:val="CETBodytext"/>
      </w:pPr>
    </w:p>
    <w:p w14:paraId="1A429237" w14:textId="77777777" w:rsidR="006D01B0" w:rsidRDefault="006D01B0" w:rsidP="006D01B0">
      <w:pPr>
        <w:pStyle w:val="CETheadingx"/>
      </w:pPr>
      <w:r>
        <w:t>CO</w:t>
      </w:r>
      <w:r w:rsidRPr="00155DA5">
        <w:rPr>
          <w:vertAlign w:val="subscript"/>
        </w:rPr>
        <w:t>2</w:t>
      </w:r>
      <w:r>
        <w:t xml:space="preserve"> Methanation process with ESR as a hydrogen source</w:t>
      </w:r>
    </w:p>
    <w:p w14:paraId="06F00AE5" w14:textId="254AC3D3" w:rsidR="006D01B0" w:rsidRDefault="006D01B0" w:rsidP="006D01B0">
      <w:pPr>
        <w:pStyle w:val="CETBodytext"/>
      </w:pPr>
      <w:r w:rsidRPr="00DF0BE8">
        <w:t xml:space="preserve">The </w:t>
      </w:r>
      <w:r w:rsidR="00DB7FE3">
        <w:t xml:space="preserve">proposed </w:t>
      </w:r>
      <w:r w:rsidRPr="00DF0BE8">
        <w:t xml:space="preserve">process integrates </w:t>
      </w:r>
      <w:r>
        <w:t xml:space="preserve">ethanol </w:t>
      </w:r>
      <w:r w:rsidRPr="00DF0BE8">
        <w:t>steam reforming as a source of hydrogen and the subsequent methanation reaction to produce methane</w:t>
      </w:r>
      <w:r>
        <w:t xml:space="preserve"> (see Figure 1a)</w:t>
      </w:r>
      <w:r w:rsidRPr="00DF0BE8">
        <w:t>. First, ethanol and steam are mixed and heated to promote steam reforming in the E</w:t>
      </w:r>
      <w:r>
        <w:t>S</w:t>
      </w:r>
      <w:r w:rsidRPr="00DF0BE8">
        <w:t xml:space="preserve">R reactor, where ethanol is converted to a gas </w:t>
      </w:r>
      <w:r w:rsidRPr="00F4337C">
        <w:rPr>
          <w:rFonts w:cs="Arial"/>
        </w:rPr>
        <w:t>mixture rich in H</w:t>
      </w:r>
      <w:r w:rsidRPr="00F4337C">
        <w:rPr>
          <w:rFonts w:cs="Arial"/>
          <w:vertAlign w:val="subscript"/>
        </w:rPr>
        <w:t>2</w:t>
      </w:r>
      <w:r w:rsidRPr="00F4337C">
        <w:rPr>
          <w:rFonts w:cs="Arial"/>
        </w:rPr>
        <w:t>, CO</w:t>
      </w:r>
      <w:r>
        <w:rPr>
          <w:rFonts w:cs="Arial"/>
        </w:rPr>
        <w:t>,</w:t>
      </w:r>
      <w:r w:rsidRPr="00F4337C">
        <w:rPr>
          <w:rFonts w:cs="Arial"/>
        </w:rPr>
        <w:t xml:space="preserve"> and CO</w:t>
      </w:r>
      <w:r w:rsidRPr="00F4337C">
        <w:rPr>
          <w:rFonts w:cs="Arial"/>
          <w:vertAlign w:val="subscript"/>
        </w:rPr>
        <w:t>2</w:t>
      </w:r>
      <w:r w:rsidRPr="00F4337C">
        <w:rPr>
          <w:rFonts w:cs="Arial"/>
        </w:rPr>
        <w:t xml:space="preserve">. The gas stream is cooled to </w:t>
      </w:r>
      <w:r>
        <w:rPr>
          <w:rFonts w:cs="Arial"/>
        </w:rPr>
        <w:t>473.15 K</w:t>
      </w:r>
      <w:r w:rsidRPr="00F4337C">
        <w:rPr>
          <w:rFonts w:cs="Arial"/>
        </w:rPr>
        <w:t xml:space="preserve"> and sent to the membrane module where</w:t>
      </w:r>
      <w:r>
        <w:rPr>
          <w:rFonts w:cs="Arial"/>
        </w:rPr>
        <w:t xml:space="preserve"> H</w:t>
      </w:r>
      <w:r w:rsidRPr="004255C9">
        <w:rPr>
          <w:rFonts w:cs="Arial"/>
          <w:vertAlign w:val="subscript"/>
        </w:rPr>
        <w:t>2</w:t>
      </w:r>
      <w:r w:rsidRPr="00F4337C">
        <w:rPr>
          <w:rFonts w:cs="Arial"/>
        </w:rPr>
        <w:t xml:space="preserve"> is partially purified and</w:t>
      </w:r>
      <w:r w:rsidRPr="00DF0BE8">
        <w:t xml:space="preserve"> separated for process optimization. A portion of the non-permeated gas is recirculated and remixed to adjust the H</w:t>
      </w:r>
      <w:r w:rsidRPr="00F4337C">
        <w:rPr>
          <w:vertAlign w:val="subscript"/>
        </w:rPr>
        <w:t>2</w:t>
      </w:r>
      <w:r>
        <w:t>/</w:t>
      </w:r>
      <w:r w:rsidRPr="00DF0BE8">
        <w:t>CO</w:t>
      </w:r>
      <w:r w:rsidRPr="00F4337C">
        <w:rPr>
          <w:vertAlign w:val="subscript"/>
        </w:rPr>
        <w:t>2</w:t>
      </w:r>
      <w:r w:rsidRPr="00DF0BE8">
        <w:t xml:space="preserve"> ratio before being </w:t>
      </w:r>
      <w:r>
        <w:t>sent</w:t>
      </w:r>
      <w:r w:rsidRPr="00DF0BE8">
        <w:t xml:space="preserve"> to the methanation reactor (METR). This reactor is operated at high temperature (573 K) and moderate pressure (5 bar)</w:t>
      </w:r>
      <w:r>
        <w:t xml:space="preserve">, based on thermodynamic evaluation. </w:t>
      </w:r>
      <w:r w:rsidRPr="00DF0BE8">
        <w:t xml:space="preserve">The resulting gas is cooled to </w:t>
      </w:r>
      <w:r>
        <w:t>298.15 K</w:t>
      </w:r>
      <w:r w:rsidRPr="00DF0BE8">
        <w:t>, which favors the condensation of water</w:t>
      </w:r>
      <w:r>
        <w:t xml:space="preserve"> that</w:t>
      </w:r>
      <w:r w:rsidRPr="00DF0BE8">
        <w:t xml:space="preserve"> is separated </w:t>
      </w:r>
      <w:proofErr w:type="gramStart"/>
      <w:r w:rsidRPr="00DF0BE8">
        <w:t>in</w:t>
      </w:r>
      <w:proofErr w:type="gramEnd"/>
      <w:r w:rsidRPr="00DF0BE8">
        <w:t xml:space="preserve"> the final unit, resulting in a methane-rich stream. The </w:t>
      </w:r>
      <w:r>
        <w:t>SRK</w:t>
      </w:r>
      <w:r w:rsidRPr="00DF0BE8">
        <w:t xml:space="preserve"> model is used throughout the process to accurately describe the behavior of the gases and ensure thermodynamic equilibrium in the reforming, separation</w:t>
      </w:r>
      <w:r>
        <w:t>,</w:t>
      </w:r>
      <w:r w:rsidRPr="00DF0BE8">
        <w:t xml:space="preserve"> and methanation stages.</w:t>
      </w:r>
    </w:p>
    <w:p w14:paraId="41DEAE89" w14:textId="77777777" w:rsidR="006D01B0" w:rsidRDefault="006D01B0" w:rsidP="006D01B0">
      <w:pPr>
        <w:pStyle w:val="CETheadingx"/>
      </w:pPr>
      <w:r>
        <w:lastRenderedPageBreak/>
        <w:t>CO</w:t>
      </w:r>
      <w:r w:rsidRPr="00155DA5">
        <w:rPr>
          <w:vertAlign w:val="subscript"/>
        </w:rPr>
        <w:t>2</w:t>
      </w:r>
      <w:r>
        <w:t xml:space="preserve"> Methanation process with water electrolysis as a hydrogen source</w:t>
      </w:r>
    </w:p>
    <w:p w14:paraId="16DA9237" w14:textId="77777777" w:rsidR="006D01B0" w:rsidRDefault="006D01B0" w:rsidP="006D01B0">
      <w:pPr>
        <w:pStyle w:val="CETBodytext"/>
      </w:pPr>
      <w:r w:rsidRPr="00164A7C">
        <w:t>In the methanation process with hydrogen production by alkaline water electrolysis</w:t>
      </w:r>
      <w:r>
        <w:t xml:space="preserve"> (see Figure 1b)</w:t>
      </w:r>
      <w:r w:rsidRPr="00164A7C">
        <w:t>, the ELECNRTL thermodynamic model was used to describe the electrolytic system, followed by the methanation reaction with CO</w:t>
      </w:r>
      <w:r w:rsidRPr="00164A7C">
        <w:rPr>
          <w:rFonts w:cs="Arial"/>
          <w:vertAlign w:val="subscript"/>
        </w:rPr>
        <w:t>2</w:t>
      </w:r>
      <w:r w:rsidRPr="00164A7C">
        <w:t xml:space="preserve"> in a reactor operated with the SR</w:t>
      </w:r>
      <w:r>
        <w:t>K</w:t>
      </w:r>
      <w:r w:rsidRPr="00164A7C">
        <w:t xml:space="preserve"> model. In electrolysis, water is decomposed into hydrogen and oxygen with a workload </w:t>
      </w:r>
      <w:r>
        <w:t>calculated</w:t>
      </w:r>
      <w:r w:rsidRPr="00164A7C">
        <w:t xml:space="preserve"> to produce the H</w:t>
      </w:r>
      <w:r w:rsidRPr="00164A7C">
        <w:rPr>
          <w:rFonts w:cs="Arial"/>
          <w:vertAlign w:val="subscript"/>
        </w:rPr>
        <w:t>2</w:t>
      </w:r>
      <w:r w:rsidR="00DB7FE3">
        <w:rPr>
          <w:rFonts w:cs="Arial"/>
          <w:vertAlign w:val="subscript"/>
        </w:rPr>
        <w:t xml:space="preserve"> </w:t>
      </w:r>
      <w:r>
        <w:t>flow</w:t>
      </w:r>
      <w:r w:rsidRPr="00164A7C">
        <w:t xml:space="preserve"> to achieve the previously studied H</w:t>
      </w:r>
      <w:r w:rsidRPr="00164A7C">
        <w:rPr>
          <w:rFonts w:cs="Arial"/>
          <w:vertAlign w:val="subscript"/>
        </w:rPr>
        <w:t>2</w:t>
      </w:r>
      <w:r w:rsidRPr="00164A7C">
        <w:t>/CO</w:t>
      </w:r>
      <w:r w:rsidRPr="00164A7C">
        <w:rPr>
          <w:rFonts w:cs="Arial"/>
          <w:vertAlign w:val="subscript"/>
        </w:rPr>
        <w:t>2</w:t>
      </w:r>
      <w:r w:rsidRPr="00164A7C">
        <w:t>ratio at 80</w:t>
      </w:r>
      <w:r w:rsidRPr="00164A7C">
        <w:rPr>
          <w:rFonts w:cs="Arial"/>
        </w:rPr>
        <w:t>°</w:t>
      </w:r>
      <w:r w:rsidRPr="00164A7C">
        <w:t>C, considering a cell potential of 1.8 V (</w:t>
      </w:r>
      <w:r w:rsidR="00BD2ED2">
        <w:t xml:space="preserve">Sánchez </w:t>
      </w:r>
      <w:r>
        <w:t>et al., 2020</w:t>
      </w:r>
      <w:r w:rsidRPr="00164A7C">
        <w:t>). The hydrogen produced is mixed with CO</w:t>
      </w:r>
      <w:r w:rsidRPr="00164A7C">
        <w:rPr>
          <w:rFonts w:cs="Arial"/>
          <w:vertAlign w:val="subscript"/>
        </w:rPr>
        <w:t>2</w:t>
      </w:r>
      <w:r w:rsidRPr="00164A7C">
        <w:t>, heated</w:t>
      </w:r>
      <w:r>
        <w:t>,</w:t>
      </w:r>
      <w:r w:rsidRPr="00164A7C">
        <w:t xml:space="preserve"> and fed to the methanation reactor where CH</w:t>
      </w:r>
      <w:r w:rsidRPr="00164A7C">
        <w:rPr>
          <w:rFonts w:cs="Arial"/>
          <w:vertAlign w:val="subscript"/>
        </w:rPr>
        <w:t>4</w:t>
      </w:r>
      <w:r w:rsidRPr="00164A7C">
        <w:t xml:space="preserve"> is exothermically synthesized, with subsequent cooling, separation</w:t>
      </w:r>
      <w:r>
        <w:t>,</w:t>
      </w:r>
      <w:r w:rsidRPr="00164A7C">
        <w:t xml:space="preserve"> and gas recycling steps to optimize the process.</w:t>
      </w:r>
    </w:p>
    <w:p w14:paraId="5A2816A7" w14:textId="77777777" w:rsidR="006D01B0" w:rsidRDefault="006D01B0" w:rsidP="006D01B0">
      <w:pPr>
        <w:pStyle w:val="CETheadingx"/>
      </w:pPr>
      <w:r>
        <w:t>Energy Analysis</w:t>
      </w:r>
    </w:p>
    <w:p w14:paraId="4EF9FA3B" w14:textId="77777777" w:rsidR="006D01B0" w:rsidRDefault="006D01B0" w:rsidP="006D01B0">
      <w:pPr>
        <w:pStyle w:val="CETBodytext"/>
      </w:pPr>
      <w:r w:rsidRPr="00615E6D">
        <w:t>An overall energy analysis was performed, considering the energy requirements of each operation. The energy requirements in each production, compression, delivery</w:t>
      </w:r>
      <w:r>
        <w:t>,</w:t>
      </w:r>
      <w:r w:rsidRPr="00615E6D">
        <w:t xml:space="preserve"> and distribution unit were compared for both processes, as well as the feed and product flows at each stage.</w:t>
      </w:r>
    </w:p>
    <w:p w14:paraId="6701830C" w14:textId="77777777" w:rsidR="006D01B0" w:rsidRDefault="006D01B0" w:rsidP="00453E24">
      <w:pPr>
        <w:pStyle w:val="CETBodytext"/>
      </w:pPr>
    </w:p>
    <w:p w14:paraId="400D467D" w14:textId="77777777" w:rsidR="006D01B0" w:rsidRDefault="008414B9" w:rsidP="006D01B0">
      <w:pPr>
        <w:pStyle w:val="CETBodytext"/>
      </w:pPr>
      <w:r>
        <w:rPr>
          <w:noProof/>
          <w:lang w:val="pt-BR" w:eastAsia="pt-BR"/>
        </w:rPr>
        <w:drawing>
          <wp:inline distT="0" distB="0" distL="0" distR="0" wp14:anchorId="35B3B7FB" wp14:editId="7D86EC05">
            <wp:extent cx="5150901" cy="4495572"/>
            <wp:effectExtent l="0" t="0" r="0" b="635"/>
            <wp:docPr id="932694712" name="Picture 9"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94712" name="Picture 9" descr="A screenshot of a computer game&#10;&#10;Description automatically generated"/>
                    <pic:cNvPicPr/>
                  </pic:nvPicPr>
                  <pic:blipFill rotWithShape="1">
                    <a:blip r:embed="rId10"/>
                    <a:srcRect t="1172"/>
                    <a:stretch/>
                  </pic:blipFill>
                  <pic:spPr bwMode="auto">
                    <a:xfrm>
                      <a:off x="0" y="0"/>
                      <a:ext cx="5171411" cy="4513473"/>
                    </a:xfrm>
                    <a:prstGeom prst="rect">
                      <a:avLst/>
                    </a:prstGeom>
                    <a:ln>
                      <a:noFill/>
                    </a:ln>
                    <a:extLst>
                      <a:ext uri="{53640926-AAD7-44D8-BBD7-CCE9431645EC}">
                        <a14:shadowObscured xmlns:a14="http://schemas.microsoft.com/office/drawing/2010/main"/>
                      </a:ext>
                    </a:extLst>
                  </pic:spPr>
                </pic:pic>
              </a:graphicData>
            </a:graphic>
          </wp:inline>
        </w:drawing>
      </w:r>
    </w:p>
    <w:p w14:paraId="58560F29" w14:textId="77777777" w:rsidR="006D01B0" w:rsidRDefault="006D01B0" w:rsidP="006D01B0">
      <w:pPr>
        <w:pStyle w:val="CETTabletitle"/>
      </w:pPr>
      <w:r>
        <w:rPr>
          <w:rStyle w:val="CETCaptionCarattere"/>
          <w:i/>
        </w:rPr>
        <w:t>Figure 1: Methanation process flowchart using (a) ethanol steam reform as a hydrogen source; (b) alkaline water electrolysis as a hydrogen source</w:t>
      </w:r>
    </w:p>
    <w:p w14:paraId="78908B5B" w14:textId="77777777" w:rsidR="00600535" w:rsidRPr="00411148" w:rsidRDefault="00411148" w:rsidP="00411148">
      <w:pPr>
        <w:pStyle w:val="CETHeading1"/>
        <w:tabs>
          <w:tab w:val="clear" w:pos="360"/>
          <w:tab w:val="right" w:pos="7100"/>
        </w:tabs>
        <w:jc w:val="both"/>
        <w:rPr>
          <w:lang w:val="en-GB"/>
        </w:rPr>
      </w:pPr>
      <w:r>
        <w:rPr>
          <w:lang w:val="en-GB"/>
        </w:rPr>
        <w:t>Results and discussion</w:t>
      </w:r>
    </w:p>
    <w:p w14:paraId="5C3F1EBD" w14:textId="01B8D0EB" w:rsidR="00600535" w:rsidRDefault="00946053" w:rsidP="00985A39">
      <w:pPr>
        <w:pStyle w:val="CETBodytext"/>
      </w:pPr>
      <w:r>
        <w:t>T</w:t>
      </w:r>
      <w:r w:rsidR="00985A39" w:rsidRPr="00985A39">
        <w:t>hermodynamic analys</w:t>
      </w:r>
      <w:r>
        <w:t>es</w:t>
      </w:r>
      <w:r w:rsidR="00985A39" w:rsidRPr="00985A39">
        <w:t xml:space="preserve"> of CO</w:t>
      </w:r>
      <w:r w:rsidR="00985A39" w:rsidRPr="00985A39">
        <w:rPr>
          <w:rFonts w:ascii="Cambria Math" w:hAnsi="Cambria Math" w:cs="Cambria Math"/>
        </w:rPr>
        <w:t>₂</w:t>
      </w:r>
      <w:r w:rsidR="00985A39" w:rsidRPr="00985A39">
        <w:t xml:space="preserve"> methanation </w:t>
      </w:r>
      <w:r>
        <w:t>are</w:t>
      </w:r>
      <w:r w:rsidR="00985A39" w:rsidRPr="00985A39">
        <w:t xml:space="preserve"> illustrated </w:t>
      </w:r>
      <w:r w:rsidR="00985A39">
        <w:t xml:space="preserve">in </w:t>
      </w:r>
      <w:r w:rsidR="00F96EAE">
        <w:t>Figure 2</w:t>
      </w:r>
      <w:r w:rsidR="00985A39" w:rsidRPr="00985A39">
        <w:t>. These graphs demonstrate significant relationships between temperature, pressure, and the H</w:t>
      </w:r>
      <w:r w:rsidR="00985A39" w:rsidRPr="00985A39">
        <w:rPr>
          <w:vertAlign w:val="subscript"/>
        </w:rPr>
        <w:t>2</w:t>
      </w:r>
      <w:r w:rsidR="00985A39" w:rsidRPr="00985A39">
        <w:t>/CO</w:t>
      </w:r>
      <w:r w:rsidR="00985A39" w:rsidRPr="00985A39">
        <w:rPr>
          <w:vertAlign w:val="subscript"/>
        </w:rPr>
        <w:t>2</w:t>
      </w:r>
      <w:r w:rsidR="00985A39" w:rsidRPr="00985A39">
        <w:t xml:space="preserve"> molar </w:t>
      </w:r>
      <w:r>
        <w:t>ratio</w:t>
      </w:r>
      <w:r w:rsidR="000D0842">
        <w:t xml:space="preserve">, </w:t>
      </w:r>
      <w:r w:rsidR="00FC2C95">
        <w:t>and their influence on</w:t>
      </w:r>
      <w:r w:rsidR="00985A39" w:rsidRPr="00985A39">
        <w:t xml:space="preserve"> the </w:t>
      </w:r>
      <w:r>
        <w:t>CH</w:t>
      </w:r>
      <w:proofErr w:type="gramStart"/>
      <w:r w:rsidRPr="004255C9">
        <w:rPr>
          <w:vertAlign w:val="subscript"/>
        </w:rPr>
        <w:t>4</w:t>
      </w:r>
      <w:r w:rsidR="00DB7FE3">
        <w:rPr>
          <w:vertAlign w:val="subscript"/>
        </w:rPr>
        <w:t xml:space="preserve">  </w:t>
      </w:r>
      <w:r w:rsidR="00985A39" w:rsidRPr="00985A39">
        <w:t>yields</w:t>
      </w:r>
      <w:proofErr w:type="gramEnd"/>
      <w:r w:rsidR="00DB7FE3">
        <w:t xml:space="preserve"> </w:t>
      </w:r>
      <w:r w:rsidR="00985A39" w:rsidRPr="00985A39">
        <w:t>and the conversion of CO</w:t>
      </w:r>
      <w:r w:rsidR="00985A39" w:rsidRPr="00985A39">
        <w:rPr>
          <w:vertAlign w:val="subscript"/>
        </w:rPr>
        <w:t>2</w:t>
      </w:r>
      <w:r w:rsidR="00985A39" w:rsidRPr="00985A39">
        <w:t xml:space="preserve">. As </w:t>
      </w:r>
      <w:r>
        <w:t>observed</w:t>
      </w:r>
      <w:r w:rsidR="00DB7FE3">
        <w:t xml:space="preserve"> </w:t>
      </w:r>
      <w:r w:rsidR="00985A39" w:rsidRPr="00985A39">
        <w:t xml:space="preserve">in </w:t>
      </w:r>
      <w:r w:rsidR="00F96EAE">
        <w:t>Figure</w:t>
      </w:r>
      <w:r>
        <w:t>s</w:t>
      </w:r>
      <w:r w:rsidR="00F96EAE">
        <w:t xml:space="preserve"> 2</w:t>
      </w:r>
      <w:r w:rsidR="00985A39">
        <w:t>a</w:t>
      </w:r>
      <w:r w:rsidR="00985A39" w:rsidRPr="00985A39">
        <w:t xml:space="preserve"> and </w:t>
      </w:r>
      <w:r>
        <w:t>2</w:t>
      </w:r>
      <w:r w:rsidR="00985A39" w:rsidRPr="00985A39">
        <w:t xml:space="preserve">b, the </w:t>
      </w:r>
      <w:r>
        <w:t xml:space="preserve">methane </w:t>
      </w:r>
      <w:r w:rsidR="00985A39" w:rsidRPr="00985A39">
        <w:t xml:space="preserve">yield is affected by temperature and pressure. As anticipated for </w:t>
      </w:r>
      <w:r w:rsidR="000D0842">
        <w:t>the</w:t>
      </w:r>
      <w:r w:rsidR="00985A39" w:rsidRPr="00985A39">
        <w:t xml:space="preserve"> exothermic reaction</w:t>
      </w:r>
      <w:r w:rsidR="000D0842">
        <w:t xml:space="preserve"> in </w:t>
      </w:r>
      <w:proofErr w:type="gramStart"/>
      <w:r w:rsidR="000D0842">
        <w:t>Eq(</w:t>
      </w:r>
      <w:proofErr w:type="gramEnd"/>
      <w:r w:rsidR="000D0842">
        <w:t>1)</w:t>
      </w:r>
      <w:r w:rsidR="00985A39" w:rsidRPr="00985A39">
        <w:t xml:space="preserve">, the yield </w:t>
      </w:r>
      <w:r w:rsidR="00985A39" w:rsidRPr="00985A39">
        <w:rPr>
          <w:rFonts w:cs="Arial"/>
        </w:rPr>
        <w:t>of CH</w:t>
      </w:r>
      <w:r w:rsidR="00985A39" w:rsidRPr="00985A39">
        <w:rPr>
          <w:rFonts w:cs="Arial"/>
          <w:vertAlign w:val="subscript"/>
        </w:rPr>
        <w:t>4</w:t>
      </w:r>
      <w:r w:rsidR="00DB7FE3">
        <w:rPr>
          <w:rFonts w:cs="Arial"/>
          <w:vertAlign w:val="subscript"/>
        </w:rPr>
        <w:t xml:space="preserve"> </w:t>
      </w:r>
      <w:r w:rsidR="001C5889">
        <w:rPr>
          <w:rFonts w:cs="Arial"/>
        </w:rPr>
        <w:t xml:space="preserve">decreases </w:t>
      </w:r>
      <w:r w:rsidR="00EF3583">
        <w:rPr>
          <w:rFonts w:cs="Arial"/>
        </w:rPr>
        <w:t xml:space="preserve">as </w:t>
      </w:r>
      <w:r w:rsidR="00985A39" w:rsidRPr="00985A39">
        <w:t>temperature</w:t>
      </w:r>
      <w:r w:rsidR="00EF3583">
        <w:t xml:space="preserve"> increases</w:t>
      </w:r>
      <w:r w:rsidR="00985A39" w:rsidRPr="00985A39">
        <w:t xml:space="preserve">, particularly at lower pressures, as the equilibrium shifts towards the reactants. Conversely, elevated pressures enhance the yield of </w:t>
      </w:r>
      <w:r w:rsidR="00985A39" w:rsidRPr="00985A39">
        <w:rPr>
          <w:rFonts w:cs="Arial"/>
        </w:rPr>
        <w:t>CH</w:t>
      </w:r>
      <w:r w:rsidR="00985A39" w:rsidRPr="00985A39">
        <w:rPr>
          <w:rFonts w:cs="Arial"/>
          <w:vertAlign w:val="subscript"/>
        </w:rPr>
        <w:t>4</w:t>
      </w:r>
      <w:r w:rsidR="00985A39" w:rsidRPr="00985A39">
        <w:t>, as postulated by Le Chatelier's principle, due to the diminution in the total number of gaseous molecules in the equilibrium</w:t>
      </w:r>
      <w:r w:rsidR="00732A86">
        <w:t xml:space="preserve"> (Buelens et al., 2016)</w:t>
      </w:r>
      <w:r w:rsidR="00985A39" w:rsidRPr="00985A39">
        <w:t xml:space="preserve">. </w:t>
      </w:r>
      <w:r w:rsidR="00F96EAE">
        <w:t>Figure 2</w:t>
      </w:r>
      <w:r w:rsidR="00985A39">
        <w:t>b</w:t>
      </w:r>
      <w:r w:rsidR="003111A7">
        <w:t xml:space="preserve"> illustrates that the H</w:t>
      </w:r>
      <w:r w:rsidR="003111A7">
        <w:rPr>
          <w:rFonts w:ascii="Cambria Math" w:hAnsi="Cambria Math" w:cs="Cambria Math"/>
        </w:rPr>
        <w:t>₂</w:t>
      </w:r>
      <w:r w:rsidR="003111A7">
        <w:rPr>
          <w:rFonts w:cs="Arial"/>
        </w:rPr>
        <w:t>/CO</w:t>
      </w:r>
      <w:r w:rsidR="003111A7">
        <w:rPr>
          <w:rFonts w:ascii="Cambria Math" w:hAnsi="Cambria Math" w:cs="Cambria Math"/>
        </w:rPr>
        <w:t>₂</w:t>
      </w:r>
      <w:r w:rsidR="003111A7">
        <w:rPr>
          <w:rFonts w:cs="Arial"/>
        </w:rPr>
        <w:t xml:space="preserve"> </w:t>
      </w:r>
      <w:r w:rsidR="003111A7">
        <w:rPr>
          <w:rFonts w:cs="Arial"/>
        </w:rPr>
        <w:lastRenderedPageBreak/>
        <w:t>ratio is likewise of considerable importance, with the maximum yield attained at a ratio approaching 4, which represents the stoichiometric optimum for the methanation</w:t>
      </w:r>
      <w:r w:rsidR="003111A7">
        <w:t xml:space="preserve"> reaction</w:t>
      </w:r>
      <w:r w:rsidR="00B032DF">
        <w:t>.</w:t>
      </w:r>
    </w:p>
    <w:p w14:paraId="7C8B1C16" w14:textId="45FC46FC" w:rsidR="00615E6D" w:rsidRDefault="00615E6D" w:rsidP="00615E6D">
      <w:pPr>
        <w:pStyle w:val="CETBodytext"/>
      </w:pPr>
      <w:r>
        <w:t>With respect to CO</w:t>
      </w:r>
      <w:r w:rsidRPr="00985A39">
        <w:rPr>
          <w:vertAlign w:val="subscript"/>
        </w:rPr>
        <w:t>2</w:t>
      </w:r>
      <w:r>
        <w:t xml:space="preserve"> conversion, </w:t>
      </w:r>
      <w:r w:rsidR="00F96EAE">
        <w:t>Figure</w:t>
      </w:r>
      <w:r w:rsidR="000D0842">
        <w:t>s</w:t>
      </w:r>
      <w:r w:rsidR="00F96EAE">
        <w:t xml:space="preserve"> 2</w:t>
      </w:r>
      <w:r>
        <w:t xml:space="preserve">c and </w:t>
      </w:r>
      <w:r w:rsidR="000D0842">
        <w:t>2</w:t>
      </w:r>
      <w:r>
        <w:t>d exhibit comparable behavior. The conversion of CO</w:t>
      </w:r>
      <w:r w:rsidRPr="00985A39">
        <w:rPr>
          <w:vertAlign w:val="subscript"/>
        </w:rPr>
        <w:t>2</w:t>
      </w:r>
      <w:r>
        <w:t xml:space="preserve"> decreases with increasing temperature and lower pressures, which reflects the exothermic nature of the reaction and the adverse thermodynamic impact under conditions of high thermal energy. </w:t>
      </w:r>
      <w:r w:rsidR="00F96EAE">
        <w:t>Figure 2</w:t>
      </w:r>
      <w:r>
        <w:t xml:space="preserve">d </w:t>
      </w:r>
      <w:r w:rsidR="003111A7">
        <w:t xml:space="preserve">illustrates </w:t>
      </w:r>
      <w:r>
        <w:t xml:space="preserve">that the </w:t>
      </w:r>
      <w:r w:rsidRPr="00985A39">
        <w:t>H</w:t>
      </w:r>
      <w:r w:rsidRPr="00985A39">
        <w:rPr>
          <w:vertAlign w:val="subscript"/>
        </w:rPr>
        <w:t>2</w:t>
      </w:r>
      <w:r w:rsidRPr="00985A39">
        <w:t>/CO</w:t>
      </w:r>
      <w:r w:rsidRPr="00985A39">
        <w:rPr>
          <w:vertAlign w:val="subscript"/>
        </w:rPr>
        <w:t>2</w:t>
      </w:r>
      <w:r w:rsidR="0012602D">
        <w:rPr>
          <w:vertAlign w:val="subscript"/>
        </w:rPr>
        <w:t xml:space="preserve"> </w:t>
      </w:r>
      <w:r>
        <w:t>ratio</w:t>
      </w:r>
      <w:r w:rsidR="0012602D">
        <w:t xml:space="preserve"> </w:t>
      </w:r>
      <w:r w:rsidR="0012602D">
        <w:rPr>
          <w:rFonts w:cs="Arial"/>
        </w:rPr>
        <w:t xml:space="preserve">has a direct and pronounced impact on </w:t>
      </w:r>
      <w:r>
        <w:t>CO</w:t>
      </w:r>
      <w:r w:rsidRPr="00985A39">
        <w:rPr>
          <w:vertAlign w:val="subscript"/>
        </w:rPr>
        <w:t>2</w:t>
      </w:r>
      <w:r w:rsidR="00B032DF">
        <w:rPr>
          <w:vertAlign w:val="subscript"/>
        </w:rPr>
        <w:t xml:space="preserve"> </w:t>
      </w:r>
      <w:r>
        <w:t xml:space="preserve">conversion, with </w:t>
      </w:r>
      <w:r w:rsidR="0012602D">
        <w:t xml:space="preserve">ratios approaching the </w:t>
      </w:r>
      <w:r>
        <w:t xml:space="preserve">values approaching the stoichiometric </w:t>
      </w:r>
      <w:r w:rsidR="0012602D">
        <w:t xml:space="preserve">ideal being most favorable for attaining </w:t>
      </w:r>
      <w:r>
        <w:t xml:space="preserve">maximum conversion. A decrease </w:t>
      </w:r>
      <w:r w:rsidR="000D0842">
        <w:t xml:space="preserve">in </w:t>
      </w:r>
      <w:r>
        <w:t xml:space="preserve">this ratio may result in a reduction in process efficiency, with the potential for parallel or incomplete reactions to occur. </w:t>
      </w:r>
    </w:p>
    <w:p w14:paraId="7FC1799D" w14:textId="77777777" w:rsidR="00164A7C" w:rsidRPr="00B57B36" w:rsidRDefault="00E30F54" w:rsidP="00164A7C">
      <w:pPr>
        <w:pStyle w:val="CETCaption"/>
      </w:pPr>
      <w:r>
        <w:rPr>
          <w:noProof/>
          <w:lang w:val="pt-BR" w:eastAsia="pt-BR"/>
        </w:rPr>
        <w:drawing>
          <wp:inline distT="0" distB="0" distL="0" distR="0" wp14:anchorId="5837A4E6" wp14:editId="69BDE936">
            <wp:extent cx="5550606" cy="1143303"/>
            <wp:effectExtent l="0" t="0" r="0" b="0"/>
            <wp:docPr id="1932202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0231" name="Picture 6"/>
                    <pic:cNvPicPr>
                      <a:picLocks noChangeAspect="1" noChangeArrowheads="1"/>
                    </pic:cNvPicPr>
                  </pic:nvPicPr>
                  <pic:blipFill>
                    <a:blip r:embed="rId11"/>
                    <a:stretch>
                      <a:fillRect/>
                    </a:stretch>
                  </pic:blipFill>
                  <pic:spPr bwMode="auto">
                    <a:xfrm>
                      <a:off x="0" y="0"/>
                      <a:ext cx="5550606" cy="1143303"/>
                    </a:xfrm>
                    <a:prstGeom prst="rect">
                      <a:avLst/>
                    </a:prstGeom>
                    <a:noFill/>
                  </pic:spPr>
                </pic:pic>
              </a:graphicData>
            </a:graphic>
          </wp:inline>
        </w:drawing>
      </w:r>
    </w:p>
    <w:p w14:paraId="3C638587" w14:textId="77777777" w:rsidR="00164A7C" w:rsidRDefault="00164A7C" w:rsidP="00164A7C">
      <w:pPr>
        <w:pStyle w:val="CETCaption"/>
      </w:pPr>
      <w:r w:rsidRPr="00BD077D">
        <w:rPr>
          <w:rStyle w:val="CETCaptionCarattere"/>
          <w:i/>
        </w:rPr>
        <w:t xml:space="preserve">Figure </w:t>
      </w:r>
      <w:r w:rsidR="00F96EAE">
        <w:rPr>
          <w:rStyle w:val="CETCaptionCarattere"/>
          <w:i/>
        </w:rPr>
        <w:t>2</w:t>
      </w:r>
      <w:r w:rsidRPr="00BD077D">
        <w:rPr>
          <w:rStyle w:val="CETCaptionCarattere"/>
          <w:i/>
        </w:rPr>
        <w:t xml:space="preserve">: </w:t>
      </w:r>
      <w:r w:rsidRPr="00292435">
        <w:rPr>
          <w:rStyle w:val="CETCaptionCarattere"/>
          <w:i/>
        </w:rPr>
        <w:t>Effect of varying (a) temperature and pressure on CH</w:t>
      </w:r>
      <w:r w:rsidRPr="00292435">
        <w:rPr>
          <w:rStyle w:val="CETCaptionCarattere"/>
          <w:i/>
          <w:vertAlign w:val="subscript"/>
        </w:rPr>
        <w:t>4</w:t>
      </w:r>
      <w:r w:rsidRPr="00292435">
        <w:rPr>
          <w:rStyle w:val="CETCaptionCarattere"/>
          <w:i/>
        </w:rPr>
        <w:t xml:space="preserve"> yield; (b) temperature and </w:t>
      </w:r>
      <w:r>
        <w:rPr>
          <w:rStyle w:val="CETCaptionCarattere"/>
          <w:i/>
        </w:rPr>
        <w:t>H</w:t>
      </w:r>
      <w:r w:rsidRPr="00292435">
        <w:rPr>
          <w:rStyle w:val="CETCaptionCarattere"/>
          <w:i/>
          <w:vertAlign w:val="subscript"/>
        </w:rPr>
        <w:t>2</w:t>
      </w:r>
      <w:r>
        <w:rPr>
          <w:rStyle w:val="CETCaptionCarattere"/>
          <w:i/>
        </w:rPr>
        <w:t>/CO</w:t>
      </w:r>
      <w:r w:rsidRPr="00292435">
        <w:rPr>
          <w:rStyle w:val="CETCaptionCarattere"/>
          <w:i/>
          <w:vertAlign w:val="subscript"/>
        </w:rPr>
        <w:t>2</w:t>
      </w:r>
      <w:r w:rsidRPr="00292435">
        <w:rPr>
          <w:rStyle w:val="CETCaptionCarattere"/>
          <w:i/>
        </w:rPr>
        <w:t xml:space="preserve"> ratio on CH</w:t>
      </w:r>
      <w:r w:rsidRPr="00292435">
        <w:rPr>
          <w:rStyle w:val="CETCaptionCarattere"/>
          <w:i/>
          <w:vertAlign w:val="subscript"/>
        </w:rPr>
        <w:t>4</w:t>
      </w:r>
      <w:r w:rsidRPr="00292435">
        <w:rPr>
          <w:rStyle w:val="CETCaptionCarattere"/>
          <w:i/>
        </w:rPr>
        <w:t xml:space="preserve"> yield; (c) temperature and pressure on CO</w:t>
      </w:r>
      <w:r w:rsidRPr="00292435">
        <w:rPr>
          <w:rStyle w:val="CETCaptionCarattere"/>
          <w:i/>
          <w:vertAlign w:val="subscript"/>
        </w:rPr>
        <w:t xml:space="preserve">2 </w:t>
      </w:r>
      <w:r w:rsidRPr="00292435">
        <w:rPr>
          <w:rStyle w:val="CETCaptionCarattere"/>
          <w:i/>
        </w:rPr>
        <w:t>conversion; (</w:t>
      </w:r>
      <w:r w:rsidR="00946053">
        <w:rPr>
          <w:rStyle w:val="CETCaptionCarattere"/>
          <w:i/>
        </w:rPr>
        <w:t>d</w:t>
      </w:r>
      <w:r w:rsidRPr="00292435">
        <w:rPr>
          <w:rStyle w:val="CETCaptionCarattere"/>
          <w:i/>
        </w:rPr>
        <w:t xml:space="preserve">) temperature and </w:t>
      </w:r>
      <w:r>
        <w:rPr>
          <w:rStyle w:val="CETCaptionCarattere"/>
          <w:i/>
        </w:rPr>
        <w:t>H</w:t>
      </w:r>
      <w:r w:rsidRPr="00292435">
        <w:rPr>
          <w:rStyle w:val="CETCaptionCarattere"/>
          <w:i/>
          <w:vertAlign w:val="subscript"/>
        </w:rPr>
        <w:t>2</w:t>
      </w:r>
      <w:r>
        <w:rPr>
          <w:rStyle w:val="CETCaptionCarattere"/>
          <w:i/>
        </w:rPr>
        <w:t>/CO</w:t>
      </w:r>
      <w:r w:rsidRPr="00292435">
        <w:rPr>
          <w:rStyle w:val="CETCaptionCarattere"/>
          <w:i/>
          <w:vertAlign w:val="subscript"/>
        </w:rPr>
        <w:t>2</w:t>
      </w:r>
      <w:r w:rsidRPr="00292435">
        <w:rPr>
          <w:rStyle w:val="CETCaptionCarattere"/>
          <w:i/>
        </w:rPr>
        <w:t xml:space="preserve"> ratio on CO</w:t>
      </w:r>
      <w:r w:rsidRPr="00292435">
        <w:rPr>
          <w:rStyle w:val="CETCaptionCarattere"/>
          <w:i/>
          <w:vertAlign w:val="subscript"/>
        </w:rPr>
        <w:t>2</w:t>
      </w:r>
      <w:r w:rsidRPr="00292435">
        <w:rPr>
          <w:rStyle w:val="CETCaptionCarattere"/>
          <w:i/>
        </w:rPr>
        <w:t xml:space="preserve"> conversion</w:t>
      </w:r>
      <w:r>
        <w:rPr>
          <w:rStyle w:val="CETCaptionCarattere"/>
          <w:i/>
        </w:rPr>
        <w:t>.</w:t>
      </w:r>
    </w:p>
    <w:p w14:paraId="510671DF" w14:textId="49DF4D0C" w:rsidR="00AD572E" w:rsidRDefault="00A05695" w:rsidP="00AD572E">
      <w:pPr>
        <w:pStyle w:val="CETBodytext"/>
      </w:pPr>
      <w:r w:rsidRPr="00A05695">
        <w:t>As shown in Figures 3a and 3c, the increase in pressure significantly affects yield at lower temperatures (&lt;600 K). Under these conditions, both CH</w:t>
      </w:r>
      <w:r w:rsidRPr="00A05695">
        <w:rPr>
          <w:vertAlign w:val="subscript"/>
        </w:rPr>
        <w:t>4</w:t>
      </w:r>
      <w:r w:rsidRPr="00A05695">
        <w:t xml:space="preserve"> </w:t>
      </w:r>
      <w:proofErr w:type="gramStart"/>
      <w:r w:rsidRPr="00A05695">
        <w:t>yield</w:t>
      </w:r>
      <w:proofErr w:type="gramEnd"/>
      <w:r w:rsidRPr="00A05695">
        <w:t xml:space="preserve"> and CO</w:t>
      </w:r>
      <w:r w:rsidRPr="00A05695">
        <w:rPr>
          <w:vertAlign w:val="subscript"/>
        </w:rPr>
        <w:t>2</w:t>
      </w:r>
      <w:r w:rsidRPr="00A05695">
        <w:t xml:space="preserve"> conversion achieve maximum values, reaching 100% at a pressure of 5 bar</w:t>
      </w:r>
      <w:r w:rsidR="00615E6D" w:rsidRPr="00A05695">
        <w:t xml:space="preserve">. This </w:t>
      </w:r>
      <w:proofErr w:type="gramStart"/>
      <w:r w:rsidR="00615E6D" w:rsidRPr="00A05695">
        <w:t>evidence</w:t>
      </w:r>
      <w:r w:rsidR="00FC2C95" w:rsidRPr="00A05695">
        <w:t>s</w:t>
      </w:r>
      <w:proofErr w:type="gramEnd"/>
      <w:r w:rsidR="00FC2C95" w:rsidRPr="00A05695">
        <w:t xml:space="preserve"> </w:t>
      </w:r>
      <w:r w:rsidR="00615E6D" w:rsidRPr="00A05695">
        <w:t xml:space="preserve">that elevated pressures facilitate the </w:t>
      </w:r>
      <w:r w:rsidR="00FC2C95" w:rsidRPr="00A05695">
        <w:t xml:space="preserve">methanation </w:t>
      </w:r>
      <w:r w:rsidR="00615E6D" w:rsidRPr="00A05695">
        <w:t xml:space="preserve">reaction </w:t>
      </w:r>
      <w:r w:rsidR="00FC2C95" w:rsidRPr="00A05695">
        <w:t>since a</w:t>
      </w:r>
      <w:r w:rsidR="00615E6D" w:rsidRPr="00A05695">
        <w:t xml:space="preserve"> reduction in the number of gaseous molecules in the equilibrium state is conducive to the process. </w:t>
      </w:r>
      <w:r w:rsidR="00F96EAE" w:rsidRPr="00A05695">
        <w:t>Figure</w:t>
      </w:r>
      <w:r w:rsidR="00FC2C95" w:rsidRPr="00A05695">
        <w:t>s</w:t>
      </w:r>
      <w:r w:rsidR="00F96EAE" w:rsidRPr="00A05695">
        <w:t xml:space="preserve"> 3</w:t>
      </w:r>
      <w:r w:rsidR="00615E6D" w:rsidRPr="00A05695">
        <w:t xml:space="preserve">b and </w:t>
      </w:r>
      <w:r w:rsidR="00FC2C95" w:rsidRPr="00A05695">
        <w:t xml:space="preserve">3d </w:t>
      </w:r>
      <w:r w:rsidR="0012602D">
        <w:t xml:space="preserve">depict </w:t>
      </w:r>
      <w:r w:rsidR="00615E6D" w:rsidRPr="00A05695">
        <w:t xml:space="preserve">the impact of the </w:t>
      </w:r>
      <w:r w:rsidR="00C6003A" w:rsidRPr="00A05695">
        <w:t>H</w:t>
      </w:r>
      <w:r w:rsidR="00C6003A" w:rsidRPr="00A05695">
        <w:rPr>
          <w:vertAlign w:val="subscript"/>
        </w:rPr>
        <w:t>2</w:t>
      </w:r>
      <w:r w:rsidR="00C6003A" w:rsidRPr="00A05695">
        <w:t>/CO</w:t>
      </w:r>
      <w:r w:rsidR="00C6003A" w:rsidRPr="00A05695">
        <w:rPr>
          <w:vertAlign w:val="subscript"/>
        </w:rPr>
        <w:t>2</w:t>
      </w:r>
      <w:r w:rsidR="00615E6D" w:rsidRPr="00A05695">
        <w:t xml:space="preserve"> ratio on the CH</w:t>
      </w:r>
      <w:r w:rsidR="00615E6D" w:rsidRPr="00A05695">
        <w:rPr>
          <w:rFonts w:cs="Arial"/>
          <w:vertAlign w:val="subscript"/>
        </w:rPr>
        <w:t>4</w:t>
      </w:r>
      <w:r w:rsidR="00615E6D" w:rsidRPr="00A05695">
        <w:t xml:space="preserve"> yield and CO</w:t>
      </w:r>
      <w:r w:rsidR="00615E6D" w:rsidRPr="00A05695">
        <w:rPr>
          <w:vertAlign w:val="subscript"/>
        </w:rPr>
        <w:t>2</w:t>
      </w:r>
      <w:r w:rsidR="00615E6D" w:rsidRPr="00A05695">
        <w:t xml:space="preserve"> conversion</w:t>
      </w:r>
      <w:r w:rsidR="0012602D">
        <w:t>,</w:t>
      </w:r>
      <w:r w:rsidR="00615E6D" w:rsidRPr="00A05695">
        <w:t xml:space="preserve"> respectively. A stoichiometric ratio of </w:t>
      </w:r>
      <w:r w:rsidR="00F96EAE" w:rsidRPr="00A05695">
        <w:t>4</w:t>
      </w:r>
      <w:r w:rsidR="00615E6D" w:rsidRPr="00A05695">
        <w:t xml:space="preserve"> is the most efficient, while lower values result in lower yields due to the limited availability of </w:t>
      </w:r>
      <w:r w:rsidR="00EF3583" w:rsidRPr="00A05695">
        <w:t>reactants</w:t>
      </w:r>
      <w:r w:rsidR="00615E6D" w:rsidRPr="00A05695">
        <w:t xml:space="preserve">. Conversely, ratios exceeding 4 maintain a high yield, although this may not be economically feasible. Notably, </w:t>
      </w:r>
      <w:r w:rsidR="00C6003A" w:rsidRPr="00A05695">
        <w:t xml:space="preserve">a decline in the </w:t>
      </w:r>
      <w:r w:rsidR="00615E6D" w:rsidRPr="00A05695">
        <w:t xml:space="preserve">yield </w:t>
      </w:r>
      <w:r w:rsidR="00C6003A" w:rsidRPr="00A05695">
        <w:t xml:space="preserve">occurs </w:t>
      </w:r>
      <w:r w:rsidR="00615E6D" w:rsidRPr="00A05695">
        <w:t xml:space="preserve">at elevated temperatures (&gt;600 K) due to the </w:t>
      </w:r>
      <w:r w:rsidR="00C6003A" w:rsidRPr="00A05695">
        <w:t xml:space="preserve">appearance </w:t>
      </w:r>
      <w:r w:rsidR="00615E6D" w:rsidRPr="00A05695">
        <w:t>of parallel reactions, such as the</w:t>
      </w:r>
      <w:r w:rsidR="00C6003A" w:rsidRPr="00A05695">
        <w:t xml:space="preserve"> methane reforming</w:t>
      </w:r>
      <w:r w:rsidR="00615E6D" w:rsidRPr="00A05695">
        <w:t xml:space="preserve"> that </w:t>
      </w:r>
      <w:r w:rsidR="00C6003A" w:rsidRPr="00A05695">
        <w:t>occurs</w:t>
      </w:r>
      <w:r w:rsidR="00615E6D" w:rsidRPr="00A05695">
        <w:t xml:space="preserve"> in the opposite direction to the methanation reaction.</w:t>
      </w:r>
    </w:p>
    <w:p w14:paraId="1C639EA8" w14:textId="77777777" w:rsidR="00B032DF" w:rsidRDefault="00B032DF" w:rsidP="00AD572E">
      <w:pPr>
        <w:pStyle w:val="CETBodytext"/>
      </w:pPr>
    </w:p>
    <w:p w14:paraId="7F4B4C14" w14:textId="77777777" w:rsidR="00254C52" w:rsidRDefault="00C81503" w:rsidP="00AD572E">
      <w:pPr>
        <w:pStyle w:val="CETBodytext"/>
      </w:pPr>
      <w:r>
        <w:rPr>
          <w:noProof/>
          <w:lang w:val="pt-BR" w:eastAsia="pt-BR"/>
        </w:rPr>
        <w:drawing>
          <wp:inline distT="0" distB="0" distL="0" distR="0" wp14:anchorId="35A8BEC5" wp14:editId="25AB529A">
            <wp:extent cx="5579745" cy="1174750"/>
            <wp:effectExtent l="0" t="0" r="1905" b="6350"/>
            <wp:docPr id="32592224" name="Picture 7"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224" name="Picture 7" descr="A graph of a diagram&#10;&#10;Description automatically generated with medium confidence"/>
                    <pic:cNvPicPr/>
                  </pic:nvPicPr>
                  <pic:blipFill>
                    <a:blip r:embed="rId12"/>
                    <a:stretch>
                      <a:fillRect/>
                    </a:stretch>
                  </pic:blipFill>
                  <pic:spPr>
                    <a:xfrm>
                      <a:off x="0" y="0"/>
                      <a:ext cx="5579745" cy="1174750"/>
                    </a:xfrm>
                    <a:prstGeom prst="rect">
                      <a:avLst/>
                    </a:prstGeom>
                  </pic:spPr>
                </pic:pic>
              </a:graphicData>
            </a:graphic>
          </wp:inline>
        </w:drawing>
      </w:r>
    </w:p>
    <w:p w14:paraId="06B293D4" w14:textId="77777777" w:rsidR="00254C52" w:rsidRPr="00693BB1" w:rsidRDefault="00F96EAE" w:rsidP="00254C52">
      <w:pPr>
        <w:pStyle w:val="CETCaption"/>
        <w:rPr>
          <w:rFonts w:cs="Arial"/>
        </w:rPr>
      </w:pPr>
      <w:r>
        <w:rPr>
          <w:rStyle w:val="CETCaptionCarattere"/>
          <w:rFonts w:cs="Arial"/>
          <w:i/>
        </w:rPr>
        <w:t>Figure 3</w:t>
      </w:r>
      <w:r w:rsidR="00254C52" w:rsidRPr="00693BB1">
        <w:rPr>
          <w:rStyle w:val="CETCaptionCarattere"/>
          <w:rFonts w:cs="Arial"/>
          <w:i/>
        </w:rPr>
        <w:t>: Influence of pressure and H</w:t>
      </w:r>
      <w:r w:rsidR="00254C52" w:rsidRPr="00693BB1">
        <w:rPr>
          <w:rStyle w:val="CETCaptionCarattere"/>
          <w:rFonts w:cs="Arial"/>
          <w:i/>
          <w:vertAlign w:val="subscript"/>
        </w:rPr>
        <w:t>2</w:t>
      </w:r>
      <w:r w:rsidR="00254C52" w:rsidRPr="00693BB1">
        <w:rPr>
          <w:rStyle w:val="CETCaptionCarattere"/>
          <w:rFonts w:cs="Arial"/>
          <w:i/>
        </w:rPr>
        <w:t>/CO</w:t>
      </w:r>
      <w:r w:rsidR="00254C52" w:rsidRPr="00693BB1">
        <w:rPr>
          <w:rStyle w:val="CETCaptionCarattere"/>
          <w:rFonts w:cs="Arial"/>
          <w:i/>
          <w:vertAlign w:val="subscript"/>
        </w:rPr>
        <w:t>2</w:t>
      </w:r>
      <w:r w:rsidR="00254C52" w:rsidRPr="00693BB1">
        <w:rPr>
          <w:rStyle w:val="CETCaptionCarattere"/>
          <w:rFonts w:cs="Arial"/>
          <w:i/>
        </w:rPr>
        <w:t xml:space="preserve"> molar ratio on CH</w:t>
      </w:r>
      <w:r w:rsidR="00254C52" w:rsidRPr="00693BB1">
        <w:rPr>
          <w:rStyle w:val="CETCaptionCarattere"/>
          <w:rFonts w:cs="Arial"/>
          <w:i/>
          <w:vertAlign w:val="subscript"/>
        </w:rPr>
        <w:t>4</w:t>
      </w:r>
      <w:r w:rsidR="00254C52" w:rsidRPr="00693BB1">
        <w:rPr>
          <w:rStyle w:val="CETCaptionCarattere"/>
          <w:rFonts w:cs="Arial"/>
          <w:i/>
        </w:rPr>
        <w:t xml:space="preserve"> yield and CO</w:t>
      </w:r>
      <w:r w:rsidR="00254C52" w:rsidRPr="00693BB1">
        <w:rPr>
          <w:rStyle w:val="CETCaptionCarattere"/>
          <w:rFonts w:cs="Arial"/>
          <w:i/>
          <w:vertAlign w:val="subscript"/>
        </w:rPr>
        <w:t>2</w:t>
      </w:r>
      <w:r w:rsidR="00254C52" w:rsidRPr="00693BB1">
        <w:rPr>
          <w:rStyle w:val="CETCaptionCarattere"/>
          <w:rFonts w:cs="Arial"/>
          <w:i/>
        </w:rPr>
        <w:t xml:space="preserve"> conversion as a function of temperature (a) Yield of CH</w:t>
      </w:r>
      <w:r w:rsidR="00254C52" w:rsidRPr="00693BB1">
        <w:rPr>
          <w:rStyle w:val="CETCaptionCarattere"/>
          <w:rFonts w:cs="Arial"/>
          <w:i/>
          <w:vertAlign w:val="subscript"/>
        </w:rPr>
        <w:t>4</w:t>
      </w:r>
      <w:r w:rsidR="00254C52" w:rsidRPr="00693BB1">
        <w:rPr>
          <w:rStyle w:val="CETCaptionCarattere"/>
          <w:rFonts w:cs="Arial"/>
          <w:i/>
        </w:rPr>
        <w:t xml:space="preserve"> at different pressures; (b) CH</w:t>
      </w:r>
      <w:r w:rsidR="00254C52" w:rsidRPr="00693BB1">
        <w:rPr>
          <w:rStyle w:val="CETCaptionCarattere"/>
          <w:rFonts w:ascii="Cambria Math" w:hAnsi="Cambria Math" w:cs="Cambria Math"/>
          <w:i/>
        </w:rPr>
        <w:t>₄</w:t>
      </w:r>
      <w:r w:rsidR="00254C52" w:rsidRPr="00693BB1">
        <w:rPr>
          <w:rStyle w:val="CETCaptionCarattere"/>
          <w:rFonts w:cs="Arial"/>
          <w:i/>
        </w:rPr>
        <w:t xml:space="preserve"> yield at different H</w:t>
      </w:r>
      <w:r w:rsidR="00254C52" w:rsidRPr="00693BB1">
        <w:rPr>
          <w:rStyle w:val="CETCaptionCarattere"/>
          <w:rFonts w:cs="Arial"/>
          <w:i/>
          <w:vertAlign w:val="subscript"/>
        </w:rPr>
        <w:t>2</w:t>
      </w:r>
      <w:r w:rsidR="00254C52" w:rsidRPr="00693BB1">
        <w:rPr>
          <w:rStyle w:val="CETCaptionCarattere"/>
          <w:rFonts w:cs="Arial"/>
          <w:i/>
        </w:rPr>
        <w:t>/CO</w:t>
      </w:r>
      <w:r w:rsidR="00254C52" w:rsidRPr="00693BB1">
        <w:rPr>
          <w:rStyle w:val="CETCaptionCarattere"/>
          <w:rFonts w:cs="Arial"/>
          <w:i/>
          <w:vertAlign w:val="subscript"/>
        </w:rPr>
        <w:t>2</w:t>
      </w:r>
      <w:r w:rsidR="00254C52" w:rsidRPr="00693BB1">
        <w:rPr>
          <w:rStyle w:val="CETCaptionCarattere"/>
          <w:rFonts w:cs="Arial"/>
          <w:i/>
        </w:rPr>
        <w:t xml:space="preserve"> ratios; (c) CO</w:t>
      </w:r>
      <w:r w:rsidR="00254C52" w:rsidRPr="00693BB1">
        <w:rPr>
          <w:rStyle w:val="CETCaptionCarattere"/>
          <w:rFonts w:cs="Arial"/>
          <w:i/>
          <w:vertAlign w:val="subscript"/>
        </w:rPr>
        <w:t>2</w:t>
      </w:r>
      <w:r w:rsidR="00254C52" w:rsidRPr="00693BB1">
        <w:rPr>
          <w:rStyle w:val="CETCaptionCarattere"/>
          <w:rFonts w:cs="Arial"/>
          <w:i/>
        </w:rPr>
        <w:t xml:space="preserve"> conversion at different pressures; (d) CO</w:t>
      </w:r>
      <w:r w:rsidR="00254C52" w:rsidRPr="00693BB1">
        <w:rPr>
          <w:rStyle w:val="CETCaptionCarattere"/>
          <w:rFonts w:cs="Arial"/>
          <w:i/>
          <w:vertAlign w:val="subscript"/>
        </w:rPr>
        <w:t>2</w:t>
      </w:r>
      <w:r w:rsidR="00254C52" w:rsidRPr="00693BB1">
        <w:rPr>
          <w:rStyle w:val="CETCaptionCarattere"/>
          <w:rFonts w:cs="Arial"/>
          <w:i/>
        </w:rPr>
        <w:t xml:space="preserve"> conversion as a function of temperature at different pressures.</w:t>
      </w:r>
    </w:p>
    <w:p w14:paraId="0BDDE989" w14:textId="77777777" w:rsidR="00490FDA" w:rsidRDefault="00490FDA" w:rsidP="00490FDA">
      <w:pPr>
        <w:pStyle w:val="CETBodytext"/>
      </w:pPr>
      <w:r>
        <w:t xml:space="preserve">Analysis of the composition of the reactor outlet stream, </w:t>
      </w:r>
      <w:r w:rsidR="00F96EAE">
        <w:t>Figure 4</w:t>
      </w:r>
      <w:r>
        <w:t>a, confirms that the H</w:t>
      </w:r>
      <w:r w:rsidRPr="00615E6D">
        <w:rPr>
          <w:rFonts w:cs="Arial"/>
          <w:vertAlign w:val="subscript"/>
        </w:rPr>
        <w:t>2</w:t>
      </w:r>
      <w:r>
        <w:t>/CO</w:t>
      </w:r>
      <w:r w:rsidRPr="00615E6D">
        <w:rPr>
          <w:rFonts w:cs="Arial"/>
          <w:vertAlign w:val="subscript"/>
        </w:rPr>
        <w:t>2</w:t>
      </w:r>
      <w:r>
        <w:t xml:space="preserve"> ratio, pressure</w:t>
      </w:r>
      <w:r w:rsidR="00C6003A">
        <w:t>,</w:t>
      </w:r>
      <w:r>
        <w:t xml:space="preserve"> and temperature play a crucial role in optimizing the CO</w:t>
      </w:r>
      <w:r w:rsidRPr="00615E6D">
        <w:rPr>
          <w:rFonts w:cs="Arial"/>
          <w:vertAlign w:val="subscript"/>
        </w:rPr>
        <w:t>2</w:t>
      </w:r>
      <w:r>
        <w:t xml:space="preserve"> methanation reaction. Increasing the H</w:t>
      </w:r>
      <w:r w:rsidRPr="00615E6D">
        <w:rPr>
          <w:rFonts w:cs="Arial"/>
          <w:vertAlign w:val="subscript"/>
        </w:rPr>
        <w:t>2</w:t>
      </w:r>
      <w:r>
        <w:t>/CO</w:t>
      </w:r>
      <w:r w:rsidRPr="00615E6D">
        <w:rPr>
          <w:rFonts w:cs="Arial"/>
          <w:vertAlign w:val="subscript"/>
        </w:rPr>
        <w:t>2</w:t>
      </w:r>
      <w:r>
        <w:t xml:space="preserve"> ratio favors the formation of CH</w:t>
      </w:r>
      <w:r w:rsidRPr="00615E6D">
        <w:rPr>
          <w:rFonts w:cs="Arial"/>
          <w:vertAlign w:val="subscript"/>
        </w:rPr>
        <w:t>4</w:t>
      </w:r>
      <w:r>
        <w:t xml:space="preserve"> and H</w:t>
      </w:r>
      <w:r w:rsidRPr="00615E6D">
        <w:rPr>
          <w:rFonts w:cs="Arial"/>
          <w:vertAlign w:val="subscript"/>
        </w:rPr>
        <w:t>2</w:t>
      </w:r>
      <w:r>
        <w:t>O while reducing the residual CO</w:t>
      </w:r>
      <w:r w:rsidRPr="00615E6D">
        <w:rPr>
          <w:rFonts w:cs="Arial"/>
          <w:vertAlign w:val="subscript"/>
        </w:rPr>
        <w:t>2</w:t>
      </w:r>
      <w:r>
        <w:t xml:space="preserve">. A stoichiometric ratio of 4:1 is sufficient to maximize conversion, with no significant additional gains for higher ratios, and the </w:t>
      </w:r>
      <w:r w:rsidR="00EF3583">
        <w:t xml:space="preserve">undesired </w:t>
      </w:r>
      <w:r>
        <w:t xml:space="preserve">products CO and C are disadvantaged. In addition, high pressures, </w:t>
      </w:r>
      <w:r w:rsidR="00F96EAE">
        <w:t>Figure 4</w:t>
      </w:r>
      <w:r>
        <w:t>b, increase the selectivity for CH</w:t>
      </w:r>
      <w:r w:rsidRPr="00615E6D">
        <w:rPr>
          <w:rFonts w:cs="Arial"/>
          <w:vertAlign w:val="subscript"/>
        </w:rPr>
        <w:t>4</w:t>
      </w:r>
      <w:r>
        <w:t>, minimizing the presence of residual CO</w:t>
      </w:r>
      <w:r w:rsidRPr="00615E6D">
        <w:rPr>
          <w:rFonts w:cs="Arial"/>
          <w:vertAlign w:val="subscript"/>
        </w:rPr>
        <w:t>2</w:t>
      </w:r>
      <w:r>
        <w:t xml:space="preserve"> and promoting the formation of H</w:t>
      </w:r>
      <w:r w:rsidRPr="00615E6D">
        <w:rPr>
          <w:rFonts w:cs="Arial"/>
          <w:vertAlign w:val="subscript"/>
        </w:rPr>
        <w:t>2</w:t>
      </w:r>
      <w:r>
        <w:t>O according to the Le Chatelier principle, while the formation of CO remains negligible in all the pressure conditions analyzed.</w:t>
      </w:r>
    </w:p>
    <w:p w14:paraId="5B54E51D" w14:textId="4D4B0304" w:rsidR="00AE6055" w:rsidRDefault="00AE6055" w:rsidP="00AE6055">
      <w:pPr>
        <w:pStyle w:val="CETBodytext"/>
        <w:rPr>
          <w:rFonts w:cs="Arial"/>
        </w:rPr>
      </w:pPr>
      <w:r w:rsidRPr="00615E6D">
        <w:rPr>
          <w:rFonts w:cs="Arial"/>
        </w:rPr>
        <w:t xml:space="preserve">The </w:t>
      </w:r>
      <w:r w:rsidR="00F90419">
        <w:rPr>
          <w:rFonts w:cs="Arial"/>
        </w:rPr>
        <w:t xml:space="preserve">effect </w:t>
      </w:r>
      <w:r w:rsidRPr="00615E6D">
        <w:rPr>
          <w:rFonts w:cs="Arial"/>
        </w:rPr>
        <w:t xml:space="preserve">of temperature, </w:t>
      </w:r>
      <w:r w:rsidR="00F90419">
        <w:rPr>
          <w:rFonts w:cs="Arial"/>
        </w:rPr>
        <w:t xml:space="preserve">as depicted in </w:t>
      </w:r>
      <w:r w:rsidR="00F96EAE">
        <w:rPr>
          <w:rFonts w:cs="Arial"/>
        </w:rPr>
        <w:t>Figure 4</w:t>
      </w:r>
      <w:r w:rsidRPr="00615E6D">
        <w:rPr>
          <w:rFonts w:cs="Arial"/>
        </w:rPr>
        <w:t>c, confirms that moderate conditions</w:t>
      </w:r>
      <w:r w:rsidR="00F90419" w:rsidRPr="00F90419">
        <w:t xml:space="preserve"> </w:t>
      </w:r>
      <w:r w:rsidR="00F90419">
        <w:t>within the range of 500–600 K</w:t>
      </w:r>
      <w:r w:rsidRPr="00615E6D">
        <w:rPr>
          <w:rFonts w:cs="Arial"/>
        </w:rPr>
        <w:t>are ideal for maximizing CH</w:t>
      </w:r>
      <w:r w:rsidRPr="00615E6D">
        <w:rPr>
          <w:rFonts w:cs="Arial"/>
          <w:vertAlign w:val="subscript"/>
        </w:rPr>
        <w:t>4</w:t>
      </w:r>
      <w:r w:rsidRPr="00615E6D">
        <w:rPr>
          <w:rFonts w:cs="Arial"/>
        </w:rPr>
        <w:t xml:space="preserve"> production and minimizing CO</w:t>
      </w:r>
      <w:r w:rsidRPr="00615E6D">
        <w:rPr>
          <w:rFonts w:cs="Arial"/>
          <w:vertAlign w:val="subscript"/>
        </w:rPr>
        <w:t>2</w:t>
      </w:r>
      <w:r w:rsidRPr="00615E6D">
        <w:rPr>
          <w:rFonts w:cs="Arial"/>
        </w:rPr>
        <w:t xml:space="preserve"> at the outlet. At higher temperatures (&gt;600 K), CO</w:t>
      </w:r>
      <w:r w:rsidRPr="00615E6D">
        <w:rPr>
          <w:rFonts w:cs="Arial"/>
          <w:vertAlign w:val="subscript"/>
        </w:rPr>
        <w:t>2</w:t>
      </w:r>
      <w:r w:rsidRPr="00615E6D">
        <w:rPr>
          <w:rFonts w:cs="Arial"/>
        </w:rPr>
        <w:t xml:space="preserve"> conversion and CH</w:t>
      </w:r>
      <w:r w:rsidRPr="00615E6D">
        <w:rPr>
          <w:rFonts w:cs="Arial"/>
          <w:vertAlign w:val="subscript"/>
        </w:rPr>
        <w:t>4</w:t>
      </w:r>
      <w:r w:rsidRPr="00615E6D">
        <w:rPr>
          <w:rFonts w:cs="Arial"/>
        </w:rPr>
        <w:t xml:space="preserve"> formation decrease due to the unfavorable thermodynamics of the reaction, </w:t>
      </w:r>
      <w:r w:rsidR="000722D5">
        <w:rPr>
          <w:rFonts w:cs="Arial"/>
        </w:rPr>
        <w:t>so</w:t>
      </w:r>
      <w:r w:rsidRPr="00615E6D">
        <w:rPr>
          <w:rFonts w:cs="Arial"/>
        </w:rPr>
        <w:t xml:space="preserve"> the formation of CO as a by-product is favored. Thus, the combination of </w:t>
      </w:r>
      <w:r w:rsidR="000722D5">
        <w:rPr>
          <w:rFonts w:cs="Arial"/>
        </w:rPr>
        <w:t>an</w:t>
      </w:r>
      <w:r w:rsidR="00F90419">
        <w:rPr>
          <w:rFonts w:cs="Arial"/>
        </w:rPr>
        <w:t xml:space="preserve"> </w:t>
      </w:r>
      <w:r w:rsidRPr="00615E6D">
        <w:rPr>
          <w:rFonts w:cs="Arial"/>
        </w:rPr>
        <w:t>H</w:t>
      </w:r>
      <w:r w:rsidRPr="00615E6D">
        <w:rPr>
          <w:rFonts w:cs="Arial"/>
          <w:vertAlign w:val="subscript"/>
        </w:rPr>
        <w:t>2</w:t>
      </w:r>
      <w:r w:rsidRPr="00615E6D">
        <w:rPr>
          <w:rFonts w:cs="Arial"/>
        </w:rPr>
        <w:t>/CO</w:t>
      </w:r>
      <w:r w:rsidRPr="00615E6D">
        <w:rPr>
          <w:rFonts w:cs="Arial"/>
          <w:vertAlign w:val="subscript"/>
        </w:rPr>
        <w:t>2</w:t>
      </w:r>
      <w:r w:rsidRPr="00615E6D">
        <w:rPr>
          <w:rFonts w:cs="Arial"/>
        </w:rPr>
        <w:t xml:space="preserve"> ratio close to 4, high pressures (≥4 bar)</w:t>
      </w:r>
      <w:r w:rsidR="000722D5">
        <w:rPr>
          <w:rFonts w:cs="Arial"/>
        </w:rPr>
        <w:t>,</w:t>
      </w:r>
      <w:r w:rsidRPr="00615E6D">
        <w:rPr>
          <w:rFonts w:cs="Arial"/>
        </w:rPr>
        <w:t xml:space="preserve"> and moderate temperatures </w:t>
      </w:r>
      <w:proofErr w:type="gramStart"/>
      <w:r w:rsidRPr="00615E6D">
        <w:rPr>
          <w:rFonts w:cs="Arial"/>
        </w:rPr>
        <w:t>ensures</w:t>
      </w:r>
      <w:proofErr w:type="gramEnd"/>
      <w:r w:rsidRPr="00615E6D">
        <w:rPr>
          <w:rFonts w:cs="Arial"/>
        </w:rPr>
        <w:t xml:space="preserve"> high CO</w:t>
      </w:r>
      <w:r w:rsidRPr="00615E6D">
        <w:rPr>
          <w:rFonts w:cs="Arial"/>
          <w:vertAlign w:val="subscript"/>
        </w:rPr>
        <w:t>2</w:t>
      </w:r>
      <w:r w:rsidRPr="00615E6D">
        <w:rPr>
          <w:rFonts w:cs="Arial"/>
        </w:rPr>
        <w:t xml:space="preserve"> conversion and high selectivity for CH</w:t>
      </w:r>
      <w:r w:rsidRPr="00615E6D">
        <w:rPr>
          <w:rFonts w:cs="Arial"/>
          <w:vertAlign w:val="subscript"/>
        </w:rPr>
        <w:t>4</w:t>
      </w:r>
      <w:r w:rsidRPr="00615E6D">
        <w:rPr>
          <w:rFonts w:cs="Arial"/>
        </w:rPr>
        <w:t xml:space="preserve">, and these conditions are recommended for the efficient operation of the methanation process. In this sense, </w:t>
      </w:r>
      <w:r w:rsidR="000722D5">
        <w:rPr>
          <w:rFonts w:cs="Arial"/>
        </w:rPr>
        <w:t>for a</w:t>
      </w:r>
      <w:r w:rsidRPr="00615E6D">
        <w:rPr>
          <w:rFonts w:cs="Arial"/>
        </w:rPr>
        <w:t xml:space="preserve"> high </w:t>
      </w:r>
      <w:r w:rsidRPr="00615E6D">
        <w:rPr>
          <w:rFonts w:cs="Arial"/>
        </w:rPr>
        <w:lastRenderedPageBreak/>
        <w:t>methane yield and 100% CO</w:t>
      </w:r>
      <w:r w:rsidRPr="00615E6D">
        <w:rPr>
          <w:rFonts w:cs="Arial"/>
          <w:vertAlign w:val="subscript"/>
        </w:rPr>
        <w:t xml:space="preserve">2 </w:t>
      </w:r>
      <w:r w:rsidRPr="00615E6D">
        <w:rPr>
          <w:rFonts w:cs="Arial"/>
        </w:rPr>
        <w:t xml:space="preserve">conversion, </w:t>
      </w:r>
      <w:r w:rsidR="000722D5">
        <w:rPr>
          <w:rFonts w:cs="Arial"/>
        </w:rPr>
        <w:t xml:space="preserve">the reactor </w:t>
      </w:r>
      <w:proofErr w:type="gramStart"/>
      <w:r w:rsidR="00F90419">
        <w:rPr>
          <w:rFonts w:cs="Arial"/>
        </w:rPr>
        <w:t>has to</w:t>
      </w:r>
      <w:proofErr w:type="gramEnd"/>
      <w:r w:rsidR="00F90419">
        <w:rPr>
          <w:rFonts w:cs="Arial"/>
        </w:rPr>
        <w:t xml:space="preserve"> </w:t>
      </w:r>
      <w:r w:rsidR="000722D5">
        <w:rPr>
          <w:rFonts w:cs="Arial"/>
        </w:rPr>
        <w:t>operate under</w:t>
      </w:r>
      <w:r w:rsidR="00F90419">
        <w:rPr>
          <w:rFonts w:cs="Arial"/>
        </w:rPr>
        <w:t xml:space="preserve"> </w:t>
      </w:r>
      <w:r w:rsidRPr="00615E6D">
        <w:rPr>
          <w:rFonts w:cs="Arial"/>
        </w:rPr>
        <w:t>a temperature range between 500 and 600 K, high pressures (</w:t>
      </w:r>
      <w:r>
        <w:rPr>
          <w:rFonts w:cs="Arial"/>
        </w:rPr>
        <w:t>&gt;</w:t>
      </w:r>
      <w:r w:rsidRPr="00615E6D">
        <w:rPr>
          <w:rFonts w:cs="Arial"/>
        </w:rPr>
        <w:t>5bar</w:t>
      </w:r>
      <w:proofErr w:type="gramStart"/>
      <w:r>
        <w:rPr>
          <w:rFonts w:cs="Arial"/>
        </w:rPr>
        <w:t>)</w:t>
      </w:r>
      <w:r w:rsidR="000722D5">
        <w:rPr>
          <w:rFonts w:cs="Arial"/>
        </w:rPr>
        <w:t>,</w:t>
      </w:r>
      <w:r w:rsidRPr="00615E6D">
        <w:rPr>
          <w:rFonts w:cs="Arial"/>
        </w:rPr>
        <w:t>and</w:t>
      </w:r>
      <w:proofErr w:type="gramEnd"/>
      <w:r w:rsidRPr="00615E6D">
        <w:rPr>
          <w:rFonts w:cs="Arial"/>
        </w:rPr>
        <w:t xml:space="preserve"> a stoichiometric H</w:t>
      </w:r>
      <w:r w:rsidRPr="00615E6D">
        <w:rPr>
          <w:rFonts w:cs="Arial"/>
          <w:vertAlign w:val="subscript"/>
        </w:rPr>
        <w:t>2</w:t>
      </w:r>
      <w:r w:rsidRPr="00615E6D">
        <w:rPr>
          <w:rFonts w:cs="Arial"/>
        </w:rPr>
        <w:t>/CO</w:t>
      </w:r>
      <w:r w:rsidRPr="00615E6D">
        <w:rPr>
          <w:rFonts w:cs="Arial"/>
          <w:vertAlign w:val="subscript"/>
        </w:rPr>
        <w:t>2</w:t>
      </w:r>
      <w:r w:rsidRPr="00615E6D">
        <w:rPr>
          <w:rFonts w:cs="Arial"/>
        </w:rPr>
        <w:t xml:space="preserve"> feed ratio.</w:t>
      </w:r>
    </w:p>
    <w:p w14:paraId="62E67A27" w14:textId="77777777" w:rsidR="00AE6055" w:rsidRDefault="00AE6055" w:rsidP="00490FDA">
      <w:pPr>
        <w:pStyle w:val="CETBodytext"/>
      </w:pPr>
    </w:p>
    <w:p w14:paraId="3EE9043B" w14:textId="77777777" w:rsidR="00CB631E" w:rsidRDefault="00CB631E" w:rsidP="00CB631E">
      <w:pPr>
        <w:pStyle w:val="CETBodytext"/>
      </w:pPr>
      <w:r>
        <w:rPr>
          <w:noProof/>
          <w:lang w:val="pt-BR" w:eastAsia="pt-BR"/>
        </w:rPr>
        <w:drawing>
          <wp:inline distT="0" distB="0" distL="0" distR="0" wp14:anchorId="388C98EA" wp14:editId="11761DB0">
            <wp:extent cx="5569155" cy="1543050"/>
            <wp:effectExtent l="0" t="0" r="0" b="0"/>
            <wp:docPr id="966828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28148" name="Picture 3"/>
                    <pic:cNvPicPr>
                      <a:picLocks noChangeAspect="1" noChangeArrowheads="1"/>
                    </pic:cNvPicPr>
                  </pic:nvPicPr>
                  <pic:blipFill>
                    <a:blip r:embed="rId13"/>
                    <a:stretch>
                      <a:fillRect/>
                    </a:stretch>
                  </pic:blipFill>
                  <pic:spPr bwMode="auto">
                    <a:xfrm>
                      <a:off x="0" y="0"/>
                      <a:ext cx="5575584" cy="1544831"/>
                    </a:xfrm>
                    <a:prstGeom prst="rect">
                      <a:avLst/>
                    </a:prstGeom>
                  </pic:spPr>
                </pic:pic>
              </a:graphicData>
            </a:graphic>
          </wp:inline>
        </w:drawing>
      </w:r>
    </w:p>
    <w:p w14:paraId="0C543204" w14:textId="77777777" w:rsidR="00292435" w:rsidRDefault="00292435" w:rsidP="00292435">
      <w:pPr>
        <w:pStyle w:val="CETCaption"/>
      </w:pPr>
      <w:r w:rsidRPr="00BD077D">
        <w:rPr>
          <w:rStyle w:val="CETCaptionCarattere"/>
          <w:i/>
        </w:rPr>
        <w:t xml:space="preserve">Figure </w:t>
      </w:r>
      <w:r w:rsidR="00F96EAE">
        <w:rPr>
          <w:rStyle w:val="CETCaptionCarattere"/>
          <w:i/>
        </w:rPr>
        <w:t>4</w:t>
      </w:r>
      <w:r w:rsidRPr="00BD077D">
        <w:rPr>
          <w:rStyle w:val="CETCaptionCarattere"/>
          <w:i/>
        </w:rPr>
        <w:t xml:space="preserve">: </w:t>
      </w:r>
      <w:r>
        <w:rPr>
          <w:rStyle w:val="CETCaptionCarattere"/>
          <w:i/>
        </w:rPr>
        <w:t xml:space="preserve">Molar fraction of the methanation products varying </w:t>
      </w:r>
      <w:r w:rsidRPr="00292435">
        <w:rPr>
          <w:rStyle w:val="CETCaptionCarattere"/>
          <w:i/>
        </w:rPr>
        <w:t xml:space="preserve">(a) </w:t>
      </w:r>
      <w:r>
        <w:rPr>
          <w:rStyle w:val="CETCaptionCarattere"/>
          <w:i/>
        </w:rPr>
        <w:t>H</w:t>
      </w:r>
      <w:r w:rsidRPr="00292435">
        <w:rPr>
          <w:rStyle w:val="CETCaptionCarattere"/>
          <w:i/>
          <w:vertAlign w:val="subscript"/>
        </w:rPr>
        <w:t>2</w:t>
      </w:r>
      <w:r w:rsidR="004520EA">
        <w:rPr>
          <w:rStyle w:val="CETCaptionCarattere"/>
          <w:i/>
        </w:rPr>
        <w:t>/</w:t>
      </w:r>
      <w:r>
        <w:rPr>
          <w:rStyle w:val="CETCaptionCarattere"/>
          <w:i/>
        </w:rPr>
        <w:t>CO</w:t>
      </w:r>
      <w:r w:rsidRPr="00292435">
        <w:rPr>
          <w:rStyle w:val="CETCaptionCarattere"/>
          <w:i/>
          <w:vertAlign w:val="subscript"/>
        </w:rPr>
        <w:t>2</w:t>
      </w:r>
      <w:r w:rsidRPr="00292435">
        <w:rPr>
          <w:rStyle w:val="CETCaptionCarattere"/>
          <w:i/>
        </w:rPr>
        <w:t xml:space="preserve"> ratio; (b</w:t>
      </w:r>
      <w:r>
        <w:rPr>
          <w:rStyle w:val="CETCaptionCarattere"/>
          <w:i/>
        </w:rPr>
        <w:t>)</w:t>
      </w:r>
      <w:r w:rsidRPr="00292435">
        <w:rPr>
          <w:rStyle w:val="CETCaptionCarattere"/>
          <w:i/>
        </w:rPr>
        <w:t xml:space="preserve"> pressure; (</w:t>
      </w:r>
      <w:r>
        <w:rPr>
          <w:rStyle w:val="CETCaptionCarattere"/>
          <w:i/>
        </w:rPr>
        <w:t>c</w:t>
      </w:r>
      <w:r w:rsidRPr="00292435">
        <w:rPr>
          <w:rStyle w:val="CETCaptionCarattere"/>
          <w:i/>
        </w:rPr>
        <w:t>) temperature</w:t>
      </w:r>
      <w:r>
        <w:rPr>
          <w:rStyle w:val="CETCaptionCarattere"/>
          <w:i/>
        </w:rPr>
        <w:t>.</w:t>
      </w:r>
    </w:p>
    <w:p w14:paraId="150F6A1E" w14:textId="77777777" w:rsidR="0044196F" w:rsidRPr="00615E6D" w:rsidRDefault="00F96EAE" w:rsidP="00CB631E">
      <w:pPr>
        <w:pStyle w:val="CETBodytext"/>
        <w:rPr>
          <w:rFonts w:cs="Arial"/>
        </w:rPr>
      </w:pPr>
      <w:r>
        <w:rPr>
          <w:rFonts w:cs="Arial"/>
        </w:rPr>
        <w:t>Figure 5</w:t>
      </w:r>
      <w:r w:rsidR="00490FDA" w:rsidRPr="00490FDA">
        <w:rPr>
          <w:rFonts w:cs="Arial"/>
        </w:rPr>
        <w:t xml:space="preserve"> shows the mass balances of the methanation process using different hydrogen sources. In the E</w:t>
      </w:r>
      <w:r w:rsidR="000722D5">
        <w:rPr>
          <w:rFonts w:cs="Arial"/>
        </w:rPr>
        <w:t>S</w:t>
      </w:r>
      <w:r w:rsidR="00490FDA" w:rsidRPr="00490FDA">
        <w:rPr>
          <w:rFonts w:cs="Arial"/>
        </w:rPr>
        <w:t>R process</w:t>
      </w:r>
      <w:r w:rsidR="00490FDA">
        <w:rPr>
          <w:rFonts w:cs="Arial"/>
        </w:rPr>
        <w:t xml:space="preserve">, </w:t>
      </w:r>
      <w:r>
        <w:rPr>
          <w:rFonts w:cs="Arial"/>
        </w:rPr>
        <w:t>Figure 5</w:t>
      </w:r>
      <w:r w:rsidR="00490FDA">
        <w:rPr>
          <w:rFonts w:cs="Arial"/>
        </w:rPr>
        <w:t>a</w:t>
      </w:r>
      <w:r w:rsidR="00490FDA" w:rsidRPr="00490FDA">
        <w:rPr>
          <w:rFonts w:cs="Arial"/>
        </w:rPr>
        <w:t>, methane productivity is directly related to the efficiency of the reforming step and the energy balance of the system. For every mole of CH</w:t>
      </w:r>
      <w:r w:rsidR="00490FDA" w:rsidRPr="00490FDA">
        <w:rPr>
          <w:rFonts w:cs="Arial"/>
          <w:vertAlign w:val="subscript"/>
        </w:rPr>
        <w:t>4</w:t>
      </w:r>
      <w:r w:rsidR="00490FDA" w:rsidRPr="00490FDA">
        <w:rPr>
          <w:rFonts w:cs="Arial"/>
        </w:rPr>
        <w:t xml:space="preserve"> produced, 7 moles of ethanol are required in the feed</w:t>
      </w:r>
      <w:r w:rsidR="00490FDA">
        <w:rPr>
          <w:rFonts w:cs="Arial"/>
        </w:rPr>
        <w:t xml:space="preserve">, with </w:t>
      </w:r>
      <w:r w:rsidR="00233DDC">
        <w:rPr>
          <w:rFonts w:cs="Arial"/>
        </w:rPr>
        <w:t xml:space="preserve">a </w:t>
      </w:r>
      <w:r w:rsidR="00490FDA">
        <w:rPr>
          <w:rFonts w:cs="Arial"/>
        </w:rPr>
        <w:t>97.4</w:t>
      </w:r>
      <w:r w:rsidR="00233DDC">
        <w:rPr>
          <w:rFonts w:cs="Arial"/>
        </w:rPr>
        <w:t>%</w:t>
      </w:r>
      <w:r w:rsidR="00490FDA">
        <w:rPr>
          <w:rFonts w:cs="Arial"/>
        </w:rPr>
        <w:t xml:space="preserve"> yield of CH</w:t>
      </w:r>
      <w:r w:rsidR="00490FDA" w:rsidRPr="00490FDA">
        <w:rPr>
          <w:rFonts w:cs="Arial"/>
          <w:vertAlign w:val="subscript"/>
        </w:rPr>
        <w:t>4</w:t>
      </w:r>
      <w:r w:rsidR="00490FDA" w:rsidRPr="00490FDA">
        <w:rPr>
          <w:rFonts w:cs="Arial"/>
        </w:rPr>
        <w:t xml:space="preserve">. A major advantage of this approach is </w:t>
      </w:r>
      <w:r w:rsidR="00233DDC">
        <w:rPr>
          <w:rFonts w:cs="Arial"/>
        </w:rPr>
        <w:t>that</w:t>
      </w:r>
      <w:r w:rsidR="00490FDA" w:rsidRPr="00490FDA">
        <w:rPr>
          <w:rFonts w:cs="Arial"/>
        </w:rPr>
        <w:t xml:space="preserve"> ethanol can be </w:t>
      </w:r>
      <w:r w:rsidR="00233DDC">
        <w:rPr>
          <w:rFonts w:cs="Arial"/>
        </w:rPr>
        <w:t xml:space="preserve">effectively </w:t>
      </w:r>
      <w:r w:rsidR="00490FDA" w:rsidRPr="00490FDA">
        <w:rPr>
          <w:rFonts w:cs="Arial"/>
        </w:rPr>
        <w:t xml:space="preserve">obtained from renewable sources, such as bioethanol produced from </w:t>
      </w:r>
      <w:proofErr w:type="gramStart"/>
      <w:r w:rsidR="00490FDA" w:rsidRPr="00490FDA">
        <w:rPr>
          <w:rFonts w:cs="Arial"/>
        </w:rPr>
        <w:t>sugarcane</w:t>
      </w:r>
      <w:r w:rsidR="00375EDC">
        <w:t>(</w:t>
      </w:r>
      <w:proofErr w:type="gramEnd"/>
      <w:r w:rsidR="00375EDC">
        <w:t>Bineli, 2013; Grandis et al., 2024</w:t>
      </w:r>
      <w:proofErr w:type="gramStart"/>
      <w:r w:rsidR="00375EDC">
        <w:t>)</w:t>
      </w:r>
      <w:r w:rsidR="00375EDC" w:rsidRPr="001376D1">
        <w:t>.</w:t>
      </w:r>
      <w:r w:rsidR="00490FDA">
        <w:rPr>
          <w:rFonts w:cs="Arial"/>
        </w:rPr>
        <w:t>Although</w:t>
      </w:r>
      <w:proofErr w:type="gramEnd"/>
      <w:r w:rsidR="00490FDA" w:rsidRPr="00490FDA">
        <w:rPr>
          <w:rFonts w:cs="Arial"/>
        </w:rPr>
        <w:t xml:space="preserve"> there is the formation of by-products such as CO</w:t>
      </w:r>
      <w:r w:rsidR="00490FDA" w:rsidRPr="00490FDA">
        <w:rPr>
          <w:rFonts w:cs="Arial"/>
          <w:vertAlign w:val="subscript"/>
        </w:rPr>
        <w:t>2</w:t>
      </w:r>
      <w:r w:rsidR="00490FDA" w:rsidRPr="00490FDA">
        <w:rPr>
          <w:rFonts w:cs="Arial"/>
        </w:rPr>
        <w:t xml:space="preserve">, </w:t>
      </w:r>
      <w:r w:rsidR="00490FDA">
        <w:rPr>
          <w:rFonts w:cs="Arial"/>
        </w:rPr>
        <w:t>impacting directly in its capture and usage</w:t>
      </w:r>
      <w:r w:rsidR="00233DDC">
        <w:rPr>
          <w:rFonts w:cs="Arial"/>
        </w:rPr>
        <w:t>, i</w:t>
      </w:r>
      <w:r w:rsidR="00EF3583">
        <w:rPr>
          <w:rFonts w:cs="Arial"/>
        </w:rPr>
        <w:t xml:space="preserve">t is worthwhile mentioning that </w:t>
      </w:r>
      <w:r w:rsidR="00EF3583" w:rsidRPr="00490FDA">
        <w:rPr>
          <w:rFonts w:cs="Arial"/>
        </w:rPr>
        <w:t>CO</w:t>
      </w:r>
      <w:r w:rsidR="00EF3583" w:rsidRPr="00490FDA">
        <w:rPr>
          <w:rFonts w:cs="Arial"/>
          <w:vertAlign w:val="subscript"/>
        </w:rPr>
        <w:t>2</w:t>
      </w:r>
      <w:r w:rsidR="00EF3583">
        <w:rPr>
          <w:rFonts w:cs="Arial"/>
        </w:rPr>
        <w:t>from ethanol is biogenic.</w:t>
      </w:r>
      <w:r w:rsidR="00490FDA">
        <w:rPr>
          <w:rFonts w:cs="Arial"/>
        </w:rPr>
        <w:t xml:space="preserve"> One alternative would be </w:t>
      </w:r>
      <w:r w:rsidR="004368B8">
        <w:rPr>
          <w:rFonts w:cs="Arial"/>
        </w:rPr>
        <w:t>to directly couple</w:t>
      </w:r>
      <w:r w:rsidR="00490FDA">
        <w:rPr>
          <w:rFonts w:cs="Arial"/>
        </w:rPr>
        <w:t xml:space="preserve"> the E</w:t>
      </w:r>
      <w:r w:rsidR="00233DDC">
        <w:rPr>
          <w:rFonts w:cs="Arial"/>
        </w:rPr>
        <w:t>S</w:t>
      </w:r>
      <w:r w:rsidR="00490FDA">
        <w:rPr>
          <w:rFonts w:cs="Arial"/>
        </w:rPr>
        <w:t>R process</w:t>
      </w:r>
      <w:r w:rsidR="00490FDA" w:rsidRPr="00490FDA">
        <w:rPr>
          <w:rFonts w:cs="Arial"/>
        </w:rPr>
        <w:t xml:space="preserve"> to the methanation system, </w:t>
      </w:r>
      <w:r w:rsidR="00490FDA">
        <w:rPr>
          <w:rFonts w:cs="Arial"/>
        </w:rPr>
        <w:t>improving the</w:t>
      </w:r>
      <w:r w:rsidR="00490FDA" w:rsidRPr="00490FDA">
        <w:rPr>
          <w:rFonts w:cs="Arial"/>
        </w:rPr>
        <w:t xml:space="preserve"> methane</w:t>
      </w:r>
      <w:r w:rsidR="00490FDA">
        <w:rPr>
          <w:rFonts w:cs="Arial"/>
        </w:rPr>
        <w:t xml:space="preserve"> production</w:t>
      </w:r>
      <w:r w:rsidR="00490FDA" w:rsidRPr="00490FDA">
        <w:rPr>
          <w:rFonts w:cs="Arial"/>
        </w:rPr>
        <w:t xml:space="preserve"> in a single </w:t>
      </w:r>
      <w:r w:rsidR="002F39BC" w:rsidRPr="00490FDA">
        <w:rPr>
          <w:rFonts w:cs="Arial"/>
        </w:rPr>
        <w:t>step. On</w:t>
      </w:r>
      <w:r w:rsidR="00490FDA" w:rsidRPr="00490FDA">
        <w:rPr>
          <w:rFonts w:cs="Arial"/>
        </w:rPr>
        <w:t xml:space="preserve"> the other hand, methanation with hydrogen from water electrolysis</w:t>
      </w:r>
      <w:r w:rsidR="00490FDA">
        <w:rPr>
          <w:rFonts w:cs="Arial"/>
        </w:rPr>
        <w:t xml:space="preserve">, </w:t>
      </w:r>
      <w:r>
        <w:rPr>
          <w:rFonts w:cs="Arial"/>
        </w:rPr>
        <w:t>Figure 5</w:t>
      </w:r>
      <w:r w:rsidR="00490FDA">
        <w:rPr>
          <w:rFonts w:cs="Arial"/>
        </w:rPr>
        <w:t>b,</w:t>
      </w:r>
      <w:r w:rsidR="00490FDA" w:rsidRPr="00490FDA">
        <w:rPr>
          <w:rFonts w:cs="Arial"/>
        </w:rPr>
        <w:t xml:space="preserve"> is more direct and involves the production of H</w:t>
      </w:r>
      <w:r w:rsidR="00490FDA" w:rsidRPr="00490FDA">
        <w:rPr>
          <w:rFonts w:ascii="Cambria Math" w:hAnsi="Cambria Math" w:cs="Cambria Math"/>
        </w:rPr>
        <w:t>₂</w:t>
      </w:r>
      <w:r w:rsidR="00490FDA" w:rsidRPr="00490FDA">
        <w:rPr>
          <w:rFonts w:cs="Arial"/>
        </w:rPr>
        <w:t xml:space="preserve"> and O</w:t>
      </w:r>
      <w:r w:rsidR="00490FDA" w:rsidRPr="00490FDA">
        <w:rPr>
          <w:rFonts w:cs="Arial"/>
          <w:vertAlign w:val="subscript"/>
        </w:rPr>
        <w:t>2</w:t>
      </w:r>
      <w:r w:rsidR="00490FDA" w:rsidRPr="00490FDA">
        <w:rPr>
          <w:rFonts w:cs="Arial"/>
        </w:rPr>
        <w:t xml:space="preserve"> from electrolysis using electricity. This process has a simplified mass balance because water and electricity a</w:t>
      </w:r>
      <w:r w:rsidR="00233DDC">
        <w:rPr>
          <w:rFonts w:cs="Arial"/>
        </w:rPr>
        <w:t xml:space="preserve">re the unique </w:t>
      </w:r>
      <w:r w:rsidR="00490FDA" w:rsidRPr="00490FDA">
        <w:rPr>
          <w:rFonts w:cs="Arial"/>
        </w:rPr>
        <w:t xml:space="preserve">inputs. The methane yield in this case </w:t>
      </w:r>
      <w:r w:rsidR="00E161B2">
        <w:rPr>
          <w:rFonts w:cs="Arial"/>
        </w:rPr>
        <w:t>is</w:t>
      </w:r>
      <w:r w:rsidR="000470F6">
        <w:rPr>
          <w:rFonts w:cs="Arial"/>
        </w:rPr>
        <w:t xml:space="preserve"> 96.8%</w:t>
      </w:r>
      <w:r w:rsidR="00E161B2">
        <w:rPr>
          <w:rFonts w:cs="Arial"/>
        </w:rPr>
        <w:t xml:space="preserve">, </w:t>
      </w:r>
      <w:r w:rsidR="004A777F">
        <w:rPr>
          <w:rFonts w:cs="Arial"/>
        </w:rPr>
        <w:t>being</w:t>
      </w:r>
      <w:r w:rsidR="00F90419">
        <w:rPr>
          <w:rFonts w:cs="Arial"/>
        </w:rPr>
        <w:t xml:space="preserve"> </w:t>
      </w:r>
      <w:r w:rsidR="00490FDA" w:rsidRPr="00490FDA">
        <w:rPr>
          <w:rFonts w:cs="Arial"/>
        </w:rPr>
        <w:t>slightly lower than the E</w:t>
      </w:r>
      <w:r w:rsidR="00233DDC">
        <w:rPr>
          <w:rFonts w:cs="Arial"/>
        </w:rPr>
        <w:t>S</w:t>
      </w:r>
      <w:r w:rsidR="00490FDA" w:rsidRPr="00490FDA">
        <w:rPr>
          <w:rFonts w:cs="Arial"/>
        </w:rPr>
        <w:t>R process, with the advantage of producing fewer products and capturing more CO</w:t>
      </w:r>
      <w:r w:rsidR="00490FDA" w:rsidRPr="00490FDA">
        <w:rPr>
          <w:rFonts w:cs="Arial"/>
          <w:vertAlign w:val="subscript"/>
        </w:rPr>
        <w:t>2</w:t>
      </w:r>
      <w:r w:rsidR="00490FDA" w:rsidRPr="00490FDA">
        <w:rPr>
          <w:rFonts w:cs="Arial"/>
        </w:rPr>
        <w:t xml:space="preserve">. </w:t>
      </w:r>
      <w:r w:rsidR="00765F3D">
        <w:rPr>
          <w:rFonts w:cs="Arial"/>
        </w:rPr>
        <w:t xml:space="preserve">Besides, </w:t>
      </w:r>
      <w:r w:rsidR="004A777F">
        <w:rPr>
          <w:rFonts w:cs="Arial"/>
        </w:rPr>
        <w:t>it</w:t>
      </w:r>
      <w:r w:rsidR="00F90419">
        <w:rPr>
          <w:rFonts w:cs="Arial"/>
        </w:rPr>
        <w:t xml:space="preserve"> </w:t>
      </w:r>
      <w:r w:rsidR="006B2BE9">
        <w:rPr>
          <w:rFonts w:cs="Arial"/>
        </w:rPr>
        <w:t>can</w:t>
      </w:r>
      <w:r w:rsidR="00F90419">
        <w:rPr>
          <w:rFonts w:cs="Arial"/>
        </w:rPr>
        <w:t xml:space="preserve"> </w:t>
      </w:r>
      <w:r w:rsidR="00490FDA" w:rsidRPr="00490FDA">
        <w:rPr>
          <w:rFonts w:cs="Arial"/>
        </w:rPr>
        <w:t xml:space="preserve">also </w:t>
      </w:r>
      <w:r w:rsidR="006B2BE9">
        <w:rPr>
          <w:rFonts w:cs="Arial"/>
        </w:rPr>
        <w:t>be integrated</w:t>
      </w:r>
      <w:r w:rsidR="00490FDA" w:rsidRPr="00490FDA">
        <w:rPr>
          <w:rFonts w:cs="Arial"/>
        </w:rPr>
        <w:t xml:space="preserve"> with clean energy sources to produce green hydrogen.</w:t>
      </w:r>
    </w:p>
    <w:p w14:paraId="0B66D040" w14:textId="77777777" w:rsidR="00647890" w:rsidRDefault="0044196F" w:rsidP="0044196F">
      <w:pPr>
        <w:pStyle w:val="CETCaption"/>
        <w:jc w:val="center"/>
      </w:pPr>
      <w:r>
        <w:rPr>
          <w:noProof/>
          <w:lang w:val="pt-BR" w:eastAsia="pt-BR"/>
        </w:rPr>
        <w:drawing>
          <wp:inline distT="0" distB="0" distL="0" distR="0" wp14:anchorId="32A4D3BD" wp14:editId="785BC6FC">
            <wp:extent cx="5558501" cy="1325107"/>
            <wp:effectExtent l="0" t="0" r="4445" b="8890"/>
            <wp:docPr id="828359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5973" name="Picture 4"/>
                    <pic:cNvPicPr>
                      <a:picLocks noChangeAspect="1" noChangeArrowheads="1"/>
                    </pic:cNvPicPr>
                  </pic:nvPicPr>
                  <pic:blipFill>
                    <a:blip r:embed="rId14">
                      <a:extLst>
                        <a:ext uri="{96DAC541-7B7A-43D3-8B79-37D633B846F1}">
                          <asvg:svgBlip xmlns:asvg="http://schemas.microsoft.com/office/drawing/2016/SVG/main" r:embed="rId15"/>
                        </a:ext>
                      </a:extLst>
                    </a:blip>
                    <a:stretch>
                      <a:fillRect/>
                    </a:stretch>
                  </pic:blipFill>
                  <pic:spPr bwMode="auto">
                    <a:xfrm>
                      <a:off x="0" y="0"/>
                      <a:ext cx="5558501" cy="1325107"/>
                    </a:xfrm>
                    <a:prstGeom prst="rect">
                      <a:avLst/>
                    </a:prstGeom>
                  </pic:spPr>
                </pic:pic>
              </a:graphicData>
            </a:graphic>
          </wp:inline>
        </w:drawing>
      </w:r>
    </w:p>
    <w:p w14:paraId="024FE871" w14:textId="77777777" w:rsidR="0044196F" w:rsidRDefault="0044196F" w:rsidP="0044196F">
      <w:pPr>
        <w:pStyle w:val="CETCaption"/>
      </w:pPr>
      <w:r w:rsidRPr="00BD077D">
        <w:rPr>
          <w:rStyle w:val="CETCaptionCarattere"/>
          <w:i/>
        </w:rPr>
        <w:t xml:space="preserve">Figure </w:t>
      </w:r>
      <w:r w:rsidR="00F96EAE">
        <w:rPr>
          <w:rStyle w:val="CETCaptionCarattere"/>
          <w:i/>
        </w:rPr>
        <w:t>5</w:t>
      </w:r>
      <w:r w:rsidRPr="00BD077D">
        <w:rPr>
          <w:rStyle w:val="CETCaptionCarattere"/>
          <w:i/>
        </w:rPr>
        <w:t xml:space="preserve">: </w:t>
      </w:r>
      <w:r w:rsidR="008F3F09">
        <w:rPr>
          <w:rStyle w:val="CETCaptionCarattere"/>
          <w:i/>
        </w:rPr>
        <w:t>Mass balance of methanation process using (a) ESR as a hydrogen source; (b) Alkaline water electrolysis as a hydrogen source</w:t>
      </w:r>
      <w:r>
        <w:rPr>
          <w:rStyle w:val="CETCaptionCarattere"/>
          <w:i/>
        </w:rPr>
        <w:t>.</w:t>
      </w:r>
    </w:p>
    <w:p w14:paraId="4E94EB93" w14:textId="0D716055" w:rsidR="0044196F" w:rsidRPr="006A1C53" w:rsidRDefault="001376D1" w:rsidP="0044196F">
      <w:pPr>
        <w:pStyle w:val="CETBodytext"/>
      </w:pPr>
      <w:r w:rsidRPr="001376D1">
        <w:t>Analysis of the energy balance of methanation processes with different hydrogen sources</w:t>
      </w:r>
      <w:r w:rsidR="00B96BF8">
        <w:t xml:space="preserve">, </w:t>
      </w:r>
      <w:r w:rsidR="00F96EAE">
        <w:t>Figure 6</w:t>
      </w:r>
      <w:r w:rsidR="00B96BF8">
        <w:t>,</w:t>
      </w:r>
      <w:r w:rsidRPr="001376D1">
        <w:t xml:space="preserve"> reveals significant differences in their energy requirements and efficiencies. In the </w:t>
      </w:r>
      <w:r w:rsidR="00765F3D">
        <w:t>ESR</w:t>
      </w:r>
      <w:r w:rsidRPr="001376D1">
        <w:t xml:space="preserve"> process, </w:t>
      </w:r>
      <w:r w:rsidR="00F96EAE">
        <w:t>Figure 6</w:t>
      </w:r>
      <w:r w:rsidRPr="001376D1">
        <w:t xml:space="preserve">a </w:t>
      </w:r>
      <w:r w:rsidR="00EF3583">
        <w:t xml:space="preserve">depicts </w:t>
      </w:r>
      <w:r w:rsidRPr="001376D1">
        <w:t xml:space="preserve">that the cooling system and the reactor consume a significant </w:t>
      </w:r>
      <w:r w:rsidR="00765F3D">
        <w:t xml:space="preserve">energy </w:t>
      </w:r>
      <w:r w:rsidRPr="001376D1">
        <w:t xml:space="preserve">amount, </w:t>
      </w:r>
      <w:r w:rsidR="00765F3D">
        <w:t xml:space="preserve">representing </w:t>
      </w:r>
      <w:r w:rsidRPr="001376D1">
        <w:t>55% and 28% of the total demand of 3.86x10</w:t>
      </w:r>
      <w:r w:rsidRPr="001376D1">
        <w:rPr>
          <w:vertAlign w:val="superscript"/>
        </w:rPr>
        <w:t>2</w:t>
      </w:r>
      <w:r w:rsidRPr="001376D1">
        <w:t xml:space="preserve"> kW/kmol CH</w:t>
      </w:r>
      <w:r w:rsidRPr="001376D1">
        <w:rPr>
          <w:vertAlign w:val="subscript"/>
        </w:rPr>
        <w:t>4</w:t>
      </w:r>
      <w:r w:rsidRPr="001376D1">
        <w:t xml:space="preserve">, respectively. Much of the energy demand is associated with the heating required for ethanol reforming and maintaining the thermal conditions of the process. The contribution of the cooling system reflects the need to control the temperature in endothermic reactions, which increases energy costs. Nevertheless, the process has the advantage of using ethanol, a renewable raw material, especially in regions with abundance of this resource, such as Brazil, which can balance energy demand </w:t>
      </w:r>
      <w:r w:rsidR="007A477C">
        <w:t>with</w:t>
      </w:r>
      <w:r w:rsidR="00F90419">
        <w:t xml:space="preserve"> </w:t>
      </w:r>
      <w:r w:rsidRPr="001376D1">
        <w:t xml:space="preserve">economic </w:t>
      </w:r>
      <w:r w:rsidR="002F39BC" w:rsidRPr="001376D1">
        <w:t>viability</w:t>
      </w:r>
      <w:r w:rsidR="00375EDC">
        <w:t xml:space="preserve"> (Grandis et al., 2024)</w:t>
      </w:r>
      <w:r w:rsidR="002F39BC" w:rsidRPr="001376D1">
        <w:t>. The</w:t>
      </w:r>
      <w:r w:rsidRPr="001376D1">
        <w:t xml:space="preserve"> methanation process with hydrogen produced by electrolysis has a high</w:t>
      </w:r>
      <w:r w:rsidR="007A477C">
        <w:t>er</w:t>
      </w:r>
      <w:r w:rsidRPr="001376D1">
        <w:t xml:space="preserve"> energy demand, as shown in </w:t>
      </w:r>
      <w:r w:rsidR="00F96EAE">
        <w:t>Figure 6</w:t>
      </w:r>
      <w:r w:rsidR="00B032DF" w:rsidRPr="001376D1">
        <w:t>b</w:t>
      </w:r>
      <w:r w:rsidR="00B032DF">
        <w:t>. Electrolysis</w:t>
      </w:r>
      <w:r w:rsidRPr="001376D1">
        <w:t xml:space="preserve"> consumes most of the total energy, representing 88% of the total demand of 1.04x10</w:t>
      </w:r>
      <w:r w:rsidRPr="001376D1">
        <w:rPr>
          <w:vertAlign w:val="superscript"/>
        </w:rPr>
        <w:t>3</w:t>
      </w:r>
      <w:r w:rsidRPr="001376D1">
        <w:t xml:space="preserve"> kW/kmol CH</w:t>
      </w:r>
      <w:r w:rsidRPr="001376D1">
        <w:rPr>
          <w:vertAlign w:val="subscript"/>
        </w:rPr>
        <w:t>4</w:t>
      </w:r>
      <w:r w:rsidR="00B032DF" w:rsidRPr="001376D1">
        <w:t>. The</w:t>
      </w:r>
      <w:r w:rsidRPr="001376D1">
        <w:t xml:space="preserve"> main advantage of this method is the production of green hydrogen, which does not emit CO</w:t>
      </w:r>
      <w:r w:rsidRPr="001376D1">
        <w:rPr>
          <w:rFonts w:cs="Arial"/>
          <w:vertAlign w:val="subscript"/>
        </w:rPr>
        <w:t>2</w:t>
      </w:r>
      <w:r w:rsidRPr="001376D1">
        <w:t xml:space="preserve"> and contributes to the decarbonization of the methanation process. Electrolysis has a high energy demand and its integration with renewable energy makes it essential for the sustainability of the process and the energy matrix must be considered.</w:t>
      </w:r>
    </w:p>
    <w:p w14:paraId="421E4CE8" w14:textId="77777777" w:rsidR="0044196F" w:rsidRDefault="009E698E" w:rsidP="009E698E">
      <w:pPr>
        <w:pStyle w:val="CETBodytext"/>
      </w:pPr>
      <w:r>
        <w:rPr>
          <w:noProof/>
          <w:lang w:val="pt-BR" w:eastAsia="pt-BR"/>
        </w:rPr>
        <w:lastRenderedPageBreak/>
        <w:drawing>
          <wp:inline distT="0" distB="0" distL="0" distR="0" wp14:anchorId="73ED9CC4" wp14:editId="3DCC8EB6">
            <wp:extent cx="5512740" cy="1724025"/>
            <wp:effectExtent l="0" t="0" r="0" b="0"/>
            <wp:docPr id="1589959736" name="Picture 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59736" name="Picture 8" descr="A screenshot of a graph&#10;&#10;Description automatically generated"/>
                    <pic:cNvPicPr/>
                  </pic:nvPicPr>
                  <pic:blipFill>
                    <a:blip r:embed="rId16"/>
                    <a:stretch>
                      <a:fillRect/>
                    </a:stretch>
                  </pic:blipFill>
                  <pic:spPr>
                    <a:xfrm>
                      <a:off x="0" y="0"/>
                      <a:ext cx="5541396" cy="1732987"/>
                    </a:xfrm>
                    <a:prstGeom prst="rect">
                      <a:avLst/>
                    </a:prstGeom>
                  </pic:spPr>
                </pic:pic>
              </a:graphicData>
            </a:graphic>
          </wp:inline>
        </w:drawing>
      </w:r>
    </w:p>
    <w:p w14:paraId="1F793D58" w14:textId="77777777" w:rsidR="008F3F09" w:rsidRDefault="008F3F09" w:rsidP="008F3F09">
      <w:pPr>
        <w:pStyle w:val="CETCaption"/>
      </w:pPr>
      <w:r w:rsidRPr="00BD077D">
        <w:rPr>
          <w:rStyle w:val="CETCaptionCarattere"/>
          <w:i/>
        </w:rPr>
        <w:t xml:space="preserve">Figure </w:t>
      </w:r>
      <w:r w:rsidR="00F96EAE">
        <w:rPr>
          <w:rStyle w:val="CETCaptionCarattere"/>
          <w:i/>
        </w:rPr>
        <w:t>6</w:t>
      </w:r>
      <w:r w:rsidRPr="00BD077D">
        <w:rPr>
          <w:rStyle w:val="CETCaptionCarattere"/>
          <w:i/>
        </w:rPr>
        <w:t xml:space="preserve">: </w:t>
      </w:r>
      <w:r>
        <w:rPr>
          <w:rStyle w:val="CETCaptionCarattere"/>
          <w:i/>
        </w:rPr>
        <w:t>Energy requirement per category of the methanation process using (a) ESR as a hydrogen source; (b) Alkaline water electrolysis as a hydrogen source.</w:t>
      </w:r>
    </w:p>
    <w:p w14:paraId="09332360" w14:textId="77777777" w:rsidR="00600535" w:rsidRPr="00B57B36" w:rsidRDefault="00600535" w:rsidP="00600535">
      <w:pPr>
        <w:pStyle w:val="CETHeading1"/>
        <w:rPr>
          <w:lang w:val="en-GB"/>
        </w:rPr>
      </w:pPr>
      <w:r w:rsidRPr="00B57B36">
        <w:rPr>
          <w:lang w:val="en-GB"/>
        </w:rPr>
        <w:t>Conclusions</w:t>
      </w:r>
    </w:p>
    <w:p w14:paraId="09E0DB84" w14:textId="77777777" w:rsidR="001D0CFB" w:rsidRDefault="004B24F5" w:rsidP="004B24F5">
      <w:pPr>
        <w:pStyle w:val="CETBodytext"/>
        <w:rPr>
          <w:rFonts w:cs="Arial"/>
        </w:rPr>
      </w:pPr>
      <w:r w:rsidRPr="00254C52">
        <w:rPr>
          <w:rFonts w:cs="Arial"/>
        </w:rPr>
        <w:t>The thermodynamic analysis of CO</w:t>
      </w:r>
      <w:r w:rsidR="00254C52" w:rsidRPr="00254C52">
        <w:rPr>
          <w:rFonts w:cs="Arial"/>
          <w:vertAlign w:val="subscript"/>
        </w:rPr>
        <w:t>2</w:t>
      </w:r>
      <w:r w:rsidRPr="00254C52">
        <w:rPr>
          <w:rFonts w:cs="Arial"/>
        </w:rPr>
        <w:t xml:space="preserve"> methanation emphasizes the significant impact of temperature, pressure, and the H</w:t>
      </w:r>
      <w:r w:rsidRPr="00254C52">
        <w:rPr>
          <w:rFonts w:cs="Arial"/>
          <w:vertAlign w:val="subscript"/>
        </w:rPr>
        <w:t>2</w:t>
      </w:r>
      <w:r w:rsidRPr="00254C52">
        <w:rPr>
          <w:rFonts w:cs="Arial"/>
        </w:rPr>
        <w:t>/CO</w:t>
      </w:r>
      <w:r w:rsidRPr="00254C52">
        <w:rPr>
          <w:rFonts w:cs="Arial"/>
          <w:vertAlign w:val="subscript"/>
        </w:rPr>
        <w:t>2</w:t>
      </w:r>
      <w:r w:rsidRPr="00254C52">
        <w:rPr>
          <w:rFonts w:cs="Arial"/>
        </w:rPr>
        <w:t xml:space="preserve"> molar ratio on both CH</w:t>
      </w:r>
      <w:r w:rsidRPr="00254C52">
        <w:rPr>
          <w:rFonts w:cs="Arial"/>
          <w:vertAlign w:val="subscript"/>
        </w:rPr>
        <w:t>4</w:t>
      </w:r>
      <w:r w:rsidRPr="00254C52">
        <w:rPr>
          <w:rFonts w:cs="Arial"/>
        </w:rPr>
        <w:t xml:space="preserve"> yield and CO</w:t>
      </w:r>
      <w:r w:rsidRPr="00254C52">
        <w:rPr>
          <w:rFonts w:cs="Arial"/>
          <w:vertAlign w:val="subscript"/>
        </w:rPr>
        <w:t>2</w:t>
      </w:r>
      <w:r w:rsidRPr="00254C52">
        <w:rPr>
          <w:rFonts w:cs="Arial"/>
        </w:rPr>
        <w:t xml:space="preserve"> conversion. The findings indicate that optimal conditions for maximizing methane production and achieving complete CO</w:t>
      </w:r>
      <w:r w:rsidRPr="00254C52">
        <w:rPr>
          <w:rFonts w:cs="Arial"/>
          <w:vertAlign w:val="subscript"/>
        </w:rPr>
        <w:t>2</w:t>
      </w:r>
      <w:r w:rsidRPr="00254C52">
        <w:rPr>
          <w:rFonts w:cs="Arial"/>
        </w:rPr>
        <w:t xml:space="preserve"> conversion while maintaining process selectivity, include moderate temperatures (500–600 K), high pressures (</w:t>
      </w:r>
      <w:r w:rsidR="00AD572E">
        <w:rPr>
          <w:rFonts w:cs="Arial"/>
        </w:rPr>
        <w:t>over</w:t>
      </w:r>
      <w:r w:rsidR="00B82A81">
        <w:rPr>
          <w:rFonts w:cs="Arial"/>
        </w:rPr>
        <w:t>5</w:t>
      </w:r>
      <w:r w:rsidRPr="00254C52">
        <w:rPr>
          <w:rFonts w:cs="Arial"/>
        </w:rPr>
        <w:t xml:space="preserve"> bar), and a stoichiometric H</w:t>
      </w:r>
      <w:r w:rsidRPr="00254C52">
        <w:rPr>
          <w:rFonts w:cs="Arial"/>
          <w:vertAlign w:val="subscript"/>
        </w:rPr>
        <w:t>2</w:t>
      </w:r>
      <w:r w:rsidRPr="00254C52">
        <w:rPr>
          <w:rFonts w:cs="Arial"/>
        </w:rPr>
        <w:t>/CO</w:t>
      </w:r>
      <w:r w:rsidRPr="00254C52">
        <w:rPr>
          <w:rFonts w:cs="Arial"/>
          <w:vertAlign w:val="subscript"/>
        </w:rPr>
        <w:t>2</w:t>
      </w:r>
      <w:r w:rsidRPr="00254C52">
        <w:rPr>
          <w:rFonts w:cs="Arial"/>
        </w:rPr>
        <w:t xml:space="preserve"> ratio of 4. Additionally, an analysis of different hydrogen sources reveals the advantages and disadvantages of ESR compared to alkaline water electrolysis. While the ESR process relies on renewable ethanol, it has high energy requirements for heating and cooling. However, it offers a high yield of CH</w:t>
      </w:r>
      <w:r w:rsidRPr="00254C52">
        <w:rPr>
          <w:rFonts w:cs="Arial"/>
          <w:vertAlign w:val="subscript"/>
        </w:rPr>
        <w:t>4</w:t>
      </w:r>
      <w:r w:rsidRPr="00254C52">
        <w:rPr>
          <w:rFonts w:cs="Arial"/>
        </w:rPr>
        <w:t xml:space="preserve"> and benefits from bioethanol as a sustainable feedstock. Conversely, the electrolysis-based process results in lower by-product formation and improved sustainability when paired with renewable energy sources, even though it demands </w:t>
      </w:r>
      <w:r w:rsidR="00806226">
        <w:rPr>
          <w:rFonts w:cs="Arial"/>
        </w:rPr>
        <w:t>significantly higher</w:t>
      </w:r>
      <w:r w:rsidRPr="00254C52">
        <w:rPr>
          <w:rFonts w:cs="Arial"/>
        </w:rPr>
        <w:t xml:space="preserve"> energy for </w:t>
      </w:r>
      <w:r w:rsidR="00806226">
        <w:rPr>
          <w:rFonts w:cs="Arial"/>
        </w:rPr>
        <w:t>H</w:t>
      </w:r>
      <w:r w:rsidR="00806226" w:rsidRPr="004255C9">
        <w:rPr>
          <w:rFonts w:cs="Arial"/>
          <w:vertAlign w:val="subscript"/>
        </w:rPr>
        <w:t>2</w:t>
      </w:r>
      <w:r w:rsidR="00F90419">
        <w:rPr>
          <w:rFonts w:cs="Arial"/>
          <w:vertAlign w:val="subscript"/>
        </w:rPr>
        <w:t xml:space="preserve"> </w:t>
      </w:r>
      <w:r w:rsidR="002F39BC" w:rsidRPr="00254C52">
        <w:rPr>
          <w:rFonts w:cs="Arial"/>
        </w:rPr>
        <w:t>production. For</w:t>
      </w:r>
      <w:r w:rsidRPr="00254C52">
        <w:rPr>
          <w:rFonts w:cs="Arial"/>
        </w:rPr>
        <w:t xml:space="preserve"> scalable methanation, strategies </w:t>
      </w:r>
      <w:r w:rsidR="00C31B2B">
        <w:rPr>
          <w:rFonts w:cs="Arial"/>
        </w:rPr>
        <w:t xml:space="preserve">should be adopted, </w:t>
      </w:r>
      <w:r w:rsidRPr="00254C52">
        <w:rPr>
          <w:rFonts w:cs="Arial"/>
        </w:rPr>
        <w:t xml:space="preserve">such as coupling ESR with the methanation system or utilizing green hydrogen generated </w:t>
      </w:r>
      <w:r w:rsidR="00C31B2B">
        <w:rPr>
          <w:rFonts w:cs="Arial"/>
        </w:rPr>
        <w:t>from</w:t>
      </w:r>
      <w:r w:rsidR="008A5473">
        <w:rPr>
          <w:rFonts w:cs="Arial"/>
        </w:rPr>
        <w:t xml:space="preserve"> </w:t>
      </w:r>
      <w:r w:rsidRPr="00254C52">
        <w:rPr>
          <w:rFonts w:cs="Arial"/>
        </w:rPr>
        <w:t xml:space="preserve">renewable-powered electrolysis. </w:t>
      </w:r>
    </w:p>
    <w:p w14:paraId="12520EED" w14:textId="77777777" w:rsidR="007B2408" w:rsidRPr="00B57B36" w:rsidRDefault="007B2408" w:rsidP="007B2408">
      <w:pPr>
        <w:pStyle w:val="CETAcknowledgementstitle"/>
      </w:pPr>
      <w:r w:rsidRPr="00B57B36">
        <w:t>Acknowledgments</w:t>
      </w:r>
    </w:p>
    <w:p w14:paraId="711367DF" w14:textId="2D0A0AB4" w:rsidR="007B2408" w:rsidRPr="00B57B36" w:rsidRDefault="007B2408" w:rsidP="007B2408">
      <w:pPr>
        <w:pStyle w:val="CETBodytext"/>
        <w:rPr>
          <w:lang w:val="en-GB"/>
        </w:rPr>
      </w:pPr>
      <w:r w:rsidRPr="007F31EA">
        <w:rPr>
          <w:lang w:val="en-GB"/>
        </w:rPr>
        <w:t>The authors gratefully acknowledge the support from FAPESP (the Sao Paulo Research Foundation, Project Number 2022/10644-1</w:t>
      </w:r>
      <w:r>
        <w:rPr>
          <w:lang w:val="en-GB"/>
        </w:rPr>
        <w:t xml:space="preserve"> and </w:t>
      </w:r>
      <w:r w:rsidR="00B032DF" w:rsidRPr="00B032DF">
        <w:rPr>
          <w:lang w:val="en-GB"/>
        </w:rPr>
        <w:t>2015/20630-4</w:t>
      </w:r>
      <w:r w:rsidRPr="007F31EA">
        <w:rPr>
          <w:lang w:val="en-GB"/>
        </w:rPr>
        <w:t>, Grant Numbers 2021/08940-9</w:t>
      </w:r>
      <w:r>
        <w:rPr>
          <w:lang w:val="en-GB"/>
        </w:rPr>
        <w:t>,</w:t>
      </w:r>
      <w:r w:rsidRPr="007F31EA">
        <w:rPr>
          <w:lang w:val="en-GB"/>
        </w:rPr>
        <w:t xml:space="preserve"> 2023/14455-1</w:t>
      </w:r>
      <w:r w:rsidR="004F02DD">
        <w:rPr>
          <w:lang w:val="en-GB"/>
        </w:rPr>
        <w:t xml:space="preserve"> and </w:t>
      </w:r>
      <w:r w:rsidR="004F02DD" w:rsidRPr="005A1520">
        <w:rPr>
          <w:lang w:val="en-GB"/>
        </w:rPr>
        <w:t>2023/08594-9</w:t>
      </w:r>
      <w:r w:rsidRPr="007F31EA">
        <w:rPr>
          <w:lang w:val="en-GB"/>
        </w:rPr>
        <w:t>)</w:t>
      </w:r>
      <w:r w:rsidRPr="00B57B36">
        <w:rPr>
          <w:lang w:val="en-GB"/>
        </w:rPr>
        <w:t>.</w:t>
      </w:r>
    </w:p>
    <w:p w14:paraId="1084C4AF" w14:textId="77777777" w:rsidR="007B2408" w:rsidRPr="00B57B36" w:rsidRDefault="007B2408" w:rsidP="007B2408">
      <w:pPr>
        <w:pStyle w:val="CETReference"/>
      </w:pPr>
      <w:r w:rsidRPr="00B57B36">
        <w:t>References</w:t>
      </w:r>
    </w:p>
    <w:p w14:paraId="507A2BFD" w14:textId="77777777" w:rsidR="007B2408" w:rsidRPr="00903B8B" w:rsidRDefault="007B2408" w:rsidP="00903B8B">
      <w:pPr>
        <w:pStyle w:val="CETReferencetext"/>
      </w:pPr>
      <w:bookmarkStart w:id="1" w:name="_Hlk156199570"/>
      <w:r w:rsidRPr="00903B8B">
        <w:t>Bineli A., 2013, Design, Manufacture and Testing of a Catalytic Microreactor for Hydrogen Production from Ethanol Steam Reforming, PhD Thesis, Faculdade de Engenharia Química da Universidade Estadual de Campinas, Campinas, SP, Brazil.</w:t>
      </w:r>
    </w:p>
    <w:p w14:paraId="79F66E82" w14:textId="77777777" w:rsidR="00AB11CA" w:rsidRPr="00903B8B" w:rsidRDefault="00AB11CA" w:rsidP="00903B8B">
      <w:pPr>
        <w:pStyle w:val="CETReferencetext"/>
      </w:pPr>
      <w:r w:rsidRPr="00903B8B">
        <w:t xml:space="preserve">Buelens L.C., Galvita V.V., Poelman H., Detavernier C., Marin G.B., 2016, Super-dry reforming of methane intensifies CO2 utilization via Le Chateliers principle, Science, 354, 6311, 449–452. </w:t>
      </w:r>
    </w:p>
    <w:p w14:paraId="7DFA7D1D" w14:textId="77777777" w:rsidR="00AB11CA" w:rsidRPr="00903B8B" w:rsidRDefault="00AB11CA" w:rsidP="00903B8B">
      <w:pPr>
        <w:pStyle w:val="CETReferencetext"/>
      </w:pPr>
      <w:r w:rsidRPr="00903B8B">
        <w:t>Grandis A., Fortirer S., Pagliuso D., Buckeridge M.S., 2024, Scientific Research on Bioethanol in Brazil: History and Prospects for Sustainable Biofuel, Sustainability, 16, 10, 167–4167.</w:t>
      </w:r>
    </w:p>
    <w:p w14:paraId="0D9EC689" w14:textId="77777777" w:rsidR="00AB11CA" w:rsidRDefault="007B2408" w:rsidP="00903B8B">
      <w:pPr>
        <w:pStyle w:val="CETReferencetext"/>
      </w:pPr>
      <w:r w:rsidRPr="00903B8B">
        <w:t>IEA, 2023, Global Hydrogen Review 2023, International Energy Agency &lt;https://www.iea.org/reports/global-hydrogen-review-2023&gt; accessed 15.12.2024.</w:t>
      </w:r>
    </w:p>
    <w:p w14:paraId="1F333922" w14:textId="77777777" w:rsidR="00ED3DB8" w:rsidRPr="00ED3DB8" w:rsidRDefault="00ED3DB8" w:rsidP="00ED3DB8">
      <w:pPr>
        <w:pStyle w:val="CETReferencetext"/>
        <w:rPr>
          <w:lang w:val="en-US"/>
        </w:rPr>
      </w:pPr>
      <w:r w:rsidRPr="00ED3DB8">
        <w:rPr>
          <w:lang w:val="en-US"/>
        </w:rPr>
        <w:t>Jiang Z., Xiao T., Kuznetsov V.L.</w:t>
      </w:r>
      <w:r>
        <w:rPr>
          <w:lang w:val="en-US"/>
        </w:rPr>
        <w:t xml:space="preserve">, </w:t>
      </w:r>
      <w:r w:rsidRPr="00ED3DB8">
        <w:rPr>
          <w:lang w:val="en-US"/>
        </w:rPr>
        <w:t>Edwards P.P</w:t>
      </w:r>
      <w:r>
        <w:rPr>
          <w:lang w:val="en-US"/>
        </w:rPr>
        <w:t xml:space="preserve">., </w:t>
      </w:r>
      <w:r w:rsidRPr="00ED3DB8">
        <w:rPr>
          <w:lang w:val="en-US"/>
        </w:rPr>
        <w:t>2010</w:t>
      </w:r>
      <w:r>
        <w:rPr>
          <w:lang w:val="en-US"/>
        </w:rPr>
        <w:t>,</w:t>
      </w:r>
      <w:r w:rsidRPr="00ED3DB8">
        <w:rPr>
          <w:lang w:val="en-US"/>
        </w:rPr>
        <w:t xml:space="preserve"> Turning carbon dioxide into fuel. Philosophical Transactions of the Royal Society A: Mathematical, Physical and Engineering Sciences, 368</w:t>
      </w:r>
      <w:r>
        <w:rPr>
          <w:lang w:val="en-US"/>
        </w:rPr>
        <w:t xml:space="preserve">, </w:t>
      </w:r>
      <w:r w:rsidRPr="00ED3DB8">
        <w:rPr>
          <w:lang w:val="en-US"/>
        </w:rPr>
        <w:t>1923, 3343–3364.</w:t>
      </w:r>
    </w:p>
    <w:p w14:paraId="0B238C25" w14:textId="77777777" w:rsidR="007B2408" w:rsidRPr="00903B8B" w:rsidRDefault="007B2408" w:rsidP="00903B8B">
      <w:pPr>
        <w:pStyle w:val="CETReferencetext"/>
      </w:pPr>
      <w:r w:rsidRPr="00903B8B">
        <w:t>Kakoee A., Gharehghani A., 2020, Carbon oxides methanation in equilibrium; a thermodynamic approach, International Journal of Hydrogen Energy, 45, 55, 29993–30008.</w:t>
      </w:r>
    </w:p>
    <w:p w14:paraId="6DC42328" w14:textId="77777777" w:rsidR="007B2408" w:rsidRPr="00903B8B" w:rsidRDefault="007B2408" w:rsidP="00903B8B">
      <w:pPr>
        <w:pStyle w:val="CETReferencetext"/>
      </w:pPr>
      <w:r w:rsidRPr="00903B8B">
        <w:t>Sánchez M., Amores E., Abad D., Rodríguez L., Clemente-Jul C., 2020, Aspen Plus model of an alkaline electrolysis system for hydrogen production, International Journal of Hydrogen Energy, 45, 7, 3916–3929.</w:t>
      </w:r>
    </w:p>
    <w:p w14:paraId="1885ACD2" w14:textId="77777777" w:rsidR="007B2408" w:rsidRPr="00903B8B" w:rsidRDefault="007B2408" w:rsidP="00903B8B">
      <w:pPr>
        <w:pStyle w:val="CETReferencetext"/>
      </w:pPr>
      <w:r w:rsidRPr="00903B8B">
        <w:t>UNFCCC, 2015, Paris Agreement, United Nations Framework Convention on Climate Change &lt;https://unfccc.int/sites/default/files/english_paris_agreement.pdf&gt; accessed 15.12.2024.</w:t>
      </w:r>
    </w:p>
    <w:p w14:paraId="5B43AE5B" w14:textId="77777777" w:rsidR="007B2408" w:rsidRPr="00903B8B" w:rsidRDefault="007B2408" w:rsidP="00903B8B">
      <w:pPr>
        <w:pStyle w:val="CETReferencetext"/>
      </w:pPr>
      <w:r w:rsidRPr="00903B8B">
        <w:t>Waldheim L., Nilsson T., 2001, Heating Value of Gases from Biomass Gasification, TPS Termiska Processer AB, Nyköping, Sweden.</w:t>
      </w:r>
    </w:p>
    <w:p w14:paraId="4E84D07E" w14:textId="77777777" w:rsidR="00C43923" w:rsidRPr="00903B8B" w:rsidRDefault="007B2408" w:rsidP="00903B8B">
      <w:pPr>
        <w:pStyle w:val="CETReferencetext"/>
      </w:pPr>
      <w:r w:rsidRPr="00903B8B">
        <w:t>Zhu P., Mae M., Matsuhashi R., 2024, Techno-Economic Analysis of Grid-Connected Hydrogen Production via Water Electrolysis, Energies, 17, 7, 1653.</w:t>
      </w:r>
      <w:bookmarkEnd w:id="1"/>
    </w:p>
    <w:sectPr w:rsidR="00C43923" w:rsidRPr="00903B8B"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B9989" w14:textId="77777777" w:rsidR="002F10E7" w:rsidRDefault="002F10E7" w:rsidP="004F5E36">
      <w:r>
        <w:separator/>
      </w:r>
    </w:p>
  </w:endnote>
  <w:endnote w:type="continuationSeparator" w:id="0">
    <w:p w14:paraId="58B8EB72" w14:textId="77777777" w:rsidR="002F10E7" w:rsidRDefault="002F10E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97F19" w14:textId="77777777" w:rsidR="002F10E7" w:rsidRDefault="002F10E7" w:rsidP="004F5E36">
      <w:r>
        <w:separator/>
      </w:r>
    </w:p>
  </w:footnote>
  <w:footnote w:type="continuationSeparator" w:id="0">
    <w:p w14:paraId="7F89E665" w14:textId="77777777" w:rsidR="002F10E7" w:rsidRDefault="002F10E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135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98693863">
    <w:abstractNumId w:val="11"/>
  </w:num>
  <w:num w:numId="2" w16cid:durableId="969748606">
    <w:abstractNumId w:val="8"/>
  </w:num>
  <w:num w:numId="3" w16cid:durableId="1013268582">
    <w:abstractNumId w:val="3"/>
  </w:num>
  <w:num w:numId="4" w16cid:durableId="1542285404">
    <w:abstractNumId w:val="2"/>
  </w:num>
  <w:num w:numId="5" w16cid:durableId="682710051">
    <w:abstractNumId w:val="1"/>
  </w:num>
  <w:num w:numId="6" w16cid:durableId="1083644110">
    <w:abstractNumId w:val="0"/>
  </w:num>
  <w:num w:numId="7" w16cid:durableId="217985371">
    <w:abstractNumId w:val="9"/>
  </w:num>
  <w:num w:numId="8" w16cid:durableId="821851595">
    <w:abstractNumId w:val="7"/>
  </w:num>
  <w:num w:numId="9" w16cid:durableId="1838569094">
    <w:abstractNumId w:val="6"/>
  </w:num>
  <w:num w:numId="10" w16cid:durableId="1095444936">
    <w:abstractNumId w:val="5"/>
  </w:num>
  <w:num w:numId="11" w16cid:durableId="859390676">
    <w:abstractNumId w:val="4"/>
  </w:num>
  <w:num w:numId="12" w16cid:durableId="1403799486">
    <w:abstractNumId w:val="18"/>
  </w:num>
  <w:num w:numId="13" w16cid:durableId="1792430977">
    <w:abstractNumId w:val="13"/>
  </w:num>
  <w:num w:numId="14" w16cid:durableId="651326087">
    <w:abstractNumId w:val="19"/>
  </w:num>
  <w:num w:numId="15" w16cid:durableId="662781171">
    <w:abstractNumId w:val="21"/>
  </w:num>
  <w:num w:numId="16" w16cid:durableId="1249772506">
    <w:abstractNumId w:val="20"/>
  </w:num>
  <w:num w:numId="17" w16cid:durableId="2135976704">
    <w:abstractNumId w:val="12"/>
  </w:num>
  <w:num w:numId="18" w16cid:durableId="1892111247">
    <w:abstractNumId w:val="13"/>
    <w:lvlOverride w:ilvl="0">
      <w:startOverride w:val="1"/>
    </w:lvlOverride>
  </w:num>
  <w:num w:numId="19" w16cid:durableId="1411611736">
    <w:abstractNumId w:val="17"/>
  </w:num>
  <w:num w:numId="20" w16cid:durableId="1898279129">
    <w:abstractNumId w:val="16"/>
  </w:num>
  <w:num w:numId="21" w16cid:durableId="1839299708">
    <w:abstractNumId w:val="15"/>
  </w:num>
  <w:num w:numId="22" w16cid:durableId="1770080975">
    <w:abstractNumId w:val="14"/>
  </w:num>
  <w:num w:numId="23" w16cid:durableId="11906805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07C61"/>
    <w:rsid w:val="000117CB"/>
    <w:rsid w:val="000163AB"/>
    <w:rsid w:val="00022F85"/>
    <w:rsid w:val="0003148D"/>
    <w:rsid w:val="00031EEC"/>
    <w:rsid w:val="00041C76"/>
    <w:rsid w:val="0004507B"/>
    <w:rsid w:val="00046F20"/>
    <w:rsid w:val="000470F6"/>
    <w:rsid w:val="00051566"/>
    <w:rsid w:val="000562A9"/>
    <w:rsid w:val="00062A9A"/>
    <w:rsid w:val="00065058"/>
    <w:rsid w:val="000667CF"/>
    <w:rsid w:val="00066A33"/>
    <w:rsid w:val="0006718A"/>
    <w:rsid w:val="000722D5"/>
    <w:rsid w:val="0007786C"/>
    <w:rsid w:val="00082A7C"/>
    <w:rsid w:val="00086C39"/>
    <w:rsid w:val="00097A7A"/>
    <w:rsid w:val="000A03B2"/>
    <w:rsid w:val="000D0268"/>
    <w:rsid w:val="000D0842"/>
    <w:rsid w:val="000D3419"/>
    <w:rsid w:val="000D34BE"/>
    <w:rsid w:val="000D4EE6"/>
    <w:rsid w:val="000E0B3C"/>
    <w:rsid w:val="000E102F"/>
    <w:rsid w:val="000E110B"/>
    <w:rsid w:val="000E34C9"/>
    <w:rsid w:val="000E36F1"/>
    <w:rsid w:val="000E3A73"/>
    <w:rsid w:val="000E414A"/>
    <w:rsid w:val="000E75FD"/>
    <w:rsid w:val="000F093C"/>
    <w:rsid w:val="000F787B"/>
    <w:rsid w:val="0012091F"/>
    <w:rsid w:val="0012602D"/>
    <w:rsid w:val="00126BC2"/>
    <w:rsid w:val="001308B6"/>
    <w:rsid w:val="00130B54"/>
    <w:rsid w:val="0013121F"/>
    <w:rsid w:val="00131FE6"/>
    <w:rsid w:val="0013263F"/>
    <w:rsid w:val="001331DF"/>
    <w:rsid w:val="00134DE4"/>
    <w:rsid w:val="001376D1"/>
    <w:rsid w:val="0014034D"/>
    <w:rsid w:val="00140FE3"/>
    <w:rsid w:val="00142099"/>
    <w:rsid w:val="00144D16"/>
    <w:rsid w:val="00150E59"/>
    <w:rsid w:val="00152DE3"/>
    <w:rsid w:val="00155DA5"/>
    <w:rsid w:val="00157D90"/>
    <w:rsid w:val="00164A7C"/>
    <w:rsid w:val="00164CF9"/>
    <w:rsid w:val="0016668E"/>
    <w:rsid w:val="001666FE"/>
    <w:rsid w:val="001667A6"/>
    <w:rsid w:val="00167AB5"/>
    <w:rsid w:val="001712B6"/>
    <w:rsid w:val="0017392E"/>
    <w:rsid w:val="00174D92"/>
    <w:rsid w:val="0018171E"/>
    <w:rsid w:val="00184AD6"/>
    <w:rsid w:val="001878FC"/>
    <w:rsid w:val="00197240"/>
    <w:rsid w:val="00197651"/>
    <w:rsid w:val="001A4AF7"/>
    <w:rsid w:val="001B0349"/>
    <w:rsid w:val="001B193B"/>
    <w:rsid w:val="001B1E93"/>
    <w:rsid w:val="001B65C1"/>
    <w:rsid w:val="001B65EE"/>
    <w:rsid w:val="001C260F"/>
    <w:rsid w:val="001C5889"/>
    <w:rsid w:val="001C5C3A"/>
    <w:rsid w:val="001C684B"/>
    <w:rsid w:val="001D0CFB"/>
    <w:rsid w:val="001D21AF"/>
    <w:rsid w:val="001D3D32"/>
    <w:rsid w:val="001D519E"/>
    <w:rsid w:val="001D53FC"/>
    <w:rsid w:val="001E2C69"/>
    <w:rsid w:val="001F2CB1"/>
    <w:rsid w:val="001F42A5"/>
    <w:rsid w:val="001F7B9D"/>
    <w:rsid w:val="00201C93"/>
    <w:rsid w:val="002060CC"/>
    <w:rsid w:val="00207CB3"/>
    <w:rsid w:val="0022207D"/>
    <w:rsid w:val="002224B4"/>
    <w:rsid w:val="002325FE"/>
    <w:rsid w:val="00233DDC"/>
    <w:rsid w:val="002340CE"/>
    <w:rsid w:val="00242A82"/>
    <w:rsid w:val="002447EF"/>
    <w:rsid w:val="0024769E"/>
    <w:rsid w:val="00251550"/>
    <w:rsid w:val="00254C52"/>
    <w:rsid w:val="00260A34"/>
    <w:rsid w:val="00263B05"/>
    <w:rsid w:val="00267F98"/>
    <w:rsid w:val="0027221A"/>
    <w:rsid w:val="00275B61"/>
    <w:rsid w:val="00280FAF"/>
    <w:rsid w:val="00282656"/>
    <w:rsid w:val="00292435"/>
    <w:rsid w:val="00296B83"/>
    <w:rsid w:val="002979DB"/>
    <w:rsid w:val="002A4891"/>
    <w:rsid w:val="002B4015"/>
    <w:rsid w:val="002B783F"/>
    <w:rsid w:val="002B78CE"/>
    <w:rsid w:val="002C2FB6"/>
    <w:rsid w:val="002D2DCE"/>
    <w:rsid w:val="002E5FA7"/>
    <w:rsid w:val="002F10E7"/>
    <w:rsid w:val="002F2503"/>
    <w:rsid w:val="002F3309"/>
    <w:rsid w:val="002F39BC"/>
    <w:rsid w:val="003008CE"/>
    <w:rsid w:val="003009B7"/>
    <w:rsid w:val="00300E56"/>
    <w:rsid w:val="0030152C"/>
    <w:rsid w:val="00301C76"/>
    <w:rsid w:val="0030469C"/>
    <w:rsid w:val="00304CE8"/>
    <w:rsid w:val="003111A7"/>
    <w:rsid w:val="00321CA6"/>
    <w:rsid w:val="00323763"/>
    <w:rsid w:val="00323C5F"/>
    <w:rsid w:val="00324B7C"/>
    <w:rsid w:val="0032754A"/>
    <w:rsid w:val="00334C09"/>
    <w:rsid w:val="00343985"/>
    <w:rsid w:val="00346187"/>
    <w:rsid w:val="0035679D"/>
    <w:rsid w:val="00360BB2"/>
    <w:rsid w:val="003723D4"/>
    <w:rsid w:val="00375EDC"/>
    <w:rsid w:val="00381905"/>
    <w:rsid w:val="00384CC8"/>
    <w:rsid w:val="003871FD"/>
    <w:rsid w:val="003A1E30"/>
    <w:rsid w:val="003A2829"/>
    <w:rsid w:val="003A7D1C"/>
    <w:rsid w:val="003B304B"/>
    <w:rsid w:val="003B3146"/>
    <w:rsid w:val="003B49CD"/>
    <w:rsid w:val="003D1E02"/>
    <w:rsid w:val="003E540A"/>
    <w:rsid w:val="003F015E"/>
    <w:rsid w:val="00400414"/>
    <w:rsid w:val="00402971"/>
    <w:rsid w:val="00407265"/>
    <w:rsid w:val="00411040"/>
    <w:rsid w:val="00411148"/>
    <w:rsid w:val="0041446B"/>
    <w:rsid w:val="00417C26"/>
    <w:rsid w:val="004255C9"/>
    <w:rsid w:val="004303F9"/>
    <w:rsid w:val="00432F49"/>
    <w:rsid w:val="004368B8"/>
    <w:rsid w:val="00436BB3"/>
    <w:rsid w:val="0044071E"/>
    <w:rsid w:val="004411D9"/>
    <w:rsid w:val="0044196F"/>
    <w:rsid w:val="0044329C"/>
    <w:rsid w:val="0044722E"/>
    <w:rsid w:val="004520EA"/>
    <w:rsid w:val="00453E24"/>
    <w:rsid w:val="00457456"/>
    <w:rsid w:val="004577FE"/>
    <w:rsid w:val="00457B9C"/>
    <w:rsid w:val="0046164A"/>
    <w:rsid w:val="004628D2"/>
    <w:rsid w:val="00462DCD"/>
    <w:rsid w:val="004648AD"/>
    <w:rsid w:val="00465CF1"/>
    <w:rsid w:val="00467A7C"/>
    <w:rsid w:val="004703A9"/>
    <w:rsid w:val="00470B7C"/>
    <w:rsid w:val="004711D2"/>
    <w:rsid w:val="004760DE"/>
    <w:rsid w:val="004763D7"/>
    <w:rsid w:val="00483F45"/>
    <w:rsid w:val="00487684"/>
    <w:rsid w:val="00487A91"/>
    <w:rsid w:val="00490FDA"/>
    <w:rsid w:val="004A004E"/>
    <w:rsid w:val="004A24CF"/>
    <w:rsid w:val="004A777F"/>
    <w:rsid w:val="004B24F5"/>
    <w:rsid w:val="004B46F8"/>
    <w:rsid w:val="004C3D1D"/>
    <w:rsid w:val="004C3D84"/>
    <w:rsid w:val="004C7913"/>
    <w:rsid w:val="004D04E2"/>
    <w:rsid w:val="004E4DD6"/>
    <w:rsid w:val="004F02DD"/>
    <w:rsid w:val="004F5E36"/>
    <w:rsid w:val="00502A5C"/>
    <w:rsid w:val="00507B47"/>
    <w:rsid w:val="00507BEF"/>
    <w:rsid w:val="00507CC9"/>
    <w:rsid w:val="0051065F"/>
    <w:rsid w:val="00511850"/>
    <w:rsid w:val="005119A5"/>
    <w:rsid w:val="005278B7"/>
    <w:rsid w:val="00532016"/>
    <w:rsid w:val="00533FB6"/>
    <w:rsid w:val="005346C8"/>
    <w:rsid w:val="00540AB5"/>
    <w:rsid w:val="00543E7D"/>
    <w:rsid w:val="00546CB0"/>
    <w:rsid w:val="00547A68"/>
    <w:rsid w:val="005531C9"/>
    <w:rsid w:val="00554879"/>
    <w:rsid w:val="00570C43"/>
    <w:rsid w:val="005815A6"/>
    <w:rsid w:val="00585CCE"/>
    <w:rsid w:val="00592274"/>
    <w:rsid w:val="00593861"/>
    <w:rsid w:val="00597A3E"/>
    <w:rsid w:val="005B2110"/>
    <w:rsid w:val="005B350B"/>
    <w:rsid w:val="005B61E6"/>
    <w:rsid w:val="005B77E6"/>
    <w:rsid w:val="005C30C6"/>
    <w:rsid w:val="005C62A9"/>
    <w:rsid w:val="005C77E1"/>
    <w:rsid w:val="005D2061"/>
    <w:rsid w:val="005D668A"/>
    <w:rsid w:val="005D6A2F"/>
    <w:rsid w:val="005E0592"/>
    <w:rsid w:val="005E1A82"/>
    <w:rsid w:val="005E4BD9"/>
    <w:rsid w:val="005E794C"/>
    <w:rsid w:val="005F0A28"/>
    <w:rsid w:val="005F0E5E"/>
    <w:rsid w:val="00600535"/>
    <w:rsid w:val="0060291F"/>
    <w:rsid w:val="0060502B"/>
    <w:rsid w:val="00610CD6"/>
    <w:rsid w:val="00615E6D"/>
    <w:rsid w:val="00620DEE"/>
    <w:rsid w:val="00621B52"/>
    <w:rsid w:val="00621F92"/>
    <w:rsid w:val="0062280A"/>
    <w:rsid w:val="006231E1"/>
    <w:rsid w:val="00625639"/>
    <w:rsid w:val="00626342"/>
    <w:rsid w:val="00627D02"/>
    <w:rsid w:val="00631B33"/>
    <w:rsid w:val="00636116"/>
    <w:rsid w:val="0064184D"/>
    <w:rsid w:val="006422CC"/>
    <w:rsid w:val="006446F2"/>
    <w:rsid w:val="00647890"/>
    <w:rsid w:val="00651D18"/>
    <w:rsid w:val="00660E3E"/>
    <w:rsid w:val="00662E74"/>
    <w:rsid w:val="006726D1"/>
    <w:rsid w:val="00680C23"/>
    <w:rsid w:val="00683E23"/>
    <w:rsid w:val="00693766"/>
    <w:rsid w:val="00693BB1"/>
    <w:rsid w:val="00695901"/>
    <w:rsid w:val="006A1C53"/>
    <w:rsid w:val="006A3281"/>
    <w:rsid w:val="006A6DE5"/>
    <w:rsid w:val="006B2BE9"/>
    <w:rsid w:val="006B482A"/>
    <w:rsid w:val="006B4888"/>
    <w:rsid w:val="006C2E45"/>
    <w:rsid w:val="006C359C"/>
    <w:rsid w:val="006C4068"/>
    <w:rsid w:val="006C4583"/>
    <w:rsid w:val="006C510B"/>
    <w:rsid w:val="006C5579"/>
    <w:rsid w:val="006D01B0"/>
    <w:rsid w:val="006D1CD9"/>
    <w:rsid w:val="006D29C1"/>
    <w:rsid w:val="006D6E8B"/>
    <w:rsid w:val="006D7209"/>
    <w:rsid w:val="006E737D"/>
    <w:rsid w:val="00704389"/>
    <w:rsid w:val="00707DD1"/>
    <w:rsid w:val="00713973"/>
    <w:rsid w:val="00716021"/>
    <w:rsid w:val="00720A24"/>
    <w:rsid w:val="00720C41"/>
    <w:rsid w:val="00727C40"/>
    <w:rsid w:val="00732386"/>
    <w:rsid w:val="00732A86"/>
    <w:rsid w:val="0073514D"/>
    <w:rsid w:val="00736B54"/>
    <w:rsid w:val="00740593"/>
    <w:rsid w:val="007447F3"/>
    <w:rsid w:val="007514EF"/>
    <w:rsid w:val="0075499F"/>
    <w:rsid w:val="00765F3D"/>
    <w:rsid w:val="007661C8"/>
    <w:rsid w:val="0077098D"/>
    <w:rsid w:val="00771A07"/>
    <w:rsid w:val="00785BF9"/>
    <w:rsid w:val="007931FA"/>
    <w:rsid w:val="007950A6"/>
    <w:rsid w:val="007A3FDA"/>
    <w:rsid w:val="007A477C"/>
    <w:rsid w:val="007A4861"/>
    <w:rsid w:val="007A7BBA"/>
    <w:rsid w:val="007B0C50"/>
    <w:rsid w:val="007B2408"/>
    <w:rsid w:val="007B48F9"/>
    <w:rsid w:val="007C1A43"/>
    <w:rsid w:val="007C6C58"/>
    <w:rsid w:val="007D0951"/>
    <w:rsid w:val="007D610D"/>
    <w:rsid w:val="007F2BB9"/>
    <w:rsid w:val="0080013E"/>
    <w:rsid w:val="00801759"/>
    <w:rsid w:val="00806188"/>
    <w:rsid w:val="00806226"/>
    <w:rsid w:val="0081253D"/>
    <w:rsid w:val="00813288"/>
    <w:rsid w:val="008168FC"/>
    <w:rsid w:val="00820546"/>
    <w:rsid w:val="00830996"/>
    <w:rsid w:val="008345F1"/>
    <w:rsid w:val="008414B9"/>
    <w:rsid w:val="00844760"/>
    <w:rsid w:val="00844975"/>
    <w:rsid w:val="00847201"/>
    <w:rsid w:val="00865B07"/>
    <w:rsid w:val="008667EA"/>
    <w:rsid w:val="0087637F"/>
    <w:rsid w:val="00892AD5"/>
    <w:rsid w:val="008A137E"/>
    <w:rsid w:val="008A1512"/>
    <w:rsid w:val="008A5473"/>
    <w:rsid w:val="008D32B9"/>
    <w:rsid w:val="008D433B"/>
    <w:rsid w:val="008D4A16"/>
    <w:rsid w:val="008E1B74"/>
    <w:rsid w:val="008E23B1"/>
    <w:rsid w:val="008E2648"/>
    <w:rsid w:val="008E5401"/>
    <w:rsid w:val="008E566E"/>
    <w:rsid w:val="008F1869"/>
    <w:rsid w:val="008F3F09"/>
    <w:rsid w:val="0090161A"/>
    <w:rsid w:val="00901EB6"/>
    <w:rsid w:val="00903B8B"/>
    <w:rsid w:val="009041F8"/>
    <w:rsid w:val="00904C62"/>
    <w:rsid w:val="00905F1F"/>
    <w:rsid w:val="009122A3"/>
    <w:rsid w:val="00917776"/>
    <w:rsid w:val="0091777F"/>
    <w:rsid w:val="00917A4D"/>
    <w:rsid w:val="009217A3"/>
    <w:rsid w:val="00922BA8"/>
    <w:rsid w:val="00924DAC"/>
    <w:rsid w:val="00927058"/>
    <w:rsid w:val="00942750"/>
    <w:rsid w:val="009450CE"/>
    <w:rsid w:val="009459BB"/>
    <w:rsid w:val="00946053"/>
    <w:rsid w:val="00947179"/>
    <w:rsid w:val="0095164B"/>
    <w:rsid w:val="00954090"/>
    <w:rsid w:val="00955425"/>
    <w:rsid w:val="009573E7"/>
    <w:rsid w:val="00963E05"/>
    <w:rsid w:val="00964A45"/>
    <w:rsid w:val="00967843"/>
    <w:rsid w:val="00967D54"/>
    <w:rsid w:val="00971028"/>
    <w:rsid w:val="00972209"/>
    <w:rsid w:val="0098421F"/>
    <w:rsid w:val="00985A39"/>
    <w:rsid w:val="00986F8D"/>
    <w:rsid w:val="00993B84"/>
    <w:rsid w:val="00994C6A"/>
    <w:rsid w:val="00996483"/>
    <w:rsid w:val="00996F5A"/>
    <w:rsid w:val="00997A79"/>
    <w:rsid w:val="009B041A"/>
    <w:rsid w:val="009B24EC"/>
    <w:rsid w:val="009B2C32"/>
    <w:rsid w:val="009B6E57"/>
    <w:rsid w:val="009C37C3"/>
    <w:rsid w:val="009C7C86"/>
    <w:rsid w:val="009D2FF7"/>
    <w:rsid w:val="009E5F8E"/>
    <w:rsid w:val="009E698E"/>
    <w:rsid w:val="009E7884"/>
    <w:rsid w:val="009E788A"/>
    <w:rsid w:val="009F0E08"/>
    <w:rsid w:val="00A04FE1"/>
    <w:rsid w:val="00A05695"/>
    <w:rsid w:val="00A079AE"/>
    <w:rsid w:val="00A10D74"/>
    <w:rsid w:val="00A1763D"/>
    <w:rsid w:val="00A17CEC"/>
    <w:rsid w:val="00A20536"/>
    <w:rsid w:val="00A27EF0"/>
    <w:rsid w:val="00A33E95"/>
    <w:rsid w:val="00A42361"/>
    <w:rsid w:val="00A50B20"/>
    <w:rsid w:val="00A51390"/>
    <w:rsid w:val="00A514A5"/>
    <w:rsid w:val="00A60D13"/>
    <w:rsid w:val="00A7223D"/>
    <w:rsid w:val="00A72745"/>
    <w:rsid w:val="00A76EFC"/>
    <w:rsid w:val="00A827A4"/>
    <w:rsid w:val="00A87D50"/>
    <w:rsid w:val="00A91010"/>
    <w:rsid w:val="00A97F29"/>
    <w:rsid w:val="00AA702E"/>
    <w:rsid w:val="00AA7D26"/>
    <w:rsid w:val="00AB0964"/>
    <w:rsid w:val="00AB11CA"/>
    <w:rsid w:val="00AB1747"/>
    <w:rsid w:val="00AB192B"/>
    <w:rsid w:val="00AB5011"/>
    <w:rsid w:val="00AC646E"/>
    <w:rsid w:val="00AC7368"/>
    <w:rsid w:val="00AD16B9"/>
    <w:rsid w:val="00AD572E"/>
    <w:rsid w:val="00AD6501"/>
    <w:rsid w:val="00AE377D"/>
    <w:rsid w:val="00AE6055"/>
    <w:rsid w:val="00AE6665"/>
    <w:rsid w:val="00AE66D7"/>
    <w:rsid w:val="00AF0EBA"/>
    <w:rsid w:val="00AF20A6"/>
    <w:rsid w:val="00AF2463"/>
    <w:rsid w:val="00AF39EE"/>
    <w:rsid w:val="00AF5A10"/>
    <w:rsid w:val="00B02C8A"/>
    <w:rsid w:val="00B032DF"/>
    <w:rsid w:val="00B06233"/>
    <w:rsid w:val="00B068A8"/>
    <w:rsid w:val="00B1349E"/>
    <w:rsid w:val="00B17FBD"/>
    <w:rsid w:val="00B315A6"/>
    <w:rsid w:val="00B31813"/>
    <w:rsid w:val="00B33365"/>
    <w:rsid w:val="00B57B36"/>
    <w:rsid w:val="00B57E6F"/>
    <w:rsid w:val="00B778DF"/>
    <w:rsid w:val="00B816AB"/>
    <w:rsid w:val="00B82A81"/>
    <w:rsid w:val="00B8686D"/>
    <w:rsid w:val="00B93F69"/>
    <w:rsid w:val="00B95344"/>
    <w:rsid w:val="00B9612E"/>
    <w:rsid w:val="00B96BF8"/>
    <w:rsid w:val="00BA3F74"/>
    <w:rsid w:val="00BB0F6C"/>
    <w:rsid w:val="00BB1DDC"/>
    <w:rsid w:val="00BB2E42"/>
    <w:rsid w:val="00BB7A2D"/>
    <w:rsid w:val="00BC30C9"/>
    <w:rsid w:val="00BD077D"/>
    <w:rsid w:val="00BD2ED2"/>
    <w:rsid w:val="00BD4F86"/>
    <w:rsid w:val="00BE3E58"/>
    <w:rsid w:val="00BF13CE"/>
    <w:rsid w:val="00C00903"/>
    <w:rsid w:val="00C01616"/>
    <w:rsid w:val="00C0162B"/>
    <w:rsid w:val="00C068ED"/>
    <w:rsid w:val="00C22E0C"/>
    <w:rsid w:val="00C27BF6"/>
    <w:rsid w:val="00C31B2B"/>
    <w:rsid w:val="00C34222"/>
    <w:rsid w:val="00C345B1"/>
    <w:rsid w:val="00C40142"/>
    <w:rsid w:val="00C43923"/>
    <w:rsid w:val="00C52C3C"/>
    <w:rsid w:val="00C57182"/>
    <w:rsid w:val="00C57863"/>
    <w:rsid w:val="00C6003A"/>
    <w:rsid w:val="00C640AF"/>
    <w:rsid w:val="00C655FD"/>
    <w:rsid w:val="00C72022"/>
    <w:rsid w:val="00C75407"/>
    <w:rsid w:val="00C760A0"/>
    <w:rsid w:val="00C81503"/>
    <w:rsid w:val="00C82785"/>
    <w:rsid w:val="00C841C6"/>
    <w:rsid w:val="00C870A8"/>
    <w:rsid w:val="00C8715A"/>
    <w:rsid w:val="00C92B6D"/>
    <w:rsid w:val="00C94434"/>
    <w:rsid w:val="00C97DC4"/>
    <w:rsid w:val="00CA0D75"/>
    <w:rsid w:val="00CA1C95"/>
    <w:rsid w:val="00CA5A9C"/>
    <w:rsid w:val="00CB0A14"/>
    <w:rsid w:val="00CB1763"/>
    <w:rsid w:val="00CB5254"/>
    <w:rsid w:val="00CB631E"/>
    <w:rsid w:val="00CC4C20"/>
    <w:rsid w:val="00CD0982"/>
    <w:rsid w:val="00CD2F9E"/>
    <w:rsid w:val="00CD3517"/>
    <w:rsid w:val="00CD5FE2"/>
    <w:rsid w:val="00CE3F1D"/>
    <w:rsid w:val="00CE7C68"/>
    <w:rsid w:val="00CF7148"/>
    <w:rsid w:val="00D02B4C"/>
    <w:rsid w:val="00D040C4"/>
    <w:rsid w:val="00D12D42"/>
    <w:rsid w:val="00D20AD1"/>
    <w:rsid w:val="00D2582C"/>
    <w:rsid w:val="00D25E97"/>
    <w:rsid w:val="00D46B7E"/>
    <w:rsid w:val="00D57C84"/>
    <w:rsid w:val="00D6057D"/>
    <w:rsid w:val="00D612E8"/>
    <w:rsid w:val="00D71640"/>
    <w:rsid w:val="00D74576"/>
    <w:rsid w:val="00D836C5"/>
    <w:rsid w:val="00D84576"/>
    <w:rsid w:val="00D919C0"/>
    <w:rsid w:val="00DA1399"/>
    <w:rsid w:val="00DA24C6"/>
    <w:rsid w:val="00DA4D7B"/>
    <w:rsid w:val="00DA7715"/>
    <w:rsid w:val="00DB0C47"/>
    <w:rsid w:val="00DB3B69"/>
    <w:rsid w:val="00DB5B63"/>
    <w:rsid w:val="00DB7FE3"/>
    <w:rsid w:val="00DC2840"/>
    <w:rsid w:val="00DC73EE"/>
    <w:rsid w:val="00DD271C"/>
    <w:rsid w:val="00DE264A"/>
    <w:rsid w:val="00DE3F8C"/>
    <w:rsid w:val="00DE45A7"/>
    <w:rsid w:val="00DF0BE8"/>
    <w:rsid w:val="00DF5072"/>
    <w:rsid w:val="00DF6B34"/>
    <w:rsid w:val="00E02D18"/>
    <w:rsid w:val="00E041E7"/>
    <w:rsid w:val="00E161B2"/>
    <w:rsid w:val="00E209E2"/>
    <w:rsid w:val="00E23CA1"/>
    <w:rsid w:val="00E30F54"/>
    <w:rsid w:val="00E3664D"/>
    <w:rsid w:val="00E409A8"/>
    <w:rsid w:val="00E4293E"/>
    <w:rsid w:val="00E44C06"/>
    <w:rsid w:val="00E503C5"/>
    <w:rsid w:val="00E50C12"/>
    <w:rsid w:val="00E52346"/>
    <w:rsid w:val="00E63C8D"/>
    <w:rsid w:val="00E64323"/>
    <w:rsid w:val="00E65B91"/>
    <w:rsid w:val="00E7209D"/>
    <w:rsid w:val="00E72EAD"/>
    <w:rsid w:val="00E77223"/>
    <w:rsid w:val="00E8528B"/>
    <w:rsid w:val="00E85B94"/>
    <w:rsid w:val="00E911B3"/>
    <w:rsid w:val="00E92199"/>
    <w:rsid w:val="00E923D5"/>
    <w:rsid w:val="00E978D0"/>
    <w:rsid w:val="00EA1530"/>
    <w:rsid w:val="00EA4441"/>
    <w:rsid w:val="00EA4613"/>
    <w:rsid w:val="00EA7F91"/>
    <w:rsid w:val="00EB1523"/>
    <w:rsid w:val="00EB5FEB"/>
    <w:rsid w:val="00EC0E49"/>
    <w:rsid w:val="00EC101F"/>
    <w:rsid w:val="00EC1D9F"/>
    <w:rsid w:val="00EC6142"/>
    <w:rsid w:val="00ED3DB8"/>
    <w:rsid w:val="00EE0131"/>
    <w:rsid w:val="00EE17B0"/>
    <w:rsid w:val="00EE5C83"/>
    <w:rsid w:val="00EE7A69"/>
    <w:rsid w:val="00EF06D9"/>
    <w:rsid w:val="00EF3583"/>
    <w:rsid w:val="00F016D9"/>
    <w:rsid w:val="00F15B86"/>
    <w:rsid w:val="00F3049E"/>
    <w:rsid w:val="00F30C64"/>
    <w:rsid w:val="00F32BA2"/>
    <w:rsid w:val="00F32CDB"/>
    <w:rsid w:val="00F41EE4"/>
    <w:rsid w:val="00F4337C"/>
    <w:rsid w:val="00F44EAE"/>
    <w:rsid w:val="00F46260"/>
    <w:rsid w:val="00F516DF"/>
    <w:rsid w:val="00F565FE"/>
    <w:rsid w:val="00F63A70"/>
    <w:rsid w:val="00F63D8C"/>
    <w:rsid w:val="00F7534E"/>
    <w:rsid w:val="00F90419"/>
    <w:rsid w:val="00F92791"/>
    <w:rsid w:val="00F93AC9"/>
    <w:rsid w:val="00F93EDF"/>
    <w:rsid w:val="00F955D2"/>
    <w:rsid w:val="00F96EAE"/>
    <w:rsid w:val="00FA1802"/>
    <w:rsid w:val="00FA21D0"/>
    <w:rsid w:val="00FA5F5F"/>
    <w:rsid w:val="00FB730C"/>
    <w:rsid w:val="00FC2695"/>
    <w:rsid w:val="00FC2C95"/>
    <w:rsid w:val="00FC3E03"/>
    <w:rsid w:val="00FC3FC1"/>
    <w:rsid w:val="00FE46FA"/>
    <w:rsid w:val="00FE4FCE"/>
    <w:rsid w:val="00FE5A3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A6477DF"/>
  <w15:docId w15:val="{232A6C37-8B79-4E1E-823E-2FA94D430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ind w:left="0"/>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PlaceholderText">
    <w:name w:val="Placeholder Text"/>
    <w:basedOn w:val="DefaultParagraphFont"/>
    <w:uiPriority w:val="99"/>
    <w:semiHidden/>
    <w:rsid w:val="00736B54"/>
    <w:rPr>
      <w:color w:val="666666"/>
    </w:rPr>
  </w:style>
  <w:style w:type="character" w:customStyle="1" w:styleId="UnresolvedMention1">
    <w:name w:val="Unresolved Mention1"/>
    <w:basedOn w:val="DefaultParagraphFont"/>
    <w:uiPriority w:val="99"/>
    <w:semiHidden/>
    <w:unhideWhenUsed/>
    <w:rsid w:val="006D1CD9"/>
    <w:rPr>
      <w:color w:val="605E5C"/>
      <w:shd w:val="clear" w:color="auto" w:fill="E1DFDD"/>
    </w:rPr>
  </w:style>
  <w:style w:type="paragraph" w:styleId="Revision">
    <w:name w:val="Revision"/>
    <w:hidden/>
    <w:uiPriority w:val="99"/>
    <w:semiHidden/>
    <w:rsid w:val="002F39BC"/>
    <w:pPr>
      <w:spacing w:after="0" w:line="240" w:lineRule="auto"/>
    </w:pPr>
    <w:rPr>
      <w:rFonts w:ascii="Arial" w:eastAsia="Times New Roman" w:hAnsi="Arial" w:cs="Times New Roman"/>
      <w:sz w:val="18"/>
      <w:szCs w:val="20"/>
      <w:lang w:val="en-GB"/>
    </w:rPr>
  </w:style>
  <w:style w:type="character" w:customStyle="1" w:styleId="UnresolvedMention2">
    <w:name w:val="Unresolved Mention2"/>
    <w:basedOn w:val="DefaultParagraphFont"/>
    <w:uiPriority w:val="99"/>
    <w:semiHidden/>
    <w:unhideWhenUsed/>
    <w:rsid w:val="003567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837357">
      <w:bodyDiv w:val="1"/>
      <w:marLeft w:val="0"/>
      <w:marRight w:val="0"/>
      <w:marTop w:val="0"/>
      <w:marBottom w:val="0"/>
      <w:divBdr>
        <w:top w:val="none" w:sz="0" w:space="0" w:color="auto"/>
        <w:left w:val="none" w:sz="0" w:space="0" w:color="auto"/>
        <w:bottom w:val="none" w:sz="0" w:space="0" w:color="auto"/>
        <w:right w:val="none" w:sz="0" w:space="0" w:color="auto"/>
      </w:divBdr>
      <w:divsChild>
        <w:div w:id="1356424553">
          <w:marLeft w:val="0"/>
          <w:marRight w:val="0"/>
          <w:marTop w:val="0"/>
          <w:marBottom w:val="0"/>
          <w:divBdr>
            <w:top w:val="none" w:sz="0" w:space="0" w:color="auto"/>
            <w:left w:val="none" w:sz="0" w:space="0" w:color="auto"/>
            <w:bottom w:val="none" w:sz="0" w:space="0" w:color="auto"/>
            <w:right w:val="none" w:sz="0" w:space="0" w:color="auto"/>
          </w:divBdr>
        </w:div>
      </w:divsChild>
    </w:div>
    <w:div w:id="539585572">
      <w:bodyDiv w:val="1"/>
      <w:marLeft w:val="0"/>
      <w:marRight w:val="0"/>
      <w:marTop w:val="0"/>
      <w:marBottom w:val="0"/>
      <w:divBdr>
        <w:top w:val="none" w:sz="0" w:space="0" w:color="auto"/>
        <w:left w:val="none" w:sz="0" w:space="0" w:color="auto"/>
        <w:bottom w:val="none" w:sz="0" w:space="0" w:color="auto"/>
        <w:right w:val="none" w:sz="0" w:space="0" w:color="auto"/>
      </w:divBdr>
      <w:divsChild>
        <w:div w:id="1389915191">
          <w:marLeft w:val="0"/>
          <w:marRight w:val="0"/>
          <w:marTop w:val="0"/>
          <w:marBottom w:val="0"/>
          <w:divBdr>
            <w:top w:val="none" w:sz="0" w:space="0" w:color="auto"/>
            <w:left w:val="none" w:sz="0" w:space="0" w:color="auto"/>
            <w:bottom w:val="none" w:sz="0" w:space="0" w:color="auto"/>
            <w:right w:val="none" w:sz="0" w:space="0" w:color="auto"/>
          </w:divBdr>
        </w:div>
      </w:divsChild>
    </w:div>
    <w:div w:id="556667784">
      <w:bodyDiv w:val="1"/>
      <w:marLeft w:val="0"/>
      <w:marRight w:val="0"/>
      <w:marTop w:val="0"/>
      <w:marBottom w:val="0"/>
      <w:divBdr>
        <w:top w:val="none" w:sz="0" w:space="0" w:color="auto"/>
        <w:left w:val="none" w:sz="0" w:space="0" w:color="auto"/>
        <w:bottom w:val="none" w:sz="0" w:space="0" w:color="auto"/>
        <w:right w:val="none" w:sz="0" w:space="0" w:color="auto"/>
      </w:divBdr>
      <w:divsChild>
        <w:div w:id="479614035">
          <w:marLeft w:val="0"/>
          <w:marRight w:val="0"/>
          <w:marTop w:val="0"/>
          <w:marBottom w:val="0"/>
          <w:divBdr>
            <w:top w:val="none" w:sz="0" w:space="0" w:color="auto"/>
            <w:left w:val="none" w:sz="0" w:space="0" w:color="auto"/>
            <w:bottom w:val="none" w:sz="0" w:space="0" w:color="auto"/>
            <w:right w:val="none" w:sz="0" w:space="0" w:color="auto"/>
          </w:divBdr>
        </w:div>
      </w:divsChild>
    </w:div>
    <w:div w:id="609972957">
      <w:bodyDiv w:val="1"/>
      <w:marLeft w:val="0"/>
      <w:marRight w:val="0"/>
      <w:marTop w:val="0"/>
      <w:marBottom w:val="0"/>
      <w:divBdr>
        <w:top w:val="none" w:sz="0" w:space="0" w:color="auto"/>
        <w:left w:val="none" w:sz="0" w:space="0" w:color="auto"/>
        <w:bottom w:val="none" w:sz="0" w:space="0" w:color="auto"/>
        <w:right w:val="none" w:sz="0" w:space="0" w:color="auto"/>
      </w:divBdr>
    </w:div>
    <w:div w:id="622539024">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3168">
      <w:bodyDiv w:val="1"/>
      <w:marLeft w:val="0"/>
      <w:marRight w:val="0"/>
      <w:marTop w:val="0"/>
      <w:marBottom w:val="0"/>
      <w:divBdr>
        <w:top w:val="none" w:sz="0" w:space="0" w:color="auto"/>
        <w:left w:val="none" w:sz="0" w:space="0" w:color="auto"/>
        <w:bottom w:val="none" w:sz="0" w:space="0" w:color="auto"/>
        <w:right w:val="none" w:sz="0" w:space="0" w:color="auto"/>
      </w:divBdr>
    </w:div>
    <w:div w:id="836263542">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422206">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33387">
      <w:bodyDiv w:val="1"/>
      <w:marLeft w:val="0"/>
      <w:marRight w:val="0"/>
      <w:marTop w:val="0"/>
      <w:marBottom w:val="0"/>
      <w:divBdr>
        <w:top w:val="none" w:sz="0" w:space="0" w:color="auto"/>
        <w:left w:val="none" w:sz="0" w:space="0" w:color="auto"/>
        <w:bottom w:val="none" w:sz="0" w:space="0" w:color="auto"/>
        <w:right w:val="none" w:sz="0" w:space="0" w:color="auto"/>
      </w:divBdr>
      <w:divsChild>
        <w:div w:id="390888745">
          <w:marLeft w:val="0"/>
          <w:marRight w:val="0"/>
          <w:marTop w:val="0"/>
          <w:marBottom w:val="0"/>
          <w:divBdr>
            <w:top w:val="none" w:sz="0" w:space="0" w:color="auto"/>
            <w:left w:val="none" w:sz="0" w:space="0" w:color="auto"/>
            <w:bottom w:val="none" w:sz="0" w:space="0" w:color="auto"/>
            <w:right w:val="none" w:sz="0" w:space="0" w:color="auto"/>
          </w:divBdr>
          <w:divsChild>
            <w:div w:id="1671062492">
              <w:marLeft w:val="0"/>
              <w:marRight w:val="0"/>
              <w:marTop w:val="0"/>
              <w:marBottom w:val="0"/>
              <w:divBdr>
                <w:top w:val="none" w:sz="0" w:space="0" w:color="auto"/>
                <w:left w:val="none" w:sz="0" w:space="0" w:color="auto"/>
                <w:bottom w:val="none" w:sz="0" w:space="0" w:color="auto"/>
                <w:right w:val="none" w:sz="0" w:space="0" w:color="auto"/>
              </w:divBdr>
              <w:divsChild>
                <w:div w:id="138683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19783">
          <w:marLeft w:val="0"/>
          <w:marRight w:val="0"/>
          <w:marTop w:val="0"/>
          <w:marBottom w:val="0"/>
          <w:divBdr>
            <w:top w:val="none" w:sz="0" w:space="0" w:color="auto"/>
            <w:left w:val="none" w:sz="0" w:space="0" w:color="auto"/>
            <w:bottom w:val="none" w:sz="0" w:space="0" w:color="auto"/>
            <w:right w:val="none" w:sz="0" w:space="0" w:color="auto"/>
          </w:divBdr>
          <w:divsChild>
            <w:div w:id="1043870764">
              <w:marLeft w:val="0"/>
              <w:marRight w:val="0"/>
              <w:marTop w:val="0"/>
              <w:marBottom w:val="0"/>
              <w:divBdr>
                <w:top w:val="none" w:sz="0" w:space="0" w:color="auto"/>
                <w:left w:val="none" w:sz="0" w:space="0" w:color="auto"/>
                <w:bottom w:val="none" w:sz="0" w:space="0" w:color="auto"/>
                <w:right w:val="none" w:sz="0" w:space="0" w:color="auto"/>
              </w:divBdr>
              <w:divsChild>
                <w:div w:id="11828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5398">
      <w:bodyDiv w:val="1"/>
      <w:marLeft w:val="0"/>
      <w:marRight w:val="0"/>
      <w:marTop w:val="0"/>
      <w:marBottom w:val="0"/>
      <w:divBdr>
        <w:top w:val="none" w:sz="0" w:space="0" w:color="auto"/>
        <w:left w:val="none" w:sz="0" w:space="0" w:color="auto"/>
        <w:bottom w:val="none" w:sz="0" w:space="0" w:color="auto"/>
        <w:right w:val="none" w:sz="0" w:space="0" w:color="auto"/>
      </w:divBdr>
      <w:divsChild>
        <w:div w:id="472983860">
          <w:marLeft w:val="0"/>
          <w:marRight w:val="0"/>
          <w:marTop w:val="0"/>
          <w:marBottom w:val="0"/>
          <w:divBdr>
            <w:top w:val="none" w:sz="0" w:space="0" w:color="auto"/>
            <w:left w:val="none" w:sz="0" w:space="0" w:color="auto"/>
            <w:bottom w:val="none" w:sz="0" w:space="0" w:color="auto"/>
            <w:right w:val="none" w:sz="0" w:space="0" w:color="auto"/>
          </w:divBdr>
        </w:div>
      </w:divsChild>
    </w:div>
    <w:div w:id="959527741">
      <w:bodyDiv w:val="1"/>
      <w:marLeft w:val="0"/>
      <w:marRight w:val="0"/>
      <w:marTop w:val="0"/>
      <w:marBottom w:val="0"/>
      <w:divBdr>
        <w:top w:val="none" w:sz="0" w:space="0" w:color="auto"/>
        <w:left w:val="none" w:sz="0" w:space="0" w:color="auto"/>
        <w:bottom w:val="none" w:sz="0" w:space="0" w:color="auto"/>
        <w:right w:val="none" w:sz="0" w:space="0" w:color="auto"/>
      </w:divBdr>
    </w:div>
    <w:div w:id="1042481795">
      <w:bodyDiv w:val="1"/>
      <w:marLeft w:val="0"/>
      <w:marRight w:val="0"/>
      <w:marTop w:val="0"/>
      <w:marBottom w:val="0"/>
      <w:divBdr>
        <w:top w:val="none" w:sz="0" w:space="0" w:color="auto"/>
        <w:left w:val="none" w:sz="0" w:space="0" w:color="auto"/>
        <w:bottom w:val="none" w:sz="0" w:space="0" w:color="auto"/>
        <w:right w:val="none" w:sz="0" w:space="0" w:color="auto"/>
      </w:divBdr>
    </w:div>
    <w:div w:id="1086533430">
      <w:bodyDiv w:val="1"/>
      <w:marLeft w:val="0"/>
      <w:marRight w:val="0"/>
      <w:marTop w:val="0"/>
      <w:marBottom w:val="0"/>
      <w:divBdr>
        <w:top w:val="none" w:sz="0" w:space="0" w:color="auto"/>
        <w:left w:val="none" w:sz="0" w:space="0" w:color="auto"/>
        <w:bottom w:val="none" w:sz="0" w:space="0" w:color="auto"/>
        <w:right w:val="none" w:sz="0" w:space="0" w:color="auto"/>
      </w:divBdr>
      <w:divsChild>
        <w:div w:id="1792358916">
          <w:marLeft w:val="0"/>
          <w:marRight w:val="0"/>
          <w:marTop w:val="0"/>
          <w:marBottom w:val="0"/>
          <w:divBdr>
            <w:top w:val="none" w:sz="0" w:space="0" w:color="auto"/>
            <w:left w:val="none" w:sz="0" w:space="0" w:color="auto"/>
            <w:bottom w:val="none" w:sz="0" w:space="0" w:color="auto"/>
            <w:right w:val="none" w:sz="0" w:space="0" w:color="auto"/>
          </w:divBdr>
        </w:div>
      </w:divsChild>
    </w:div>
    <w:div w:id="1106313986">
      <w:bodyDiv w:val="1"/>
      <w:marLeft w:val="0"/>
      <w:marRight w:val="0"/>
      <w:marTop w:val="0"/>
      <w:marBottom w:val="0"/>
      <w:divBdr>
        <w:top w:val="none" w:sz="0" w:space="0" w:color="auto"/>
        <w:left w:val="none" w:sz="0" w:space="0" w:color="auto"/>
        <w:bottom w:val="none" w:sz="0" w:space="0" w:color="auto"/>
        <w:right w:val="none" w:sz="0" w:space="0" w:color="auto"/>
      </w:divBdr>
      <w:divsChild>
        <w:div w:id="1816871743">
          <w:marLeft w:val="0"/>
          <w:marRight w:val="0"/>
          <w:marTop w:val="0"/>
          <w:marBottom w:val="0"/>
          <w:divBdr>
            <w:top w:val="none" w:sz="0" w:space="0" w:color="auto"/>
            <w:left w:val="none" w:sz="0" w:space="0" w:color="auto"/>
            <w:bottom w:val="none" w:sz="0" w:space="0" w:color="auto"/>
            <w:right w:val="none" w:sz="0" w:space="0" w:color="auto"/>
          </w:divBdr>
          <w:divsChild>
            <w:div w:id="2122605778">
              <w:marLeft w:val="0"/>
              <w:marRight w:val="0"/>
              <w:marTop w:val="0"/>
              <w:marBottom w:val="0"/>
              <w:divBdr>
                <w:top w:val="none" w:sz="0" w:space="0" w:color="auto"/>
                <w:left w:val="none" w:sz="0" w:space="0" w:color="auto"/>
                <w:bottom w:val="none" w:sz="0" w:space="0" w:color="auto"/>
                <w:right w:val="none" w:sz="0" w:space="0" w:color="auto"/>
              </w:divBdr>
              <w:divsChild>
                <w:div w:id="21392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12985">
          <w:marLeft w:val="0"/>
          <w:marRight w:val="0"/>
          <w:marTop w:val="0"/>
          <w:marBottom w:val="0"/>
          <w:divBdr>
            <w:top w:val="none" w:sz="0" w:space="0" w:color="auto"/>
            <w:left w:val="none" w:sz="0" w:space="0" w:color="auto"/>
            <w:bottom w:val="none" w:sz="0" w:space="0" w:color="auto"/>
            <w:right w:val="none" w:sz="0" w:space="0" w:color="auto"/>
          </w:divBdr>
          <w:divsChild>
            <w:div w:id="178858408">
              <w:marLeft w:val="0"/>
              <w:marRight w:val="0"/>
              <w:marTop w:val="0"/>
              <w:marBottom w:val="0"/>
              <w:divBdr>
                <w:top w:val="none" w:sz="0" w:space="0" w:color="auto"/>
                <w:left w:val="none" w:sz="0" w:space="0" w:color="auto"/>
                <w:bottom w:val="none" w:sz="0" w:space="0" w:color="auto"/>
                <w:right w:val="none" w:sz="0" w:space="0" w:color="auto"/>
              </w:divBdr>
              <w:divsChild>
                <w:div w:id="194206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803539">
      <w:bodyDiv w:val="1"/>
      <w:marLeft w:val="0"/>
      <w:marRight w:val="0"/>
      <w:marTop w:val="0"/>
      <w:marBottom w:val="0"/>
      <w:divBdr>
        <w:top w:val="none" w:sz="0" w:space="0" w:color="auto"/>
        <w:left w:val="none" w:sz="0" w:space="0" w:color="auto"/>
        <w:bottom w:val="none" w:sz="0" w:space="0" w:color="auto"/>
        <w:right w:val="none" w:sz="0" w:space="0" w:color="auto"/>
      </w:divBdr>
      <w:divsChild>
        <w:div w:id="978998536">
          <w:marLeft w:val="0"/>
          <w:marRight w:val="0"/>
          <w:marTop w:val="0"/>
          <w:marBottom w:val="0"/>
          <w:divBdr>
            <w:top w:val="none" w:sz="0" w:space="0" w:color="auto"/>
            <w:left w:val="none" w:sz="0" w:space="0" w:color="auto"/>
            <w:bottom w:val="none" w:sz="0" w:space="0" w:color="auto"/>
            <w:right w:val="none" w:sz="0" w:space="0" w:color="auto"/>
          </w:divBdr>
        </w:div>
      </w:divsChild>
    </w:div>
    <w:div w:id="1155073135">
      <w:bodyDiv w:val="1"/>
      <w:marLeft w:val="0"/>
      <w:marRight w:val="0"/>
      <w:marTop w:val="0"/>
      <w:marBottom w:val="0"/>
      <w:divBdr>
        <w:top w:val="none" w:sz="0" w:space="0" w:color="auto"/>
        <w:left w:val="none" w:sz="0" w:space="0" w:color="auto"/>
        <w:bottom w:val="none" w:sz="0" w:space="0" w:color="auto"/>
        <w:right w:val="none" w:sz="0" w:space="0" w:color="auto"/>
      </w:divBdr>
    </w:div>
    <w:div w:id="1159538095">
      <w:bodyDiv w:val="1"/>
      <w:marLeft w:val="0"/>
      <w:marRight w:val="0"/>
      <w:marTop w:val="0"/>
      <w:marBottom w:val="0"/>
      <w:divBdr>
        <w:top w:val="none" w:sz="0" w:space="0" w:color="auto"/>
        <w:left w:val="none" w:sz="0" w:space="0" w:color="auto"/>
        <w:bottom w:val="none" w:sz="0" w:space="0" w:color="auto"/>
        <w:right w:val="none" w:sz="0" w:space="0" w:color="auto"/>
      </w:divBdr>
      <w:divsChild>
        <w:div w:id="1769617504">
          <w:marLeft w:val="0"/>
          <w:marRight w:val="0"/>
          <w:marTop w:val="0"/>
          <w:marBottom w:val="0"/>
          <w:divBdr>
            <w:top w:val="none" w:sz="0" w:space="0" w:color="auto"/>
            <w:left w:val="none" w:sz="0" w:space="0" w:color="auto"/>
            <w:bottom w:val="none" w:sz="0" w:space="0" w:color="auto"/>
            <w:right w:val="none" w:sz="0" w:space="0" w:color="auto"/>
          </w:divBdr>
        </w:div>
      </w:divsChild>
    </w:div>
    <w:div w:id="1180238324">
      <w:bodyDiv w:val="1"/>
      <w:marLeft w:val="0"/>
      <w:marRight w:val="0"/>
      <w:marTop w:val="0"/>
      <w:marBottom w:val="0"/>
      <w:divBdr>
        <w:top w:val="none" w:sz="0" w:space="0" w:color="auto"/>
        <w:left w:val="none" w:sz="0" w:space="0" w:color="auto"/>
        <w:bottom w:val="none" w:sz="0" w:space="0" w:color="auto"/>
        <w:right w:val="none" w:sz="0" w:space="0" w:color="auto"/>
      </w:divBdr>
    </w:div>
    <w:div w:id="1222324859">
      <w:bodyDiv w:val="1"/>
      <w:marLeft w:val="0"/>
      <w:marRight w:val="0"/>
      <w:marTop w:val="0"/>
      <w:marBottom w:val="0"/>
      <w:divBdr>
        <w:top w:val="none" w:sz="0" w:space="0" w:color="auto"/>
        <w:left w:val="none" w:sz="0" w:space="0" w:color="auto"/>
        <w:bottom w:val="none" w:sz="0" w:space="0" w:color="auto"/>
        <w:right w:val="none" w:sz="0" w:space="0" w:color="auto"/>
      </w:divBdr>
    </w:div>
    <w:div w:id="1237205743">
      <w:bodyDiv w:val="1"/>
      <w:marLeft w:val="0"/>
      <w:marRight w:val="0"/>
      <w:marTop w:val="0"/>
      <w:marBottom w:val="0"/>
      <w:divBdr>
        <w:top w:val="none" w:sz="0" w:space="0" w:color="auto"/>
        <w:left w:val="none" w:sz="0" w:space="0" w:color="auto"/>
        <w:bottom w:val="none" w:sz="0" w:space="0" w:color="auto"/>
        <w:right w:val="none" w:sz="0" w:space="0" w:color="auto"/>
      </w:divBdr>
    </w:div>
    <w:div w:id="1326009883">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1179209">
      <w:bodyDiv w:val="1"/>
      <w:marLeft w:val="0"/>
      <w:marRight w:val="0"/>
      <w:marTop w:val="0"/>
      <w:marBottom w:val="0"/>
      <w:divBdr>
        <w:top w:val="none" w:sz="0" w:space="0" w:color="auto"/>
        <w:left w:val="none" w:sz="0" w:space="0" w:color="auto"/>
        <w:bottom w:val="none" w:sz="0" w:space="0" w:color="auto"/>
        <w:right w:val="none" w:sz="0" w:space="0" w:color="auto"/>
      </w:divBdr>
      <w:divsChild>
        <w:div w:id="1571312177">
          <w:marLeft w:val="0"/>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60032118">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95047056">
      <w:bodyDiv w:val="1"/>
      <w:marLeft w:val="0"/>
      <w:marRight w:val="0"/>
      <w:marTop w:val="0"/>
      <w:marBottom w:val="0"/>
      <w:divBdr>
        <w:top w:val="none" w:sz="0" w:space="0" w:color="auto"/>
        <w:left w:val="none" w:sz="0" w:space="0" w:color="auto"/>
        <w:bottom w:val="none" w:sz="0" w:space="0" w:color="auto"/>
        <w:right w:val="none" w:sz="0" w:space="0" w:color="auto"/>
      </w:divBdr>
    </w:div>
    <w:div w:id="1605917933">
      <w:bodyDiv w:val="1"/>
      <w:marLeft w:val="0"/>
      <w:marRight w:val="0"/>
      <w:marTop w:val="0"/>
      <w:marBottom w:val="0"/>
      <w:divBdr>
        <w:top w:val="none" w:sz="0" w:space="0" w:color="auto"/>
        <w:left w:val="none" w:sz="0" w:space="0" w:color="auto"/>
        <w:bottom w:val="none" w:sz="0" w:space="0" w:color="auto"/>
        <w:right w:val="none" w:sz="0" w:space="0" w:color="auto"/>
      </w:divBdr>
      <w:divsChild>
        <w:div w:id="2120105514">
          <w:marLeft w:val="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34280860">
      <w:bodyDiv w:val="1"/>
      <w:marLeft w:val="0"/>
      <w:marRight w:val="0"/>
      <w:marTop w:val="0"/>
      <w:marBottom w:val="0"/>
      <w:divBdr>
        <w:top w:val="none" w:sz="0" w:space="0" w:color="auto"/>
        <w:left w:val="none" w:sz="0" w:space="0" w:color="auto"/>
        <w:bottom w:val="none" w:sz="0" w:space="0" w:color="auto"/>
        <w:right w:val="none" w:sz="0" w:space="0" w:color="auto"/>
      </w:divBdr>
      <w:divsChild>
        <w:div w:id="102069662">
          <w:marLeft w:val="0"/>
          <w:marRight w:val="0"/>
          <w:marTop w:val="0"/>
          <w:marBottom w:val="0"/>
          <w:divBdr>
            <w:top w:val="none" w:sz="0" w:space="0" w:color="auto"/>
            <w:left w:val="none" w:sz="0" w:space="0" w:color="auto"/>
            <w:bottom w:val="none" w:sz="0" w:space="0" w:color="auto"/>
            <w:right w:val="none" w:sz="0" w:space="0" w:color="auto"/>
          </w:divBdr>
        </w:div>
      </w:divsChild>
    </w:div>
    <w:div w:id="1765347039">
      <w:bodyDiv w:val="1"/>
      <w:marLeft w:val="0"/>
      <w:marRight w:val="0"/>
      <w:marTop w:val="0"/>
      <w:marBottom w:val="0"/>
      <w:divBdr>
        <w:top w:val="none" w:sz="0" w:space="0" w:color="auto"/>
        <w:left w:val="none" w:sz="0" w:space="0" w:color="auto"/>
        <w:bottom w:val="none" w:sz="0" w:space="0" w:color="auto"/>
        <w:right w:val="none" w:sz="0" w:space="0" w:color="auto"/>
      </w:divBdr>
      <w:divsChild>
        <w:div w:id="1230188026">
          <w:marLeft w:val="0"/>
          <w:marRight w:val="0"/>
          <w:marTop w:val="0"/>
          <w:marBottom w:val="0"/>
          <w:divBdr>
            <w:top w:val="none" w:sz="0" w:space="0" w:color="auto"/>
            <w:left w:val="none" w:sz="0" w:space="0" w:color="auto"/>
            <w:bottom w:val="none" w:sz="0" w:space="0" w:color="auto"/>
            <w:right w:val="none" w:sz="0" w:space="0" w:color="auto"/>
          </w:divBdr>
        </w:div>
      </w:divsChild>
    </w:div>
    <w:div w:id="1942444847">
      <w:bodyDiv w:val="1"/>
      <w:marLeft w:val="0"/>
      <w:marRight w:val="0"/>
      <w:marTop w:val="0"/>
      <w:marBottom w:val="0"/>
      <w:divBdr>
        <w:top w:val="none" w:sz="0" w:space="0" w:color="auto"/>
        <w:left w:val="none" w:sz="0" w:space="0" w:color="auto"/>
        <w:bottom w:val="none" w:sz="0" w:space="0" w:color="auto"/>
        <w:right w:val="none" w:sz="0" w:space="0" w:color="auto"/>
      </w:divBdr>
      <w:divsChild>
        <w:div w:id="1021128827">
          <w:marLeft w:val="0"/>
          <w:marRight w:val="0"/>
          <w:marTop w:val="0"/>
          <w:marBottom w:val="0"/>
          <w:divBdr>
            <w:top w:val="none" w:sz="0" w:space="0" w:color="auto"/>
            <w:left w:val="none" w:sz="0" w:space="0" w:color="auto"/>
            <w:bottom w:val="none" w:sz="0" w:space="0" w:color="auto"/>
            <w:right w:val="none" w:sz="0" w:space="0" w:color="auto"/>
          </w:divBdr>
        </w:div>
      </w:divsChild>
    </w:div>
    <w:div w:id="1945916818">
      <w:bodyDiv w:val="1"/>
      <w:marLeft w:val="0"/>
      <w:marRight w:val="0"/>
      <w:marTop w:val="0"/>
      <w:marBottom w:val="0"/>
      <w:divBdr>
        <w:top w:val="none" w:sz="0" w:space="0" w:color="auto"/>
        <w:left w:val="none" w:sz="0" w:space="0" w:color="auto"/>
        <w:bottom w:val="none" w:sz="0" w:space="0" w:color="auto"/>
        <w:right w:val="none" w:sz="0" w:space="0" w:color="auto"/>
      </w:divBdr>
      <w:divsChild>
        <w:div w:id="125435980">
          <w:marLeft w:val="0"/>
          <w:marRight w:val="0"/>
          <w:marTop w:val="0"/>
          <w:marBottom w:val="0"/>
          <w:divBdr>
            <w:top w:val="none" w:sz="0" w:space="0" w:color="auto"/>
            <w:left w:val="none" w:sz="0" w:space="0" w:color="auto"/>
            <w:bottom w:val="none" w:sz="0" w:space="0" w:color="auto"/>
            <w:right w:val="none" w:sz="0" w:space="0" w:color="auto"/>
          </w:divBdr>
        </w:div>
      </w:divsChild>
    </w:div>
    <w:div w:id="1950090265">
      <w:bodyDiv w:val="1"/>
      <w:marLeft w:val="0"/>
      <w:marRight w:val="0"/>
      <w:marTop w:val="0"/>
      <w:marBottom w:val="0"/>
      <w:divBdr>
        <w:top w:val="none" w:sz="0" w:space="0" w:color="auto"/>
        <w:left w:val="none" w:sz="0" w:space="0" w:color="auto"/>
        <w:bottom w:val="none" w:sz="0" w:space="0" w:color="auto"/>
        <w:right w:val="none" w:sz="0" w:space="0" w:color="auto"/>
      </w:divBdr>
    </w:div>
    <w:div w:id="2093890229">
      <w:bodyDiv w:val="1"/>
      <w:marLeft w:val="0"/>
      <w:marRight w:val="0"/>
      <w:marTop w:val="0"/>
      <w:marBottom w:val="0"/>
      <w:divBdr>
        <w:top w:val="none" w:sz="0" w:space="0" w:color="auto"/>
        <w:left w:val="none" w:sz="0" w:space="0" w:color="auto"/>
        <w:bottom w:val="none" w:sz="0" w:space="0" w:color="auto"/>
        <w:right w:val="none" w:sz="0" w:space="0" w:color="auto"/>
      </w:divBdr>
    </w:div>
    <w:div w:id="2102142135">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3865505">
      <w:bodyDiv w:val="1"/>
      <w:marLeft w:val="0"/>
      <w:marRight w:val="0"/>
      <w:marTop w:val="0"/>
      <w:marBottom w:val="0"/>
      <w:divBdr>
        <w:top w:val="none" w:sz="0" w:space="0" w:color="auto"/>
        <w:left w:val="none" w:sz="0" w:space="0" w:color="auto"/>
        <w:bottom w:val="none" w:sz="0" w:space="0" w:color="auto"/>
        <w:right w:val="none" w:sz="0" w:space="0" w:color="auto"/>
      </w:divBdr>
    </w:div>
    <w:div w:id="2137718910">
      <w:bodyDiv w:val="1"/>
      <w:marLeft w:val="0"/>
      <w:marRight w:val="0"/>
      <w:marTop w:val="0"/>
      <w:marBottom w:val="0"/>
      <w:divBdr>
        <w:top w:val="none" w:sz="0" w:space="0" w:color="auto"/>
        <w:left w:val="none" w:sz="0" w:space="0" w:color="auto"/>
        <w:bottom w:val="none" w:sz="0" w:space="0" w:color="auto"/>
        <w:right w:val="none" w:sz="0" w:space="0" w:color="auto"/>
      </w:divBdr>
      <w:divsChild>
        <w:div w:id="3812943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sv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3334</Words>
  <Characters>18004</Characters>
  <Application>Microsoft Office Word</Application>
  <DocSecurity>0</DocSecurity>
  <Lines>150</Lines>
  <Paragraphs>42</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21296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Bruna Gava Floriam</cp:lastModifiedBy>
  <cp:revision>7</cp:revision>
  <cp:lastPrinted>2025-01-08T19:07:00Z</cp:lastPrinted>
  <dcterms:created xsi:type="dcterms:W3CDTF">2025-03-28T11:51:00Z</dcterms:created>
  <dcterms:modified xsi:type="dcterms:W3CDTF">2025-03-28T12:11:00Z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