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8F6DE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8F6DE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8F6DE8">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63596988" w14:textId="77777777" w:rsidR="008F6DE8" w:rsidRDefault="008F6DE8" w:rsidP="008F6DE8">
      <w:pPr>
        <w:pStyle w:val="CETAuthors"/>
        <w:spacing w:before="480"/>
        <w:jc w:val="center"/>
        <w:outlineLvl w:val="0"/>
        <w:rPr>
          <w:noProof w:val="0"/>
          <w:sz w:val="32"/>
        </w:rPr>
      </w:pPr>
      <w:r w:rsidRPr="008F6DE8">
        <w:rPr>
          <w:noProof w:val="0"/>
          <w:sz w:val="32"/>
        </w:rPr>
        <w:t>Basalt Dissolution Reaction of The Paraná-</w:t>
      </w:r>
      <w:proofErr w:type="spellStart"/>
      <w:r w:rsidRPr="008F6DE8">
        <w:rPr>
          <w:noProof w:val="0"/>
          <w:sz w:val="32"/>
        </w:rPr>
        <w:t>Etendeka</w:t>
      </w:r>
      <w:proofErr w:type="spellEnd"/>
      <w:r w:rsidRPr="008F6DE8">
        <w:rPr>
          <w:noProof w:val="0"/>
          <w:sz w:val="32"/>
        </w:rPr>
        <w:t xml:space="preserve"> Volcanic Province and Its Potential to Sequester Carbon Dioxide</w:t>
      </w:r>
    </w:p>
    <w:p w14:paraId="28EEFB41" w14:textId="515A0BD2" w:rsidR="008F6DE8" w:rsidRDefault="008F6DE8" w:rsidP="008F6DE8">
      <w:pPr>
        <w:pStyle w:val="CETAuthors"/>
        <w:rPr>
          <w:lang w:val="pt-BR"/>
        </w:rPr>
      </w:pPr>
      <w:r w:rsidRPr="008F6DE8">
        <w:rPr>
          <w:lang w:val="pt-BR"/>
        </w:rPr>
        <w:t>Klebson C</w:t>
      </w:r>
      <w:r>
        <w:rPr>
          <w:lang w:val="pt-BR"/>
        </w:rPr>
        <w:t>.</w:t>
      </w:r>
      <w:r w:rsidRPr="008F6DE8">
        <w:rPr>
          <w:lang w:val="pt-BR"/>
        </w:rPr>
        <w:t xml:space="preserve"> Silva</w:t>
      </w:r>
      <w:r w:rsidRPr="008F6DE8">
        <w:rPr>
          <w:vertAlign w:val="superscript"/>
          <w:lang w:val="pt-BR"/>
        </w:rPr>
        <w:t>a</w:t>
      </w:r>
      <w:r w:rsidR="009A5059">
        <w:rPr>
          <w:vertAlign w:val="superscript"/>
          <w:lang w:val="pt-BR"/>
        </w:rPr>
        <w:t>*</w:t>
      </w:r>
      <w:r w:rsidRPr="008F6DE8">
        <w:rPr>
          <w:lang w:val="pt-BR"/>
        </w:rPr>
        <w:t>, Leonardo F</w:t>
      </w:r>
      <w:r>
        <w:rPr>
          <w:lang w:val="pt-BR"/>
        </w:rPr>
        <w:t>.</w:t>
      </w:r>
      <w:r w:rsidRPr="008F6DE8">
        <w:rPr>
          <w:lang w:val="pt-BR"/>
        </w:rPr>
        <w:t xml:space="preserve"> Cury</w:t>
      </w:r>
      <w:r w:rsidRPr="008F6DE8">
        <w:rPr>
          <w:vertAlign w:val="superscript"/>
          <w:lang w:val="pt-BR"/>
        </w:rPr>
        <w:t>b</w:t>
      </w:r>
      <w:r w:rsidRPr="008F6DE8">
        <w:rPr>
          <w:lang w:val="pt-BR"/>
        </w:rPr>
        <w:t>, Luiz F</w:t>
      </w:r>
      <w:r>
        <w:rPr>
          <w:lang w:val="pt-BR"/>
        </w:rPr>
        <w:t>.</w:t>
      </w:r>
      <w:r w:rsidRPr="008F6DE8">
        <w:rPr>
          <w:lang w:val="pt-BR"/>
        </w:rPr>
        <w:t xml:space="preserve"> L</w:t>
      </w:r>
      <w:r>
        <w:rPr>
          <w:lang w:val="pt-BR"/>
        </w:rPr>
        <w:t>.</w:t>
      </w:r>
      <w:r w:rsidRPr="008F6DE8">
        <w:rPr>
          <w:lang w:val="pt-BR"/>
        </w:rPr>
        <w:t xml:space="preserve"> Luz Júnior</w:t>
      </w:r>
      <w:r w:rsidRPr="008F6DE8">
        <w:rPr>
          <w:vertAlign w:val="superscript"/>
          <w:lang w:val="pt-BR"/>
        </w:rPr>
        <w:t>a</w:t>
      </w:r>
    </w:p>
    <w:p w14:paraId="461CE5AC" w14:textId="443B9004" w:rsidR="008F6DE8" w:rsidRPr="00503524" w:rsidRDefault="008F6DE8" w:rsidP="008F6DE8">
      <w:pPr>
        <w:pStyle w:val="CETAddress"/>
        <w:rPr>
          <w:lang w:val="en-US"/>
        </w:rPr>
      </w:pPr>
      <w:r>
        <w:rPr>
          <w:vertAlign w:val="superscript"/>
          <w:lang w:val="en-US"/>
        </w:rPr>
        <w:t>a</w:t>
      </w:r>
      <w:r w:rsidRPr="00503524">
        <w:rPr>
          <w:lang w:val="en-US"/>
        </w:rPr>
        <w:t>Federal University of Paraná, Department of Chemical Engineering, Curitiba, PR, Brazil</w:t>
      </w:r>
    </w:p>
    <w:p w14:paraId="5DA3DC56" w14:textId="6C4E8CD4" w:rsidR="008F6DE8" w:rsidRPr="00503524" w:rsidRDefault="008F6DE8" w:rsidP="008F6DE8">
      <w:pPr>
        <w:pStyle w:val="CETAddress"/>
      </w:pPr>
      <w:r>
        <w:rPr>
          <w:vertAlign w:val="superscript"/>
        </w:rPr>
        <w:t>b</w:t>
      </w:r>
      <w:r w:rsidRPr="00503524">
        <w:t>Federal University of Paraná, iLAMIR Institute, 81531-980, Curitiba, PR, Brazil</w:t>
      </w:r>
    </w:p>
    <w:p w14:paraId="73F1267A" w14:textId="5601A025" w:rsidR="00B57E6F" w:rsidRPr="00B57B36" w:rsidRDefault="00B57E6F" w:rsidP="00B57E6F">
      <w:pPr>
        <w:pStyle w:val="CETemail"/>
      </w:pPr>
      <w:r>
        <w:t xml:space="preserve"> </w:t>
      </w:r>
      <w:r w:rsidR="008F6DE8">
        <w:t>klebsonsilva@ufpr.br</w:t>
      </w:r>
    </w:p>
    <w:p w14:paraId="3B449DC8" w14:textId="3413F3F4" w:rsidR="00D27BBA" w:rsidRDefault="00D27BBA" w:rsidP="00EB5631">
      <w:pPr>
        <w:pStyle w:val="CETBodytext"/>
      </w:pPr>
      <w:r w:rsidRPr="00D27BBA">
        <w:t xml:space="preserve">Volcanic rocks have </w:t>
      </w:r>
      <w:r w:rsidR="002818E8">
        <w:t>demonstrated</w:t>
      </w:r>
      <w:r w:rsidRPr="00D27BBA">
        <w:t xml:space="preserve"> high efficiency in </w:t>
      </w:r>
      <w:r w:rsidR="001D40FE">
        <w:t>reacting with carbonated fluids and mineralizing CO</w:t>
      </w:r>
      <w:r w:rsidR="001D40FE" w:rsidRPr="001D40FE">
        <w:rPr>
          <w:vertAlign w:val="subscript"/>
        </w:rPr>
        <w:t>2</w:t>
      </w:r>
      <w:r w:rsidRPr="00D27BBA">
        <w:t xml:space="preserve">, as </w:t>
      </w:r>
      <w:r w:rsidR="002818E8">
        <w:t>shown</w:t>
      </w:r>
      <w:r w:rsidRPr="00D27BBA">
        <w:t xml:space="preserve"> in experimental studies and pilot projects. The Paraná-</w:t>
      </w:r>
      <w:proofErr w:type="spellStart"/>
      <w:r w:rsidRPr="00D27BBA">
        <w:t>Etendeka</w:t>
      </w:r>
      <w:proofErr w:type="spellEnd"/>
      <w:r w:rsidRPr="00D27BBA">
        <w:t xml:space="preserve"> </w:t>
      </w:r>
      <w:r w:rsidR="001D40FE">
        <w:t>Magmatic</w:t>
      </w:r>
      <w:r w:rsidRPr="00D27BBA">
        <w:t xml:space="preserve"> </w:t>
      </w:r>
      <w:r w:rsidR="001D40FE">
        <w:t>P</w:t>
      </w:r>
      <w:r w:rsidRPr="00D27BBA">
        <w:t xml:space="preserve">rovince </w:t>
      </w:r>
      <w:r w:rsidR="00A60F2D">
        <w:t xml:space="preserve">represents </w:t>
      </w:r>
      <w:r w:rsidR="00A60F2D" w:rsidRPr="00D27BBA">
        <w:t>a</w:t>
      </w:r>
      <w:r w:rsidRPr="00D27BBA">
        <w:t xml:space="preserve"> promising </w:t>
      </w:r>
      <w:r w:rsidR="002818E8">
        <w:t>site</w:t>
      </w:r>
      <w:r w:rsidRPr="00D27BBA">
        <w:t xml:space="preserve"> for carbon </w:t>
      </w:r>
      <w:r w:rsidR="00A60F2D" w:rsidRPr="00D27BBA">
        <w:t>storage due</w:t>
      </w:r>
      <w:r w:rsidRPr="00D27BBA">
        <w:t xml:space="preserve"> to its </w:t>
      </w:r>
      <w:r w:rsidR="00A60F2D">
        <w:t xml:space="preserve">extensive </w:t>
      </w:r>
      <w:r w:rsidR="00A60F2D" w:rsidRPr="00D27BBA">
        <w:t>deposits</w:t>
      </w:r>
      <w:r w:rsidRPr="00D27BBA">
        <w:t xml:space="preserve"> of volcanic rocks and </w:t>
      </w:r>
      <w:r w:rsidR="002818E8">
        <w:t>abundant</w:t>
      </w:r>
      <w:r w:rsidRPr="00D27BBA">
        <w:t xml:space="preserve"> water resources. However, the limited number of studies</w:t>
      </w:r>
      <w:r w:rsidR="002818E8">
        <w:t xml:space="preserve"> means</w:t>
      </w:r>
      <w:r w:rsidRPr="00D27BBA">
        <w:t xml:space="preserve"> little is known about how the basalts from this province react. This study aims to </w:t>
      </w:r>
      <w:r w:rsidR="002818E8">
        <w:t xml:space="preserve">evaluate the </w:t>
      </w:r>
      <w:r w:rsidR="00A60F2D">
        <w:t xml:space="preserve">behavior </w:t>
      </w:r>
      <w:r w:rsidR="00A60F2D" w:rsidRPr="00D27BBA">
        <w:t>of</w:t>
      </w:r>
      <w:r w:rsidRPr="00D27BBA">
        <w:t xml:space="preserve"> a basalt sample collected from the African side of the Paraná-</w:t>
      </w:r>
      <w:proofErr w:type="spellStart"/>
      <w:r w:rsidRPr="00D27BBA">
        <w:t>Etendeka</w:t>
      </w:r>
      <w:proofErr w:type="spellEnd"/>
      <w:r w:rsidRPr="00D27BBA">
        <w:t xml:space="preserve"> </w:t>
      </w:r>
      <w:r w:rsidR="0031612C">
        <w:t>P</w:t>
      </w:r>
      <w:r w:rsidRPr="00D27BBA">
        <w:t xml:space="preserve">rovince when exposed to a solution of deionized water and carbon dioxide. </w:t>
      </w:r>
      <w:r>
        <w:t>R</w:t>
      </w:r>
      <w:r w:rsidRPr="00D27BBA">
        <w:t xml:space="preserve">eactions </w:t>
      </w:r>
      <w:r>
        <w:t xml:space="preserve">were carried out </w:t>
      </w:r>
      <w:r w:rsidRPr="00D27BBA">
        <w:t xml:space="preserve">in a pressurized vessel at 100 bar and 50 °C, over </w:t>
      </w:r>
      <w:r w:rsidR="009A5059">
        <w:t>periods</w:t>
      </w:r>
      <w:r w:rsidRPr="00D27BBA">
        <w:t xml:space="preserve"> ranging from 1 hour to 15 days. The findings </w:t>
      </w:r>
      <w:r w:rsidR="002818E8">
        <w:t>showed</w:t>
      </w:r>
      <w:r w:rsidRPr="00D27BBA">
        <w:t xml:space="preserve"> that after one hour of reaction, the Ca</w:t>
      </w:r>
      <w:r w:rsidRPr="00D27BBA">
        <w:rPr>
          <w:vertAlign w:val="superscript"/>
        </w:rPr>
        <w:t>2+</w:t>
      </w:r>
      <w:r w:rsidRPr="00D27BBA">
        <w:t xml:space="preserve"> concentration </w:t>
      </w:r>
      <w:r w:rsidR="00401A00">
        <w:t>increased</w:t>
      </w:r>
      <w:r w:rsidRPr="00D27BBA">
        <w:t xml:space="preserve"> to 15.75 mg/L and Mg</w:t>
      </w:r>
      <w:r w:rsidRPr="00D27BBA">
        <w:rPr>
          <w:vertAlign w:val="superscript"/>
        </w:rPr>
        <w:t>2+</w:t>
      </w:r>
      <w:r w:rsidRPr="00D27BBA">
        <w:t xml:space="preserve"> concentration to 3.08 mg/L. The pH </w:t>
      </w:r>
      <w:r w:rsidR="00401A00">
        <w:t>rose</w:t>
      </w:r>
      <w:r w:rsidRPr="00D27BBA">
        <w:t xml:space="preserve"> from 4.80 to 5.71 at the end of the first hour. </w:t>
      </w:r>
      <w:r w:rsidR="00401A00">
        <w:t>R</w:t>
      </w:r>
      <w:r>
        <w:t>esults indicate that reactions occur rapidly, with calcium and magnesium ion concentrations</w:t>
      </w:r>
      <w:r w:rsidR="00401A00">
        <w:t>, as well as</w:t>
      </w:r>
      <w:r>
        <w:t xml:space="preserve"> pH levels</w:t>
      </w:r>
      <w:r w:rsidR="00401A00">
        <w:t>,</w:t>
      </w:r>
      <w:r>
        <w:t xml:space="preserve"> increasing over time</w:t>
      </w:r>
      <w:r w:rsidR="00401A00">
        <w:t>, peaking</w:t>
      </w:r>
      <w:r w:rsidR="009A5059">
        <w:t xml:space="preserve"> after</w:t>
      </w:r>
      <w:r>
        <w:t xml:space="preserve"> 7</w:t>
      </w:r>
      <w:r w:rsidR="001D40FE">
        <w:t xml:space="preserve"> days</w:t>
      </w:r>
      <w:r w:rsidR="00401A00">
        <w:t>,</w:t>
      </w:r>
      <w:r w:rsidR="009A5059">
        <w:t xml:space="preserve"> and then slightly decreasing </w:t>
      </w:r>
      <w:r w:rsidR="00401A00">
        <w:t>suggesting the</w:t>
      </w:r>
      <w:r w:rsidR="009A5059">
        <w:t xml:space="preserve"> possible onset of </w:t>
      </w:r>
      <w:r w:rsidR="00401A00">
        <w:t xml:space="preserve">secondary mineral </w:t>
      </w:r>
      <w:r w:rsidR="009A5059">
        <w:t>precipitation</w:t>
      </w:r>
      <w:r w:rsidR="00401A00">
        <w:t>.</w:t>
      </w:r>
      <w:r w:rsidR="009A5059">
        <w:t xml:space="preserve"> </w:t>
      </w:r>
      <w:r w:rsidR="001D40FE">
        <w:t xml:space="preserve">The </w:t>
      </w:r>
      <w:r w:rsidR="00401A00">
        <w:t xml:space="preserve">predominant </w:t>
      </w:r>
      <w:r w:rsidR="001D40FE">
        <w:t xml:space="preserve">release of </w:t>
      </w:r>
      <w:r>
        <w:t>Ca</w:t>
      </w:r>
      <w:r w:rsidR="001D40FE" w:rsidRPr="001D40FE">
        <w:rPr>
          <w:vertAlign w:val="superscript"/>
        </w:rPr>
        <w:t>2+</w:t>
      </w:r>
      <w:r>
        <w:t xml:space="preserve"> </w:t>
      </w:r>
      <w:r w:rsidR="00401A00">
        <w:t>suggests</w:t>
      </w:r>
      <w:r w:rsidR="001D40FE">
        <w:t xml:space="preserve"> that</w:t>
      </w:r>
      <w:r>
        <w:t xml:space="preserve"> </w:t>
      </w:r>
      <w:r w:rsidR="009A5059">
        <w:t xml:space="preserve">Plagioclase is the primary mineral dissolved under the </w:t>
      </w:r>
      <w:r w:rsidR="00401A00">
        <w:t>experimental</w:t>
      </w:r>
      <w:r w:rsidR="009A5059">
        <w:t xml:space="preserve"> conditions, followed by pyroxenes and </w:t>
      </w:r>
      <w:proofErr w:type="spellStart"/>
      <w:r w:rsidR="009A5059">
        <w:t>olivines</w:t>
      </w:r>
      <w:proofErr w:type="spellEnd"/>
      <w:r w:rsidR="009A5059">
        <w:t xml:space="preserve">. </w:t>
      </w:r>
      <w:r>
        <w:t xml:space="preserve">These findings </w:t>
      </w:r>
      <w:r w:rsidR="005D28CD">
        <w:t>improve</w:t>
      </w:r>
      <w:r w:rsidR="00A60F2D">
        <w:t xml:space="preserve"> </w:t>
      </w:r>
      <w:r>
        <w:t>our understanding of rock-fluid interactions and provide valuable insights for future CCS projects in</w:t>
      </w:r>
      <w:r w:rsidR="005D28CD">
        <w:t>volving</w:t>
      </w:r>
      <w:r>
        <w:t xml:space="preserve"> the Paraná-</w:t>
      </w:r>
      <w:proofErr w:type="spellStart"/>
      <w:r>
        <w:t>Etendeka</w:t>
      </w:r>
      <w:proofErr w:type="spellEnd"/>
      <w:r>
        <w:t xml:space="preserve"> volcanic rocks, contributing to global CO</w:t>
      </w:r>
      <w:r w:rsidRPr="009A5059">
        <w:rPr>
          <w:vertAlign w:val="subscript"/>
        </w:rPr>
        <w:t xml:space="preserve">2 </w:t>
      </w:r>
      <w:r>
        <w:t>emission reduction</w:t>
      </w:r>
      <w:r w:rsidR="005D28CD">
        <w:t xml:space="preserve"> efforts</w:t>
      </w:r>
      <w:r>
        <w:t>.</w:t>
      </w:r>
    </w:p>
    <w:p w14:paraId="476B2F2E" w14:textId="52B36035" w:rsidR="00600535" w:rsidRPr="00B57B36" w:rsidRDefault="00600535" w:rsidP="00600535">
      <w:pPr>
        <w:pStyle w:val="CETHeading1"/>
        <w:rPr>
          <w:lang w:val="en-GB"/>
        </w:rPr>
      </w:pPr>
      <w:r w:rsidRPr="00B57B36">
        <w:rPr>
          <w:lang w:val="en-GB"/>
        </w:rPr>
        <w:t>Introduction</w:t>
      </w:r>
    </w:p>
    <w:p w14:paraId="0AF98DD3" w14:textId="56193213" w:rsidR="00D42552" w:rsidRPr="0086518D" w:rsidRDefault="00D42552" w:rsidP="00D42552">
      <w:pPr>
        <w:pStyle w:val="CETBodytext"/>
      </w:pPr>
      <w:bookmarkStart w:id="1" w:name="_Hlk184320068"/>
      <w:r>
        <w:t xml:space="preserve">The climate impacts </w:t>
      </w:r>
      <w:r w:rsidR="005D28CD">
        <w:t xml:space="preserve">caused </w:t>
      </w:r>
      <w:r w:rsidR="00024C3A">
        <w:t xml:space="preserve">by carbon </w:t>
      </w:r>
      <w:r>
        <w:t xml:space="preserve">dioxide emissions and the </w:t>
      </w:r>
      <w:r w:rsidR="005D28CD">
        <w:t>projected increase</w:t>
      </w:r>
      <w:r>
        <w:t xml:space="preserve"> in </w:t>
      </w:r>
      <w:r w:rsidR="005D28CD">
        <w:t xml:space="preserve">these </w:t>
      </w:r>
      <w:r>
        <w:t xml:space="preserve">emissions in the coming years (IPCC, 2019) have </w:t>
      </w:r>
      <w:r w:rsidR="005D28CD">
        <w:t>spurred</w:t>
      </w:r>
      <w:r>
        <w:t xml:space="preserve"> the development of various innovative solutions</w:t>
      </w:r>
      <w:r w:rsidR="005D28CD">
        <w:t>.</w:t>
      </w:r>
      <w:r>
        <w:t xml:space="preserve"> </w:t>
      </w:r>
      <w:r w:rsidR="00A60F2D">
        <w:t>Among the</w:t>
      </w:r>
      <w:r>
        <w:t xml:space="preserve"> most promising alternatives for reducing CO</w:t>
      </w:r>
      <w:r w:rsidRPr="00765EF9">
        <w:rPr>
          <w:vertAlign w:val="subscript"/>
        </w:rPr>
        <w:t>2</w:t>
      </w:r>
      <w:r>
        <w:t xml:space="preserve"> emissions is Carbon Capture and Storage (CCS). This technique </w:t>
      </w:r>
      <w:r w:rsidR="00A60F2D">
        <w:t>provides a</w:t>
      </w:r>
      <w:r>
        <w:t xml:space="preserve"> viable </w:t>
      </w:r>
      <w:r w:rsidR="005D28CD">
        <w:t>pathway</w:t>
      </w:r>
      <w:r>
        <w:t xml:space="preserve"> for </w:t>
      </w:r>
      <w:r w:rsidR="005D28CD">
        <w:t>meeting</w:t>
      </w:r>
      <w:r>
        <w:t xml:space="preserve"> the </w:t>
      </w:r>
      <w:r w:rsidR="00A60F2D">
        <w:t>objectives of</w:t>
      </w:r>
      <w:r w:rsidR="005D28CD">
        <w:t xml:space="preserve"> the 2015 </w:t>
      </w:r>
      <w:r>
        <w:t>Paris Agreement</w:t>
      </w:r>
      <w:r w:rsidR="005D28CD">
        <w:t>,</w:t>
      </w:r>
      <w:r>
        <w:t xml:space="preserve"> which aims to limit greenhouse gas emissions among participating countries.</w:t>
      </w:r>
    </w:p>
    <w:p w14:paraId="22C28476" w14:textId="4AC00775" w:rsidR="00D42552" w:rsidRPr="0086518D" w:rsidRDefault="00D42552" w:rsidP="00D42552">
      <w:pPr>
        <w:pStyle w:val="CETBodytext"/>
      </w:pPr>
      <w:r>
        <w:t xml:space="preserve">Numerous </w:t>
      </w:r>
      <w:r w:rsidR="009C1BE6">
        <w:t xml:space="preserve">research </w:t>
      </w:r>
      <w:r w:rsidR="00024C3A">
        <w:t xml:space="preserve">efforts </w:t>
      </w:r>
      <w:r>
        <w:t>focus</w:t>
      </w:r>
      <w:r w:rsidR="00561CF7">
        <w:t xml:space="preserve"> extensively</w:t>
      </w:r>
      <w:r>
        <w:t xml:space="preserve"> on </w:t>
      </w:r>
      <w:r w:rsidR="00A60F2D">
        <w:t>improving techniques</w:t>
      </w:r>
      <w:r>
        <w:t xml:space="preserve"> for the geological storage of CO</w:t>
      </w:r>
      <w:r w:rsidRPr="00765EF9">
        <w:rPr>
          <w:vertAlign w:val="subscript"/>
        </w:rPr>
        <w:t>2</w:t>
      </w:r>
      <w:r>
        <w:t xml:space="preserve">, </w:t>
      </w:r>
      <w:r w:rsidR="00024C3A">
        <w:t xml:space="preserve">particularly </w:t>
      </w:r>
      <w:r>
        <w:t xml:space="preserve">in sedimentary formations. However, </w:t>
      </w:r>
      <w:r w:rsidR="00A60F2D">
        <w:t>studies have</w:t>
      </w:r>
      <w:r>
        <w:t xml:space="preserve"> also </w:t>
      </w:r>
      <w:r w:rsidR="007F3BA6">
        <w:t>demonstrated</w:t>
      </w:r>
      <w:r>
        <w:t xml:space="preserve"> that volcanic rocks, especially basalts, </w:t>
      </w:r>
      <w:r w:rsidR="007F3BA6">
        <w:t>are</w:t>
      </w:r>
      <w:r>
        <w:t xml:space="preserve"> highly effective for </w:t>
      </w:r>
      <w:r w:rsidR="001D13E7">
        <w:t>greenhouse gas storage</w:t>
      </w:r>
      <w:r>
        <w:t xml:space="preserve">, as evidenced by laboratory </w:t>
      </w:r>
      <w:r w:rsidR="00F74AAC">
        <w:t>experiments</w:t>
      </w:r>
      <w:r>
        <w:t xml:space="preserve"> and pilot projects such as </w:t>
      </w:r>
      <w:r w:rsidR="00F74AAC">
        <w:t xml:space="preserve">Iceland´s </w:t>
      </w:r>
      <w:proofErr w:type="spellStart"/>
      <w:r>
        <w:t>CarbFix</w:t>
      </w:r>
      <w:proofErr w:type="spellEnd"/>
      <w:r w:rsidR="00F74AAC">
        <w:t>.</w:t>
      </w:r>
      <w:r>
        <w:t xml:space="preserve"> These </w:t>
      </w:r>
      <w:r w:rsidR="007922EE">
        <w:t>investigations</w:t>
      </w:r>
      <w:r>
        <w:t xml:space="preserve"> have demonstrated that up to 95% of the CO</w:t>
      </w:r>
      <w:r w:rsidRPr="00765EF9">
        <w:rPr>
          <w:vertAlign w:val="subscript"/>
        </w:rPr>
        <w:t>2</w:t>
      </w:r>
      <w:r>
        <w:t xml:space="preserve"> </w:t>
      </w:r>
      <w:r w:rsidR="00F961DF">
        <w:t>can minerali</w:t>
      </w:r>
      <w:r w:rsidR="00893BD8">
        <w:t>ze</w:t>
      </w:r>
      <w:r>
        <w:t xml:space="preserve"> within two years (Matter et al., 2016).</w:t>
      </w:r>
    </w:p>
    <w:p w14:paraId="1B606E2C" w14:textId="6E504693" w:rsidR="00D42552" w:rsidRDefault="00D42552" w:rsidP="00D42552">
      <w:pPr>
        <w:pStyle w:val="CETBodytext"/>
      </w:pPr>
      <w:r>
        <w:t xml:space="preserve">Several volcanic provinces </w:t>
      </w:r>
      <w:r w:rsidR="00A60F2D">
        <w:t>worldwide are</w:t>
      </w:r>
      <w:r>
        <w:t xml:space="preserve"> excellent candidates for Carbon Capture and S</w:t>
      </w:r>
      <w:r w:rsidR="00DA60AF">
        <w:t>torage</w:t>
      </w:r>
      <w:r>
        <w:t>, including the Paraná-</w:t>
      </w:r>
      <w:proofErr w:type="spellStart"/>
      <w:r>
        <w:t>Etendeka</w:t>
      </w:r>
      <w:proofErr w:type="spellEnd"/>
      <w:r>
        <w:t xml:space="preserve"> Magmatic Province, one of the largest volcanic provinces </w:t>
      </w:r>
      <w:r w:rsidR="00D32F36">
        <w:t>on the planet</w:t>
      </w:r>
      <w:r>
        <w:t>. This province spans central South America—</w:t>
      </w:r>
      <w:r w:rsidR="00D32F36">
        <w:t xml:space="preserve"> encompassing</w:t>
      </w:r>
      <w:r>
        <w:t xml:space="preserve"> Brazil, Paraguay, Uruguay, and Argentina—and extends into southeastern Africa, particularly in regions of Namibia and Angola (Rossetti et al., 2019). Due to its </w:t>
      </w:r>
      <w:r w:rsidR="005C5B46">
        <w:t>extensive</w:t>
      </w:r>
      <w:r w:rsidRPr="00E54951">
        <w:t xml:space="preserve"> </w:t>
      </w:r>
      <w:r>
        <w:t xml:space="preserve">volcanic rocks and abundant </w:t>
      </w:r>
      <w:r w:rsidR="002F60BE">
        <w:t xml:space="preserve">nearby </w:t>
      </w:r>
      <w:r>
        <w:t xml:space="preserve">water resources, the </w:t>
      </w:r>
      <w:r w:rsidR="004307F0">
        <w:t>Paraná-</w:t>
      </w:r>
      <w:proofErr w:type="spellStart"/>
      <w:r w:rsidR="004307F0">
        <w:t>Etendeka</w:t>
      </w:r>
      <w:proofErr w:type="spellEnd"/>
      <w:r w:rsidR="004307F0">
        <w:t xml:space="preserve"> P</w:t>
      </w:r>
      <w:r>
        <w:t xml:space="preserve">rovince is considered a strong candidate for carbon storage (McGrail et al., 2003). </w:t>
      </w:r>
    </w:p>
    <w:p w14:paraId="5D6F5683" w14:textId="4DFEC9DC" w:rsidR="00D42552" w:rsidRDefault="00D42552" w:rsidP="00D42552">
      <w:pPr>
        <w:pStyle w:val="CETBodytext"/>
      </w:pPr>
      <w:r w:rsidRPr="00713AA1">
        <w:t>Similar lava sequences to those</w:t>
      </w:r>
      <w:r w:rsidR="00794734">
        <w:t xml:space="preserve"> found </w:t>
      </w:r>
      <w:r w:rsidRPr="00713AA1">
        <w:t>in this province</w:t>
      </w:r>
      <w:r w:rsidR="003170BA">
        <w:t xml:space="preserve"> have also been identified as </w:t>
      </w:r>
      <w:r w:rsidRPr="00713AA1">
        <w:t xml:space="preserve">potential targets for </w:t>
      </w:r>
      <w:r>
        <w:t>C</w:t>
      </w:r>
      <w:r w:rsidRPr="00713AA1">
        <w:t xml:space="preserve">arbon </w:t>
      </w:r>
      <w:r>
        <w:t>S</w:t>
      </w:r>
      <w:r w:rsidRPr="00713AA1">
        <w:t>torage</w:t>
      </w:r>
      <w:r w:rsidR="00AB197C">
        <w:t xml:space="preserve"> and are </w:t>
      </w:r>
      <w:r w:rsidRPr="00713AA1">
        <w:t xml:space="preserve">considered exploration targets </w:t>
      </w:r>
      <w:r w:rsidR="00AB197C">
        <w:t>with</w:t>
      </w:r>
      <w:r w:rsidRPr="00713AA1">
        <w:t>in hydrocarbon basins</w:t>
      </w:r>
      <w:r>
        <w:t xml:space="preserve"> </w:t>
      </w:r>
      <w:r w:rsidR="006D28E3">
        <w:t>associated with</w:t>
      </w:r>
      <w:r w:rsidR="00D25DB9">
        <w:t xml:space="preserve"> </w:t>
      </w:r>
      <w:r>
        <w:t>the Brazilian pre-salt</w:t>
      </w:r>
      <w:r w:rsidRPr="00713AA1">
        <w:t xml:space="preserve">, such as the </w:t>
      </w:r>
      <w:proofErr w:type="spellStart"/>
      <w:r w:rsidRPr="00713AA1">
        <w:t>Cabi</w:t>
      </w:r>
      <w:r w:rsidR="00D25DB9">
        <w:t>ú</w:t>
      </w:r>
      <w:r w:rsidRPr="00713AA1">
        <w:t>nas</w:t>
      </w:r>
      <w:proofErr w:type="spellEnd"/>
      <w:r w:rsidRPr="00713AA1">
        <w:t xml:space="preserve"> volcanic sequences (Campos Basin) and </w:t>
      </w:r>
      <w:proofErr w:type="spellStart"/>
      <w:r w:rsidRPr="00713AA1">
        <w:t>Camburi</w:t>
      </w:r>
      <w:r w:rsidR="00D25DB9">
        <w:t>ú</w:t>
      </w:r>
      <w:proofErr w:type="spellEnd"/>
      <w:r w:rsidRPr="00713AA1">
        <w:t xml:space="preserve"> </w:t>
      </w:r>
      <w:r w:rsidR="004D2765">
        <w:t xml:space="preserve">volcanic sequences </w:t>
      </w:r>
      <w:r w:rsidRPr="00713AA1">
        <w:t xml:space="preserve">(Santos Basin), which are stratigraphically correlated with the </w:t>
      </w:r>
      <w:r w:rsidR="00F45EC4">
        <w:t>Paraná-</w:t>
      </w:r>
      <w:proofErr w:type="spellStart"/>
      <w:r w:rsidR="00F45EC4">
        <w:t>Etendeka</w:t>
      </w:r>
      <w:proofErr w:type="spellEnd"/>
      <w:r w:rsidR="00F45EC4">
        <w:t xml:space="preserve"> Magmatic Province </w:t>
      </w:r>
      <w:r w:rsidR="00FE1FF5">
        <w:t xml:space="preserve">lavas </w:t>
      </w:r>
      <w:r w:rsidRPr="00713AA1">
        <w:t>(</w:t>
      </w:r>
      <w:proofErr w:type="spellStart"/>
      <w:r w:rsidRPr="00713AA1">
        <w:t>Stica</w:t>
      </w:r>
      <w:proofErr w:type="spellEnd"/>
      <w:r w:rsidRPr="00713AA1">
        <w:t xml:space="preserve"> et al., </w:t>
      </w:r>
      <w:r w:rsidRPr="00713AA1">
        <w:lastRenderedPageBreak/>
        <w:t>2014).</w:t>
      </w:r>
      <w:r>
        <w:t xml:space="preserve"> </w:t>
      </w:r>
      <w:r w:rsidR="00A60F2D">
        <w:t>Consequently, studies</w:t>
      </w:r>
      <w:r>
        <w:t xml:space="preserve"> </w:t>
      </w:r>
      <w:r w:rsidR="009D3849">
        <w:t xml:space="preserve">on </w:t>
      </w:r>
      <w:r>
        <w:t>the rocks of the Parana-</w:t>
      </w:r>
      <w:proofErr w:type="spellStart"/>
      <w:r>
        <w:t>Etendeka</w:t>
      </w:r>
      <w:proofErr w:type="spellEnd"/>
      <w:r>
        <w:t xml:space="preserve"> Province </w:t>
      </w:r>
      <w:r w:rsidR="00A60F2D">
        <w:t>can serve</w:t>
      </w:r>
      <w:r>
        <w:t xml:space="preserve"> as </w:t>
      </w:r>
      <w:r w:rsidR="00983B50">
        <w:t>valuable</w:t>
      </w:r>
      <w:r w:rsidR="00E42B41">
        <w:t xml:space="preserve"> </w:t>
      </w:r>
      <w:r>
        <w:t xml:space="preserve">analogs </w:t>
      </w:r>
      <w:r w:rsidR="00E42B41">
        <w:t>for</w:t>
      </w:r>
      <w:r>
        <w:t xml:space="preserve"> the volcanic rocks found in the Brazilian pre-salt.</w:t>
      </w:r>
    </w:p>
    <w:p w14:paraId="1356D934" w14:textId="43EAFBCE" w:rsidR="00D42552" w:rsidRDefault="00D42552" w:rsidP="00D42552">
      <w:pPr>
        <w:pStyle w:val="CETBodytext"/>
      </w:pPr>
      <w:r>
        <w:t>However, there is a lack of research on the application of th</w:t>
      </w:r>
      <w:r w:rsidR="00463369">
        <w:t>e</w:t>
      </w:r>
      <w:r>
        <w:t xml:space="preserve">se rocks and </w:t>
      </w:r>
      <w:r w:rsidR="00971F49">
        <w:t xml:space="preserve">associated </w:t>
      </w:r>
      <w:r>
        <w:t>fluids</w:t>
      </w:r>
      <w:r w:rsidR="00971F49">
        <w:t xml:space="preserve"> for</w:t>
      </w:r>
      <w:r w:rsidR="00A60F2D">
        <w:t xml:space="preserve"> </w:t>
      </w:r>
      <w:r>
        <w:t xml:space="preserve">CCS, </w:t>
      </w:r>
      <w:r w:rsidR="009A5E8B">
        <w:t xml:space="preserve">leading </w:t>
      </w:r>
      <w:r w:rsidR="00A60F2D">
        <w:t xml:space="preserve">to </w:t>
      </w:r>
      <w:r w:rsidR="00A60F2D" w:rsidRPr="00765EF9">
        <w:t>an</w:t>
      </w:r>
      <w:r w:rsidRPr="00765EF9">
        <w:t xml:space="preserve"> incomplete understanding of </w:t>
      </w:r>
      <w:r w:rsidR="00A60F2D" w:rsidRPr="00765EF9">
        <w:t>how basalts</w:t>
      </w:r>
      <w:r w:rsidRPr="00765EF9">
        <w:t xml:space="preserve"> interact with carbonated fluids</w:t>
      </w:r>
      <w:r>
        <w:t xml:space="preserve">. </w:t>
      </w:r>
      <w:r w:rsidR="00A60F2D">
        <w:t>Existing studies</w:t>
      </w:r>
      <w:r>
        <w:t xml:space="preserve"> </w:t>
      </w:r>
      <w:r w:rsidR="00A60F2D">
        <w:t>rarely simulate</w:t>
      </w:r>
      <w:r>
        <w:t xml:space="preserve"> reactive processes under reservoir conditions, </w:t>
      </w:r>
      <w:r w:rsidR="007E2CC9">
        <w:t xml:space="preserve">particularly </w:t>
      </w:r>
      <w:r w:rsidR="00D642A1">
        <w:t>with C</w:t>
      </w:r>
      <w:r w:rsidR="00AB0F8D">
        <w:t>O</w:t>
      </w:r>
      <w:r w:rsidR="00AB0F8D" w:rsidRPr="0083432F">
        <w:rPr>
          <w:vertAlign w:val="subscript"/>
        </w:rPr>
        <w:t>2</w:t>
      </w:r>
      <w:r w:rsidR="00AB0F8D">
        <w:t xml:space="preserve"> </w:t>
      </w:r>
      <w:r>
        <w:t xml:space="preserve">in </w:t>
      </w:r>
      <w:r w:rsidR="0033451F">
        <w:t xml:space="preserve">its </w:t>
      </w:r>
      <w:r>
        <w:t xml:space="preserve">supercritical state. </w:t>
      </w:r>
    </w:p>
    <w:p w14:paraId="05D74BCD" w14:textId="28CAE1AF" w:rsidR="00D42552" w:rsidRDefault="00BC4DE3" w:rsidP="00D42552">
      <w:pPr>
        <w:pStyle w:val="CETBodytext"/>
      </w:pPr>
      <w:r>
        <w:t>T</w:t>
      </w:r>
      <w:r w:rsidR="00D42552">
        <w:t xml:space="preserve">his work </w:t>
      </w:r>
      <w:r>
        <w:t xml:space="preserve">aims </w:t>
      </w:r>
      <w:r w:rsidR="00D42552">
        <w:t>to evaluate the behavior of a basalt sample collected from an outcrop on the African side of the Paraná-</w:t>
      </w:r>
      <w:proofErr w:type="spellStart"/>
      <w:r w:rsidR="00D42552">
        <w:t>Etendeka</w:t>
      </w:r>
      <w:proofErr w:type="spellEnd"/>
      <w:r w:rsidR="00D42552">
        <w:t xml:space="preserve"> Magmatic </w:t>
      </w:r>
      <w:r w:rsidR="00A60F2D">
        <w:t>Province in</w:t>
      </w:r>
      <w:r w:rsidR="00D42552">
        <w:t xml:space="preserve"> reactions with carbonated fluid</w:t>
      </w:r>
      <w:r w:rsidR="00B30C2E">
        <w:t>s</w:t>
      </w:r>
      <w:r w:rsidR="00D42552">
        <w:t xml:space="preserve"> under shallow reservoir conditions. Th</w:t>
      </w:r>
      <w:r w:rsidR="00871EF3">
        <w:t>e</w:t>
      </w:r>
      <w:r w:rsidR="00D42552">
        <w:t xml:space="preserve"> study</w:t>
      </w:r>
      <w:r w:rsidR="00871EF3">
        <w:t xml:space="preserve"> focuses </w:t>
      </w:r>
      <w:r w:rsidR="00A60F2D">
        <w:t>on the</w:t>
      </w:r>
      <w:r w:rsidR="00D42552">
        <w:t xml:space="preserve"> </w:t>
      </w:r>
      <w:r w:rsidR="00C638EB">
        <w:t>interactio</w:t>
      </w:r>
      <w:r w:rsidR="00182688">
        <w:t xml:space="preserve">ns between </w:t>
      </w:r>
      <w:r w:rsidR="00D42552">
        <w:t xml:space="preserve">basalt </w:t>
      </w:r>
      <w:r w:rsidR="00182688">
        <w:t xml:space="preserve">and </w:t>
      </w:r>
      <w:r w:rsidR="00D42552">
        <w:t xml:space="preserve">carbonated water to </w:t>
      </w:r>
      <w:r w:rsidR="00A60F2D">
        <w:t>provide insights</w:t>
      </w:r>
      <w:r w:rsidR="00D42552">
        <w:t xml:space="preserve"> into the dissolution phenomena and their implications for carbon capture and </w:t>
      </w:r>
      <w:r w:rsidR="00516C13">
        <w:t>storage</w:t>
      </w:r>
      <w:r w:rsidR="00D42552">
        <w:t>.</w:t>
      </w:r>
    </w:p>
    <w:bookmarkEnd w:id="1"/>
    <w:p w14:paraId="6BCBA0B8" w14:textId="44527CD0" w:rsidR="00D42552" w:rsidRPr="00AD1AB1" w:rsidRDefault="00D42552" w:rsidP="00D42552">
      <w:pPr>
        <w:pStyle w:val="CETHeading1"/>
      </w:pPr>
      <w:r w:rsidRPr="00AD1AB1">
        <w:t>Materials and methods</w:t>
      </w:r>
    </w:p>
    <w:p w14:paraId="7DE1A7F4" w14:textId="1523154B" w:rsidR="00D42552" w:rsidRPr="00D42552" w:rsidRDefault="00D42552" w:rsidP="00D42552">
      <w:pPr>
        <w:pStyle w:val="CETheadingx"/>
      </w:pPr>
      <w:r w:rsidRPr="00D42552">
        <w:t>2.1. Geological context</w:t>
      </w:r>
    </w:p>
    <w:p w14:paraId="54F5383F" w14:textId="4C9BACB1" w:rsidR="00D42552" w:rsidRPr="0086518D" w:rsidRDefault="00D42552" w:rsidP="00D42552">
      <w:pPr>
        <w:pStyle w:val="CETBodytext"/>
      </w:pPr>
      <w:r w:rsidRPr="0086518D">
        <w:t xml:space="preserve">The sample used in this study was provided by </w:t>
      </w:r>
      <w:proofErr w:type="spellStart"/>
      <w:r w:rsidRPr="0086518D">
        <w:t>iLamir</w:t>
      </w:r>
      <w:proofErr w:type="spellEnd"/>
      <w:r>
        <w:t xml:space="preserve"> (</w:t>
      </w:r>
      <w:r w:rsidRPr="00077271">
        <w:t xml:space="preserve">Mineral and Rock Analysis Laboratory </w:t>
      </w:r>
      <w:r>
        <w:t>–</w:t>
      </w:r>
      <w:r w:rsidRPr="00077271">
        <w:t xml:space="preserve"> </w:t>
      </w:r>
      <w:r>
        <w:t xml:space="preserve">Federal University of Paraná, Brazil). It </w:t>
      </w:r>
      <w:r w:rsidRPr="0086518D">
        <w:t xml:space="preserve">was collected from an outcrop </w:t>
      </w:r>
      <w:r>
        <w:t>in</w:t>
      </w:r>
      <w:r w:rsidRPr="0086518D">
        <w:t xml:space="preserve"> the Bero volcanic complex</w:t>
      </w:r>
      <w:r w:rsidR="00F82568">
        <w:t>,</w:t>
      </w:r>
      <w:r w:rsidRPr="0086518D">
        <w:t xml:space="preserve"> located in</w:t>
      </w:r>
      <w:r>
        <w:t xml:space="preserve"> </w:t>
      </w:r>
      <w:proofErr w:type="spellStart"/>
      <w:r w:rsidRPr="0086518D">
        <w:t>Namibe</w:t>
      </w:r>
      <w:proofErr w:type="spellEnd"/>
      <w:r>
        <w:t xml:space="preserve"> Basin</w:t>
      </w:r>
      <w:r w:rsidRPr="0086518D">
        <w:t>, southwestern Angola</w:t>
      </w:r>
      <w:r w:rsidR="006E08A9">
        <w:t xml:space="preserve"> (Figure 1)</w:t>
      </w:r>
      <w:r w:rsidRPr="0086518D">
        <w:t xml:space="preserve">. </w:t>
      </w:r>
      <w:r>
        <w:t xml:space="preserve">The sample under </w:t>
      </w:r>
      <w:r w:rsidR="00A60F2D">
        <w:t>analysis is</w:t>
      </w:r>
      <w:r>
        <w:t xml:space="preserve"> a basalt rock characterized by </w:t>
      </w:r>
      <w:r w:rsidR="00A60F2D">
        <w:t>a crystalline</w:t>
      </w:r>
      <w:r>
        <w:t xml:space="preserve"> matrix</w:t>
      </w:r>
      <w:r w:rsidR="00BE5D8C">
        <w:t xml:space="preserve"> and is </w:t>
      </w:r>
      <w:r>
        <w:t>designated as NB-29 in the field documentation.</w:t>
      </w:r>
    </w:p>
    <w:p w14:paraId="7DFF77BA" w14:textId="672C69F5" w:rsidR="001C5BA1" w:rsidRPr="00C32257" w:rsidRDefault="001C5BA1" w:rsidP="001C5BA1">
      <w:pPr>
        <w:jc w:val="left"/>
        <w:rPr>
          <w:rFonts w:cs="Arial"/>
          <w:sz w:val="20"/>
        </w:rPr>
      </w:pPr>
      <w:r>
        <w:rPr>
          <w:noProof/>
        </w:rPr>
        <w:drawing>
          <wp:inline distT="0" distB="0" distL="0" distR="0" wp14:anchorId="2DE9B71E" wp14:editId="30A1EC2B">
            <wp:extent cx="2787615" cy="2797628"/>
            <wp:effectExtent l="0" t="0" r="0" b="317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b="16345"/>
                    <a:stretch/>
                  </pic:blipFill>
                  <pic:spPr bwMode="auto">
                    <a:xfrm>
                      <a:off x="0" y="0"/>
                      <a:ext cx="2810467" cy="2820562"/>
                    </a:xfrm>
                    <a:prstGeom prst="rect">
                      <a:avLst/>
                    </a:prstGeom>
                    <a:noFill/>
                    <a:ln>
                      <a:noFill/>
                    </a:ln>
                    <a:extLst>
                      <a:ext uri="{53640926-AAD7-44D8-BBD7-CCE9431645EC}">
                        <a14:shadowObscured xmlns:a14="http://schemas.microsoft.com/office/drawing/2010/main"/>
                      </a:ext>
                    </a:extLst>
                  </pic:spPr>
                </pic:pic>
              </a:graphicData>
            </a:graphic>
          </wp:inline>
        </w:drawing>
      </w:r>
    </w:p>
    <w:p w14:paraId="3781FAB0" w14:textId="2A3A5B0E" w:rsidR="00D42552" w:rsidRPr="00AD1AB1" w:rsidRDefault="00024C3A" w:rsidP="001C5BA1">
      <w:pPr>
        <w:pStyle w:val="CETCaption"/>
      </w:pPr>
      <w:r w:rsidRPr="00C32257">
        <w:t xml:space="preserve">Figure </w:t>
      </w:r>
      <w:r>
        <w:t xml:space="preserve">1: </w:t>
      </w:r>
      <w:r w:rsidRPr="00C32257">
        <w:t>Location of the Bero volcanic complex in East</w:t>
      </w:r>
      <w:r>
        <w:t>ern</w:t>
      </w:r>
      <w:r w:rsidRPr="00C32257">
        <w:t xml:space="preserve"> Africa.</w:t>
      </w:r>
      <w:r>
        <w:rPr>
          <w:lang w:val="en-US"/>
        </w:rPr>
        <w:t xml:space="preserve"> </w:t>
      </w:r>
      <w:r w:rsidR="00D42552" w:rsidRPr="00E54951">
        <w:rPr>
          <w:lang w:val="en-US"/>
        </w:rPr>
        <w:t xml:space="preserve">Source: </w:t>
      </w:r>
      <w:bookmarkStart w:id="2" w:name="_Hlk177417172"/>
      <w:r w:rsidR="00D42552" w:rsidRPr="00AD1AB1">
        <w:t xml:space="preserve">Marsh </w:t>
      </w:r>
      <w:r w:rsidR="00A53754">
        <w:t>and</w:t>
      </w:r>
      <w:r w:rsidR="00D42552" w:rsidRPr="00AD1AB1">
        <w:t xml:space="preserve"> Swart (2018</w:t>
      </w:r>
      <w:bookmarkEnd w:id="2"/>
      <w:r w:rsidR="00D42552" w:rsidRPr="00AD1AB1">
        <w:t>)</w:t>
      </w:r>
    </w:p>
    <w:p w14:paraId="59045F8B" w14:textId="38BD60A3" w:rsidR="00D42552" w:rsidRDefault="00D42552" w:rsidP="00D42552">
      <w:pPr>
        <w:pStyle w:val="CETBodytext"/>
      </w:pPr>
      <w:r>
        <w:t xml:space="preserve">The </w:t>
      </w:r>
      <w:proofErr w:type="spellStart"/>
      <w:r>
        <w:t>Namibe</w:t>
      </w:r>
      <w:proofErr w:type="spellEnd"/>
      <w:r>
        <w:t xml:space="preserve"> Basin is situated at the southern</w:t>
      </w:r>
      <w:r w:rsidR="000A066B">
        <w:t xml:space="preserve">most </w:t>
      </w:r>
      <w:r>
        <w:t xml:space="preserve">end of the salt basins along </w:t>
      </w:r>
      <w:r w:rsidR="00B50092">
        <w:t>Angola´s</w:t>
      </w:r>
      <w:r>
        <w:t xml:space="preserve"> Atlantic margin</w:t>
      </w:r>
      <w:r w:rsidR="00F41678">
        <w:t>.</w:t>
      </w:r>
      <w:r>
        <w:t xml:space="preserve"> It serves as Africa's </w:t>
      </w:r>
      <w:r w:rsidR="00A60F2D">
        <w:t>counterpart to</w:t>
      </w:r>
      <w:r>
        <w:t xml:space="preserve"> the hydrocarbon-rich Santos Basin</w:t>
      </w:r>
      <w:r w:rsidR="00762C3B">
        <w:t xml:space="preserve"> in Brazil</w:t>
      </w:r>
      <w:r>
        <w:t xml:space="preserve">. Onshore outcrops </w:t>
      </w:r>
      <w:r w:rsidR="00762C3B">
        <w:t xml:space="preserve">are </w:t>
      </w:r>
      <w:r>
        <w:t>found in a coastal strip</w:t>
      </w:r>
      <w:r w:rsidR="003A536C">
        <w:t xml:space="preserve"> approximately </w:t>
      </w:r>
      <w:r>
        <w:t xml:space="preserve">20 km wide and 150 km long. Due to sharp drainage and </w:t>
      </w:r>
      <w:r w:rsidR="00A872A6">
        <w:t xml:space="preserve">an </w:t>
      </w:r>
      <w:r>
        <w:t xml:space="preserve">arid climate, both pre-salt and post-salt geological formations are </w:t>
      </w:r>
      <w:r w:rsidR="00A872A6">
        <w:t>exposed</w:t>
      </w:r>
      <w:r>
        <w:t>.</w:t>
      </w:r>
    </w:p>
    <w:p w14:paraId="17D24D49" w14:textId="7E75EF9A" w:rsidR="00D42552" w:rsidRDefault="00D42552" w:rsidP="00D42552">
      <w:pPr>
        <w:pStyle w:val="CETBodytext"/>
      </w:pPr>
      <w:r>
        <w:t xml:space="preserve">The oldest deposits </w:t>
      </w:r>
      <w:r w:rsidR="00CE03F9">
        <w:t>associated with</w:t>
      </w:r>
      <w:r>
        <w:t xml:space="preserve"> rift activity include basalts, rhyolites, and aeolian-alluvial </w:t>
      </w:r>
      <w:proofErr w:type="spellStart"/>
      <w:r>
        <w:t>clastics</w:t>
      </w:r>
      <w:proofErr w:type="spellEnd"/>
      <w:r>
        <w:t xml:space="preserve">, which are exposed in a series of inclined fault blocks. Above the volcanic flows, </w:t>
      </w:r>
      <w:r w:rsidR="00615109">
        <w:t xml:space="preserve">carbonate </w:t>
      </w:r>
      <w:r>
        <w:t>outcrops such as travertine</w:t>
      </w:r>
      <w:r w:rsidR="000F5646">
        <w:t xml:space="preserve"> are observed</w:t>
      </w:r>
      <w:r>
        <w:t>, along with associated lacustrine sediments. These rocks display complex secondary diagenesis</w:t>
      </w:r>
      <w:r w:rsidR="003A7350">
        <w:t xml:space="preserve">, including </w:t>
      </w:r>
      <w:r>
        <w:t>processes like dolomitization, silicification, and hydrothermal alteration.</w:t>
      </w:r>
    </w:p>
    <w:p w14:paraId="79EBB1AC" w14:textId="77777777" w:rsidR="00D42552" w:rsidRPr="0086518D" w:rsidRDefault="00D42552" w:rsidP="00D42552">
      <w:pPr>
        <w:pStyle w:val="CETBodytext"/>
      </w:pPr>
      <w:r>
        <w:t>The non-marine carbonates formed during the post-salt period are linked to a later phase of igneous activity, featuring exposures of both subaerial and submarine volcanic flows (Sharp et al., 2012).</w:t>
      </w:r>
    </w:p>
    <w:p w14:paraId="620C109D" w14:textId="1BC400BB" w:rsidR="00D42552" w:rsidRPr="0086518D" w:rsidRDefault="00D42552" w:rsidP="00D42552">
      <w:pPr>
        <w:pStyle w:val="CETBodytext"/>
      </w:pPr>
      <w:r>
        <w:t xml:space="preserve">The Bero volcanic complex is a geological formation </w:t>
      </w:r>
      <w:r w:rsidR="00725562">
        <w:t>span</w:t>
      </w:r>
      <w:r w:rsidR="001C5A2E">
        <w:t>n</w:t>
      </w:r>
      <w:r w:rsidR="00725562">
        <w:t>ing</w:t>
      </w:r>
      <w:r>
        <w:t xml:space="preserve"> approximately 7 km in width and over 65 km in length along the eastern edge of the </w:t>
      </w:r>
      <w:proofErr w:type="spellStart"/>
      <w:r>
        <w:t>Namibe</w:t>
      </w:r>
      <w:proofErr w:type="spellEnd"/>
      <w:r>
        <w:t xml:space="preserve"> Basin in Angola. This complex is </w:t>
      </w:r>
      <w:r w:rsidR="007C1DBC">
        <w:t xml:space="preserve">associated with </w:t>
      </w:r>
      <w:r>
        <w:t xml:space="preserve">the opening of the Atlantic Ocean. The volcanic sequences in this area are </w:t>
      </w:r>
      <w:r w:rsidR="004120BC">
        <w:t xml:space="preserve">approximately </w:t>
      </w:r>
      <w:r>
        <w:t xml:space="preserve">150 to 170 </w:t>
      </w:r>
      <w:r w:rsidR="00D95D9B">
        <w:t xml:space="preserve">m </w:t>
      </w:r>
      <w:r>
        <w:t>thick, although marine transgressions have eroded the</w:t>
      </w:r>
      <w:r w:rsidR="0095094E">
        <w:t>ir</w:t>
      </w:r>
      <w:r>
        <w:t xml:space="preserve"> upper portion</w:t>
      </w:r>
      <w:r w:rsidR="0095094E">
        <w:t>s</w:t>
      </w:r>
      <w:r>
        <w:t>. Additionally, the sequence is influenced by small-scale faults</w:t>
      </w:r>
      <w:r w:rsidR="0095094E">
        <w:t xml:space="preserve">, </w:t>
      </w:r>
      <w:r>
        <w:t xml:space="preserve">primarily aligned parallel to the coast (Marsh </w:t>
      </w:r>
      <w:r w:rsidR="00A43AC5">
        <w:t>and</w:t>
      </w:r>
      <w:r>
        <w:t xml:space="preserve"> Swart, 2018).</w:t>
      </w:r>
    </w:p>
    <w:p w14:paraId="03E63E11" w14:textId="77777777" w:rsidR="00D42552" w:rsidRDefault="00D42552" w:rsidP="00D42552">
      <w:pPr>
        <w:pStyle w:val="CETBodytext"/>
      </w:pPr>
    </w:p>
    <w:p w14:paraId="32E7BC49" w14:textId="6AE7A530" w:rsidR="00D42552" w:rsidRPr="0086518D" w:rsidRDefault="00D42552" w:rsidP="00D42552">
      <w:pPr>
        <w:pStyle w:val="CETheadingx"/>
      </w:pPr>
      <w:r>
        <w:lastRenderedPageBreak/>
        <w:t xml:space="preserve">2.2. </w:t>
      </w:r>
      <w:r w:rsidRPr="0086518D">
        <w:t xml:space="preserve">Experimental </w:t>
      </w:r>
      <w:r w:rsidR="00B66C04">
        <w:t>apparatus</w:t>
      </w:r>
    </w:p>
    <w:p w14:paraId="7F2F1981" w14:textId="4B575C1F" w:rsidR="00D42552" w:rsidRPr="00AD1AB1" w:rsidRDefault="00D42552" w:rsidP="00D42552">
      <w:pPr>
        <w:pStyle w:val="CETBodytext"/>
      </w:pPr>
      <w:r w:rsidRPr="00AD1AB1">
        <w:t>The tests were carried out in a pressure vessel initially c</w:t>
      </w:r>
      <w:r w:rsidR="00746DF1">
        <w:t xml:space="preserve">onnected </w:t>
      </w:r>
      <w:r w:rsidRPr="00AD1AB1">
        <w:t xml:space="preserve">to a carbonated water injection system. This </w:t>
      </w:r>
      <w:r w:rsidR="00167D9A">
        <w:t>system comprises</w:t>
      </w:r>
      <w:r w:rsidR="00141458">
        <w:t xml:space="preserve"> </w:t>
      </w:r>
      <w:r w:rsidRPr="00AD1AB1">
        <w:t>a CO</w:t>
      </w:r>
      <w:r w:rsidRPr="00AE54B0">
        <w:rPr>
          <w:vertAlign w:val="subscript"/>
        </w:rPr>
        <w:t>2</w:t>
      </w:r>
      <w:r w:rsidRPr="00AD1AB1">
        <w:t xml:space="preserve"> tank, a solubilization column, a thermostat</w:t>
      </w:r>
      <w:r>
        <w:t>ic</w:t>
      </w:r>
      <w:r w:rsidRPr="00AD1AB1">
        <w:t xml:space="preserve"> bath</w:t>
      </w:r>
      <w:r>
        <w:t>,</w:t>
      </w:r>
      <w:r w:rsidRPr="00AD1AB1">
        <w:t xml:space="preserve"> and an HPLC pump. The reaction </w:t>
      </w:r>
      <w:r w:rsidR="00E07587">
        <w:t>setup</w:t>
      </w:r>
      <w:r w:rsidRPr="00AD1AB1">
        <w:t xml:space="preserve"> also has three needle valves, a pressure gauge, and a thermal bath where the reactor is placed (Figure </w:t>
      </w:r>
      <w:r w:rsidR="006E08A9">
        <w:t>2</w:t>
      </w:r>
      <w:r w:rsidRPr="00AD1AB1">
        <w:t>).</w:t>
      </w:r>
    </w:p>
    <w:p w14:paraId="4CF253A9" w14:textId="77777777" w:rsidR="00D42552" w:rsidRPr="0086518D" w:rsidRDefault="00D42552" w:rsidP="00D42552">
      <w:pPr>
        <w:ind w:firstLine="720"/>
        <w:rPr>
          <w:rFonts w:eastAsiaTheme="minorEastAsia" w:cs="Arial"/>
          <w:color w:val="000000" w:themeColor="text1"/>
          <w:sz w:val="24"/>
          <w:szCs w:val="24"/>
        </w:rPr>
      </w:pPr>
    </w:p>
    <w:p w14:paraId="63E9B3E9" w14:textId="78ED9AE9" w:rsidR="00D42552" w:rsidRDefault="008F2A4D" w:rsidP="008F2A4D">
      <w:pPr>
        <w:jc w:val="left"/>
        <w:rPr>
          <w:rStyle w:val="CETCaptionCarattere"/>
          <w:rFonts w:eastAsiaTheme="minorEastAsia"/>
        </w:rPr>
      </w:pPr>
      <w:r>
        <w:rPr>
          <w:noProof/>
        </w:rPr>
        <w:drawing>
          <wp:inline distT="0" distB="0" distL="0" distR="0" wp14:anchorId="4BBC5852" wp14:editId="5DAA7094">
            <wp:extent cx="5564713" cy="2350770"/>
            <wp:effectExtent l="0" t="0" r="0" b="0"/>
            <wp:docPr id="156502400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571921" cy="2353815"/>
                    </a:xfrm>
                    <a:prstGeom prst="rect">
                      <a:avLst/>
                    </a:prstGeom>
                    <a:noFill/>
                    <a:ln>
                      <a:noFill/>
                    </a:ln>
                  </pic:spPr>
                </pic:pic>
              </a:graphicData>
            </a:graphic>
          </wp:inline>
        </w:drawing>
      </w:r>
    </w:p>
    <w:p w14:paraId="765C39B0" w14:textId="4DD06A19" w:rsidR="00024C3A" w:rsidRPr="00E54951" w:rsidRDefault="00024C3A" w:rsidP="008F2A4D">
      <w:pPr>
        <w:jc w:val="left"/>
        <w:rPr>
          <w:rFonts w:cs="Arial"/>
          <w:color w:val="000000" w:themeColor="text1"/>
          <w:sz w:val="24"/>
          <w:szCs w:val="24"/>
          <w:lang w:val="en-US"/>
        </w:rPr>
      </w:pPr>
      <w:r w:rsidRPr="001C5BA1">
        <w:rPr>
          <w:rStyle w:val="CETCaptionCarattere"/>
          <w:rFonts w:eastAsiaTheme="minorEastAsia"/>
        </w:rPr>
        <w:t xml:space="preserve">Figure </w:t>
      </w:r>
      <w:r>
        <w:rPr>
          <w:rStyle w:val="CETCaptionCarattere"/>
          <w:rFonts w:eastAsiaTheme="minorEastAsia"/>
        </w:rPr>
        <w:t>2:</w:t>
      </w:r>
      <w:r w:rsidRPr="001C5BA1">
        <w:rPr>
          <w:rStyle w:val="CETCaptionCarattere"/>
          <w:rFonts w:eastAsiaTheme="minorEastAsia"/>
        </w:rPr>
        <w:t xml:space="preserve"> </w:t>
      </w:r>
      <w:r>
        <w:rPr>
          <w:rStyle w:val="CETCaptionCarattere"/>
          <w:rFonts w:eastAsiaTheme="minorEastAsia"/>
        </w:rPr>
        <w:t>R</w:t>
      </w:r>
      <w:r w:rsidRPr="001C5BA1">
        <w:rPr>
          <w:rStyle w:val="CETCaptionCarattere"/>
          <w:rFonts w:eastAsiaTheme="minorEastAsia"/>
        </w:rPr>
        <w:t>eaction system</w:t>
      </w:r>
    </w:p>
    <w:p w14:paraId="05EB475E" w14:textId="77777777" w:rsidR="005A06BF" w:rsidRDefault="005A06BF" w:rsidP="00D42552">
      <w:pPr>
        <w:pStyle w:val="CETBodytext"/>
      </w:pPr>
    </w:p>
    <w:p w14:paraId="17A7E94F" w14:textId="6E066205" w:rsidR="00D42552" w:rsidRDefault="00D42552" w:rsidP="00D42552">
      <w:pPr>
        <w:pStyle w:val="CETBodytext"/>
      </w:pPr>
      <w:r>
        <w:t>Initially, the reaction vessel is filled with 10 grams of ground sample and then sealed. To remove the oxygen from the vessel, gaseous CO</w:t>
      </w:r>
      <w:r w:rsidRPr="00702A21">
        <w:rPr>
          <w:vertAlign w:val="subscript"/>
        </w:rPr>
        <w:t>2</w:t>
      </w:r>
      <w:r>
        <w:t xml:space="preserve"> is passed through the inlet and outlet valves.</w:t>
      </w:r>
    </w:p>
    <w:p w14:paraId="1FAE3240" w14:textId="77777777" w:rsidR="00D42552" w:rsidRDefault="00D42552" w:rsidP="00D42552">
      <w:pPr>
        <w:pStyle w:val="CETBodytext"/>
      </w:pPr>
      <w:r>
        <w:t>The reactive fluid is prepared by dissolving gaseous carbon dioxide (99% purity) in deionized water at a temperature of 20 ºC, using a column operating at atmospheric pressure. This temperature was chosen arbitrarily to standardize the tests, ensuring that the same amount of CO</w:t>
      </w:r>
      <w:r w:rsidRPr="00702A21">
        <w:rPr>
          <w:vertAlign w:val="subscript"/>
        </w:rPr>
        <w:t>2</w:t>
      </w:r>
      <w:r>
        <w:t xml:space="preserve"> is solubilized and injected into the system, even on different days when ambient temperatures may vary. </w:t>
      </w:r>
    </w:p>
    <w:p w14:paraId="78CA7DB7" w14:textId="53AF3748" w:rsidR="00D42552" w:rsidRPr="0086518D" w:rsidRDefault="00D42552" w:rsidP="00D42552">
      <w:pPr>
        <w:pStyle w:val="CETBodytext"/>
        <w:rPr>
          <w:color w:val="000000" w:themeColor="text1"/>
        </w:rPr>
      </w:pPr>
      <w:r>
        <w:t xml:space="preserve">Once the desired temperature is reached, it is maintained using a thermostatic bath that regulates the </w:t>
      </w:r>
      <w:r w:rsidR="00D93300">
        <w:t xml:space="preserve">fluid´s </w:t>
      </w:r>
      <w:r>
        <w:t>heating and cooling</w:t>
      </w:r>
      <w:r w:rsidR="00D93300">
        <w:t xml:space="preserve">. </w:t>
      </w:r>
      <w:r>
        <w:t xml:space="preserve"> Solubilization begins after achieving the target temperature and is conducted in a column filled with Raschig rings. Detailed specifications of the column and the solubilization procedure</w:t>
      </w:r>
      <w:r w:rsidR="0091635E">
        <w:t xml:space="preserve"> are </w:t>
      </w:r>
      <w:r w:rsidR="00DC75E1">
        <w:t xml:space="preserve">described </w:t>
      </w:r>
      <w:proofErr w:type="spellStart"/>
      <w:r>
        <w:t>n</w:t>
      </w:r>
      <w:proofErr w:type="spellEnd"/>
      <w:r>
        <w:t xml:space="preserve"> Silva (2021).</w:t>
      </w:r>
    </w:p>
    <w:p w14:paraId="0B45C5BA" w14:textId="77777777" w:rsidR="00D42552" w:rsidRDefault="00D42552" w:rsidP="00D42552">
      <w:pPr>
        <w:pStyle w:val="CETBodytext"/>
        <w:rPr>
          <w:color w:val="000000" w:themeColor="text1"/>
        </w:rPr>
      </w:pPr>
      <w:r>
        <w:rPr>
          <w:color w:val="000000" w:themeColor="text1"/>
        </w:rPr>
        <w:t xml:space="preserve">After preparing the carbonated solution, the reactor is filled with the fluid using an HPLC pump. Initially, the decompression needle valve is closed while the reactor inlet and outlet valves are open. The carbonated fluid is pumped into the reactor until it is filled, at which point the outlet valve is closed. Pumping continues, pressurizing the system until it reaches 20 bars with the fluid at 20 ºC. Once this pressure is achieved, the reactor inlet valve is also closed. </w:t>
      </w:r>
    </w:p>
    <w:p w14:paraId="0EBF27F2" w14:textId="77777777" w:rsidR="00D42552" w:rsidRPr="0086518D" w:rsidRDefault="00D42552" w:rsidP="00D42552">
      <w:pPr>
        <w:pStyle w:val="CETBodytext"/>
        <w:rPr>
          <w:color w:val="000000" w:themeColor="text1"/>
        </w:rPr>
      </w:pPr>
      <w:r>
        <w:rPr>
          <w:color w:val="000000" w:themeColor="text1"/>
        </w:rPr>
        <w:t>The reaction vessel is then disconnected from the rest of the system and taken to a thermal bath set at 50 ºC (± 0.1 ºC). As the system reaches thermal equilibrium, the pressure is increased until it reaches 100 bar, as indicated on the pressure gauge.</w:t>
      </w:r>
    </w:p>
    <w:p w14:paraId="566C2B4E" w14:textId="4E5CD38E" w:rsidR="00D42552" w:rsidRPr="0086518D" w:rsidRDefault="00D42552" w:rsidP="00D42552">
      <w:pPr>
        <w:pStyle w:val="CETBodytext"/>
        <w:rPr>
          <w:color w:val="000000" w:themeColor="text1"/>
        </w:rPr>
      </w:pPr>
      <w:r>
        <w:rPr>
          <w:color w:val="000000" w:themeColor="text1"/>
        </w:rPr>
        <w:t xml:space="preserve">Basalt formations can reach thicknesses of up to 5 </w:t>
      </w:r>
      <w:r w:rsidR="00D95D9B">
        <w:rPr>
          <w:color w:val="000000" w:themeColor="text1"/>
        </w:rPr>
        <w:t>km</w:t>
      </w:r>
      <w:r>
        <w:rPr>
          <w:color w:val="000000" w:themeColor="text1"/>
        </w:rPr>
        <w:t>, resulting in a wide range of temperatures and pressures. A temperature of 50 °C was chosen to simulate the carbon storage process at shallow depths (Schaef et al., 2011). The supercritical point of carbon dioxide occurs at 31.2 °C and 74 bar. Therefore, when the final temperature and pressure of the system are reached, the carbon dioxide is in a supercritical state.</w:t>
      </w:r>
    </w:p>
    <w:p w14:paraId="0EC6389D" w14:textId="77777777" w:rsidR="00D42552" w:rsidRPr="0086518D" w:rsidRDefault="00D42552" w:rsidP="00D42552">
      <w:pPr>
        <w:pStyle w:val="CETBodytext"/>
        <w:rPr>
          <w:color w:val="000000" w:themeColor="text1"/>
        </w:rPr>
      </w:pPr>
      <w:r w:rsidRPr="0086518D">
        <w:rPr>
          <w:color w:val="000000" w:themeColor="text1"/>
        </w:rPr>
        <w:t xml:space="preserve">The tests were carried out </w:t>
      </w:r>
      <w:r>
        <w:rPr>
          <w:color w:val="000000" w:themeColor="text1"/>
        </w:rPr>
        <w:t>varying the time:</w:t>
      </w:r>
      <w:r w:rsidRPr="0086518D">
        <w:rPr>
          <w:color w:val="000000" w:themeColor="text1"/>
        </w:rPr>
        <w:t xml:space="preserve"> 1 h, 12 h, 24 h, 7 days and 15 days.</w:t>
      </w:r>
    </w:p>
    <w:p w14:paraId="65769A60" w14:textId="77777777" w:rsidR="00D42552" w:rsidRDefault="00D42552" w:rsidP="00D42552">
      <w:pPr>
        <w:pStyle w:val="CETBodytext"/>
        <w:rPr>
          <w:color w:val="000000" w:themeColor="text1"/>
        </w:rPr>
      </w:pPr>
      <w:r>
        <w:rPr>
          <w:color w:val="000000" w:themeColor="text1"/>
        </w:rPr>
        <w:t xml:space="preserve">At the end of the reaction time, the thermal bath is turned off, and the temperature is gradually reduced until it reaches 20 °C again. </w:t>
      </w:r>
    </w:p>
    <w:p w14:paraId="120D4FB0" w14:textId="3663A03A" w:rsidR="00D42552" w:rsidRDefault="00D42552" w:rsidP="00D42552">
      <w:pPr>
        <w:pStyle w:val="CETBodytext"/>
        <w:rPr>
          <w:color w:val="000000" w:themeColor="text1"/>
        </w:rPr>
      </w:pPr>
      <w:r>
        <w:rPr>
          <w:color w:val="000000" w:themeColor="text1"/>
        </w:rPr>
        <w:t xml:space="preserve">The supersaturation of carbonates remains relatively constant with pressure at low temperatures. Therefore, in this study, depressurization does not significantly affect the precipitation of carbonates, allowing the cations in solution to remain stable during the fluid collection period (Dyer </w:t>
      </w:r>
      <w:r w:rsidR="00A43AC5">
        <w:rPr>
          <w:color w:val="000000" w:themeColor="text1"/>
        </w:rPr>
        <w:t>and</w:t>
      </w:r>
      <w:r>
        <w:rPr>
          <w:color w:val="000000" w:themeColor="text1"/>
        </w:rPr>
        <w:t xml:space="preserve"> Graham, 2002).</w:t>
      </w:r>
    </w:p>
    <w:p w14:paraId="23B6BB40" w14:textId="77777777" w:rsidR="00D42552" w:rsidRDefault="00D42552" w:rsidP="00D42552">
      <w:pPr>
        <w:pStyle w:val="CETBodytext"/>
        <w:rPr>
          <w:color w:val="000000" w:themeColor="text1"/>
        </w:rPr>
      </w:pPr>
      <w:r>
        <w:rPr>
          <w:color w:val="000000" w:themeColor="text1"/>
        </w:rPr>
        <w:t>Once the temperature is stabilized, the valves are opened to depressurize the vessel, and the fluid is collected for analysis. The wet rock sample is then recovered, dried in an oven at 60 °C for 12 hours, and subsequently sent for analysis.</w:t>
      </w:r>
    </w:p>
    <w:p w14:paraId="69B53D75" w14:textId="2345C6E6" w:rsidR="00D42552" w:rsidRDefault="00D42552" w:rsidP="00D42552">
      <w:pPr>
        <w:pStyle w:val="CETBodytext"/>
        <w:rPr>
          <w:color w:val="000000" w:themeColor="text1"/>
        </w:rPr>
      </w:pPr>
      <w:r>
        <w:rPr>
          <w:color w:val="000000" w:themeColor="text1"/>
        </w:rPr>
        <w:t>Analyses are conducted on the reactive fluid both before and after the reaction.</w:t>
      </w:r>
      <w:r w:rsidR="0031612C">
        <w:rPr>
          <w:color w:val="000000" w:themeColor="text1"/>
        </w:rPr>
        <w:t xml:space="preserve"> </w:t>
      </w:r>
      <w:r w:rsidRPr="0086518D">
        <w:rPr>
          <w:color w:val="000000" w:themeColor="text1"/>
        </w:rPr>
        <w:t>A benchtop pH meter is used for pH analysis.</w:t>
      </w:r>
      <w:r w:rsidR="0031612C">
        <w:rPr>
          <w:color w:val="000000" w:themeColor="text1"/>
        </w:rPr>
        <w:t xml:space="preserve"> </w:t>
      </w:r>
      <w:r>
        <w:rPr>
          <w:color w:val="000000" w:themeColor="text1"/>
        </w:rPr>
        <w:t xml:space="preserve">Inductively Coupled Plasma Atomic Emission Spectroscopy (ICP-OES) is utilized to observe </w:t>
      </w:r>
      <w:r>
        <w:rPr>
          <w:color w:val="000000" w:themeColor="text1"/>
        </w:rPr>
        <w:lastRenderedPageBreak/>
        <w:t xml:space="preserve">variations in the concentration of </w:t>
      </w:r>
      <w:r w:rsidRPr="004B6FED">
        <w:rPr>
          <w:color w:val="000000" w:themeColor="text1"/>
        </w:rPr>
        <w:t>Ca</w:t>
      </w:r>
      <w:r w:rsidRPr="00702A21">
        <w:rPr>
          <w:color w:val="000000" w:themeColor="text1"/>
          <w:vertAlign w:val="superscript"/>
        </w:rPr>
        <w:t>+</w:t>
      </w:r>
      <w:r w:rsidRPr="004B6FED">
        <w:rPr>
          <w:color w:val="000000" w:themeColor="text1"/>
        </w:rPr>
        <w:t>, Mg</w:t>
      </w:r>
      <w:r w:rsidRPr="00702A21">
        <w:rPr>
          <w:color w:val="000000" w:themeColor="text1"/>
          <w:vertAlign w:val="superscript"/>
        </w:rPr>
        <w:t>2+</w:t>
      </w:r>
      <w:r w:rsidRPr="004B6FED">
        <w:rPr>
          <w:color w:val="000000" w:themeColor="text1"/>
        </w:rPr>
        <w:t xml:space="preserve">, </w:t>
      </w:r>
      <w:r>
        <w:rPr>
          <w:color w:val="000000" w:themeColor="text1"/>
        </w:rPr>
        <w:t>Fe</w:t>
      </w:r>
      <w:r>
        <w:rPr>
          <w:color w:val="000000" w:themeColor="text1"/>
          <w:vertAlign w:val="superscript"/>
        </w:rPr>
        <w:t>2+</w:t>
      </w:r>
      <w:r w:rsidRPr="00702A21">
        <w:rPr>
          <w:color w:val="000000" w:themeColor="text1"/>
        </w:rPr>
        <w:t>,</w:t>
      </w:r>
      <w:r>
        <w:rPr>
          <w:color w:val="000000" w:themeColor="text1"/>
          <w:vertAlign w:val="superscript"/>
        </w:rPr>
        <w:t xml:space="preserve"> </w:t>
      </w:r>
      <w:r>
        <w:rPr>
          <w:color w:val="000000" w:themeColor="text1"/>
        </w:rPr>
        <w:t>and Al</w:t>
      </w:r>
      <w:r w:rsidRPr="00702A21">
        <w:rPr>
          <w:color w:val="000000" w:themeColor="text1"/>
          <w:vertAlign w:val="superscript"/>
        </w:rPr>
        <w:t>+</w:t>
      </w:r>
      <w:r>
        <w:rPr>
          <w:color w:val="000000" w:themeColor="text1"/>
        </w:rPr>
        <w:t>. The concentration of these ions is directly related to the dissolution or precipitation of minerals during the tests.</w:t>
      </w:r>
    </w:p>
    <w:p w14:paraId="69039741" w14:textId="613301B3" w:rsidR="00D42552" w:rsidRDefault="00D42552" w:rsidP="00D42552">
      <w:pPr>
        <w:pStyle w:val="CETBodytext"/>
        <w:rPr>
          <w:color w:val="000000" w:themeColor="text1"/>
        </w:rPr>
      </w:pPr>
      <w:r>
        <w:rPr>
          <w:color w:val="000000" w:themeColor="text1"/>
        </w:rPr>
        <w:t xml:space="preserve">For the analysis, 50 mL fluid samples are collected both before and after the reaction. These samples are acidified with 5% nitric acid </w:t>
      </w:r>
      <w:r w:rsidR="000A7BE8">
        <w:rPr>
          <w:color w:val="000000" w:themeColor="text1"/>
        </w:rPr>
        <w:t>(</w:t>
      </w:r>
      <w:r w:rsidR="009D7C6D">
        <w:rPr>
          <w:color w:val="000000" w:themeColor="text1"/>
        </w:rPr>
        <w:t xml:space="preserve">by </w:t>
      </w:r>
      <w:r w:rsidR="00D444EB">
        <w:rPr>
          <w:color w:val="000000" w:themeColor="text1"/>
        </w:rPr>
        <w:t xml:space="preserve">sample volume) </w:t>
      </w:r>
      <w:r>
        <w:rPr>
          <w:color w:val="000000" w:themeColor="text1"/>
        </w:rPr>
        <w:t>and stored at an average temperature of 5</w:t>
      </w:r>
      <w:r w:rsidR="00A43AC5">
        <w:rPr>
          <w:color w:val="000000" w:themeColor="text1"/>
        </w:rPr>
        <w:t xml:space="preserve"> </w:t>
      </w:r>
      <w:r>
        <w:rPr>
          <w:color w:val="000000" w:themeColor="text1"/>
        </w:rPr>
        <w:t xml:space="preserve">°C. According to Wang et al. (2013), nitric acid </w:t>
      </w:r>
      <w:r w:rsidR="00A60F2D">
        <w:rPr>
          <w:color w:val="000000" w:themeColor="text1"/>
        </w:rPr>
        <w:t>prevents mineral</w:t>
      </w:r>
      <w:r>
        <w:rPr>
          <w:color w:val="000000" w:themeColor="text1"/>
        </w:rPr>
        <w:t xml:space="preserve"> precipitation in liquid samples. The analyses are conducted using the equipment Varian Agilent 720-ES.</w:t>
      </w:r>
    </w:p>
    <w:p w14:paraId="49CE8C14" w14:textId="2FA7A64C" w:rsidR="00D42552" w:rsidRDefault="00D42552" w:rsidP="00D42552">
      <w:pPr>
        <w:pStyle w:val="CETBodytext"/>
        <w:rPr>
          <w:color w:val="000000" w:themeColor="text1"/>
        </w:rPr>
      </w:pPr>
      <w:r>
        <w:rPr>
          <w:color w:val="000000" w:themeColor="text1"/>
        </w:rPr>
        <w:t>Additionally,</w:t>
      </w:r>
      <w:r w:rsidR="00A60F2D">
        <w:rPr>
          <w:color w:val="000000" w:themeColor="text1"/>
        </w:rPr>
        <w:t xml:space="preserve"> </w:t>
      </w:r>
      <w:r w:rsidR="00A60F2D" w:rsidRPr="00A60F2D">
        <w:rPr>
          <w:color w:val="000000" w:themeColor="text1"/>
        </w:rPr>
        <w:t>X-ray fluorescence</w:t>
      </w:r>
      <w:r w:rsidR="00A60F2D">
        <w:rPr>
          <w:color w:val="000000" w:themeColor="text1"/>
        </w:rPr>
        <w:t xml:space="preserve"> was done before experiments to characterize the sample chemically. </w:t>
      </w:r>
      <w:r w:rsidR="00A60F2D" w:rsidRPr="00A60F2D">
        <w:rPr>
          <w:color w:val="000000" w:themeColor="text1"/>
        </w:rPr>
        <w:t>X-ray diffraction</w:t>
      </w:r>
      <w:r w:rsidR="00D36D1D">
        <w:rPr>
          <w:color w:val="000000" w:themeColor="text1"/>
        </w:rPr>
        <w:t xml:space="preserve"> (XRD)</w:t>
      </w:r>
      <w:r w:rsidR="00A60F2D" w:rsidRPr="00A60F2D">
        <w:rPr>
          <w:color w:val="000000" w:themeColor="text1"/>
        </w:rPr>
        <w:t xml:space="preserve"> analys</w:t>
      </w:r>
      <w:r w:rsidR="00A60F2D">
        <w:rPr>
          <w:color w:val="000000" w:themeColor="text1"/>
        </w:rPr>
        <w:t>e</w:t>
      </w:r>
      <w:r w:rsidR="00A60F2D" w:rsidRPr="00A60F2D">
        <w:rPr>
          <w:color w:val="000000" w:themeColor="text1"/>
        </w:rPr>
        <w:t>s</w:t>
      </w:r>
      <w:r>
        <w:rPr>
          <w:color w:val="000000" w:themeColor="text1"/>
        </w:rPr>
        <w:t xml:space="preserve"> are performed on the rock sample before and after the tests to monitor any changes in the mineralogical composition that might result from mineral precipitation.</w:t>
      </w:r>
    </w:p>
    <w:p w14:paraId="2E09848F" w14:textId="5A2CD29D" w:rsidR="00D42552" w:rsidRPr="0086518D" w:rsidRDefault="00D42552" w:rsidP="00D42552">
      <w:pPr>
        <w:pStyle w:val="CETHeading1"/>
      </w:pPr>
      <w:r w:rsidRPr="0086518D">
        <w:t>Results and discussion</w:t>
      </w:r>
    </w:p>
    <w:p w14:paraId="4E89432B" w14:textId="4A3E2AF2" w:rsidR="00A60F2D" w:rsidRDefault="00A60F2D" w:rsidP="00A60F2D">
      <w:pPr>
        <w:rPr>
          <w:rFonts w:cs="Arial"/>
          <w:szCs w:val="18"/>
          <w:lang w:val="en-US"/>
        </w:rPr>
      </w:pPr>
      <w:r>
        <w:rPr>
          <w:rFonts w:cs="Arial"/>
          <w:szCs w:val="18"/>
          <w:lang w:val="en-US"/>
        </w:rPr>
        <w:t>X-ray fluorescence analysis (Figure 3) indicates that the NB-29 sample contains 50.03% SiO</w:t>
      </w:r>
      <w:r w:rsidRPr="001069F4">
        <w:rPr>
          <w:rFonts w:cs="Arial"/>
          <w:szCs w:val="18"/>
          <w:vertAlign w:val="subscript"/>
          <w:lang w:val="en-US"/>
        </w:rPr>
        <w:t>2</w:t>
      </w:r>
      <w:r>
        <w:rPr>
          <w:rFonts w:cs="Arial"/>
          <w:szCs w:val="18"/>
          <w:lang w:val="en-US"/>
        </w:rPr>
        <w:t>., thus categorizing it as a mafic volcanic rock. According to the classification system of the International Union of Geological Sciences (IUGS), which considers alkali (</w:t>
      </w:r>
      <w:proofErr w:type="spellStart"/>
      <w:r>
        <w:rPr>
          <w:rFonts w:cs="Arial"/>
          <w:szCs w:val="18"/>
          <w:lang w:val="en-US"/>
        </w:rPr>
        <w:t>Na+K</w:t>
      </w:r>
      <w:proofErr w:type="spellEnd"/>
      <w:r>
        <w:rPr>
          <w:rFonts w:cs="Arial"/>
          <w:szCs w:val="18"/>
          <w:lang w:val="en-US"/>
        </w:rPr>
        <w:t>) and silica (SiO</w:t>
      </w:r>
      <w:r w:rsidRPr="001069F4">
        <w:rPr>
          <w:rFonts w:cs="Arial"/>
          <w:szCs w:val="18"/>
          <w:vertAlign w:val="subscript"/>
          <w:lang w:val="en-US"/>
        </w:rPr>
        <w:t>2</w:t>
      </w:r>
      <w:r>
        <w:rPr>
          <w:rFonts w:cs="Arial"/>
          <w:szCs w:val="18"/>
          <w:lang w:val="en-US"/>
        </w:rPr>
        <w:t>) content, the NB-29 sample is indeed classified as basalt. This composition is particularly favorable for carbon mineralization processes, as the sample also contains significant quantities of calcium, magnesium, and iron. These metals can be mobilized into the liquid phase, allowing for potential interactions with carbonate ions (CO</w:t>
      </w:r>
      <w:proofErr w:type="gramStart"/>
      <w:r w:rsidRPr="001069F4">
        <w:rPr>
          <w:rFonts w:cs="Arial"/>
          <w:szCs w:val="18"/>
          <w:vertAlign w:val="subscript"/>
          <w:lang w:val="en-US"/>
        </w:rPr>
        <w:t>3</w:t>
      </w:r>
      <w:r>
        <w:rPr>
          <w:rFonts w:cs="Arial"/>
          <w:szCs w:val="18"/>
          <w:lang w:val="en-US"/>
        </w:rPr>
        <w:t>)²</w:t>
      </w:r>
      <w:proofErr w:type="gramEnd"/>
      <w:r>
        <w:rPr>
          <w:rFonts w:ascii="Cambria Math" w:hAnsi="Cambria Math" w:cs="Cambria Math"/>
          <w:szCs w:val="18"/>
          <w:lang w:val="en-US"/>
        </w:rPr>
        <w:t>⁻</w:t>
      </w:r>
      <w:r>
        <w:rPr>
          <w:rFonts w:cs="Arial"/>
          <w:szCs w:val="18"/>
          <w:lang w:val="en-US"/>
        </w:rPr>
        <w:t>, leading to the precipitation of new carbonate minerals such as calcite (CaCO</w:t>
      </w:r>
      <w:r w:rsidRPr="001069F4">
        <w:rPr>
          <w:rFonts w:cs="Arial"/>
          <w:szCs w:val="18"/>
          <w:vertAlign w:val="subscript"/>
          <w:lang w:val="en-US"/>
        </w:rPr>
        <w:t>3</w:t>
      </w:r>
      <w:r>
        <w:rPr>
          <w:rFonts w:cs="Arial"/>
          <w:szCs w:val="18"/>
          <w:lang w:val="en-US"/>
        </w:rPr>
        <w:t>), siderite (FeCO</w:t>
      </w:r>
      <w:r w:rsidRPr="001069F4">
        <w:rPr>
          <w:rFonts w:cs="Arial"/>
          <w:szCs w:val="18"/>
          <w:vertAlign w:val="subscript"/>
          <w:lang w:val="en-US"/>
        </w:rPr>
        <w:t>3</w:t>
      </w:r>
      <w:r>
        <w:rPr>
          <w:rFonts w:cs="Arial"/>
          <w:szCs w:val="18"/>
          <w:lang w:val="en-US"/>
        </w:rPr>
        <w:t>), or magnesite (MgCO</w:t>
      </w:r>
      <w:r w:rsidRPr="001069F4">
        <w:rPr>
          <w:rFonts w:cs="Arial"/>
          <w:szCs w:val="18"/>
          <w:vertAlign w:val="subscript"/>
          <w:lang w:val="en-US"/>
        </w:rPr>
        <w:t>3</w:t>
      </w:r>
      <w:r>
        <w:rPr>
          <w:rFonts w:cs="Arial"/>
          <w:szCs w:val="18"/>
          <w:lang w:val="en-US"/>
        </w:rPr>
        <w:t>).</w:t>
      </w:r>
    </w:p>
    <w:p w14:paraId="26D6D622" w14:textId="77777777" w:rsidR="00A60F2D" w:rsidRDefault="00A60F2D" w:rsidP="00A60F2D">
      <w:pPr>
        <w:rPr>
          <w:rStyle w:val="CETCaptionCarattere"/>
          <w:rFonts w:eastAsiaTheme="minorEastAsia"/>
        </w:rPr>
      </w:pPr>
    </w:p>
    <w:p w14:paraId="1328425E" w14:textId="7CD5298F" w:rsidR="00A60F2D" w:rsidRDefault="00EB5631" w:rsidP="00D42552">
      <w:pPr>
        <w:pStyle w:val="CETBodytext"/>
        <w:rPr>
          <w:color w:val="000000" w:themeColor="text1"/>
        </w:rPr>
      </w:pPr>
      <w:r>
        <w:rPr>
          <w:noProof/>
          <w:color w:val="000000" w:themeColor="text1"/>
        </w:rPr>
        <w:drawing>
          <wp:inline distT="0" distB="0" distL="0" distR="0" wp14:anchorId="5E2EB7F8" wp14:editId="20D15FC8">
            <wp:extent cx="5579745" cy="2330450"/>
            <wp:effectExtent l="0" t="0" r="1905" b="0"/>
            <wp:docPr id="3555572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57217" name="Imagem 2"/>
                    <pic:cNvPicPr/>
                  </pic:nvPicPr>
                  <pic:blipFill>
                    <a:blip r:embed="rId13"/>
                    <a:stretch>
                      <a:fillRect/>
                    </a:stretch>
                  </pic:blipFill>
                  <pic:spPr>
                    <a:xfrm>
                      <a:off x="0" y="0"/>
                      <a:ext cx="5579745" cy="2330450"/>
                    </a:xfrm>
                    <a:prstGeom prst="rect">
                      <a:avLst/>
                    </a:prstGeom>
                  </pic:spPr>
                </pic:pic>
              </a:graphicData>
            </a:graphic>
          </wp:inline>
        </w:drawing>
      </w:r>
    </w:p>
    <w:p w14:paraId="4F580BD0" w14:textId="77777777" w:rsidR="00024C3A" w:rsidRDefault="00024C3A" w:rsidP="00024C3A">
      <w:pPr>
        <w:rPr>
          <w:rFonts w:cs="Arial"/>
          <w:szCs w:val="18"/>
          <w:lang w:val="en-US"/>
        </w:rPr>
      </w:pPr>
      <w:r w:rsidRPr="001C5BA1">
        <w:rPr>
          <w:rStyle w:val="CETCaptionCarattere"/>
          <w:rFonts w:eastAsiaTheme="minorEastAsia"/>
        </w:rPr>
        <w:t xml:space="preserve">Figure </w:t>
      </w:r>
      <w:r>
        <w:rPr>
          <w:rStyle w:val="CETCaptionCarattere"/>
          <w:rFonts w:eastAsiaTheme="minorEastAsia"/>
        </w:rPr>
        <w:t>3</w:t>
      </w:r>
      <w:r w:rsidRPr="001C5BA1">
        <w:rPr>
          <w:rStyle w:val="CETCaptionCarattere"/>
          <w:rFonts w:eastAsiaTheme="minorEastAsia"/>
        </w:rPr>
        <w:t xml:space="preserve"> </w:t>
      </w:r>
      <w:r>
        <w:rPr>
          <w:rStyle w:val="CETCaptionCarattere"/>
          <w:rFonts w:eastAsiaTheme="minorEastAsia"/>
        </w:rPr>
        <w:t>–</w:t>
      </w:r>
      <w:r w:rsidRPr="001C5BA1">
        <w:rPr>
          <w:rStyle w:val="CETCaptionCarattere"/>
          <w:rFonts w:eastAsiaTheme="minorEastAsia"/>
        </w:rPr>
        <w:t xml:space="preserve"> </w:t>
      </w:r>
      <w:r>
        <w:rPr>
          <w:rStyle w:val="CETCaptionCarattere"/>
          <w:rFonts w:eastAsiaTheme="minorEastAsia"/>
        </w:rPr>
        <w:t xml:space="preserve">Results of </w:t>
      </w:r>
      <w:r w:rsidRPr="00A60F2D">
        <w:rPr>
          <w:rStyle w:val="CETCaptionCarattere"/>
          <w:rFonts w:eastAsiaTheme="minorEastAsia"/>
        </w:rPr>
        <w:t>X-ray fluorescence analysis</w:t>
      </w:r>
    </w:p>
    <w:p w14:paraId="7CE3AA1E" w14:textId="77777777" w:rsidR="00024C3A" w:rsidRDefault="00024C3A" w:rsidP="00D42552">
      <w:pPr>
        <w:pStyle w:val="CETBodytext"/>
        <w:rPr>
          <w:color w:val="000000" w:themeColor="text1"/>
        </w:rPr>
      </w:pPr>
    </w:p>
    <w:p w14:paraId="3E2F3D36" w14:textId="65069B58" w:rsidR="00D42552" w:rsidRDefault="00D36D1D" w:rsidP="00D42552">
      <w:pPr>
        <w:pStyle w:val="CETBodytext"/>
        <w:rPr>
          <w:color w:val="000000" w:themeColor="text1"/>
        </w:rPr>
      </w:pPr>
      <w:r>
        <w:rPr>
          <w:color w:val="000000" w:themeColor="text1"/>
        </w:rPr>
        <w:t xml:space="preserve">The </w:t>
      </w:r>
      <w:r w:rsidR="00D42552">
        <w:rPr>
          <w:color w:val="000000" w:themeColor="text1"/>
        </w:rPr>
        <w:t xml:space="preserve">XRD results indicated that the primary minerals present were andesine and albite, both belonging to the plagioclase group, as well as augite, a type of pyroxene, and sanidine, which is categorized under alkali feldspar. </w:t>
      </w:r>
      <w:r w:rsidR="002C635A">
        <w:rPr>
          <w:color w:val="000000" w:themeColor="text1"/>
        </w:rPr>
        <w:t>T</w:t>
      </w:r>
      <w:r w:rsidR="00D42552">
        <w:rPr>
          <w:color w:val="000000" w:themeColor="text1"/>
        </w:rPr>
        <w:t xml:space="preserve">hese minerals contain calcium and magnesium, </w:t>
      </w:r>
      <w:r w:rsidR="00494747">
        <w:rPr>
          <w:color w:val="000000" w:themeColor="text1"/>
        </w:rPr>
        <w:t>which are</w:t>
      </w:r>
      <w:r w:rsidR="00D31EA1">
        <w:rPr>
          <w:color w:val="000000" w:themeColor="text1"/>
        </w:rPr>
        <w:t xml:space="preserve"> </w:t>
      </w:r>
      <w:r w:rsidR="00D42552">
        <w:rPr>
          <w:color w:val="000000" w:themeColor="text1"/>
        </w:rPr>
        <w:t>essential elements for the formation of carbonate minerals. XRD analyses conducted after the tests did not reveal any significant changes in the mineralogical composition of the sample caused by precipitation of secondary minerals.</w:t>
      </w:r>
    </w:p>
    <w:p w14:paraId="354C2399" w14:textId="6802AB23" w:rsidR="00D42552" w:rsidRDefault="00D42552" w:rsidP="00D42552">
      <w:pPr>
        <w:pStyle w:val="CETBodytext"/>
        <w:rPr>
          <w:color w:val="000000" w:themeColor="text1"/>
        </w:rPr>
      </w:pPr>
      <w:r>
        <w:rPr>
          <w:color w:val="000000" w:themeColor="text1"/>
        </w:rPr>
        <w:t xml:space="preserve">Additionally, analyses were performed on the reactive fluid. </w:t>
      </w:r>
      <w:r w:rsidR="00725597">
        <w:rPr>
          <w:color w:val="000000" w:themeColor="text1"/>
        </w:rPr>
        <w:t>D</w:t>
      </w:r>
      <w:r>
        <w:rPr>
          <w:color w:val="000000" w:themeColor="text1"/>
        </w:rPr>
        <w:t>eionized water analy</w:t>
      </w:r>
      <w:r w:rsidR="00725597">
        <w:rPr>
          <w:color w:val="000000" w:themeColor="text1"/>
        </w:rPr>
        <w:t>z</w:t>
      </w:r>
      <w:r>
        <w:rPr>
          <w:color w:val="000000" w:themeColor="text1"/>
        </w:rPr>
        <w:t xml:space="preserve">ed prior to the tests did not show significant amounts of </w:t>
      </w:r>
      <w:proofErr w:type="spellStart"/>
      <w:r>
        <w:rPr>
          <w:color w:val="000000" w:themeColor="text1"/>
        </w:rPr>
        <w:t>aluminium</w:t>
      </w:r>
      <w:proofErr w:type="spellEnd"/>
      <w:r>
        <w:rPr>
          <w:color w:val="000000" w:themeColor="text1"/>
        </w:rPr>
        <w:t xml:space="preserve"> (Al</w:t>
      </w:r>
      <w:r w:rsidRPr="00780051">
        <w:rPr>
          <w:color w:val="000000" w:themeColor="text1"/>
          <w:vertAlign w:val="superscript"/>
        </w:rPr>
        <w:t>+</w:t>
      </w:r>
      <w:r>
        <w:rPr>
          <w:color w:val="000000" w:themeColor="text1"/>
        </w:rPr>
        <w:t>), calcium (Ca</w:t>
      </w:r>
      <w:r w:rsidRPr="00780051">
        <w:rPr>
          <w:color w:val="000000" w:themeColor="text1"/>
          <w:vertAlign w:val="superscript"/>
        </w:rPr>
        <w:t>2+</w:t>
      </w:r>
      <w:r>
        <w:rPr>
          <w:color w:val="000000" w:themeColor="text1"/>
        </w:rPr>
        <w:t>), magnesium (Mg</w:t>
      </w:r>
      <w:r w:rsidRPr="00780051">
        <w:rPr>
          <w:color w:val="000000" w:themeColor="text1"/>
          <w:vertAlign w:val="superscript"/>
        </w:rPr>
        <w:t>2+</w:t>
      </w:r>
      <w:r>
        <w:rPr>
          <w:color w:val="000000" w:themeColor="text1"/>
        </w:rPr>
        <w:t>), or iron (Fe</w:t>
      </w:r>
      <w:r w:rsidRPr="00780051">
        <w:rPr>
          <w:color w:val="000000" w:themeColor="text1"/>
          <w:vertAlign w:val="superscript"/>
        </w:rPr>
        <w:t>2+</w:t>
      </w:r>
      <w:r>
        <w:rPr>
          <w:color w:val="000000" w:themeColor="text1"/>
        </w:rPr>
        <w:t xml:space="preserve">). </w:t>
      </w:r>
    </w:p>
    <w:p w14:paraId="44FE7C66" w14:textId="583D0D04" w:rsidR="00D42552" w:rsidRPr="00594FFC" w:rsidRDefault="00D42552" w:rsidP="00D42552">
      <w:pPr>
        <w:pStyle w:val="CETBodytext"/>
        <w:rPr>
          <w:color w:val="000000" w:themeColor="text1"/>
        </w:rPr>
      </w:pPr>
      <w:r>
        <w:rPr>
          <w:color w:val="000000" w:themeColor="text1"/>
        </w:rPr>
        <w:t>After CO</w:t>
      </w:r>
      <w:r w:rsidRPr="00780051">
        <w:rPr>
          <w:color w:val="000000" w:themeColor="text1"/>
          <w:vertAlign w:val="subscript"/>
        </w:rPr>
        <w:t>2</w:t>
      </w:r>
      <w:r>
        <w:rPr>
          <w:color w:val="000000" w:themeColor="text1"/>
        </w:rPr>
        <w:t xml:space="preserve"> was solubilized in the liquid phase, the measured pH was found to be 4.84. This value </w:t>
      </w:r>
      <w:r w:rsidR="00DA0F17">
        <w:rPr>
          <w:color w:val="000000" w:themeColor="text1"/>
        </w:rPr>
        <w:t xml:space="preserve">falls within </w:t>
      </w:r>
      <w:r>
        <w:rPr>
          <w:color w:val="000000" w:themeColor="text1"/>
        </w:rPr>
        <w:t>the acidic range, which helps</w:t>
      </w:r>
      <w:r w:rsidR="009E79DD">
        <w:rPr>
          <w:color w:val="000000" w:themeColor="text1"/>
        </w:rPr>
        <w:t xml:space="preserve"> to </w:t>
      </w:r>
      <w:r>
        <w:rPr>
          <w:color w:val="000000" w:themeColor="text1"/>
        </w:rPr>
        <w:t>dissolve minerals from the rock samples, thereby releasing ions into the fluid. According to Clark et al. (2019), the pH should be below 6 at the moment of injection into reservoirs to enhance mineral dissolution.</w:t>
      </w:r>
      <w:r w:rsidRPr="00594FFC">
        <w:rPr>
          <w:color w:val="000000" w:themeColor="text1"/>
        </w:rPr>
        <w:t xml:space="preserve"> </w:t>
      </w:r>
      <w:r>
        <w:rPr>
          <w:color w:val="000000" w:themeColor="text1"/>
        </w:rPr>
        <w:t>R</w:t>
      </w:r>
      <w:r w:rsidRPr="00594FFC">
        <w:rPr>
          <w:color w:val="000000" w:themeColor="text1"/>
        </w:rPr>
        <w:t>esults regarding ion concentrations</w:t>
      </w:r>
      <w:r>
        <w:rPr>
          <w:color w:val="000000" w:themeColor="text1"/>
        </w:rPr>
        <w:t xml:space="preserve"> and pH after the tests</w:t>
      </w:r>
      <w:r w:rsidRPr="00594FFC">
        <w:rPr>
          <w:color w:val="000000" w:themeColor="text1"/>
        </w:rPr>
        <w:t xml:space="preserve"> are presented in Table </w:t>
      </w:r>
      <w:r>
        <w:rPr>
          <w:color w:val="000000" w:themeColor="text1"/>
        </w:rPr>
        <w:t>1</w:t>
      </w:r>
      <w:r w:rsidRPr="00594FFC">
        <w:rPr>
          <w:color w:val="000000" w:themeColor="text1"/>
        </w:rPr>
        <w:t>.</w:t>
      </w:r>
    </w:p>
    <w:p w14:paraId="3B3A7716" w14:textId="1854D4AB" w:rsidR="00ED31F4" w:rsidRPr="00ED31F4" w:rsidRDefault="00ED31F4" w:rsidP="00ED31F4">
      <w:pPr>
        <w:pStyle w:val="CETTabletitle"/>
      </w:pPr>
      <w:r w:rsidRPr="00ED31F4">
        <w:t>T</w:t>
      </w:r>
      <w:r>
        <w:t>able</w:t>
      </w:r>
      <w:r w:rsidRPr="00ED31F4">
        <w:t xml:space="preserve"> 1 - Results of ion concentration analyses by ICP-OES and pH of liquid samples after tests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42"/>
        <w:gridCol w:w="1342"/>
        <w:gridCol w:w="1342"/>
        <w:gridCol w:w="1342"/>
        <w:gridCol w:w="1342"/>
        <w:gridCol w:w="1342"/>
      </w:tblGrid>
      <w:tr w:rsidR="00ED31F4" w:rsidRPr="00B57B36" w14:paraId="69B0E93F" w14:textId="6AD54A74" w:rsidTr="00842349">
        <w:trPr>
          <w:trHeight w:val="466"/>
        </w:trPr>
        <w:tc>
          <w:tcPr>
            <w:tcW w:w="1342" w:type="dxa"/>
            <w:tcBorders>
              <w:top w:val="single" w:sz="12" w:space="0" w:color="008000"/>
              <w:bottom w:val="single" w:sz="6" w:space="0" w:color="008000"/>
            </w:tcBorders>
            <w:shd w:val="clear" w:color="auto" w:fill="FFFFFF"/>
          </w:tcPr>
          <w:p w14:paraId="4CF75CC9" w14:textId="31DADBD6" w:rsidR="00ED31F4" w:rsidRPr="00B57B36" w:rsidRDefault="00ED31F4" w:rsidP="003E7DFE">
            <w:pPr>
              <w:pStyle w:val="CETBodytext"/>
              <w:rPr>
                <w:lang w:val="en-GB"/>
              </w:rPr>
            </w:pPr>
            <w:r w:rsidRPr="00ED31F4">
              <w:rPr>
                <w:lang w:val="en-GB"/>
              </w:rPr>
              <w:t>Test duration</w:t>
            </w:r>
          </w:p>
        </w:tc>
        <w:tc>
          <w:tcPr>
            <w:tcW w:w="1342" w:type="dxa"/>
            <w:tcBorders>
              <w:top w:val="single" w:sz="12" w:space="0" w:color="008000"/>
              <w:bottom w:val="single" w:sz="6" w:space="0" w:color="008000"/>
            </w:tcBorders>
            <w:shd w:val="clear" w:color="auto" w:fill="FFFFFF"/>
          </w:tcPr>
          <w:p w14:paraId="48AF6409" w14:textId="107C5024" w:rsidR="00ED31F4" w:rsidRPr="00B57B36" w:rsidRDefault="00ED31F4" w:rsidP="003E7DFE">
            <w:pPr>
              <w:pStyle w:val="CETBodytext"/>
              <w:rPr>
                <w:lang w:val="en-GB"/>
              </w:rPr>
            </w:pPr>
            <w:r w:rsidRPr="00ED31F4">
              <w:rPr>
                <w:lang w:val="en-GB"/>
              </w:rPr>
              <w:t>Al</w:t>
            </w:r>
            <w:r w:rsidRPr="00ED31F4">
              <w:rPr>
                <w:vertAlign w:val="superscript"/>
                <w:lang w:val="en-GB"/>
              </w:rPr>
              <w:t xml:space="preserve">+ </w:t>
            </w:r>
          </w:p>
        </w:tc>
        <w:tc>
          <w:tcPr>
            <w:tcW w:w="1342" w:type="dxa"/>
            <w:tcBorders>
              <w:top w:val="single" w:sz="12" w:space="0" w:color="008000"/>
              <w:bottom w:val="single" w:sz="6" w:space="0" w:color="008000"/>
            </w:tcBorders>
            <w:shd w:val="clear" w:color="auto" w:fill="FFFFFF"/>
          </w:tcPr>
          <w:p w14:paraId="0B9D7F05" w14:textId="0D308A8F" w:rsidR="00ED31F4" w:rsidRPr="00B57B36" w:rsidRDefault="00ED31F4" w:rsidP="00842349">
            <w:pPr>
              <w:pStyle w:val="CETBodytext"/>
              <w:jc w:val="left"/>
              <w:rPr>
                <w:lang w:val="en-GB"/>
              </w:rPr>
            </w:pPr>
            <w:r w:rsidRPr="00ED31F4">
              <w:rPr>
                <w:lang w:val="en-GB"/>
              </w:rPr>
              <w:t>Ca</w:t>
            </w:r>
            <w:r w:rsidRPr="00ED31F4">
              <w:rPr>
                <w:vertAlign w:val="superscript"/>
                <w:lang w:val="en-GB"/>
              </w:rPr>
              <w:t>2+</w:t>
            </w:r>
            <w:r w:rsidR="00B4280A">
              <w:rPr>
                <w:lang w:val="en-GB"/>
              </w:rPr>
              <w:t xml:space="preserve"> </w:t>
            </w:r>
            <w:r w:rsidRPr="00ED31F4">
              <w:rPr>
                <w:lang w:val="en-GB"/>
              </w:rPr>
              <w:t>(mg/L)</w:t>
            </w:r>
            <w:r w:rsidR="00450D64">
              <w:rPr>
                <w:lang w:val="en-GB"/>
              </w:rPr>
              <w:t xml:space="preserve"> </w:t>
            </w:r>
            <w:r w:rsidR="00450D64">
              <w:rPr>
                <w:rFonts w:cs="Arial"/>
                <w:szCs w:val="18"/>
                <w:lang w:val="en-GB"/>
              </w:rPr>
              <w:t>(±0</w:t>
            </w:r>
            <w:r w:rsidR="00024C3A">
              <w:rPr>
                <w:rFonts w:cs="Arial"/>
                <w:szCs w:val="18"/>
                <w:lang w:val="en-GB"/>
              </w:rPr>
              <w:t>.</w:t>
            </w:r>
            <w:r w:rsidR="00450D64">
              <w:rPr>
                <w:rFonts w:cs="Arial"/>
                <w:szCs w:val="18"/>
                <w:lang w:val="en-GB"/>
              </w:rPr>
              <w:t>05)</w:t>
            </w:r>
          </w:p>
        </w:tc>
        <w:tc>
          <w:tcPr>
            <w:tcW w:w="1342" w:type="dxa"/>
            <w:tcBorders>
              <w:top w:val="single" w:sz="12" w:space="0" w:color="008000"/>
              <w:bottom w:val="single" w:sz="6" w:space="0" w:color="008000"/>
            </w:tcBorders>
            <w:shd w:val="clear" w:color="auto" w:fill="FFFFFF"/>
          </w:tcPr>
          <w:p w14:paraId="65873C4C" w14:textId="77777777" w:rsidR="00ED31F4" w:rsidRDefault="00ED31F4" w:rsidP="003E7DFE">
            <w:pPr>
              <w:pStyle w:val="CETBodytext"/>
              <w:ind w:right="-1"/>
              <w:rPr>
                <w:rFonts w:cs="Arial"/>
                <w:szCs w:val="18"/>
                <w:lang w:val="en-GB"/>
              </w:rPr>
            </w:pPr>
            <w:r w:rsidRPr="00ED31F4">
              <w:rPr>
                <w:rFonts w:cs="Arial"/>
                <w:szCs w:val="18"/>
                <w:lang w:val="en-GB"/>
              </w:rPr>
              <w:t>Fe</w:t>
            </w:r>
            <w:r w:rsidRPr="00ED31F4">
              <w:rPr>
                <w:rFonts w:cs="Arial"/>
                <w:szCs w:val="18"/>
                <w:vertAlign w:val="superscript"/>
                <w:lang w:val="en-GB"/>
              </w:rPr>
              <w:t>2+</w:t>
            </w:r>
            <w:r w:rsidRPr="00ED31F4">
              <w:rPr>
                <w:rFonts w:cs="Arial"/>
                <w:szCs w:val="18"/>
                <w:lang w:val="en-GB"/>
              </w:rPr>
              <w:t xml:space="preserve"> (mg/L)</w:t>
            </w:r>
          </w:p>
          <w:p w14:paraId="341E9CD0" w14:textId="1A403F62" w:rsidR="00450D64" w:rsidRPr="00B57B36" w:rsidRDefault="00450D64" w:rsidP="003E7DFE">
            <w:pPr>
              <w:pStyle w:val="CETBodytext"/>
              <w:ind w:right="-1"/>
              <w:rPr>
                <w:rFonts w:cs="Arial"/>
                <w:szCs w:val="18"/>
                <w:lang w:val="en-GB"/>
              </w:rPr>
            </w:pPr>
            <w:r>
              <w:rPr>
                <w:rFonts w:cs="Arial"/>
                <w:szCs w:val="18"/>
                <w:lang w:val="en-GB"/>
              </w:rPr>
              <w:t>(±0</w:t>
            </w:r>
            <w:r w:rsidR="00024C3A">
              <w:rPr>
                <w:rFonts w:cs="Arial"/>
                <w:szCs w:val="18"/>
                <w:lang w:val="en-GB"/>
              </w:rPr>
              <w:t>.</w:t>
            </w:r>
            <w:r>
              <w:rPr>
                <w:rFonts w:cs="Arial"/>
                <w:szCs w:val="18"/>
                <w:lang w:val="en-GB"/>
              </w:rPr>
              <w:t>05)</w:t>
            </w:r>
          </w:p>
        </w:tc>
        <w:tc>
          <w:tcPr>
            <w:tcW w:w="1342" w:type="dxa"/>
            <w:tcBorders>
              <w:top w:val="single" w:sz="12" w:space="0" w:color="008000"/>
              <w:bottom w:val="single" w:sz="6" w:space="0" w:color="008000"/>
            </w:tcBorders>
            <w:shd w:val="clear" w:color="auto" w:fill="FFFFFF"/>
          </w:tcPr>
          <w:p w14:paraId="616573AD" w14:textId="77777777" w:rsidR="00ED31F4" w:rsidRDefault="00ED31F4" w:rsidP="003E7DFE">
            <w:pPr>
              <w:pStyle w:val="CETBodytext"/>
              <w:ind w:right="-1"/>
              <w:rPr>
                <w:rFonts w:cs="Arial"/>
                <w:szCs w:val="18"/>
                <w:lang w:val="en-GB"/>
              </w:rPr>
            </w:pPr>
            <w:r w:rsidRPr="00ED31F4">
              <w:rPr>
                <w:rFonts w:cs="Arial"/>
                <w:szCs w:val="18"/>
                <w:lang w:val="en-GB"/>
              </w:rPr>
              <w:t>Mg</w:t>
            </w:r>
            <w:r w:rsidRPr="00ED31F4">
              <w:rPr>
                <w:rFonts w:cs="Arial"/>
                <w:szCs w:val="18"/>
                <w:vertAlign w:val="superscript"/>
                <w:lang w:val="en-GB"/>
              </w:rPr>
              <w:t>2+</w:t>
            </w:r>
            <w:r w:rsidRPr="00ED31F4">
              <w:rPr>
                <w:rFonts w:cs="Arial"/>
                <w:szCs w:val="18"/>
                <w:lang w:val="en-GB"/>
              </w:rPr>
              <w:t xml:space="preserve"> (mg/L)</w:t>
            </w:r>
          </w:p>
          <w:p w14:paraId="1572A1AB" w14:textId="2DCC4541" w:rsidR="00450D64" w:rsidRPr="00B57B36" w:rsidRDefault="00450D64" w:rsidP="003E7DFE">
            <w:pPr>
              <w:pStyle w:val="CETBodytext"/>
              <w:ind w:right="-1"/>
              <w:rPr>
                <w:rFonts w:cs="Arial"/>
                <w:szCs w:val="18"/>
                <w:lang w:val="en-GB"/>
              </w:rPr>
            </w:pPr>
            <w:r>
              <w:rPr>
                <w:rFonts w:cs="Arial"/>
                <w:szCs w:val="18"/>
                <w:lang w:val="en-GB"/>
              </w:rPr>
              <w:t>(±0</w:t>
            </w:r>
            <w:r w:rsidR="00024C3A">
              <w:rPr>
                <w:rFonts w:cs="Arial"/>
                <w:szCs w:val="18"/>
                <w:lang w:val="en-GB"/>
              </w:rPr>
              <w:t>.</w:t>
            </w:r>
            <w:r>
              <w:rPr>
                <w:rFonts w:cs="Arial"/>
                <w:szCs w:val="18"/>
                <w:lang w:val="en-GB"/>
              </w:rPr>
              <w:t>05)</w:t>
            </w:r>
          </w:p>
        </w:tc>
        <w:tc>
          <w:tcPr>
            <w:tcW w:w="1342" w:type="dxa"/>
            <w:tcBorders>
              <w:top w:val="single" w:sz="12" w:space="0" w:color="008000"/>
              <w:bottom w:val="single" w:sz="6" w:space="0" w:color="008000"/>
            </w:tcBorders>
            <w:shd w:val="clear" w:color="auto" w:fill="FFFFFF"/>
          </w:tcPr>
          <w:p w14:paraId="13963609" w14:textId="1089A05D" w:rsidR="00ED31F4" w:rsidRPr="00ED31F4" w:rsidRDefault="00ED31F4" w:rsidP="003E7DFE">
            <w:pPr>
              <w:pStyle w:val="CETBodytext"/>
              <w:ind w:right="-1"/>
              <w:rPr>
                <w:rFonts w:cs="Arial"/>
                <w:szCs w:val="18"/>
                <w:lang w:val="en-GB"/>
              </w:rPr>
            </w:pPr>
            <w:r>
              <w:rPr>
                <w:rFonts w:cs="Arial"/>
                <w:szCs w:val="18"/>
                <w:lang w:val="en-GB"/>
              </w:rPr>
              <w:t>pH</w:t>
            </w:r>
            <w:r w:rsidR="00450D64">
              <w:rPr>
                <w:rFonts w:cs="Arial"/>
                <w:szCs w:val="18"/>
                <w:lang w:val="en-GB"/>
              </w:rPr>
              <w:t xml:space="preserve"> (±0</w:t>
            </w:r>
            <w:r w:rsidR="00024C3A">
              <w:rPr>
                <w:rFonts w:cs="Arial"/>
                <w:szCs w:val="18"/>
                <w:lang w:val="en-GB"/>
              </w:rPr>
              <w:t>.</w:t>
            </w:r>
            <w:r w:rsidR="00450D64">
              <w:rPr>
                <w:rFonts w:cs="Arial"/>
                <w:szCs w:val="18"/>
                <w:lang w:val="en-GB"/>
              </w:rPr>
              <w:t>1)</w:t>
            </w:r>
          </w:p>
        </w:tc>
      </w:tr>
      <w:tr w:rsidR="00ED31F4" w:rsidRPr="00B57B36" w14:paraId="20BBAA01" w14:textId="04A3AE59" w:rsidTr="00842349">
        <w:trPr>
          <w:trHeight w:val="252"/>
        </w:trPr>
        <w:tc>
          <w:tcPr>
            <w:tcW w:w="1342" w:type="dxa"/>
            <w:shd w:val="clear" w:color="auto" w:fill="FFFFFF"/>
          </w:tcPr>
          <w:p w14:paraId="42F104B5" w14:textId="3B01D49B" w:rsidR="00ED31F4" w:rsidRPr="00B57B36" w:rsidRDefault="00ED31F4" w:rsidP="00ED31F4">
            <w:pPr>
              <w:pStyle w:val="CETBodytext"/>
              <w:rPr>
                <w:lang w:val="en-GB"/>
              </w:rPr>
            </w:pPr>
            <w:r w:rsidRPr="008E0FE9">
              <w:t xml:space="preserve">1 </w:t>
            </w:r>
            <w:r w:rsidR="00A43AC5">
              <w:t>h</w:t>
            </w:r>
          </w:p>
        </w:tc>
        <w:tc>
          <w:tcPr>
            <w:tcW w:w="1342" w:type="dxa"/>
            <w:shd w:val="clear" w:color="auto" w:fill="FFFFFF"/>
          </w:tcPr>
          <w:p w14:paraId="334E6008" w14:textId="0CEAC1F0" w:rsidR="00ED31F4" w:rsidRPr="00B57B36" w:rsidRDefault="00ED31F4" w:rsidP="00ED31F4">
            <w:pPr>
              <w:pStyle w:val="CETBodytext"/>
              <w:rPr>
                <w:lang w:val="en-GB"/>
              </w:rPr>
            </w:pPr>
            <w:r w:rsidRPr="008E0FE9">
              <w:t>-</w:t>
            </w:r>
          </w:p>
        </w:tc>
        <w:tc>
          <w:tcPr>
            <w:tcW w:w="1342" w:type="dxa"/>
            <w:shd w:val="clear" w:color="auto" w:fill="FFFFFF"/>
          </w:tcPr>
          <w:p w14:paraId="60C6E94C" w14:textId="082280F2" w:rsidR="00ED31F4" w:rsidRPr="00B57B36" w:rsidRDefault="00ED31F4" w:rsidP="00ED31F4">
            <w:pPr>
              <w:pStyle w:val="CETBodytext"/>
              <w:rPr>
                <w:lang w:val="en-GB"/>
              </w:rPr>
            </w:pPr>
            <w:r w:rsidRPr="008E0FE9">
              <w:t>15</w:t>
            </w:r>
            <w:r w:rsidR="00A43AC5">
              <w:t>.</w:t>
            </w:r>
            <w:r w:rsidRPr="008E0FE9">
              <w:t>75</w:t>
            </w:r>
          </w:p>
        </w:tc>
        <w:tc>
          <w:tcPr>
            <w:tcW w:w="1342" w:type="dxa"/>
            <w:shd w:val="clear" w:color="auto" w:fill="FFFFFF"/>
          </w:tcPr>
          <w:p w14:paraId="49F0F302" w14:textId="4FCA0BD4" w:rsidR="00ED31F4" w:rsidRPr="00B57B36" w:rsidRDefault="00ED31F4" w:rsidP="00ED31F4">
            <w:pPr>
              <w:pStyle w:val="CETBodytext"/>
              <w:ind w:right="-1"/>
              <w:rPr>
                <w:rFonts w:cs="Arial"/>
                <w:szCs w:val="18"/>
                <w:lang w:val="en-GB"/>
              </w:rPr>
            </w:pPr>
            <w:r w:rsidRPr="008E0FE9">
              <w:t>0</w:t>
            </w:r>
            <w:r w:rsidR="00A43AC5">
              <w:t>.</w:t>
            </w:r>
            <w:r w:rsidRPr="008E0FE9">
              <w:t>74</w:t>
            </w:r>
          </w:p>
        </w:tc>
        <w:tc>
          <w:tcPr>
            <w:tcW w:w="1342" w:type="dxa"/>
            <w:shd w:val="clear" w:color="auto" w:fill="FFFFFF"/>
          </w:tcPr>
          <w:p w14:paraId="3BA76ADE" w14:textId="38DD01DB" w:rsidR="00ED31F4" w:rsidRPr="00B57B36" w:rsidRDefault="00ED31F4" w:rsidP="00ED31F4">
            <w:pPr>
              <w:pStyle w:val="CETBodytext"/>
              <w:ind w:right="-1"/>
              <w:rPr>
                <w:rFonts w:cs="Arial"/>
                <w:szCs w:val="18"/>
                <w:lang w:val="en-GB"/>
              </w:rPr>
            </w:pPr>
            <w:r w:rsidRPr="008E0FE9">
              <w:t>3</w:t>
            </w:r>
            <w:r w:rsidR="00A43AC5">
              <w:t>.</w:t>
            </w:r>
            <w:r w:rsidRPr="008E0FE9">
              <w:t>08</w:t>
            </w:r>
          </w:p>
        </w:tc>
        <w:tc>
          <w:tcPr>
            <w:tcW w:w="1342" w:type="dxa"/>
            <w:shd w:val="clear" w:color="auto" w:fill="FFFFFF"/>
          </w:tcPr>
          <w:p w14:paraId="16642CDB" w14:textId="418011F1" w:rsidR="00ED31F4" w:rsidRPr="00B57B36" w:rsidRDefault="00ED31F4" w:rsidP="00ED31F4">
            <w:pPr>
              <w:pStyle w:val="CETBodytext"/>
              <w:ind w:right="-1"/>
              <w:rPr>
                <w:rFonts w:cs="Arial"/>
                <w:szCs w:val="18"/>
                <w:lang w:val="en-GB"/>
              </w:rPr>
            </w:pPr>
            <w:r w:rsidRPr="008E0FE9">
              <w:t>5</w:t>
            </w:r>
            <w:r w:rsidR="00A43AC5">
              <w:t>.</w:t>
            </w:r>
            <w:r w:rsidRPr="008E0FE9">
              <w:t>71</w:t>
            </w:r>
          </w:p>
        </w:tc>
      </w:tr>
      <w:tr w:rsidR="00ED31F4" w:rsidRPr="00B57B36" w14:paraId="4B0E01F5" w14:textId="1C197A98" w:rsidTr="00842349">
        <w:trPr>
          <w:trHeight w:val="239"/>
        </w:trPr>
        <w:tc>
          <w:tcPr>
            <w:tcW w:w="1342" w:type="dxa"/>
            <w:shd w:val="clear" w:color="auto" w:fill="FFFFFF"/>
          </w:tcPr>
          <w:p w14:paraId="5A75BCA8" w14:textId="2C4A1948" w:rsidR="00ED31F4" w:rsidRPr="00B57B36" w:rsidRDefault="00ED31F4" w:rsidP="00ED31F4">
            <w:pPr>
              <w:pStyle w:val="CETBodytext"/>
              <w:ind w:right="-1"/>
              <w:rPr>
                <w:rFonts w:cs="Arial"/>
                <w:szCs w:val="18"/>
                <w:lang w:val="en-GB"/>
              </w:rPr>
            </w:pPr>
            <w:r w:rsidRPr="008E0FE9">
              <w:t xml:space="preserve">12 </w:t>
            </w:r>
            <w:r w:rsidR="00A43AC5">
              <w:t>h</w:t>
            </w:r>
          </w:p>
        </w:tc>
        <w:tc>
          <w:tcPr>
            <w:tcW w:w="1342" w:type="dxa"/>
            <w:shd w:val="clear" w:color="auto" w:fill="FFFFFF"/>
          </w:tcPr>
          <w:p w14:paraId="71D36021" w14:textId="3EB41A1D" w:rsidR="00ED31F4" w:rsidRPr="00B57B36" w:rsidRDefault="00ED31F4" w:rsidP="00ED31F4">
            <w:pPr>
              <w:pStyle w:val="CETBodytext"/>
              <w:ind w:right="-1"/>
              <w:rPr>
                <w:rFonts w:cs="Arial"/>
                <w:szCs w:val="18"/>
                <w:lang w:val="en-GB"/>
              </w:rPr>
            </w:pPr>
            <w:r w:rsidRPr="008E0FE9">
              <w:t>-</w:t>
            </w:r>
          </w:p>
        </w:tc>
        <w:tc>
          <w:tcPr>
            <w:tcW w:w="1342" w:type="dxa"/>
            <w:shd w:val="clear" w:color="auto" w:fill="FFFFFF"/>
          </w:tcPr>
          <w:p w14:paraId="551BCFCB" w14:textId="27338AD8" w:rsidR="00ED31F4" w:rsidRPr="00B57B36" w:rsidRDefault="00ED31F4" w:rsidP="00ED31F4">
            <w:pPr>
              <w:pStyle w:val="CETBodytext"/>
              <w:ind w:right="-1"/>
              <w:rPr>
                <w:rFonts w:cs="Arial"/>
                <w:szCs w:val="18"/>
                <w:lang w:val="en-GB"/>
              </w:rPr>
            </w:pPr>
            <w:r w:rsidRPr="008E0FE9">
              <w:t>29</w:t>
            </w:r>
            <w:r w:rsidR="00A43AC5">
              <w:t>.</w:t>
            </w:r>
            <w:r w:rsidRPr="008E0FE9">
              <w:t>8</w:t>
            </w:r>
            <w:r w:rsidR="00A43AC5">
              <w:t>0</w:t>
            </w:r>
          </w:p>
        </w:tc>
        <w:tc>
          <w:tcPr>
            <w:tcW w:w="1342" w:type="dxa"/>
            <w:shd w:val="clear" w:color="auto" w:fill="FFFFFF"/>
          </w:tcPr>
          <w:p w14:paraId="26FF77B0" w14:textId="1D1D3D4E" w:rsidR="00ED31F4" w:rsidRPr="00B57B36" w:rsidRDefault="00ED31F4" w:rsidP="00ED31F4">
            <w:pPr>
              <w:pStyle w:val="CETBodytext"/>
              <w:ind w:right="-1"/>
              <w:rPr>
                <w:rFonts w:cs="Arial"/>
                <w:szCs w:val="18"/>
                <w:lang w:val="en-GB"/>
              </w:rPr>
            </w:pPr>
            <w:r w:rsidRPr="008E0FE9">
              <w:t>0</w:t>
            </w:r>
            <w:r w:rsidR="00A43AC5">
              <w:t>.</w:t>
            </w:r>
            <w:r w:rsidRPr="008E0FE9">
              <w:t>63</w:t>
            </w:r>
          </w:p>
        </w:tc>
        <w:tc>
          <w:tcPr>
            <w:tcW w:w="1342" w:type="dxa"/>
            <w:shd w:val="clear" w:color="auto" w:fill="FFFFFF"/>
          </w:tcPr>
          <w:p w14:paraId="319F65B8" w14:textId="4FFC06DD" w:rsidR="00ED31F4" w:rsidRPr="00B57B36" w:rsidRDefault="00ED31F4" w:rsidP="00ED31F4">
            <w:pPr>
              <w:pStyle w:val="CETBodytext"/>
              <w:ind w:right="-1"/>
              <w:rPr>
                <w:rFonts w:cs="Arial"/>
                <w:szCs w:val="18"/>
                <w:lang w:val="en-GB"/>
              </w:rPr>
            </w:pPr>
            <w:r w:rsidRPr="008E0FE9">
              <w:t>4</w:t>
            </w:r>
            <w:r w:rsidR="00A43AC5">
              <w:t>.</w:t>
            </w:r>
            <w:r w:rsidRPr="008E0FE9">
              <w:t>68</w:t>
            </w:r>
          </w:p>
        </w:tc>
        <w:tc>
          <w:tcPr>
            <w:tcW w:w="1342" w:type="dxa"/>
            <w:shd w:val="clear" w:color="auto" w:fill="FFFFFF"/>
          </w:tcPr>
          <w:p w14:paraId="1880D311" w14:textId="68007523" w:rsidR="00ED31F4" w:rsidRPr="00B57B36" w:rsidRDefault="00ED31F4" w:rsidP="00ED31F4">
            <w:pPr>
              <w:pStyle w:val="CETBodytext"/>
              <w:ind w:right="-1"/>
              <w:rPr>
                <w:rFonts w:cs="Arial"/>
                <w:szCs w:val="18"/>
                <w:lang w:val="en-GB"/>
              </w:rPr>
            </w:pPr>
            <w:r w:rsidRPr="008E0FE9">
              <w:t>5</w:t>
            </w:r>
            <w:r w:rsidR="00A43AC5">
              <w:t>.</w:t>
            </w:r>
            <w:r w:rsidRPr="008E0FE9">
              <w:t>81</w:t>
            </w:r>
          </w:p>
        </w:tc>
      </w:tr>
      <w:tr w:rsidR="00ED31F4" w:rsidRPr="00B57B36" w14:paraId="1546DC12" w14:textId="77777777" w:rsidTr="00842349">
        <w:trPr>
          <w:trHeight w:val="239"/>
        </w:trPr>
        <w:tc>
          <w:tcPr>
            <w:tcW w:w="1342" w:type="dxa"/>
            <w:shd w:val="clear" w:color="auto" w:fill="FFFFFF"/>
          </w:tcPr>
          <w:p w14:paraId="72B0575A" w14:textId="069AA999" w:rsidR="00ED31F4" w:rsidRPr="00B57B36" w:rsidRDefault="00ED31F4" w:rsidP="00ED31F4">
            <w:pPr>
              <w:pStyle w:val="CETBodytext"/>
              <w:ind w:right="-1"/>
              <w:rPr>
                <w:rFonts w:cs="Arial"/>
                <w:szCs w:val="18"/>
                <w:lang w:val="en-GB"/>
              </w:rPr>
            </w:pPr>
            <w:r w:rsidRPr="008E0FE9">
              <w:t>24</w:t>
            </w:r>
            <w:r w:rsidR="00A43AC5">
              <w:t xml:space="preserve"> h</w:t>
            </w:r>
          </w:p>
        </w:tc>
        <w:tc>
          <w:tcPr>
            <w:tcW w:w="1342" w:type="dxa"/>
            <w:shd w:val="clear" w:color="auto" w:fill="FFFFFF"/>
          </w:tcPr>
          <w:p w14:paraId="721407C9" w14:textId="73C379C5" w:rsidR="00ED31F4" w:rsidRPr="00B57B36" w:rsidRDefault="00ED31F4" w:rsidP="00ED31F4">
            <w:pPr>
              <w:pStyle w:val="CETBodytext"/>
              <w:ind w:right="-1"/>
              <w:rPr>
                <w:rFonts w:cs="Arial"/>
                <w:szCs w:val="18"/>
                <w:lang w:val="en-GB"/>
              </w:rPr>
            </w:pPr>
            <w:r w:rsidRPr="008E0FE9">
              <w:t>-</w:t>
            </w:r>
          </w:p>
        </w:tc>
        <w:tc>
          <w:tcPr>
            <w:tcW w:w="1342" w:type="dxa"/>
            <w:shd w:val="clear" w:color="auto" w:fill="FFFFFF"/>
          </w:tcPr>
          <w:p w14:paraId="057BA009" w14:textId="39A75F99" w:rsidR="00ED31F4" w:rsidRPr="00B57B36" w:rsidRDefault="00ED31F4" w:rsidP="00ED31F4">
            <w:pPr>
              <w:pStyle w:val="CETBodytext"/>
              <w:ind w:right="-1"/>
              <w:rPr>
                <w:rFonts w:cs="Arial"/>
                <w:szCs w:val="18"/>
                <w:lang w:val="en-GB"/>
              </w:rPr>
            </w:pPr>
            <w:r w:rsidRPr="008E0FE9">
              <w:t>12</w:t>
            </w:r>
            <w:r w:rsidR="00A43AC5">
              <w:t>.</w:t>
            </w:r>
            <w:r w:rsidRPr="008E0FE9">
              <w:t>15</w:t>
            </w:r>
          </w:p>
        </w:tc>
        <w:tc>
          <w:tcPr>
            <w:tcW w:w="1342" w:type="dxa"/>
            <w:shd w:val="clear" w:color="auto" w:fill="FFFFFF"/>
          </w:tcPr>
          <w:p w14:paraId="72B7300A" w14:textId="07AF0E1E" w:rsidR="00ED31F4" w:rsidRPr="00B57B36" w:rsidRDefault="00ED31F4" w:rsidP="00ED31F4">
            <w:pPr>
              <w:pStyle w:val="CETBodytext"/>
              <w:ind w:right="-1"/>
              <w:rPr>
                <w:rFonts w:cs="Arial"/>
                <w:szCs w:val="18"/>
                <w:lang w:val="en-GB"/>
              </w:rPr>
            </w:pPr>
            <w:r w:rsidRPr="008E0FE9">
              <w:t>1</w:t>
            </w:r>
            <w:r w:rsidR="00A43AC5">
              <w:t>.</w:t>
            </w:r>
            <w:r w:rsidRPr="008E0FE9">
              <w:t>65</w:t>
            </w:r>
          </w:p>
        </w:tc>
        <w:tc>
          <w:tcPr>
            <w:tcW w:w="1342" w:type="dxa"/>
            <w:shd w:val="clear" w:color="auto" w:fill="FFFFFF"/>
          </w:tcPr>
          <w:p w14:paraId="78BAE75D" w14:textId="2B8E482A" w:rsidR="00ED31F4" w:rsidRPr="00B57B36" w:rsidRDefault="00ED31F4" w:rsidP="00ED31F4">
            <w:pPr>
              <w:pStyle w:val="CETBodytext"/>
              <w:ind w:right="-1"/>
              <w:rPr>
                <w:rFonts w:cs="Arial"/>
                <w:szCs w:val="18"/>
                <w:lang w:val="en-GB"/>
              </w:rPr>
            </w:pPr>
            <w:r w:rsidRPr="008E0FE9">
              <w:t>2</w:t>
            </w:r>
            <w:r w:rsidR="00A43AC5">
              <w:t>.</w:t>
            </w:r>
            <w:r w:rsidRPr="008E0FE9">
              <w:t>6</w:t>
            </w:r>
            <w:r w:rsidR="00A43AC5">
              <w:t>0</w:t>
            </w:r>
          </w:p>
        </w:tc>
        <w:tc>
          <w:tcPr>
            <w:tcW w:w="1342" w:type="dxa"/>
            <w:shd w:val="clear" w:color="auto" w:fill="FFFFFF"/>
          </w:tcPr>
          <w:p w14:paraId="354AE52E" w14:textId="6F1AB38B" w:rsidR="00ED31F4" w:rsidRPr="00B57B36" w:rsidRDefault="00ED31F4" w:rsidP="00ED31F4">
            <w:pPr>
              <w:pStyle w:val="CETBodytext"/>
              <w:ind w:right="-1"/>
              <w:rPr>
                <w:rFonts w:cs="Arial"/>
                <w:szCs w:val="18"/>
                <w:lang w:val="en-GB"/>
              </w:rPr>
            </w:pPr>
            <w:r w:rsidRPr="008E0FE9">
              <w:t>5</w:t>
            </w:r>
            <w:r w:rsidR="00A43AC5">
              <w:t>.</w:t>
            </w:r>
            <w:r w:rsidRPr="008E0FE9">
              <w:t>92</w:t>
            </w:r>
          </w:p>
        </w:tc>
      </w:tr>
      <w:tr w:rsidR="00ED31F4" w:rsidRPr="00B57B36" w14:paraId="1406D8CF" w14:textId="77777777" w:rsidTr="00842349">
        <w:trPr>
          <w:trHeight w:val="239"/>
        </w:trPr>
        <w:tc>
          <w:tcPr>
            <w:tcW w:w="1342" w:type="dxa"/>
            <w:shd w:val="clear" w:color="auto" w:fill="FFFFFF"/>
          </w:tcPr>
          <w:p w14:paraId="1C42B6F8" w14:textId="36313E16" w:rsidR="00ED31F4" w:rsidRPr="00B57B36" w:rsidRDefault="00ED31F4" w:rsidP="00ED31F4">
            <w:pPr>
              <w:pStyle w:val="CETBodytext"/>
              <w:ind w:right="-1"/>
              <w:rPr>
                <w:rFonts w:cs="Arial"/>
                <w:szCs w:val="18"/>
                <w:lang w:val="en-GB"/>
              </w:rPr>
            </w:pPr>
            <w:r w:rsidRPr="008E0FE9">
              <w:t xml:space="preserve">7 </w:t>
            </w:r>
            <w:r w:rsidR="00A43AC5">
              <w:t>d</w:t>
            </w:r>
          </w:p>
        </w:tc>
        <w:tc>
          <w:tcPr>
            <w:tcW w:w="1342" w:type="dxa"/>
            <w:shd w:val="clear" w:color="auto" w:fill="FFFFFF"/>
          </w:tcPr>
          <w:p w14:paraId="467200AA" w14:textId="215BC6BE" w:rsidR="00ED31F4" w:rsidRPr="00B57B36" w:rsidRDefault="00ED31F4" w:rsidP="00ED31F4">
            <w:pPr>
              <w:pStyle w:val="CETBodytext"/>
              <w:ind w:right="-1"/>
              <w:rPr>
                <w:rFonts w:cs="Arial"/>
                <w:szCs w:val="18"/>
                <w:lang w:val="en-GB"/>
              </w:rPr>
            </w:pPr>
            <w:r w:rsidRPr="008E0FE9">
              <w:t>-</w:t>
            </w:r>
          </w:p>
        </w:tc>
        <w:tc>
          <w:tcPr>
            <w:tcW w:w="1342" w:type="dxa"/>
            <w:shd w:val="clear" w:color="auto" w:fill="FFFFFF"/>
          </w:tcPr>
          <w:p w14:paraId="1E9058EB" w14:textId="2EB314D9" w:rsidR="00ED31F4" w:rsidRPr="00B57B36" w:rsidRDefault="00ED31F4" w:rsidP="00ED31F4">
            <w:pPr>
              <w:pStyle w:val="CETBodytext"/>
              <w:ind w:right="-1"/>
              <w:rPr>
                <w:rFonts w:cs="Arial"/>
                <w:szCs w:val="18"/>
                <w:lang w:val="en-GB"/>
              </w:rPr>
            </w:pPr>
            <w:r w:rsidRPr="008E0FE9">
              <w:t>130</w:t>
            </w:r>
            <w:r w:rsidR="00A43AC5">
              <w:t>.00</w:t>
            </w:r>
          </w:p>
        </w:tc>
        <w:tc>
          <w:tcPr>
            <w:tcW w:w="1342" w:type="dxa"/>
            <w:shd w:val="clear" w:color="auto" w:fill="FFFFFF"/>
          </w:tcPr>
          <w:p w14:paraId="22AFFD13" w14:textId="341E6D1A" w:rsidR="00ED31F4" w:rsidRPr="00B57B36" w:rsidRDefault="00ED31F4" w:rsidP="00ED31F4">
            <w:pPr>
              <w:pStyle w:val="CETBodytext"/>
              <w:ind w:right="-1"/>
              <w:rPr>
                <w:rFonts w:cs="Arial"/>
                <w:szCs w:val="18"/>
                <w:lang w:val="en-GB"/>
              </w:rPr>
            </w:pPr>
            <w:r w:rsidRPr="008E0FE9">
              <w:t>0</w:t>
            </w:r>
            <w:r w:rsidR="00A43AC5">
              <w:t>.</w:t>
            </w:r>
            <w:r w:rsidRPr="008E0FE9">
              <w:t>51</w:t>
            </w:r>
          </w:p>
        </w:tc>
        <w:tc>
          <w:tcPr>
            <w:tcW w:w="1342" w:type="dxa"/>
            <w:shd w:val="clear" w:color="auto" w:fill="FFFFFF"/>
          </w:tcPr>
          <w:p w14:paraId="548C833D" w14:textId="3D61B544" w:rsidR="00ED31F4" w:rsidRPr="00B57B36" w:rsidRDefault="00ED31F4" w:rsidP="00ED31F4">
            <w:pPr>
              <w:pStyle w:val="CETBodytext"/>
              <w:ind w:right="-1"/>
              <w:rPr>
                <w:rFonts w:cs="Arial"/>
                <w:szCs w:val="18"/>
                <w:lang w:val="en-GB"/>
              </w:rPr>
            </w:pPr>
            <w:r w:rsidRPr="008E0FE9">
              <w:t>21</w:t>
            </w:r>
            <w:r w:rsidR="00A43AC5">
              <w:t>.</w:t>
            </w:r>
            <w:r w:rsidRPr="008E0FE9">
              <w:t>85</w:t>
            </w:r>
          </w:p>
        </w:tc>
        <w:tc>
          <w:tcPr>
            <w:tcW w:w="1342" w:type="dxa"/>
            <w:shd w:val="clear" w:color="auto" w:fill="FFFFFF"/>
          </w:tcPr>
          <w:p w14:paraId="2D93A3FC" w14:textId="76896780" w:rsidR="00ED31F4" w:rsidRPr="00B57B36" w:rsidRDefault="00ED31F4" w:rsidP="00ED31F4">
            <w:pPr>
              <w:pStyle w:val="CETBodytext"/>
              <w:ind w:right="-1"/>
              <w:rPr>
                <w:rFonts w:cs="Arial"/>
                <w:szCs w:val="18"/>
                <w:lang w:val="en-GB"/>
              </w:rPr>
            </w:pPr>
            <w:r w:rsidRPr="008E0FE9">
              <w:t>6</w:t>
            </w:r>
            <w:r w:rsidR="00A43AC5">
              <w:t>.</w:t>
            </w:r>
            <w:r w:rsidRPr="008E0FE9">
              <w:t>09</w:t>
            </w:r>
          </w:p>
        </w:tc>
      </w:tr>
      <w:tr w:rsidR="00ED31F4" w:rsidRPr="00B57B36" w14:paraId="4E5D1020" w14:textId="77777777" w:rsidTr="00842349">
        <w:trPr>
          <w:trHeight w:val="226"/>
        </w:trPr>
        <w:tc>
          <w:tcPr>
            <w:tcW w:w="1342" w:type="dxa"/>
            <w:shd w:val="clear" w:color="auto" w:fill="FFFFFF"/>
          </w:tcPr>
          <w:p w14:paraId="732700FD" w14:textId="7FBB5341" w:rsidR="00ED31F4" w:rsidRPr="00B57B36" w:rsidRDefault="00ED31F4" w:rsidP="00ED31F4">
            <w:pPr>
              <w:pStyle w:val="CETBodytext"/>
              <w:ind w:right="-1"/>
              <w:rPr>
                <w:rFonts w:cs="Arial"/>
                <w:szCs w:val="18"/>
                <w:lang w:val="en-GB"/>
              </w:rPr>
            </w:pPr>
            <w:r w:rsidRPr="008E0FE9">
              <w:t xml:space="preserve">15 </w:t>
            </w:r>
            <w:r w:rsidR="00A43AC5">
              <w:t>d</w:t>
            </w:r>
          </w:p>
        </w:tc>
        <w:tc>
          <w:tcPr>
            <w:tcW w:w="1342" w:type="dxa"/>
            <w:shd w:val="clear" w:color="auto" w:fill="FFFFFF"/>
          </w:tcPr>
          <w:p w14:paraId="3A5DD4C2" w14:textId="4676F425" w:rsidR="00ED31F4" w:rsidRPr="00B57B36" w:rsidRDefault="00ED31F4" w:rsidP="00ED31F4">
            <w:pPr>
              <w:pStyle w:val="CETBodytext"/>
              <w:ind w:right="-1"/>
              <w:rPr>
                <w:rFonts w:cs="Arial"/>
                <w:szCs w:val="18"/>
                <w:lang w:val="en-GB"/>
              </w:rPr>
            </w:pPr>
            <w:r w:rsidRPr="008E0FE9">
              <w:t>-</w:t>
            </w:r>
          </w:p>
        </w:tc>
        <w:tc>
          <w:tcPr>
            <w:tcW w:w="1342" w:type="dxa"/>
            <w:shd w:val="clear" w:color="auto" w:fill="FFFFFF"/>
          </w:tcPr>
          <w:p w14:paraId="3CB7F137" w14:textId="7C3E288D" w:rsidR="00ED31F4" w:rsidRPr="00B57B36" w:rsidRDefault="00ED31F4" w:rsidP="00ED31F4">
            <w:pPr>
              <w:pStyle w:val="CETBodytext"/>
              <w:ind w:right="-1"/>
              <w:rPr>
                <w:rFonts w:cs="Arial"/>
                <w:szCs w:val="18"/>
                <w:lang w:val="en-GB"/>
              </w:rPr>
            </w:pPr>
            <w:r w:rsidRPr="008E0FE9">
              <w:t>119</w:t>
            </w:r>
            <w:r w:rsidR="00A43AC5">
              <w:t>.00</w:t>
            </w:r>
          </w:p>
        </w:tc>
        <w:tc>
          <w:tcPr>
            <w:tcW w:w="1342" w:type="dxa"/>
            <w:shd w:val="clear" w:color="auto" w:fill="FFFFFF"/>
          </w:tcPr>
          <w:p w14:paraId="77ADA38B" w14:textId="20628B86" w:rsidR="00ED31F4" w:rsidRPr="00B57B36" w:rsidRDefault="00ED31F4" w:rsidP="00ED31F4">
            <w:pPr>
              <w:pStyle w:val="CETBodytext"/>
              <w:ind w:right="-1"/>
              <w:rPr>
                <w:rFonts w:cs="Arial"/>
                <w:szCs w:val="18"/>
                <w:lang w:val="en-GB"/>
              </w:rPr>
            </w:pPr>
            <w:r w:rsidRPr="008E0FE9">
              <w:t>3</w:t>
            </w:r>
            <w:r w:rsidR="00A43AC5">
              <w:t>.</w:t>
            </w:r>
            <w:r w:rsidRPr="008E0FE9">
              <w:t>76</w:t>
            </w:r>
          </w:p>
        </w:tc>
        <w:tc>
          <w:tcPr>
            <w:tcW w:w="1342" w:type="dxa"/>
            <w:shd w:val="clear" w:color="auto" w:fill="FFFFFF"/>
          </w:tcPr>
          <w:p w14:paraId="5B680028" w14:textId="68306F44" w:rsidR="00ED31F4" w:rsidRPr="00B57B36" w:rsidRDefault="00ED31F4" w:rsidP="00ED31F4">
            <w:pPr>
              <w:pStyle w:val="CETBodytext"/>
              <w:ind w:right="-1"/>
              <w:rPr>
                <w:rFonts w:cs="Arial"/>
                <w:szCs w:val="18"/>
                <w:lang w:val="en-GB"/>
              </w:rPr>
            </w:pPr>
            <w:r w:rsidRPr="008E0FE9">
              <w:t>17</w:t>
            </w:r>
            <w:r w:rsidR="00A43AC5">
              <w:t>.</w:t>
            </w:r>
            <w:r w:rsidRPr="008E0FE9">
              <w:t>9</w:t>
            </w:r>
            <w:r w:rsidR="00A43AC5">
              <w:t>0</w:t>
            </w:r>
          </w:p>
        </w:tc>
        <w:tc>
          <w:tcPr>
            <w:tcW w:w="1342" w:type="dxa"/>
            <w:shd w:val="clear" w:color="auto" w:fill="FFFFFF"/>
          </w:tcPr>
          <w:p w14:paraId="3FDAF7B1" w14:textId="196856D4" w:rsidR="00ED31F4" w:rsidRPr="00B57B36" w:rsidRDefault="00ED31F4" w:rsidP="00ED31F4">
            <w:pPr>
              <w:pStyle w:val="CETBodytext"/>
              <w:ind w:right="-1"/>
              <w:rPr>
                <w:rFonts w:cs="Arial"/>
                <w:szCs w:val="18"/>
                <w:lang w:val="en-GB"/>
              </w:rPr>
            </w:pPr>
            <w:r w:rsidRPr="008E0FE9">
              <w:t>6</w:t>
            </w:r>
            <w:r w:rsidR="00A43AC5">
              <w:t>.</w:t>
            </w:r>
            <w:r w:rsidRPr="008E0FE9">
              <w:t>13</w:t>
            </w:r>
          </w:p>
        </w:tc>
      </w:tr>
    </w:tbl>
    <w:p w14:paraId="2244C8CE" w14:textId="77777777" w:rsidR="00ED31F4" w:rsidRDefault="00ED31F4" w:rsidP="00D42552">
      <w:pPr>
        <w:pStyle w:val="CETBodytext"/>
        <w:rPr>
          <w:color w:val="000000" w:themeColor="text1"/>
          <w:sz w:val="20"/>
        </w:rPr>
      </w:pPr>
    </w:p>
    <w:p w14:paraId="1685A2B5" w14:textId="79D7DA4F" w:rsidR="00D42552" w:rsidRDefault="00D42552" w:rsidP="00D42552">
      <w:pPr>
        <w:pStyle w:val="CETBodytext"/>
      </w:pPr>
      <w:r>
        <w:t>After the reactions, there was a significant increase in calcium concentration even after only one hour, with this tendency persisting in all subsequent tests and reaching its highest value after 7 days. A similar trend was observed for magnesium ion concentration, which also rose significantly after the first hour and reached its peak at 21.85 mg/L after 1 week. In contrast, the increase in iron concentration was smaller, rising to 0.74 mg/L after the first hour and reaching a maximum of 3.76 mg/L after 15 days of reaction. The slight reduction in calcium and magnesium ion concentrations after the first week may indicate the onset of mineral precipitation from the leached cations.</w:t>
      </w:r>
      <w:r w:rsidR="00831EA4">
        <w:t xml:space="preserve"> </w:t>
      </w:r>
      <w:r w:rsidR="00831EA4" w:rsidRPr="00831EA4">
        <w:t xml:space="preserve">Variations in temperature or pressure during the experiment may lead to mineral precipitation, which can sequester cations released into the fluid by rock dissolution. Consequently, this </w:t>
      </w:r>
      <w:r w:rsidR="00831EA4">
        <w:t>decreases</w:t>
      </w:r>
      <w:r w:rsidR="00831EA4" w:rsidRPr="00831EA4">
        <w:t xml:space="preserve"> the concentration of a given ion species in the ICP-OES analysis. This may be what occurred after 24 hours; however, further precipitation analysis studies are required.</w:t>
      </w:r>
    </w:p>
    <w:p w14:paraId="1FBFC3DC" w14:textId="39292B3E" w:rsidR="00D42552" w:rsidRDefault="00D42552" w:rsidP="00D42552">
      <w:pPr>
        <w:pStyle w:val="CETBodytext"/>
      </w:pPr>
      <w:r>
        <w:t xml:space="preserve">Gudbrandsson et al. (2011) studied the dissolution rates of the primary minerals found in mafic volcanic rocks: plagioclase, pyroxene, and olivine. Calcium is mainly present in plagioclase, while magnesium and iron are found in pyroxenes and </w:t>
      </w:r>
      <w:proofErr w:type="spellStart"/>
      <w:r>
        <w:t>olivines</w:t>
      </w:r>
      <w:proofErr w:type="spellEnd"/>
      <w:r>
        <w:t>. The authors note that under very acidic conditions, crystalline basalts preferentially release magnesium; however, as the pH increases and approaches the alkaline range, this pattern changes, leading to higher dissolution rates of plagioclase resulting in a higher concentration of calcium for the analy</w:t>
      </w:r>
      <w:r w:rsidR="00FF40F4">
        <w:t>z</w:t>
      </w:r>
      <w:r>
        <w:t>ed fluids.</w:t>
      </w:r>
    </w:p>
    <w:p w14:paraId="1AC99B0D" w14:textId="77777777" w:rsidR="00D42552" w:rsidRPr="0086518D" w:rsidRDefault="00D42552" w:rsidP="00D42552">
      <w:pPr>
        <w:pStyle w:val="CETBodytext"/>
      </w:pPr>
      <w:r>
        <w:t xml:space="preserve">The results of this study align with the findings of the aforementioned authors. Under the acidic conditions of the tests, basalt preferentially released calcium, primarily sourced from plagioclase. The presence of magnesium and iron ions indicates the dissolution of other minerals such as pyroxenes and </w:t>
      </w:r>
      <w:proofErr w:type="spellStart"/>
      <w:r>
        <w:t>olivines</w:t>
      </w:r>
      <w:proofErr w:type="spellEnd"/>
      <w:r>
        <w:t xml:space="preserve"> but to a lesser extent. Alkaline feldspars also react with the carbonated fluid, releasing aluminum. Despite the significant amounts of alkali feldspars in the samples, no aluminum above the detection limit of the equipment was identified. This may suggest that plagioclase dissolves more rapidly than K-feldspars or that the dissolution of K-feldspars was negligible throughout the reactions.</w:t>
      </w:r>
    </w:p>
    <w:p w14:paraId="434E0A2E" w14:textId="601EC7C2" w:rsidR="00D42552" w:rsidRPr="0086518D" w:rsidRDefault="00D42552" w:rsidP="00D42552">
      <w:pPr>
        <w:pStyle w:val="CETBodytext"/>
      </w:pPr>
      <w:r>
        <w:t>The initial pH also tends to increase rapidly going from 4</w:t>
      </w:r>
      <w:r w:rsidR="00D95D9B">
        <w:t>.</w:t>
      </w:r>
      <w:r>
        <w:t>84 to 5</w:t>
      </w:r>
      <w:r w:rsidR="00D95D9B">
        <w:t>.</w:t>
      </w:r>
      <w:r>
        <w:t>71 after one hour.</w:t>
      </w:r>
    </w:p>
    <w:p w14:paraId="23E952FD" w14:textId="4682197F" w:rsidR="00D42552" w:rsidRDefault="00D42552" w:rsidP="00D42552">
      <w:pPr>
        <w:pStyle w:val="CETBodytext"/>
      </w:pPr>
      <w:r>
        <w:t xml:space="preserve">Gudbrandsson et al. (2011) note that </w:t>
      </w:r>
      <w:r w:rsidR="00984193">
        <w:t>plagioclase dissolution</w:t>
      </w:r>
      <w:r>
        <w:t xml:space="preserve"> tends to slow down as the pH approaches neutrality. This observation may explain the initial rapid increase in pH followed by a slowdown over time. In more acidic environments, reactions usually occur through the process of dissolution. </w:t>
      </w:r>
    </w:p>
    <w:p w14:paraId="49218A4D" w14:textId="77777777" w:rsidR="00D42552" w:rsidRDefault="00D42552" w:rsidP="00D42552">
      <w:pPr>
        <w:pStyle w:val="CETBodytext"/>
      </w:pPr>
      <w:r>
        <w:t>The ideal pH range for the precipitation of carbonate minerals is between 5.2 and 6.5 (</w:t>
      </w:r>
      <w:proofErr w:type="spellStart"/>
      <w:r>
        <w:t>Snæbjörnsdóttir</w:t>
      </w:r>
      <w:proofErr w:type="spellEnd"/>
      <w:r>
        <w:t xml:space="preserve"> et al., 2018). Throughout all tests, the pH remained within this range, surpassing the lower limit after one hour and staying below the upper limit even after 15 days of testing. This indicates that the tests provided optimal pH conditions for mineral precipitation and consequently CO</w:t>
      </w:r>
      <w:r w:rsidRPr="00AE02E2">
        <w:rPr>
          <w:vertAlign w:val="subscript"/>
        </w:rPr>
        <w:t>2</w:t>
      </w:r>
      <w:r>
        <w:t xml:space="preserve"> mineralization.</w:t>
      </w:r>
    </w:p>
    <w:p w14:paraId="386C91A7" w14:textId="550BB7C7" w:rsidR="00D42552" w:rsidRPr="0086518D" w:rsidRDefault="00D42552" w:rsidP="00D42552">
      <w:pPr>
        <w:pStyle w:val="CETHeading1"/>
      </w:pPr>
      <w:r w:rsidRPr="0086518D">
        <w:t>Conclusion</w:t>
      </w:r>
    </w:p>
    <w:p w14:paraId="381C9706" w14:textId="39756340" w:rsidR="00D42552" w:rsidRDefault="00D42552" w:rsidP="00D42552">
      <w:pPr>
        <w:pStyle w:val="CETBodytext"/>
      </w:pPr>
      <w:r>
        <w:t>The volcanic</w:t>
      </w:r>
      <w:r w:rsidR="00B66C04">
        <w:t xml:space="preserve"> rock</w:t>
      </w:r>
      <w:r>
        <w:t xml:space="preserve"> sample collected from the Bero Basin serve</w:t>
      </w:r>
      <w:r w:rsidR="00D50D4F">
        <w:t>s</w:t>
      </w:r>
      <w:r>
        <w:t xml:space="preserve"> as analogs for the basalts found in Paraná-</w:t>
      </w:r>
      <w:proofErr w:type="spellStart"/>
      <w:r>
        <w:t>Etendeka</w:t>
      </w:r>
      <w:proofErr w:type="spellEnd"/>
      <w:r>
        <w:t xml:space="preserve"> Magmatic Province and the volcanic rocks found in the Brazilian pre-salt. The basalt used in these investigations displayed exceptional reactivity, which highlights its considerable potential for carbon storage and the mineralization of CO</w:t>
      </w:r>
      <w:r w:rsidRPr="00D232B7">
        <w:rPr>
          <w:vertAlign w:val="subscript"/>
        </w:rPr>
        <w:t>2</w:t>
      </w:r>
      <w:r>
        <w:t>.</w:t>
      </w:r>
    </w:p>
    <w:p w14:paraId="154CADFC" w14:textId="498274AE" w:rsidR="00A60F2D" w:rsidRDefault="00D36D1D" w:rsidP="00D42552">
      <w:pPr>
        <w:pStyle w:val="CETBodytext"/>
      </w:pPr>
      <w:r>
        <w:rPr>
          <w:color w:val="000000" w:themeColor="text1"/>
        </w:rPr>
        <w:t>XRD</w:t>
      </w:r>
      <w:r w:rsidR="00A60F2D" w:rsidRPr="00A60F2D">
        <w:rPr>
          <w:rFonts w:cs="Arial"/>
          <w:szCs w:val="18"/>
        </w:rPr>
        <w:t xml:space="preserve"> and X-ray fluorescence analys</w:t>
      </w:r>
      <w:r w:rsidR="00A60F2D">
        <w:rPr>
          <w:rFonts w:cs="Arial"/>
          <w:szCs w:val="18"/>
        </w:rPr>
        <w:t xml:space="preserve">es revealed that the basalt sample from this magmatic province has chemical and mineralogical compositions ideal for reactions with carbonated fluid, indicating the presence of minerals containing calcium, magnesium, and iron. </w:t>
      </w:r>
      <w:r w:rsidR="00D42552">
        <w:t xml:space="preserve">The </w:t>
      </w:r>
      <w:r w:rsidR="00A60F2D">
        <w:t xml:space="preserve">experiments </w:t>
      </w:r>
      <w:r w:rsidR="00D42552">
        <w:t>showed a significant increase in pH levels during reactions,</w:t>
      </w:r>
      <w:r w:rsidR="00BA211F">
        <w:t xml:space="preserve"> going from 4</w:t>
      </w:r>
      <w:r w:rsidR="00D95D9B">
        <w:t>.</w:t>
      </w:r>
      <w:r w:rsidR="00BA211F">
        <w:t>84 to 5</w:t>
      </w:r>
      <w:r w:rsidR="00D95D9B">
        <w:t>.</w:t>
      </w:r>
      <w:r w:rsidR="00BA211F">
        <w:t>71 after 1 hour of reaction</w:t>
      </w:r>
      <w:r w:rsidR="00A60F2D">
        <w:t xml:space="preserve"> and a peak in Ca</w:t>
      </w:r>
      <w:r w:rsidR="00A60F2D" w:rsidRPr="00842349">
        <w:rPr>
          <w:vertAlign w:val="superscript"/>
        </w:rPr>
        <w:t>2+</w:t>
      </w:r>
      <w:r w:rsidR="00A60F2D">
        <w:t xml:space="preserve"> concentration (130 mg/L) after 7 days</w:t>
      </w:r>
      <w:r w:rsidR="00D42552">
        <w:t xml:space="preserve"> which </w:t>
      </w:r>
      <w:r w:rsidR="00BA211F">
        <w:t xml:space="preserve">means </w:t>
      </w:r>
      <w:r w:rsidR="00D42552">
        <w:t>rapid dissolution of minerals</w:t>
      </w:r>
      <w:r w:rsidR="00A60F2D">
        <w:t>, mainly plagioclase,</w:t>
      </w:r>
      <w:r w:rsidR="00D42552">
        <w:t xml:space="preserve"> and favorable pH conditions for the precipitation of carbonate minerals, effectively trapping carbon and reducing atmospheric CO</w:t>
      </w:r>
      <w:r w:rsidR="00D42552" w:rsidRPr="00D232B7">
        <w:rPr>
          <w:vertAlign w:val="subscript"/>
        </w:rPr>
        <w:t>2</w:t>
      </w:r>
      <w:r w:rsidR="00D42552">
        <w:t xml:space="preserve"> concentrations.</w:t>
      </w:r>
    </w:p>
    <w:p w14:paraId="3BDA9579" w14:textId="6FC639D6" w:rsidR="00D42552" w:rsidRDefault="00D42552" w:rsidP="00D42552">
      <w:pPr>
        <w:pStyle w:val="CETBodytext"/>
      </w:pPr>
      <w:r>
        <w:t xml:space="preserve">Overall, this basalt sample </w:t>
      </w:r>
      <w:r w:rsidR="00475825">
        <w:t>suggests</w:t>
      </w:r>
      <w:r>
        <w:t xml:space="preserve"> that rocks from Parana-</w:t>
      </w:r>
      <w:proofErr w:type="spellStart"/>
      <w:r>
        <w:t>Etendeka</w:t>
      </w:r>
      <w:proofErr w:type="spellEnd"/>
      <w:r>
        <w:t xml:space="preserve"> Magmatic Province could serve as a valuable resource in efforts to mitigate climate change in </w:t>
      </w:r>
      <w:r w:rsidRPr="00D232B7">
        <w:t>countries located in the southern area of the Atlantic Ocean</w:t>
      </w:r>
      <w:r>
        <w:t>.</w:t>
      </w:r>
    </w:p>
    <w:p w14:paraId="480C32E8" w14:textId="1D1BBDC0" w:rsidR="004D24FB" w:rsidRDefault="004D24FB" w:rsidP="008E4685">
      <w:pPr>
        <w:pStyle w:val="CETAcknowledgementstitle"/>
      </w:pPr>
      <w:r w:rsidRPr="004D24FB">
        <w:t>Acknowledgments</w:t>
      </w:r>
    </w:p>
    <w:p w14:paraId="4BA211CF" w14:textId="5B726DB8" w:rsidR="004D24FB" w:rsidRPr="008E4685" w:rsidRDefault="008E4685" w:rsidP="008E4685">
      <w:pPr>
        <w:pStyle w:val="CETBodytext"/>
      </w:pPr>
      <w:r w:rsidRPr="008E4685">
        <w:t xml:space="preserve">This research was partially conducted in association with the completed R&amp;D project registered as ANP No. 20257-2, “Diagenesis in the carbonate sequences of the Pre-Salt and its impact on the exploration and production of hydrocarbon reservoirs” (UFPR/Shell </w:t>
      </w:r>
      <w:proofErr w:type="spellStart"/>
      <w:r w:rsidRPr="008E4685">
        <w:t>Brasil</w:t>
      </w:r>
      <w:proofErr w:type="spellEnd"/>
      <w:r w:rsidRPr="008E4685">
        <w:t xml:space="preserve">/ANP), sponsored by Shell </w:t>
      </w:r>
      <w:proofErr w:type="spellStart"/>
      <w:r w:rsidRPr="008E4685">
        <w:t>Brasil</w:t>
      </w:r>
      <w:proofErr w:type="spellEnd"/>
      <w:r w:rsidRPr="008E4685">
        <w:t xml:space="preserve"> Petróleo Ltda. Additionally, the authors express their gratitude to CAPES – DS for funding this work, as well as to the </w:t>
      </w:r>
      <w:proofErr w:type="spellStart"/>
      <w:r w:rsidRPr="008E4685">
        <w:t>iLamir</w:t>
      </w:r>
      <w:proofErr w:type="spellEnd"/>
      <w:r w:rsidRPr="008E4685">
        <w:t xml:space="preserve"> </w:t>
      </w:r>
      <w:r>
        <w:t>Institute</w:t>
      </w:r>
      <w:r w:rsidRPr="008E4685">
        <w:t xml:space="preserve"> and the </w:t>
      </w:r>
      <w:proofErr w:type="spellStart"/>
      <w:r w:rsidRPr="008E4685">
        <w:t>CFDeq</w:t>
      </w:r>
      <w:proofErr w:type="spellEnd"/>
      <w:r w:rsidRPr="008E4685">
        <w:t xml:space="preserve">, LES, and </w:t>
      </w:r>
      <w:proofErr w:type="spellStart"/>
      <w:r w:rsidRPr="008E4685">
        <w:t>Lacaut</w:t>
      </w:r>
      <w:proofErr w:type="spellEnd"/>
      <w:r w:rsidRPr="008E4685">
        <w:t xml:space="preserve"> laboratories for providing materials, space, equipment, and support for the experimental analyses.</w:t>
      </w:r>
    </w:p>
    <w:p w14:paraId="3BC2F1F4" w14:textId="77777777" w:rsidR="007E2CC9" w:rsidRDefault="007E2CC9" w:rsidP="004D24FB">
      <w:pPr>
        <w:pStyle w:val="CETReference"/>
      </w:pPr>
    </w:p>
    <w:p w14:paraId="7663D707" w14:textId="77777777" w:rsidR="007E2CC9" w:rsidRDefault="007E2CC9" w:rsidP="004D24FB">
      <w:pPr>
        <w:pStyle w:val="CETReference"/>
      </w:pPr>
    </w:p>
    <w:p w14:paraId="1A4B58E5" w14:textId="40C8E772" w:rsidR="00D42552" w:rsidRDefault="00D42552" w:rsidP="004D24FB">
      <w:pPr>
        <w:pStyle w:val="CETReference"/>
      </w:pPr>
      <w:r>
        <w:t>References</w:t>
      </w:r>
    </w:p>
    <w:p w14:paraId="62CD9F79" w14:textId="58DBAEC0" w:rsidR="00D42552" w:rsidRPr="000C6541" w:rsidRDefault="000C6541" w:rsidP="00D42552">
      <w:pPr>
        <w:pStyle w:val="CETReferencetext"/>
      </w:pPr>
      <w:r w:rsidRPr="000C6541">
        <w:t>Clark, D. E.; Galeczka, I. M.; Dideriksen, K.; Voigt, M. J.; Wolff-Boenisch, D.; Gislason, S. R.</w:t>
      </w:r>
      <w:r w:rsidR="00A43AC5" w:rsidRPr="000C6541">
        <w:t>, 2019</w:t>
      </w:r>
      <w:r w:rsidR="00A43AC5">
        <w:t>,</w:t>
      </w:r>
      <w:r w:rsidRPr="000C6541">
        <w:t xml:space="preserve"> </w:t>
      </w:r>
      <w:r w:rsidR="00D42552" w:rsidRPr="000C6541">
        <w:t>Experimental observations of CO</w:t>
      </w:r>
      <w:r w:rsidR="00D42552" w:rsidRPr="000C6541">
        <w:rPr>
          <w:rFonts w:ascii="Cambria Math" w:hAnsi="Cambria Math" w:cs="Cambria Math"/>
        </w:rPr>
        <w:t>₂</w:t>
      </w:r>
      <w:r w:rsidR="00D42552" w:rsidRPr="000C6541">
        <w:t>-water-basaltic glass interaction in a large column reactor experiment at 50 °C. International Journal of Greenhouse Gas Control, V. 89, p. 9-19.</w:t>
      </w:r>
      <w:r w:rsidR="00D36D1D">
        <w:t xml:space="preserve"> </w:t>
      </w:r>
      <w:r w:rsidR="00D36D1D" w:rsidRPr="00D36D1D">
        <w:t>https://doi.org/10.1016/j.ijggc.2019.07.007</w:t>
      </w:r>
    </w:p>
    <w:p w14:paraId="13B9B04F" w14:textId="5A78E9EB" w:rsidR="00D42552" w:rsidRPr="000C6541" w:rsidRDefault="000C6541" w:rsidP="00D42552">
      <w:pPr>
        <w:pStyle w:val="CETReferencetext"/>
      </w:pPr>
      <w:r w:rsidRPr="000C6541">
        <w:t>Dyer, S.; Graham, G</w:t>
      </w:r>
      <w:r w:rsidR="00D42552" w:rsidRPr="000C6541">
        <w:t>.</w:t>
      </w:r>
      <w:r w:rsidR="00A43AC5" w:rsidRPr="000C6541">
        <w:t>, 2002</w:t>
      </w:r>
      <w:r w:rsidR="00A43AC5">
        <w:t>,</w:t>
      </w:r>
      <w:r w:rsidR="00D42552" w:rsidRPr="000C6541">
        <w:t xml:space="preserve"> The effect of temperature and pressure on oilfield scale formation. Journal of Petroleum Science and Engineering, V. 35, N. 1, p. 95-107.</w:t>
      </w:r>
      <w:r w:rsidR="00D36D1D">
        <w:t xml:space="preserve"> </w:t>
      </w:r>
      <w:r w:rsidR="00D36D1D" w:rsidRPr="00D36D1D">
        <w:t>https://doi.org/10.1016/S0920-4105(02)00217-6</w:t>
      </w:r>
    </w:p>
    <w:p w14:paraId="7A350D87" w14:textId="62CEC475" w:rsidR="00D42552" w:rsidRPr="000C6541" w:rsidRDefault="000C6541" w:rsidP="00D42552">
      <w:pPr>
        <w:pStyle w:val="CETReferencetext"/>
      </w:pPr>
      <w:r w:rsidRPr="000C6541">
        <w:t>Gudbrandsson, S.; Wolff-Boenisch, D.; Gislason, S. R.; Oelkers, E. H</w:t>
      </w:r>
      <w:r w:rsidR="00D42552" w:rsidRPr="000C6541">
        <w:t>.</w:t>
      </w:r>
      <w:r w:rsidR="00A43AC5" w:rsidRPr="000C6541">
        <w:t>, 2011</w:t>
      </w:r>
      <w:r w:rsidR="00A43AC5">
        <w:t>,</w:t>
      </w:r>
      <w:r w:rsidR="00D42552" w:rsidRPr="000C6541">
        <w:t xml:space="preserve"> An experimental study of crystalline basalt dissolution from 2 ≤ pH ≤ 11 and temperatures from 5 to 75 ºC. </w:t>
      </w:r>
      <w:proofErr w:type="spellStart"/>
      <w:r w:rsidR="00D42552" w:rsidRPr="000C6541">
        <w:t>Geochimica</w:t>
      </w:r>
      <w:proofErr w:type="spellEnd"/>
      <w:r w:rsidR="00D42552" w:rsidRPr="000C6541">
        <w:t xml:space="preserve"> et </w:t>
      </w:r>
      <w:proofErr w:type="spellStart"/>
      <w:r w:rsidR="00D42552" w:rsidRPr="000C6541">
        <w:t>Cosmochimica</w:t>
      </w:r>
      <w:proofErr w:type="spellEnd"/>
      <w:r w:rsidR="00D42552" w:rsidRPr="000C6541">
        <w:t xml:space="preserve"> Acta, V. 75, p. 5496-5509.</w:t>
      </w:r>
      <w:r w:rsidR="00D36D1D">
        <w:t xml:space="preserve"> </w:t>
      </w:r>
      <w:r w:rsidR="00D36D1D" w:rsidRPr="00D36D1D">
        <w:t>https://doi.org/10.1016/j.gca.2011.06.035</w:t>
      </w:r>
    </w:p>
    <w:p w14:paraId="3392E46F" w14:textId="25587548" w:rsidR="00D42552" w:rsidRPr="000C6541" w:rsidRDefault="00D42552" w:rsidP="00D42552">
      <w:pPr>
        <w:pStyle w:val="CETReferencetext"/>
      </w:pPr>
      <w:r w:rsidRPr="000C6541">
        <w:t>IPCC.</w:t>
      </w:r>
      <w:r w:rsidR="00A53754" w:rsidRPr="000C6541">
        <w:t>, 2019</w:t>
      </w:r>
      <w:r w:rsidR="00A53754">
        <w:t>,</w:t>
      </w:r>
      <w:r w:rsidRPr="000C6541">
        <w:t xml:space="preserve"> Refinement to the 2006 IPCC Guidelines for national greenhouse gas inventories, chapter 3.</w:t>
      </w:r>
    </w:p>
    <w:p w14:paraId="1CEBF7F2" w14:textId="5305BB5B" w:rsidR="00D42552" w:rsidRPr="000C6541" w:rsidRDefault="000C6541" w:rsidP="00D42552">
      <w:pPr>
        <w:pStyle w:val="CETReferencetext"/>
      </w:pPr>
      <w:r w:rsidRPr="000C6541">
        <w:t>Marsh, J. S.; Swart, R.</w:t>
      </w:r>
      <w:r w:rsidR="00A53754" w:rsidRPr="000C6541">
        <w:t>, 2018</w:t>
      </w:r>
      <w:r w:rsidR="00A53754">
        <w:t>,</w:t>
      </w:r>
      <w:r w:rsidRPr="000C6541">
        <w:t xml:space="preserve"> </w:t>
      </w:r>
      <w:r w:rsidR="00D42552" w:rsidRPr="000C6541">
        <w:t>The Bero Volcanic Complex: Extension of the Paraná-</w:t>
      </w:r>
      <w:proofErr w:type="spellStart"/>
      <w:r w:rsidR="00D42552" w:rsidRPr="000C6541">
        <w:t>Etendeka</w:t>
      </w:r>
      <w:proofErr w:type="spellEnd"/>
      <w:r w:rsidR="00D42552" w:rsidRPr="000C6541">
        <w:t xml:space="preserve"> Igneous Province into SW Angola. Journal of Volcanology and Geothermal Research, V. 355, p. 21-31.</w:t>
      </w:r>
      <w:r w:rsidR="00D36D1D">
        <w:t xml:space="preserve"> </w:t>
      </w:r>
      <w:r w:rsidR="00D36D1D" w:rsidRPr="00D36D1D">
        <w:t>https://doi.org/10.1016/j.jvolgeores.2016.10.011</w:t>
      </w:r>
    </w:p>
    <w:p w14:paraId="73A29E56" w14:textId="1FF61957" w:rsidR="00D42552" w:rsidRPr="000C6541" w:rsidRDefault="000C6541" w:rsidP="00684AB5">
      <w:pPr>
        <w:pStyle w:val="CETReferencetext"/>
      </w:pPr>
      <w:r w:rsidRPr="000C6541">
        <w:t xml:space="preserve">Matter, J.M., Stute, M., </w:t>
      </w:r>
      <w:proofErr w:type="spellStart"/>
      <w:r w:rsidRPr="000C6541">
        <w:t>Snæbjornsdottir</w:t>
      </w:r>
      <w:proofErr w:type="spellEnd"/>
      <w:r w:rsidRPr="000C6541">
        <w:t>, S.O., Oelkers, E.H., Gislason, S.R., Aradottir, E. S., Sigfusson, B., Gunnarsson, I., Sigurdardottir, H., Gunnlaugsson, E.</w:t>
      </w:r>
      <w:r w:rsidR="00A53754" w:rsidRPr="000C6541">
        <w:t>, 2016</w:t>
      </w:r>
      <w:r w:rsidR="00A53754">
        <w:t>,</w:t>
      </w:r>
      <w:r w:rsidRPr="000C6541">
        <w:t xml:space="preserve"> </w:t>
      </w:r>
      <w:r w:rsidR="00D42552" w:rsidRPr="000C6541">
        <w:t>Rapid carbon mineralization for permanent disposal of anthropogenic carbon dioxide emissions. Science v. 352 n. 6291, p. 1312–1314.</w:t>
      </w:r>
      <w:r w:rsidR="00684AB5">
        <w:t xml:space="preserve"> </w:t>
      </w:r>
      <w:r w:rsidR="00684AB5" w:rsidRPr="00684AB5">
        <w:t>https://www.science.org/doi/10.1126/science.aad8132</w:t>
      </w:r>
    </w:p>
    <w:p w14:paraId="023E7D9F" w14:textId="1CA1C417" w:rsidR="00D42552" w:rsidRPr="000C6541" w:rsidRDefault="000C6541" w:rsidP="00D42552">
      <w:pPr>
        <w:pStyle w:val="CETReferencetext"/>
      </w:pPr>
      <w:r w:rsidRPr="000C6541">
        <w:t>Mc</w:t>
      </w:r>
      <w:r w:rsidR="00A53754">
        <w:t>G</w:t>
      </w:r>
      <w:r w:rsidRPr="000C6541">
        <w:t>rail, B.P., Ho, A.M., Reidel, S.P., Schaef, H.T.</w:t>
      </w:r>
      <w:r w:rsidR="00A53754" w:rsidRPr="000C6541">
        <w:t>, 2003</w:t>
      </w:r>
      <w:r w:rsidR="00A53754">
        <w:t>,</w:t>
      </w:r>
      <w:r w:rsidRPr="000C6541">
        <w:t xml:space="preserve"> </w:t>
      </w:r>
      <w:r w:rsidR="00D42552" w:rsidRPr="000C6541">
        <w:t>Use and Features of Basalt Formations for Geologic Sequestration. Greenhouse Gas Control Technologies-6th International Conference. Elsevier, pp. 1637–1640.</w:t>
      </w:r>
      <w:r w:rsidR="00684AB5">
        <w:t xml:space="preserve"> </w:t>
      </w:r>
      <w:r w:rsidR="00684AB5" w:rsidRPr="00684AB5">
        <w:t>https://doi.org/10.1016/B978-008044276-1/50264-6</w:t>
      </w:r>
    </w:p>
    <w:p w14:paraId="0C7EBD2C" w14:textId="0A938FED" w:rsidR="00D42552" w:rsidRPr="000C6541" w:rsidRDefault="000C6541" w:rsidP="00D42552">
      <w:pPr>
        <w:pStyle w:val="CETReferencetext"/>
      </w:pPr>
      <w:r w:rsidRPr="000C6541">
        <w:t>Rossetti, L.; Healy, D.; Hole, M. J.; Millett, J. M.; Lima, E. F.; Jerram, D. A.; Rossetti, M. M.</w:t>
      </w:r>
      <w:r w:rsidR="00A53754" w:rsidRPr="000C6541">
        <w:t>, 2019</w:t>
      </w:r>
      <w:r w:rsidR="00A53754">
        <w:t>,</w:t>
      </w:r>
      <w:r w:rsidRPr="000C6541">
        <w:t xml:space="preserve"> </w:t>
      </w:r>
      <w:r w:rsidR="00D42552" w:rsidRPr="000C6541">
        <w:t>Evaluating petrophysical properties of volcano-sedimentary sequences: A case study in the Paraná-</w:t>
      </w:r>
      <w:proofErr w:type="spellStart"/>
      <w:r w:rsidR="00D42552" w:rsidRPr="000C6541">
        <w:t>Etendeka</w:t>
      </w:r>
      <w:proofErr w:type="spellEnd"/>
      <w:r w:rsidR="00D42552" w:rsidRPr="000C6541">
        <w:t xml:space="preserve"> Large Igneous Province. Marine and Petroleum Geology, V. 102, p. 638-656.</w:t>
      </w:r>
      <w:r w:rsidR="00684AB5">
        <w:t xml:space="preserve"> </w:t>
      </w:r>
      <w:r w:rsidR="00684AB5" w:rsidRPr="00684AB5">
        <w:t>https://doi.org/10.1016/j.marpetgeo.2019.01.028</w:t>
      </w:r>
    </w:p>
    <w:p w14:paraId="348D0AAD" w14:textId="11CD4702" w:rsidR="00D42552" w:rsidRPr="000C6541" w:rsidRDefault="000C6541" w:rsidP="00D42552">
      <w:pPr>
        <w:pStyle w:val="CETReferencetext"/>
      </w:pPr>
      <w:r w:rsidRPr="000C6541">
        <w:t xml:space="preserve">Schaef, H. T.; </w:t>
      </w:r>
      <w:proofErr w:type="spellStart"/>
      <w:r w:rsidRPr="000C6541">
        <w:t>Mcgrail</w:t>
      </w:r>
      <w:proofErr w:type="spellEnd"/>
      <w:r w:rsidRPr="000C6541">
        <w:t>, B. P.; Owen, A. T</w:t>
      </w:r>
      <w:r w:rsidR="00D42552" w:rsidRPr="000C6541">
        <w:t>.</w:t>
      </w:r>
      <w:r w:rsidR="00A53754" w:rsidRPr="000C6541">
        <w:t>, 2011</w:t>
      </w:r>
      <w:r w:rsidR="00A53754">
        <w:t>,</w:t>
      </w:r>
      <w:r w:rsidR="00D42552" w:rsidRPr="000C6541">
        <w:t xml:space="preserve"> Basalt reactivity variability with reservoir depth in supercritical CO</w:t>
      </w:r>
      <w:r w:rsidR="00D42552" w:rsidRPr="000C6541">
        <w:rPr>
          <w:rFonts w:ascii="Cambria Math" w:hAnsi="Cambria Math" w:cs="Cambria Math"/>
        </w:rPr>
        <w:t>₂</w:t>
      </w:r>
      <w:r w:rsidR="00D42552" w:rsidRPr="000C6541">
        <w:t xml:space="preserve"> and aqueous phases. Energy Procedia, V. 4, p. 4977-4984.</w:t>
      </w:r>
      <w:r w:rsidR="00684AB5">
        <w:t xml:space="preserve"> </w:t>
      </w:r>
      <w:r w:rsidR="00684AB5" w:rsidRPr="00684AB5">
        <w:t>https://doi.org/10.1016/j.egypro.2011.02.468</w:t>
      </w:r>
    </w:p>
    <w:p w14:paraId="0FEB9A34" w14:textId="57919863" w:rsidR="00D42552" w:rsidRPr="000C6541" w:rsidRDefault="000C6541" w:rsidP="00D42552">
      <w:pPr>
        <w:pStyle w:val="CETReferencetext"/>
      </w:pPr>
      <w:r w:rsidRPr="000C6541">
        <w:t xml:space="preserve">Sharp, I.; </w:t>
      </w:r>
      <w:proofErr w:type="spellStart"/>
      <w:r w:rsidRPr="000C6541">
        <w:t>Verwer</w:t>
      </w:r>
      <w:proofErr w:type="spellEnd"/>
      <w:r w:rsidRPr="000C6541">
        <w:t xml:space="preserve">, K.; Ferreira, C. H.; </w:t>
      </w:r>
      <w:proofErr w:type="spellStart"/>
      <w:r w:rsidRPr="000C6541">
        <w:t>Snidero</w:t>
      </w:r>
      <w:proofErr w:type="spellEnd"/>
      <w:r w:rsidRPr="000C6541">
        <w:t xml:space="preserve">, M.; Machado, V.; </w:t>
      </w:r>
      <w:proofErr w:type="spellStart"/>
      <w:r w:rsidRPr="000C6541">
        <w:t>Holtar</w:t>
      </w:r>
      <w:proofErr w:type="spellEnd"/>
      <w:r w:rsidRPr="000C6541">
        <w:t>, E.; Swart, R.; Marsh, J.; Gindre-Chanu, L.; Puigdefabregas, C.; Fejerskov, M.</w:t>
      </w:r>
      <w:r w:rsidR="00A53754" w:rsidRPr="000C6541">
        <w:t>, 2012</w:t>
      </w:r>
      <w:r w:rsidR="00A53754">
        <w:t>,</w:t>
      </w:r>
      <w:r w:rsidRPr="000C6541">
        <w:t xml:space="preserve"> </w:t>
      </w:r>
      <w:proofErr w:type="gramStart"/>
      <w:r w:rsidR="00D42552" w:rsidRPr="000C6541">
        <w:t>Pre</w:t>
      </w:r>
      <w:proofErr w:type="gramEnd"/>
      <w:r w:rsidR="00D42552" w:rsidRPr="000C6541">
        <w:t xml:space="preserve"> and post-salt non-marine carbonates of the </w:t>
      </w:r>
      <w:proofErr w:type="spellStart"/>
      <w:r w:rsidR="00D42552" w:rsidRPr="000C6541">
        <w:t>Namibe</w:t>
      </w:r>
      <w:proofErr w:type="spellEnd"/>
      <w:r w:rsidR="00D42552" w:rsidRPr="000C6541">
        <w:t xml:space="preserve"> Basin, Angola. AAPG Annual Convention and Exhibition. American Association of Petroleum Geologists.</w:t>
      </w:r>
    </w:p>
    <w:p w14:paraId="5344D3F1" w14:textId="4765608C" w:rsidR="00D42552" w:rsidRPr="00A53754" w:rsidRDefault="000C6541" w:rsidP="00D42552">
      <w:pPr>
        <w:pStyle w:val="CETReferencetext"/>
        <w:rPr>
          <w:lang w:val="en-US"/>
        </w:rPr>
      </w:pPr>
      <w:proofErr w:type="spellStart"/>
      <w:r w:rsidRPr="000C6541">
        <w:t>Snæbjörnsdóttir</w:t>
      </w:r>
      <w:proofErr w:type="spellEnd"/>
      <w:r w:rsidRPr="000C6541">
        <w:t>, S. Ó.; Gislason, S. R.; Galeczka, I. M.; Oelkers, E. H.</w:t>
      </w:r>
      <w:r w:rsidR="00A53754" w:rsidRPr="00A53754">
        <w:rPr>
          <w:lang w:val="en-US"/>
        </w:rPr>
        <w:t>, 2018,</w:t>
      </w:r>
      <w:r w:rsidR="00D42552" w:rsidRPr="000C6541">
        <w:t xml:space="preserve"> Reaction path modelling of in-situ mineralisation of CO</w:t>
      </w:r>
      <w:r w:rsidR="00D42552" w:rsidRPr="000C6541">
        <w:rPr>
          <w:rFonts w:ascii="Cambria Math" w:hAnsi="Cambria Math" w:cs="Cambria Math"/>
        </w:rPr>
        <w:t>₂</w:t>
      </w:r>
      <w:r w:rsidR="00D42552" w:rsidRPr="000C6541">
        <w:t xml:space="preserve"> at the </w:t>
      </w:r>
      <w:proofErr w:type="spellStart"/>
      <w:r w:rsidR="00D42552" w:rsidRPr="000C6541">
        <w:t>CarbFix</w:t>
      </w:r>
      <w:proofErr w:type="spellEnd"/>
      <w:r w:rsidR="00D42552" w:rsidRPr="000C6541">
        <w:t xml:space="preserve"> site at </w:t>
      </w:r>
      <w:proofErr w:type="spellStart"/>
      <w:r w:rsidR="00D42552" w:rsidRPr="000C6541">
        <w:t>Hellisheidi</w:t>
      </w:r>
      <w:proofErr w:type="spellEnd"/>
      <w:r w:rsidR="00D42552" w:rsidRPr="000C6541">
        <w:t xml:space="preserve">, SW-Iceland. </w:t>
      </w:r>
      <w:proofErr w:type="spellStart"/>
      <w:r w:rsidR="00D42552" w:rsidRPr="00A53754">
        <w:rPr>
          <w:lang w:val="en-US"/>
        </w:rPr>
        <w:t>Geochimica</w:t>
      </w:r>
      <w:proofErr w:type="spellEnd"/>
      <w:r w:rsidR="00D42552" w:rsidRPr="00A53754">
        <w:rPr>
          <w:lang w:val="en-US"/>
        </w:rPr>
        <w:t xml:space="preserve"> et </w:t>
      </w:r>
      <w:proofErr w:type="spellStart"/>
      <w:r w:rsidR="00D42552" w:rsidRPr="00A53754">
        <w:rPr>
          <w:lang w:val="en-US"/>
        </w:rPr>
        <w:t>Cosmochimica</w:t>
      </w:r>
      <w:proofErr w:type="spellEnd"/>
      <w:r w:rsidR="00D42552" w:rsidRPr="00A53754">
        <w:rPr>
          <w:lang w:val="en-US"/>
        </w:rPr>
        <w:t xml:space="preserve"> Acta, V. 220, p. 348-366.</w:t>
      </w:r>
      <w:r w:rsidR="00684AB5">
        <w:rPr>
          <w:lang w:val="en-US"/>
        </w:rPr>
        <w:t xml:space="preserve"> </w:t>
      </w:r>
      <w:r w:rsidR="00684AB5" w:rsidRPr="00684AB5">
        <w:rPr>
          <w:lang w:val="en-US"/>
        </w:rPr>
        <w:t>https://doi.org/10.1016/j.gca.2017.09.053</w:t>
      </w:r>
    </w:p>
    <w:p w14:paraId="60EE9C58" w14:textId="2434CEA4" w:rsidR="00A43AC5" w:rsidRPr="00A43AC5" w:rsidRDefault="00A43AC5" w:rsidP="00D42552">
      <w:pPr>
        <w:pStyle w:val="CETReferencetext"/>
        <w:rPr>
          <w:lang w:val="en-US"/>
        </w:rPr>
      </w:pPr>
      <w:r w:rsidRPr="00A43AC5">
        <w:rPr>
          <w:lang w:val="en-US"/>
        </w:rPr>
        <w:t>Silva, K. C.</w:t>
      </w:r>
      <w:r w:rsidR="00A53754" w:rsidRPr="00A43AC5">
        <w:rPr>
          <w:lang w:val="en-US"/>
        </w:rPr>
        <w:t>, 2021</w:t>
      </w:r>
      <w:r w:rsidR="00A53754">
        <w:rPr>
          <w:lang w:val="en-US"/>
        </w:rPr>
        <w:t>,</w:t>
      </w:r>
      <w:r w:rsidRPr="00A43AC5">
        <w:rPr>
          <w:lang w:val="en-US"/>
        </w:rPr>
        <w:t xml:space="preserve"> Study of reactive flow in carbonate rocks: </w:t>
      </w:r>
      <w:r>
        <w:rPr>
          <w:lang w:val="en-US"/>
        </w:rPr>
        <w:t>S</w:t>
      </w:r>
      <w:r w:rsidRPr="00A43AC5">
        <w:rPr>
          <w:lang w:val="en-US"/>
        </w:rPr>
        <w:t>tudy of the effect of pressure and fluid salinity. Master's dissertation, Federal University of Paraná (in Portuguese)</w:t>
      </w:r>
      <w:r w:rsidR="00A53754">
        <w:rPr>
          <w:lang w:val="en-US"/>
        </w:rPr>
        <w:t>.</w:t>
      </w:r>
    </w:p>
    <w:p w14:paraId="3723DB39" w14:textId="28793B95" w:rsidR="00D42552" w:rsidRPr="000C6541" w:rsidRDefault="000C6541" w:rsidP="00D42552">
      <w:pPr>
        <w:pStyle w:val="CETReferencetext"/>
      </w:pPr>
      <w:proofErr w:type="spellStart"/>
      <w:r w:rsidRPr="000C6541">
        <w:t>Stica</w:t>
      </w:r>
      <w:proofErr w:type="spellEnd"/>
      <w:r w:rsidRPr="000C6541">
        <w:t>, J.M., Zalán, P.V., Ferrari, A.L</w:t>
      </w:r>
      <w:r w:rsidR="00D42552" w:rsidRPr="000C6541">
        <w:t>.</w:t>
      </w:r>
      <w:r w:rsidR="00A53754" w:rsidRPr="000C6541">
        <w:t>, 2014</w:t>
      </w:r>
      <w:r w:rsidR="00A53754">
        <w:t>,</w:t>
      </w:r>
      <w:r w:rsidR="00D42552" w:rsidRPr="000C6541">
        <w:t xml:space="preserve"> The evolution of rifting on the volcanic margin of the Pelotas Basin and the contextualization of the Paraná–</w:t>
      </w:r>
      <w:proofErr w:type="spellStart"/>
      <w:r w:rsidR="00D42552" w:rsidRPr="000C6541">
        <w:t>Etendeka</w:t>
      </w:r>
      <w:proofErr w:type="spellEnd"/>
      <w:r w:rsidR="00D42552" w:rsidRPr="000C6541">
        <w:t xml:space="preserve"> LIP in the separation of Gondwana in the South Atlantic. Mar. Petrol. Geol. V. 50, p. 1–21.</w:t>
      </w:r>
      <w:r w:rsidR="00684AB5">
        <w:t xml:space="preserve"> </w:t>
      </w:r>
      <w:r w:rsidR="00684AB5" w:rsidRPr="00684AB5">
        <w:t>https://doi.org/10.1016/j.marpetgeo.2013.10.015</w:t>
      </w:r>
    </w:p>
    <w:p w14:paraId="458FAACF" w14:textId="17773097" w:rsidR="00D42552" w:rsidRPr="000C6541" w:rsidRDefault="000C6541" w:rsidP="00D42552">
      <w:pPr>
        <w:pStyle w:val="CETReferencetext"/>
      </w:pPr>
      <w:r w:rsidRPr="000C6541">
        <w:t>Wang, X.; Alvarado V.; Swoboda-Colberg, N.; Kaszuba, J.P</w:t>
      </w:r>
      <w:r w:rsidR="00D42552" w:rsidRPr="000C6541">
        <w:t>.</w:t>
      </w:r>
      <w:r w:rsidR="00A53754" w:rsidRPr="000C6541">
        <w:t>, 2013</w:t>
      </w:r>
      <w:r w:rsidR="00A53754">
        <w:t>,</w:t>
      </w:r>
      <w:r w:rsidR="00D42552" w:rsidRPr="000C6541">
        <w:t xml:space="preserve"> Reactivity of dolomite in water-saturated supercritical carbon dioxide: Significance for carbon capture and storage and for enhanced oil and gas recovery. Energy Conversion and Management v.65 p.564–573.</w:t>
      </w:r>
      <w:r w:rsidR="00684AB5">
        <w:t xml:space="preserve"> </w:t>
      </w:r>
      <w:r w:rsidR="00684AB5" w:rsidRPr="00684AB5">
        <w:t>https://doi.org/10.1016/j.enconman.2012.07.024</w:t>
      </w:r>
    </w:p>
    <w:p w14:paraId="3B9B02DE" w14:textId="77777777" w:rsidR="00D42552" w:rsidRPr="00D42552" w:rsidRDefault="00D42552" w:rsidP="00D42552">
      <w:pPr>
        <w:pStyle w:val="CETReferencetext"/>
      </w:pPr>
    </w:p>
    <w:sectPr w:rsidR="00D42552" w:rsidRPr="00D4255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36F48" w14:textId="77777777" w:rsidR="00657947" w:rsidRDefault="00657947" w:rsidP="004F5E36">
      <w:r>
        <w:separator/>
      </w:r>
    </w:p>
  </w:endnote>
  <w:endnote w:type="continuationSeparator" w:id="0">
    <w:p w14:paraId="21AEB0DC" w14:textId="77777777" w:rsidR="00657947" w:rsidRDefault="0065794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43FFB" w14:textId="77777777" w:rsidR="00657947" w:rsidRDefault="00657947" w:rsidP="004F5E36">
      <w:r>
        <w:separator/>
      </w:r>
    </w:p>
  </w:footnote>
  <w:footnote w:type="continuationSeparator" w:id="0">
    <w:p w14:paraId="6D32DAEC" w14:textId="77777777" w:rsidR="00657947" w:rsidRDefault="0065794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273ED0"/>
    <w:multiLevelType w:val="multilevel"/>
    <w:tmpl w:val="E104D1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506436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A0C"/>
    <w:rsid w:val="000027C0"/>
    <w:rsid w:val="000052FB"/>
    <w:rsid w:val="00005A19"/>
    <w:rsid w:val="000117CB"/>
    <w:rsid w:val="00024C3A"/>
    <w:rsid w:val="0003148D"/>
    <w:rsid w:val="00031EEC"/>
    <w:rsid w:val="00051566"/>
    <w:rsid w:val="000562A9"/>
    <w:rsid w:val="00062A9A"/>
    <w:rsid w:val="00065058"/>
    <w:rsid w:val="00067C96"/>
    <w:rsid w:val="00073BCB"/>
    <w:rsid w:val="00086C39"/>
    <w:rsid w:val="000A03B2"/>
    <w:rsid w:val="000A066B"/>
    <w:rsid w:val="000A7BE8"/>
    <w:rsid w:val="000C6541"/>
    <w:rsid w:val="000D0268"/>
    <w:rsid w:val="000D335C"/>
    <w:rsid w:val="000D34BE"/>
    <w:rsid w:val="000E0B3C"/>
    <w:rsid w:val="000E102F"/>
    <w:rsid w:val="000E36F1"/>
    <w:rsid w:val="000E3A73"/>
    <w:rsid w:val="000E414A"/>
    <w:rsid w:val="000E75FD"/>
    <w:rsid w:val="000F093C"/>
    <w:rsid w:val="000F5646"/>
    <w:rsid w:val="000F787B"/>
    <w:rsid w:val="0012091F"/>
    <w:rsid w:val="00126BC2"/>
    <w:rsid w:val="001308B6"/>
    <w:rsid w:val="0013121F"/>
    <w:rsid w:val="00131FE6"/>
    <w:rsid w:val="0013263F"/>
    <w:rsid w:val="001331DF"/>
    <w:rsid w:val="00134DE4"/>
    <w:rsid w:val="0014034D"/>
    <w:rsid w:val="00140FE3"/>
    <w:rsid w:val="00141458"/>
    <w:rsid w:val="001420BC"/>
    <w:rsid w:val="00144D16"/>
    <w:rsid w:val="00150E59"/>
    <w:rsid w:val="00152DE3"/>
    <w:rsid w:val="00164CF9"/>
    <w:rsid w:val="0016668E"/>
    <w:rsid w:val="001667A6"/>
    <w:rsid w:val="00167D9A"/>
    <w:rsid w:val="0018171E"/>
    <w:rsid w:val="00182688"/>
    <w:rsid w:val="00184AD6"/>
    <w:rsid w:val="001A4AF7"/>
    <w:rsid w:val="001B0349"/>
    <w:rsid w:val="001B1E93"/>
    <w:rsid w:val="001B65C1"/>
    <w:rsid w:val="001C260F"/>
    <w:rsid w:val="001C5A2E"/>
    <w:rsid w:val="001C5BA1"/>
    <w:rsid w:val="001C5C3A"/>
    <w:rsid w:val="001C684B"/>
    <w:rsid w:val="001D0CFB"/>
    <w:rsid w:val="001D13E7"/>
    <w:rsid w:val="001D21AF"/>
    <w:rsid w:val="001D3D32"/>
    <w:rsid w:val="001D40FE"/>
    <w:rsid w:val="001D53FC"/>
    <w:rsid w:val="001F1A08"/>
    <w:rsid w:val="001F42A5"/>
    <w:rsid w:val="001F7B9D"/>
    <w:rsid w:val="00201C93"/>
    <w:rsid w:val="002224B4"/>
    <w:rsid w:val="002447EF"/>
    <w:rsid w:val="00251550"/>
    <w:rsid w:val="00263B05"/>
    <w:rsid w:val="0027221A"/>
    <w:rsid w:val="002734DA"/>
    <w:rsid w:val="00275B61"/>
    <w:rsid w:val="00280FAF"/>
    <w:rsid w:val="002818E8"/>
    <w:rsid w:val="00282656"/>
    <w:rsid w:val="00296B83"/>
    <w:rsid w:val="002A092E"/>
    <w:rsid w:val="002B4015"/>
    <w:rsid w:val="002B78CE"/>
    <w:rsid w:val="002C2FB6"/>
    <w:rsid w:val="002C635A"/>
    <w:rsid w:val="002E5FA7"/>
    <w:rsid w:val="002F3309"/>
    <w:rsid w:val="002F60BE"/>
    <w:rsid w:val="003008CE"/>
    <w:rsid w:val="003009B7"/>
    <w:rsid w:val="00300E56"/>
    <w:rsid w:val="0030152C"/>
    <w:rsid w:val="0030469C"/>
    <w:rsid w:val="00304CE8"/>
    <w:rsid w:val="0031612C"/>
    <w:rsid w:val="003170BA"/>
    <w:rsid w:val="00321CA6"/>
    <w:rsid w:val="00323763"/>
    <w:rsid w:val="00323C5F"/>
    <w:rsid w:val="00327A9A"/>
    <w:rsid w:val="0033451F"/>
    <w:rsid w:val="00334C09"/>
    <w:rsid w:val="0037095B"/>
    <w:rsid w:val="003723D4"/>
    <w:rsid w:val="00381905"/>
    <w:rsid w:val="00384CC8"/>
    <w:rsid w:val="003871FD"/>
    <w:rsid w:val="003A1E30"/>
    <w:rsid w:val="003A2829"/>
    <w:rsid w:val="003A536C"/>
    <w:rsid w:val="003A7350"/>
    <w:rsid w:val="003A7D1C"/>
    <w:rsid w:val="003B304B"/>
    <w:rsid w:val="003B3146"/>
    <w:rsid w:val="003B49CD"/>
    <w:rsid w:val="003D1E02"/>
    <w:rsid w:val="003F015E"/>
    <w:rsid w:val="003F2391"/>
    <w:rsid w:val="00400414"/>
    <w:rsid w:val="00401A00"/>
    <w:rsid w:val="00404A8C"/>
    <w:rsid w:val="004120BC"/>
    <w:rsid w:val="0041446B"/>
    <w:rsid w:val="004307F0"/>
    <w:rsid w:val="0044071E"/>
    <w:rsid w:val="0044329C"/>
    <w:rsid w:val="00450D64"/>
    <w:rsid w:val="00453E24"/>
    <w:rsid w:val="00457456"/>
    <w:rsid w:val="004577FE"/>
    <w:rsid w:val="00457B9C"/>
    <w:rsid w:val="0046164A"/>
    <w:rsid w:val="004628D2"/>
    <w:rsid w:val="00462DCD"/>
    <w:rsid w:val="00463369"/>
    <w:rsid w:val="004648AD"/>
    <w:rsid w:val="004703A9"/>
    <w:rsid w:val="00475825"/>
    <w:rsid w:val="004760DE"/>
    <w:rsid w:val="004763D7"/>
    <w:rsid w:val="00494747"/>
    <w:rsid w:val="004A004E"/>
    <w:rsid w:val="004A24CF"/>
    <w:rsid w:val="004C3D1D"/>
    <w:rsid w:val="004C3D84"/>
    <w:rsid w:val="004C7913"/>
    <w:rsid w:val="004D24FB"/>
    <w:rsid w:val="004D2765"/>
    <w:rsid w:val="004E4DD6"/>
    <w:rsid w:val="004E6B6A"/>
    <w:rsid w:val="004E7B6D"/>
    <w:rsid w:val="004F5E36"/>
    <w:rsid w:val="00507B47"/>
    <w:rsid w:val="00507BEF"/>
    <w:rsid w:val="00507CC9"/>
    <w:rsid w:val="005119A5"/>
    <w:rsid w:val="00516C13"/>
    <w:rsid w:val="005278B7"/>
    <w:rsid w:val="00532016"/>
    <w:rsid w:val="005346C8"/>
    <w:rsid w:val="00543E7D"/>
    <w:rsid w:val="005468F4"/>
    <w:rsid w:val="00547A68"/>
    <w:rsid w:val="005531C9"/>
    <w:rsid w:val="00554879"/>
    <w:rsid w:val="00561CF7"/>
    <w:rsid w:val="00570C43"/>
    <w:rsid w:val="00592274"/>
    <w:rsid w:val="005A06BF"/>
    <w:rsid w:val="005A2946"/>
    <w:rsid w:val="005B2110"/>
    <w:rsid w:val="005B350B"/>
    <w:rsid w:val="005B61E6"/>
    <w:rsid w:val="005C5B46"/>
    <w:rsid w:val="005C77E1"/>
    <w:rsid w:val="005D28CD"/>
    <w:rsid w:val="005D668A"/>
    <w:rsid w:val="005D6A2F"/>
    <w:rsid w:val="005E0592"/>
    <w:rsid w:val="005E1A82"/>
    <w:rsid w:val="005E794C"/>
    <w:rsid w:val="005F0A28"/>
    <w:rsid w:val="005F0E5E"/>
    <w:rsid w:val="00600535"/>
    <w:rsid w:val="00610CD6"/>
    <w:rsid w:val="00615109"/>
    <w:rsid w:val="00620DEE"/>
    <w:rsid w:val="00621F92"/>
    <w:rsid w:val="0062280A"/>
    <w:rsid w:val="006231E1"/>
    <w:rsid w:val="00625639"/>
    <w:rsid w:val="00626342"/>
    <w:rsid w:val="00631B33"/>
    <w:rsid w:val="0064184D"/>
    <w:rsid w:val="006422CC"/>
    <w:rsid w:val="00651D18"/>
    <w:rsid w:val="00657947"/>
    <w:rsid w:val="00660E3E"/>
    <w:rsid w:val="00662E74"/>
    <w:rsid w:val="00680C23"/>
    <w:rsid w:val="00683E23"/>
    <w:rsid w:val="00684AB5"/>
    <w:rsid w:val="00693766"/>
    <w:rsid w:val="006A3281"/>
    <w:rsid w:val="006A6DE5"/>
    <w:rsid w:val="006B4888"/>
    <w:rsid w:val="006C2E45"/>
    <w:rsid w:val="006C359C"/>
    <w:rsid w:val="006C5579"/>
    <w:rsid w:val="006D28E3"/>
    <w:rsid w:val="006D6E8B"/>
    <w:rsid w:val="006D7209"/>
    <w:rsid w:val="006E08A9"/>
    <w:rsid w:val="006E737D"/>
    <w:rsid w:val="00707DD1"/>
    <w:rsid w:val="007111C7"/>
    <w:rsid w:val="00713973"/>
    <w:rsid w:val="00720A24"/>
    <w:rsid w:val="00725562"/>
    <w:rsid w:val="00725597"/>
    <w:rsid w:val="00732386"/>
    <w:rsid w:val="0073514D"/>
    <w:rsid w:val="007447F3"/>
    <w:rsid w:val="00746DF1"/>
    <w:rsid w:val="0075499F"/>
    <w:rsid w:val="00762C3B"/>
    <w:rsid w:val="007661C8"/>
    <w:rsid w:val="0077098D"/>
    <w:rsid w:val="007762FE"/>
    <w:rsid w:val="00783113"/>
    <w:rsid w:val="00785BF9"/>
    <w:rsid w:val="007922EE"/>
    <w:rsid w:val="007931FA"/>
    <w:rsid w:val="00794734"/>
    <w:rsid w:val="007A4861"/>
    <w:rsid w:val="007A7BBA"/>
    <w:rsid w:val="007B0C50"/>
    <w:rsid w:val="007B48F9"/>
    <w:rsid w:val="007C1A43"/>
    <w:rsid w:val="007C1DBC"/>
    <w:rsid w:val="007D0951"/>
    <w:rsid w:val="007D0B4F"/>
    <w:rsid w:val="007D610D"/>
    <w:rsid w:val="007E2CC9"/>
    <w:rsid w:val="007F3BA6"/>
    <w:rsid w:val="0080013E"/>
    <w:rsid w:val="00801759"/>
    <w:rsid w:val="00813288"/>
    <w:rsid w:val="008168FC"/>
    <w:rsid w:val="00830996"/>
    <w:rsid w:val="00831EA4"/>
    <w:rsid w:val="0083432F"/>
    <w:rsid w:val="008345F1"/>
    <w:rsid w:val="00842349"/>
    <w:rsid w:val="00865B07"/>
    <w:rsid w:val="008667EA"/>
    <w:rsid w:val="00871EF3"/>
    <w:rsid w:val="0087637F"/>
    <w:rsid w:val="00886FA9"/>
    <w:rsid w:val="00892AD5"/>
    <w:rsid w:val="00893BD8"/>
    <w:rsid w:val="00894153"/>
    <w:rsid w:val="008A1512"/>
    <w:rsid w:val="008B00D3"/>
    <w:rsid w:val="008D32B9"/>
    <w:rsid w:val="008D433B"/>
    <w:rsid w:val="008D4A16"/>
    <w:rsid w:val="008E4685"/>
    <w:rsid w:val="008E5401"/>
    <w:rsid w:val="008E566E"/>
    <w:rsid w:val="008F2A4D"/>
    <w:rsid w:val="008F6DE8"/>
    <w:rsid w:val="0090161A"/>
    <w:rsid w:val="00901EB6"/>
    <w:rsid w:val="009041F8"/>
    <w:rsid w:val="00904C62"/>
    <w:rsid w:val="0091635E"/>
    <w:rsid w:val="00922BA8"/>
    <w:rsid w:val="00924DAC"/>
    <w:rsid w:val="00927058"/>
    <w:rsid w:val="009423B5"/>
    <w:rsid w:val="00942750"/>
    <w:rsid w:val="009450CE"/>
    <w:rsid w:val="009459BB"/>
    <w:rsid w:val="00947179"/>
    <w:rsid w:val="0095094E"/>
    <w:rsid w:val="0095164B"/>
    <w:rsid w:val="00954090"/>
    <w:rsid w:val="009573E7"/>
    <w:rsid w:val="00963E05"/>
    <w:rsid w:val="00964A45"/>
    <w:rsid w:val="00967843"/>
    <w:rsid w:val="00967D54"/>
    <w:rsid w:val="00971028"/>
    <w:rsid w:val="00971F49"/>
    <w:rsid w:val="00982C78"/>
    <w:rsid w:val="00983B50"/>
    <w:rsid w:val="00984193"/>
    <w:rsid w:val="00993B84"/>
    <w:rsid w:val="00994C6A"/>
    <w:rsid w:val="00996483"/>
    <w:rsid w:val="00996F5A"/>
    <w:rsid w:val="009A5059"/>
    <w:rsid w:val="009A5E8B"/>
    <w:rsid w:val="009B041A"/>
    <w:rsid w:val="009B6E57"/>
    <w:rsid w:val="009C1BE6"/>
    <w:rsid w:val="009C37C3"/>
    <w:rsid w:val="009C7C86"/>
    <w:rsid w:val="009D1BED"/>
    <w:rsid w:val="009D2FF7"/>
    <w:rsid w:val="009D3849"/>
    <w:rsid w:val="009D7C6D"/>
    <w:rsid w:val="009E7884"/>
    <w:rsid w:val="009E788A"/>
    <w:rsid w:val="009E79DD"/>
    <w:rsid w:val="009F0E08"/>
    <w:rsid w:val="00A079AE"/>
    <w:rsid w:val="00A1763D"/>
    <w:rsid w:val="00A17CEC"/>
    <w:rsid w:val="00A27EF0"/>
    <w:rsid w:val="00A42361"/>
    <w:rsid w:val="00A43AC5"/>
    <w:rsid w:val="00A50B20"/>
    <w:rsid w:val="00A51390"/>
    <w:rsid w:val="00A53754"/>
    <w:rsid w:val="00A60D13"/>
    <w:rsid w:val="00A60F2D"/>
    <w:rsid w:val="00A7223D"/>
    <w:rsid w:val="00A72745"/>
    <w:rsid w:val="00A76EFC"/>
    <w:rsid w:val="00A82F04"/>
    <w:rsid w:val="00A85322"/>
    <w:rsid w:val="00A872A6"/>
    <w:rsid w:val="00A87D50"/>
    <w:rsid w:val="00A91010"/>
    <w:rsid w:val="00A97F29"/>
    <w:rsid w:val="00AA452F"/>
    <w:rsid w:val="00AA702E"/>
    <w:rsid w:val="00AA7D26"/>
    <w:rsid w:val="00AB0964"/>
    <w:rsid w:val="00AB0F8D"/>
    <w:rsid w:val="00AB197C"/>
    <w:rsid w:val="00AB5011"/>
    <w:rsid w:val="00AC7368"/>
    <w:rsid w:val="00AD16B9"/>
    <w:rsid w:val="00AE377D"/>
    <w:rsid w:val="00AF0EBA"/>
    <w:rsid w:val="00AF2463"/>
    <w:rsid w:val="00B02C8A"/>
    <w:rsid w:val="00B17FBD"/>
    <w:rsid w:val="00B30C2E"/>
    <w:rsid w:val="00B315A6"/>
    <w:rsid w:val="00B31813"/>
    <w:rsid w:val="00B33365"/>
    <w:rsid w:val="00B34F9F"/>
    <w:rsid w:val="00B4280A"/>
    <w:rsid w:val="00B50092"/>
    <w:rsid w:val="00B57B36"/>
    <w:rsid w:val="00B57E6F"/>
    <w:rsid w:val="00B66C04"/>
    <w:rsid w:val="00B8686D"/>
    <w:rsid w:val="00B93F69"/>
    <w:rsid w:val="00BA211F"/>
    <w:rsid w:val="00BB1DDC"/>
    <w:rsid w:val="00BB5592"/>
    <w:rsid w:val="00BC30C9"/>
    <w:rsid w:val="00BC4DE3"/>
    <w:rsid w:val="00BC5EC9"/>
    <w:rsid w:val="00BD077D"/>
    <w:rsid w:val="00BE3E58"/>
    <w:rsid w:val="00BE5D8C"/>
    <w:rsid w:val="00BF13CE"/>
    <w:rsid w:val="00C01616"/>
    <w:rsid w:val="00C0162B"/>
    <w:rsid w:val="00C017A2"/>
    <w:rsid w:val="00C068ED"/>
    <w:rsid w:val="00C167A4"/>
    <w:rsid w:val="00C22E0C"/>
    <w:rsid w:val="00C3318E"/>
    <w:rsid w:val="00C345B1"/>
    <w:rsid w:val="00C40142"/>
    <w:rsid w:val="00C52C3C"/>
    <w:rsid w:val="00C57182"/>
    <w:rsid w:val="00C57863"/>
    <w:rsid w:val="00C638EB"/>
    <w:rsid w:val="00C640AF"/>
    <w:rsid w:val="00C655FD"/>
    <w:rsid w:val="00C75407"/>
    <w:rsid w:val="00C841C6"/>
    <w:rsid w:val="00C870A8"/>
    <w:rsid w:val="00C94434"/>
    <w:rsid w:val="00CA0D75"/>
    <w:rsid w:val="00CA1C95"/>
    <w:rsid w:val="00CA5A9C"/>
    <w:rsid w:val="00CC4C20"/>
    <w:rsid w:val="00CD3517"/>
    <w:rsid w:val="00CD5FE2"/>
    <w:rsid w:val="00CE03F9"/>
    <w:rsid w:val="00CE7C68"/>
    <w:rsid w:val="00CF7A93"/>
    <w:rsid w:val="00D01439"/>
    <w:rsid w:val="00D02B4C"/>
    <w:rsid w:val="00D040C4"/>
    <w:rsid w:val="00D20AD1"/>
    <w:rsid w:val="00D2582C"/>
    <w:rsid w:val="00D25DB9"/>
    <w:rsid w:val="00D27BBA"/>
    <w:rsid w:val="00D30E30"/>
    <w:rsid w:val="00D31EA1"/>
    <w:rsid w:val="00D32F36"/>
    <w:rsid w:val="00D33758"/>
    <w:rsid w:val="00D36D1D"/>
    <w:rsid w:val="00D42552"/>
    <w:rsid w:val="00D444EB"/>
    <w:rsid w:val="00D46B7E"/>
    <w:rsid w:val="00D50D4F"/>
    <w:rsid w:val="00D57C84"/>
    <w:rsid w:val="00D6057D"/>
    <w:rsid w:val="00D642A1"/>
    <w:rsid w:val="00D70DCF"/>
    <w:rsid w:val="00D71640"/>
    <w:rsid w:val="00D75058"/>
    <w:rsid w:val="00D82840"/>
    <w:rsid w:val="00D836C5"/>
    <w:rsid w:val="00D84576"/>
    <w:rsid w:val="00D9181C"/>
    <w:rsid w:val="00D93300"/>
    <w:rsid w:val="00D95D9B"/>
    <w:rsid w:val="00DA0F17"/>
    <w:rsid w:val="00DA1399"/>
    <w:rsid w:val="00DA24C6"/>
    <w:rsid w:val="00DA355B"/>
    <w:rsid w:val="00DA4D7B"/>
    <w:rsid w:val="00DA60AF"/>
    <w:rsid w:val="00DC2840"/>
    <w:rsid w:val="00DC73EE"/>
    <w:rsid w:val="00DC75E1"/>
    <w:rsid w:val="00DD271C"/>
    <w:rsid w:val="00DE264A"/>
    <w:rsid w:val="00DF5072"/>
    <w:rsid w:val="00E02D18"/>
    <w:rsid w:val="00E041E7"/>
    <w:rsid w:val="00E07587"/>
    <w:rsid w:val="00E23CA1"/>
    <w:rsid w:val="00E409A8"/>
    <w:rsid w:val="00E42B41"/>
    <w:rsid w:val="00E448F7"/>
    <w:rsid w:val="00E50C12"/>
    <w:rsid w:val="00E65B91"/>
    <w:rsid w:val="00E7209D"/>
    <w:rsid w:val="00E72EAD"/>
    <w:rsid w:val="00E77223"/>
    <w:rsid w:val="00E8528B"/>
    <w:rsid w:val="00E85B94"/>
    <w:rsid w:val="00E978D0"/>
    <w:rsid w:val="00EA4613"/>
    <w:rsid w:val="00EA7F91"/>
    <w:rsid w:val="00EB1523"/>
    <w:rsid w:val="00EB5631"/>
    <w:rsid w:val="00EC0E49"/>
    <w:rsid w:val="00EC101F"/>
    <w:rsid w:val="00EC1D9F"/>
    <w:rsid w:val="00ED31F4"/>
    <w:rsid w:val="00EE0131"/>
    <w:rsid w:val="00EE17B0"/>
    <w:rsid w:val="00EF06D9"/>
    <w:rsid w:val="00EF3CBB"/>
    <w:rsid w:val="00F01564"/>
    <w:rsid w:val="00F02CC4"/>
    <w:rsid w:val="00F3049E"/>
    <w:rsid w:val="00F30C64"/>
    <w:rsid w:val="00F32BA2"/>
    <w:rsid w:val="00F32CDB"/>
    <w:rsid w:val="00F41678"/>
    <w:rsid w:val="00F41EE4"/>
    <w:rsid w:val="00F45EC4"/>
    <w:rsid w:val="00F565FE"/>
    <w:rsid w:val="00F63A70"/>
    <w:rsid w:val="00F63D8C"/>
    <w:rsid w:val="00F74AAC"/>
    <w:rsid w:val="00F7534E"/>
    <w:rsid w:val="00F82568"/>
    <w:rsid w:val="00F93EDF"/>
    <w:rsid w:val="00F961DF"/>
    <w:rsid w:val="00F97D13"/>
    <w:rsid w:val="00FA1802"/>
    <w:rsid w:val="00FA21D0"/>
    <w:rsid w:val="00FA5F5F"/>
    <w:rsid w:val="00FB730C"/>
    <w:rsid w:val="00FC2695"/>
    <w:rsid w:val="00FC3E03"/>
    <w:rsid w:val="00FC3FC1"/>
    <w:rsid w:val="00FE1FF5"/>
    <w:rsid w:val="00FF40F4"/>
    <w:rsid w:val="00FF692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42552"/>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4255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table" w:styleId="TabeladeGrade2">
    <w:name w:val="Grid Table 2"/>
    <w:basedOn w:val="Tabelanormal"/>
    <w:uiPriority w:val="47"/>
    <w:rsid w:val="00D42552"/>
    <w:pPr>
      <w:spacing w:after="0" w:line="240" w:lineRule="auto"/>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o">
    <w:name w:val="Revision"/>
    <w:hidden/>
    <w:uiPriority w:val="99"/>
    <w:semiHidden/>
    <w:rsid w:val="002818E8"/>
    <w:pPr>
      <w:spacing w:after="0" w:line="240" w:lineRule="auto"/>
    </w:pPr>
    <w:rPr>
      <w:rFonts w:ascii="Arial" w:eastAsia="Times New Roman" w:hAnsi="Arial" w:cs="Times New Roman"/>
      <w:sz w:val="18"/>
      <w:szCs w:val="20"/>
      <w:lang w:val="en-GB"/>
    </w:rPr>
  </w:style>
  <w:style w:type="character" w:styleId="MenoPendente">
    <w:name w:val="Unresolved Mention"/>
    <w:basedOn w:val="Fontepargpadro"/>
    <w:uiPriority w:val="99"/>
    <w:semiHidden/>
    <w:unhideWhenUsed/>
    <w:rsid w:val="00684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3329</Words>
  <Characters>19145</Characters>
  <Application>Microsoft Office Word</Application>
  <DocSecurity>0</DocSecurity>
  <Lines>303</Lines>
  <Paragraphs>137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Klebson da Cruz Silva</cp:lastModifiedBy>
  <cp:revision>5</cp:revision>
  <cp:lastPrinted>2015-05-12T18:31:00Z</cp:lastPrinted>
  <dcterms:created xsi:type="dcterms:W3CDTF">2024-12-15T15:07:00Z</dcterms:created>
  <dcterms:modified xsi:type="dcterms:W3CDTF">2025-03-20T14:45:00Z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afdded71d3fdbcaa87e858add87f7a195ef30451ba03165bc90a983586e64fc2</vt:lpwstr>
  </property>
</Properties>
</file>