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B57B36" w14:paraId="2A131A54" w14:textId="77777777" w:rsidTr="000D6D6C">
        <w:trPr>
          <w:trHeight w:val="852"/>
          <w:jc w:val="center"/>
        </w:trPr>
        <w:tc>
          <w:tcPr>
            <w:tcW w:w="6940" w:type="dxa"/>
            <w:vMerge w:val="restart"/>
            <w:tcBorders>
              <w:right w:val="single" w:sz="4" w:space="0" w:color="auto"/>
            </w:tcBorders>
          </w:tcPr>
          <w:p w14:paraId="38C3D2BA" w14:textId="77777777"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bookmarkStart w:id="0" w:name="_Hlk145068772"/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it-IT" w:eastAsia="it-IT"/>
              </w:rPr>
              <w:drawing>
                <wp:inline distT="0" distB="0" distL="0" distR="0" wp14:anchorId="02B7C3D3" wp14:editId="5EE03112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4B780582" w14:textId="47EF826C" w:rsidR="000A03B2" w:rsidRPr="00B57B36" w:rsidRDefault="00A76EFC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VOL.</w:t>
            </w:r>
            <w:r w:rsidR="00785B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994C6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xxx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202</w:t>
            </w:r>
            <w:r w:rsidR="00994C6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78213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599E5441" w14:textId="77777777"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it-IT" w:eastAsia="it-IT"/>
              </w:rPr>
              <w:drawing>
                <wp:inline distT="0" distB="0" distL="0" distR="0" wp14:anchorId="59C75AF4" wp14:editId="4FF92432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14:paraId="380FA3CD" w14:textId="77777777" w:rsidTr="000D6D6C">
        <w:trPr>
          <w:trHeight w:val="567"/>
          <w:jc w:val="center"/>
        </w:trPr>
        <w:tc>
          <w:tcPr>
            <w:tcW w:w="6940" w:type="dxa"/>
            <w:vMerge/>
            <w:tcBorders>
              <w:right w:val="single" w:sz="4" w:space="0" w:color="auto"/>
            </w:tcBorders>
          </w:tcPr>
          <w:p w14:paraId="39E5E4C1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58A98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7522B1D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4F0CC5DE" w14:textId="47FDB2FC" w:rsidR="000A03B2" w:rsidRPr="000D0268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0D0268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B57B36" w14:paraId="2D1B7169" w14:textId="77777777" w:rsidTr="000D6D6C">
        <w:trPr>
          <w:trHeight w:val="68"/>
          <w:jc w:val="center"/>
        </w:trPr>
        <w:tc>
          <w:tcPr>
            <w:tcW w:w="8782" w:type="dxa"/>
            <w:gridSpan w:val="2"/>
          </w:tcPr>
          <w:p w14:paraId="1D8DD3C9" w14:textId="025D7B18" w:rsidR="00AA7D26" w:rsidRPr="007D610D" w:rsidRDefault="00AA7D26" w:rsidP="007D610D">
            <w:pPr>
              <w:ind w:left="-107"/>
              <w:outlineLvl w:val="2"/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</w:pPr>
            <w:r w:rsidRPr="007D610D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="007D610D" w:rsidRPr="007D610D">
              <w:rPr>
                <w:rFonts w:ascii="Aptos" w:eastAsiaTheme="minorHAnsi" w:hAnsi="Aptos" w:cs="Aptos"/>
                <w:sz w:val="22"/>
                <w:szCs w:val="22"/>
                <w:lang w:val="it-IT"/>
                <w14:ligatures w14:val="standardContextual"/>
              </w:rPr>
              <w:t xml:space="preserve"> </w:t>
            </w:r>
            <w:r w:rsidR="007D610D" w:rsidRPr="007D610D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Fabrizio Bezzo, </w:t>
            </w:r>
            <w:r w:rsidR="001D3D32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Flavio Manenti</w:t>
            </w:r>
            <w:r w:rsidR="00304CE8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,</w:t>
            </w:r>
            <w:r w:rsidR="001D3D32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 </w:t>
            </w:r>
            <w:r w:rsidR="007D610D" w:rsidRPr="007D610D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Gabriele Pannocchia, Almerinda di Benedetto</w:t>
            </w:r>
          </w:p>
          <w:p w14:paraId="1B0F1814" w14:textId="7C54DC3A" w:rsidR="000A03B2" w:rsidRPr="00B57B36" w:rsidRDefault="00AA7D26" w:rsidP="00AA7D26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202</w:t>
            </w:r>
            <w:r w:rsidR="00994C6A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5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, AIDIC </w:t>
            </w:r>
            <w:proofErr w:type="spellStart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Servizi</w:t>
            </w:r>
            <w:proofErr w:type="spellEnd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S.r.l</w:t>
            </w:r>
            <w:proofErr w:type="spellEnd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.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3B49CD" w:rsidRPr="000562A9">
              <w:rPr>
                <w:rFonts w:ascii="Tahoma" w:hAnsi="Tahoma" w:cs="Tahoma"/>
                <w:sz w:val="14"/>
                <w:szCs w:val="14"/>
              </w:rPr>
              <w:t>97</w:t>
            </w:r>
            <w:r w:rsidR="003B49CD">
              <w:rPr>
                <w:rFonts w:ascii="Tahoma" w:hAnsi="Tahoma" w:cs="Tahoma"/>
                <w:sz w:val="14"/>
                <w:szCs w:val="14"/>
              </w:rPr>
              <w:t>9</w:t>
            </w:r>
            <w:r w:rsidR="003B49CD" w:rsidRPr="000562A9">
              <w:rPr>
                <w:rFonts w:ascii="Tahoma" w:hAnsi="Tahoma" w:cs="Tahoma"/>
                <w:sz w:val="14"/>
                <w:szCs w:val="14"/>
              </w:rPr>
              <w:t>-</w:t>
            </w:r>
            <w:r w:rsidR="003B49CD">
              <w:rPr>
                <w:rFonts w:ascii="Tahoma" w:hAnsi="Tahoma" w:cs="Tahoma"/>
                <w:sz w:val="14"/>
                <w:szCs w:val="14"/>
              </w:rPr>
              <w:t>12</w:t>
            </w:r>
            <w:r w:rsidR="003B49CD" w:rsidRPr="000562A9">
              <w:rPr>
                <w:rFonts w:ascii="Tahoma" w:hAnsi="Tahoma" w:cs="Tahoma"/>
                <w:sz w:val="14"/>
                <w:szCs w:val="14"/>
              </w:rPr>
              <w:t>-</w:t>
            </w:r>
            <w:r w:rsidR="003B49CD">
              <w:rPr>
                <w:rFonts w:ascii="Tahoma" w:hAnsi="Tahoma" w:cs="Tahoma"/>
                <w:sz w:val="14"/>
                <w:szCs w:val="14"/>
              </w:rPr>
              <w:t>81206-1</w:t>
            </w:r>
            <w:r w:rsidR="00994C6A">
              <w:rPr>
                <w:rFonts w:ascii="Tahoma" w:hAnsi="Tahoma" w:cs="Tahoma"/>
                <w:sz w:val="14"/>
                <w:szCs w:val="14"/>
              </w:rPr>
              <w:t>7</w:t>
            </w:r>
            <w:r w:rsidR="003B49CD">
              <w:rPr>
                <w:rFonts w:ascii="Tahoma" w:hAnsi="Tahoma" w:cs="Tahoma"/>
                <w:sz w:val="14"/>
                <w:szCs w:val="14"/>
              </w:rPr>
              <w:t>-</w:t>
            </w:r>
            <w:r w:rsidR="00994C6A">
              <w:rPr>
                <w:rFonts w:ascii="Tahoma" w:hAnsi="Tahoma" w:cs="Tahoma"/>
                <w:sz w:val="14"/>
                <w:szCs w:val="14"/>
              </w:rPr>
              <w:t>5</w:t>
            </w:r>
            <w:r w:rsidRPr="00EF06D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bookmarkEnd w:id="0"/>
    <w:p w14:paraId="2E667253" w14:textId="174448AB" w:rsidR="00E978D0" w:rsidRPr="00B57B36" w:rsidRDefault="000D6D6C" w:rsidP="00E978D0">
      <w:pPr>
        <w:pStyle w:val="CETTitle"/>
      </w:pPr>
      <w:r w:rsidRPr="000D6D6C">
        <w:t>Thermodynamic Analysis of Catalytic Urea Steam Reforming for Decentralized Hydrogen Production</w:t>
      </w:r>
    </w:p>
    <w:p w14:paraId="0488FED2" w14:textId="1B38D03E" w:rsidR="00B57E6F" w:rsidRPr="001B0B1A" w:rsidRDefault="000D6D6C" w:rsidP="00B57E6F">
      <w:pPr>
        <w:pStyle w:val="CETAuthors"/>
        <w:rPr>
          <w:lang w:val="pt-BR"/>
        </w:rPr>
      </w:pPr>
      <w:r w:rsidRPr="001B0B1A">
        <w:rPr>
          <w:lang w:val="pt-BR"/>
        </w:rPr>
        <w:t>Letícia M. S. Barros</w:t>
      </w:r>
      <w:r w:rsidR="00B57E6F" w:rsidRPr="001B0B1A">
        <w:rPr>
          <w:vertAlign w:val="superscript"/>
          <w:lang w:val="pt-BR"/>
        </w:rPr>
        <w:t>a</w:t>
      </w:r>
      <w:r w:rsidR="00B57E6F" w:rsidRPr="001B0B1A">
        <w:rPr>
          <w:lang w:val="pt-BR"/>
        </w:rPr>
        <w:t xml:space="preserve">, </w:t>
      </w:r>
      <w:r w:rsidRPr="001B0B1A">
        <w:rPr>
          <w:lang w:val="pt-BR"/>
        </w:rPr>
        <w:t>Bruna G. Floriam</w:t>
      </w:r>
      <w:r w:rsidRPr="001B0B1A">
        <w:rPr>
          <w:vertAlign w:val="superscript"/>
          <w:lang w:val="pt-BR"/>
        </w:rPr>
        <w:t>a</w:t>
      </w:r>
      <w:r w:rsidR="00B57E6F" w:rsidRPr="001B0B1A">
        <w:rPr>
          <w:lang w:val="pt-BR"/>
        </w:rPr>
        <w:t xml:space="preserve">, </w:t>
      </w:r>
      <w:r w:rsidRPr="001B0B1A">
        <w:rPr>
          <w:lang w:val="pt-BR"/>
        </w:rPr>
        <w:t>Jean F. Leal Silva</w:t>
      </w:r>
      <w:r w:rsidRPr="001B0B1A">
        <w:rPr>
          <w:vertAlign w:val="superscript"/>
          <w:lang w:val="pt-BR"/>
        </w:rPr>
        <w:t>a</w:t>
      </w:r>
      <w:r w:rsidRPr="001B0B1A">
        <w:rPr>
          <w:lang w:val="pt-BR"/>
        </w:rPr>
        <w:t>, Verena S. Bombonatti</w:t>
      </w:r>
      <w:r w:rsidRPr="001B0B1A">
        <w:rPr>
          <w:vertAlign w:val="superscript"/>
          <w:lang w:val="pt-BR"/>
        </w:rPr>
        <w:t>a</w:t>
      </w:r>
      <w:r w:rsidRPr="001B0B1A">
        <w:rPr>
          <w:lang w:val="pt-BR"/>
        </w:rPr>
        <w:t xml:space="preserve">, </w:t>
      </w:r>
      <w:r w:rsidR="001B0B1A" w:rsidRPr="001B0B1A">
        <w:rPr>
          <w:lang w:val="pt-BR"/>
        </w:rPr>
        <w:t>Aulus R. R. Bineli</w:t>
      </w:r>
      <w:r w:rsidR="001B0B1A" w:rsidRPr="001B0B1A">
        <w:rPr>
          <w:vertAlign w:val="superscript"/>
          <w:lang w:val="pt-BR"/>
        </w:rPr>
        <w:t>a</w:t>
      </w:r>
      <w:r w:rsidR="001B0B1A">
        <w:rPr>
          <w:lang w:val="pt-BR"/>
        </w:rPr>
        <w:t>,</w:t>
      </w:r>
      <w:r w:rsidR="001B0B1A" w:rsidRPr="001B0B1A">
        <w:rPr>
          <w:lang w:val="pt-BR"/>
        </w:rPr>
        <w:t xml:space="preserve"> </w:t>
      </w:r>
      <w:r w:rsidRPr="001B0B1A">
        <w:rPr>
          <w:lang w:val="pt-BR"/>
        </w:rPr>
        <w:t>Chayene G. Anchieta</w:t>
      </w:r>
      <w:r w:rsidRPr="001B0B1A">
        <w:rPr>
          <w:vertAlign w:val="superscript"/>
          <w:lang w:val="pt-BR"/>
        </w:rPr>
        <w:t>b</w:t>
      </w:r>
      <w:r w:rsidRPr="001B0B1A">
        <w:rPr>
          <w:lang w:val="pt-BR"/>
        </w:rPr>
        <w:t>, Rubens Maciel Filho</w:t>
      </w:r>
      <w:r w:rsidRPr="001B0B1A">
        <w:rPr>
          <w:vertAlign w:val="superscript"/>
          <w:lang w:val="pt-BR"/>
        </w:rPr>
        <w:t>a,</w:t>
      </w:r>
      <w:r w:rsidRPr="001B0B1A">
        <w:rPr>
          <w:lang w:val="pt-BR"/>
        </w:rPr>
        <w:t>*</w:t>
      </w:r>
    </w:p>
    <w:p w14:paraId="6B2D21B3" w14:textId="236D734C" w:rsidR="00B57E6F" w:rsidRPr="001B0B1A" w:rsidRDefault="00B57E6F" w:rsidP="00AE4FF4">
      <w:pPr>
        <w:pStyle w:val="CETAddress"/>
        <w:jc w:val="both"/>
        <w:rPr>
          <w:lang w:val="pt-BR"/>
        </w:rPr>
      </w:pPr>
      <w:r w:rsidRPr="001B0B1A">
        <w:rPr>
          <w:vertAlign w:val="superscript"/>
          <w:lang w:val="pt-BR"/>
        </w:rPr>
        <w:t>a</w:t>
      </w:r>
      <w:r w:rsidR="000D6D6C" w:rsidRPr="001B0B1A">
        <w:rPr>
          <w:lang w:val="pt-BR"/>
        </w:rPr>
        <w:t xml:space="preserve"> School of Chemical Engineering, Universidade Estadual de Campinas (UNICAMP). Rua Michel Debrun, s/n, Campinas, SP, Brazil, ZIP code 13083-841.</w:t>
      </w:r>
    </w:p>
    <w:p w14:paraId="3D72B0B0" w14:textId="7065A639" w:rsidR="00B57E6F" w:rsidRPr="00B57B36" w:rsidRDefault="00B57E6F" w:rsidP="00AE4FF4">
      <w:pPr>
        <w:pStyle w:val="CETAddress"/>
        <w:jc w:val="both"/>
      </w:pPr>
      <w:r w:rsidRPr="00B57B36">
        <w:rPr>
          <w:vertAlign w:val="superscript"/>
        </w:rPr>
        <w:t>b</w:t>
      </w:r>
      <w:r w:rsidR="000D6D6C">
        <w:t xml:space="preserve">X-ray physics group, </w:t>
      </w:r>
      <w:r w:rsidR="000D6D6C" w:rsidRPr="000D6D6C">
        <w:t>Norwegian University of Science and Technology</w:t>
      </w:r>
      <w:r w:rsidRPr="00B57B36">
        <w:t xml:space="preserve"> </w:t>
      </w:r>
      <w:r w:rsidR="000D6D6C">
        <w:t>(NTNU)</w:t>
      </w:r>
      <w:r w:rsidR="00AE4FF4">
        <w:t xml:space="preserve">. </w:t>
      </w:r>
      <w:r w:rsidR="00AE4FF4" w:rsidRPr="00AE4FF4">
        <w:t xml:space="preserve">Høgskoleringen 1, 7034 Trondheim, </w:t>
      </w:r>
      <w:r w:rsidR="00AE4FF4">
        <w:t>N</w:t>
      </w:r>
      <w:r w:rsidR="00AE4FF4" w:rsidRPr="00AE4FF4">
        <w:t>or</w:t>
      </w:r>
      <w:r w:rsidR="00AE4FF4">
        <w:t>way</w:t>
      </w:r>
    </w:p>
    <w:p w14:paraId="73F1267A" w14:textId="7957A257" w:rsidR="00B57E6F" w:rsidRPr="00B57B36" w:rsidRDefault="00B57E6F" w:rsidP="00B57E6F">
      <w:pPr>
        <w:pStyle w:val="CETemail"/>
      </w:pPr>
      <w:r>
        <w:t xml:space="preserve"> </w:t>
      </w:r>
      <w:r w:rsidR="000D6D6C" w:rsidRPr="000D6D6C">
        <w:t>rmaciel@unicamp.br</w:t>
      </w:r>
    </w:p>
    <w:p w14:paraId="6EF7C5AD" w14:textId="555F7980" w:rsidR="008C527E" w:rsidRDefault="00AE4FF4" w:rsidP="00AE4FF4">
      <w:pPr>
        <w:rPr>
          <w:rFonts w:cs="Arial"/>
          <w:szCs w:val="18"/>
        </w:rPr>
      </w:pPr>
      <w:r w:rsidRPr="000B2F89">
        <w:rPr>
          <w:rFonts w:cs="Arial"/>
          <w:szCs w:val="18"/>
        </w:rPr>
        <w:t>The increasing interest in integrating hydrogen (H</w:t>
      </w:r>
      <w:r w:rsidRPr="000B2F89">
        <w:rPr>
          <w:rFonts w:ascii="Cambria Math" w:hAnsi="Cambria Math" w:cs="Cambria Math"/>
          <w:szCs w:val="18"/>
        </w:rPr>
        <w:t>₂</w:t>
      </w:r>
      <w:r w:rsidRPr="000B2F89">
        <w:rPr>
          <w:rFonts w:cs="Arial"/>
          <w:szCs w:val="18"/>
        </w:rPr>
        <w:t>) into the global energy mix, alongside the challenges associated with its storage and transportation, has motivated the development of novel technologies for decentralized H</w:t>
      </w:r>
      <w:r w:rsidRPr="000B2F89">
        <w:rPr>
          <w:rFonts w:cs="Arial"/>
          <w:szCs w:val="18"/>
          <w:vertAlign w:val="subscript"/>
        </w:rPr>
        <w:t>2</w:t>
      </w:r>
      <w:r w:rsidRPr="000B2F89">
        <w:rPr>
          <w:rFonts w:cs="Arial"/>
          <w:szCs w:val="18"/>
        </w:rPr>
        <w:t xml:space="preserve"> production. In this context, hydrogen carriers</w:t>
      </w:r>
      <w:r w:rsidR="008C527E">
        <w:rPr>
          <w:rFonts w:cs="Arial"/>
          <w:szCs w:val="18"/>
        </w:rPr>
        <w:t xml:space="preserve"> </w:t>
      </w:r>
      <w:r w:rsidRPr="000B2F89">
        <w:rPr>
          <w:rFonts w:cs="Arial"/>
          <w:szCs w:val="18"/>
        </w:rPr>
        <w:t>are promising candidates to generate H</w:t>
      </w:r>
      <w:r w:rsidRPr="000B2F89">
        <w:rPr>
          <w:rFonts w:cs="Arial"/>
          <w:szCs w:val="18"/>
          <w:vertAlign w:val="subscript"/>
        </w:rPr>
        <w:t>2</w:t>
      </w:r>
      <w:r w:rsidRPr="000B2F89">
        <w:rPr>
          <w:rFonts w:cs="Arial"/>
          <w:szCs w:val="18"/>
        </w:rPr>
        <w:t xml:space="preserve"> on-site and on-demand through reforming reactions. When these reformers are coupled with fuel cells (FCs), H</w:t>
      </w:r>
      <w:r w:rsidRPr="000B2F89">
        <w:rPr>
          <w:rFonts w:cs="Arial"/>
          <w:szCs w:val="18"/>
          <w:vertAlign w:val="subscript"/>
        </w:rPr>
        <w:t xml:space="preserve">2 </w:t>
      </w:r>
      <w:r w:rsidRPr="000B2F89">
        <w:rPr>
          <w:rFonts w:cs="Arial"/>
          <w:szCs w:val="18"/>
        </w:rPr>
        <w:t>can be efficiently converted into electricity, making this approach attractive for transport (onboard) applications. Urea (CO(NH</w:t>
      </w:r>
      <w:r w:rsidRPr="000B2F89">
        <w:rPr>
          <w:rFonts w:ascii="Cambria Math" w:hAnsi="Cambria Math" w:cs="Cambria Math"/>
          <w:szCs w:val="18"/>
        </w:rPr>
        <w:t>₂</w:t>
      </w:r>
      <w:r w:rsidRPr="000B2F89">
        <w:rPr>
          <w:rFonts w:cs="Arial"/>
          <w:szCs w:val="18"/>
        </w:rPr>
        <w:t>)</w:t>
      </w:r>
      <w:r w:rsidRPr="000B2F89">
        <w:rPr>
          <w:rFonts w:ascii="Cambria Math" w:hAnsi="Cambria Math" w:cs="Cambria Math"/>
          <w:szCs w:val="18"/>
        </w:rPr>
        <w:t>₂</w:t>
      </w:r>
      <w:r w:rsidRPr="000B2F89">
        <w:rPr>
          <w:rFonts w:cs="Arial"/>
          <w:szCs w:val="18"/>
        </w:rPr>
        <w:t>) is a hydrogen vector that has been underexplored in the literature but holds potential due to its well-established supply chain, non-toxic nature, and affordability.</w:t>
      </w:r>
      <w:r w:rsidR="008C527E">
        <w:rPr>
          <w:rFonts w:cs="Arial"/>
          <w:szCs w:val="18"/>
        </w:rPr>
        <w:t xml:space="preserve"> </w:t>
      </w:r>
      <w:r w:rsidR="001B0B1A" w:rsidRPr="001B0B1A">
        <w:rPr>
          <w:rFonts w:cs="Arial"/>
          <w:szCs w:val="18"/>
        </w:rPr>
        <w:t>Bearing this in mind, this work</w:t>
      </w:r>
      <w:r w:rsidRPr="000B2F89">
        <w:rPr>
          <w:rFonts w:cs="Arial"/>
          <w:szCs w:val="18"/>
        </w:rPr>
        <w:t xml:space="preserve"> investigate</w:t>
      </w:r>
      <w:r w:rsidR="001B0B1A">
        <w:rPr>
          <w:rFonts w:cs="Arial"/>
          <w:szCs w:val="18"/>
        </w:rPr>
        <w:t>d</w:t>
      </w:r>
      <w:r w:rsidRPr="000B2F89">
        <w:rPr>
          <w:rFonts w:cs="Arial"/>
          <w:szCs w:val="18"/>
        </w:rPr>
        <w:t xml:space="preserve"> urea steam reforming </w:t>
      </w:r>
      <w:r w:rsidR="001B0B1A">
        <w:rPr>
          <w:rFonts w:cs="Arial"/>
          <w:szCs w:val="18"/>
        </w:rPr>
        <w:t xml:space="preserve">through a simulation study, </w:t>
      </w:r>
      <w:r w:rsidRPr="000B2F89">
        <w:rPr>
          <w:rFonts w:cs="Arial"/>
          <w:szCs w:val="18"/>
        </w:rPr>
        <w:t>using Aspen</w:t>
      </w:r>
      <w:r w:rsidR="00E22F7D">
        <w:rPr>
          <w:rFonts w:cs="Arial"/>
          <w:szCs w:val="18"/>
        </w:rPr>
        <w:t xml:space="preserve"> </w:t>
      </w:r>
      <w:r w:rsidRPr="000B2F89">
        <w:rPr>
          <w:rFonts w:cs="Arial"/>
          <w:szCs w:val="18"/>
        </w:rPr>
        <w:t>Plus software</w:t>
      </w:r>
      <w:r w:rsidR="001B0B1A">
        <w:rPr>
          <w:rFonts w:cs="Arial"/>
          <w:szCs w:val="18"/>
        </w:rPr>
        <w:t xml:space="preserve">. Here, </w:t>
      </w:r>
      <w:r w:rsidR="003F6CEC">
        <w:rPr>
          <w:rFonts w:cs="Arial"/>
          <w:szCs w:val="18"/>
        </w:rPr>
        <w:t>SR-Polar</w:t>
      </w:r>
      <w:r w:rsidRPr="000B2F89">
        <w:rPr>
          <w:rFonts w:cs="Arial"/>
          <w:szCs w:val="18"/>
        </w:rPr>
        <w:t xml:space="preserve"> equation</w:t>
      </w:r>
      <w:r w:rsidR="00E22F7D">
        <w:rPr>
          <w:rFonts w:cs="Arial"/>
          <w:szCs w:val="18"/>
        </w:rPr>
        <w:t>-</w:t>
      </w:r>
      <w:r w:rsidRPr="000B2F89">
        <w:rPr>
          <w:rFonts w:cs="Arial"/>
          <w:szCs w:val="18"/>
        </w:rPr>
        <w:t>of</w:t>
      </w:r>
      <w:r w:rsidR="00E22F7D">
        <w:rPr>
          <w:rFonts w:cs="Arial"/>
          <w:szCs w:val="18"/>
        </w:rPr>
        <w:t>-</w:t>
      </w:r>
      <w:r w:rsidRPr="000B2F89">
        <w:rPr>
          <w:rFonts w:cs="Arial"/>
          <w:szCs w:val="18"/>
        </w:rPr>
        <w:t xml:space="preserve">state </w:t>
      </w:r>
      <w:r w:rsidR="005C7DF9">
        <w:rPr>
          <w:rFonts w:cs="Arial"/>
          <w:szCs w:val="18"/>
        </w:rPr>
        <w:t xml:space="preserve">and </w:t>
      </w:r>
      <w:r w:rsidR="005C7DF9" w:rsidRPr="000B2F89">
        <w:rPr>
          <w:rFonts w:cs="Arial"/>
          <w:szCs w:val="18"/>
        </w:rPr>
        <w:t>the Gibbs reactor model</w:t>
      </w:r>
      <w:r w:rsidR="005C7DF9">
        <w:rPr>
          <w:rFonts w:cs="Arial"/>
          <w:szCs w:val="18"/>
        </w:rPr>
        <w:t xml:space="preserve"> </w:t>
      </w:r>
      <w:r w:rsidR="001B0B1A">
        <w:rPr>
          <w:rFonts w:cs="Arial"/>
          <w:szCs w:val="18"/>
        </w:rPr>
        <w:t xml:space="preserve">were used </w:t>
      </w:r>
      <w:r w:rsidRPr="000B2F89">
        <w:rPr>
          <w:rFonts w:cs="Arial"/>
          <w:szCs w:val="18"/>
        </w:rPr>
        <w:t xml:space="preserve">to </w:t>
      </w:r>
      <w:r w:rsidR="001B0B1A">
        <w:rPr>
          <w:rFonts w:cs="Arial"/>
          <w:szCs w:val="18"/>
        </w:rPr>
        <w:t>assess the</w:t>
      </w:r>
      <w:r w:rsidRPr="000B2F89">
        <w:rPr>
          <w:rFonts w:cs="Arial"/>
          <w:szCs w:val="18"/>
        </w:rPr>
        <w:t xml:space="preserve"> H</w:t>
      </w:r>
      <w:r w:rsidRPr="000B2F89">
        <w:rPr>
          <w:rFonts w:ascii="Cambria Math" w:hAnsi="Cambria Math" w:cs="Cambria Math"/>
          <w:szCs w:val="18"/>
        </w:rPr>
        <w:t>₂</w:t>
      </w:r>
      <w:r w:rsidRPr="000B2F89">
        <w:rPr>
          <w:rFonts w:cs="Arial"/>
          <w:szCs w:val="18"/>
        </w:rPr>
        <w:t xml:space="preserve"> production. Through sensitivity analyses, the effect of key parameters such as the steam-to-carbon (S:C) ratio, temperature, and pressure </w:t>
      </w:r>
      <w:r w:rsidR="000976C9">
        <w:rPr>
          <w:rFonts w:cs="Arial"/>
          <w:szCs w:val="18"/>
        </w:rPr>
        <w:t>w</w:t>
      </w:r>
      <w:r w:rsidR="001B0B1A">
        <w:rPr>
          <w:rFonts w:cs="Arial"/>
          <w:szCs w:val="18"/>
        </w:rPr>
        <w:t>ere</w:t>
      </w:r>
      <w:r w:rsidRPr="000B2F89">
        <w:rPr>
          <w:rFonts w:cs="Arial"/>
          <w:szCs w:val="18"/>
        </w:rPr>
        <w:t xml:space="preserve"> systematically evaluated to identify the optimal operating conditions. </w:t>
      </w:r>
      <w:r w:rsidR="008C527E">
        <w:rPr>
          <w:rFonts w:cs="Arial"/>
          <w:szCs w:val="18"/>
        </w:rPr>
        <w:t xml:space="preserve">It was found that at </w:t>
      </w:r>
      <w:r w:rsidR="008C527E" w:rsidRPr="008C527E">
        <w:rPr>
          <w:rFonts w:cs="Arial"/>
          <w:szCs w:val="18"/>
        </w:rPr>
        <w:t>a S:C ratio of 5 and 0.5 bar</w:t>
      </w:r>
      <w:r w:rsidR="002B42DE">
        <w:rPr>
          <w:rFonts w:cs="Arial"/>
          <w:szCs w:val="18"/>
        </w:rPr>
        <w:t>,</w:t>
      </w:r>
      <w:r w:rsidR="008C527E" w:rsidRPr="008C527E">
        <w:rPr>
          <w:rFonts w:cs="Arial"/>
          <w:szCs w:val="18"/>
        </w:rPr>
        <w:t xml:space="preserve"> the</w:t>
      </w:r>
      <w:r w:rsidR="001B0B1A">
        <w:rPr>
          <w:rFonts w:cs="Arial"/>
          <w:szCs w:val="18"/>
        </w:rPr>
        <w:t xml:space="preserve"> reactor</w:t>
      </w:r>
      <w:r w:rsidR="008C527E" w:rsidRPr="008C527E">
        <w:rPr>
          <w:rFonts w:cs="Arial"/>
          <w:szCs w:val="18"/>
        </w:rPr>
        <w:t xml:space="preserve"> operating temperature </w:t>
      </w:r>
      <w:r w:rsidR="001B6010">
        <w:rPr>
          <w:rFonts w:cs="Arial"/>
          <w:szCs w:val="18"/>
        </w:rPr>
        <w:t>could be</w:t>
      </w:r>
      <w:r w:rsidR="002B42DE">
        <w:rPr>
          <w:rFonts w:cs="Arial"/>
          <w:szCs w:val="18"/>
        </w:rPr>
        <w:t xml:space="preserve"> reduced </w:t>
      </w:r>
      <w:r w:rsidR="008C527E" w:rsidRPr="008C527E">
        <w:rPr>
          <w:rFonts w:cs="Arial"/>
          <w:szCs w:val="18"/>
        </w:rPr>
        <w:t>to 600 °C</w:t>
      </w:r>
      <w:r w:rsidR="001B6010">
        <w:rPr>
          <w:rFonts w:cs="Arial"/>
          <w:szCs w:val="18"/>
        </w:rPr>
        <w:t xml:space="preserve"> to </w:t>
      </w:r>
      <w:r w:rsidR="003D14A5">
        <w:rPr>
          <w:rFonts w:cs="Arial"/>
          <w:szCs w:val="18"/>
        </w:rPr>
        <w:t>produce</w:t>
      </w:r>
      <w:r w:rsidR="008C527E">
        <w:rPr>
          <w:rFonts w:cs="Arial"/>
          <w:szCs w:val="18"/>
        </w:rPr>
        <w:t xml:space="preserve"> </w:t>
      </w:r>
      <w:r w:rsidR="008C527E" w:rsidRPr="008C527E">
        <w:rPr>
          <w:rFonts w:cs="Arial"/>
          <w:szCs w:val="18"/>
        </w:rPr>
        <w:t>2.78 moles of H</w:t>
      </w:r>
      <w:r w:rsidR="008C527E" w:rsidRPr="008C527E">
        <w:rPr>
          <w:rFonts w:ascii="Cambria Math" w:hAnsi="Cambria Math" w:cs="Cambria Math"/>
          <w:szCs w:val="18"/>
        </w:rPr>
        <w:t>₂</w:t>
      </w:r>
      <w:r w:rsidR="008C527E">
        <w:rPr>
          <w:rFonts w:ascii="Cambria Math" w:hAnsi="Cambria Math" w:cs="Cambria Math"/>
          <w:szCs w:val="18"/>
        </w:rPr>
        <w:t xml:space="preserve"> </w:t>
      </w:r>
      <w:r w:rsidR="008C527E" w:rsidRPr="008C527E">
        <w:rPr>
          <w:rFonts w:cs="Arial"/>
          <w:szCs w:val="18"/>
        </w:rPr>
        <w:t xml:space="preserve">per mole of </w:t>
      </w:r>
      <w:r w:rsidR="008C527E">
        <w:rPr>
          <w:rFonts w:cs="Arial"/>
          <w:szCs w:val="18"/>
        </w:rPr>
        <w:t>urea</w:t>
      </w:r>
      <w:r w:rsidR="008C527E" w:rsidRPr="008C527E">
        <w:rPr>
          <w:rFonts w:cs="Arial"/>
          <w:szCs w:val="18"/>
        </w:rPr>
        <w:t>, approaching the</w:t>
      </w:r>
      <w:r w:rsidR="008C527E">
        <w:rPr>
          <w:rFonts w:cs="Arial"/>
          <w:szCs w:val="18"/>
        </w:rPr>
        <w:t xml:space="preserve"> reaction </w:t>
      </w:r>
      <w:r w:rsidR="008C527E" w:rsidRPr="008C527E">
        <w:rPr>
          <w:rFonts w:cs="Arial"/>
          <w:szCs w:val="18"/>
        </w:rPr>
        <w:t>stoichiometr</w:t>
      </w:r>
      <w:r w:rsidR="008C527E">
        <w:rPr>
          <w:rFonts w:cs="Arial"/>
          <w:szCs w:val="18"/>
        </w:rPr>
        <w:t>y o</w:t>
      </w:r>
      <w:r w:rsidR="008C527E" w:rsidRPr="008C527E">
        <w:rPr>
          <w:rFonts w:cs="Arial"/>
          <w:szCs w:val="18"/>
        </w:rPr>
        <w:t xml:space="preserve">f 3 </w:t>
      </w:r>
      <w:proofErr w:type="spellStart"/>
      <w:r w:rsidR="008C527E" w:rsidRPr="008C527E">
        <w:rPr>
          <w:rFonts w:cs="Arial"/>
          <w:szCs w:val="18"/>
        </w:rPr>
        <w:t>mol</w:t>
      </w:r>
      <w:r w:rsidR="008C527E" w:rsidRPr="008C527E">
        <w:rPr>
          <w:rFonts w:cs="Arial"/>
          <w:szCs w:val="18"/>
          <w:vertAlign w:val="subscript"/>
        </w:rPr>
        <w:t>H</w:t>
      </w:r>
      <w:proofErr w:type="spellEnd"/>
      <w:r w:rsidR="008C527E" w:rsidRPr="008C527E">
        <w:rPr>
          <w:rFonts w:ascii="Cambria Math" w:hAnsi="Cambria Math" w:cs="Cambria Math"/>
          <w:szCs w:val="18"/>
          <w:vertAlign w:val="subscript"/>
        </w:rPr>
        <w:t>₂</w:t>
      </w:r>
      <w:r w:rsidR="008C527E">
        <w:rPr>
          <w:rFonts w:cs="Arial"/>
          <w:szCs w:val="18"/>
        </w:rPr>
        <w:t>/</w:t>
      </w:r>
      <w:proofErr w:type="spellStart"/>
      <w:r w:rsidR="008C527E" w:rsidRPr="008C527E">
        <w:rPr>
          <w:rFonts w:cs="Arial"/>
          <w:szCs w:val="18"/>
        </w:rPr>
        <w:t>mol</w:t>
      </w:r>
      <w:r w:rsidR="008C527E" w:rsidRPr="008C527E">
        <w:rPr>
          <w:rFonts w:cs="Arial"/>
          <w:szCs w:val="18"/>
          <w:vertAlign w:val="subscript"/>
        </w:rPr>
        <w:t>urea</w:t>
      </w:r>
      <w:proofErr w:type="spellEnd"/>
      <w:r w:rsidR="008C527E" w:rsidRPr="008C527E">
        <w:rPr>
          <w:rFonts w:cs="Arial"/>
          <w:szCs w:val="18"/>
        </w:rPr>
        <w:t xml:space="preserve">. </w:t>
      </w:r>
      <w:r w:rsidR="008C527E">
        <w:rPr>
          <w:rFonts w:cs="Arial"/>
          <w:szCs w:val="18"/>
        </w:rPr>
        <w:t>After</w:t>
      </w:r>
      <w:r w:rsidR="008C527E" w:rsidRPr="000B2F89">
        <w:rPr>
          <w:rFonts w:cs="Arial"/>
          <w:szCs w:val="18"/>
        </w:rPr>
        <w:t xml:space="preserve"> process optimization, </w:t>
      </w:r>
      <w:r w:rsidR="001B0B1A">
        <w:rPr>
          <w:rFonts w:cs="Arial"/>
          <w:szCs w:val="18"/>
        </w:rPr>
        <w:t>hydrogen</w:t>
      </w:r>
      <w:r w:rsidR="008C527E" w:rsidRPr="000B2F89">
        <w:rPr>
          <w:rFonts w:cs="Arial"/>
          <w:szCs w:val="18"/>
        </w:rPr>
        <w:t xml:space="preserve"> purification was </w:t>
      </w:r>
      <w:r w:rsidR="00984352">
        <w:rPr>
          <w:rFonts w:cs="Arial"/>
          <w:szCs w:val="18"/>
        </w:rPr>
        <w:t>simulated</w:t>
      </w:r>
      <w:r w:rsidR="008C527E" w:rsidRPr="000B2F89">
        <w:rPr>
          <w:rFonts w:cs="Arial"/>
          <w:szCs w:val="18"/>
        </w:rPr>
        <w:t xml:space="preserve"> to meet </w:t>
      </w:r>
      <w:r w:rsidR="00695A53" w:rsidRPr="00695A53">
        <w:rPr>
          <w:rFonts w:cs="Arial"/>
          <w:szCs w:val="18"/>
        </w:rPr>
        <w:t>ISO 14687:2019</w:t>
      </w:r>
      <w:r w:rsidR="00695A53">
        <w:rPr>
          <w:rFonts w:cs="Arial"/>
          <w:szCs w:val="18"/>
        </w:rPr>
        <w:t xml:space="preserve"> </w:t>
      </w:r>
      <w:r w:rsidR="00717D45">
        <w:rPr>
          <w:rFonts w:cs="Arial"/>
          <w:szCs w:val="18"/>
        </w:rPr>
        <w:t xml:space="preserve">standards </w:t>
      </w:r>
      <w:r w:rsidR="008C527E" w:rsidRPr="000B2F89">
        <w:rPr>
          <w:rFonts w:cs="Arial"/>
          <w:szCs w:val="18"/>
        </w:rPr>
        <w:t>for</w:t>
      </w:r>
      <w:r w:rsidR="007B53AD">
        <w:rPr>
          <w:rFonts w:cs="Arial"/>
          <w:szCs w:val="18"/>
        </w:rPr>
        <w:t xml:space="preserve"> </w:t>
      </w:r>
      <w:r w:rsidR="008C527E" w:rsidRPr="000B2F89">
        <w:rPr>
          <w:rFonts w:cs="Arial"/>
          <w:szCs w:val="18"/>
        </w:rPr>
        <w:t>application</w:t>
      </w:r>
      <w:r w:rsidR="007B53AD">
        <w:rPr>
          <w:rFonts w:cs="Arial"/>
          <w:szCs w:val="18"/>
        </w:rPr>
        <w:t xml:space="preserve"> in a </w:t>
      </w:r>
      <w:r w:rsidR="007B53AD" w:rsidRPr="000B2F89">
        <w:rPr>
          <w:rFonts w:cs="Arial"/>
          <w:szCs w:val="18"/>
          <w:lang w:val="en-US"/>
        </w:rPr>
        <w:t xml:space="preserve">Proton-exchange membrane </w:t>
      </w:r>
      <w:r w:rsidR="007B53AD">
        <w:rPr>
          <w:rFonts w:cs="Arial"/>
          <w:szCs w:val="18"/>
          <w:lang w:val="en-US"/>
        </w:rPr>
        <w:t>fuel cell</w:t>
      </w:r>
      <w:r w:rsidR="007B53AD" w:rsidRPr="000B2F89">
        <w:rPr>
          <w:rFonts w:cs="Arial"/>
          <w:szCs w:val="18"/>
          <w:lang w:val="en-US"/>
        </w:rPr>
        <w:t xml:space="preserve"> (</w:t>
      </w:r>
      <w:r w:rsidR="007B53AD" w:rsidRPr="000B2F89">
        <w:rPr>
          <w:rFonts w:cs="Arial"/>
          <w:szCs w:val="18"/>
        </w:rPr>
        <w:t>PEMFC)</w:t>
      </w:r>
      <w:r w:rsidR="008C527E" w:rsidRPr="000B2F89">
        <w:rPr>
          <w:rFonts w:cs="Arial"/>
          <w:szCs w:val="18"/>
        </w:rPr>
        <w:t xml:space="preserve">, and the power output was calculated for </w:t>
      </w:r>
      <w:r w:rsidR="004C3887">
        <w:rPr>
          <w:rFonts w:cs="Arial"/>
          <w:szCs w:val="18"/>
        </w:rPr>
        <w:t xml:space="preserve">this type of </w:t>
      </w:r>
      <w:r w:rsidR="001B0B1A">
        <w:rPr>
          <w:rFonts w:cs="Arial"/>
          <w:szCs w:val="18"/>
        </w:rPr>
        <w:t>FC</w:t>
      </w:r>
      <w:r w:rsidR="008C527E" w:rsidRPr="000B2F89">
        <w:rPr>
          <w:rFonts w:cs="Arial"/>
          <w:szCs w:val="18"/>
        </w:rPr>
        <w:t>, focusing on the potential of th</w:t>
      </w:r>
      <w:r w:rsidR="004C3887">
        <w:rPr>
          <w:rFonts w:cs="Arial"/>
          <w:szCs w:val="18"/>
        </w:rPr>
        <w:t>e</w:t>
      </w:r>
      <w:r w:rsidR="008C527E" w:rsidRPr="000B2F89">
        <w:rPr>
          <w:rFonts w:cs="Arial"/>
          <w:szCs w:val="18"/>
        </w:rPr>
        <w:t xml:space="preserve"> system in decentralized </w:t>
      </w:r>
      <w:r w:rsidR="008C527E">
        <w:rPr>
          <w:rFonts w:cs="Arial"/>
          <w:szCs w:val="18"/>
        </w:rPr>
        <w:t xml:space="preserve">hydrogen </w:t>
      </w:r>
      <w:r w:rsidR="008C527E" w:rsidRPr="000B2F89">
        <w:rPr>
          <w:rFonts w:cs="Arial"/>
          <w:szCs w:val="18"/>
        </w:rPr>
        <w:t>generation</w:t>
      </w:r>
      <w:r w:rsidR="008C527E">
        <w:rPr>
          <w:rFonts w:cs="Arial"/>
          <w:szCs w:val="18"/>
        </w:rPr>
        <w:t>.</w:t>
      </w:r>
    </w:p>
    <w:p w14:paraId="476B2F2E" w14:textId="52B36035" w:rsidR="00600535" w:rsidRPr="00B57B36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Introduction</w:t>
      </w:r>
    </w:p>
    <w:p w14:paraId="70E0FEC3" w14:textId="718D8024" w:rsidR="00AB4C8C" w:rsidRDefault="00966CE5" w:rsidP="002862F6">
      <w:pPr>
        <w:pStyle w:val="ListParagraph"/>
        <w:ind w:left="0"/>
        <w:rPr>
          <w:rFonts w:cs="Arial"/>
          <w:szCs w:val="18"/>
        </w:rPr>
      </w:pPr>
      <w:r>
        <w:rPr>
          <w:rFonts w:cs="Arial"/>
          <w:szCs w:val="18"/>
        </w:rPr>
        <w:t xml:space="preserve">The demand </w:t>
      </w:r>
      <w:r w:rsidR="003F49B0">
        <w:rPr>
          <w:rFonts w:cs="Arial"/>
          <w:szCs w:val="18"/>
        </w:rPr>
        <w:t xml:space="preserve">for </w:t>
      </w:r>
      <w:r>
        <w:rPr>
          <w:rFonts w:cs="Arial"/>
          <w:szCs w:val="18"/>
        </w:rPr>
        <w:t>h</w:t>
      </w:r>
      <w:r w:rsidR="00DA73C7" w:rsidRPr="00DA73C7">
        <w:rPr>
          <w:rFonts w:cs="Arial"/>
          <w:szCs w:val="18"/>
        </w:rPr>
        <w:t>ydrogen</w:t>
      </w:r>
      <w:r w:rsidR="00BF12FA">
        <w:rPr>
          <w:rFonts w:cs="Arial"/>
          <w:szCs w:val="18"/>
        </w:rPr>
        <w:t xml:space="preserve"> </w:t>
      </w:r>
      <w:r w:rsidR="00142AE7">
        <w:rPr>
          <w:rFonts w:cs="Arial"/>
          <w:szCs w:val="18"/>
        </w:rPr>
        <w:t>(H</w:t>
      </w:r>
      <w:r w:rsidR="00142AE7" w:rsidRPr="00142AE7">
        <w:rPr>
          <w:rFonts w:cs="Arial"/>
          <w:szCs w:val="18"/>
          <w:vertAlign w:val="subscript"/>
        </w:rPr>
        <w:t>2</w:t>
      </w:r>
      <w:r w:rsidR="00142AE7">
        <w:rPr>
          <w:rFonts w:cs="Arial"/>
          <w:szCs w:val="18"/>
        </w:rPr>
        <w:t xml:space="preserve">) </w:t>
      </w:r>
      <w:r w:rsidR="00865CA3">
        <w:rPr>
          <w:rFonts w:cs="Arial"/>
          <w:szCs w:val="18"/>
        </w:rPr>
        <w:t xml:space="preserve">is increasing worldwide due to its </w:t>
      </w:r>
      <w:r w:rsidR="00DA73C7" w:rsidRPr="00DA73C7">
        <w:rPr>
          <w:rFonts w:cs="Arial"/>
          <w:szCs w:val="18"/>
        </w:rPr>
        <w:t xml:space="preserve">potential to contribute </w:t>
      </w:r>
      <w:r w:rsidR="005D1D0E">
        <w:rPr>
          <w:rFonts w:cs="Arial"/>
          <w:szCs w:val="18"/>
        </w:rPr>
        <w:t>to the</w:t>
      </w:r>
      <w:r w:rsidR="00DA73C7" w:rsidRPr="00DA73C7">
        <w:rPr>
          <w:rFonts w:cs="Arial"/>
          <w:szCs w:val="18"/>
        </w:rPr>
        <w:t xml:space="preserve"> reduc</w:t>
      </w:r>
      <w:r w:rsidR="00AB0122">
        <w:rPr>
          <w:rFonts w:cs="Arial"/>
          <w:szCs w:val="18"/>
        </w:rPr>
        <w:t>tion of</w:t>
      </w:r>
      <w:r w:rsidR="00DA73C7" w:rsidRPr="00DA73C7">
        <w:rPr>
          <w:rFonts w:cs="Arial"/>
          <w:szCs w:val="18"/>
        </w:rPr>
        <w:t xml:space="preserve"> </w:t>
      </w:r>
      <w:r w:rsidR="007F02CB">
        <w:rPr>
          <w:rFonts w:cs="Arial"/>
          <w:szCs w:val="18"/>
        </w:rPr>
        <w:t xml:space="preserve">greenhouse gases (GHG) </w:t>
      </w:r>
      <w:r w:rsidR="00DA73C7" w:rsidRPr="00DA73C7">
        <w:rPr>
          <w:rFonts w:cs="Arial"/>
          <w:szCs w:val="18"/>
        </w:rPr>
        <w:t>emission in sectors that are challenging to decarbonize, such as heavy industry and transportation, where viable alternatives are limited or difficult to adopt</w:t>
      </w:r>
      <w:r w:rsidR="00B86871">
        <w:rPr>
          <w:rFonts w:cs="Arial"/>
          <w:szCs w:val="18"/>
        </w:rPr>
        <w:t xml:space="preserve"> (IEA, 2023)</w:t>
      </w:r>
      <w:r w:rsidR="00DA73C7" w:rsidRPr="00DA73C7">
        <w:rPr>
          <w:rFonts w:cs="Arial"/>
          <w:szCs w:val="18"/>
        </w:rPr>
        <w:t>.</w:t>
      </w:r>
      <w:r w:rsidR="002D7305">
        <w:rPr>
          <w:rFonts w:cs="Arial"/>
          <w:szCs w:val="18"/>
        </w:rPr>
        <w:t xml:space="preserve"> </w:t>
      </w:r>
      <w:r w:rsidR="000F32A1">
        <w:rPr>
          <w:rFonts w:cs="Arial"/>
          <w:szCs w:val="18"/>
        </w:rPr>
        <w:t xml:space="preserve">Additionally, a </w:t>
      </w:r>
      <w:r w:rsidR="00E677CE">
        <w:rPr>
          <w:rFonts w:cs="Arial"/>
          <w:szCs w:val="18"/>
        </w:rPr>
        <w:t xml:space="preserve">report from the Hydrogen Council </w:t>
      </w:r>
      <w:r w:rsidR="00287A95">
        <w:rPr>
          <w:rFonts w:cs="Arial"/>
          <w:szCs w:val="18"/>
        </w:rPr>
        <w:t xml:space="preserve">states that </w:t>
      </w:r>
      <w:r w:rsidR="005D1D0E" w:rsidRPr="00253F24">
        <w:rPr>
          <w:rFonts w:cs="Arial"/>
          <w:szCs w:val="18"/>
        </w:rPr>
        <w:t>a 60% reduction in global carbon emissions by 2050 is imperative</w:t>
      </w:r>
      <w:r w:rsidR="005D1D0E">
        <w:rPr>
          <w:rFonts w:cs="Arial"/>
          <w:szCs w:val="18"/>
        </w:rPr>
        <w:t xml:space="preserve"> </w:t>
      </w:r>
      <w:r w:rsidR="006803DE">
        <w:rPr>
          <w:rFonts w:cs="Arial"/>
          <w:szCs w:val="18"/>
        </w:rPr>
        <w:t>to mitigate climate change</w:t>
      </w:r>
      <w:r w:rsidR="00120373">
        <w:rPr>
          <w:rFonts w:cs="Arial"/>
          <w:szCs w:val="18"/>
        </w:rPr>
        <w:t xml:space="preserve"> (Hydrogen Council, 2017).</w:t>
      </w:r>
      <w:r w:rsidR="000A58B3">
        <w:rPr>
          <w:rFonts w:cs="Arial"/>
          <w:szCs w:val="18"/>
        </w:rPr>
        <w:t xml:space="preserve"> </w:t>
      </w:r>
      <w:r w:rsidR="002D7305">
        <w:rPr>
          <w:rFonts w:cs="Arial"/>
          <w:szCs w:val="18"/>
        </w:rPr>
        <w:t>However,</w:t>
      </w:r>
      <w:r w:rsidR="00346B8C">
        <w:rPr>
          <w:rFonts w:cs="Arial"/>
          <w:szCs w:val="18"/>
        </w:rPr>
        <w:t xml:space="preserve"> according to the International Energy Agency (IEA),</w:t>
      </w:r>
      <w:r w:rsidR="002D7305">
        <w:rPr>
          <w:rFonts w:cs="Arial"/>
          <w:szCs w:val="18"/>
        </w:rPr>
        <w:t xml:space="preserve"> the current </w:t>
      </w:r>
      <w:r w:rsidR="006F318D">
        <w:rPr>
          <w:rFonts w:cs="Arial"/>
          <w:szCs w:val="18"/>
        </w:rPr>
        <w:t xml:space="preserve">global </w:t>
      </w:r>
      <w:r w:rsidR="002D7305">
        <w:rPr>
          <w:rFonts w:cs="Arial"/>
          <w:szCs w:val="18"/>
        </w:rPr>
        <w:t xml:space="preserve">hydrogen production </w:t>
      </w:r>
      <w:r w:rsidR="006F318D">
        <w:rPr>
          <w:rFonts w:cs="Arial"/>
          <w:szCs w:val="18"/>
        </w:rPr>
        <w:t xml:space="preserve">comes mainly from fossil fuels, with </w:t>
      </w:r>
      <w:r w:rsidR="003E2D4D">
        <w:rPr>
          <w:rFonts w:cs="Arial"/>
          <w:szCs w:val="18"/>
        </w:rPr>
        <w:t xml:space="preserve">only </w:t>
      </w:r>
      <w:r w:rsidR="000072FB">
        <w:rPr>
          <w:rFonts w:cs="Arial"/>
          <w:szCs w:val="18"/>
        </w:rPr>
        <w:t>less than 1% being originate</w:t>
      </w:r>
      <w:r w:rsidR="000B1B91">
        <w:rPr>
          <w:rFonts w:cs="Arial"/>
          <w:szCs w:val="18"/>
        </w:rPr>
        <w:t>d</w:t>
      </w:r>
      <w:r w:rsidR="000072FB">
        <w:rPr>
          <w:rFonts w:cs="Arial"/>
          <w:szCs w:val="18"/>
        </w:rPr>
        <w:t xml:space="preserve"> from renewable sources</w:t>
      </w:r>
      <w:r w:rsidR="001E2CE5">
        <w:rPr>
          <w:rFonts w:cs="Arial"/>
          <w:szCs w:val="18"/>
        </w:rPr>
        <w:t xml:space="preserve"> (IEA, 2023)</w:t>
      </w:r>
      <w:r w:rsidR="000072FB">
        <w:rPr>
          <w:rFonts w:cs="Arial"/>
          <w:szCs w:val="18"/>
        </w:rPr>
        <w:t xml:space="preserve">. </w:t>
      </w:r>
      <w:r w:rsidR="006803DE">
        <w:rPr>
          <w:rFonts w:cs="Arial"/>
          <w:szCs w:val="18"/>
        </w:rPr>
        <w:t>Therefore, c</w:t>
      </w:r>
      <w:r w:rsidR="006803DE" w:rsidRPr="00D0668D">
        <w:rPr>
          <w:rFonts w:cs="Arial"/>
          <w:szCs w:val="18"/>
        </w:rPr>
        <w:t>onsidering today’s energy transition context</w:t>
      </w:r>
      <w:r w:rsidR="005A75DF">
        <w:rPr>
          <w:rFonts w:cs="Arial"/>
          <w:szCs w:val="18"/>
        </w:rPr>
        <w:t xml:space="preserve"> and</w:t>
      </w:r>
      <w:r w:rsidR="006803DE" w:rsidRPr="00D0668D">
        <w:rPr>
          <w:rFonts w:cs="Arial"/>
          <w:szCs w:val="18"/>
        </w:rPr>
        <w:t xml:space="preserve"> acknowledging the difficulties revolving around hydrogen storage and transportation,</w:t>
      </w:r>
      <w:r w:rsidR="00204410">
        <w:rPr>
          <w:rFonts w:cs="Arial"/>
          <w:szCs w:val="18"/>
        </w:rPr>
        <w:t xml:space="preserve"> the utilization of hydrogen carriers as a</w:t>
      </w:r>
      <w:r w:rsidR="00142AE7">
        <w:rPr>
          <w:rFonts w:cs="Arial"/>
          <w:szCs w:val="18"/>
        </w:rPr>
        <w:t xml:space="preserve"> hydrogen vector is introduced.</w:t>
      </w:r>
      <w:r w:rsidR="00E60939">
        <w:rPr>
          <w:rFonts w:cs="Arial"/>
          <w:szCs w:val="18"/>
        </w:rPr>
        <w:t xml:space="preserve"> </w:t>
      </w:r>
      <w:r w:rsidR="00E60939" w:rsidRPr="00D0668D">
        <w:rPr>
          <w:rFonts w:cs="Arial"/>
          <w:szCs w:val="18"/>
        </w:rPr>
        <w:t xml:space="preserve">These carriers are compounds that possess hydrogen in their molecule, </w:t>
      </w:r>
      <w:r w:rsidR="00E60939">
        <w:rPr>
          <w:rFonts w:cs="Arial"/>
          <w:szCs w:val="18"/>
        </w:rPr>
        <w:t>such as methane, ethanol, ammonia</w:t>
      </w:r>
      <w:r w:rsidR="004472FB">
        <w:rPr>
          <w:rFonts w:cs="Arial"/>
          <w:szCs w:val="18"/>
        </w:rPr>
        <w:t>,</w:t>
      </w:r>
      <w:r w:rsidR="00E60939">
        <w:rPr>
          <w:rFonts w:cs="Arial"/>
          <w:szCs w:val="18"/>
        </w:rPr>
        <w:t xml:space="preserve"> and urea</w:t>
      </w:r>
      <w:r w:rsidR="00936584">
        <w:rPr>
          <w:rFonts w:cs="Arial"/>
          <w:szCs w:val="18"/>
        </w:rPr>
        <w:t>,</w:t>
      </w:r>
      <w:r w:rsidR="00E60939" w:rsidRPr="00D0668D">
        <w:rPr>
          <w:rFonts w:cs="Arial"/>
          <w:szCs w:val="18"/>
        </w:rPr>
        <w:t xml:space="preserve"> </w:t>
      </w:r>
      <w:r w:rsidR="004472FB">
        <w:rPr>
          <w:rFonts w:cs="Arial"/>
          <w:szCs w:val="18"/>
        </w:rPr>
        <w:t>being</w:t>
      </w:r>
      <w:r w:rsidR="00E60939" w:rsidRPr="00D0668D">
        <w:rPr>
          <w:rFonts w:cs="Arial"/>
          <w:szCs w:val="18"/>
        </w:rPr>
        <w:t xml:space="preserve"> presented as promising candidates to generate H</w:t>
      </w:r>
      <w:r w:rsidR="00E60939" w:rsidRPr="00D0668D">
        <w:rPr>
          <w:rFonts w:cs="Arial"/>
          <w:szCs w:val="18"/>
          <w:vertAlign w:val="subscript"/>
        </w:rPr>
        <w:t>2</w:t>
      </w:r>
      <w:r w:rsidR="00E60939" w:rsidRPr="00D0668D">
        <w:rPr>
          <w:rFonts w:cs="Arial"/>
          <w:szCs w:val="18"/>
        </w:rPr>
        <w:t xml:space="preserve"> on-site and on-demand through reforming reactions</w:t>
      </w:r>
      <w:r w:rsidR="00AE4C52">
        <w:rPr>
          <w:rFonts w:cs="Arial"/>
          <w:szCs w:val="18"/>
        </w:rPr>
        <w:t xml:space="preserve"> (Barros et al., 2024)</w:t>
      </w:r>
      <w:r w:rsidR="00E60939">
        <w:rPr>
          <w:rFonts w:cs="Arial"/>
          <w:szCs w:val="18"/>
        </w:rPr>
        <w:t>.</w:t>
      </w:r>
    </w:p>
    <w:p w14:paraId="0ECA4354" w14:textId="09D07C8B" w:rsidR="00382EB5" w:rsidRDefault="007F5EC7" w:rsidP="00726205">
      <w:pPr>
        <w:pStyle w:val="ListParagraph"/>
        <w:ind w:left="0"/>
        <w:rPr>
          <w:rFonts w:cs="Arial"/>
          <w:szCs w:val="18"/>
        </w:rPr>
      </w:pPr>
      <w:r>
        <w:rPr>
          <w:rFonts w:cs="Arial"/>
          <w:szCs w:val="18"/>
        </w:rPr>
        <w:t>Among the available carriers that can be explored for H</w:t>
      </w:r>
      <w:r w:rsidRPr="007F5EC7">
        <w:rPr>
          <w:rFonts w:cs="Arial"/>
          <w:szCs w:val="18"/>
          <w:vertAlign w:val="subscript"/>
        </w:rPr>
        <w:t>2</w:t>
      </w:r>
      <w:r>
        <w:rPr>
          <w:rFonts w:cs="Arial"/>
          <w:szCs w:val="18"/>
        </w:rPr>
        <w:t xml:space="preserve"> </w:t>
      </w:r>
      <w:r w:rsidR="00E42FFA">
        <w:rPr>
          <w:rFonts w:cs="Arial"/>
          <w:szCs w:val="18"/>
        </w:rPr>
        <w:t>generation</w:t>
      </w:r>
      <w:r>
        <w:rPr>
          <w:rFonts w:cs="Arial"/>
          <w:szCs w:val="18"/>
        </w:rPr>
        <w:t>, urea</w:t>
      </w:r>
      <w:r w:rsidR="008763B7">
        <w:rPr>
          <w:rFonts w:cs="Arial"/>
          <w:szCs w:val="18"/>
        </w:rPr>
        <w:t xml:space="preserve"> </w:t>
      </w:r>
      <w:r w:rsidR="008763B7" w:rsidRPr="000B2F89">
        <w:rPr>
          <w:rFonts w:cs="Arial"/>
          <w:szCs w:val="18"/>
        </w:rPr>
        <w:t>(CO(NH</w:t>
      </w:r>
      <w:r w:rsidR="008763B7" w:rsidRPr="000B2F89">
        <w:rPr>
          <w:rFonts w:ascii="Cambria Math" w:hAnsi="Cambria Math" w:cs="Cambria Math"/>
          <w:szCs w:val="18"/>
        </w:rPr>
        <w:t>₂</w:t>
      </w:r>
      <w:r w:rsidR="008763B7" w:rsidRPr="000B2F89">
        <w:rPr>
          <w:rFonts w:cs="Arial"/>
          <w:szCs w:val="18"/>
        </w:rPr>
        <w:t>)</w:t>
      </w:r>
      <w:r w:rsidR="008763B7" w:rsidRPr="000B2F89">
        <w:rPr>
          <w:rFonts w:ascii="Cambria Math" w:hAnsi="Cambria Math" w:cs="Cambria Math"/>
          <w:szCs w:val="18"/>
        </w:rPr>
        <w:t>₂</w:t>
      </w:r>
      <w:r w:rsidR="008763B7" w:rsidRPr="000B2F89">
        <w:rPr>
          <w:rFonts w:cs="Arial"/>
          <w:szCs w:val="18"/>
        </w:rPr>
        <w:t xml:space="preserve">) </w:t>
      </w:r>
      <w:r w:rsidR="005D1D0E">
        <w:rPr>
          <w:rFonts w:cs="Arial"/>
          <w:szCs w:val="18"/>
        </w:rPr>
        <w:t xml:space="preserve">is </w:t>
      </w:r>
      <w:r>
        <w:rPr>
          <w:rFonts w:cs="Arial"/>
          <w:szCs w:val="18"/>
        </w:rPr>
        <w:t>highlight</w:t>
      </w:r>
      <w:r w:rsidR="005D1D0E">
        <w:rPr>
          <w:rFonts w:cs="Arial"/>
          <w:szCs w:val="18"/>
        </w:rPr>
        <w:t>ed</w:t>
      </w:r>
      <w:r>
        <w:rPr>
          <w:rFonts w:cs="Arial"/>
          <w:szCs w:val="18"/>
        </w:rPr>
        <w:t xml:space="preserve"> for </w:t>
      </w:r>
      <w:r w:rsidR="00B6010C">
        <w:rPr>
          <w:rFonts w:cs="Arial"/>
          <w:szCs w:val="18"/>
        </w:rPr>
        <w:t>being</w:t>
      </w:r>
      <w:r w:rsidR="002219D2">
        <w:rPr>
          <w:rFonts w:cs="Arial"/>
          <w:szCs w:val="18"/>
        </w:rPr>
        <w:t xml:space="preserve"> </w:t>
      </w:r>
      <w:r w:rsidR="00726205" w:rsidRPr="00D0668D">
        <w:rPr>
          <w:rFonts w:cs="Arial"/>
          <w:szCs w:val="18"/>
          <w:lang w:val="en-US"/>
        </w:rPr>
        <w:t>a non-toxic, non-flammable</w:t>
      </w:r>
      <w:r w:rsidR="005D1D0E">
        <w:rPr>
          <w:rFonts w:cs="Arial"/>
          <w:szCs w:val="18"/>
          <w:lang w:val="en-US"/>
        </w:rPr>
        <w:t>,</w:t>
      </w:r>
      <w:r w:rsidR="00726205" w:rsidRPr="00D0668D">
        <w:rPr>
          <w:rFonts w:cs="Arial"/>
          <w:szCs w:val="18"/>
          <w:lang w:val="en-US"/>
        </w:rPr>
        <w:t xml:space="preserve"> and </w:t>
      </w:r>
      <w:r w:rsidR="0046420F" w:rsidRPr="00D0668D">
        <w:rPr>
          <w:rFonts w:cs="Arial"/>
          <w:szCs w:val="18"/>
          <w:lang w:val="en-US"/>
        </w:rPr>
        <w:t>odorless</w:t>
      </w:r>
      <w:r w:rsidR="00726205" w:rsidRPr="00D0668D">
        <w:rPr>
          <w:rFonts w:cs="Arial"/>
          <w:szCs w:val="18"/>
          <w:lang w:val="en-US"/>
        </w:rPr>
        <w:t xml:space="preserve"> crystalline substance</w:t>
      </w:r>
      <w:r w:rsidR="00FA7E05">
        <w:rPr>
          <w:rFonts w:cs="Arial"/>
          <w:szCs w:val="18"/>
          <w:lang w:val="en-US"/>
        </w:rPr>
        <w:t xml:space="preserve"> (</w:t>
      </w:r>
      <w:r w:rsidR="00FA7E05" w:rsidRPr="00FA7E05">
        <w:rPr>
          <w:rFonts w:cs="Arial"/>
          <w:szCs w:val="18"/>
        </w:rPr>
        <w:t>Rollinson</w:t>
      </w:r>
      <w:r w:rsidR="00794FA7">
        <w:rPr>
          <w:rFonts w:cs="Arial"/>
          <w:szCs w:val="18"/>
        </w:rPr>
        <w:t xml:space="preserve"> et al., 201</w:t>
      </w:r>
      <w:r w:rsidR="00B418CA">
        <w:rPr>
          <w:rFonts w:cs="Arial"/>
          <w:szCs w:val="18"/>
        </w:rPr>
        <w:t>1</w:t>
      </w:r>
      <w:r w:rsidR="00007E41">
        <w:rPr>
          <w:rFonts w:cs="Arial"/>
          <w:szCs w:val="18"/>
        </w:rPr>
        <w:t>a</w:t>
      </w:r>
      <w:r w:rsidR="00794FA7">
        <w:rPr>
          <w:rFonts w:cs="Arial"/>
          <w:szCs w:val="18"/>
        </w:rPr>
        <w:t>)</w:t>
      </w:r>
      <w:r w:rsidR="009B228F">
        <w:rPr>
          <w:rFonts w:cs="Arial"/>
          <w:szCs w:val="18"/>
          <w:lang w:val="en-US"/>
        </w:rPr>
        <w:t xml:space="preserve">, which is considered an advantage compared to other </w:t>
      </w:r>
      <w:r w:rsidR="000326EC">
        <w:rPr>
          <w:rFonts w:cs="Arial"/>
          <w:szCs w:val="18"/>
          <w:lang w:val="en-US"/>
        </w:rPr>
        <w:t xml:space="preserve">hydrogen </w:t>
      </w:r>
      <w:r w:rsidR="007A1317">
        <w:rPr>
          <w:rFonts w:cs="Arial"/>
          <w:szCs w:val="18"/>
          <w:lang w:val="en-US"/>
        </w:rPr>
        <w:t>vecto</w:t>
      </w:r>
      <w:r w:rsidR="000326EC">
        <w:rPr>
          <w:rFonts w:cs="Arial"/>
          <w:szCs w:val="18"/>
          <w:lang w:val="en-US"/>
        </w:rPr>
        <w:t>rs</w:t>
      </w:r>
      <w:r w:rsidR="00C16861">
        <w:rPr>
          <w:rFonts w:cs="Arial"/>
          <w:szCs w:val="18"/>
          <w:lang w:val="en-US"/>
        </w:rPr>
        <w:t xml:space="preserve"> in terms of safety concerns. Additionally, urea </w:t>
      </w:r>
      <w:r w:rsidR="00726205" w:rsidRPr="00D0668D">
        <w:rPr>
          <w:rFonts w:cs="Arial"/>
          <w:szCs w:val="18"/>
          <w:lang w:val="en-US"/>
        </w:rPr>
        <w:t xml:space="preserve">has a gravimetric hydrogen content of </w:t>
      </w:r>
      <w:r w:rsidR="00642A87">
        <w:rPr>
          <w:rFonts w:cs="Arial"/>
          <w:szCs w:val="18"/>
          <w:lang w:val="en-US"/>
        </w:rPr>
        <w:t xml:space="preserve">approximately </w:t>
      </w:r>
      <w:r w:rsidR="00726205" w:rsidRPr="00D0668D">
        <w:rPr>
          <w:rFonts w:cs="Arial"/>
          <w:szCs w:val="18"/>
          <w:lang w:val="en-US"/>
        </w:rPr>
        <w:t xml:space="preserve">6.71 </w:t>
      </w:r>
      <w:proofErr w:type="spellStart"/>
      <w:r w:rsidR="00726205" w:rsidRPr="00D0668D">
        <w:rPr>
          <w:rFonts w:cs="Arial"/>
          <w:szCs w:val="18"/>
          <w:lang w:val="en-US"/>
        </w:rPr>
        <w:t>wt</w:t>
      </w:r>
      <w:proofErr w:type="spellEnd"/>
      <w:r w:rsidR="00726205" w:rsidRPr="00D0668D">
        <w:rPr>
          <w:rFonts w:cs="Arial"/>
          <w:szCs w:val="18"/>
          <w:lang w:val="en-US"/>
        </w:rPr>
        <w:t>%</w:t>
      </w:r>
      <w:r w:rsidR="00AD7AC0">
        <w:rPr>
          <w:rFonts w:cs="Arial"/>
          <w:szCs w:val="18"/>
          <w:lang w:val="en-US"/>
        </w:rPr>
        <w:t>, it</w:t>
      </w:r>
      <w:r w:rsidR="00687604">
        <w:rPr>
          <w:rFonts w:cs="Arial"/>
          <w:szCs w:val="18"/>
          <w:lang w:val="en-US"/>
        </w:rPr>
        <w:t xml:space="preserve"> can be</w:t>
      </w:r>
      <w:r w:rsidR="00726205" w:rsidRPr="00D0668D">
        <w:rPr>
          <w:rFonts w:cs="Arial"/>
          <w:szCs w:val="18"/>
          <w:lang w:val="en-US"/>
        </w:rPr>
        <w:t xml:space="preserve"> produced synthetically on a commercial scale and is also</w:t>
      </w:r>
      <w:r w:rsidR="00726205" w:rsidRPr="00D0668D">
        <w:rPr>
          <w:rFonts w:cs="Arial"/>
          <w:szCs w:val="18"/>
        </w:rPr>
        <w:t xml:space="preserve"> </w:t>
      </w:r>
      <w:r w:rsidR="00726205" w:rsidRPr="00D0668D">
        <w:rPr>
          <w:rFonts w:cs="Arial"/>
          <w:szCs w:val="18"/>
          <w:lang w:val="en-US"/>
        </w:rPr>
        <w:t>present in nature through animal excretions and plants as nitrogen storage</w:t>
      </w:r>
      <w:r w:rsidR="00007E41">
        <w:rPr>
          <w:rFonts w:cs="Arial"/>
          <w:szCs w:val="18"/>
          <w:lang w:val="en-US"/>
        </w:rPr>
        <w:t xml:space="preserve"> (</w:t>
      </w:r>
      <w:r w:rsidR="00007E41" w:rsidRPr="00FA7E05">
        <w:rPr>
          <w:rFonts w:cs="Arial"/>
          <w:szCs w:val="18"/>
        </w:rPr>
        <w:t>Rollinson</w:t>
      </w:r>
      <w:r w:rsidR="00007E41">
        <w:rPr>
          <w:rFonts w:cs="Arial"/>
          <w:szCs w:val="18"/>
        </w:rPr>
        <w:t xml:space="preserve"> et al., 2010)</w:t>
      </w:r>
      <w:r w:rsidR="00726205" w:rsidRPr="00D0668D">
        <w:rPr>
          <w:rFonts w:cs="Arial"/>
          <w:szCs w:val="18"/>
          <w:lang w:val="en-US"/>
        </w:rPr>
        <w:t>. This, combined with the fact that urea is biodegradable, makes it a very interesting hydrogen carrier and object of study.</w:t>
      </w:r>
      <w:r w:rsidR="00692C0B">
        <w:rPr>
          <w:rFonts w:cs="Arial"/>
          <w:szCs w:val="18"/>
          <w:lang w:val="en-US"/>
        </w:rPr>
        <w:t xml:space="preserve"> </w:t>
      </w:r>
      <w:r w:rsidR="009A3756">
        <w:rPr>
          <w:rFonts w:cs="Arial"/>
          <w:szCs w:val="18"/>
          <w:lang w:val="en-US"/>
        </w:rPr>
        <w:t>However, o</w:t>
      </w:r>
      <w:r w:rsidR="009A3756" w:rsidRPr="00D0668D">
        <w:rPr>
          <w:rFonts w:cs="Arial"/>
          <w:szCs w:val="18"/>
          <w:lang w:val="en-US"/>
        </w:rPr>
        <w:t xml:space="preserve">nly a few works </w:t>
      </w:r>
      <w:r w:rsidR="009A3756">
        <w:rPr>
          <w:rFonts w:cs="Arial"/>
          <w:szCs w:val="18"/>
          <w:lang w:val="en-US"/>
        </w:rPr>
        <w:t xml:space="preserve">report </w:t>
      </w:r>
      <w:r w:rsidR="003520F3">
        <w:rPr>
          <w:rFonts w:cs="Arial"/>
          <w:szCs w:val="18"/>
          <w:lang w:val="en-US"/>
        </w:rPr>
        <w:t>urea</w:t>
      </w:r>
      <w:r w:rsidR="00371675">
        <w:rPr>
          <w:rFonts w:cs="Arial"/>
          <w:szCs w:val="18"/>
          <w:lang w:val="en-US"/>
        </w:rPr>
        <w:t xml:space="preserve"> utilization </w:t>
      </w:r>
      <w:r w:rsidR="005C3343">
        <w:rPr>
          <w:rFonts w:cs="Arial"/>
          <w:szCs w:val="18"/>
          <w:lang w:val="en-US"/>
        </w:rPr>
        <w:t>for</w:t>
      </w:r>
      <w:r w:rsidR="009A3756" w:rsidRPr="00D0668D">
        <w:rPr>
          <w:rFonts w:cs="Arial"/>
          <w:szCs w:val="18"/>
          <w:lang w:val="en-US"/>
        </w:rPr>
        <w:t xml:space="preserve"> </w:t>
      </w:r>
      <w:r w:rsidR="005C3343">
        <w:rPr>
          <w:rFonts w:cs="Arial"/>
          <w:szCs w:val="18"/>
          <w:lang w:val="en-US"/>
        </w:rPr>
        <w:t>H</w:t>
      </w:r>
      <w:r w:rsidR="005C3343" w:rsidRPr="005C3343">
        <w:rPr>
          <w:rFonts w:cs="Arial"/>
          <w:szCs w:val="18"/>
          <w:vertAlign w:val="subscript"/>
          <w:lang w:val="en-US"/>
        </w:rPr>
        <w:t>2</w:t>
      </w:r>
      <w:r w:rsidR="005C3343">
        <w:rPr>
          <w:rFonts w:cs="Arial"/>
          <w:szCs w:val="18"/>
          <w:lang w:val="en-US"/>
        </w:rPr>
        <w:t xml:space="preserve"> </w:t>
      </w:r>
      <w:r w:rsidR="009A3756" w:rsidRPr="00D0668D">
        <w:rPr>
          <w:rFonts w:cs="Arial"/>
          <w:szCs w:val="18"/>
          <w:lang w:val="en-US"/>
        </w:rPr>
        <w:t>production</w:t>
      </w:r>
      <w:r w:rsidR="00380E50">
        <w:rPr>
          <w:rFonts w:cs="Arial"/>
          <w:szCs w:val="18"/>
          <w:lang w:val="en-US"/>
        </w:rPr>
        <w:t xml:space="preserve"> (</w:t>
      </w:r>
      <w:r w:rsidR="00E07282">
        <w:rPr>
          <w:rFonts w:cs="Arial"/>
          <w:szCs w:val="18"/>
          <w:lang w:val="en-US"/>
        </w:rPr>
        <w:t xml:space="preserve">Dupont et al., 2013; </w:t>
      </w:r>
      <w:r w:rsidR="00380E50" w:rsidRPr="00FA7E05">
        <w:rPr>
          <w:rFonts w:cs="Arial"/>
          <w:szCs w:val="18"/>
        </w:rPr>
        <w:t>Rollinson</w:t>
      </w:r>
      <w:r w:rsidR="00380E50">
        <w:rPr>
          <w:rFonts w:cs="Arial"/>
          <w:szCs w:val="18"/>
        </w:rPr>
        <w:t xml:space="preserve"> et al., </w:t>
      </w:r>
      <w:r w:rsidR="00380E50">
        <w:rPr>
          <w:rFonts w:cs="Arial"/>
          <w:szCs w:val="18"/>
        </w:rPr>
        <w:lastRenderedPageBreak/>
        <w:t xml:space="preserve">2010; </w:t>
      </w:r>
      <w:r w:rsidR="00380E50" w:rsidRPr="00FA7E05">
        <w:rPr>
          <w:rFonts w:cs="Arial"/>
          <w:szCs w:val="18"/>
        </w:rPr>
        <w:t>Rollinson</w:t>
      </w:r>
      <w:r w:rsidR="00380E50">
        <w:rPr>
          <w:rFonts w:cs="Arial"/>
          <w:szCs w:val="18"/>
        </w:rPr>
        <w:t xml:space="preserve"> et al., 2011b)</w:t>
      </w:r>
      <w:r w:rsidR="009A3756" w:rsidRPr="00D0668D">
        <w:rPr>
          <w:rFonts w:cs="Arial"/>
          <w:szCs w:val="18"/>
          <w:lang w:val="en-US"/>
        </w:rPr>
        <w:t xml:space="preserve">. </w:t>
      </w:r>
      <w:r w:rsidR="00692C0B">
        <w:rPr>
          <w:rFonts w:cs="Arial"/>
          <w:szCs w:val="18"/>
          <w:lang w:val="en-US"/>
        </w:rPr>
        <w:t xml:space="preserve">In this sense, </w:t>
      </w:r>
      <w:r w:rsidR="00692C0B">
        <w:rPr>
          <w:rFonts w:cs="Arial"/>
          <w:szCs w:val="18"/>
        </w:rPr>
        <w:t>t</w:t>
      </w:r>
      <w:r w:rsidR="00692C0B" w:rsidRPr="00D0668D">
        <w:rPr>
          <w:rFonts w:cs="Arial"/>
          <w:szCs w:val="18"/>
        </w:rPr>
        <w:t xml:space="preserve">he </w:t>
      </w:r>
      <w:r w:rsidR="00382EB5">
        <w:rPr>
          <w:rFonts w:cs="Arial"/>
          <w:szCs w:val="18"/>
        </w:rPr>
        <w:t>present</w:t>
      </w:r>
      <w:r w:rsidR="00692C0B" w:rsidRPr="00D0668D">
        <w:rPr>
          <w:rFonts w:cs="Arial"/>
          <w:szCs w:val="18"/>
        </w:rPr>
        <w:t xml:space="preserve"> study </w:t>
      </w:r>
      <w:r w:rsidR="007B3369">
        <w:rPr>
          <w:rFonts w:cs="Arial"/>
          <w:szCs w:val="18"/>
        </w:rPr>
        <w:t>uses Aspen</w:t>
      </w:r>
      <w:r w:rsidR="00DB71AB">
        <w:rPr>
          <w:rFonts w:cs="Arial"/>
          <w:szCs w:val="18"/>
        </w:rPr>
        <w:t xml:space="preserve"> </w:t>
      </w:r>
      <w:r w:rsidR="007B3369">
        <w:rPr>
          <w:rFonts w:cs="Arial"/>
          <w:szCs w:val="18"/>
        </w:rPr>
        <w:t xml:space="preserve">Plus software to </w:t>
      </w:r>
      <w:r w:rsidR="00692C0B" w:rsidRPr="00D0668D">
        <w:rPr>
          <w:rFonts w:cs="Arial"/>
          <w:szCs w:val="18"/>
        </w:rPr>
        <w:t xml:space="preserve">explore the </w:t>
      </w:r>
      <w:r w:rsidR="00265B0A">
        <w:rPr>
          <w:rFonts w:cs="Arial"/>
          <w:szCs w:val="18"/>
        </w:rPr>
        <w:t xml:space="preserve">urea </w:t>
      </w:r>
      <w:r w:rsidR="008918DA">
        <w:rPr>
          <w:rFonts w:cs="Arial"/>
          <w:szCs w:val="18"/>
        </w:rPr>
        <w:t>steam reforming</w:t>
      </w:r>
      <w:r w:rsidR="00692C0B" w:rsidRPr="00D0668D">
        <w:rPr>
          <w:rFonts w:cs="Arial"/>
          <w:szCs w:val="18"/>
        </w:rPr>
        <w:t xml:space="preserve"> </w:t>
      </w:r>
      <w:r w:rsidR="00265B0A">
        <w:rPr>
          <w:rFonts w:cs="Arial"/>
          <w:szCs w:val="18"/>
        </w:rPr>
        <w:t>(USR)</w:t>
      </w:r>
      <w:r w:rsidR="00692C0B" w:rsidRPr="00D0668D">
        <w:rPr>
          <w:rFonts w:cs="Arial"/>
          <w:szCs w:val="18"/>
        </w:rPr>
        <w:t xml:space="preserve"> </w:t>
      </w:r>
      <w:r w:rsidR="007B3369">
        <w:rPr>
          <w:rFonts w:cs="Arial"/>
          <w:szCs w:val="18"/>
        </w:rPr>
        <w:t>for</w:t>
      </w:r>
      <w:r w:rsidR="008918DA">
        <w:rPr>
          <w:rFonts w:cs="Arial"/>
          <w:szCs w:val="18"/>
        </w:rPr>
        <w:t xml:space="preserve"> </w:t>
      </w:r>
      <w:r w:rsidR="001905D4">
        <w:rPr>
          <w:rFonts w:cs="Arial"/>
          <w:szCs w:val="18"/>
        </w:rPr>
        <w:t xml:space="preserve">decentralized </w:t>
      </w:r>
      <w:r w:rsidR="008918DA">
        <w:rPr>
          <w:rFonts w:cs="Arial"/>
          <w:szCs w:val="18"/>
        </w:rPr>
        <w:t xml:space="preserve">hydrogen </w:t>
      </w:r>
      <w:r w:rsidR="007B3369">
        <w:rPr>
          <w:rFonts w:cs="Arial"/>
          <w:szCs w:val="18"/>
        </w:rPr>
        <w:t xml:space="preserve">generation, aiming at </w:t>
      </w:r>
      <w:r w:rsidR="00BD1E88">
        <w:rPr>
          <w:rFonts w:cs="Arial"/>
          <w:szCs w:val="18"/>
        </w:rPr>
        <w:t>fuel cells (FCs) application.</w:t>
      </w:r>
      <w:r w:rsidR="004E0A89">
        <w:rPr>
          <w:rFonts w:cs="Arial"/>
          <w:szCs w:val="18"/>
        </w:rPr>
        <w:t xml:space="preserve"> </w:t>
      </w:r>
      <w:r w:rsidR="004E0A89" w:rsidRPr="004E0A89">
        <w:rPr>
          <w:rFonts w:cs="Arial"/>
          <w:szCs w:val="18"/>
        </w:rPr>
        <w:t xml:space="preserve">Although USR simulation has been previously reported in </w:t>
      </w:r>
      <w:r w:rsidR="005D1D0E">
        <w:rPr>
          <w:rFonts w:cs="Arial"/>
          <w:szCs w:val="18"/>
        </w:rPr>
        <w:t xml:space="preserve">the </w:t>
      </w:r>
      <w:r w:rsidR="004E0A89" w:rsidRPr="004E0A89">
        <w:rPr>
          <w:rFonts w:cs="Arial"/>
          <w:szCs w:val="18"/>
        </w:rPr>
        <w:t>literature</w:t>
      </w:r>
      <w:r w:rsidR="006279E0">
        <w:rPr>
          <w:rFonts w:cs="Arial"/>
          <w:szCs w:val="18"/>
        </w:rPr>
        <w:t xml:space="preserve"> </w:t>
      </w:r>
      <w:r w:rsidR="006279E0">
        <w:rPr>
          <w:rFonts w:cs="Arial"/>
          <w:szCs w:val="18"/>
          <w:lang w:val="en-US"/>
        </w:rPr>
        <w:t>(Dupont et al., 2013)</w:t>
      </w:r>
      <w:r w:rsidR="004E0A89" w:rsidRPr="004E0A89">
        <w:rPr>
          <w:rFonts w:cs="Arial"/>
          <w:szCs w:val="18"/>
        </w:rPr>
        <w:t>, to</w:t>
      </w:r>
      <w:r w:rsidR="004E0A89">
        <w:rPr>
          <w:rFonts w:cs="Arial"/>
          <w:szCs w:val="18"/>
        </w:rPr>
        <w:t xml:space="preserve"> the best of</w:t>
      </w:r>
      <w:r w:rsidR="004E0A89" w:rsidRPr="004E0A89">
        <w:rPr>
          <w:rFonts w:cs="Arial"/>
          <w:szCs w:val="18"/>
        </w:rPr>
        <w:t xml:space="preserve"> our knowledge, this is the first work </w:t>
      </w:r>
      <w:r w:rsidR="00DB71AB">
        <w:rPr>
          <w:rFonts w:cs="Arial"/>
          <w:szCs w:val="18"/>
        </w:rPr>
        <w:t>simulating</w:t>
      </w:r>
      <w:r w:rsidR="00D62A61">
        <w:rPr>
          <w:rFonts w:cs="Arial"/>
          <w:szCs w:val="18"/>
        </w:rPr>
        <w:t xml:space="preserve"> USR in </w:t>
      </w:r>
      <w:r w:rsidR="004E0A89" w:rsidRPr="004E0A89">
        <w:rPr>
          <w:rFonts w:cs="Arial"/>
          <w:szCs w:val="18"/>
        </w:rPr>
        <w:t>Aspen</w:t>
      </w:r>
      <w:r w:rsidR="00DB71AB">
        <w:rPr>
          <w:rFonts w:cs="Arial"/>
          <w:szCs w:val="18"/>
        </w:rPr>
        <w:t xml:space="preserve"> </w:t>
      </w:r>
      <w:r w:rsidR="004E0A89" w:rsidRPr="004E0A89">
        <w:rPr>
          <w:rFonts w:cs="Arial"/>
          <w:szCs w:val="18"/>
        </w:rPr>
        <w:t>Plus</w:t>
      </w:r>
      <w:r w:rsidR="003520F3">
        <w:rPr>
          <w:rFonts w:cs="Arial"/>
          <w:szCs w:val="18"/>
        </w:rPr>
        <w:t xml:space="preserve"> and analysed for the proposed utilization</w:t>
      </w:r>
      <w:r w:rsidR="004E0A89" w:rsidRPr="004E0A89">
        <w:rPr>
          <w:rFonts w:cs="Arial"/>
          <w:szCs w:val="18"/>
        </w:rPr>
        <w:t>.</w:t>
      </w:r>
    </w:p>
    <w:p w14:paraId="7228D36C" w14:textId="78A459FD" w:rsidR="007B3369" w:rsidRDefault="00726205" w:rsidP="00726205">
      <w:pPr>
        <w:pStyle w:val="ListParagraph"/>
        <w:ind w:left="0"/>
        <w:rPr>
          <w:rFonts w:cs="Arial"/>
          <w:szCs w:val="18"/>
        </w:rPr>
      </w:pPr>
      <w:r w:rsidRPr="00A467C7">
        <w:rPr>
          <w:rFonts w:cs="Arial"/>
          <w:szCs w:val="18"/>
        </w:rPr>
        <w:t>While the catalytic reforming of urea can yield 2 mol</w:t>
      </w:r>
      <w:r w:rsidR="00A67420">
        <w:rPr>
          <w:rFonts w:cs="Arial"/>
          <w:szCs w:val="18"/>
        </w:rPr>
        <w:t>es</w:t>
      </w:r>
      <w:r w:rsidRPr="00A467C7">
        <w:rPr>
          <w:rFonts w:cs="Arial"/>
          <w:szCs w:val="18"/>
        </w:rPr>
        <w:t xml:space="preserve"> of H</w:t>
      </w:r>
      <w:r w:rsidRPr="00A467C7">
        <w:rPr>
          <w:rFonts w:ascii="Cambria Math" w:hAnsi="Cambria Math" w:cs="Cambria Math"/>
          <w:szCs w:val="18"/>
        </w:rPr>
        <w:t>₂</w:t>
      </w:r>
      <w:r w:rsidRPr="00A467C7">
        <w:rPr>
          <w:rFonts w:cs="Arial"/>
          <w:szCs w:val="18"/>
        </w:rPr>
        <w:t xml:space="preserve"> per mol</w:t>
      </w:r>
      <w:r w:rsidR="00A67420">
        <w:rPr>
          <w:rFonts w:cs="Arial"/>
          <w:szCs w:val="18"/>
        </w:rPr>
        <w:t>e</w:t>
      </w:r>
      <w:r w:rsidRPr="00A467C7">
        <w:rPr>
          <w:rFonts w:cs="Arial"/>
          <w:szCs w:val="18"/>
        </w:rPr>
        <w:t xml:space="preserve"> of CO(NH</w:t>
      </w:r>
      <w:r w:rsidRPr="00A467C7">
        <w:rPr>
          <w:rFonts w:ascii="Cambria Math" w:hAnsi="Cambria Math" w:cs="Cambria Math"/>
          <w:szCs w:val="18"/>
        </w:rPr>
        <w:t>₂</w:t>
      </w:r>
      <w:r w:rsidRPr="00A467C7">
        <w:rPr>
          <w:rFonts w:cs="Arial"/>
          <w:szCs w:val="18"/>
        </w:rPr>
        <w:t>)</w:t>
      </w:r>
      <w:r w:rsidRPr="00A467C7">
        <w:rPr>
          <w:rFonts w:ascii="Cambria Math" w:hAnsi="Cambria Math" w:cs="Cambria Math"/>
          <w:szCs w:val="18"/>
        </w:rPr>
        <w:t>₂</w:t>
      </w:r>
      <w:r w:rsidRPr="00A467C7">
        <w:rPr>
          <w:rFonts w:cs="Arial"/>
          <w:szCs w:val="18"/>
        </w:rPr>
        <w:t>, steam</w:t>
      </w:r>
      <w:r w:rsidRPr="00D0668D">
        <w:rPr>
          <w:rFonts w:cs="Arial"/>
          <w:szCs w:val="18"/>
        </w:rPr>
        <w:t xml:space="preserve"> reforming offers the advantage of generating 3 mol</w:t>
      </w:r>
      <w:r w:rsidR="00A67420">
        <w:rPr>
          <w:rFonts w:cs="Arial"/>
          <w:szCs w:val="18"/>
        </w:rPr>
        <w:t>es</w:t>
      </w:r>
      <w:r w:rsidRPr="00D0668D">
        <w:rPr>
          <w:rFonts w:cs="Arial"/>
          <w:szCs w:val="18"/>
        </w:rPr>
        <w:t xml:space="preserve"> of H</w:t>
      </w:r>
      <w:r w:rsidRPr="00D0668D">
        <w:rPr>
          <w:rFonts w:ascii="Cambria Math" w:hAnsi="Cambria Math" w:cs="Cambria Math"/>
          <w:szCs w:val="18"/>
        </w:rPr>
        <w:t>₂</w:t>
      </w:r>
      <w:r w:rsidR="007B3369">
        <w:rPr>
          <w:rFonts w:ascii="Cambria Math" w:hAnsi="Cambria Math" w:cs="Cambria Math"/>
          <w:szCs w:val="18"/>
        </w:rPr>
        <w:t xml:space="preserve"> </w:t>
      </w:r>
      <w:r w:rsidR="007B3369" w:rsidRPr="008C527E">
        <w:rPr>
          <w:rFonts w:cs="Arial"/>
          <w:szCs w:val="18"/>
        </w:rPr>
        <w:t xml:space="preserve">per mole of </w:t>
      </w:r>
      <w:r w:rsidR="007B3369">
        <w:rPr>
          <w:rFonts w:cs="Arial"/>
          <w:szCs w:val="18"/>
        </w:rPr>
        <w:t>urea</w:t>
      </w:r>
      <w:r w:rsidR="007B3369" w:rsidRPr="008C527E">
        <w:rPr>
          <w:rFonts w:cs="Arial"/>
          <w:szCs w:val="18"/>
        </w:rPr>
        <w:t xml:space="preserve"> </w:t>
      </w:r>
      <w:r w:rsidR="004068D2">
        <w:rPr>
          <w:rFonts w:cs="Arial"/>
          <w:szCs w:val="18"/>
        </w:rPr>
        <w:t>(</w:t>
      </w:r>
      <w:r w:rsidR="004068D2" w:rsidRPr="008C527E">
        <w:rPr>
          <w:rFonts w:cs="Arial"/>
          <w:szCs w:val="18"/>
        </w:rPr>
        <w:t xml:space="preserve">3 </w:t>
      </w:r>
      <w:proofErr w:type="spellStart"/>
      <w:r w:rsidR="004068D2" w:rsidRPr="008C527E">
        <w:rPr>
          <w:rFonts w:cs="Arial"/>
          <w:szCs w:val="18"/>
        </w:rPr>
        <w:t>mol</w:t>
      </w:r>
      <w:r w:rsidR="004068D2" w:rsidRPr="008C527E">
        <w:rPr>
          <w:rFonts w:cs="Arial"/>
          <w:szCs w:val="18"/>
          <w:vertAlign w:val="subscript"/>
        </w:rPr>
        <w:t>H</w:t>
      </w:r>
      <w:proofErr w:type="spellEnd"/>
      <w:r w:rsidR="004068D2" w:rsidRPr="008C527E">
        <w:rPr>
          <w:rFonts w:ascii="Cambria Math" w:hAnsi="Cambria Math" w:cs="Cambria Math"/>
          <w:szCs w:val="18"/>
          <w:vertAlign w:val="subscript"/>
        </w:rPr>
        <w:t>₂</w:t>
      </w:r>
      <w:r w:rsidR="004068D2">
        <w:rPr>
          <w:rFonts w:cs="Arial"/>
          <w:szCs w:val="18"/>
        </w:rPr>
        <w:t>/</w:t>
      </w:r>
      <w:proofErr w:type="spellStart"/>
      <w:r w:rsidR="004068D2" w:rsidRPr="008C527E">
        <w:rPr>
          <w:rFonts w:cs="Arial"/>
          <w:szCs w:val="18"/>
        </w:rPr>
        <w:t>mol</w:t>
      </w:r>
      <w:r w:rsidR="004068D2" w:rsidRPr="008C527E">
        <w:rPr>
          <w:rFonts w:cs="Arial"/>
          <w:szCs w:val="18"/>
          <w:vertAlign w:val="subscript"/>
        </w:rPr>
        <w:t>urea</w:t>
      </w:r>
      <w:proofErr w:type="spellEnd"/>
      <w:r w:rsidR="004068D2">
        <w:rPr>
          <w:rFonts w:cs="Arial"/>
          <w:szCs w:val="18"/>
        </w:rPr>
        <w:t>)</w:t>
      </w:r>
      <w:r w:rsidRPr="00D0668D">
        <w:rPr>
          <w:rFonts w:cs="Arial"/>
          <w:szCs w:val="18"/>
        </w:rPr>
        <w:t xml:space="preserve">. </w:t>
      </w:r>
      <w:r w:rsidR="00821191">
        <w:rPr>
          <w:rFonts w:cs="Arial"/>
          <w:szCs w:val="18"/>
        </w:rPr>
        <w:t>Therefore, t</w:t>
      </w:r>
      <w:r w:rsidR="00821191" w:rsidRPr="00821191">
        <w:rPr>
          <w:rFonts w:cs="Arial"/>
          <w:szCs w:val="18"/>
        </w:rPr>
        <w:t xml:space="preserve">o </w:t>
      </w:r>
      <w:r w:rsidR="00821191">
        <w:rPr>
          <w:rFonts w:cs="Arial"/>
          <w:szCs w:val="18"/>
        </w:rPr>
        <w:t>enhance</w:t>
      </w:r>
      <w:r w:rsidR="00821191" w:rsidRPr="00821191">
        <w:rPr>
          <w:rFonts w:cs="Arial"/>
          <w:szCs w:val="18"/>
        </w:rPr>
        <w:t xml:space="preserve"> hydrogen production, sensitivity analyses were conducted to investigate the influence of key operating parameters, including the steam-to-carbon (S:C) molar ratio, temperature, and pressure, on hydrogen yield. The results indicated that increasing the S:C molar ratio and operating at a reduced pressure of 0.5 bar enabled a higher hydrogen yield at a</w:t>
      </w:r>
      <w:r w:rsidR="00642A87">
        <w:rPr>
          <w:rFonts w:cs="Arial"/>
          <w:szCs w:val="18"/>
        </w:rPr>
        <w:t xml:space="preserve"> relatively</w:t>
      </w:r>
      <w:r w:rsidR="00821191" w:rsidRPr="00821191">
        <w:rPr>
          <w:rFonts w:cs="Arial"/>
          <w:szCs w:val="18"/>
        </w:rPr>
        <w:t xml:space="preserve"> moderate temperature of 600 °C. </w:t>
      </w:r>
      <w:r w:rsidR="0040523B" w:rsidRPr="00F73DEE">
        <w:rPr>
          <w:rFonts w:cs="Arial"/>
          <w:szCs w:val="18"/>
        </w:rPr>
        <w:t xml:space="preserve">After determining the operating conditions, </w:t>
      </w:r>
      <w:r w:rsidR="00821191">
        <w:rPr>
          <w:rFonts w:cs="Arial"/>
          <w:szCs w:val="18"/>
        </w:rPr>
        <w:t>hydrogen</w:t>
      </w:r>
      <w:r w:rsidR="0040523B" w:rsidRPr="00F73DEE">
        <w:rPr>
          <w:rFonts w:cs="Arial"/>
          <w:szCs w:val="18"/>
        </w:rPr>
        <w:t xml:space="preserve"> purification</w:t>
      </w:r>
      <w:r w:rsidR="00135E1D" w:rsidRPr="00F73DEE">
        <w:rPr>
          <w:rFonts w:cs="Arial"/>
          <w:szCs w:val="18"/>
        </w:rPr>
        <w:t xml:space="preserve"> was carried out in a membrane, </w:t>
      </w:r>
      <w:r w:rsidR="0032666E" w:rsidRPr="00F73DEE">
        <w:rPr>
          <w:rFonts w:cs="Arial"/>
          <w:szCs w:val="18"/>
        </w:rPr>
        <w:t>respecting</w:t>
      </w:r>
      <w:r w:rsidR="00135E1D" w:rsidRPr="00F73DEE">
        <w:rPr>
          <w:rFonts w:cs="Arial"/>
          <w:szCs w:val="18"/>
        </w:rPr>
        <w:t xml:space="preserve"> the </w:t>
      </w:r>
      <w:r w:rsidR="005B1147" w:rsidRPr="00F73DEE">
        <w:rPr>
          <w:rFonts w:cs="Arial"/>
          <w:szCs w:val="18"/>
        </w:rPr>
        <w:t>standards</w:t>
      </w:r>
      <w:r w:rsidR="00135E1D" w:rsidRPr="00F73DEE">
        <w:rPr>
          <w:rFonts w:cs="Arial"/>
          <w:szCs w:val="18"/>
        </w:rPr>
        <w:t xml:space="preserve"> determined by </w:t>
      </w:r>
      <w:r w:rsidR="005B1147" w:rsidRPr="00F73DEE">
        <w:rPr>
          <w:rFonts w:cs="Arial"/>
          <w:szCs w:val="18"/>
        </w:rPr>
        <w:t>ISO 14687:2019</w:t>
      </w:r>
      <w:r w:rsidR="001A0B0D" w:rsidRPr="00F73DEE">
        <w:rPr>
          <w:rFonts w:cs="Arial"/>
          <w:szCs w:val="18"/>
        </w:rPr>
        <w:t xml:space="preserve"> </w:t>
      </w:r>
      <w:r w:rsidR="00821191">
        <w:rPr>
          <w:rFonts w:cs="Arial"/>
          <w:szCs w:val="18"/>
        </w:rPr>
        <w:t>required for a</w:t>
      </w:r>
      <w:r w:rsidR="001A0B0D" w:rsidRPr="00F73DEE">
        <w:rPr>
          <w:rFonts w:cs="Arial"/>
          <w:szCs w:val="18"/>
        </w:rPr>
        <w:t xml:space="preserve"> </w:t>
      </w:r>
      <w:r w:rsidR="001A0B0D" w:rsidRPr="00F73DEE">
        <w:rPr>
          <w:rFonts w:cs="Arial"/>
          <w:szCs w:val="18"/>
          <w:lang w:val="en-US"/>
        </w:rPr>
        <w:t>Proton-exchange membrane fuel cell (</w:t>
      </w:r>
      <w:r w:rsidR="001A0B0D" w:rsidRPr="00F73DEE">
        <w:rPr>
          <w:rFonts w:cs="Arial"/>
          <w:szCs w:val="18"/>
        </w:rPr>
        <w:t>PEMFC)</w:t>
      </w:r>
      <w:r w:rsidR="00F63168" w:rsidRPr="00F73DEE">
        <w:rPr>
          <w:rFonts w:cs="Arial"/>
          <w:szCs w:val="18"/>
        </w:rPr>
        <w:t xml:space="preserve"> (</w:t>
      </w:r>
      <w:proofErr w:type="spellStart"/>
      <w:r w:rsidR="00F63168" w:rsidRPr="00F73DEE">
        <w:rPr>
          <w:rFonts w:cs="Arial"/>
          <w:szCs w:val="18"/>
        </w:rPr>
        <w:t>Floriam</w:t>
      </w:r>
      <w:proofErr w:type="spellEnd"/>
      <w:r w:rsidR="00F63168" w:rsidRPr="00F73DEE">
        <w:rPr>
          <w:rFonts w:cs="Arial"/>
          <w:szCs w:val="18"/>
        </w:rPr>
        <w:t xml:space="preserve"> et al., 2024)</w:t>
      </w:r>
      <w:r w:rsidR="005B1147" w:rsidRPr="00F73DEE">
        <w:rPr>
          <w:rFonts w:cs="Arial"/>
          <w:szCs w:val="18"/>
        </w:rPr>
        <w:t>.</w:t>
      </w:r>
      <w:r w:rsidR="001A0B0D" w:rsidRPr="00F73DEE">
        <w:rPr>
          <w:rFonts w:cs="Arial"/>
          <w:szCs w:val="18"/>
        </w:rPr>
        <w:t xml:space="preserve"> </w:t>
      </w:r>
      <w:r w:rsidR="00821191" w:rsidRPr="00821191">
        <w:rPr>
          <w:rFonts w:cs="Arial"/>
          <w:szCs w:val="18"/>
        </w:rPr>
        <w:t>To meet these standards, initial calculations were performed in Excel and subsequently implemented in the separator model (Sep) within the simulation software.</w:t>
      </w:r>
      <w:r w:rsidR="00821191">
        <w:rPr>
          <w:rFonts w:cs="Arial"/>
          <w:szCs w:val="18"/>
        </w:rPr>
        <w:t xml:space="preserve"> </w:t>
      </w:r>
      <w:r w:rsidR="00634F4F" w:rsidRPr="00F73DEE">
        <w:rPr>
          <w:rFonts w:cs="Arial"/>
          <w:szCs w:val="18"/>
        </w:rPr>
        <w:t xml:space="preserve">Finally, the power output equivalent </w:t>
      </w:r>
      <w:r w:rsidR="00B02511" w:rsidRPr="00F73DEE">
        <w:rPr>
          <w:rFonts w:cs="Arial"/>
          <w:szCs w:val="18"/>
        </w:rPr>
        <w:t>(</w:t>
      </w:r>
      <w:proofErr w:type="spellStart"/>
      <w:r w:rsidR="00B02511" w:rsidRPr="00F73DEE">
        <w:rPr>
          <w:rFonts w:cs="Arial"/>
          <w:szCs w:val="18"/>
        </w:rPr>
        <w:t>P</w:t>
      </w:r>
      <w:r w:rsidR="00B02511" w:rsidRPr="00F73DEE">
        <w:rPr>
          <w:rFonts w:cs="Arial"/>
          <w:szCs w:val="18"/>
          <w:vertAlign w:val="subscript"/>
        </w:rPr>
        <w:t>eq</w:t>
      </w:r>
      <w:proofErr w:type="spellEnd"/>
      <w:r w:rsidR="00B02511" w:rsidRPr="00F73DEE">
        <w:rPr>
          <w:rFonts w:cs="Arial"/>
          <w:szCs w:val="18"/>
        </w:rPr>
        <w:t>)</w:t>
      </w:r>
      <w:r w:rsidR="00634F4F" w:rsidRPr="00F73DEE">
        <w:rPr>
          <w:rFonts w:cs="Arial"/>
          <w:szCs w:val="18"/>
        </w:rPr>
        <w:t xml:space="preserve"> for the PEMFC </w:t>
      </w:r>
      <w:r w:rsidR="00821191" w:rsidRPr="00821191">
        <w:rPr>
          <w:rFonts w:cs="Arial"/>
          <w:szCs w:val="18"/>
        </w:rPr>
        <w:t xml:space="preserve">was calculated based on the hydrogen production rate (in </w:t>
      </w:r>
      <w:r w:rsidR="00D674E9">
        <w:rPr>
          <w:rFonts w:cs="Arial"/>
          <w:szCs w:val="18"/>
        </w:rPr>
        <w:t>kg</w:t>
      </w:r>
      <w:r w:rsidR="00821191" w:rsidRPr="00821191">
        <w:rPr>
          <w:rFonts w:cs="Arial"/>
          <w:szCs w:val="18"/>
        </w:rPr>
        <w:t xml:space="preserve">/s), using an equation </w:t>
      </w:r>
      <w:r w:rsidR="00771C28">
        <w:rPr>
          <w:rFonts w:cs="Arial"/>
          <w:szCs w:val="18"/>
        </w:rPr>
        <w:t>from</w:t>
      </w:r>
      <w:r w:rsidR="007F1CDA">
        <w:rPr>
          <w:rFonts w:cs="Arial"/>
          <w:szCs w:val="18"/>
        </w:rPr>
        <w:t xml:space="preserve"> </w:t>
      </w:r>
      <w:r w:rsidR="005D1D0E">
        <w:rPr>
          <w:rFonts w:cs="Arial"/>
          <w:szCs w:val="18"/>
        </w:rPr>
        <w:t xml:space="preserve">the </w:t>
      </w:r>
      <w:r w:rsidR="00821191" w:rsidRPr="00821191">
        <w:rPr>
          <w:rFonts w:cs="Arial"/>
          <w:szCs w:val="18"/>
        </w:rPr>
        <w:t>literature</w:t>
      </w:r>
      <w:r w:rsidR="005D1D0E">
        <w:rPr>
          <w:rFonts w:cs="Arial"/>
          <w:szCs w:val="18"/>
        </w:rPr>
        <w:t xml:space="preserve"> (</w:t>
      </w:r>
      <w:r w:rsidR="005D1D0E" w:rsidRPr="007D6C4B">
        <w:t>Engelbrecht</w:t>
      </w:r>
      <w:r w:rsidR="005D1D0E">
        <w:t xml:space="preserve"> et al., 2018</w:t>
      </w:r>
      <w:r w:rsidR="005D1D0E">
        <w:rPr>
          <w:rFonts w:cs="Arial"/>
          <w:szCs w:val="18"/>
        </w:rPr>
        <w:t>)</w:t>
      </w:r>
      <w:r w:rsidR="00821191" w:rsidRPr="00821191">
        <w:rPr>
          <w:rFonts w:cs="Arial"/>
          <w:szCs w:val="18"/>
        </w:rPr>
        <w:t>.</w:t>
      </w:r>
    </w:p>
    <w:p w14:paraId="647A6069" w14:textId="333F4AC4" w:rsidR="002512A1" w:rsidRPr="00B57B36" w:rsidRDefault="002512A1" w:rsidP="002512A1">
      <w:pPr>
        <w:pStyle w:val="CETHeading1"/>
        <w:rPr>
          <w:lang w:val="en-GB"/>
        </w:rPr>
      </w:pPr>
      <w:r>
        <w:rPr>
          <w:lang w:val="en-GB"/>
        </w:rPr>
        <w:t>Methodology</w:t>
      </w:r>
    </w:p>
    <w:p w14:paraId="0C5121C9" w14:textId="15981053" w:rsidR="00186170" w:rsidRDefault="00186170" w:rsidP="00186170">
      <w:pPr>
        <w:pStyle w:val="CETheadingx"/>
      </w:pPr>
      <w:r w:rsidRPr="00B57B36">
        <w:t>P</w:t>
      </w:r>
      <w:r>
        <w:t>rocess Description</w:t>
      </w:r>
      <w:r w:rsidR="004A3FF3">
        <w:t xml:space="preserve"> and Simulation Approaches</w:t>
      </w:r>
    </w:p>
    <w:p w14:paraId="14DF6B04" w14:textId="4D6C36FB" w:rsidR="00016077" w:rsidRDefault="005661E5" w:rsidP="00186170">
      <w:pPr>
        <w:pStyle w:val="CETBodytext"/>
        <w:rPr>
          <w:lang w:val="en-GB"/>
        </w:rPr>
      </w:pPr>
      <w:r>
        <w:t xml:space="preserve">This study was carried out at </w:t>
      </w:r>
      <w:r w:rsidR="004074A1" w:rsidRPr="00755B3F">
        <w:rPr>
          <w:lang w:val="en-GB"/>
        </w:rPr>
        <w:t xml:space="preserve">Aspen Plus® V10 </w:t>
      </w:r>
      <w:r>
        <w:t xml:space="preserve">software and focused on </w:t>
      </w:r>
      <w:r w:rsidR="00755B3F">
        <w:t xml:space="preserve">urea steam reforming for </w:t>
      </w:r>
      <w:r>
        <w:t>decentralized hydrogen</w:t>
      </w:r>
      <w:r w:rsidR="00B45903">
        <w:t xml:space="preserve"> production</w:t>
      </w:r>
      <w:r w:rsidR="00A06546">
        <w:t>.</w:t>
      </w:r>
      <w:r w:rsidR="00755B3F">
        <w:t xml:space="preserve"> </w:t>
      </w:r>
      <w:r w:rsidR="009A2E41">
        <w:t>Her</w:t>
      </w:r>
      <w:r w:rsidR="00027C00">
        <w:t xml:space="preserve">e, </w:t>
      </w:r>
      <w:r w:rsidR="009A2E41">
        <w:t>the effect of S:C rat</w:t>
      </w:r>
      <w:r w:rsidR="00F02DBE">
        <w:t>io</w:t>
      </w:r>
      <w:r w:rsidR="00164AD2">
        <w:t xml:space="preserve"> (</w:t>
      </w:r>
      <w:r w:rsidR="00027C00">
        <w:t>kilo</w:t>
      </w:r>
      <w:r w:rsidR="00164AD2">
        <w:t xml:space="preserve">moles of water per </w:t>
      </w:r>
      <w:r w:rsidR="00027C00">
        <w:t>kilo</w:t>
      </w:r>
      <w:r w:rsidR="00164AD2">
        <w:t>mol</w:t>
      </w:r>
      <w:r w:rsidR="00A67420">
        <w:t>e</w:t>
      </w:r>
      <w:r w:rsidR="00164AD2">
        <w:t xml:space="preserve"> of urea)</w:t>
      </w:r>
      <w:r w:rsidR="009A2E41">
        <w:t xml:space="preserve">, </w:t>
      </w:r>
      <w:r w:rsidR="00DF0830">
        <w:t>temperature</w:t>
      </w:r>
      <w:r w:rsidR="00027C00">
        <w:t>,</w:t>
      </w:r>
      <w:r w:rsidR="00DF0830">
        <w:t xml:space="preserve"> and pressure on </w:t>
      </w:r>
      <w:r w:rsidR="00027C00">
        <w:t>hydrogen production were evaluated</w:t>
      </w:r>
      <w:r w:rsidR="00DF0830">
        <w:t xml:space="preserve">. </w:t>
      </w:r>
      <w:r w:rsidR="003A42CA">
        <w:t xml:space="preserve">The process </w:t>
      </w:r>
      <w:r w:rsidR="00027C00">
        <w:t xml:space="preserve">configuration, shown </w:t>
      </w:r>
      <w:r w:rsidR="00AC1BEF">
        <w:t>in Figure 1</w:t>
      </w:r>
      <w:r w:rsidR="00027C00">
        <w:t>,</w:t>
      </w:r>
      <w:r w:rsidR="00223D23">
        <w:t xml:space="preserve"> </w:t>
      </w:r>
      <w:r w:rsidR="00896793">
        <w:t>was</w:t>
      </w:r>
      <w:r w:rsidR="00223D23">
        <w:t xml:space="preserve"> </w:t>
      </w:r>
      <w:r w:rsidR="00027C00">
        <w:t>simulated</w:t>
      </w:r>
      <w:r w:rsidR="00BB4A40">
        <w:t xml:space="preserve"> </w:t>
      </w:r>
      <w:r w:rsidR="000C37FF">
        <w:t>under steady-state conditions</w:t>
      </w:r>
      <w:r w:rsidR="00027C00">
        <w:t xml:space="preserve">, using </w:t>
      </w:r>
      <w:r w:rsidR="00016077" w:rsidRPr="00016077">
        <w:rPr>
          <w:lang w:val="en-GB"/>
        </w:rPr>
        <w:t>SR-POLAR</w:t>
      </w:r>
      <w:r w:rsidR="00027C00">
        <w:rPr>
          <w:lang w:val="en-GB"/>
        </w:rPr>
        <w:t xml:space="preserve"> as the thermodynamic method</w:t>
      </w:r>
      <w:r w:rsidR="00016077" w:rsidRPr="00016077">
        <w:rPr>
          <w:lang w:val="en-GB"/>
        </w:rPr>
        <w:t xml:space="preserve">, </w:t>
      </w:r>
      <w:r w:rsidR="00121715">
        <w:rPr>
          <w:lang w:val="en-GB"/>
        </w:rPr>
        <w:t xml:space="preserve">which </w:t>
      </w:r>
      <w:r w:rsidR="00037EA5">
        <w:t xml:space="preserve">is based on the </w:t>
      </w:r>
      <w:proofErr w:type="spellStart"/>
      <w:r w:rsidR="00037EA5" w:rsidRPr="005E63ED">
        <w:rPr>
          <w:lang w:val="en-GB"/>
        </w:rPr>
        <w:t>Schwartzentruber</w:t>
      </w:r>
      <w:proofErr w:type="spellEnd"/>
      <w:r w:rsidR="00037EA5" w:rsidRPr="005E63ED">
        <w:rPr>
          <w:lang w:val="en-GB"/>
        </w:rPr>
        <w:t>-Renon</w:t>
      </w:r>
      <w:r w:rsidR="00037EA5">
        <w:rPr>
          <w:lang w:val="en-GB"/>
        </w:rPr>
        <w:t xml:space="preserve"> </w:t>
      </w:r>
      <w:r w:rsidR="00037EA5">
        <w:t>equation-of-state</w:t>
      </w:r>
      <w:r w:rsidR="00027C00">
        <w:t xml:space="preserve">. The method is </w:t>
      </w:r>
      <w:r w:rsidR="00016077" w:rsidRPr="00016077">
        <w:rPr>
          <w:lang w:val="en-GB"/>
        </w:rPr>
        <w:t>suitable for nonpolar and strongly polar compo</w:t>
      </w:r>
      <w:r w:rsidR="00FE3546">
        <w:rPr>
          <w:lang w:val="en-GB"/>
        </w:rPr>
        <w:t>unds</w:t>
      </w:r>
      <w:r w:rsidR="00016077" w:rsidRPr="00016077">
        <w:rPr>
          <w:lang w:val="en-GB"/>
        </w:rPr>
        <w:t xml:space="preserve"> as well as highly nonideal </w:t>
      </w:r>
      <w:r w:rsidR="00FE3546">
        <w:rPr>
          <w:lang w:val="en-GB"/>
        </w:rPr>
        <w:t>system</w:t>
      </w:r>
      <w:r w:rsidR="00016077" w:rsidRPr="00016077">
        <w:rPr>
          <w:lang w:val="en-GB"/>
        </w:rPr>
        <w:t>s</w:t>
      </w:r>
      <w:r w:rsidR="00027C00">
        <w:rPr>
          <w:lang w:val="en-GB"/>
        </w:rPr>
        <w:t xml:space="preserve"> </w:t>
      </w:r>
      <w:r w:rsidR="00A20FCA">
        <w:rPr>
          <w:lang w:val="en-GB"/>
        </w:rPr>
        <w:t>(</w:t>
      </w:r>
      <w:proofErr w:type="spellStart"/>
      <w:r w:rsidR="00A20FCA">
        <w:rPr>
          <w:lang w:val="en-GB"/>
        </w:rPr>
        <w:t>Aspen</w:t>
      </w:r>
      <w:r w:rsidR="00152B21">
        <w:rPr>
          <w:lang w:val="en-GB"/>
        </w:rPr>
        <w:t>T</w:t>
      </w:r>
      <w:r w:rsidR="00A20FCA">
        <w:rPr>
          <w:lang w:val="en-GB"/>
        </w:rPr>
        <w:t>ech</w:t>
      </w:r>
      <w:proofErr w:type="spellEnd"/>
      <w:r w:rsidR="00A20FCA">
        <w:rPr>
          <w:lang w:val="en-GB"/>
        </w:rPr>
        <w:t>, 2001)</w:t>
      </w:r>
      <w:r w:rsidR="00016077" w:rsidRPr="00016077">
        <w:rPr>
          <w:lang w:val="en-GB"/>
        </w:rPr>
        <w:t>.</w:t>
      </w:r>
      <w:r w:rsidR="001D2C6C">
        <w:rPr>
          <w:lang w:val="en-GB"/>
        </w:rPr>
        <w:t xml:space="preserve"> </w:t>
      </w:r>
      <w:r w:rsidR="00E133A4">
        <w:rPr>
          <w:lang w:val="en-GB"/>
        </w:rPr>
        <w:t>All components, except for urea (a solid in its natural state), were considered conventional for the selection of input compounds in the software</w:t>
      </w:r>
      <w:r w:rsidR="00AE7B81" w:rsidRPr="00AE7B81">
        <w:rPr>
          <w:lang w:val="en-GB"/>
        </w:rPr>
        <w:t>.</w:t>
      </w:r>
    </w:p>
    <w:p w14:paraId="5727F993" w14:textId="4D89C2BA" w:rsidR="0052106C" w:rsidRDefault="00DF0830" w:rsidP="00E05EF0">
      <w:pPr>
        <w:pStyle w:val="CETBodytext"/>
      </w:pPr>
      <w:r>
        <w:t xml:space="preserve">Initially, </w:t>
      </w:r>
      <w:r w:rsidR="00642A87">
        <w:t xml:space="preserve">two streams—one comprising pure urea (designated as stream UREA) and the other </w:t>
      </w:r>
      <w:r w:rsidR="00642A87">
        <w:t xml:space="preserve">consisting of </w:t>
      </w:r>
      <w:r w:rsidR="00642A87">
        <w:t xml:space="preserve">pure water (designated as stream WATER)—were combined </w:t>
      </w:r>
      <w:r w:rsidR="00642A87">
        <w:t xml:space="preserve">in a mixer </w:t>
      </w:r>
      <w:r w:rsidR="00642A87">
        <w:t>(MX1) prior to being introduced into the reforming reactor (REFORMER</w:t>
      </w:r>
      <w:r w:rsidR="005160BB">
        <w:t>)</w:t>
      </w:r>
      <w:r w:rsidR="00535994">
        <w:t>.</w:t>
      </w:r>
      <w:r w:rsidR="00C22118">
        <w:t xml:space="preserve"> </w:t>
      </w:r>
      <w:r w:rsidR="00856D2A">
        <w:t xml:space="preserve">The </w:t>
      </w:r>
      <w:proofErr w:type="spellStart"/>
      <w:r w:rsidR="00856D2A" w:rsidRPr="000F62AE">
        <w:rPr>
          <w:i/>
          <w:iCs/>
        </w:rPr>
        <w:t>RGibbs</w:t>
      </w:r>
      <w:proofErr w:type="spellEnd"/>
      <w:r w:rsidR="00856D2A">
        <w:t xml:space="preserve"> model was </w:t>
      </w:r>
      <w:r w:rsidR="00642A87">
        <w:t>selected</w:t>
      </w:r>
      <w:r w:rsidR="000F62AE">
        <w:t xml:space="preserve"> as </w:t>
      </w:r>
      <w:r w:rsidR="00642A87">
        <w:t>the</w:t>
      </w:r>
      <w:r w:rsidR="005D1D0E">
        <w:t xml:space="preserve"> </w:t>
      </w:r>
      <w:r w:rsidR="000F62AE">
        <w:t xml:space="preserve">reformer </w:t>
      </w:r>
      <w:r w:rsidR="00642A87">
        <w:t>as</w:t>
      </w:r>
      <w:r w:rsidR="000F62AE">
        <w:t xml:space="preserve"> it </w:t>
      </w:r>
      <w:r w:rsidR="008E76E1">
        <w:t>predicts</w:t>
      </w:r>
      <w:r w:rsidR="003E6661" w:rsidRPr="003E6661">
        <w:rPr>
          <w:lang w:val="en-GB"/>
        </w:rPr>
        <w:t xml:space="preserve"> the </w:t>
      </w:r>
      <w:r w:rsidR="00642A87">
        <w:rPr>
          <w:lang w:val="en-GB"/>
        </w:rPr>
        <w:t xml:space="preserve">composition of the </w:t>
      </w:r>
      <w:r w:rsidR="003E6661" w:rsidRPr="003E6661">
        <w:rPr>
          <w:lang w:val="en-GB"/>
        </w:rPr>
        <w:t>product</w:t>
      </w:r>
      <w:r w:rsidR="00642A87">
        <w:rPr>
          <w:lang w:val="en-GB"/>
        </w:rPr>
        <w:t xml:space="preserve"> </w:t>
      </w:r>
      <w:r w:rsidR="00381624">
        <w:rPr>
          <w:lang w:val="en-GB"/>
        </w:rPr>
        <w:t xml:space="preserve">at </w:t>
      </w:r>
      <w:r w:rsidR="00642A87">
        <w:rPr>
          <w:lang w:val="en-GB"/>
        </w:rPr>
        <w:t xml:space="preserve">both in </w:t>
      </w:r>
      <w:r w:rsidR="00381624">
        <w:rPr>
          <w:lang w:val="en-GB"/>
        </w:rPr>
        <w:t xml:space="preserve">phase and chemical </w:t>
      </w:r>
      <w:r w:rsidR="00642A87">
        <w:rPr>
          <w:lang w:val="en-GB"/>
        </w:rPr>
        <w:t>equilibria</w:t>
      </w:r>
      <w:r w:rsidR="00381624">
        <w:rPr>
          <w:lang w:val="en-GB"/>
        </w:rPr>
        <w:t xml:space="preserve"> </w:t>
      </w:r>
      <w:r w:rsidR="003E6661" w:rsidRPr="003E6661">
        <w:rPr>
          <w:lang w:val="en-GB"/>
        </w:rPr>
        <w:t xml:space="preserve">by minimizing </w:t>
      </w:r>
      <w:r w:rsidR="001012AC">
        <w:rPr>
          <w:lang w:val="en-GB"/>
        </w:rPr>
        <w:t xml:space="preserve">the </w:t>
      </w:r>
      <w:r w:rsidR="003E6661" w:rsidRPr="003E6661">
        <w:rPr>
          <w:lang w:val="en-GB"/>
        </w:rPr>
        <w:t>Gibbs free energy</w:t>
      </w:r>
      <w:r w:rsidR="00861F47">
        <w:rPr>
          <w:lang w:val="en-GB"/>
        </w:rPr>
        <w:t xml:space="preserve"> (Barros, 2024)</w:t>
      </w:r>
      <w:r w:rsidR="003E6661" w:rsidRPr="003E6661">
        <w:rPr>
          <w:lang w:val="en-GB"/>
        </w:rPr>
        <w:t>.</w:t>
      </w:r>
      <w:r w:rsidR="00861F47">
        <w:rPr>
          <w:lang w:val="en-GB"/>
        </w:rPr>
        <w:t xml:space="preserve"> </w:t>
      </w:r>
      <w:r w:rsidR="00DB2B82">
        <w:rPr>
          <w:lang w:val="en-GB"/>
        </w:rPr>
        <w:t xml:space="preserve">After this step, the hydrogen </w:t>
      </w:r>
      <w:r w:rsidR="00A01046">
        <w:rPr>
          <w:lang w:val="en-GB"/>
        </w:rPr>
        <w:t>purification</w:t>
      </w:r>
      <w:r w:rsidR="00C83D04">
        <w:rPr>
          <w:lang w:val="en-GB"/>
        </w:rPr>
        <w:t xml:space="preserve"> was </w:t>
      </w:r>
      <w:r w:rsidR="00CE249F">
        <w:rPr>
          <w:lang w:val="en-GB"/>
        </w:rPr>
        <w:t xml:space="preserve">performed </w:t>
      </w:r>
      <w:r w:rsidR="009B5CCB">
        <w:rPr>
          <w:lang w:val="en-GB"/>
        </w:rPr>
        <w:t>in a separator</w:t>
      </w:r>
      <w:r w:rsidR="00CB0F8C">
        <w:rPr>
          <w:lang w:val="en-GB"/>
        </w:rPr>
        <w:t xml:space="preserve"> </w:t>
      </w:r>
      <w:r w:rsidR="00CB0F8C" w:rsidRPr="00CB0F8C">
        <w:rPr>
          <w:i/>
          <w:iCs/>
          <w:lang w:val="en-GB"/>
        </w:rPr>
        <w:t>Sep</w:t>
      </w:r>
      <w:r w:rsidR="00CB0F8C">
        <w:rPr>
          <w:lang w:val="en-GB"/>
        </w:rPr>
        <w:t xml:space="preserve"> model (MEMBRANE)</w:t>
      </w:r>
      <w:r w:rsidR="006A2671">
        <w:rPr>
          <w:lang w:val="en-GB"/>
        </w:rPr>
        <w:t xml:space="preserve"> to </w:t>
      </w:r>
      <w:r w:rsidR="006276FE">
        <w:rPr>
          <w:lang w:val="en-GB"/>
        </w:rPr>
        <w:t xml:space="preserve">obtain hydrogen purity that meets the standards of </w:t>
      </w:r>
      <w:r w:rsidR="006276FE" w:rsidRPr="005B1147">
        <w:rPr>
          <w:rFonts w:cs="Arial"/>
          <w:szCs w:val="18"/>
        </w:rPr>
        <w:t>ISO 14687:2019</w:t>
      </w:r>
      <w:r w:rsidR="006276FE">
        <w:rPr>
          <w:rFonts w:cs="Arial"/>
          <w:szCs w:val="18"/>
        </w:rPr>
        <w:t xml:space="preserve"> for a PEMFC. </w:t>
      </w:r>
      <w:r w:rsidR="006501BC" w:rsidRPr="006501BC">
        <w:rPr>
          <w:rFonts w:cs="Arial"/>
          <w:szCs w:val="18"/>
        </w:rPr>
        <w:t xml:space="preserve">The contamination limits of the main components </w:t>
      </w:r>
      <w:r w:rsidR="006501BC">
        <w:rPr>
          <w:rFonts w:cs="Arial"/>
          <w:szCs w:val="18"/>
        </w:rPr>
        <w:t>found</w:t>
      </w:r>
      <w:r w:rsidR="006501BC" w:rsidRPr="006501BC">
        <w:rPr>
          <w:rFonts w:cs="Arial"/>
          <w:szCs w:val="18"/>
        </w:rPr>
        <w:t xml:space="preserve"> in</w:t>
      </w:r>
      <w:r w:rsidR="006501BC">
        <w:rPr>
          <w:rFonts w:cs="Arial"/>
          <w:szCs w:val="18"/>
        </w:rPr>
        <w:t xml:space="preserve"> purified</w:t>
      </w:r>
      <w:r w:rsidR="006501BC" w:rsidRPr="006501BC">
        <w:rPr>
          <w:rFonts w:cs="Arial"/>
          <w:szCs w:val="18"/>
        </w:rPr>
        <w:t xml:space="preserve"> hydrogen are s</w:t>
      </w:r>
      <w:r w:rsidR="0030720A">
        <w:rPr>
          <w:rFonts w:cs="Arial"/>
          <w:szCs w:val="18"/>
        </w:rPr>
        <w:t>pecified</w:t>
      </w:r>
      <w:r w:rsidR="006501BC" w:rsidRPr="006501BC">
        <w:rPr>
          <w:rFonts w:cs="Arial"/>
          <w:szCs w:val="18"/>
        </w:rPr>
        <w:t xml:space="preserve"> in Table 1</w:t>
      </w:r>
      <w:r w:rsidR="000819CD">
        <w:rPr>
          <w:rFonts w:cs="Arial"/>
          <w:szCs w:val="18"/>
        </w:rPr>
        <w:t>,</w:t>
      </w:r>
      <w:r w:rsidR="0030720A">
        <w:rPr>
          <w:rFonts w:cs="Arial"/>
          <w:szCs w:val="18"/>
        </w:rPr>
        <w:t xml:space="preserve"> </w:t>
      </w:r>
      <w:r w:rsidR="003A058B">
        <w:rPr>
          <w:rFonts w:cs="Arial"/>
          <w:szCs w:val="18"/>
        </w:rPr>
        <w:t xml:space="preserve">and </w:t>
      </w:r>
      <w:r w:rsidR="00086FAD">
        <w:rPr>
          <w:rFonts w:cs="Arial"/>
          <w:szCs w:val="18"/>
        </w:rPr>
        <w:t>the recovery required to achieve these limits was calculated using Microsoft Excel</w:t>
      </w:r>
      <w:r w:rsidR="004E6873">
        <w:rPr>
          <w:rFonts w:cs="Arial"/>
          <w:szCs w:val="18"/>
        </w:rPr>
        <w:t xml:space="preserve">. The calculated values </w:t>
      </w:r>
      <w:r w:rsidR="001B6ED6">
        <w:rPr>
          <w:rFonts w:cs="Arial"/>
          <w:szCs w:val="18"/>
        </w:rPr>
        <w:t xml:space="preserve">were </w:t>
      </w:r>
      <w:r w:rsidR="000819CD">
        <w:rPr>
          <w:rFonts w:cs="Arial"/>
          <w:szCs w:val="18"/>
        </w:rPr>
        <w:t xml:space="preserve">input </w:t>
      </w:r>
      <w:r w:rsidR="001B6ED6">
        <w:rPr>
          <w:rFonts w:cs="Arial"/>
          <w:szCs w:val="18"/>
        </w:rPr>
        <w:t>in</w:t>
      </w:r>
      <w:r w:rsidR="000819CD">
        <w:rPr>
          <w:rFonts w:cs="Arial"/>
          <w:szCs w:val="18"/>
        </w:rPr>
        <w:t>to</w:t>
      </w:r>
      <w:r w:rsidR="001B6ED6">
        <w:rPr>
          <w:rFonts w:cs="Arial"/>
          <w:szCs w:val="18"/>
        </w:rPr>
        <w:t xml:space="preserve"> the MEMBRANE block</w:t>
      </w:r>
      <w:r w:rsidR="00474A93">
        <w:rPr>
          <w:rFonts w:cs="Arial"/>
          <w:szCs w:val="18"/>
        </w:rPr>
        <w:t xml:space="preserve"> </w:t>
      </w:r>
      <w:r w:rsidR="001B6ED6">
        <w:rPr>
          <w:rFonts w:cs="Arial"/>
          <w:szCs w:val="18"/>
        </w:rPr>
        <w:t xml:space="preserve">to </w:t>
      </w:r>
      <w:r w:rsidR="00DB75F3">
        <w:rPr>
          <w:rFonts w:cs="Arial"/>
          <w:szCs w:val="18"/>
        </w:rPr>
        <w:t xml:space="preserve">ensure </w:t>
      </w:r>
      <w:r w:rsidR="000819CD">
        <w:rPr>
          <w:rFonts w:cs="Arial"/>
          <w:szCs w:val="18"/>
        </w:rPr>
        <w:t>effective</w:t>
      </w:r>
      <w:r w:rsidR="00E05EF0">
        <w:rPr>
          <w:rFonts w:cs="Arial"/>
          <w:szCs w:val="18"/>
        </w:rPr>
        <w:t xml:space="preserve"> </w:t>
      </w:r>
      <w:r w:rsidR="006E1075">
        <w:rPr>
          <w:rFonts w:cs="Arial"/>
          <w:szCs w:val="18"/>
        </w:rPr>
        <w:t>separation</w:t>
      </w:r>
      <w:r w:rsidR="00E05EF0">
        <w:rPr>
          <w:rFonts w:cs="Arial"/>
          <w:szCs w:val="18"/>
        </w:rPr>
        <w:t xml:space="preserve"> of the components</w:t>
      </w:r>
      <w:r w:rsidR="003A058B">
        <w:rPr>
          <w:rFonts w:cs="Arial"/>
          <w:szCs w:val="18"/>
        </w:rPr>
        <w:t>.</w:t>
      </w:r>
      <w:r w:rsidR="00E05EF0">
        <w:rPr>
          <w:rFonts w:cs="Arial"/>
          <w:szCs w:val="18"/>
        </w:rPr>
        <w:t xml:space="preserve"> </w:t>
      </w:r>
      <w:r w:rsidR="003A058B">
        <w:rPr>
          <w:rFonts w:cs="Arial"/>
          <w:szCs w:val="18"/>
        </w:rPr>
        <w:t xml:space="preserve">Finally, </w:t>
      </w:r>
      <w:r w:rsidR="000819CD">
        <w:rPr>
          <w:rFonts w:cs="Arial"/>
          <w:szCs w:val="18"/>
        </w:rPr>
        <w:t>given</w:t>
      </w:r>
      <w:r w:rsidR="003D5AC9">
        <w:rPr>
          <w:rFonts w:cs="Arial"/>
          <w:szCs w:val="18"/>
        </w:rPr>
        <w:t xml:space="preserve"> </w:t>
      </w:r>
      <w:r w:rsidR="00F622EB">
        <w:rPr>
          <w:rFonts w:cs="Arial"/>
          <w:szCs w:val="18"/>
        </w:rPr>
        <w:t xml:space="preserve">that the purified hydrogen </w:t>
      </w:r>
      <w:r w:rsidR="003F09A9">
        <w:rPr>
          <w:rFonts w:cs="Arial"/>
          <w:szCs w:val="18"/>
        </w:rPr>
        <w:t xml:space="preserve">is </w:t>
      </w:r>
      <w:r w:rsidR="000819CD">
        <w:rPr>
          <w:rFonts w:cs="Arial"/>
          <w:szCs w:val="18"/>
        </w:rPr>
        <w:t xml:space="preserve">directed </w:t>
      </w:r>
      <w:r w:rsidR="003F09A9">
        <w:rPr>
          <w:rFonts w:cs="Arial"/>
          <w:szCs w:val="18"/>
        </w:rPr>
        <w:t xml:space="preserve">to </w:t>
      </w:r>
      <w:r w:rsidR="003D5AC9">
        <w:rPr>
          <w:rFonts w:cs="Arial"/>
          <w:szCs w:val="18"/>
        </w:rPr>
        <w:t xml:space="preserve">a PEMFC for </w:t>
      </w:r>
      <w:r w:rsidR="00E34F4A">
        <w:rPr>
          <w:rFonts w:cs="Arial"/>
          <w:szCs w:val="18"/>
        </w:rPr>
        <w:t xml:space="preserve">electricity </w:t>
      </w:r>
      <w:r w:rsidR="000819CD">
        <w:rPr>
          <w:rFonts w:cs="Arial"/>
          <w:szCs w:val="18"/>
        </w:rPr>
        <w:t>generation</w:t>
      </w:r>
      <w:r w:rsidR="00E34F4A">
        <w:rPr>
          <w:rFonts w:cs="Arial"/>
          <w:szCs w:val="18"/>
        </w:rPr>
        <w:t xml:space="preserve">, the </w:t>
      </w:r>
      <w:r w:rsidR="000819CD">
        <w:rPr>
          <w:rFonts w:cs="Arial"/>
          <w:szCs w:val="18"/>
        </w:rPr>
        <w:t xml:space="preserve">equivalent FC </w:t>
      </w:r>
      <w:r w:rsidR="00E34F4A">
        <w:rPr>
          <w:rFonts w:cs="Arial"/>
          <w:szCs w:val="18"/>
        </w:rPr>
        <w:t>power output</w:t>
      </w:r>
      <w:r w:rsidR="009375B6">
        <w:rPr>
          <w:rFonts w:cs="Arial"/>
          <w:szCs w:val="18"/>
        </w:rPr>
        <w:t xml:space="preserve">, </w:t>
      </w:r>
      <w:proofErr w:type="spellStart"/>
      <w:r w:rsidR="009375B6">
        <w:rPr>
          <w:rFonts w:cs="Arial"/>
          <w:szCs w:val="18"/>
        </w:rPr>
        <w:t>P</w:t>
      </w:r>
      <w:r w:rsidR="009375B6" w:rsidRPr="009375B6">
        <w:rPr>
          <w:rFonts w:cs="Arial"/>
          <w:szCs w:val="18"/>
          <w:vertAlign w:val="subscript"/>
        </w:rPr>
        <w:t>eq</w:t>
      </w:r>
      <w:proofErr w:type="spellEnd"/>
      <w:r w:rsidR="009375B6">
        <w:rPr>
          <w:rFonts w:cs="Arial"/>
          <w:szCs w:val="18"/>
        </w:rPr>
        <w:t>,</w:t>
      </w:r>
      <w:r w:rsidR="00E34F4A">
        <w:rPr>
          <w:rFonts w:cs="Arial"/>
          <w:szCs w:val="18"/>
        </w:rPr>
        <w:t xml:space="preserve"> was calculated</w:t>
      </w:r>
      <w:r w:rsidR="009375B6">
        <w:rPr>
          <w:rFonts w:cs="Arial"/>
          <w:szCs w:val="18"/>
        </w:rPr>
        <w:t xml:space="preserve"> in </w:t>
      </w:r>
      <w:r w:rsidR="00300BD6">
        <w:rPr>
          <w:rFonts w:cs="Arial"/>
          <w:szCs w:val="18"/>
        </w:rPr>
        <w:t>W</w:t>
      </w:r>
      <w:r w:rsidR="009375B6">
        <w:rPr>
          <w:rFonts w:cs="Arial"/>
          <w:szCs w:val="18"/>
        </w:rPr>
        <w:t>atts</w:t>
      </w:r>
      <w:r w:rsidR="003F09A9">
        <w:rPr>
          <w:rFonts w:cs="Arial"/>
          <w:szCs w:val="18"/>
        </w:rPr>
        <w:t xml:space="preserve"> for th</w:t>
      </w:r>
      <w:r w:rsidR="006E1075">
        <w:rPr>
          <w:rFonts w:cs="Arial"/>
          <w:szCs w:val="18"/>
        </w:rPr>
        <w:t>is</w:t>
      </w:r>
      <w:r w:rsidR="003F09A9">
        <w:rPr>
          <w:rFonts w:cs="Arial"/>
          <w:szCs w:val="18"/>
        </w:rPr>
        <w:t xml:space="preserve"> process</w:t>
      </w:r>
      <w:r w:rsidR="00E34F4A">
        <w:rPr>
          <w:rFonts w:cs="Arial"/>
          <w:szCs w:val="18"/>
        </w:rPr>
        <w:t xml:space="preserve">. </w:t>
      </w:r>
    </w:p>
    <w:p w14:paraId="1A540FCA" w14:textId="118F1D8F" w:rsidR="00FB4063" w:rsidRDefault="00FB4063" w:rsidP="00186170">
      <w:pPr>
        <w:pStyle w:val="CETBodytext"/>
      </w:pPr>
      <w:r w:rsidRPr="00FB4063">
        <w:rPr>
          <w:noProof/>
          <w:lang w:val="en-GB"/>
        </w:rPr>
        <w:drawing>
          <wp:inline distT="0" distB="0" distL="0" distR="0" wp14:anchorId="3A6DC0D4" wp14:editId="77C798E0">
            <wp:extent cx="3743325" cy="1151927"/>
            <wp:effectExtent l="0" t="0" r="0" b="0"/>
            <wp:docPr id="10" name="Imagem 4">
              <a:extLst xmlns:a="http://schemas.openxmlformats.org/drawingml/2006/main">
                <a:ext uri="{FF2B5EF4-FFF2-40B4-BE49-F238E27FC236}">
                  <a16:creationId xmlns:a16="http://schemas.microsoft.com/office/drawing/2014/main" id="{2A0AF6BD-9DF2-AF26-EE61-C77E800004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>
                      <a:extLst>
                        <a:ext uri="{FF2B5EF4-FFF2-40B4-BE49-F238E27FC236}">
                          <a16:creationId xmlns:a16="http://schemas.microsoft.com/office/drawing/2014/main" id="{2A0AF6BD-9DF2-AF26-EE61-C77E800004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t="-297"/>
                    <a:stretch/>
                  </pic:blipFill>
                  <pic:spPr bwMode="auto">
                    <a:xfrm>
                      <a:off x="0" y="0"/>
                      <a:ext cx="3788876" cy="1165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FB70C3" w14:textId="2AD708CF" w:rsidR="00D92600" w:rsidRDefault="00D92600" w:rsidP="00186170">
      <w:pPr>
        <w:pStyle w:val="CETBodytext"/>
        <w:rPr>
          <w:rStyle w:val="CETCaptionCarattere"/>
        </w:rPr>
      </w:pPr>
      <w:r w:rsidRPr="00BD077D">
        <w:rPr>
          <w:rStyle w:val="CETCaptionCarattere"/>
        </w:rPr>
        <w:t xml:space="preserve">Figure 1: </w:t>
      </w:r>
      <w:r w:rsidR="00910C5A">
        <w:rPr>
          <w:rStyle w:val="CETCaptionCarattere"/>
        </w:rPr>
        <w:t>D</w:t>
      </w:r>
      <w:r w:rsidR="00C72266">
        <w:rPr>
          <w:rStyle w:val="CETCaptionCarattere"/>
        </w:rPr>
        <w:t xml:space="preserve">escription of </w:t>
      </w:r>
      <w:r w:rsidR="00910C5A">
        <w:rPr>
          <w:rStyle w:val="CETCaptionCarattere"/>
        </w:rPr>
        <w:t xml:space="preserve">the urea </w:t>
      </w:r>
      <w:r w:rsidR="00C72266">
        <w:rPr>
          <w:rStyle w:val="CETCaptionCarattere"/>
        </w:rPr>
        <w:t xml:space="preserve">steam reforming </w:t>
      </w:r>
      <w:r w:rsidR="00910C5A">
        <w:rPr>
          <w:rStyle w:val="CETCaptionCarattere"/>
        </w:rPr>
        <w:t>process</w:t>
      </w:r>
      <w:r w:rsidR="00C72266">
        <w:rPr>
          <w:rStyle w:val="CETCaptionCarattere"/>
        </w:rPr>
        <w:t xml:space="preserve"> for hydrogen </w:t>
      </w:r>
      <w:r w:rsidR="0016148A">
        <w:rPr>
          <w:rStyle w:val="CETCaptionCarattere"/>
        </w:rPr>
        <w:t>production.</w:t>
      </w:r>
    </w:p>
    <w:p w14:paraId="6D4ADABC" w14:textId="77777777" w:rsidR="00027C00" w:rsidRPr="00B57B36" w:rsidRDefault="00027C00" w:rsidP="00027C00">
      <w:pPr>
        <w:pStyle w:val="CETTabletitle"/>
      </w:pPr>
      <w:r w:rsidRPr="00B57B36">
        <w:t xml:space="preserve">Table 1: </w:t>
      </w:r>
      <w:r w:rsidRPr="00E85182">
        <w:t>Specifications</w:t>
      </w:r>
      <w:r>
        <w:t xml:space="preserve"> of</w:t>
      </w:r>
      <w:r w:rsidRPr="00E85182">
        <w:t xml:space="preserve"> ISO 14687:2019 </w:t>
      </w:r>
      <w:r>
        <w:t>for</w:t>
      </w:r>
      <w:r w:rsidRPr="00E85182">
        <w:t xml:space="preserve"> Hydrogen fuel quality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8"/>
        <w:gridCol w:w="2425"/>
        <w:gridCol w:w="2639"/>
        <w:gridCol w:w="1115"/>
      </w:tblGrid>
      <w:tr w:rsidR="00027C00" w:rsidRPr="00B57B36" w14:paraId="682CAF02" w14:textId="77777777" w:rsidTr="00403822">
        <w:trPr>
          <w:trHeight w:val="271"/>
        </w:trPr>
        <w:tc>
          <w:tcPr>
            <w:tcW w:w="141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BB63F1A" w14:textId="77777777" w:rsidR="00027C00" w:rsidRPr="00B57B36" w:rsidRDefault="00027C00" w:rsidP="00403822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736C4C"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 xml:space="preserve"> Fuel Index </w:t>
            </w:r>
            <w:r w:rsidRPr="00B57B36">
              <w:rPr>
                <w:lang w:val="en-GB"/>
              </w:rPr>
              <w:t xml:space="preserve"> </w:t>
            </w:r>
          </w:p>
        </w:tc>
        <w:tc>
          <w:tcPr>
            <w:tcW w:w="2425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99FBC5C" w14:textId="77777777" w:rsidR="00027C00" w:rsidRPr="00B57B36" w:rsidRDefault="00027C00" w:rsidP="00403822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Total non-hydrogen gases</w:t>
            </w:r>
          </w:p>
        </w:tc>
        <w:tc>
          <w:tcPr>
            <w:tcW w:w="3754" w:type="dxa"/>
            <w:gridSpan w:val="2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009EF44" w14:textId="77777777" w:rsidR="00027C00" w:rsidRDefault="00027C00" w:rsidP="00403822">
            <w:pPr>
              <w:pStyle w:val="CETBodytext"/>
              <w:ind w:right="-1"/>
              <w:rPr>
                <w:lang w:val="en-GB"/>
              </w:rPr>
            </w:pPr>
            <w:r>
              <w:rPr>
                <w:lang w:val="en-GB"/>
              </w:rPr>
              <w:t>Max. Conc. Individual Contaminants</w:t>
            </w:r>
          </w:p>
        </w:tc>
      </w:tr>
      <w:tr w:rsidR="00027C00" w:rsidRPr="00B57B36" w14:paraId="0100D5CB" w14:textId="77777777" w:rsidTr="00403822">
        <w:trPr>
          <w:trHeight w:val="271"/>
        </w:trPr>
        <w:tc>
          <w:tcPr>
            <w:tcW w:w="141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542DF7B" w14:textId="77777777" w:rsidR="00027C00" w:rsidRDefault="00027C00" w:rsidP="00403822">
            <w:pPr>
              <w:pStyle w:val="CETBodytext"/>
              <w:ind w:right="-1"/>
              <w:rPr>
                <w:lang w:val="en-GB"/>
              </w:rPr>
            </w:pPr>
            <w:r>
              <w:rPr>
                <w:lang w:val="en-GB"/>
              </w:rPr>
              <w:t>0.9997</w:t>
            </w:r>
          </w:p>
        </w:tc>
        <w:tc>
          <w:tcPr>
            <w:tcW w:w="2425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1843FE9" w14:textId="77777777" w:rsidR="00027C00" w:rsidRDefault="00027C00" w:rsidP="00403822">
            <w:pPr>
              <w:pStyle w:val="CETBodytext"/>
              <w:ind w:right="-1"/>
              <w:rPr>
                <w:lang w:val="en-GB"/>
              </w:rPr>
            </w:pPr>
            <w:r>
              <w:rPr>
                <w:lang w:val="en-GB"/>
              </w:rPr>
              <w:t xml:space="preserve">300 </w:t>
            </w:r>
            <w:r w:rsidRPr="00FC120D">
              <w:rPr>
                <w:lang w:val="en-GB"/>
              </w:rPr>
              <w:t>µ</w:t>
            </w:r>
            <w:r>
              <w:rPr>
                <w:lang w:val="en-GB"/>
              </w:rPr>
              <w:t>mol/mol</w:t>
            </w:r>
          </w:p>
        </w:tc>
        <w:tc>
          <w:tcPr>
            <w:tcW w:w="2639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9949967" w14:textId="77777777" w:rsidR="00027C00" w:rsidRDefault="00027C00" w:rsidP="00403822">
            <w:pPr>
              <w:pStyle w:val="CETBodytext"/>
              <w:ind w:right="-1"/>
              <w:rPr>
                <w:lang w:val="en-GB"/>
              </w:rPr>
            </w:pPr>
            <w:r w:rsidRPr="004E0D18">
              <w:rPr>
                <w:lang w:val="en-GB"/>
              </w:rPr>
              <w:t>Water (H</w:t>
            </w:r>
            <w:r w:rsidRPr="00D30521">
              <w:rPr>
                <w:vertAlign w:val="subscript"/>
                <w:lang w:val="en-GB"/>
              </w:rPr>
              <w:t>2</w:t>
            </w:r>
            <w:r w:rsidRPr="004E0D18">
              <w:rPr>
                <w:lang w:val="en-GB"/>
              </w:rPr>
              <w:t>O)</w:t>
            </w:r>
          </w:p>
        </w:tc>
        <w:tc>
          <w:tcPr>
            <w:tcW w:w="1115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4CDAA09" w14:textId="77777777" w:rsidR="00027C00" w:rsidRPr="004E0D18" w:rsidRDefault="00027C00" w:rsidP="00403822">
            <w:pPr>
              <w:pStyle w:val="CETBodytext"/>
              <w:ind w:right="-1"/>
              <w:rPr>
                <w:lang w:val="en-GB"/>
              </w:rPr>
            </w:pPr>
            <w:r w:rsidRPr="00305CE7">
              <w:rPr>
                <w:lang w:val="en-GB"/>
              </w:rPr>
              <w:t>5 µmol/mol</w:t>
            </w:r>
          </w:p>
        </w:tc>
      </w:tr>
      <w:tr w:rsidR="00027C00" w:rsidRPr="00B57B36" w14:paraId="55544277" w14:textId="77777777" w:rsidTr="00403822">
        <w:trPr>
          <w:trHeight w:val="271"/>
        </w:trPr>
        <w:tc>
          <w:tcPr>
            <w:tcW w:w="3843" w:type="dxa"/>
            <w:gridSpan w:val="2"/>
            <w:vMerge w:val="restart"/>
            <w:tcBorders>
              <w:top w:val="single" w:sz="12" w:space="0" w:color="008000"/>
            </w:tcBorders>
            <w:shd w:val="clear" w:color="auto" w:fill="FFFFFF"/>
          </w:tcPr>
          <w:p w14:paraId="18167AE8" w14:textId="77777777" w:rsidR="00027C00" w:rsidRDefault="00027C00" w:rsidP="00403822">
            <w:pPr>
              <w:pStyle w:val="CETBodytext"/>
              <w:rPr>
                <w:lang w:val="en-GB"/>
              </w:rPr>
            </w:pPr>
          </w:p>
        </w:tc>
        <w:tc>
          <w:tcPr>
            <w:tcW w:w="2639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175C590" w14:textId="77777777" w:rsidR="00027C00" w:rsidRDefault="00027C00" w:rsidP="00403822">
            <w:pPr>
              <w:pStyle w:val="CETBodytext"/>
              <w:ind w:right="-1"/>
              <w:rPr>
                <w:lang w:val="en-GB"/>
              </w:rPr>
            </w:pPr>
            <w:r w:rsidRPr="00824202">
              <w:rPr>
                <w:lang w:val="en-GB"/>
              </w:rPr>
              <w:t>Methane (CH</w:t>
            </w:r>
            <w:r w:rsidRPr="00D30521">
              <w:rPr>
                <w:vertAlign w:val="subscript"/>
                <w:lang w:val="en-GB"/>
              </w:rPr>
              <w:t>4</w:t>
            </w:r>
            <w:r w:rsidRPr="00824202">
              <w:rPr>
                <w:lang w:val="en-GB"/>
              </w:rPr>
              <w:t>)</w:t>
            </w:r>
          </w:p>
        </w:tc>
        <w:tc>
          <w:tcPr>
            <w:tcW w:w="1115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E28FBE5" w14:textId="77777777" w:rsidR="00027C00" w:rsidRPr="00824202" w:rsidRDefault="00027C00" w:rsidP="00403822">
            <w:pPr>
              <w:pStyle w:val="CETBodytext"/>
              <w:ind w:right="-1"/>
              <w:rPr>
                <w:lang w:val="en-GB"/>
              </w:rPr>
            </w:pPr>
            <w:r w:rsidRPr="00A43913">
              <w:rPr>
                <w:lang w:val="en-GB"/>
              </w:rPr>
              <w:t>100 µmol/mol</w:t>
            </w:r>
          </w:p>
        </w:tc>
      </w:tr>
      <w:tr w:rsidR="00027C00" w:rsidRPr="00B57B36" w14:paraId="63AF3CCF" w14:textId="77777777" w:rsidTr="00403822">
        <w:trPr>
          <w:trHeight w:val="271"/>
        </w:trPr>
        <w:tc>
          <w:tcPr>
            <w:tcW w:w="3843" w:type="dxa"/>
            <w:gridSpan w:val="2"/>
            <w:vMerge/>
            <w:shd w:val="clear" w:color="auto" w:fill="FFFFFF"/>
          </w:tcPr>
          <w:p w14:paraId="1C86AF41" w14:textId="77777777" w:rsidR="00027C00" w:rsidRDefault="00027C00" w:rsidP="00403822">
            <w:pPr>
              <w:pStyle w:val="CETBodytext"/>
              <w:rPr>
                <w:lang w:val="en-GB"/>
              </w:rPr>
            </w:pPr>
          </w:p>
        </w:tc>
        <w:tc>
          <w:tcPr>
            <w:tcW w:w="2639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5FE0E80" w14:textId="77777777" w:rsidR="00027C00" w:rsidRPr="00824202" w:rsidRDefault="00027C00" w:rsidP="00403822">
            <w:pPr>
              <w:pStyle w:val="CETBodytext"/>
              <w:ind w:right="-1"/>
              <w:rPr>
                <w:lang w:val="en-GB"/>
              </w:rPr>
            </w:pPr>
            <w:r w:rsidRPr="00465763">
              <w:rPr>
                <w:lang w:val="en-GB"/>
              </w:rPr>
              <w:t>Oxygen (O</w:t>
            </w:r>
            <w:r w:rsidRPr="00D30521">
              <w:rPr>
                <w:vertAlign w:val="subscript"/>
                <w:lang w:val="en-GB"/>
              </w:rPr>
              <w:t>2</w:t>
            </w:r>
            <w:r w:rsidRPr="00465763">
              <w:rPr>
                <w:lang w:val="en-GB"/>
              </w:rPr>
              <w:t>)</w:t>
            </w:r>
          </w:p>
        </w:tc>
        <w:tc>
          <w:tcPr>
            <w:tcW w:w="1115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E7F460D" w14:textId="77777777" w:rsidR="00027C00" w:rsidRPr="00824202" w:rsidRDefault="00027C00" w:rsidP="00403822">
            <w:pPr>
              <w:pStyle w:val="CETBodytext"/>
              <w:ind w:right="-1"/>
              <w:rPr>
                <w:lang w:val="en-GB"/>
              </w:rPr>
            </w:pPr>
            <w:r w:rsidRPr="00A43913">
              <w:rPr>
                <w:lang w:val="en-GB"/>
              </w:rPr>
              <w:t>5 µmol/mol</w:t>
            </w:r>
          </w:p>
        </w:tc>
      </w:tr>
      <w:tr w:rsidR="00027C00" w:rsidRPr="00B57B36" w14:paraId="63CC4B54" w14:textId="77777777" w:rsidTr="00403822">
        <w:trPr>
          <w:trHeight w:val="271"/>
        </w:trPr>
        <w:tc>
          <w:tcPr>
            <w:tcW w:w="3843" w:type="dxa"/>
            <w:gridSpan w:val="2"/>
            <w:vMerge/>
            <w:shd w:val="clear" w:color="auto" w:fill="FFFFFF"/>
          </w:tcPr>
          <w:p w14:paraId="54BCB41B" w14:textId="77777777" w:rsidR="00027C00" w:rsidRDefault="00027C00" w:rsidP="00403822">
            <w:pPr>
              <w:pStyle w:val="CETBodytext"/>
              <w:rPr>
                <w:lang w:val="en-GB"/>
              </w:rPr>
            </w:pPr>
          </w:p>
        </w:tc>
        <w:tc>
          <w:tcPr>
            <w:tcW w:w="2639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65640A7" w14:textId="77777777" w:rsidR="00027C00" w:rsidRPr="00824202" w:rsidRDefault="00027C00" w:rsidP="00403822">
            <w:pPr>
              <w:pStyle w:val="CETBodytext"/>
              <w:ind w:right="-1"/>
              <w:rPr>
                <w:lang w:val="en-GB"/>
              </w:rPr>
            </w:pPr>
            <w:r w:rsidRPr="00A77420">
              <w:rPr>
                <w:lang w:val="en-GB"/>
              </w:rPr>
              <w:t>Nitrogen (N</w:t>
            </w:r>
            <w:r w:rsidRPr="00D30521">
              <w:rPr>
                <w:vertAlign w:val="subscript"/>
                <w:lang w:val="en-GB"/>
              </w:rPr>
              <w:t>2</w:t>
            </w:r>
            <w:r w:rsidRPr="00A77420">
              <w:rPr>
                <w:lang w:val="en-GB"/>
              </w:rPr>
              <w:t>)</w:t>
            </w:r>
          </w:p>
        </w:tc>
        <w:tc>
          <w:tcPr>
            <w:tcW w:w="1115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5FB4680" w14:textId="77777777" w:rsidR="00027C00" w:rsidRPr="00824202" w:rsidRDefault="00027C00" w:rsidP="00403822">
            <w:pPr>
              <w:pStyle w:val="CETBodytext"/>
              <w:ind w:right="-1"/>
              <w:rPr>
                <w:lang w:val="en-GB"/>
              </w:rPr>
            </w:pPr>
            <w:r w:rsidRPr="00A43913">
              <w:rPr>
                <w:lang w:val="en-GB"/>
              </w:rPr>
              <w:t>300 µmol/mol</w:t>
            </w:r>
          </w:p>
        </w:tc>
      </w:tr>
      <w:tr w:rsidR="00027C00" w:rsidRPr="00B57B36" w14:paraId="1F9B06ED" w14:textId="77777777" w:rsidTr="00403822">
        <w:trPr>
          <w:trHeight w:val="271"/>
        </w:trPr>
        <w:tc>
          <w:tcPr>
            <w:tcW w:w="3843" w:type="dxa"/>
            <w:gridSpan w:val="2"/>
            <w:vMerge/>
            <w:shd w:val="clear" w:color="auto" w:fill="FFFFFF"/>
          </w:tcPr>
          <w:p w14:paraId="2F72C383" w14:textId="77777777" w:rsidR="00027C00" w:rsidRDefault="00027C00" w:rsidP="00403822">
            <w:pPr>
              <w:pStyle w:val="CETBodytext"/>
              <w:rPr>
                <w:lang w:val="en-GB"/>
              </w:rPr>
            </w:pPr>
          </w:p>
        </w:tc>
        <w:tc>
          <w:tcPr>
            <w:tcW w:w="2639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0C344F1" w14:textId="759DE610" w:rsidR="00027C00" w:rsidRPr="00824202" w:rsidRDefault="00027C00" w:rsidP="00403822">
            <w:pPr>
              <w:pStyle w:val="CETBodytext"/>
              <w:ind w:right="-1"/>
              <w:rPr>
                <w:lang w:val="en-GB"/>
              </w:rPr>
            </w:pPr>
            <w:r w:rsidRPr="00A77420">
              <w:rPr>
                <w:lang w:val="en-GB"/>
              </w:rPr>
              <w:t xml:space="preserve">Carbon </w:t>
            </w:r>
            <w:r w:rsidR="00E14CA6">
              <w:rPr>
                <w:lang w:val="en-GB"/>
              </w:rPr>
              <w:t>d</w:t>
            </w:r>
            <w:r w:rsidRPr="00A77420">
              <w:rPr>
                <w:lang w:val="en-GB"/>
              </w:rPr>
              <w:t>ioxide (CO</w:t>
            </w:r>
            <w:r w:rsidRPr="00D30521">
              <w:rPr>
                <w:vertAlign w:val="subscript"/>
                <w:lang w:val="en-GB"/>
              </w:rPr>
              <w:t>2</w:t>
            </w:r>
            <w:r w:rsidRPr="00A77420">
              <w:rPr>
                <w:lang w:val="en-GB"/>
              </w:rPr>
              <w:t>)</w:t>
            </w:r>
          </w:p>
        </w:tc>
        <w:tc>
          <w:tcPr>
            <w:tcW w:w="1115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E38AEE9" w14:textId="77777777" w:rsidR="00027C00" w:rsidRPr="00824202" w:rsidRDefault="00027C00" w:rsidP="00403822">
            <w:pPr>
              <w:pStyle w:val="CETBodytext"/>
              <w:ind w:right="-1"/>
              <w:rPr>
                <w:lang w:val="en-GB"/>
              </w:rPr>
            </w:pPr>
            <w:r w:rsidRPr="00D30521">
              <w:rPr>
                <w:lang w:val="en-GB"/>
              </w:rPr>
              <w:t>2 µmol/mol</w:t>
            </w:r>
          </w:p>
        </w:tc>
      </w:tr>
      <w:tr w:rsidR="00027C00" w:rsidRPr="00B57B36" w14:paraId="426E5930" w14:textId="77777777" w:rsidTr="00403822">
        <w:trPr>
          <w:trHeight w:val="271"/>
        </w:trPr>
        <w:tc>
          <w:tcPr>
            <w:tcW w:w="3843" w:type="dxa"/>
            <w:gridSpan w:val="2"/>
            <w:vMerge/>
            <w:shd w:val="clear" w:color="auto" w:fill="FFFFFF"/>
          </w:tcPr>
          <w:p w14:paraId="19656341" w14:textId="77777777" w:rsidR="00027C00" w:rsidRDefault="00027C00" w:rsidP="00403822">
            <w:pPr>
              <w:pStyle w:val="CETBodytext"/>
              <w:rPr>
                <w:lang w:val="en-GB"/>
              </w:rPr>
            </w:pPr>
          </w:p>
        </w:tc>
        <w:tc>
          <w:tcPr>
            <w:tcW w:w="2639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19D6E15" w14:textId="77777777" w:rsidR="00027C00" w:rsidRPr="00A77420" w:rsidRDefault="00027C00" w:rsidP="00403822">
            <w:pPr>
              <w:pStyle w:val="CETBodytext"/>
              <w:ind w:right="-1"/>
              <w:rPr>
                <w:lang w:val="en-GB"/>
              </w:rPr>
            </w:pPr>
            <w:r w:rsidRPr="0049368B">
              <w:rPr>
                <w:lang w:val="en-GB"/>
              </w:rPr>
              <w:t>Carbon monoxide (CO)</w:t>
            </w:r>
          </w:p>
        </w:tc>
        <w:tc>
          <w:tcPr>
            <w:tcW w:w="1115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F9501AE" w14:textId="77777777" w:rsidR="00027C00" w:rsidRPr="00824202" w:rsidRDefault="00027C00" w:rsidP="00403822">
            <w:pPr>
              <w:pStyle w:val="CETBodytext"/>
              <w:ind w:right="-1"/>
              <w:rPr>
                <w:lang w:val="en-GB"/>
              </w:rPr>
            </w:pPr>
            <w:r>
              <w:rPr>
                <w:lang w:val="en-GB"/>
              </w:rPr>
              <w:t>0.</w:t>
            </w:r>
            <w:r w:rsidRPr="00D30521">
              <w:rPr>
                <w:lang w:val="en-GB"/>
              </w:rPr>
              <w:t>2 µmol/mol</w:t>
            </w:r>
          </w:p>
        </w:tc>
      </w:tr>
      <w:tr w:rsidR="00027C00" w:rsidRPr="00B57B36" w14:paraId="7A803F1F" w14:textId="77777777" w:rsidTr="00403822">
        <w:trPr>
          <w:trHeight w:val="271"/>
        </w:trPr>
        <w:tc>
          <w:tcPr>
            <w:tcW w:w="3843" w:type="dxa"/>
            <w:gridSpan w:val="2"/>
            <w:vMerge/>
            <w:tcBorders>
              <w:bottom w:val="single" w:sz="12" w:space="0" w:color="009900"/>
            </w:tcBorders>
            <w:shd w:val="clear" w:color="auto" w:fill="FFFFFF"/>
          </w:tcPr>
          <w:p w14:paraId="1E604C59" w14:textId="77777777" w:rsidR="00027C00" w:rsidRDefault="00027C00" w:rsidP="00403822">
            <w:pPr>
              <w:pStyle w:val="CETBodytext"/>
              <w:rPr>
                <w:lang w:val="en-GB"/>
              </w:rPr>
            </w:pPr>
          </w:p>
        </w:tc>
        <w:tc>
          <w:tcPr>
            <w:tcW w:w="2639" w:type="dxa"/>
            <w:tcBorders>
              <w:top w:val="single" w:sz="12" w:space="0" w:color="008000"/>
              <w:bottom w:val="single" w:sz="12" w:space="0" w:color="009900"/>
            </w:tcBorders>
            <w:shd w:val="clear" w:color="auto" w:fill="FFFFFF"/>
          </w:tcPr>
          <w:p w14:paraId="6F5DB7DD" w14:textId="77777777" w:rsidR="00027C00" w:rsidRPr="00A77420" w:rsidRDefault="00027C00" w:rsidP="00403822">
            <w:pPr>
              <w:pStyle w:val="CETBodytext"/>
              <w:ind w:right="-1"/>
              <w:rPr>
                <w:lang w:val="en-GB"/>
              </w:rPr>
            </w:pPr>
            <w:r w:rsidRPr="0049368B">
              <w:rPr>
                <w:lang w:val="en-GB"/>
              </w:rPr>
              <w:t>Ammonia (NH</w:t>
            </w:r>
            <w:r w:rsidRPr="00D30521">
              <w:rPr>
                <w:vertAlign w:val="subscript"/>
                <w:lang w:val="en-GB"/>
              </w:rPr>
              <w:t>3</w:t>
            </w:r>
            <w:r w:rsidRPr="0049368B">
              <w:rPr>
                <w:lang w:val="en-GB"/>
              </w:rPr>
              <w:t>)</w:t>
            </w:r>
          </w:p>
        </w:tc>
        <w:tc>
          <w:tcPr>
            <w:tcW w:w="1115" w:type="dxa"/>
            <w:tcBorders>
              <w:top w:val="single" w:sz="12" w:space="0" w:color="008000"/>
              <w:bottom w:val="single" w:sz="12" w:space="0" w:color="009900"/>
            </w:tcBorders>
            <w:shd w:val="clear" w:color="auto" w:fill="FFFFFF"/>
          </w:tcPr>
          <w:p w14:paraId="796388B3" w14:textId="77777777" w:rsidR="00027C00" w:rsidRPr="00824202" w:rsidRDefault="00027C00" w:rsidP="00403822">
            <w:pPr>
              <w:pStyle w:val="CETBodytext"/>
              <w:ind w:right="-1"/>
              <w:rPr>
                <w:lang w:val="en-GB"/>
              </w:rPr>
            </w:pPr>
            <w:r w:rsidRPr="00D30521">
              <w:rPr>
                <w:lang w:val="en-GB"/>
              </w:rPr>
              <w:t>0.1 µmol/mol</w:t>
            </w:r>
          </w:p>
        </w:tc>
      </w:tr>
    </w:tbl>
    <w:p w14:paraId="29ED7681" w14:textId="3DDFD8AF" w:rsidR="0013249D" w:rsidRDefault="0013249D" w:rsidP="0052106C">
      <w:pPr>
        <w:pStyle w:val="CETheadingx"/>
      </w:pPr>
      <w:r>
        <w:lastRenderedPageBreak/>
        <w:t xml:space="preserve">Equations Involved in the Reforming </w:t>
      </w:r>
      <w:r w:rsidR="006E1075">
        <w:t>Reaction</w:t>
      </w:r>
    </w:p>
    <w:p w14:paraId="393CCADD" w14:textId="7FF7C9B4" w:rsidR="0013249D" w:rsidRPr="00E64433" w:rsidRDefault="00535AA1" w:rsidP="0013249D">
      <w:pPr>
        <w:pStyle w:val="CETBodytext"/>
        <w:rPr>
          <w:lang w:val="en-GB"/>
        </w:rPr>
      </w:pPr>
      <w:r w:rsidRPr="00535AA1">
        <w:t xml:space="preserve">The main overall reaction involved in USR is </w:t>
      </w:r>
      <w:r w:rsidR="000819CD">
        <w:t>given</w:t>
      </w:r>
      <w:r w:rsidRPr="00535AA1">
        <w:t xml:space="preserve"> in Eq(1), which </w:t>
      </w:r>
      <w:r w:rsidR="00A02371">
        <w:t>depict</w:t>
      </w:r>
      <w:r w:rsidRPr="00535AA1">
        <w:t>s the production of 3 mol of H</w:t>
      </w:r>
      <w:r w:rsidRPr="00AF7AFF">
        <w:rPr>
          <w:vertAlign w:val="subscript"/>
        </w:rPr>
        <w:t>2</w:t>
      </w:r>
      <w:r w:rsidRPr="00535AA1">
        <w:t xml:space="preserve"> for a stoichiometric feed of 1 mol</w:t>
      </w:r>
      <w:r w:rsidR="00AF7AFF" w:rsidRPr="00AF7AFF">
        <w:rPr>
          <w:vertAlign w:val="subscript"/>
        </w:rPr>
        <w:t>H</w:t>
      </w:r>
      <w:r w:rsidR="00AF7AFF" w:rsidRPr="00AF7AFF">
        <w:rPr>
          <w:sz w:val="14"/>
          <w:szCs w:val="16"/>
          <w:vertAlign w:val="subscript"/>
        </w:rPr>
        <w:t>2</w:t>
      </w:r>
      <w:r w:rsidR="00AF7AFF" w:rsidRPr="00AF7AFF">
        <w:rPr>
          <w:vertAlign w:val="subscript"/>
        </w:rPr>
        <w:t>O</w:t>
      </w:r>
      <w:r w:rsidRPr="00535AA1">
        <w:t xml:space="preserve">:1 </w:t>
      </w:r>
      <w:proofErr w:type="spellStart"/>
      <w:r w:rsidRPr="00535AA1">
        <w:t>mol</w:t>
      </w:r>
      <w:r w:rsidR="00AF7AFF">
        <w:rPr>
          <w:vertAlign w:val="subscript"/>
        </w:rPr>
        <w:t>urea</w:t>
      </w:r>
      <w:proofErr w:type="spellEnd"/>
      <w:r w:rsidRPr="00535AA1">
        <w:t xml:space="preserve">. At the same time, Eq(2) shows the overall reaction of the catalytic </w:t>
      </w:r>
      <w:r w:rsidR="007E6009">
        <w:t>thermal decomposition</w:t>
      </w:r>
      <w:r w:rsidRPr="00535AA1">
        <w:t xml:space="preserve"> of urea </w:t>
      </w:r>
      <w:r w:rsidR="007E6009">
        <w:t>(</w:t>
      </w:r>
      <w:r w:rsidRPr="00535AA1">
        <w:t>in the absence of water</w:t>
      </w:r>
      <w:r w:rsidR="007E6009">
        <w:t>)</w:t>
      </w:r>
      <w:r w:rsidRPr="00535AA1">
        <w:t xml:space="preserve">, </w:t>
      </w:r>
      <w:r w:rsidR="00F50F70">
        <w:t>producing only</w:t>
      </w:r>
      <w:r w:rsidRPr="00535AA1">
        <w:t xml:space="preserve"> 2 moles of H</w:t>
      </w:r>
      <w:r w:rsidRPr="007E6009">
        <w:rPr>
          <w:vertAlign w:val="subscript"/>
        </w:rPr>
        <w:t>2</w:t>
      </w:r>
      <w:r w:rsidRPr="00535AA1">
        <w:t xml:space="preserve"> </w:t>
      </w:r>
      <w:r w:rsidR="00F50F70">
        <w:t xml:space="preserve">per </w:t>
      </w:r>
      <w:r w:rsidRPr="00535AA1">
        <w:t xml:space="preserve">mole of urea </w:t>
      </w:r>
      <w:r w:rsidR="007E6009">
        <w:t>consumed</w:t>
      </w:r>
      <w:r w:rsidRPr="00535AA1">
        <w:t xml:space="preserve">. In addition to these </w:t>
      </w:r>
      <w:r w:rsidR="00EB4973">
        <w:t>equations</w:t>
      </w:r>
      <w:r w:rsidRPr="00535AA1">
        <w:t xml:space="preserve">, other </w:t>
      </w:r>
      <w:r w:rsidR="00F50F70">
        <w:t>parallel</w:t>
      </w:r>
      <w:r w:rsidRPr="00535AA1">
        <w:t xml:space="preserve"> reactions can also occur during </w:t>
      </w:r>
      <w:r w:rsidR="00F50F70">
        <w:t>reactor operation</w:t>
      </w:r>
      <w:r w:rsidRPr="00535AA1">
        <w:t>, such as</w:t>
      </w:r>
      <w:r w:rsidR="00CE7FF8">
        <w:t xml:space="preserve"> the methanations of CO and CO</w:t>
      </w:r>
      <w:r w:rsidR="00CE7FF8" w:rsidRPr="00256613">
        <w:rPr>
          <w:vertAlign w:val="subscript"/>
        </w:rPr>
        <w:t>2</w:t>
      </w:r>
      <w:r w:rsidR="00CE7FF8">
        <w:t xml:space="preserve"> </w:t>
      </w:r>
      <w:r w:rsidR="003E5F77">
        <w:t>(</w:t>
      </w:r>
      <w:r w:rsidR="00CE7FF8">
        <w:t>Eq</w:t>
      </w:r>
      <w:r w:rsidR="008C0455">
        <w:t>(</w:t>
      </w:r>
      <w:r w:rsidR="00256613">
        <w:t>3</w:t>
      </w:r>
      <w:r w:rsidR="008C0455">
        <w:t>)</w:t>
      </w:r>
      <w:r w:rsidR="00256613">
        <w:t xml:space="preserve"> and Eq</w:t>
      </w:r>
      <w:r w:rsidR="008C0455">
        <w:t>(</w:t>
      </w:r>
      <w:r w:rsidR="00256613">
        <w:t>4</w:t>
      </w:r>
      <w:r w:rsidR="008C0455">
        <w:t>)</w:t>
      </w:r>
      <w:r w:rsidR="003E5F77">
        <w:t>,</w:t>
      </w:r>
      <w:r w:rsidR="009361BE">
        <w:t xml:space="preserve"> respectively</w:t>
      </w:r>
      <w:r w:rsidR="003E5F77">
        <w:t>)</w:t>
      </w:r>
      <w:r w:rsidR="009361BE">
        <w:t xml:space="preserve">, </w:t>
      </w:r>
      <w:r w:rsidR="004A1893">
        <w:t>the water gas shift reaction (WGSR)</w:t>
      </w:r>
      <w:r w:rsidR="003E5F77">
        <w:t xml:space="preserve"> in Eq</w:t>
      </w:r>
      <w:r w:rsidR="008C0455">
        <w:t>(</w:t>
      </w:r>
      <w:r w:rsidR="0076710A">
        <w:t>5</w:t>
      </w:r>
      <w:r w:rsidR="008C0455">
        <w:t>)</w:t>
      </w:r>
      <w:r w:rsidR="0076710A">
        <w:t xml:space="preserve">, the ammonia </w:t>
      </w:r>
      <w:r w:rsidR="00254EB8">
        <w:t>(NH</w:t>
      </w:r>
      <w:r w:rsidR="00254EB8" w:rsidRPr="00254EB8">
        <w:rPr>
          <w:vertAlign w:val="subscript"/>
        </w:rPr>
        <w:t>3</w:t>
      </w:r>
      <w:r w:rsidR="00254EB8">
        <w:t xml:space="preserve">) </w:t>
      </w:r>
      <w:r w:rsidR="0076710A">
        <w:t xml:space="preserve">synthesis </w:t>
      </w:r>
      <w:r w:rsidR="008C0455">
        <w:t xml:space="preserve">in </w:t>
      </w:r>
      <w:r w:rsidR="0076710A">
        <w:t>Eq</w:t>
      </w:r>
      <w:r w:rsidR="008C0455">
        <w:t>(</w:t>
      </w:r>
      <w:r w:rsidR="00F6137A">
        <w:t>6), and the urea cracking into</w:t>
      </w:r>
      <w:r w:rsidR="009F7B6B" w:rsidRPr="009F7B6B">
        <w:rPr>
          <w:lang w:val="en-GB"/>
        </w:rPr>
        <w:t xml:space="preserve"> isocyanic acid</w:t>
      </w:r>
      <w:r w:rsidR="009F7B6B">
        <w:rPr>
          <w:lang w:val="en-GB"/>
        </w:rPr>
        <w:t xml:space="preserve"> </w:t>
      </w:r>
      <w:r w:rsidR="00254EB8">
        <w:rPr>
          <w:lang w:val="en-GB"/>
        </w:rPr>
        <w:t xml:space="preserve">(HCNO) </w:t>
      </w:r>
      <w:r w:rsidR="009F7B6B">
        <w:rPr>
          <w:lang w:val="en-GB"/>
        </w:rPr>
        <w:t xml:space="preserve">and ammonia </w:t>
      </w:r>
      <w:r w:rsidR="008C0455">
        <w:rPr>
          <w:lang w:val="en-GB"/>
        </w:rPr>
        <w:t xml:space="preserve">in </w:t>
      </w:r>
      <w:proofErr w:type="spellStart"/>
      <w:r w:rsidR="009F7B6B">
        <w:rPr>
          <w:lang w:val="en-GB"/>
        </w:rPr>
        <w:t>Eq</w:t>
      </w:r>
      <w:proofErr w:type="spellEnd"/>
      <w:r w:rsidR="008C0455">
        <w:rPr>
          <w:lang w:val="en-GB"/>
        </w:rPr>
        <w:t>(7).</w:t>
      </w:r>
      <w:r w:rsidR="004B3A73">
        <w:rPr>
          <w:lang w:val="en-GB"/>
        </w:rPr>
        <w:t xml:space="preserve"> </w:t>
      </w:r>
      <w:r w:rsidR="00F44C92" w:rsidRPr="00F44C92">
        <w:rPr>
          <w:lang w:val="en-GB"/>
        </w:rPr>
        <w:t>The production of solid carbon (coke) is also possible during reforming reactions, but it is outside the scope of this work and will not be presented in the results</w:t>
      </w:r>
      <w:r w:rsidR="003A1954">
        <w:rPr>
          <w:lang w:val="en-GB"/>
        </w:rPr>
        <w:t xml:space="preserve"> section</w:t>
      </w:r>
      <w:r w:rsidR="0017538B">
        <w:rPr>
          <w:lang w:val="en-GB"/>
        </w:rPr>
        <w:t>.</w:t>
      </w:r>
      <w:r w:rsidR="0017538B" w:rsidRPr="0017538B">
        <w:rPr>
          <w:lang w:val="en-GB"/>
        </w:rPr>
        <w:t xml:space="preserve"> All compounds involved in the reactions presented from </w:t>
      </w:r>
      <w:proofErr w:type="spellStart"/>
      <w:r w:rsidR="0017538B" w:rsidRPr="0017538B">
        <w:rPr>
          <w:lang w:val="en-GB"/>
        </w:rPr>
        <w:t>Eq</w:t>
      </w:r>
      <w:proofErr w:type="spellEnd"/>
      <w:r w:rsidR="0017538B" w:rsidRPr="0017538B">
        <w:rPr>
          <w:lang w:val="en-GB"/>
        </w:rPr>
        <w:t xml:space="preserve">(1) to </w:t>
      </w:r>
      <w:proofErr w:type="spellStart"/>
      <w:r w:rsidR="0017538B" w:rsidRPr="0017538B">
        <w:rPr>
          <w:lang w:val="en-GB"/>
        </w:rPr>
        <w:t>Eq</w:t>
      </w:r>
      <w:proofErr w:type="spellEnd"/>
      <w:r w:rsidR="0017538B" w:rsidRPr="0017538B">
        <w:rPr>
          <w:lang w:val="en-GB"/>
        </w:rPr>
        <w:t>(7) were included in the simulation input to evaluate their potential formation. Additionally, nitrogen oxides (NO</w:t>
      </w:r>
      <w:r w:rsidR="0017538B" w:rsidRPr="00A02371">
        <w:rPr>
          <w:vertAlign w:val="subscript"/>
          <w:lang w:val="en-GB"/>
        </w:rPr>
        <w:t>x</w:t>
      </w:r>
      <w:r w:rsidR="0017538B" w:rsidRPr="0017538B">
        <w:rPr>
          <w:lang w:val="en-GB"/>
        </w:rPr>
        <w:t>), specifically NO and NO</w:t>
      </w:r>
      <w:r w:rsidR="0017538B" w:rsidRPr="0017538B">
        <w:rPr>
          <w:rFonts w:ascii="Cambria Math" w:hAnsi="Cambria Math" w:cs="Cambria Math"/>
          <w:lang w:val="en-GB"/>
        </w:rPr>
        <w:t>₂</w:t>
      </w:r>
      <w:r w:rsidR="0017538B" w:rsidRPr="0017538B">
        <w:rPr>
          <w:lang w:val="en-GB"/>
        </w:rPr>
        <w:t xml:space="preserve">, were </w:t>
      </w:r>
      <w:r w:rsidR="0017538B">
        <w:rPr>
          <w:lang w:val="en-GB"/>
        </w:rPr>
        <w:t xml:space="preserve">added </w:t>
      </w:r>
      <w:r w:rsidR="0017538B" w:rsidRPr="0017538B">
        <w:rPr>
          <w:lang w:val="en-GB"/>
        </w:rPr>
        <w:t xml:space="preserve">to the simulation input to assess their possible generation </w:t>
      </w:r>
      <w:r w:rsidR="00E133A4">
        <w:rPr>
          <w:lang w:val="en-GB"/>
        </w:rPr>
        <w:t>through the reverse</w:t>
      </w:r>
      <w:r w:rsidR="00E133A4" w:rsidRPr="00661FF2">
        <w:t xml:space="preserve"> </w:t>
      </w:r>
      <w:r w:rsidR="00E133A4">
        <w:rPr>
          <w:lang w:val="en-GB"/>
        </w:rPr>
        <w:t>s</w:t>
      </w:r>
      <w:r w:rsidR="00E133A4" w:rsidRPr="00661FF2">
        <w:rPr>
          <w:lang w:val="en-GB"/>
        </w:rPr>
        <w:t xml:space="preserve">elective </w:t>
      </w:r>
      <w:r w:rsidR="00E133A4">
        <w:rPr>
          <w:lang w:val="en-GB"/>
        </w:rPr>
        <w:t>n</w:t>
      </w:r>
      <w:r w:rsidR="00E133A4" w:rsidRPr="00661FF2">
        <w:rPr>
          <w:lang w:val="en-GB"/>
        </w:rPr>
        <w:t>on-</w:t>
      </w:r>
      <w:r w:rsidR="00E133A4">
        <w:rPr>
          <w:lang w:val="en-GB"/>
        </w:rPr>
        <w:t>c</w:t>
      </w:r>
      <w:r w:rsidR="00E133A4" w:rsidRPr="00661FF2">
        <w:rPr>
          <w:lang w:val="en-GB"/>
        </w:rPr>
        <w:t xml:space="preserve">atalytic </w:t>
      </w:r>
      <w:r w:rsidR="00E133A4">
        <w:rPr>
          <w:lang w:val="en-GB"/>
        </w:rPr>
        <w:t>o</w:t>
      </w:r>
      <w:r w:rsidR="00E133A4" w:rsidRPr="00661FF2">
        <w:rPr>
          <w:lang w:val="en-GB"/>
        </w:rPr>
        <w:t>xidation</w:t>
      </w:r>
      <w:r w:rsidR="00E133A4">
        <w:rPr>
          <w:lang w:val="en-GB"/>
        </w:rPr>
        <w:t xml:space="preserve"> reaction as shown in </w:t>
      </w:r>
      <w:proofErr w:type="spellStart"/>
      <w:r w:rsidR="00E133A4">
        <w:rPr>
          <w:lang w:val="en-GB"/>
        </w:rPr>
        <w:t>Eq</w:t>
      </w:r>
      <w:proofErr w:type="spellEnd"/>
      <w:r w:rsidR="00E133A4">
        <w:rPr>
          <w:lang w:val="en-GB"/>
        </w:rPr>
        <w:t>(8)</w:t>
      </w:r>
      <w:r w:rsidR="0017538B" w:rsidRPr="0017538B">
        <w:rPr>
          <w:lang w:val="en-GB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3"/>
        <w:gridCol w:w="804"/>
      </w:tblGrid>
      <w:tr w:rsidR="004D07D6" w:rsidRPr="00ED0984" w14:paraId="1D890A00" w14:textId="77777777" w:rsidTr="00256613">
        <w:tc>
          <w:tcPr>
            <w:tcW w:w="7983" w:type="dxa"/>
            <w:shd w:val="clear" w:color="auto" w:fill="auto"/>
            <w:vAlign w:val="center"/>
          </w:tcPr>
          <w:p w14:paraId="70EA8085" w14:textId="03D3CEDE" w:rsidR="004D07D6" w:rsidRPr="00ED0984" w:rsidRDefault="004D07D6" w:rsidP="00C14ECF">
            <w:pPr>
              <w:pStyle w:val="CETEquation"/>
              <w:rPr>
                <w:rFonts w:cs="Arial"/>
              </w:rPr>
            </w:pPr>
            <m:oMath>
              <m:r>
                <w:rPr>
                  <w:rFonts w:ascii="Cambria Math" w:hAnsi="Cambria Math" w:cs="Arial"/>
                </w:rPr>
                <m:t>CO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NH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</w:rPr>
                <m:t>O→3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CO</m:t>
                  </m:r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</m:oMath>
            <w:r w:rsidR="00887004" w:rsidRPr="00ED0984">
              <w:rPr>
                <w:rFonts w:cs="Arial"/>
              </w:rPr>
              <w:t xml:space="preserve">     </w:t>
            </w:r>
            <w:r w:rsidR="00E133A4" w:rsidRPr="00ED0984">
              <w:rPr>
                <w:rFonts w:cs="Arial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</w:rPr>
                    <m:t>∆H</m:t>
                  </m:r>
                </m:e>
                <m:sub>
                  <m:r>
                    <w:rPr>
                      <w:rFonts w:ascii="Cambria Math" w:hAnsi="Cambria Math" w:cs="Arial"/>
                    </w:rPr>
                    <m:t>25 ºC</m:t>
                  </m:r>
                </m:sub>
                <m:sup>
                  <m:r>
                    <w:rPr>
                      <w:rFonts w:ascii="Cambria Math" w:hAnsi="Cambria Math" w:cs="Arial"/>
                    </w:rPr>
                    <m:t>0</m:t>
                  </m:r>
                </m:sup>
              </m:sSubSup>
              <m:r>
                <w:rPr>
                  <w:rFonts w:ascii="Cambria Math" w:hAnsi="Cambria Math" w:cs="Arial"/>
                </w:rPr>
                <m:t>=80.4 kJ/mol</m:t>
              </m:r>
            </m:oMath>
          </w:p>
        </w:tc>
        <w:tc>
          <w:tcPr>
            <w:tcW w:w="804" w:type="dxa"/>
            <w:shd w:val="clear" w:color="auto" w:fill="auto"/>
            <w:vAlign w:val="center"/>
          </w:tcPr>
          <w:p w14:paraId="6F515078" w14:textId="25356D67" w:rsidR="003551D6" w:rsidRPr="00ED0984" w:rsidRDefault="004D07D6" w:rsidP="003551D6">
            <w:pPr>
              <w:pStyle w:val="CETEquation"/>
              <w:jc w:val="right"/>
              <w:rPr>
                <w:rFonts w:cs="Arial"/>
              </w:rPr>
            </w:pPr>
            <w:r w:rsidRPr="00ED0984">
              <w:rPr>
                <w:rFonts w:cs="Arial"/>
              </w:rPr>
              <w:t>(1)</w:t>
            </w:r>
          </w:p>
        </w:tc>
      </w:tr>
      <w:tr w:rsidR="003551D6" w:rsidRPr="00ED0984" w14:paraId="04B7D866" w14:textId="77777777" w:rsidTr="00256613">
        <w:tc>
          <w:tcPr>
            <w:tcW w:w="7983" w:type="dxa"/>
            <w:shd w:val="clear" w:color="auto" w:fill="auto"/>
            <w:vAlign w:val="center"/>
          </w:tcPr>
          <w:p w14:paraId="1EB95203" w14:textId="28CA5ED6" w:rsidR="003551D6" w:rsidRPr="00ED0984" w:rsidRDefault="003551D6" w:rsidP="00C14ECF">
            <w:pPr>
              <w:pStyle w:val="CETEquation"/>
              <w:rPr>
                <w:rFonts w:cs="Arial"/>
              </w:rPr>
            </w:pPr>
            <m:oMath>
              <m:r>
                <w:rPr>
                  <w:rFonts w:ascii="Cambria Math" w:hAnsi="Cambria Math" w:cs="Arial"/>
                </w:rPr>
                <m:t>CO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NH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)</m:t>
                  </m:r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</w:rPr>
                <m:t>→2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</w:rPr>
                <m:t>+CO+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</m:oMath>
            <w:r w:rsidR="001858C0" w:rsidRPr="00ED0984">
              <w:rPr>
                <w:rFonts w:cs="Arial"/>
              </w:rPr>
              <w:t xml:space="preserve">                  </w:t>
            </w: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</w:rPr>
                    <m:t>∆H</m:t>
                  </m:r>
                </m:e>
                <m:sub>
                  <m:r>
                    <w:rPr>
                      <w:rFonts w:ascii="Cambria Math" w:hAnsi="Cambria Math" w:cs="Arial"/>
                    </w:rPr>
                    <m:t>25 ºC</m:t>
                  </m:r>
                </m:sub>
                <m:sup>
                  <m:r>
                    <w:rPr>
                      <w:rFonts w:ascii="Cambria Math" w:hAnsi="Cambria Math" w:cs="Arial"/>
                    </w:rPr>
                    <m:t>0</m:t>
                  </m:r>
                </m:sup>
              </m:sSubSup>
              <m:r>
                <w:rPr>
                  <w:rFonts w:ascii="Cambria Math" w:hAnsi="Cambria Math" w:cs="Arial"/>
                </w:rPr>
                <m:t>=125 kJ/mol</m:t>
              </m:r>
            </m:oMath>
          </w:p>
        </w:tc>
        <w:tc>
          <w:tcPr>
            <w:tcW w:w="804" w:type="dxa"/>
            <w:shd w:val="clear" w:color="auto" w:fill="auto"/>
            <w:vAlign w:val="center"/>
          </w:tcPr>
          <w:p w14:paraId="468C0565" w14:textId="2B5B1AB7" w:rsidR="003551D6" w:rsidRPr="00ED0984" w:rsidRDefault="0001111A" w:rsidP="003551D6">
            <w:pPr>
              <w:pStyle w:val="CETEquation"/>
              <w:jc w:val="right"/>
              <w:rPr>
                <w:rFonts w:cs="Arial"/>
              </w:rPr>
            </w:pPr>
            <w:r w:rsidRPr="00ED0984">
              <w:rPr>
                <w:rFonts w:cs="Arial"/>
              </w:rPr>
              <w:t>(2)</w:t>
            </w:r>
          </w:p>
        </w:tc>
      </w:tr>
      <w:tr w:rsidR="0001111A" w:rsidRPr="00ED0984" w14:paraId="63EB1B2A" w14:textId="77777777" w:rsidTr="00256613">
        <w:tc>
          <w:tcPr>
            <w:tcW w:w="7983" w:type="dxa"/>
            <w:shd w:val="clear" w:color="auto" w:fill="auto"/>
            <w:vAlign w:val="center"/>
          </w:tcPr>
          <w:p w14:paraId="6590B5C5" w14:textId="314AC4B9" w:rsidR="0001111A" w:rsidRPr="00ED0984" w:rsidRDefault="0098670F" w:rsidP="00C14ECF">
            <w:pPr>
              <w:pStyle w:val="CETEquation"/>
              <w:rPr>
                <w:rFonts w:cs="Arial"/>
              </w:rPr>
            </w:pPr>
            <m:oMath>
              <m:r>
                <w:rPr>
                  <w:rFonts w:ascii="Cambria Math" w:hAnsi="Cambria Math" w:cs="Arial"/>
                </w:rPr>
                <m:t>CO+3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</w:rPr>
                <m:t>↔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CH</m:t>
                  </m:r>
                </m:e>
                <m:sub>
                  <m:r>
                    <w:rPr>
                      <w:rFonts w:ascii="Cambria Math" w:hAnsi="Cambria Math" w:cs="Arial"/>
                    </w:rPr>
                    <m:t>4</m:t>
                  </m:r>
                </m:sub>
              </m:sSub>
              <m:r>
                <w:rPr>
                  <w:rFonts w:ascii="Cambria Math" w:hAns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</w:rPr>
                <m:t>O</m:t>
              </m:r>
            </m:oMath>
            <w:r w:rsidR="00C20C3B" w:rsidRPr="00ED0984">
              <w:rPr>
                <w:rFonts w:cs="Arial"/>
              </w:rPr>
              <w:t xml:space="preserve">                         </w:t>
            </w: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</w:rPr>
                    <m:t>∆H</m:t>
                  </m:r>
                </m:e>
                <m:sub>
                  <m:r>
                    <w:rPr>
                      <w:rFonts w:ascii="Cambria Math" w:hAnsi="Cambria Math" w:cs="Arial"/>
                    </w:rPr>
                    <m:t>25 ºC</m:t>
                  </m:r>
                </m:sub>
                <m:sup>
                  <m:r>
                    <w:rPr>
                      <w:rFonts w:ascii="Cambria Math" w:hAnsi="Cambria Math" w:cs="Arial"/>
                    </w:rPr>
                    <m:t>0</m:t>
                  </m:r>
                </m:sup>
              </m:sSubSup>
              <m:r>
                <w:rPr>
                  <w:rFonts w:ascii="Cambria Math" w:hAnsi="Cambria Math" w:cs="Arial"/>
                </w:rPr>
                <m:t>=-206.2 kJ/mol</m:t>
              </m:r>
            </m:oMath>
          </w:p>
        </w:tc>
        <w:tc>
          <w:tcPr>
            <w:tcW w:w="804" w:type="dxa"/>
            <w:shd w:val="clear" w:color="auto" w:fill="auto"/>
            <w:vAlign w:val="center"/>
          </w:tcPr>
          <w:p w14:paraId="7B9A2785" w14:textId="17525970" w:rsidR="0001111A" w:rsidRPr="00ED0984" w:rsidRDefault="00FC4F45" w:rsidP="003551D6">
            <w:pPr>
              <w:pStyle w:val="CETEquation"/>
              <w:jc w:val="right"/>
              <w:rPr>
                <w:rFonts w:cs="Arial"/>
              </w:rPr>
            </w:pPr>
            <w:r w:rsidRPr="00ED0984">
              <w:rPr>
                <w:rFonts w:cs="Arial"/>
              </w:rPr>
              <w:t>(3)</w:t>
            </w:r>
          </w:p>
        </w:tc>
      </w:tr>
      <w:tr w:rsidR="00256613" w:rsidRPr="00ED0984" w14:paraId="528038C1" w14:textId="77777777" w:rsidTr="00256613">
        <w:tc>
          <w:tcPr>
            <w:tcW w:w="7983" w:type="dxa"/>
            <w:shd w:val="clear" w:color="auto" w:fill="auto"/>
            <w:vAlign w:val="center"/>
          </w:tcPr>
          <w:p w14:paraId="2C6283FD" w14:textId="5DC5DFE9" w:rsidR="00256613" w:rsidRPr="00ED0984" w:rsidRDefault="00000000" w:rsidP="00256613">
            <w:pPr>
              <w:pStyle w:val="CETEquation"/>
              <w:rPr>
                <w:rFonts w:cs="Arial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CO</m:t>
                  </m:r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</w:rPr>
                <m:t>+4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</w:rPr>
                <m:t>↔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CH</m:t>
                  </m:r>
                </m:e>
                <m:sub>
                  <m:r>
                    <w:rPr>
                      <w:rFonts w:ascii="Cambria Math" w:hAnsi="Cambria Math" w:cs="Arial"/>
                    </w:rPr>
                    <m:t>4</m:t>
                  </m:r>
                </m:sub>
              </m:sSub>
              <m:r>
                <w:rPr>
                  <w:rFonts w:ascii="Cambria Math" w:hAns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2H</m:t>
                  </m:r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</w:rPr>
                <m:t>O</m:t>
              </m:r>
            </m:oMath>
            <w:r w:rsidR="00256613" w:rsidRPr="00ED0984">
              <w:rPr>
                <w:rFonts w:cs="Arial"/>
              </w:rPr>
              <w:t xml:space="preserve">                     </w:t>
            </w: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</w:rPr>
                    <m:t>∆H</m:t>
                  </m:r>
                </m:e>
                <m:sub>
                  <m:r>
                    <w:rPr>
                      <w:rFonts w:ascii="Cambria Math" w:hAnsi="Cambria Math" w:cs="Arial"/>
                    </w:rPr>
                    <m:t>25 ºC</m:t>
                  </m:r>
                </m:sub>
                <m:sup>
                  <m:r>
                    <w:rPr>
                      <w:rFonts w:ascii="Cambria Math" w:hAnsi="Cambria Math" w:cs="Arial"/>
                    </w:rPr>
                    <m:t>0</m:t>
                  </m:r>
                </m:sup>
              </m:sSubSup>
              <m:r>
                <w:rPr>
                  <w:rFonts w:ascii="Cambria Math" w:hAnsi="Cambria Math" w:cs="Arial"/>
                </w:rPr>
                <m:t>=-165 kJ/mol</m:t>
              </m:r>
            </m:oMath>
          </w:p>
        </w:tc>
        <w:tc>
          <w:tcPr>
            <w:tcW w:w="804" w:type="dxa"/>
            <w:shd w:val="clear" w:color="auto" w:fill="auto"/>
            <w:vAlign w:val="center"/>
          </w:tcPr>
          <w:p w14:paraId="5A6E3F53" w14:textId="70D880C7" w:rsidR="00256613" w:rsidRPr="00ED0984" w:rsidRDefault="00256613" w:rsidP="00256613">
            <w:pPr>
              <w:pStyle w:val="CETEquation"/>
              <w:jc w:val="right"/>
              <w:rPr>
                <w:rFonts w:cs="Arial"/>
              </w:rPr>
            </w:pPr>
            <w:r w:rsidRPr="00ED0984">
              <w:rPr>
                <w:rFonts w:cs="Arial"/>
              </w:rPr>
              <w:t>(4)</w:t>
            </w:r>
          </w:p>
        </w:tc>
      </w:tr>
      <w:tr w:rsidR="00256613" w:rsidRPr="00ED0984" w14:paraId="4F974D7C" w14:textId="77777777" w:rsidTr="00256613">
        <w:tc>
          <w:tcPr>
            <w:tcW w:w="7983" w:type="dxa"/>
            <w:shd w:val="clear" w:color="auto" w:fill="auto"/>
            <w:vAlign w:val="center"/>
          </w:tcPr>
          <w:p w14:paraId="16AD2843" w14:textId="295A142D" w:rsidR="00256613" w:rsidRPr="00ED0984" w:rsidRDefault="00256613" w:rsidP="00256613">
            <w:pPr>
              <w:pStyle w:val="CETEquation"/>
              <w:rPr>
                <w:rFonts w:cs="Arial"/>
              </w:rPr>
            </w:pPr>
            <m:oMath>
              <m:r>
                <w:rPr>
                  <w:rFonts w:ascii="Cambria Math" w:hAnsi="Cambria Math" w:cs="Arial"/>
                </w:rPr>
                <m:t>CO+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</w:rPr>
                <m:t>O↔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CO</m:t>
                  </m:r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</m:oMath>
            <w:r w:rsidRPr="00ED0984">
              <w:rPr>
                <w:rFonts w:cs="Arial"/>
              </w:rPr>
              <w:t xml:space="preserve">                           </w:t>
            </w: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</w:rPr>
                    <m:t>∆H</m:t>
                  </m:r>
                </m:e>
                <m:sub>
                  <m:r>
                    <w:rPr>
                      <w:rFonts w:ascii="Cambria Math" w:hAnsi="Cambria Math" w:cs="Arial"/>
                    </w:rPr>
                    <m:t>25 ºC</m:t>
                  </m:r>
                </m:sub>
                <m:sup>
                  <m:r>
                    <w:rPr>
                      <w:rFonts w:ascii="Cambria Math" w:hAnsi="Cambria Math" w:cs="Arial"/>
                    </w:rPr>
                    <m:t>0</m:t>
                  </m:r>
                </m:sup>
              </m:sSubSup>
              <m:r>
                <w:rPr>
                  <w:rFonts w:ascii="Cambria Math" w:hAnsi="Cambria Math" w:cs="Arial"/>
                </w:rPr>
                <m:t>=-41.2 kJ/mol</m:t>
              </m:r>
            </m:oMath>
          </w:p>
        </w:tc>
        <w:tc>
          <w:tcPr>
            <w:tcW w:w="804" w:type="dxa"/>
            <w:shd w:val="clear" w:color="auto" w:fill="auto"/>
            <w:vAlign w:val="center"/>
          </w:tcPr>
          <w:p w14:paraId="0BEE49F1" w14:textId="4151922F" w:rsidR="00256613" w:rsidRPr="00ED0984" w:rsidRDefault="00256613" w:rsidP="00256613">
            <w:pPr>
              <w:pStyle w:val="CETEquation"/>
              <w:jc w:val="right"/>
              <w:rPr>
                <w:rFonts w:cs="Arial"/>
              </w:rPr>
            </w:pPr>
            <w:r w:rsidRPr="00ED0984">
              <w:rPr>
                <w:rFonts w:cs="Arial"/>
              </w:rPr>
              <w:t>(5)</w:t>
            </w:r>
          </w:p>
        </w:tc>
      </w:tr>
      <w:tr w:rsidR="00256613" w:rsidRPr="00ED0984" w14:paraId="2E1EA783" w14:textId="77777777" w:rsidTr="00256613">
        <w:tc>
          <w:tcPr>
            <w:tcW w:w="7983" w:type="dxa"/>
            <w:shd w:val="clear" w:color="auto" w:fill="auto"/>
            <w:vAlign w:val="center"/>
          </w:tcPr>
          <w:p w14:paraId="5830812E" w14:textId="3E6B0D2B" w:rsidR="00256613" w:rsidRPr="00ED0984" w:rsidRDefault="00000000" w:rsidP="00256613">
            <w:pPr>
              <w:pStyle w:val="CETEquation"/>
              <w:rPr>
                <w:rFonts w:cs="Arial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</w:rPr>
                <m:t>+3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</w:rPr>
                <m:t>↔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2NH</m:t>
                  </m:r>
                </m:e>
                <m:sub>
                  <m:r>
                    <w:rPr>
                      <w:rFonts w:ascii="Cambria Math" w:hAnsi="Cambria Math" w:cs="Arial"/>
                    </w:rPr>
                    <m:t>3</m:t>
                  </m:r>
                </m:sub>
              </m:sSub>
            </m:oMath>
            <w:r w:rsidR="00256613" w:rsidRPr="00ED0984">
              <w:rPr>
                <w:rFonts w:cs="Arial"/>
              </w:rPr>
              <w:t xml:space="preserve">                                  </w:t>
            </w: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</w:rPr>
                    <m:t>∆H</m:t>
                  </m:r>
                </m:e>
                <m:sub>
                  <m:r>
                    <w:rPr>
                      <w:rFonts w:ascii="Cambria Math" w:hAnsi="Cambria Math" w:cs="Arial"/>
                    </w:rPr>
                    <m:t>25 ºC</m:t>
                  </m:r>
                </m:sub>
                <m:sup>
                  <m:r>
                    <w:rPr>
                      <w:rFonts w:ascii="Cambria Math" w:hAnsi="Cambria Math" w:cs="Arial"/>
                    </w:rPr>
                    <m:t>0</m:t>
                  </m:r>
                </m:sup>
              </m:sSubSup>
              <m:r>
                <w:rPr>
                  <w:rFonts w:ascii="Cambria Math" w:hAnsi="Cambria Math" w:cs="Arial"/>
                </w:rPr>
                <m:t>=-91.9 kJ/mol</m:t>
              </m:r>
            </m:oMath>
          </w:p>
        </w:tc>
        <w:tc>
          <w:tcPr>
            <w:tcW w:w="804" w:type="dxa"/>
            <w:shd w:val="clear" w:color="auto" w:fill="auto"/>
            <w:vAlign w:val="center"/>
          </w:tcPr>
          <w:p w14:paraId="57D8AAD6" w14:textId="4E5A62FE" w:rsidR="00256613" w:rsidRPr="00ED0984" w:rsidRDefault="00256613" w:rsidP="00256613">
            <w:pPr>
              <w:pStyle w:val="CETEquation"/>
              <w:jc w:val="right"/>
              <w:rPr>
                <w:rFonts w:cs="Arial"/>
              </w:rPr>
            </w:pPr>
            <w:r w:rsidRPr="00ED0984">
              <w:rPr>
                <w:rFonts w:cs="Arial"/>
              </w:rPr>
              <w:t>(</w:t>
            </w:r>
            <w:r w:rsidR="0052332D" w:rsidRPr="00ED0984">
              <w:rPr>
                <w:rFonts w:cs="Arial"/>
              </w:rPr>
              <w:t>6</w:t>
            </w:r>
            <w:r w:rsidRPr="00ED0984">
              <w:rPr>
                <w:rFonts w:cs="Arial"/>
              </w:rPr>
              <w:t>)</w:t>
            </w:r>
          </w:p>
        </w:tc>
      </w:tr>
      <w:tr w:rsidR="00256613" w:rsidRPr="00ED0984" w14:paraId="7A86D1C8" w14:textId="77777777" w:rsidTr="00256613">
        <w:tc>
          <w:tcPr>
            <w:tcW w:w="7983" w:type="dxa"/>
            <w:shd w:val="clear" w:color="auto" w:fill="auto"/>
            <w:vAlign w:val="center"/>
          </w:tcPr>
          <w:p w14:paraId="130F3A1E" w14:textId="0E169B74" w:rsidR="00256613" w:rsidRPr="00ED0984" w:rsidRDefault="00256613" w:rsidP="00256613">
            <w:pPr>
              <w:pStyle w:val="CETEquation"/>
              <w:rPr>
                <w:rFonts w:cs="Arial"/>
              </w:rPr>
            </w:pPr>
            <m:oMath>
              <m:r>
                <w:rPr>
                  <w:rFonts w:ascii="Cambria Math" w:hAnsi="Cambria Math" w:cs="Arial"/>
                </w:rPr>
                <m:t>CO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NH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)</m:t>
                  </m:r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</w:rPr>
                <m:t>→HCNO+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NH</m:t>
                  </m:r>
                </m:e>
                <m:sub>
                  <m:r>
                    <w:rPr>
                      <w:rFonts w:ascii="Cambria Math" w:hAnsi="Cambria Math" w:cs="Arial"/>
                    </w:rPr>
                    <m:t>3</m:t>
                  </m:r>
                </m:sub>
              </m:sSub>
            </m:oMath>
            <w:r w:rsidRPr="00ED0984">
              <w:rPr>
                <w:rFonts w:cs="Arial"/>
              </w:rPr>
              <w:t xml:space="preserve">                    </w:t>
            </w: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</w:rPr>
                    <m:t>∆H</m:t>
                  </m:r>
                </m:e>
                <m:sub>
                  <m:r>
                    <w:rPr>
                      <w:rFonts w:ascii="Cambria Math" w:hAnsi="Cambria Math" w:cs="Arial"/>
                    </w:rPr>
                    <m:t>25 ºC</m:t>
                  </m:r>
                </m:sub>
                <m:sup>
                  <m:r>
                    <w:rPr>
                      <w:rFonts w:ascii="Cambria Math" w:hAnsi="Cambria Math" w:cs="Arial"/>
                    </w:rPr>
                    <m:t>0</m:t>
                  </m:r>
                </m:sup>
              </m:sSubSup>
              <m:r>
                <w:rPr>
                  <w:rFonts w:ascii="Cambria Math" w:hAnsi="Cambria Math" w:cs="Arial"/>
                </w:rPr>
                <m:t>=87.9 kJ/mol</m:t>
              </m:r>
            </m:oMath>
          </w:p>
        </w:tc>
        <w:tc>
          <w:tcPr>
            <w:tcW w:w="804" w:type="dxa"/>
            <w:shd w:val="clear" w:color="auto" w:fill="auto"/>
            <w:vAlign w:val="center"/>
          </w:tcPr>
          <w:p w14:paraId="4A355190" w14:textId="72B2F7E5" w:rsidR="00256613" w:rsidRPr="00ED0984" w:rsidRDefault="00256613" w:rsidP="00256613">
            <w:pPr>
              <w:pStyle w:val="CETEquation"/>
              <w:jc w:val="right"/>
              <w:rPr>
                <w:rFonts w:cs="Arial"/>
              </w:rPr>
            </w:pPr>
            <w:r w:rsidRPr="00ED0984">
              <w:rPr>
                <w:rFonts w:cs="Arial"/>
              </w:rPr>
              <w:t>(7)</w:t>
            </w:r>
          </w:p>
        </w:tc>
      </w:tr>
      <w:tr w:rsidR="00E133A4" w:rsidRPr="00ED0984" w14:paraId="53320296" w14:textId="77777777" w:rsidTr="00256613">
        <w:tc>
          <w:tcPr>
            <w:tcW w:w="7983" w:type="dxa"/>
            <w:shd w:val="clear" w:color="auto" w:fill="auto"/>
            <w:vAlign w:val="center"/>
          </w:tcPr>
          <w:p w14:paraId="6D1826B8" w14:textId="5239493E" w:rsidR="00E133A4" w:rsidRPr="00ED0984" w:rsidRDefault="00000000" w:rsidP="00256613">
            <w:pPr>
              <w:pStyle w:val="CETEquation"/>
              <w:rPr>
                <w:rFonts w:cs="Arial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2N</m:t>
                  </m:r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</w:rPr>
                <m:t>+3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</w:rPr>
                <m:t>O↔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2NH</m:t>
                  </m:r>
                </m:e>
                <m:sub>
                  <m:r>
                    <w:rPr>
                      <w:rFonts w:ascii="Cambria Math" w:hAnsi="Cambria Math" w:cs="Arial"/>
                    </w:rPr>
                    <m:t>3</m:t>
                  </m:r>
                </m:sub>
              </m:sSub>
              <m:r>
                <w:rPr>
                  <w:rFonts w:ascii="Cambria Math" w:hAnsi="Cambria Math" w:cs="Arial"/>
                </w:rPr>
                <m:t>+N</m:t>
              </m:r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O</m:t>
                  </m:r>
                </m:e>
                <m:sub>
                  <m:r>
                    <w:rPr>
                      <w:rFonts w:ascii="Cambria Math" w:hAnsi="Cambria Math" w:cs="Arial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</w:rPr>
                <m:t>+NO</m:t>
              </m:r>
            </m:oMath>
            <w:r w:rsidR="00E133A4" w:rsidRPr="00ED0984">
              <w:rPr>
                <w:rFonts w:cs="Arial"/>
              </w:rPr>
              <w:t xml:space="preserve">         </w:t>
            </w:r>
            <m:oMath>
              <m:sSubSup>
                <m:sSubSupPr>
                  <m:ctrlPr>
                    <w:rPr>
                      <w:rFonts w:ascii="Cambria Math" w:hAnsi="Cambria Math" w:cs="Arial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</w:rPr>
                    <m:t>∆H</m:t>
                  </m:r>
                </m:e>
                <m:sub>
                  <m:r>
                    <w:rPr>
                      <w:rFonts w:ascii="Cambria Math" w:hAnsi="Cambria Math" w:cs="Arial"/>
                    </w:rPr>
                    <m:t>25 ºC</m:t>
                  </m:r>
                </m:sub>
                <m:sup>
                  <m:r>
                    <w:rPr>
                      <w:rFonts w:ascii="Cambria Math" w:hAnsi="Cambria Math" w:cs="Arial"/>
                    </w:rPr>
                    <m:t>0</m:t>
                  </m:r>
                </m:sup>
              </m:sSubSup>
              <m:r>
                <w:rPr>
                  <w:rFonts w:ascii="Cambria Math" w:hAnsi="Cambria Math" w:cs="Arial"/>
                </w:rPr>
                <m:t>=757.1 kJ/mol</m:t>
              </m:r>
            </m:oMath>
          </w:p>
        </w:tc>
        <w:tc>
          <w:tcPr>
            <w:tcW w:w="804" w:type="dxa"/>
            <w:shd w:val="clear" w:color="auto" w:fill="auto"/>
            <w:vAlign w:val="center"/>
          </w:tcPr>
          <w:p w14:paraId="52925775" w14:textId="4DD444B8" w:rsidR="00E133A4" w:rsidRPr="00ED0984" w:rsidRDefault="00E133A4" w:rsidP="00256613">
            <w:pPr>
              <w:pStyle w:val="CETEquation"/>
              <w:jc w:val="right"/>
              <w:rPr>
                <w:rFonts w:cs="Arial"/>
              </w:rPr>
            </w:pPr>
            <w:r w:rsidRPr="00ED0984">
              <w:rPr>
                <w:rFonts w:cs="Arial"/>
              </w:rPr>
              <w:t>(8)</w:t>
            </w:r>
          </w:p>
        </w:tc>
      </w:tr>
    </w:tbl>
    <w:p w14:paraId="740AC157" w14:textId="4271FC6B" w:rsidR="0052106C" w:rsidRDefault="001A5D97" w:rsidP="0052106C">
      <w:pPr>
        <w:pStyle w:val="CETheadingx"/>
      </w:pPr>
      <w:r>
        <w:t>Sensitivity Analyses</w:t>
      </w:r>
    </w:p>
    <w:p w14:paraId="0C3F0FC1" w14:textId="7617BD8D" w:rsidR="001A5D97" w:rsidRDefault="00F758C2" w:rsidP="001A5D97">
      <w:pPr>
        <w:pStyle w:val="CETBodytext"/>
      </w:pPr>
      <w:r>
        <w:t>In order t</w:t>
      </w:r>
      <w:r w:rsidRPr="00F758C2">
        <w:t xml:space="preserve">o </w:t>
      </w:r>
      <w:r>
        <w:t>enhance</w:t>
      </w:r>
      <w:r w:rsidRPr="00F758C2">
        <w:t xml:space="preserve"> hydrogen production, sensitivity analyses were c</w:t>
      </w:r>
      <w:r w:rsidR="00E761DD">
        <w:t>arri</w:t>
      </w:r>
      <w:r w:rsidRPr="00F758C2">
        <w:t xml:space="preserve">ed </w:t>
      </w:r>
      <w:r w:rsidR="00E761DD">
        <w:t xml:space="preserve">out </w:t>
      </w:r>
      <w:r w:rsidRPr="00F758C2">
        <w:t xml:space="preserve">by </w:t>
      </w:r>
      <w:r w:rsidR="00754641">
        <w:t xml:space="preserve">simultaneously </w:t>
      </w:r>
      <w:r w:rsidRPr="00F758C2">
        <w:t xml:space="preserve">varying two parameters. In the first analysis, the S:C </w:t>
      </w:r>
      <w:r w:rsidR="005B51F2">
        <w:t xml:space="preserve">molar </w:t>
      </w:r>
      <w:r w:rsidRPr="00F758C2">
        <w:t xml:space="preserve">ratio was evaluated </w:t>
      </w:r>
      <w:r w:rsidR="004B600A">
        <w:t>in the range of</w:t>
      </w:r>
      <w:r w:rsidRPr="00F758C2">
        <w:t xml:space="preserve"> 1 to 10, together with the temperature that was tested </w:t>
      </w:r>
      <w:r w:rsidR="004B600A">
        <w:t>between</w:t>
      </w:r>
      <w:r w:rsidRPr="00F758C2">
        <w:t xml:space="preserve"> 200 ºC to 1000 ºC, with an increment of 20 ºC.</w:t>
      </w:r>
      <w:r w:rsidR="00D35C58">
        <w:t xml:space="preserve"> </w:t>
      </w:r>
      <w:r w:rsidR="00D50662">
        <w:t xml:space="preserve">In this case, the reactor pressure was </w:t>
      </w:r>
      <w:r w:rsidR="00A753EF">
        <w:t>fixed</w:t>
      </w:r>
      <w:r w:rsidR="00D50662">
        <w:t xml:space="preserve"> </w:t>
      </w:r>
      <w:r w:rsidR="00711EB3">
        <w:t xml:space="preserve">at 1 bar. Based on the </w:t>
      </w:r>
      <w:r w:rsidR="00D35C58">
        <w:t>first analysis</w:t>
      </w:r>
      <w:r w:rsidR="00F90666">
        <w:t xml:space="preserve"> and </w:t>
      </w:r>
      <w:r w:rsidR="00AE7691">
        <w:t xml:space="preserve">the </w:t>
      </w:r>
      <w:r w:rsidR="00F90666">
        <w:t>authors’ interpretation</w:t>
      </w:r>
      <w:r w:rsidR="00D35C58">
        <w:t>, the S:C ratio was de</w:t>
      </w:r>
      <w:r w:rsidR="00F90666">
        <w:t>fined and</w:t>
      </w:r>
      <w:r w:rsidR="00AE7691">
        <w:t xml:space="preserve"> fixed for the second</w:t>
      </w:r>
      <w:r w:rsidR="00CC44AA">
        <w:t xml:space="preserve"> sensitivity analysis, which </w:t>
      </w:r>
      <w:r w:rsidR="003304CA">
        <w:t>assessed</w:t>
      </w:r>
      <w:r w:rsidR="00CC44AA">
        <w:t xml:space="preserve"> the reactor pressure </w:t>
      </w:r>
      <w:r w:rsidR="000E0EBF">
        <w:t>in the range</w:t>
      </w:r>
      <w:r w:rsidR="00885C32">
        <w:t xml:space="preserve"> from</w:t>
      </w:r>
      <w:r w:rsidR="00F62E8E">
        <w:t xml:space="preserve"> 0.5 to 2 bar, with 0.5 bar steps, and </w:t>
      </w:r>
      <w:r w:rsidR="00453BB8">
        <w:t xml:space="preserve">temperature from </w:t>
      </w:r>
      <w:r w:rsidR="00453BB8" w:rsidRPr="00F758C2">
        <w:t>200 ºC to 1000 ºC, with 20 ºC</w:t>
      </w:r>
      <w:r w:rsidR="00453BB8">
        <w:t xml:space="preserve"> steps</w:t>
      </w:r>
      <w:r w:rsidR="00F62E8E">
        <w:t>.</w:t>
      </w:r>
      <w:r w:rsidR="00300161">
        <w:t xml:space="preserve"> </w:t>
      </w:r>
      <w:r w:rsidR="00E761DD">
        <w:t xml:space="preserve">Based on these </w:t>
      </w:r>
      <w:r w:rsidR="00300161">
        <w:t xml:space="preserve">evaluations, the operating parameters </w:t>
      </w:r>
      <w:r w:rsidR="00E761DD" w:rsidRPr="00E761DD">
        <w:t xml:space="preserve">were defined to enable the calculation of </w:t>
      </w:r>
      <w:r w:rsidR="00C81A3A" w:rsidRPr="00C81A3A">
        <w:t>the reaction products</w:t>
      </w:r>
      <w:r w:rsidR="00F40361">
        <w:t xml:space="preserve"> and the hydrogen yield</w:t>
      </w:r>
      <w:r w:rsidR="003304CA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b>
        </m:sSub>
      </m:oMath>
      <w:r w:rsidR="003304CA">
        <w:t>)</w:t>
      </w:r>
      <w:r w:rsidR="00F40361">
        <w:t xml:space="preserve">, as </w:t>
      </w:r>
      <w:r w:rsidR="00E761DD">
        <w:t>presen</w:t>
      </w:r>
      <w:r w:rsidR="00F40361">
        <w:t>ted</w:t>
      </w:r>
      <w:r w:rsidR="00036A4B">
        <w:t xml:space="preserve"> in Eq(</w:t>
      </w:r>
      <w:r w:rsidR="00E133A4">
        <w:t>9</w:t>
      </w:r>
      <w:r w:rsidR="00036A4B">
        <w:t xml:space="preserve">). </w:t>
      </w:r>
      <w:r w:rsidR="005A216A">
        <w:t xml:space="preserve">Here,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2,out</m:t>
                </m:r>
              </m:sub>
            </m:sSub>
          </m:sub>
        </m:sSub>
      </m:oMath>
      <w:r w:rsidR="00D33460">
        <w:t xml:space="preserve"> is the </w:t>
      </w:r>
      <w:r w:rsidR="00345269">
        <w:t>molar flow rate</w:t>
      </w:r>
      <w:r w:rsidR="00F30EAD">
        <w:t xml:space="preserve"> of the outlet hydrogen</w:t>
      </w:r>
      <w:r w:rsidR="00345269">
        <w:t>,</w:t>
      </w:r>
      <w:r w:rsidR="00F30EAD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fuel,  in</m:t>
            </m:r>
          </m:sub>
        </m:sSub>
      </m:oMath>
      <w:r w:rsidR="00F30EAD">
        <w:t xml:space="preserve"> is the </w:t>
      </w:r>
      <w:r w:rsidR="009D403A">
        <w:t xml:space="preserve">inlet </w:t>
      </w:r>
      <w:r w:rsidR="00011B72">
        <w:t>molar flow rate of urea</w:t>
      </w:r>
      <w:r w:rsidR="00A5593F">
        <w:t xml:space="preserve">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b>
        </m:sSub>
      </m:oMath>
      <w:r w:rsidR="00A5593F">
        <w:t xml:space="preserve"> </w:t>
      </w:r>
      <w:r w:rsidR="006C79C2">
        <w:t>i</w:t>
      </w:r>
      <w:r w:rsidR="00F61F7A">
        <w:t xml:space="preserve">s the </w:t>
      </w:r>
      <w:r w:rsidR="00234CA1">
        <w:t xml:space="preserve">theoretical </w:t>
      </w:r>
      <w:r w:rsidR="00F61F7A">
        <w:t xml:space="preserve">stoichiometric </w:t>
      </w:r>
      <w:r w:rsidR="0094542C">
        <w:t xml:space="preserve">coefficient of the </w:t>
      </w:r>
      <w:r w:rsidR="00234CA1">
        <w:t>produced H</w:t>
      </w:r>
      <w:r w:rsidR="00234CA1" w:rsidRPr="00720ED6">
        <w:rPr>
          <w:vertAlign w:val="subscript"/>
        </w:rPr>
        <w:t>2</w:t>
      </w:r>
      <w:r w:rsidR="00720ED6">
        <w:t xml:space="preserve"> (Eq(1))</w:t>
      </w:r>
      <w:r w:rsidR="00345269">
        <w:t xml:space="preserve"> </w:t>
      </w:r>
      <w:r w:rsidR="00AC16CA">
        <w:t xml:space="preserve">(Di Nardo et al., 2024). </w:t>
      </w:r>
      <w:r w:rsidR="005A216A">
        <w:t>After these steps</w:t>
      </w:r>
      <w:r w:rsidR="00C81A3A" w:rsidRPr="00C81A3A">
        <w:t>, hydrogen purification</w:t>
      </w:r>
      <w:r w:rsidR="00343437">
        <w:t xml:space="preserve"> was </w:t>
      </w:r>
      <w:r w:rsidR="00632951">
        <w:t>simulat</w:t>
      </w:r>
      <w:r w:rsidR="00343437">
        <w:t>ed</w:t>
      </w:r>
      <w:r w:rsidR="00C81A3A" w:rsidRPr="00C81A3A">
        <w:t xml:space="preserve"> and </w:t>
      </w:r>
      <w:r w:rsidR="002F0D3A">
        <w:t>the power output</w:t>
      </w:r>
      <w:r w:rsidR="00343437">
        <w:t xml:space="preserve"> was calculated</w:t>
      </w:r>
      <w:r w:rsidR="002F0D3A"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3"/>
        <w:gridCol w:w="804"/>
      </w:tblGrid>
      <w:tr w:rsidR="0054412C" w:rsidRPr="00B57B36" w14:paraId="466CF2FB" w14:textId="77777777" w:rsidTr="0048599C">
        <w:tc>
          <w:tcPr>
            <w:tcW w:w="7983" w:type="dxa"/>
            <w:shd w:val="clear" w:color="auto" w:fill="auto"/>
            <w:vAlign w:val="center"/>
          </w:tcPr>
          <w:p w14:paraId="01911662" w14:textId="536BB577" w:rsidR="0054412C" w:rsidRPr="00A327C3" w:rsidRDefault="00000000" w:rsidP="0048599C">
            <w:pPr>
              <w:pStyle w:val="CETEquation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2,out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urea,  in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sub>
                  </m:sSub>
                </m:den>
              </m:f>
              <m:r>
                <w:rPr>
                  <w:rFonts w:ascii="Cambria Math" w:hAnsi="Cambria Math"/>
                </w:rPr>
                <m:t>*100%</m:t>
              </m:r>
            </m:oMath>
            <w:r w:rsidR="0054412C">
              <w:t xml:space="preserve">      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36145E28" w14:textId="1B6C5938" w:rsidR="0054412C" w:rsidRPr="003551D6" w:rsidRDefault="0054412C" w:rsidP="0048599C">
            <w:pPr>
              <w:pStyle w:val="CETEquation"/>
              <w:jc w:val="right"/>
            </w:pPr>
            <w:r w:rsidRPr="00B57B36">
              <w:t>(</w:t>
            </w:r>
            <w:r w:rsidR="00E133A4">
              <w:t>9</w:t>
            </w:r>
            <w:r w:rsidRPr="00B57B36">
              <w:t>)</w:t>
            </w:r>
          </w:p>
        </w:tc>
      </w:tr>
    </w:tbl>
    <w:p w14:paraId="55DBCEBD" w14:textId="037773E2" w:rsidR="001A5D97" w:rsidRDefault="007E3064" w:rsidP="001A5D97">
      <w:pPr>
        <w:pStyle w:val="CETheadingx"/>
      </w:pPr>
      <w:r>
        <w:t>Hydrogen Purification and Power Output Equivalent</w:t>
      </w:r>
    </w:p>
    <w:p w14:paraId="64D1FE28" w14:textId="5CB221F5" w:rsidR="007E3064" w:rsidRDefault="008B364A" w:rsidP="007E3064">
      <w:pPr>
        <w:pStyle w:val="CETBodytext"/>
      </w:pPr>
      <w:r w:rsidRPr="008B364A">
        <w:t xml:space="preserve">As previously explained, the purification process was carried out using a </w:t>
      </w:r>
      <w:r w:rsidRPr="008B364A">
        <w:rPr>
          <w:i/>
          <w:iCs/>
        </w:rPr>
        <w:t>Sep</w:t>
      </w:r>
      <w:r w:rsidRPr="008B364A">
        <w:t xml:space="preserve"> model separator, which was considered to represent a membrane positioned at the outlet of the reformer. </w:t>
      </w:r>
      <w:r w:rsidR="007452AF" w:rsidRPr="007452AF">
        <w:t xml:space="preserve">The separation fraction of each component was </w:t>
      </w:r>
      <w:r w:rsidR="007C74ED">
        <w:t>fill</w:t>
      </w:r>
      <w:r w:rsidR="007452AF" w:rsidRPr="007452AF">
        <w:t xml:space="preserve">ed in the simulator based on results obtained in Excel, which were calculated respecting </w:t>
      </w:r>
      <w:r w:rsidR="008C10DC" w:rsidRPr="005B1147">
        <w:rPr>
          <w:rFonts w:cs="Arial"/>
          <w:szCs w:val="18"/>
        </w:rPr>
        <w:t>ISO 14687:2019</w:t>
      </w:r>
      <w:r w:rsidR="008C10DC">
        <w:rPr>
          <w:rFonts w:cs="Arial"/>
          <w:szCs w:val="18"/>
        </w:rPr>
        <w:t xml:space="preserve"> </w:t>
      </w:r>
      <w:r w:rsidR="007452AF" w:rsidRPr="007452AF">
        <w:t>standard</w:t>
      </w:r>
      <w:r w:rsidR="008C10DC">
        <w:t>s as</w:t>
      </w:r>
      <w:r w:rsidR="007452AF" w:rsidRPr="007452AF">
        <w:t xml:space="preserve"> indicated in Table 1</w:t>
      </w:r>
      <w:r w:rsidR="00B66EED">
        <w:t xml:space="preserve"> for PEMFCs</w:t>
      </w:r>
      <w:r w:rsidR="007452AF" w:rsidRPr="007452AF">
        <w:t>.</w:t>
      </w:r>
      <w:r w:rsidR="0016193B">
        <w:t xml:space="preserve"> </w:t>
      </w:r>
      <w:r w:rsidR="00852B61" w:rsidRPr="00852B61">
        <w:t xml:space="preserve">After that, the hydrogen production calculated in the software, based on the operating conditions defined by the sensitivity analyses, was converted into </w:t>
      </w:r>
      <w:r w:rsidR="00754CF2">
        <w:t>k</w:t>
      </w:r>
      <w:r w:rsidR="00D674E9">
        <w:t>g</w:t>
      </w:r>
      <w:r w:rsidR="00852B61" w:rsidRPr="00852B61">
        <w:t xml:space="preserve">/s to calculate the </w:t>
      </w:r>
      <w:r w:rsidR="00852B61">
        <w:t>power generated for application in a PEM fuel cell.</w:t>
      </w:r>
      <w:r w:rsidR="00852B61" w:rsidRPr="00852B61">
        <w:t xml:space="preserve"> </w:t>
      </w:r>
      <w:r w:rsidR="008C69BB">
        <w:t xml:space="preserve">The </w:t>
      </w:r>
      <w:r w:rsidR="001C51CF">
        <w:t>calcul</w:t>
      </w:r>
      <w:r w:rsidR="00A827C5">
        <w:t xml:space="preserve">ation of the </w:t>
      </w:r>
      <w:r w:rsidR="008C69BB">
        <w:t xml:space="preserve">power output, </w:t>
      </w:r>
      <w:proofErr w:type="spellStart"/>
      <w:r w:rsidR="008C69BB">
        <w:t>P</w:t>
      </w:r>
      <w:r w:rsidR="008C69BB" w:rsidRPr="008C69BB">
        <w:rPr>
          <w:vertAlign w:val="subscript"/>
        </w:rPr>
        <w:t>eq</w:t>
      </w:r>
      <w:proofErr w:type="spellEnd"/>
      <w:r w:rsidR="00A5433D">
        <w:t xml:space="preserve"> (</w:t>
      </w:r>
      <w:r w:rsidR="00CF7E9A">
        <w:t>k</w:t>
      </w:r>
      <w:r w:rsidR="00A5433D">
        <w:t>W)</w:t>
      </w:r>
      <w:r w:rsidR="008C69BB">
        <w:t xml:space="preserve">, </w:t>
      </w:r>
      <w:r w:rsidR="00A827C5">
        <w:t xml:space="preserve">is presented in </w:t>
      </w:r>
      <w:r w:rsidR="008F2FE7" w:rsidRPr="00535AA1">
        <w:t>Eq(</w:t>
      </w:r>
      <w:r w:rsidR="00E133A4">
        <w:t>10</w:t>
      </w:r>
      <w:r w:rsidR="008F2FE7" w:rsidRPr="00535AA1">
        <w:t>)</w:t>
      </w:r>
      <w:r w:rsidR="00B9606E" w:rsidRPr="00B9606E">
        <w:t>.</w:t>
      </w:r>
      <w:r w:rsidR="00B9606E">
        <w:t xml:space="preserve"> </w:t>
      </w:r>
      <w:r w:rsidR="0052060C">
        <w:t xml:space="preserve">Here,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PEM</m:t>
            </m:r>
          </m:sub>
        </m:sSub>
      </m:oMath>
      <w:r w:rsidR="003E1CF2" w:rsidRPr="003E1CF2">
        <w:t xml:space="preserve"> is the energy efficiency (%) </w:t>
      </w:r>
      <w:r w:rsidR="00055B6F">
        <w:t xml:space="preserve">for a PEMFC </w:t>
      </w:r>
      <w:r w:rsidR="003E1CF2" w:rsidRPr="003E1CF2">
        <w:t xml:space="preserve">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PEM</m:t>
            </m:r>
          </m:sub>
        </m:sSub>
      </m:oMath>
      <w:r w:rsidR="003E1CF2" w:rsidRPr="003E1CF2">
        <w:t xml:space="preserve"> is the hydrogen utilization </w:t>
      </w:r>
      <w:r w:rsidR="009474FC">
        <w:t xml:space="preserve">(%) </w:t>
      </w:r>
      <w:r w:rsidR="003E1CF2" w:rsidRPr="003E1CF2">
        <w:t>for a PEM</w:t>
      </w:r>
      <w:r w:rsidR="00300BD1">
        <w:t xml:space="preserve">FC, </w:t>
      </w:r>
      <w:r w:rsidR="00B62730">
        <w:t xml:space="preserve">both </w:t>
      </w:r>
      <w:r w:rsidR="00300BD1">
        <w:t xml:space="preserve">assumed </w:t>
      </w:r>
      <w:r w:rsidR="00A276C8">
        <w:t xml:space="preserve">from literature as 60% and 80%, </w:t>
      </w:r>
      <w:r w:rsidR="00852B61" w:rsidRPr="00852B61">
        <w:t>respectively, while</w:t>
      </w:r>
      <w:r w:rsidR="006321FC" w:rsidRPr="00852B61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sub>
        </m:sSub>
      </m:oMath>
      <w:r w:rsidR="006321FC" w:rsidRPr="00852B61">
        <w:t xml:space="preserve"> is the m</w:t>
      </w:r>
      <w:r w:rsidR="00A86FD7" w:rsidRPr="00852B61">
        <w:t>ass</w:t>
      </w:r>
      <w:r w:rsidR="006321FC" w:rsidRPr="00852B61">
        <w:t xml:space="preserve"> production rate of hydrogen (</w:t>
      </w:r>
      <w:r w:rsidR="00754CF2">
        <w:t>k</w:t>
      </w:r>
      <w:r w:rsidR="00D674E9">
        <w:t>g</w:t>
      </w:r>
      <w:r w:rsidR="006321FC" w:rsidRPr="00852B61">
        <w:t>/</w:t>
      </w:r>
      <w:r w:rsidR="00812EFD" w:rsidRPr="00852B61">
        <w:t>s</w:t>
      </w:r>
      <w:r w:rsidR="006321FC" w:rsidRPr="00852B61">
        <w:t>),</w:t>
      </w:r>
      <w:r w:rsidR="009F061D" w:rsidRPr="00852B61">
        <w:t xml:space="preserve"> </w:t>
      </w:r>
      <w:r w:rsidR="003E1CF2" w:rsidRPr="00852B61">
        <w:t xml:space="preserve">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LHV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sub>
        </m:sSub>
      </m:oMath>
      <w:r w:rsidR="003E1CF2" w:rsidRPr="00852B61">
        <w:t xml:space="preserve">is the lower heating value </w:t>
      </w:r>
      <w:r w:rsidR="00A276C8" w:rsidRPr="00852B61">
        <w:t>of hydrogen</w:t>
      </w:r>
      <w:r w:rsidR="00DF5303" w:rsidRPr="00852B61">
        <w:t xml:space="preserve"> (120</w:t>
      </w:r>
      <w:r w:rsidR="003E1CF2" w:rsidRPr="00852B61">
        <w:t xml:space="preserve"> </w:t>
      </w:r>
      <w:r w:rsidR="003462B0" w:rsidRPr="00852B61">
        <w:t>M</w:t>
      </w:r>
      <w:r w:rsidR="003E1CF2" w:rsidRPr="00852B61">
        <w:t>J/</w:t>
      </w:r>
      <w:r w:rsidR="00D674E9">
        <w:t>kg</w:t>
      </w:r>
      <w:r w:rsidR="00DF5303" w:rsidRPr="00852B61">
        <w:t>)</w:t>
      </w:r>
      <w:r w:rsidR="007D6C4B">
        <w:t xml:space="preserve"> (</w:t>
      </w:r>
      <w:r w:rsidR="007D6C4B" w:rsidRPr="007D6C4B">
        <w:t>Engelbrecht</w:t>
      </w:r>
      <w:r w:rsidR="007D6C4B">
        <w:t xml:space="preserve"> et al., 2018)</w:t>
      </w:r>
      <w:r w:rsidR="003E1CF2" w:rsidRPr="003E1CF2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83"/>
        <w:gridCol w:w="804"/>
      </w:tblGrid>
      <w:tr w:rsidR="00852B61" w:rsidRPr="00B57B36" w14:paraId="5E9F3871" w14:textId="77777777" w:rsidTr="00852B61">
        <w:tc>
          <w:tcPr>
            <w:tcW w:w="7983" w:type="dxa"/>
            <w:shd w:val="clear" w:color="auto" w:fill="auto"/>
            <w:vAlign w:val="center"/>
          </w:tcPr>
          <w:p w14:paraId="1158B328" w14:textId="77777777" w:rsidR="00852B61" w:rsidRPr="00A327C3" w:rsidRDefault="00000000" w:rsidP="00403822">
            <w:pPr>
              <w:pStyle w:val="CETEquation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eq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</w:rPr>
                    <m:t>PEM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PEM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</m:acc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LHV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sub>
              </m:sSub>
            </m:oMath>
            <w:r w:rsidR="00852B61">
              <w:t xml:space="preserve">      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12DDB616" w14:textId="118D8621" w:rsidR="00852B61" w:rsidRPr="003551D6" w:rsidRDefault="00852B61" w:rsidP="00403822">
            <w:pPr>
              <w:pStyle w:val="CETEquation"/>
              <w:jc w:val="right"/>
            </w:pPr>
            <w:r w:rsidRPr="00B57B36">
              <w:t>(</w:t>
            </w:r>
            <w:r w:rsidR="00E133A4">
              <w:t>10</w:t>
            </w:r>
            <w:r w:rsidRPr="00B57B36">
              <w:t>)</w:t>
            </w:r>
          </w:p>
        </w:tc>
      </w:tr>
    </w:tbl>
    <w:p w14:paraId="3CAF81A2" w14:textId="72E7B433" w:rsidR="007E3064" w:rsidRPr="00B57B36" w:rsidRDefault="007E3064" w:rsidP="007E3064">
      <w:pPr>
        <w:pStyle w:val="CETHeading1"/>
        <w:rPr>
          <w:lang w:val="en-GB"/>
        </w:rPr>
      </w:pPr>
      <w:r>
        <w:rPr>
          <w:lang w:val="en-GB"/>
        </w:rPr>
        <w:lastRenderedPageBreak/>
        <w:t>Results</w:t>
      </w:r>
    </w:p>
    <w:p w14:paraId="3CA49313" w14:textId="4C8E1776" w:rsidR="001830E3" w:rsidRDefault="00015F2E" w:rsidP="00236049">
      <w:r>
        <w:t xml:space="preserve">Figures </w:t>
      </w:r>
      <w:r w:rsidR="00E4550C">
        <w:t xml:space="preserve">2a and </w:t>
      </w:r>
      <w:r w:rsidR="00C81355">
        <w:t>3a</w:t>
      </w:r>
      <w:r w:rsidR="00E4550C">
        <w:t xml:space="preserve"> </w:t>
      </w:r>
      <w:r w:rsidR="008B364A" w:rsidRPr="008B364A">
        <w:t xml:space="preserve">illustrate the graphical results derived from </w:t>
      </w:r>
      <w:r w:rsidR="006602CB">
        <w:t xml:space="preserve">the </w:t>
      </w:r>
      <w:r w:rsidR="00386710">
        <w:t xml:space="preserve">sensitivity analyses. The first graph, Figure </w:t>
      </w:r>
      <w:r w:rsidR="00C81355">
        <w:t>2</w:t>
      </w:r>
      <w:r w:rsidR="00386710">
        <w:t xml:space="preserve">a, shows the </w:t>
      </w:r>
      <w:r w:rsidR="00DC5308">
        <w:t>effect of</w:t>
      </w:r>
      <w:r w:rsidR="001D6A41">
        <w:t xml:space="preserve"> simultaneously</w:t>
      </w:r>
      <w:r w:rsidR="00DC5308">
        <w:t xml:space="preserve"> varying the S:C ratio</w:t>
      </w:r>
      <w:r w:rsidR="001D6A41">
        <w:t xml:space="preserve"> from 1 to 10</w:t>
      </w:r>
      <w:r w:rsidR="00DC5308">
        <w:t xml:space="preserve"> and temperature</w:t>
      </w:r>
      <w:r w:rsidR="001D6A41">
        <w:t xml:space="preserve"> from 200 to 1000 ºC</w:t>
      </w:r>
      <w:r w:rsidR="00DC5308">
        <w:t xml:space="preserve"> on hydrogen production.</w:t>
      </w:r>
      <w:r w:rsidR="00D32112">
        <w:t xml:space="preserve"> Here, </w:t>
      </w:r>
      <w:r w:rsidR="006602CB">
        <w:t xml:space="preserve">the </w:t>
      </w:r>
      <w:r w:rsidR="00D32112">
        <w:t>pressure is fixed at 1 bar.</w:t>
      </w:r>
      <w:r w:rsidR="00DC5308">
        <w:t xml:space="preserve"> As can be observed, for </w:t>
      </w:r>
      <w:r w:rsidR="00A8046E">
        <w:t>an</w:t>
      </w:r>
      <w:r w:rsidR="00DC5308">
        <w:t xml:space="preserve"> </w:t>
      </w:r>
      <w:r w:rsidR="00687295">
        <w:t>equimolar feed of urea and water (1</w:t>
      </w:r>
      <w:r w:rsidR="005653DB">
        <w:t xml:space="preserve"> </w:t>
      </w:r>
      <w:proofErr w:type="spellStart"/>
      <w:r w:rsidR="005653DB">
        <w:t>kmol</w:t>
      </w:r>
      <w:proofErr w:type="spellEnd"/>
      <w:r w:rsidR="00687295">
        <w:t xml:space="preserve"> of H</w:t>
      </w:r>
      <w:r w:rsidR="00687295" w:rsidRPr="00687295">
        <w:rPr>
          <w:vertAlign w:val="subscript"/>
        </w:rPr>
        <w:t>2</w:t>
      </w:r>
      <w:r w:rsidR="00687295">
        <w:t xml:space="preserve">O to 1 </w:t>
      </w:r>
      <w:proofErr w:type="spellStart"/>
      <w:r w:rsidR="005653DB">
        <w:t>kmol</w:t>
      </w:r>
      <w:proofErr w:type="spellEnd"/>
      <w:r w:rsidR="00687295">
        <w:t xml:space="preserve"> of </w:t>
      </w:r>
      <w:r w:rsidR="00687295" w:rsidRPr="000B2F89">
        <w:rPr>
          <w:rFonts w:cs="Arial"/>
          <w:szCs w:val="18"/>
        </w:rPr>
        <w:t>CO(NH</w:t>
      </w:r>
      <w:r w:rsidR="00687295" w:rsidRPr="000B2F89">
        <w:rPr>
          <w:rFonts w:ascii="Cambria Math" w:hAnsi="Cambria Math" w:cs="Cambria Math"/>
          <w:szCs w:val="18"/>
        </w:rPr>
        <w:t>₂</w:t>
      </w:r>
      <w:r w:rsidR="00687295" w:rsidRPr="000B2F89">
        <w:rPr>
          <w:rFonts w:cs="Arial"/>
          <w:szCs w:val="18"/>
        </w:rPr>
        <w:t>)</w:t>
      </w:r>
      <w:r w:rsidR="00687295" w:rsidRPr="000B2F89">
        <w:rPr>
          <w:rFonts w:ascii="Cambria Math" w:hAnsi="Cambria Math" w:cs="Cambria Math"/>
          <w:szCs w:val="18"/>
        </w:rPr>
        <w:t>₂</w:t>
      </w:r>
      <w:r w:rsidR="00687295">
        <w:t>), the</w:t>
      </w:r>
      <w:r w:rsidR="00236049">
        <w:t xml:space="preserve"> </w:t>
      </w:r>
      <w:r w:rsidR="00407B32">
        <w:t xml:space="preserve">maximum </w:t>
      </w:r>
      <w:r w:rsidR="00146543">
        <w:t>H</w:t>
      </w:r>
      <w:r w:rsidR="00146543" w:rsidRPr="00146543">
        <w:rPr>
          <w:vertAlign w:val="subscript"/>
        </w:rPr>
        <w:t>2</w:t>
      </w:r>
      <w:r w:rsidR="00236049">
        <w:t xml:space="preserve"> production </w:t>
      </w:r>
      <w:r w:rsidR="00B41FF0">
        <w:t xml:space="preserve">is </w:t>
      </w:r>
      <w:r w:rsidR="002D540E">
        <w:t>achieve</w:t>
      </w:r>
      <w:r w:rsidR="00B41FF0">
        <w:t xml:space="preserve">d at </w:t>
      </w:r>
      <w:r w:rsidR="003F7017">
        <w:t xml:space="preserve">a temperature </w:t>
      </w:r>
      <w:r w:rsidR="00146543">
        <w:t>of</w:t>
      </w:r>
      <w:r w:rsidR="003F7017">
        <w:t xml:space="preserve"> 760 ºC</w:t>
      </w:r>
      <w:r w:rsidR="007C5D2C">
        <w:t xml:space="preserve">, being </w:t>
      </w:r>
      <w:r w:rsidR="007C5D2C">
        <w:t xml:space="preserve">limited </w:t>
      </w:r>
      <w:r w:rsidR="00236049">
        <w:t xml:space="preserve">to </w:t>
      </w:r>
      <w:r w:rsidR="00407B32">
        <w:t>only</w:t>
      </w:r>
      <w:r w:rsidR="00B337F4">
        <w:t xml:space="preserve"> ~2.26 </w:t>
      </w:r>
      <w:proofErr w:type="spellStart"/>
      <w:r w:rsidR="007E2CDB">
        <w:t>k</w:t>
      </w:r>
      <w:r w:rsidR="005653DB">
        <w:t>mol</w:t>
      </w:r>
      <w:proofErr w:type="spellEnd"/>
      <w:r w:rsidR="00DC0361">
        <w:t xml:space="preserve"> of H</w:t>
      </w:r>
      <w:r w:rsidR="00DC0361" w:rsidRPr="00DC0361">
        <w:rPr>
          <w:vertAlign w:val="subscript"/>
        </w:rPr>
        <w:t>2</w:t>
      </w:r>
      <w:r w:rsidR="00DC0361">
        <w:t xml:space="preserve"> per </w:t>
      </w:r>
      <w:proofErr w:type="spellStart"/>
      <w:r w:rsidR="005653DB">
        <w:t>kmol</w:t>
      </w:r>
      <w:proofErr w:type="spellEnd"/>
      <w:r w:rsidR="00DC0361">
        <w:t xml:space="preserve"> of urea, representing a yield of </w:t>
      </w:r>
      <w:r w:rsidR="00B04C11">
        <w:t>less than 75.50</w:t>
      </w:r>
      <w:r w:rsidR="0070111D">
        <w:t>%.</w:t>
      </w:r>
      <w:r w:rsidR="007C5D2C">
        <w:t xml:space="preserve"> </w:t>
      </w:r>
      <w:r w:rsidR="00F239A4">
        <w:t>By i</w:t>
      </w:r>
      <w:r w:rsidR="007C5D2C">
        <w:t xml:space="preserve">ncreasing the </w:t>
      </w:r>
      <w:r w:rsidR="00644768">
        <w:t xml:space="preserve">S:C ratio, a </w:t>
      </w:r>
      <w:r w:rsidR="00BD2FC0">
        <w:t>remarkable</w:t>
      </w:r>
      <w:r w:rsidR="00644768">
        <w:t xml:space="preserve"> improvement in </w:t>
      </w:r>
      <w:r w:rsidR="00EB3824">
        <w:t>H</w:t>
      </w:r>
      <w:r w:rsidR="00EB3824" w:rsidRPr="00EB3824">
        <w:rPr>
          <w:vertAlign w:val="subscript"/>
        </w:rPr>
        <w:t>2</w:t>
      </w:r>
      <w:r w:rsidR="00644768">
        <w:t xml:space="preserve"> production is obtained, with a ma</w:t>
      </w:r>
      <w:r w:rsidR="00351859">
        <w:t xml:space="preserve">ximum </w:t>
      </w:r>
      <w:r w:rsidR="00EB3824">
        <w:t>H</w:t>
      </w:r>
      <w:r w:rsidR="00EB3824" w:rsidRPr="00EB3824">
        <w:rPr>
          <w:vertAlign w:val="subscript"/>
        </w:rPr>
        <w:t>2</w:t>
      </w:r>
      <w:r w:rsidR="00122995">
        <w:t xml:space="preserve"> yield of ~</w:t>
      </w:r>
      <w:r w:rsidR="002F106A">
        <w:t>96.2</w:t>
      </w:r>
      <w:r w:rsidR="0054782E">
        <w:t>0</w:t>
      </w:r>
      <w:r w:rsidR="002F106A">
        <w:t xml:space="preserve">% at </w:t>
      </w:r>
      <w:r w:rsidR="00BD2FC0">
        <w:t xml:space="preserve">a </w:t>
      </w:r>
      <w:r w:rsidR="0039126A">
        <w:t xml:space="preserve">S:C ratio of 10 and </w:t>
      </w:r>
      <w:r w:rsidR="002F106A">
        <w:t>580 ºC</w:t>
      </w:r>
      <w:r w:rsidR="00A4122D">
        <w:t xml:space="preserve">, representing a production of </w:t>
      </w:r>
      <w:r w:rsidR="00BD2FC0">
        <w:t>more than</w:t>
      </w:r>
      <w:r w:rsidR="00A4122D">
        <w:t xml:space="preserve"> 2.88 </w:t>
      </w:r>
      <w:r w:rsidR="004C55DD">
        <w:t>k</w:t>
      </w:r>
      <w:r w:rsidR="005653DB">
        <w:t>mol</w:t>
      </w:r>
      <w:r w:rsidR="008C60C0" w:rsidRPr="008C60C0">
        <w:rPr>
          <w:vertAlign w:val="subscript"/>
        </w:rPr>
        <w:t>H</w:t>
      </w:r>
      <w:r w:rsidR="008C60C0" w:rsidRPr="008C60C0">
        <w:rPr>
          <w:sz w:val="12"/>
          <w:szCs w:val="14"/>
          <w:vertAlign w:val="subscript"/>
        </w:rPr>
        <w:t>2</w:t>
      </w:r>
      <w:r w:rsidR="008C60C0">
        <w:t>/</w:t>
      </w:r>
      <w:proofErr w:type="spellStart"/>
      <w:r w:rsidR="004C55DD">
        <w:t>k</w:t>
      </w:r>
      <w:r w:rsidR="005653DB">
        <w:t>mol</w:t>
      </w:r>
      <w:r w:rsidR="008C60C0" w:rsidRPr="008C60C0">
        <w:rPr>
          <w:vertAlign w:val="subscript"/>
        </w:rPr>
        <w:t>urea</w:t>
      </w:r>
      <w:proofErr w:type="spellEnd"/>
      <w:r w:rsidR="00A4122D">
        <w:t>.</w:t>
      </w:r>
      <w:r w:rsidR="00CD7E5F" w:rsidRPr="00CD7E5F">
        <w:t xml:space="preserve"> </w:t>
      </w:r>
      <w:r w:rsidR="00EB3824" w:rsidRPr="00EB3824">
        <w:t xml:space="preserve">This phenomenon was likewise reported by Dupont et al. (2013), who attributed the increase in hydrogen yield at higher steam-to-carbon (S:C) ratios to </w:t>
      </w:r>
      <w:r w:rsidR="00255C49" w:rsidRPr="00255C49">
        <w:t>Le Chatelier's Principle</w:t>
      </w:r>
      <w:r w:rsidR="000F53B2">
        <w:t xml:space="preserve">, where </w:t>
      </w:r>
      <w:r w:rsidR="00255C49" w:rsidRPr="00255C49">
        <w:t>the additional H</w:t>
      </w:r>
      <w:r w:rsidR="00255C49" w:rsidRPr="00255C49">
        <w:rPr>
          <w:rFonts w:ascii="Cambria Math" w:hAnsi="Cambria Math" w:cs="Cambria Math"/>
        </w:rPr>
        <w:t>₂</w:t>
      </w:r>
      <w:r w:rsidR="00255C49" w:rsidRPr="00255C49">
        <w:t xml:space="preserve">O shifted the equilibrium, promoting greater consumption of reactants and consequently enhancing </w:t>
      </w:r>
      <w:r w:rsidR="001830E3">
        <w:t>hydrogen</w:t>
      </w:r>
      <w:r w:rsidR="00255C49" w:rsidRPr="00255C49">
        <w:t xml:space="preserve"> generation.</w:t>
      </w:r>
      <w:r w:rsidR="008C60C0">
        <w:t xml:space="preserve"> </w:t>
      </w:r>
    </w:p>
    <w:p w14:paraId="3430122C" w14:textId="0E95345C" w:rsidR="008C60C0" w:rsidRDefault="005928FC" w:rsidP="00236049">
      <w:r w:rsidRPr="005928FC">
        <w:t>Interestingly, increasing the S:C molar ratio also causes a shift in the temperature at which H</w:t>
      </w:r>
      <w:r w:rsidRPr="005928FC">
        <w:rPr>
          <w:rFonts w:ascii="Cambria Math" w:hAnsi="Cambria Math" w:cs="Cambria Math"/>
        </w:rPr>
        <w:t>₂</w:t>
      </w:r>
      <w:r w:rsidRPr="005928FC">
        <w:t xml:space="preserve"> </w:t>
      </w:r>
      <w:r w:rsidR="001830E3">
        <w:t>productio</w:t>
      </w:r>
      <w:r w:rsidRPr="005928FC">
        <w:t>n is maximized, with lower temperatures being reached as the S:C ratio increases. Although the main overall reaction in USR is endothermic, several parallel reactions occur during th</w:t>
      </w:r>
      <w:r w:rsidR="001830E3">
        <w:t>e reforming</w:t>
      </w:r>
      <w:r w:rsidRPr="005928FC">
        <w:t xml:space="preserve"> process (see </w:t>
      </w:r>
      <w:proofErr w:type="spellStart"/>
      <w:r w:rsidRPr="005928FC">
        <w:t>Eq</w:t>
      </w:r>
      <w:proofErr w:type="spellEnd"/>
      <w:r w:rsidRPr="005928FC">
        <w:t xml:space="preserve">(1) to </w:t>
      </w:r>
      <w:proofErr w:type="spellStart"/>
      <w:r>
        <w:t>Eq</w:t>
      </w:r>
      <w:proofErr w:type="spellEnd"/>
      <w:r w:rsidRPr="005928FC">
        <w:t>(</w:t>
      </w:r>
      <w:r w:rsidR="00D11432">
        <w:t>8</w:t>
      </w:r>
      <w:r w:rsidRPr="005928FC">
        <w:t xml:space="preserve">)). When </w:t>
      </w:r>
      <w:r w:rsidR="009B6082">
        <w:t xml:space="preserve">the </w:t>
      </w:r>
      <w:r w:rsidRPr="005928FC">
        <w:t xml:space="preserve">water content in the system increases, the </w:t>
      </w:r>
      <w:r>
        <w:t>WGSR</w:t>
      </w:r>
      <w:r w:rsidRPr="005928FC">
        <w:t xml:space="preserve">, presented in </w:t>
      </w:r>
      <w:proofErr w:type="spellStart"/>
      <w:r w:rsidRPr="005928FC">
        <w:t>Eq</w:t>
      </w:r>
      <w:proofErr w:type="spellEnd"/>
      <w:r w:rsidRPr="005928FC">
        <w:t>(5), is favo</w:t>
      </w:r>
      <w:r>
        <w:t>u</w:t>
      </w:r>
      <w:r w:rsidRPr="005928FC">
        <w:t>red. Since this reaction is exothermic, the equilibrium shifts toward lower temperatures, which explains the behavio</w:t>
      </w:r>
      <w:r>
        <w:t>u</w:t>
      </w:r>
      <w:r w:rsidRPr="005928FC">
        <w:t>r observed in Figure 2a.</w:t>
      </w:r>
      <w:r w:rsidR="00F50C60">
        <w:t xml:space="preserve"> </w:t>
      </w:r>
      <w:r w:rsidR="001830E3" w:rsidRPr="001830E3">
        <w:t>This statement can be reinforced by Figure 2b, which shows the production of CO</w:t>
      </w:r>
      <w:r w:rsidR="001830E3" w:rsidRPr="001830E3">
        <w:rPr>
          <w:vertAlign w:val="subscript"/>
        </w:rPr>
        <w:t>2</w:t>
      </w:r>
      <w:r w:rsidR="001830E3" w:rsidRPr="001830E3">
        <w:t xml:space="preserve"> </w:t>
      </w:r>
      <w:r w:rsidR="0054782E">
        <w:t xml:space="preserve">(in blue) </w:t>
      </w:r>
      <w:r w:rsidR="001830E3" w:rsidRPr="001830E3">
        <w:t xml:space="preserve">and CO </w:t>
      </w:r>
      <w:r w:rsidR="0054782E">
        <w:t xml:space="preserve">(in red) </w:t>
      </w:r>
      <w:r w:rsidR="001830E3" w:rsidRPr="001830E3">
        <w:t>as a function of temperature and S:C ratio (ratios of 1, 5 and 10</w:t>
      </w:r>
      <w:r w:rsidR="001830E3">
        <w:t>,</w:t>
      </w:r>
      <w:r w:rsidR="001830E3" w:rsidRPr="001830E3">
        <w:t xml:space="preserve"> represented by the </w:t>
      </w:r>
      <w:r w:rsidR="001830E3">
        <w:t xml:space="preserve">inset </w:t>
      </w:r>
      <w:r w:rsidR="001830E3" w:rsidRPr="001830E3">
        <w:t xml:space="preserve">symbols </w:t>
      </w:r>
      <w:r w:rsidR="001830E3">
        <w:t>in the figure</w:t>
      </w:r>
      <w:r w:rsidR="001830E3" w:rsidRPr="001830E3">
        <w:t xml:space="preserve">). According to the graph, the production of CO </w:t>
      </w:r>
      <w:r w:rsidR="001830E3">
        <w:t xml:space="preserve">at temperatures </w:t>
      </w:r>
      <w:r w:rsidR="001830E3" w:rsidRPr="001830E3">
        <w:t xml:space="preserve">up to 500 °C is close to zero for all the evaluated ratios. This is </w:t>
      </w:r>
      <w:r w:rsidR="001830E3">
        <w:t xml:space="preserve">assigned </w:t>
      </w:r>
      <w:r w:rsidR="001830E3" w:rsidRPr="001830E3">
        <w:t xml:space="preserve">to the fact that at lower temperatures, the exothermic reactions of </w:t>
      </w:r>
      <w:r w:rsidR="001830E3">
        <w:t xml:space="preserve">methanation of </w:t>
      </w:r>
      <w:r w:rsidR="001830E3" w:rsidRPr="001830E3">
        <w:t>CO (</w:t>
      </w:r>
      <w:proofErr w:type="spellStart"/>
      <w:r w:rsidR="001830E3" w:rsidRPr="001830E3">
        <w:t>Eq</w:t>
      </w:r>
      <w:proofErr w:type="spellEnd"/>
      <w:r w:rsidR="001830E3" w:rsidRPr="001830E3">
        <w:t>(3)) and WGS (</w:t>
      </w:r>
      <w:proofErr w:type="spellStart"/>
      <w:r w:rsidR="001830E3" w:rsidRPr="001830E3">
        <w:t>Eq</w:t>
      </w:r>
      <w:proofErr w:type="spellEnd"/>
      <w:r w:rsidR="001830E3" w:rsidRPr="001830E3">
        <w:t>(5)) are favo</w:t>
      </w:r>
      <w:r w:rsidR="001830E3">
        <w:t>u</w:t>
      </w:r>
      <w:r w:rsidR="001830E3" w:rsidRPr="001830E3">
        <w:t>red</w:t>
      </w:r>
      <w:r w:rsidR="0054782E">
        <w:t xml:space="preserve">, leading to </w:t>
      </w:r>
      <w:r w:rsidR="009B6082">
        <w:t xml:space="preserve">the </w:t>
      </w:r>
      <w:r w:rsidR="0054782E">
        <w:t>formation of CH</w:t>
      </w:r>
      <w:r w:rsidR="0054782E" w:rsidRPr="0054782E">
        <w:rPr>
          <w:vertAlign w:val="subscript"/>
        </w:rPr>
        <w:t>4</w:t>
      </w:r>
      <w:r w:rsidR="0054782E">
        <w:t xml:space="preserve"> and CO</w:t>
      </w:r>
      <w:r w:rsidR="0054782E" w:rsidRPr="0054782E">
        <w:rPr>
          <w:vertAlign w:val="subscript"/>
        </w:rPr>
        <w:t>2</w:t>
      </w:r>
      <w:r w:rsidR="0054782E">
        <w:t>, respectively</w:t>
      </w:r>
      <w:r w:rsidR="001830E3" w:rsidRPr="001830E3">
        <w:t xml:space="preserve">. </w:t>
      </w:r>
      <w:r w:rsidR="009B6082" w:rsidRPr="00210B16">
        <w:t>This phenomenon is further evidenced by the increase in C</w:t>
      </w:r>
      <w:r w:rsidR="009B6082">
        <w:t>O</w:t>
      </w:r>
      <w:r w:rsidR="009B6082" w:rsidRPr="009F27EE">
        <w:rPr>
          <w:vertAlign w:val="subscript"/>
        </w:rPr>
        <w:t>2</w:t>
      </w:r>
      <w:r w:rsidR="009B6082" w:rsidRPr="00210B16">
        <w:t xml:space="preserve"> production in this </w:t>
      </w:r>
      <w:r w:rsidR="009B6082">
        <w:t xml:space="preserve">graph </w:t>
      </w:r>
      <w:r w:rsidR="009B6082" w:rsidRPr="00210B16">
        <w:t xml:space="preserve">region, particularly </w:t>
      </w:r>
      <w:r w:rsidR="009B6082">
        <w:t>for</w:t>
      </w:r>
      <w:r w:rsidR="009B6082" w:rsidRPr="00210B16">
        <w:t xml:space="preserve"> elevated S:C ratios. This is attribut</w:t>
      </w:r>
      <w:r w:rsidR="009B6082">
        <w:t>ed</w:t>
      </w:r>
      <w:r w:rsidR="009B6082" w:rsidRPr="00210B16">
        <w:t xml:space="preserve"> to the displacement of the WGS equilibrium, </w:t>
      </w:r>
      <w:r w:rsidR="009B6082">
        <w:t>where</w:t>
      </w:r>
      <w:r w:rsidR="009B6082" w:rsidRPr="00210B16">
        <w:t xml:space="preserve"> the excess water </w:t>
      </w:r>
      <w:r w:rsidR="009B6082">
        <w:t xml:space="preserve">is consumed </w:t>
      </w:r>
      <w:r w:rsidR="009B6082" w:rsidRPr="00210B16">
        <w:t xml:space="preserve">in conjunction with CO, </w:t>
      </w:r>
      <w:r w:rsidR="009B6082">
        <w:t>to form</w:t>
      </w:r>
      <w:r w:rsidR="009B6082" w:rsidRPr="00210B16">
        <w:t xml:space="preserve"> </w:t>
      </w:r>
      <w:r w:rsidR="009B6082">
        <w:t>H</w:t>
      </w:r>
      <w:r w:rsidR="009B6082" w:rsidRPr="009F27EE">
        <w:rPr>
          <w:vertAlign w:val="subscript"/>
        </w:rPr>
        <w:t>2</w:t>
      </w:r>
      <w:r w:rsidR="009B6082" w:rsidRPr="00210B16">
        <w:t xml:space="preserve"> and C</w:t>
      </w:r>
      <w:r w:rsidR="009B6082">
        <w:t>O</w:t>
      </w:r>
      <w:r w:rsidR="009B6082" w:rsidRPr="00DD22E4">
        <w:rPr>
          <w:vertAlign w:val="subscript"/>
        </w:rPr>
        <w:t>2</w:t>
      </w:r>
      <w:r w:rsidR="009B6082">
        <w:t xml:space="preserve">. </w:t>
      </w:r>
      <w:r w:rsidR="001830E3" w:rsidRPr="001830E3">
        <w:t xml:space="preserve">At the same time, </w:t>
      </w:r>
      <w:r w:rsidR="009B6082">
        <w:t>in</w:t>
      </w:r>
      <w:r w:rsidR="001830E3" w:rsidRPr="001830E3">
        <w:t xml:space="preserve"> the case of very high temperatures, since the WGS and methanation reactions are exothermic, the equilibrium tends to </w:t>
      </w:r>
      <w:r w:rsidR="004A59A5">
        <w:t>move</w:t>
      </w:r>
      <w:r w:rsidR="001830E3" w:rsidRPr="001830E3">
        <w:t xml:space="preserve"> to the left, towards the reactants. </w:t>
      </w:r>
      <w:r w:rsidR="004A59A5">
        <w:t xml:space="preserve">Therefore, </w:t>
      </w:r>
      <w:r w:rsidR="001830E3" w:rsidRPr="001830E3">
        <w:t xml:space="preserve">in </w:t>
      </w:r>
      <w:r w:rsidR="00BD2B5A">
        <w:t>high temperatures</w:t>
      </w:r>
      <w:r w:rsidR="004A59A5">
        <w:t>,</w:t>
      </w:r>
      <w:r w:rsidR="00BD2B5A">
        <w:t xml:space="preserve"> </w:t>
      </w:r>
      <w:r w:rsidR="001830E3" w:rsidRPr="001830E3">
        <w:t>CO production increases significantly</w:t>
      </w:r>
      <w:r w:rsidR="004A59A5">
        <w:t xml:space="preserve"> while CO</w:t>
      </w:r>
      <w:r w:rsidR="004A59A5" w:rsidRPr="004A59A5">
        <w:rPr>
          <w:vertAlign w:val="subscript"/>
        </w:rPr>
        <w:t>2</w:t>
      </w:r>
      <w:r w:rsidR="004A59A5">
        <w:t xml:space="preserve"> generation decreases</w:t>
      </w:r>
      <w:r w:rsidR="001830E3" w:rsidRPr="001830E3">
        <w:t xml:space="preserve">, especially for the S:C </w:t>
      </w:r>
      <w:r w:rsidR="004A59A5">
        <w:t xml:space="preserve">ratio </w:t>
      </w:r>
      <w:r w:rsidR="001830E3" w:rsidRPr="001830E3">
        <w:t>of 1.</w:t>
      </w:r>
      <w:r w:rsidR="004A59A5">
        <w:t xml:space="preserve"> Even so, compared to the CO produced, </w:t>
      </w:r>
      <w:r w:rsidR="00BD2B5A">
        <w:t>t</w:t>
      </w:r>
      <w:r w:rsidR="001830E3" w:rsidRPr="001830E3">
        <w:t xml:space="preserve">he </w:t>
      </w:r>
      <w:r w:rsidR="004A59A5">
        <w:t xml:space="preserve">amount of </w:t>
      </w:r>
      <w:r w:rsidR="001830E3" w:rsidRPr="001830E3">
        <w:t>CO</w:t>
      </w:r>
      <w:r w:rsidR="001830E3" w:rsidRPr="00BD2B5A">
        <w:rPr>
          <w:vertAlign w:val="subscript"/>
        </w:rPr>
        <w:t>2</w:t>
      </w:r>
      <w:r w:rsidR="001830E3" w:rsidRPr="001830E3">
        <w:t xml:space="preserve"> </w:t>
      </w:r>
      <w:r w:rsidR="004A59A5">
        <w:t xml:space="preserve">at the product stream </w:t>
      </w:r>
      <w:r w:rsidR="001830E3" w:rsidRPr="001830E3">
        <w:t>remains</w:t>
      </w:r>
      <w:r w:rsidR="00BD2B5A">
        <w:t xml:space="preserve"> relatively</w:t>
      </w:r>
      <w:r w:rsidR="001830E3" w:rsidRPr="001830E3">
        <w:t xml:space="preserve"> high for the S:C ratios of 5 and 10, since the methanation reaction is very exothermic, </w:t>
      </w:r>
      <w:r w:rsidR="00BD2B5A">
        <w:t xml:space="preserve">so </w:t>
      </w:r>
      <w:r w:rsidR="001830E3" w:rsidRPr="001830E3">
        <w:t xml:space="preserve">the inverse direction of </w:t>
      </w:r>
      <w:proofErr w:type="spellStart"/>
      <w:r w:rsidR="001830E3" w:rsidRPr="001830E3">
        <w:t>Eq</w:t>
      </w:r>
      <w:proofErr w:type="spellEnd"/>
      <w:r w:rsidR="001830E3" w:rsidRPr="001830E3">
        <w:t>(4) can also lead to the generation of CO</w:t>
      </w:r>
      <w:r w:rsidR="001830E3" w:rsidRPr="00BD2B5A">
        <w:rPr>
          <w:vertAlign w:val="subscript"/>
        </w:rPr>
        <w:t>2</w:t>
      </w:r>
      <w:r w:rsidR="001830E3" w:rsidRPr="001830E3">
        <w:t>.</w:t>
      </w:r>
    </w:p>
    <w:p w14:paraId="22526887" w14:textId="29477FF5" w:rsidR="004A2CAB" w:rsidRDefault="00ED0984" w:rsidP="004A2CAB">
      <w:pPr>
        <w:pStyle w:val="CETBodytext"/>
        <w:rPr>
          <w:rStyle w:val="CETCaptionCarattere"/>
        </w:rPr>
      </w:pPr>
      <w:r w:rsidRPr="00ED0984">
        <w:rPr>
          <w:rStyle w:val="CETCaptionCarattere"/>
          <w:i w:val="0"/>
          <w:noProof/>
          <w:lang w:val="en-US"/>
        </w:rPr>
        <w:drawing>
          <wp:inline distT="0" distB="0" distL="0" distR="0" wp14:anchorId="5E65B8FB" wp14:editId="02664A92">
            <wp:extent cx="5397500" cy="225171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355" w:rsidRPr="00BD077D">
        <w:rPr>
          <w:rStyle w:val="CETCaptionCarattere"/>
        </w:rPr>
        <w:t xml:space="preserve">Figure </w:t>
      </w:r>
      <w:r w:rsidR="00C81355">
        <w:rPr>
          <w:rStyle w:val="CETCaptionCarattere"/>
        </w:rPr>
        <w:t>2</w:t>
      </w:r>
      <w:r w:rsidR="00C81355" w:rsidRPr="00BD077D">
        <w:rPr>
          <w:rStyle w:val="CETCaptionCarattere"/>
        </w:rPr>
        <w:t>:</w:t>
      </w:r>
      <w:r w:rsidR="00C81355">
        <w:rPr>
          <w:rStyle w:val="CETCaptionCarattere"/>
        </w:rPr>
        <w:t xml:space="preserve"> a.</w:t>
      </w:r>
      <w:r w:rsidR="00C81355" w:rsidRPr="00BD077D">
        <w:rPr>
          <w:rStyle w:val="CETCaptionCarattere"/>
        </w:rPr>
        <w:t xml:space="preserve"> </w:t>
      </w:r>
      <w:r w:rsidR="00C81355" w:rsidRPr="00C2594F">
        <w:rPr>
          <w:rStyle w:val="CETCaptionCarattere"/>
        </w:rPr>
        <w:t>Hydrogen production as a function of S:C ratio and temperature, determined at a fixed pressure of 1 bar by sensitivity analysis</w:t>
      </w:r>
      <w:r w:rsidR="00C81355">
        <w:rPr>
          <w:rStyle w:val="CETCaptionCarattere"/>
        </w:rPr>
        <w:t xml:space="preserve">. b. CO and CO2 production as a function of </w:t>
      </w:r>
      <w:r w:rsidR="00C81355" w:rsidRPr="00C2594F">
        <w:rPr>
          <w:rStyle w:val="CETCaptionCarattere"/>
        </w:rPr>
        <w:t>S:C ratio and temperature</w:t>
      </w:r>
      <w:r w:rsidR="00C81355">
        <w:rPr>
          <w:rStyle w:val="CETCaptionCarattere"/>
        </w:rPr>
        <w:t>.</w:t>
      </w:r>
    </w:p>
    <w:p w14:paraId="3EE90FD2" w14:textId="77777777" w:rsidR="004A2CAB" w:rsidRDefault="004A2CAB" w:rsidP="004A2CAB">
      <w:pPr>
        <w:pStyle w:val="CETBodytext"/>
        <w:rPr>
          <w:rStyle w:val="CETCaptionCarattere"/>
        </w:rPr>
      </w:pPr>
    </w:p>
    <w:p w14:paraId="06B75A36" w14:textId="18862D8E" w:rsidR="004C7665" w:rsidRDefault="001830E3" w:rsidP="002E5C2B">
      <w:pPr>
        <w:pStyle w:val="CETBodytext"/>
        <w:spacing w:after="240"/>
        <w:rPr>
          <w:lang w:val="en-GB"/>
        </w:rPr>
      </w:pPr>
      <w:r>
        <w:t xml:space="preserve">Although </w:t>
      </w:r>
      <w:r w:rsidR="00A02371">
        <w:t>cost assessment</w:t>
      </w:r>
      <w:r>
        <w:t xml:space="preserve"> is out of </w:t>
      </w:r>
      <w:r w:rsidR="004A59A5">
        <w:t xml:space="preserve">the scope of </w:t>
      </w:r>
      <w:r>
        <w:t xml:space="preserve">this study, increasing the </w:t>
      </w:r>
      <w:r w:rsidR="00E43F6D">
        <w:t>water</w:t>
      </w:r>
      <w:r>
        <w:t xml:space="preserve"> proportion in the system </w:t>
      </w:r>
      <w:r w:rsidR="004A2CAB">
        <w:t xml:space="preserve">requires </w:t>
      </w:r>
      <w:r>
        <w:t xml:space="preserve">higher energy </w:t>
      </w:r>
      <w:r w:rsidR="004A2CAB">
        <w:t>input</w:t>
      </w:r>
      <w:r>
        <w:t xml:space="preserve"> to generate steam, which</w:t>
      </w:r>
      <w:r w:rsidR="004A2CAB">
        <w:t xml:space="preserve"> significantly raises </w:t>
      </w:r>
      <w:r>
        <w:t>the overall process</w:t>
      </w:r>
      <w:r w:rsidR="004A2CAB">
        <w:t xml:space="preserve"> costs</w:t>
      </w:r>
      <w:r>
        <w:t>.</w:t>
      </w:r>
      <w:r w:rsidR="004A2CAB">
        <w:t xml:space="preserve"> </w:t>
      </w:r>
      <w:r w:rsidR="00EB3824">
        <w:t>In light of</w:t>
      </w:r>
      <w:r w:rsidR="004A2CAB">
        <w:t xml:space="preserve"> this,</w:t>
      </w:r>
      <w:r>
        <w:t xml:space="preserve"> the authors </w:t>
      </w:r>
      <w:r w:rsidR="00EB3824">
        <w:t>opted</w:t>
      </w:r>
      <w:r>
        <w:t xml:space="preserve"> </w:t>
      </w:r>
      <w:r w:rsidR="004A2CAB">
        <w:t xml:space="preserve">to </w:t>
      </w:r>
      <w:r w:rsidR="00EB3824">
        <w:t>employ</w:t>
      </w:r>
      <w:r w:rsidR="004A2CAB">
        <w:t xml:space="preserve"> </w:t>
      </w:r>
      <w:r>
        <w:t xml:space="preserve">an intermediate S:C ratio of 5, </w:t>
      </w:r>
      <w:r w:rsidR="004A2CAB">
        <w:t>as it</w:t>
      </w:r>
      <w:r>
        <w:t xml:space="preserve"> can effectively improve hydrogen yield to values </w:t>
      </w:r>
      <w:r w:rsidR="004A2CAB">
        <w:t>exceeding</w:t>
      </w:r>
      <w:r>
        <w:t xml:space="preserve"> 90% at temperatures between 600 and 720 ºC.</w:t>
      </w:r>
      <w:r w:rsidR="00BD2B5A">
        <w:t xml:space="preserve"> </w:t>
      </w:r>
      <w:r w:rsidR="004A2CAB">
        <w:t>After defining t</w:t>
      </w:r>
      <w:r w:rsidR="00D73002">
        <w:t>he S:C ratio</w:t>
      </w:r>
      <w:r w:rsidR="00165B8D">
        <w:t>,</w:t>
      </w:r>
      <w:r w:rsidR="00D73002">
        <w:t xml:space="preserve"> </w:t>
      </w:r>
      <w:r w:rsidR="00154D73">
        <w:t>a</w:t>
      </w:r>
      <w:r w:rsidR="00D73002">
        <w:t xml:space="preserve"> second sensitivity analysis was </w:t>
      </w:r>
      <w:r w:rsidR="004A2CAB">
        <w:t>conducted</w:t>
      </w:r>
      <w:r w:rsidR="00D73002">
        <w:t xml:space="preserve"> to evaluate the </w:t>
      </w:r>
      <w:r w:rsidR="004A2CAB">
        <w:t>combined</w:t>
      </w:r>
      <w:r w:rsidR="00BB5A6C">
        <w:t xml:space="preserve"> effect</w:t>
      </w:r>
      <w:r w:rsidR="004A2CAB">
        <w:t>s</w:t>
      </w:r>
      <w:r w:rsidR="00BB5A6C">
        <w:t xml:space="preserve"> of </w:t>
      </w:r>
      <w:r w:rsidR="00D73002">
        <w:t>pressure</w:t>
      </w:r>
      <w:r w:rsidR="00BB5A6C">
        <w:t xml:space="preserve"> and temperature </w:t>
      </w:r>
      <w:r w:rsidR="00D73002">
        <w:t>on H</w:t>
      </w:r>
      <w:r w:rsidR="00D73002" w:rsidRPr="00BB5A6C">
        <w:rPr>
          <w:vertAlign w:val="subscript"/>
        </w:rPr>
        <w:t>2</w:t>
      </w:r>
      <w:r w:rsidR="00D73002">
        <w:t xml:space="preserve"> yield</w:t>
      </w:r>
      <w:r w:rsidR="00BB5A6C">
        <w:t xml:space="preserve">, as </w:t>
      </w:r>
      <w:r w:rsidR="004A2CAB">
        <w:t>shown</w:t>
      </w:r>
      <w:r w:rsidR="00BB5A6C">
        <w:t xml:space="preserve"> in Figure 3a. </w:t>
      </w:r>
      <w:r w:rsidR="004A2CAB">
        <w:t>The results indicate that</w:t>
      </w:r>
      <w:r w:rsidR="00F52018" w:rsidRPr="00F52018">
        <w:t xml:space="preserve"> increasing system pressure </w:t>
      </w:r>
      <w:r w:rsidR="004A2CAB">
        <w:t>reduces</w:t>
      </w:r>
      <w:r w:rsidR="00F52018" w:rsidRPr="00F52018">
        <w:t xml:space="preserve"> hydrogen pro</w:t>
      </w:r>
      <w:r w:rsidR="00F52018">
        <w:t>duction</w:t>
      </w:r>
      <w:r w:rsidR="00F52018" w:rsidRPr="00F52018">
        <w:t xml:space="preserve">, while </w:t>
      </w:r>
      <w:r w:rsidR="004A2CAB">
        <w:t>operating under a</w:t>
      </w:r>
      <w:r w:rsidR="00F52018" w:rsidRPr="00F52018">
        <w:t xml:space="preserve"> little vacuum facilitates </w:t>
      </w:r>
      <w:r w:rsidR="00F70995">
        <w:t xml:space="preserve">reactant </w:t>
      </w:r>
      <w:r w:rsidR="00F52018" w:rsidRPr="00F52018">
        <w:t>conversion in the reforming reaction</w:t>
      </w:r>
      <w:r w:rsidR="004A2CAB">
        <w:t xml:space="preserve"> and lowers </w:t>
      </w:r>
      <w:r w:rsidR="00F52018" w:rsidRPr="00F52018">
        <w:t xml:space="preserve">the temperature at which </w:t>
      </w:r>
      <w:r w:rsidR="004C7665">
        <w:t xml:space="preserve">maximum </w:t>
      </w:r>
      <w:r w:rsidR="00F52018" w:rsidRPr="00F52018">
        <w:t>H</w:t>
      </w:r>
      <w:r w:rsidR="00F52018" w:rsidRPr="00F52018">
        <w:rPr>
          <w:vertAlign w:val="subscript"/>
        </w:rPr>
        <w:t>2</w:t>
      </w:r>
      <w:r w:rsidR="00F52018" w:rsidRPr="00F52018">
        <w:t xml:space="preserve"> </w:t>
      </w:r>
      <w:r w:rsidR="00F52018">
        <w:t>generation</w:t>
      </w:r>
      <w:r w:rsidR="00F52018" w:rsidRPr="00F52018">
        <w:t xml:space="preserve"> </w:t>
      </w:r>
      <w:r w:rsidR="004C7665">
        <w:t>occurs</w:t>
      </w:r>
      <w:r w:rsidR="00F52018" w:rsidRPr="00F52018">
        <w:t>.</w:t>
      </w:r>
      <w:r w:rsidR="00154D73">
        <w:t xml:space="preserve"> </w:t>
      </w:r>
      <w:r w:rsidR="00C70A4C" w:rsidRPr="00C70A4C">
        <w:t xml:space="preserve">These observations can also be explained by Le Chatelier's </w:t>
      </w:r>
      <w:r w:rsidR="00EB3824">
        <w:t>P</w:t>
      </w:r>
      <w:r w:rsidR="00C70A4C" w:rsidRPr="00C70A4C">
        <w:t xml:space="preserve">rinciple, </w:t>
      </w:r>
      <w:r w:rsidR="004C7665">
        <w:t xml:space="preserve">which predicts that </w:t>
      </w:r>
      <w:r w:rsidR="00C70A4C" w:rsidRPr="00C70A4C">
        <w:t xml:space="preserve">reducing </w:t>
      </w:r>
      <w:r w:rsidR="004C7665">
        <w:t>reactor</w:t>
      </w:r>
      <w:r w:rsidR="00C70A4C" w:rsidRPr="00C70A4C">
        <w:t xml:space="preserve"> pressure </w:t>
      </w:r>
      <w:r w:rsidR="004C7665" w:rsidRPr="004C7665">
        <w:rPr>
          <w:lang w:val="en-GB"/>
        </w:rPr>
        <w:t>shifts the equilibrium toward the gaseous reaction with the greatest number of moles. In this case, the reforming reaction benefits, resulting in higher H</w:t>
      </w:r>
      <w:r w:rsidR="004C7665" w:rsidRPr="004C7665">
        <w:rPr>
          <w:rFonts w:ascii="Cambria Math" w:hAnsi="Cambria Math" w:cs="Cambria Math"/>
          <w:lang w:val="en-GB"/>
        </w:rPr>
        <w:t>₂</w:t>
      </w:r>
      <w:r w:rsidR="004C7665" w:rsidRPr="004C7665">
        <w:rPr>
          <w:lang w:val="en-GB"/>
        </w:rPr>
        <w:t xml:space="preserve"> production at reduced </w:t>
      </w:r>
      <w:r w:rsidR="004C7665" w:rsidRPr="004C7665">
        <w:rPr>
          <w:lang w:val="en-GB"/>
        </w:rPr>
        <w:lastRenderedPageBreak/>
        <w:t>pressures (Ismaila et al., 2021).</w:t>
      </w:r>
      <w:r w:rsidR="004C7665">
        <w:rPr>
          <w:lang w:val="en-GB"/>
        </w:rPr>
        <w:t xml:space="preserve"> </w:t>
      </w:r>
      <w:r w:rsidR="004C7665" w:rsidRPr="004C7665">
        <w:rPr>
          <w:lang w:val="en-GB"/>
        </w:rPr>
        <w:t xml:space="preserve">At atmospheric pressure and an S:C ratio of 5, the maximum hydrogen yield is approximately 91.50% (2.74 </w:t>
      </w:r>
      <w:proofErr w:type="spellStart"/>
      <w:r w:rsidR="00C322EE">
        <w:rPr>
          <w:lang w:val="en-GB"/>
        </w:rPr>
        <w:t>k</w:t>
      </w:r>
      <w:r w:rsidR="005653DB">
        <w:rPr>
          <w:lang w:val="en-GB"/>
        </w:rPr>
        <w:t>mol</w:t>
      </w:r>
      <w:r w:rsidR="004C7665" w:rsidRPr="004C7665">
        <w:rPr>
          <w:lang w:val="en-GB"/>
        </w:rPr>
        <w:t>H</w:t>
      </w:r>
      <w:proofErr w:type="spellEnd"/>
      <w:r w:rsidR="004C7665" w:rsidRPr="004C7665">
        <w:rPr>
          <w:rFonts w:ascii="Cambria Math" w:hAnsi="Cambria Math" w:cs="Cambria Math"/>
          <w:lang w:val="en-GB"/>
        </w:rPr>
        <w:t>₂</w:t>
      </w:r>
      <w:r w:rsidR="004C7665" w:rsidRPr="004C7665">
        <w:rPr>
          <w:lang w:val="en-GB"/>
        </w:rPr>
        <w:t xml:space="preserve">/h) at 640 </w:t>
      </w:r>
      <w:r w:rsidR="004C7665" w:rsidRPr="004C7665">
        <w:rPr>
          <w:rFonts w:cs="Arial"/>
          <w:lang w:val="en-GB"/>
        </w:rPr>
        <w:t>º</w:t>
      </w:r>
      <w:r w:rsidR="004C7665" w:rsidRPr="004C7665">
        <w:rPr>
          <w:lang w:val="en-GB"/>
        </w:rPr>
        <w:t xml:space="preserve">C. In contrast, at 0.50 bar and the same S:C ratio, the maximum yield increases slightly to ~92.70% (2.78 </w:t>
      </w:r>
      <w:proofErr w:type="spellStart"/>
      <w:r w:rsidR="00C322EE">
        <w:rPr>
          <w:lang w:val="en-GB"/>
        </w:rPr>
        <w:t>k</w:t>
      </w:r>
      <w:r w:rsidR="005653DB">
        <w:rPr>
          <w:lang w:val="en-GB"/>
        </w:rPr>
        <w:t>mol</w:t>
      </w:r>
      <w:r w:rsidR="004C7665" w:rsidRPr="0083290E">
        <w:rPr>
          <w:vertAlign w:val="subscript"/>
          <w:lang w:val="en-GB"/>
        </w:rPr>
        <w:t>H</w:t>
      </w:r>
      <w:proofErr w:type="spellEnd"/>
      <w:r w:rsidR="004C7665" w:rsidRPr="0083290E">
        <w:rPr>
          <w:rFonts w:ascii="Cambria Math" w:hAnsi="Cambria Math" w:cs="Cambria Math"/>
          <w:sz w:val="16"/>
          <w:szCs w:val="18"/>
          <w:vertAlign w:val="subscript"/>
          <w:lang w:val="en-GB"/>
        </w:rPr>
        <w:t>₂</w:t>
      </w:r>
      <w:r w:rsidR="004C7665" w:rsidRPr="004C7665">
        <w:rPr>
          <w:lang w:val="en-GB"/>
        </w:rPr>
        <w:t xml:space="preserve">/h), achieved at a lower temperature of 600 </w:t>
      </w:r>
      <w:r w:rsidR="004C7665" w:rsidRPr="004C7665">
        <w:rPr>
          <w:rFonts w:cs="Arial"/>
          <w:lang w:val="en-GB"/>
        </w:rPr>
        <w:t>º</w:t>
      </w:r>
      <w:r w:rsidR="004C7665" w:rsidRPr="004C7665">
        <w:rPr>
          <w:lang w:val="en-GB"/>
        </w:rPr>
        <w:t>C. While the reduction in system pressure results in only a modest improvement in H</w:t>
      </w:r>
      <w:r w:rsidR="004C7665" w:rsidRPr="004C7665">
        <w:rPr>
          <w:rFonts w:ascii="Cambria Math" w:hAnsi="Cambria Math" w:cs="Cambria Math"/>
          <w:lang w:val="en-GB"/>
        </w:rPr>
        <w:t>₂</w:t>
      </w:r>
      <w:r w:rsidR="004C7665" w:rsidRPr="004C7665">
        <w:rPr>
          <w:lang w:val="en-GB"/>
        </w:rPr>
        <w:t xml:space="preserve"> production, it leads to a significant decrease in reactor operating temperature. Additionally, the temperature range for achieving hydrogen yields above 90% expands to </w:t>
      </w:r>
      <w:r w:rsidR="00A02371">
        <w:rPr>
          <w:lang w:val="en-GB"/>
        </w:rPr>
        <w:t xml:space="preserve">be </w:t>
      </w:r>
      <w:r w:rsidR="004C7665" w:rsidRPr="004C7665">
        <w:rPr>
          <w:lang w:val="en-GB"/>
        </w:rPr>
        <w:t xml:space="preserve">between 540 and 720 ºC. </w:t>
      </w:r>
    </w:p>
    <w:p w14:paraId="0530CD16" w14:textId="2F757F7F" w:rsidR="006B648D" w:rsidRDefault="00ED0984" w:rsidP="008C1B0D">
      <w:pPr>
        <w:pStyle w:val="CETBodytext"/>
        <w:rPr>
          <w:rStyle w:val="CETCaptionCarattere"/>
        </w:rPr>
      </w:pPr>
      <w:r w:rsidRPr="00ED0984">
        <w:rPr>
          <w:rStyle w:val="CETCaptionCarattere"/>
          <w:i w:val="0"/>
          <w:noProof/>
          <w:lang w:val="en-US"/>
        </w:rPr>
        <w:drawing>
          <wp:inline distT="0" distB="0" distL="0" distR="0" wp14:anchorId="27F3CD67" wp14:editId="105BDE8D">
            <wp:extent cx="5398770" cy="22510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B0D" w:rsidRPr="00BD077D">
        <w:rPr>
          <w:rStyle w:val="CETCaptionCarattere"/>
        </w:rPr>
        <w:t xml:space="preserve">Figure </w:t>
      </w:r>
      <w:r w:rsidR="008C1B0D">
        <w:rPr>
          <w:rStyle w:val="CETCaptionCarattere"/>
        </w:rPr>
        <w:t>3</w:t>
      </w:r>
      <w:r w:rsidR="008C1B0D" w:rsidRPr="00BD077D">
        <w:rPr>
          <w:rStyle w:val="CETCaptionCarattere"/>
        </w:rPr>
        <w:t>:</w:t>
      </w:r>
      <w:r w:rsidR="008C1B0D">
        <w:rPr>
          <w:rStyle w:val="CETCaptionCarattere"/>
        </w:rPr>
        <w:t xml:space="preserve"> a.</w:t>
      </w:r>
      <w:r w:rsidR="008C1B0D" w:rsidRPr="00BD077D">
        <w:rPr>
          <w:rStyle w:val="CETCaptionCarattere"/>
        </w:rPr>
        <w:t xml:space="preserve"> </w:t>
      </w:r>
      <w:r w:rsidR="008C1B0D" w:rsidRPr="00C2594F">
        <w:rPr>
          <w:rStyle w:val="CETCaptionCarattere"/>
        </w:rPr>
        <w:t>H</w:t>
      </w:r>
      <w:r w:rsidR="00B43E52" w:rsidRPr="00B43E52">
        <w:rPr>
          <w:rStyle w:val="CETCaptionCarattere"/>
          <w:vertAlign w:val="subscript"/>
        </w:rPr>
        <w:t>2</w:t>
      </w:r>
      <w:r w:rsidR="008C1B0D" w:rsidRPr="00C2594F">
        <w:rPr>
          <w:rStyle w:val="CETCaptionCarattere"/>
        </w:rPr>
        <w:t xml:space="preserve"> production as a function of </w:t>
      </w:r>
      <w:r w:rsidR="008C1B0D">
        <w:rPr>
          <w:rStyle w:val="CETCaptionCarattere"/>
        </w:rPr>
        <w:t>pressure and temperature</w:t>
      </w:r>
      <w:r w:rsidR="008C1B0D" w:rsidRPr="00C2594F">
        <w:rPr>
          <w:rStyle w:val="CETCaptionCarattere"/>
        </w:rPr>
        <w:t xml:space="preserve">, determined at a fixed </w:t>
      </w:r>
      <w:r w:rsidR="008C1B0D">
        <w:rPr>
          <w:rStyle w:val="CETCaptionCarattere"/>
        </w:rPr>
        <w:t xml:space="preserve">S:C ratio of 5 </w:t>
      </w:r>
      <w:r w:rsidR="008C1B0D" w:rsidRPr="00C2594F">
        <w:rPr>
          <w:rStyle w:val="CETCaptionCarattere"/>
        </w:rPr>
        <w:t>by sensitivity analysis</w:t>
      </w:r>
      <w:r w:rsidR="008C1B0D">
        <w:rPr>
          <w:rStyle w:val="CETCaptionCarattere"/>
        </w:rPr>
        <w:t>. b.</w:t>
      </w:r>
      <w:r w:rsidR="004F4873">
        <w:rPr>
          <w:rStyle w:val="CETCaptionCarattere"/>
        </w:rPr>
        <w:t xml:space="preserve"> Products generated as a function of temperature, at fixed S:C ratio of 5 and 0.5 bar. </w:t>
      </w:r>
    </w:p>
    <w:p w14:paraId="7CF5681B" w14:textId="1E8B5AB4" w:rsidR="002316E5" w:rsidRPr="002316E5" w:rsidRDefault="00EB3824" w:rsidP="00B43E52">
      <w:pPr>
        <w:pStyle w:val="CETBodytext"/>
        <w:spacing w:before="240"/>
        <w:rPr>
          <w:iCs/>
          <w:lang w:val="en-GB"/>
        </w:rPr>
      </w:pPr>
      <w:r w:rsidRPr="00EB3824">
        <w:rPr>
          <w:iCs/>
          <w:lang w:val="en-GB"/>
        </w:rPr>
        <w:t>To quantify the products generated during the USR process, Figure 3b was constructed, illustrating the principal reaction products under operating conditions with a S:C ratio of 5</w:t>
      </w:r>
      <w:r w:rsidR="002316E5" w:rsidRPr="002316E5">
        <w:rPr>
          <w:iCs/>
          <w:lang w:val="en-GB"/>
        </w:rPr>
        <w:t>, pressure of 0.5 bar, and temperatures ranging from 200 to 1000</w:t>
      </w:r>
      <w:r w:rsidR="007F6669">
        <w:rPr>
          <w:iCs/>
          <w:lang w:val="en-GB"/>
        </w:rPr>
        <w:t xml:space="preserve"> </w:t>
      </w:r>
      <w:r w:rsidR="002316E5" w:rsidRPr="002316E5">
        <w:rPr>
          <w:iCs/>
          <w:lang w:val="en-GB"/>
        </w:rPr>
        <w:t xml:space="preserve">ºC. According to the graph, </w:t>
      </w:r>
      <w:r w:rsidR="00C43D1A">
        <w:rPr>
          <w:iCs/>
          <w:lang w:val="en-GB"/>
        </w:rPr>
        <w:t>H</w:t>
      </w:r>
      <w:r w:rsidR="00C43D1A" w:rsidRPr="00C43D1A">
        <w:rPr>
          <w:iCs/>
          <w:vertAlign w:val="subscript"/>
          <w:lang w:val="en-GB"/>
        </w:rPr>
        <w:t>2</w:t>
      </w:r>
      <w:r w:rsidR="002316E5" w:rsidRPr="002316E5">
        <w:rPr>
          <w:iCs/>
          <w:lang w:val="en-GB"/>
        </w:rPr>
        <w:t xml:space="preserve"> is the primary product formed at temperatures above 340 ºC</w:t>
      </w:r>
      <w:r w:rsidR="002316E5">
        <w:rPr>
          <w:iCs/>
          <w:lang w:val="en-GB"/>
        </w:rPr>
        <w:t>, being maximized at 600 ºC</w:t>
      </w:r>
      <w:r w:rsidR="002316E5" w:rsidRPr="002316E5">
        <w:rPr>
          <w:iCs/>
          <w:lang w:val="en-GB"/>
        </w:rPr>
        <w:t>. Additionally, due to the exothermic nature of the methanation reactions</w:t>
      </w:r>
      <w:r w:rsidR="004E2E0C">
        <w:rPr>
          <w:iCs/>
          <w:lang w:val="en-GB"/>
        </w:rPr>
        <w:t xml:space="preserve">, </w:t>
      </w:r>
      <w:proofErr w:type="spellStart"/>
      <w:r w:rsidR="002316E5" w:rsidRPr="002316E5">
        <w:rPr>
          <w:iCs/>
          <w:lang w:val="en-GB"/>
        </w:rPr>
        <w:t>Eq</w:t>
      </w:r>
      <w:proofErr w:type="spellEnd"/>
      <w:r w:rsidR="002316E5" w:rsidRPr="002316E5">
        <w:rPr>
          <w:iCs/>
          <w:lang w:val="en-GB"/>
        </w:rPr>
        <w:t xml:space="preserve">(3) and </w:t>
      </w:r>
      <w:proofErr w:type="spellStart"/>
      <w:r w:rsidR="002316E5">
        <w:rPr>
          <w:iCs/>
          <w:lang w:val="en-GB"/>
        </w:rPr>
        <w:t>Eq</w:t>
      </w:r>
      <w:proofErr w:type="spellEnd"/>
      <w:r w:rsidR="002316E5" w:rsidRPr="002316E5">
        <w:rPr>
          <w:iCs/>
          <w:lang w:val="en-GB"/>
        </w:rPr>
        <w:t xml:space="preserve">(4), </w:t>
      </w:r>
      <w:r w:rsidR="00B43E52">
        <w:rPr>
          <w:iCs/>
          <w:lang w:val="en-GB"/>
        </w:rPr>
        <w:t>CH</w:t>
      </w:r>
      <w:r w:rsidR="00B43E52" w:rsidRPr="00B43E52">
        <w:rPr>
          <w:iCs/>
          <w:vertAlign w:val="subscript"/>
          <w:lang w:val="en-GB"/>
        </w:rPr>
        <w:t>4</w:t>
      </w:r>
      <w:r w:rsidR="002316E5" w:rsidRPr="002316E5">
        <w:rPr>
          <w:iCs/>
          <w:lang w:val="en-GB"/>
        </w:rPr>
        <w:t xml:space="preserve"> production approaches zero at temperatures above 520 ºC, shifting the reactions toward the reverse direction, favo</w:t>
      </w:r>
      <w:r w:rsidR="002316E5">
        <w:rPr>
          <w:iCs/>
          <w:lang w:val="en-GB"/>
        </w:rPr>
        <w:t>u</w:t>
      </w:r>
      <w:r w:rsidR="002316E5" w:rsidRPr="002316E5">
        <w:rPr>
          <w:iCs/>
          <w:lang w:val="en-GB"/>
        </w:rPr>
        <w:t>ring the generation of CO and CO</w:t>
      </w:r>
      <w:r w:rsidR="002316E5" w:rsidRPr="002316E5">
        <w:rPr>
          <w:rFonts w:ascii="Cambria Math" w:hAnsi="Cambria Math" w:cs="Cambria Math"/>
          <w:iCs/>
          <w:lang w:val="en-GB"/>
        </w:rPr>
        <w:t>₂</w:t>
      </w:r>
      <w:r w:rsidR="002316E5" w:rsidRPr="002316E5">
        <w:rPr>
          <w:iCs/>
          <w:lang w:val="en-GB"/>
        </w:rPr>
        <w:t>. The production of NH</w:t>
      </w:r>
      <w:r w:rsidR="002316E5" w:rsidRPr="002316E5">
        <w:rPr>
          <w:rFonts w:ascii="Cambria Math" w:hAnsi="Cambria Math" w:cs="Cambria Math"/>
          <w:iCs/>
          <w:lang w:val="en-GB"/>
        </w:rPr>
        <w:t>₃</w:t>
      </w:r>
      <w:r w:rsidR="002316E5" w:rsidRPr="002316E5">
        <w:rPr>
          <w:iCs/>
          <w:lang w:val="en-GB"/>
        </w:rPr>
        <w:t xml:space="preserve"> (</w:t>
      </w:r>
      <w:proofErr w:type="spellStart"/>
      <w:r w:rsidR="002316E5" w:rsidRPr="002316E5">
        <w:rPr>
          <w:iCs/>
          <w:lang w:val="en-GB"/>
        </w:rPr>
        <w:t>Eq</w:t>
      </w:r>
      <w:proofErr w:type="spellEnd"/>
      <w:r w:rsidR="002316E5" w:rsidRPr="002316E5">
        <w:rPr>
          <w:iCs/>
          <w:lang w:val="en-GB"/>
        </w:rPr>
        <w:t>(6)) and HCNO (</w:t>
      </w:r>
      <w:proofErr w:type="spellStart"/>
      <w:r w:rsidR="002316E5" w:rsidRPr="002316E5">
        <w:rPr>
          <w:iCs/>
          <w:lang w:val="en-GB"/>
        </w:rPr>
        <w:t>Eq</w:t>
      </w:r>
      <w:proofErr w:type="spellEnd"/>
      <w:r w:rsidR="002316E5" w:rsidRPr="002316E5">
        <w:rPr>
          <w:iCs/>
          <w:lang w:val="en-GB"/>
        </w:rPr>
        <w:t xml:space="preserve"> (7)) is not shown, as the </w:t>
      </w:r>
      <w:r w:rsidR="004E2E0C">
        <w:rPr>
          <w:iCs/>
          <w:lang w:val="en-GB"/>
        </w:rPr>
        <w:t>amount</w:t>
      </w:r>
      <w:r w:rsidR="002316E5" w:rsidRPr="002316E5">
        <w:rPr>
          <w:iCs/>
          <w:lang w:val="en-GB"/>
        </w:rPr>
        <w:t xml:space="preserve"> of these compounds were found to be negligible. Furthermore, the analysis of NO</w:t>
      </w:r>
      <w:r w:rsidR="002316E5" w:rsidRPr="002316E5">
        <w:rPr>
          <w:rFonts w:cs="Arial"/>
          <w:iCs/>
          <w:lang w:val="en-GB"/>
        </w:rPr>
        <w:t>ₓ</w:t>
      </w:r>
      <w:r w:rsidR="002316E5" w:rsidRPr="002316E5">
        <w:rPr>
          <w:iCs/>
          <w:lang w:val="en-GB"/>
        </w:rPr>
        <w:t xml:space="preserve"> in the product stream indicated that </w:t>
      </w:r>
      <w:r w:rsidR="002316E5">
        <w:rPr>
          <w:iCs/>
          <w:lang w:val="en-GB"/>
        </w:rPr>
        <w:t xml:space="preserve">these </w:t>
      </w:r>
      <w:r w:rsidR="002316E5" w:rsidRPr="002316E5">
        <w:rPr>
          <w:iCs/>
          <w:lang w:val="en-GB"/>
        </w:rPr>
        <w:t xml:space="preserve">pollutants were </w:t>
      </w:r>
      <w:r w:rsidR="002316E5">
        <w:rPr>
          <w:iCs/>
          <w:lang w:val="en-GB"/>
        </w:rPr>
        <w:t xml:space="preserve">not </w:t>
      </w:r>
      <w:r w:rsidR="002316E5" w:rsidRPr="002316E5">
        <w:rPr>
          <w:iCs/>
          <w:lang w:val="en-GB"/>
        </w:rPr>
        <w:t>generated during the process</w:t>
      </w:r>
      <w:r w:rsidR="00D43DDB">
        <w:rPr>
          <w:iCs/>
          <w:lang w:val="en-GB"/>
        </w:rPr>
        <w:t>,</w:t>
      </w:r>
      <w:r w:rsidR="00D43DDB" w:rsidRPr="00D43DDB">
        <w:rPr>
          <w:iCs/>
          <w:lang w:val="en-GB"/>
        </w:rPr>
        <w:t xml:space="preserve"> </w:t>
      </w:r>
      <w:r w:rsidR="00D43DDB" w:rsidRPr="00E728BA">
        <w:rPr>
          <w:iCs/>
          <w:lang w:val="en-GB"/>
        </w:rPr>
        <w:t xml:space="preserve">as expected, since it is an extremely endothermic and thermodynamically unfavourable reaction according to </w:t>
      </w:r>
      <w:proofErr w:type="spellStart"/>
      <w:r w:rsidR="00D43DDB" w:rsidRPr="00E728BA">
        <w:rPr>
          <w:iCs/>
          <w:lang w:val="en-GB"/>
        </w:rPr>
        <w:t>Eq</w:t>
      </w:r>
      <w:proofErr w:type="spellEnd"/>
      <w:r w:rsidR="00D43DDB" w:rsidRPr="00E728BA">
        <w:rPr>
          <w:iCs/>
          <w:lang w:val="en-GB"/>
        </w:rPr>
        <w:t>(</w:t>
      </w:r>
      <w:r w:rsidR="00D43DDB">
        <w:rPr>
          <w:iCs/>
          <w:lang w:val="en-GB"/>
        </w:rPr>
        <w:t>8</w:t>
      </w:r>
      <w:r w:rsidR="00D43DDB" w:rsidRPr="00E728BA">
        <w:rPr>
          <w:iCs/>
          <w:lang w:val="en-GB"/>
        </w:rPr>
        <w:t>)</w:t>
      </w:r>
      <w:r w:rsidR="002316E5" w:rsidRPr="002316E5">
        <w:rPr>
          <w:iCs/>
          <w:lang w:val="en-GB"/>
        </w:rPr>
        <w:t>.</w:t>
      </w:r>
      <w:r w:rsidR="002316E5">
        <w:rPr>
          <w:iCs/>
          <w:lang w:val="en-GB"/>
        </w:rPr>
        <w:t xml:space="preserve"> </w:t>
      </w:r>
      <w:r w:rsidR="002316E5" w:rsidRPr="002316E5">
        <w:rPr>
          <w:iCs/>
          <w:lang w:val="en-GB"/>
        </w:rPr>
        <w:t xml:space="preserve">Therefore, one advantage of the USR is its relatively low </w:t>
      </w:r>
      <w:r w:rsidR="002316E5">
        <w:rPr>
          <w:iCs/>
          <w:lang w:val="en-GB"/>
        </w:rPr>
        <w:t>GHG</w:t>
      </w:r>
      <w:r w:rsidR="002316E5" w:rsidRPr="002316E5">
        <w:rPr>
          <w:iCs/>
          <w:lang w:val="en-GB"/>
        </w:rPr>
        <w:t xml:space="preserve"> emissions. However, a comprehensive analysis of the entire process</w:t>
      </w:r>
      <w:r w:rsidR="00BC5E8D">
        <w:rPr>
          <w:iCs/>
          <w:lang w:val="en-GB"/>
        </w:rPr>
        <w:t xml:space="preserve"> life cycle </w:t>
      </w:r>
      <w:r w:rsidR="002316E5" w:rsidRPr="002316E5">
        <w:rPr>
          <w:iCs/>
          <w:lang w:val="en-GB"/>
        </w:rPr>
        <w:t>—such as a life cycle assessment (LCA), encompassing urea production, reforming reaction, and hydrogen application in fuel cells—</w:t>
      </w:r>
      <w:r w:rsidR="00A612CB">
        <w:rPr>
          <w:iCs/>
          <w:lang w:val="en-GB"/>
        </w:rPr>
        <w:t xml:space="preserve"> </w:t>
      </w:r>
      <w:r w:rsidR="002316E5" w:rsidRPr="002316E5">
        <w:rPr>
          <w:iCs/>
          <w:lang w:val="en-GB"/>
        </w:rPr>
        <w:t>is necessary to quantify the total GHG emissions.</w:t>
      </w:r>
    </w:p>
    <w:p w14:paraId="5890C48D" w14:textId="63C412B4" w:rsidR="00C70A4C" w:rsidRDefault="002E5C2B" w:rsidP="008C1B0D">
      <w:pPr>
        <w:pStyle w:val="CETBodytext"/>
        <w:rPr>
          <w:lang w:val="en-GB"/>
        </w:rPr>
      </w:pPr>
      <w:r w:rsidRPr="004C7665">
        <w:rPr>
          <w:lang w:val="en-GB"/>
        </w:rPr>
        <w:t>Based on the findings</w:t>
      </w:r>
      <w:r>
        <w:rPr>
          <w:lang w:val="en-GB"/>
        </w:rPr>
        <w:t xml:space="preserve"> presented above</w:t>
      </w:r>
      <w:r w:rsidRPr="004C7665">
        <w:rPr>
          <w:lang w:val="en-GB"/>
        </w:rPr>
        <w:t xml:space="preserve">, the selected operating conditions for the reformer </w:t>
      </w:r>
      <w:r>
        <w:rPr>
          <w:lang w:val="en-GB"/>
        </w:rPr>
        <w:t>were</w:t>
      </w:r>
      <w:r w:rsidRPr="004C7665">
        <w:rPr>
          <w:lang w:val="en-GB"/>
        </w:rPr>
        <w:t xml:space="preserve"> a S:C ratio of 5, a pressure of 0.5 bar, and a temperature of 600 ºC.</w:t>
      </w:r>
      <w:r>
        <w:rPr>
          <w:lang w:val="en-GB"/>
        </w:rPr>
        <w:t xml:space="preserve"> </w:t>
      </w:r>
      <w:r w:rsidR="005845D2">
        <w:rPr>
          <w:lang w:val="en-GB"/>
        </w:rPr>
        <w:t>T</w:t>
      </w:r>
      <w:r w:rsidR="005845D2" w:rsidRPr="005845D2">
        <w:rPr>
          <w:lang w:val="en-GB"/>
        </w:rPr>
        <w:t xml:space="preserve">he hydrogen purification step was subsequently simulated, assuming </w:t>
      </w:r>
      <w:r w:rsidR="00D43DDB">
        <w:rPr>
          <w:lang w:val="en-GB"/>
        </w:rPr>
        <w:t xml:space="preserve">that the </w:t>
      </w:r>
      <w:r w:rsidR="005845D2" w:rsidRPr="005845D2">
        <w:rPr>
          <w:lang w:val="en-GB"/>
        </w:rPr>
        <w:t>membrane separation process meets ISO standards, as outlined in Table 1. To achieve this, the membrane would need to exhibit high selectivity for hydrogen</w:t>
      </w:r>
      <w:r w:rsidR="005845D2">
        <w:rPr>
          <w:lang w:val="en-GB"/>
        </w:rPr>
        <w:t xml:space="preserve"> and block the c</w:t>
      </w:r>
      <w:r w:rsidR="005845D2" w:rsidRPr="005845D2">
        <w:rPr>
          <w:lang w:val="en-GB"/>
        </w:rPr>
        <w:t xml:space="preserve">ontaminants. Additionally, other critical </w:t>
      </w:r>
      <w:r w:rsidR="009918DB">
        <w:rPr>
          <w:lang w:val="en-GB"/>
        </w:rPr>
        <w:t xml:space="preserve">properties </w:t>
      </w:r>
      <w:r w:rsidR="00D43DDB">
        <w:rPr>
          <w:lang w:val="en-GB"/>
        </w:rPr>
        <w:t>of</w:t>
      </w:r>
      <w:r w:rsidR="009918DB">
        <w:rPr>
          <w:lang w:val="en-GB"/>
        </w:rPr>
        <w:t xml:space="preserve"> the </w:t>
      </w:r>
      <w:r w:rsidR="005845D2" w:rsidRPr="005845D2">
        <w:rPr>
          <w:lang w:val="en-GB"/>
        </w:rPr>
        <w:t xml:space="preserve">membrane, such as chemical, thermal, and mechanical stability, </w:t>
      </w:r>
      <w:r w:rsidR="005845D2">
        <w:rPr>
          <w:lang w:val="en-GB"/>
        </w:rPr>
        <w:t>should be</w:t>
      </w:r>
      <w:r w:rsidR="005845D2" w:rsidRPr="005845D2">
        <w:rPr>
          <w:lang w:val="en-GB"/>
        </w:rPr>
        <w:t xml:space="preserve"> considered for practical </w:t>
      </w:r>
      <w:r w:rsidR="00A72DB8">
        <w:rPr>
          <w:lang w:val="en-GB"/>
        </w:rPr>
        <w:t>us</w:t>
      </w:r>
      <w:r w:rsidR="00D43DDB">
        <w:rPr>
          <w:lang w:val="en-GB"/>
        </w:rPr>
        <w:t>age</w:t>
      </w:r>
      <w:r w:rsidR="00BB3346">
        <w:rPr>
          <w:lang w:val="en-GB"/>
        </w:rPr>
        <w:t xml:space="preserve"> (Du et al., 2021)</w:t>
      </w:r>
      <w:r w:rsidR="005845D2" w:rsidRPr="005845D2">
        <w:rPr>
          <w:lang w:val="en-GB"/>
        </w:rPr>
        <w:t xml:space="preserve">. Based on the selected operating conditions </w:t>
      </w:r>
      <w:r w:rsidR="00F9282C">
        <w:rPr>
          <w:lang w:val="en-GB"/>
        </w:rPr>
        <w:t>for</w:t>
      </w:r>
      <w:r w:rsidR="005845D2" w:rsidRPr="005845D2">
        <w:rPr>
          <w:lang w:val="en-GB"/>
        </w:rPr>
        <w:t xml:space="preserve"> the reformer, the separation fractions of the various components were calculated using Excel. The results, detailing the separation fractions of </w:t>
      </w:r>
      <w:r w:rsidR="00A72DB8">
        <w:rPr>
          <w:lang w:val="en-GB"/>
        </w:rPr>
        <w:t>compounds</w:t>
      </w:r>
      <w:r w:rsidR="005845D2" w:rsidRPr="005845D2">
        <w:rPr>
          <w:lang w:val="en-GB"/>
        </w:rPr>
        <w:t xml:space="preserve"> </w:t>
      </w:r>
      <w:r w:rsidR="005845D2">
        <w:rPr>
          <w:lang w:val="en-GB"/>
        </w:rPr>
        <w:t xml:space="preserve">that </w:t>
      </w:r>
      <w:r w:rsidR="00A72DB8">
        <w:rPr>
          <w:lang w:val="en-GB"/>
        </w:rPr>
        <w:t>permeate</w:t>
      </w:r>
      <w:r w:rsidR="005845D2" w:rsidRPr="005845D2">
        <w:rPr>
          <w:lang w:val="en-GB"/>
        </w:rPr>
        <w:t xml:space="preserve"> the membrane </w:t>
      </w:r>
      <w:r w:rsidR="00A72DB8">
        <w:rPr>
          <w:lang w:val="en-GB"/>
        </w:rPr>
        <w:t>towards</w:t>
      </w:r>
      <w:r w:rsidR="005845D2" w:rsidRPr="005845D2">
        <w:rPr>
          <w:lang w:val="en-GB"/>
        </w:rPr>
        <w:t xml:space="preserve"> the PEMFC, are summarized in Table 2.</w:t>
      </w:r>
      <w:r w:rsidR="00BB3346">
        <w:rPr>
          <w:lang w:val="en-GB"/>
        </w:rPr>
        <w:t xml:space="preserve"> </w:t>
      </w:r>
      <w:r w:rsidR="00263B1C" w:rsidRPr="00263B1C">
        <w:rPr>
          <w:lang w:val="en-GB"/>
        </w:rPr>
        <w:t xml:space="preserve">As can be seen, a negligible fraction of contaminants would be tolerated in the PEMFC, </w:t>
      </w:r>
      <w:r w:rsidR="004C04C3" w:rsidRPr="004C04C3">
        <w:rPr>
          <w:lang w:val="en-GB"/>
        </w:rPr>
        <w:t>therefore an advanced separation membrane would be required in a practical system to allow such a level of separation.</w:t>
      </w:r>
    </w:p>
    <w:p w14:paraId="1F3E3BDD" w14:textId="27273372" w:rsidR="00BB3346" w:rsidRPr="00B57B36" w:rsidRDefault="00BB3346" w:rsidP="00BB3346">
      <w:pPr>
        <w:pStyle w:val="CETTabletitle"/>
      </w:pPr>
      <w:r w:rsidRPr="00B57B36">
        <w:t xml:space="preserve">Table </w:t>
      </w:r>
      <w:r>
        <w:t>2</w:t>
      </w:r>
      <w:r w:rsidRPr="00B57B36">
        <w:t xml:space="preserve">: </w:t>
      </w:r>
      <w:r>
        <w:t xml:space="preserve">Split </w:t>
      </w:r>
      <w:r w:rsidRPr="00BB3346">
        <w:t>Fraction of components permeating the membrane for utilization in the PEMFC.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4"/>
        <w:gridCol w:w="1247"/>
        <w:gridCol w:w="1311"/>
        <w:gridCol w:w="1311"/>
        <w:gridCol w:w="1298"/>
        <w:gridCol w:w="1356"/>
        <w:gridCol w:w="1510"/>
      </w:tblGrid>
      <w:tr w:rsidR="004A01AE" w:rsidRPr="00B57B36" w14:paraId="6AC77B21" w14:textId="77777777" w:rsidTr="004A01AE">
        <w:trPr>
          <w:trHeight w:val="271"/>
        </w:trPr>
        <w:tc>
          <w:tcPr>
            <w:tcW w:w="75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18B59CA" w14:textId="31BAB5AD" w:rsidR="004A01AE" w:rsidRPr="00B57B36" w:rsidRDefault="004A01AE" w:rsidP="00403822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736C4C"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 xml:space="preserve"> </w:t>
            </w:r>
            <w:r w:rsidRPr="00B57B36">
              <w:rPr>
                <w:lang w:val="en-GB"/>
              </w:rPr>
              <w:t xml:space="preserve"> </w:t>
            </w:r>
          </w:p>
        </w:tc>
        <w:tc>
          <w:tcPr>
            <w:tcW w:w="124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4A9157B" w14:textId="00290585" w:rsidR="004A01AE" w:rsidRDefault="004A01AE" w:rsidP="00403822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4A01AE"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>O</w:t>
            </w:r>
          </w:p>
        </w:tc>
        <w:tc>
          <w:tcPr>
            <w:tcW w:w="131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338B35F" w14:textId="0F92BF96" w:rsidR="004A01AE" w:rsidRDefault="004A01AE" w:rsidP="00403822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CO</w:t>
            </w:r>
          </w:p>
        </w:tc>
        <w:tc>
          <w:tcPr>
            <w:tcW w:w="131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56BDE3D" w14:textId="46F7C872" w:rsidR="004A01AE" w:rsidRDefault="004A01AE" w:rsidP="00403822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CO</w:t>
            </w:r>
            <w:r w:rsidRPr="004A01AE">
              <w:rPr>
                <w:vertAlign w:val="subscript"/>
                <w:lang w:val="en-GB"/>
              </w:rPr>
              <w:t>2</w:t>
            </w:r>
          </w:p>
        </w:tc>
        <w:tc>
          <w:tcPr>
            <w:tcW w:w="129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3AA3E2A" w14:textId="0362FF6B" w:rsidR="004A01AE" w:rsidRDefault="004A01AE" w:rsidP="00403822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CH</w:t>
            </w:r>
            <w:r w:rsidRPr="004A01AE">
              <w:rPr>
                <w:vertAlign w:val="subscript"/>
                <w:lang w:val="en-GB"/>
              </w:rPr>
              <w:t>4</w:t>
            </w:r>
          </w:p>
        </w:tc>
        <w:tc>
          <w:tcPr>
            <w:tcW w:w="1356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5A44AF0" w14:textId="71380011" w:rsidR="004A01AE" w:rsidRDefault="004A01AE" w:rsidP="00403822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NH</w:t>
            </w:r>
            <w:r w:rsidRPr="004A01AE">
              <w:rPr>
                <w:vertAlign w:val="subscript"/>
                <w:lang w:val="en-GB"/>
              </w:rPr>
              <w:t>3</w:t>
            </w:r>
          </w:p>
        </w:tc>
        <w:tc>
          <w:tcPr>
            <w:tcW w:w="151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A005F51" w14:textId="648BBAEB" w:rsidR="004A01AE" w:rsidRPr="00B57B36" w:rsidRDefault="004A01AE" w:rsidP="00403822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Pr="004A01AE">
              <w:rPr>
                <w:vertAlign w:val="subscript"/>
                <w:lang w:val="en-GB"/>
              </w:rPr>
              <w:t>2</w:t>
            </w:r>
          </w:p>
        </w:tc>
      </w:tr>
      <w:tr w:rsidR="004A01AE" w:rsidRPr="00B57B36" w14:paraId="06037FE9" w14:textId="77777777" w:rsidTr="004A01AE">
        <w:trPr>
          <w:trHeight w:val="271"/>
        </w:trPr>
        <w:tc>
          <w:tcPr>
            <w:tcW w:w="75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1CBA025" w14:textId="28C5F202" w:rsidR="004A01AE" w:rsidRDefault="004A01AE" w:rsidP="00403822">
            <w:pPr>
              <w:pStyle w:val="CETBodytext"/>
              <w:ind w:right="-1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47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0C43E9F" w14:textId="0FDF8D26" w:rsidR="004A01AE" w:rsidRDefault="00AF45ED" w:rsidP="00403822">
            <w:pPr>
              <w:pStyle w:val="CETBodytext"/>
              <w:ind w:right="-1"/>
              <w:rPr>
                <w:lang w:val="en-GB"/>
              </w:rPr>
            </w:pPr>
            <w:r>
              <w:rPr>
                <w:lang w:val="en-GB"/>
              </w:rPr>
              <w:t>3.30</w:t>
            </w:r>
            <w:r w:rsidR="004A01AE">
              <w:rPr>
                <w:lang w:val="en-GB"/>
              </w:rPr>
              <w:t xml:space="preserve"> x 10</w:t>
            </w:r>
            <w:r w:rsidR="004A01AE" w:rsidRPr="004A01AE">
              <w:rPr>
                <w:vertAlign w:val="superscript"/>
                <w:lang w:val="en-GB"/>
              </w:rPr>
              <w:t>–</w:t>
            </w:r>
            <w:r>
              <w:rPr>
                <w:vertAlign w:val="superscript"/>
                <w:lang w:val="en-GB"/>
              </w:rPr>
              <w:t>6</w:t>
            </w:r>
            <w:r w:rsidR="004A01AE">
              <w:rPr>
                <w:lang w:val="en-GB"/>
              </w:rPr>
              <w:t xml:space="preserve"> </w:t>
            </w:r>
          </w:p>
        </w:tc>
        <w:tc>
          <w:tcPr>
            <w:tcW w:w="131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A67F14B" w14:textId="62B8F511" w:rsidR="004A01AE" w:rsidRDefault="00AF45ED" w:rsidP="00403822">
            <w:pPr>
              <w:pStyle w:val="CETBodytext"/>
              <w:ind w:right="-1"/>
              <w:rPr>
                <w:lang w:val="en-GB"/>
              </w:rPr>
            </w:pPr>
            <w:r>
              <w:rPr>
                <w:lang w:val="en-GB"/>
              </w:rPr>
              <w:t>2.85</w:t>
            </w:r>
            <w:r w:rsidR="004A01AE">
              <w:rPr>
                <w:lang w:val="en-GB"/>
              </w:rPr>
              <w:t xml:space="preserve"> x 10</w:t>
            </w:r>
            <w:r w:rsidR="004A01AE" w:rsidRPr="004A01AE">
              <w:rPr>
                <w:vertAlign w:val="superscript"/>
                <w:lang w:val="en-GB"/>
              </w:rPr>
              <w:t>–</w:t>
            </w:r>
            <w:r>
              <w:rPr>
                <w:vertAlign w:val="superscript"/>
                <w:lang w:val="en-GB"/>
              </w:rPr>
              <w:t>6</w:t>
            </w:r>
          </w:p>
        </w:tc>
        <w:tc>
          <w:tcPr>
            <w:tcW w:w="131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9810643" w14:textId="19747FC8" w:rsidR="004A01AE" w:rsidRDefault="00AF45ED" w:rsidP="00403822">
            <w:pPr>
              <w:pStyle w:val="CETBodytext"/>
              <w:ind w:right="-1"/>
              <w:rPr>
                <w:lang w:val="en-GB"/>
              </w:rPr>
            </w:pPr>
            <w:r>
              <w:rPr>
                <w:lang w:val="en-GB"/>
              </w:rPr>
              <w:t>6.96</w:t>
            </w:r>
            <w:r w:rsidR="004A01AE">
              <w:rPr>
                <w:lang w:val="en-GB"/>
              </w:rPr>
              <w:t xml:space="preserve"> x 10</w:t>
            </w:r>
            <w:r w:rsidR="004A01AE" w:rsidRPr="004A01AE">
              <w:rPr>
                <w:vertAlign w:val="superscript"/>
                <w:lang w:val="en-GB"/>
              </w:rPr>
              <w:t>–</w:t>
            </w:r>
            <w:r w:rsidR="004A01AE">
              <w:rPr>
                <w:vertAlign w:val="superscript"/>
                <w:lang w:val="en-GB"/>
              </w:rPr>
              <w:t>6</w:t>
            </w:r>
          </w:p>
        </w:tc>
        <w:tc>
          <w:tcPr>
            <w:tcW w:w="129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6A3E16A" w14:textId="04F5FE69" w:rsidR="004A01AE" w:rsidRDefault="00AF45ED" w:rsidP="00403822">
            <w:pPr>
              <w:pStyle w:val="CETBodytext"/>
              <w:ind w:right="-1"/>
              <w:rPr>
                <w:lang w:val="en-GB"/>
              </w:rPr>
            </w:pPr>
            <w:r>
              <w:rPr>
                <w:lang w:val="en-GB"/>
              </w:rPr>
              <w:t>4.79</w:t>
            </w:r>
            <w:r w:rsidR="009918DB">
              <w:rPr>
                <w:lang w:val="en-GB"/>
              </w:rPr>
              <w:t xml:space="preserve"> </w:t>
            </w:r>
            <w:r w:rsidR="004A01AE">
              <w:rPr>
                <w:lang w:val="en-GB"/>
              </w:rPr>
              <w:t>x 10</w:t>
            </w:r>
            <w:r w:rsidR="004A01AE" w:rsidRPr="004A01AE">
              <w:rPr>
                <w:vertAlign w:val="superscript"/>
                <w:lang w:val="en-GB"/>
              </w:rPr>
              <w:t>–</w:t>
            </w:r>
            <w:r>
              <w:rPr>
                <w:vertAlign w:val="superscript"/>
                <w:lang w:val="en-GB"/>
              </w:rPr>
              <w:t>2</w:t>
            </w:r>
          </w:p>
        </w:tc>
        <w:tc>
          <w:tcPr>
            <w:tcW w:w="1356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B0AF2BA" w14:textId="66F20B80" w:rsidR="004A01AE" w:rsidRDefault="00AF45ED" w:rsidP="00403822">
            <w:pPr>
              <w:pStyle w:val="CETBodytext"/>
              <w:ind w:right="-1"/>
              <w:rPr>
                <w:lang w:val="en-GB"/>
              </w:rPr>
            </w:pPr>
            <w:r>
              <w:rPr>
                <w:lang w:val="en-GB"/>
              </w:rPr>
              <w:t>7.09</w:t>
            </w:r>
            <w:r w:rsidR="009918DB">
              <w:rPr>
                <w:lang w:val="en-GB"/>
              </w:rPr>
              <w:t xml:space="preserve"> x 10</w:t>
            </w:r>
            <w:r w:rsidR="009918DB" w:rsidRPr="009918DB">
              <w:rPr>
                <w:vertAlign w:val="superscript"/>
                <w:lang w:val="en-GB"/>
              </w:rPr>
              <w:t>–</w:t>
            </w:r>
            <w:r>
              <w:rPr>
                <w:vertAlign w:val="superscript"/>
                <w:lang w:val="en-GB"/>
              </w:rPr>
              <w:t>4</w:t>
            </w:r>
          </w:p>
        </w:tc>
        <w:tc>
          <w:tcPr>
            <w:tcW w:w="151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BCB685B" w14:textId="3490B271" w:rsidR="004A01AE" w:rsidRDefault="004A01AE" w:rsidP="00403822">
            <w:pPr>
              <w:pStyle w:val="CETBodytext"/>
              <w:ind w:right="-1"/>
              <w:rPr>
                <w:lang w:val="en-GB"/>
              </w:rPr>
            </w:pPr>
            <w:r>
              <w:rPr>
                <w:lang w:val="en-GB"/>
              </w:rPr>
              <w:t>5.36 x 10</w:t>
            </w:r>
            <w:r w:rsidRPr="004A01AE">
              <w:rPr>
                <w:vertAlign w:val="superscript"/>
                <w:lang w:val="en-GB"/>
              </w:rPr>
              <w:t>–4</w:t>
            </w:r>
          </w:p>
        </w:tc>
      </w:tr>
    </w:tbl>
    <w:p w14:paraId="05EEECC7" w14:textId="77777777" w:rsidR="005845D2" w:rsidRDefault="005845D2" w:rsidP="008C1B0D">
      <w:pPr>
        <w:pStyle w:val="CETBodytext"/>
        <w:rPr>
          <w:rStyle w:val="CETCaptionCarattere"/>
          <w:i w:val="0"/>
          <w:iCs/>
        </w:rPr>
      </w:pPr>
    </w:p>
    <w:p w14:paraId="4A305461" w14:textId="76D090FD" w:rsidR="009918DB" w:rsidRPr="00C70A4C" w:rsidRDefault="00852B61" w:rsidP="008C1B0D">
      <w:pPr>
        <w:pStyle w:val="CETBodytext"/>
        <w:rPr>
          <w:rStyle w:val="CETCaptionCarattere"/>
          <w:i w:val="0"/>
          <w:iCs/>
        </w:rPr>
      </w:pPr>
      <w:r>
        <w:rPr>
          <w:rStyle w:val="CETCaptionCarattere"/>
          <w:i w:val="0"/>
          <w:iCs/>
        </w:rPr>
        <w:t>Once</w:t>
      </w:r>
      <w:r w:rsidR="001C59FF">
        <w:rPr>
          <w:rStyle w:val="CETCaptionCarattere"/>
          <w:i w:val="0"/>
          <w:iCs/>
        </w:rPr>
        <w:t xml:space="preserve"> </w:t>
      </w:r>
      <w:r>
        <w:rPr>
          <w:rStyle w:val="CETCaptionCarattere"/>
          <w:i w:val="0"/>
          <w:iCs/>
        </w:rPr>
        <w:t xml:space="preserve">properly purified, </w:t>
      </w:r>
      <w:r w:rsidR="001C59FF">
        <w:rPr>
          <w:rStyle w:val="CETCaptionCarattere"/>
          <w:i w:val="0"/>
          <w:iCs/>
        </w:rPr>
        <w:t>the produced hydrogen</w:t>
      </w:r>
      <w:r>
        <w:rPr>
          <w:rStyle w:val="CETCaptionCarattere"/>
          <w:i w:val="0"/>
          <w:iCs/>
        </w:rPr>
        <w:t xml:space="preserve"> could be applied </w:t>
      </w:r>
      <w:r w:rsidR="001C59FF">
        <w:rPr>
          <w:rStyle w:val="CETCaptionCarattere"/>
          <w:i w:val="0"/>
          <w:iCs/>
        </w:rPr>
        <w:t>to</w:t>
      </w:r>
      <w:r>
        <w:rPr>
          <w:rStyle w:val="CETCaptionCarattere"/>
          <w:i w:val="0"/>
          <w:iCs/>
        </w:rPr>
        <w:t xml:space="preserve"> PEM fuel cells for power generation. </w:t>
      </w:r>
      <w:r w:rsidR="0083290E">
        <w:rPr>
          <w:rStyle w:val="CETCaptionCarattere"/>
          <w:i w:val="0"/>
          <w:iCs/>
        </w:rPr>
        <w:t>T</w:t>
      </w:r>
      <w:r>
        <w:rPr>
          <w:rStyle w:val="CETCaptionCarattere"/>
          <w:i w:val="0"/>
          <w:iCs/>
        </w:rPr>
        <w:t>he total H</w:t>
      </w:r>
      <w:r w:rsidRPr="0083290E">
        <w:rPr>
          <w:rStyle w:val="CETCaptionCarattere"/>
          <w:i w:val="0"/>
          <w:iCs/>
          <w:vertAlign w:val="subscript"/>
        </w:rPr>
        <w:t>2</w:t>
      </w:r>
      <w:r>
        <w:rPr>
          <w:rStyle w:val="CETCaptionCarattere"/>
          <w:i w:val="0"/>
          <w:iCs/>
        </w:rPr>
        <w:t xml:space="preserve"> </w:t>
      </w:r>
      <w:r w:rsidR="00BD1083">
        <w:rPr>
          <w:rStyle w:val="CETCaptionCarattere"/>
          <w:i w:val="0"/>
          <w:iCs/>
        </w:rPr>
        <w:t>produc</w:t>
      </w:r>
      <w:r>
        <w:rPr>
          <w:rStyle w:val="CETCaptionCarattere"/>
          <w:i w:val="0"/>
          <w:iCs/>
        </w:rPr>
        <w:t>ed for the</w:t>
      </w:r>
      <w:r w:rsidR="001C59FF">
        <w:rPr>
          <w:rStyle w:val="CETCaptionCarattere"/>
          <w:i w:val="0"/>
          <w:iCs/>
        </w:rPr>
        <w:t xml:space="preserve"> </w:t>
      </w:r>
      <w:r w:rsidR="0083290E">
        <w:rPr>
          <w:rStyle w:val="CETCaptionCarattere"/>
          <w:i w:val="0"/>
          <w:iCs/>
        </w:rPr>
        <w:t xml:space="preserve">reformer operating conditions (S:C ratio of 5, 600 ºC and 0.5 bar) was 2.78 </w:t>
      </w:r>
      <w:r w:rsidR="005653DB">
        <w:rPr>
          <w:rStyle w:val="CETCaptionCarattere"/>
          <w:i w:val="0"/>
          <w:iCs/>
        </w:rPr>
        <w:t>kmol</w:t>
      </w:r>
      <w:r w:rsidR="0083290E" w:rsidRPr="0083290E">
        <w:rPr>
          <w:rStyle w:val="CETCaptionCarattere"/>
          <w:i w:val="0"/>
          <w:iCs/>
          <w:vertAlign w:val="subscript"/>
        </w:rPr>
        <w:t>H</w:t>
      </w:r>
      <w:r w:rsidR="0083290E" w:rsidRPr="0083290E">
        <w:rPr>
          <w:rStyle w:val="CETCaptionCarattere"/>
          <w:i w:val="0"/>
          <w:iCs/>
          <w:sz w:val="14"/>
          <w:szCs w:val="16"/>
          <w:vertAlign w:val="subscript"/>
        </w:rPr>
        <w:t>2</w:t>
      </w:r>
      <w:r w:rsidR="0083290E">
        <w:rPr>
          <w:rStyle w:val="CETCaptionCarattere"/>
          <w:i w:val="0"/>
          <w:iCs/>
        </w:rPr>
        <w:t>/h, which corresponds to a mass production rate of ~1.56 x 10</w:t>
      </w:r>
      <w:r w:rsidR="0083290E" w:rsidRPr="0083290E">
        <w:rPr>
          <w:rStyle w:val="CETCaptionCarattere"/>
          <w:i w:val="0"/>
          <w:iCs/>
          <w:vertAlign w:val="superscript"/>
        </w:rPr>
        <w:t>–3</w:t>
      </w:r>
      <w:r w:rsidR="0083290E">
        <w:rPr>
          <w:rStyle w:val="CETCaptionCarattere"/>
          <w:i w:val="0"/>
          <w:iCs/>
        </w:rPr>
        <w:t xml:space="preserve"> </w:t>
      </w:r>
      <w:r w:rsidR="00754CF2">
        <w:rPr>
          <w:rStyle w:val="CETCaptionCarattere"/>
          <w:i w:val="0"/>
          <w:iCs/>
        </w:rPr>
        <w:t>k</w:t>
      </w:r>
      <w:r w:rsidR="00D674E9">
        <w:rPr>
          <w:rStyle w:val="CETCaptionCarattere"/>
          <w:i w:val="0"/>
          <w:iCs/>
        </w:rPr>
        <w:t>g</w:t>
      </w:r>
      <w:r w:rsidR="0083290E">
        <w:rPr>
          <w:rStyle w:val="CETCaptionCarattere"/>
          <w:i w:val="0"/>
          <w:iCs/>
        </w:rPr>
        <w:t>/s</w:t>
      </w:r>
      <w:r w:rsidR="00CF7E9A">
        <w:rPr>
          <w:rStyle w:val="CETCaptionCarattere"/>
          <w:i w:val="0"/>
          <w:iCs/>
        </w:rPr>
        <w:t xml:space="preserve"> (5.60 </w:t>
      </w:r>
      <w:r w:rsidR="00754CF2">
        <w:rPr>
          <w:rStyle w:val="CETCaptionCarattere"/>
          <w:i w:val="0"/>
          <w:iCs/>
        </w:rPr>
        <w:t>k</w:t>
      </w:r>
      <w:r w:rsidR="00D674E9">
        <w:rPr>
          <w:rStyle w:val="CETCaptionCarattere"/>
          <w:i w:val="0"/>
          <w:iCs/>
        </w:rPr>
        <w:t>g</w:t>
      </w:r>
      <w:r w:rsidR="00CF7E9A">
        <w:rPr>
          <w:rStyle w:val="CETCaptionCarattere"/>
          <w:i w:val="0"/>
          <w:iCs/>
        </w:rPr>
        <w:t>/h)</w:t>
      </w:r>
      <w:r w:rsidR="0083290E">
        <w:rPr>
          <w:rStyle w:val="CETCaptionCarattere"/>
          <w:i w:val="0"/>
          <w:iCs/>
        </w:rPr>
        <w:t xml:space="preserve">. Therefore, </w:t>
      </w:r>
      <w:r w:rsidR="00BD1083">
        <w:rPr>
          <w:rStyle w:val="CETCaptionCarattere"/>
          <w:i w:val="0"/>
          <w:iCs/>
        </w:rPr>
        <w:t xml:space="preserve">by using </w:t>
      </w:r>
      <w:proofErr w:type="spellStart"/>
      <w:r w:rsidR="00BD1083">
        <w:rPr>
          <w:rStyle w:val="CETCaptionCarattere"/>
          <w:i w:val="0"/>
          <w:iCs/>
        </w:rPr>
        <w:t>Eq</w:t>
      </w:r>
      <w:proofErr w:type="spellEnd"/>
      <w:r w:rsidR="00BD1083">
        <w:rPr>
          <w:rStyle w:val="CETCaptionCarattere"/>
          <w:i w:val="0"/>
          <w:iCs/>
        </w:rPr>
        <w:t>(</w:t>
      </w:r>
      <w:r w:rsidR="00E133A4">
        <w:rPr>
          <w:rStyle w:val="CETCaptionCarattere"/>
          <w:i w:val="0"/>
          <w:iCs/>
        </w:rPr>
        <w:t>10</w:t>
      </w:r>
      <w:r w:rsidR="00BD1083">
        <w:rPr>
          <w:rStyle w:val="CETCaptionCarattere"/>
          <w:i w:val="0"/>
          <w:iCs/>
        </w:rPr>
        <w:t xml:space="preserve">) to calculate </w:t>
      </w:r>
      <w:proofErr w:type="spellStart"/>
      <w:r w:rsidR="00BD1083">
        <w:rPr>
          <w:rStyle w:val="CETCaptionCarattere"/>
          <w:i w:val="0"/>
          <w:iCs/>
        </w:rPr>
        <w:t>P</w:t>
      </w:r>
      <w:r w:rsidR="00BD1083" w:rsidRPr="00BD1083">
        <w:rPr>
          <w:rStyle w:val="CETCaptionCarattere"/>
          <w:i w:val="0"/>
          <w:iCs/>
          <w:vertAlign w:val="subscript"/>
        </w:rPr>
        <w:t>eq</w:t>
      </w:r>
      <w:proofErr w:type="spellEnd"/>
      <w:r w:rsidR="001D3DEF">
        <w:rPr>
          <w:rStyle w:val="CETCaptionCarattere"/>
          <w:i w:val="0"/>
          <w:iCs/>
        </w:rPr>
        <w:t>,</w:t>
      </w:r>
      <w:r w:rsidR="00BD1083">
        <w:rPr>
          <w:rStyle w:val="CETCaptionCarattere"/>
          <w:i w:val="0"/>
          <w:iCs/>
        </w:rPr>
        <w:t xml:space="preserve"> the power output for the proposed system corresponds to 89.67 </w:t>
      </w:r>
      <w:r w:rsidR="00CF7E9A">
        <w:rPr>
          <w:rStyle w:val="CETCaptionCarattere"/>
          <w:i w:val="0"/>
          <w:iCs/>
        </w:rPr>
        <w:t>k</w:t>
      </w:r>
      <w:r w:rsidR="00BD1083">
        <w:rPr>
          <w:rStyle w:val="CETCaptionCarattere"/>
          <w:i w:val="0"/>
          <w:iCs/>
        </w:rPr>
        <w:t xml:space="preserve">W. </w:t>
      </w:r>
      <w:r w:rsidR="001C59FF">
        <w:rPr>
          <w:rStyle w:val="CETCaptionCarattere"/>
          <w:i w:val="0"/>
          <w:iCs/>
        </w:rPr>
        <w:t>Comparing the proposed USR system with the</w:t>
      </w:r>
      <w:r w:rsidR="00637E76">
        <w:rPr>
          <w:rStyle w:val="CETCaptionCarattere"/>
          <w:i w:val="0"/>
          <w:iCs/>
        </w:rPr>
        <w:t xml:space="preserve"> </w:t>
      </w:r>
      <w:r w:rsidR="00CF7E9A" w:rsidRPr="00CF7E9A">
        <w:rPr>
          <w:rStyle w:val="CETCaptionCarattere"/>
          <w:i w:val="0"/>
          <w:iCs/>
        </w:rPr>
        <w:t>Toyota Mirai</w:t>
      </w:r>
      <w:r w:rsidR="00637E76">
        <w:rPr>
          <w:rStyle w:val="CETCaptionCarattere"/>
          <w:i w:val="0"/>
          <w:iCs/>
        </w:rPr>
        <w:t xml:space="preserve"> commercial</w:t>
      </w:r>
      <w:r w:rsidR="00CF7E9A" w:rsidRPr="00CF7E9A">
        <w:rPr>
          <w:rStyle w:val="CETCaptionCarattere"/>
          <w:i w:val="0"/>
          <w:iCs/>
        </w:rPr>
        <w:t xml:space="preserve"> </w:t>
      </w:r>
      <w:r w:rsidR="00DE478A">
        <w:rPr>
          <w:rStyle w:val="CETCaptionCarattere"/>
          <w:i w:val="0"/>
          <w:iCs/>
        </w:rPr>
        <w:t>car</w:t>
      </w:r>
      <w:r w:rsidR="00CF7E9A" w:rsidRPr="00CF7E9A">
        <w:rPr>
          <w:rStyle w:val="CETCaptionCarattere"/>
          <w:i w:val="0"/>
          <w:iCs/>
        </w:rPr>
        <w:t xml:space="preserve">, which is powered by hydrogen </w:t>
      </w:r>
      <w:r w:rsidR="00637E76">
        <w:rPr>
          <w:rStyle w:val="CETCaptionCarattere"/>
          <w:i w:val="0"/>
          <w:iCs/>
        </w:rPr>
        <w:t>for</w:t>
      </w:r>
      <w:r w:rsidR="00CF7E9A" w:rsidRPr="00CF7E9A">
        <w:rPr>
          <w:rStyle w:val="CETCaptionCarattere"/>
          <w:i w:val="0"/>
          <w:iCs/>
        </w:rPr>
        <w:t xml:space="preserve"> </w:t>
      </w:r>
      <w:r w:rsidR="00DE478A">
        <w:rPr>
          <w:rStyle w:val="CETCaptionCarattere"/>
          <w:i w:val="0"/>
          <w:iCs/>
        </w:rPr>
        <w:t>PEMFC</w:t>
      </w:r>
      <w:r w:rsidR="00CF7E9A" w:rsidRPr="00CF7E9A">
        <w:rPr>
          <w:rStyle w:val="CETCaptionCarattere"/>
          <w:i w:val="0"/>
          <w:iCs/>
        </w:rPr>
        <w:t>s</w:t>
      </w:r>
      <w:r w:rsidR="00DE478A">
        <w:rPr>
          <w:rStyle w:val="CETCaptionCarattere"/>
          <w:i w:val="0"/>
          <w:iCs/>
        </w:rPr>
        <w:t xml:space="preserve"> and </w:t>
      </w:r>
      <w:r w:rsidR="00637E76">
        <w:rPr>
          <w:rStyle w:val="CETCaptionCarattere"/>
          <w:i w:val="0"/>
          <w:iCs/>
        </w:rPr>
        <w:t>operate</w:t>
      </w:r>
      <w:r w:rsidR="00CF7E9A" w:rsidRPr="00CF7E9A">
        <w:rPr>
          <w:rStyle w:val="CETCaptionCarattere"/>
          <w:i w:val="0"/>
          <w:iCs/>
        </w:rPr>
        <w:t xml:space="preserve">s </w:t>
      </w:r>
      <w:r w:rsidR="00637E76">
        <w:rPr>
          <w:rStyle w:val="CETCaptionCarattere"/>
          <w:i w:val="0"/>
          <w:iCs/>
        </w:rPr>
        <w:t>at</w:t>
      </w:r>
      <w:r w:rsidR="00CF7E9A" w:rsidRPr="00CF7E9A">
        <w:rPr>
          <w:rStyle w:val="CETCaptionCarattere"/>
          <w:i w:val="0"/>
          <w:iCs/>
        </w:rPr>
        <w:t xml:space="preserve"> </w:t>
      </w:r>
      <w:r w:rsidR="00CF7E9A" w:rsidRPr="00CF7E9A">
        <w:rPr>
          <w:rStyle w:val="CETCaptionCarattere"/>
          <w:i w:val="0"/>
          <w:iCs/>
        </w:rPr>
        <w:lastRenderedPageBreak/>
        <w:t xml:space="preserve">a maximum power of 128 kW, </w:t>
      </w:r>
      <w:r w:rsidR="00DE478A">
        <w:rPr>
          <w:rStyle w:val="CETCaptionCarattere"/>
          <w:i w:val="0"/>
          <w:iCs/>
        </w:rPr>
        <w:t xml:space="preserve">it would be necessary to increase the reactants feed </w:t>
      </w:r>
      <w:r w:rsidR="00637E76">
        <w:rPr>
          <w:rStyle w:val="CETCaptionCarattere"/>
          <w:i w:val="0"/>
          <w:iCs/>
        </w:rPr>
        <w:t xml:space="preserve">of the USR system </w:t>
      </w:r>
      <w:r w:rsidR="00DE478A">
        <w:rPr>
          <w:rStyle w:val="CETCaptionCarattere"/>
          <w:i w:val="0"/>
          <w:iCs/>
        </w:rPr>
        <w:t xml:space="preserve">to reach a </w:t>
      </w:r>
      <w:r w:rsidR="00CF7E9A" w:rsidRPr="00CF7E9A">
        <w:rPr>
          <w:rStyle w:val="CETCaptionCarattere"/>
          <w:i w:val="0"/>
          <w:iCs/>
        </w:rPr>
        <w:t>42% higher</w:t>
      </w:r>
      <w:r w:rsidR="00637E76">
        <w:rPr>
          <w:rStyle w:val="CETCaptionCarattere"/>
          <w:i w:val="0"/>
          <w:iCs/>
        </w:rPr>
        <w:t xml:space="preserve"> power output</w:t>
      </w:r>
      <w:r w:rsidR="00CF7E9A" w:rsidRPr="00CF7E9A">
        <w:rPr>
          <w:rStyle w:val="CETCaptionCarattere"/>
          <w:i w:val="0"/>
          <w:iCs/>
        </w:rPr>
        <w:t>.</w:t>
      </w:r>
      <w:r w:rsidR="00CF7E9A">
        <w:rPr>
          <w:rStyle w:val="CETCaptionCarattere"/>
          <w:i w:val="0"/>
          <w:iCs/>
        </w:rPr>
        <w:t xml:space="preserve"> </w:t>
      </w:r>
      <w:r w:rsidR="00213828">
        <w:rPr>
          <w:rStyle w:val="CETCaptionCarattere"/>
          <w:i w:val="0"/>
          <w:iCs/>
        </w:rPr>
        <w:t xml:space="preserve">Therefore, further improvements would be </w:t>
      </w:r>
      <w:r w:rsidR="00637E76">
        <w:rPr>
          <w:rStyle w:val="CETCaptionCarattere"/>
          <w:i w:val="0"/>
          <w:iCs/>
        </w:rPr>
        <w:t>required for</w:t>
      </w:r>
      <w:r w:rsidR="00213828">
        <w:rPr>
          <w:rStyle w:val="CETCaptionCarattere"/>
          <w:i w:val="0"/>
          <w:iCs/>
        </w:rPr>
        <w:t xml:space="preserve"> onboard and non-centralised </w:t>
      </w:r>
      <w:r w:rsidR="00637E76">
        <w:rPr>
          <w:rStyle w:val="CETCaptionCarattere"/>
          <w:i w:val="0"/>
          <w:iCs/>
        </w:rPr>
        <w:t>hydrogen</w:t>
      </w:r>
      <w:r w:rsidR="00213828">
        <w:rPr>
          <w:rStyle w:val="CETCaptionCarattere"/>
          <w:i w:val="0"/>
          <w:iCs/>
        </w:rPr>
        <w:t xml:space="preserve"> production from urea.</w:t>
      </w:r>
    </w:p>
    <w:p w14:paraId="68D26B83" w14:textId="77777777" w:rsidR="00600535" w:rsidRPr="00B57B36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Conclusions</w:t>
      </w:r>
    </w:p>
    <w:p w14:paraId="1D30C387" w14:textId="380E1A78" w:rsidR="003E1964" w:rsidRDefault="003E1964" w:rsidP="003E1964">
      <w:pPr>
        <w:pStyle w:val="CETHeadingxx"/>
        <w:jc w:val="both"/>
        <w:rPr>
          <w:b w:val="0"/>
          <w:lang w:val="en-GB"/>
        </w:rPr>
      </w:pPr>
      <w:r w:rsidRPr="003E1964">
        <w:rPr>
          <w:b w:val="0"/>
          <w:lang w:val="en-GB"/>
        </w:rPr>
        <w:t>This study proposed a decentralized approach to hydrogen production via urea steam reforming. The</w:t>
      </w:r>
      <w:r>
        <w:rPr>
          <w:b w:val="0"/>
          <w:lang w:val="en-GB"/>
        </w:rPr>
        <w:t xml:space="preserve"> t</w:t>
      </w:r>
      <w:r w:rsidRPr="003E1964">
        <w:rPr>
          <w:b w:val="0"/>
          <w:lang w:val="en-GB"/>
        </w:rPr>
        <w:t xml:space="preserve">hermodynamic evaluation of the process was conducted using Aspen Plus, with sensitivity analyses performed to optimize </w:t>
      </w:r>
      <w:r w:rsidR="001744C0">
        <w:rPr>
          <w:b w:val="0"/>
          <w:lang w:val="en-GB"/>
        </w:rPr>
        <w:t>the</w:t>
      </w:r>
      <w:r w:rsidRPr="003E1964">
        <w:rPr>
          <w:b w:val="0"/>
          <w:lang w:val="en-GB"/>
        </w:rPr>
        <w:t xml:space="preserve"> reformer operating parameters, including the S:C ratio, pressure, and temperature. Based on these analyses, the optimal conditions were identified as a S:C ratio of 5, a temperature of 600 °C, and a pressure of 0.5 bar. Subsequently, calculations for hydrogen purification were performed to comply with ISO 14687:2019 standards, and a corresponding power output of 89.67 kW was estimated.</w:t>
      </w:r>
      <w:r>
        <w:rPr>
          <w:b w:val="0"/>
          <w:lang w:val="en-GB"/>
        </w:rPr>
        <w:t xml:space="preserve"> </w:t>
      </w:r>
      <w:r w:rsidRPr="003E1964">
        <w:rPr>
          <w:b w:val="0"/>
          <w:lang w:val="en-GB"/>
        </w:rPr>
        <w:t xml:space="preserve">Despite the significant power output, the feed flow </w:t>
      </w:r>
      <w:r w:rsidR="001744C0">
        <w:rPr>
          <w:b w:val="0"/>
          <w:lang w:val="en-GB"/>
        </w:rPr>
        <w:t xml:space="preserve">rate of this system </w:t>
      </w:r>
      <w:r w:rsidRPr="003E1964">
        <w:rPr>
          <w:b w:val="0"/>
          <w:lang w:val="en-GB"/>
        </w:rPr>
        <w:t>would need to be increased</w:t>
      </w:r>
      <w:r w:rsidR="00A02371">
        <w:rPr>
          <w:b w:val="0"/>
          <w:lang w:val="en-GB"/>
        </w:rPr>
        <w:t>, for instance,</w:t>
      </w:r>
      <w:r w:rsidRPr="003E1964">
        <w:rPr>
          <w:b w:val="0"/>
          <w:lang w:val="en-GB"/>
        </w:rPr>
        <w:t xml:space="preserve"> to approach the performance of the Toyota Mirai commercial vehicle, which produces a maximum power of 128 kW. Furthermore, improvements in the process are essential, as the </w:t>
      </w:r>
      <w:r w:rsidR="001744C0">
        <w:rPr>
          <w:b w:val="0"/>
          <w:lang w:val="en-GB"/>
        </w:rPr>
        <w:t>proposed</w:t>
      </w:r>
      <w:r w:rsidRPr="003E1964">
        <w:rPr>
          <w:b w:val="0"/>
          <w:lang w:val="en-GB"/>
        </w:rPr>
        <w:t xml:space="preserve"> system would require substantial amounts of urea and water to produce the necessary </w:t>
      </w:r>
      <w:r w:rsidR="001744C0">
        <w:rPr>
          <w:b w:val="0"/>
          <w:lang w:val="en-GB"/>
        </w:rPr>
        <w:t>H</w:t>
      </w:r>
      <w:r w:rsidR="001744C0" w:rsidRPr="001744C0">
        <w:rPr>
          <w:b w:val="0"/>
          <w:vertAlign w:val="subscript"/>
          <w:lang w:val="en-GB"/>
        </w:rPr>
        <w:t>2</w:t>
      </w:r>
      <w:r w:rsidRPr="003E1964">
        <w:rPr>
          <w:b w:val="0"/>
          <w:lang w:val="en-GB"/>
        </w:rPr>
        <w:t xml:space="preserve"> for hydrogen-powered vehicle applications.</w:t>
      </w:r>
    </w:p>
    <w:p w14:paraId="7DFFBF41" w14:textId="11F91F41" w:rsidR="00280FAF" w:rsidRPr="00280FAF" w:rsidRDefault="00280FAF" w:rsidP="003131AF">
      <w:pPr>
        <w:pStyle w:val="CETHeadingxx"/>
        <w:rPr>
          <w:rFonts w:eastAsia="SimSun"/>
        </w:rPr>
        <w:sectPr w:rsidR="00280FAF" w:rsidRPr="00280FAF" w:rsidSect="00DC73EE">
          <w:type w:val="continuous"/>
          <w:pgSz w:w="11906" w:h="16838" w:code="9"/>
          <w:pgMar w:top="1701" w:right="1418" w:bottom="1701" w:left="1701" w:header="1701" w:footer="0" w:gutter="0"/>
          <w:cols w:space="708"/>
          <w:formProt w:val="0"/>
          <w:titlePg/>
          <w:docGrid w:linePitch="360"/>
        </w:sectPr>
      </w:pPr>
      <w:r>
        <w:t>Nomenclature</w:t>
      </w:r>
    </w:p>
    <w:p w14:paraId="73FE2D94" w14:textId="44DDAA4C" w:rsidR="00FB298C" w:rsidRPr="001D3DEF" w:rsidRDefault="00000000" w:rsidP="00744996">
      <w:pPr>
        <w:pStyle w:val="CETBodytext"/>
        <w:jc w:val="lef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2,out</m:t>
                </m:r>
              </m:sub>
            </m:sSub>
          </m:sub>
        </m:sSub>
      </m:oMath>
      <w:r w:rsidR="00FB298C">
        <w:rPr>
          <w:rFonts w:eastAsia="SimSun"/>
        </w:rPr>
        <w:t xml:space="preserve"> – </w:t>
      </w:r>
      <w:r w:rsidR="009C1A79" w:rsidRPr="001D3DEF">
        <w:t xml:space="preserve">molar flow rate of outlet hydrogen, </w:t>
      </w:r>
      <w:proofErr w:type="spellStart"/>
      <w:r w:rsidR="005653DB">
        <w:t>kmol</w:t>
      </w:r>
      <w:proofErr w:type="spellEnd"/>
      <w:r w:rsidR="00C37BC5" w:rsidRPr="001D3DEF">
        <w:t>/</w:t>
      </w:r>
      <w:r w:rsidR="0060211C">
        <w:t>h</w:t>
      </w:r>
    </w:p>
    <w:p w14:paraId="2DC12659" w14:textId="31D402CA" w:rsidR="00C37BC5" w:rsidRPr="001D3DEF" w:rsidRDefault="00000000" w:rsidP="00744996">
      <w:pPr>
        <w:pStyle w:val="CETBodytext"/>
        <w:jc w:val="left"/>
        <w:rPr>
          <w:rFonts w:eastAsia="SimSun"/>
          <w:lang w:val="en-GB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urea,  in</m:t>
            </m:r>
          </m:sub>
        </m:sSub>
      </m:oMath>
      <w:r w:rsidR="00C37BC5" w:rsidRPr="001D3DEF">
        <w:rPr>
          <w:rFonts w:eastAsia="SimSun"/>
        </w:rPr>
        <w:t xml:space="preserve"> – </w:t>
      </w:r>
      <w:r w:rsidR="00C37BC5" w:rsidRPr="001D3DEF">
        <w:t xml:space="preserve">molar flow rate of inlet urea, </w:t>
      </w:r>
      <w:proofErr w:type="spellStart"/>
      <w:r w:rsidR="005653DB">
        <w:t>kmol</w:t>
      </w:r>
      <w:proofErr w:type="spellEnd"/>
      <w:r w:rsidR="00C37BC5" w:rsidRPr="001D3DEF">
        <w:t>/h</w:t>
      </w:r>
    </w:p>
    <w:p w14:paraId="71E335B9" w14:textId="173F5720" w:rsidR="00744996" w:rsidRPr="001D3DEF" w:rsidRDefault="00000000" w:rsidP="00744996">
      <w:pPr>
        <w:pStyle w:val="CETBodytext"/>
        <w:jc w:val="left"/>
        <w:rPr>
          <w:rFonts w:eastAsia="SimSun"/>
        </w:rPr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LHV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H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2</m:t>
                </m:r>
              </m:sub>
            </m:sSub>
          </m:sub>
        </m:sSub>
      </m:oMath>
      <w:r w:rsidR="00744996" w:rsidRPr="001D3DEF">
        <w:rPr>
          <w:rFonts w:eastAsia="SimSun"/>
        </w:rPr>
        <w:t xml:space="preserve"> – </w:t>
      </w:r>
      <w:r w:rsidR="00744996" w:rsidRPr="001D3DEF">
        <w:rPr>
          <w:rFonts w:eastAsia="SimSun"/>
          <w:lang w:val="en-GB"/>
        </w:rPr>
        <w:t>lower heating value of hydrogen, MJ/h</w:t>
      </w:r>
    </w:p>
    <w:p w14:paraId="65DBB9F9" w14:textId="42BB8478" w:rsidR="0031413E" w:rsidRDefault="00000000" w:rsidP="0031413E">
      <w:pPr>
        <w:pStyle w:val="CETBodytext"/>
        <w:jc w:val="left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sub>
        </m:sSub>
      </m:oMath>
      <w:r w:rsidR="0031413E" w:rsidRPr="001D3DEF">
        <w:t xml:space="preserve"> – mass production rate of hydrogen, </w:t>
      </w:r>
      <w:r w:rsidR="00754CF2">
        <w:t>k</w:t>
      </w:r>
      <w:r w:rsidR="00D674E9">
        <w:t>g</w:t>
      </w:r>
      <w:r w:rsidR="0031413E" w:rsidRPr="001D3DEF">
        <w:t>/h</w:t>
      </w:r>
    </w:p>
    <w:p w14:paraId="729F2CF6" w14:textId="4D0F6DC0" w:rsidR="00650A45" w:rsidRDefault="00000000" w:rsidP="0031413E">
      <w:pPr>
        <w:pStyle w:val="CETBodytext"/>
        <w:jc w:val="lef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b>
        </m:sSub>
      </m:oMath>
      <w:r w:rsidR="00650A45">
        <w:t xml:space="preserve"> – Theoretical stoichiometric coefficient</w:t>
      </w:r>
      <w:r w:rsidR="003131AF">
        <w:t xml:space="preserve"> of H</w:t>
      </w:r>
      <w:r w:rsidR="003131AF" w:rsidRPr="003131AF">
        <w:rPr>
          <w:vertAlign w:val="subscript"/>
        </w:rPr>
        <w:t>2</w:t>
      </w:r>
    </w:p>
    <w:p w14:paraId="57590CE2" w14:textId="7E28F96B" w:rsidR="00280FAF" w:rsidRPr="00280FAF" w:rsidRDefault="00000000" w:rsidP="00280FAF">
      <w:pPr>
        <w:pStyle w:val="CETBodytext"/>
        <w:jc w:val="left"/>
        <w:rPr>
          <w:rFonts w:eastAsia="SimSun"/>
        </w:rPr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P</m:t>
            </m:r>
          </m:e>
          <m:sub>
            <m:r>
              <w:rPr>
                <w:rFonts w:ascii="Cambria Math" w:hAnsi="Cambria Math"/>
                <w:lang w:val="en-GB"/>
              </w:rPr>
              <m:t>eq</m:t>
            </m:r>
          </m:sub>
        </m:sSub>
      </m:oMath>
      <w:r w:rsidR="00280FAF" w:rsidRPr="00280FAF">
        <w:rPr>
          <w:rFonts w:eastAsia="SimSun"/>
        </w:rPr>
        <w:t xml:space="preserve"> – </w:t>
      </w:r>
      <w:r w:rsidR="00494280">
        <w:rPr>
          <w:rFonts w:eastAsia="SimSun"/>
        </w:rPr>
        <w:t>power output equivalent</w:t>
      </w:r>
      <w:r w:rsidR="00280FAF" w:rsidRPr="00280FAF">
        <w:rPr>
          <w:rFonts w:eastAsia="SimSun"/>
        </w:rPr>
        <w:t xml:space="preserve">, </w:t>
      </w:r>
      <w:r w:rsidR="00494280">
        <w:rPr>
          <w:rFonts w:eastAsia="SimSun"/>
        </w:rPr>
        <w:t>W</w:t>
      </w:r>
      <w:r w:rsidR="00494280" w:rsidRPr="003131AF">
        <w:rPr>
          <w:rFonts w:eastAsia="SimSun"/>
          <w:vertAlign w:val="subscript"/>
        </w:rPr>
        <w:t>e</w:t>
      </w:r>
    </w:p>
    <w:p w14:paraId="3BF74E66" w14:textId="77777777" w:rsidR="00226767" w:rsidRDefault="00000000" w:rsidP="00280FAF">
      <w:pPr>
        <w:pStyle w:val="CETBodytext"/>
        <w:jc w:val="left"/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θ</m:t>
            </m:r>
          </m:e>
          <m:sub>
            <m:r>
              <w:rPr>
                <w:rFonts w:ascii="Cambria Math" w:hAnsi="Cambria Math"/>
                <w:lang w:val="en-GB"/>
              </w:rPr>
              <m:t>PEM</m:t>
            </m:r>
          </m:sub>
        </m:sSub>
      </m:oMath>
      <w:r w:rsidR="00280FAF" w:rsidRPr="00280FAF">
        <w:rPr>
          <w:rFonts w:eastAsia="SimSun"/>
        </w:rPr>
        <w:t xml:space="preserve"> – </w:t>
      </w:r>
      <w:r w:rsidR="00226767" w:rsidRPr="003E1CF2">
        <w:t xml:space="preserve">hydrogen utilization </w:t>
      </w:r>
      <w:r w:rsidR="00226767">
        <w:t>for a PEMFC, %</w:t>
      </w:r>
    </w:p>
    <w:p w14:paraId="38BFE636" w14:textId="33D2B149" w:rsidR="00280FAF" w:rsidRPr="004F153D" w:rsidRDefault="00000000" w:rsidP="00280FAF">
      <w:pPr>
        <w:pStyle w:val="CETBodytext"/>
        <w:jc w:val="left"/>
        <w:rPr>
          <w:rFonts w:eastAsia="SimSun"/>
          <w:lang w:val="en-GB"/>
        </w:rPr>
        <w:sectPr w:rsidR="00280FAF" w:rsidRPr="004F153D" w:rsidSect="00DC73EE">
          <w:type w:val="continuous"/>
          <w:pgSz w:w="11906" w:h="16838" w:code="9"/>
          <w:pgMar w:top="1701" w:right="1418" w:bottom="1701" w:left="1701" w:header="1701" w:footer="0" w:gutter="0"/>
          <w:cols w:num="2" w:space="708"/>
          <w:formProt w:val="0"/>
          <w:titlePg/>
          <w:docGrid w:linePitch="360"/>
        </w:sectPr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η</m:t>
            </m:r>
          </m:e>
          <m:sub>
            <m:r>
              <w:rPr>
                <w:rFonts w:ascii="Cambria Math" w:hAnsi="Cambria Math"/>
                <w:lang w:val="en-GB"/>
              </w:rPr>
              <m:t>PEM</m:t>
            </m:r>
          </m:sub>
        </m:sSub>
      </m:oMath>
      <w:r w:rsidR="00226767">
        <w:rPr>
          <w:rFonts w:eastAsia="SimSun"/>
          <w:lang w:val="en-GB"/>
        </w:rPr>
        <w:t xml:space="preserve"> – Energy efficiency</w:t>
      </w:r>
      <w:r w:rsidR="006754FE">
        <w:rPr>
          <w:rFonts w:eastAsia="SimSun"/>
          <w:lang w:val="en-GB"/>
        </w:rPr>
        <w:t xml:space="preserve"> for a PEMFC</w:t>
      </w:r>
      <w:r w:rsidR="00226767">
        <w:rPr>
          <w:rFonts w:eastAsia="SimSun"/>
          <w:lang w:val="en-GB"/>
        </w:rPr>
        <w:t>, %</w:t>
      </w:r>
    </w:p>
    <w:p w14:paraId="459D05E6" w14:textId="77777777" w:rsidR="00600535" w:rsidRPr="00B57B36" w:rsidRDefault="00600535" w:rsidP="00600535">
      <w:pPr>
        <w:pStyle w:val="CETAcknowledgementstitle"/>
      </w:pPr>
      <w:r w:rsidRPr="00B57B36">
        <w:t>Acknowledgments</w:t>
      </w:r>
    </w:p>
    <w:p w14:paraId="33F8138F" w14:textId="4A2BC73E" w:rsidR="00600535" w:rsidRPr="00B57B36" w:rsidRDefault="005A1520" w:rsidP="00600535">
      <w:pPr>
        <w:pStyle w:val="CETBodytext"/>
        <w:rPr>
          <w:lang w:val="en-GB"/>
        </w:rPr>
      </w:pPr>
      <w:r w:rsidRPr="005A1520">
        <w:rPr>
          <w:lang w:val="en-GB"/>
        </w:rPr>
        <w:t>The authors gratefully acknowledge the support from FAPESP (the Sao Paulo Research Foundation</w:t>
      </w:r>
      <w:r w:rsidR="00C46825">
        <w:rPr>
          <w:lang w:val="en-GB"/>
        </w:rPr>
        <w:t>)</w:t>
      </w:r>
      <w:r w:rsidRPr="005A1520">
        <w:rPr>
          <w:lang w:val="en-GB"/>
        </w:rPr>
        <w:t xml:space="preserve">, </w:t>
      </w:r>
      <w:r w:rsidR="00C5175B" w:rsidRPr="00C5175B">
        <w:rPr>
          <w:lang w:val="en-GB"/>
        </w:rPr>
        <w:t xml:space="preserve">Project Numbers </w:t>
      </w:r>
      <w:r w:rsidR="00D0420D" w:rsidRPr="005A1520">
        <w:rPr>
          <w:lang w:val="en-GB"/>
        </w:rPr>
        <w:t>#2015/20630-4</w:t>
      </w:r>
      <w:r w:rsidR="00D0420D">
        <w:rPr>
          <w:lang w:val="en-GB"/>
        </w:rPr>
        <w:t xml:space="preserve">, </w:t>
      </w:r>
      <w:r w:rsidR="00C5175B" w:rsidRPr="00C5175B">
        <w:rPr>
          <w:lang w:val="en-GB"/>
        </w:rPr>
        <w:t>#2022/16379-8</w:t>
      </w:r>
      <w:r w:rsidR="00D0420D">
        <w:rPr>
          <w:lang w:val="en-GB"/>
        </w:rPr>
        <w:t xml:space="preserve"> and</w:t>
      </w:r>
      <w:r w:rsidR="00C5175B" w:rsidRPr="00C5175B">
        <w:rPr>
          <w:lang w:val="en-GB"/>
        </w:rPr>
        <w:t xml:space="preserve"> </w:t>
      </w:r>
      <w:r w:rsidR="00D0420D">
        <w:rPr>
          <w:lang w:val="en-GB"/>
        </w:rPr>
        <w:t>#</w:t>
      </w:r>
      <w:r w:rsidR="00C5175B" w:rsidRPr="00C5175B">
        <w:rPr>
          <w:lang w:val="en-GB"/>
        </w:rPr>
        <w:t xml:space="preserve">2022/10644-1 </w:t>
      </w:r>
      <w:r w:rsidR="00D0420D">
        <w:rPr>
          <w:lang w:val="en-GB"/>
        </w:rPr>
        <w:t>–</w:t>
      </w:r>
      <w:r w:rsidR="00C5175B">
        <w:rPr>
          <w:lang w:val="en-GB"/>
        </w:rPr>
        <w:t xml:space="preserve"> </w:t>
      </w:r>
      <w:r w:rsidR="00D0420D">
        <w:rPr>
          <w:lang w:val="en-GB"/>
        </w:rPr>
        <w:t>G</w:t>
      </w:r>
      <w:r w:rsidRPr="005A1520">
        <w:rPr>
          <w:lang w:val="en-GB"/>
        </w:rPr>
        <w:t>rant</w:t>
      </w:r>
      <w:r w:rsidR="00D0420D">
        <w:rPr>
          <w:lang w:val="en-GB"/>
        </w:rPr>
        <w:t xml:space="preserve"> number</w:t>
      </w:r>
      <w:r w:rsidRPr="005A1520">
        <w:rPr>
          <w:lang w:val="en-GB"/>
        </w:rPr>
        <w:t>s</w:t>
      </w:r>
      <w:r w:rsidR="00A604C9">
        <w:rPr>
          <w:lang w:val="en-GB"/>
        </w:rPr>
        <w:t xml:space="preserve"> </w:t>
      </w:r>
      <w:r w:rsidR="002D7724">
        <w:rPr>
          <w:lang w:val="en-GB"/>
        </w:rPr>
        <w:t>#</w:t>
      </w:r>
      <w:r w:rsidR="002D7724" w:rsidRPr="002D7724">
        <w:rPr>
          <w:lang w:val="en-GB"/>
        </w:rPr>
        <w:t>2021/08940-9</w:t>
      </w:r>
      <w:r w:rsidR="002D7724">
        <w:rPr>
          <w:lang w:val="en-GB"/>
        </w:rPr>
        <w:t xml:space="preserve">, </w:t>
      </w:r>
      <w:r w:rsidRPr="005A1520">
        <w:rPr>
          <w:lang w:val="en-GB"/>
        </w:rPr>
        <w:t>#2023/08594-9</w:t>
      </w:r>
      <w:r w:rsidR="00DE478A">
        <w:rPr>
          <w:lang w:val="en-GB"/>
        </w:rPr>
        <w:t>, #</w:t>
      </w:r>
      <w:r w:rsidR="00DE478A" w:rsidRPr="00DE478A">
        <w:rPr>
          <w:lang w:val="en-GB"/>
        </w:rPr>
        <w:t>2024/20037-0</w:t>
      </w:r>
      <w:r w:rsidR="002D7724">
        <w:rPr>
          <w:lang w:val="en-GB"/>
        </w:rPr>
        <w:t xml:space="preserve"> and </w:t>
      </w:r>
      <w:r w:rsidR="00DE478A">
        <w:rPr>
          <w:lang w:val="en-GB"/>
        </w:rPr>
        <w:t>#</w:t>
      </w:r>
      <w:r w:rsidR="006D05B2">
        <w:rPr>
          <w:lang w:val="en-GB"/>
        </w:rPr>
        <w:t>20</w:t>
      </w:r>
      <w:r w:rsidR="006D05B2" w:rsidRPr="006D05B2">
        <w:rPr>
          <w:lang w:val="en-GB"/>
        </w:rPr>
        <w:t>23/18143-4</w:t>
      </w:r>
      <w:r w:rsidRPr="005A1520">
        <w:rPr>
          <w:lang w:val="en-GB"/>
        </w:rPr>
        <w:t xml:space="preserve">. </w:t>
      </w:r>
    </w:p>
    <w:p w14:paraId="4F1327F8" w14:textId="77777777" w:rsidR="00600535" w:rsidRPr="00B57B36" w:rsidRDefault="00600535" w:rsidP="00600535">
      <w:pPr>
        <w:pStyle w:val="CETReference"/>
      </w:pPr>
      <w:r w:rsidRPr="00B57B36">
        <w:t>References</w:t>
      </w:r>
    </w:p>
    <w:p w14:paraId="17D06BAC" w14:textId="7D0BF9C3" w:rsidR="008C037E" w:rsidRDefault="00A2462C" w:rsidP="005C099C">
      <w:pPr>
        <w:pStyle w:val="CETReferencetext"/>
      </w:pPr>
      <w:proofErr w:type="spellStart"/>
      <w:r>
        <w:t>Aspen</w:t>
      </w:r>
      <w:r w:rsidR="00444B5B">
        <w:t>tech</w:t>
      </w:r>
      <w:proofErr w:type="spellEnd"/>
      <w:r w:rsidR="00444B5B">
        <w:t xml:space="preserve">, </w:t>
      </w:r>
      <w:r w:rsidR="008C037E" w:rsidRPr="008C037E">
        <w:t>2001</w:t>
      </w:r>
      <w:r w:rsidR="00444B5B">
        <w:t>,</w:t>
      </w:r>
      <w:r w:rsidR="008C037E" w:rsidRPr="008C037E">
        <w:t xml:space="preserve"> Physical property systems</w:t>
      </w:r>
      <w:r w:rsidR="006F5985">
        <w:t xml:space="preserve"> - P</w:t>
      </w:r>
      <w:r w:rsidR="008C037E" w:rsidRPr="008C037E">
        <w:t>hysical property methods and models 11.1</w:t>
      </w:r>
      <w:r w:rsidR="006911BD">
        <w:t>,</w:t>
      </w:r>
      <w:r w:rsidR="00974FE8">
        <w:t xml:space="preserve"> </w:t>
      </w:r>
      <w:r w:rsidR="008C037E" w:rsidRPr="00974FE8">
        <w:t>Aspen Technology Inc.</w:t>
      </w:r>
      <w:r w:rsidR="00974FE8">
        <w:t xml:space="preserve"> &lt;</w:t>
      </w:r>
      <w:r w:rsidR="00447CAD" w:rsidRPr="00447CAD">
        <w:t xml:space="preserve"> http://web.ist.utl.pt/ist11061/de/ASPEN/Physical_Property_Methods_and_Models.pdf</w:t>
      </w:r>
      <w:r w:rsidR="00974FE8">
        <w:t xml:space="preserve">&gt; accessed </w:t>
      </w:r>
      <w:r w:rsidR="0052334F">
        <w:t>28.11.2024.</w:t>
      </w:r>
    </w:p>
    <w:p w14:paraId="66EC4966" w14:textId="1EF428DD" w:rsidR="00332DA4" w:rsidRDefault="00332DA4" w:rsidP="005C099C">
      <w:pPr>
        <w:pStyle w:val="CETReferencetext"/>
      </w:pPr>
      <w:r w:rsidRPr="00332DA4">
        <w:t>Barros L.M.</w:t>
      </w:r>
      <w:r w:rsidR="00635396">
        <w:t>S.</w:t>
      </w:r>
      <w:r w:rsidRPr="00332DA4">
        <w:t xml:space="preserve">, Leal Silva J.F., </w:t>
      </w:r>
      <w:proofErr w:type="spellStart"/>
      <w:r w:rsidRPr="00332DA4">
        <w:t>Anchieta</w:t>
      </w:r>
      <w:proofErr w:type="spellEnd"/>
      <w:r w:rsidRPr="00332DA4">
        <w:t xml:space="preserve"> C.G., Maciel Filho R., 2024, Assessment of Energy Efficiency of Green Hydrogen Produced from Biomass and Green Ammonia, Chemical Engineering Transactions, 109, 511-516</w:t>
      </w:r>
      <w:r w:rsidR="00534A51">
        <w:t>.</w:t>
      </w:r>
    </w:p>
    <w:p w14:paraId="21C4B005" w14:textId="7353D8E8" w:rsidR="00F333FF" w:rsidRPr="007E3CB5" w:rsidRDefault="00F333FF" w:rsidP="006B4888">
      <w:pPr>
        <w:pStyle w:val="CETReferencetext"/>
      </w:pPr>
      <w:r w:rsidRPr="007E3CB5">
        <w:t xml:space="preserve">Di Nardo A., </w:t>
      </w:r>
      <w:proofErr w:type="spellStart"/>
      <w:r w:rsidRPr="007E3CB5">
        <w:t>Portarapillo</w:t>
      </w:r>
      <w:proofErr w:type="spellEnd"/>
      <w:r w:rsidRPr="007E3CB5">
        <w:t xml:space="preserve"> M., Russo D., Di Benedetto A.</w:t>
      </w:r>
      <w:r w:rsidR="007E3CB5" w:rsidRPr="007E3CB5">
        <w:t xml:space="preserve">, </w:t>
      </w:r>
      <w:r w:rsidRPr="007E3CB5">
        <w:t>2024</w:t>
      </w:r>
      <w:r w:rsidR="007E3CB5" w:rsidRPr="007E3CB5">
        <w:t>,</w:t>
      </w:r>
      <w:r w:rsidRPr="007E3CB5">
        <w:t xml:space="preserve"> Hydrogen production via steam reforming of different fuels: thermodynamic comparison</w:t>
      </w:r>
      <w:r w:rsidR="007E3CB5">
        <w:t>,</w:t>
      </w:r>
      <w:r w:rsidRPr="007E3CB5">
        <w:t> International Journal of Hydrogen Energy, 55, 1143-1160.</w:t>
      </w:r>
    </w:p>
    <w:p w14:paraId="4BF34A5E" w14:textId="1E15A78C" w:rsidR="00A9712D" w:rsidRDefault="00A9712D" w:rsidP="006B4888">
      <w:pPr>
        <w:pStyle w:val="CETReferencetext"/>
      </w:pPr>
      <w:r w:rsidRPr="00A9712D">
        <w:t>Du Z., Liu C., Zhai J., Guo X., Xiong Y., Su W., He G.</w:t>
      </w:r>
      <w:r>
        <w:t xml:space="preserve">, </w:t>
      </w:r>
      <w:r w:rsidRPr="00A9712D">
        <w:t>2021</w:t>
      </w:r>
      <w:r>
        <w:t>,</w:t>
      </w:r>
      <w:r w:rsidRPr="00A9712D">
        <w:t xml:space="preserve"> A review of hydrogen purification technologies for fuel cell vehicles, Catalysts, 11, 393.</w:t>
      </w:r>
    </w:p>
    <w:p w14:paraId="4C2D3719" w14:textId="2244FEE5" w:rsidR="006B3B01" w:rsidRDefault="006B3B01" w:rsidP="006B4888">
      <w:pPr>
        <w:pStyle w:val="CETReferencetext"/>
      </w:pPr>
      <w:r w:rsidRPr="007E3CB5">
        <w:t>Dupont V., Twigg M.V., Rollinson A.N., Jones J.M.</w:t>
      </w:r>
      <w:r w:rsidR="002A3D4B" w:rsidRPr="007E3CB5">
        <w:t xml:space="preserve">, </w:t>
      </w:r>
      <w:r w:rsidRPr="007E3CB5">
        <w:t>2013</w:t>
      </w:r>
      <w:r w:rsidR="002A3D4B" w:rsidRPr="007E3CB5">
        <w:t>,</w:t>
      </w:r>
      <w:r w:rsidRPr="007E3CB5">
        <w:t xml:space="preserve"> Therm</w:t>
      </w:r>
      <w:r w:rsidRPr="006B3B01">
        <w:t>odynamics of hydrogen production from urea by steam reforming with and without in situ carbon dioxide sorption</w:t>
      </w:r>
      <w:r w:rsidR="00061B01" w:rsidRPr="00061B01">
        <w:t>,</w:t>
      </w:r>
      <w:r w:rsidRPr="00061B01">
        <w:t> International journal of hydrogen energy,</w:t>
      </w:r>
      <w:r w:rsidR="00BB682E">
        <w:t xml:space="preserve"> 38</w:t>
      </w:r>
      <w:r w:rsidRPr="006B3B01">
        <w:t>, 10260</w:t>
      </w:r>
      <w:r w:rsidR="00EE78E3">
        <w:t>–</w:t>
      </w:r>
      <w:r w:rsidRPr="006B3B01">
        <w:t>10269.</w:t>
      </w:r>
    </w:p>
    <w:p w14:paraId="2758EE71" w14:textId="7E7E0BF5" w:rsidR="009A6692" w:rsidRDefault="00FB4E0C" w:rsidP="006B4888">
      <w:pPr>
        <w:pStyle w:val="CETReferencetext"/>
      </w:pPr>
      <w:r w:rsidRPr="00966A26">
        <w:t xml:space="preserve">Engelbrecht N., </w:t>
      </w:r>
      <w:proofErr w:type="spellStart"/>
      <w:r w:rsidRPr="00966A26">
        <w:t>Chiuta</w:t>
      </w:r>
      <w:proofErr w:type="spellEnd"/>
      <w:r w:rsidRPr="00966A26">
        <w:t xml:space="preserve"> S., </w:t>
      </w:r>
      <w:proofErr w:type="spellStart"/>
      <w:r w:rsidRPr="00966A26">
        <w:t>Bessarabov</w:t>
      </w:r>
      <w:proofErr w:type="spellEnd"/>
      <w:r w:rsidRPr="00966A26">
        <w:t xml:space="preserve"> D.G.</w:t>
      </w:r>
      <w:r w:rsidR="004876EA" w:rsidRPr="00966A26">
        <w:t xml:space="preserve">, </w:t>
      </w:r>
      <w:r w:rsidRPr="00966A26">
        <w:t>2018</w:t>
      </w:r>
      <w:r w:rsidR="004876EA" w:rsidRPr="00966A26">
        <w:t>,</w:t>
      </w:r>
      <w:r w:rsidRPr="00966A26">
        <w:t xml:space="preserve"> </w:t>
      </w:r>
      <w:r w:rsidRPr="00FB4E0C">
        <w:t>A highly efficient autothermal microchannel reactor for ammonia decomposition: analysis of hydrogen production in transient and steady-state regimes</w:t>
      </w:r>
      <w:r w:rsidR="00966A26">
        <w:t>,</w:t>
      </w:r>
      <w:r w:rsidRPr="00966A26">
        <w:t> Journal of Power Sources, 386, 47-55.</w:t>
      </w:r>
    </w:p>
    <w:p w14:paraId="33E6C792" w14:textId="30D9678B" w:rsidR="005717A3" w:rsidRPr="00900912" w:rsidRDefault="005717A3" w:rsidP="006B4888">
      <w:pPr>
        <w:pStyle w:val="CETReferencetext"/>
      </w:pPr>
      <w:proofErr w:type="spellStart"/>
      <w:r w:rsidRPr="006E18A9">
        <w:t>Floriam</w:t>
      </w:r>
      <w:proofErr w:type="spellEnd"/>
      <w:r w:rsidRPr="006E18A9">
        <w:t xml:space="preserve"> B.G., </w:t>
      </w:r>
      <w:proofErr w:type="spellStart"/>
      <w:r w:rsidRPr="006E18A9">
        <w:t>Bineli</w:t>
      </w:r>
      <w:proofErr w:type="spellEnd"/>
      <w:r w:rsidRPr="006E18A9">
        <w:t xml:space="preserve"> A.R.R., Maciel Filho R.</w:t>
      </w:r>
      <w:r w:rsidR="00D23048" w:rsidRPr="006E18A9">
        <w:t xml:space="preserve">, </w:t>
      </w:r>
      <w:r w:rsidRPr="006E18A9">
        <w:t>2024</w:t>
      </w:r>
      <w:r w:rsidR="006E18A9" w:rsidRPr="006E18A9">
        <w:t>,</w:t>
      </w:r>
      <w:r w:rsidRPr="006E18A9">
        <w:t xml:space="preserve"> </w:t>
      </w:r>
      <w:r w:rsidRPr="005717A3">
        <w:t>Onboard or Onsite Hydrogen Production: A Comparative Investigatio</w:t>
      </w:r>
      <w:r w:rsidR="00900912">
        <w:t xml:space="preserve">n, </w:t>
      </w:r>
      <w:r w:rsidRPr="00900912">
        <w:t>Computer Aided Chemical Engineering</w:t>
      </w:r>
      <w:r w:rsidR="00900912">
        <w:t xml:space="preserve">, </w:t>
      </w:r>
      <w:r w:rsidRPr="00900912">
        <w:t xml:space="preserve">53, </w:t>
      </w:r>
      <w:r w:rsidR="00900912">
        <w:t>2</w:t>
      </w:r>
      <w:r w:rsidRPr="00900912">
        <w:t>581-2586.</w:t>
      </w:r>
    </w:p>
    <w:p w14:paraId="4EC7D5B5" w14:textId="129FDFF9" w:rsidR="009C535F" w:rsidRDefault="00B72B0C" w:rsidP="006B4888">
      <w:pPr>
        <w:pStyle w:val="CETReferencetext"/>
      </w:pPr>
      <w:r w:rsidRPr="00900912">
        <w:t>Hydrogen Coun</w:t>
      </w:r>
      <w:r>
        <w:t xml:space="preserve">cil, 2017, </w:t>
      </w:r>
      <w:r w:rsidR="00B00EB3">
        <w:t>Hydrogen Scaling Up</w:t>
      </w:r>
      <w:r w:rsidR="006A491B">
        <w:t>, Hydrogen Council &lt;</w:t>
      </w:r>
      <w:r w:rsidR="001218E6" w:rsidRPr="001218E6">
        <w:t>https://hydrogencouncil.com/wp-content/uploads/2017/11/Hydrogen-Scaling-up_Hydrogen-Council_2017.compressed.pdf</w:t>
      </w:r>
      <w:r w:rsidR="006A491B">
        <w:t>&gt;</w:t>
      </w:r>
      <w:r w:rsidR="003E1964">
        <w:t xml:space="preserve"> </w:t>
      </w:r>
      <w:r w:rsidR="001218E6">
        <w:t>accessed 26.11.2024</w:t>
      </w:r>
      <w:r w:rsidR="00534A51">
        <w:t>.</w:t>
      </w:r>
    </w:p>
    <w:p w14:paraId="3494CE32" w14:textId="1F710B36" w:rsidR="00332DA4" w:rsidRDefault="00EF09EB" w:rsidP="006B4888">
      <w:pPr>
        <w:pStyle w:val="CETReferencetext"/>
      </w:pPr>
      <w:r>
        <w:t xml:space="preserve">IEA, 2023, </w:t>
      </w:r>
      <w:r w:rsidR="00EE795E">
        <w:t>Hydrogen, International Energy Agency</w:t>
      </w:r>
      <w:r w:rsidR="00A32270">
        <w:t xml:space="preserve"> </w:t>
      </w:r>
      <w:r w:rsidR="0039696B">
        <w:t>&lt;</w:t>
      </w:r>
      <w:r w:rsidR="0039696B" w:rsidRPr="0039696B">
        <w:t>https://www.iea.org/energy-system/low-emission-fuels/hydrogen</w:t>
      </w:r>
      <w:r w:rsidR="0039696B">
        <w:t xml:space="preserve">&gt; accessed </w:t>
      </w:r>
      <w:r w:rsidR="00806FCD">
        <w:t>26.11.2024.</w:t>
      </w:r>
    </w:p>
    <w:p w14:paraId="72ADEC59" w14:textId="267BC9E9" w:rsidR="00C70A4C" w:rsidRPr="00C70A4C" w:rsidRDefault="00C70A4C" w:rsidP="006B4888">
      <w:pPr>
        <w:pStyle w:val="CETReferencetext"/>
      </w:pPr>
      <w:r w:rsidRPr="00C70A4C">
        <w:t>Ismaila A., Chen X., Gao X., Fan X.</w:t>
      </w:r>
      <w:r>
        <w:t xml:space="preserve">, </w:t>
      </w:r>
      <w:r w:rsidRPr="00C70A4C">
        <w:t>2021</w:t>
      </w:r>
      <w:r>
        <w:t>,</w:t>
      </w:r>
      <w:r w:rsidRPr="00C70A4C">
        <w:t xml:space="preserve"> Thermodynamic analysis of steam reforming of glycerol for hydrogen production at atmospheric pressure</w:t>
      </w:r>
      <w:r>
        <w:t>,</w:t>
      </w:r>
      <w:r w:rsidRPr="00C70A4C">
        <w:t> Frontiers of Chemical Science and Engineering, 15, 60-71.</w:t>
      </w:r>
    </w:p>
    <w:p w14:paraId="1EDC6128" w14:textId="0549938B" w:rsidR="003A795F" w:rsidRPr="00EF2DEE" w:rsidRDefault="008F5434" w:rsidP="006B4888">
      <w:pPr>
        <w:pStyle w:val="CETReferencetext"/>
      </w:pPr>
      <w:r w:rsidRPr="00C70A4C">
        <w:t>Rollinson A.N., Jones J., Dupont V., Tw</w:t>
      </w:r>
      <w:r w:rsidRPr="008F5434">
        <w:t>igg M.V.</w:t>
      </w:r>
      <w:r>
        <w:t xml:space="preserve">, </w:t>
      </w:r>
      <w:r w:rsidRPr="008F5434">
        <w:t>2011</w:t>
      </w:r>
      <w:r w:rsidR="00D32728">
        <w:t>,</w:t>
      </w:r>
      <w:r w:rsidRPr="008F5434">
        <w:t xml:space="preserve"> Urea as a hydrogen carrier: a perspective on its </w:t>
      </w:r>
      <w:r w:rsidRPr="00EF2DEE">
        <w:t>potential for safe, sustainable and long-term energy supply</w:t>
      </w:r>
      <w:r w:rsidR="00D32728" w:rsidRPr="00EF2DEE">
        <w:t>,</w:t>
      </w:r>
      <w:r w:rsidRPr="00EF2DEE">
        <w:t> Energy &amp; Environmental Science,</w:t>
      </w:r>
      <w:r w:rsidR="00D32728" w:rsidRPr="00EF2DEE">
        <w:t xml:space="preserve"> 4, </w:t>
      </w:r>
      <w:r w:rsidRPr="00EF2DEE">
        <w:t>1216</w:t>
      </w:r>
      <w:r w:rsidR="002475DF" w:rsidRPr="00EF2DEE">
        <w:t>-</w:t>
      </w:r>
      <w:r w:rsidRPr="00EF2DEE">
        <w:t>1224.</w:t>
      </w:r>
    </w:p>
    <w:p w14:paraId="7CD6DAB2" w14:textId="4655F2CB" w:rsidR="002475DF" w:rsidRDefault="000F32F1" w:rsidP="006B4888">
      <w:pPr>
        <w:pStyle w:val="CETReferencetext"/>
      </w:pPr>
      <w:r w:rsidRPr="00EF2DEE">
        <w:t xml:space="preserve">Rollinson A.N., </w:t>
      </w:r>
      <w:r w:rsidR="00A90D6F" w:rsidRPr="00EF2DEE">
        <w:t>Ricket</w:t>
      </w:r>
      <w:r w:rsidR="00020BE6" w:rsidRPr="00EF2DEE">
        <w:t>t</w:t>
      </w:r>
      <w:r w:rsidR="00ED7EE1">
        <w:t xml:space="preserve"> G.L.,</w:t>
      </w:r>
      <w:r w:rsidR="00A90D6F" w:rsidRPr="00EF2DEE">
        <w:t xml:space="preserve"> </w:t>
      </w:r>
      <w:r w:rsidRPr="00EF2DEE">
        <w:t>Dupont V., Twigg M.V.</w:t>
      </w:r>
      <w:r w:rsidR="00EF2DEE" w:rsidRPr="00EF2DEE">
        <w:t xml:space="preserve">, </w:t>
      </w:r>
      <w:r w:rsidRPr="00EF2DEE">
        <w:t>2010</w:t>
      </w:r>
      <w:r w:rsidR="00EF2DEE" w:rsidRPr="00EF2DEE">
        <w:t>,</w:t>
      </w:r>
      <w:r w:rsidRPr="00EF2DEE">
        <w:t xml:space="preserve"> Hydrogen production by catalytic steam reforming of urea</w:t>
      </w:r>
      <w:r w:rsidR="00EF2DEE" w:rsidRPr="00EF2DEE">
        <w:t>,</w:t>
      </w:r>
      <w:r w:rsidRPr="00EF2DEE">
        <w:t xml:space="preserve"> 5th international </w:t>
      </w:r>
      <w:proofErr w:type="spellStart"/>
      <w:r w:rsidRPr="00EF2DEE">
        <w:t>ege</w:t>
      </w:r>
      <w:proofErr w:type="spellEnd"/>
      <w:r w:rsidRPr="00EF2DEE">
        <w:t xml:space="preserve"> energy symposium and exhibition (IEESE-5)</w:t>
      </w:r>
      <w:r w:rsidR="002438B5">
        <w:t xml:space="preserve">, </w:t>
      </w:r>
      <w:proofErr w:type="spellStart"/>
      <w:r w:rsidR="002438B5" w:rsidRPr="002438B5">
        <w:t>Denizli</w:t>
      </w:r>
      <w:proofErr w:type="spellEnd"/>
      <w:r w:rsidR="002438B5" w:rsidRPr="002438B5">
        <w:t>, Turkey</w:t>
      </w:r>
      <w:r w:rsidRPr="00EF2DEE">
        <w:t>.</w:t>
      </w:r>
    </w:p>
    <w:p w14:paraId="19C4FC68" w14:textId="208D285D" w:rsidR="004628D2" w:rsidRDefault="007A1A1F" w:rsidP="00AE1860">
      <w:pPr>
        <w:pStyle w:val="CETReferencetext"/>
      </w:pPr>
      <w:r w:rsidRPr="007A1A1F">
        <w:t>Rollinso</w:t>
      </w:r>
      <w:r w:rsidR="00ED7EE1">
        <w:t>n</w:t>
      </w:r>
      <w:r w:rsidRPr="007A1A1F">
        <w:t xml:space="preserve"> A.N</w:t>
      </w:r>
      <w:r>
        <w:t>.</w:t>
      </w:r>
      <w:r w:rsidRPr="007A1A1F">
        <w:t>, Rickett G.L., Lea-Langton A., Dupont V., Twigg M.V.</w:t>
      </w:r>
      <w:r w:rsidR="000F0DC2">
        <w:t>,</w:t>
      </w:r>
      <w:r w:rsidRPr="007A1A1F">
        <w:t xml:space="preserve"> 2011</w:t>
      </w:r>
      <w:r w:rsidR="000F0DC2">
        <w:t>,</w:t>
      </w:r>
      <w:r w:rsidRPr="007A1A1F">
        <w:t xml:space="preserve"> Hydrogen from urea–water and ammonia–water solutions</w:t>
      </w:r>
      <w:r w:rsidR="00D75BF4">
        <w:t>,</w:t>
      </w:r>
      <w:r w:rsidRPr="00D75BF4">
        <w:t> Applied Catalysis B: Environmental, 106, 30</w:t>
      </w:r>
      <w:r w:rsidRPr="007A1A1F">
        <w:t>4-315.</w:t>
      </w:r>
    </w:p>
    <w:sectPr w:rsidR="004628D2" w:rsidSect="00DC73EE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F3D11" w14:textId="77777777" w:rsidR="00AE7B70" w:rsidRDefault="00AE7B70" w:rsidP="004F5E36">
      <w:r>
        <w:separator/>
      </w:r>
    </w:p>
  </w:endnote>
  <w:endnote w:type="continuationSeparator" w:id="0">
    <w:p w14:paraId="3F065712" w14:textId="77777777" w:rsidR="00AE7B70" w:rsidRDefault="00AE7B70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1A10C" w14:textId="77777777" w:rsidR="00AE7B70" w:rsidRDefault="00AE7B70" w:rsidP="004F5E36">
      <w:r>
        <w:separator/>
      </w:r>
    </w:p>
  </w:footnote>
  <w:footnote w:type="continuationSeparator" w:id="0">
    <w:p w14:paraId="2A5D05C6" w14:textId="77777777" w:rsidR="00AE7B70" w:rsidRDefault="00AE7B70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53687"/>
    <w:multiLevelType w:val="hybridMultilevel"/>
    <w:tmpl w:val="B4F485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66B64"/>
    <w:multiLevelType w:val="hybridMultilevel"/>
    <w:tmpl w:val="059214A0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882765">
    <w:abstractNumId w:val="12"/>
  </w:num>
  <w:num w:numId="2" w16cid:durableId="1954094313">
    <w:abstractNumId w:val="8"/>
  </w:num>
  <w:num w:numId="3" w16cid:durableId="2001083081">
    <w:abstractNumId w:val="3"/>
  </w:num>
  <w:num w:numId="4" w16cid:durableId="665287687">
    <w:abstractNumId w:val="2"/>
  </w:num>
  <w:num w:numId="5" w16cid:durableId="1763211618">
    <w:abstractNumId w:val="1"/>
  </w:num>
  <w:num w:numId="6" w16cid:durableId="733351894">
    <w:abstractNumId w:val="0"/>
  </w:num>
  <w:num w:numId="7" w16cid:durableId="1265187038">
    <w:abstractNumId w:val="9"/>
  </w:num>
  <w:num w:numId="8" w16cid:durableId="458382672">
    <w:abstractNumId w:val="7"/>
  </w:num>
  <w:num w:numId="9" w16cid:durableId="652636510">
    <w:abstractNumId w:val="6"/>
  </w:num>
  <w:num w:numId="10" w16cid:durableId="1972591888">
    <w:abstractNumId w:val="5"/>
  </w:num>
  <w:num w:numId="11" w16cid:durableId="1179278139">
    <w:abstractNumId w:val="4"/>
  </w:num>
  <w:num w:numId="12" w16cid:durableId="1575509198">
    <w:abstractNumId w:val="19"/>
  </w:num>
  <w:num w:numId="13" w16cid:durableId="695733619">
    <w:abstractNumId w:val="14"/>
  </w:num>
  <w:num w:numId="14" w16cid:durableId="145903400">
    <w:abstractNumId w:val="20"/>
  </w:num>
  <w:num w:numId="15" w16cid:durableId="19162326">
    <w:abstractNumId w:val="22"/>
  </w:num>
  <w:num w:numId="16" w16cid:durableId="1977102699">
    <w:abstractNumId w:val="21"/>
  </w:num>
  <w:num w:numId="17" w16cid:durableId="860774865">
    <w:abstractNumId w:val="13"/>
  </w:num>
  <w:num w:numId="18" w16cid:durableId="313221457">
    <w:abstractNumId w:val="14"/>
    <w:lvlOverride w:ilvl="0">
      <w:startOverride w:val="1"/>
    </w:lvlOverride>
  </w:num>
  <w:num w:numId="19" w16cid:durableId="534971577">
    <w:abstractNumId w:val="18"/>
  </w:num>
  <w:num w:numId="20" w16cid:durableId="1150947773">
    <w:abstractNumId w:val="17"/>
  </w:num>
  <w:num w:numId="21" w16cid:durableId="124660497">
    <w:abstractNumId w:val="16"/>
  </w:num>
  <w:num w:numId="22" w16cid:durableId="2099861471">
    <w:abstractNumId w:val="15"/>
  </w:num>
  <w:num w:numId="23" w16cid:durableId="84351335">
    <w:abstractNumId w:val="11"/>
  </w:num>
  <w:num w:numId="24" w16cid:durableId="1991683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27C0"/>
    <w:rsid w:val="00004137"/>
    <w:rsid w:val="0000516B"/>
    <w:rsid w:val="000052FB"/>
    <w:rsid w:val="00005A19"/>
    <w:rsid w:val="000072FB"/>
    <w:rsid w:val="00007E41"/>
    <w:rsid w:val="0001111A"/>
    <w:rsid w:val="000117CB"/>
    <w:rsid w:val="00011B72"/>
    <w:rsid w:val="00015F2E"/>
    <w:rsid w:val="00016077"/>
    <w:rsid w:val="00017142"/>
    <w:rsid w:val="00020BE6"/>
    <w:rsid w:val="00027C00"/>
    <w:rsid w:val="0003148D"/>
    <w:rsid w:val="00031EEC"/>
    <w:rsid w:val="000326EC"/>
    <w:rsid w:val="0003570D"/>
    <w:rsid w:val="00036A4B"/>
    <w:rsid w:val="00037EA5"/>
    <w:rsid w:val="00044DE1"/>
    <w:rsid w:val="00050D29"/>
    <w:rsid w:val="00051566"/>
    <w:rsid w:val="00055B6F"/>
    <w:rsid w:val="000562A9"/>
    <w:rsid w:val="000575C1"/>
    <w:rsid w:val="000610F9"/>
    <w:rsid w:val="00061B01"/>
    <w:rsid w:val="000624E4"/>
    <w:rsid w:val="00062A9A"/>
    <w:rsid w:val="000637D5"/>
    <w:rsid w:val="00065058"/>
    <w:rsid w:val="0007029A"/>
    <w:rsid w:val="00080B1C"/>
    <w:rsid w:val="00080C72"/>
    <w:rsid w:val="000819CD"/>
    <w:rsid w:val="00084C20"/>
    <w:rsid w:val="00085046"/>
    <w:rsid w:val="00086C39"/>
    <w:rsid w:val="00086FAD"/>
    <w:rsid w:val="000976C9"/>
    <w:rsid w:val="000A03B2"/>
    <w:rsid w:val="000A58B3"/>
    <w:rsid w:val="000B1B91"/>
    <w:rsid w:val="000B2F89"/>
    <w:rsid w:val="000C2E72"/>
    <w:rsid w:val="000C37FF"/>
    <w:rsid w:val="000C40C5"/>
    <w:rsid w:val="000D0268"/>
    <w:rsid w:val="000D34BE"/>
    <w:rsid w:val="000D6D6C"/>
    <w:rsid w:val="000D7FD4"/>
    <w:rsid w:val="000E0B3C"/>
    <w:rsid w:val="000E0EBF"/>
    <w:rsid w:val="000E102F"/>
    <w:rsid w:val="000E36F1"/>
    <w:rsid w:val="000E3A73"/>
    <w:rsid w:val="000E414A"/>
    <w:rsid w:val="000E6E37"/>
    <w:rsid w:val="000E75FD"/>
    <w:rsid w:val="000F093C"/>
    <w:rsid w:val="000F0DC2"/>
    <w:rsid w:val="000F123F"/>
    <w:rsid w:val="000F12CF"/>
    <w:rsid w:val="000F32A1"/>
    <w:rsid w:val="000F32F1"/>
    <w:rsid w:val="000F3C0E"/>
    <w:rsid w:val="000F53B2"/>
    <w:rsid w:val="000F62AE"/>
    <w:rsid w:val="000F69B8"/>
    <w:rsid w:val="000F787B"/>
    <w:rsid w:val="001005C4"/>
    <w:rsid w:val="001012AC"/>
    <w:rsid w:val="00114DCB"/>
    <w:rsid w:val="00120373"/>
    <w:rsid w:val="0012091F"/>
    <w:rsid w:val="00121715"/>
    <w:rsid w:val="001218E6"/>
    <w:rsid w:val="00122995"/>
    <w:rsid w:val="00126BC2"/>
    <w:rsid w:val="0012743A"/>
    <w:rsid w:val="001308B6"/>
    <w:rsid w:val="0013121F"/>
    <w:rsid w:val="00131FE6"/>
    <w:rsid w:val="0013249D"/>
    <w:rsid w:val="0013263F"/>
    <w:rsid w:val="001331DF"/>
    <w:rsid w:val="001338E8"/>
    <w:rsid w:val="001349A3"/>
    <w:rsid w:val="00134DE4"/>
    <w:rsid w:val="00135A8B"/>
    <w:rsid w:val="00135E1D"/>
    <w:rsid w:val="0014034D"/>
    <w:rsid w:val="00140FE3"/>
    <w:rsid w:val="00142AE7"/>
    <w:rsid w:val="00144D16"/>
    <w:rsid w:val="00146543"/>
    <w:rsid w:val="001505DB"/>
    <w:rsid w:val="00150C08"/>
    <w:rsid w:val="00150E59"/>
    <w:rsid w:val="00152B21"/>
    <w:rsid w:val="00152DE3"/>
    <w:rsid w:val="00154D73"/>
    <w:rsid w:val="0016148A"/>
    <w:rsid w:val="0016193B"/>
    <w:rsid w:val="00164AD2"/>
    <w:rsid w:val="00164CF9"/>
    <w:rsid w:val="00165B8D"/>
    <w:rsid w:val="0016668E"/>
    <w:rsid w:val="001667A6"/>
    <w:rsid w:val="00172D93"/>
    <w:rsid w:val="00172FEF"/>
    <w:rsid w:val="001744C0"/>
    <w:rsid w:val="0017538B"/>
    <w:rsid w:val="00176BB8"/>
    <w:rsid w:val="00176D98"/>
    <w:rsid w:val="0018171E"/>
    <w:rsid w:val="001830E3"/>
    <w:rsid w:val="00184AD6"/>
    <w:rsid w:val="001858C0"/>
    <w:rsid w:val="00186170"/>
    <w:rsid w:val="0019046F"/>
    <w:rsid w:val="001905D4"/>
    <w:rsid w:val="00191398"/>
    <w:rsid w:val="001A0226"/>
    <w:rsid w:val="001A0B0D"/>
    <w:rsid w:val="001A1F29"/>
    <w:rsid w:val="001A26DF"/>
    <w:rsid w:val="001A4AF7"/>
    <w:rsid w:val="001A5D97"/>
    <w:rsid w:val="001B0349"/>
    <w:rsid w:val="001B0B1A"/>
    <w:rsid w:val="001B1E93"/>
    <w:rsid w:val="001B3948"/>
    <w:rsid w:val="001B5097"/>
    <w:rsid w:val="001B6010"/>
    <w:rsid w:val="001B65C1"/>
    <w:rsid w:val="001B6BD7"/>
    <w:rsid w:val="001B6ED6"/>
    <w:rsid w:val="001B72D0"/>
    <w:rsid w:val="001C260F"/>
    <w:rsid w:val="001C51CF"/>
    <w:rsid w:val="001C59FF"/>
    <w:rsid w:val="001C5C3A"/>
    <w:rsid w:val="001C684B"/>
    <w:rsid w:val="001D0A4E"/>
    <w:rsid w:val="001D0CFB"/>
    <w:rsid w:val="001D21AF"/>
    <w:rsid w:val="001D2C6C"/>
    <w:rsid w:val="001D3D32"/>
    <w:rsid w:val="001D3DEF"/>
    <w:rsid w:val="001D53FC"/>
    <w:rsid w:val="001D6A41"/>
    <w:rsid w:val="001E1C8C"/>
    <w:rsid w:val="001E2CE5"/>
    <w:rsid w:val="001F42A5"/>
    <w:rsid w:val="001F7B9D"/>
    <w:rsid w:val="00201C93"/>
    <w:rsid w:val="0020439B"/>
    <w:rsid w:val="00204410"/>
    <w:rsid w:val="0020608B"/>
    <w:rsid w:val="00213828"/>
    <w:rsid w:val="0022085E"/>
    <w:rsid w:val="002219D2"/>
    <w:rsid w:val="0022240F"/>
    <w:rsid w:val="002224B4"/>
    <w:rsid w:val="00223CD3"/>
    <w:rsid w:val="00223D23"/>
    <w:rsid w:val="00225858"/>
    <w:rsid w:val="00226767"/>
    <w:rsid w:val="0023160E"/>
    <w:rsid w:val="002316E5"/>
    <w:rsid w:val="00234CA1"/>
    <w:rsid w:val="00236049"/>
    <w:rsid w:val="00240B36"/>
    <w:rsid w:val="002438B5"/>
    <w:rsid w:val="002447EF"/>
    <w:rsid w:val="002475DF"/>
    <w:rsid w:val="002503DC"/>
    <w:rsid w:val="0025072B"/>
    <w:rsid w:val="002512A1"/>
    <w:rsid w:val="00251550"/>
    <w:rsid w:val="0025370F"/>
    <w:rsid w:val="00254EB8"/>
    <w:rsid w:val="00255525"/>
    <w:rsid w:val="00255C49"/>
    <w:rsid w:val="00256613"/>
    <w:rsid w:val="00263B05"/>
    <w:rsid w:val="00263B1C"/>
    <w:rsid w:val="00265B0A"/>
    <w:rsid w:val="0026696C"/>
    <w:rsid w:val="00267E9B"/>
    <w:rsid w:val="0027221A"/>
    <w:rsid w:val="00275B61"/>
    <w:rsid w:val="00280FAF"/>
    <w:rsid w:val="00282656"/>
    <w:rsid w:val="002862F6"/>
    <w:rsid w:val="00287A95"/>
    <w:rsid w:val="00291195"/>
    <w:rsid w:val="00296B83"/>
    <w:rsid w:val="002A2E42"/>
    <w:rsid w:val="002A3D4B"/>
    <w:rsid w:val="002A61E7"/>
    <w:rsid w:val="002A65B4"/>
    <w:rsid w:val="002B0438"/>
    <w:rsid w:val="002B264A"/>
    <w:rsid w:val="002B4015"/>
    <w:rsid w:val="002B4176"/>
    <w:rsid w:val="002B42DE"/>
    <w:rsid w:val="002B78CE"/>
    <w:rsid w:val="002C27EE"/>
    <w:rsid w:val="002C2FB6"/>
    <w:rsid w:val="002C4073"/>
    <w:rsid w:val="002C7560"/>
    <w:rsid w:val="002C7D41"/>
    <w:rsid w:val="002D4651"/>
    <w:rsid w:val="002D540E"/>
    <w:rsid w:val="002D7305"/>
    <w:rsid w:val="002D7724"/>
    <w:rsid w:val="002E4B0C"/>
    <w:rsid w:val="002E5C2B"/>
    <w:rsid w:val="002E5FA7"/>
    <w:rsid w:val="002E75A6"/>
    <w:rsid w:val="002F070D"/>
    <w:rsid w:val="002F0D3A"/>
    <w:rsid w:val="002F106A"/>
    <w:rsid w:val="002F3309"/>
    <w:rsid w:val="00300161"/>
    <w:rsid w:val="00300742"/>
    <w:rsid w:val="003008CE"/>
    <w:rsid w:val="003009B7"/>
    <w:rsid w:val="00300BD1"/>
    <w:rsid w:val="00300BD6"/>
    <w:rsid w:val="00300E56"/>
    <w:rsid w:val="0030152C"/>
    <w:rsid w:val="00303E30"/>
    <w:rsid w:val="0030469C"/>
    <w:rsid w:val="00304CE8"/>
    <w:rsid w:val="00305CE7"/>
    <w:rsid w:val="0030720A"/>
    <w:rsid w:val="003131AF"/>
    <w:rsid w:val="0031413E"/>
    <w:rsid w:val="00314778"/>
    <w:rsid w:val="00320604"/>
    <w:rsid w:val="00321CA4"/>
    <w:rsid w:val="00321CA6"/>
    <w:rsid w:val="003235FF"/>
    <w:rsid w:val="00323763"/>
    <w:rsid w:val="00323C5F"/>
    <w:rsid w:val="0032666E"/>
    <w:rsid w:val="00330478"/>
    <w:rsid w:val="003304CA"/>
    <w:rsid w:val="00332DA4"/>
    <w:rsid w:val="00334C09"/>
    <w:rsid w:val="00336D7D"/>
    <w:rsid w:val="00343437"/>
    <w:rsid w:val="00345269"/>
    <w:rsid w:val="003462B0"/>
    <w:rsid w:val="00346B8C"/>
    <w:rsid w:val="00351859"/>
    <w:rsid w:val="003520F3"/>
    <w:rsid w:val="00354669"/>
    <w:rsid w:val="003551D6"/>
    <w:rsid w:val="00357B19"/>
    <w:rsid w:val="00371675"/>
    <w:rsid w:val="003723D4"/>
    <w:rsid w:val="00380E50"/>
    <w:rsid w:val="00381624"/>
    <w:rsid w:val="00381905"/>
    <w:rsid w:val="00382EB5"/>
    <w:rsid w:val="00384CC8"/>
    <w:rsid w:val="00386710"/>
    <w:rsid w:val="003871FD"/>
    <w:rsid w:val="0038733E"/>
    <w:rsid w:val="0039126A"/>
    <w:rsid w:val="00395927"/>
    <w:rsid w:val="0039696B"/>
    <w:rsid w:val="003A058B"/>
    <w:rsid w:val="003A1954"/>
    <w:rsid w:val="003A1E30"/>
    <w:rsid w:val="003A2829"/>
    <w:rsid w:val="003A2AC4"/>
    <w:rsid w:val="003A35D5"/>
    <w:rsid w:val="003A42CA"/>
    <w:rsid w:val="003A5FAD"/>
    <w:rsid w:val="003A795F"/>
    <w:rsid w:val="003A7D1C"/>
    <w:rsid w:val="003B304B"/>
    <w:rsid w:val="003B3146"/>
    <w:rsid w:val="003B49CD"/>
    <w:rsid w:val="003B57D8"/>
    <w:rsid w:val="003B684C"/>
    <w:rsid w:val="003C248C"/>
    <w:rsid w:val="003D14A5"/>
    <w:rsid w:val="003D1E02"/>
    <w:rsid w:val="003D26A1"/>
    <w:rsid w:val="003D4615"/>
    <w:rsid w:val="003D5AC9"/>
    <w:rsid w:val="003D7814"/>
    <w:rsid w:val="003E1964"/>
    <w:rsid w:val="003E1CF2"/>
    <w:rsid w:val="003E2D4D"/>
    <w:rsid w:val="003E373C"/>
    <w:rsid w:val="003E3811"/>
    <w:rsid w:val="003E57D4"/>
    <w:rsid w:val="003E5F77"/>
    <w:rsid w:val="003E6661"/>
    <w:rsid w:val="003E799E"/>
    <w:rsid w:val="003F015E"/>
    <w:rsid w:val="003F09A9"/>
    <w:rsid w:val="003F49B0"/>
    <w:rsid w:val="003F5D2C"/>
    <w:rsid w:val="003F6CEC"/>
    <w:rsid w:val="003F7017"/>
    <w:rsid w:val="00400414"/>
    <w:rsid w:val="0040523B"/>
    <w:rsid w:val="004068D2"/>
    <w:rsid w:val="004074A1"/>
    <w:rsid w:val="00407B32"/>
    <w:rsid w:val="0041446B"/>
    <w:rsid w:val="00422815"/>
    <w:rsid w:val="004250CD"/>
    <w:rsid w:val="00432000"/>
    <w:rsid w:val="00434540"/>
    <w:rsid w:val="0043603D"/>
    <w:rsid w:val="0044071E"/>
    <w:rsid w:val="0044329C"/>
    <w:rsid w:val="00444B5B"/>
    <w:rsid w:val="004472FB"/>
    <w:rsid w:val="00447CAD"/>
    <w:rsid w:val="00453BB8"/>
    <w:rsid w:val="00453E24"/>
    <w:rsid w:val="004561D6"/>
    <w:rsid w:val="00457456"/>
    <w:rsid w:val="004577FE"/>
    <w:rsid w:val="00457B9C"/>
    <w:rsid w:val="0046164A"/>
    <w:rsid w:val="004616CC"/>
    <w:rsid w:val="004628D2"/>
    <w:rsid w:val="00462DCD"/>
    <w:rsid w:val="0046420F"/>
    <w:rsid w:val="004648AD"/>
    <w:rsid w:val="00465763"/>
    <w:rsid w:val="004703A9"/>
    <w:rsid w:val="00474A93"/>
    <w:rsid w:val="004753FF"/>
    <w:rsid w:val="004760DE"/>
    <w:rsid w:val="004763D7"/>
    <w:rsid w:val="004831ED"/>
    <w:rsid w:val="004876EA"/>
    <w:rsid w:val="00491864"/>
    <w:rsid w:val="0049368B"/>
    <w:rsid w:val="0049374A"/>
    <w:rsid w:val="00494280"/>
    <w:rsid w:val="004A004E"/>
    <w:rsid w:val="004A01AE"/>
    <w:rsid w:val="004A1893"/>
    <w:rsid w:val="004A24CF"/>
    <w:rsid w:val="004A2702"/>
    <w:rsid w:val="004A2CAB"/>
    <w:rsid w:val="004A3FF3"/>
    <w:rsid w:val="004A59A5"/>
    <w:rsid w:val="004A6E48"/>
    <w:rsid w:val="004B2EB9"/>
    <w:rsid w:val="004B3A73"/>
    <w:rsid w:val="004B600A"/>
    <w:rsid w:val="004C04C3"/>
    <w:rsid w:val="004C1E5E"/>
    <w:rsid w:val="004C3887"/>
    <w:rsid w:val="004C3D1D"/>
    <w:rsid w:val="004C3D84"/>
    <w:rsid w:val="004C55DD"/>
    <w:rsid w:val="004C7665"/>
    <w:rsid w:val="004C7913"/>
    <w:rsid w:val="004D07D6"/>
    <w:rsid w:val="004D5099"/>
    <w:rsid w:val="004E0A89"/>
    <w:rsid w:val="004E0D18"/>
    <w:rsid w:val="004E23F9"/>
    <w:rsid w:val="004E2E0C"/>
    <w:rsid w:val="004E348E"/>
    <w:rsid w:val="004E4DD6"/>
    <w:rsid w:val="004E6873"/>
    <w:rsid w:val="004F125F"/>
    <w:rsid w:val="004F153D"/>
    <w:rsid w:val="004F418D"/>
    <w:rsid w:val="004F4873"/>
    <w:rsid w:val="004F5E36"/>
    <w:rsid w:val="00500E6D"/>
    <w:rsid w:val="00503917"/>
    <w:rsid w:val="00507B47"/>
    <w:rsid w:val="00507BEF"/>
    <w:rsid w:val="00507CC9"/>
    <w:rsid w:val="00510DAB"/>
    <w:rsid w:val="005119A5"/>
    <w:rsid w:val="00515D8C"/>
    <w:rsid w:val="005160BB"/>
    <w:rsid w:val="00520367"/>
    <w:rsid w:val="0052060C"/>
    <w:rsid w:val="0052106C"/>
    <w:rsid w:val="00522096"/>
    <w:rsid w:val="0052332D"/>
    <w:rsid w:val="0052334F"/>
    <w:rsid w:val="005278B7"/>
    <w:rsid w:val="00532016"/>
    <w:rsid w:val="005346C8"/>
    <w:rsid w:val="00534A51"/>
    <w:rsid w:val="00535994"/>
    <w:rsid w:val="00535AA1"/>
    <w:rsid w:val="00535F31"/>
    <w:rsid w:val="005361FD"/>
    <w:rsid w:val="00543E7D"/>
    <w:rsid w:val="0054412C"/>
    <w:rsid w:val="0054782E"/>
    <w:rsid w:val="00547A68"/>
    <w:rsid w:val="005531C9"/>
    <w:rsid w:val="00554879"/>
    <w:rsid w:val="00561020"/>
    <w:rsid w:val="005653DB"/>
    <w:rsid w:val="005661E5"/>
    <w:rsid w:val="00570C43"/>
    <w:rsid w:val="005717A3"/>
    <w:rsid w:val="005721C3"/>
    <w:rsid w:val="005845D2"/>
    <w:rsid w:val="00591665"/>
    <w:rsid w:val="00592274"/>
    <w:rsid w:val="005928FC"/>
    <w:rsid w:val="005A1520"/>
    <w:rsid w:val="005A216A"/>
    <w:rsid w:val="005A6354"/>
    <w:rsid w:val="005A75DF"/>
    <w:rsid w:val="005B1147"/>
    <w:rsid w:val="005B2110"/>
    <w:rsid w:val="005B350B"/>
    <w:rsid w:val="005B352D"/>
    <w:rsid w:val="005B51F2"/>
    <w:rsid w:val="005B61E6"/>
    <w:rsid w:val="005C099C"/>
    <w:rsid w:val="005C3343"/>
    <w:rsid w:val="005C77E1"/>
    <w:rsid w:val="005C7DF9"/>
    <w:rsid w:val="005D0661"/>
    <w:rsid w:val="005D1D0E"/>
    <w:rsid w:val="005D668A"/>
    <w:rsid w:val="005D6A2F"/>
    <w:rsid w:val="005E0592"/>
    <w:rsid w:val="005E1A82"/>
    <w:rsid w:val="005E63ED"/>
    <w:rsid w:val="005E794C"/>
    <w:rsid w:val="005F0A28"/>
    <w:rsid w:val="005F0E5E"/>
    <w:rsid w:val="005F287F"/>
    <w:rsid w:val="00600535"/>
    <w:rsid w:val="0060211C"/>
    <w:rsid w:val="00606B92"/>
    <w:rsid w:val="00610CD6"/>
    <w:rsid w:val="0061776A"/>
    <w:rsid w:val="00620DEE"/>
    <w:rsid w:val="00621F92"/>
    <w:rsid w:val="0062280A"/>
    <w:rsid w:val="006231E1"/>
    <w:rsid w:val="00625639"/>
    <w:rsid w:val="00626342"/>
    <w:rsid w:val="006276FE"/>
    <w:rsid w:val="006279E0"/>
    <w:rsid w:val="00631B33"/>
    <w:rsid w:val="006321FC"/>
    <w:rsid w:val="00632951"/>
    <w:rsid w:val="00634F4F"/>
    <w:rsid w:val="00635396"/>
    <w:rsid w:val="00637E76"/>
    <w:rsid w:val="0064184D"/>
    <w:rsid w:val="006422CC"/>
    <w:rsid w:val="0064240B"/>
    <w:rsid w:val="00642A87"/>
    <w:rsid w:val="00644768"/>
    <w:rsid w:val="006468BB"/>
    <w:rsid w:val="006501BC"/>
    <w:rsid w:val="00650409"/>
    <w:rsid w:val="00650A45"/>
    <w:rsid w:val="00651D18"/>
    <w:rsid w:val="006602CB"/>
    <w:rsid w:val="00660E3E"/>
    <w:rsid w:val="00662E74"/>
    <w:rsid w:val="00672BB3"/>
    <w:rsid w:val="006754FE"/>
    <w:rsid w:val="006803DE"/>
    <w:rsid w:val="00680C23"/>
    <w:rsid w:val="00683E23"/>
    <w:rsid w:val="0068563F"/>
    <w:rsid w:val="00686BB2"/>
    <w:rsid w:val="00687295"/>
    <w:rsid w:val="00687604"/>
    <w:rsid w:val="006911BD"/>
    <w:rsid w:val="00692C0B"/>
    <w:rsid w:val="006930E6"/>
    <w:rsid w:val="00693766"/>
    <w:rsid w:val="00695A53"/>
    <w:rsid w:val="006A2671"/>
    <w:rsid w:val="006A3281"/>
    <w:rsid w:val="006A491B"/>
    <w:rsid w:val="006A6DE5"/>
    <w:rsid w:val="006B3B01"/>
    <w:rsid w:val="006B4888"/>
    <w:rsid w:val="006B648D"/>
    <w:rsid w:val="006C18BF"/>
    <w:rsid w:val="006C2E45"/>
    <w:rsid w:val="006C359C"/>
    <w:rsid w:val="006C46F5"/>
    <w:rsid w:val="006C5579"/>
    <w:rsid w:val="006C79C2"/>
    <w:rsid w:val="006D05B2"/>
    <w:rsid w:val="006D6E8B"/>
    <w:rsid w:val="006D7209"/>
    <w:rsid w:val="006E1075"/>
    <w:rsid w:val="006E18A9"/>
    <w:rsid w:val="006E1EFF"/>
    <w:rsid w:val="006E348C"/>
    <w:rsid w:val="006E737D"/>
    <w:rsid w:val="006F318D"/>
    <w:rsid w:val="006F5985"/>
    <w:rsid w:val="0070111D"/>
    <w:rsid w:val="00707DD1"/>
    <w:rsid w:val="00711A29"/>
    <w:rsid w:val="00711EB3"/>
    <w:rsid w:val="00713973"/>
    <w:rsid w:val="00713A92"/>
    <w:rsid w:val="00717D45"/>
    <w:rsid w:val="00720A24"/>
    <w:rsid w:val="00720ED6"/>
    <w:rsid w:val="00724D6B"/>
    <w:rsid w:val="00726205"/>
    <w:rsid w:val="00727A8B"/>
    <w:rsid w:val="00731716"/>
    <w:rsid w:val="00732386"/>
    <w:rsid w:val="0073514D"/>
    <w:rsid w:val="00736C4C"/>
    <w:rsid w:val="007372B4"/>
    <w:rsid w:val="00737633"/>
    <w:rsid w:val="00743280"/>
    <w:rsid w:val="007447F3"/>
    <w:rsid w:val="00744996"/>
    <w:rsid w:val="007452AF"/>
    <w:rsid w:val="00751156"/>
    <w:rsid w:val="00754641"/>
    <w:rsid w:val="0075499F"/>
    <w:rsid w:val="00754CF2"/>
    <w:rsid w:val="00755B3F"/>
    <w:rsid w:val="00764A9D"/>
    <w:rsid w:val="007661C8"/>
    <w:rsid w:val="0076710A"/>
    <w:rsid w:val="0077098D"/>
    <w:rsid w:val="00771C28"/>
    <w:rsid w:val="00780680"/>
    <w:rsid w:val="00785BF9"/>
    <w:rsid w:val="007931FA"/>
    <w:rsid w:val="00794FA7"/>
    <w:rsid w:val="00797266"/>
    <w:rsid w:val="00797C04"/>
    <w:rsid w:val="007A1317"/>
    <w:rsid w:val="007A1A1F"/>
    <w:rsid w:val="007A2EF4"/>
    <w:rsid w:val="007A33E0"/>
    <w:rsid w:val="007A341B"/>
    <w:rsid w:val="007A4861"/>
    <w:rsid w:val="007A6BA5"/>
    <w:rsid w:val="007A7BBA"/>
    <w:rsid w:val="007B0C50"/>
    <w:rsid w:val="007B3369"/>
    <w:rsid w:val="007B48F9"/>
    <w:rsid w:val="007B53AD"/>
    <w:rsid w:val="007B69A5"/>
    <w:rsid w:val="007C1A43"/>
    <w:rsid w:val="007C5D2C"/>
    <w:rsid w:val="007C74ED"/>
    <w:rsid w:val="007D0951"/>
    <w:rsid w:val="007D610D"/>
    <w:rsid w:val="007D6C4B"/>
    <w:rsid w:val="007D732E"/>
    <w:rsid w:val="007E2CDB"/>
    <w:rsid w:val="007E3064"/>
    <w:rsid w:val="007E3CB5"/>
    <w:rsid w:val="007E46D8"/>
    <w:rsid w:val="007E6009"/>
    <w:rsid w:val="007F0024"/>
    <w:rsid w:val="007F02CB"/>
    <w:rsid w:val="007F1CDA"/>
    <w:rsid w:val="007F5EC7"/>
    <w:rsid w:val="007F6669"/>
    <w:rsid w:val="0080013E"/>
    <w:rsid w:val="00801759"/>
    <w:rsid w:val="00806FCD"/>
    <w:rsid w:val="00812EFD"/>
    <w:rsid w:val="00813288"/>
    <w:rsid w:val="008137FC"/>
    <w:rsid w:val="008168FC"/>
    <w:rsid w:val="00821191"/>
    <w:rsid w:val="00824202"/>
    <w:rsid w:val="00824288"/>
    <w:rsid w:val="00830996"/>
    <w:rsid w:val="00831D5B"/>
    <w:rsid w:val="0083290E"/>
    <w:rsid w:val="008345F1"/>
    <w:rsid w:val="00852B61"/>
    <w:rsid w:val="00856D2A"/>
    <w:rsid w:val="0086180A"/>
    <w:rsid w:val="00861F47"/>
    <w:rsid w:val="00862B49"/>
    <w:rsid w:val="00865B07"/>
    <w:rsid w:val="00865CA3"/>
    <w:rsid w:val="008667EA"/>
    <w:rsid w:val="008726F4"/>
    <w:rsid w:val="00873EA5"/>
    <w:rsid w:val="0087637F"/>
    <w:rsid w:val="008763B7"/>
    <w:rsid w:val="00885331"/>
    <w:rsid w:val="00885C32"/>
    <w:rsid w:val="00887004"/>
    <w:rsid w:val="008918DA"/>
    <w:rsid w:val="00892AD5"/>
    <w:rsid w:val="00896793"/>
    <w:rsid w:val="008978F6"/>
    <w:rsid w:val="008A1512"/>
    <w:rsid w:val="008B3440"/>
    <w:rsid w:val="008B364A"/>
    <w:rsid w:val="008C037E"/>
    <w:rsid w:val="008C0455"/>
    <w:rsid w:val="008C10DC"/>
    <w:rsid w:val="008C1B0D"/>
    <w:rsid w:val="008C527E"/>
    <w:rsid w:val="008C60C0"/>
    <w:rsid w:val="008C69BB"/>
    <w:rsid w:val="008D32B9"/>
    <w:rsid w:val="008D433B"/>
    <w:rsid w:val="008D4A16"/>
    <w:rsid w:val="008E5401"/>
    <w:rsid w:val="008E566E"/>
    <w:rsid w:val="008E76E1"/>
    <w:rsid w:val="008F276F"/>
    <w:rsid w:val="008F2FE7"/>
    <w:rsid w:val="008F3B90"/>
    <w:rsid w:val="008F5434"/>
    <w:rsid w:val="00900912"/>
    <w:rsid w:val="0090161A"/>
    <w:rsid w:val="00901EB6"/>
    <w:rsid w:val="009041F8"/>
    <w:rsid w:val="00904C62"/>
    <w:rsid w:val="00910C5A"/>
    <w:rsid w:val="00922BA8"/>
    <w:rsid w:val="00924DAC"/>
    <w:rsid w:val="00927058"/>
    <w:rsid w:val="009303AD"/>
    <w:rsid w:val="00930C5E"/>
    <w:rsid w:val="009315F7"/>
    <w:rsid w:val="0093310B"/>
    <w:rsid w:val="009331BF"/>
    <w:rsid w:val="009361BE"/>
    <w:rsid w:val="00936584"/>
    <w:rsid w:val="009375B6"/>
    <w:rsid w:val="00942750"/>
    <w:rsid w:val="00944CDE"/>
    <w:rsid w:val="00945069"/>
    <w:rsid w:val="009450CE"/>
    <w:rsid w:val="0094542C"/>
    <w:rsid w:val="009459BB"/>
    <w:rsid w:val="00946BC6"/>
    <w:rsid w:val="00947179"/>
    <w:rsid w:val="009474FC"/>
    <w:rsid w:val="009512E7"/>
    <w:rsid w:val="0095164B"/>
    <w:rsid w:val="00954090"/>
    <w:rsid w:val="00956376"/>
    <w:rsid w:val="009573E7"/>
    <w:rsid w:val="00963E05"/>
    <w:rsid w:val="009644B6"/>
    <w:rsid w:val="00964A45"/>
    <w:rsid w:val="00966A26"/>
    <w:rsid w:val="00966CE5"/>
    <w:rsid w:val="00967843"/>
    <w:rsid w:val="00967D54"/>
    <w:rsid w:val="00971028"/>
    <w:rsid w:val="00971FD0"/>
    <w:rsid w:val="00974FE8"/>
    <w:rsid w:val="00975219"/>
    <w:rsid w:val="00975339"/>
    <w:rsid w:val="00984352"/>
    <w:rsid w:val="0098670F"/>
    <w:rsid w:val="009918DB"/>
    <w:rsid w:val="00993B84"/>
    <w:rsid w:val="00994C6A"/>
    <w:rsid w:val="00996483"/>
    <w:rsid w:val="00996F5A"/>
    <w:rsid w:val="009A2E41"/>
    <w:rsid w:val="009A3756"/>
    <w:rsid w:val="009A5DB1"/>
    <w:rsid w:val="009A6692"/>
    <w:rsid w:val="009B041A"/>
    <w:rsid w:val="009B0FFA"/>
    <w:rsid w:val="009B228F"/>
    <w:rsid w:val="009B5CCB"/>
    <w:rsid w:val="009B6082"/>
    <w:rsid w:val="009B6E57"/>
    <w:rsid w:val="009C1A79"/>
    <w:rsid w:val="009C37C3"/>
    <w:rsid w:val="009C535F"/>
    <w:rsid w:val="009C7C86"/>
    <w:rsid w:val="009D22A7"/>
    <w:rsid w:val="009D25C9"/>
    <w:rsid w:val="009D2FF7"/>
    <w:rsid w:val="009D403A"/>
    <w:rsid w:val="009E36BD"/>
    <w:rsid w:val="009E6D87"/>
    <w:rsid w:val="009E6DB3"/>
    <w:rsid w:val="009E7884"/>
    <w:rsid w:val="009E788A"/>
    <w:rsid w:val="009F061D"/>
    <w:rsid w:val="009F0E08"/>
    <w:rsid w:val="009F7B6B"/>
    <w:rsid w:val="00A01046"/>
    <w:rsid w:val="00A02371"/>
    <w:rsid w:val="00A06546"/>
    <w:rsid w:val="00A079AE"/>
    <w:rsid w:val="00A1305C"/>
    <w:rsid w:val="00A16314"/>
    <w:rsid w:val="00A1763D"/>
    <w:rsid w:val="00A17CEC"/>
    <w:rsid w:val="00A20FCA"/>
    <w:rsid w:val="00A22AE1"/>
    <w:rsid w:val="00A22B89"/>
    <w:rsid w:val="00A2462C"/>
    <w:rsid w:val="00A24A64"/>
    <w:rsid w:val="00A276C8"/>
    <w:rsid w:val="00A27EF0"/>
    <w:rsid w:val="00A32270"/>
    <w:rsid w:val="00A327C3"/>
    <w:rsid w:val="00A4122D"/>
    <w:rsid w:val="00A42361"/>
    <w:rsid w:val="00A43913"/>
    <w:rsid w:val="00A467C7"/>
    <w:rsid w:val="00A47CED"/>
    <w:rsid w:val="00A50B20"/>
    <w:rsid w:val="00A51390"/>
    <w:rsid w:val="00A528BC"/>
    <w:rsid w:val="00A5433D"/>
    <w:rsid w:val="00A543DB"/>
    <w:rsid w:val="00A55790"/>
    <w:rsid w:val="00A5593F"/>
    <w:rsid w:val="00A604C9"/>
    <w:rsid w:val="00A6095B"/>
    <w:rsid w:val="00A60D13"/>
    <w:rsid w:val="00A612CB"/>
    <w:rsid w:val="00A67420"/>
    <w:rsid w:val="00A715A7"/>
    <w:rsid w:val="00A7223D"/>
    <w:rsid w:val="00A72745"/>
    <w:rsid w:val="00A72DB8"/>
    <w:rsid w:val="00A753EF"/>
    <w:rsid w:val="00A76EFC"/>
    <w:rsid w:val="00A77420"/>
    <w:rsid w:val="00A8046E"/>
    <w:rsid w:val="00A827C5"/>
    <w:rsid w:val="00A86FD7"/>
    <w:rsid w:val="00A87D50"/>
    <w:rsid w:val="00A90D6F"/>
    <w:rsid w:val="00A91010"/>
    <w:rsid w:val="00A91781"/>
    <w:rsid w:val="00A9712D"/>
    <w:rsid w:val="00A97F29"/>
    <w:rsid w:val="00AA6D89"/>
    <w:rsid w:val="00AA702E"/>
    <w:rsid w:val="00AA7D26"/>
    <w:rsid w:val="00AB0122"/>
    <w:rsid w:val="00AB0964"/>
    <w:rsid w:val="00AB4C8C"/>
    <w:rsid w:val="00AB5011"/>
    <w:rsid w:val="00AB5511"/>
    <w:rsid w:val="00AC16CA"/>
    <w:rsid w:val="00AC1BEF"/>
    <w:rsid w:val="00AC7368"/>
    <w:rsid w:val="00AD16B9"/>
    <w:rsid w:val="00AD5D12"/>
    <w:rsid w:val="00AD7AC0"/>
    <w:rsid w:val="00AE050C"/>
    <w:rsid w:val="00AE1860"/>
    <w:rsid w:val="00AE377D"/>
    <w:rsid w:val="00AE4C52"/>
    <w:rsid w:val="00AE4FF4"/>
    <w:rsid w:val="00AE7691"/>
    <w:rsid w:val="00AE7B70"/>
    <w:rsid w:val="00AE7B81"/>
    <w:rsid w:val="00AF0EBA"/>
    <w:rsid w:val="00AF2463"/>
    <w:rsid w:val="00AF41AE"/>
    <w:rsid w:val="00AF45ED"/>
    <w:rsid w:val="00AF7AFF"/>
    <w:rsid w:val="00B00EB3"/>
    <w:rsid w:val="00B01C10"/>
    <w:rsid w:val="00B02511"/>
    <w:rsid w:val="00B02C8A"/>
    <w:rsid w:val="00B04C11"/>
    <w:rsid w:val="00B05060"/>
    <w:rsid w:val="00B10275"/>
    <w:rsid w:val="00B1389E"/>
    <w:rsid w:val="00B17644"/>
    <w:rsid w:val="00B17FBD"/>
    <w:rsid w:val="00B25BAC"/>
    <w:rsid w:val="00B25C9D"/>
    <w:rsid w:val="00B315A6"/>
    <w:rsid w:val="00B31813"/>
    <w:rsid w:val="00B33365"/>
    <w:rsid w:val="00B337F4"/>
    <w:rsid w:val="00B33C47"/>
    <w:rsid w:val="00B37975"/>
    <w:rsid w:val="00B418CA"/>
    <w:rsid w:val="00B41FF0"/>
    <w:rsid w:val="00B43E52"/>
    <w:rsid w:val="00B45903"/>
    <w:rsid w:val="00B5241E"/>
    <w:rsid w:val="00B551A9"/>
    <w:rsid w:val="00B55B24"/>
    <w:rsid w:val="00B56618"/>
    <w:rsid w:val="00B57B36"/>
    <w:rsid w:val="00B57E6F"/>
    <w:rsid w:val="00B6010C"/>
    <w:rsid w:val="00B61BBA"/>
    <w:rsid w:val="00B62730"/>
    <w:rsid w:val="00B634AB"/>
    <w:rsid w:val="00B641AF"/>
    <w:rsid w:val="00B66EED"/>
    <w:rsid w:val="00B70E54"/>
    <w:rsid w:val="00B70FC8"/>
    <w:rsid w:val="00B71EF4"/>
    <w:rsid w:val="00B72B0C"/>
    <w:rsid w:val="00B730DA"/>
    <w:rsid w:val="00B7539C"/>
    <w:rsid w:val="00B843D9"/>
    <w:rsid w:val="00B852CA"/>
    <w:rsid w:val="00B8686D"/>
    <w:rsid w:val="00B86871"/>
    <w:rsid w:val="00B90C17"/>
    <w:rsid w:val="00B936B2"/>
    <w:rsid w:val="00B93F69"/>
    <w:rsid w:val="00B9606E"/>
    <w:rsid w:val="00B9716D"/>
    <w:rsid w:val="00BA6397"/>
    <w:rsid w:val="00BB1DDC"/>
    <w:rsid w:val="00BB2A22"/>
    <w:rsid w:val="00BB3346"/>
    <w:rsid w:val="00BB4A40"/>
    <w:rsid w:val="00BB5A6C"/>
    <w:rsid w:val="00BB682E"/>
    <w:rsid w:val="00BC30C9"/>
    <w:rsid w:val="00BC5E8D"/>
    <w:rsid w:val="00BC65F3"/>
    <w:rsid w:val="00BD077D"/>
    <w:rsid w:val="00BD1083"/>
    <w:rsid w:val="00BD1E88"/>
    <w:rsid w:val="00BD2B5A"/>
    <w:rsid w:val="00BD2FC0"/>
    <w:rsid w:val="00BD5E27"/>
    <w:rsid w:val="00BE16E6"/>
    <w:rsid w:val="00BE2E90"/>
    <w:rsid w:val="00BE3E58"/>
    <w:rsid w:val="00BE7AE3"/>
    <w:rsid w:val="00BF12FA"/>
    <w:rsid w:val="00BF13CE"/>
    <w:rsid w:val="00BF3D45"/>
    <w:rsid w:val="00C01616"/>
    <w:rsid w:val="00C0162B"/>
    <w:rsid w:val="00C068ED"/>
    <w:rsid w:val="00C16861"/>
    <w:rsid w:val="00C17FD0"/>
    <w:rsid w:val="00C20C3B"/>
    <w:rsid w:val="00C22118"/>
    <w:rsid w:val="00C22E0C"/>
    <w:rsid w:val="00C22F44"/>
    <w:rsid w:val="00C2594F"/>
    <w:rsid w:val="00C31443"/>
    <w:rsid w:val="00C322EE"/>
    <w:rsid w:val="00C339F4"/>
    <w:rsid w:val="00C345B1"/>
    <w:rsid w:val="00C356BF"/>
    <w:rsid w:val="00C37BC5"/>
    <w:rsid w:val="00C40142"/>
    <w:rsid w:val="00C43D1A"/>
    <w:rsid w:val="00C46825"/>
    <w:rsid w:val="00C50E92"/>
    <w:rsid w:val="00C5175B"/>
    <w:rsid w:val="00C52C3C"/>
    <w:rsid w:val="00C537B1"/>
    <w:rsid w:val="00C54336"/>
    <w:rsid w:val="00C54F16"/>
    <w:rsid w:val="00C5590B"/>
    <w:rsid w:val="00C57182"/>
    <w:rsid w:val="00C57863"/>
    <w:rsid w:val="00C60CDF"/>
    <w:rsid w:val="00C640AF"/>
    <w:rsid w:val="00C65585"/>
    <w:rsid w:val="00C655FD"/>
    <w:rsid w:val="00C66EC3"/>
    <w:rsid w:val="00C70A4C"/>
    <w:rsid w:val="00C72266"/>
    <w:rsid w:val="00C74A77"/>
    <w:rsid w:val="00C75407"/>
    <w:rsid w:val="00C80AD4"/>
    <w:rsid w:val="00C81355"/>
    <w:rsid w:val="00C8192A"/>
    <w:rsid w:val="00C81A3A"/>
    <w:rsid w:val="00C83D04"/>
    <w:rsid w:val="00C841C6"/>
    <w:rsid w:val="00C849CD"/>
    <w:rsid w:val="00C870A8"/>
    <w:rsid w:val="00C87654"/>
    <w:rsid w:val="00C94434"/>
    <w:rsid w:val="00CA0D75"/>
    <w:rsid w:val="00CA1C95"/>
    <w:rsid w:val="00CA1E16"/>
    <w:rsid w:val="00CA5A9C"/>
    <w:rsid w:val="00CB0F8C"/>
    <w:rsid w:val="00CC2694"/>
    <w:rsid w:val="00CC2856"/>
    <w:rsid w:val="00CC44AA"/>
    <w:rsid w:val="00CC46EE"/>
    <w:rsid w:val="00CC4C20"/>
    <w:rsid w:val="00CD1CA1"/>
    <w:rsid w:val="00CD3517"/>
    <w:rsid w:val="00CD4466"/>
    <w:rsid w:val="00CD5FE2"/>
    <w:rsid w:val="00CD7E5F"/>
    <w:rsid w:val="00CE249F"/>
    <w:rsid w:val="00CE7C68"/>
    <w:rsid w:val="00CE7FF8"/>
    <w:rsid w:val="00CF098C"/>
    <w:rsid w:val="00CF7E9A"/>
    <w:rsid w:val="00D01616"/>
    <w:rsid w:val="00D026A7"/>
    <w:rsid w:val="00D02B4C"/>
    <w:rsid w:val="00D040C4"/>
    <w:rsid w:val="00D0420D"/>
    <w:rsid w:val="00D0668D"/>
    <w:rsid w:val="00D1002B"/>
    <w:rsid w:val="00D11432"/>
    <w:rsid w:val="00D202CE"/>
    <w:rsid w:val="00D20AD1"/>
    <w:rsid w:val="00D23048"/>
    <w:rsid w:val="00D2582C"/>
    <w:rsid w:val="00D3005D"/>
    <w:rsid w:val="00D30521"/>
    <w:rsid w:val="00D32112"/>
    <w:rsid w:val="00D32728"/>
    <w:rsid w:val="00D33460"/>
    <w:rsid w:val="00D35C58"/>
    <w:rsid w:val="00D36E1B"/>
    <w:rsid w:val="00D428D8"/>
    <w:rsid w:val="00D43DDB"/>
    <w:rsid w:val="00D46B7E"/>
    <w:rsid w:val="00D50662"/>
    <w:rsid w:val="00D53829"/>
    <w:rsid w:val="00D5655D"/>
    <w:rsid w:val="00D57C84"/>
    <w:rsid w:val="00D6057D"/>
    <w:rsid w:val="00D62A61"/>
    <w:rsid w:val="00D674E9"/>
    <w:rsid w:val="00D71640"/>
    <w:rsid w:val="00D73002"/>
    <w:rsid w:val="00D73211"/>
    <w:rsid w:val="00D75BF4"/>
    <w:rsid w:val="00D836C5"/>
    <w:rsid w:val="00D84576"/>
    <w:rsid w:val="00D848E4"/>
    <w:rsid w:val="00D86127"/>
    <w:rsid w:val="00D87C13"/>
    <w:rsid w:val="00D92600"/>
    <w:rsid w:val="00DA1399"/>
    <w:rsid w:val="00DA1A7F"/>
    <w:rsid w:val="00DA24C6"/>
    <w:rsid w:val="00DA4D7B"/>
    <w:rsid w:val="00DA73C7"/>
    <w:rsid w:val="00DB2B82"/>
    <w:rsid w:val="00DB71AB"/>
    <w:rsid w:val="00DB75F3"/>
    <w:rsid w:val="00DB7D2C"/>
    <w:rsid w:val="00DC0361"/>
    <w:rsid w:val="00DC2840"/>
    <w:rsid w:val="00DC5308"/>
    <w:rsid w:val="00DC549B"/>
    <w:rsid w:val="00DC73EE"/>
    <w:rsid w:val="00DC7406"/>
    <w:rsid w:val="00DD271C"/>
    <w:rsid w:val="00DD392D"/>
    <w:rsid w:val="00DE264A"/>
    <w:rsid w:val="00DE478A"/>
    <w:rsid w:val="00DE5F9C"/>
    <w:rsid w:val="00DF0830"/>
    <w:rsid w:val="00DF1E70"/>
    <w:rsid w:val="00DF44E4"/>
    <w:rsid w:val="00DF5072"/>
    <w:rsid w:val="00DF5303"/>
    <w:rsid w:val="00E02D18"/>
    <w:rsid w:val="00E041E7"/>
    <w:rsid w:val="00E04626"/>
    <w:rsid w:val="00E05EF0"/>
    <w:rsid w:val="00E0661F"/>
    <w:rsid w:val="00E07282"/>
    <w:rsid w:val="00E133A4"/>
    <w:rsid w:val="00E14CA6"/>
    <w:rsid w:val="00E22F7D"/>
    <w:rsid w:val="00E23CA1"/>
    <w:rsid w:val="00E25FDD"/>
    <w:rsid w:val="00E31C17"/>
    <w:rsid w:val="00E33527"/>
    <w:rsid w:val="00E34F4A"/>
    <w:rsid w:val="00E409A8"/>
    <w:rsid w:val="00E42FFA"/>
    <w:rsid w:val="00E433F9"/>
    <w:rsid w:val="00E43B36"/>
    <w:rsid w:val="00E43F6D"/>
    <w:rsid w:val="00E44600"/>
    <w:rsid w:val="00E4550C"/>
    <w:rsid w:val="00E46555"/>
    <w:rsid w:val="00E50C12"/>
    <w:rsid w:val="00E55AED"/>
    <w:rsid w:val="00E60939"/>
    <w:rsid w:val="00E64433"/>
    <w:rsid w:val="00E65B91"/>
    <w:rsid w:val="00E662B8"/>
    <w:rsid w:val="00E677CE"/>
    <w:rsid w:val="00E678CD"/>
    <w:rsid w:val="00E67DC3"/>
    <w:rsid w:val="00E7209D"/>
    <w:rsid w:val="00E72EAD"/>
    <w:rsid w:val="00E761DD"/>
    <w:rsid w:val="00E77223"/>
    <w:rsid w:val="00E77363"/>
    <w:rsid w:val="00E77BFF"/>
    <w:rsid w:val="00E85182"/>
    <w:rsid w:val="00E8528B"/>
    <w:rsid w:val="00E85B94"/>
    <w:rsid w:val="00E90128"/>
    <w:rsid w:val="00E9083E"/>
    <w:rsid w:val="00E92199"/>
    <w:rsid w:val="00E978D0"/>
    <w:rsid w:val="00EA4613"/>
    <w:rsid w:val="00EA7227"/>
    <w:rsid w:val="00EA7EF8"/>
    <w:rsid w:val="00EA7F91"/>
    <w:rsid w:val="00EB1523"/>
    <w:rsid w:val="00EB3824"/>
    <w:rsid w:val="00EB4973"/>
    <w:rsid w:val="00EB67E6"/>
    <w:rsid w:val="00EC0E49"/>
    <w:rsid w:val="00EC101F"/>
    <w:rsid w:val="00EC1B44"/>
    <w:rsid w:val="00EC1D9F"/>
    <w:rsid w:val="00ED0984"/>
    <w:rsid w:val="00ED7EE1"/>
    <w:rsid w:val="00EE0131"/>
    <w:rsid w:val="00EE0739"/>
    <w:rsid w:val="00EE17B0"/>
    <w:rsid w:val="00EE78E3"/>
    <w:rsid w:val="00EE795E"/>
    <w:rsid w:val="00EF06D9"/>
    <w:rsid w:val="00EF09EB"/>
    <w:rsid w:val="00EF2DEE"/>
    <w:rsid w:val="00F02DBE"/>
    <w:rsid w:val="00F239A4"/>
    <w:rsid w:val="00F2676B"/>
    <w:rsid w:val="00F3049E"/>
    <w:rsid w:val="00F30C64"/>
    <w:rsid w:val="00F30EAD"/>
    <w:rsid w:val="00F32BA2"/>
    <w:rsid w:val="00F32CDB"/>
    <w:rsid w:val="00F333FF"/>
    <w:rsid w:val="00F346C2"/>
    <w:rsid w:val="00F40361"/>
    <w:rsid w:val="00F41EE4"/>
    <w:rsid w:val="00F42AAB"/>
    <w:rsid w:val="00F44C92"/>
    <w:rsid w:val="00F44EB4"/>
    <w:rsid w:val="00F473F1"/>
    <w:rsid w:val="00F50C60"/>
    <w:rsid w:val="00F50F70"/>
    <w:rsid w:val="00F52018"/>
    <w:rsid w:val="00F565FE"/>
    <w:rsid w:val="00F6137A"/>
    <w:rsid w:val="00F61F7A"/>
    <w:rsid w:val="00F622EB"/>
    <w:rsid w:val="00F628B4"/>
    <w:rsid w:val="00F62E8E"/>
    <w:rsid w:val="00F63168"/>
    <w:rsid w:val="00F63A70"/>
    <w:rsid w:val="00F63D8C"/>
    <w:rsid w:val="00F66370"/>
    <w:rsid w:val="00F70995"/>
    <w:rsid w:val="00F73DEE"/>
    <w:rsid w:val="00F7534E"/>
    <w:rsid w:val="00F758C2"/>
    <w:rsid w:val="00F90666"/>
    <w:rsid w:val="00F9282C"/>
    <w:rsid w:val="00F93912"/>
    <w:rsid w:val="00F93EDF"/>
    <w:rsid w:val="00F95A49"/>
    <w:rsid w:val="00FA1802"/>
    <w:rsid w:val="00FA1F97"/>
    <w:rsid w:val="00FA21D0"/>
    <w:rsid w:val="00FA3E66"/>
    <w:rsid w:val="00FA5F5F"/>
    <w:rsid w:val="00FA7E05"/>
    <w:rsid w:val="00FB298C"/>
    <w:rsid w:val="00FB4063"/>
    <w:rsid w:val="00FB47A6"/>
    <w:rsid w:val="00FB4E0C"/>
    <w:rsid w:val="00FB730C"/>
    <w:rsid w:val="00FC120D"/>
    <w:rsid w:val="00FC2695"/>
    <w:rsid w:val="00FC3E03"/>
    <w:rsid w:val="00FC3FC1"/>
    <w:rsid w:val="00FC4F45"/>
    <w:rsid w:val="00FE05AC"/>
    <w:rsid w:val="00FE3546"/>
    <w:rsid w:val="00FE6705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E0CC22"/>
  <w14:defaultImageDpi w14:val="330"/>
  <w15:docId w15:val="{8A58DF6F-E29A-4D7C-86FD-0EB1918D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577F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unhideWhenUs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DefaultParagraphFont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ListParagraph">
    <w:name w:val="List Paragraph"/>
    <w:basedOn w:val="Normal"/>
    <w:uiPriority w:val="34"/>
    <w:rsid w:val="00280FAF"/>
    <w:pPr>
      <w:ind w:left="720"/>
      <w:contextualSpacing/>
    </w:pPr>
  </w:style>
  <w:style w:type="character" w:customStyle="1" w:styleId="gmail-apple-converted-space">
    <w:name w:val="gmail-apple-converted-space"/>
    <w:basedOn w:val="DefaultParagraphFont"/>
    <w:rsid w:val="00005A19"/>
  </w:style>
  <w:style w:type="character" w:styleId="UnresolvedMention">
    <w:name w:val="Unresolved Mention"/>
    <w:basedOn w:val="DefaultParagraphFont"/>
    <w:uiPriority w:val="99"/>
    <w:semiHidden/>
    <w:unhideWhenUsed/>
    <w:rsid w:val="0039696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D07D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0223AA1-CF2F-47F5-BAA6-B24E86DE6931}">
  <we:reference id="f78a3046-9e99-4300-aa2b-5814002b01a2" version="1.55.1.0" store="EXCatalog" storeType="EXCatalog"/>
  <we:alternateReferences>
    <we:reference id="WA104382081" version="1.55.1.0" store="pt-B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983C9-6D0A-480C-BF79-A63BD3D9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5712</TotalTime>
  <Pages>6</Pages>
  <Words>3821</Words>
  <Characters>21780</Characters>
  <Application>Microsoft Office Word</Application>
  <DocSecurity>0</DocSecurity>
  <Lines>181</Lines>
  <Paragraphs>51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25550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cp:keywords/>
  <dc:description/>
  <cp:lastModifiedBy>Sampaio Barros, Letícia</cp:lastModifiedBy>
  <cp:revision>698</cp:revision>
  <cp:lastPrinted>2015-05-12T18:31:00Z</cp:lastPrinted>
  <dcterms:created xsi:type="dcterms:W3CDTF">2024-02-20T10:29:00Z</dcterms:created>
  <dcterms:modified xsi:type="dcterms:W3CDTF">2025-03-28T13:33:00Z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  <property fmtid="{D5CDD505-2E9C-101B-9397-08002B2CF9AE}" pid="4" name="Mendeley Recent Style Id 0_1">
    <vt:lpwstr>http://www.zotero.org/styles/acs-applied-materials-and-interfaces</vt:lpwstr>
  </property>
  <property fmtid="{D5CDD505-2E9C-101B-9397-08002B2CF9AE}" pid="5" name="Mendeley Recent Style Name 0_1">
    <vt:lpwstr>ACS Applied Materials &amp; Interfaces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http://www.zotero.org/styles/associacao-brasileira-de-normas-tecnicas</vt:lpwstr>
  </property>
  <property fmtid="{D5CDD505-2E9C-101B-9397-08002B2CF9AE}" pid="9" name="Mendeley Recent Style Name 2_1">
    <vt:lpwstr>Associação Brasileira de Normas Técnicas (Portuguese - Brazil)</vt:lpwstr>
  </property>
  <property fmtid="{D5CDD505-2E9C-101B-9397-08002B2CF9AE}" pid="10" name="Mendeley Recent Style Id 3_1">
    <vt:lpwstr>http://www.zotero.org/styles/chicago-author-date</vt:lpwstr>
  </property>
  <property fmtid="{D5CDD505-2E9C-101B-9397-08002B2CF9AE}" pid="11" name="Mendeley Recent Style Name 3_1">
    <vt:lpwstr>Chicago Manual of Style 17th edition (author-date)</vt:lpwstr>
  </property>
  <property fmtid="{D5CDD505-2E9C-101B-9397-08002B2CF9AE}" pid="12" name="Mendeley Recent Style Id 4_1">
    <vt:lpwstr>http://www.zotero.org/styles/harvard-cite-them-right</vt:lpwstr>
  </property>
  <property fmtid="{D5CDD505-2E9C-101B-9397-08002B2CF9AE}" pid="13" name="Mendeley Recent Style Name 4_1">
    <vt:lpwstr>Cite Them Right 10th edition - Harvard</vt:lpwstr>
  </property>
  <property fmtid="{D5CDD505-2E9C-101B-9397-08002B2CF9AE}" pid="14" name="Mendeley Recent Style Id 5_1">
    <vt:lpwstr>http://www.zotero.org/styles/ieee</vt:lpwstr>
  </property>
  <property fmtid="{D5CDD505-2E9C-101B-9397-08002B2CF9AE}" pid="15" name="Mendeley Recent Style Name 5_1">
    <vt:lpwstr>IEEE</vt:lpwstr>
  </property>
  <property fmtid="{D5CDD505-2E9C-101B-9397-08002B2CF9AE}" pid="16" name="Mendeley Recent Style Id 6_1">
    <vt:lpwstr>http://www.zotero.org/styles/instituto-brasileiro-de-informacao-em-ciencia-e-tecnologia-abnt-initials</vt:lpwstr>
  </property>
  <property fmtid="{D5CDD505-2E9C-101B-9397-08002B2CF9AE}" pid="17" name="Mendeley Recent Style Name 6_1">
    <vt:lpwstr>Instituto Brasileiro de Informação em Ciência e Tecnologia - ABNT (autoria abreviada)</vt:lpwstr>
  </property>
  <property fmtid="{D5CDD505-2E9C-101B-9397-08002B2CF9AE}" pid="18" name="Mendeley Recent Style Id 7_1">
    <vt:lpwstr>http://www.zotero.org/styles/journal-of-energy-storage</vt:lpwstr>
  </property>
  <property fmtid="{D5CDD505-2E9C-101B-9397-08002B2CF9AE}" pid="19" name="Mendeley Recent Style Name 7_1">
    <vt:lpwstr>Journal of Energy Storage</vt:lpwstr>
  </property>
  <property fmtid="{D5CDD505-2E9C-101B-9397-08002B2CF9AE}" pid="20" name="Mendeley Recent Style Id 8_1">
    <vt:lpwstr>http://www.zotero.org/styles/modern-humanities-research-association</vt:lpwstr>
  </property>
  <property fmtid="{D5CDD505-2E9C-101B-9397-08002B2CF9AE}" pid="21" name="Mendeley Recent Style Name 8_1">
    <vt:lpwstr>Modern Humanities Research Association 3rd edition (note with bibliography)</vt:lpwstr>
  </property>
  <property fmtid="{D5CDD505-2E9C-101B-9397-08002B2CF9AE}" pid="22" name="Mendeley Recent Style Id 9_1">
    <vt:lpwstr>http://www.zotero.org/styles/modern-language-association</vt:lpwstr>
  </property>
  <property fmtid="{D5CDD505-2E9C-101B-9397-08002B2CF9AE}" pid="23" name="Mendeley Recent Style Name 9_1">
    <vt:lpwstr>Modern Language Association 8th edition</vt:lpwstr>
  </property>
  <property fmtid="{D5CDD505-2E9C-101B-9397-08002B2CF9AE}" pid="24" name="GrammarlyDocumentId">
    <vt:lpwstr>92bc61e6466b22302a45293ced5ffe562e1e8b898e0f64de69e815dd76f49923</vt:lpwstr>
  </property>
</Properties>
</file>