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bookmarkEnd w:id="0"/>
    </w:tbl>
    <w:p w14:paraId="20AAAC3C" w14:textId="77777777" w:rsidR="00C45DDE" w:rsidRDefault="00C45DDE" w:rsidP="00C45DDE">
      <w:pPr>
        <w:pStyle w:val="CETTitle"/>
        <w:spacing w:before="0"/>
        <w:rPr>
          <w:sz w:val="30"/>
          <w:szCs w:val="30"/>
        </w:rPr>
      </w:pPr>
    </w:p>
    <w:p w14:paraId="25C5E9E9" w14:textId="3D30FA87" w:rsidR="00E80C70" w:rsidRPr="00E80C70" w:rsidRDefault="00E80C70" w:rsidP="00C45DDE">
      <w:pPr>
        <w:pStyle w:val="CETTitle"/>
        <w:spacing w:before="0"/>
        <w:rPr>
          <w:sz w:val="30"/>
          <w:szCs w:val="30"/>
        </w:rPr>
      </w:pPr>
      <w:r w:rsidRPr="00E80C70">
        <w:rPr>
          <w:sz w:val="30"/>
          <w:szCs w:val="30"/>
        </w:rPr>
        <w:t>Analysing the Effect of CO</w:t>
      </w:r>
      <w:r w:rsidRPr="009A2799">
        <w:rPr>
          <w:sz w:val="30"/>
          <w:szCs w:val="30"/>
          <w:vertAlign w:val="subscript"/>
        </w:rPr>
        <w:t>2</w:t>
      </w:r>
      <w:r w:rsidRPr="00E80C70">
        <w:rPr>
          <w:sz w:val="30"/>
          <w:szCs w:val="30"/>
        </w:rPr>
        <w:t xml:space="preserve"> Concentration in Flue Gas on CO</w:t>
      </w:r>
      <w:r w:rsidRPr="009A2799">
        <w:rPr>
          <w:sz w:val="30"/>
          <w:szCs w:val="30"/>
          <w:vertAlign w:val="subscript"/>
        </w:rPr>
        <w:t>2</w:t>
      </w:r>
      <w:r w:rsidR="00F4246E">
        <w:rPr>
          <w:sz w:val="30"/>
          <w:szCs w:val="30"/>
        </w:rPr>
        <w:t xml:space="preserve"> C</w:t>
      </w:r>
      <w:r w:rsidRPr="00E80C70">
        <w:rPr>
          <w:sz w:val="30"/>
          <w:szCs w:val="30"/>
        </w:rPr>
        <w:t>apture Characteristics of Hollow Fibre Gas Membrane System</w:t>
      </w:r>
    </w:p>
    <w:p w14:paraId="6CD69147" w14:textId="34AB4F7C" w:rsidR="00783AAD" w:rsidRPr="00783AAD" w:rsidRDefault="00783AAD" w:rsidP="00E80C70">
      <w:pPr>
        <w:rPr>
          <w:rFonts w:cs="Arial"/>
          <w:sz w:val="24"/>
          <w:szCs w:val="24"/>
          <w:lang w:val="pl-PL"/>
        </w:rPr>
      </w:pPr>
      <w:r w:rsidRPr="00783AAD">
        <w:rPr>
          <w:rFonts w:cs="Arial"/>
          <w:sz w:val="24"/>
          <w:szCs w:val="24"/>
          <w:lang w:val="pl-PL"/>
        </w:rPr>
        <w:t>Chukwuebuka Aninwede*, Lukas Kratky</w:t>
      </w:r>
    </w:p>
    <w:p w14:paraId="7E4BE145" w14:textId="77777777" w:rsidR="00783AAD" w:rsidRPr="00783AAD" w:rsidRDefault="00783AAD" w:rsidP="00783AAD">
      <w:pPr>
        <w:spacing w:line="276" w:lineRule="auto"/>
        <w:jc w:val="left"/>
        <w:rPr>
          <w:rFonts w:cs="Arial"/>
          <w:color w:val="000000" w:themeColor="text1"/>
          <w:sz w:val="16"/>
          <w:szCs w:val="16"/>
        </w:rPr>
      </w:pPr>
      <w:r w:rsidRPr="00783AAD">
        <w:rPr>
          <w:rFonts w:cs="Arial"/>
          <w:sz w:val="16"/>
          <w:szCs w:val="16"/>
        </w:rPr>
        <w:t xml:space="preserve">Czech Technical University in Prague, Faculty of Mechanical Engineering, Department of Process Engineering, Technicka </w:t>
      </w:r>
      <w:r w:rsidRPr="00783AAD">
        <w:rPr>
          <w:rFonts w:cs="Arial"/>
          <w:color w:val="000000" w:themeColor="text1"/>
          <w:sz w:val="16"/>
          <w:szCs w:val="16"/>
        </w:rPr>
        <w:t>4, Prague 160 00, Czech Republic</w:t>
      </w:r>
    </w:p>
    <w:p w14:paraId="400E111F" w14:textId="577A4779" w:rsidR="00783AAD" w:rsidRPr="00783AAD" w:rsidRDefault="00984629" w:rsidP="00783AAD">
      <w:pPr>
        <w:spacing w:line="276" w:lineRule="auto"/>
        <w:jc w:val="left"/>
        <w:rPr>
          <w:rFonts w:cs="Arial"/>
          <w:color w:val="000000" w:themeColor="text1"/>
          <w:sz w:val="16"/>
          <w:szCs w:val="16"/>
        </w:rPr>
      </w:pPr>
      <w:hyperlink r:id="rId10" w:history="1">
        <w:r w:rsidR="00783AAD" w:rsidRPr="00783AAD">
          <w:rPr>
            <w:rStyle w:val="Hyperlink"/>
            <w:rFonts w:cs="Arial"/>
            <w:color w:val="000000" w:themeColor="text1"/>
            <w:sz w:val="16"/>
            <w:szCs w:val="16"/>
            <w:u w:val="none"/>
          </w:rPr>
          <w:t>chukwuebukasimeon.aninwede@fs.cvut.cz</w:t>
        </w:r>
      </w:hyperlink>
    </w:p>
    <w:p w14:paraId="75084063" w14:textId="6A65725F" w:rsidR="00E80C70" w:rsidRPr="00904DCE" w:rsidRDefault="00904DCE" w:rsidP="00904DCE">
      <w:pPr>
        <w:tabs>
          <w:tab w:val="clear" w:pos="7100"/>
        </w:tabs>
        <w:spacing w:before="100" w:beforeAutospacing="1" w:after="100" w:afterAutospacing="1" w:line="240" w:lineRule="auto"/>
        <w:rPr>
          <w:rFonts w:ascii="Times New Roman" w:hAnsi="Times New Roman"/>
          <w:sz w:val="24"/>
          <w:szCs w:val="24"/>
          <w:lang w:val="en-US"/>
        </w:rPr>
      </w:pPr>
      <w:r>
        <w:t>Membrane technology has been established as an efficient technology for capturing CO</w:t>
      </w:r>
      <w:r>
        <w:rPr>
          <w:vertAlign w:val="subscript"/>
        </w:rPr>
        <w:t>2</w:t>
      </w:r>
      <w:r w:rsidR="00DF1DED">
        <w:t xml:space="preserve"> from multicomponent flue gas mixtures</w:t>
      </w:r>
      <w:r>
        <w:t>. The primary focus of this study is to examine the potential influence of CO</w:t>
      </w:r>
      <w:r>
        <w:rPr>
          <w:vertAlign w:val="subscript"/>
        </w:rPr>
        <w:t>2</w:t>
      </w:r>
      <w:r>
        <w:t xml:space="preserve"> concentrations in the feed flue gas stream on the CO</w:t>
      </w:r>
      <w:r>
        <w:rPr>
          <w:vertAlign w:val="subscript"/>
        </w:rPr>
        <w:t>2</w:t>
      </w:r>
      <w:r>
        <w:t xml:space="preserve"> capture characteristics of hollow fibre membrane module systems, whose fibre materials are made of polyetherimide-polyimide. </w:t>
      </w:r>
      <w:r w:rsidR="00E80C70" w:rsidRPr="00E80C70">
        <w:t>The experiment</w:t>
      </w:r>
      <w:r w:rsidR="00D33AC1">
        <w:t>s were conducted on pure gases (CO</w:t>
      </w:r>
      <w:r w:rsidR="00D33AC1" w:rsidRPr="00D33AC1">
        <w:rPr>
          <w:vertAlign w:val="subscript"/>
        </w:rPr>
        <w:t>2</w:t>
      </w:r>
      <w:r w:rsidR="00D33AC1">
        <w:t>, N</w:t>
      </w:r>
      <w:r w:rsidR="00D33AC1" w:rsidRPr="00D33AC1">
        <w:rPr>
          <w:vertAlign w:val="subscript"/>
        </w:rPr>
        <w:t>2</w:t>
      </w:r>
      <w:r w:rsidR="00D33AC1">
        <w:t xml:space="preserve">) </w:t>
      </w:r>
      <w:r w:rsidR="00E80C70" w:rsidRPr="00E80C70">
        <w:t>and multicomponent gas mixtures (N</w:t>
      </w:r>
      <w:r w:rsidR="00E80C70" w:rsidRPr="00E80C70">
        <w:rPr>
          <w:rFonts w:ascii="Cambria Math" w:hAnsi="Cambria Math" w:cs="Cambria Math"/>
        </w:rPr>
        <w:t>₂</w:t>
      </w:r>
      <w:r w:rsidR="00E80C70" w:rsidRPr="00E80C70">
        <w:t xml:space="preserve"> + CO</w:t>
      </w:r>
      <w:r w:rsidR="00E80C70" w:rsidRPr="00E80C70">
        <w:rPr>
          <w:rFonts w:ascii="Cambria Math" w:hAnsi="Cambria Math" w:cs="Cambria Math"/>
        </w:rPr>
        <w:t>₂</w:t>
      </w:r>
      <w:r w:rsidR="00E80C70" w:rsidRPr="00E80C70">
        <w:t xml:space="preserve"> + O</w:t>
      </w:r>
      <w:r w:rsidR="00E80C70" w:rsidRPr="00E80C70">
        <w:rPr>
          <w:rFonts w:ascii="Cambria Math" w:hAnsi="Cambria Math" w:cs="Cambria Math"/>
        </w:rPr>
        <w:t>₂</w:t>
      </w:r>
      <w:r w:rsidR="00E80C70" w:rsidRPr="00E80C70">
        <w:t>)</w:t>
      </w:r>
      <w:r w:rsidR="00D33AC1">
        <w:t>,</w:t>
      </w:r>
      <w:r w:rsidR="00E80C70" w:rsidRPr="00E80C70">
        <w:t xml:space="preserve"> containing</w:t>
      </w:r>
      <w:r w:rsidR="00564625">
        <w:t xml:space="preserve"> fixed amount of O</w:t>
      </w:r>
      <w:r w:rsidR="00564625" w:rsidRPr="00D33AC1">
        <w:rPr>
          <w:vertAlign w:val="subscript"/>
        </w:rPr>
        <w:t>2</w:t>
      </w:r>
      <w:r w:rsidR="00564625">
        <w:t xml:space="preserve"> (4.3 %vol) and variable</w:t>
      </w:r>
      <w:r w:rsidR="00E80C70" w:rsidRPr="00E80C70">
        <w:t xml:space="preserve"> </w:t>
      </w:r>
      <w:r w:rsidR="00564625">
        <w:t>%</w:t>
      </w:r>
      <w:r w:rsidR="00E80C70" w:rsidRPr="00E80C70">
        <w:t xml:space="preserve">vol </w:t>
      </w:r>
      <w:r w:rsidR="00D33AC1">
        <w:t xml:space="preserve">of </w:t>
      </w:r>
      <w:r w:rsidR="00E80C70" w:rsidRPr="00E80C70">
        <w:t>CO</w:t>
      </w:r>
      <w:r w:rsidR="00E80C70" w:rsidRPr="00E80C70">
        <w:rPr>
          <w:rFonts w:ascii="Cambria Math" w:hAnsi="Cambria Math" w:cs="Cambria Math"/>
        </w:rPr>
        <w:t>₂</w:t>
      </w:r>
      <w:r w:rsidR="00564625">
        <w:t xml:space="preserve"> and N</w:t>
      </w:r>
      <w:r w:rsidR="00564625" w:rsidRPr="00D33AC1">
        <w:rPr>
          <w:vertAlign w:val="subscript"/>
        </w:rPr>
        <w:t>2</w:t>
      </w:r>
      <w:r w:rsidR="00E80C70" w:rsidRPr="00E80C70">
        <w:t xml:space="preserve"> respectively</w:t>
      </w:r>
      <w:r w:rsidR="00D33AC1">
        <w:t>,</w:t>
      </w:r>
      <w:r w:rsidR="00F00D84" w:rsidRPr="00F00D84">
        <w:t xml:space="preserve"> at a fixed volumetric flow rate of </w:t>
      </w:r>
      <w:r w:rsidR="00BC27B2">
        <w:t>130 Nl</w:t>
      </w:r>
      <w:r w:rsidR="00BC27B2" w:rsidRPr="00997EF0">
        <w:t>h</w:t>
      </w:r>
      <w:r w:rsidR="00BC27B2" w:rsidRPr="00BD49DA">
        <w:rPr>
          <w:vertAlign w:val="superscript"/>
        </w:rPr>
        <w:t>-1</w:t>
      </w:r>
      <w:r w:rsidR="00737051">
        <w:t>, at a temperature of 30</w:t>
      </w:r>
      <w:r w:rsidR="00BC27B2">
        <w:t xml:space="preserve"> </w:t>
      </w:r>
      <w:r w:rsidR="00737051">
        <w:t xml:space="preserve">°C and a constant pressure difference of 8.57 bar. The </w:t>
      </w:r>
      <w:r w:rsidR="00E80C70" w:rsidRPr="00E80C70">
        <w:t xml:space="preserve">objective was to determine and </w:t>
      </w:r>
      <w:r w:rsidR="008D7EE3">
        <w:t>predict how flux, permeance,</w:t>
      </w:r>
      <w:r w:rsidR="00E80C70" w:rsidRPr="00E80C70">
        <w:t xml:space="preserve"> CO</w:t>
      </w:r>
      <w:r w:rsidR="00E80C70" w:rsidRPr="00E80C70">
        <w:rPr>
          <w:vertAlign w:val="subscript"/>
        </w:rPr>
        <w:t>2</w:t>
      </w:r>
      <w:r w:rsidR="00E80C70" w:rsidRPr="00E80C70">
        <w:t>/N</w:t>
      </w:r>
      <w:r w:rsidR="00E80C70" w:rsidRPr="00E80C70">
        <w:rPr>
          <w:vertAlign w:val="subscript"/>
        </w:rPr>
        <w:t xml:space="preserve">2 </w:t>
      </w:r>
      <w:r w:rsidR="00E80C70" w:rsidRPr="00E80C70">
        <w:t>selectivity</w:t>
      </w:r>
      <w:r w:rsidR="008D7EE3">
        <w:t>/separation factor, stage cut</w:t>
      </w:r>
      <w:r w:rsidR="00E80C70" w:rsidRPr="00E80C70">
        <w:t xml:space="preserve"> through the membrane, </w:t>
      </w:r>
      <w:r w:rsidR="008D7EE3">
        <w:t xml:space="preserve">retention coefficient </w:t>
      </w:r>
      <w:r w:rsidR="00E80C70" w:rsidRPr="00E80C70">
        <w:t xml:space="preserve">as well </w:t>
      </w:r>
      <w:r w:rsidR="008D7EE3">
        <w:t>recovery to the permeate stream</w:t>
      </w:r>
      <w:r w:rsidR="00E80C70" w:rsidRPr="00E80C70">
        <w:t xml:space="preserve"> vary with different CO</w:t>
      </w:r>
      <w:r w:rsidR="00E80C70" w:rsidRPr="00E80C70">
        <w:rPr>
          <w:vertAlign w:val="subscript"/>
        </w:rPr>
        <w:t>2</w:t>
      </w:r>
      <w:r w:rsidR="00E80C70" w:rsidRPr="00E80C70">
        <w:t xml:space="preserve"> </w:t>
      </w:r>
      <w:r w:rsidR="008D7EE3">
        <w:t xml:space="preserve">feed </w:t>
      </w:r>
      <w:r w:rsidR="00E80C70" w:rsidRPr="00E80C70">
        <w:t>compositions. The results demonstrated that CO</w:t>
      </w:r>
      <w:r w:rsidR="00E80C70" w:rsidRPr="00E80C70">
        <w:rPr>
          <w:rFonts w:ascii="Cambria Math" w:hAnsi="Cambria Math" w:cs="Cambria Math"/>
        </w:rPr>
        <w:t>₂</w:t>
      </w:r>
      <w:r w:rsidR="00E80C70" w:rsidRPr="00E80C70">
        <w:t xml:space="preserve"> </w:t>
      </w:r>
      <w:r w:rsidR="00427AF5">
        <w:t xml:space="preserve">flux, permeance and percentage </w:t>
      </w:r>
      <w:r w:rsidR="001D2C29">
        <w:t>recovery</w:t>
      </w:r>
      <w:r w:rsidR="00427AF5">
        <w:t xml:space="preserve"> kept increasing as the</w:t>
      </w:r>
      <w:r w:rsidR="00E80C70" w:rsidRPr="00E80C70">
        <w:t xml:space="preserve"> proportion of CO</w:t>
      </w:r>
      <w:r w:rsidR="00E80C70" w:rsidRPr="00E80C70">
        <w:rPr>
          <w:rFonts w:ascii="Cambria Math" w:hAnsi="Cambria Math" w:cs="Cambria Math"/>
        </w:rPr>
        <w:t>₂</w:t>
      </w:r>
      <w:r w:rsidR="00BF1977">
        <w:t xml:space="preserve"> in the feed gas stream</w:t>
      </w:r>
      <w:r w:rsidR="00427AF5">
        <w:t xml:space="preserve"> increases</w:t>
      </w:r>
      <w:r w:rsidR="00BF1977">
        <w:t>.</w:t>
      </w:r>
      <w:r w:rsidR="00427AF5">
        <w:t xml:space="preserve"> </w:t>
      </w:r>
      <w:r w:rsidR="003C7636" w:rsidRPr="003C7636">
        <w:t>CO</w:t>
      </w:r>
      <w:r w:rsidR="003C7636" w:rsidRPr="003C7636">
        <w:rPr>
          <w:rFonts w:ascii="Cambria Math" w:hAnsi="Cambria Math" w:cs="Cambria Math"/>
        </w:rPr>
        <w:t>₂</w:t>
      </w:r>
      <w:r w:rsidR="003C7636" w:rsidRPr="003C7636">
        <w:t xml:space="preserve"> permeance</w:t>
      </w:r>
      <w:r w:rsidR="003C7636" w:rsidRPr="00D05853">
        <w:t xml:space="preserve"> 6</w:t>
      </w:r>
      <w:r w:rsidR="0018387D" w:rsidRPr="00D05853">
        <w:t>.29 GPU</w:t>
      </w:r>
      <w:r w:rsidR="003C7636" w:rsidRPr="00D05853">
        <w:t xml:space="preserve"> and recovery 96</w:t>
      </w:r>
      <w:r w:rsidR="00BC27B2" w:rsidRPr="00D05853">
        <w:t xml:space="preserve"> </w:t>
      </w:r>
      <w:r w:rsidR="003C7636" w:rsidRPr="00D05853">
        <w:t>% peaked at a feed concentration of 55</w:t>
      </w:r>
      <w:r w:rsidR="00BC27B2" w:rsidRPr="00D05853">
        <w:t xml:space="preserve"> </w:t>
      </w:r>
      <w:r w:rsidR="003C7636" w:rsidRPr="00D05853">
        <w:t>%</w:t>
      </w:r>
      <w:r w:rsidR="00BC27B2" w:rsidRPr="00D05853">
        <w:t>vol</w:t>
      </w:r>
      <w:r w:rsidR="003C7636" w:rsidRPr="00D05853">
        <w:t xml:space="preserve"> CO</w:t>
      </w:r>
      <w:r w:rsidR="003C7636" w:rsidRPr="00D05853">
        <w:rPr>
          <w:rFonts w:ascii="Cambria Math" w:hAnsi="Cambria Math" w:cs="Cambria Math"/>
        </w:rPr>
        <w:t>₂</w:t>
      </w:r>
      <w:r w:rsidR="003C7636" w:rsidRPr="00D05853">
        <w:t>, with a minimum retention coefficient of 4</w:t>
      </w:r>
      <w:r w:rsidR="00BC27B2" w:rsidRPr="00D05853">
        <w:t xml:space="preserve"> </w:t>
      </w:r>
      <w:r w:rsidR="003C7636" w:rsidRPr="00D05853">
        <w:t>%. In contrast, the highest CO</w:t>
      </w:r>
      <w:r w:rsidR="003C7636" w:rsidRPr="00D05853">
        <w:rPr>
          <w:rFonts w:ascii="Cambria Math" w:hAnsi="Cambria Math" w:cs="Cambria Math"/>
        </w:rPr>
        <w:t>₂</w:t>
      </w:r>
      <w:r w:rsidR="003C7636" w:rsidRPr="00D05853">
        <w:t xml:space="preserve"> separation factor 3.3 </w:t>
      </w:r>
      <w:r w:rsidR="003C7636" w:rsidRPr="003C7636">
        <w:t>occurred at a feed concentration of 25</w:t>
      </w:r>
      <w:r w:rsidR="00BC27B2">
        <w:t xml:space="preserve"> </w:t>
      </w:r>
      <w:r w:rsidR="003C7636" w:rsidRPr="003C7636">
        <w:t>%</w:t>
      </w:r>
      <w:r w:rsidR="00BC27B2">
        <w:t>vol</w:t>
      </w:r>
      <w:r w:rsidR="003C7636" w:rsidRPr="003C7636">
        <w:t xml:space="preserve"> CO</w:t>
      </w:r>
      <w:r w:rsidR="003C7636" w:rsidRPr="003C7636">
        <w:rPr>
          <w:rFonts w:ascii="Cambria Math" w:hAnsi="Cambria Math" w:cs="Cambria Math"/>
        </w:rPr>
        <w:t>₂</w:t>
      </w:r>
      <w:r w:rsidR="003C7636" w:rsidRPr="003C7636">
        <w:t>.</w:t>
      </w:r>
    </w:p>
    <w:p w14:paraId="476B2F2E" w14:textId="52B36035" w:rsidR="00600535" w:rsidRDefault="00600535" w:rsidP="00600535">
      <w:pPr>
        <w:pStyle w:val="CETHeading1"/>
        <w:rPr>
          <w:lang w:val="en-GB"/>
        </w:rPr>
      </w:pPr>
      <w:r w:rsidRPr="00B57B36">
        <w:rPr>
          <w:lang w:val="en-GB"/>
        </w:rPr>
        <w:t>Introduction</w:t>
      </w:r>
    </w:p>
    <w:p w14:paraId="716D7402" w14:textId="4B0A4906" w:rsidR="007670A2" w:rsidRDefault="00743F0B" w:rsidP="003072A5">
      <w:pPr>
        <w:rPr>
          <w:color w:val="000000" w:themeColor="text1"/>
        </w:rPr>
      </w:pPr>
      <w:r>
        <w:t>Rapid industrialization since the mid-20th century has driven global warming due to increased CO</w:t>
      </w:r>
      <w:r>
        <w:rPr>
          <w:rFonts w:ascii="Cambria Math" w:hAnsi="Cambria Math" w:cs="Cambria Math"/>
        </w:rPr>
        <w:t>₂</w:t>
      </w:r>
      <w:r>
        <w:t xml:space="preserve"> emissions. </w:t>
      </w:r>
      <w:r w:rsidR="007670A2" w:rsidRPr="007670A2">
        <w:rPr>
          <w:color w:val="000000" w:themeColor="text1"/>
        </w:rPr>
        <w:t>According to Nedoma and Netušil (2021), the last few decades have witnessed a surge in topics related to CO</w:t>
      </w:r>
      <w:r w:rsidR="007670A2" w:rsidRPr="007670A2">
        <w:rPr>
          <w:color w:val="000000" w:themeColor="text1"/>
          <w:vertAlign w:val="subscript"/>
        </w:rPr>
        <w:t>2</w:t>
      </w:r>
      <w:r w:rsidR="007670A2" w:rsidRPr="007670A2">
        <w:rPr>
          <w:color w:val="000000" w:themeColor="text1"/>
        </w:rPr>
        <w:t xml:space="preserve"> capture technologies in Europe and across the globe due to the high dependence on energy from fossil fuels. However, not only has CO</w:t>
      </w:r>
      <w:r w:rsidR="007670A2" w:rsidRPr="007670A2">
        <w:rPr>
          <w:color w:val="000000" w:themeColor="text1"/>
          <w:vertAlign w:val="subscript"/>
        </w:rPr>
        <w:t>2</w:t>
      </w:r>
      <w:r w:rsidR="007670A2" w:rsidRPr="007670A2">
        <w:rPr>
          <w:color w:val="000000" w:themeColor="text1"/>
        </w:rPr>
        <w:t xml:space="preserve"> emission been on a ste</w:t>
      </w:r>
      <w:r w:rsidR="00394F3C">
        <w:rPr>
          <w:color w:val="000000" w:themeColor="text1"/>
        </w:rPr>
        <w:t xml:space="preserve">ep rise but also </w:t>
      </w:r>
      <w:r w:rsidR="007670A2" w:rsidRPr="007670A2">
        <w:rPr>
          <w:color w:val="000000" w:themeColor="text1"/>
        </w:rPr>
        <w:t>a massive advancement in carbon capture and utilization technologies. Varieties of CO</w:t>
      </w:r>
      <w:r w:rsidR="007670A2" w:rsidRPr="007670A2">
        <w:rPr>
          <w:color w:val="000000" w:themeColor="text1"/>
          <w:vertAlign w:val="subscript"/>
        </w:rPr>
        <w:t>2</w:t>
      </w:r>
      <w:r w:rsidR="007670A2" w:rsidRPr="007670A2">
        <w:rPr>
          <w:color w:val="000000" w:themeColor="text1"/>
        </w:rPr>
        <w:t xml:space="preserve"> capture technologies developed over the years are disti</w:t>
      </w:r>
      <w:r>
        <w:rPr>
          <w:color w:val="000000" w:themeColor="text1"/>
        </w:rPr>
        <w:t>nct, each with</w:t>
      </w:r>
      <w:r w:rsidR="007670A2" w:rsidRPr="007670A2">
        <w:rPr>
          <w:color w:val="000000" w:themeColor="text1"/>
        </w:rPr>
        <w:t xml:space="preserve"> its pros and cons, however, energy utilization and consumption is a stand-out factor considered across all engineering fields (Habib et al., 2020). Membrane technology stands out among these methods due to its high energy efficiency, compact design, and scalability (Hu et al., 2022) and relatively lower cost (Adhikari et al., 2023). Zuberi et al. (2024) also suggested that CO</w:t>
      </w:r>
      <w:r w:rsidR="007670A2" w:rsidRPr="007670A2">
        <w:rPr>
          <w:color w:val="000000" w:themeColor="text1"/>
          <w:vertAlign w:val="subscript"/>
        </w:rPr>
        <w:t>2</w:t>
      </w:r>
      <w:r w:rsidR="007670A2" w:rsidRPr="007670A2">
        <w:rPr>
          <w:color w:val="000000" w:themeColor="text1"/>
        </w:rPr>
        <w:t xml:space="preserve"> capture and utilization technologies will be substantial in achieving Vision 2050 of zero CO</w:t>
      </w:r>
      <w:r w:rsidR="007670A2" w:rsidRPr="007670A2">
        <w:rPr>
          <w:color w:val="000000" w:themeColor="text1"/>
          <w:vertAlign w:val="subscript"/>
        </w:rPr>
        <w:t>2</w:t>
      </w:r>
      <w:r w:rsidR="007670A2" w:rsidRPr="007670A2">
        <w:rPr>
          <w:color w:val="000000" w:themeColor="text1"/>
        </w:rPr>
        <w:t xml:space="preserve"> emission.</w:t>
      </w:r>
      <w:r w:rsidR="003072A5">
        <w:rPr>
          <w:color w:val="000000" w:themeColor="text1"/>
        </w:rPr>
        <w:t xml:space="preserve"> </w:t>
      </w:r>
      <w:r w:rsidR="003072A5" w:rsidRPr="00D05853">
        <w:t>Yang et al. (2024) highlight that utilizing CO</w:t>
      </w:r>
      <w:r w:rsidR="003072A5" w:rsidRPr="00D05853">
        <w:rPr>
          <w:rStyle w:val="katex-mathml"/>
          <w:vertAlign w:val="subscript"/>
        </w:rPr>
        <w:t xml:space="preserve">2 </w:t>
      </w:r>
      <w:r w:rsidR="003072A5" w:rsidRPr="00D05853">
        <w:rPr>
          <w:rStyle w:val="vlist-s"/>
        </w:rPr>
        <w:t>​</w:t>
      </w:r>
      <w:r w:rsidR="003072A5" w:rsidRPr="00D05853">
        <w:t>in pyrolysis and gasification improves product quality, boosts energy recovery, and reduces CO</w:t>
      </w:r>
      <w:r w:rsidR="003072A5" w:rsidRPr="00D05853">
        <w:rPr>
          <w:vertAlign w:val="subscript"/>
        </w:rPr>
        <w:t>2</w:t>
      </w:r>
      <w:r w:rsidR="003072A5" w:rsidRPr="00D05853">
        <w:t xml:space="preserve"> emissions and pollutants, promoting environmental sustainability. </w:t>
      </w:r>
      <w:r w:rsidR="007670A2" w:rsidRPr="007670A2">
        <w:rPr>
          <w:color w:val="000000" w:themeColor="text1"/>
        </w:rPr>
        <w:t>A membrane can be configured in different shapes, such as flat sheet, spiral, tubular and hollow fiber membrane modules. Hollow fibre membranes, made from various polymer materials, are widely used for CO</w:t>
      </w:r>
      <w:r w:rsidR="007670A2" w:rsidRPr="007670A2">
        <w:rPr>
          <w:rFonts w:ascii="Cambria Math" w:hAnsi="Cambria Math" w:cs="Cambria Math"/>
          <w:color w:val="000000" w:themeColor="text1"/>
        </w:rPr>
        <w:t>₂</w:t>
      </w:r>
      <w:r w:rsidR="007670A2" w:rsidRPr="007670A2">
        <w:rPr>
          <w:color w:val="000000" w:themeColor="text1"/>
        </w:rPr>
        <w:t xml:space="preserve"> capture due to their high packing density and effective separation capabilities (Boram, 2021).</w:t>
      </w:r>
      <w:r w:rsidR="007670A2">
        <w:rPr>
          <w:color w:val="000000" w:themeColor="text1"/>
        </w:rPr>
        <w:t xml:space="preserve"> </w:t>
      </w:r>
    </w:p>
    <w:p w14:paraId="4E467C8F" w14:textId="2290BF81" w:rsidR="00617425" w:rsidRPr="00F82F25" w:rsidRDefault="00F82F25" w:rsidP="003072A5">
      <w:pPr>
        <w:rPr>
          <w:color w:val="000000" w:themeColor="text1"/>
        </w:rPr>
      </w:pPr>
      <w:r w:rsidRPr="00F82F25">
        <w:rPr>
          <w:color w:val="000000" w:themeColor="text1"/>
        </w:rPr>
        <w:t>Jasim et al. (2023)</w:t>
      </w:r>
      <w:r w:rsidR="00645C7C">
        <w:rPr>
          <w:color w:val="000000" w:themeColor="text1"/>
        </w:rPr>
        <w:t xml:space="preserve"> modeled the optimal operating conditions for the separation of CO</w:t>
      </w:r>
      <w:r w:rsidR="00645C7C" w:rsidRPr="00645C7C">
        <w:rPr>
          <w:color w:val="000000" w:themeColor="text1"/>
          <w:vertAlign w:val="subscript"/>
        </w:rPr>
        <w:t>2</w:t>
      </w:r>
      <w:r w:rsidR="00645C7C">
        <w:rPr>
          <w:color w:val="000000" w:themeColor="text1"/>
        </w:rPr>
        <w:t xml:space="preserve"> from CH</w:t>
      </w:r>
      <w:r w:rsidR="00645C7C" w:rsidRPr="00645C7C">
        <w:rPr>
          <w:color w:val="000000" w:themeColor="text1"/>
          <w:vertAlign w:val="subscript"/>
        </w:rPr>
        <w:t>4</w:t>
      </w:r>
      <w:r w:rsidR="00645C7C">
        <w:rPr>
          <w:color w:val="000000" w:themeColor="text1"/>
        </w:rPr>
        <w:t>/CO</w:t>
      </w:r>
      <w:r w:rsidR="00645C7C" w:rsidRPr="00645C7C">
        <w:rPr>
          <w:color w:val="000000" w:themeColor="text1"/>
          <w:vertAlign w:val="subscript"/>
        </w:rPr>
        <w:t>2</w:t>
      </w:r>
      <w:r w:rsidR="00645C7C">
        <w:rPr>
          <w:color w:val="000000" w:themeColor="text1"/>
        </w:rPr>
        <w:t xml:space="preserve"> mixture, at 2 to 10 mol% CO</w:t>
      </w:r>
      <w:r w:rsidR="00645C7C" w:rsidRPr="00645C7C">
        <w:rPr>
          <w:color w:val="000000" w:themeColor="text1"/>
          <w:vertAlign w:val="subscript"/>
        </w:rPr>
        <w:t>2</w:t>
      </w:r>
      <w:r w:rsidR="00645C7C">
        <w:rPr>
          <w:color w:val="000000" w:themeColor="text1"/>
        </w:rPr>
        <w:t xml:space="preserve"> feed concentrations, and observed</w:t>
      </w:r>
      <w:r w:rsidRPr="00F82F25">
        <w:rPr>
          <w:color w:val="000000" w:themeColor="text1"/>
        </w:rPr>
        <w:t xml:space="preserve"> that</w:t>
      </w:r>
      <w:r w:rsidR="00645C7C">
        <w:rPr>
          <w:color w:val="000000" w:themeColor="text1"/>
        </w:rPr>
        <w:t xml:space="preserve"> the</w:t>
      </w:r>
      <w:r w:rsidRPr="00F82F25">
        <w:rPr>
          <w:color w:val="000000" w:themeColor="text1"/>
        </w:rPr>
        <w:t xml:space="preserve"> mass transfer coefficient, flux </w:t>
      </w:r>
      <w:r w:rsidR="00645C7C">
        <w:rPr>
          <w:color w:val="000000" w:themeColor="text1"/>
        </w:rPr>
        <w:t xml:space="preserve">and </w:t>
      </w:r>
      <w:r w:rsidRPr="00F82F25">
        <w:rPr>
          <w:color w:val="000000" w:themeColor="text1"/>
        </w:rPr>
        <w:t xml:space="preserve">gas </w:t>
      </w:r>
      <w:r w:rsidRPr="00743F0B">
        <w:rPr>
          <w:rFonts w:cs="Arial"/>
          <w:color w:val="000000" w:themeColor="text1"/>
          <w:szCs w:val="18"/>
        </w:rPr>
        <w:t>diffusivity through the m</w:t>
      </w:r>
      <w:r w:rsidR="005C713F" w:rsidRPr="00743F0B">
        <w:rPr>
          <w:rFonts w:cs="Arial"/>
          <w:color w:val="000000" w:themeColor="text1"/>
          <w:szCs w:val="18"/>
        </w:rPr>
        <w:t>embrane surface increase</w:t>
      </w:r>
      <w:r w:rsidRPr="00743F0B">
        <w:rPr>
          <w:rFonts w:cs="Arial"/>
          <w:color w:val="000000" w:themeColor="text1"/>
          <w:szCs w:val="18"/>
        </w:rPr>
        <w:t xml:space="preserve"> with increase in the CO</w:t>
      </w:r>
      <w:r w:rsidRPr="00743F0B">
        <w:rPr>
          <w:rFonts w:cs="Arial"/>
          <w:color w:val="000000" w:themeColor="text1"/>
          <w:szCs w:val="18"/>
          <w:vertAlign w:val="subscript"/>
        </w:rPr>
        <w:t>2</w:t>
      </w:r>
      <w:r w:rsidRPr="00743F0B">
        <w:rPr>
          <w:rFonts w:cs="Arial"/>
          <w:color w:val="000000" w:themeColor="text1"/>
          <w:szCs w:val="18"/>
        </w:rPr>
        <w:t xml:space="preserve"> feed gas </w:t>
      </w:r>
      <w:r w:rsidR="00645C7C" w:rsidRPr="00743F0B">
        <w:rPr>
          <w:rFonts w:cs="Arial"/>
          <w:color w:val="000000" w:themeColor="text1"/>
          <w:szCs w:val="18"/>
        </w:rPr>
        <w:t>concentration</w:t>
      </w:r>
      <w:r w:rsidRPr="00743F0B">
        <w:rPr>
          <w:rFonts w:cs="Arial"/>
          <w:color w:val="000000" w:themeColor="text1"/>
          <w:szCs w:val="18"/>
        </w:rPr>
        <w:t xml:space="preserve">. </w:t>
      </w:r>
      <w:r w:rsidR="00743F0B" w:rsidRPr="00743F0B">
        <w:rPr>
          <w:rFonts w:cs="Arial"/>
          <w:color w:val="1C1C1C"/>
          <w:szCs w:val="18"/>
          <w:shd w:val="clear" w:color="auto" w:fill="FFFFFF"/>
        </w:rPr>
        <w:t>Xu et al. (2022) revealed that the purification of biogas improves with an increase in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concentration. Higher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feed concentrations enhance the efficiency of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capture by creating a larger concentration gradient. Similarly, Yan et al. (2022) found that during the upgrading of biogas, certain solvents perform better when the concentration of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in the biogas mixture is high. According to Michailos and Gibbins (2022), the efficiency of carbon capture from flue gases largely depends on the concentration of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in the flue gas feed. Wang and Song (2020) also noted that a higher percentage of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by volume in the feed flue gas positively impacts the </w:t>
      </w:r>
      <w:r w:rsidR="00743F0B" w:rsidRPr="00743F0B">
        <w:rPr>
          <w:rFonts w:cs="Arial"/>
          <w:color w:val="1C1C1C"/>
          <w:szCs w:val="18"/>
          <w:shd w:val="clear" w:color="auto" w:fill="FFFFFF"/>
        </w:rPr>
        <w:lastRenderedPageBreak/>
        <w:t>efficiency of carbon capture technology being used. Aydani et al. (2020) explained that the effectiveness of capturing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from binary mixtures (such as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/CH</w:t>
      </w:r>
      <w:r w:rsidR="00743F0B" w:rsidRPr="00743F0B">
        <w:rPr>
          <w:rFonts w:ascii="Cambria Math" w:hAnsi="Cambria Math" w:cs="Cambria Math"/>
          <w:color w:val="1C1C1C"/>
          <w:szCs w:val="18"/>
          <w:shd w:val="clear" w:color="auto" w:fill="FFFFFF"/>
        </w:rPr>
        <w:t>₄</w:t>
      </w:r>
      <w:r w:rsidR="00743F0B" w:rsidRPr="00743F0B">
        <w:rPr>
          <w:rFonts w:cs="Arial"/>
          <w:color w:val="1C1C1C"/>
          <w:szCs w:val="18"/>
          <w:shd w:val="clear" w:color="auto" w:fill="FFFFFF"/>
        </w:rPr>
        <w:t xml:space="preserve"> and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/N</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increases with a higher concentration of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in the feed gas, as the increased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permeance implies the depletion of other gas components in the mixture. </w:t>
      </w:r>
      <w:r w:rsidR="008909D8">
        <w:t>Fernández-Barquín et al. (2017) studied CO</w:t>
      </w:r>
      <w:r w:rsidR="008909D8">
        <w:rPr>
          <w:rFonts w:ascii="Cambria Math" w:hAnsi="Cambria Math" w:cs="Cambria Math"/>
        </w:rPr>
        <w:t>₂</w:t>
      </w:r>
      <w:r w:rsidR="008909D8">
        <w:t>/N</w:t>
      </w:r>
      <w:r w:rsidR="008909D8">
        <w:rPr>
          <w:rFonts w:ascii="Cambria Math" w:hAnsi="Cambria Math" w:cs="Cambria Math"/>
        </w:rPr>
        <w:t>₂</w:t>
      </w:r>
      <w:r w:rsidR="008909D8">
        <w:t xml:space="preserve"> separation using a two-stage membrane process with feed CO</w:t>
      </w:r>
      <w:r w:rsidR="008909D8">
        <w:rPr>
          <w:rFonts w:ascii="Cambria Math" w:hAnsi="Cambria Math" w:cs="Cambria Math"/>
        </w:rPr>
        <w:t>₂</w:t>
      </w:r>
      <w:r w:rsidR="008909D8">
        <w:t xml:space="preserve"> concentrations of 5% to 65%. Their findings showed that membrane performance improves with higher concentrations of the target gas. </w:t>
      </w:r>
      <w:r w:rsidR="00743F0B" w:rsidRPr="00743F0B">
        <w:rPr>
          <w:rFonts w:cs="Arial"/>
          <w:color w:val="1C1C1C"/>
          <w:szCs w:val="18"/>
          <w:shd w:val="clear" w:color="auto" w:fill="FFFFFF"/>
        </w:rPr>
        <w:t>Higher CO</w:t>
      </w:r>
      <w:r w:rsidR="00743F0B" w:rsidRPr="00743F0B">
        <w:rPr>
          <w:rFonts w:ascii="Cambria Math" w:hAnsi="Cambria Math" w:cs="Cambria Math"/>
          <w:color w:val="1C1C1C"/>
          <w:szCs w:val="18"/>
          <w:shd w:val="clear" w:color="auto" w:fill="FFFFFF"/>
        </w:rPr>
        <w:t>₂</w:t>
      </w:r>
      <w:r w:rsidR="00743F0B" w:rsidRPr="00743F0B">
        <w:rPr>
          <w:rFonts w:cs="Arial"/>
          <w:color w:val="1C1C1C"/>
          <w:szCs w:val="18"/>
          <w:shd w:val="clear" w:color="auto" w:fill="FFFFFF"/>
        </w:rPr>
        <w:t xml:space="preserve"> concentrations in the feed gas enhance the efficiency of carbon c</w:t>
      </w:r>
      <w:r w:rsidR="008909D8">
        <w:rPr>
          <w:rFonts w:cs="Arial"/>
          <w:color w:val="1C1C1C"/>
          <w:szCs w:val="18"/>
          <w:shd w:val="clear" w:color="auto" w:fill="FFFFFF"/>
        </w:rPr>
        <w:t xml:space="preserve">apture technologies, reducing energy demands and </w:t>
      </w:r>
      <w:r w:rsidR="00743F0B" w:rsidRPr="00743F0B">
        <w:rPr>
          <w:rFonts w:cs="Arial"/>
          <w:color w:val="1C1C1C"/>
          <w:szCs w:val="18"/>
          <w:shd w:val="clear" w:color="auto" w:fill="FFFFFF"/>
        </w:rPr>
        <w:t>solvent use in absorption processes. However, proper operational measures are essential to tackle challenges such as corrosion and system degradation (Xu et al., 2022).</w:t>
      </w:r>
      <w:r w:rsidR="003072A5">
        <w:rPr>
          <w:rFonts w:cs="Arial"/>
          <w:color w:val="1C1C1C"/>
          <w:szCs w:val="18"/>
          <w:shd w:val="clear" w:color="auto" w:fill="FFFFFF"/>
        </w:rPr>
        <w:t xml:space="preserve"> </w:t>
      </w:r>
      <w:r w:rsidR="003072A5" w:rsidRPr="00D05853">
        <w:t xml:space="preserve">The physical, mechanical and thermal stability of membranes must be </w:t>
      </w:r>
      <w:r w:rsidR="008909D8" w:rsidRPr="00D05853">
        <w:t>considered</w:t>
      </w:r>
      <w:r w:rsidR="003072A5" w:rsidRPr="00D05853">
        <w:t xml:space="preserve"> because </w:t>
      </w:r>
      <w:r w:rsidR="008909D8" w:rsidRPr="00D05853">
        <w:t>their</w:t>
      </w:r>
      <w:r w:rsidR="003072A5" w:rsidRPr="00D05853">
        <w:t xml:space="preserve"> performance declin</w:t>
      </w:r>
      <w:r w:rsidR="008909D8" w:rsidRPr="00D05853">
        <w:t>e</w:t>
      </w:r>
      <w:r w:rsidR="003072A5" w:rsidRPr="00D05853">
        <w:t xml:space="preserve"> over time due to factors such as fouling and pore blockage (Jong Hak Kim, 2022). </w:t>
      </w:r>
      <w:r w:rsidR="00617425">
        <w:t>A review of the literature highlights a lack of studies on the impact of CO</w:t>
      </w:r>
      <w:r w:rsidR="00617425">
        <w:rPr>
          <w:rFonts w:ascii="Cambria Math" w:hAnsi="Cambria Math" w:cs="Cambria Math"/>
        </w:rPr>
        <w:t>₂</w:t>
      </w:r>
      <w:r w:rsidR="003072A5">
        <w:t xml:space="preserve"> </w:t>
      </w:r>
      <w:r w:rsidR="00617425">
        <w:t>concentration</w:t>
      </w:r>
      <w:r w:rsidR="003072A5">
        <w:t>s</w:t>
      </w:r>
      <w:r w:rsidR="00617425">
        <w:t xml:space="preserve"> variations on carbon capture technologies, particularly </w:t>
      </w:r>
      <w:r w:rsidR="00743F0B">
        <w:t xml:space="preserve">in </w:t>
      </w:r>
      <w:r w:rsidR="00617425">
        <w:t xml:space="preserve">membrane systems. </w:t>
      </w:r>
      <w:r w:rsidR="00743F0B" w:rsidRPr="00743F0B">
        <w:t>Most research has concentrated on binary gas separations, such as CH</w:t>
      </w:r>
      <w:r w:rsidR="00743F0B" w:rsidRPr="00743F0B">
        <w:rPr>
          <w:rFonts w:ascii="Cambria Math" w:hAnsi="Cambria Math" w:cs="Cambria Math"/>
        </w:rPr>
        <w:t>₄</w:t>
      </w:r>
      <w:r w:rsidR="00743F0B" w:rsidRPr="00743F0B">
        <w:t>/CO</w:t>
      </w:r>
      <w:r w:rsidR="00743F0B" w:rsidRPr="00743F0B">
        <w:rPr>
          <w:rFonts w:ascii="Cambria Math" w:hAnsi="Cambria Math" w:cs="Cambria Math"/>
        </w:rPr>
        <w:t>₂</w:t>
      </w:r>
      <w:r w:rsidR="00743F0B" w:rsidRPr="00743F0B">
        <w:t xml:space="preserve"> or CO</w:t>
      </w:r>
      <w:r w:rsidR="00743F0B" w:rsidRPr="00743F0B">
        <w:rPr>
          <w:rFonts w:ascii="Cambria Math" w:hAnsi="Cambria Math" w:cs="Cambria Math"/>
        </w:rPr>
        <w:t>₂</w:t>
      </w:r>
      <w:r w:rsidR="00743F0B" w:rsidRPr="00743F0B">
        <w:t>/N</w:t>
      </w:r>
      <w:r w:rsidR="00743F0B" w:rsidRPr="00743F0B">
        <w:rPr>
          <w:rFonts w:ascii="Cambria Math" w:hAnsi="Cambria Math" w:cs="Cambria Math"/>
        </w:rPr>
        <w:t>₂</w:t>
      </w:r>
      <w:r w:rsidR="00743F0B" w:rsidRPr="00743F0B">
        <w:t>, using absorption or adsorption methods. This study aims to address this gap by experimentally analyzing how different CO</w:t>
      </w:r>
      <w:r w:rsidR="00743F0B" w:rsidRPr="00743F0B">
        <w:rPr>
          <w:rFonts w:ascii="Cambria Math" w:hAnsi="Cambria Math" w:cs="Cambria Math"/>
        </w:rPr>
        <w:t>₂</w:t>
      </w:r>
      <w:r w:rsidR="00743F0B" w:rsidRPr="00743F0B">
        <w:t xml:space="preserve"> concentrations impact the efficiency and mass transfer characteristics of a hollow fiber membrane s</w:t>
      </w:r>
      <w:r w:rsidR="00B21BB5">
        <w:t>ystem, under fixed</w:t>
      </w:r>
      <w:r w:rsidR="00743F0B" w:rsidRPr="00743F0B">
        <w:t xml:space="preserve"> temperature and pressure conditions, with a particular emphasis on flue gas systems.</w:t>
      </w:r>
    </w:p>
    <w:p w14:paraId="5254EAA6" w14:textId="7B7D5B79" w:rsidR="00984ED2" w:rsidRPr="00A7714F" w:rsidRDefault="00984ED2" w:rsidP="00984ED2">
      <w:pPr>
        <w:pStyle w:val="CETHeading1"/>
      </w:pPr>
      <w:r w:rsidRPr="00984ED2">
        <w:t>Methods</w:t>
      </w:r>
    </w:p>
    <w:p w14:paraId="407C819D" w14:textId="7460691E" w:rsidR="00984ED2" w:rsidRPr="00984ED2" w:rsidRDefault="00984ED2" w:rsidP="00984ED2">
      <w:pPr>
        <w:pStyle w:val="NormalWeb"/>
        <w:rPr>
          <w:b/>
          <w:sz w:val="18"/>
          <w:szCs w:val="18"/>
        </w:rPr>
      </w:pPr>
      <w:r w:rsidRPr="00984ED2">
        <w:rPr>
          <w:b/>
          <w:sz w:val="18"/>
          <w:szCs w:val="18"/>
        </w:rPr>
        <w:t>2.1. Experimental set-up</w:t>
      </w:r>
    </w:p>
    <w:p w14:paraId="495DC155" w14:textId="0AB2B7BE" w:rsidR="00A7714F" w:rsidRDefault="00B21BB5" w:rsidP="00B21BB5">
      <w:pPr>
        <w:pStyle w:val="CETBodytext"/>
      </w:pPr>
      <w:r>
        <w:t>The experiments were conducted to evaluate the impact of varying CO</w:t>
      </w:r>
      <w:r>
        <w:rPr>
          <w:rFonts w:ascii="Cambria Math" w:hAnsi="Cambria Math" w:cs="Cambria Math"/>
        </w:rPr>
        <w:t>₂</w:t>
      </w:r>
      <w:r w:rsidR="003072A5">
        <w:t xml:space="preserve"> concentrations in</w:t>
      </w:r>
      <w:r>
        <w:t xml:space="preserve"> flue gas streams on the capture of CO</w:t>
      </w:r>
      <w:r>
        <w:rPr>
          <w:rFonts w:ascii="Cambria Math" w:hAnsi="Cambria Math" w:cs="Cambria Math"/>
        </w:rPr>
        <w:t>₂</w:t>
      </w:r>
      <w:r>
        <w:t>. This was achieved using a laboratory membrane unit, the Ralex GSU-LAB 200, manufactured by MemBrain. The full characteristics of the membrane system are detailed in Table 1, while Figure 1 provides a schematic representation of the process. Initially, tests were performed using pure gases (100</w:t>
      </w:r>
      <w:r w:rsidR="00737010">
        <w:t xml:space="preserve"> </w:t>
      </w:r>
      <w:r>
        <w:t>%</w:t>
      </w:r>
      <w:r w:rsidR="00737010">
        <w:t>vol</w:t>
      </w:r>
      <w:r>
        <w:t xml:space="preserve"> CO</w:t>
      </w:r>
      <w:r>
        <w:rPr>
          <w:rFonts w:ascii="Cambria Math" w:hAnsi="Cambria Math" w:cs="Cambria Math"/>
        </w:rPr>
        <w:t>₂</w:t>
      </w:r>
      <w:r>
        <w:t xml:space="preserve"> and N</w:t>
      </w:r>
      <w:r>
        <w:rPr>
          <w:rFonts w:ascii="Cambria Math" w:hAnsi="Cambria Math" w:cs="Cambria Math"/>
        </w:rPr>
        <w:t>₂</w:t>
      </w:r>
      <w:r>
        <w:t>) at the same volumetric flow rate of 130 Nlh</w:t>
      </w:r>
      <w:r>
        <w:rPr>
          <w:rFonts w:ascii="Cambria Math" w:hAnsi="Cambria Math" w:cs="Cambria Math"/>
        </w:rPr>
        <w:t>⁻</w:t>
      </w:r>
      <w:r>
        <w:rPr>
          <w:rFonts w:cs="Arial"/>
        </w:rPr>
        <w:t>¹</w:t>
      </w:r>
      <w:r w:rsidR="00CB4E69">
        <w:t>,</w:t>
      </w:r>
      <w:r>
        <w:t xml:space="preserve"> with variable feed-side pressure ranges and a constant permeate pressure of 1.43 bar. Following this, six different model flue gas mixtures with varying compositions, as outlined in Table 2, were passed through the membrane gas analyzer/separator under steady-state conditions. The complete experimental configuration and analysis were carried out at a constant volumetric flow rate of 130 Nlh</w:t>
      </w:r>
      <w:r>
        <w:rPr>
          <w:rFonts w:ascii="Cambria Math" w:hAnsi="Cambria Math" w:cs="Cambria Math"/>
        </w:rPr>
        <w:t>⁻</w:t>
      </w:r>
      <w:r>
        <w:rPr>
          <w:rFonts w:cs="Arial"/>
        </w:rPr>
        <w:t>¹</w:t>
      </w:r>
      <w:r>
        <w:t>, at an average process temperature of 30 °C, with feed and permeate pressures maintained at 10 bar and 1.43 bar, respectively.</w:t>
      </w:r>
    </w:p>
    <w:p w14:paraId="2C7E4619" w14:textId="77777777" w:rsidR="00B21BB5" w:rsidRDefault="00B21BB5" w:rsidP="00B21BB5">
      <w:pPr>
        <w:pStyle w:val="CETBodytext"/>
      </w:pPr>
    </w:p>
    <w:p w14:paraId="4F3D4852" w14:textId="0353F95D" w:rsidR="00BD5A76" w:rsidRPr="00B57B36" w:rsidRDefault="00BD5A76" w:rsidP="00A7714F">
      <w:pPr>
        <w:pStyle w:val="CETBodytext"/>
      </w:pPr>
      <w:r w:rsidRPr="00A7714F">
        <w:rPr>
          <w:i/>
        </w:rPr>
        <w:t>Table 1:</w:t>
      </w:r>
      <w:r w:rsidRPr="00B57B36">
        <w:t xml:space="preserve"> </w:t>
      </w:r>
      <w:r w:rsidR="002D553C" w:rsidRPr="00997EF0">
        <w:rPr>
          <w:i/>
        </w:rPr>
        <w:t>Hollow fibre membrane module (P2-1.2) system</w:t>
      </w:r>
      <w:r w:rsidR="002D553C">
        <w:t xml:space="preserve">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26"/>
        <w:gridCol w:w="2726"/>
      </w:tblGrid>
      <w:tr w:rsidR="002D553C" w:rsidRPr="00B57B36" w14:paraId="63E26630" w14:textId="77777777" w:rsidTr="0018387D">
        <w:trPr>
          <w:trHeight w:val="247"/>
        </w:trPr>
        <w:tc>
          <w:tcPr>
            <w:tcW w:w="2726" w:type="dxa"/>
            <w:tcBorders>
              <w:top w:val="single" w:sz="12" w:space="0" w:color="008000"/>
              <w:bottom w:val="single" w:sz="6" w:space="0" w:color="008000"/>
            </w:tcBorders>
            <w:shd w:val="clear" w:color="auto" w:fill="FFFFFF"/>
          </w:tcPr>
          <w:p w14:paraId="54F2DFD1" w14:textId="495A08D4" w:rsidR="002D553C" w:rsidRPr="00B57B36" w:rsidRDefault="002D553C" w:rsidP="002D553C">
            <w:pPr>
              <w:pStyle w:val="CETBodytext"/>
              <w:spacing w:line="240" w:lineRule="auto"/>
              <w:rPr>
                <w:lang w:val="en-GB"/>
              </w:rPr>
            </w:pPr>
            <w:r w:rsidRPr="00984ED2">
              <w:rPr>
                <w:rFonts w:cs="Arial"/>
                <w:szCs w:val="18"/>
              </w:rPr>
              <w:t>Fibre material</w:t>
            </w:r>
          </w:p>
        </w:tc>
        <w:tc>
          <w:tcPr>
            <w:tcW w:w="2726" w:type="dxa"/>
            <w:tcBorders>
              <w:top w:val="single" w:sz="12" w:space="0" w:color="008000"/>
              <w:bottom w:val="single" w:sz="6" w:space="0" w:color="008000"/>
            </w:tcBorders>
            <w:shd w:val="clear" w:color="auto" w:fill="FFFFFF"/>
          </w:tcPr>
          <w:p w14:paraId="04814027" w14:textId="22A8A323" w:rsidR="002D553C" w:rsidRPr="00B57B36" w:rsidRDefault="002D553C" w:rsidP="002D553C">
            <w:pPr>
              <w:pStyle w:val="CETBodytext"/>
              <w:spacing w:line="240" w:lineRule="auto"/>
              <w:rPr>
                <w:lang w:val="en-GB"/>
              </w:rPr>
            </w:pPr>
            <w:r w:rsidRPr="00984ED2">
              <w:rPr>
                <w:rFonts w:cs="Arial"/>
                <w:szCs w:val="18"/>
              </w:rPr>
              <w:t>Polyetherimide</w:t>
            </w:r>
          </w:p>
        </w:tc>
      </w:tr>
      <w:tr w:rsidR="002D553C" w:rsidRPr="00B57B36" w14:paraId="77B34D91" w14:textId="77777777" w:rsidTr="0018387D">
        <w:trPr>
          <w:trHeight w:val="247"/>
        </w:trPr>
        <w:tc>
          <w:tcPr>
            <w:tcW w:w="2726" w:type="dxa"/>
            <w:shd w:val="clear" w:color="auto" w:fill="FFFFFF"/>
          </w:tcPr>
          <w:p w14:paraId="6539BF16" w14:textId="3A8733E8" w:rsidR="002D553C" w:rsidRPr="00B57B36" w:rsidRDefault="002D553C" w:rsidP="002D553C">
            <w:pPr>
              <w:pStyle w:val="CETBodytext"/>
              <w:spacing w:line="240" w:lineRule="auto"/>
              <w:rPr>
                <w:lang w:val="en-GB"/>
              </w:rPr>
            </w:pPr>
            <w:r w:rsidRPr="00984ED2">
              <w:rPr>
                <w:rFonts w:cs="Arial"/>
                <w:color w:val="000000" w:themeColor="dark1"/>
                <w:kern w:val="24"/>
                <w:szCs w:val="18"/>
              </w:rPr>
              <w:t>Quantity of fibre</w:t>
            </w:r>
          </w:p>
        </w:tc>
        <w:tc>
          <w:tcPr>
            <w:tcW w:w="2726" w:type="dxa"/>
            <w:shd w:val="clear" w:color="auto" w:fill="FFFFFF"/>
          </w:tcPr>
          <w:p w14:paraId="7364A8F9" w14:textId="21B51165" w:rsidR="002D553C" w:rsidRPr="00B57B36" w:rsidRDefault="002D553C" w:rsidP="002D553C">
            <w:pPr>
              <w:pStyle w:val="CETBodytext"/>
              <w:spacing w:line="240" w:lineRule="auto"/>
              <w:rPr>
                <w:lang w:val="en-GB"/>
              </w:rPr>
            </w:pPr>
            <w:r w:rsidRPr="00984ED2">
              <w:rPr>
                <w:rFonts w:cs="Arial"/>
                <w:color w:val="000000" w:themeColor="dark1"/>
                <w:kern w:val="24"/>
                <w:szCs w:val="18"/>
                <w:lang w:val="en-GB"/>
              </w:rPr>
              <w:t>2900</w:t>
            </w:r>
            <w:r w:rsidR="00BC27B2">
              <w:rPr>
                <w:rFonts w:cs="Arial"/>
                <w:color w:val="000000" w:themeColor="dark1"/>
                <w:kern w:val="24"/>
                <w:szCs w:val="18"/>
                <w:lang w:val="en-GB"/>
              </w:rPr>
              <w:t xml:space="preserve"> </w:t>
            </w:r>
            <w:r w:rsidRPr="00984ED2">
              <w:rPr>
                <w:rFonts w:cs="Arial"/>
                <w:color w:val="000000" w:themeColor="dark1"/>
                <w:kern w:val="24"/>
                <w:szCs w:val="18"/>
                <w:lang w:val="en-GB"/>
              </w:rPr>
              <w:t>pieces</w:t>
            </w:r>
          </w:p>
        </w:tc>
      </w:tr>
      <w:tr w:rsidR="002D553C" w:rsidRPr="00B57B36" w14:paraId="3E2D9EE1" w14:textId="77777777" w:rsidTr="0018387D">
        <w:trPr>
          <w:trHeight w:val="247"/>
        </w:trPr>
        <w:tc>
          <w:tcPr>
            <w:tcW w:w="2726" w:type="dxa"/>
            <w:shd w:val="clear" w:color="auto" w:fill="FFFFFF"/>
          </w:tcPr>
          <w:p w14:paraId="4F67EAA7" w14:textId="5D4137B6" w:rsidR="002D553C" w:rsidRPr="00B57B36" w:rsidRDefault="002D553C" w:rsidP="002D553C">
            <w:pPr>
              <w:pStyle w:val="CETBodytext"/>
              <w:spacing w:line="240" w:lineRule="auto"/>
              <w:rPr>
                <w:lang w:val="en-GB"/>
              </w:rPr>
            </w:pPr>
            <w:r w:rsidRPr="00984ED2">
              <w:rPr>
                <w:rFonts w:cs="Arial"/>
                <w:color w:val="000000" w:themeColor="dark1"/>
                <w:kern w:val="24"/>
                <w:szCs w:val="18"/>
              </w:rPr>
              <w:t>external fibre diameter</w:t>
            </w:r>
          </w:p>
        </w:tc>
        <w:tc>
          <w:tcPr>
            <w:tcW w:w="2726" w:type="dxa"/>
            <w:shd w:val="clear" w:color="auto" w:fill="FFFFFF"/>
          </w:tcPr>
          <w:p w14:paraId="60A1E727" w14:textId="493691C7" w:rsidR="002D553C" w:rsidRPr="00B57B36" w:rsidRDefault="002D553C" w:rsidP="002D553C">
            <w:pPr>
              <w:pStyle w:val="CETBodytext"/>
              <w:spacing w:line="240" w:lineRule="auto"/>
              <w:rPr>
                <w:lang w:val="en-GB"/>
              </w:rPr>
            </w:pPr>
            <w:r w:rsidRPr="00984ED2">
              <w:rPr>
                <w:rFonts w:cs="Arial"/>
                <w:color w:val="000000" w:themeColor="dark1"/>
                <w:kern w:val="24"/>
                <w:szCs w:val="18"/>
              </w:rPr>
              <w:t>0.3</w:t>
            </w:r>
            <w:r w:rsidR="00BC27B2">
              <w:rPr>
                <w:rFonts w:cs="Arial"/>
                <w:color w:val="000000" w:themeColor="dark1"/>
                <w:kern w:val="24"/>
                <w:szCs w:val="18"/>
              </w:rPr>
              <w:t xml:space="preserve"> </w:t>
            </w:r>
            <w:r w:rsidRPr="00984ED2">
              <w:rPr>
                <w:rFonts w:cs="Arial"/>
                <w:color w:val="000000" w:themeColor="dark1"/>
                <w:kern w:val="24"/>
                <w:szCs w:val="18"/>
              </w:rPr>
              <w:t>mm</w:t>
            </w:r>
          </w:p>
        </w:tc>
      </w:tr>
      <w:tr w:rsidR="002D553C" w:rsidRPr="00B57B36" w14:paraId="383C5085" w14:textId="77777777" w:rsidTr="0018387D">
        <w:trPr>
          <w:trHeight w:val="247"/>
        </w:trPr>
        <w:tc>
          <w:tcPr>
            <w:tcW w:w="2726" w:type="dxa"/>
            <w:shd w:val="clear" w:color="auto" w:fill="FFFFFF"/>
          </w:tcPr>
          <w:p w14:paraId="02D4B1B6" w14:textId="54B7F478" w:rsidR="002D553C" w:rsidRPr="00B57B36" w:rsidRDefault="002D553C" w:rsidP="002D553C">
            <w:pPr>
              <w:pStyle w:val="CETBodytext"/>
              <w:spacing w:line="240" w:lineRule="auto"/>
              <w:rPr>
                <w:lang w:val="en-GB"/>
              </w:rPr>
            </w:pPr>
            <w:r w:rsidRPr="00984ED2">
              <w:rPr>
                <w:rFonts w:cs="Arial"/>
                <w:color w:val="000000" w:themeColor="dark1"/>
                <w:kern w:val="24"/>
                <w:szCs w:val="18"/>
              </w:rPr>
              <w:t>Active length of fibre</w:t>
            </w:r>
          </w:p>
        </w:tc>
        <w:tc>
          <w:tcPr>
            <w:tcW w:w="2726" w:type="dxa"/>
            <w:shd w:val="clear" w:color="auto" w:fill="FFFFFF"/>
          </w:tcPr>
          <w:p w14:paraId="34B2538E" w14:textId="4D835B9B" w:rsidR="002D553C" w:rsidRPr="00B57B36" w:rsidRDefault="002D553C" w:rsidP="002D553C">
            <w:pPr>
              <w:pStyle w:val="CETBodytext"/>
              <w:spacing w:line="240" w:lineRule="auto"/>
              <w:rPr>
                <w:lang w:val="en-GB"/>
              </w:rPr>
            </w:pPr>
            <w:r w:rsidRPr="00984ED2">
              <w:rPr>
                <w:rFonts w:cs="Arial"/>
                <w:color w:val="000000" w:themeColor="dark1"/>
                <w:kern w:val="24"/>
                <w:szCs w:val="18"/>
              </w:rPr>
              <w:t>0.3</w:t>
            </w:r>
            <w:r w:rsidR="00BC27B2">
              <w:rPr>
                <w:rFonts w:cs="Arial"/>
                <w:color w:val="000000" w:themeColor="dark1"/>
                <w:kern w:val="24"/>
                <w:szCs w:val="18"/>
              </w:rPr>
              <w:t xml:space="preserve"> </w:t>
            </w:r>
            <w:r w:rsidRPr="00984ED2">
              <w:rPr>
                <w:rFonts w:cs="Arial"/>
                <w:color w:val="000000" w:themeColor="dark1"/>
                <w:kern w:val="24"/>
                <w:szCs w:val="18"/>
              </w:rPr>
              <w:t>m</w:t>
            </w:r>
          </w:p>
        </w:tc>
      </w:tr>
      <w:tr w:rsidR="002D553C" w:rsidRPr="00B57B36" w14:paraId="17778E18" w14:textId="77777777" w:rsidTr="0018387D">
        <w:trPr>
          <w:trHeight w:val="247"/>
        </w:trPr>
        <w:tc>
          <w:tcPr>
            <w:tcW w:w="2726" w:type="dxa"/>
            <w:shd w:val="clear" w:color="auto" w:fill="FFFFFF"/>
          </w:tcPr>
          <w:p w14:paraId="7869A00F" w14:textId="678A341E" w:rsidR="002D553C" w:rsidRPr="00B57B36" w:rsidRDefault="002D553C" w:rsidP="002D553C">
            <w:pPr>
              <w:pStyle w:val="CETBodytext"/>
              <w:spacing w:line="240" w:lineRule="auto"/>
              <w:rPr>
                <w:lang w:val="en-GB"/>
              </w:rPr>
            </w:pPr>
            <w:r w:rsidRPr="00984ED2">
              <w:rPr>
                <w:rFonts w:cs="Arial"/>
                <w:color w:val="000000" w:themeColor="dark1"/>
                <w:kern w:val="24"/>
                <w:szCs w:val="18"/>
              </w:rPr>
              <w:t>Fibre wall thickness</w:t>
            </w:r>
          </w:p>
        </w:tc>
        <w:tc>
          <w:tcPr>
            <w:tcW w:w="2726" w:type="dxa"/>
            <w:shd w:val="clear" w:color="auto" w:fill="FFFFFF"/>
          </w:tcPr>
          <w:p w14:paraId="072E54CA" w14:textId="435E1AC1" w:rsidR="002D553C" w:rsidRPr="00BC27B2" w:rsidRDefault="002D553C" w:rsidP="002D553C">
            <w:pPr>
              <w:pStyle w:val="CETBodytext"/>
              <w:spacing w:line="240" w:lineRule="auto"/>
              <w:rPr>
                <w:color w:val="000000" w:themeColor="text1"/>
                <w:lang w:val="en-GB"/>
              </w:rPr>
            </w:pPr>
            <w:r w:rsidRPr="00BC27B2">
              <w:rPr>
                <w:rFonts w:cs="Arial"/>
                <w:color w:val="000000" w:themeColor="text1"/>
                <w:kern w:val="24"/>
                <w:szCs w:val="18"/>
              </w:rPr>
              <w:t>0.00006</w:t>
            </w:r>
            <w:r w:rsidR="00BC27B2" w:rsidRPr="00BC27B2">
              <w:rPr>
                <w:rFonts w:cs="Arial"/>
                <w:color w:val="000000" w:themeColor="text1"/>
                <w:kern w:val="24"/>
                <w:szCs w:val="18"/>
              </w:rPr>
              <w:t xml:space="preserve"> </w:t>
            </w:r>
            <w:r w:rsidRPr="00BC27B2">
              <w:rPr>
                <w:rFonts w:cs="Arial"/>
                <w:color w:val="000000" w:themeColor="text1"/>
                <w:kern w:val="24"/>
                <w:szCs w:val="18"/>
              </w:rPr>
              <w:t>m</w:t>
            </w:r>
          </w:p>
        </w:tc>
      </w:tr>
      <w:tr w:rsidR="002D553C" w:rsidRPr="00B57B36" w14:paraId="1C1444A0" w14:textId="77777777" w:rsidTr="0018387D">
        <w:trPr>
          <w:trHeight w:val="247"/>
        </w:trPr>
        <w:tc>
          <w:tcPr>
            <w:tcW w:w="2726" w:type="dxa"/>
            <w:shd w:val="clear" w:color="auto" w:fill="FFFFFF"/>
          </w:tcPr>
          <w:p w14:paraId="54F29A88" w14:textId="24BA6155" w:rsidR="002D553C" w:rsidRPr="00B57B36" w:rsidRDefault="002D553C" w:rsidP="002D553C">
            <w:pPr>
              <w:pStyle w:val="CETBodytext"/>
              <w:spacing w:line="240" w:lineRule="auto"/>
              <w:rPr>
                <w:lang w:val="en-GB"/>
              </w:rPr>
            </w:pPr>
            <w:r w:rsidRPr="00984ED2">
              <w:rPr>
                <w:rFonts w:cs="Arial"/>
                <w:color w:val="000000" w:themeColor="dark1"/>
                <w:kern w:val="24"/>
                <w:szCs w:val="18"/>
              </w:rPr>
              <w:t>Mass transfer surface area</w:t>
            </w:r>
          </w:p>
        </w:tc>
        <w:tc>
          <w:tcPr>
            <w:tcW w:w="2726" w:type="dxa"/>
            <w:shd w:val="clear" w:color="auto" w:fill="FFFFFF"/>
          </w:tcPr>
          <w:p w14:paraId="7A1F412D" w14:textId="0C3548F7" w:rsidR="002D553C" w:rsidRPr="00BC27B2" w:rsidRDefault="002D553C" w:rsidP="002D553C">
            <w:pPr>
              <w:pStyle w:val="CETBodytext"/>
              <w:spacing w:line="240" w:lineRule="auto"/>
              <w:rPr>
                <w:color w:val="000000" w:themeColor="text1"/>
                <w:lang w:val="en-GB"/>
              </w:rPr>
            </w:pPr>
            <w:r w:rsidRPr="00BC27B2">
              <w:rPr>
                <w:rFonts w:cs="Arial"/>
                <w:color w:val="000000" w:themeColor="text1"/>
                <w:kern w:val="24"/>
                <w:szCs w:val="18"/>
              </w:rPr>
              <w:t>0.82</w:t>
            </w:r>
            <w:r w:rsidR="00BC27B2" w:rsidRPr="00BC27B2">
              <w:rPr>
                <w:rFonts w:cs="Arial"/>
                <w:color w:val="000000" w:themeColor="text1"/>
                <w:kern w:val="24"/>
                <w:szCs w:val="18"/>
              </w:rPr>
              <w:t xml:space="preserve"> </w:t>
            </w:r>
            <w:r w:rsidRPr="00BC27B2">
              <w:rPr>
                <w:rFonts w:cs="Arial"/>
                <w:color w:val="000000" w:themeColor="text1"/>
                <w:kern w:val="24"/>
                <w:szCs w:val="18"/>
                <w:lang w:val="en-GB"/>
              </w:rPr>
              <w:t>m</w:t>
            </w:r>
            <w:r w:rsidRPr="00BC27B2">
              <w:rPr>
                <w:rFonts w:cs="Arial"/>
                <w:color w:val="000000" w:themeColor="text1"/>
                <w:kern w:val="24"/>
                <w:szCs w:val="18"/>
                <w:vertAlign w:val="superscript"/>
                <w:lang w:val="en-GB"/>
              </w:rPr>
              <w:t xml:space="preserve">2 </w:t>
            </w:r>
          </w:p>
        </w:tc>
      </w:tr>
    </w:tbl>
    <w:p w14:paraId="21D7DE51" w14:textId="5342524D" w:rsidR="00900C7F" w:rsidRPr="00B57B36" w:rsidRDefault="00900C7F" w:rsidP="00900C7F">
      <w:pPr>
        <w:pStyle w:val="CETTabletitle"/>
      </w:pPr>
      <w:r>
        <w:t>Table 2</w:t>
      </w:r>
      <w:r w:rsidRPr="00B57B36">
        <w:t xml:space="preserve">: </w:t>
      </w:r>
      <w:r w:rsidRPr="00900C7F">
        <w:t>The compositions of the model feed gas mixtures used in this 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410"/>
        <w:gridCol w:w="1080"/>
        <w:gridCol w:w="1080"/>
        <w:gridCol w:w="707"/>
      </w:tblGrid>
      <w:tr w:rsidR="00900C7F" w:rsidRPr="00B57B36" w14:paraId="1E618089" w14:textId="168904C0" w:rsidTr="00900C7F">
        <w:trPr>
          <w:trHeight w:val="248"/>
        </w:trPr>
        <w:tc>
          <w:tcPr>
            <w:tcW w:w="4410" w:type="dxa"/>
            <w:tcBorders>
              <w:top w:val="single" w:sz="12" w:space="0" w:color="008000"/>
              <w:bottom w:val="single" w:sz="6" w:space="0" w:color="008000"/>
            </w:tcBorders>
            <w:shd w:val="clear" w:color="auto" w:fill="FFFFFF"/>
          </w:tcPr>
          <w:p w14:paraId="71788F42" w14:textId="5130A3DA" w:rsidR="00900C7F" w:rsidRPr="00B57B36" w:rsidRDefault="00900C7F" w:rsidP="005D1568">
            <w:pPr>
              <w:pStyle w:val="CETBodytext"/>
              <w:spacing w:line="240" w:lineRule="auto"/>
              <w:rPr>
                <w:lang w:val="en-GB"/>
              </w:rPr>
            </w:pPr>
            <w:r>
              <w:t xml:space="preserve">Model gas mixture %composition </w:t>
            </w:r>
            <w:r>
              <w:rPr>
                <w:lang w:val="en-GB"/>
              </w:rPr>
              <w:t>(N</w:t>
            </w:r>
            <w:r w:rsidRPr="00900C7F">
              <w:rPr>
                <w:vertAlign w:val="subscript"/>
                <w:lang w:val="en-GB"/>
              </w:rPr>
              <w:t>2</w:t>
            </w:r>
            <w:r>
              <w:rPr>
                <w:lang w:val="en-GB"/>
              </w:rPr>
              <w:t xml:space="preserve"> + CO</w:t>
            </w:r>
            <w:r w:rsidRPr="00900C7F">
              <w:rPr>
                <w:vertAlign w:val="subscript"/>
                <w:lang w:val="en-GB"/>
              </w:rPr>
              <w:t>2</w:t>
            </w:r>
            <w:r>
              <w:rPr>
                <w:lang w:val="en-GB"/>
              </w:rPr>
              <w:t xml:space="preserve"> + O</w:t>
            </w:r>
            <w:r w:rsidRPr="00900C7F">
              <w:rPr>
                <w:vertAlign w:val="subscript"/>
                <w:lang w:val="en-GB"/>
              </w:rPr>
              <w:t>2</w:t>
            </w:r>
            <w:r>
              <w:rPr>
                <w:lang w:val="en-GB"/>
              </w:rPr>
              <w:t>)</w:t>
            </w:r>
          </w:p>
        </w:tc>
        <w:tc>
          <w:tcPr>
            <w:tcW w:w="1080" w:type="dxa"/>
            <w:tcBorders>
              <w:top w:val="single" w:sz="12" w:space="0" w:color="008000"/>
              <w:bottom w:val="single" w:sz="6" w:space="0" w:color="008000"/>
            </w:tcBorders>
            <w:shd w:val="clear" w:color="auto" w:fill="FFFFFF"/>
          </w:tcPr>
          <w:p w14:paraId="391CBBE8" w14:textId="7F66C7C0" w:rsidR="00900C7F" w:rsidRPr="00B57B36" w:rsidRDefault="00900C7F" w:rsidP="00900C7F">
            <w:pPr>
              <w:pStyle w:val="CETBodytext"/>
              <w:spacing w:line="240" w:lineRule="auto"/>
              <w:rPr>
                <w:lang w:val="en-GB"/>
              </w:rPr>
            </w:pPr>
            <w:r>
              <w:rPr>
                <w:lang w:val="en-GB"/>
              </w:rPr>
              <w:t>N</w:t>
            </w:r>
            <w:r w:rsidRPr="00900C7F">
              <w:rPr>
                <w:vertAlign w:val="subscript"/>
                <w:lang w:val="en-GB"/>
              </w:rPr>
              <w:t>2</w:t>
            </w:r>
            <w:r>
              <w:rPr>
                <w:lang w:val="en-GB"/>
              </w:rPr>
              <w:t xml:space="preserve"> (%)</w:t>
            </w:r>
          </w:p>
        </w:tc>
        <w:tc>
          <w:tcPr>
            <w:tcW w:w="1080" w:type="dxa"/>
            <w:tcBorders>
              <w:top w:val="single" w:sz="12" w:space="0" w:color="008000"/>
              <w:bottom w:val="single" w:sz="6" w:space="0" w:color="008000"/>
            </w:tcBorders>
            <w:shd w:val="clear" w:color="auto" w:fill="FFFFFF"/>
          </w:tcPr>
          <w:p w14:paraId="21880907" w14:textId="0DF4357F" w:rsidR="00900C7F" w:rsidRPr="00984ED2" w:rsidRDefault="00900C7F" w:rsidP="00900C7F">
            <w:pPr>
              <w:pStyle w:val="CETBodytext"/>
              <w:spacing w:line="240" w:lineRule="auto"/>
              <w:rPr>
                <w:rFonts w:cs="Arial"/>
                <w:szCs w:val="18"/>
              </w:rPr>
            </w:pPr>
            <w:r>
              <w:rPr>
                <w:lang w:val="en-GB"/>
              </w:rPr>
              <w:t>CO</w:t>
            </w:r>
            <w:r w:rsidRPr="00900C7F">
              <w:rPr>
                <w:vertAlign w:val="subscript"/>
                <w:lang w:val="en-GB"/>
              </w:rPr>
              <w:t>2</w:t>
            </w:r>
            <w:r>
              <w:rPr>
                <w:lang w:val="en-GB"/>
              </w:rPr>
              <w:t xml:space="preserve"> (%)</w:t>
            </w:r>
          </w:p>
        </w:tc>
        <w:tc>
          <w:tcPr>
            <w:tcW w:w="707" w:type="dxa"/>
            <w:tcBorders>
              <w:top w:val="single" w:sz="12" w:space="0" w:color="008000"/>
              <w:bottom w:val="single" w:sz="6" w:space="0" w:color="008000"/>
            </w:tcBorders>
            <w:shd w:val="clear" w:color="auto" w:fill="FFFFFF"/>
          </w:tcPr>
          <w:p w14:paraId="7ACF0BC2" w14:textId="74D91563" w:rsidR="00900C7F" w:rsidRPr="00984ED2" w:rsidRDefault="00900C7F" w:rsidP="00900C7F">
            <w:pPr>
              <w:pStyle w:val="CETBodytext"/>
              <w:spacing w:line="240" w:lineRule="auto"/>
              <w:rPr>
                <w:rFonts w:cs="Arial"/>
                <w:szCs w:val="18"/>
              </w:rPr>
            </w:pPr>
            <w:r>
              <w:rPr>
                <w:lang w:val="en-GB"/>
              </w:rPr>
              <w:t>O</w:t>
            </w:r>
            <w:r w:rsidRPr="00900C7F">
              <w:rPr>
                <w:vertAlign w:val="subscript"/>
                <w:lang w:val="en-GB"/>
              </w:rPr>
              <w:t>2</w:t>
            </w:r>
            <w:r>
              <w:rPr>
                <w:lang w:val="en-GB"/>
              </w:rPr>
              <w:t xml:space="preserve"> (%)</w:t>
            </w:r>
          </w:p>
        </w:tc>
      </w:tr>
      <w:tr w:rsidR="00900C7F" w:rsidRPr="00B57B36" w14:paraId="3ECD9324" w14:textId="740316D9" w:rsidTr="00900C7F">
        <w:trPr>
          <w:trHeight w:val="248"/>
        </w:trPr>
        <w:tc>
          <w:tcPr>
            <w:tcW w:w="4410" w:type="dxa"/>
            <w:shd w:val="clear" w:color="auto" w:fill="FFFFFF"/>
          </w:tcPr>
          <w:p w14:paraId="1D8CC5AA" w14:textId="4BB9BDD2" w:rsidR="00900C7F" w:rsidRPr="00B57B36" w:rsidRDefault="00900C7F" w:rsidP="005D1568">
            <w:pPr>
              <w:pStyle w:val="CETBodytext"/>
              <w:spacing w:line="240" w:lineRule="auto"/>
              <w:rPr>
                <w:lang w:val="en-GB"/>
              </w:rPr>
            </w:pPr>
            <w:r>
              <w:t>90.7-5-4.3</w:t>
            </w:r>
          </w:p>
        </w:tc>
        <w:tc>
          <w:tcPr>
            <w:tcW w:w="1080" w:type="dxa"/>
            <w:shd w:val="clear" w:color="auto" w:fill="FFFFFF"/>
          </w:tcPr>
          <w:p w14:paraId="3C87BF95" w14:textId="2853E00A" w:rsidR="00900C7F" w:rsidRPr="00B57B36" w:rsidRDefault="00900C7F" w:rsidP="005D1568">
            <w:pPr>
              <w:pStyle w:val="CETBodytext"/>
              <w:spacing w:line="240" w:lineRule="auto"/>
              <w:rPr>
                <w:lang w:val="en-GB"/>
              </w:rPr>
            </w:pPr>
            <w:r>
              <w:t>90.7</w:t>
            </w:r>
          </w:p>
        </w:tc>
        <w:tc>
          <w:tcPr>
            <w:tcW w:w="1080" w:type="dxa"/>
            <w:shd w:val="clear" w:color="auto" w:fill="FFFFFF"/>
          </w:tcPr>
          <w:p w14:paraId="359068F6" w14:textId="34C6A70A" w:rsidR="00900C7F" w:rsidRPr="00984ED2" w:rsidRDefault="00900C7F" w:rsidP="005D1568">
            <w:pPr>
              <w:pStyle w:val="CETBodytext"/>
              <w:spacing w:line="240" w:lineRule="auto"/>
              <w:rPr>
                <w:rFonts w:cs="Arial"/>
                <w:color w:val="000000" w:themeColor="dark1"/>
                <w:kern w:val="24"/>
                <w:szCs w:val="18"/>
                <w:lang w:val="en-GB"/>
              </w:rPr>
            </w:pPr>
            <w:r>
              <w:t>5.0</w:t>
            </w:r>
          </w:p>
        </w:tc>
        <w:tc>
          <w:tcPr>
            <w:tcW w:w="707" w:type="dxa"/>
            <w:shd w:val="clear" w:color="auto" w:fill="FFFFFF"/>
          </w:tcPr>
          <w:p w14:paraId="00176F07" w14:textId="44030871" w:rsidR="00900C7F" w:rsidRPr="00984ED2" w:rsidRDefault="00900C7F" w:rsidP="005D1568">
            <w:pPr>
              <w:pStyle w:val="CETBodytext"/>
              <w:spacing w:line="240" w:lineRule="auto"/>
              <w:rPr>
                <w:rFonts w:cs="Arial"/>
                <w:color w:val="000000" w:themeColor="dark1"/>
                <w:kern w:val="24"/>
                <w:szCs w:val="18"/>
                <w:lang w:val="en-GB"/>
              </w:rPr>
            </w:pPr>
            <w:r>
              <w:t>4.3</w:t>
            </w:r>
          </w:p>
        </w:tc>
      </w:tr>
      <w:tr w:rsidR="00900C7F" w:rsidRPr="00B57B36" w14:paraId="257FE653" w14:textId="1E0B01DD" w:rsidTr="00900C7F">
        <w:trPr>
          <w:trHeight w:val="248"/>
        </w:trPr>
        <w:tc>
          <w:tcPr>
            <w:tcW w:w="4410" w:type="dxa"/>
            <w:shd w:val="clear" w:color="auto" w:fill="FFFFFF"/>
          </w:tcPr>
          <w:p w14:paraId="6F92A803" w14:textId="7E5B5114" w:rsidR="00900C7F" w:rsidRPr="00B57B36" w:rsidRDefault="00900C7F" w:rsidP="005D1568">
            <w:pPr>
              <w:pStyle w:val="CETBodytext"/>
              <w:spacing w:line="240" w:lineRule="auto"/>
              <w:rPr>
                <w:lang w:val="en-GB"/>
              </w:rPr>
            </w:pPr>
            <w:r>
              <w:t>80.7-15-4.3</w:t>
            </w:r>
          </w:p>
        </w:tc>
        <w:tc>
          <w:tcPr>
            <w:tcW w:w="1080" w:type="dxa"/>
            <w:shd w:val="clear" w:color="auto" w:fill="FFFFFF"/>
          </w:tcPr>
          <w:p w14:paraId="6844766B" w14:textId="60843B1D" w:rsidR="00900C7F" w:rsidRPr="00B57B36" w:rsidRDefault="00900C7F" w:rsidP="005D1568">
            <w:pPr>
              <w:pStyle w:val="CETBodytext"/>
              <w:spacing w:line="240" w:lineRule="auto"/>
              <w:rPr>
                <w:lang w:val="en-GB"/>
              </w:rPr>
            </w:pPr>
            <w:r>
              <w:t>80.7</w:t>
            </w:r>
          </w:p>
        </w:tc>
        <w:tc>
          <w:tcPr>
            <w:tcW w:w="1080" w:type="dxa"/>
            <w:shd w:val="clear" w:color="auto" w:fill="FFFFFF"/>
          </w:tcPr>
          <w:p w14:paraId="2753361B" w14:textId="4BDCAEF0" w:rsidR="00900C7F" w:rsidRPr="00984ED2" w:rsidRDefault="00900C7F" w:rsidP="005D1568">
            <w:pPr>
              <w:pStyle w:val="CETBodytext"/>
              <w:spacing w:line="240" w:lineRule="auto"/>
              <w:rPr>
                <w:rFonts w:cs="Arial"/>
                <w:color w:val="000000" w:themeColor="dark1"/>
                <w:kern w:val="24"/>
                <w:szCs w:val="18"/>
              </w:rPr>
            </w:pPr>
            <w:r>
              <w:t>15.0</w:t>
            </w:r>
          </w:p>
        </w:tc>
        <w:tc>
          <w:tcPr>
            <w:tcW w:w="707" w:type="dxa"/>
            <w:shd w:val="clear" w:color="auto" w:fill="FFFFFF"/>
          </w:tcPr>
          <w:p w14:paraId="3E4F817A" w14:textId="6C2FFA23" w:rsidR="00900C7F" w:rsidRPr="00984ED2" w:rsidRDefault="00900C7F" w:rsidP="005D1568">
            <w:pPr>
              <w:pStyle w:val="CETBodytext"/>
              <w:spacing w:line="240" w:lineRule="auto"/>
              <w:rPr>
                <w:rFonts w:cs="Arial"/>
                <w:color w:val="000000" w:themeColor="dark1"/>
                <w:kern w:val="24"/>
                <w:szCs w:val="18"/>
              </w:rPr>
            </w:pPr>
            <w:r>
              <w:t>4.3</w:t>
            </w:r>
          </w:p>
        </w:tc>
      </w:tr>
      <w:tr w:rsidR="00900C7F" w:rsidRPr="00B57B36" w14:paraId="35E174F2" w14:textId="0B26ECBB" w:rsidTr="00900C7F">
        <w:trPr>
          <w:trHeight w:val="248"/>
        </w:trPr>
        <w:tc>
          <w:tcPr>
            <w:tcW w:w="4410" w:type="dxa"/>
            <w:shd w:val="clear" w:color="auto" w:fill="FFFFFF"/>
          </w:tcPr>
          <w:p w14:paraId="36B3D6DE" w14:textId="06A4172E" w:rsidR="00900C7F" w:rsidRPr="00B57B36" w:rsidRDefault="00900C7F" w:rsidP="005D1568">
            <w:pPr>
              <w:pStyle w:val="CETBodytext"/>
              <w:spacing w:line="240" w:lineRule="auto"/>
              <w:rPr>
                <w:lang w:val="en-GB"/>
              </w:rPr>
            </w:pPr>
            <w:r>
              <w:t>70.7-25-4.3</w:t>
            </w:r>
          </w:p>
        </w:tc>
        <w:tc>
          <w:tcPr>
            <w:tcW w:w="1080" w:type="dxa"/>
            <w:shd w:val="clear" w:color="auto" w:fill="FFFFFF"/>
          </w:tcPr>
          <w:p w14:paraId="2C46DEE3" w14:textId="5EAD28F2" w:rsidR="00900C7F" w:rsidRPr="00B57B36" w:rsidRDefault="00900C7F" w:rsidP="005D1568">
            <w:pPr>
              <w:pStyle w:val="CETBodytext"/>
              <w:spacing w:line="240" w:lineRule="auto"/>
              <w:rPr>
                <w:lang w:val="en-GB"/>
              </w:rPr>
            </w:pPr>
            <w:r>
              <w:t>70.7</w:t>
            </w:r>
          </w:p>
        </w:tc>
        <w:tc>
          <w:tcPr>
            <w:tcW w:w="1080" w:type="dxa"/>
            <w:shd w:val="clear" w:color="auto" w:fill="FFFFFF"/>
          </w:tcPr>
          <w:p w14:paraId="6F547961" w14:textId="3408A694" w:rsidR="00900C7F" w:rsidRPr="00984ED2" w:rsidRDefault="00900C7F" w:rsidP="005D1568">
            <w:pPr>
              <w:pStyle w:val="CETBodytext"/>
              <w:spacing w:line="240" w:lineRule="auto"/>
              <w:rPr>
                <w:rFonts w:cs="Arial"/>
                <w:color w:val="000000" w:themeColor="dark1"/>
                <w:kern w:val="24"/>
                <w:szCs w:val="18"/>
              </w:rPr>
            </w:pPr>
            <w:r>
              <w:t>25.0</w:t>
            </w:r>
          </w:p>
        </w:tc>
        <w:tc>
          <w:tcPr>
            <w:tcW w:w="707" w:type="dxa"/>
            <w:shd w:val="clear" w:color="auto" w:fill="FFFFFF"/>
          </w:tcPr>
          <w:p w14:paraId="16C167F7" w14:textId="4AEB4D5D" w:rsidR="00900C7F" w:rsidRPr="00984ED2" w:rsidRDefault="00900C7F" w:rsidP="005D1568">
            <w:pPr>
              <w:pStyle w:val="CETBodytext"/>
              <w:spacing w:line="240" w:lineRule="auto"/>
              <w:rPr>
                <w:rFonts w:cs="Arial"/>
                <w:color w:val="000000" w:themeColor="dark1"/>
                <w:kern w:val="24"/>
                <w:szCs w:val="18"/>
              </w:rPr>
            </w:pPr>
            <w:r>
              <w:t>4.3</w:t>
            </w:r>
          </w:p>
        </w:tc>
      </w:tr>
      <w:tr w:rsidR="00900C7F" w:rsidRPr="00B57B36" w14:paraId="231F878F" w14:textId="14BE2D99" w:rsidTr="00900C7F">
        <w:trPr>
          <w:trHeight w:val="248"/>
        </w:trPr>
        <w:tc>
          <w:tcPr>
            <w:tcW w:w="4410" w:type="dxa"/>
            <w:shd w:val="clear" w:color="auto" w:fill="FFFFFF"/>
          </w:tcPr>
          <w:p w14:paraId="25503086" w14:textId="6A31B299" w:rsidR="00900C7F" w:rsidRPr="00B57B36" w:rsidRDefault="00900C7F" w:rsidP="005D1568">
            <w:pPr>
              <w:pStyle w:val="CETBodytext"/>
              <w:spacing w:line="240" w:lineRule="auto"/>
              <w:rPr>
                <w:lang w:val="en-GB"/>
              </w:rPr>
            </w:pPr>
            <w:r>
              <w:t>60.7-35-4.3</w:t>
            </w:r>
          </w:p>
        </w:tc>
        <w:tc>
          <w:tcPr>
            <w:tcW w:w="1080" w:type="dxa"/>
            <w:shd w:val="clear" w:color="auto" w:fill="FFFFFF"/>
          </w:tcPr>
          <w:p w14:paraId="10623889" w14:textId="29AA04A7" w:rsidR="00900C7F" w:rsidRPr="00B57B36" w:rsidRDefault="00900C7F" w:rsidP="005D1568">
            <w:pPr>
              <w:pStyle w:val="CETBodytext"/>
              <w:spacing w:line="240" w:lineRule="auto"/>
              <w:rPr>
                <w:lang w:val="en-GB"/>
              </w:rPr>
            </w:pPr>
            <w:r>
              <w:t>60.7</w:t>
            </w:r>
          </w:p>
        </w:tc>
        <w:tc>
          <w:tcPr>
            <w:tcW w:w="1080" w:type="dxa"/>
            <w:shd w:val="clear" w:color="auto" w:fill="FFFFFF"/>
          </w:tcPr>
          <w:p w14:paraId="5EE80944" w14:textId="7A8149CA" w:rsidR="00900C7F" w:rsidRPr="00984ED2" w:rsidRDefault="00900C7F" w:rsidP="005D1568">
            <w:pPr>
              <w:pStyle w:val="CETBodytext"/>
              <w:spacing w:line="240" w:lineRule="auto"/>
              <w:rPr>
                <w:rFonts w:cs="Arial"/>
                <w:color w:val="000000" w:themeColor="dark1"/>
                <w:kern w:val="24"/>
                <w:szCs w:val="18"/>
              </w:rPr>
            </w:pPr>
            <w:r>
              <w:t>35.0</w:t>
            </w:r>
          </w:p>
        </w:tc>
        <w:tc>
          <w:tcPr>
            <w:tcW w:w="707" w:type="dxa"/>
            <w:shd w:val="clear" w:color="auto" w:fill="FFFFFF"/>
          </w:tcPr>
          <w:p w14:paraId="06B868DF" w14:textId="4CF8C364" w:rsidR="00900C7F" w:rsidRPr="00984ED2" w:rsidRDefault="00900C7F" w:rsidP="005D1568">
            <w:pPr>
              <w:pStyle w:val="CETBodytext"/>
              <w:spacing w:line="240" w:lineRule="auto"/>
              <w:rPr>
                <w:rFonts w:cs="Arial"/>
                <w:color w:val="000000" w:themeColor="dark1"/>
                <w:kern w:val="24"/>
                <w:szCs w:val="18"/>
              </w:rPr>
            </w:pPr>
            <w:r>
              <w:t>4.3</w:t>
            </w:r>
          </w:p>
        </w:tc>
      </w:tr>
      <w:tr w:rsidR="00900C7F" w:rsidRPr="00B57B36" w14:paraId="7F407432" w14:textId="6B9BED74" w:rsidTr="00900C7F">
        <w:trPr>
          <w:trHeight w:val="248"/>
        </w:trPr>
        <w:tc>
          <w:tcPr>
            <w:tcW w:w="4410" w:type="dxa"/>
            <w:shd w:val="clear" w:color="auto" w:fill="FFFFFF"/>
          </w:tcPr>
          <w:p w14:paraId="0BA03DBD" w14:textId="2C418504" w:rsidR="00900C7F" w:rsidRPr="00B57B36" w:rsidRDefault="00900C7F" w:rsidP="005D1568">
            <w:pPr>
              <w:pStyle w:val="CETBodytext"/>
              <w:spacing w:line="240" w:lineRule="auto"/>
              <w:rPr>
                <w:lang w:val="en-GB"/>
              </w:rPr>
            </w:pPr>
            <w:r>
              <w:t>50.7-45-4.3</w:t>
            </w:r>
          </w:p>
        </w:tc>
        <w:tc>
          <w:tcPr>
            <w:tcW w:w="1080" w:type="dxa"/>
            <w:shd w:val="clear" w:color="auto" w:fill="FFFFFF"/>
          </w:tcPr>
          <w:p w14:paraId="1D6D2566" w14:textId="45AF99F0" w:rsidR="00900C7F" w:rsidRPr="00B57B36" w:rsidRDefault="00900C7F" w:rsidP="005D1568">
            <w:pPr>
              <w:pStyle w:val="CETBodytext"/>
              <w:spacing w:line="240" w:lineRule="auto"/>
              <w:rPr>
                <w:lang w:val="en-GB"/>
              </w:rPr>
            </w:pPr>
            <w:r>
              <w:t>50.7</w:t>
            </w:r>
          </w:p>
        </w:tc>
        <w:tc>
          <w:tcPr>
            <w:tcW w:w="1080" w:type="dxa"/>
            <w:shd w:val="clear" w:color="auto" w:fill="FFFFFF"/>
          </w:tcPr>
          <w:p w14:paraId="57F16F0E" w14:textId="7CB16A38" w:rsidR="00900C7F" w:rsidRPr="00984ED2" w:rsidRDefault="00900C7F" w:rsidP="005D1568">
            <w:pPr>
              <w:pStyle w:val="CETBodytext"/>
              <w:spacing w:line="240" w:lineRule="auto"/>
              <w:rPr>
                <w:rFonts w:cs="Arial"/>
                <w:color w:val="000000" w:themeColor="dark1"/>
                <w:kern w:val="24"/>
                <w:szCs w:val="18"/>
              </w:rPr>
            </w:pPr>
            <w:r>
              <w:t>45.0</w:t>
            </w:r>
          </w:p>
        </w:tc>
        <w:tc>
          <w:tcPr>
            <w:tcW w:w="707" w:type="dxa"/>
            <w:shd w:val="clear" w:color="auto" w:fill="FFFFFF"/>
          </w:tcPr>
          <w:p w14:paraId="643E45EC" w14:textId="3D44E4F9" w:rsidR="00900C7F" w:rsidRPr="00984ED2" w:rsidRDefault="00900C7F" w:rsidP="005D1568">
            <w:pPr>
              <w:pStyle w:val="CETBodytext"/>
              <w:spacing w:line="240" w:lineRule="auto"/>
              <w:rPr>
                <w:rFonts w:cs="Arial"/>
                <w:color w:val="000000" w:themeColor="dark1"/>
                <w:kern w:val="24"/>
                <w:szCs w:val="18"/>
              </w:rPr>
            </w:pPr>
            <w:r>
              <w:t>4.3</w:t>
            </w:r>
          </w:p>
        </w:tc>
      </w:tr>
      <w:tr w:rsidR="00900C7F" w:rsidRPr="00B57B36" w14:paraId="25BACEDD" w14:textId="440D66C5" w:rsidTr="00900C7F">
        <w:trPr>
          <w:trHeight w:val="248"/>
        </w:trPr>
        <w:tc>
          <w:tcPr>
            <w:tcW w:w="4410" w:type="dxa"/>
            <w:shd w:val="clear" w:color="auto" w:fill="FFFFFF"/>
          </w:tcPr>
          <w:p w14:paraId="74A4612C" w14:textId="1710FD40" w:rsidR="00900C7F" w:rsidRPr="00984ED2" w:rsidRDefault="00900C7F" w:rsidP="005D1568">
            <w:pPr>
              <w:pStyle w:val="CETBodytext"/>
              <w:spacing w:line="240" w:lineRule="auto"/>
              <w:rPr>
                <w:rFonts w:cs="Arial"/>
                <w:color w:val="000000" w:themeColor="dark1"/>
                <w:kern w:val="24"/>
                <w:szCs w:val="18"/>
              </w:rPr>
            </w:pPr>
            <w:r>
              <w:t>40.7-55-4.3</w:t>
            </w:r>
          </w:p>
        </w:tc>
        <w:tc>
          <w:tcPr>
            <w:tcW w:w="1080" w:type="dxa"/>
            <w:shd w:val="clear" w:color="auto" w:fill="FFFFFF"/>
          </w:tcPr>
          <w:p w14:paraId="6130BC75" w14:textId="01D03D19" w:rsidR="00900C7F" w:rsidRPr="00984ED2" w:rsidRDefault="00900C7F" w:rsidP="005D1568">
            <w:pPr>
              <w:pStyle w:val="CETBodytext"/>
              <w:spacing w:line="240" w:lineRule="auto"/>
              <w:rPr>
                <w:rFonts w:cs="Arial"/>
                <w:color w:val="000000" w:themeColor="dark1"/>
                <w:kern w:val="24"/>
                <w:szCs w:val="18"/>
              </w:rPr>
            </w:pPr>
            <w:r>
              <w:t>40.7</w:t>
            </w:r>
          </w:p>
        </w:tc>
        <w:tc>
          <w:tcPr>
            <w:tcW w:w="1080" w:type="dxa"/>
            <w:shd w:val="clear" w:color="auto" w:fill="FFFFFF"/>
          </w:tcPr>
          <w:p w14:paraId="512C6CF5" w14:textId="2CC48814" w:rsidR="00900C7F" w:rsidRPr="00984ED2" w:rsidRDefault="00900C7F" w:rsidP="005D1568">
            <w:pPr>
              <w:pStyle w:val="CETBodytext"/>
              <w:spacing w:line="240" w:lineRule="auto"/>
              <w:rPr>
                <w:rFonts w:cs="Arial"/>
                <w:color w:val="000000" w:themeColor="dark1"/>
                <w:kern w:val="24"/>
                <w:szCs w:val="18"/>
              </w:rPr>
            </w:pPr>
            <w:r>
              <w:t>55.0</w:t>
            </w:r>
          </w:p>
        </w:tc>
        <w:tc>
          <w:tcPr>
            <w:tcW w:w="707" w:type="dxa"/>
            <w:shd w:val="clear" w:color="auto" w:fill="FFFFFF"/>
          </w:tcPr>
          <w:p w14:paraId="305CC13B" w14:textId="0AA53040" w:rsidR="00900C7F" w:rsidRPr="00984ED2" w:rsidRDefault="00900C7F" w:rsidP="005D1568">
            <w:pPr>
              <w:pStyle w:val="CETBodytext"/>
              <w:spacing w:line="240" w:lineRule="auto"/>
              <w:rPr>
                <w:rFonts w:cs="Arial"/>
                <w:color w:val="000000" w:themeColor="dark1"/>
                <w:kern w:val="24"/>
                <w:szCs w:val="18"/>
              </w:rPr>
            </w:pPr>
            <w:r>
              <w:t>4.3</w:t>
            </w:r>
          </w:p>
        </w:tc>
      </w:tr>
    </w:tbl>
    <w:p w14:paraId="5BAFB203" w14:textId="7BB79520" w:rsidR="00561798" w:rsidRDefault="00C5170E" w:rsidP="00984ED2">
      <w:pPr>
        <w:pStyle w:val="NormalWeb"/>
        <w:rPr>
          <w:i/>
        </w:rPr>
      </w:pPr>
      <w:r w:rsidRPr="00517F43">
        <w:rPr>
          <w:noProof/>
          <w:lang w:val="en-US"/>
        </w:rPr>
        <mc:AlternateContent>
          <mc:Choice Requires="wpg">
            <w:drawing>
              <wp:anchor distT="0" distB="0" distL="114300" distR="114300" simplePos="0" relativeHeight="251666432" behindDoc="0" locked="0" layoutInCell="1" allowOverlap="1" wp14:anchorId="74603AD8" wp14:editId="13631D0A">
                <wp:simplePos x="0" y="0"/>
                <wp:positionH relativeFrom="column">
                  <wp:posOffset>43815</wp:posOffset>
                </wp:positionH>
                <wp:positionV relativeFrom="paragraph">
                  <wp:posOffset>101600</wp:posOffset>
                </wp:positionV>
                <wp:extent cx="5189220" cy="1142999"/>
                <wp:effectExtent l="0" t="0" r="0" b="57785"/>
                <wp:wrapNone/>
                <wp:docPr id="7" name="Group 15"/>
                <wp:cNvGraphicFramePr/>
                <a:graphic xmlns:a="http://schemas.openxmlformats.org/drawingml/2006/main">
                  <a:graphicData uri="http://schemas.microsoft.com/office/word/2010/wordprocessingGroup">
                    <wpg:wgp>
                      <wpg:cNvGrpSpPr/>
                      <wpg:grpSpPr>
                        <a:xfrm>
                          <a:off x="0" y="0"/>
                          <a:ext cx="5189220" cy="1142999"/>
                          <a:chOff x="769592" y="65240"/>
                          <a:chExt cx="6594666" cy="3959996"/>
                        </a:xfrm>
                      </wpg:grpSpPr>
                      <wps:wsp>
                        <wps:cNvPr id="27" name="Přímá spojnice 31"/>
                        <wps:cNvCnPr/>
                        <wps:spPr>
                          <a:xfrm>
                            <a:off x="3439656" y="538182"/>
                            <a:ext cx="1035559" cy="0"/>
                          </a:xfrm>
                          <a:prstGeom prst="line">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cNvPr id="28" name="Group 28"/>
                        <wpg:cNvGrpSpPr/>
                        <wpg:grpSpPr>
                          <a:xfrm>
                            <a:off x="769592" y="65240"/>
                            <a:ext cx="6594666" cy="3959996"/>
                            <a:chOff x="769592" y="65240"/>
                            <a:chExt cx="6594666" cy="3959996"/>
                          </a:xfrm>
                        </wpg:grpSpPr>
                        <wpg:grpSp>
                          <wpg:cNvPr id="293" name="Group 293"/>
                          <wpg:cNvGrpSpPr/>
                          <wpg:grpSpPr>
                            <a:xfrm>
                              <a:off x="769592" y="580496"/>
                              <a:ext cx="6594666" cy="2750962"/>
                              <a:chOff x="769592" y="580496"/>
                              <a:chExt cx="6594666" cy="2750962"/>
                            </a:xfrm>
                          </wpg:grpSpPr>
                          <wps:wsp>
                            <wps:cNvPr id="294" name="TextovéPole 10"/>
                            <wps:cNvSpPr txBox="1"/>
                            <wps:spPr>
                              <a:xfrm>
                                <a:off x="5399502" y="738439"/>
                                <a:ext cx="1071031" cy="696461"/>
                              </a:xfrm>
                              <a:prstGeom prst="rect">
                                <a:avLst/>
                              </a:prstGeom>
                              <a:noFill/>
                            </wps:spPr>
                            <wps:txbx>
                              <w:txbxContent>
                                <w:p w14:paraId="52F0F7B3" w14:textId="77777777" w:rsidR="00132020" w:rsidRPr="00C5170E" w:rsidRDefault="00132020" w:rsidP="00132020">
                                  <w:pPr>
                                    <w:pStyle w:val="NormalWeb"/>
                                    <w:jc w:val="center"/>
                                    <w:rPr>
                                      <w:sz w:val="16"/>
                                      <w:szCs w:val="16"/>
                                    </w:rPr>
                                  </w:pPr>
                                  <w:r w:rsidRPr="00C5170E">
                                    <w:rPr>
                                      <w:rFonts w:cs="Arial"/>
                                      <w:caps/>
                                      <w:color w:val="000000" w:themeColor="text1"/>
                                      <w:kern w:val="24"/>
                                      <w:sz w:val="16"/>
                                      <w:szCs w:val="16"/>
                                      <w:lang w:val="cs-CZ"/>
                                    </w:rPr>
                                    <w:t>membrane</w:t>
                                  </w:r>
                                </w:p>
                              </w:txbxContent>
                            </wps:txbx>
                            <wps:bodyPr wrap="square" rtlCol="0">
                              <a:noAutofit/>
                            </wps:bodyPr>
                          </wps:wsp>
                          <wps:wsp>
                            <wps:cNvPr id="295" name="TextovéPole 20"/>
                            <wps:cNvSpPr txBox="1"/>
                            <wps:spPr>
                              <a:xfrm>
                                <a:off x="6463375" y="1349521"/>
                                <a:ext cx="900883" cy="677424"/>
                              </a:xfrm>
                              <a:prstGeom prst="rect">
                                <a:avLst/>
                              </a:prstGeom>
                              <a:noFill/>
                            </wps:spPr>
                            <wps:txbx>
                              <w:txbxContent>
                                <w:p w14:paraId="015B6DB7" w14:textId="77777777" w:rsidR="00132020" w:rsidRDefault="00132020" w:rsidP="00132020">
                                  <w:pPr>
                                    <w:pStyle w:val="NormalWeb"/>
                                  </w:pPr>
                                  <w:r w:rsidRPr="00154D0E">
                                    <w:rPr>
                                      <w:rFonts w:cs="Arial"/>
                                      <w:color w:val="000000" w:themeColor="text1"/>
                                      <w:kern w:val="24"/>
                                      <w:sz w:val="14"/>
                                      <w:szCs w:val="14"/>
                                      <w:lang w:val="cs-CZ"/>
                                    </w:rPr>
                                    <w:t>permeate</w:t>
                                  </w:r>
                                </w:p>
                              </w:txbxContent>
                            </wps:txbx>
                            <wps:bodyPr wrap="square" rtlCol="0">
                              <a:noAutofit/>
                            </wps:bodyPr>
                          </wps:wsp>
                          <wps:wsp>
                            <wps:cNvPr id="296" name="TextovéPole 21"/>
                            <wps:cNvSpPr txBox="1"/>
                            <wps:spPr>
                              <a:xfrm>
                                <a:off x="5629189" y="2329204"/>
                                <a:ext cx="1008082" cy="648990"/>
                              </a:xfrm>
                              <a:prstGeom prst="rect">
                                <a:avLst/>
                              </a:prstGeom>
                              <a:noFill/>
                            </wps:spPr>
                            <wps:txbx>
                              <w:txbxContent>
                                <w:p w14:paraId="2B8CB73C" w14:textId="77777777" w:rsidR="00132020" w:rsidRPr="00E40C92" w:rsidRDefault="00132020" w:rsidP="00132020">
                                  <w:pPr>
                                    <w:pStyle w:val="NormalWeb"/>
                                    <w:rPr>
                                      <w:sz w:val="14"/>
                                      <w:szCs w:val="14"/>
                                    </w:rPr>
                                  </w:pPr>
                                  <w:r w:rsidRPr="00E40C92">
                                    <w:rPr>
                                      <w:rFonts w:cs="Arial"/>
                                      <w:color w:val="000000" w:themeColor="text1"/>
                                      <w:kern w:val="24"/>
                                      <w:sz w:val="14"/>
                                      <w:szCs w:val="14"/>
                                      <w:lang w:val="cs-CZ"/>
                                    </w:rPr>
                                    <w:t>retentate</w:t>
                                  </w:r>
                                </w:p>
                              </w:txbxContent>
                            </wps:txbx>
                            <wps:bodyPr wrap="square" rtlCol="0">
                              <a:noAutofit/>
                            </wps:bodyPr>
                          </wps:wsp>
                          <wps:wsp>
                            <wps:cNvPr id="297" name="Přímá spojnice 37"/>
                            <wps:cNvCnPr/>
                            <wps:spPr>
                              <a:xfrm flipV="1">
                                <a:off x="4776294" y="1959485"/>
                                <a:ext cx="0" cy="369718"/>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8" name="TextovéPole 49"/>
                            <wps:cNvSpPr txBox="1"/>
                            <wps:spPr>
                              <a:xfrm>
                                <a:off x="940533" y="580496"/>
                                <a:ext cx="421616" cy="788297"/>
                              </a:xfrm>
                              <a:prstGeom prst="rect">
                                <a:avLst/>
                              </a:prstGeom>
                              <a:noFill/>
                            </wps:spPr>
                            <wps:txbx>
                              <w:txbxContent>
                                <w:p w14:paraId="505E43A7" w14:textId="77777777" w:rsidR="00132020" w:rsidRPr="005D759B" w:rsidRDefault="00132020" w:rsidP="00132020">
                                  <w:pPr>
                                    <w:pStyle w:val="NormalWeb"/>
                                    <w:rPr>
                                      <w:sz w:val="14"/>
                                      <w:szCs w:val="14"/>
                                    </w:rPr>
                                  </w:pPr>
                                  <w:r w:rsidRPr="005D759B">
                                    <w:rPr>
                                      <w:rFonts w:cs="Arial"/>
                                      <w:color w:val="000000" w:themeColor="text1"/>
                                      <w:kern w:val="24"/>
                                      <w:sz w:val="14"/>
                                      <w:szCs w:val="14"/>
                                      <w:lang w:val="cs-CZ"/>
                                    </w:rPr>
                                    <w:t>N</w:t>
                                  </w:r>
                                  <w:r w:rsidRPr="005D759B">
                                    <w:rPr>
                                      <w:rFonts w:cs="Arial"/>
                                      <w:color w:val="000000" w:themeColor="text1"/>
                                      <w:kern w:val="24"/>
                                      <w:position w:val="-5"/>
                                      <w:sz w:val="14"/>
                                      <w:szCs w:val="14"/>
                                      <w:vertAlign w:val="subscript"/>
                                      <w:lang w:val="cs-CZ"/>
                                    </w:rPr>
                                    <w:t>2</w:t>
                                  </w:r>
                                </w:p>
                              </w:txbxContent>
                            </wps:txbx>
                            <wps:bodyPr wrap="square" rtlCol="0">
                              <a:noAutofit/>
                            </wps:bodyPr>
                          </wps:wsp>
                          <wps:wsp>
                            <wps:cNvPr id="299" name="TextovéPole 50"/>
                            <wps:cNvSpPr txBox="1"/>
                            <wps:spPr>
                              <a:xfrm>
                                <a:off x="769592" y="1607073"/>
                                <a:ext cx="592555" cy="776193"/>
                              </a:xfrm>
                              <a:prstGeom prst="rect">
                                <a:avLst/>
                              </a:prstGeom>
                              <a:noFill/>
                            </wps:spPr>
                            <wps:txbx>
                              <w:txbxContent>
                                <w:p w14:paraId="4B562E41" w14:textId="77777777" w:rsidR="00132020" w:rsidRPr="005D759B" w:rsidRDefault="00132020" w:rsidP="00132020">
                                  <w:pPr>
                                    <w:pStyle w:val="NormalWeb"/>
                                    <w:rPr>
                                      <w:sz w:val="14"/>
                                      <w:szCs w:val="14"/>
                                    </w:rPr>
                                  </w:pPr>
                                  <w:r w:rsidRPr="005D759B">
                                    <w:rPr>
                                      <w:rFonts w:cs="Arial"/>
                                      <w:color w:val="000000" w:themeColor="text1"/>
                                      <w:kern w:val="24"/>
                                      <w:sz w:val="14"/>
                                      <w:szCs w:val="14"/>
                                      <w:lang w:val="cs-CZ"/>
                                    </w:rPr>
                                    <w:t>N</w:t>
                                  </w:r>
                                  <w:r w:rsidRPr="005D759B">
                                    <w:rPr>
                                      <w:rFonts w:cs="Arial"/>
                                      <w:color w:val="000000" w:themeColor="text1"/>
                                      <w:kern w:val="24"/>
                                      <w:position w:val="-5"/>
                                      <w:sz w:val="14"/>
                                      <w:szCs w:val="14"/>
                                      <w:vertAlign w:val="subscript"/>
                                      <w:lang w:val="cs-CZ"/>
                                    </w:rPr>
                                    <w:t>2</w:t>
                                  </w:r>
                                  <w:r w:rsidRPr="005D759B">
                                    <w:rPr>
                                      <w:rFonts w:cs="Arial"/>
                                      <w:color w:val="000000" w:themeColor="text1"/>
                                      <w:kern w:val="24"/>
                                      <w:sz w:val="14"/>
                                      <w:szCs w:val="14"/>
                                      <w:lang w:val="cs-CZ"/>
                                    </w:rPr>
                                    <w:t>+O</w:t>
                                  </w:r>
                                  <w:r w:rsidRPr="005D759B">
                                    <w:rPr>
                                      <w:rFonts w:cs="Arial"/>
                                      <w:color w:val="000000" w:themeColor="text1"/>
                                      <w:kern w:val="24"/>
                                      <w:position w:val="-5"/>
                                      <w:sz w:val="14"/>
                                      <w:szCs w:val="14"/>
                                      <w:vertAlign w:val="subscript"/>
                                      <w:lang w:val="cs-CZ"/>
                                    </w:rPr>
                                    <w:t>2</w:t>
                                  </w:r>
                                </w:p>
                              </w:txbxContent>
                            </wps:txbx>
                            <wps:bodyPr wrap="square" rtlCol="0">
                              <a:noAutofit/>
                            </wps:bodyPr>
                          </wps:wsp>
                          <wps:wsp>
                            <wps:cNvPr id="300" name="TextovéPole 52"/>
                            <wps:cNvSpPr txBox="1"/>
                            <wps:spPr>
                              <a:xfrm>
                                <a:off x="837548" y="2584894"/>
                                <a:ext cx="493211" cy="746564"/>
                              </a:xfrm>
                              <a:prstGeom prst="rect">
                                <a:avLst/>
                              </a:prstGeom>
                              <a:noFill/>
                            </wps:spPr>
                            <wps:txbx>
                              <w:txbxContent>
                                <w:p w14:paraId="443947E8" w14:textId="77777777" w:rsidR="00132020" w:rsidRPr="005D759B" w:rsidRDefault="00132020" w:rsidP="00132020">
                                  <w:pPr>
                                    <w:pStyle w:val="NormalWeb"/>
                                    <w:rPr>
                                      <w:sz w:val="14"/>
                                      <w:szCs w:val="14"/>
                                    </w:rPr>
                                  </w:pPr>
                                  <w:r w:rsidRPr="005D759B">
                                    <w:rPr>
                                      <w:rFonts w:cs="Arial"/>
                                      <w:color w:val="000000" w:themeColor="text1"/>
                                      <w:kern w:val="24"/>
                                      <w:sz w:val="14"/>
                                      <w:szCs w:val="14"/>
                                      <w:lang w:val="cs-CZ"/>
                                    </w:rPr>
                                    <w:t>CO</w:t>
                                  </w:r>
                                  <w:r w:rsidRPr="005D759B">
                                    <w:rPr>
                                      <w:rFonts w:cs="Arial"/>
                                      <w:color w:val="000000" w:themeColor="text1"/>
                                      <w:kern w:val="24"/>
                                      <w:position w:val="-5"/>
                                      <w:sz w:val="14"/>
                                      <w:szCs w:val="14"/>
                                      <w:vertAlign w:val="subscript"/>
                                      <w:lang w:val="cs-CZ"/>
                                    </w:rPr>
                                    <w:t>2</w:t>
                                  </w:r>
                                </w:p>
                              </w:txbxContent>
                            </wps:txbx>
                            <wps:bodyPr wrap="square" rtlCol="0">
                              <a:noAutofit/>
                            </wps:bodyPr>
                          </wps:wsp>
                          <wps:wsp>
                            <wps:cNvPr id="301" name="Přímá spojnice 65"/>
                            <wps:cNvCnPr/>
                            <wps:spPr>
                              <a:xfrm flipV="1">
                                <a:off x="1513189" y="1033182"/>
                                <a:ext cx="0" cy="252001"/>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02" name="Přímá spojnice 67"/>
                            <wps:cNvCnPr/>
                            <wps:spPr>
                              <a:xfrm flipV="1">
                                <a:off x="1528099" y="2026946"/>
                                <a:ext cx="0" cy="252001"/>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03" name="Přímá spojnice 71"/>
                            <wps:cNvCnPr/>
                            <wps:spPr>
                              <a:xfrm flipV="1">
                                <a:off x="1527010" y="3037712"/>
                                <a:ext cx="0" cy="252001"/>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304" name="Group 304"/>
                          <wpg:cNvGrpSpPr/>
                          <wpg:grpSpPr>
                            <a:xfrm>
                              <a:off x="1084159" y="65240"/>
                              <a:ext cx="6103517" cy="3959996"/>
                              <a:chOff x="1084159" y="65240"/>
                              <a:chExt cx="6103517" cy="3959996"/>
                            </a:xfrm>
                          </wpg:grpSpPr>
                          <wps:wsp>
                            <wps:cNvPr id="305" name="Obdélník 3"/>
                            <wps:cNvSpPr/>
                            <wps:spPr>
                              <a:xfrm>
                                <a:off x="2285677" y="1435581"/>
                                <a:ext cx="897748" cy="110756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87661" w14:textId="77777777" w:rsidR="00132020" w:rsidRDefault="00132020" w:rsidP="00132020"/>
                              </w:txbxContent>
                            </wps:txbx>
                            <wps:bodyPr rtlCol="0" anchor="ctr"/>
                          </wps:wsp>
                          <wps:wsp>
                            <wps:cNvPr id="306" name="TextovéPole 6"/>
                            <wps:cNvSpPr txBox="1"/>
                            <wps:spPr>
                              <a:xfrm>
                                <a:off x="2285659" y="1435657"/>
                                <a:ext cx="797852" cy="1126644"/>
                              </a:xfrm>
                              <a:prstGeom prst="rect">
                                <a:avLst/>
                              </a:prstGeom>
                              <a:noFill/>
                            </wps:spPr>
                            <wps:txbx>
                              <w:txbxContent>
                                <w:p w14:paraId="6232650B" w14:textId="77777777" w:rsidR="00132020" w:rsidRPr="0025450A" w:rsidRDefault="00132020" w:rsidP="00132020">
                                  <w:pPr>
                                    <w:pStyle w:val="NormalWeb"/>
                                    <w:jc w:val="center"/>
                                    <w:rPr>
                                      <w:sz w:val="16"/>
                                      <w:szCs w:val="16"/>
                                    </w:rPr>
                                  </w:pPr>
                                  <w:r w:rsidRPr="0025450A">
                                    <w:rPr>
                                      <w:rFonts w:cs="Arial"/>
                                      <w:caps/>
                                      <w:color w:val="000000" w:themeColor="text1"/>
                                      <w:kern w:val="24"/>
                                      <w:sz w:val="16"/>
                                      <w:szCs w:val="16"/>
                                      <w:lang w:val="cs-CZ"/>
                                    </w:rPr>
                                    <w:t xml:space="preserve">Gas </w:t>
                                  </w:r>
                                </w:p>
                                <w:p w14:paraId="425B2FDC" w14:textId="77777777" w:rsidR="00132020" w:rsidRPr="0025450A" w:rsidRDefault="00132020" w:rsidP="00132020">
                                  <w:pPr>
                                    <w:pStyle w:val="NormalWeb"/>
                                    <w:jc w:val="center"/>
                                    <w:rPr>
                                      <w:sz w:val="16"/>
                                      <w:szCs w:val="16"/>
                                    </w:rPr>
                                  </w:pPr>
                                  <w:r w:rsidRPr="0025450A">
                                    <w:rPr>
                                      <w:rFonts w:cs="Arial"/>
                                      <w:caps/>
                                      <w:color w:val="000000" w:themeColor="text1"/>
                                      <w:kern w:val="24"/>
                                      <w:sz w:val="16"/>
                                      <w:szCs w:val="16"/>
                                      <w:lang w:val="cs-CZ"/>
                                    </w:rPr>
                                    <w:t>mixer</w:t>
                                  </w:r>
                                </w:p>
                              </w:txbxContent>
                            </wps:txbx>
                            <wps:bodyPr wrap="square" rtlCol="0">
                              <a:noAutofit/>
                            </wps:bodyPr>
                          </wps:wsp>
                          <wps:wsp>
                            <wps:cNvPr id="307" name="Obdélník 7"/>
                            <wps:cNvSpPr/>
                            <wps:spPr>
                              <a:xfrm>
                                <a:off x="3734999" y="1519729"/>
                                <a:ext cx="789364" cy="75816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7F518" w14:textId="77777777" w:rsidR="00132020" w:rsidRPr="00C5170E" w:rsidRDefault="00132020" w:rsidP="00132020">
                                  <w:pPr>
                                    <w:rPr>
                                      <w:sz w:val="16"/>
                                      <w:szCs w:val="16"/>
                                    </w:rPr>
                                  </w:pPr>
                                </w:p>
                              </w:txbxContent>
                            </wps:txbx>
                            <wps:bodyPr rtlCol="0" anchor="ctr"/>
                          </wps:wsp>
                          <wps:wsp>
                            <wps:cNvPr id="308" name="TextovéPole 8"/>
                            <wps:cNvSpPr txBox="1"/>
                            <wps:spPr>
                              <a:xfrm>
                                <a:off x="3708394" y="1649383"/>
                                <a:ext cx="846480" cy="628507"/>
                              </a:xfrm>
                              <a:prstGeom prst="rect">
                                <a:avLst/>
                              </a:prstGeom>
                              <a:noFill/>
                            </wps:spPr>
                            <wps:txbx>
                              <w:txbxContent>
                                <w:p w14:paraId="46928252" w14:textId="77777777" w:rsidR="00132020" w:rsidRPr="00C5170E" w:rsidRDefault="00132020" w:rsidP="00132020">
                                  <w:pPr>
                                    <w:pStyle w:val="NormalWeb"/>
                                    <w:jc w:val="center"/>
                                    <w:rPr>
                                      <w:sz w:val="16"/>
                                      <w:szCs w:val="16"/>
                                    </w:rPr>
                                  </w:pPr>
                                  <w:r w:rsidRPr="00C5170E">
                                    <w:rPr>
                                      <w:rFonts w:cs="Arial"/>
                                      <w:caps/>
                                      <w:color w:val="000000" w:themeColor="text1"/>
                                      <w:kern w:val="24"/>
                                      <w:sz w:val="16"/>
                                      <w:szCs w:val="16"/>
                                      <w:lang w:val="cs-CZ"/>
                                    </w:rPr>
                                    <w:t>heater</w:t>
                                  </w:r>
                                </w:p>
                              </w:txbxContent>
                            </wps:txbx>
                            <wps:bodyPr wrap="square" rtlCol="0">
                              <a:noAutofit/>
                            </wps:bodyPr>
                          </wps:wsp>
                          <wps:wsp>
                            <wps:cNvPr id="309" name="Obdélník 9"/>
                            <wps:cNvSpPr/>
                            <wps:spPr>
                              <a:xfrm>
                                <a:off x="5361308" y="1532606"/>
                                <a:ext cx="1024590" cy="79659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E4D24" w14:textId="77777777" w:rsidR="00132020" w:rsidRDefault="00132020" w:rsidP="00132020"/>
                              </w:txbxContent>
                            </wps:txbx>
                            <wps:bodyPr rtlCol="0" anchor="ctr"/>
                          </wps:wsp>
                          <wps:wsp>
                            <wps:cNvPr id="310" name="Přímá spojnice 12"/>
                            <wps:cNvCnPr/>
                            <wps:spPr>
                              <a:xfrm>
                                <a:off x="5361304" y="1571413"/>
                                <a:ext cx="1024593" cy="75779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1" name="Obdélník 13"/>
                            <wps:cNvSpPr/>
                            <wps:spPr>
                              <a:xfrm>
                                <a:off x="4475098" y="65240"/>
                                <a:ext cx="986117" cy="96748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2579D" w14:textId="77777777" w:rsidR="00132020" w:rsidRDefault="00132020" w:rsidP="00132020"/>
                              </w:txbxContent>
                            </wps:txbx>
                            <wps:bodyPr rtlCol="0" anchor="ctr"/>
                          </wps:wsp>
                          <wps:wsp>
                            <wps:cNvPr id="312" name="TextovéPole 14"/>
                            <wps:cNvSpPr txBox="1"/>
                            <wps:spPr>
                              <a:xfrm>
                                <a:off x="4449240" y="65250"/>
                                <a:ext cx="1011976" cy="1083315"/>
                              </a:xfrm>
                              <a:prstGeom prst="rect">
                                <a:avLst/>
                              </a:prstGeom>
                              <a:noFill/>
                            </wps:spPr>
                            <wps:txbx>
                              <w:txbxContent>
                                <w:p w14:paraId="1DE7ED57" w14:textId="77777777" w:rsidR="00132020" w:rsidRPr="0025450A" w:rsidRDefault="00132020" w:rsidP="00132020">
                                  <w:pPr>
                                    <w:pStyle w:val="NormalWeb"/>
                                    <w:jc w:val="center"/>
                                    <w:rPr>
                                      <w:sz w:val="16"/>
                                      <w:szCs w:val="16"/>
                                    </w:rPr>
                                  </w:pPr>
                                  <w:r w:rsidRPr="0025450A">
                                    <w:rPr>
                                      <w:rFonts w:cs="Arial"/>
                                      <w:caps/>
                                      <w:color w:val="000000" w:themeColor="text1"/>
                                      <w:kern w:val="24"/>
                                      <w:sz w:val="16"/>
                                      <w:szCs w:val="16"/>
                                      <w:lang w:val="cs-CZ"/>
                                    </w:rPr>
                                    <w:t>GAS ANALYSIS</w:t>
                                  </w:r>
                                </w:p>
                              </w:txbxContent>
                            </wps:txbx>
                            <wps:bodyPr wrap="square" rtlCol="0">
                              <a:noAutofit/>
                            </wps:bodyPr>
                          </wps:wsp>
                          <wps:wsp>
                            <wps:cNvPr id="313" name="Přímá spojnice se šipkou 17"/>
                            <wps:cNvCnPr>
                              <a:stCxn id="307" idx="3"/>
                            </wps:cNvCnPr>
                            <wps:spPr>
                              <a:xfrm flipV="1">
                                <a:off x="4524363" y="1884185"/>
                                <a:ext cx="836942" cy="1447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4" name="Přímá spojnice se šipkou 18"/>
                            <wps:cNvCnPr/>
                            <wps:spPr>
                              <a:xfrm>
                                <a:off x="5689325" y="2343105"/>
                                <a:ext cx="0" cy="15515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5" name="Přímá spojnice se šipkou 19"/>
                            <wps:cNvCnPr/>
                            <wps:spPr>
                              <a:xfrm flipV="1">
                                <a:off x="6385898" y="1959484"/>
                                <a:ext cx="801778" cy="1636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6" name="Přímá spojnice se šipkou 22"/>
                            <wps:cNvCnPr/>
                            <wps:spPr>
                              <a:xfrm flipV="1">
                                <a:off x="3176280" y="1912351"/>
                                <a:ext cx="558781" cy="2269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7" name="Přímá spojnice se šipkou 25"/>
                            <wps:cNvCnPr/>
                            <wps:spPr>
                              <a:xfrm>
                                <a:off x="1121724" y="3260955"/>
                                <a:ext cx="712428"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8" name="Přímá spojnice 28"/>
                            <wps:cNvCnPr/>
                            <wps:spPr>
                              <a:xfrm flipV="1">
                                <a:off x="5461215" y="588636"/>
                                <a:ext cx="1097153" cy="11728"/>
                              </a:xfrm>
                              <a:prstGeom prst="line">
                                <a:avLst/>
                              </a:prstGeom>
                              <a:ln w="12700">
                                <a:solidFill>
                                  <a:schemeClr val="tx1"/>
                                </a:solidFill>
                                <a:prstDash val="sysDot"/>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319" name="Přímá spojnice 29"/>
                            <wps:cNvCnPr/>
                            <wps:spPr>
                              <a:xfrm flipV="1">
                                <a:off x="6558238" y="672554"/>
                                <a:ext cx="0" cy="1253456"/>
                              </a:xfrm>
                              <a:prstGeom prst="line">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4" name="Přímá spojnice 30"/>
                            <wps:cNvCnPr/>
                            <wps:spPr>
                              <a:xfrm flipV="1">
                                <a:off x="3439436" y="538009"/>
                                <a:ext cx="1" cy="1309452"/>
                              </a:xfrm>
                              <a:prstGeom prst="line">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5" name="Přímá spojnice 33"/>
                            <wps:cNvCnPr/>
                            <wps:spPr>
                              <a:xfrm>
                                <a:off x="5188066" y="3288489"/>
                                <a:ext cx="501257" cy="0"/>
                              </a:xfrm>
                              <a:prstGeom prst="line">
                                <a:avLst/>
                              </a:prstGeom>
                              <a:ln w="12700">
                                <a:solidFill>
                                  <a:schemeClr val="tx1"/>
                                </a:solidFill>
                                <a:prstDash val="sysDot"/>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6" name="Přímá spojnice 34"/>
                            <wps:cNvCnPr/>
                            <wps:spPr>
                              <a:xfrm flipV="1">
                                <a:off x="5173807" y="995121"/>
                                <a:ext cx="0" cy="902718"/>
                              </a:xfrm>
                              <a:prstGeom prst="line">
                                <a:avLst/>
                              </a:prstGeom>
                              <a:ln w="12700">
                                <a:solidFill>
                                  <a:schemeClr val="tx1"/>
                                </a:solidFill>
                                <a:prstDash val="sysDot"/>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67" name="Přímá spojnice 35"/>
                            <wps:cNvCnPr/>
                            <wps:spPr>
                              <a:xfrm flipV="1">
                                <a:off x="5173807" y="1998557"/>
                                <a:ext cx="0" cy="1261009"/>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68" name="TextovéPole 36"/>
                            <wps:cNvSpPr txBox="1"/>
                            <wps:spPr>
                              <a:xfrm>
                                <a:off x="4574241" y="2276659"/>
                                <a:ext cx="502519" cy="828631"/>
                              </a:xfrm>
                              <a:prstGeom prst="rect">
                                <a:avLst/>
                              </a:prstGeom>
                              <a:noFill/>
                              <a:ln w="6350">
                                <a:solidFill>
                                  <a:schemeClr val="tx1"/>
                                </a:solidFill>
                                <a:prstDash val="sysDash"/>
                              </a:ln>
                            </wps:spPr>
                            <wps:txbx>
                              <w:txbxContent>
                                <w:p w14:paraId="6588EB22"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PIR</w:t>
                                  </w:r>
                                </w:p>
                                <w:p w14:paraId="50B170F6"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TIRC</w:t>
                                  </w:r>
                                </w:p>
                              </w:txbxContent>
                            </wps:txbx>
                            <wps:bodyPr wrap="square" rtlCol="0">
                              <a:noAutofit/>
                            </wps:bodyPr>
                          </wps:wsp>
                          <wps:wsp>
                            <wps:cNvPr id="69" name="TextovéPole 38"/>
                            <wps:cNvSpPr txBox="1"/>
                            <wps:spPr>
                              <a:xfrm>
                                <a:off x="5968159" y="2838951"/>
                                <a:ext cx="540571" cy="1186285"/>
                              </a:xfrm>
                              <a:prstGeom prst="rect">
                                <a:avLst/>
                              </a:prstGeom>
                              <a:noFill/>
                              <a:ln w="6350">
                                <a:solidFill>
                                  <a:schemeClr val="tx1"/>
                                </a:solidFill>
                                <a:prstDash val="sysDash"/>
                              </a:ln>
                            </wps:spPr>
                            <wps:txbx>
                              <w:txbxContent>
                                <w:p w14:paraId="42475FA3"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PIRC</w:t>
                                  </w:r>
                                </w:p>
                                <w:p w14:paraId="472CDAFD"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TIR</w:t>
                                  </w:r>
                                </w:p>
                                <w:p w14:paraId="1ED9EF88"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FIR</w:t>
                                  </w:r>
                                </w:p>
                              </w:txbxContent>
                            </wps:txbx>
                            <wps:bodyPr wrap="square" rtlCol="0">
                              <a:noAutofit/>
                            </wps:bodyPr>
                          </wps:wsp>
                          <wps:wsp>
                            <wps:cNvPr id="70" name="Přímá spojnice 41"/>
                            <wps:cNvCnPr/>
                            <wps:spPr>
                              <a:xfrm flipV="1">
                                <a:off x="6470530" y="1992010"/>
                                <a:ext cx="0" cy="551138"/>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1" name="TextovéPole 43"/>
                            <wps:cNvSpPr txBox="1"/>
                            <wps:spPr>
                              <a:xfrm>
                                <a:off x="6679410" y="2174979"/>
                                <a:ext cx="508121" cy="862733"/>
                              </a:xfrm>
                              <a:prstGeom prst="rect">
                                <a:avLst/>
                              </a:prstGeom>
                              <a:noFill/>
                              <a:ln w="6350">
                                <a:solidFill>
                                  <a:schemeClr val="tx1"/>
                                </a:solidFill>
                                <a:prstDash val="sysDash"/>
                              </a:ln>
                            </wps:spPr>
                            <wps:txbx>
                              <w:txbxContent>
                                <w:p w14:paraId="29C70328"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PIRC</w:t>
                                  </w:r>
                                </w:p>
                                <w:p w14:paraId="52D0EBB3"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TIR</w:t>
                                  </w:r>
                                </w:p>
                              </w:txbxContent>
                            </wps:txbx>
                            <wps:bodyPr wrap="square" rtlCol="0">
                              <a:noAutofit/>
                            </wps:bodyPr>
                          </wps:wsp>
                          <wps:wsp>
                            <wps:cNvPr id="72" name="Přímá spojnice se šipkou 46"/>
                            <wps:cNvCnPr/>
                            <wps:spPr>
                              <a:xfrm>
                                <a:off x="1084159" y="1285183"/>
                                <a:ext cx="7735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Přímá spojnice se šipkou 47"/>
                            <wps:cNvCnPr/>
                            <wps:spPr>
                              <a:xfrm flipV="1">
                                <a:off x="1127887" y="2278320"/>
                                <a:ext cx="729834" cy="6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TextovéPole 70"/>
                            <wps:cNvSpPr txBox="1"/>
                            <wps:spPr>
                              <a:xfrm>
                                <a:off x="1259166" y="2452916"/>
                                <a:ext cx="525566" cy="537720"/>
                              </a:xfrm>
                              <a:prstGeom prst="rect">
                                <a:avLst/>
                              </a:prstGeom>
                              <a:noFill/>
                              <a:ln w="6350">
                                <a:solidFill>
                                  <a:schemeClr val="tx1"/>
                                </a:solidFill>
                                <a:prstDash val="sysDash"/>
                              </a:ln>
                            </wps:spPr>
                            <wps:txbx>
                              <w:txbxContent>
                                <w:p w14:paraId="33EF0786" w14:textId="77777777" w:rsidR="00132020" w:rsidRPr="005D759B" w:rsidRDefault="00132020" w:rsidP="0025450A">
                                  <w:pPr>
                                    <w:pStyle w:val="NormalWeb"/>
                                    <w:rPr>
                                      <w:sz w:val="12"/>
                                      <w:szCs w:val="12"/>
                                    </w:rPr>
                                  </w:pPr>
                                  <w:r w:rsidRPr="005D759B">
                                    <w:rPr>
                                      <w:rFonts w:cs="Arial"/>
                                      <w:color w:val="000000" w:themeColor="text1"/>
                                      <w:kern w:val="24"/>
                                      <w:sz w:val="10"/>
                                      <w:szCs w:val="10"/>
                                      <w:lang w:val="cs-CZ"/>
                                    </w:rPr>
                                    <w:t>FIRC</w:t>
                                  </w:r>
                                </w:p>
                              </w:txbxContent>
                            </wps:txbx>
                            <wps:bodyPr wrap="square" rtlCol="0">
                              <a:noAutofit/>
                            </wps:bodyPr>
                          </wps:wsp>
                          <wps:wsp>
                            <wps:cNvPr id="75" name="Pravá složená závorka 1"/>
                            <wps:cNvSpPr/>
                            <wps:spPr>
                              <a:xfrm>
                                <a:off x="1834130" y="355611"/>
                                <a:ext cx="169617" cy="3058443"/>
                              </a:xfrm>
                              <a:prstGeom prst="rightBrace">
                                <a:avLst>
                                  <a:gd name="adj1" fmla="val 0"/>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4005CD1" w14:textId="77777777" w:rsidR="00132020" w:rsidRDefault="00132020" w:rsidP="00132020"/>
                              </w:txbxContent>
                            </wps:txbx>
                            <wps:bodyPr wrap="square" rtlCol="0" anchor="ctr">
                              <a:noAutofit/>
                            </wps:bodyPr>
                          </wps:wsp>
                          <wps:wsp>
                            <wps:cNvPr id="76" name="Přímá spojnice se šipkou 74"/>
                            <wps:cNvCnPr/>
                            <wps:spPr>
                              <a:xfrm flipV="1">
                                <a:off x="1916221" y="1847460"/>
                                <a:ext cx="369438" cy="269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TextovéPole 56"/>
                            <wps:cNvSpPr txBox="1"/>
                            <wps:spPr>
                              <a:xfrm>
                                <a:off x="1286273" y="1494630"/>
                                <a:ext cx="498323" cy="532315"/>
                              </a:xfrm>
                              <a:prstGeom prst="rect">
                                <a:avLst/>
                              </a:prstGeom>
                              <a:noFill/>
                              <a:ln w="6350">
                                <a:solidFill>
                                  <a:schemeClr val="tx1"/>
                                </a:solidFill>
                                <a:prstDash val="sysDash"/>
                              </a:ln>
                            </wps:spPr>
                            <wps:txbx>
                              <w:txbxContent>
                                <w:p w14:paraId="4CF5C685" w14:textId="77777777" w:rsidR="00132020" w:rsidRPr="005D759B" w:rsidRDefault="00132020" w:rsidP="00132020">
                                  <w:pPr>
                                    <w:pStyle w:val="NormalWeb"/>
                                    <w:jc w:val="center"/>
                                    <w:rPr>
                                      <w:sz w:val="10"/>
                                      <w:szCs w:val="10"/>
                                    </w:rPr>
                                  </w:pPr>
                                  <w:r w:rsidRPr="005D759B">
                                    <w:rPr>
                                      <w:rFonts w:cs="Arial"/>
                                      <w:color w:val="000000" w:themeColor="text1"/>
                                      <w:kern w:val="24"/>
                                      <w:sz w:val="10"/>
                                      <w:szCs w:val="10"/>
                                      <w:lang w:val="cs-CZ"/>
                                    </w:rPr>
                                    <w:t>FIRC</w:t>
                                  </w:r>
                                </w:p>
                              </w:txbxContent>
                            </wps:txbx>
                            <wps:bodyPr wrap="square" rtlCol="0">
                              <a:noAutofit/>
                            </wps:bodyPr>
                          </wps:wsp>
                          <wps:wsp>
                            <wps:cNvPr id="78" name="TextovéPole 57"/>
                            <wps:cNvSpPr txBox="1"/>
                            <wps:spPr>
                              <a:xfrm>
                                <a:off x="1294762" y="474354"/>
                                <a:ext cx="489829" cy="585882"/>
                              </a:xfrm>
                              <a:prstGeom prst="rect">
                                <a:avLst/>
                              </a:prstGeom>
                              <a:noFill/>
                              <a:ln w="6350">
                                <a:solidFill>
                                  <a:schemeClr val="tx1"/>
                                </a:solidFill>
                                <a:prstDash val="sysDash"/>
                              </a:ln>
                            </wps:spPr>
                            <wps:txbx>
                              <w:txbxContent>
                                <w:p w14:paraId="0BCDBB41" w14:textId="77777777" w:rsidR="00132020" w:rsidRPr="0025450A" w:rsidRDefault="00132020" w:rsidP="00E40C92">
                                  <w:pPr>
                                    <w:pStyle w:val="NormalWeb"/>
                                    <w:rPr>
                                      <w:sz w:val="10"/>
                                      <w:szCs w:val="10"/>
                                    </w:rPr>
                                  </w:pPr>
                                  <w:r w:rsidRPr="0025450A">
                                    <w:rPr>
                                      <w:rFonts w:cs="Arial"/>
                                      <w:color w:val="000000" w:themeColor="text1"/>
                                      <w:kern w:val="24"/>
                                      <w:sz w:val="10"/>
                                      <w:szCs w:val="10"/>
                                      <w:lang w:val="cs-CZ"/>
                                    </w:rPr>
                                    <w:t>FIRC</w:t>
                                  </w:r>
                                </w:p>
                              </w:txbxContent>
                            </wps:txbx>
                            <wps:bodyPr wrap="square" rtlCol="0">
                              <a:noAutofit/>
                            </wps:bodyPr>
                          </wps:wsp>
                          <wps:wsp>
                            <wps:cNvPr id="79" name="Přímá spojnice 58"/>
                            <wps:cNvCnPr/>
                            <wps:spPr>
                              <a:xfrm flipH="1">
                                <a:off x="5689324" y="3534097"/>
                                <a:ext cx="287983"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0" name="Přímá spojnice 59"/>
                            <wps:cNvCnPr/>
                            <wps:spPr>
                              <a:xfrm flipH="1">
                                <a:off x="6470531" y="2562297"/>
                                <a:ext cx="20970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74603AD8" id="Group 15" o:spid="_x0000_s1026" style="position:absolute;left:0;text-align:left;margin-left:3.45pt;margin-top:8pt;width:408.6pt;height:90pt;z-index:251666432;mso-width-relative:margin;mso-height-relative:margin" coordorigin="7695,652" coordsize="65946,3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">
                <v:line id="Přímá spojnice 31" o:spid="_x0000_s1027" style="position:absolute;visibility:visible;mso-wrap-style:square" from="34396,5381" to="44752,5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" strokecolor="black [3213]" strokeweight="1pt">
                  <v:stroke dashstyle="1 1" endarrow="block"/>
                </v:line>
                <v:group id="Group 28" o:spid="_x0000_s1028" style="position:absolute;left:7695;top:652;width:65947;height:39600" coordorigin="7695,652" coordsize="65946,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3" o:spid="_x0000_s1029" style="position:absolute;left:7695;top:5804;width:65947;height:27510" coordorigin="7695,5804" coordsize="65946,2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type id="_x0000_t202" coordsize="21600,21600" o:spt="202" path="m,l,21600r21600,l21600,xe">
                      <v:stroke joinstyle="miter"/>
                      <v:path gradientshapeok="t" o:connecttype="rect"/>
                    </v:shapetype>
                    <v:shape id="TextovéPole 10" o:spid="_x0000_s1030" type="#_x0000_t202" style="position:absolute;left:53995;top:7384;width:10710;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52F0F7B3" w14:textId="77777777" w:rsidR="00132020" w:rsidRPr="00C5170E" w:rsidRDefault="00132020" w:rsidP="00132020">
                            <w:pPr>
                              <w:pStyle w:val="NormalWeb"/>
                              <w:jc w:val="center"/>
                              <w:rPr>
                                <w:sz w:val="16"/>
                                <w:szCs w:val="16"/>
                              </w:rPr>
                            </w:pPr>
                            <w:r w:rsidRPr="00C5170E">
                              <w:rPr>
                                <w:rFonts w:cs="Arial"/>
                                <w:caps/>
                                <w:color w:val="000000" w:themeColor="text1"/>
                                <w:kern w:val="24"/>
                                <w:sz w:val="16"/>
                                <w:szCs w:val="16"/>
                                <w:lang w:val="cs-CZ"/>
                              </w:rPr>
                              <w:t>membrane</w:t>
                            </w:r>
                          </w:p>
                        </w:txbxContent>
                      </v:textbox>
                    </v:shape>
                    <v:shape id="TextovéPole 20" o:spid="_x0000_s1031" type="#_x0000_t202" style="position:absolute;left:64633;top:13495;width:9009;height:6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015B6DB7" w14:textId="77777777" w:rsidR="00132020" w:rsidRDefault="00132020" w:rsidP="00132020">
                            <w:pPr>
                              <w:pStyle w:val="NormalWeb"/>
                            </w:pPr>
                            <w:r w:rsidRPr="00154D0E">
                              <w:rPr>
                                <w:rFonts w:cs="Arial"/>
                                <w:color w:val="000000" w:themeColor="text1"/>
                                <w:kern w:val="24"/>
                                <w:sz w:val="14"/>
                                <w:szCs w:val="14"/>
                                <w:lang w:val="cs-CZ"/>
                              </w:rPr>
                              <w:t>permeate</w:t>
                            </w:r>
                          </w:p>
                        </w:txbxContent>
                      </v:textbox>
                    </v:shape>
                    <v:shape id="TextovéPole 21" o:spid="_x0000_s1032" type="#_x0000_t202" style="position:absolute;left:56291;top:23292;width:10081;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2B8CB73C" w14:textId="77777777" w:rsidR="00132020" w:rsidRPr="00E40C92" w:rsidRDefault="00132020" w:rsidP="00132020">
                            <w:pPr>
                              <w:pStyle w:val="NormalWeb"/>
                              <w:rPr>
                                <w:sz w:val="14"/>
                                <w:szCs w:val="14"/>
                              </w:rPr>
                            </w:pPr>
                            <w:r w:rsidRPr="00E40C92">
                              <w:rPr>
                                <w:rFonts w:cs="Arial"/>
                                <w:color w:val="000000" w:themeColor="text1"/>
                                <w:kern w:val="24"/>
                                <w:sz w:val="14"/>
                                <w:szCs w:val="14"/>
                                <w:lang w:val="cs-CZ"/>
                              </w:rPr>
                              <w:t>retentate</w:t>
                            </w:r>
                          </w:p>
                        </w:txbxContent>
                      </v:textbox>
                    </v:shape>
                    <v:line id="Přímá spojnice 37" o:spid="_x0000_s1033" style="position:absolute;flip:y;visibility:visible;mso-wrap-style:square" from="47762,19594" to="47762,2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" strokecolor="black [3213]" strokeweight=".25pt">
                      <v:stroke dashstyle="3 1"/>
                    </v:line>
                    <v:shape id="TextovéPole 49" o:spid="_x0000_s1034" type="#_x0000_t202" style="position:absolute;left:9405;top:5804;width:4216;height: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05E43A7" w14:textId="77777777" w:rsidR="00132020" w:rsidRPr="005D759B" w:rsidRDefault="00132020" w:rsidP="00132020">
                            <w:pPr>
                              <w:pStyle w:val="NormalWeb"/>
                              <w:rPr>
                                <w:sz w:val="14"/>
                                <w:szCs w:val="14"/>
                              </w:rPr>
                            </w:pPr>
                            <w:r w:rsidRPr="005D759B">
                              <w:rPr>
                                <w:rFonts w:cs="Arial"/>
                                <w:color w:val="000000" w:themeColor="text1"/>
                                <w:kern w:val="24"/>
                                <w:sz w:val="14"/>
                                <w:szCs w:val="14"/>
                                <w:lang w:val="cs-CZ"/>
                              </w:rPr>
                              <w:t>N</w:t>
                            </w:r>
                            <w:r w:rsidRPr="005D759B">
                              <w:rPr>
                                <w:rFonts w:cs="Arial"/>
                                <w:color w:val="000000" w:themeColor="text1"/>
                                <w:kern w:val="24"/>
                                <w:position w:val="-5"/>
                                <w:sz w:val="14"/>
                                <w:szCs w:val="14"/>
                                <w:vertAlign w:val="subscript"/>
                                <w:lang w:val="cs-CZ"/>
                              </w:rPr>
                              <w:t>2</w:t>
                            </w:r>
                          </w:p>
                        </w:txbxContent>
                      </v:textbox>
                    </v:shape>
                    <v:shape id="TextovéPole 50" o:spid="_x0000_s1035" type="#_x0000_t202" style="position:absolute;left:7695;top:16070;width:5926;height:7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4B562E41" w14:textId="77777777" w:rsidR="00132020" w:rsidRPr="005D759B" w:rsidRDefault="00132020" w:rsidP="00132020">
                            <w:pPr>
                              <w:pStyle w:val="NormalWeb"/>
                              <w:rPr>
                                <w:sz w:val="14"/>
                                <w:szCs w:val="14"/>
                              </w:rPr>
                            </w:pPr>
                            <w:r w:rsidRPr="005D759B">
                              <w:rPr>
                                <w:rFonts w:cs="Arial"/>
                                <w:color w:val="000000" w:themeColor="text1"/>
                                <w:kern w:val="24"/>
                                <w:sz w:val="14"/>
                                <w:szCs w:val="14"/>
                                <w:lang w:val="cs-CZ"/>
                              </w:rPr>
                              <w:t>N</w:t>
                            </w:r>
                            <w:r w:rsidRPr="005D759B">
                              <w:rPr>
                                <w:rFonts w:cs="Arial"/>
                                <w:color w:val="000000" w:themeColor="text1"/>
                                <w:kern w:val="24"/>
                                <w:position w:val="-5"/>
                                <w:sz w:val="14"/>
                                <w:szCs w:val="14"/>
                                <w:vertAlign w:val="subscript"/>
                                <w:lang w:val="cs-CZ"/>
                              </w:rPr>
                              <w:t>2</w:t>
                            </w:r>
                            <w:r w:rsidRPr="005D759B">
                              <w:rPr>
                                <w:rFonts w:cs="Arial"/>
                                <w:color w:val="000000" w:themeColor="text1"/>
                                <w:kern w:val="24"/>
                                <w:sz w:val="14"/>
                                <w:szCs w:val="14"/>
                                <w:lang w:val="cs-CZ"/>
                              </w:rPr>
                              <w:t>+O</w:t>
                            </w:r>
                            <w:r w:rsidRPr="005D759B">
                              <w:rPr>
                                <w:rFonts w:cs="Arial"/>
                                <w:color w:val="000000" w:themeColor="text1"/>
                                <w:kern w:val="24"/>
                                <w:position w:val="-5"/>
                                <w:sz w:val="14"/>
                                <w:szCs w:val="14"/>
                                <w:vertAlign w:val="subscript"/>
                                <w:lang w:val="cs-CZ"/>
                              </w:rPr>
                              <w:t>2</w:t>
                            </w:r>
                          </w:p>
                        </w:txbxContent>
                      </v:textbox>
                    </v:shape>
                    <v:shape id="TextovéPole 52" o:spid="_x0000_s1036" type="#_x0000_t202" style="position:absolute;left:8375;top:25848;width:4932;height:7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443947E8" w14:textId="77777777" w:rsidR="00132020" w:rsidRPr="005D759B" w:rsidRDefault="00132020" w:rsidP="00132020">
                            <w:pPr>
                              <w:pStyle w:val="NormalWeb"/>
                              <w:rPr>
                                <w:sz w:val="14"/>
                                <w:szCs w:val="14"/>
                              </w:rPr>
                            </w:pPr>
                            <w:r w:rsidRPr="005D759B">
                              <w:rPr>
                                <w:rFonts w:cs="Arial"/>
                                <w:color w:val="000000" w:themeColor="text1"/>
                                <w:kern w:val="24"/>
                                <w:sz w:val="14"/>
                                <w:szCs w:val="14"/>
                                <w:lang w:val="cs-CZ"/>
                              </w:rPr>
                              <w:t>CO</w:t>
                            </w:r>
                            <w:r w:rsidRPr="005D759B">
                              <w:rPr>
                                <w:rFonts w:cs="Arial"/>
                                <w:color w:val="000000" w:themeColor="text1"/>
                                <w:kern w:val="24"/>
                                <w:position w:val="-5"/>
                                <w:sz w:val="14"/>
                                <w:szCs w:val="14"/>
                                <w:vertAlign w:val="subscript"/>
                                <w:lang w:val="cs-CZ"/>
                              </w:rPr>
                              <w:t>2</w:t>
                            </w:r>
                          </w:p>
                        </w:txbxContent>
                      </v:textbox>
                    </v:shape>
                    <v:line id="Přímá spojnice 65" o:spid="_x0000_s1037" style="position:absolute;flip:y;visibility:visible;mso-wrap-style:square" from="15131,10331" to="15131,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" strokecolor="black [3213]" strokeweight=".25pt">
                      <v:stroke dashstyle="1 1"/>
                    </v:line>
                    <v:line id="Přímá spojnice 67" o:spid="_x0000_s1038" style="position:absolute;flip:y;visibility:visible;mso-wrap-style:square" from="15280,20269" to="15280,2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" strokecolor="black [3213]" strokeweight=".25pt">
                      <v:stroke dashstyle="1 1"/>
                    </v:line>
                    <v:line id="Přímá spojnice 71" o:spid="_x0000_s1039" style="position:absolute;flip:y;visibility:visible;mso-wrap-style:square" from="15270,30377" to="15270,3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" strokecolor="black [3213]" strokeweight=".25pt">
                      <v:stroke dashstyle="1 1"/>
                    </v:line>
                  </v:group>
                  <v:group id="Group 304" o:spid="_x0000_s1040" style="position:absolute;left:10841;top:652;width:61035;height:39600" coordorigin="10841,652" coordsize="61035,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rect id="Obdélník 3" o:spid="_x0000_s1041" style="position:absolute;left:22856;top:14355;width:8978;height:11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" filled="f" strokecolor="black [3213]" strokeweight="1.5pt">
                      <v:textbox>
                        <w:txbxContent>
                          <w:p w14:paraId="64887661" w14:textId="77777777" w:rsidR="00132020" w:rsidRDefault="00132020" w:rsidP="00132020"/>
                        </w:txbxContent>
                      </v:textbox>
                    </v:rect>
                    <v:shape id="TextovéPole 6" o:spid="_x0000_s1042" type="#_x0000_t202" style="position:absolute;left:22856;top:14356;width:7979;height:1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6232650B" w14:textId="77777777" w:rsidR="00132020" w:rsidRPr="0025450A" w:rsidRDefault="00132020" w:rsidP="00132020">
                            <w:pPr>
                              <w:pStyle w:val="NormalWeb"/>
                              <w:jc w:val="center"/>
                              <w:rPr>
                                <w:sz w:val="16"/>
                                <w:szCs w:val="16"/>
                              </w:rPr>
                            </w:pPr>
                            <w:r w:rsidRPr="0025450A">
                              <w:rPr>
                                <w:rFonts w:cs="Arial"/>
                                <w:caps/>
                                <w:color w:val="000000" w:themeColor="text1"/>
                                <w:kern w:val="24"/>
                                <w:sz w:val="16"/>
                                <w:szCs w:val="16"/>
                                <w:lang w:val="cs-CZ"/>
                              </w:rPr>
                              <w:t xml:space="preserve">Gas </w:t>
                            </w:r>
                          </w:p>
                          <w:p w14:paraId="425B2FDC" w14:textId="77777777" w:rsidR="00132020" w:rsidRPr="0025450A" w:rsidRDefault="00132020" w:rsidP="00132020">
                            <w:pPr>
                              <w:pStyle w:val="NormalWeb"/>
                              <w:jc w:val="center"/>
                              <w:rPr>
                                <w:sz w:val="16"/>
                                <w:szCs w:val="16"/>
                              </w:rPr>
                            </w:pPr>
                            <w:r w:rsidRPr="0025450A">
                              <w:rPr>
                                <w:rFonts w:cs="Arial"/>
                                <w:caps/>
                                <w:color w:val="000000" w:themeColor="text1"/>
                                <w:kern w:val="24"/>
                                <w:sz w:val="16"/>
                                <w:szCs w:val="16"/>
                                <w:lang w:val="cs-CZ"/>
                              </w:rPr>
                              <w:t>mixer</w:t>
                            </w:r>
                          </w:p>
                        </w:txbxContent>
                      </v:textbox>
                    </v:shape>
                    <v:rect id="Obdélník 7" o:spid="_x0000_s1043" style="position:absolute;left:37349;top:15197;width:7894;height:7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" filled="f" strokecolor="black [3213]" strokeweight="1.5pt">
                      <v:textbox>
                        <w:txbxContent>
                          <w:p w14:paraId="3F47F518" w14:textId="77777777" w:rsidR="00132020" w:rsidRPr="00C5170E" w:rsidRDefault="00132020" w:rsidP="00132020">
                            <w:pPr>
                              <w:rPr>
                                <w:sz w:val="16"/>
                                <w:szCs w:val="16"/>
                              </w:rPr>
                            </w:pPr>
                          </w:p>
                        </w:txbxContent>
                      </v:textbox>
                    </v:rect>
                    <v:shape id="TextovéPole 8" o:spid="_x0000_s1044" type="#_x0000_t202" style="position:absolute;left:37083;top:16493;width:8465;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46928252" w14:textId="77777777" w:rsidR="00132020" w:rsidRPr="00C5170E" w:rsidRDefault="00132020" w:rsidP="00132020">
                            <w:pPr>
                              <w:pStyle w:val="NormalWeb"/>
                              <w:jc w:val="center"/>
                              <w:rPr>
                                <w:sz w:val="16"/>
                                <w:szCs w:val="16"/>
                              </w:rPr>
                            </w:pPr>
                            <w:r w:rsidRPr="00C5170E">
                              <w:rPr>
                                <w:rFonts w:cs="Arial"/>
                                <w:caps/>
                                <w:color w:val="000000" w:themeColor="text1"/>
                                <w:kern w:val="24"/>
                                <w:sz w:val="16"/>
                                <w:szCs w:val="16"/>
                                <w:lang w:val="cs-CZ"/>
                              </w:rPr>
                              <w:t>heater</w:t>
                            </w:r>
                          </w:p>
                        </w:txbxContent>
                      </v:textbox>
                    </v:shape>
                    <v:rect id="Obdélník 9" o:spid="_x0000_s1045" style="position:absolute;left:53613;top:15326;width:10245;height:7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" filled="f" strokecolor="black [3213]" strokeweight="1.5pt">
                      <v:textbox>
                        <w:txbxContent>
                          <w:p w14:paraId="7D9E4D24" w14:textId="77777777" w:rsidR="00132020" w:rsidRDefault="00132020" w:rsidP="00132020"/>
                        </w:txbxContent>
                      </v:textbox>
                    </v:rect>
                    <v:line id="Přímá spojnice 12" o:spid="_x0000_s1046" style="position:absolute;visibility:visible;mso-wrap-style:square" from="53613,15714" to="63858,2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" strokecolor="black [3213]" strokeweight="1pt">
                      <v:stroke dashstyle="dash"/>
                    </v:line>
                    <v:rect id="Obdélník 13" o:spid="_x0000_s1047" style="position:absolute;left:44750;top:652;width:9862;height:9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" filled="f" strokecolor="black [3213]" strokeweight="1.5pt">
                      <v:textbox>
                        <w:txbxContent>
                          <w:p w14:paraId="3D02579D" w14:textId="77777777" w:rsidR="00132020" w:rsidRDefault="00132020" w:rsidP="00132020"/>
                        </w:txbxContent>
                      </v:textbox>
                    </v:rect>
                    <v:shape id="TextovéPole 14" o:spid="_x0000_s1048" type="#_x0000_t202" style="position:absolute;left:44492;top:652;width:10120;height:10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1DE7ED57" w14:textId="77777777" w:rsidR="00132020" w:rsidRPr="0025450A" w:rsidRDefault="00132020" w:rsidP="00132020">
                            <w:pPr>
                              <w:pStyle w:val="NormalWeb"/>
                              <w:jc w:val="center"/>
                              <w:rPr>
                                <w:sz w:val="16"/>
                                <w:szCs w:val="16"/>
                              </w:rPr>
                            </w:pPr>
                            <w:r w:rsidRPr="0025450A">
                              <w:rPr>
                                <w:rFonts w:cs="Arial"/>
                                <w:caps/>
                                <w:color w:val="000000" w:themeColor="text1"/>
                                <w:kern w:val="24"/>
                                <w:sz w:val="16"/>
                                <w:szCs w:val="16"/>
                                <w:lang w:val="cs-CZ"/>
                              </w:rPr>
                              <w:t>GAS ANALYSIS</w:t>
                            </w:r>
                          </w:p>
                        </w:txbxContent>
                      </v:textbox>
                    </v:shape>
                    <v:shapetype id="_x0000_t32" coordsize="21600,21600" o:spt="32" o:oned="t" path="m,l21600,21600e" filled="f">
                      <v:path arrowok="t" fillok="f" o:connecttype="none"/>
                      <o:lock v:ext="edit" shapetype="t"/>
                    </v:shapetype>
                    <v:shape id="Přímá spojnice se šipkou 17" o:spid="_x0000_s1049" type="#_x0000_t32" style="position:absolute;left:45243;top:18841;width:8370;height: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" strokecolor="black [3213]" strokeweight="1.5pt">
                      <v:stroke endarrow="block"/>
                    </v:shape>
                    <v:shape id="Přímá spojnice se šipkou 18" o:spid="_x0000_s1050" type="#_x0000_t32" style="position:absolute;left:56893;top:23431;width:0;height:15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" strokecolor="black [3213]" strokeweight="1.5pt">
                      <v:stroke endarrow="block"/>
                    </v:shape>
                    <v:shape id="Přímá spojnice se šipkou 19" o:spid="_x0000_s1051" type="#_x0000_t32" style="position:absolute;left:63858;top:19594;width:8018;height: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" strokecolor="black [3213]" strokeweight="1.5pt">
                      <v:stroke endarrow="block"/>
                    </v:shape>
                    <v:shape id="Přímá spojnice se šipkou 22" o:spid="_x0000_s1052" type="#_x0000_t32" style="position:absolute;left:31762;top:19123;width:5588;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" strokecolor="black [3213]" strokeweight="1.5pt">
                      <v:stroke endarrow="block"/>
                    </v:shape>
                    <v:shape id="Přímá spojnice se šipkou 25" o:spid="_x0000_s1053" type="#_x0000_t32" style="position:absolute;left:11217;top:32609;width:7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" strokecolor="black [3213]" strokeweight="1.5pt">
                      <v:stroke endarrow="block"/>
                    </v:shape>
                    <v:line id="Přímá spojnice 28" o:spid="_x0000_s1054" style="position:absolute;flip:y;visibility:visible;mso-wrap-style:square" from="54612,5886" to="65583,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" strokecolor="black [3213]" strokeweight="1pt">
                      <v:stroke dashstyle="1 1" startarrow="block"/>
                    </v:line>
                    <v:line id="Přímá spojnice 29" o:spid="_x0000_s1055" style="position:absolute;flip:y;visibility:visible;mso-wrap-style:square" from="65582,6725" to="65582,1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" strokecolor="black [3213]" strokeweight="1pt">
                      <v:stroke dashstyle="1 1" endarrow="block"/>
                    </v:line>
                    <v:line id="Přímá spojnice 30" o:spid="_x0000_s1056" style="position:absolute;flip:y;visibility:visible;mso-wrap-style:square" from="34394,5380" to="34394,1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" strokecolor="black [3213]" strokeweight="1pt">
                      <v:stroke dashstyle="1 1" endarrow="block"/>
                    </v:line>
                    <v:line id="Přímá spojnice 33" o:spid="_x0000_s1057" style="position:absolute;visibility:visible;mso-wrap-style:square" from="51880,32884" to="56893,3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" strokecolor="black [3213]" strokeweight="1pt">
                      <v:stroke dashstyle="1 1" startarrow="block"/>
                    </v:line>
                    <v:line id="Přímá spojnice 34" o:spid="_x0000_s1058" style="position:absolute;flip:y;visibility:visible;mso-wrap-style:square" from="51738,9951" to="51738,1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" strokecolor="black [3213]" strokeweight="1pt">
                      <v:stroke dashstyle="1 1" endarrow="block"/>
                    </v:line>
                    <v:line id="Přímá spojnice 35" o:spid="_x0000_s1059" style="position:absolute;flip:y;visibility:visible;mso-wrap-style:square" from="51738,19985" to="51738,3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" strokecolor="black [3213]" strokeweight="1pt">
                      <v:stroke dashstyle="1 1"/>
                    </v:line>
                    <v:shape id="TextovéPole 36" o:spid="_x0000_s1060" type="#_x0000_t202" style="position:absolute;left:45742;top:22766;width:5025;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" filled="f" strokecolor="black [3213]" strokeweight=".5pt">
                      <v:stroke dashstyle="3 1"/>
                      <v:textbox>
                        <w:txbxContent>
                          <w:p w14:paraId="6588EB22"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PIR</w:t>
                            </w:r>
                          </w:p>
                          <w:p w14:paraId="50B170F6"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TIRC</w:t>
                            </w:r>
                          </w:p>
                        </w:txbxContent>
                      </v:textbox>
                    </v:shape>
                    <v:shape id="TextovéPole 38" o:spid="_x0000_s1061" type="#_x0000_t202" style="position:absolute;left:59681;top:28389;width:5406;height:1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" filled="f" strokecolor="black [3213]" strokeweight=".5pt">
                      <v:stroke dashstyle="3 1"/>
                      <v:textbox>
                        <w:txbxContent>
                          <w:p w14:paraId="42475FA3"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PIRC</w:t>
                            </w:r>
                          </w:p>
                          <w:p w14:paraId="472CDAFD"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TIR</w:t>
                            </w:r>
                          </w:p>
                          <w:p w14:paraId="1ED9EF88"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FIR</w:t>
                            </w:r>
                          </w:p>
                        </w:txbxContent>
                      </v:textbox>
                    </v:shape>
                    <v:line id="Přímá spojnice 41" o:spid="_x0000_s1062" style="position:absolute;flip:y;visibility:visible;mso-wrap-style:square" from="64705,19920" to="64705,2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" strokecolor="black [3213]" strokeweight=".25pt">
                      <v:stroke dashstyle="3 1"/>
                    </v:line>
                    <v:shape id="TextovéPole 43" o:spid="_x0000_s1063" type="#_x0000_t202" style="position:absolute;left:66794;top:21749;width:5081;height:8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" filled="f" strokecolor="black [3213]" strokeweight=".5pt">
                      <v:stroke dashstyle="3 1"/>
                      <v:textbox>
                        <w:txbxContent>
                          <w:p w14:paraId="29C70328"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PIRC</w:t>
                            </w:r>
                          </w:p>
                          <w:p w14:paraId="52D0EBB3" w14:textId="77777777" w:rsidR="00132020" w:rsidRPr="0025450A" w:rsidRDefault="00132020" w:rsidP="00132020">
                            <w:pPr>
                              <w:pStyle w:val="NormalWeb"/>
                              <w:jc w:val="center"/>
                              <w:rPr>
                                <w:sz w:val="10"/>
                                <w:szCs w:val="10"/>
                              </w:rPr>
                            </w:pPr>
                            <w:r w:rsidRPr="0025450A">
                              <w:rPr>
                                <w:rFonts w:cs="Arial"/>
                                <w:color w:val="000000" w:themeColor="text1"/>
                                <w:kern w:val="24"/>
                                <w:sz w:val="10"/>
                                <w:szCs w:val="10"/>
                                <w:lang w:val="cs-CZ"/>
                              </w:rPr>
                              <w:t>TIR</w:t>
                            </w:r>
                          </w:p>
                        </w:txbxContent>
                      </v:textbox>
                    </v:shape>
                    <v:shape id="Přímá spojnice se šipkou 46" o:spid="_x0000_s1064" type="#_x0000_t32" style="position:absolute;left:10841;top:12851;width:7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" strokecolor="black [3213]" strokeweight="1.5pt">
                      <v:stroke endarrow="block"/>
                    </v:shape>
                    <v:shape id="Přímá spojnice se šipkou 47" o:spid="_x0000_s1065" type="#_x0000_t32" style="position:absolute;left:11278;top:22783;width:729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" strokecolor="black [3213]" strokeweight="1.5pt">
                      <v:stroke endarrow="block"/>
                    </v:shape>
                    <v:shape id="TextovéPole 70" o:spid="_x0000_s1066" type="#_x0000_t202" style="position:absolute;left:12591;top:24529;width:5256;height:5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" filled="f" strokecolor="black [3213]" strokeweight=".5pt">
                      <v:stroke dashstyle="3 1"/>
                      <v:textbox>
                        <w:txbxContent>
                          <w:p w14:paraId="33EF0786" w14:textId="77777777" w:rsidR="00132020" w:rsidRPr="005D759B" w:rsidRDefault="00132020" w:rsidP="0025450A">
                            <w:pPr>
                              <w:pStyle w:val="NormalWeb"/>
                              <w:rPr>
                                <w:sz w:val="12"/>
                                <w:szCs w:val="12"/>
                              </w:rPr>
                            </w:pPr>
                            <w:r w:rsidRPr="005D759B">
                              <w:rPr>
                                <w:rFonts w:cs="Arial"/>
                                <w:color w:val="000000" w:themeColor="text1"/>
                                <w:kern w:val="24"/>
                                <w:sz w:val="10"/>
                                <w:szCs w:val="10"/>
                                <w:lang w:val="cs-CZ"/>
                              </w:rPr>
                              <w:t>FIRC</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1" o:spid="_x0000_s1067" type="#_x0000_t88" style="position:absolute;left:18341;top:3556;width:1696;height:3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" adj="0" strokecolor="black [3213]" strokeweight="1pt">
                      <v:textbox>
                        <w:txbxContent>
                          <w:p w14:paraId="74005CD1" w14:textId="77777777" w:rsidR="00132020" w:rsidRDefault="00132020" w:rsidP="00132020"/>
                        </w:txbxContent>
                      </v:textbox>
                    </v:shape>
                    <v:shape id="Přímá spojnice se šipkou 74" o:spid="_x0000_s1068" type="#_x0000_t32" style="position:absolute;left:19162;top:18474;width:3694;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" strokecolor="black [3213]" strokeweight="1.5pt">
                      <v:stroke endarrow="block"/>
                    </v:shape>
                    <v:shape id="TextovéPole 56" o:spid="_x0000_s1069" type="#_x0000_t202" style="position:absolute;left:12862;top:14946;width:4983;height:5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" filled="f" strokecolor="black [3213]" strokeweight=".5pt">
                      <v:stroke dashstyle="3 1"/>
                      <v:textbox>
                        <w:txbxContent>
                          <w:p w14:paraId="4CF5C685" w14:textId="77777777" w:rsidR="00132020" w:rsidRPr="005D759B" w:rsidRDefault="00132020" w:rsidP="00132020">
                            <w:pPr>
                              <w:pStyle w:val="NormalWeb"/>
                              <w:jc w:val="center"/>
                              <w:rPr>
                                <w:sz w:val="10"/>
                                <w:szCs w:val="10"/>
                              </w:rPr>
                            </w:pPr>
                            <w:r w:rsidRPr="005D759B">
                              <w:rPr>
                                <w:rFonts w:cs="Arial"/>
                                <w:color w:val="000000" w:themeColor="text1"/>
                                <w:kern w:val="24"/>
                                <w:sz w:val="10"/>
                                <w:szCs w:val="10"/>
                                <w:lang w:val="cs-CZ"/>
                              </w:rPr>
                              <w:t>FIRC</w:t>
                            </w:r>
                          </w:p>
                        </w:txbxContent>
                      </v:textbox>
                    </v:shape>
                    <v:shape id="TextovéPole 57" o:spid="_x0000_s1070" type="#_x0000_t202" style="position:absolute;left:12947;top:4743;width:4898;height:5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" filled="f" strokecolor="black [3213]" strokeweight=".5pt">
                      <v:stroke dashstyle="3 1"/>
                      <v:textbox>
                        <w:txbxContent>
                          <w:p w14:paraId="0BCDBB41" w14:textId="77777777" w:rsidR="00132020" w:rsidRPr="0025450A" w:rsidRDefault="00132020" w:rsidP="00E40C92">
                            <w:pPr>
                              <w:pStyle w:val="NormalWeb"/>
                              <w:rPr>
                                <w:sz w:val="10"/>
                                <w:szCs w:val="10"/>
                              </w:rPr>
                            </w:pPr>
                            <w:r w:rsidRPr="0025450A">
                              <w:rPr>
                                <w:rFonts w:cs="Arial"/>
                                <w:color w:val="000000" w:themeColor="text1"/>
                                <w:kern w:val="24"/>
                                <w:sz w:val="10"/>
                                <w:szCs w:val="10"/>
                                <w:lang w:val="cs-CZ"/>
                              </w:rPr>
                              <w:t>FIRC</w:t>
                            </w:r>
                          </w:p>
                        </w:txbxContent>
                      </v:textbox>
                    </v:shape>
                    <v:line id="Přímá spojnice 58" o:spid="_x0000_s1071" style="position:absolute;flip:x;visibility:visible;mso-wrap-style:square" from="56893,35340" to="59773,3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" strokecolor="black [3213]" strokeweight=".25pt">
                      <v:stroke dashstyle="3 1"/>
                    </v:line>
                    <v:line id="Přímá spojnice 59" o:spid="_x0000_s1072" style="position:absolute;flip:x;visibility:visible;mso-wrap-style:square" from="64705,25622" to="66802,2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" strokecolor="black [3213]" strokeweight=".25pt">
                      <v:stroke dashstyle="3 1"/>
                    </v:line>
                  </v:group>
                </v:group>
              </v:group>
            </w:pict>
          </mc:Fallback>
        </mc:AlternateContent>
      </w:r>
    </w:p>
    <w:p w14:paraId="7C4FD167" w14:textId="0EF22D11" w:rsidR="00984ED2" w:rsidRDefault="00984ED2" w:rsidP="00984ED2">
      <w:pPr>
        <w:pStyle w:val="NormalWeb"/>
        <w:rPr>
          <w:i/>
        </w:rPr>
      </w:pPr>
    </w:p>
    <w:p w14:paraId="13A9BC28" w14:textId="75F63A78" w:rsidR="00984ED2" w:rsidRDefault="00984ED2" w:rsidP="00984ED2">
      <w:pPr>
        <w:pStyle w:val="NormalWeb"/>
      </w:pPr>
    </w:p>
    <w:p w14:paraId="71A3F696" w14:textId="77777777" w:rsidR="00984ED2" w:rsidRDefault="00984ED2" w:rsidP="00984ED2">
      <w:pPr>
        <w:pStyle w:val="NormalWeb"/>
      </w:pPr>
    </w:p>
    <w:p w14:paraId="3A37D134" w14:textId="7BF4A2E9" w:rsidR="00984ED2" w:rsidRPr="00132020" w:rsidRDefault="00984ED2" w:rsidP="00984ED2">
      <w:pPr>
        <w:pStyle w:val="NormalWeb"/>
        <w:rPr>
          <w:sz w:val="18"/>
          <w:szCs w:val="18"/>
        </w:rPr>
      </w:pPr>
    </w:p>
    <w:p w14:paraId="0A618359" w14:textId="10F356D9" w:rsidR="00984ED2" w:rsidRDefault="00984ED2" w:rsidP="00984ED2">
      <w:pPr>
        <w:pStyle w:val="NormalWeb"/>
      </w:pPr>
    </w:p>
    <w:p w14:paraId="38705BF6" w14:textId="77777777" w:rsidR="008909D8" w:rsidRDefault="008909D8" w:rsidP="00984ED2">
      <w:pPr>
        <w:pStyle w:val="NormalWeb"/>
        <w:rPr>
          <w:i/>
          <w:sz w:val="18"/>
          <w:szCs w:val="18"/>
        </w:rPr>
      </w:pPr>
    </w:p>
    <w:p w14:paraId="31BC9CB1" w14:textId="38D8FFDF" w:rsidR="00984ED2" w:rsidRPr="00A7714F" w:rsidRDefault="008909D8" w:rsidP="00984ED2">
      <w:pPr>
        <w:pStyle w:val="NormalWeb"/>
        <w:rPr>
          <w:i/>
          <w:sz w:val="18"/>
          <w:szCs w:val="18"/>
        </w:rPr>
      </w:pPr>
      <w:r>
        <w:rPr>
          <w:i/>
          <w:sz w:val="18"/>
          <w:szCs w:val="18"/>
        </w:rPr>
        <w:t xml:space="preserve">    </w:t>
      </w:r>
      <w:r w:rsidR="00984ED2" w:rsidRPr="00A7714F">
        <w:rPr>
          <w:i/>
          <w:sz w:val="18"/>
          <w:szCs w:val="18"/>
        </w:rPr>
        <w:t>Figure 1: Block diagram illustrating CO</w:t>
      </w:r>
      <w:r w:rsidR="00984ED2" w:rsidRPr="00A7714F">
        <w:rPr>
          <w:i/>
          <w:sz w:val="18"/>
          <w:szCs w:val="18"/>
          <w:vertAlign w:val="subscript"/>
        </w:rPr>
        <w:t>2</w:t>
      </w:r>
      <w:r w:rsidR="00984ED2" w:rsidRPr="00A7714F">
        <w:rPr>
          <w:i/>
          <w:sz w:val="18"/>
          <w:szCs w:val="18"/>
        </w:rPr>
        <w:t xml:space="preserve"> membrane separation process from the fl</w:t>
      </w:r>
      <w:bookmarkStart w:id="1" w:name="_GoBack"/>
      <w:bookmarkEnd w:id="1"/>
      <w:r w:rsidR="00984ED2" w:rsidRPr="00A7714F">
        <w:rPr>
          <w:i/>
          <w:sz w:val="18"/>
          <w:szCs w:val="18"/>
        </w:rPr>
        <w:t>ue gas stream</w:t>
      </w:r>
    </w:p>
    <w:p w14:paraId="261ED466" w14:textId="07C704A8" w:rsidR="00984ED2" w:rsidRPr="00984ED2" w:rsidRDefault="00984ED2" w:rsidP="00984ED2">
      <w:pPr>
        <w:pStyle w:val="NormalWeb"/>
        <w:spacing w:line="360" w:lineRule="auto"/>
        <w:rPr>
          <w:b/>
          <w:sz w:val="18"/>
          <w:szCs w:val="18"/>
        </w:rPr>
      </w:pPr>
      <w:r w:rsidRPr="00984ED2">
        <w:rPr>
          <w:b/>
          <w:sz w:val="18"/>
          <w:szCs w:val="18"/>
        </w:rPr>
        <w:lastRenderedPageBreak/>
        <w:t>2.2. Data analysis</w:t>
      </w:r>
    </w:p>
    <w:p w14:paraId="7FDCFE84" w14:textId="004FF1B2" w:rsidR="00984ED2" w:rsidRDefault="00450F1A" w:rsidP="00A7714F">
      <w:pPr>
        <w:pStyle w:val="CETBodytext"/>
      </w:pPr>
      <w:r>
        <w:t xml:space="preserve">Experimental data were analyzed to calculate key gas flow properties, including </w:t>
      </w:r>
      <w:r w:rsidR="00984ED2" w:rsidRPr="00A7714F">
        <w:t>permeate flux (</w:t>
      </w:r>
      <w:r w:rsidR="00984ED2" w:rsidRPr="00A7714F">
        <w:rPr>
          <w:rFonts w:eastAsiaTheme="minorEastAsia"/>
        </w:rPr>
        <w:t>molm</w:t>
      </w:r>
      <w:r w:rsidR="00984ED2" w:rsidRPr="009A2799">
        <w:rPr>
          <w:rFonts w:eastAsiaTheme="minorEastAsia"/>
          <w:vertAlign w:val="superscript"/>
        </w:rPr>
        <w:t>-2</w:t>
      </w:r>
      <w:r w:rsidR="00984ED2" w:rsidRPr="00A7714F">
        <w:rPr>
          <w:rFonts w:eastAsiaTheme="minorEastAsia"/>
        </w:rPr>
        <w:t>s</w:t>
      </w:r>
      <w:r w:rsidR="00984ED2" w:rsidRPr="009A2799">
        <w:rPr>
          <w:rFonts w:eastAsiaTheme="minorEastAsia"/>
          <w:vertAlign w:val="superscript"/>
        </w:rPr>
        <w:t>-1</w:t>
      </w:r>
      <w:r w:rsidR="00984ED2" w:rsidRPr="00A7714F">
        <w:t xml:space="preserve">), Permeability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00984ED2" w:rsidRPr="00A7714F">
        <w:t xml:space="preserve"> (barrer), Permeance </w:t>
      </w:r>
      <w:r w:rsidR="00984ED2" w:rsidRPr="00A7714F">
        <w:rPr>
          <w:i/>
        </w:rPr>
        <w:t>(</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r>
              <w:rPr>
                <w:rFonts w:ascii="Cambria Math" w:hAnsi="Cambria Math"/>
              </w:rPr>
              <m:t>l</m:t>
            </m:r>
          </m:den>
        </m:f>
        <m:r>
          <w:rPr>
            <w:rFonts w:ascii="Cambria Math" w:hAnsi="Cambria Math"/>
          </w:rPr>
          <m:t>)</m:t>
        </m:r>
      </m:oMath>
      <w:r w:rsidR="00D65FBA">
        <w:t xml:space="preserve"> (GPU), S</w:t>
      </w:r>
      <w:r w:rsidR="00D65FBA" w:rsidRPr="00A7714F">
        <w:t>electivity</w:t>
      </w:r>
      <m:oMath>
        <m:r>
          <w:rPr>
            <w:rFonts w:ascii="Cambria Math" w:hAnsi="Cambria Math"/>
          </w:rPr>
          <m:t xml:space="preserve"> </m:t>
        </m:r>
        <m:sSub>
          <m:sSubPr>
            <m:ctrlPr>
              <w:rPr>
                <w:rFonts w:ascii="Cambria Math" w:hAnsi="Cambria Math"/>
              </w:rPr>
            </m:ctrlPr>
          </m:sSubPr>
          <m:e>
            <m:r>
              <w:rPr>
                <w:rFonts w:ascii="Cambria Math" w:hAnsi="Cambria Math"/>
              </w:rPr>
              <m:t>α</m:t>
            </m:r>
          </m:e>
          <m:sub>
            <m:r>
              <w:rPr>
                <w:rFonts w:ascii="Cambria Math" w:hAnsi="Cambria Math"/>
              </w:rPr>
              <m:t>i</m:t>
            </m:r>
          </m:sub>
        </m:sSub>
      </m:oMath>
      <w:r w:rsidR="00984ED2" w:rsidRPr="00A7714F">
        <w:t>,</w:t>
      </w:r>
      <w:r w:rsidR="00725DE6">
        <w:t xml:space="preserve"> </w:t>
      </w:r>
      <w:r w:rsidR="00D65FBA">
        <w:t>S</w:t>
      </w:r>
      <w:r w:rsidR="00725DE6" w:rsidRPr="00A7714F">
        <w:t xml:space="preserve">tage cut </w:t>
      </w:r>
      <w:r w:rsidR="00725DE6" w:rsidRPr="00A7714F">
        <w:rPr>
          <w:rFonts w:eastAsiaTheme="minorEastAsia"/>
        </w:rPr>
        <w:t>ϴ</w:t>
      </w:r>
      <w:r w:rsidR="00725DE6">
        <w:rPr>
          <w:rFonts w:eastAsiaTheme="minorEastAsia"/>
        </w:rPr>
        <w:t xml:space="preserve"> </w:t>
      </w:r>
      <w:r>
        <w:t>using standard equations from literature</w:t>
      </w:r>
      <w:r w:rsidR="00204E29">
        <w:t xml:space="preserve"> (Kratky et al., 2020)</w:t>
      </w:r>
      <w:r>
        <w:t xml:space="preserve">. The calculations assumed ideal gas behavior, incompressible, laminar, Newtonian flow under steady-state conditions. </w:t>
      </w:r>
      <w:r w:rsidR="00D65FBA">
        <w:rPr>
          <w:rFonts w:eastAsiaTheme="minorEastAsia"/>
        </w:rPr>
        <w:t>P</w:t>
      </w:r>
      <w:r w:rsidR="00725DE6">
        <w:rPr>
          <w:rFonts w:eastAsiaTheme="minorEastAsia"/>
        </w:rPr>
        <w:t xml:space="preserve">arameters </w:t>
      </w:r>
      <w:r w:rsidR="00CA27A6">
        <w:rPr>
          <w:rFonts w:eastAsiaTheme="minorEastAsia"/>
        </w:rPr>
        <w:t>such as sep</w:t>
      </w:r>
      <w:r w:rsidR="00CA27A6" w:rsidRPr="00A7714F">
        <w:t>aration factors (Sf</w:t>
      </w:r>
      <w:r w:rsidR="00CA27A6">
        <w:t>*</w:t>
      </w:r>
      <w:r w:rsidR="00CA27A6" w:rsidRPr="00A7714F">
        <w:t>), CO</w:t>
      </w:r>
      <w:r w:rsidR="00CA27A6" w:rsidRPr="00A7714F">
        <w:rPr>
          <w:vertAlign w:val="subscript"/>
        </w:rPr>
        <w:t>2</w:t>
      </w:r>
      <w:r w:rsidR="00CA27A6" w:rsidRPr="00A7714F">
        <w:t xml:space="preserve"> recovery</w:t>
      </w:r>
      <w:r w:rsidR="00CA27A6">
        <w:t xml:space="preserve"> in the permeate stream</w:t>
      </w:r>
      <w:r w:rsidR="00CA27A6" w:rsidRPr="00A7714F">
        <w:t xml:space="preserve"> </w:t>
      </w:r>
      <w:r w:rsidR="00D83B2A">
        <w:t>R</w:t>
      </w:r>
      <w:r w:rsidR="00CA27A6" w:rsidRPr="00A7714F">
        <w:t xml:space="preserve"> and CO</w:t>
      </w:r>
      <w:r w:rsidR="00CA27A6" w:rsidRPr="00A7714F">
        <w:rPr>
          <w:vertAlign w:val="subscript"/>
        </w:rPr>
        <w:t>2</w:t>
      </w:r>
      <w:r w:rsidR="00CA27A6" w:rsidRPr="00A7714F">
        <w:t xml:space="preserve"> retention coefficient </w:t>
      </w:r>
      <m:oMath>
        <m:r>
          <m:rPr>
            <m:sty m:val="p"/>
          </m:rPr>
          <w:rPr>
            <w:rFonts w:ascii="Cambria Math" w:hAnsi="Cambria Math"/>
          </w:rPr>
          <m:t xml:space="preserve">Rc </m:t>
        </m:r>
      </m:oMath>
      <w:r w:rsidR="00CA27A6">
        <w:t>are also determined usin</w:t>
      </w:r>
      <w:r w:rsidR="00B21BB5">
        <w:t xml:space="preserve">g the equations below, </w:t>
      </w:r>
      <w:r w:rsidR="00CA27A6">
        <w:t xml:space="preserve">to ascertain </w:t>
      </w:r>
      <w:r w:rsidR="00C943BA">
        <w:rPr>
          <w:rFonts w:eastAsiaTheme="minorEastAsia"/>
        </w:rPr>
        <w:t xml:space="preserve">their interactions with </w:t>
      </w:r>
      <w:r w:rsidR="00C943BA" w:rsidRPr="00A7714F">
        <w:t>different CO</w:t>
      </w:r>
      <w:r w:rsidR="00C943BA" w:rsidRPr="00A7714F">
        <w:rPr>
          <w:vertAlign w:val="subscript"/>
        </w:rPr>
        <w:t>2</w:t>
      </w:r>
      <w:r w:rsidR="00C943BA" w:rsidRPr="00A7714F">
        <w:t xml:space="preserve"> </w:t>
      </w:r>
      <w:r w:rsidR="00C943BA">
        <w:t xml:space="preserve">feed </w:t>
      </w:r>
      <w:r w:rsidR="00C943BA" w:rsidRPr="00A7714F">
        <w:t>concentrations</w:t>
      </w:r>
      <w:r w:rsidR="00C943BA">
        <w:t xml:space="preserve"> in the multicomponent gas mixtures</w:t>
      </w:r>
      <w:r w:rsidR="00CA27A6">
        <w:t>.</w:t>
      </w:r>
    </w:p>
    <w:p w14:paraId="5C1D0516" w14:textId="5196F76B" w:rsidR="00984ED2" w:rsidRPr="005D1568" w:rsidRDefault="00163DD9" w:rsidP="005D1568">
      <w:pPr>
        <w:pStyle w:val="CETEquation"/>
      </w:pPr>
      <m:oMath>
        <m:r>
          <m:rPr>
            <m:sty m:val="p"/>
          </m:rPr>
          <w:rPr>
            <w:rFonts w:ascii="Cambria Math" w:hAnsi="Cambria Math"/>
          </w:rPr>
          <m:t>R=</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p</m:t>
                </m:r>
              </m:sup>
            </m:sSubSup>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f</m:t>
                </m:r>
              </m:sup>
            </m:sSubSup>
          </m:den>
        </m:f>
      </m:oMath>
      <w:r w:rsidR="00984ED2" w:rsidRPr="005D1568">
        <w:t xml:space="preserve"> </w:t>
      </w:r>
      <m:oMath>
        <m:r>
          <m:rPr>
            <m:sty m:val="p"/>
          </m:rPr>
          <w:rPr>
            <w:rFonts w:ascii="Cambria Math" w:hAnsi="Cambria Math"/>
          </w:rPr>
          <m:t>∙</m:t>
        </m:r>
      </m:oMath>
      <w:r w:rsidR="00984ED2" w:rsidRPr="005D1568">
        <w:t>100%</w:t>
      </w:r>
      <w:r w:rsidR="005D1568" w:rsidRPr="005D1568">
        <w:t xml:space="preserve">                                                                                                                              </w:t>
      </w:r>
      <w:r w:rsidR="009A2799">
        <w:tab/>
      </w:r>
      <w:r w:rsidR="009A2799">
        <w:tab/>
        <w:t xml:space="preserve"> </w:t>
      </w:r>
      <w:r w:rsidR="005D1568" w:rsidRPr="005D1568">
        <w:t>(1)</w:t>
      </w:r>
    </w:p>
    <w:p w14:paraId="54A82582" w14:textId="5080A499" w:rsidR="00984ED2" w:rsidRPr="005D1568" w:rsidRDefault="00D83B2A" w:rsidP="005D1568">
      <w:pPr>
        <w:pStyle w:val="CETEquation"/>
      </w:pPr>
      <w:r>
        <w:t>Rc</w:t>
      </w:r>
      <w:r w:rsidR="00984ED2" w:rsidRPr="005D1568">
        <w:t xml:space="preserve"> =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f</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p</m:t>
                </m:r>
              </m:sup>
            </m:sSubSup>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f</m:t>
                </m:r>
              </m:sup>
            </m:sSubSup>
          </m:den>
        </m:f>
      </m:oMath>
      <w:r w:rsidR="005D1568" w:rsidRPr="005D1568">
        <w:t xml:space="preserve">                                                                                                                     </w:t>
      </w:r>
      <w:r w:rsidR="005D1568">
        <w:t xml:space="preserve"> </w:t>
      </w:r>
      <w:r w:rsidR="009A2799">
        <w:tab/>
      </w:r>
      <w:r w:rsidR="009A2799">
        <w:tab/>
      </w:r>
      <w:r w:rsidR="009A2799">
        <w:tab/>
        <w:t xml:space="preserve"> </w:t>
      </w:r>
      <w:r w:rsidR="00177F86">
        <w:t>(2</w:t>
      </w:r>
      <w:r w:rsidR="005D1568" w:rsidRPr="005D1568">
        <w:t>)</w:t>
      </w:r>
    </w:p>
    <w:p w14:paraId="54231789" w14:textId="5A13720C" w:rsidR="00984ED2" w:rsidRPr="005D1568" w:rsidRDefault="009A2799" w:rsidP="005D1568">
      <w:pPr>
        <w:pStyle w:val="CETEquation"/>
      </w:pPr>
      <w:r>
        <w:t>Sf*</w:t>
      </w:r>
      <w:r w:rsidR="00984ED2" w:rsidRPr="005D1568">
        <w:t xml:space="preserve"> </w:t>
      </w:r>
      <m:oMath>
        <m:r>
          <m:rPr>
            <m:sty m:val="p"/>
          </m:rPr>
          <w:rPr>
            <w:rFonts w:ascii="Cambria Math" w:hAnsi="Cambria Math"/>
          </w:rPr>
          <m:t>=</m:t>
        </m:r>
        <m:f>
          <m:fPr>
            <m:type m:val="lin"/>
            <m:ctrlPr>
              <w:rPr>
                <w:rFonts w:ascii="Cambria Math" w:hAnsi="Cambria Math"/>
              </w:rPr>
            </m:ctrlPr>
          </m:fPr>
          <m:num>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p</m:t>
                    </m:r>
                  </m:sup>
                </m:sSubSup>
              </m:num>
              <m:den>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p</m:t>
                    </m:r>
                  </m:sup>
                </m:sSubSup>
              </m:den>
            </m:f>
          </m:num>
          <m:den>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i</m:t>
                    </m:r>
                  </m:sub>
                  <m:sup>
                    <m:r>
                      <w:rPr>
                        <w:rFonts w:ascii="Cambria Math" w:hAnsi="Cambria Math"/>
                      </w:rPr>
                      <m:t>f</m:t>
                    </m:r>
                  </m:sup>
                </m:sSubSup>
              </m:num>
              <m:den>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f</m:t>
                    </m:r>
                  </m:sup>
                </m:sSubSup>
              </m:den>
            </m:f>
          </m:den>
        </m:f>
        <m:r>
          <m:rPr>
            <m:sty m:val="p"/>
          </m:rPr>
          <w:rPr>
            <w:rFonts w:ascii="Cambria Math" w:hAnsi="Cambria Math"/>
          </w:rPr>
          <m:t>  </m:t>
        </m:r>
      </m:oMath>
      <w:r w:rsidR="00984ED2" w:rsidRPr="005D1568">
        <w:t xml:space="preserve">= </w:t>
      </w:r>
      <m:oMath>
        <m:f>
          <m:fPr>
            <m:type m:val="lin"/>
            <m:ctrlPr>
              <w:rPr>
                <w:rFonts w:ascii="Cambria Math" w:hAnsi="Cambria Math"/>
              </w:rPr>
            </m:ctrlPr>
          </m:fPr>
          <m:num>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p</m:t>
                    </m:r>
                  </m:sup>
                </m:sSubSup>
              </m:num>
              <m:den>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p</m:t>
                    </m:r>
                  </m:sup>
                </m:sSubSup>
              </m:den>
            </m:f>
          </m:num>
          <m:den>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f</m:t>
                    </m:r>
                  </m:sup>
                </m:sSubSup>
              </m:num>
              <m:den>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f</m:t>
                    </m:r>
                  </m:sup>
                </m:sSubSup>
              </m:den>
            </m:f>
          </m:den>
        </m:f>
        <m:r>
          <m:rPr>
            <m:sty m:val="p"/>
          </m:rPr>
          <w:rPr>
            <w:rFonts w:ascii="Cambria Math" w:hAnsi="Cambria Math"/>
          </w:rPr>
          <m:t>  </m:t>
        </m:r>
      </m:oMath>
      <w:r w:rsidR="005D1568" w:rsidRPr="005D1568">
        <w:t xml:space="preserve">                                                                           </w:t>
      </w:r>
      <w:r w:rsidR="00177F86">
        <w:t xml:space="preserve">                              </w:t>
      </w:r>
      <w:r>
        <w:tab/>
      </w:r>
      <w:r>
        <w:tab/>
      </w:r>
      <w:r>
        <w:tab/>
        <w:t xml:space="preserve"> </w:t>
      </w:r>
      <w:r w:rsidR="00177F86">
        <w:t>(3</w:t>
      </w:r>
      <w:r w:rsidR="005D1568" w:rsidRPr="005D1568">
        <w:t>)</w:t>
      </w:r>
    </w:p>
    <w:p w14:paraId="0E8837F0" w14:textId="3E1D4A57" w:rsidR="00984ED2" w:rsidRPr="00997EF0" w:rsidRDefault="00984ED2" w:rsidP="00984ED2">
      <w:pPr>
        <w:pStyle w:val="CETBodytext"/>
      </w:pPr>
      <w:r w:rsidRPr="00997EF0">
        <w:t xml:space="preserve">where </w:t>
      </w:r>
      <w:r w:rsidR="004D7FC8" w:rsidRPr="004D7FC8">
        <w:rPr>
          <w:i/>
        </w:rPr>
        <w:t>n</w:t>
      </w:r>
      <w:r w:rsidR="004D7FC8">
        <w:t xml:space="preserve"> (mols</w:t>
      </w:r>
      <w:r w:rsidR="009A2799" w:rsidRPr="009A2799">
        <w:rPr>
          <w:vertAlign w:val="superscript"/>
        </w:rPr>
        <w:t>-1</w:t>
      </w:r>
      <w:r w:rsidRPr="00997EF0">
        <w:t>) represents gas concentrations,</w:t>
      </w:r>
      <w:r w:rsidR="004D7FC8">
        <w:t xml:space="preserve"> </w:t>
      </w:r>
      <w:r w:rsidR="00C943BA">
        <w:t>superscripts p and f refer</w:t>
      </w:r>
      <w:r w:rsidRPr="00997EF0">
        <w:t xml:space="preserve"> to permeate and feed sides respectively while the subscripts i and j represents CO</w:t>
      </w:r>
      <w:r w:rsidRPr="00307FC4">
        <w:rPr>
          <w:vertAlign w:val="subscript"/>
        </w:rPr>
        <w:t>2</w:t>
      </w:r>
      <w:r w:rsidRPr="00997EF0">
        <w:t xml:space="preserve"> and any other gas respectively. </w:t>
      </w:r>
    </w:p>
    <w:p w14:paraId="409821FE" w14:textId="77777777" w:rsidR="001348E2" w:rsidRPr="00334596" w:rsidRDefault="001348E2" w:rsidP="001348E2">
      <w:pPr>
        <w:pStyle w:val="CETHeading1"/>
        <w:numPr>
          <w:ilvl w:val="0"/>
          <w:numId w:val="0"/>
        </w:numPr>
      </w:pPr>
      <w:r w:rsidRPr="00334596">
        <w:t>3. Results and Discussion</w:t>
      </w:r>
    </w:p>
    <w:p w14:paraId="275CE1B8" w14:textId="77777777" w:rsidR="001348E2" w:rsidRPr="00334596" w:rsidRDefault="001348E2" w:rsidP="001348E2">
      <w:pPr>
        <w:pStyle w:val="NormalWeb"/>
        <w:rPr>
          <w:b/>
          <w:sz w:val="18"/>
          <w:szCs w:val="18"/>
        </w:rPr>
      </w:pPr>
      <w:r w:rsidRPr="00334596">
        <w:rPr>
          <w:b/>
          <w:sz w:val="18"/>
          <w:szCs w:val="18"/>
        </w:rPr>
        <w:t>3.1 Pure gases</w:t>
      </w:r>
    </w:p>
    <w:p w14:paraId="314C1E85" w14:textId="77777777" w:rsidR="001348E2" w:rsidRDefault="001348E2" w:rsidP="001348E2">
      <w:pPr>
        <w:pStyle w:val="NormalWeb"/>
        <w:rPr>
          <w:b/>
          <w:sz w:val="18"/>
          <w:szCs w:val="18"/>
        </w:rPr>
      </w:pPr>
    </w:p>
    <w:p w14:paraId="503BA384" w14:textId="77777777" w:rsidR="001348E2" w:rsidRDefault="001348E2" w:rsidP="001348E2">
      <w:pPr>
        <w:pStyle w:val="NormalWeb"/>
        <w:rPr>
          <w:b/>
          <w:sz w:val="18"/>
          <w:szCs w:val="18"/>
        </w:rPr>
        <w:sectPr w:rsidR="001348E2" w:rsidSect="002D553C">
          <w:type w:val="continuous"/>
          <w:pgSz w:w="11906" w:h="16838" w:code="9"/>
          <w:pgMar w:top="1701" w:right="1418" w:bottom="1701" w:left="1701" w:header="1701" w:footer="0" w:gutter="0"/>
          <w:cols w:space="708"/>
          <w:formProt w:val="0"/>
          <w:titlePg/>
          <w:docGrid w:linePitch="360"/>
        </w:sectPr>
      </w:pPr>
    </w:p>
    <w:p w14:paraId="1AFCD892" w14:textId="796D4416" w:rsidR="001348E2" w:rsidRPr="00DE6BDE" w:rsidRDefault="00E645EA" w:rsidP="001348E2">
      <w:pPr>
        <w:pStyle w:val="NormalWeb"/>
        <w:rPr>
          <w:b/>
          <w:sz w:val="18"/>
          <w:szCs w:val="18"/>
        </w:rPr>
      </w:pPr>
      <w:r>
        <w:rPr>
          <w:noProof/>
          <w:lang w:val="en-US"/>
        </w:rPr>
        <w:drawing>
          <wp:inline distT="0" distB="0" distL="0" distR="0" wp14:anchorId="6FD9FD7F" wp14:editId="266FA8BD">
            <wp:extent cx="2622550" cy="1949450"/>
            <wp:effectExtent l="0" t="0" r="25400" b="127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0D15CE" w14:textId="12F0BB10" w:rsidR="001348E2" w:rsidRDefault="001348E2" w:rsidP="00A16224">
      <w:pPr>
        <w:pStyle w:val="CETCaption"/>
        <w:spacing w:before="0" w:after="0"/>
      </w:pPr>
      <w:r>
        <w:t>Figure 2</w:t>
      </w:r>
      <w:r w:rsidR="00586004">
        <w:t>a</w:t>
      </w:r>
      <w:r>
        <w:t xml:space="preserve">: </w:t>
      </w:r>
      <w:r w:rsidR="00FA62B6">
        <w:t>CO</w:t>
      </w:r>
      <w:r w:rsidR="00FA62B6">
        <w:rPr>
          <w:vertAlign w:val="subscript"/>
        </w:rPr>
        <w:t>2</w:t>
      </w:r>
      <w:r w:rsidR="00FA62B6">
        <w:t xml:space="preserve"> permeance against partial pressure difference </w:t>
      </w:r>
    </w:p>
    <w:p w14:paraId="1E0A6597" w14:textId="3877F9D1" w:rsidR="001348E2" w:rsidRDefault="009D2323" w:rsidP="001348E2">
      <w:pPr>
        <w:pStyle w:val="NormalWeb"/>
      </w:pPr>
      <w:r>
        <w:rPr>
          <w:noProof/>
          <w:lang w:val="en-US"/>
        </w:rPr>
        <w:drawing>
          <wp:inline distT="0" distB="0" distL="0" distR="0" wp14:anchorId="6DB7A09D" wp14:editId="08C16BF1">
            <wp:extent cx="2713893" cy="1770185"/>
            <wp:effectExtent l="0" t="0" r="0" b="1905"/>
            <wp:docPr id="142" name="Chart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F87352" w14:textId="29FD581D" w:rsidR="001348E2" w:rsidRDefault="00586004" w:rsidP="00FA62B6">
      <w:pPr>
        <w:pStyle w:val="CETCaption"/>
      </w:pPr>
      <w:r>
        <w:t>Figure 2b</w:t>
      </w:r>
      <w:r w:rsidR="00FA62B6">
        <w:t xml:space="preserve">: </w:t>
      </w:r>
      <w:r w:rsidR="001348E2">
        <w:t>N</w:t>
      </w:r>
      <w:r w:rsidR="001348E2">
        <w:rPr>
          <w:vertAlign w:val="subscript"/>
        </w:rPr>
        <w:t>2</w:t>
      </w:r>
      <w:r w:rsidR="001348E2">
        <w:t xml:space="preserve"> </w:t>
      </w:r>
      <w:r w:rsidR="00FA62B6">
        <w:t>permeance against partial pressure difference</w:t>
      </w:r>
    </w:p>
    <w:p w14:paraId="0C596740" w14:textId="77777777" w:rsidR="00FA62B6" w:rsidRDefault="00FA62B6" w:rsidP="00FA62B6">
      <w:pPr>
        <w:pStyle w:val="CETCaption"/>
        <w:sectPr w:rsidR="00FA62B6" w:rsidSect="00791DC1">
          <w:type w:val="continuous"/>
          <w:pgSz w:w="11906" w:h="16838" w:code="9"/>
          <w:pgMar w:top="1701" w:right="1418" w:bottom="1701" w:left="1701" w:header="1701" w:footer="0" w:gutter="0"/>
          <w:cols w:num="2" w:space="708"/>
          <w:formProt w:val="0"/>
          <w:titlePg/>
          <w:docGrid w:linePitch="360"/>
        </w:sectPr>
      </w:pPr>
    </w:p>
    <w:p w14:paraId="518F18EF" w14:textId="77777777" w:rsidR="009D2323" w:rsidRDefault="009D2323" w:rsidP="00752EB3">
      <w:pPr>
        <w:pStyle w:val="CETBodytext"/>
      </w:pPr>
    </w:p>
    <w:p w14:paraId="0371982B" w14:textId="77777777" w:rsidR="00752EB3" w:rsidRPr="00B21BB5" w:rsidRDefault="00752EB3" w:rsidP="00752EB3">
      <w:pPr>
        <w:pStyle w:val="CETBodytext"/>
        <w:rPr>
          <w:rFonts w:cs="Arial"/>
        </w:rPr>
      </w:pPr>
      <w:r w:rsidRPr="00B21BB5">
        <w:rPr>
          <w:rFonts w:cs="Arial"/>
        </w:rPr>
        <w:t>Figures 2a and 2b illustrate the relationship between the permeance of individual pure gases through the hollow fiber membrane and partial pressure differences at a constant temperature under steady-state conditions. The membrane exhibited high CO</w:t>
      </w:r>
      <w:r w:rsidRPr="00B21BB5">
        <w:rPr>
          <w:rFonts w:ascii="Cambria Math" w:hAnsi="Cambria Math" w:cs="Cambria Math"/>
        </w:rPr>
        <w:t>₂</w:t>
      </w:r>
      <w:r w:rsidRPr="00B21BB5">
        <w:rPr>
          <w:rFonts w:cs="Arial"/>
        </w:rPr>
        <w:t xml:space="preserve"> permeance, emphasizing its potential for efficient and cost-effective CO</w:t>
      </w:r>
      <w:r w:rsidRPr="00B21BB5">
        <w:rPr>
          <w:rFonts w:ascii="Cambria Math" w:hAnsi="Cambria Math" w:cs="Cambria Math"/>
        </w:rPr>
        <w:t>₂</w:t>
      </w:r>
      <w:r w:rsidRPr="00B21BB5">
        <w:rPr>
          <w:rFonts w:cs="Arial"/>
        </w:rPr>
        <w:t xml:space="preserve"> capture. CO</w:t>
      </w:r>
      <w:r w:rsidRPr="00B21BB5">
        <w:rPr>
          <w:rFonts w:ascii="Cambria Math" w:hAnsi="Cambria Math" w:cs="Cambria Math"/>
        </w:rPr>
        <w:t>₂</w:t>
      </w:r>
      <w:r w:rsidRPr="00B21BB5">
        <w:rPr>
          <w:rFonts w:cs="Arial"/>
        </w:rPr>
        <w:t xml:space="preserve"> permeates easily through the membrane, while N</w:t>
      </w:r>
      <w:r w:rsidRPr="00B21BB5">
        <w:rPr>
          <w:rFonts w:ascii="Cambria Math" w:hAnsi="Cambria Math" w:cs="Cambria Math"/>
        </w:rPr>
        <w:t>₂</w:t>
      </w:r>
      <w:r w:rsidRPr="00B21BB5">
        <w:rPr>
          <w:rFonts w:cs="Arial"/>
        </w:rPr>
        <w:t xml:space="preserve"> remains largely in the retentate stream, highlighting the module's selectivity for CO</w:t>
      </w:r>
      <w:r w:rsidRPr="00B21BB5">
        <w:rPr>
          <w:rFonts w:ascii="Cambria Math" w:hAnsi="Cambria Math" w:cs="Cambria Math"/>
        </w:rPr>
        <w:t>₂</w:t>
      </w:r>
      <w:r w:rsidRPr="00B21BB5">
        <w:rPr>
          <w:rFonts w:cs="Arial"/>
        </w:rPr>
        <w:t xml:space="preserve"> over N</w:t>
      </w:r>
      <w:r w:rsidRPr="00B21BB5">
        <w:rPr>
          <w:rFonts w:ascii="Cambria Math" w:hAnsi="Cambria Math" w:cs="Cambria Math"/>
        </w:rPr>
        <w:t>₂</w:t>
      </w:r>
      <w:r w:rsidRPr="00B21BB5">
        <w:rPr>
          <w:rFonts w:cs="Arial"/>
        </w:rPr>
        <w:t>.</w:t>
      </w:r>
    </w:p>
    <w:p w14:paraId="37E76CC2" w14:textId="77777777" w:rsidR="00752EB3" w:rsidRPr="00B21BB5" w:rsidRDefault="00752EB3" w:rsidP="00752EB3">
      <w:pPr>
        <w:pStyle w:val="CETBodytext"/>
        <w:rPr>
          <w:rFonts w:cs="Arial"/>
        </w:rPr>
      </w:pPr>
    </w:p>
    <w:p w14:paraId="32E1E39C" w14:textId="71E2A188" w:rsidR="001348E2" w:rsidRPr="00B21BB5" w:rsidRDefault="00752EB3" w:rsidP="004267B7">
      <w:pPr>
        <w:pStyle w:val="CETBodytext"/>
        <w:rPr>
          <w:rFonts w:cs="Arial"/>
        </w:rPr>
      </w:pPr>
      <w:r w:rsidRPr="00B21BB5">
        <w:rPr>
          <w:rFonts w:cs="Arial"/>
        </w:rPr>
        <w:t>The data also revealed that CO</w:t>
      </w:r>
      <w:r w:rsidRPr="00B21BB5">
        <w:rPr>
          <w:rFonts w:ascii="Cambria Math" w:hAnsi="Cambria Math" w:cs="Cambria Math"/>
        </w:rPr>
        <w:t>₂</w:t>
      </w:r>
      <w:r w:rsidRPr="00B21BB5">
        <w:rPr>
          <w:rFonts w:cs="Arial"/>
        </w:rPr>
        <w:t xml:space="preserve"> permeance decreases as the partial pressure difference increases, while N</w:t>
      </w:r>
      <w:r w:rsidRPr="00B21BB5">
        <w:rPr>
          <w:rFonts w:ascii="Cambria Math" w:hAnsi="Cambria Math" w:cs="Cambria Math"/>
        </w:rPr>
        <w:t>₂</w:t>
      </w:r>
      <w:r w:rsidRPr="00B21BB5">
        <w:rPr>
          <w:rFonts w:cs="Arial"/>
        </w:rPr>
        <w:t xml:space="preserve"> permeance shows a slight increase. This behavior differs from the typical trend of permeate flux, which generally rises with increasing partial pressure difference. The inverse relationship between CO</w:t>
      </w:r>
      <w:r w:rsidRPr="00B21BB5">
        <w:rPr>
          <w:rFonts w:ascii="Cambria Math" w:hAnsi="Cambria Math" w:cs="Cambria Math"/>
        </w:rPr>
        <w:t>₂</w:t>
      </w:r>
      <w:r w:rsidRPr="00B21BB5">
        <w:rPr>
          <w:rFonts w:cs="Arial"/>
        </w:rPr>
        <w:t xml:space="preserve"> permeance and partial pressure difference arises because permeance depends directly on permeate flux but inversely on the pressure difference. The decrease in gas flux efficiency at high pressures can be attributed to plasticization, as condensable gases like CO</w:t>
      </w:r>
      <w:r w:rsidRPr="00B21BB5">
        <w:rPr>
          <w:rFonts w:ascii="Cambria Math" w:hAnsi="Cambria Math" w:cs="Cambria Math"/>
        </w:rPr>
        <w:t>₂</w:t>
      </w:r>
      <w:r w:rsidRPr="00B21BB5">
        <w:rPr>
          <w:rFonts w:cs="Arial"/>
        </w:rPr>
        <w:t xml:space="preserve"> can induce this effect in polyimide membranes. </w:t>
      </w:r>
      <w:r w:rsidR="00245C00" w:rsidRPr="00B21BB5">
        <w:rPr>
          <w:rFonts w:cs="Arial"/>
        </w:rPr>
        <w:t xml:space="preserve">Plasticization causes swelling in the polymer matrix, altering free volume and inter-chain spacing. This increases polymer segment mobility, reducing the size-sieving ability of polyimide membranes and ultimately decreasing selectivity (Zhang et al., 2019). </w:t>
      </w:r>
      <w:r w:rsidRPr="00B21BB5">
        <w:rPr>
          <w:rFonts w:cs="Arial"/>
        </w:rPr>
        <w:t>Similar observations were made by Thundyil et al. (1999), who noted a decline in pure CO</w:t>
      </w:r>
      <w:r w:rsidRPr="00B21BB5">
        <w:rPr>
          <w:rFonts w:ascii="Cambria Math" w:hAnsi="Cambria Math" w:cs="Cambria Math"/>
        </w:rPr>
        <w:t>₂</w:t>
      </w:r>
      <w:r w:rsidRPr="00B21BB5">
        <w:rPr>
          <w:rFonts w:cs="Arial"/>
        </w:rPr>
        <w:t xml:space="preserve"> permeability with rising pressure differentials, and by Jasim et al. (2023), who reported reduced CO</w:t>
      </w:r>
      <w:r w:rsidRPr="00B21BB5">
        <w:rPr>
          <w:rFonts w:ascii="Cambria Math" w:hAnsi="Cambria Math" w:cs="Cambria Math"/>
        </w:rPr>
        <w:t>₂</w:t>
      </w:r>
      <w:r w:rsidRPr="00B21BB5">
        <w:rPr>
          <w:rFonts w:cs="Arial"/>
        </w:rPr>
        <w:t xml:space="preserve"> diffusivity (a property linked to permeability) as pressure differences increased.</w:t>
      </w:r>
    </w:p>
    <w:p w14:paraId="51A80BEC" w14:textId="77777777" w:rsidR="00245C00" w:rsidRDefault="00245C00" w:rsidP="004267B7">
      <w:pPr>
        <w:pStyle w:val="CETBodytext"/>
      </w:pPr>
    </w:p>
    <w:p w14:paraId="79B829FA" w14:textId="77777777" w:rsidR="005345CD" w:rsidRDefault="005345CD" w:rsidP="001348E2">
      <w:pPr>
        <w:pStyle w:val="NormalWeb"/>
        <w:rPr>
          <w:b/>
          <w:sz w:val="18"/>
          <w:szCs w:val="18"/>
        </w:rPr>
      </w:pPr>
    </w:p>
    <w:p w14:paraId="1EE5944B" w14:textId="77777777" w:rsidR="001348E2" w:rsidRDefault="001348E2" w:rsidP="001348E2">
      <w:pPr>
        <w:pStyle w:val="NormalWeb"/>
        <w:rPr>
          <w:b/>
          <w:sz w:val="18"/>
          <w:szCs w:val="18"/>
        </w:rPr>
      </w:pPr>
      <w:r w:rsidRPr="00791DC1">
        <w:rPr>
          <w:b/>
          <w:sz w:val="18"/>
          <w:szCs w:val="18"/>
        </w:rPr>
        <w:lastRenderedPageBreak/>
        <w:t>3.2 Effect of different CO</w:t>
      </w:r>
      <w:r w:rsidRPr="00791DC1">
        <w:rPr>
          <w:b/>
          <w:sz w:val="18"/>
          <w:szCs w:val="18"/>
          <w:vertAlign w:val="subscript"/>
        </w:rPr>
        <w:t>2</w:t>
      </w:r>
      <w:r w:rsidRPr="00791DC1">
        <w:rPr>
          <w:b/>
          <w:sz w:val="18"/>
          <w:szCs w:val="18"/>
        </w:rPr>
        <w:t xml:space="preserve"> concentrations on the CO</w:t>
      </w:r>
      <w:r w:rsidRPr="00791DC1">
        <w:rPr>
          <w:b/>
          <w:sz w:val="18"/>
          <w:szCs w:val="18"/>
          <w:vertAlign w:val="subscript"/>
        </w:rPr>
        <w:t>2</w:t>
      </w:r>
      <w:r w:rsidRPr="00791DC1">
        <w:rPr>
          <w:b/>
          <w:sz w:val="18"/>
          <w:szCs w:val="18"/>
        </w:rPr>
        <w:t xml:space="preserve"> capture from the model flue gas</w:t>
      </w:r>
    </w:p>
    <w:p w14:paraId="6876B2B2" w14:textId="77777777" w:rsidR="001348E2" w:rsidRPr="00791DC1" w:rsidRDefault="001348E2" w:rsidP="001348E2">
      <w:pPr>
        <w:pStyle w:val="NormalWeb"/>
        <w:rPr>
          <w:b/>
          <w:sz w:val="18"/>
          <w:szCs w:val="18"/>
        </w:rPr>
      </w:pPr>
    </w:p>
    <w:p w14:paraId="2CB2525F" w14:textId="3EFEE529" w:rsidR="001348E2" w:rsidRDefault="001348E2" w:rsidP="001348E2">
      <w:pPr>
        <w:pStyle w:val="CETBodytext"/>
      </w:pPr>
      <w:r>
        <w:t>This section delves into the effect of increasing CO</w:t>
      </w:r>
      <w:r w:rsidRPr="00307FC4">
        <w:rPr>
          <w:vertAlign w:val="subscript"/>
        </w:rPr>
        <w:t>2</w:t>
      </w:r>
      <w:r>
        <w:t xml:space="preserve"> concentrations (% by volume) in the model gas on the mechanisms of mass transfer involving CO</w:t>
      </w:r>
      <w:r w:rsidRPr="00307FC4">
        <w:rPr>
          <w:vertAlign w:val="subscript"/>
        </w:rPr>
        <w:t>2</w:t>
      </w:r>
      <w:r>
        <w:t xml:space="preserve"> capture from flue gas stream. </w:t>
      </w:r>
    </w:p>
    <w:p w14:paraId="500EDC14" w14:textId="77777777" w:rsidR="001348E2" w:rsidRPr="00997EF0" w:rsidRDefault="001348E2" w:rsidP="001348E2">
      <w:pPr>
        <w:pStyle w:val="CETBodytext"/>
      </w:pPr>
    </w:p>
    <w:p w14:paraId="651DD5BD" w14:textId="77777777" w:rsidR="001348E2" w:rsidRDefault="001348E2" w:rsidP="001348E2">
      <w:pPr>
        <w:pStyle w:val="NormalWeb"/>
        <w:sectPr w:rsidR="001348E2" w:rsidSect="002D553C">
          <w:type w:val="continuous"/>
          <w:pgSz w:w="11906" w:h="16838" w:code="9"/>
          <w:pgMar w:top="1701" w:right="1418" w:bottom="1701" w:left="1701" w:header="1701" w:footer="0" w:gutter="0"/>
          <w:cols w:space="708"/>
          <w:formProt w:val="0"/>
          <w:titlePg/>
          <w:docGrid w:linePitch="360"/>
        </w:sectPr>
      </w:pPr>
    </w:p>
    <w:p w14:paraId="0752644F" w14:textId="4FFC4E7F" w:rsidR="007D6B0F" w:rsidRDefault="0015428B" w:rsidP="001348E2">
      <w:pPr>
        <w:pStyle w:val="NormalWeb"/>
        <w:rPr>
          <w:i/>
          <w:sz w:val="18"/>
          <w:szCs w:val="18"/>
        </w:rPr>
      </w:pPr>
      <w:r w:rsidRPr="0015428B">
        <w:rPr>
          <w:noProof/>
          <w:sz w:val="18"/>
          <w:szCs w:val="18"/>
          <w:lang w:val="en-US"/>
        </w:rPr>
        <w:drawing>
          <wp:inline distT="0" distB="0" distL="0" distR="0" wp14:anchorId="45595F33" wp14:editId="77EED499">
            <wp:extent cx="3018692" cy="1676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Style w:val="CommentReference"/>
        </w:rPr>
        <w:t xml:space="preserve"> </w:t>
      </w:r>
    </w:p>
    <w:p w14:paraId="6BEE11CC" w14:textId="4058E19E" w:rsidR="001348E2" w:rsidRPr="00791DC1" w:rsidRDefault="00586004" w:rsidP="001348E2">
      <w:pPr>
        <w:pStyle w:val="NormalWeb"/>
        <w:rPr>
          <w:i/>
          <w:sz w:val="18"/>
          <w:szCs w:val="18"/>
        </w:rPr>
      </w:pPr>
      <w:r>
        <w:rPr>
          <w:i/>
          <w:sz w:val="18"/>
          <w:szCs w:val="18"/>
        </w:rPr>
        <w:t>Figure 3a</w:t>
      </w:r>
      <w:r w:rsidR="001348E2" w:rsidRPr="00791DC1">
        <w:rPr>
          <w:i/>
          <w:sz w:val="18"/>
          <w:szCs w:val="18"/>
        </w:rPr>
        <w:t>: Effect of different CO</w:t>
      </w:r>
      <w:r w:rsidR="001348E2" w:rsidRPr="00791DC1">
        <w:rPr>
          <w:i/>
          <w:sz w:val="18"/>
          <w:szCs w:val="18"/>
          <w:vertAlign w:val="subscript"/>
        </w:rPr>
        <w:t>2</w:t>
      </w:r>
      <w:r w:rsidR="001348E2" w:rsidRPr="00791DC1">
        <w:rPr>
          <w:i/>
          <w:sz w:val="18"/>
          <w:szCs w:val="18"/>
        </w:rPr>
        <w:t xml:space="preserve"> concentrations on </w:t>
      </w:r>
      <w:r w:rsidR="003573CC" w:rsidRPr="00791DC1">
        <w:rPr>
          <w:i/>
          <w:sz w:val="18"/>
          <w:szCs w:val="18"/>
        </w:rPr>
        <w:t>CO</w:t>
      </w:r>
      <w:r w:rsidR="003573CC" w:rsidRPr="00791DC1">
        <w:rPr>
          <w:i/>
          <w:sz w:val="18"/>
          <w:szCs w:val="18"/>
          <w:vertAlign w:val="subscript"/>
        </w:rPr>
        <w:t>2</w:t>
      </w:r>
      <w:r w:rsidR="003573CC">
        <w:rPr>
          <w:i/>
          <w:sz w:val="18"/>
          <w:szCs w:val="18"/>
          <w:vertAlign w:val="subscript"/>
        </w:rPr>
        <w:t xml:space="preserve"> </w:t>
      </w:r>
      <w:r w:rsidR="001348E2" w:rsidRPr="00791DC1">
        <w:rPr>
          <w:i/>
          <w:sz w:val="18"/>
          <w:szCs w:val="18"/>
        </w:rPr>
        <w:t>permeate flux</w:t>
      </w:r>
    </w:p>
    <w:p w14:paraId="204ADAA9" w14:textId="7D95ACE4" w:rsidR="001348E2" w:rsidRDefault="00D33E7D" w:rsidP="001348E2">
      <w:pPr>
        <w:pStyle w:val="NormalWeb"/>
      </w:pPr>
      <w:r w:rsidRPr="00D33E7D">
        <w:rPr>
          <w:noProof/>
          <w:sz w:val="18"/>
          <w:szCs w:val="18"/>
          <w:lang w:val="en-US"/>
        </w:rPr>
        <w:drawing>
          <wp:inline distT="0" distB="0" distL="0" distR="0" wp14:anchorId="72169472" wp14:editId="6A62163F">
            <wp:extent cx="2597150" cy="1746250"/>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B3483A" w14:textId="54E8EB6D" w:rsidR="001348E2" w:rsidRPr="00791DC1" w:rsidRDefault="00586004" w:rsidP="001348E2">
      <w:pPr>
        <w:pStyle w:val="NormalWeb"/>
        <w:rPr>
          <w:i/>
          <w:sz w:val="18"/>
          <w:szCs w:val="18"/>
        </w:rPr>
      </w:pPr>
      <w:r>
        <w:rPr>
          <w:i/>
          <w:sz w:val="18"/>
          <w:szCs w:val="18"/>
        </w:rPr>
        <w:t>Figure 3b</w:t>
      </w:r>
      <w:r w:rsidR="001348E2" w:rsidRPr="00791DC1">
        <w:rPr>
          <w:i/>
          <w:sz w:val="18"/>
          <w:szCs w:val="18"/>
        </w:rPr>
        <w:t>: Effect of different CO</w:t>
      </w:r>
      <w:r w:rsidR="001348E2" w:rsidRPr="00791DC1">
        <w:rPr>
          <w:i/>
          <w:sz w:val="18"/>
          <w:szCs w:val="18"/>
          <w:vertAlign w:val="subscript"/>
        </w:rPr>
        <w:t>2</w:t>
      </w:r>
      <w:r w:rsidR="001348E2" w:rsidRPr="00791DC1">
        <w:rPr>
          <w:i/>
          <w:sz w:val="18"/>
          <w:szCs w:val="18"/>
        </w:rPr>
        <w:t xml:space="preserve"> concentrations on</w:t>
      </w:r>
      <w:r w:rsidR="003573CC">
        <w:rPr>
          <w:i/>
          <w:sz w:val="18"/>
          <w:szCs w:val="18"/>
        </w:rPr>
        <w:t xml:space="preserve"> </w:t>
      </w:r>
      <w:r w:rsidR="003573CC" w:rsidRPr="00791DC1">
        <w:rPr>
          <w:i/>
          <w:sz w:val="18"/>
          <w:szCs w:val="18"/>
        </w:rPr>
        <w:t>CO</w:t>
      </w:r>
      <w:r w:rsidR="003573CC" w:rsidRPr="00791DC1">
        <w:rPr>
          <w:i/>
          <w:sz w:val="18"/>
          <w:szCs w:val="18"/>
          <w:vertAlign w:val="subscript"/>
        </w:rPr>
        <w:t>2</w:t>
      </w:r>
      <w:r w:rsidR="001348E2" w:rsidRPr="00791DC1">
        <w:rPr>
          <w:i/>
          <w:sz w:val="18"/>
          <w:szCs w:val="18"/>
        </w:rPr>
        <w:t xml:space="preserve"> permeability</w:t>
      </w:r>
    </w:p>
    <w:p w14:paraId="62E6DA2C" w14:textId="77777777" w:rsidR="001348E2" w:rsidRDefault="001348E2" w:rsidP="001348E2">
      <w:pPr>
        <w:pStyle w:val="NormalWeb"/>
        <w:rPr>
          <w:sz w:val="18"/>
          <w:szCs w:val="18"/>
        </w:rPr>
        <w:sectPr w:rsidR="001348E2" w:rsidSect="00000215">
          <w:type w:val="continuous"/>
          <w:pgSz w:w="11906" w:h="16838" w:code="9"/>
          <w:pgMar w:top="1701" w:right="1418" w:bottom="1701" w:left="1701" w:header="1701" w:footer="0" w:gutter="0"/>
          <w:cols w:num="2" w:space="708"/>
          <w:formProt w:val="0"/>
          <w:titlePg/>
          <w:docGrid w:linePitch="360"/>
        </w:sectPr>
      </w:pPr>
    </w:p>
    <w:p w14:paraId="2446170D" w14:textId="77777777" w:rsidR="00586004" w:rsidRDefault="00586004" w:rsidP="001348E2">
      <w:pPr>
        <w:pStyle w:val="NormalWeb"/>
        <w:rPr>
          <w:color w:val="000000" w:themeColor="text1"/>
          <w:sz w:val="18"/>
          <w:szCs w:val="18"/>
        </w:rPr>
      </w:pPr>
    </w:p>
    <w:p w14:paraId="3A27DDAA" w14:textId="603685E5" w:rsidR="00637D03" w:rsidRDefault="00821EF4" w:rsidP="00C26FDE">
      <w:pPr>
        <w:pStyle w:val="CETBodytext"/>
        <w:rPr>
          <w:color w:val="000000" w:themeColor="text1"/>
          <w:szCs w:val="18"/>
          <w:shd w:val="clear" w:color="auto" w:fill="FFFFFF"/>
        </w:rPr>
      </w:pPr>
      <w:r>
        <w:t>F</w:t>
      </w:r>
      <w:r w:rsidR="00B21BB5" w:rsidRPr="00B21BB5">
        <w:t>igures 3a and 3b illustrate the impact of increasing CO</w:t>
      </w:r>
      <w:r w:rsidR="00B21BB5" w:rsidRPr="00B21BB5">
        <w:rPr>
          <w:rFonts w:ascii="Cambria Math" w:hAnsi="Cambria Math" w:cs="Cambria Math"/>
        </w:rPr>
        <w:t>₂</w:t>
      </w:r>
      <w:r w:rsidR="00B21BB5" w:rsidRPr="00B21BB5">
        <w:t xml:space="preserve"> concentrations on CO</w:t>
      </w:r>
      <w:r w:rsidR="00B21BB5" w:rsidRPr="00B21BB5">
        <w:rPr>
          <w:rFonts w:ascii="Cambria Math" w:hAnsi="Cambria Math" w:cs="Cambria Math"/>
        </w:rPr>
        <w:t>₂</w:t>
      </w:r>
      <w:r w:rsidR="00B21BB5" w:rsidRPr="00B21BB5">
        <w:t xml:space="preserve"> flux and permeability in the hollow fiber membrane system. The data show a direct relationship between CO</w:t>
      </w:r>
      <w:r w:rsidR="00B21BB5" w:rsidRPr="00B21BB5">
        <w:rPr>
          <w:rFonts w:ascii="Cambria Math" w:hAnsi="Cambria Math" w:cs="Cambria Math"/>
        </w:rPr>
        <w:t>₂</w:t>
      </w:r>
      <w:r w:rsidR="00737010">
        <w:t xml:space="preserve"> concentration, permeate flux</w:t>
      </w:r>
      <w:r w:rsidR="00B21BB5" w:rsidRPr="00B21BB5">
        <w:t xml:space="preserve"> and CO</w:t>
      </w:r>
      <w:r w:rsidR="00B21BB5" w:rsidRPr="00B21BB5">
        <w:rPr>
          <w:rFonts w:ascii="Cambria Math" w:hAnsi="Cambria Math" w:cs="Cambria Math"/>
        </w:rPr>
        <w:t>₂</w:t>
      </w:r>
      <w:r w:rsidR="00B21BB5" w:rsidRPr="00B21BB5">
        <w:t xml:space="preserve"> permeability. Permeate flux exhibits a sharp, continuous increase with rising CO</w:t>
      </w:r>
      <w:r w:rsidR="00B21BB5" w:rsidRPr="00B21BB5">
        <w:rPr>
          <w:rFonts w:ascii="Cambria Math" w:hAnsi="Cambria Math" w:cs="Cambria Math"/>
        </w:rPr>
        <w:t>₂</w:t>
      </w:r>
      <w:r w:rsidR="00B21BB5" w:rsidRPr="00B21BB5">
        <w:t xml:space="preserve"> concentrations across all levels. However, CO</w:t>
      </w:r>
      <w:r w:rsidR="00B21BB5" w:rsidRPr="00B21BB5">
        <w:rPr>
          <w:rFonts w:ascii="Cambria Math" w:hAnsi="Cambria Math" w:cs="Cambria Math"/>
        </w:rPr>
        <w:t>₂</w:t>
      </w:r>
      <w:r w:rsidR="00B21BB5" w:rsidRPr="00B21BB5">
        <w:t xml:space="preserve"> permeability shows the most significant increase between 5</w:t>
      </w:r>
      <w:r>
        <w:t xml:space="preserve"> </w:t>
      </w:r>
      <w:r w:rsidR="00B21BB5" w:rsidRPr="00B21BB5">
        <w:t>%</w:t>
      </w:r>
      <w:r>
        <w:t>vol</w:t>
      </w:r>
      <w:r w:rsidR="00B21BB5" w:rsidRPr="00B21BB5">
        <w:t xml:space="preserve"> and 25</w:t>
      </w:r>
      <w:r>
        <w:t xml:space="preserve"> </w:t>
      </w:r>
      <w:r w:rsidR="00B21BB5" w:rsidRPr="00B21BB5">
        <w:t>%</w:t>
      </w:r>
      <w:r>
        <w:t>vol</w:t>
      </w:r>
      <w:r w:rsidR="00B21BB5" w:rsidRPr="00B21BB5">
        <w:t xml:space="preserve"> CO</w:t>
      </w:r>
      <w:r w:rsidR="00B21BB5" w:rsidRPr="00B21BB5">
        <w:rPr>
          <w:rFonts w:ascii="Cambria Math" w:hAnsi="Cambria Math" w:cs="Cambria Math"/>
        </w:rPr>
        <w:t>₂</w:t>
      </w:r>
      <w:r w:rsidR="00B21BB5" w:rsidRPr="00B21BB5">
        <w:t xml:space="preserve"> concentration, with the rate of increase slowing beyond this range. Figure 3b highlights the steepest rise in permeability between 5</w:t>
      </w:r>
      <w:r>
        <w:t xml:space="preserve"> </w:t>
      </w:r>
      <w:r w:rsidR="00B21BB5" w:rsidRPr="00B21BB5">
        <w:t>%</w:t>
      </w:r>
      <w:r>
        <w:t>vol</w:t>
      </w:r>
      <w:r w:rsidR="00B21BB5" w:rsidRPr="00B21BB5">
        <w:t xml:space="preserve"> and 15</w:t>
      </w:r>
      <w:r>
        <w:t xml:space="preserve"> </w:t>
      </w:r>
      <w:r w:rsidR="00B21BB5" w:rsidRPr="00B21BB5">
        <w:t>%</w:t>
      </w:r>
      <w:r>
        <w:t>vol</w:t>
      </w:r>
      <w:r w:rsidR="00B21BB5" w:rsidRPr="00B21BB5">
        <w:t>, followed by a slower increase from 15</w:t>
      </w:r>
      <w:r>
        <w:t xml:space="preserve"> </w:t>
      </w:r>
      <w:r w:rsidR="00B21BB5" w:rsidRPr="00B21BB5">
        <w:t>%</w:t>
      </w:r>
      <w:r w:rsidR="00737010">
        <w:t>vol</w:t>
      </w:r>
      <w:r w:rsidR="00B21BB5" w:rsidRPr="00B21BB5">
        <w:t xml:space="preserve"> to 25</w:t>
      </w:r>
      <w:r w:rsidR="00737010">
        <w:t xml:space="preserve"> </w:t>
      </w:r>
      <w:r w:rsidR="00B21BB5" w:rsidRPr="00B21BB5">
        <w:t>%</w:t>
      </w:r>
      <w:r w:rsidR="00737010">
        <w:t>vol</w:t>
      </w:r>
      <w:r w:rsidR="00B21BB5" w:rsidRPr="00B21BB5">
        <w:t>, and a more pronounced decline in the rate of increase above 25</w:t>
      </w:r>
      <w:r>
        <w:t xml:space="preserve"> </w:t>
      </w:r>
      <w:r w:rsidR="00B21BB5" w:rsidRPr="00B21BB5">
        <w:t>%</w:t>
      </w:r>
      <w:r>
        <w:t>vol</w:t>
      </w:r>
      <w:r w:rsidR="00B21BB5" w:rsidRPr="00B21BB5">
        <w:t>. This trend suggests that very high CO</w:t>
      </w:r>
      <w:r w:rsidR="00B21BB5" w:rsidRPr="00B21BB5">
        <w:rPr>
          <w:rFonts w:ascii="Cambria Math" w:hAnsi="Cambria Math" w:cs="Cambria Math"/>
        </w:rPr>
        <w:t>₂</w:t>
      </w:r>
      <w:r w:rsidR="00B21BB5" w:rsidRPr="00B21BB5">
        <w:t xml:space="preserve"> concentrations may negatively affect CO</w:t>
      </w:r>
      <w:r w:rsidR="00B21BB5" w:rsidRPr="00B21BB5">
        <w:rPr>
          <w:rFonts w:ascii="Cambria Math" w:hAnsi="Cambria Math" w:cs="Cambria Math"/>
        </w:rPr>
        <w:t>₂</w:t>
      </w:r>
      <w:r w:rsidR="00B21BB5" w:rsidRPr="00B21BB5">
        <w:t xml:space="preserve"> selectivity and separation factor from the gas mixture. Figure 3a illustrates that permeate flux increase</w:t>
      </w:r>
      <w:r>
        <w:t>s directly with an increase in</w:t>
      </w:r>
      <w:r w:rsidR="00B21BB5" w:rsidRPr="00B21BB5">
        <w:t xml:space="preserve"> CO</w:t>
      </w:r>
      <w:r w:rsidR="00B21BB5" w:rsidRPr="00821EF4">
        <w:rPr>
          <w:vertAlign w:val="subscript"/>
        </w:rPr>
        <w:t>2</w:t>
      </w:r>
      <w:r w:rsidR="00B21BB5" w:rsidRPr="00B21BB5">
        <w:t xml:space="preserve"> concentrations because higher CO</w:t>
      </w:r>
      <w:r w:rsidR="00B21BB5" w:rsidRPr="00821EF4">
        <w:rPr>
          <w:vertAlign w:val="subscript"/>
        </w:rPr>
        <w:t xml:space="preserve">2 </w:t>
      </w:r>
      <w:r w:rsidR="00B21BB5" w:rsidRPr="00B21BB5">
        <w:t>concentrations result in higher concentration or partial pressure difference (driving force) across the two sides of the membrane (Jasim et al., 2023). Xu et al. (2022) and Jasim et al. (2023) reported a similar trend in the permeate flux with CO</w:t>
      </w:r>
      <w:r w:rsidR="00B21BB5" w:rsidRPr="00821EF4">
        <w:rPr>
          <w:vertAlign w:val="subscript"/>
        </w:rPr>
        <w:t>2</w:t>
      </w:r>
      <w:r w:rsidR="00B21BB5" w:rsidRPr="00B21BB5">
        <w:t xml:space="preserve"> concentrations.</w:t>
      </w:r>
    </w:p>
    <w:p w14:paraId="31FB8060" w14:textId="77777777" w:rsidR="00CA27A6" w:rsidRDefault="00CA27A6" w:rsidP="001348E2">
      <w:pPr>
        <w:pStyle w:val="NormalWeb"/>
      </w:pPr>
    </w:p>
    <w:p w14:paraId="25E1F45A" w14:textId="77777777" w:rsidR="00821EF4" w:rsidRDefault="00821EF4" w:rsidP="001348E2">
      <w:pPr>
        <w:pStyle w:val="NormalWeb"/>
        <w:sectPr w:rsidR="00821EF4" w:rsidSect="002D553C">
          <w:type w:val="continuous"/>
          <w:pgSz w:w="11906" w:h="16838" w:code="9"/>
          <w:pgMar w:top="1701" w:right="1418" w:bottom="1701" w:left="1701" w:header="1701" w:footer="0" w:gutter="0"/>
          <w:cols w:space="708"/>
          <w:formProt w:val="0"/>
          <w:titlePg/>
          <w:docGrid w:linePitch="360"/>
        </w:sectPr>
      </w:pPr>
    </w:p>
    <w:p w14:paraId="10FA564B" w14:textId="1E0C8BB4" w:rsidR="001348E2" w:rsidRPr="00997EF0" w:rsidRDefault="00E14860" w:rsidP="001348E2">
      <w:pPr>
        <w:pStyle w:val="NormalWeb"/>
      </w:pPr>
      <w:r>
        <w:rPr>
          <w:noProof/>
          <w:lang w:val="en-US"/>
        </w:rPr>
        <w:drawing>
          <wp:inline distT="0" distB="0" distL="0" distR="0" wp14:anchorId="625829FE" wp14:editId="5895C277">
            <wp:extent cx="2643554" cy="2039815"/>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42056D" w14:textId="77777777" w:rsidR="00637D03" w:rsidRDefault="00637D03" w:rsidP="00F6532B">
      <w:pPr>
        <w:pStyle w:val="CETBodytextItalic"/>
        <w:rPr>
          <w:rStyle w:val="CETBodytextCarattere"/>
        </w:rPr>
      </w:pPr>
    </w:p>
    <w:p w14:paraId="6ECD4379" w14:textId="36508ABB" w:rsidR="001348E2" w:rsidRDefault="00F6532B" w:rsidP="00F6532B">
      <w:pPr>
        <w:pStyle w:val="CETBodytextItalic"/>
        <w:rPr>
          <w:rFonts w:cs="Arial"/>
          <w:bCs/>
          <w:iCs/>
          <w:szCs w:val="18"/>
        </w:rPr>
      </w:pPr>
      <w:r>
        <w:rPr>
          <w:rStyle w:val="CETBodytextCarattere"/>
        </w:rPr>
        <w:t>Figure 4a</w:t>
      </w:r>
      <w:r w:rsidR="001348E2" w:rsidRPr="00F6532B">
        <w:rPr>
          <w:rStyle w:val="CETBodytextCarattere"/>
        </w:rPr>
        <w:t>: Effect of CO</w:t>
      </w:r>
      <w:r w:rsidR="001348E2" w:rsidRPr="00637D03">
        <w:rPr>
          <w:rStyle w:val="CETBodytextCarattere"/>
          <w:vertAlign w:val="subscript"/>
        </w:rPr>
        <w:t>2</w:t>
      </w:r>
      <w:r w:rsidR="001348E2" w:rsidRPr="00F6532B">
        <w:rPr>
          <w:rStyle w:val="CETBodytextCarattere"/>
        </w:rPr>
        <w:t xml:space="preserve"> </w:t>
      </w:r>
      <w:r w:rsidR="00637D03">
        <w:rPr>
          <w:rStyle w:val="CETBodytextCarattere"/>
        </w:rPr>
        <w:t xml:space="preserve">feed </w:t>
      </w:r>
      <w:r w:rsidR="001348E2" w:rsidRPr="00F6532B">
        <w:rPr>
          <w:rStyle w:val="CETBodytextCarattere"/>
        </w:rPr>
        <w:t xml:space="preserve">concentrations on </w:t>
      </w:r>
      <w:r>
        <w:rPr>
          <w:rStyle w:val="CETBodytextCarattere"/>
        </w:rPr>
        <w:t>C</w:t>
      </w:r>
      <w:r w:rsidR="001348E2" w:rsidRPr="00791DC1">
        <w:rPr>
          <w:rFonts w:cs="Arial"/>
          <w:szCs w:val="18"/>
        </w:rPr>
        <w:t>O</w:t>
      </w:r>
      <w:r w:rsidR="001348E2" w:rsidRPr="00791DC1">
        <w:rPr>
          <w:rFonts w:cs="Arial"/>
          <w:szCs w:val="18"/>
          <w:vertAlign w:val="subscript"/>
        </w:rPr>
        <w:t>2</w:t>
      </w:r>
      <w:r w:rsidR="001348E2" w:rsidRPr="00791DC1">
        <w:rPr>
          <w:rFonts w:cs="Arial"/>
          <w:szCs w:val="18"/>
        </w:rPr>
        <w:t xml:space="preserve"> recovery </w:t>
      </w:r>
      <w:r w:rsidR="00177F86">
        <w:rPr>
          <w:rFonts w:cs="Arial"/>
          <w:szCs w:val="18"/>
        </w:rPr>
        <w:t>(R</w:t>
      </w:r>
      <m:oMath>
        <m:r>
          <w:rPr>
            <w:rFonts w:ascii="Cambria Math" w:hAnsi="Cambria Math" w:cs="Arial"/>
            <w:szCs w:val="18"/>
          </w:rPr>
          <m:t>)</m:t>
        </m:r>
      </m:oMath>
      <w:r w:rsidR="001348E2" w:rsidRPr="00791DC1">
        <w:rPr>
          <w:rFonts w:cs="Arial"/>
          <w:bCs/>
          <w:szCs w:val="18"/>
        </w:rPr>
        <w:t xml:space="preserve"> and retention coefficient </w:t>
      </w:r>
      <w:r w:rsidR="00177F86">
        <w:rPr>
          <w:rFonts w:cs="Arial"/>
          <w:bCs/>
          <w:szCs w:val="18"/>
        </w:rPr>
        <w:t>(Rc</w:t>
      </w:r>
      <m:oMath>
        <m:r>
          <w:rPr>
            <w:rFonts w:ascii="Cambria Math" w:hAnsi="Cambria Math" w:cs="Arial"/>
            <w:szCs w:val="18"/>
          </w:rPr>
          <m:t>)</m:t>
        </m:r>
      </m:oMath>
    </w:p>
    <w:p w14:paraId="499355D6" w14:textId="02EFEE8C" w:rsidR="001348E2" w:rsidRDefault="00E14860" w:rsidP="001348E2">
      <w:pPr>
        <w:pStyle w:val="NormalWeb"/>
      </w:pPr>
      <w:r>
        <w:rPr>
          <w:noProof/>
          <w:lang w:val="en-US"/>
        </w:rPr>
        <w:drawing>
          <wp:inline distT="0" distB="0" distL="0" distR="0" wp14:anchorId="499F107B" wp14:editId="077ADB76">
            <wp:extent cx="2567354" cy="2004646"/>
            <wp:effectExtent l="0" t="0" r="444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D6EBFA" w14:textId="77777777" w:rsidR="00637D03" w:rsidRDefault="00637D03" w:rsidP="001348E2">
      <w:pPr>
        <w:pStyle w:val="NormalWeb"/>
        <w:rPr>
          <w:i/>
          <w:sz w:val="18"/>
          <w:szCs w:val="18"/>
        </w:rPr>
      </w:pPr>
    </w:p>
    <w:p w14:paraId="3450C790" w14:textId="188439E7" w:rsidR="001348E2" w:rsidRPr="00DE3BFC" w:rsidRDefault="00F6532B" w:rsidP="001348E2">
      <w:pPr>
        <w:pStyle w:val="NormalWeb"/>
        <w:rPr>
          <w:bCs/>
          <w:i/>
          <w:sz w:val="18"/>
          <w:szCs w:val="18"/>
        </w:rPr>
      </w:pPr>
      <w:r>
        <w:rPr>
          <w:i/>
          <w:sz w:val="18"/>
          <w:szCs w:val="18"/>
        </w:rPr>
        <w:t>Figure 4b</w:t>
      </w:r>
      <w:r w:rsidR="001348E2" w:rsidRPr="00791DC1">
        <w:rPr>
          <w:i/>
          <w:sz w:val="18"/>
          <w:szCs w:val="18"/>
        </w:rPr>
        <w:t>: Effect of CO</w:t>
      </w:r>
      <w:r w:rsidR="001348E2" w:rsidRPr="00791DC1">
        <w:rPr>
          <w:i/>
          <w:sz w:val="18"/>
          <w:szCs w:val="18"/>
          <w:vertAlign w:val="subscript"/>
        </w:rPr>
        <w:t>2</w:t>
      </w:r>
      <w:r w:rsidR="001348E2" w:rsidRPr="00791DC1">
        <w:rPr>
          <w:i/>
          <w:sz w:val="18"/>
          <w:szCs w:val="18"/>
        </w:rPr>
        <w:t xml:space="preserve"> </w:t>
      </w:r>
      <w:r w:rsidR="00637D03">
        <w:rPr>
          <w:i/>
          <w:sz w:val="18"/>
          <w:szCs w:val="18"/>
        </w:rPr>
        <w:t xml:space="preserve">feed </w:t>
      </w:r>
      <w:r w:rsidR="001348E2" w:rsidRPr="00791DC1">
        <w:rPr>
          <w:i/>
          <w:sz w:val="18"/>
          <w:szCs w:val="18"/>
        </w:rPr>
        <w:t xml:space="preserve">concentrations on </w:t>
      </w:r>
      <w:r w:rsidR="00DE3BFC" w:rsidRPr="00DE3BFC">
        <w:rPr>
          <w:bCs/>
          <w:i/>
          <w:sz w:val="18"/>
          <w:szCs w:val="18"/>
        </w:rPr>
        <w:t xml:space="preserve">Stage cut </w:t>
      </w:r>
      <w:r w:rsidR="001348E2" w:rsidRPr="00DE3BFC">
        <w:rPr>
          <w:bCs/>
          <w:i/>
          <w:sz w:val="18"/>
          <w:szCs w:val="18"/>
          <w:lang w:val="el-GR"/>
        </w:rPr>
        <w:t>θ</w:t>
      </w:r>
      <w:r w:rsidR="00DE3BFC" w:rsidRPr="00DE3BFC">
        <w:rPr>
          <w:bCs/>
          <w:i/>
          <w:sz w:val="18"/>
          <w:szCs w:val="18"/>
          <w:lang w:val="en-US"/>
        </w:rPr>
        <w:t>(</w:t>
      </w:r>
      <w:r w:rsidR="00DE3BFC" w:rsidRPr="00DE3BFC">
        <w:rPr>
          <w:i/>
          <w:sz w:val="18"/>
          <w:szCs w:val="18"/>
        </w:rPr>
        <w:t>CO</w:t>
      </w:r>
      <w:r w:rsidR="00DE3BFC" w:rsidRPr="00DE3BFC">
        <w:rPr>
          <w:i/>
          <w:sz w:val="18"/>
          <w:szCs w:val="18"/>
          <w:vertAlign w:val="subscript"/>
        </w:rPr>
        <w:t>2</w:t>
      </w:r>
      <w:r w:rsidR="00DE3BFC" w:rsidRPr="00DE3BFC">
        <w:rPr>
          <w:bCs/>
          <w:i/>
          <w:sz w:val="18"/>
          <w:szCs w:val="18"/>
        </w:rPr>
        <w:t>)</w:t>
      </w:r>
      <w:r w:rsidR="001348E2" w:rsidRPr="00DE3BFC">
        <w:rPr>
          <w:bCs/>
          <w:i/>
          <w:sz w:val="18"/>
          <w:szCs w:val="18"/>
        </w:rPr>
        <w:t xml:space="preserve">and selectivity </w:t>
      </w:r>
      <w:r w:rsidR="00DE3BFC" w:rsidRPr="00DE3BFC">
        <w:rPr>
          <w:rFonts w:cs="Arial"/>
          <w:i/>
          <w:color w:val="000000" w:themeColor="text1"/>
          <w:sz w:val="18"/>
          <w:szCs w:val="18"/>
        </w:rPr>
        <w:t>α(CO</w:t>
      </w:r>
      <w:r w:rsidR="00DE3BFC" w:rsidRPr="00DE3BFC">
        <w:rPr>
          <w:rFonts w:ascii="Cambria Math" w:hAnsi="Cambria Math" w:cs="Cambria Math"/>
          <w:i/>
          <w:color w:val="000000" w:themeColor="text1"/>
          <w:sz w:val="18"/>
          <w:szCs w:val="18"/>
        </w:rPr>
        <w:t>₂</w:t>
      </w:r>
      <w:r w:rsidR="00DE3BFC" w:rsidRPr="00DE3BFC">
        <w:rPr>
          <w:rFonts w:cs="Arial"/>
          <w:i/>
          <w:color w:val="000000" w:themeColor="text1"/>
          <w:sz w:val="18"/>
          <w:szCs w:val="18"/>
        </w:rPr>
        <w:t>/N</w:t>
      </w:r>
      <w:r w:rsidR="00DE3BFC" w:rsidRPr="00DE3BFC">
        <w:rPr>
          <w:rFonts w:ascii="Cambria Math" w:hAnsi="Cambria Math" w:cs="Cambria Math"/>
          <w:i/>
          <w:color w:val="000000" w:themeColor="text1"/>
          <w:sz w:val="18"/>
          <w:szCs w:val="18"/>
        </w:rPr>
        <w:t>₂</w:t>
      </w:r>
      <w:r w:rsidR="00DE3BFC" w:rsidRPr="00DE3BFC">
        <w:rPr>
          <w:rFonts w:cs="Arial"/>
          <w:i/>
          <w:color w:val="000000" w:themeColor="text1"/>
          <w:sz w:val="18"/>
          <w:szCs w:val="18"/>
        </w:rPr>
        <w:t>)</w:t>
      </w:r>
    </w:p>
    <w:p w14:paraId="6746542E" w14:textId="77777777" w:rsidR="00CA27A6" w:rsidRDefault="00CA27A6" w:rsidP="001348E2">
      <w:pPr>
        <w:pStyle w:val="CETBodytext"/>
        <w:sectPr w:rsidR="00CA27A6" w:rsidSect="00CA27A6">
          <w:type w:val="continuous"/>
          <w:pgSz w:w="11906" w:h="16838" w:code="9"/>
          <w:pgMar w:top="1701" w:right="1418" w:bottom="1701" w:left="1701" w:header="1701" w:footer="0" w:gutter="0"/>
          <w:cols w:num="2" w:space="708"/>
          <w:formProt w:val="0"/>
          <w:titlePg/>
          <w:docGrid w:linePitch="360"/>
        </w:sectPr>
      </w:pPr>
    </w:p>
    <w:p w14:paraId="7D3F32ED" w14:textId="77777777" w:rsidR="005345CD" w:rsidRDefault="005345CD" w:rsidP="001348E2">
      <w:pPr>
        <w:pStyle w:val="CETBodytext"/>
        <w:rPr>
          <w:rFonts w:cs="Arial"/>
          <w:szCs w:val="18"/>
        </w:rPr>
      </w:pPr>
    </w:p>
    <w:p w14:paraId="585B79F2" w14:textId="03A018EA" w:rsidR="00C26FDE" w:rsidRPr="00821EF4" w:rsidRDefault="00C26FDE" w:rsidP="00C26FDE">
      <w:pPr>
        <w:pStyle w:val="CETBodytext"/>
        <w:rPr>
          <w:rFonts w:cs="Arial"/>
          <w:color w:val="000000" w:themeColor="text1"/>
          <w:szCs w:val="18"/>
        </w:rPr>
      </w:pPr>
      <w:r w:rsidRPr="00821EF4">
        <w:rPr>
          <w:rFonts w:cs="Arial"/>
          <w:color w:val="000000" w:themeColor="text1"/>
          <w:szCs w:val="18"/>
        </w:rPr>
        <w:t>Figures 4a and 4b illustrate the effects of feed CO</w:t>
      </w:r>
      <w:r w:rsidRPr="00821EF4">
        <w:rPr>
          <w:rFonts w:ascii="Cambria Math" w:hAnsi="Cambria Math" w:cs="Cambria Math"/>
          <w:color w:val="000000" w:themeColor="text1"/>
          <w:szCs w:val="18"/>
        </w:rPr>
        <w:t>₂</w:t>
      </w:r>
      <w:r w:rsidRPr="00821EF4">
        <w:rPr>
          <w:rFonts w:cs="Arial"/>
          <w:color w:val="000000" w:themeColor="text1"/>
          <w:szCs w:val="18"/>
        </w:rPr>
        <w:t xml:space="preserve"> concentration on CO</w:t>
      </w:r>
      <w:r w:rsidRPr="00821EF4">
        <w:rPr>
          <w:rFonts w:ascii="Cambria Math" w:hAnsi="Cambria Math" w:cs="Cambria Math"/>
          <w:color w:val="000000" w:themeColor="text1"/>
          <w:szCs w:val="18"/>
        </w:rPr>
        <w:t>₂</w:t>
      </w:r>
      <w:r w:rsidRPr="00821EF4">
        <w:rPr>
          <w:rFonts w:cs="Arial"/>
          <w:color w:val="000000" w:themeColor="text1"/>
          <w:szCs w:val="18"/>
        </w:rPr>
        <w:t xml:space="preserve"> recovery, retention coefficient, stage cut, and sele</w:t>
      </w:r>
      <w:r w:rsidR="009E74BD" w:rsidRPr="00821EF4">
        <w:rPr>
          <w:rFonts w:cs="Arial"/>
          <w:color w:val="000000" w:themeColor="text1"/>
          <w:szCs w:val="18"/>
        </w:rPr>
        <w:t xml:space="preserve">ctivity in a membrane system. </w:t>
      </w:r>
      <w:r w:rsidRPr="00821EF4">
        <w:rPr>
          <w:rFonts w:cs="Arial"/>
          <w:color w:val="000000" w:themeColor="text1"/>
          <w:szCs w:val="18"/>
        </w:rPr>
        <w:t>CO</w:t>
      </w:r>
      <w:r w:rsidRPr="00821EF4">
        <w:rPr>
          <w:rFonts w:ascii="Cambria Math" w:hAnsi="Cambria Math" w:cs="Cambria Math"/>
          <w:color w:val="000000" w:themeColor="text1"/>
          <w:szCs w:val="18"/>
        </w:rPr>
        <w:t>₂</w:t>
      </w:r>
      <w:r w:rsidRPr="00821EF4">
        <w:rPr>
          <w:rFonts w:cs="Arial"/>
          <w:color w:val="000000" w:themeColor="text1"/>
          <w:szCs w:val="18"/>
        </w:rPr>
        <w:t xml:space="preserve"> recovery refers to the proportion of CO</w:t>
      </w:r>
      <w:r w:rsidRPr="00821EF4">
        <w:rPr>
          <w:rFonts w:ascii="Cambria Math" w:hAnsi="Cambria Math" w:cs="Cambria Math"/>
          <w:color w:val="000000" w:themeColor="text1"/>
          <w:szCs w:val="18"/>
        </w:rPr>
        <w:t>₂</w:t>
      </w:r>
      <w:r w:rsidRPr="00821EF4">
        <w:rPr>
          <w:rFonts w:cs="Arial"/>
          <w:color w:val="000000" w:themeColor="text1"/>
          <w:szCs w:val="18"/>
        </w:rPr>
        <w:t xml:space="preserve"> in the feed gas that reaches t</w:t>
      </w:r>
      <w:r w:rsidR="00637D03" w:rsidRPr="00821EF4">
        <w:rPr>
          <w:rFonts w:cs="Arial"/>
          <w:color w:val="000000" w:themeColor="text1"/>
          <w:szCs w:val="18"/>
        </w:rPr>
        <w:t xml:space="preserve">he permeate stream, while the </w:t>
      </w:r>
      <w:r w:rsidRPr="00821EF4">
        <w:rPr>
          <w:rFonts w:cs="Arial"/>
          <w:color w:val="000000" w:themeColor="text1"/>
          <w:szCs w:val="18"/>
        </w:rPr>
        <w:t>retention coefficient measures the amount of CO</w:t>
      </w:r>
      <w:r w:rsidRPr="00821EF4">
        <w:rPr>
          <w:rFonts w:ascii="Cambria Math" w:hAnsi="Cambria Math" w:cs="Cambria Math"/>
          <w:color w:val="000000" w:themeColor="text1"/>
          <w:szCs w:val="18"/>
        </w:rPr>
        <w:t>₂</w:t>
      </w:r>
      <w:r w:rsidRPr="00821EF4">
        <w:rPr>
          <w:rFonts w:cs="Arial"/>
          <w:color w:val="000000" w:themeColor="text1"/>
          <w:szCs w:val="18"/>
        </w:rPr>
        <w:t xml:space="preserve"> retained in the retentate stream. The data show that as feed CO</w:t>
      </w:r>
      <w:r w:rsidRPr="00821EF4">
        <w:rPr>
          <w:rFonts w:ascii="Cambria Math" w:hAnsi="Cambria Math" w:cs="Cambria Math"/>
          <w:color w:val="000000" w:themeColor="text1"/>
          <w:szCs w:val="18"/>
        </w:rPr>
        <w:t>₂</w:t>
      </w:r>
      <w:r w:rsidR="009E74BD" w:rsidRPr="00821EF4">
        <w:rPr>
          <w:rFonts w:cs="Arial"/>
          <w:color w:val="000000" w:themeColor="text1"/>
          <w:szCs w:val="18"/>
        </w:rPr>
        <w:t xml:space="preserve"> concentration increases, </w:t>
      </w:r>
      <w:r w:rsidRPr="00821EF4">
        <w:rPr>
          <w:rFonts w:cs="Arial"/>
          <w:color w:val="000000" w:themeColor="text1"/>
          <w:szCs w:val="18"/>
        </w:rPr>
        <w:t>CO</w:t>
      </w:r>
      <w:r w:rsidRPr="00821EF4">
        <w:rPr>
          <w:rFonts w:ascii="Cambria Math" w:hAnsi="Cambria Math" w:cs="Cambria Math"/>
          <w:color w:val="000000" w:themeColor="text1"/>
          <w:szCs w:val="18"/>
        </w:rPr>
        <w:t>₂</w:t>
      </w:r>
      <w:r w:rsidRPr="00821EF4">
        <w:rPr>
          <w:rFonts w:cs="Arial"/>
          <w:color w:val="000000" w:themeColor="text1"/>
          <w:szCs w:val="18"/>
        </w:rPr>
        <w:t xml:space="preserve"> recovery rises due to the membrane’s high CO</w:t>
      </w:r>
      <w:r w:rsidRPr="00821EF4">
        <w:rPr>
          <w:rFonts w:ascii="Cambria Math" w:hAnsi="Cambria Math" w:cs="Cambria Math"/>
          <w:color w:val="000000" w:themeColor="text1"/>
          <w:szCs w:val="18"/>
        </w:rPr>
        <w:t>₂</w:t>
      </w:r>
      <w:r w:rsidRPr="00821EF4">
        <w:rPr>
          <w:rFonts w:cs="Arial"/>
          <w:color w:val="000000" w:themeColor="text1"/>
          <w:szCs w:val="18"/>
        </w:rPr>
        <w:t xml:space="preserve"> permeability, while the retention coefficient declines. This occurs because higher CO</w:t>
      </w:r>
      <w:r w:rsidRPr="00821EF4">
        <w:rPr>
          <w:rFonts w:ascii="Cambria Math" w:hAnsi="Cambria Math" w:cs="Cambria Math"/>
          <w:color w:val="000000" w:themeColor="text1"/>
          <w:szCs w:val="18"/>
        </w:rPr>
        <w:t>₂</w:t>
      </w:r>
      <w:r w:rsidRPr="00821EF4">
        <w:rPr>
          <w:rFonts w:cs="Arial"/>
          <w:color w:val="000000" w:themeColor="text1"/>
          <w:szCs w:val="18"/>
        </w:rPr>
        <w:t xml:space="preserve"> concentrations drive more CO</w:t>
      </w:r>
      <w:r w:rsidRPr="00821EF4">
        <w:rPr>
          <w:rFonts w:ascii="Cambria Math" w:hAnsi="Cambria Math" w:cs="Cambria Math"/>
          <w:color w:val="000000" w:themeColor="text1"/>
          <w:szCs w:val="18"/>
        </w:rPr>
        <w:t>₂</w:t>
      </w:r>
      <w:r w:rsidRPr="00821EF4">
        <w:rPr>
          <w:rFonts w:cs="Arial"/>
          <w:color w:val="000000" w:themeColor="text1"/>
          <w:szCs w:val="18"/>
        </w:rPr>
        <w:t xml:space="preserve"> into the permeate stream, leaving the retentate with reduced CO</w:t>
      </w:r>
      <w:r w:rsidRPr="00821EF4">
        <w:rPr>
          <w:rFonts w:ascii="Cambria Math" w:hAnsi="Cambria Math" w:cs="Cambria Math"/>
          <w:color w:val="000000" w:themeColor="text1"/>
          <w:szCs w:val="18"/>
        </w:rPr>
        <w:t>₂</w:t>
      </w:r>
      <w:r w:rsidRPr="00821EF4">
        <w:rPr>
          <w:rFonts w:cs="Arial"/>
          <w:color w:val="000000" w:themeColor="text1"/>
          <w:szCs w:val="18"/>
        </w:rPr>
        <w:t xml:space="preserve"> content, </w:t>
      </w:r>
      <w:r w:rsidRPr="00821EF4">
        <w:rPr>
          <w:rFonts w:cs="Arial"/>
          <w:color w:val="000000" w:themeColor="text1"/>
          <w:szCs w:val="18"/>
        </w:rPr>
        <w:lastRenderedPageBreak/>
        <w:t>indicating higher purity in the permeate stream. These findings align with Fernández-Barquín et al. (2017), who linked higher CO</w:t>
      </w:r>
      <w:r w:rsidRPr="00821EF4">
        <w:rPr>
          <w:rFonts w:ascii="Cambria Math" w:hAnsi="Cambria Math" w:cs="Cambria Math"/>
          <w:color w:val="000000" w:themeColor="text1"/>
          <w:szCs w:val="18"/>
        </w:rPr>
        <w:t>₂</w:t>
      </w:r>
      <w:r w:rsidRPr="00821EF4">
        <w:rPr>
          <w:rFonts w:cs="Arial"/>
          <w:color w:val="000000" w:themeColor="text1"/>
          <w:szCs w:val="18"/>
        </w:rPr>
        <w:t xml:space="preserve"> recovery to the increased driving force at elevated feed CO</w:t>
      </w:r>
      <w:r w:rsidRPr="00821EF4">
        <w:rPr>
          <w:rFonts w:ascii="Cambria Math" w:hAnsi="Cambria Math" w:cs="Cambria Math"/>
          <w:color w:val="000000" w:themeColor="text1"/>
          <w:szCs w:val="18"/>
        </w:rPr>
        <w:t>₂</w:t>
      </w:r>
      <w:r w:rsidRPr="00821EF4">
        <w:rPr>
          <w:rFonts w:cs="Arial"/>
          <w:color w:val="000000" w:themeColor="text1"/>
          <w:szCs w:val="18"/>
        </w:rPr>
        <w:t xml:space="preserve"> levels. Figure 4b highlights that stage cut (fraction of feed gas passing through the membrane) increases with rising feed CO</w:t>
      </w:r>
      <w:r w:rsidRPr="00821EF4">
        <w:rPr>
          <w:rFonts w:ascii="Cambria Math" w:hAnsi="Cambria Math" w:cs="Cambria Math"/>
          <w:color w:val="000000" w:themeColor="text1"/>
          <w:szCs w:val="18"/>
        </w:rPr>
        <w:t>₂</w:t>
      </w:r>
      <w:r w:rsidRPr="00821EF4">
        <w:rPr>
          <w:rFonts w:cs="Arial"/>
          <w:color w:val="000000" w:themeColor="text1"/>
          <w:szCs w:val="18"/>
        </w:rPr>
        <w:t xml:space="preserve"> concentrations. However, CO</w:t>
      </w:r>
      <w:r w:rsidRPr="00821EF4">
        <w:rPr>
          <w:rFonts w:ascii="Cambria Math" w:hAnsi="Cambria Math" w:cs="Cambria Math"/>
          <w:color w:val="000000" w:themeColor="text1"/>
          <w:szCs w:val="18"/>
        </w:rPr>
        <w:t>₂</w:t>
      </w:r>
      <w:r w:rsidRPr="00821EF4">
        <w:rPr>
          <w:rFonts w:cs="Arial"/>
          <w:color w:val="000000" w:themeColor="text1"/>
          <w:szCs w:val="18"/>
        </w:rPr>
        <w:t xml:space="preserve"> selectivity peaked at 15</w:t>
      </w:r>
      <w:r w:rsidR="00737010">
        <w:rPr>
          <w:rFonts w:cs="Arial"/>
          <w:color w:val="000000" w:themeColor="text1"/>
          <w:szCs w:val="18"/>
        </w:rPr>
        <w:t xml:space="preserve"> </w:t>
      </w:r>
      <w:r w:rsidRPr="00821EF4">
        <w:rPr>
          <w:rFonts w:cs="Arial"/>
          <w:color w:val="000000" w:themeColor="text1"/>
          <w:szCs w:val="18"/>
        </w:rPr>
        <w:t>%</w:t>
      </w:r>
      <w:r w:rsidR="00737010">
        <w:rPr>
          <w:rFonts w:cs="Arial"/>
          <w:color w:val="000000" w:themeColor="text1"/>
          <w:szCs w:val="18"/>
        </w:rPr>
        <w:t>vol</w:t>
      </w:r>
      <w:r w:rsidRPr="00821EF4">
        <w:rPr>
          <w:rFonts w:cs="Arial"/>
          <w:color w:val="000000" w:themeColor="text1"/>
          <w:szCs w:val="18"/>
        </w:rPr>
        <w:t xml:space="preserve"> feed CO</w:t>
      </w:r>
      <w:r w:rsidRPr="00821EF4">
        <w:rPr>
          <w:rFonts w:ascii="Cambria Math" w:hAnsi="Cambria Math" w:cs="Cambria Math"/>
          <w:color w:val="000000" w:themeColor="text1"/>
          <w:szCs w:val="18"/>
        </w:rPr>
        <w:t>₂</w:t>
      </w:r>
      <w:r w:rsidRPr="00821EF4">
        <w:rPr>
          <w:rFonts w:cs="Arial"/>
          <w:color w:val="000000" w:themeColor="text1"/>
          <w:szCs w:val="18"/>
        </w:rPr>
        <w:t xml:space="preserve"> concentration and then declined as feed concentration increased further, suggesting that excessively high CO</w:t>
      </w:r>
      <w:r w:rsidRPr="00821EF4">
        <w:rPr>
          <w:rFonts w:ascii="Cambria Math" w:hAnsi="Cambria Math" w:cs="Cambria Math"/>
          <w:color w:val="000000" w:themeColor="text1"/>
          <w:szCs w:val="18"/>
        </w:rPr>
        <w:t>₂</w:t>
      </w:r>
      <w:r w:rsidRPr="00821EF4">
        <w:rPr>
          <w:rFonts w:cs="Arial"/>
          <w:color w:val="000000" w:themeColor="text1"/>
          <w:szCs w:val="18"/>
        </w:rPr>
        <w:t xml:space="preserve"> levels may negatively impact selectivity. This trend, consistent with Aydani et al. (2020), implies a trade-off between stage cut and selectivity, as selectivity decreases with increasing stage cut. This observation also aligns with Seghman et al. (2022).</w:t>
      </w:r>
    </w:p>
    <w:p w14:paraId="7A640E01" w14:textId="77777777" w:rsidR="0095026E" w:rsidRDefault="001348E2" w:rsidP="0095026E">
      <w:pPr>
        <w:pStyle w:val="NormalWeb"/>
        <w:rPr>
          <w:color w:val="05103E"/>
        </w:rPr>
        <w:sectPr w:rsidR="0095026E" w:rsidSect="002D553C">
          <w:type w:val="continuous"/>
          <w:pgSz w:w="11906" w:h="16838" w:code="9"/>
          <w:pgMar w:top="1701" w:right="1418" w:bottom="1701" w:left="1701" w:header="1701" w:footer="0" w:gutter="0"/>
          <w:cols w:space="708"/>
          <w:formProt w:val="0"/>
          <w:titlePg/>
          <w:docGrid w:linePitch="360"/>
        </w:sectPr>
      </w:pPr>
      <w:r>
        <w:rPr>
          <w:color w:val="05103E"/>
        </w:rPr>
        <w:t xml:space="preserve"> </w:t>
      </w:r>
    </w:p>
    <w:p w14:paraId="396BA4ED" w14:textId="33BD9E14" w:rsidR="001348E2" w:rsidRDefault="00E65726" w:rsidP="0095026E">
      <w:pPr>
        <w:pStyle w:val="NormalWeb"/>
      </w:pPr>
      <w:r>
        <w:rPr>
          <w:noProof/>
          <w:lang w:val="en-US"/>
        </w:rPr>
        <w:drawing>
          <wp:inline distT="0" distB="0" distL="0" distR="0" wp14:anchorId="0C66458D" wp14:editId="766C41DF">
            <wp:extent cx="2622550" cy="1955800"/>
            <wp:effectExtent l="0" t="0" r="635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ABEDD3" w14:textId="77777777" w:rsidR="0095026E" w:rsidRDefault="0095026E" w:rsidP="0095026E">
      <w:pPr>
        <w:pStyle w:val="NormalWeb"/>
        <w:rPr>
          <w:i/>
          <w:sz w:val="18"/>
          <w:szCs w:val="18"/>
        </w:rPr>
      </w:pPr>
    </w:p>
    <w:p w14:paraId="71A2E99E" w14:textId="3BB9C107" w:rsidR="001348E2" w:rsidRPr="00791DC1" w:rsidRDefault="00A95145" w:rsidP="0095026E">
      <w:pPr>
        <w:pStyle w:val="NormalWeb"/>
        <w:rPr>
          <w:bCs/>
          <w:i/>
          <w:sz w:val="18"/>
          <w:szCs w:val="18"/>
        </w:rPr>
      </w:pPr>
      <w:r>
        <w:rPr>
          <w:i/>
          <w:sz w:val="18"/>
          <w:szCs w:val="18"/>
        </w:rPr>
        <w:t>Figure 5a</w:t>
      </w:r>
      <w:r w:rsidR="001348E2" w:rsidRPr="00791DC1">
        <w:rPr>
          <w:i/>
          <w:sz w:val="18"/>
          <w:szCs w:val="18"/>
        </w:rPr>
        <w:t>: Effect of different CO</w:t>
      </w:r>
      <w:r w:rsidR="001348E2" w:rsidRPr="00791DC1">
        <w:rPr>
          <w:i/>
          <w:sz w:val="18"/>
          <w:szCs w:val="18"/>
          <w:vertAlign w:val="subscript"/>
        </w:rPr>
        <w:t>2</w:t>
      </w:r>
      <w:r w:rsidR="001348E2" w:rsidRPr="00791DC1">
        <w:rPr>
          <w:i/>
          <w:sz w:val="18"/>
          <w:szCs w:val="18"/>
        </w:rPr>
        <w:t xml:space="preserve"> concentrations on </w:t>
      </w:r>
      <w:r w:rsidR="001348E2" w:rsidRPr="00791DC1">
        <w:rPr>
          <w:bCs/>
          <w:i/>
          <w:sz w:val="18"/>
          <w:szCs w:val="18"/>
        </w:rPr>
        <w:t>separation factors</w:t>
      </w:r>
    </w:p>
    <w:p w14:paraId="11E94438" w14:textId="2F01B251" w:rsidR="001348E2" w:rsidRPr="00763C01" w:rsidRDefault="00763C01" w:rsidP="001348E2">
      <w:pPr>
        <w:pStyle w:val="NormalWeb"/>
        <w:rPr>
          <w:bCs/>
          <w:sz w:val="18"/>
          <w:szCs w:val="18"/>
        </w:rPr>
      </w:pPr>
      <w:r>
        <w:rPr>
          <w:noProof/>
          <w:lang w:val="en-US"/>
        </w:rPr>
        <w:drawing>
          <wp:inline distT="0" distB="0" distL="0" distR="0" wp14:anchorId="6F229D99" wp14:editId="10121FE9">
            <wp:extent cx="2578100" cy="1955800"/>
            <wp:effectExtent l="0" t="0" r="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8B4D7D" w14:textId="77777777" w:rsidR="0063160B" w:rsidRDefault="0063160B" w:rsidP="001348E2">
      <w:pPr>
        <w:pStyle w:val="NormalWeb"/>
        <w:rPr>
          <w:i/>
          <w:sz w:val="18"/>
          <w:szCs w:val="18"/>
        </w:rPr>
      </w:pPr>
    </w:p>
    <w:p w14:paraId="161B8EA7" w14:textId="5140D001" w:rsidR="001348E2" w:rsidRPr="00791DC1" w:rsidRDefault="00A95145" w:rsidP="001348E2">
      <w:pPr>
        <w:pStyle w:val="NormalWeb"/>
        <w:rPr>
          <w:i/>
          <w:sz w:val="18"/>
          <w:szCs w:val="18"/>
        </w:rPr>
      </w:pPr>
      <w:r>
        <w:rPr>
          <w:i/>
          <w:sz w:val="18"/>
          <w:szCs w:val="18"/>
        </w:rPr>
        <w:t>Figure 5b</w:t>
      </w:r>
      <w:r w:rsidR="001348E2" w:rsidRPr="00791DC1">
        <w:rPr>
          <w:i/>
          <w:sz w:val="18"/>
          <w:szCs w:val="18"/>
        </w:rPr>
        <w:t>: Relationship between separation factor and permeability at different CO</w:t>
      </w:r>
      <w:r w:rsidR="001348E2" w:rsidRPr="00791DC1">
        <w:rPr>
          <w:i/>
          <w:sz w:val="18"/>
          <w:szCs w:val="18"/>
          <w:vertAlign w:val="subscript"/>
        </w:rPr>
        <w:t>2</w:t>
      </w:r>
      <w:r w:rsidR="001348E2" w:rsidRPr="00791DC1">
        <w:rPr>
          <w:i/>
          <w:sz w:val="18"/>
          <w:szCs w:val="18"/>
        </w:rPr>
        <w:t xml:space="preserve"> concentrations. </w:t>
      </w:r>
    </w:p>
    <w:p w14:paraId="499DCD6D" w14:textId="77777777" w:rsidR="0095026E" w:rsidRDefault="0095026E" w:rsidP="001348E2">
      <w:pPr>
        <w:pStyle w:val="NormalWeb"/>
        <w:rPr>
          <w:bCs/>
        </w:rPr>
        <w:sectPr w:rsidR="0095026E" w:rsidSect="0095026E">
          <w:type w:val="continuous"/>
          <w:pgSz w:w="11906" w:h="16838" w:code="9"/>
          <w:pgMar w:top="1701" w:right="1418" w:bottom="1701" w:left="1701" w:header="1701" w:footer="0" w:gutter="0"/>
          <w:cols w:num="2" w:space="708"/>
          <w:formProt w:val="0"/>
          <w:titlePg/>
          <w:docGrid w:linePitch="360"/>
        </w:sectPr>
      </w:pPr>
    </w:p>
    <w:p w14:paraId="7433CFEA" w14:textId="100E664F" w:rsidR="00821EF4" w:rsidRDefault="00821EF4" w:rsidP="00821EF4">
      <w:pPr>
        <w:pStyle w:val="CETTabletitle"/>
        <w:jc w:val="both"/>
        <w:rPr>
          <w:i w:val="0"/>
          <w:lang w:val="en-US"/>
        </w:rPr>
      </w:pPr>
      <w:r w:rsidRPr="00821EF4">
        <w:rPr>
          <w:i w:val="0"/>
          <w:lang w:val="en-US"/>
        </w:rPr>
        <w:t>Figures 5a and 5b delineate the correlation between CO</w:t>
      </w:r>
      <w:r w:rsidRPr="00821EF4">
        <w:rPr>
          <w:rFonts w:ascii="Cambria Math" w:hAnsi="Cambria Math" w:cs="Cambria Math"/>
          <w:i w:val="0"/>
          <w:lang w:val="en-US"/>
        </w:rPr>
        <w:t>₂</w:t>
      </w:r>
      <w:r w:rsidRPr="00821EF4">
        <w:rPr>
          <w:i w:val="0"/>
          <w:lang w:val="en-US"/>
        </w:rPr>
        <w:t xml:space="preserve"> separation factors about the other two gases (N</w:t>
      </w:r>
      <w:r w:rsidRPr="00821EF4">
        <w:rPr>
          <w:rFonts w:ascii="Cambria Math" w:hAnsi="Cambria Math" w:cs="Cambria Math"/>
          <w:i w:val="0"/>
          <w:lang w:val="en-US"/>
        </w:rPr>
        <w:t>₂</w:t>
      </w:r>
      <w:r w:rsidRPr="00821EF4">
        <w:rPr>
          <w:i w:val="0"/>
          <w:lang w:val="en-US"/>
        </w:rPr>
        <w:t xml:space="preserve"> and O</w:t>
      </w:r>
      <w:r w:rsidRPr="00821EF4">
        <w:rPr>
          <w:rFonts w:ascii="Cambria Math" w:hAnsi="Cambria Math" w:cs="Cambria Math"/>
          <w:i w:val="0"/>
          <w:lang w:val="en-US"/>
        </w:rPr>
        <w:t>₂</w:t>
      </w:r>
      <w:r w:rsidRPr="00821EF4">
        <w:rPr>
          <w:i w:val="0"/>
          <w:lang w:val="en-US"/>
        </w:rPr>
        <w:t>) and CO</w:t>
      </w:r>
      <w:r w:rsidRPr="00821EF4">
        <w:rPr>
          <w:rFonts w:ascii="Cambria Math" w:hAnsi="Cambria Math" w:cs="Cambria Math"/>
          <w:i w:val="0"/>
          <w:lang w:val="en-US"/>
        </w:rPr>
        <w:t>₂</w:t>
      </w:r>
      <w:r w:rsidRPr="00821EF4">
        <w:rPr>
          <w:i w:val="0"/>
          <w:lang w:val="en-US"/>
        </w:rPr>
        <w:t xml:space="preserve"> concentrations and permeability. The results indicated that the separation factor Sf*(CO</w:t>
      </w:r>
      <w:r w:rsidRPr="00821EF4">
        <w:rPr>
          <w:rFonts w:ascii="Cambria Math" w:hAnsi="Cambria Math" w:cs="Cambria Math"/>
          <w:i w:val="0"/>
          <w:lang w:val="en-US"/>
        </w:rPr>
        <w:t>₂</w:t>
      </w:r>
      <w:r w:rsidRPr="00821EF4">
        <w:rPr>
          <w:i w:val="0"/>
          <w:lang w:val="en-US"/>
        </w:rPr>
        <w:t>/N</w:t>
      </w:r>
      <w:r w:rsidRPr="00821EF4">
        <w:rPr>
          <w:rFonts w:ascii="Cambria Math" w:hAnsi="Cambria Math" w:cs="Cambria Math"/>
          <w:i w:val="0"/>
          <w:lang w:val="en-US"/>
        </w:rPr>
        <w:t>₂</w:t>
      </w:r>
      <w:r w:rsidRPr="00821EF4">
        <w:rPr>
          <w:i w:val="0"/>
          <w:lang w:val="en-US"/>
        </w:rPr>
        <w:t>) is far greater than the separation factor Sf*(CO</w:t>
      </w:r>
      <w:r w:rsidRPr="00821EF4">
        <w:rPr>
          <w:rFonts w:ascii="Cambria Math" w:hAnsi="Cambria Math" w:cs="Cambria Math"/>
          <w:i w:val="0"/>
          <w:lang w:val="en-US"/>
        </w:rPr>
        <w:t>₂</w:t>
      </w:r>
      <w:r w:rsidRPr="00821EF4">
        <w:rPr>
          <w:i w:val="0"/>
          <w:lang w:val="en-US"/>
        </w:rPr>
        <w:t>/O</w:t>
      </w:r>
      <w:r w:rsidRPr="00821EF4">
        <w:rPr>
          <w:rFonts w:ascii="Cambria Math" w:hAnsi="Cambria Math" w:cs="Cambria Math"/>
          <w:i w:val="0"/>
          <w:lang w:val="en-US"/>
        </w:rPr>
        <w:t>₂</w:t>
      </w:r>
      <w:r w:rsidRPr="00821EF4">
        <w:rPr>
          <w:i w:val="0"/>
          <w:lang w:val="en-US"/>
        </w:rPr>
        <w:t>) across all CO</w:t>
      </w:r>
      <w:r w:rsidRPr="00821EF4">
        <w:rPr>
          <w:rFonts w:ascii="Cambria Math" w:hAnsi="Cambria Math" w:cs="Cambria Math"/>
          <w:i w:val="0"/>
          <w:lang w:val="en-US"/>
        </w:rPr>
        <w:t>₂</w:t>
      </w:r>
      <w:r w:rsidRPr="00821EF4">
        <w:rPr>
          <w:i w:val="0"/>
          <w:lang w:val="en-US"/>
        </w:rPr>
        <w:t xml:space="preserve"> concentrations, emphasizing the membrane's superior ability to separate CO</w:t>
      </w:r>
      <w:r w:rsidRPr="00821EF4">
        <w:rPr>
          <w:rFonts w:ascii="Cambria Math" w:hAnsi="Cambria Math" w:cs="Cambria Math"/>
          <w:i w:val="0"/>
          <w:lang w:val="en-US"/>
        </w:rPr>
        <w:t>₂</w:t>
      </w:r>
      <w:r w:rsidRPr="00821EF4">
        <w:rPr>
          <w:i w:val="0"/>
          <w:lang w:val="en-US"/>
        </w:rPr>
        <w:t xml:space="preserve"> from N</w:t>
      </w:r>
      <w:r w:rsidRPr="00821EF4">
        <w:rPr>
          <w:rFonts w:ascii="Cambria Math" w:hAnsi="Cambria Math" w:cs="Cambria Math"/>
          <w:i w:val="0"/>
          <w:lang w:val="en-US"/>
        </w:rPr>
        <w:t>₂</w:t>
      </w:r>
      <w:r w:rsidRPr="00821EF4">
        <w:rPr>
          <w:i w:val="0"/>
          <w:lang w:val="en-US"/>
        </w:rPr>
        <w:t xml:space="preserve"> due to the substantial difference in their diffusivities. This affirms the efficacy of the membrane module used in this study for the separation of CO</w:t>
      </w:r>
      <w:r w:rsidRPr="00821EF4">
        <w:rPr>
          <w:i w:val="0"/>
          <w:vertAlign w:val="subscript"/>
          <w:lang w:val="en-US"/>
        </w:rPr>
        <w:t>2</w:t>
      </w:r>
      <w:r w:rsidRPr="00821EF4">
        <w:rPr>
          <w:i w:val="0"/>
          <w:lang w:val="en-US"/>
        </w:rPr>
        <w:t xml:space="preserve"> and N</w:t>
      </w:r>
      <w:r w:rsidRPr="00821EF4">
        <w:rPr>
          <w:i w:val="0"/>
          <w:vertAlign w:val="subscript"/>
          <w:lang w:val="en-US"/>
        </w:rPr>
        <w:t>2</w:t>
      </w:r>
      <w:r w:rsidRPr="00821EF4">
        <w:rPr>
          <w:i w:val="0"/>
          <w:lang w:val="en-US"/>
        </w:rPr>
        <w:t xml:space="preserve"> Mixtures. A further perusal through Figure 5a also revealed maximum separation factor Sf*(CO</w:t>
      </w:r>
      <w:r w:rsidRPr="00821EF4">
        <w:rPr>
          <w:rFonts w:ascii="Cambria Math" w:hAnsi="Cambria Math" w:cs="Cambria Math"/>
          <w:i w:val="0"/>
          <w:lang w:val="en-US"/>
        </w:rPr>
        <w:t>₂</w:t>
      </w:r>
      <w:r w:rsidRPr="00821EF4">
        <w:rPr>
          <w:i w:val="0"/>
          <w:lang w:val="en-US"/>
        </w:rPr>
        <w:t>/N</w:t>
      </w:r>
      <w:r w:rsidRPr="00821EF4">
        <w:rPr>
          <w:rFonts w:ascii="Cambria Math" w:hAnsi="Cambria Math" w:cs="Cambria Math"/>
          <w:i w:val="0"/>
          <w:lang w:val="en-US"/>
        </w:rPr>
        <w:t>₂</w:t>
      </w:r>
      <w:r w:rsidRPr="00821EF4">
        <w:rPr>
          <w:i w:val="0"/>
          <w:lang w:val="en-US"/>
        </w:rPr>
        <w:t>) of 3.3 was recorded at 25 %</w:t>
      </w:r>
      <w:r>
        <w:rPr>
          <w:i w:val="0"/>
          <w:lang w:val="en-US"/>
        </w:rPr>
        <w:t>vol</w:t>
      </w:r>
      <w:r w:rsidRPr="00821EF4">
        <w:rPr>
          <w:i w:val="0"/>
          <w:lang w:val="en-US"/>
        </w:rPr>
        <w:t xml:space="preserve"> feed CO</w:t>
      </w:r>
      <w:r w:rsidRPr="00821EF4">
        <w:rPr>
          <w:i w:val="0"/>
          <w:vertAlign w:val="subscript"/>
          <w:lang w:val="en-US"/>
        </w:rPr>
        <w:t>2</w:t>
      </w:r>
      <w:r w:rsidRPr="00821EF4">
        <w:rPr>
          <w:i w:val="0"/>
          <w:lang w:val="en-US"/>
        </w:rPr>
        <w:t xml:space="preserve"> concentration; further increase in CO</w:t>
      </w:r>
      <w:r w:rsidRPr="00737010">
        <w:rPr>
          <w:i w:val="0"/>
          <w:vertAlign w:val="subscript"/>
          <w:lang w:val="en-US"/>
        </w:rPr>
        <w:t>2</w:t>
      </w:r>
      <w:r w:rsidRPr="00821EF4">
        <w:rPr>
          <w:i w:val="0"/>
          <w:lang w:val="en-US"/>
        </w:rPr>
        <w:t xml:space="preserve"> concentrations results in a decrease in the separation factors. Figure 5b easily portrayed that the increase in CO</w:t>
      </w:r>
      <w:r w:rsidRPr="00821EF4">
        <w:rPr>
          <w:i w:val="0"/>
          <w:vertAlign w:val="subscript"/>
          <w:lang w:val="en-US"/>
        </w:rPr>
        <w:t>2</w:t>
      </w:r>
      <w:r w:rsidRPr="00821EF4">
        <w:rPr>
          <w:i w:val="0"/>
          <w:lang w:val="en-US"/>
        </w:rPr>
        <w:t xml:space="preserve"> separation factors CO</w:t>
      </w:r>
      <w:r w:rsidRPr="00821EF4">
        <w:rPr>
          <w:i w:val="0"/>
          <w:vertAlign w:val="subscript"/>
          <w:lang w:val="en-US"/>
        </w:rPr>
        <w:t>2</w:t>
      </w:r>
      <w:r w:rsidRPr="00821EF4">
        <w:rPr>
          <w:i w:val="0"/>
          <w:lang w:val="en-US"/>
        </w:rPr>
        <w:t xml:space="preserve"> with permeability was short-lived as maximum separation factor Sf*(CO</w:t>
      </w:r>
      <w:r w:rsidRPr="00821EF4">
        <w:rPr>
          <w:rFonts w:ascii="Cambria Math" w:hAnsi="Cambria Math" w:cs="Cambria Math"/>
          <w:i w:val="0"/>
          <w:lang w:val="en-US"/>
        </w:rPr>
        <w:t>₂</w:t>
      </w:r>
      <w:r w:rsidRPr="00821EF4">
        <w:rPr>
          <w:i w:val="0"/>
          <w:lang w:val="en-US"/>
        </w:rPr>
        <w:t>/N</w:t>
      </w:r>
      <w:r w:rsidRPr="00821EF4">
        <w:rPr>
          <w:rFonts w:ascii="Cambria Math" w:hAnsi="Cambria Math" w:cs="Cambria Math"/>
          <w:i w:val="0"/>
          <w:lang w:val="en-US"/>
        </w:rPr>
        <w:t>₂</w:t>
      </w:r>
      <w:r w:rsidRPr="00821EF4">
        <w:rPr>
          <w:i w:val="0"/>
          <w:lang w:val="en-US"/>
        </w:rPr>
        <w:t>) was obtained at CO</w:t>
      </w:r>
      <w:r w:rsidRPr="00821EF4">
        <w:rPr>
          <w:i w:val="0"/>
          <w:vertAlign w:val="subscript"/>
          <w:lang w:val="en-US"/>
        </w:rPr>
        <w:t>2</w:t>
      </w:r>
      <w:r>
        <w:rPr>
          <w:i w:val="0"/>
          <w:lang w:val="en-US"/>
        </w:rPr>
        <w:t xml:space="preserve"> permeability of </w:t>
      </w:r>
      <w:r w:rsidRPr="00821EF4">
        <w:rPr>
          <w:i w:val="0"/>
          <w:lang w:val="en-US"/>
        </w:rPr>
        <w:t>363 barrer, after which a downtrend sets in. This agrees with our earlier assumption that very high CO</w:t>
      </w:r>
      <w:r w:rsidRPr="00821EF4">
        <w:rPr>
          <w:i w:val="0"/>
          <w:vertAlign w:val="subscript"/>
          <w:lang w:val="en-US"/>
        </w:rPr>
        <w:t>2</w:t>
      </w:r>
      <w:r w:rsidRPr="00821EF4">
        <w:rPr>
          <w:i w:val="0"/>
          <w:lang w:val="en-US"/>
        </w:rPr>
        <w:t xml:space="preserve"> concentrations in the feed gas may be detrimental to CO</w:t>
      </w:r>
      <w:r w:rsidRPr="00821EF4">
        <w:rPr>
          <w:i w:val="0"/>
          <w:vertAlign w:val="subscript"/>
          <w:lang w:val="en-US"/>
        </w:rPr>
        <w:t>2</w:t>
      </w:r>
      <w:r w:rsidRPr="00821EF4">
        <w:rPr>
          <w:i w:val="0"/>
          <w:lang w:val="en-US"/>
        </w:rPr>
        <w:t xml:space="preserve"> selectivity and separation factor. This pattern aligns with the understanding that membranes with high permeability often exhibit reduced selectivity, a trend supported by Jong Hak</w:t>
      </w:r>
      <w:r w:rsidR="00204E29">
        <w:rPr>
          <w:i w:val="0"/>
          <w:lang w:val="en-US"/>
        </w:rPr>
        <w:t xml:space="preserve"> Kim (2022). Kratky et al. (2021</w:t>
      </w:r>
      <w:r w:rsidRPr="00821EF4">
        <w:rPr>
          <w:i w:val="0"/>
          <w:lang w:val="en-US"/>
        </w:rPr>
        <w:t>) observed that the separation factor decreases as CO</w:t>
      </w:r>
      <w:r w:rsidRPr="00821EF4">
        <w:rPr>
          <w:i w:val="0"/>
          <w:vertAlign w:val="subscript"/>
          <w:lang w:val="en-US"/>
        </w:rPr>
        <w:t>2</w:t>
      </w:r>
      <w:r w:rsidRPr="00821EF4">
        <w:rPr>
          <w:i w:val="0"/>
          <w:lang w:val="en-US"/>
        </w:rPr>
        <w:t xml:space="preserve"> permeability and feed flux increases. </w:t>
      </w:r>
    </w:p>
    <w:p w14:paraId="638160E3" w14:textId="02BC30CF" w:rsidR="00EF1DA8" w:rsidRPr="00B57B36" w:rsidRDefault="00EF1DA8" w:rsidP="00EF1DA8">
      <w:pPr>
        <w:pStyle w:val="CETTabletitle"/>
      </w:pPr>
      <w:r>
        <w:t>Table 3</w:t>
      </w:r>
      <w:r w:rsidRPr="00B57B36">
        <w:t xml:space="preserve">: </w:t>
      </w:r>
      <w:r w:rsidRPr="00900C7F">
        <w:t xml:space="preserve">The </w:t>
      </w:r>
      <w:r>
        <w:t xml:space="preserve">overview of the mass transfer properties of </w:t>
      </w:r>
      <w:r w:rsidR="00226847" w:rsidRPr="00446A05">
        <w:rPr>
          <w:rFonts w:cs="Arial"/>
          <w:color w:val="000000"/>
          <w:szCs w:val="18"/>
        </w:rPr>
        <w:t>CO</w:t>
      </w:r>
      <w:r w:rsidR="00226847" w:rsidRPr="00446A05">
        <w:rPr>
          <w:rFonts w:ascii="Cambria Math" w:hAnsi="Cambria Math" w:cs="Cambria Math"/>
          <w:color w:val="000000"/>
          <w:szCs w:val="18"/>
        </w:rPr>
        <w:t>₂</w:t>
      </w:r>
      <w:r w:rsidR="00226847">
        <w:rPr>
          <w:rFonts w:ascii="Cambria Math" w:hAnsi="Cambria Math" w:cs="Cambria Math"/>
          <w:color w:val="000000"/>
          <w:szCs w:val="18"/>
        </w:rPr>
        <w:t xml:space="preserve"> </w:t>
      </w:r>
      <w:r>
        <w:t xml:space="preserve">in the </w:t>
      </w:r>
      <w:r w:rsidRPr="00900C7F">
        <w:t xml:space="preserve">model </w:t>
      </w:r>
      <w:r>
        <w:t>gas mixtures used</w:t>
      </w:r>
    </w:p>
    <w:tbl>
      <w:tblPr>
        <w:tblW w:w="861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14"/>
        <w:gridCol w:w="1226"/>
        <w:gridCol w:w="1034"/>
        <w:gridCol w:w="1034"/>
        <w:gridCol w:w="1034"/>
        <w:gridCol w:w="1034"/>
        <w:gridCol w:w="1268"/>
        <w:gridCol w:w="968"/>
      </w:tblGrid>
      <w:tr w:rsidR="00446A05" w:rsidRPr="00226847" w14:paraId="1ADD0A32" w14:textId="77777777" w:rsidTr="00446A05">
        <w:trPr>
          <w:trHeight w:val="173"/>
        </w:trPr>
        <w:tc>
          <w:tcPr>
            <w:tcW w:w="1014" w:type="dxa"/>
            <w:tcBorders>
              <w:top w:val="single" w:sz="12" w:space="0" w:color="008000"/>
              <w:bottom w:val="single" w:sz="6" w:space="0" w:color="008000"/>
            </w:tcBorders>
            <w:shd w:val="clear" w:color="auto" w:fill="FFFFFF"/>
            <w:vAlign w:val="bottom"/>
          </w:tcPr>
          <w:p w14:paraId="673BE723" w14:textId="2D7E78ED" w:rsidR="00446A05" w:rsidRPr="00226847" w:rsidRDefault="00446A05" w:rsidP="001B79C3">
            <w:pPr>
              <w:pStyle w:val="CETBodytext"/>
              <w:spacing w:line="240" w:lineRule="auto"/>
              <w:rPr>
                <w:rFonts w:cs="Arial"/>
                <w:szCs w:val="18"/>
                <w:lang w:val="en-GB"/>
              </w:rPr>
            </w:pPr>
            <w:r w:rsidRPr="00226847">
              <w:rPr>
                <w:rFonts w:cs="Arial"/>
                <w:color w:val="000000"/>
                <w:szCs w:val="18"/>
              </w:rPr>
              <w:t>cCO</w:t>
            </w:r>
            <w:r w:rsidRPr="00226847">
              <w:rPr>
                <w:rFonts w:ascii="Cambria Math" w:hAnsi="Cambria Math" w:cs="Cambria Math"/>
                <w:color w:val="000000"/>
                <w:szCs w:val="18"/>
              </w:rPr>
              <w:t>₂</w:t>
            </w:r>
            <w:r w:rsidRPr="00226847">
              <w:rPr>
                <w:rFonts w:cs="Arial"/>
                <w:color w:val="000000"/>
                <w:szCs w:val="18"/>
              </w:rPr>
              <w:t>F</w:t>
            </w:r>
          </w:p>
        </w:tc>
        <w:tc>
          <w:tcPr>
            <w:tcW w:w="1226" w:type="dxa"/>
            <w:tcBorders>
              <w:top w:val="single" w:sz="12" w:space="0" w:color="008000"/>
              <w:bottom w:val="single" w:sz="6" w:space="0" w:color="008000"/>
            </w:tcBorders>
            <w:shd w:val="clear" w:color="auto" w:fill="FFFFFF"/>
            <w:vAlign w:val="bottom"/>
          </w:tcPr>
          <w:p w14:paraId="001F14B7" w14:textId="5DF24B07" w:rsidR="00446A05" w:rsidRPr="00226847" w:rsidRDefault="00984629" w:rsidP="001B79C3">
            <w:pPr>
              <w:pStyle w:val="CETBodytext"/>
              <w:spacing w:line="240" w:lineRule="auto"/>
              <w:rPr>
                <w:rFonts w:cs="Arial"/>
                <w:szCs w:val="18"/>
                <w:lang w:val="en-GB"/>
              </w:rPr>
            </w:pP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color w:val="000000"/>
                      <w:szCs w:val="18"/>
                    </w:rPr>
                    <m:t>CO₂</m:t>
                  </m:r>
                </m:sub>
              </m:sSub>
            </m:oMath>
            <w:r w:rsidR="00446A05" w:rsidRPr="00226847">
              <w:rPr>
                <w:rFonts w:cs="Arial"/>
                <w:color w:val="000000"/>
                <w:szCs w:val="18"/>
              </w:rPr>
              <w:t xml:space="preserve"> (GPU)</w:t>
            </w:r>
          </w:p>
        </w:tc>
        <w:tc>
          <w:tcPr>
            <w:tcW w:w="1034" w:type="dxa"/>
            <w:tcBorders>
              <w:top w:val="single" w:sz="12" w:space="0" w:color="008000"/>
              <w:bottom w:val="single" w:sz="6" w:space="0" w:color="008000"/>
            </w:tcBorders>
            <w:shd w:val="clear" w:color="auto" w:fill="FFFFFF"/>
            <w:vAlign w:val="bottom"/>
          </w:tcPr>
          <w:p w14:paraId="0A0B63D9" w14:textId="6445A366" w:rsidR="00446A05" w:rsidRPr="00226847" w:rsidRDefault="00446A05" w:rsidP="001B79C3">
            <w:pPr>
              <w:pStyle w:val="CETBodytext"/>
              <w:spacing w:line="240" w:lineRule="auto"/>
              <w:rPr>
                <w:rFonts w:cs="Arial"/>
                <w:color w:val="000000"/>
                <w:szCs w:val="18"/>
              </w:rPr>
            </w:pPr>
            <w:r w:rsidRPr="00226847">
              <w:rPr>
                <w:rFonts w:cs="Arial"/>
                <w:color w:val="000000"/>
                <w:szCs w:val="18"/>
              </w:rPr>
              <w:t>% R</w:t>
            </w:r>
          </w:p>
        </w:tc>
        <w:tc>
          <w:tcPr>
            <w:tcW w:w="1034" w:type="dxa"/>
            <w:tcBorders>
              <w:top w:val="single" w:sz="12" w:space="0" w:color="008000"/>
              <w:bottom w:val="single" w:sz="6" w:space="0" w:color="008000"/>
            </w:tcBorders>
            <w:shd w:val="clear" w:color="auto" w:fill="FFFFFF"/>
            <w:vAlign w:val="bottom"/>
          </w:tcPr>
          <w:p w14:paraId="74857192" w14:textId="349561C8" w:rsidR="00446A05" w:rsidRPr="00226847" w:rsidRDefault="00446A05" w:rsidP="001B79C3">
            <w:pPr>
              <w:pStyle w:val="CETBodytext"/>
              <w:spacing w:line="240" w:lineRule="auto"/>
              <w:rPr>
                <w:rFonts w:cs="Arial"/>
                <w:color w:val="000000"/>
                <w:szCs w:val="18"/>
              </w:rPr>
            </w:pPr>
            <w:r w:rsidRPr="00226847">
              <w:rPr>
                <w:rFonts w:cs="Arial"/>
                <w:color w:val="000000"/>
                <w:szCs w:val="18"/>
              </w:rPr>
              <w:t>% Rc</w:t>
            </w:r>
          </w:p>
        </w:tc>
        <w:tc>
          <w:tcPr>
            <w:tcW w:w="1034" w:type="dxa"/>
            <w:tcBorders>
              <w:top w:val="single" w:sz="12" w:space="0" w:color="008000"/>
              <w:bottom w:val="single" w:sz="6" w:space="0" w:color="008000"/>
            </w:tcBorders>
            <w:shd w:val="clear" w:color="auto" w:fill="FFFFFF"/>
            <w:vAlign w:val="bottom"/>
          </w:tcPr>
          <w:p w14:paraId="5C269483" w14:textId="5FF92821" w:rsidR="00446A05" w:rsidRPr="00226847" w:rsidRDefault="00446A05" w:rsidP="001B79C3">
            <w:pPr>
              <w:pStyle w:val="CETBodytext"/>
              <w:spacing w:line="240" w:lineRule="auto"/>
              <w:rPr>
                <w:rFonts w:cs="Arial"/>
                <w:szCs w:val="18"/>
              </w:rPr>
            </w:pPr>
            <w:r w:rsidRPr="00226847">
              <w:rPr>
                <w:rFonts w:cs="Arial"/>
                <w:color w:val="000000"/>
                <w:szCs w:val="18"/>
              </w:rPr>
              <w:t>θ(CO</w:t>
            </w:r>
            <w:r w:rsidRPr="00226847">
              <w:rPr>
                <w:rFonts w:ascii="Cambria Math" w:hAnsi="Cambria Math" w:cs="Cambria Math"/>
                <w:color w:val="000000"/>
                <w:szCs w:val="18"/>
              </w:rPr>
              <w:t>₂</w:t>
            </w:r>
            <w:r w:rsidRPr="00226847">
              <w:rPr>
                <w:rFonts w:cs="Arial"/>
                <w:color w:val="000000"/>
                <w:szCs w:val="18"/>
              </w:rPr>
              <w:t>)</w:t>
            </w:r>
          </w:p>
        </w:tc>
        <w:tc>
          <w:tcPr>
            <w:tcW w:w="1034" w:type="dxa"/>
            <w:tcBorders>
              <w:top w:val="single" w:sz="12" w:space="0" w:color="008000"/>
              <w:bottom w:val="single" w:sz="6" w:space="0" w:color="008000"/>
            </w:tcBorders>
            <w:shd w:val="clear" w:color="auto" w:fill="FFFFFF"/>
            <w:vAlign w:val="bottom"/>
          </w:tcPr>
          <w:p w14:paraId="43371598" w14:textId="758CBB55" w:rsidR="00446A05" w:rsidRPr="00226847" w:rsidRDefault="00446A05" w:rsidP="001B79C3">
            <w:pPr>
              <w:pStyle w:val="CETBodytext"/>
              <w:spacing w:line="240" w:lineRule="auto"/>
              <w:rPr>
                <w:rFonts w:cs="Arial"/>
                <w:szCs w:val="18"/>
                <w:lang w:val="en-GB"/>
              </w:rPr>
            </w:pPr>
            <w:r w:rsidRPr="00226847">
              <w:rPr>
                <w:rFonts w:cs="Arial"/>
                <w:color w:val="000000"/>
                <w:szCs w:val="18"/>
              </w:rPr>
              <w:t>α(CO</w:t>
            </w:r>
            <w:r w:rsidRPr="00226847">
              <w:rPr>
                <w:rFonts w:ascii="Cambria Math" w:hAnsi="Cambria Math" w:cs="Cambria Math"/>
                <w:color w:val="000000"/>
                <w:szCs w:val="18"/>
              </w:rPr>
              <w:t>₂</w:t>
            </w:r>
            <w:r w:rsidRPr="00226847">
              <w:rPr>
                <w:rFonts w:cs="Arial"/>
                <w:color w:val="000000"/>
                <w:szCs w:val="18"/>
              </w:rPr>
              <w:t>/N</w:t>
            </w:r>
            <w:r w:rsidRPr="00226847">
              <w:rPr>
                <w:rFonts w:ascii="Cambria Math" w:hAnsi="Cambria Math" w:cs="Cambria Math"/>
                <w:color w:val="000000"/>
                <w:szCs w:val="18"/>
              </w:rPr>
              <w:t>₂</w:t>
            </w:r>
            <w:r w:rsidRPr="00226847">
              <w:rPr>
                <w:rFonts w:cs="Arial"/>
                <w:color w:val="000000"/>
                <w:szCs w:val="18"/>
              </w:rPr>
              <w:t>)</w:t>
            </w:r>
          </w:p>
        </w:tc>
        <w:tc>
          <w:tcPr>
            <w:tcW w:w="1268" w:type="dxa"/>
            <w:tcBorders>
              <w:top w:val="single" w:sz="12" w:space="0" w:color="008000"/>
              <w:bottom w:val="single" w:sz="6" w:space="0" w:color="008000"/>
            </w:tcBorders>
            <w:shd w:val="clear" w:color="auto" w:fill="FFFFFF"/>
            <w:vAlign w:val="bottom"/>
          </w:tcPr>
          <w:p w14:paraId="67C8EB18" w14:textId="2E341005" w:rsidR="00446A05" w:rsidRPr="00226847" w:rsidRDefault="00446A05" w:rsidP="001B79C3">
            <w:pPr>
              <w:pStyle w:val="CETBodytext"/>
              <w:spacing w:line="240" w:lineRule="auto"/>
              <w:rPr>
                <w:rFonts w:cs="Arial"/>
                <w:color w:val="000000"/>
                <w:szCs w:val="18"/>
              </w:rPr>
            </w:pPr>
            <w:r w:rsidRPr="00226847">
              <w:rPr>
                <w:rFonts w:cs="Arial"/>
                <w:color w:val="000000"/>
                <w:szCs w:val="18"/>
              </w:rPr>
              <w:t>Sf*(CO</w:t>
            </w:r>
            <w:r w:rsidRPr="00226847">
              <w:rPr>
                <w:rFonts w:ascii="Cambria Math" w:hAnsi="Cambria Math" w:cs="Cambria Math"/>
                <w:color w:val="000000"/>
                <w:szCs w:val="18"/>
              </w:rPr>
              <w:t>₂</w:t>
            </w:r>
            <w:r w:rsidRPr="00226847">
              <w:rPr>
                <w:rFonts w:cs="Arial"/>
                <w:color w:val="000000"/>
                <w:szCs w:val="18"/>
              </w:rPr>
              <w:t>/N</w:t>
            </w:r>
            <w:r w:rsidRPr="00226847">
              <w:rPr>
                <w:rFonts w:ascii="Cambria Math" w:hAnsi="Cambria Math" w:cs="Cambria Math"/>
                <w:color w:val="000000"/>
                <w:szCs w:val="18"/>
              </w:rPr>
              <w:t>₂</w:t>
            </w:r>
            <w:r w:rsidRPr="00226847">
              <w:rPr>
                <w:rFonts w:cs="Arial"/>
                <w:color w:val="000000"/>
                <w:szCs w:val="18"/>
              </w:rPr>
              <w:t>)</w:t>
            </w:r>
          </w:p>
        </w:tc>
        <w:tc>
          <w:tcPr>
            <w:tcW w:w="968" w:type="dxa"/>
            <w:tcBorders>
              <w:top w:val="single" w:sz="12" w:space="0" w:color="008000"/>
              <w:bottom w:val="single" w:sz="6" w:space="0" w:color="008000"/>
            </w:tcBorders>
            <w:shd w:val="clear" w:color="auto" w:fill="FFFFFF"/>
            <w:vAlign w:val="bottom"/>
          </w:tcPr>
          <w:p w14:paraId="436A72A4" w14:textId="30DA062E" w:rsidR="00446A05" w:rsidRPr="00226847" w:rsidRDefault="00446A05" w:rsidP="008A55D5">
            <w:pPr>
              <w:pStyle w:val="CETBodytext"/>
              <w:spacing w:line="240" w:lineRule="auto"/>
              <w:rPr>
                <w:rFonts w:cs="Arial"/>
                <w:szCs w:val="18"/>
              </w:rPr>
            </w:pPr>
            <w:r w:rsidRPr="00226847">
              <w:rPr>
                <w:rFonts w:cs="Arial"/>
                <w:color w:val="000000"/>
                <w:szCs w:val="18"/>
              </w:rPr>
              <w:t>Sf*(CO</w:t>
            </w:r>
            <w:r w:rsidRPr="00226847">
              <w:rPr>
                <w:rFonts w:ascii="Cambria Math" w:hAnsi="Cambria Math" w:cs="Cambria Math"/>
                <w:color w:val="000000"/>
                <w:szCs w:val="18"/>
              </w:rPr>
              <w:t>₂</w:t>
            </w:r>
            <w:r w:rsidRPr="00226847">
              <w:rPr>
                <w:rFonts w:cs="Arial"/>
                <w:color w:val="000000"/>
                <w:szCs w:val="18"/>
              </w:rPr>
              <w:t>/O</w:t>
            </w:r>
            <w:r w:rsidRPr="00226847">
              <w:rPr>
                <w:rFonts w:ascii="Cambria Math" w:hAnsi="Cambria Math" w:cs="Cambria Math"/>
                <w:color w:val="000000"/>
                <w:szCs w:val="18"/>
              </w:rPr>
              <w:t>₂</w:t>
            </w:r>
            <w:r w:rsidRPr="00226847">
              <w:rPr>
                <w:rFonts w:cs="Arial"/>
                <w:color w:val="000000"/>
                <w:szCs w:val="18"/>
              </w:rPr>
              <w:t>)</w:t>
            </w:r>
          </w:p>
        </w:tc>
      </w:tr>
      <w:tr w:rsidR="00446A05" w:rsidRPr="00226847" w14:paraId="32B58E8B" w14:textId="77777777" w:rsidTr="00446A05">
        <w:trPr>
          <w:trHeight w:val="173"/>
        </w:trPr>
        <w:tc>
          <w:tcPr>
            <w:tcW w:w="1014" w:type="dxa"/>
            <w:shd w:val="clear" w:color="auto" w:fill="FFFFFF"/>
            <w:vAlign w:val="bottom"/>
          </w:tcPr>
          <w:p w14:paraId="2CDCE64C" w14:textId="0CC0F207" w:rsidR="00446A05" w:rsidRPr="00226847" w:rsidRDefault="00446A05" w:rsidP="001B79C3">
            <w:pPr>
              <w:pStyle w:val="CETBodytext"/>
              <w:spacing w:line="240" w:lineRule="auto"/>
              <w:rPr>
                <w:rFonts w:cs="Arial"/>
                <w:szCs w:val="18"/>
                <w:lang w:val="en-GB"/>
              </w:rPr>
            </w:pPr>
            <w:r w:rsidRPr="00226847">
              <w:rPr>
                <w:rFonts w:cs="Arial"/>
                <w:color w:val="000000"/>
                <w:szCs w:val="18"/>
              </w:rPr>
              <w:t>5%</w:t>
            </w:r>
          </w:p>
        </w:tc>
        <w:tc>
          <w:tcPr>
            <w:tcW w:w="1226" w:type="dxa"/>
            <w:shd w:val="clear" w:color="auto" w:fill="FFFFFF"/>
            <w:vAlign w:val="bottom"/>
          </w:tcPr>
          <w:p w14:paraId="317BCC0D" w14:textId="435EBA9E" w:rsidR="00446A05" w:rsidRPr="00226847" w:rsidRDefault="00446A05" w:rsidP="001B79C3">
            <w:pPr>
              <w:pStyle w:val="CETBodytext"/>
              <w:spacing w:line="240" w:lineRule="auto"/>
              <w:rPr>
                <w:rFonts w:cs="Arial"/>
                <w:szCs w:val="18"/>
                <w:lang w:val="en-GB"/>
              </w:rPr>
            </w:pPr>
            <w:r w:rsidRPr="00226847">
              <w:rPr>
                <w:rFonts w:cs="Arial"/>
                <w:color w:val="000000"/>
                <w:szCs w:val="18"/>
              </w:rPr>
              <w:t>5.01</w:t>
            </w:r>
          </w:p>
        </w:tc>
        <w:tc>
          <w:tcPr>
            <w:tcW w:w="1034" w:type="dxa"/>
            <w:shd w:val="clear" w:color="auto" w:fill="FFFFFF"/>
            <w:vAlign w:val="bottom"/>
          </w:tcPr>
          <w:p w14:paraId="5756CCF5" w14:textId="5E9A626F" w:rsidR="00446A05" w:rsidRPr="00226847" w:rsidRDefault="00446A05" w:rsidP="001B79C3">
            <w:pPr>
              <w:pStyle w:val="CETBodytext"/>
              <w:spacing w:line="240" w:lineRule="auto"/>
              <w:rPr>
                <w:rFonts w:cs="Arial"/>
                <w:color w:val="000000"/>
                <w:szCs w:val="18"/>
              </w:rPr>
            </w:pPr>
            <w:r w:rsidRPr="00226847">
              <w:rPr>
                <w:rFonts w:cs="Arial"/>
                <w:color w:val="000000"/>
                <w:szCs w:val="18"/>
              </w:rPr>
              <w:t>61%</w:t>
            </w:r>
          </w:p>
        </w:tc>
        <w:tc>
          <w:tcPr>
            <w:tcW w:w="1034" w:type="dxa"/>
            <w:shd w:val="clear" w:color="auto" w:fill="FFFFFF"/>
            <w:vAlign w:val="bottom"/>
          </w:tcPr>
          <w:p w14:paraId="73C518FE" w14:textId="61D4F63E" w:rsidR="00446A05" w:rsidRPr="00226847" w:rsidRDefault="00446A05" w:rsidP="001B79C3">
            <w:pPr>
              <w:pStyle w:val="CETBodytext"/>
              <w:spacing w:line="240" w:lineRule="auto"/>
              <w:rPr>
                <w:rFonts w:cs="Arial"/>
                <w:color w:val="000000"/>
                <w:szCs w:val="18"/>
              </w:rPr>
            </w:pPr>
            <w:r w:rsidRPr="00226847">
              <w:rPr>
                <w:rFonts w:cs="Arial"/>
                <w:color w:val="000000"/>
                <w:szCs w:val="18"/>
              </w:rPr>
              <w:t>39%</w:t>
            </w:r>
          </w:p>
        </w:tc>
        <w:tc>
          <w:tcPr>
            <w:tcW w:w="1034" w:type="dxa"/>
            <w:shd w:val="clear" w:color="auto" w:fill="FFFFFF"/>
            <w:vAlign w:val="bottom"/>
          </w:tcPr>
          <w:p w14:paraId="0DA283A1" w14:textId="3E62EA58" w:rsidR="00446A05" w:rsidRPr="00226847" w:rsidRDefault="00446A05" w:rsidP="001B79C3">
            <w:pPr>
              <w:pStyle w:val="CETBodytext"/>
              <w:spacing w:line="240" w:lineRule="auto"/>
              <w:rPr>
                <w:rFonts w:cs="Arial"/>
                <w:color w:val="000000"/>
                <w:szCs w:val="18"/>
              </w:rPr>
            </w:pPr>
            <w:r w:rsidRPr="00226847">
              <w:rPr>
                <w:rFonts w:cs="Arial"/>
                <w:color w:val="000000"/>
                <w:szCs w:val="18"/>
              </w:rPr>
              <w:t>0.61</w:t>
            </w:r>
          </w:p>
        </w:tc>
        <w:tc>
          <w:tcPr>
            <w:tcW w:w="1034" w:type="dxa"/>
            <w:shd w:val="clear" w:color="auto" w:fill="FFFFFF"/>
            <w:vAlign w:val="bottom"/>
          </w:tcPr>
          <w:p w14:paraId="1F352FB3" w14:textId="4A764E79" w:rsidR="00446A05" w:rsidRPr="00226847" w:rsidRDefault="00446A05" w:rsidP="001B79C3">
            <w:pPr>
              <w:pStyle w:val="CETBodytext"/>
              <w:spacing w:line="240" w:lineRule="auto"/>
              <w:rPr>
                <w:rFonts w:cs="Arial"/>
                <w:szCs w:val="18"/>
              </w:rPr>
            </w:pPr>
            <w:r w:rsidRPr="00226847">
              <w:rPr>
                <w:rFonts w:cs="Arial"/>
                <w:color w:val="000000"/>
                <w:szCs w:val="18"/>
              </w:rPr>
              <w:t>4.02</w:t>
            </w:r>
          </w:p>
        </w:tc>
        <w:tc>
          <w:tcPr>
            <w:tcW w:w="1268" w:type="dxa"/>
            <w:shd w:val="clear" w:color="auto" w:fill="FFFFFF"/>
            <w:vAlign w:val="bottom"/>
          </w:tcPr>
          <w:p w14:paraId="08FF2459" w14:textId="7577C2EE" w:rsidR="00446A05" w:rsidRPr="00226847" w:rsidRDefault="00446A05" w:rsidP="008A55D5">
            <w:pPr>
              <w:pStyle w:val="CETBodytextItalic"/>
              <w:rPr>
                <w:rFonts w:cs="Arial"/>
                <w:i w:val="0"/>
                <w:szCs w:val="18"/>
              </w:rPr>
            </w:pPr>
            <w:r w:rsidRPr="00226847">
              <w:rPr>
                <w:rFonts w:cs="Arial"/>
                <w:i w:val="0"/>
                <w:szCs w:val="18"/>
              </w:rPr>
              <w:t>2.97</w:t>
            </w:r>
          </w:p>
        </w:tc>
        <w:tc>
          <w:tcPr>
            <w:tcW w:w="968" w:type="dxa"/>
            <w:shd w:val="clear" w:color="auto" w:fill="FFFFFF"/>
            <w:vAlign w:val="bottom"/>
          </w:tcPr>
          <w:p w14:paraId="754FCB69" w14:textId="143B0E95" w:rsidR="00446A05" w:rsidRPr="00226847" w:rsidRDefault="00446A05" w:rsidP="008A55D5">
            <w:pPr>
              <w:pStyle w:val="CETBodytextItalic"/>
              <w:rPr>
                <w:rFonts w:cs="Arial"/>
                <w:i w:val="0"/>
                <w:color w:val="000000" w:themeColor="dark1"/>
                <w:kern w:val="24"/>
                <w:szCs w:val="18"/>
              </w:rPr>
            </w:pPr>
            <w:r w:rsidRPr="00226847">
              <w:rPr>
                <w:rFonts w:cs="Arial"/>
                <w:i w:val="0"/>
                <w:szCs w:val="18"/>
              </w:rPr>
              <w:t>1.28</w:t>
            </w:r>
          </w:p>
        </w:tc>
      </w:tr>
      <w:tr w:rsidR="00446A05" w:rsidRPr="00226847" w14:paraId="221D9AEE" w14:textId="77777777" w:rsidTr="00446A05">
        <w:trPr>
          <w:trHeight w:val="173"/>
        </w:trPr>
        <w:tc>
          <w:tcPr>
            <w:tcW w:w="1014" w:type="dxa"/>
            <w:shd w:val="clear" w:color="auto" w:fill="FFFFFF"/>
            <w:vAlign w:val="bottom"/>
          </w:tcPr>
          <w:p w14:paraId="7A2A4767" w14:textId="23D3948C" w:rsidR="00446A05" w:rsidRPr="00226847" w:rsidRDefault="00446A05" w:rsidP="001B79C3">
            <w:pPr>
              <w:pStyle w:val="CETBodytext"/>
              <w:spacing w:line="240" w:lineRule="auto"/>
              <w:rPr>
                <w:rFonts w:cs="Arial"/>
                <w:szCs w:val="18"/>
                <w:lang w:val="en-GB"/>
              </w:rPr>
            </w:pPr>
            <w:r w:rsidRPr="00226847">
              <w:rPr>
                <w:rFonts w:cs="Arial"/>
                <w:color w:val="000000"/>
                <w:szCs w:val="18"/>
              </w:rPr>
              <w:t>15%</w:t>
            </w:r>
          </w:p>
        </w:tc>
        <w:tc>
          <w:tcPr>
            <w:tcW w:w="1226" w:type="dxa"/>
            <w:shd w:val="clear" w:color="auto" w:fill="FFFFFF"/>
            <w:vAlign w:val="bottom"/>
          </w:tcPr>
          <w:p w14:paraId="4302439D" w14:textId="7D29C7B2" w:rsidR="00446A05" w:rsidRPr="00226847" w:rsidRDefault="00446A05" w:rsidP="001B79C3">
            <w:pPr>
              <w:pStyle w:val="CETBodytext"/>
              <w:spacing w:line="240" w:lineRule="auto"/>
              <w:rPr>
                <w:rFonts w:cs="Arial"/>
                <w:szCs w:val="18"/>
                <w:lang w:val="en-GB"/>
              </w:rPr>
            </w:pPr>
            <w:r w:rsidRPr="00226847">
              <w:rPr>
                <w:rFonts w:cs="Arial"/>
                <w:color w:val="000000"/>
                <w:szCs w:val="18"/>
              </w:rPr>
              <w:t>5.79</w:t>
            </w:r>
          </w:p>
        </w:tc>
        <w:tc>
          <w:tcPr>
            <w:tcW w:w="1034" w:type="dxa"/>
            <w:shd w:val="clear" w:color="auto" w:fill="FFFFFF"/>
            <w:vAlign w:val="bottom"/>
          </w:tcPr>
          <w:p w14:paraId="36C04491" w14:textId="63BF291E" w:rsidR="00446A05" w:rsidRPr="00226847" w:rsidRDefault="00446A05" w:rsidP="001B79C3">
            <w:pPr>
              <w:pStyle w:val="CETBodytext"/>
              <w:spacing w:line="240" w:lineRule="auto"/>
              <w:rPr>
                <w:rFonts w:cs="Arial"/>
                <w:color w:val="000000"/>
                <w:szCs w:val="18"/>
              </w:rPr>
            </w:pPr>
            <w:r w:rsidRPr="00226847">
              <w:rPr>
                <w:rFonts w:cs="Arial"/>
                <w:color w:val="000000"/>
                <w:szCs w:val="18"/>
              </w:rPr>
              <w:t>74%</w:t>
            </w:r>
          </w:p>
        </w:tc>
        <w:tc>
          <w:tcPr>
            <w:tcW w:w="1034" w:type="dxa"/>
            <w:shd w:val="clear" w:color="auto" w:fill="FFFFFF"/>
            <w:vAlign w:val="bottom"/>
          </w:tcPr>
          <w:p w14:paraId="601C7228" w14:textId="41F79864" w:rsidR="00446A05" w:rsidRPr="00226847" w:rsidRDefault="00446A05" w:rsidP="001B79C3">
            <w:pPr>
              <w:pStyle w:val="CETBodytext"/>
              <w:spacing w:line="240" w:lineRule="auto"/>
              <w:rPr>
                <w:rFonts w:cs="Arial"/>
                <w:color w:val="000000"/>
                <w:szCs w:val="18"/>
              </w:rPr>
            </w:pPr>
            <w:r w:rsidRPr="00226847">
              <w:rPr>
                <w:rFonts w:cs="Arial"/>
                <w:color w:val="000000"/>
                <w:szCs w:val="18"/>
              </w:rPr>
              <w:t>26%</w:t>
            </w:r>
          </w:p>
        </w:tc>
        <w:tc>
          <w:tcPr>
            <w:tcW w:w="1034" w:type="dxa"/>
            <w:shd w:val="clear" w:color="auto" w:fill="FFFFFF"/>
            <w:vAlign w:val="bottom"/>
          </w:tcPr>
          <w:p w14:paraId="5EAF6F4F" w14:textId="6B5CBF1B" w:rsidR="00446A05" w:rsidRPr="00226847" w:rsidRDefault="00446A05" w:rsidP="001B79C3">
            <w:pPr>
              <w:pStyle w:val="CETBodytext"/>
              <w:spacing w:line="240" w:lineRule="auto"/>
              <w:rPr>
                <w:rFonts w:cs="Arial"/>
                <w:color w:val="000000"/>
                <w:szCs w:val="18"/>
              </w:rPr>
            </w:pPr>
            <w:r w:rsidRPr="00226847">
              <w:rPr>
                <w:rFonts w:cs="Arial"/>
                <w:color w:val="000000"/>
                <w:szCs w:val="18"/>
              </w:rPr>
              <w:t>0.74</w:t>
            </w:r>
          </w:p>
        </w:tc>
        <w:tc>
          <w:tcPr>
            <w:tcW w:w="1034" w:type="dxa"/>
            <w:shd w:val="clear" w:color="auto" w:fill="FFFFFF"/>
            <w:vAlign w:val="bottom"/>
          </w:tcPr>
          <w:p w14:paraId="327A755B" w14:textId="589D3286" w:rsidR="00446A05" w:rsidRPr="00226847" w:rsidRDefault="00446A05" w:rsidP="001B79C3">
            <w:pPr>
              <w:pStyle w:val="CETBodytext"/>
              <w:spacing w:line="240" w:lineRule="auto"/>
              <w:rPr>
                <w:rFonts w:cs="Arial"/>
                <w:szCs w:val="18"/>
              </w:rPr>
            </w:pPr>
            <w:r w:rsidRPr="00226847">
              <w:rPr>
                <w:rFonts w:cs="Arial"/>
                <w:color w:val="000000"/>
                <w:szCs w:val="18"/>
              </w:rPr>
              <w:t>4.27</w:t>
            </w:r>
          </w:p>
        </w:tc>
        <w:tc>
          <w:tcPr>
            <w:tcW w:w="1268" w:type="dxa"/>
            <w:shd w:val="clear" w:color="auto" w:fill="FFFFFF"/>
            <w:vAlign w:val="bottom"/>
          </w:tcPr>
          <w:p w14:paraId="1B85185F" w14:textId="192B2302" w:rsidR="00446A05" w:rsidRPr="00226847" w:rsidRDefault="00446A05" w:rsidP="008A55D5">
            <w:pPr>
              <w:pStyle w:val="CETBodytextItalic"/>
              <w:rPr>
                <w:rFonts w:cs="Arial"/>
                <w:i w:val="0"/>
                <w:szCs w:val="18"/>
              </w:rPr>
            </w:pPr>
            <w:r w:rsidRPr="00226847">
              <w:rPr>
                <w:rFonts w:cs="Arial"/>
                <w:i w:val="0"/>
                <w:szCs w:val="18"/>
              </w:rPr>
              <w:t>3.24</w:t>
            </w:r>
          </w:p>
        </w:tc>
        <w:tc>
          <w:tcPr>
            <w:tcW w:w="968" w:type="dxa"/>
            <w:shd w:val="clear" w:color="auto" w:fill="FFFFFF"/>
            <w:vAlign w:val="bottom"/>
          </w:tcPr>
          <w:p w14:paraId="48E8A7FD" w14:textId="15D673D1" w:rsidR="00446A05" w:rsidRPr="00226847" w:rsidRDefault="00446A05" w:rsidP="008A55D5">
            <w:pPr>
              <w:pStyle w:val="CETBodytextItalic"/>
              <w:rPr>
                <w:rFonts w:cs="Arial"/>
                <w:i w:val="0"/>
                <w:color w:val="000000" w:themeColor="dark1"/>
                <w:kern w:val="24"/>
                <w:szCs w:val="18"/>
              </w:rPr>
            </w:pPr>
            <w:r w:rsidRPr="00226847">
              <w:rPr>
                <w:rFonts w:cs="Arial"/>
                <w:i w:val="0"/>
                <w:szCs w:val="18"/>
              </w:rPr>
              <w:t>1.38</w:t>
            </w:r>
          </w:p>
        </w:tc>
      </w:tr>
      <w:tr w:rsidR="00446A05" w:rsidRPr="00226847" w14:paraId="4CCA2F15" w14:textId="77777777" w:rsidTr="00446A05">
        <w:trPr>
          <w:trHeight w:val="173"/>
        </w:trPr>
        <w:tc>
          <w:tcPr>
            <w:tcW w:w="1014" w:type="dxa"/>
            <w:shd w:val="clear" w:color="auto" w:fill="FFFFFF"/>
            <w:vAlign w:val="bottom"/>
          </w:tcPr>
          <w:p w14:paraId="64CD67FD" w14:textId="23F335DD" w:rsidR="00446A05" w:rsidRPr="00226847" w:rsidRDefault="00446A05" w:rsidP="001B79C3">
            <w:pPr>
              <w:pStyle w:val="CETBodytext"/>
              <w:spacing w:line="240" w:lineRule="auto"/>
              <w:rPr>
                <w:rFonts w:cs="Arial"/>
                <w:szCs w:val="18"/>
                <w:lang w:val="en-GB"/>
              </w:rPr>
            </w:pPr>
            <w:r w:rsidRPr="00226847">
              <w:rPr>
                <w:rFonts w:cs="Arial"/>
                <w:color w:val="000000"/>
                <w:szCs w:val="18"/>
              </w:rPr>
              <w:t>25%</w:t>
            </w:r>
          </w:p>
        </w:tc>
        <w:tc>
          <w:tcPr>
            <w:tcW w:w="1226" w:type="dxa"/>
            <w:shd w:val="clear" w:color="auto" w:fill="FFFFFF"/>
            <w:vAlign w:val="bottom"/>
          </w:tcPr>
          <w:p w14:paraId="371B3259" w14:textId="436942D0" w:rsidR="00446A05" w:rsidRPr="00226847" w:rsidRDefault="00446A05" w:rsidP="001B79C3">
            <w:pPr>
              <w:pStyle w:val="CETBodytext"/>
              <w:spacing w:line="240" w:lineRule="auto"/>
              <w:rPr>
                <w:rFonts w:cs="Arial"/>
                <w:szCs w:val="18"/>
                <w:lang w:val="en-GB"/>
              </w:rPr>
            </w:pPr>
            <w:r w:rsidRPr="00226847">
              <w:rPr>
                <w:rFonts w:cs="Arial"/>
                <w:color w:val="000000"/>
                <w:szCs w:val="18"/>
              </w:rPr>
              <w:t>6.05</w:t>
            </w:r>
          </w:p>
        </w:tc>
        <w:tc>
          <w:tcPr>
            <w:tcW w:w="1034" w:type="dxa"/>
            <w:shd w:val="clear" w:color="auto" w:fill="FFFFFF"/>
            <w:vAlign w:val="bottom"/>
          </w:tcPr>
          <w:p w14:paraId="447E39DE" w14:textId="37995A36" w:rsidR="00446A05" w:rsidRPr="00226847" w:rsidRDefault="00446A05" w:rsidP="001B79C3">
            <w:pPr>
              <w:pStyle w:val="CETBodytext"/>
              <w:spacing w:line="240" w:lineRule="auto"/>
              <w:rPr>
                <w:rFonts w:cs="Arial"/>
                <w:color w:val="000000"/>
                <w:szCs w:val="18"/>
              </w:rPr>
            </w:pPr>
            <w:r w:rsidRPr="00226847">
              <w:rPr>
                <w:rFonts w:cs="Arial"/>
                <w:color w:val="000000"/>
                <w:szCs w:val="18"/>
              </w:rPr>
              <w:t>82%</w:t>
            </w:r>
          </w:p>
        </w:tc>
        <w:tc>
          <w:tcPr>
            <w:tcW w:w="1034" w:type="dxa"/>
            <w:shd w:val="clear" w:color="auto" w:fill="FFFFFF"/>
            <w:vAlign w:val="bottom"/>
          </w:tcPr>
          <w:p w14:paraId="43EA2C82" w14:textId="529E156F" w:rsidR="00446A05" w:rsidRPr="00226847" w:rsidRDefault="00446A05" w:rsidP="001B79C3">
            <w:pPr>
              <w:pStyle w:val="CETBodytext"/>
              <w:spacing w:line="240" w:lineRule="auto"/>
              <w:rPr>
                <w:rFonts w:cs="Arial"/>
                <w:color w:val="000000"/>
                <w:szCs w:val="18"/>
              </w:rPr>
            </w:pPr>
            <w:r w:rsidRPr="00226847">
              <w:rPr>
                <w:rFonts w:cs="Arial"/>
                <w:color w:val="000000"/>
                <w:szCs w:val="18"/>
              </w:rPr>
              <w:t>18%</w:t>
            </w:r>
          </w:p>
        </w:tc>
        <w:tc>
          <w:tcPr>
            <w:tcW w:w="1034" w:type="dxa"/>
            <w:shd w:val="clear" w:color="auto" w:fill="FFFFFF"/>
            <w:vAlign w:val="bottom"/>
          </w:tcPr>
          <w:p w14:paraId="4EDE6948" w14:textId="3E545268" w:rsidR="00446A05" w:rsidRPr="00226847" w:rsidRDefault="00446A05" w:rsidP="001B79C3">
            <w:pPr>
              <w:pStyle w:val="CETBodytext"/>
              <w:spacing w:line="240" w:lineRule="auto"/>
              <w:rPr>
                <w:rFonts w:cs="Arial"/>
                <w:color w:val="000000"/>
                <w:szCs w:val="18"/>
              </w:rPr>
            </w:pPr>
            <w:r w:rsidRPr="00226847">
              <w:rPr>
                <w:rFonts w:cs="Arial"/>
                <w:color w:val="000000"/>
                <w:szCs w:val="18"/>
              </w:rPr>
              <w:t>0.82</w:t>
            </w:r>
          </w:p>
        </w:tc>
        <w:tc>
          <w:tcPr>
            <w:tcW w:w="1034" w:type="dxa"/>
            <w:shd w:val="clear" w:color="auto" w:fill="FFFFFF"/>
            <w:vAlign w:val="bottom"/>
          </w:tcPr>
          <w:p w14:paraId="067EC158" w14:textId="3C438BC9" w:rsidR="00446A05" w:rsidRPr="00226847" w:rsidRDefault="00446A05" w:rsidP="001B79C3">
            <w:pPr>
              <w:pStyle w:val="CETBodytext"/>
              <w:spacing w:line="240" w:lineRule="auto"/>
              <w:rPr>
                <w:rFonts w:cs="Arial"/>
                <w:szCs w:val="18"/>
              </w:rPr>
            </w:pPr>
            <w:r w:rsidRPr="00226847">
              <w:rPr>
                <w:rFonts w:cs="Arial"/>
                <w:color w:val="000000"/>
                <w:szCs w:val="18"/>
              </w:rPr>
              <w:t>4.14</w:t>
            </w:r>
          </w:p>
        </w:tc>
        <w:tc>
          <w:tcPr>
            <w:tcW w:w="1268" w:type="dxa"/>
            <w:shd w:val="clear" w:color="auto" w:fill="FFFFFF"/>
            <w:vAlign w:val="bottom"/>
          </w:tcPr>
          <w:p w14:paraId="3E08B467" w14:textId="152A13BE" w:rsidR="00446A05" w:rsidRPr="00226847" w:rsidRDefault="00307DD8" w:rsidP="008A55D5">
            <w:pPr>
              <w:pStyle w:val="CETBodytextItalic"/>
              <w:rPr>
                <w:rFonts w:cs="Arial"/>
                <w:i w:val="0"/>
                <w:szCs w:val="18"/>
              </w:rPr>
            </w:pPr>
            <w:r>
              <w:rPr>
                <w:rFonts w:cs="Arial"/>
                <w:i w:val="0"/>
                <w:szCs w:val="18"/>
              </w:rPr>
              <w:t>3.30</w:t>
            </w:r>
          </w:p>
        </w:tc>
        <w:tc>
          <w:tcPr>
            <w:tcW w:w="968" w:type="dxa"/>
            <w:shd w:val="clear" w:color="auto" w:fill="FFFFFF"/>
            <w:vAlign w:val="bottom"/>
          </w:tcPr>
          <w:p w14:paraId="29674737" w14:textId="301F546F" w:rsidR="00446A05" w:rsidRPr="00226847" w:rsidRDefault="00446A05" w:rsidP="008A55D5">
            <w:pPr>
              <w:pStyle w:val="CETBodytextItalic"/>
              <w:rPr>
                <w:rFonts w:cs="Arial"/>
                <w:i w:val="0"/>
                <w:color w:val="000000" w:themeColor="dark1"/>
                <w:kern w:val="24"/>
                <w:szCs w:val="18"/>
              </w:rPr>
            </w:pPr>
            <w:r w:rsidRPr="00226847">
              <w:rPr>
                <w:rFonts w:cs="Arial"/>
                <w:i w:val="0"/>
                <w:szCs w:val="18"/>
              </w:rPr>
              <w:t>1.40</w:t>
            </w:r>
          </w:p>
        </w:tc>
      </w:tr>
      <w:tr w:rsidR="00446A05" w:rsidRPr="00226847" w14:paraId="17C32158" w14:textId="77777777" w:rsidTr="00446A05">
        <w:trPr>
          <w:trHeight w:val="173"/>
        </w:trPr>
        <w:tc>
          <w:tcPr>
            <w:tcW w:w="1014" w:type="dxa"/>
            <w:shd w:val="clear" w:color="auto" w:fill="FFFFFF"/>
            <w:vAlign w:val="bottom"/>
          </w:tcPr>
          <w:p w14:paraId="037D1B2A" w14:textId="542E1E20" w:rsidR="00446A05" w:rsidRPr="00226847" w:rsidRDefault="00446A05" w:rsidP="001B79C3">
            <w:pPr>
              <w:pStyle w:val="CETBodytext"/>
              <w:spacing w:line="240" w:lineRule="auto"/>
              <w:rPr>
                <w:rFonts w:cs="Arial"/>
                <w:szCs w:val="18"/>
                <w:lang w:val="en-GB"/>
              </w:rPr>
            </w:pPr>
            <w:r w:rsidRPr="00226847">
              <w:rPr>
                <w:rFonts w:cs="Arial"/>
                <w:color w:val="000000"/>
                <w:szCs w:val="18"/>
              </w:rPr>
              <w:t>35%</w:t>
            </w:r>
          </w:p>
        </w:tc>
        <w:tc>
          <w:tcPr>
            <w:tcW w:w="1226" w:type="dxa"/>
            <w:shd w:val="clear" w:color="auto" w:fill="FFFFFF"/>
            <w:vAlign w:val="bottom"/>
          </w:tcPr>
          <w:p w14:paraId="7187C843" w14:textId="7695C482" w:rsidR="00446A05" w:rsidRPr="00226847" w:rsidRDefault="00446A05" w:rsidP="001B79C3">
            <w:pPr>
              <w:pStyle w:val="CETBodytext"/>
              <w:spacing w:line="240" w:lineRule="auto"/>
              <w:rPr>
                <w:rFonts w:cs="Arial"/>
                <w:szCs w:val="18"/>
                <w:lang w:val="en-GB"/>
              </w:rPr>
            </w:pPr>
            <w:r w:rsidRPr="00226847">
              <w:rPr>
                <w:rFonts w:cs="Arial"/>
                <w:color w:val="000000"/>
                <w:szCs w:val="18"/>
              </w:rPr>
              <w:t>6.16</w:t>
            </w:r>
          </w:p>
        </w:tc>
        <w:tc>
          <w:tcPr>
            <w:tcW w:w="1034" w:type="dxa"/>
            <w:shd w:val="clear" w:color="auto" w:fill="FFFFFF"/>
            <w:vAlign w:val="bottom"/>
          </w:tcPr>
          <w:p w14:paraId="4EE39258" w14:textId="11269C31" w:rsidR="00446A05" w:rsidRPr="00226847" w:rsidRDefault="00446A05" w:rsidP="001B79C3">
            <w:pPr>
              <w:pStyle w:val="CETBodytext"/>
              <w:spacing w:line="240" w:lineRule="auto"/>
              <w:rPr>
                <w:rFonts w:cs="Arial"/>
                <w:color w:val="000000"/>
                <w:szCs w:val="18"/>
              </w:rPr>
            </w:pPr>
            <w:r w:rsidRPr="00226847">
              <w:rPr>
                <w:rFonts w:cs="Arial"/>
                <w:color w:val="000000"/>
                <w:szCs w:val="18"/>
              </w:rPr>
              <w:t>88%</w:t>
            </w:r>
          </w:p>
        </w:tc>
        <w:tc>
          <w:tcPr>
            <w:tcW w:w="1034" w:type="dxa"/>
            <w:shd w:val="clear" w:color="auto" w:fill="FFFFFF"/>
            <w:vAlign w:val="bottom"/>
          </w:tcPr>
          <w:p w14:paraId="4BC4CAD9" w14:textId="15A92CC0" w:rsidR="00446A05" w:rsidRPr="00226847" w:rsidRDefault="00446A05" w:rsidP="001B79C3">
            <w:pPr>
              <w:pStyle w:val="CETBodytext"/>
              <w:spacing w:line="240" w:lineRule="auto"/>
              <w:rPr>
                <w:rFonts w:cs="Arial"/>
                <w:color w:val="000000"/>
                <w:szCs w:val="18"/>
              </w:rPr>
            </w:pPr>
            <w:r w:rsidRPr="00226847">
              <w:rPr>
                <w:rFonts w:cs="Arial"/>
                <w:color w:val="000000"/>
                <w:szCs w:val="18"/>
              </w:rPr>
              <w:t>12%</w:t>
            </w:r>
          </w:p>
        </w:tc>
        <w:tc>
          <w:tcPr>
            <w:tcW w:w="1034" w:type="dxa"/>
            <w:shd w:val="clear" w:color="auto" w:fill="FFFFFF"/>
            <w:vAlign w:val="bottom"/>
          </w:tcPr>
          <w:p w14:paraId="6D2364AB" w14:textId="09BA5112" w:rsidR="00446A05" w:rsidRPr="00226847" w:rsidRDefault="00446A05" w:rsidP="001B79C3">
            <w:pPr>
              <w:pStyle w:val="CETBodytext"/>
              <w:spacing w:line="240" w:lineRule="auto"/>
              <w:rPr>
                <w:rFonts w:cs="Arial"/>
                <w:color w:val="000000"/>
                <w:szCs w:val="18"/>
              </w:rPr>
            </w:pPr>
            <w:r w:rsidRPr="00226847">
              <w:rPr>
                <w:rFonts w:cs="Arial"/>
                <w:color w:val="000000"/>
                <w:szCs w:val="18"/>
              </w:rPr>
              <w:t>0.88</w:t>
            </w:r>
          </w:p>
        </w:tc>
        <w:tc>
          <w:tcPr>
            <w:tcW w:w="1034" w:type="dxa"/>
            <w:shd w:val="clear" w:color="auto" w:fill="FFFFFF"/>
            <w:vAlign w:val="bottom"/>
          </w:tcPr>
          <w:p w14:paraId="31868BC8" w14:textId="0CDD7425" w:rsidR="00446A05" w:rsidRPr="00226847" w:rsidRDefault="00446A05" w:rsidP="001B79C3">
            <w:pPr>
              <w:pStyle w:val="CETBodytext"/>
              <w:spacing w:line="240" w:lineRule="auto"/>
              <w:rPr>
                <w:rFonts w:cs="Arial"/>
                <w:szCs w:val="18"/>
              </w:rPr>
            </w:pPr>
            <w:r w:rsidRPr="00226847">
              <w:rPr>
                <w:rFonts w:cs="Arial"/>
                <w:color w:val="000000"/>
                <w:szCs w:val="18"/>
              </w:rPr>
              <w:t>3.84</w:t>
            </w:r>
          </w:p>
        </w:tc>
        <w:tc>
          <w:tcPr>
            <w:tcW w:w="1268" w:type="dxa"/>
            <w:shd w:val="clear" w:color="auto" w:fill="FFFFFF"/>
            <w:vAlign w:val="bottom"/>
          </w:tcPr>
          <w:p w14:paraId="16B2BA38" w14:textId="6883B74F" w:rsidR="00446A05" w:rsidRPr="00226847" w:rsidRDefault="00446A05" w:rsidP="008A55D5">
            <w:pPr>
              <w:pStyle w:val="CETBodytextItalic"/>
              <w:rPr>
                <w:rFonts w:cs="Arial"/>
                <w:i w:val="0"/>
                <w:szCs w:val="18"/>
              </w:rPr>
            </w:pPr>
            <w:r w:rsidRPr="00226847">
              <w:rPr>
                <w:rFonts w:cs="Arial"/>
                <w:i w:val="0"/>
                <w:szCs w:val="18"/>
              </w:rPr>
              <w:t>3.17</w:t>
            </w:r>
          </w:p>
        </w:tc>
        <w:tc>
          <w:tcPr>
            <w:tcW w:w="968" w:type="dxa"/>
            <w:shd w:val="clear" w:color="auto" w:fill="FFFFFF"/>
            <w:vAlign w:val="bottom"/>
          </w:tcPr>
          <w:p w14:paraId="011AA06A" w14:textId="78EF230E" w:rsidR="00446A05" w:rsidRPr="00226847" w:rsidRDefault="00446A05" w:rsidP="008A55D5">
            <w:pPr>
              <w:pStyle w:val="CETBodytextItalic"/>
              <w:rPr>
                <w:rFonts w:cs="Arial"/>
                <w:i w:val="0"/>
                <w:color w:val="000000" w:themeColor="dark1"/>
                <w:kern w:val="24"/>
                <w:szCs w:val="18"/>
              </w:rPr>
            </w:pPr>
            <w:r w:rsidRPr="00226847">
              <w:rPr>
                <w:rFonts w:cs="Arial"/>
                <w:i w:val="0"/>
                <w:szCs w:val="18"/>
              </w:rPr>
              <w:t>1.38</w:t>
            </w:r>
          </w:p>
        </w:tc>
      </w:tr>
      <w:tr w:rsidR="00446A05" w:rsidRPr="00226847" w14:paraId="39BE8F66" w14:textId="77777777" w:rsidTr="00446A05">
        <w:trPr>
          <w:trHeight w:val="173"/>
        </w:trPr>
        <w:tc>
          <w:tcPr>
            <w:tcW w:w="1014" w:type="dxa"/>
            <w:shd w:val="clear" w:color="auto" w:fill="FFFFFF"/>
            <w:vAlign w:val="bottom"/>
          </w:tcPr>
          <w:p w14:paraId="33E2F4AD" w14:textId="3BE1C995" w:rsidR="00446A05" w:rsidRPr="00226847" w:rsidRDefault="00446A05" w:rsidP="001B79C3">
            <w:pPr>
              <w:pStyle w:val="CETBodytext"/>
              <w:spacing w:line="240" w:lineRule="auto"/>
              <w:rPr>
                <w:rFonts w:cs="Arial"/>
                <w:szCs w:val="18"/>
                <w:lang w:val="en-GB"/>
              </w:rPr>
            </w:pPr>
            <w:r w:rsidRPr="00226847">
              <w:rPr>
                <w:rFonts w:cs="Arial"/>
                <w:color w:val="000000"/>
                <w:szCs w:val="18"/>
              </w:rPr>
              <w:t>45%</w:t>
            </w:r>
          </w:p>
        </w:tc>
        <w:tc>
          <w:tcPr>
            <w:tcW w:w="1226" w:type="dxa"/>
            <w:shd w:val="clear" w:color="auto" w:fill="FFFFFF"/>
            <w:vAlign w:val="bottom"/>
          </w:tcPr>
          <w:p w14:paraId="24D1642B" w14:textId="55BC42C1" w:rsidR="00446A05" w:rsidRPr="00226847" w:rsidRDefault="00446A05" w:rsidP="001B79C3">
            <w:pPr>
              <w:pStyle w:val="CETBodytext"/>
              <w:spacing w:line="240" w:lineRule="auto"/>
              <w:rPr>
                <w:rFonts w:cs="Arial"/>
                <w:szCs w:val="18"/>
                <w:lang w:val="en-GB"/>
              </w:rPr>
            </w:pPr>
            <w:r w:rsidRPr="00226847">
              <w:rPr>
                <w:rFonts w:cs="Arial"/>
                <w:color w:val="000000"/>
                <w:szCs w:val="18"/>
              </w:rPr>
              <w:t>6.24</w:t>
            </w:r>
          </w:p>
        </w:tc>
        <w:tc>
          <w:tcPr>
            <w:tcW w:w="1034" w:type="dxa"/>
            <w:shd w:val="clear" w:color="auto" w:fill="FFFFFF"/>
            <w:vAlign w:val="bottom"/>
          </w:tcPr>
          <w:p w14:paraId="3326B598" w14:textId="1142BDB9" w:rsidR="00446A05" w:rsidRPr="00226847" w:rsidRDefault="00446A05" w:rsidP="001B79C3">
            <w:pPr>
              <w:pStyle w:val="CETBodytext"/>
              <w:spacing w:line="240" w:lineRule="auto"/>
              <w:rPr>
                <w:rFonts w:cs="Arial"/>
                <w:color w:val="000000"/>
                <w:szCs w:val="18"/>
              </w:rPr>
            </w:pPr>
            <w:r w:rsidRPr="00226847">
              <w:rPr>
                <w:rFonts w:cs="Arial"/>
                <w:color w:val="000000"/>
                <w:szCs w:val="18"/>
              </w:rPr>
              <w:t>92%</w:t>
            </w:r>
          </w:p>
        </w:tc>
        <w:tc>
          <w:tcPr>
            <w:tcW w:w="1034" w:type="dxa"/>
            <w:shd w:val="clear" w:color="auto" w:fill="FFFFFF"/>
            <w:vAlign w:val="bottom"/>
          </w:tcPr>
          <w:p w14:paraId="332918EF" w14:textId="16268B08" w:rsidR="00446A05" w:rsidRPr="00226847" w:rsidRDefault="00446A05" w:rsidP="001B79C3">
            <w:pPr>
              <w:pStyle w:val="CETBodytext"/>
              <w:spacing w:line="240" w:lineRule="auto"/>
              <w:rPr>
                <w:rFonts w:cs="Arial"/>
                <w:color w:val="000000"/>
                <w:szCs w:val="18"/>
              </w:rPr>
            </w:pPr>
            <w:r w:rsidRPr="00226847">
              <w:rPr>
                <w:rFonts w:cs="Arial"/>
                <w:color w:val="000000"/>
                <w:szCs w:val="18"/>
              </w:rPr>
              <w:t>8%</w:t>
            </w:r>
          </w:p>
        </w:tc>
        <w:tc>
          <w:tcPr>
            <w:tcW w:w="1034" w:type="dxa"/>
            <w:shd w:val="clear" w:color="auto" w:fill="FFFFFF"/>
            <w:vAlign w:val="bottom"/>
          </w:tcPr>
          <w:p w14:paraId="1D9692E8" w14:textId="57A6C038" w:rsidR="00446A05" w:rsidRPr="00226847" w:rsidRDefault="00446A05" w:rsidP="001B79C3">
            <w:pPr>
              <w:pStyle w:val="CETBodytext"/>
              <w:spacing w:line="240" w:lineRule="auto"/>
              <w:rPr>
                <w:rFonts w:cs="Arial"/>
                <w:color w:val="000000"/>
                <w:szCs w:val="18"/>
              </w:rPr>
            </w:pPr>
            <w:r w:rsidRPr="00226847">
              <w:rPr>
                <w:rFonts w:cs="Arial"/>
                <w:color w:val="000000"/>
                <w:szCs w:val="18"/>
              </w:rPr>
              <w:t>0.92</w:t>
            </w:r>
          </w:p>
        </w:tc>
        <w:tc>
          <w:tcPr>
            <w:tcW w:w="1034" w:type="dxa"/>
            <w:shd w:val="clear" w:color="auto" w:fill="FFFFFF"/>
            <w:vAlign w:val="bottom"/>
          </w:tcPr>
          <w:p w14:paraId="4DD29275" w14:textId="145FD695" w:rsidR="00446A05" w:rsidRPr="00226847" w:rsidRDefault="00446A05" w:rsidP="001B79C3">
            <w:pPr>
              <w:pStyle w:val="CETBodytext"/>
              <w:spacing w:line="240" w:lineRule="auto"/>
              <w:rPr>
                <w:rFonts w:cs="Arial"/>
                <w:szCs w:val="18"/>
              </w:rPr>
            </w:pPr>
            <w:r w:rsidRPr="00226847">
              <w:rPr>
                <w:rFonts w:cs="Arial"/>
                <w:color w:val="000000"/>
                <w:szCs w:val="18"/>
              </w:rPr>
              <w:t>3.43</w:t>
            </w:r>
          </w:p>
        </w:tc>
        <w:tc>
          <w:tcPr>
            <w:tcW w:w="1268" w:type="dxa"/>
            <w:shd w:val="clear" w:color="auto" w:fill="FFFFFF"/>
            <w:vAlign w:val="bottom"/>
          </w:tcPr>
          <w:p w14:paraId="1EFCADEE" w14:textId="4734A30C" w:rsidR="00446A05" w:rsidRPr="00226847" w:rsidRDefault="00446A05" w:rsidP="008A55D5">
            <w:pPr>
              <w:pStyle w:val="CETBodytextItalic"/>
              <w:rPr>
                <w:rFonts w:cs="Arial"/>
                <w:i w:val="0"/>
                <w:szCs w:val="18"/>
              </w:rPr>
            </w:pPr>
            <w:r w:rsidRPr="00226847">
              <w:rPr>
                <w:rFonts w:cs="Arial"/>
                <w:i w:val="0"/>
                <w:szCs w:val="18"/>
              </w:rPr>
              <w:t>2.93</w:t>
            </w:r>
          </w:p>
        </w:tc>
        <w:tc>
          <w:tcPr>
            <w:tcW w:w="968" w:type="dxa"/>
            <w:shd w:val="clear" w:color="auto" w:fill="FFFFFF"/>
            <w:vAlign w:val="bottom"/>
          </w:tcPr>
          <w:p w14:paraId="0FFC9EDD" w14:textId="0008C46F" w:rsidR="00446A05" w:rsidRPr="00226847" w:rsidRDefault="00446A05" w:rsidP="008A55D5">
            <w:pPr>
              <w:pStyle w:val="CETBodytextItalic"/>
              <w:rPr>
                <w:rFonts w:cs="Arial"/>
                <w:i w:val="0"/>
                <w:color w:val="000000" w:themeColor="dark1"/>
                <w:kern w:val="24"/>
                <w:szCs w:val="18"/>
              </w:rPr>
            </w:pPr>
            <w:r w:rsidRPr="00226847">
              <w:rPr>
                <w:rFonts w:cs="Arial"/>
                <w:i w:val="0"/>
                <w:szCs w:val="18"/>
              </w:rPr>
              <w:t>1.33</w:t>
            </w:r>
          </w:p>
        </w:tc>
      </w:tr>
      <w:tr w:rsidR="00446A05" w:rsidRPr="00226847" w14:paraId="676144B3" w14:textId="77777777" w:rsidTr="00446A05">
        <w:trPr>
          <w:trHeight w:val="173"/>
        </w:trPr>
        <w:tc>
          <w:tcPr>
            <w:tcW w:w="1014" w:type="dxa"/>
            <w:shd w:val="clear" w:color="auto" w:fill="FFFFFF"/>
            <w:vAlign w:val="bottom"/>
          </w:tcPr>
          <w:p w14:paraId="5E900748" w14:textId="36DCDCE1" w:rsidR="00446A05" w:rsidRPr="00226847" w:rsidRDefault="00446A05" w:rsidP="001B79C3">
            <w:pPr>
              <w:pStyle w:val="CETBodytext"/>
              <w:spacing w:line="240" w:lineRule="auto"/>
              <w:rPr>
                <w:rFonts w:cs="Arial"/>
                <w:color w:val="000000" w:themeColor="dark1"/>
                <w:kern w:val="24"/>
                <w:szCs w:val="18"/>
              </w:rPr>
            </w:pPr>
            <w:r w:rsidRPr="00226847">
              <w:rPr>
                <w:rFonts w:cs="Arial"/>
                <w:color w:val="000000"/>
                <w:szCs w:val="18"/>
              </w:rPr>
              <w:t>55%</w:t>
            </w:r>
          </w:p>
        </w:tc>
        <w:tc>
          <w:tcPr>
            <w:tcW w:w="1226" w:type="dxa"/>
            <w:shd w:val="clear" w:color="auto" w:fill="FFFFFF"/>
            <w:vAlign w:val="bottom"/>
          </w:tcPr>
          <w:p w14:paraId="56743D15" w14:textId="03C7472A" w:rsidR="00446A05" w:rsidRPr="00226847" w:rsidRDefault="00446A05" w:rsidP="001B79C3">
            <w:pPr>
              <w:pStyle w:val="CETBodytext"/>
              <w:spacing w:line="240" w:lineRule="auto"/>
              <w:rPr>
                <w:rFonts w:cs="Arial"/>
                <w:color w:val="000000" w:themeColor="dark1"/>
                <w:kern w:val="24"/>
                <w:szCs w:val="18"/>
              </w:rPr>
            </w:pPr>
            <w:r w:rsidRPr="00226847">
              <w:rPr>
                <w:rFonts w:cs="Arial"/>
                <w:color w:val="000000"/>
                <w:szCs w:val="18"/>
              </w:rPr>
              <w:t>6.29</w:t>
            </w:r>
          </w:p>
        </w:tc>
        <w:tc>
          <w:tcPr>
            <w:tcW w:w="1034" w:type="dxa"/>
            <w:shd w:val="clear" w:color="auto" w:fill="FFFFFF"/>
            <w:vAlign w:val="bottom"/>
          </w:tcPr>
          <w:p w14:paraId="099263A0" w14:textId="48752558" w:rsidR="00446A05" w:rsidRPr="00226847" w:rsidRDefault="00446A05" w:rsidP="001B79C3">
            <w:pPr>
              <w:pStyle w:val="CETBodytext"/>
              <w:spacing w:line="240" w:lineRule="auto"/>
              <w:rPr>
                <w:rFonts w:cs="Arial"/>
                <w:color w:val="000000"/>
                <w:szCs w:val="18"/>
              </w:rPr>
            </w:pPr>
            <w:r w:rsidRPr="00226847">
              <w:rPr>
                <w:rFonts w:cs="Arial"/>
                <w:color w:val="000000"/>
                <w:szCs w:val="18"/>
              </w:rPr>
              <w:t>96%</w:t>
            </w:r>
          </w:p>
        </w:tc>
        <w:tc>
          <w:tcPr>
            <w:tcW w:w="1034" w:type="dxa"/>
            <w:shd w:val="clear" w:color="auto" w:fill="FFFFFF"/>
            <w:vAlign w:val="bottom"/>
          </w:tcPr>
          <w:p w14:paraId="1CEF7DBF" w14:textId="5FB07E1B" w:rsidR="00446A05" w:rsidRPr="00226847" w:rsidRDefault="00446A05" w:rsidP="001B79C3">
            <w:pPr>
              <w:pStyle w:val="CETBodytext"/>
              <w:spacing w:line="240" w:lineRule="auto"/>
              <w:rPr>
                <w:rFonts w:cs="Arial"/>
                <w:color w:val="000000"/>
                <w:szCs w:val="18"/>
              </w:rPr>
            </w:pPr>
            <w:r w:rsidRPr="00226847">
              <w:rPr>
                <w:rFonts w:cs="Arial"/>
                <w:color w:val="000000"/>
                <w:szCs w:val="18"/>
              </w:rPr>
              <w:t>4%</w:t>
            </w:r>
          </w:p>
        </w:tc>
        <w:tc>
          <w:tcPr>
            <w:tcW w:w="1034" w:type="dxa"/>
            <w:shd w:val="clear" w:color="auto" w:fill="FFFFFF"/>
            <w:vAlign w:val="bottom"/>
          </w:tcPr>
          <w:p w14:paraId="5D42538D" w14:textId="4AAE5494" w:rsidR="00446A05" w:rsidRPr="00226847" w:rsidRDefault="00446A05" w:rsidP="001B79C3">
            <w:pPr>
              <w:pStyle w:val="CETBodytext"/>
              <w:spacing w:line="240" w:lineRule="auto"/>
              <w:rPr>
                <w:rFonts w:cs="Arial"/>
                <w:color w:val="000000"/>
                <w:szCs w:val="18"/>
              </w:rPr>
            </w:pPr>
            <w:r w:rsidRPr="00226847">
              <w:rPr>
                <w:rFonts w:cs="Arial"/>
                <w:color w:val="000000"/>
                <w:szCs w:val="18"/>
              </w:rPr>
              <w:t>0.96</w:t>
            </w:r>
          </w:p>
        </w:tc>
        <w:tc>
          <w:tcPr>
            <w:tcW w:w="1034" w:type="dxa"/>
            <w:shd w:val="clear" w:color="auto" w:fill="FFFFFF"/>
            <w:vAlign w:val="bottom"/>
          </w:tcPr>
          <w:p w14:paraId="1617664B" w14:textId="76125D09" w:rsidR="00446A05" w:rsidRPr="00226847" w:rsidRDefault="00446A05" w:rsidP="001B79C3">
            <w:pPr>
              <w:pStyle w:val="CETBodytext"/>
              <w:spacing w:line="240" w:lineRule="auto"/>
              <w:rPr>
                <w:rFonts w:cs="Arial"/>
                <w:szCs w:val="18"/>
              </w:rPr>
            </w:pPr>
            <w:r w:rsidRPr="00226847">
              <w:rPr>
                <w:rFonts w:cs="Arial"/>
                <w:color w:val="000000"/>
                <w:szCs w:val="18"/>
              </w:rPr>
              <w:t>2.90</w:t>
            </w:r>
          </w:p>
        </w:tc>
        <w:tc>
          <w:tcPr>
            <w:tcW w:w="1268" w:type="dxa"/>
            <w:shd w:val="clear" w:color="auto" w:fill="FFFFFF"/>
            <w:vAlign w:val="bottom"/>
          </w:tcPr>
          <w:p w14:paraId="1D6B1E54" w14:textId="099A3F93" w:rsidR="00446A05" w:rsidRPr="00226847" w:rsidRDefault="00446A05" w:rsidP="008A55D5">
            <w:pPr>
              <w:pStyle w:val="CETBodytextItalic"/>
              <w:rPr>
                <w:rFonts w:cs="Arial"/>
                <w:i w:val="0"/>
                <w:szCs w:val="18"/>
              </w:rPr>
            </w:pPr>
            <w:r w:rsidRPr="00226847">
              <w:rPr>
                <w:rFonts w:cs="Arial"/>
                <w:i w:val="0"/>
                <w:szCs w:val="18"/>
              </w:rPr>
              <w:t>2.56</w:t>
            </w:r>
          </w:p>
        </w:tc>
        <w:tc>
          <w:tcPr>
            <w:tcW w:w="968" w:type="dxa"/>
            <w:shd w:val="clear" w:color="auto" w:fill="FFFFFF"/>
            <w:vAlign w:val="bottom"/>
          </w:tcPr>
          <w:p w14:paraId="445825FF" w14:textId="09F55331" w:rsidR="00446A05" w:rsidRPr="00226847" w:rsidRDefault="00446A05" w:rsidP="008A55D5">
            <w:pPr>
              <w:pStyle w:val="CETBodytextItalic"/>
              <w:rPr>
                <w:rFonts w:cs="Arial"/>
                <w:i w:val="0"/>
                <w:color w:val="000000" w:themeColor="dark1"/>
                <w:kern w:val="24"/>
                <w:szCs w:val="18"/>
              </w:rPr>
            </w:pPr>
            <w:r w:rsidRPr="00226847">
              <w:rPr>
                <w:rFonts w:cs="Arial"/>
                <w:i w:val="0"/>
                <w:szCs w:val="18"/>
              </w:rPr>
              <w:t>1.26</w:t>
            </w:r>
          </w:p>
        </w:tc>
      </w:tr>
      <w:tr w:rsidR="00446A05" w:rsidRPr="00226847" w14:paraId="27BD0467" w14:textId="77777777" w:rsidTr="00446A05">
        <w:trPr>
          <w:trHeight w:val="173"/>
        </w:trPr>
        <w:tc>
          <w:tcPr>
            <w:tcW w:w="1014" w:type="dxa"/>
            <w:shd w:val="clear" w:color="auto" w:fill="FFFFFF"/>
            <w:vAlign w:val="bottom"/>
          </w:tcPr>
          <w:p w14:paraId="4B4BE724" w14:textId="3F73BEB6" w:rsidR="00446A05" w:rsidRPr="00226847" w:rsidRDefault="00446A05" w:rsidP="001B79C3">
            <w:pPr>
              <w:pStyle w:val="CETBodytext"/>
              <w:spacing w:line="240" w:lineRule="auto"/>
              <w:rPr>
                <w:rFonts w:cs="Arial"/>
                <w:szCs w:val="18"/>
              </w:rPr>
            </w:pPr>
            <w:r w:rsidRPr="00226847">
              <w:rPr>
                <w:rFonts w:cs="Arial"/>
                <w:color w:val="000000"/>
                <w:szCs w:val="18"/>
              </w:rPr>
              <w:t>100%</w:t>
            </w:r>
          </w:p>
        </w:tc>
        <w:tc>
          <w:tcPr>
            <w:tcW w:w="1226" w:type="dxa"/>
            <w:shd w:val="clear" w:color="auto" w:fill="FFFFFF"/>
            <w:vAlign w:val="bottom"/>
          </w:tcPr>
          <w:p w14:paraId="39EF2725" w14:textId="4B7BBF27" w:rsidR="00446A05" w:rsidRPr="00226847" w:rsidRDefault="00446A05" w:rsidP="001B79C3">
            <w:pPr>
              <w:pStyle w:val="CETBodytext"/>
              <w:spacing w:line="240" w:lineRule="auto"/>
              <w:rPr>
                <w:rFonts w:cs="Arial"/>
                <w:szCs w:val="18"/>
              </w:rPr>
            </w:pPr>
            <w:r w:rsidRPr="00226847">
              <w:rPr>
                <w:rFonts w:cs="Arial"/>
                <w:color w:val="000000"/>
                <w:szCs w:val="18"/>
              </w:rPr>
              <w:t>30.0</w:t>
            </w:r>
          </w:p>
        </w:tc>
        <w:tc>
          <w:tcPr>
            <w:tcW w:w="1034" w:type="dxa"/>
            <w:shd w:val="clear" w:color="auto" w:fill="FFFFFF"/>
            <w:vAlign w:val="bottom"/>
          </w:tcPr>
          <w:p w14:paraId="5BC709A7" w14:textId="42543FB0" w:rsidR="00446A05" w:rsidRPr="00226847" w:rsidRDefault="00446A05" w:rsidP="00187993">
            <w:pPr>
              <w:rPr>
                <w:rFonts w:cs="Arial"/>
                <w:color w:val="000000"/>
                <w:szCs w:val="18"/>
              </w:rPr>
            </w:pPr>
          </w:p>
        </w:tc>
        <w:tc>
          <w:tcPr>
            <w:tcW w:w="1034" w:type="dxa"/>
            <w:shd w:val="clear" w:color="auto" w:fill="FFFFFF"/>
            <w:vAlign w:val="bottom"/>
          </w:tcPr>
          <w:p w14:paraId="66BD12CC" w14:textId="1C8C07EF" w:rsidR="00446A05" w:rsidRPr="00226847" w:rsidRDefault="00446A05" w:rsidP="00187993">
            <w:pPr>
              <w:rPr>
                <w:rFonts w:cs="Arial"/>
                <w:color w:val="000000"/>
                <w:szCs w:val="18"/>
              </w:rPr>
            </w:pPr>
          </w:p>
        </w:tc>
        <w:tc>
          <w:tcPr>
            <w:tcW w:w="1034" w:type="dxa"/>
            <w:shd w:val="clear" w:color="auto" w:fill="FFFFFF"/>
            <w:vAlign w:val="bottom"/>
          </w:tcPr>
          <w:p w14:paraId="2108FA35" w14:textId="2AB7C2E8" w:rsidR="00446A05" w:rsidRPr="00226847" w:rsidRDefault="00446A05" w:rsidP="00187993">
            <w:pPr>
              <w:rPr>
                <w:rFonts w:cs="Arial"/>
                <w:color w:val="000000"/>
                <w:szCs w:val="18"/>
              </w:rPr>
            </w:pPr>
          </w:p>
        </w:tc>
        <w:tc>
          <w:tcPr>
            <w:tcW w:w="1034" w:type="dxa"/>
            <w:shd w:val="clear" w:color="auto" w:fill="FFFFFF"/>
            <w:vAlign w:val="bottom"/>
          </w:tcPr>
          <w:p w14:paraId="67420DB0" w14:textId="7045CE3B" w:rsidR="00446A05" w:rsidRPr="00226847" w:rsidRDefault="00446A05" w:rsidP="00187993">
            <w:pPr>
              <w:pStyle w:val="CETBodytext"/>
              <w:spacing w:line="240" w:lineRule="auto"/>
              <w:rPr>
                <w:rFonts w:cs="Arial"/>
                <w:szCs w:val="18"/>
              </w:rPr>
            </w:pPr>
          </w:p>
        </w:tc>
        <w:tc>
          <w:tcPr>
            <w:tcW w:w="1268" w:type="dxa"/>
            <w:shd w:val="clear" w:color="auto" w:fill="FFFFFF"/>
            <w:vAlign w:val="bottom"/>
          </w:tcPr>
          <w:p w14:paraId="43E37BAC" w14:textId="6D8EC24A" w:rsidR="00446A05" w:rsidRPr="00226847" w:rsidRDefault="00446A05" w:rsidP="008A55D5">
            <w:pPr>
              <w:pStyle w:val="CETBodytextItalic"/>
              <w:rPr>
                <w:rFonts w:cs="Arial"/>
                <w:i w:val="0"/>
                <w:szCs w:val="18"/>
              </w:rPr>
            </w:pPr>
          </w:p>
        </w:tc>
        <w:tc>
          <w:tcPr>
            <w:tcW w:w="968" w:type="dxa"/>
            <w:shd w:val="clear" w:color="auto" w:fill="FFFFFF"/>
            <w:vAlign w:val="bottom"/>
          </w:tcPr>
          <w:p w14:paraId="5480AC06" w14:textId="18C08267" w:rsidR="00446A05" w:rsidRPr="00226847" w:rsidRDefault="00446A05" w:rsidP="008A55D5">
            <w:pPr>
              <w:pStyle w:val="CETBodytextItalic"/>
              <w:rPr>
                <w:rFonts w:cs="Arial"/>
                <w:i w:val="0"/>
                <w:szCs w:val="18"/>
              </w:rPr>
            </w:pPr>
          </w:p>
        </w:tc>
      </w:tr>
    </w:tbl>
    <w:p w14:paraId="68D26B83" w14:textId="77777777" w:rsidR="00600535" w:rsidRPr="00B57B36" w:rsidRDefault="00600535" w:rsidP="00600535">
      <w:pPr>
        <w:pStyle w:val="CETHeading1"/>
        <w:rPr>
          <w:lang w:val="en-GB"/>
        </w:rPr>
      </w:pPr>
      <w:r w:rsidRPr="00B57B36">
        <w:rPr>
          <w:lang w:val="en-GB"/>
        </w:rPr>
        <w:t>Conclusions</w:t>
      </w:r>
    </w:p>
    <w:p w14:paraId="7F723C41" w14:textId="6E890311" w:rsidR="00737010" w:rsidRDefault="00737010" w:rsidP="00737010">
      <w:pPr>
        <w:pStyle w:val="CETBodytext"/>
        <w:rPr>
          <w:b/>
        </w:rPr>
      </w:pPr>
      <w:r w:rsidRPr="00737010">
        <w:t>This study highlights the effectiveness of the selected hollow fiber membrane for separating CO</w:t>
      </w:r>
      <w:r w:rsidRPr="00737010">
        <w:rPr>
          <w:rFonts w:ascii="Cambria Math" w:hAnsi="Cambria Math" w:cs="Cambria Math"/>
        </w:rPr>
        <w:t>₂</w:t>
      </w:r>
      <w:r w:rsidRPr="00737010">
        <w:t>/N</w:t>
      </w:r>
      <w:r w:rsidRPr="00737010">
        <w:rPr>
          <w:rFonts w:ascii="Cambria Math" w:hAnsi="Cambria Math" w:cs="Cambria Math"/>
        </w:rPr>
        <w:t>₂</w:t>
      </w:r>
      <w:r w:rsidRPr="00737010">
        <w:t xml:space="preserve"> mixtures, with CO</w:t>
      </w:r>
      <w:r w:rsidRPr="00737010">
        <w:rPr>
          <w:rFonts w:ascii="Cambria Math" w:hAnsi="Cambria Math" w:cs="Cambria Math"/>
        </w:rPr>
        <w:t>₂</w:t>
      </w:r>
      <w:r w:rsidRPr="00737010">
        <w:t xml:space="preserve"> predominantly diffusing to the permeate stream and N</w:t>
      </w:r>
      <w:r w:rsidRPr="00737010">
        <w:rPr>
          <w:rFonts w:ascii="Cambria Math" w:hAnsi="Cambria Math" w:cs="Cambria Math"/>
        </w:rPr>
        <w:t>₂</w:t>
      </w:r>
      <w:r w:rsidRPr="00737010">
        <w:t xml:space="preserve"> remaining in the retentate. CO</w:t>
      </w:r>
      <w:r w:rsidRPr="00737010">
        <w:rPr>
          <w:rFonts w:ascii="Cambria Math" w:hAnsi="Cambria Math" w:cs="Cambria Math"/>
        </w:rPr>
        <w:t>₂</w:t>
      </w:r>
      <w:r w:rsidRPr="00737010">
        <w:t xml:space="preserve"> concentrations in flue gases typically range from 8</w:t>
      </w:r>
      <w:r w:rsidRPr="00737010">
        <w:rPr>
          <w:rFonts w:cs="Arial"/>
        </w:rPr>
        <w:t>–</w:t>
      </w:r>
      <w:r w:rsidRPr="00737010">
        <w:t>15</w:t>
      </w:r>
      <w:r w:rsidR="00307DD8">
        <w:t xml:space="preserve"> </w:t>
      </w:r>
      <w:r w:rsidRPr="00737010">
        <w:t>%</w:t>
      </w:r>
      <w:r w:rsidR="00307DD8">
        <w:t>vol</w:t>
      </w:r>
      <w:r w:rsidRPr="00737010">
        <w:t xml:space="preserve"> but can exceed 80</w:t>
      </w:r>
      <w:r w:rsidR="00307DD8">
        <w:t xml:space="preserve"> </w:t>
      </w:r>
      <w:r w:rsidRPr="00737010">
        <w:t>%</w:t>
      </w:r>
      <w:r w:rsidR="00307DD8">
        <w:t>vol</w:t>
      </w:r>
      <w:r w:rsidRPr="00737010">
        <w:t xml:space="preserve"> in oxy-fuel combustion </w:t>
      </w:r>
      <w:r w:rsidRPr="00737010">
        <w:lastRenderedPageBreak/>
        <w:t>due to the absence of nitrogen. Higher CO</w:t>
      </w:r>
      <w:r w:rsidRPr="00737010">
        <w:rPr>
          <w:rFonts w:ascii="Cambria Math" w:hAnsi="Cambria Math" w:cs="Cambria Math"/>
        </w:rPr>
        <w:t>₂</w:t>
      </w:r>
      <w:r w:rsidRPr="00737010">
        <w:t xml:space="preserve"> concentrations in the feed gas enhance the separation process by increasing the driving force, resulting in improved recovery rates and membrane permeability. This also lowers operational costs and energy requirements as nitrogen composition in the feed gas decreases.</w:t>
      </w:r>
      <w:r w:rsidR="00203CE5">
        <w:t xml:space="preserve"> </w:t>
      </w:r>
      <w:r w:rsidRPr="00737010">
        <w:t>The study observed that CO</w:t>
      </w:r>
      <w:r w:rsidRPr="00737010">
        <w:rPr>
          <w:rFonts w:ascii="Cambria Math" w:hAnsi="Cambria Math" w:cs="Cambria Math"/>
        </w:rPr>
        <w:t>₂</w:t>
      </w:r>
      <w:r w:rsidRPr="00737010">
        <w:t xml:space="preserve"> flux, stage cut, and recovery increased with higher CO</w:t>
      </w:r>
      <w:r w:rsidRPr="00737010">
        <w:rPr>
          <w:rFonts w:ascii="Cambria Math" w:hAnsi="Cambria Math" w:cs="Cambria Math"/>
        </w:rPr>
        <w:t>₂</w:t>
      </w:r>
      <w:r w:rsidRPr="00737010">
        <w:t xml:space="preserve"> concentrations, while the retention coefficient declined due to elevated partial pressure differences. The peak of the separation factors Sf*(CO</w:t>
      </w:r>
      <w:r w:rsidRPr="00737010">
        <w:rPr>
          <w:rFonts w:ascii="Cambria Math" w:hAnsi="Cambria Math" w:cs="Cambria Math"/>
        </w:rPr>
        <w:t>₂</w:t>
      </w:r>
      <w:r w:rsidRPr="00737010">
        <w:t>/N</w:t>
      </w:r>
      <w:r w:rsidRPr="00737010">
        <w:rPr>
          <w:rFonts w:ascii="Cambria Math" w:hAnsi="Cambria Math" w:cs="Cambria Math"/>
        </w:rPr>
        <w:t>₂</w:t>
      </w:r>
      <w:r w:rsidRPr="00737010">
        <w:t>) and Sf*(CO</w:t>
      </w:r>
      <w:r w:rsidRPr="00737010">
        <w:rPr>
          <w:rFonts w:ascii="Cambria Math" w:hAnsi="Cambria Math" w:cs="Cambria Math"/>
        </w:rPr>
        <w:t>₂</w:t>
      </w:r>
      <w:r w:rsidRPr="00737010">
        <w:t>/O</w:t>
      </w:r>
      <w:r w:rsidRPr="00737010">
        <w:rPr>
          <w:rFonts w:ascii="Cambria Math" w:hAnsi="Cambria Math" w:cs="Cambria Math"/>
        </w:rPr>
        <w:t>₂</w:t>
      </w:r>
      <w:r w:rsidR="00307DD8">
        <w:t>) are 3.3</w:t>
      </w:r>
      <w:r w:rsidRPr="00737010">
        <w:t xml:space="preserve"> and 1.40 respectively at 25 %vol CO</w:t>
      </w:r>
      <w:r w:rsidRPr="00737010">
        <w:rPr>
          <w:rFonts w:ascii="Cambria Math" w:hAnsi="Cambria Math" w:cs="Cambria Math"/>
        </w:rPr>
        <w:t>₂</w:t>
      </w:r>
      <w:r w:rsidRPr="00737010">
        <w:t xml:space="preserve"> feed concentration, indicating optimal selectivity at moderate concentrat</w:t>
      </w:r>
      <w:r w:rsidR="00307DD8">
        <w:t>ions. However, at very high</w:t>
      </w:r>
      <w:r w:rsidRPr="00737010">
        <w:t xml:space="preserve"> CO</w:t>
      </w:r>
      <w:r w:rsidRPr="00737010">
        <w:rPr>
          <w:rFonts w:ascii="Cambria Math" w:hAnsi="Cambria Math" w:cs="Cambria Math"/>
        </w:rPr>
        <w:t>₂</w:t>
      </w:r>
      <w:r w:rsidRPr="00737010">
        <w:t xml:space="preserve"> feed concentrations, plasticization effects could occur, thereby reducing the membrane's selectivity despite an overall increase in permeability. These findings demonstrate that the improved performance of the membrane at high CO</w:t>
      </w:r>
      <w:r w:rsidRPr="00737010">
        <w:rPr>
          <w:rFonts w:ascii="Cambria Math" w:hAnsi="Cambria Math" w:cs="Cambria Math"/>
        </w:rPr>
        <w:t>₂</w:t>
      </w:r>
      <w:r w:rsidRPr="00737010">
        <w:t xml:space="preserve"> %vol feed concentrations is primarily due to enhanced permeability, though selectivity may be compromised at extreme levels of CO</w:t>
      </w:r>
      <w:r w:rsidRPr="00737010">
        <w:rPr>
          <w:vertAlign w:val="subscript"/>
        </w:rPr>
        <w:t xml:space="preserve">2 </w:t>
      </w:r>
      <w:r w:rsidRPr="00737010">
        <w:t>in the multicomponent feed gas.</w:t>
      </w:r>
    </w:p>
    <w:p w14:paraId="459D05E6" w14:textId="5C7E78F5" w:rsidR="00600535" w:rsidRPr="00EE797C" w:rsidRDefault="00600535" w:rsidP="00737010">
      <w:pPr>
        <w:pStyle w:val="CETAcknowledgementstitle"/>
        <w:rPr>
          <w:sz w:val="20"/>
        </w:rPr>
      </w:pPr>
      <w:r w:rsidRPr="00EE797C">
        <w:rPr>
          <w:sz w:val="20"/>
        </w:rPr>
        <w:t>Acknowledgments</w:t>
      </w:r>
    </w:p>
    <w:p w14:paraId="5EDE39A9" w14:textId="35B36F29" w:rsidR="00E645EA" w:rsidRDefault="00E645EA" w:rsidP="00600535">
      <w:pPr>
        <w:pStyle w:val="CETReference"/>
        <w:rPr>
          <w:b w:val="0"/>
        </w:rPr>
      </w:pPr>
      <w:r w:rsidRPr="00E645EA">
        <w:rPr>
          <w:b w:val="0"/>
        </w:rPr>
        <w:t>This research was supported by the Grant Agency of the Czech Technical University in Prague, grant No. SGS23/160/OHK2/3T/12</w:t>
      </w:r>
      <w:r>
        <w:rPr>
          <w:b w:val="0"/>
        </w:rPr>
        <w:t>.</w:t>
      </w:r>
    </w:p>
    <w:p w14:paraId="4F1327F8" w14:textId="0E56DEF1" w:rsidR="00600535" w:rsidRPr="00EE797C" w:rsidRDefault="00600535" w:rsidP="00600535">
      <w:pPr>
        <w:pStyle w:val="CETReference"/>
        <w:rPr>
          <w:sz w:val="20"/>
        </w:rPr>
      </w:pPr>
      <w:r w:rsidRPr="00EE797C">
        <w:rPr>
          <w:sz w:val="20"/>
        </w:rPr>
        <w:t>References</w:t>
      </w:r>
    </w:p>
    <w:p w14:paraId="7F7109AF" w14:textId="4A2FB0C0" w:rsidR="00C63668" w:rsidRPr="00342AC4" w:rsidRDefault="00C63668" w:rsidP="007A0223">
      <w:pPr>
        <w:pStyle w:val="CETReferencetext"/>
        <w:rPr>
          <w:rStyle w:val="Hyperlink"/>
          <w:rFonts w:cs="Arial"/>
          <w:szCs w:val="18"/>
        </w:rPr>
      </w:pPr>
      <w:r w:rsidRPr="00342AC4">
        <w:t>A</w:t>
      </w:r>
      <w:r w:rsidR="004E0DE7" w:rsidRPr="00342AC4">
        <w:t>dhikari B., Orme C.J., Stetson</w:t>
      </w:r>
      <w:r w:rsidR="00342AC4">
        <w:t xml:space="preserve"> C., Klaehn J.R., 2023,</w:t>
      </w:r>
      <w:r w:rsidRPr="00342AC4">
        <w:t xml:space="preserve"> Techno-economic analysis of carbon dioxide capture from low concen</w:t>
      </w:r>
      <w:r w:rsidR="007A0223" w:rsidRPr="00342AC4">
        <w:t>tration sources using membranes,</w:t>
      </w:r>
      <w:r w:rsidRPr="00342AC4">
        <w:t xml:space="preserve"> </w:t>
      </w:r>
      <w:r w:rsidRPr="00342AC4">
        <w:rPr>
          <w:iCs/>
        </w:rPr>
        <w:t>Chemical Engineering Journal</w:t>
      </w:r>
      <w:r w:rsidRPr="00342AC4">
        <w:t xml:space="preserve"> </w:t>
      </w:r>
      <w:r w:rsidRPr="00342AC4">
        <w:rPr>
          <w:iCs/>
        </w:rPr>
        <w:t>474:</w:t>
      </w:r>
      <w:r w:rsidR="00244D87" w:rsidRPr="00342AC4">
        <w:t xml:space="preserve"> 145876.</w:t>
      </w:r>
    </w:p>
    <w:p w14:paraId="049076DB" w14:textId="77777777" w:rsidR="0041181D" w:rsidRPr="00342AC4" w:rsidRDefault="0041181D" w:rsidP="0041181D">
      <w:pPr>
        <w:pStyle w:val="CETReferencetext"/>
      </w:pPr>
      <w:r w:rsidRPr="00342AC4">
        <w:t>Aydani A., Brunetti A., Maghsoudi H., Barbieri G., 2020, CO</w:t>
      </w:r>
      <w:r w:rsidRPr="00342AC4">
        <w:rPr>
          <w:vertAlign w:val="subscript"/>
        </w:rPr>
        <w:t>2</w:t>
      </w:r>
      <w:r w:rsidRPr="00342AC4">
        <w:t xml:space="preserve"> separation from binary mixtures of CH4, N2, </w:t>
      </w:r>
    </w:p>
    <w:p w14:paraId="00E078F7" w14:textId="5DB2D4D8" w:rsidR="0041181D" w:rsidRPr="00342AC4" w:rsidRDefault="0041181D" w:rsidP="0041181D">
      <w:pPr>
        <w:pStyle w:val="CETReferencetext"/>
        <w:ind w:firstLine="0"/>
        <w:rPr>
          <w:rStyle w:val="Hyperlink"/>
          <w:color w:val="auto"/>
          <w:u w:val="none"/>
        </w:rPr>
      </w:pPr>
      <w:r w:rsidRPr="00342AC4">
        <w:t>and H2 by using SSZ-13 zeolite membrane, Separation and Purifi</w:t>
      </w:r>
      <w:r w:rsidR="00244D87" w:rsidRPr="00342AC4">
        <w:t>cation Technology, 256, 117796.</w:t>
      </w:r>
    </w:p>
    <w:p w14:paraId="5F04D822" w14:textId="368E5858" w:rsidR="0041181D" w:rsidRPr="00342AC4" w:rsidRDefault="0041181D" w:rsidP="0041181D">
      <w:pPr>
        <w:pStyle w:val="CETReferencetext"/>
        <w:rPr>
          <w:rStyle w:val="Hyperlink"/>
          <w:rFonts w:cs="Arial"/>
          <w:szCs w:val="18"/>
        </w:rPr>
      </w:pPr>
      <w:r w:rsidRPr="00342AC4">
        <w:t>Boram G.U., 2022, Mathematical Modelling and Simulation of CO</w:t>
      </w:r>
      <w:r w:rsidRPr="00342AC4">
        <w:rPr>
          <w:vertAlign w:val="subscript"/>
        </w:rPr>
        <w:t>2</w:t>
      </w:r>
      <w:r w:rsidRPr="00342AC4">
        <w:t xml:space="preserve"> Removal from Natural Gas Using Hollow    Fiber Membrane Modules, Korean Chem. Eng. Res. 60:51-61</w:t>
      </w:r>
      <w:r w:rsidR="00244D87" w:rsidRPr="00342AC4">
        <w:t>.</w:t>
      </w:r>
    </w:p>
    <w:p w14:paraId="47BA0F6C" w14:textId="46DA8DA0" w:rsidR="006D787C" w:rsidRPr="00342AC4" w:rsidRDefault="006D787C" w:rsidP="006D787C">
      <w:pPr>
        <w:pStyle w:val="CETReferencetext"/>
      </w:pPr>
      <w:r w:rsidRPr="00342AC4">
        <w:t>Fernández-Barquín A., Casado-Coterillo C., Irabien, Á., 2017, Separation of CO</w:t>
      </w:r>
      <w:r w:rsidRPr="00342AC4">
        <w:rPr>
          <w:vertAlign w:val="subscript"/>
        </w:rPr>
        <w:t>2</w:t>
      </w:r>
      <w:r w:rsidRPr="00342AC4">
        <w:t>-N</w:t>
      </w:r>
      <w:r w:rsidRPr="00342AC4">
        <w:rPr>
          <w:vertAlign w:val="subscript"/>
        </w:rPr>
        <w:t>2</w:t>
      </w:r>
      <w:r w:rsidRPr="00342AC4">
        <w:t xml:space="preserve"> gas mixtures: Membrane combin</w:t>
      </w:r>
      <w:r w:rsidR="00342AC4">
        <w:t>ation and temperature influence,</w:t>
      </w:r>
      <w:r w:rsidRPr="00342AC4">
        <w:t xml:space="preserve"> </w:t>
      </w:r>
      <w:r w:rsidRPr="00342AC4">
        <w:rPr>
          <w:iCs/>
        </w:rPr>
        <w:t>Separation and Purification Technology</w:t>
      </w:r>
      <w:r w:rsidRPr="00342AC4">
        <w:t xml:space="preserve">, </w:t>
      </w:r>
      <w:r w:rsidRPr="00342AC4">
        <w:rPr>
          <w:iCs/>
        </w:rPr>
        <w:t>188</w:t>
      </w:r>
      <w:r w:rsidRPr="00342AC4">
        <w:t xml:space="preserve">, 197–205. </w:t>
      </w:r>
    </w:p>
    <w:p w14:paraId="46B7A5FF" w14:textId="46E6D1B9" w:rsidR="006D787C" w:rsidRPr="00342AC4" w:rsidRDefault="006D787C" w:rsidP="006D787C">
      <w:pPr>
        <w:shd w:val="clear" w:color="auto" w:fill="FFFFFF"/>
        <w:spacing w:line="240" w:lineRule="auto"/>
        <w:rPr>
          <w:rFonts w:cs="Arial"/>
          <w:color w:val="1C1D1E"/>
          <w:szCs w:val="18"/>
        </w:rPr>
      </w:pPr>
      <w:r w:rsidRPr="00342AC4">
        <w:rPr>
          <w:rFonts w:cs="Arial"/>
          <w:color w:val="1C1D1E"/>
          <w:szCs w:val="18"/>
        </w:rPr>
        <w:t xml:space="preserve">Habib N., Shamair Z., Tara N., et al., 2020, Development of highly permeable and selective mixed matrix          </w:t>
      </w:r>
    </w:p>
    <w:p w14:paraId="46837D33" w14:textId="6C7F570A" w:rsidR="006D787C" w:rsidRPr="00342AC4" w:rsidRDefault="006D787C" w:rsidP="006D787C">
      <w:pPr>
        <w:shd w:val="clear" w:color="auto" w:fill="FFFFFF"/>
        <w:spacing w:line="240" w:lineRule="auto"/>
        <w:rPr>
          <w:rFonts w:cs="Arial"/>
          <w:color w:val="1C1D1E"/>
          <w:szCs w:val="18"/>
        </w:rPr>
      </w:pPr>
      <w:r w:rsidRPr="00342AC4">
        <w:rPr>
          <w:rFonts w:cs="Arial"/>
          <w:color w:val="1C1D1E"/>
          <w:szCs w:val="18"/>
        </w:rPr>
        <w:t xml:space="preserve">      membranes based on Pebax®1657 and NOTT-300 for CO</w:t>
      </w:r>
      <w:r w:rsidRPr="00342AC4">
        <w:rPr>
          <w:rFonts w:cs="Arial"/>
          <w:color w:val="1C1D1E"/>
          <w:szCs w:val="18"/>
          <w:vertAlign w:val="subscript"/>
        </w:rPr>
        <w:t>2</w:t>
      </w:r>
      <w:r w:rsidRPr="00342AC4">
        <w:rPr>
          <w:rFonts w:cs="Arial"/>
          <w:color w:val="1C1D1E"/>
          <w:szCs w:val="18"/>
        </w:rPr>
        <w:t> capture, </w:t>
      </w:r>
      <w:r w:rsidRPr="00342AC4">
        <w:rPr>
          <w:rFonts w:cs="Arial"/>
          <w:iCs/>
          <w:color w:val="1C1D1E"/>
          <w:szCs w:val="18"/>
        </w:rPr>
        <w:t>Sep. Purif</w:t>
      </w:r>
      <w:r w:rsidR="00342AC4">
        <w:rPr>
          <w:rFonts w:cs="Arial"/>
          <w:iCs/>
          <w:color w:val="1C1D1E"/>
          <w:szCs w:val="18"/>
        </w:rPr>
        <w:t>.</w:t>
      </w:r>
      <w:r w:rsidR="00AD7C6D" w:rsidRPr="00342AC4">
        <w:rPr>
          <w:rFonts w:cs="Arial"/>
          <w:iCs/>
          <w:color w:val="1C1D1E"/>
          <w:szCs w:val="18"/>
        </w:rPr>
        <w:t xml:space="preserve"> Techno</w:t>
      </w:r>
      <w:r w:rsidRPr="00342AC4">
        <w:rPr>
          <w:rFonts w:cs="Arial"/>
          <w:color w:val="1C1D1E"/>
          <w:szCs w:val="18"/>
        </w:rPr>
        <w:t>., </w:t>
      </w:r>
      <w:r w:rsidRPr="00342AC4">
        <w:rPr>
          <w:rFonts w:cs="Arial"/>
          <w:bCs/>
          <w:color w:val="1C1D1E"/>
          <w:szCs w:val="18"/>
        </w:rPr>
        <w:t>234</w:t>
      </w:r>
      <w:r w:rsidRPr="00342AC4">
        <w:rPr>
          <w:rFonts w:cs="Arial"/>
          <w:color w:val="1C1D1E"/>
          <w:szCs w:val="18"/>
        </w:rPr>
        <w:t>:116101.</w:t>
      </w:r>
    </w:p>
    <w:p w14:paraId="04DA533B" w14:textId="3D66ECE9" w:rsidR="006D787C" w:rsidRPr="00342AC4" w:rsidRDefault="006D787C" w:rsidP="006D787C">
      <w:pPr>
        <w:pStyle w:val="CETReferencetext"/>
        <w:rPr>
          <w:rStyle w:val="Hyperlink"/>
          <w:color w:val="auto"/>
          <w:u w:val="none"/>
        </w:rPr>
      </w:pPr>
      <w:r w:rsidRPr="00342AC4">
        <w:t>Hu L., Clark K., Alebrahim T., Lin H., 2022, Mixed matrix membranes for post-combustion carbon capture: from materials design to membrane engineering, </w:t>
      </w:r>
      <w:r w:rsidRPr="00342AC4">
        <w:rPr>
          <w:iCs/>
        </w:rPr>
        <w:t>J Memb Sci</w:t>
      </w:r>
      <w:r w:rsidRPr="00342AC4">
        <w:t>. 2022; </w:t>
      </w:r>
      <w:r w:rsidRPr="00342AC4">
        <w:rPr>
          <w:bCs/>
        </w:rPr>
        <w:t>644</w:t>
      </w:r>
      <w:r w:rsidRPr="00342AC4">
        <w:t>:120140.</w:t>
      </w:r>
    </w:p>
    <w:p w14:paraId="7C7A5F70" w14:textId="376D71B4" w:rsidR="006D787C" w:rsidRPr="00342AC4" w:rsidRDefault="006D787C" w:rsidP="006D787C">
      <w:pPr>
        <w:pStyle w:val="CETReferencetext"/>
      </w:pPr>
      <w:r w:rsidRPr="00342AC4">
        <w:t>Jasim D.J., Mohammed T.J., Harharah H.N., Harharah R.H., Amari A., Abid M.F., 2023, Modeling and Optimal          Operating Conditions of Hollow Fiber Membrane for CO</w:t>
      </w:r>
      <w:r w:rsidRPr="00342AC4">
        <w:rPr>
          <w:vertAlign w:val="subscript"/>
        </w:rPr>
        <w:t>2</w:t>
      </w:r>
      <w:r w:rsidRPr="00342AC4">
        <w:t>/CH</w:t>
      </w:r>
      <w:r w:rsidRPr="00342AC4">
        <w:rPr>
          <w:vertAlign w:val="subscript"/>
        </w:rPr>
        <w:t>4</w:t>
      </w:r>
      <w:r w:rsidR="00342AC4">
        <w:t xml:space="preserve"> Separation,</w:t>
      </w:r>
      <w:r w:rsidRPr="00342AC4">
        <w:t> </w:t>
      </w:r>
      <w:r w:rsidRPr="00342AC4">
        <w:rPr>
          <w:iCs/>
        </w:rPr>
        <w:t>Membranes</w:t>
      </w:r>
      <w:r w:rsidRPr="00342AC4">
        <w:t> </w:t>
      </w:r>
      <w:r w:rsidRPr="00342AC4">
        <w:rPr>
          <w:iCs/>
        </w:rPr>
        <w:t>13</w:t>
      </w:r>
      <w:r w:rsidRPr="00342AC4">
        <w:t>(6): 557–557</w:t>
      </w:r>
      <w:r w:rsidR="00244D87" w:rsidRPr="00342AC4">
        <w:t>.</w:t>
      </w:r>
    </w:p>
    <w:p w14:paraId="436A98C1" w14:textId="7F0D7B2C" w:rsidR="006D787C" w:rsidRPr="00342AC4" w:rsidRDefault="006D787C" w:rsidP="006D787C">
      <w:pPr>
        <w:pStyle w:val="CETReferencetext"/>
        <w:rPr>
          <w:iCs/>
          <w:color w:val="000000"/>
        </w:rPr>
      </w:pPr>
      <w:r w:rsidRPr="00342AC4">
        <w:rPr>
          <w:color w:val="000000"/>
        </w:rPr>
        <w:t>Jong, H.K., 2022, Grand Challenges in Memb</w:t>
      </w:r>
      <w:r w:rsidR="00342AC4">
        <w:rPr>
          <w:color w:val="000000"/>
        </w:rPr>
        <w:t>rane Applications-Gas and Vapor,</w:t>
      </w:r>
      <w:r w:rsidRPr="00342AC4">
        <w:rPr>
          <w:color w:val="000000"/>
        </w:rPr>
        <w:t xml:space="preserve"> </w:t>
      </w:r>
      <w:r w:rsidR="00D05853">
        <w:rPr>
          <w:iCs/>
          <w:color w:val="000000"/>
        </w:rPr>
        <w:t xml:space="preserve">Frontiers in </w:t>
      </w:r>
      <w:r w:rsidRPr="00342AC4">
        <w:rPr>
          <w:iCs/>
          <w:color w:val="000000"/>
        </w:rPr>
        <w:t xml:space="preserve">Membrane </w:t>
      </w:r>
    </w:p>
    <w:p w14:paraId="6B72F422" w14:textId="6E8D17C5" w:rsidR="006D787C" w:rsidRPr="00342AC4" w:rsidRDefault="006D787C" w:rsidP="006D787C">
      <w:pPr>
        <w:pStyle w:val="CETReferencetext"/>
        <w:ind w:firstLine="0"/>
        <w:rPr>
          <w:rStyle w:val="Hyperlink"/>
          <w:rFonts w:eastAsiaTheme="majorEastAsia" w:cs="Arial"/>
          <w:szCs w:val="18"/>
        </w:rPr>
      </w:pPr>
      <w:r w:rsidRPr="00342AC4">
        <w:rPr>
          <w:iCs/>
          <w:color w:val="000000"/>
        </w:rPr>
        <w:t>Science and Technology</w:t>
      </w:r>
      <w:r w:rsidR="00203CE5">
        <w:rPr>
          <w:iCs/>
          <w:color w:val="000000"/>
        </w:rPr>
        <w:t>,</w:t>
      </w:r>
      <w:r w:rsidRPr="00342AC4">
        <w:rPr>
          <w:color w:val="000000"/>
        </w:rPr>
        <w:t> </w:t>
      </w:r>
      <w:r w:rsidRPr="00342AC4">
        <w:rPr>
          <w:iCs/>
          <w:color w:val="000000"/>
        </w:rPr>
        <w:t>1</w:t>
      </w:r>
      <w:r w:rsidR="00244D87" w:rsidRPr="00342AC4">
        <w:rPr>
          <w:color w:val="000000"/>
        </w:rPr>
        <w:t>.</w:t>
      </w:r>
    </w:p>
    <w:p w14:paraId="340CBC41" w14:textId="01FACBF4" w:rsidR="006D787C" w:rsidRPr="00342AC4" w:rsidRDefault="006D787C" w:rsidP="006D787C">
      <w:pPr>
        <w:pStyle w:val="CETReferencetext"/>
      </w:pPr>
      <w:r w:rsidRPr="00342AC4">
        <w:t>Kratky L., Kolacny J., Sulc R., 2021, Experimental Study on CO</w:t>
      </w:r>
      <w:r w:rsidRPr="00342AC4">
        <w:rPr>
          <w:vertAlign w:val="subscript"/>
        </w:rPr>
        <w:t>2</w:t>
      </w:r>
      <w:r w:rsidRPr="00342AC4">
        <w:t xml:space="preserve"> Me</w:t>
      </w:r>
      <w:r w:rsidR="00342AC4">
        <w:t>mbrane Separation from Flue Gas</w:t>
      </w:r>
      <w:r w:rsidRPr="00342AC4">
        <w:t>, Chemical Engineering Transactions, 86, 1075-1080</w:t>
      </w:r>
      <w:r w:rsidR="00244D87" w:rsidRPr="00342AC4">
        <w:t>.</w:t>
      </w:r>
    </w:p>
    <w:p w14:paraId="679EE5D9" w14:textId="18EA7C86" w:rsidR="006D787C" w:rsidRPr="00342AC4" w:rsidRDefault="006D787C" w:rsidP="006D787C">
      <w:pPr>
        <w:pStyle w:val="CETReferencetext"/>
        <w:rPr>
          <w:rStyle w:val="url"/>
          <w:rFonts w:cs="Arial"/>
          <w:color w:val="05103E"/>
          <w:szCs w:val="18"/>
          <w:bdr w:val="single" w:sz="2" w:space="0" w:color="ECEDEE" w:frame="1"/>
        </w:rPr>
      </w:pPr>
      <w:r w:rsidRPr="00342AC4">
        <w:t>Michailos S., Gibbins J., 2022, A modelling study of Post-Combustion capture plant process conditions to facilitate 95–99% CO</w:t>
      </w:r>
      <w:r w:rsidRPr="00342AC4">
        <w:rPr>
          <w:vertAlign w:val="subscript"/>
        </w:rPr>
        <w:t>2</w:t>
      </w:r>
      <w:r w:rsidRPr="00342AC4">
        <w:t xml:space="preserve"> capture levels from gas turbine flue gases,</w:t>
      </w:r>
      <w:r w:rsidR="00203CE5">
        <w:t xml:space="preserve"> Frontiers in Energy Research, 10.</w:t>
      </w:r>
    </w:p>
    <w:p w14:paraId="55E4A6AC" w14:textId="4961153A" w:rsidR="006D787C" w:rsidRPr="00342AC4" w:rsidRDefault="006D787C" w:rsidP="006D787C">
      <w:pPr>
        <w:pStyle w:val="CETReferencetext"/>
      </w:pPr>
      <w:r w:rsidRPr="00342AC4">
        <w:t>Nedoma M., Netušil M., 2021, CO</w:t>
      </w:r>
      <w:r w:rsidRPr="00342AC4">
        <w:rPr>
          <w:vertAlign w:val="subscript"/>
        </w:rPr>
        <w:t>2</w:t>
      </w:r>
      <w:r w:rsidRPr="00342AC4">
        <w:t xml:space="preserve"> Separation from Flue Gases by Adsorption, Chemical Engineering Transactions, 88, 421-426</w:t>
      </w:r>
      <w:r w:rsidR="00244D87" w:rsidRPr="00342AC4">
        <w:t>.</w:t>
      </w:r>
    </w:p>
    <w:p w14:paraId="48A73C7B" w14:textId="55E31BD0" w:rsidR="007A0223" w:rsidRPr="00342AC4" w:rsidRDefault="006D787C" w:rsidP="007A0223">
      <w:pPr>
        <w:pStyle w:val="CETReferencetext"/>
      </w:pPr>
      <w:r w:rsidRPr="00342AC4">
        <w:t>Seghman P., Kratky L., Jirout T., 2022, Selectivity and S</w:t>
      </w:r>
      <w:r w:rsidR="00D05853">
        <w:t>eparation Factor for Components d</w:t>
      </w:r>
      <w:r w:rsidRPr="00342AC4">
        <w:t>uring Multicomponent Membrane Gas Separation, Chemical Engineering Transactions, 92, 109-114</w:t>
      </w:r>
      <w:r w:rsidR="00244D87" w:rsidRPr="00342AC4">
        <w:t>.</w:t>
      </w:r>
      <w:r w:rsidRPr="00342AC4">
        <w:t xml:space="preserve"> </w:t>
      </w:r>
    </w:p>
    <w:p w14:paraId="05966B53" w14:textId="15154584" w:rsidR="00F90D3C" w:rsidRPr="00342AC4" w:rsidRDefault="00F90D3C" w:rsidP="007A0223">
      <w:pPr>
        <w:pStyle w:val="CETReferencetext"/>
      </w:pPr>
      <w:r w:rsidRPr="00342AC4">
        <w:t xml:space="preserve">Thundyil M. J., Jois Y. H., Koros W. J., 1999, Effect of permeate pressure on the mixed gas permeation of carbon dioxide and methane in a glassy polyimide, </w:t>
      </w:r>
      <w:r w:rsidRPr="00342AC4">
        <w:rPr>
          <w:iCs/>
        </w:rPr>
        <w:t>Journal of membrane science</w:t>
      </w:r>
      <w:r w:rsidRPr="00342AC4">
        <w:t xml:space="preserve">, </w:t>
      </w:r>
      <w:r w:rsidRPr="00342AC4">
        <w:rPr>
          <w:iCs/>
        </w:rPr>
        <w:t>152</w:t>
      </w:r>
      <w:r w:rsidRPr="00342AC4">
        <w:t>(1), 29-40.</w:t>
      </w:r>
    </w:p>
    <w:p w14:paraId="5744E234" w14:textId="7EDFE625" w:rsidR="006D787C" w:rsidRPr="00342AC4" w:rsidRDefault="006D787C" w:rsidP="006D787C">
      <w:pPr>
        <w:pStyle w:val="CETReferencetext"/>
        <w:rPr>
          <w:rStyle w:val="url"/>
          <w:rFonts w:cs="Arial"/>
          <w:color w:val="05103E"/>
          <w:szCs w:val="18"/>
          <w:bdr w:val="single" w:sz="2" w:space="0" w:color="ECEDEE" w:frame="1"/>
        </w:rPr>
      </w:pPr>
      <w:r w:rsidRPr="00342AC4">
        <w:t>Wang X., Song C., 2020, Carbon capture from flue Gas an</w:t>
      </w:r>
      <w:r w:rsidR="00342AC4">
        <w:t>d the Atmosphere: A perspective,</w:t>
      </w:r>
      <w:r w:rsidRPr="00342AC4">
        <w:t> </w:t>
      </w:r>
      <w:r w:rsidR="00203CE5">
        <w:t>Frontiers in Energy Research, 8.</w:t>
      </w:r>
    </w:p>
    <w:p w14:paraId="51EEB39E" w14:textId="279D5CC6" w:rsidR="006D787C" w:rsidRPr="00342AC4" w:rsidRDefault="006D787C" w:rsidP="006D787C">
      <w:pPr>
        <w:pStyle w:val="CETReferencetext"/>
      </w:pPr>
      <w:r w:rsidRPr="00342AC4">
        <w:t>Xu B., Zhao Y., Zhao C., Wei J., 2022, Effect of different CO</w:t>
      </w:r>
      <w:r w:rsidRPr="00342AC4">
        <w:rPr>
          <w:vertAlign w:val="subscript"/>
        </w:rPr>
        <w:t>2</w:t>
      </w:r>
      <w:r w:rsidRPr="00342AC4">
        <w:t xml:space="preserve"> concentrations on biogas upgrading and nutrient removal by microalgae-fungi co-culture, Environmental</w:t>
      </w:r>
      <w:r w:rsidR="00244D87" w:rsidRPr="00342AC4">
        <w:t xml:space="preserve"> Science and Pollution Research.</w:t>
      </w:r>
      <w:r w:rsidRPr="00342AC4">
        <w:t xml:space="preserve"> </w:t>
      </w:r>
    </w:p>
    <w:p w14:paraId="59EE300A" w14:textId="77777777" w:rsidR="00203CE5" w:rsidRDefault="004E0DE7" w:rsidP="003A6802">
      <w:pPr>
        <w:pStyle w:val="CETReferencetext"/>
      </w:pPr>
      <w:r w:rsidRPr="00342AC4">
        <w:t>Yan M., Huan</w:t>
      </w:r>
      <w:r w:rsidR="00C63668" w:rsidRPr="00342AC4">
        <w:t xml:space="preserve"> Q., Zhang Y., Fang W., Chen F., Pariatamby A., Kanchanatip</w:t>
      </w:r>
      <w:r w:rsidRPr="00342AC4">
        <w:t xml:space="preserve"> E.,</w:t>
      </w:r>
      <w:r w:rsidR="00C63668" w:rsidRPr="00342AC4">
        <w:t xml:space="preserve"> Wibowo H.</w:t>
      </w:r>
      <w:r w:rsidRPr="00342AC4">
        <w:t>,</w:t>
      </w:r>
      <w:r w:rsidR="00C63668" w:rsidRPr="00342AC4">
        <w:t xml:space="preserve"> 2022</w:t>
      </w:r>
      <w:r w:rsidRPr="00342AC4">
        <w:t>,</w:t>
      </w:r>
      <w:r w:rsidR="00C63668" w:rsidRPr="00342AC4">
        <w:t xml:space="preserve"> Effect of operating parameters on CO</w:t>
      </w:r>
      <w:r w:rsidR="00C63668" w:rsidRPr="00342AC4">
        <w:rPr>
          <w:vertAlign w:val="subscript"/>
        </w:rPr>
        <w:t>2</w:t>
      </w:r>
      <w:r w:rsidR="00C63668" w:rsidRPr="00342AC4">
        <w:t xml:space="preserve"> capture from biogas with choline chloride—monoethanolamine deep eutectic s</w:t>
      </w:r>
      <w:r w:rsidRPr="00342AC4">
        <w:t>olvent and its aqueous solution,</w:t>
      </w:r>
      <w:r w:rsidR="00C63668" w:rsidRPr="00342AC4">
        <w:t xml:space="preserve"> </w:t>
      </w:r>
      <w:r w:rsidR="00C63668" w:rsidRPr="00342AC4">
        <w:rPr>
          <w:iCs/>
        </w:rPr>
        <w:t>Biomass Conversion and Biorefinery</w:t>
      </w:r>
      <w:r w:rsidR="00C63668" w:rsidRPr="00342AC4">
        <w:t xml:space="preserve">, </w:t>
      </w:r>
      <w:r w:rsidR="00C63668" w:rsidRPr="00342AC4">
        <w:rPr>
          <w:iCs/>
        </w:rPr>
        <w:t>14</w:t>
      </w:r>
      <w:r w:rsidR="00244D87" w:rsidRPr="00342AC4">
        <w:t>(1), 283–297.</w:t>
      </w:r>
    </w:p>
    <w:p w14:paraId="286E15B9" w14:textId="094FD3F1" w:rsidR="00C63668" w:rsidRPr="00D05853" w:rsidRDefault="00203CE5" w:rsidP="003A6802">
      <w:pPr>
        <w:pStyle w:val="CETReferencetext"/>
      </w:pPr>
      <w:r w:rsidRPr="00D05853">
        <w:t>Yang Y., Zhou T., Cheng M., Xie M., Shi N., Liu T., Huang Z., Zhao Y., Huang Q., Liu Z., Li B. 2024, Recent advances in organic waste pyrolysis and gasification in a CO</w:t>
      </w:r>
      <w:r w:rsidRPr="00D05853">
        <w:rPr>
          <w:vertAlign w:val="subscript"/>
        </w:rPr>
        <w:t>2</w:t>
      </w:r>
      <w:r w:rsidRPr="00D05853">
        <w:t xml:space="preserve"> environment to value-added products, Journal of Environmental Management, 356, 120666.</w:t>
      </w:r>
    </w:p>
    <w:p w14:paraId="5726EFB2" w14:textId="7CFA764D" w:rsidR="00F90D3C" w:rsidRPr="00342AC4" w:rsidRDefault="00F90D3C" w:rsidP="00F90D3C">
      <w:pPr>
        <w:pStyle w:val="CETReferencetext"/>
      </w:pPr>
      <w:r w:rsidRPr="00342AC4">
        <w:t>Zhang M., Deng L., Xiang D., Cao B., Hosseini S., Li P., 2019, Approaches to suppress CO2-Induced plasticization of polyimide membranes in gas separation applications, Processes, 7(1), 51. </w:t>
      </w:r>
    </w:p>
    <w:p w14:paraId="51094642" w14:textId="77777777" w:rsidR="0041181D" w:rsidRPr="00342AC4" w:rsidRDefault="0041181D" w:rsidP="0041181D">
      <w:pPr>
        <w:pStyle w:val="CETReferencetext"/>
      </w:pPr>
      <w:r w:rsidRPr="00342AC4">
        <w:t>Zuberi S., Arman S., Rao P., 2024, Cross-sectoral assessment of CO</w:t>
      </w:r>
      <w:r w:rsidRPr="00342AC4">
        <w:rPr>
          <w:vertAlign w:val="subscript"/>
        </w:rPr>
        <w:t>2</w:t>
      </w:r>
      <w:r w:rsidRPr="00342AC4">
        <w:t xml:space="preserve"> capture from U.S. industrial flue </w:t>
      </w:r>
    </w:p>
    <w:p w14:paraId="6BD944C4" w14:textId="38C097E0" w:rsidR="0041181D" w:rsidRPr="00342AC4" w:rsidRDefault="0041181D" w:rsidP="0041181D">
      <w:pPr>
        <w:pStyle w:val="CETReferencetext"/>
      </w:pPr>
      <w:r w:rsidRPr="00342AC4">
        <w:t xml:space="preserve">      gases for </w:t>
      </w:r>
      <w:r w:rsidR="00F90D3C" w:rsidRPr="00342AC4">
        <w:t>fuels and chemicals manufacture,</w:t>
      </w:r>
      <w:r w:rsidRPr="00342AC4">
        <w:t> </w:t>
      </w:r>
      <w:r w:rsidRPr="00342AC4">
        <w:rPr>
          <w:iCs/>
        </w:rPr>
        <w:t>International Journal of Greenhouse Gas Control</w:t>
      </w:r>
      <w:r w:rsidRPr="00342AC4">
        <w:t>, </w:t>
      </w:r>
      <w:r w:rsidRPr="00342AC4">
        <w:rPr>
          <w:iCs/>
        </w:rPr>
        <w:t>135</w:t>
      </w:r>
      <w:r w:rsidRPr="00342AC4">
        <w:t xml:space="preserve">, </w:t>
      </w:r>
    </w:p>
    <w:p w14:paraId="19C4FC68" w14:textId="697E056F" w:rsidR="004628D2" w:rsidRPr="00342AC4" w:rsidRDefault="0041181D" w:rsidP="00AB31D4">
      <w:pPr>
        <w:pStyle w:val="CETReferencetext"/>
      </w:pPr>
      <w:r w:rsidRPr="00342AC4">
        <w:t xml:space="preserve">      104137–104137</w:t>
      </w:r>
      <w:r w:rsidR="00244D87" w:rsidRPr="00342AC4">
        <w:t>.</w:t>
      </w:r>
    </w:p>
    <w:sectPr w:rsidR="004628D2" w:rsidRPr="00342AC4" w:rsidSect="002D553C">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DCB5DF" w16cex:dateUtc="2024-11-26T16:14:00Z"/>
  <w16cex:commentExtensible w16cex:durableId="5724E6D3" w16cex:dateUtc="2024-11-26T16:16:00Z"/>
  <w16cex:commentExtensible w16cex:durableId="6A6B830A" w16cex:dateUtc="2024-11-26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F8CCAB" w16cid:durableId="22DCB5DF"/>
  <w16cid:commentId w16cid:paraId="7CC4F2D7" w16cid:durableId="5724E6D3"/>
  <w16cid:commentId w16cid:paraId="65BA88CB" w16cid:durableId="6A6B83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768C" w14:textId="77777777" w:rsidR="00984629" w:rsidRDefault="00984629" w:rsidP="004F5E36">
      <w:r>
        <w:separator/>
      </w:r>
    </w:p>
  </w:endnote>
  <w:endnote w:type="continuationSeparator" w:id="0">
    <w:p w14:paraId="5F73CA19" w14:textId="77777777" w:rsidR="00984629" w:rsidRDefault="0098462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951BF" w14:textId="77777777" w:rsidR="00984629" w:rsidRDefault="00984629" w:rsidP="004F5E36">
      <w:r>
        <w:separator/>
      </w:r>
    </w:p>
  </w:footnote>
  <w:footnote w:type="continuationSeparator" w:id="0">
    <w:p w14:paraId="5F3A0A97" w14:textId="77777777" w:rsidR="00984629" w:rsidRDefault="0098462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0215"/>
    <w:rsid w:val="000027C0"/>
    <w:rsid w:val="000052FB"/>
    <w:rsid w:val="000059A2"/>
    <w:rsid w:val="00005A19"/>
    <w:rsid w:val="000117CB"/>
    <w:rsid w:val="0003148D"/>
    <w:rsid w:val="00031EEC"/>
    <w:rsid w:val="00051566"/>
    <w:rsid w:val="000562A9"/>
    <w:rsid w:val="00062A9A"/>
    <w:rsid w:val="00065058"/>
    <w:rsid w:val="00086C39"/>
    <w:rsid w:val="000A03B2"/>
    <w:rsid w:val="000A53D0"/>
    <w:rsid w:val="000B6187"/>
    <w:rsid w:val="000C302B"/>
    <w:rsid w:val="000D0268"/>
    <w:rsid w:val="000D34BE"/>
    <w:rsid w:val="000E0B3C"/>
    <w:rsid w:val="000E102F"/>
    <w:rsid w:val="000E36F1"/>
    <w:rsid w:val="000E3A73"/>
    <w:rsid w:val="000E414A"/>
    <w:rsid w:val="000E4E29"/>
    <w:rsid w:val="000E75FD"/>
    <w:rsid w:val="000F093C"/>
    <w:rsid w:val="000F787B"/>
    <w:rsid w:val="00110889"/>
    <w:rsid w:val="0012091F"/>
    <w:rsid w:val="00123409"/>
    <w:rsid w:val="00123941"/>
    <w:rsid w:val="00126BC2"/>
    <w:rsid w:val="001308B6"/>
    <w:rsid w:val="0013121F"/>
    <w:rsid w:val="00131FE6"/>
    <w:rsid w:val="00132020"/>
    <w:rsid w:val="0013263F"/>
    <w:rsid w:val="001331DF"/>
    <w:rsid w:val="001348E2"/>
    <w:rsid w:val="00134C57"/>
    <w:rsid w:val="00134DE4"/>
    <w:rsid w:val="0014034D"/>
    <w:rsid w:val="00140FE3"/>
    <w:rsid w:val="00144D16"/>
    <w:rsid w:val="001463D4"/>
    <w:rsid w:val="00146D21"/>
    <w:rsid w:val="00150E59"/>
    <w:rsid w:val="00152DE3"/>
    <w:rsid w:val="0015428B"/>
    <w:rsid w:val="00154D0E"/>
    <w:rsid w:val="00163DD9"/>
    <w:rsid w:val="00164513"/>
    <w:rsid w:val="00164CF9"/>
    <w:rsid w:val="0016668E"/>
    <w:rsid w:val="001667A6"/>
    <w:rsid w:val="00177F86"/>
    <w:rsid w:val="0018171E"/>
    <w:rsid w:val="0018387D"/>
    <w:rsid w:val="0018400B"/>
    <w:rsid w:val="00184AD6"/>
    <w:rsid w:val="00186FB7"/>
    <w:rsid w:val="00187993"/>
    <w:rsid w:val="001967A0"/>
    <w:rsid w:val="001A1ED8"/>
    <w:rsid w:val="001A4AF7"/>
    <w:rsid w:val="001A5602"/>
    <w:rsid w:val="001B0349"/>
    <w:rsid w:val="001B1E93"/>
    <w:rsid w:val="001B65C1"/>
    <w:rsid w:val="001B79C3"/>
    <w:rsid w:val="001C260F"/>
    <w:rsid w:val="001C5C3A"/>
    <w:rsid w:val="001C684B"/>
    <w:rsid w:val="001C7437"/>
    <w:rsid w:val="001D0CFB"/>
    <w:rsid w:val="001D21AF"/>
    <w:rsid w:val="001D2C29"/>
    <w:rsid w:val="001D31E9"/>
    <w:rsid w:val="001D3D32"/>
    <w:rsid w:val="001D53FC"/>
    <w:rsid w:val="001E21DB"/>
    <w:rsid w:val="001E53DB"/>
    <w:rsid w:val="001E55A3"/>
    <w:rsid w:val="001F42A5"/>
    <w:rsid w:val="001F54D2"/>
    <w:rsid w:val="001F7B9D"/>
    <w:rsid w:val="00201427"/>
    <w:rsid w:val="00201C93"/>
    <w:rsid w:val="00203CE5"/>
    <w:rsid w:val="00204E29"/>
    <w:rsid w:val="002224B4"/>
    <w:rsid w:val="00226847"/>
    <w:rsid w:val="002447EF"/>
    <w:rsid w:val="00244D87"/>
    <w:rsid w:val="00245C00"/>
    <w:rsid w:val="00251550"/>
    <w:rsid w:val="0025450A"/>
    <w:rsid w:val="00254D1F"/>
    <w:rsid w:val="002607AB"/>
    <w:rsid w:val="00263B05"/>
    <w:rsid w:val="0027221A"/>
    <w:rsid w:val="00274682"/>
    <w:rsid w:val="00275B61"/>
    <w:rsid w:val="00280FAF"/>
    <w:rsid w:val="00282656"/>
    <w:rsid w:val="0028349A"/>
    <w:rsid w:val="002913C8"/>
    <w:rsid w:val="00296B83"/>
    <w:rsid w:val="002B4015"/>
    <w:rsid w:val="002B78CE"/>
    <w:rsid w:val="002C1CD2"/>
    <w:rsid w:val="002C2FB6"/>
    <w:rsid w:val="002D553C"/>
    <w:rsid w:val="002E5FA7"/>
    <w:rsid w:val="002F3309"/>
    <w:rsid w:val="003008CE"/>
    <w:rsid w:val="003009B7"/>
    <w:rsid w:val="00300E56"/>
    <w:rsid w:val="0030152C"/>
    <w:rsid w:val="00303830"/>
    <w:rsid w:val="0030469C"/>
    <w:rsid w:val="00304CE8"/>
    <w:rsid w:val="003072A5"/>
    <w:rsid w:val="00307DD8"/>
    <w:rsid w:val="003112F0"/>
    <w:rsid w:val="00321CA6"/>
    <w:rsid w:val="00323763"/>
    <w:rsid w:val="00323C5F"/>
    <w:rsid w:val="00334596"/>
    <w:rsid w:val="00334C09"/>
    <w:rsid w:val="00342AC4"/>
    <w:rsid w:val="00344879"/>
    <w:rsid w:val="003573CC"/>
    <w:rsid w:val="003723D4"/>
    <w:rsid w:val="00380402"/>
    <w:rsid w:val="00381905"/>
    <w:rsid w:val="00384CC8"/>
    <w:rsid w:val="003871FD"/>
    <w:rsid w:val="003872AE"/>
    <w:rsid w:val="00394F3C"/>
    <w:rsid w:val="003A1E30"/>
    <w:rsid w:val="003A2829"/>
    <w:rsid w:val="003A3398"/>
    <w:rsid w:val="003A6802"/>
    <w:rsid w:val="003A7D1C"/>
    <w:rsid w:val="003B304B"/>
    <w:rsid w:val="003B3146"/>
    <w:rsid w:val="003B49CD"/>
    <w:rsid w:val="003C5E1D"/>
    <w:rsid w:val="003C7636"/>
    <w:rsid w:val="003D1E02"/>
    <w:rsid w:val="003D2216"/>
    <w:rsid w:val="003F015E"/>
    <w:rsid w:val="00400414"/>
    <w:rsid w:val="00402143"/>
    <w:rsid w:val="0041181D"/>
    <w:rsid w:val="0041446B"/>
    <w:rsid w:val="004267B7"/>
    <w:rsid w:val="00427AF5"/>
    <w:rsid w:val="0044071E"/>
    <w:rsid w:val="0044329C"/>
    <w:rsid w:val="004455B4"/>
    <w:rsid w:val="00446A05"/>
    <w:rsid w:val="00450F1A"/>
    <w:rsid w:val="00453E24"/>
    <w:rsid w:val="00457456"/>
    <w:rsid w:val="004577FE"/>
    <w:rsid w:val="00457B9C"/>
    <w:rsid w:val="0046164A"/>
    <w:rsid w:val="004628D2"/>
    <w:rsid w:val="00462DCD"/>
    <w:rsid w:val="004648AD"/>
    <w:rsid w:val="00465761"/>
    <w:rsid w:val="004703A9"/>
    <w:rsid w:val="004760DE"/>
    <w:rsid w:val="004763D7"/>
    <w:rsid w:val="004A004E"/>
    <w:rsid w:val="004A24CF"/>
    <w:rsid w:val="004C3D1D"/>
    <w:rsid w:val="004C3D84"/>
    <w:rsid w:val="004C7913"/>
    <w:rsid w:val="004D4F81"/>
    <w:rsid w:val="004D743C"/>
    <w:rsid w:val="004D7FC8"/>
    <w:rsid w:val="004E0DE7"/>
    <w:rsid w:val="004E17FE"/>
    <w:rsid w:val="004E2968"/>
    <w:rsid w:val="004E4DD6"/>
    <w:rsid w:val="004F32FE"/>
    <w:rsid w:val="004F5E36"/>
    <w:rsid w:val="004F6658"/>
    <w:rsid w:val="00504EC2"/>
    <w:rsid w:val="00507B47"/>
    <w:rsid w:val="00507BEF"/>
    <w:rsid w:val="00507CC9"/>
    <w:rsid w:val="005119A5"/>
    <w:rsid w:val="005278B7"/>
    <w:rsid w:val="00532016"/>
    <w:rsid w:val="005345CD"/>
    <w:rsid w:val="005346C8"/>
    <w:rsid w:val="00543E7D"/>
    <w:rsid w:val="00547A68"/>
    <w:rsid w:val="005531C9"/>
    <w:rsid w:val="00554879"/>
    <w:rsid w:val="005573FD"/>
    <w:rsid w:val="00561798"/>
    <w:rsid w:val="00564625"/>
    <w:rsid w:val="005651B7"/>
    <w:rsid w:val="00570785"/>
    <w:rsid w:val="00570C43"/>
    <w:rsid w:val="00576CE7"/>
    <w:rsid w:val="00586004"/>
    <w:rsid w:val="00592274"/>
    <w:rsid w:val="005A3A21"/>
    <w:rsid w:val="005B2110"/>
    <w:rsid w:val="005B350B"/>
    <w:rsid w:val="005B61E6"/>
    <w:rsid w:val="005C713F"/>
    <w:rsid w:val="005C77E1"/>
    <w:rsid w:val="005D1568"/>
    <w:rsid w:val="005D668A"/>
    <w:rsid w:val="005D6A2F"/>
    <w:rsid w:val="005D759B"/>
    <w:rsid w:val="005E0592"/>
    <w:rsid w:val="005E0786"/>
    <w:rsid w:val="005E1A82"/>
    <w:rsid w:val="005E794C"/>
    <w:rsid w:val="005F0A28"/>
    <w:rsid w:val="005F0E5E"/>
    <w:rsid w:val="00600535"/>
    <w:rsid w:val="00603559"/>
    <w:rsid w:val="00610CD6"/>
    <w:rsid w:val="00617425"/>
    <w:rsid w:val="00620DEE"/>
    <w:rsid w:val="00621F92"/>
    <w:rsid w:val="0062280A"/>
    <w:rsid w:val="006231E1"/>
    <w:rsid w:val="00625639"/>
    <w:rsid w:val="00626342"/>
    <w:rsid w:val="0063160B"/>
    <w:rsid w:val="00631B33"/>
    <w:rsid w:val="00632788"/>
    <w:rsid w:val="00637D03"/>
    <w:rsid w:val="00640973"/>
    <w:rsid w:val="0064184D"/>
    <w:rsid w:val="006422CC"/>
    <w:rsid w:val="006432AE"/>
    <w:rsid w:val="00645C7C"/>
    <w:rsid w:val="0065083B"/>
    <w:rsid w:val="00651D18"/>
    <w:rsid w:val="00660E3E"/>
    <w:rsid w:val="00662E74"/>
    <w:rsid w:val="00666318"/>
    <w:rsid w:val="00676F6F"/>
    <w:rsid w:val="00680C23"/>
    <w:rsid w:val="00683E23"/>
    <w:rsid w:val="00693766"/>
    <w:rsid w:val="006A2F04"/>
    <w:rsid w:val="006A3281"/>
    <w:rsid w:val="006A6DE5"/>
    <w:rsid w:val="006A7FAE"/>
    <w:rsid w:val="006B4888"/>
    <w:rsid w:val="006C2E45"/>
    <w:rsid w:val="006C359C"/>
    <w:rsid w:val="006C5579"/>
    <w:rsid w:val="006D2D68"/>
    <w:rsid w:val="006D6E8B"/>
    <w:rsid w:val="006D7209"/>
    <w:rsid w:val="006D787C"/>
    <w:rsid w:val="006E737D"/>
    <w:rsid w:val="006F75D0"/>
    <w:rsid w:val="00707DD1"/>
    <w:rsid w:val="00713973"/>
    <w:rsid w:val="00715E65"/>
    <w:rsid w:val="00720A24"/>
    <w:rsid w:val="00725DE6"/>
    <w:rsid w:val="007321D1"/>
    <w:rsid w:val="00732386"/>
    <w:rsid w:val="0073514D"/>
    <w:rsid w:val="00737010"/>
    <w:rsid w:val="00737051"/>
    <w:rsid w:val="00743F0B"/>
    <w:rsid w:val="007447F3"/>
    <w:rsid w:val="00752EB3"/>
    <w:rsid w:val="0075499F"/>
    <w:rsid w:val="00763C01"/>
    <w:rsid w:val="007661C8"/>
    <w:rsid w:val="007670A2"/>
    <w:rsid w:val="007675E9"/>
    <w:rsid w:val="0077098D"/>
    <w:rsid w:val="00772F6E"/>
    <w:rsid w:val="00783AAD"/>
    <w:rsid w:val="00785BF9"/>
    <w:rsid w:val="00791DC1"/>
    <w:rsid w:val="007931FA"/>
    <w:rsid w:val="007A0223"/>
    <w:rsid w:val="007A4861"/>
    <w:rsid w:val="007A7BBA"/>
    <w:rsid w:val="007A7DCF"/>
    <w:rsid w:val="007B0C50"/>
    <w:rsid w:val="007B48F9"/>
    <w:rsid w:val="007C144A"/>
    <w:rsid w:val="007C1A43"/>
    <w:rsid w:val="007D0951"/>
    <w:rsid w:val="007D610D"/>
    <w:rsid w:val="007D6B0F"/>
    <w:rsid w:val="007E7017"/>
    <w:rsid w:val="0080013E"/>
    <w:rsid w:val="00801759"/>
    <w:rsid w:val="0080514A"/>
    <w:rsid w:val="00813288"/>
    <w:rsid w:val="008168FC"/>
    <w:rsid w:val="00821EF4"/>
    <w:rsid w:val="00830996"/>
    <w:rsid w:val="008345F1"/>
    <w:rsid w:val="0084747C"/>
    <w:rsid w:val="00865B07"/>
    <w:rsid w:val="008663FF"/>
    <w:rsid w:val="008667EA"/>
    <w:rsid w:val="0087637F"/>
    <w:rsid w:val="0088281D"/>
    <w:rsid w:val="008863D0"/>
    <w:rsid w:val="008909D8"/>
    <w:rsid w:val="008915C1"/>
    <w:rsid w:val="00892AD5"/>
    <w:rsid w:val="00893755"/>
    <w:rsid w:val="008A07DE"/>
    <w:rsid w:val="008A0DFB"/>
    <w:rsid w:val="008A1512"/>
    <w:rsid w:val="008A55D5"/>
    <w:rsid w:val="008D32B9"/>
    <w:rsid w:val="008D433B"/>
    <w:rsid w:val="008D4A16"/>
    <w:rsid w:val="008D7EE3"/>
    <w:rsid w:val="008E5401"/>
    <w:rsid w:val="008E566E"/>
    <w:rsid w:val="00900C7F"/>
    <w:rsid w:val="0090161A"/>
    <w:rsid w:val="00901EB6"/>
    <w:rsid w:val="009041F8"/>
    <w:rsid w:val="00904C62"/>
    <w:rsid w:val="00904DCE"/>
    <w:rsid w:val="0091546E"/>
    <w:rsid w:val="00922BA8"/>
    <w:rsid w:val="00924DAC"/>
    <w:rsid w:val="00927058"/>
    <w:rsid w:val="00942750"/>
    <w:rsid w:val="009450CE"/>
    <w:rsid w:val="009459BB"/>
    <w:rsid w:val="00947179"/>
    <w:rsid w:val="0095026E"/>
    <w:rsid w:val="0095164B"/>
    <w:rsid w:val="00952CD9"/>
    <w:rsid w:val="00953C9F"/>
    <w:rsid w:val="00954090"/>
    <w:rsid w:val="00956E86"/>
    <w:rsid w:val="009573E7"/>
    <w:rsid w:val="00963E05"/>
    <w:rsid w:val="00964A45"/>
    <w:rsid w:val="00967843"/>
    <w:rsid w:val="00967D54"/>
    <w:rsid w:val="00971028"/>
    <w:rsid w:val="009715F6"/>
    <w:rsid w:val="0097409A"/>
    <w:rsid w:val="00984629"/>
    <w:rsid w:val="00984ED2"/>
    <w:rsid w:val="00993B84"/>
    <w:rsid w:val="00994C6A"/>
    <w:rsid w:val="00996483"/>
    <w:rsid w:val="00996F5A"/>
    <w:rsid w:val="009A2799"/>
    <w:rsid w:val="009B041A"/>
    <w:rsid w:val="009B6E57"/>
    <w:rsid w:val="009C37C3"/>
    <w:rsid w:val="009C6E39"/>
    <w:rsid w:val="009C7C86"/>
    <w:rsid w:val="009D2323"/>
    <w:rsid w:val="009D2FF7"/>
    <w:rsid w:val="009E5661"/>
    <w:rsid w:val="009E74BD"/>
    <w:rsid w:val="009E7884"/>
    <w:rsid w:val="009E788A"/>
    <w:rsid w:val="009F0E08"/>
    <w:rsid w:val="00A079AE"/>
    <w:rsid w:val="00A16224"/>
    <w:rsid w:val="00A1763D"/>
    <w:rsid w:val="00A17CEC"/>
    <w:rsid w:val="00A27EF0"/>
    <w:rsid w:val="00A42361"/>
    <w:rsid w:val="00A4484F"/>
    <w:rsid w:val="00A50B20"/>
    <w:rsid w:val="00A51390"/>
    <w:rsid w:val="00A60D13"/>
    <w:rsid w:val="00A7223D"/>
    <w:rsid w:val="00A72745"/>
    <w:rsid w:val="00A7436B"/>
    <w:rsid w:val="00A75D61"/>
    <w:rsid w:val="00A76EFC"/>
    <w:rsid w:val="00A7714F"/>
    <w:rsid w:val="00A87D50"/>
    <w:rsid w:val="00A91010"/>
    <w:rsid w:val="00A95145"/>
    <w:rsid w:val="00A97F29"/>
    <w:rsid w:val="00AA702E"/>
    <w:rsid w:val="00AA71DD"/>
    <w:rsid w:val="00AA7D26"/>
    <w:rsid w:val="00AB0964"/>
    <w:rsid w:val="00AB31D4"/>
    <w:rsid w:val="00AB5011"/>
    <w:rsid w:val="00AC7368"/>
    <w:rsid w:val="00AD16B9"/>
    <w:rsid w:val="00AD27D4"/>
    <w:rsid w:val="00AD3830"/>
    <w:rsid w:val="00AD7C6D"/>
    <w:rsid w:val="00AE377D"/>
    <w:rsid w:val="00AF0EBA"/>
    <w:rsid w:val="00AF2463"/>
    <w:rsid w:val="00B02C8A"/>
    <w:rsid w:val="00B17FBD"/>
    <w:rsid w:val="00B21BB5"/>
    <w:rsid w:val="00B315A6"/>
    <w:rsid w:val="00B31813"/>
    <w:rsid w:val="00B33365"/>
    <w:rsid w:val="00B411B8"/>
    <w:rsid w:val="00B57B36"/>
    <w:rsid w:val="00B57E6F"/>
    <w:rsid w:val="00B62E97"/>
    <w:rsid w:val="00B63759"/>
    <w:rsid w:val="00B8686D"/>
    <w:rsid w:val="00B93F69"/>
    <w:rsid w:val="00BB1DDC"/>
    <w:rsid w:val="00BB5194"/>
    <w:rsid w:val="00BC27B2"/>
    <w:rsid w:val="00BC29BC"/>
    <w:rsid w:val="00BC30C9"/>
    <w:rsid w:val="00BD077D"/>
    <w:rsid w:val="00BD0FD0"/>
    <w:rsid w:val="00BD2AE9"/>
    <w:rsid w:val="00BD49DA"/>
    <w:rsid w:val="00BD5A76"/>
    <w:rsid w:val="00BE28C1"/>
    <w:rsid w:val="00BE3E58"/>
    <w:rsid w:val="00BF13CE"/>
    <w:rsid w:val="00BF1977"/>
    <w:rsid w:val="00BF67B4"/>
    <w:rsid w:val="00C01616"/>
    <w:rsid w:val="00C0162B"/>
    <w:rsid w:val="00C068ED"/>
    <w:rsid w:val="00C21C96"/>
    <w:rsid w:val="00C22522"/>
    <w:rsid w:val="00C22E0C"/>
    <w:rsid w:val="00C26FDE"/>
    <w:rsid w:val="00C345B1"/>
    <w:rsid w:val="00C40142"/>
    <w:rsid w:val="00C45DDE"/>
    <w:rsid w:val="00C5170E"/>
    <w:rsid w:val="00C52C3C"/>
    <w:rsid w:val="00C54135"/>
    <w:rsid w:val="00C57182"/>
    <w:rsid w:val="00C57863"/>
    <w:rsid w:val="00C63668"/>
    <w:rsid w:val="00C640AF"/>
    <w:rsid w:val="00C64C52"/>
    <w:rsid w:val="00C655FD"/>
    <w:rsid w:val="00C6729C"/>
    <w:rsid w:val="00C75407"/>
    <w:rsid w:val="00C83EED"/>
    <w:rsid w:val="00C841C6"/>
    <w:rsid w:val="00C870A8"/>
    <w:rsid w:val="00C87D81"/>
    <w:rsid w:val="00C943BA"/>
    <w:rsid w:val="00C94434"/>
    <w:rsid w:val="00CA0D75"/>
    <w:rsid w:val="00CA1C95"/>
    <w:rsid w:val="00CA27A6"/>
    <w:rsid w:val="00CA5A9C"/>
    <w:rsid w:val="00CB4E69"/>
    <w:rsid w:val="00CC4C20"/>
    <w:rsid w:val="00CD3517"/>
    <w:rsid w:val="00CD5FE2"/>
    <w:rsid w:val="00CE7C68"/>
    <w:rsid w:val="00CF66DC"/>
    <w:rsid w:val="00D01953"/>
    <w:rsid w:val="00D02B4C"/>
    <w:rsid w:val="00D03B1F"/>
    <w:rsid w:val="00D040C4"/>
    <w:rsid w:val="00D05853"/>
    <w:rsid w:val="00D20AD1"/>
    <w:rsid w:val="00D2582C"/>
    <w:rsid w:val="00D33AC1"/>
    <w:rsid w:val="00D33E7D"/>
    <w:rsid w:val="00D36EF1"/>
    <w:rsid w:val="00D46B7E"/>
    <w:rsid w:val="00D55C1A"/>
    <w:rsid w:val="00D57436"/>
    <w:rsid w:val="00D57C84"/>
    <w:rsid w:val="00D6057D"/>
    <w:rsid w:val="00D65FBA"/>
    <w:rsid w:val="00D71640"/>
    <w:rsid w:val="00D836C5"/>
    <w:rsid w:val="00D83B2A"/>
    <w:rsid w:val="00D84576"/>
    <w:rsid w:val="00D875D6"/>
    <w:rsid w:val="00DA1047"/>
    <w:rsid w:val="00DA1399"/>
    <w:rsid w:val="00DA24C6"/>
    <w:rsid w:val="00DA4D7B"/>
    <w:rsid w:val="00DB4CAC"/>
    <w:rsid w:val="00DC2840"/>
    <w:rsid w:val="00DC73EE"/>
    <w:rsid w:val="00DD271C"/>
    <w:rsid w:val="00DE264A"/>
    <w:rsid w:val="00DE3BFC"/>
    <w:rsid w:val="00DE6BDE"/>
    <w:rsid w:val="00DF1DED"/>
    <w:rsid w:val="00DF5072"/>
    <w:rsid w:val="00E02D18"/>
    <w:rsid w:val="00E041E7"/>
    <w:rsid w:val="00E14860"/>
    <w:rsid w:val="00E15BC5"/>
    <w:rsid w:val="00E23CA1"/>
    <w:rsid w:val="00E374C1"/>
    <w:rsid w:val="00E409A8"/>
    <w:rsid w:val="00E40C92"/>
    <w:rsid w:val="00E50C12"/>
    <w:rsid w:val="00E645EA"/>
    <w:rsid w:val="00E654F5"/>
    <w:rsid w:val="00E65726"/>
    <w:rsid w:val="00E65B91"/>
    <w:rsid w:val="00E7209D"/>
    <w:rsid w:val="00E72EAD"/>
    <w:rsid w:val="00E7447F"/>
    <w:rsid w:val="00E77223"/>
    <w:rsid w:val="00E80C70"/>
    <w:rsid w:val="00E8528B"/>
    <w:rsid w:val="00E85B94"/>
    <w:rsid w:val="00E90865"/>
    <w:rsid w:val="00E978D0"/>
    <w:rsid w:val="00EA4613"/>
    <w:rsid w:val="00EA4F0A"/>
    <w:rsid w:val="00EA7F91"/>
    <w:rsid w:val="00EB1523"/>
    <w:rsid w:val="00EC0E49"/>
    <w:rsid w:val="00EC101F"/>
    <w:rsid w:val="00EC1D9F"/>
    <w:rsid w:val="00EC4BC5"/>
    <w:rsid w:val="00EE0131"/>
    <w:rsid w:val="00EE17B0"/>
    <w:rsid w:val="00EE797C"/>
    <w:rsid w:val="00EF06D9"/>
    <w:rsid w:val="00EF1DA8"/>
    <w:rsid w:val="00F00D84"/>
    <w:rsid w:val="00F3049E"/>
    <w:rsid w:val="00F30C64"/>
    <w:rsid w:val="00F32BA2"/>
    <w:rsid w:val="00F32CDB"/>
    <w:rsid w:val="00F35DFF"/>
    <w:rsid w:val="00F41EE4"/>
    <w:rsid w:val="00F4246E"/>
    <w:rsid w:val="00F565FE"/>
    <w:rsid w:val="00F63A70"/>
    <w:rsid w:val="00F63D8C"/>
    <w:rsid w:val="00F6532B"/>
    <w:rsid w:val="00F74913"/>
    <w:rsid w:val="00F7534E"/>
    <w:rsid w:val="00F82F25"/>
    <w:rsid w:val="00F90BC0"/>
    <w:rsid w:val="00F90D3C"/>
    <w:rsid w:val="00F93EDF"/>
    <w:rsid w:val="00F96F86"/>
    <w:rsid w:val="00FA1802"/>
    <w:rsid w:val="00FA21D0"/>
    <w:rsid w:val="00FA3EE0"/>
    <w:rsid w:val="00FA5F5F"/>
    <w:rsid w:val="00FA62B6"/>
    <w:rsid w:val="00FB730C"/>
    <w:rsid w:val="00FC2695"/>
    <w:rsid w:val="00FC3E03"/>
    <w:rsid w:val="00FC3FC1"/>
    <w:rsid w:val="00FC5540"/>
    <w:rsid w:val="00FD052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AA077182-5774-48CC-AC0F-C3B4F1C1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E80C70"/>
    <w:pPr>
      <w:suppressAutoHyphens/>
      <w:spacing w:before="480" w:after="120" w:line="264" w:lineRule="auto"/>
      <w:jc w:val="center"/>
      <w:outlineLvl w:val="0"/>
    </w:pPr>
    <w:rPr>
      <w:rFonts w:ascii="Arial" w:eastAsia="Times New Roman" w:hAnsi="Arial" w:cs="Times New Roman"/>
      <w:sz w:val="32"/>
      <w:szCs w:val="20"/>
      <w:shd w:val="clear" w:color="auto" w:fill="FFFFFF"/>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E80C70"/>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DB4CAC"/>
    <w:rPr>
      <w:color w:val="808080"/>
    </w:rPr>
  </w:style>
  <w:style w:type="character" w:customStyle="1" w:styleId="url">
    <w:name w:val="url"/>
    <w:basedOn w:val="DefaultParagraphFont"/>
    <w:rsid w:val="00C63668"/>
  </w:style>
  <w:style w:type="character" w:customStyle="1" w:styleId="infovalue">
    <w:name w:val="info_value"/>
    <w:basedOn w:val="DefaultParagraphFont"/>
    <w:rsid w:val="00C63668"/>
  </w:style>
  <w:style w:type="character" w:customStyle="1" w:styleId="infolabel">
    <w:name w:val="info_label"/>
    <w:basedOn w:val="DefaultParagraphFont"/>
    <w:rsid w:val="00C63668"/>
  </w:style>
  <w:style w:type="character" w:styleId="FollowedHyperlink">
    <w:name w:val="FollowedHyperlink"/>
    <w:basedOn w:val="DefaultParagraphFont"/>
    <w:uiPriority w:val="99"/>
    <w:semiHidden/>
    <w:unhideWhenUsed/>
    <w:rsid w:val="00E15BC5"/>
    <w:rPr>
      <w:color w:val="800080" w:themeColor="followedHyperlink"/>
      <w:u w:val="single"/>
    </w:rPr>
  </w:style>
  <w:style w:type="character" w:customStyle="1" w:styleId="Nevyeenzmnka1">
    <w:name w:val="Nevyřešená zmínka1"/>
    <w:basedOn w:val="DefaultParagraphFont"/>
    <w:uiPriority w:val="99"/>
    <w:semiHidden/>
    <w:unhideWhenUsed/>
    <w:rsid w:val="00C64C52"/>
    <w:rPr>
      <w:color w:val="605E5C"/>
      <w:shd w:val="clear" w:color="auto" w:fill="E1DFDD"/>
    </w:rPr>
  </w:style>
  <w:style w:type="character" w:customStyle="1" w:styleId="katex-mathml">
    <w:name w:val="katex-mathml"/>
    <w:basedOn w:val="DefaultParagraphFont"/>
    <w:rsid w:val="003072A5"/>
  </w:style>
  <w:style w:type="character" w:customStyle="1" w:styleId="vlist-s">
    <w:name w:val="vlist-s"/>
    <w:basedOn w:val="DefaultParagraphFont"/>
    <w:rsid w:val="0030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01959">
      <w:bodyDiv w:val="1"/>
      <w:marLeft w:val="0"/>
      <w:marRight w:val="0"/>
      <w:marTop w:val="0"/>
      <w:marBottom w:val="0"/>
      <w:divBdr>
        <w:top w:val="none" w:sz="0" w:space="0" w:color="auto"/>
        <w:left w:val="none" w:sz="0" w:space="0" w:color="auto"/>
        <w:bottom w:val="none" w:sz="0" w:space="0" w:color="auto"/>
        <w:right w:val="none" w:sz="0" w:space="0" w:color="auto"/>
      </w:divBdr>
    </w:div>
    <w:div w:id="68656802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567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097969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0116227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chukwuebukasimeon.aninwede@fs.cvut.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System%20folder\czech%20phd\MODELLING\module%20p2%201.2%20calculation%20mixtu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System%20folder\czech%20phd\MODELLING\module%20p2%201.2%20calculation%20mixtu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System%20folder\czech%20phd\MODELLING\module%20p2%201.2%20calculation%20mixtur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System%20folder\czech%20phd\MODELLING\module%20p2%201.2%20calculation%20mixtur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System%20folder\czech%20phd\MODELLING\module%20p2%201.2%20calculation%20mixtur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System%20folder\czech%20phd\MODELLING\module%20p2%201.2%20calculation%20mixtu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System%20folder\czech%20phd\MODELLING\module%20p2%201.2%20calculation%20mixtur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System%20folder\czech%20phd\MODELLING\module%20p2%201.2%20calculation%20mix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05704371699301"/>
          <c:y val="9.0909090909090912E-2"/>
          <c:w val="0.69390880090359031"/>
          <c:h val="0.61967286697858415"/>
        </c:manualLayout>
      </c:layout>
      <c:scatterChart>
        <c:scatterStyle val="lineMarker"/>
        <c:varyColors val="0"/>
        <c:ser>
          <c:idx val="1"/>
          <c:order val="0"/>
          <c:tx>
            <c:strRef>
              <c:f>'Single CO2'!$K$167</c:f>
              <c:strCache>
                <c:ptCount val="1"/>
                <c:pt idx="0">
                  <c:v>Permeance (GPU)</c:v>
                </c:pt>
              </c:strCache>
            </c:strRef>
          </c:tx>
          <c:spPr>
            <a:ln w="38100">
              <a:noFill/>
            </a:ln>
          </c:spPr>
          <c:marker>
            <c:symbol val="square"/>
            <c:size val="5"/>
          </c:marker>
          <c:trendline>
            <c:spPr>
              <a:ln w="25400">
                <a:prstDash val="sysDot"/>
              </a:ln>
            </c:spPr>
            <c:trendlineType val="linear"/>
            <c:dispRSqr val="0"/>
            <c:dispEq val="0"/>
          </c:trendline>
          <c:xVal>
            <c:numRef>
              <c:f>'Single CO2'!$J$168:$J$174</c:f>
              <c:numCache>
                <c:formatCode>0.00</c:formatCode>
                <c:ptCount val="7"/>
                <c:pt idx="0">
                  <c:v>0.97</c:v>
                </c:pt>
                <c:pt idx="1">
                  <c:v>1.04</c:v>
                </c:pt>
                <c:pt idx="2">
                  <c:v>1.1100000000000001</c:v>
                </c:pt>
                <c:pt idx="3">
                  <c:v>1.18</c:v>
                </c:pt>
                <c:pt idx="4">
                  <c:v>1.25</c:v>
                </c:pt>
                <c:pt idx="5">
                  <c:v>1.32</c:v>
                </c:pt>
                <c:pt idx="6">
                  <c:v>1.39</c:v>
                </c:pt>
              </c:numCache>
            </c:numRef>
          </c:xVal>
          <c:yVal>
            <c:numRef>
              <c:f>'Single CO2'!$K$168:$K$174</c:f>
              <c:numCache>
                <c:formatCode>0.0</c:formatCode>
                <c:ptCount val="7"/>
                <c:pt idx="0">
                  <c:v>32.689252372448543</c:v>
                </c:pt>
                <c:pt idx="1">
                  <c:v>32.320972168681678</c:v>
                </c:pt>
                <c:pt idx="2">
                  <c:v>31.692636531452688</c:v>
                </c:pt>
                <c:pt idx="3">
                  <c:v>31.580943962619095</c:v>
                </c:pt>
                <c:pt idx="4">
                  <c:v>31.009988174751989</c:v>
                </c:pt>
                <c:pt idx="5">
                  <c:v>30.499588303779898</c:v>
                </c:pt>
                <c:pt idx="6">
                  <c:v>29.975325444335859</c:v>
                </c:pt>
              </c:numCache>
            </c:numRef>
          </c:yVal>
          <c:smooth val="0"/>
          <c:extLst>
            <c:ext xmlns:c16="http://schemas.microsoft.com/office/drawing/2014/chart" uri="{C3380CC4-5D6E-409C-BE32-E72D297353CC}">
              <c16:uniqueId val="{00000001-AF6F-49D2-8C1F-4C2988CE5867}"/>
            </c:ext>
          </c:extLst>
        </c:ser>
        <c:dLbls>
          <c:showLegendKey val="0"/>
          <c:showVal val="0"/>
          <c:showCatName val="0"/>
          <c:showSerName val="0"/>
          <c:showPercent val="0"/>
          <c:showBubbleSize val="0"/>
        </c:dLbls>
        <c:axId val="229737600"/>
        <c:axId val="229739520"/>
      </c:scatterChart>
      <c:valAx>
        <c:axId val="229737600"/>
        <c:scaling>
          <c:orientation val="minMax"/>
          <c:max val="1.4"/>
          <c:min val="0.8"/>
        </c:scaling>
        <c:delete val="0"/>
        <c:axPos val="b"/>
        <c:title>
          <c:tx>
            <c:rich>
              <a:bodyPr/>
              <a:lstStyle/>
              <a:p>
                <a:pPr>
                  <a:defRPr/>
                </a:pPr>
                <a:r>
                  <a:rPr lang="en-US"/>
                  <a:t>Pressure difference (bar)</a:t>
                </a:r>
              </a:p>
            </c:rich>
          </c:tx>
          <c:layout>
            <c:manualLayout>
              <c:xMode val="edge"/>
              <c:yMode val="edge"/>
              <c:x val="0.35169722110200086"/>
              <c:y val="0.84947344122701274"/>
            </c:manualLayout>
          </c:layout>
          <c:overlay val="0"/>
        </c:title>
        <c:numFmt formatCode="0.00" sourceLinked="1"/>
        <c:majorTickMark val="out"/>
        <c:minorTickMark val="none"/>
        <c:tickLblPos val="nextTo"/>
        <c:crossAx val="229739520"/>
        <c:crosses val="autoZero"/>
        <c:crossBetween val="midCat"/>
        <c:majorUnit val="0.2"/>
      </c:valAx>
      <c:valAx>
        <c:axId val="229739520"/>
        <c:scaling>
          <c:orientation val="minMax"/>
          <c:min val="0"/>
        </c:scaling>
        <c:delete val="0"/>
        <c:axPos val="l"/>
        <c:title>
          <c:tx>
            <c:rich>
              <a:bodyPr/>
              <a:lstStyle/>
              <a:p>
                <a:pPr>
                  <a:defRPr/>
                </a:pPr>
                <a:r>
                  <a:rPr lang="en-GB" sz="900" b="0" i="0" u="none" strike="noStrike" baseline="0">
                    <a:effectLst/>
                  </a:rPr>
                  <a:t>CO</a:t>
                </a:r>
                <a:r>
                  <a:rPr lang="en-GB" sz="900" b="0" i="0" u="none" strike="noStrike" baseline="-25000">
                    <a:effectLst/>
                  </a:rPr>
                  <a:t>2</a:t>
                </a:r>
                <a:r>
                  <a:rPr lang="en-US"/>
                  <a:t> Permeance (GPU)</a:t>
                </a:r>
              </a:p>
            </c:rich>
          </c:tx>
          <c:layout>
            <c:manualLayout>
              <c:xMode val="edge"/>
              <c:yMode val="edge"/>
              <c:x val="1.1110937865440087E-2"/>
              <c:y val="6.2866037741980546E-2"/>
            </c:manualLayout>
          </c:layout>
          <c:overlay val="0"/>
        </c:title>
        <c:numFmt formatCode="0.0" sourceLinked="1"/>
        <c:majorTickMark val="out"/>
        <c:minorTickMark val="none"/>
        <c:tickLblPos val="nextTo"/>
        <c:crossAx val="229737600"/>
        <c:crosses val="autoZero"/>
        <c:crossBetween val="midCat"/>
        <c:majorUnit val="7"/>
      </c:valAx>
    </c:plotArea>
    <c:plotVisOnly val="1"/>
    <c:dispBlanksAs val="gap"/>
    <c:showDLblsOverMax val="0"/>
  </c:chart>
  <c:spPr>
    <a:noFill/>
    <a:ln>
      <a:solidFill>
        <a:schemeClr val="bg1"/>
      </a:solidFill>
    </a:ln>
  </c:spPr>
  <c:txPr>
    <a:bodyPr/>
    <a:lstStyle/>
    <a:p>
      <a:pPr>
        <a:defRPr sz="900" b="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35980732340589"/>
          <c:y val="7.3795411665266666E-2"/>
          <c:w val="0.70343635508105895"/>
          <c:h val="0.70515819562061521"/>
        </c:manualLayout>
      </c:layout>
      <c:scatterChart>
        <c:scatterStyle val="lineMarker"/>
        <c:varyColors val="0"/>
        <c:ser>
          <c:idx val="1"/>
          <c:order val="0"/>
          <c:tx>
            <c:strRef>
              <c:f>'Single Nitrogen'!$R$190</c:f>
              <c:strCache>
                <c:ptCount val="1"/>
                <c:pt idx="0">
                  <c:v>Permeance (GPU)</c:v>
                </c:pt>
              </c:strCache>
            </c:strRef>
          </c:tx>
          <c:spPr>
            <a:ln w="25400">
              <a:solidFill>
                <a:schemeClr val="tx1"/>
              </a:solidFill>
              <a:prstDash val="sysDot"/>
            </a:ln>
          </c:spPr>
          <c:marker>
            <c:symbol val="diamond"/>
            <c:size val="5"/>
            <c:spPr>
              <a:solidFill>
                <a:schemeClr val="accent3"/>
              </a:solidFill>
              <a:ln>
                <a:solidFill>
                  <a:schemeClr val="accent3"/>
                </a:solidFill>
                <a:prstDash val="sysDot"/>
              </a:ln>
            </c:spPr>
          </c:marker>
          <c:xVal>
            <c:numRef>
              <c:f>'Single Nitrogen'!$Q$191:$Q$196</c:f>
              <c:numCache>
                <c:formatCode>General</c:formatCode>
                <c:ptCount val="6"/>
                <c:pt idx="0">
                  <c:v>2.57</c:v>
                </c:pt>
                <c:pt idx="1">
                  <c:v>3.57</c:v>
                </c:pt>
                <c:pt idx="2">
                  <c:v>4.57</c:v>
                </c:pt>
                <c:pt idx="3">
                  <c:v>5.57</c:v>
                </c:pt>
                <c:pt idx="4">
                  <c:v>6.57</c:v>
                </c:pt>
                <c:pt idx="5">
                  <c:v>7.57</c:v>
                </c:pt>
              </c:numCache>
            </c:numRef>
          </c:xVal>
          <c:yVal>
            <c:numRef>
              <c:f>'Single Nitrogen'!$R$191:$R$196</c:f>
              <c:numCache>
                <c:formatCode>0.00</c:formatCode>
                <c:ptCount val="6"/>
                <c:pt idx="0">
                  <c:v>1.0401412885974621</c:v>
                </c:pt>
                <c:pt idx="1">
                  <c:v>1.1681048891442423</c:v>
                </c:pt>
                <c:pt idx="2">
                  <c:v>1.2400669139593903</c:v>
                </c:pt>
                <c:pt idx="3">
                  <c:v>1.3053866541852241</c:v>
                </c:pt>
                <c:pt idx="4">
                  <c:v>1.3291221965812117</c:v>
                </c:pt>
                <c:pt idx="5">
                  <c:v>1.388961898635255</c:v>
                </c:pt>
              </c:numCache>
            </c:numRef>
          </c:yVal>
          <c:smooth val="0"/>
          <c:extLst>
            <c:ext xmlns:c16="http://schemas.microsoft.com/office/drawing/2014/chart" uri="{C3380CC4-5D6E-409C-BE32-E72D297353CC}">
              <c16:uniqueId val="{00000000-E4DE-48FC-9EAB-1C22375C07B8}"/>
            </c:ext>
          </c:extLst>
        </c:ser>
        <c:dLbls>
          <c:showLegendKey val="0"/>
          <c:showVal val="0"/>
          <c:showCatName val="0"/>
          <c:showSerName val="0"/>
          <c:showPercent val="0"/>
          <c:showBubbleSize val="0"/>
        </c:dLbls>
        <c:axId val="240577152"/>
        <c:axId val="241636480"/>
      </c:scatterChart>
      <c:valAx>
        <c:axId val="240577152"/>
        <c:scaling>
          <c:orientation val="minMax"/>
        </c:scaling>
        <c:delete val="0"/>
        <c:axPos val="b"/>
        <c:title>
          <c:tx>
            <c:rich>
              <a:bodyPr/>
              <a:lstStyle/>
              <a:p>
                <a:pPr>
                  <a:defRPr/>
                </a:pPr>
                <a:r>
                  <a:rPr lang="en-US"/>
                  <a:t>Pressure difference (bar)</a:t>
                </a:r>
              </a:p>
            </c:rich>
          </c:tx>
          <c:layout>
            <c:manualLayout>
              <c:xMode val="edge"/>
              <c:yMode val="edge"/>
              <c:x val="0.38953251601799249"/>
              <c:y val="0.90423366078163803"/>
            </c:manualLayout>
          </c:layout>
          <c:overlay val="0"/>
        </c:title>
        <c:numFmt formatCode="General" sourceLinked="1"/>
        <c:majorTickMark val="out"/>
        <c:minorTickMark val="none"/>
        <c:tickLblPos val="nextTo"/>
        <c:crossAx val="241636480"/>
        <c:crosses val="autoZero"/>
        <c:crossBetween val="midCat"/>
      </c:valAx>
      <c:valAx>
        <c:axId val="241636480"/>
        <c:scaling>
          <c:orientation val="minMax"/>
          <c:max val="1.5"/>
        </c:scaling>
        <c:delete val="0"/>
        <c:axPos val="l"/>
        <c:title>
          <c:tx>
            <c:rich>
              <a:bodyPr/>
              <a:lstStyle/>
              <a:p>
                <a:pPr>
                  <a:defRPr/>
                </a:pPr>
                <a:r>
                  <a:rPr lang="en-GB" sz="900" b="0" i="0" u="none" strike="noStrike" baseline="0">
                    <a:effectLst/>
                  </a:rPr>
                  <a:t>N</a:t>
                </a:r>
                <a:r>
                  <a:rPr lang="en-GB" sz="900" b="0" i="0" u="none" strike="noStrike" baseline="-25000">
                    <a:effectLst/>
                  </a:rPr>
                  <a:t>2</a:t>
                </a:r>
                <a:r>
                  <a:rPr lang="en-US"/>
                  <a:t> Permeance (GPU)</a:t>
                </a:r>
              </a:p>
            </c:rich>
          </c:tx>
          <c:layout>
            <c:manualLayout>
              <c:xMode val="edge"/>
              <c:yMode val="edge"/>
              <c:x val="1.1110976003843923E-2"/>
              <c:y val="7.246637227397168E-2"/>
            </c:manualLayout>
          </c:layout>
          <c:overlay val="0"/>
          <c:spPr>
            <a:ln>
              <a:noFill/>
            </a:ln>
          </c:spPr>
        </c:title>
        <c:numFmt formatCode="0.00" sourceLinked="1"/>
        <c:majorTickMark val="out"/>
        <c:minorTickMark val="none"/>
        <c:tickLblPos val="nextTo"/>
        <c:crossAx val="240577152"/>
        <c:crosses val="autoZero"/>
        <c:crossBetween val="midCat"/>
        <c:majorUnit val="0.30000000000000004"/>
        <c:minorUnit val="4.0000000000000008E-2"/>
      </c:valAx>
    </c:plotArea>
    <c:plotVisOnly val="1"/>
    <c:dispBlanksAs val="gap"/>
    <c:showDLblsOverMax val="0"/>
  </c:chart>
  <c:spPr>
    <a:noFill/>
    <a:ln>
      <a:noFill/>
    </a:ln>
  </c:spPr>
  <c:txPr>
    <a:bodyPr/>
    <a:lstStyle/>
    <a:p>
      <a:pPr>
        <a:defRPr sz="900" b="0">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6175297115438"/>
          <c:y val="5.0892199626125872E-2"/>
          <c:w val="0.65146786695845638"/>
          <c:h val="0.71236465684004036"/>
        </c:manualLayout>
      </c:layout>
      <c:scatterChart>
        <c:scatterStyle val="smoothMarker"/>
        <c:varyColors val="0"/>
        <c:ser>
          <c:idx val="0"/>
          <c:order val="0"/>
          <c:tx>
            <c:strRef>
              <c:f>'Effect of variable CO2 Conc'!$AW$80</c:f>
              <c:strCache>
                <c:ptCount val="1"/>
                <c:pt idx="0">
                  <c:v>Flux (mol/m2s)</c:v>
                </c:pt>
              </c:strCache>
            </c:strRef>
          </c:tx>
          <c:spPr>
            <a:ln>
              <a:noFill/>
              <a:prstDash val="sysDot"/>
            </a:ln>
          </c:spPr>
          <c:marker>
            <c:symbol val="triangle"/>
            <c:size val="4"/>
            <c:spPr>
              <a:solidFill>
                <a:srgbClr val="C00000"/>
              </a:solidFill>
              <a:ln>
                <a:solidFill>
                  <a:srgbClr val="C00000"/>
                </a:solidFill>
              </a:ln>
            </c:spPr>
          </c:marker>
          <c:trendline>
            <c:spPr>
              <a:ln w="25400">
                <a:prstDash val="sysDot"/>
              </a:ln>
            </c:spPr>
            <c:trendlineType val="linear"/>
            <c:dispRSqr val="0"/>
            <c:dispEq val="0"/>
          </c:trendline>
          <c:xVal>
            <c:numRef>
              <c:f>'Effect of variable CO2 Conc'!$AU$81:$AU$86</c:f>
              <c:numCache>
                <c:formatCode>0%</c:formatCode>
                <c:ptCount val="6"/>
                <c:pt idx="0">
                  <c:v>0.05</c:v>
                </c:pt>
                <c:pt idx="1">
                  <c:v>0.15</c:v>
                </c:pt>
                <c:pt idx="2">
                  <c:v>0.25</c:v>
                </c:pt>
                <c:pt idx="3">
                  <c:v>0.35</c:v>
                </c:pt>
                <c:pt idx="4">
                  <c:v>0.45</c:v>
                </c:pt>
                <c:pt idx="5">
                  <c:v>0.55000000000000004</c:v>
                </c:pt>
              </c:numCache>
            </c:numRef>
          </c:xVal>
          <c:yVal>
            <c:numRef>
              <c:f>'Effect of variable CO2 Conc'!$AW$81:$AW$86</c:f>
              <c:numCache>
                <c:formatCode>0.0E+00</c:formatCode>
                <c:ptCount val="6"/>
                <c:pt idx="0">
                  <c:v>5.5455607884218036E-5</c:v>
                </c:pt>
                <c:pt idx="1">
                  <c:v>2.0234443443699229E-4</c:v>
                </c:pt>
                <c:pt idx="2">
                  <c:v>3.7375960085023506E-4</c:v>
                </c:pt>
                <c:pt idx="3">
                  <c:v>5.5964072891404265E-4</c:v>
                </c:pt>
                <c:pt idx="4">
                  <c:v>7.5738407367734433E-4</c:v>
                </c:pt>
                <c:pt idx="5">
                  <c:v>9.6082370373537865E-4</c:v>
                </c:pt>
              </c:numCache>
            </c:numRef>
          </c:yVal>
          <c:smooth val="1"/>
          <c:extLst>
            <c:ext xmlns:c16="http://schemas.microsoft.com/office/drawing/2014/chart" uri="{C3380CC4-5D6E-409C-BE32-E72D297353CC}">
              <c16:uniqueId val="{00000001-DDA3-43EB-B9EF-6DB3F2293133}"/>
            </c:ext>
          </c:extLst>
        </c:ser>
        <c:dLbls>
          <c:showLegendKey val="0"/>
          <c:showVal val="0"/>
          <c:showCatName val="0"/>
          <c:showSerName val="0"/>
          <c:showPercent val="0"/>
          <c:showBubbleSize val="0"/>
        </c:dLbls>
        <c:axId val="243181440"/>
        <c:axId val="243625984"/>
      </c:scatterChart>
      <c:valAx>
        <c:axId val="243181440"/>
        <c:scaling>
          <c:orientation val="minMax"/>
        </c:scaling>
        <c:delete val="0"/>
        <c:axPos val="b"/>
        <c:title>
          <c:tx>
            <c:rich>
              <a:bodyPr/>
              <a:lstStyle/>
              <a:p>
                <a:pPr>
                  <a:defRPr/>
                </a:pPr>
                <a:r>
                  <a:rPr lang="en-US"/>
                  <a:t>CO₂ feed concentration (% vol)</a:t>
                </a:r>
              </a:p>
            </c:rich>
          </c:tx>
          <c:layout>
            <c:manualLayout>
              <c:xMode val="edge"/>
              <c:yMode val="edge"/>
              <c:x val="0.29854709583896155"/>
              <c:y val="0.89607857321721707"/>
            </c:manualLayout>
          </c:layout>
          <c:overlay val="0"/>
        </c:title>
        <c:numFmt formatCode="0%" sourceLinked="1"/>
        <c:majorTickMark val="out"/>
        <c:minorTickMark val="none"/>
        <c:tickLblPos val="nextTo"/>
        <c:crossAx val="243625984"/>
        <c:crosses val="autoZero"/>
        <c:crossBetween val="midCat"/>
        <c:majorUnit val="0.1"/>
        <c:minorUnit val="2.0000000000000004E-2"/>
      </c:valAx>
      <c:valAx>
        <c:axId val="243625984"/>
        <c:scaling>
          <c:orientation val="minMax"/>
          <c:max val="1.0000000000000002E-3"/>
        </c:scaling>
        <c:delete val="0"/>
        <c:axPos val="l"/>
        <c:title>
          <c:tx>
            <c:rich>
              <a:bodyPr/>
              <a:lstStyle/>
              <a:p>
                <a:pPr>
                  <a:defRPr/>
                </a:pPr>
                <a:r>
                  <a:rPr lang="en-US" sz="900" b="0" i="0" u="none" strike="noStrike" baseline="0">
                    <a:effectLst/>
                  </a:rPr>
                  <a:t>CO₂ </a:t>
                </a:r>
                <a:r>
                  <a:rPr lang="en-US"/>
                  <a:t>Flux (</a:t>
                </a:r>
                <a:r>
                  <a:rPr lang="en-GB"/>
                  <a:t>molm</a:t>
                </a:r>
                <a:r>
                  <a:rPr lang="en-GB" baseline="30000"/>
                  <a:t>-2</a:t>
                </a:r>
                <a:r>
                  <a:rPr lang="en-GB"/>
                  <a:t>s</a:t>
                </a:r>
                <a:r>
                  <a:rPr lang="en-GB" baseline="30000"/>
                  <a:t>-1</a:t>
                </a:r>
                <a:r>
                  <a:rPr lang="en-US"/>
                  <a:t>)</a:t>
                </a:r>
              </a:p>
            </c:rich>
          </c:tx>
          <c:layout>
            <c:manualLayout>
              <c:xMode val="edge"/>
              <c:yMode val="edge"/>
              <c:x val="1.9525344089426813E-2"/>
              <c:y val="5.6058540385632002E-2"/>
            </c:manualLayout>
          </c:layout>
          <c:overlay val="0"/>
        </c:title>
        <c:numFmt formatCode="0.0E+00" sourceLinked="1"/>
        <c:majorTickMark val="out"/>
        <c:minorTickMark val="none"/>
        <c:tickLblPos val="nextTo"/>
        <c:crossAx val="243181440"/>
        <c:crosses val="autoZero"/>
        <c:crossBetween val="midCat"/>
        <c:majorUnit val="2.0000000000000006E-4"/>
        <c:minorUnit val="4.000000000000001E-5"/>
      </c:valAx>
    </c:plotArea>
    <c:plotVisOnly val="1"/>
    <c:dispBlanksAs val="gap"/>
    <c:showDLblsOverMax val="0"/>
  </c:chart>
  <c:spPr>
    <a:ln>
      <a:noFill/>
    </a:ln>
  </c:spPr>
  <c:txPr>
    <a:bodyPr/>
    <a:lstStyle/>
    <a:p>
      <a:pPr>
        <a:defRPr sz="900" b="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97575426834022"/>
          <c:y val="5.0972821945643891E-2"/>
          <c:w val="0.6718665919898088"/>
          <c:h val="0.65930340360680717"/>
        </c:manualLayout>
      </c:layout>
      <c:scatterChart>
        <c:scatterStyle val="lineMarker"/>
        <c:varyColors val="0"/>
        <c:ser>
          <c:idx val="0"/>
          <c:order val="0"/>
          <c:tx>
            <c:strRef>
              <c:f>'Effect of variable CO2 Conc'!$AX$80</c:f>
              <c:strCache>
                <c:ptCount val="1"/>
                <c:pt idx="0">
                  <c:v>Permeability (Barrer)</c:v>
                </c:pt>
              </c:strCache>
            </c:strRef>
          </c:tx>
          <c:spPr>
            <a:ln w="25400">
              <a:solidFill>
                <a:schemeClr val="tx1"/>
              </a:solidFill>
              <a:prstDash val="sysDot"/>
            </a:ln>
          </c:spPr>
          <c:marker>
            <c:symbol val="diamond"/>
            <c:size val="5"/>
            <c:spPr>
              <a:solidFill>
                <a:schemeClr val="accent2"/>
              </a:solidFill>
              <a:ln>
                <a:solidFill>
                  <a:schemeClr val="accent2"/>
                </a:solidFill>
              </a:ln>
            </c:spPr>
          </c:marker>
          <c:xVal>
            <c:numRef>
              <c:f>'Effect of variable CO2 Conc'!$AU$81:$AU$86</c:f>
              <c:numCache>
                <c:formatCode>0%</c:formatCode>
                <c:ptCount val="6"/>
                <c:pt idx="0">
                  <c:v>0.05</c:v>
                </c:pt>
                <c:pt idx="1">
                  <c:v>0.15</c:v>
                </c:pt>
                <c:pt idx="2">
                  <c:v>0.25</c:v>
                </c:pt>
                <c:pt idx="3">
                  <c:v>0.35</c:v>
                </c:pt>
                <c:pt idx="4">
                  <c:v>0.45</c:v>
                </c:pt>
                <c:pt idx="5">
                  <c:v>0.55000000000000004</c:v>
                </c:pt>
              </c:numCache>
            </c:numRef>
          </c:xVal>
          <c:yVal>
            <c:numRef>
              <c:f>'Effect of variable CO2 Conc'!$AX$81:$AX$86</c:f>
              <c:numCache>
                <c:formatCode>0</c:formatCode>
                <c:ptCount val="6"/>
                <c:pt idx="0">
                  <c:v>300.3298207436012</c:v>
                </c:pt>
                <c:pt idx="1">
                  <c:v>347.54822593485545</c:v>
                </c:pt>
                <c:pt idx="2">
                  <c:v>363.05635241961329</c:v>
                </c:pt>
                <c:pt idx="3">
                  <c:v>369.82378656607779</c:v>
                </c:pt>
                <c:pt idx="4">
                  <c:v>374.66716622909053</c:v>
                </c:pt>
                <c:pt idx="5">
                  <c:v>377.33277252300087</c:v>
                </c:pt>
              </c:numCache>
            </c:numRef>
          </c:yVal>
          <c:smooth val="0"/>
          <c:extLst>
            <c:ext xmlns:c16="http://schemas.microsoft.com/office/drawing/2014/chart" uri="{C3380CC4-5D6E-409C-BE32-E72D297353CC}">
              <c16:uniqueId val="{00000000-77B4-4250-8B55-44E70D91F236}"/>
            </c:ext>
          </c:extLst>
        </c:ser>
        <c:dLbls>
          <c:showLegendKey val="0"/>
          <c:showVal val="0"/>
          <c:showCatName val="0"/>
          <c:showSerName val="0"/>
          <c:showPercent val="0"/>
          <c:showBubbleSize val="0"/>
        </c:dLbls>
        <c:axId val="243645824"/>
        <c:axId val="243860992"/>
      </c:scatterChart>
      <c:valAx>
        <c:axId val="243645824"/>
        <c:scaling>
          <c:orientation val="minMax"/>
          <c:max val="0.60000000000000009"/>
        </c:scaling>
        <c:delete val="0"/>
        <c:axPos val="b"/>
        <c:numFmt formatCode="0%" sourceLinked="1"/>
        <c:majorTickMark val="out"/>
        <c:minorTickMark val="none"/>
        <c:tickLblPos val="nextTo"/>
        <c:crossAx val="243860992"/>
        <c:crossesAt val="0"/>
        <c:crossBetween val="midCat"/>
        <c:majorUnit val="0.1"/>
        <c:minorUnit val="1.0000000000000002E-2"/>
      </c:valAx>
      <c:valAx>
        <c:axId val="243860992"/>
        <c:scaling>
          <c:orientation val="minMax"/>
          <c:max val="400"/>
          <c:min val="0"/>
        </c:scaling>
        <c:delete val="0"/>
        <c:axPos val="l"/>
        <c:numFmt formatCode="0" sourceLinked="1"/>
        <c:majorTickMark val="out"/>
        <c:minorTickMark val="none"/>
        <c:tickLblPos val="nextTo"/>
        <c:crossAx val="243645824"/>
        <c:crosses val="autoZero"/>
        <c:crossBetween val="midCat"/>
        <c:majorUnit val="100"/>
        <c:minorUnit val="10"/>
      </c:valAx>
    </c:plotArea>
    <c:plotVisOnly val="1"/>
    <c:dispBlanksAs val="gap"/>
    <c:showDLblsOverMax val="0"/>
  </c:chart>
  <c:spPr>
    <a:ln>
      <a:noFill/>
    </a:ln>
  </c:spPr>
  <c:txPr>
    <a:bodyPr/>
    <a:lstStyle/>
    <a:p>
      <a:pPr>
        <a:defRPr sz="900" b="0">
          <a:latin typeface="Arial" pitchFamily="34" charset="0"/>
          <a:cs typeface="Arial"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16648308909394"/>
          <c:y val="0.16911286089238844"/>
          <c:w val="0.69155141498401806"/>
          <c:h val="0.58000120213980888"/>
        </c:manualLayout>
      </c:layout>
      <c:scatterChart>
        <c:scatterStyle val="lineMarker"/>
        <c:varyColors val="0"/>
        <c:ser>
          <c:idx val="1"/>
          <c:order val="0"/>
          <c:tx>
            <c:strRef>
              <c:f>'Effect of variable CO2 Conc'!$CE$80</c:f>
              <c:strCache>
                <c:ptCount val="1"/>
                <c:pt idx="0">
                  <c:v>% Rc</c:v>
                </c:pt>
              </c:strCache>
            </c:strRef>
          </c:tx>
          <c:spPr>
            <a:ln w="25400">
              <a:solidFill>
                <a:schemeClr val="tx1"/>
              </a:solidFill>
              <a:prstDash val="sysDot"/>
            </a:ln>
          </c:spPr>
          <c:marker>
            <c:symbol val="square"/>
            <c:size val="5"/>
          </c:marker>
          <c:xVal>
            <c:numRef>
              <c:f>'Effect of variable CO2 Conc'!$CD$81:$CD$86</c:f>
              <c:numCache>
                <c:formatCode>0%</c:formatCode>
                <c:ptCount val="6"/>
                <c:pt idx="0">
                  <c:v>0.05</c:v>
                </c:pt>
                <c:pt idx="1">
                  <c:v>0.15</c:v>
                </c:pt>
                <c:pt idx="2">
                  <c:v>0.25</c:v>
                </c:pt>
                <c:pt idx="3">
                  <c:v>0.35</c:v>
                </c:pt>
                <c:pt idx="4">
                  <c:v>0.45</c:v>
                </c:pt>
                <c:pt idx="5">
                  <c:v>0.55000000000000004</c:v>
                </c:pt>
              </c:numCache>
            </c:numRef>
          </c:xVal>
          <c:yVal>
            <c:numRef>
              <c:f>'Effect of variable CO2 Conc'!$CE$81:$CE$86</c:f>
              <c:numCache>
                <c:formatCode>0%</c:formatCode>
                <c:ptCount val="6"/>
                <c:pt idx="0">
                  <c:v>0.39119337481466021</c:v>
                </c:pt>
                <c:pt idx="1">
                  <c:v>0.25996743053430704</c:v>
                </c:pt>
                <c:pt idx="2">
                  <c:v>0.18026136966575351</c:v>
                </c:pt>
                <c:pt idx="3">
                  <c:v>0.12272449496605609</c:v>
                </c:pt>
                <c:pt idx="4">
                  <c:v>7.702655124024288E-2</c:v>
                </c:pt>
                <c:pt idx="5">
                  <c:v>4.2418858990071355E-2</c:v>
                </c:pt>
              </c:numCache>
            </c:numRef>
          </c:yVal>
          <c:smooth val="0"/>
          <c:extLst>
            <c:ext xmlns:c16="http://schemas.microsoft.com/office/drawing/2014/chart" uri="{C3380CC4-5D6E-409C-BE32-E72D297353CC}">
              <c16:uniqueId val="{00000000-C2AC-4106-84FE-B51C01E83BCD}"/>
            </c:ext>
          </c:extLst>
        </c:ser>
        <c:ser>
          <c:idx val="2"/>
          <c:order val="1"/>
          <c:tx>
            <c:strRef>
              <c:f>'Effect of variable CO2 Conc'!$CF$80</c:f>
              <c:strCache>
                <c:ptCount val="1"/>
                <c:pt idx="0">
                  <c:v>% R</c:v>
                </c:pt>
              </c:strCache>
            </c:strRef>
          </c:tx>
          <c:spPr>
            <a:ln w="25400">
              <a:solidFill>
                <a:schemeClr val="tx1"/>
              </a:solidFill>
              <a:prstDash val="sysDot"/>
            </a:ln>
          </c:spPr>
          <c:marker>
            <c:symbol val="triangle"/>
            <c:size val="5"/>
          </c:marker>
          <c:xVal>
            <c:numRef>
              <c:f>'Effect of variable CO2 Conc'!$CD$81:$CD$86</c:f>
              <c:numCache>
                <c:formatCode>0%</c:formatCode>
                <c:ptCount val="6"/>
                <c:pt idx="0">
                  <c:v>0.05</c:v>
                </c:pt>
                <c:pt idx="1">
                  <c:v>0.15</c:v>
                </c:pt>
                <c:pt idx="2">
                  <c:v>0.25</c:v>
                </c:pt>
                <c:pt idx="3">
                  <c:v>0.35</c:v>
                </c:pt>
                <c:pt idx="4">
                  <c:v>0.45</c:v>
                </c:pt>
                <c:pt idx="5">
                  <c:v>0.55000000000000004</c:v>
                </c:pt>
              </c:numCache>
            </c:numRef>
          </c:xVal>
          <c:yVal>
            <c:numRef>
              <c:f>'Effect of variable CO2 Conc'!$CF$81:$CF$86</c:f>
              <c:numCache>
                <c:formatCode>0%</c:formatCode>
                <c:ptCount val="6"/>
                <c:pt idx="0">
                  <c:v>0.60880662518533979</c:v>
                </c:pt>
                <c:pt idx="1">
                  <c:v>0.74003256946569296</c:v>
                </c:pt>
                <c:pt idx="2">
                  <c:v>0.81973863033424654</c:v>
                </c:pt>
                <c:pt idx="3">
                  <c:v>0.87727550503394391</c:v>
                </c:pt>
                <c:pt idx="4">
                  <c:v>0.92297344875975718</c:v>
                </c:pt>
                <c:pt idx="5">
                  <c:v>0.95758114100992864</c:v>
                </c:pt>
              </c:numCache>
            </c:numRef>
          </c:yVal>
          <c:smooth val="0"/>
          <c:extLst>
            <c:ext xmlns:c16="http://schemas.microsoft.com/office/drawing/2014/chart" uri="{C3380CC4-5D6E-409C-BE32-E72D297353CC}">
              <c16:uniqueId val="{00000001-C2AC-4106-84FE-B51C01E83BCD}"/>
            </c:ext>
          </c:extLst>
        </c:ser>
        <c:dLbls>
          <c:showLegendKey val="0"/>
          <c:showVal val="0"/>
          <c:showCatName val="0"/>
          <c:showSerName val="0"/>
          <c:showPercent val="0"/>
          <c:showBubbleSize val="0"/>
        </c:dLbls>
        <c:axId val="243908608"/>
        <c:axId val="243910528"/>
      </c:scatterChart>
      <c:valAx>
        <c:axId val="243908608"/>
        <c:scaling>
          <c:orientation val="minMax"/>
        </c:scaling>
        <c:delete val="0"/>
        <c:axPos val="b"/>
        <c:title>
          <c:tx>
            <c:rich>
              <a:bodyPr/>
              <a:lstStyle/>
              <a:p>
                <a:pPr>
                  <a:defRPr/>
                </a:pPr>
                <a:r>
                  <a:rPr lang="en-US"/>
                  <a:t>CO₂ feed</a:t>
                </a:r>
                <a:r>
                  <a:rPr lang="en-US" baseline="0"/>
                  <a:t> </a:t>
                </a:r>
                <a:r>
                  <a:rPr lang="en-US"/>
                  <a:t>concentration (%vol) </a:t>
                </a:r>
              </a:p>
            </c:rich>
          </c:tx>
          <c:layout>
            <c:manualLayout>
              <c:xMode val="edge"/>
              <c:yMode val="edge"/>
              <c:x val="0.32559016137834257"/>
              <c:y val="0.89319595050618672"/>
            </c:manualLayout>
          </c:layout>
          <c:overlay val="0"/>
        </c:title>
        <c:numFmt formatCode="0%" sourceLinked="1"/>
        <c:majorTickMark val="out"/>
        <c:minorTickMark val="none"/>
        <c:tickLblPos val="nextTo"/>
        <c:crossAx val="243910528"/>
        <c:crosses val="autoZero"/>
        <c:crossBetween val="midCat"/>
      </c:valAx>
      <c:valAx>
        <c:axId val="243910528"/>
        <c:scaling>
          <c:orientation val="minMax"/>
          <c:max val="1"/>
        </c:scaling>
        <c:delete val="0"/>
        <c:axPos val="l"/>
        <c:title>
          <c:tx>
            <c:rich>
              <a:bodyPr/>
              <a:lstStyle/>
              <a:p>
                <a:pPr>
                  <a:defRPr/>
                </a:pPr>
                <a:r>
                  <a:rPr lang="en-US"/>
                  <a:t>%</a:t>
                </a:r>
                <a:r>
                  <a:rPr lang="en-GB" sz="900" b="0" i="0" u="none" strike="noStrike" baseline="0">
                    <a:effectLst/>
                  </a:rPr>
                  <a:t>CO</a:t>
                </a:r>
                <a:r>
                  <a:rPr lang="en-GB" sz="900" b="0" i="0" u="none" strike="noStrike" baseline="-25000">
                    <a:effectLst/>
                  </a:rPr>
                  <a:t>2</a:t>
                </a:r>
                <a:r>
                  <a:rPr lang="en-US"/>
                  <a:t> (R and Rc) </a:t>
                </a:r>
              </a:p>
            </c:rich>
          </c:tx>
          <c:layout>
            <c:manualLayout>
              <c:xMode val="edge"/>
              <c:yMode val="edge"/>
              <c:x val="1.390130337306917E-2"/>
              <c:y val="0.21692707221297408"/>
            </c:manualLayout>
          </c:layout>
          <c:overlay val="0"/>
        </c:title>
        <c:numFmt formatCode="0%" sourceLinked="1"/>
        <c:majorTickMark val="out"/>
        <c:minorTickMark val="none"/>
        <c:tickLblPos val="nextTo"/>
        <c:crossAx val="243908608"/>
        <c:crosses val="autoZero"/>
        <c:crossBetween val="midCat"/>
        <c:majorUnit val="0.2"/>
      </c:valAx>
    </c:plotArea>
    <c:legend>
      <c:legendPos val="t"/>
      <c:overlay val="0"/>
      <c:spPr>
        <a:noFill/>
      </c:spPr>
    </c:legend>
    <c:plotVisOnly val="1"/>
    <c:dispBlanksAs val="gap"/>
    <c:showDLblsOverMax val="0"/>
  </c:chart>
  <c:spPr>
    <a:ln>
      <a:noFill/>
    </a:ln>
  </c:spPr>
  <c:txPr>
    <a:bodyPr/>
    <a:lstStyle/>
    <a:p>
      <a:pPr>
        <a:defRPr sz="900" b="0">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66379570837875"/>
          <c:y val="0.15648148148148147"/>
          <c:w val="0.73853239260933967"/>
          <c:h val="0.60691546717488332"/>
        </c:manualLayout>
      </c:layout>
      <c:scatterChart>
        <c:scatterStyle val="lineMarker"/>
        <c:varyColors val="0"/>
        <c:ser>
          <c:idx val="1"/>
          <c:order val="0"/>
          <c:tx>
            <c:strRef>
              <c:f>'Effect of variable CO2 Conc'!$CT$86</c:f>
              <c:strCache>
                <c:ptCount val="1"/>
                <c:pt idx="0">
                  <c:v>θ(CO₂)</c:v>
                </c:pt>
              </c:strCache>
            </c:strRef>
          </c:tx>
          <c:spPr>
            <a:ln w="38100">
              <a:noFill/>
            </a:ln>
          </c:spPr>
          <c:marker>
            <c:symbol val="square"/>
            <c:size val="5"/>
          </c:marker>
          <c:trendline>
            <c:spPr>
              <a:ln w="25400">
                <a:prstDash val="sysDot"/>
              </a:ln>
            </c:spPr>
            <c:trendlineType val="linear"/>
            <c:dispRSqr val="0"/>
            <c:dispEq val="0"/>
          </c:trendline>
          <c:xVal>
            <c:numRef>
              <c:f>'Effect of variable CO2 Conc'!$CS$87:$CS$92</c:f>
              <c:numCache>
                <c:formatCode>0%</c:formatCode>
                <c:ptCount val="6"/>
                <c:pt idx="0">
                  <c:v>0.05</c:v>
                </c:pt>
                <c:pt idx="1">
                  <c:v>0.15</c:v>
                </c:pt>
                <c:pt idx="2">
                  <c:v>0.25</c:v>
                </c:pt>
                <c:pt idx="3">
                  <c:v>0.35</c:v>
                </c:pt>
                <c:pt idx="4">
                  <c:v>0.45</c:v>
                </c:pt>
                <c:pt idx="5">
                  <c:v>0.55000000000000004</c:v>
                </c:pt>
              </c:numCache>
            </c:numRef>
          </c:xVal>
          <c:yVal>
            <c:numRef>
              <c:f>'Effect of variable CO2 Conc'!$CT$87:$CT$92</c:f>
              <c:numCache>
                <c:formatCode>General</c:formatCode>
                <c:ptCount val="6"/>
                <c:pt idx="0">
                  <c:v>0.60880662518533979</c:v>
                </c:pt>
                <c:pt idx="1">
                  <c:v>0.74003256946569296</c:v>
                </c:pt>
                <c:pt idx="2">
                  <c:v>0.81973863033424654</c:v>
                </c:pt>
                <c:pt idx="3">
                  <c:v>0.87727550503394391</c:v>
                </c:pt>
                <c:pt idx="4">
                  <c:v>0.92297344875975718</c:v>
                </c:pt>
                <c:pt idx="5">
                  <c:v>0.95758114100992864</c:v>
                </c:pt>
              </c:numCache>
            </c:numRef>
          </c:yVal>
          <c:smooth val="0"/>
          <c:extLst>
            <c:ext xmlns:c16="http://schemas.microsoft.com/office/drawing/2014/chart" uri="{C3380CC4-5D6E-409C-BE32-E72D297353CC}">
              <c16:uniqueId val="{00000001-0723-4B35-B552-189B2F11A51B}"/>
            </c:ext>
          </c:extLst>
        </c:ser>
        <c:ser>
          <c:idx val="2"/>
          <c:order val="1"/>
          <c:tx>
            <c:strRef>
              <c:f>'Effect of variable CO2 Conc'!$CU$86</c:f>
              <c:strCache>
                <c:ptCount val="1"/>
                <c:pt idx="0">
                  <c:v>α(CO₂/N₂)</c:v>
                </c:pt>
              </c:strCache>
            </c:strRef>
          </c:tx>
          <c:spPr>
            <a:ln w="25400">
              <a:solidFill>
                <a:schemeClr val="tx1"/>
              </a:solidFill>
              <a:prstDash val="sysDot"/>
            </a:ln>
          </c:spPr>
          <c:marker>
            <c:symbol val="triangle"/>
            <c:size val="5"/>
          </c:marker>
          <c:xVal>
            <c:numRef>
              <c:f>'Effect of variable CO2 Conc'!$CS$87:$CS$92</c:f>
              <c:numCache>
                <c:formatCode>0%</c:formatCode>
                <c:ptCount val="6"/>
                <c:pt idx="0">
                  <c:v>0.05</c:v>
                </c:pt>
                <c:pt idx="1">
                  <c:v>0.15</c:v>
                </c:pt>
                <c:pt idx="2">
                  <c:v>0.25</c:v>
                </c:pt>
                <c:pt idx="3">
                  <c:v>0.35</c:v>
                </c:pt>
                <c:pt idx="4">
                  <c:v>0.45</c:v>
                </c:pt>
                <c:pt idx="5">
                  <c:v>0.55000000000000004</c:v>
                </c:pt>
              </c:numCache>
            </c:numRef>
          </c:xVal>
          <c:yVal>
            <c:numRef>
              <c:f>'Effect of variable CO2 Conc'!$CU$87:$CU$92</c:f>
              <c:numCache>
                <c:formatCode>General</c:formatCode>
                <c:ptCount val="6"/>
                <c:pt idx="0">
                  <c:v>4.0199245156237584</c:v>
                </c:pt>
                <c:pt idx="1">
                  <c:v>4.2680278419581414</c:v>
                </c:pt>
                <c:pt idx="2">
                  <c:v>4.1350237714430138</c:v>
                </c:pt>
                <c:pt idx="3">
                  <c:v>3.8404146995128174</c:v>
                </c:pt>
                <c:pt idx="4">
                  <c:v>3.4288782363826535</c:v>
                </c:pt>
                <c:pt idx="5">
                  <c:v>2.9048726451235138</c:v>
                </c:pt>
              </c:numCache>
            </c:numRef>
          </c:yVal>
          <c:smooth val="0"/>
          <c:extLst>
            <c:ext xmlns:c16="http://schemas.microsoft.com/office/drawing/2014/chart" uri="{C3380CC4-5D6E-409C-BE32-E72D297353CC}">
              <c16:uniqueId val="{00000002-0723-4B35-B552-189B2F11A51B}"/>
            </c:ext>
          </c:extLst>
        </c:ser>
        <c:dLbls>
          <c:showLegendKey val="0"/>
          <c:showVal val="0"/>
          <c:showCatName val="0"/>
          <c:showSerName val="0"/>
          <c:showPercent val="0"/>
          <c:showBubbleSize val="0"/>
        </c:dLbls>
        <c:axId val="247497088"/>
        <c:axId val="247499008"/>
      </c:scatterChart>
      <c:valAx>
        <c:axId val="247497088"/>
        <c:scaling>
          <c:orientation val="minMax"/>
        </c:scaling>
        <c:delete val="0"/>
        <c:axPos val="b"/>
        <c:title>
          <c:tx>
            <c:rich>
              <a:bodyPr/>
              <a:lstStyle/>
              <a:p>
                <a:pPr>
                  <a:defRPr/>
                </a:pPr>
                <a:r>
                  <a:rPr lang="en-US"/>
                  <a:t>CO₂ feed concentration (%vol) </a:t>
                </a:r>
              </a:p>
            </c:rich>
          </c:tx>
          <c:overlay val="0"/>
        </c:title>
        <c:numFmt formatCode="0%" sourceLinked="1"/>
        <c:majorTickMark val="out"/>
        <c:minorTickMark val="none"/>
        <c:tickLblPos val="nextTo"/>
        <c:crossAx val="247499008"/>
        <c:crosses val="autoZero"/>
        <c:crossBetween val="midCat"/>
        <c:majorUnit val="0.1"/>
      </c:valAx>
      <c:valAx>
        <c:axId val="247499008"/>
        <c:scaling>
          <c:orientation val="minMax"/>
        </c:scaling>
        <c:delete val="0"/>
        <c:axPos val="l"/>
        <c:title>
          <c:tx>
            <c:rich>
              <a:bodyPr/>
              <a:lstStyle/>
              <a:p>
                <a:pPr>
                  <a:defRPr/>
                </a:pPr>
                <a:r>
                  <a:rPr lang="en-US"/>
                  <a:t> </a:t>
                </a:r>
                <a:r>
                  <a:rPr lang="el-GR"/>
                  <a:t>θ</a:t>
                </a:r>
                <a:r>
                  <a:rPr lang="en-US"/>
                  <a:t>(CO</a:t>
                </a:r>
                <a:r>
                  <a:rPr lang="en-US" baseline="-25000"/>
                  <a:t>2</a:t>
                </a:r>
                <a:r>
                  <a:rPr lang="en-US"/>
                  <a:t>) and </a:t>
                </a:r>
                <a:r>
                  <a:rPr lang="el-GR"/>
                  <a:t>α</a:t>
                </a:r>
                <a:r>
                  <a:rPr lang="en-US"/>
                  <a:t>(CO</a:t>
                </a:r>
                <a:r>
                  <a:rPr lang="en-US" baseline="-25000"/>
                  <a:t>2</a:t>
                </a:r>
                <a:r>
                  <a:rPr lang="en-US"/>
                  <a:t>/N</a:t>
                </a:r>
                <a:r>
                  <a:rPr lang="en-US" baseline="-25000"/>
                  <a:t>2</a:t>
                </a:r>
                <a:r>
                  <a:rPr lang="en-US"/>
                  <a:t>) </a:t>
                </a:r>
              </a:p>
            </c:rich>
          </c:tx>
          <c:layout>
            <c:manualLayout>
              <c:xMode val="edge"/>
              <c:yMode val="edge"/>
              <c:x val="6.1678288229827282E-3"/>
              <c:y val="0.14628439737715712"/>
            </c:manualLayout>
          </c:layout>
          <c:overlay val="0"/>
        </c:title>
        <c:numFmt formatCode="General" sourceLinked="1"/>
        <c:majorTickMark val="out"/>
        <c:minorTickMark val="none"/>
        <c:tickLblPos val="nextTo"/>
        <c:crossAx val="247497088"/>
        <c:crosses val="autoZero"/>
        <c:crossBetween val="midCat"/>
        <c:majorUnit val="1"/>
        <c:minorUnit val="0.1"/>
      </c:valAx>
    </c:plotArea>
    <c:legend>
      <c:legendPos val="t"/>
      <c:legendEntry>
        <c:idx val="2"/>
        <c:delete val="1"/>
      </c:legendEntry>
      <c:overlay val="0"/>
    </c:legend>
    <c:plotVisOnly val="1"/>
    <c:dispBlanksAs val="gap"/>
    <c:showDLblsOverMax val="0"/>
  </c:chart>
  <c:spPr>
    <a:ln>
      <a:noFill/>
    </a:ln>
  </c:spPr>
  <c:txPr>
    <a:bodyPr/>
    <a:lstStyle/>
    <a:p>
      <a:pPr>
        <a:defRPr sz="900" b="0">
          <a:latin typeface="Arial" pitchFamily="34" charset="0"/>
          <a:cs typeface="Arial"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97053091135886"/>
          <c:y val="0.12327075500209606"/>
          <c:w val="0.68534583090458567"/>
          <c:h val="0.63421682826836723"/>
        </c:manualLayout>
      </c:layout>
      <c:scatterChart>
        <c:scatterStyle val="lineMarker"/>
        <c:varyColors val="0"/>
        <c:ser>
          <c:idx val="1"/>
          <c:order val="0"/>
          <c:tx>
            <c:strRef>
              <c:f>'Effect of variable CO2 Conc'!$BD$80</c:f>
              <c:strCache>
                <c:ptCount val="1"/>
                <c:pt idx="0">
                  <c:v>CO₂/N₂</c:v>
                </c:pt>
              </c:strCache>
            </c:strRef>
          </c:tx>
          <c:spPr>
            <a:ln w="25400">
              <a:solidFill>
                <a:schemeClr val="tx1"/>
              </a:solidFill>
              <a:prstDash val="sysDot"/>
            </a:ln>
          </c:spPr>
          <c:marker>
            <c:symbol val="square"/>
            <c:size val="5"/>
          </c:marker>
          <c:xVal>
            <c:numRef>
              <c:f>'Effect of variable CO2 Conc'!$AU$81:$AU$86</c:f>
              <c:numCache>
                <c:formatCode>0%</c:formatCode>
                <c:ptCount val="6"/>
                <c:pt idx="0">
                  <c:v>0.05</c:v>
                </c:pt>
                <c:pt idx="1">
                  <c:v>0.15</c:v>
                </c:pt>
                <c:pt idx="2">
                  <c:v>0.25</c:v>
                </c:pt>
                <c:pt idx="3">
                  <c:v>0.35</c:v>
                </c:pt>
                <c:pt idx="4">
                  <c:v>0.45</c:v>
                </c:pt>
                <c:pt idx="5">
                  <c:v>0.55000000000000004</c:v>
                </c:pt>
              </c:numCache>
            </c:numRef>
          </c:xVal>
          <c:yVal>
            <c:numRef>
              <c:f>'Effect of variable CO2 Conc'!$BD$81:$BD$86</c:f>
              <c:numCache>
                <c:formatCode>0.0</c:formatCode>
                <c:ptCount val="6"/>
                <c:pt idx="0">
                  <c:v>2.9713463253088777</c:v>
                </c:pt>
                <c:pt idx="1">
                  <c:v>3.2421285418106431</c:v>
                </c:pt>
                <c:pt idx="2">
                  <c:v>3.281964993090742</c:v>
                </c:pt>
                <c:pt idx="3">
                  <c:v>3.1707909918379555</c:v>
                </c:pt>
                <c:pt idx="4">
                  <c:v>2.9286507635996464</c:v>
                </c:pt>
                <c:pt idx="5">
                  <c:v>2.5588785046728968</c:v>
                </c:pt>
              </c:numCache>
            </c:numRef>
          </c:yVal>
          <c:smooth val="0"/>
          <c:extLst>
            <c:ext xmlns:c16="http://schemas.microsoft.com/office/drawing/2014/chart" uri="{C3380CC4-5D6E-409C-BE32-E72D297353CC}">
              <c16:uniqueId val="{00000000-4C4D-4AE1-AE80-9C9A3893F148}"/>
            </c:ext>
          </c:extLst>
        </c:ser>
        <c:ser>
          <c:idx val="2"/>
          <c:order val="1"/>
          <c:tx>
            <c:strRef>
              <c:f>'Effect of variable CO2 Conc'!$BE$80</c:f>
              <c:strCache>
                <c:ptCount val="1"/>
                <c:pt idx="0">
                  <c:v>CO₂/O₂</c:v>
                </c:pt>
              </c:strCache>
            </c:strRef>
          </c:tx>
          <c:spPr>
            <a:ln w="25400">
              <a:solidFill>
                <a:schemeClr val="tx1"/>
              </a:solidFill>
              <a:prstDash val="sysDot"/>
            </a:ln>
          </c:spPr>
          <c:marker>
            <c:symbol val="triangle"/>
            <c:size val="5"/>
          </c:marker>
          <c:xVal>
            <c:numRef>
              <c:f>'Effect of variable CO2 Conc'!$AU$81:$AU$86</c:f>
              <c:numCache>
                <c:formatCode>0%</c:formatCode>
                <c:ptCount val="6"/>
                <c:pt idx="0">
                  <c:v>0.05</c:v>
                </c:pt>
                <c:pt idx="1">
                  <c:v>0.15</c:v>
                </c:pt>
                <c:pt idx="2">
                  <c:v>0.25</c:v>
                </c:pt>
                <c:pt idx="3">
                  <c:v>0.35</c:v>
                </c:pt>
                <c:pt idx="4">
                  <c:v>0.45</c:v>
                </c:pt>
                <c:pt idx="5">
                  <c:v>0.55000000000000004</c:v>
                </c:pt>
              </c:numCache>
            </c:numRef>
          </c:xVal>
          <c:yVal>
            <c:numRef>
              <c:f>'Effect of variable CO2 Conc'!$BE$81:$BE$86</c:f>
              <c:numCache>
                <c:formatCode>0.0</c:formatCode>
                <c:ptCount val="6"/>
                <c:pt idx="0">
                  <c:v>1.2815295480880649</c:v>
                </c:pt>
                <c:pt idx="1">
                  <c:v>1.3810681399631675</c:v>
                </c:pt>
                <c:pt idx="2">
                  <c:v>1.4001744749596121</c:v>
                </c:pt>
                <c:pt idx="3">
                  <c:v>1.3778034076015726</c:v>
                </c:pt>
                <c:pt idx="4">
                  <c:v>1.3279127305443092</c:v>
                </c:pt>
                <c:pt idx="5">
                  <c:v>1.2577075098814228</c:v>
                </c:pt>
              </c:numCache>
            </c:numRef>
          </c:yVal>
          <c:smooth val="0"/>
          <c:extLst>
            <c:ext xmlns:c16="http://schemas.microsoft.com/office/drawing/2014/chart" uri="{C3380CC4-5D6E-409C-BE32-E72D297353CC}">
              <c16:uniqueId val="{00000001-4C4D-4AE1-AE80-9C9A3893F148}"/>
            </c:ext>
          </c:extLst>
        </c:ser>
        <c:dLbls>
          <c:showLegendKey val="0"/>
          <c:showVal val="0"/>
          <c:showCatName val="0"/>
          <c:showSerName val="0"/>
          <c:showPercent val="0"/>
          <c:showBubbleSize val="0"/>
        </c:dLbls>
        <c:axId val="247959936"/>
        <c:axId val="247961856"/>
      </c:scatterChart>
      <c:valAx>
        <c:axId val="247959936"/>
        <c:scaling>
          <c:orientation val="minMax"/>
        </c:scaling>
        <c:delete val="0"/>
        <c:axPos val="b"/>
        <c:title>
          <c:tx>
            <c:rich>
              <a:bodyPr/>
              <a:lstStyle/>
              <a:p>
                <a:pPr>
                  <a:defRPr/>
                </a:pPr>
                <a:r>
                  <a:rPr lang="en-US"/>
                  <a:t>CO₂ feed concentration (%vol)</a:t>
                </a:r>
              </a:p>
            </c:rich>
          </c:tx>
          <c:layout>
            <c:manualLayout>
              <c:xMode val="edge"/>
              <c:yMode val="edge"/>
              <c:x val="0.27128587051618547"/>
              <c:y val="0.88518518518518519"/>
            </c:manualLayout>
          </c:layout>
          <c:overlay val="0"/>
        </c:title>
        <c:numFmt formatCode="0%" sourceLinked="1"/>
        <c:majorTickMark val="out"/>
        <c:minorTickMark val="none"/>
        <c:tickLblPos val="nextTo"/>
        <c:crossAx val="247961856"/>
        <c:crosses val="autoZero"/>
        <c:crossBetween val="midCat"/>
        <c:majorUnit val="0.1"/>
      </c:valAx>
      <c:valAx>
        <c:axId val="247961856"/>
        <c:scaling>
          <c:orientation val="minMax"/>
        </c:scaling>
        <c:delete val="0"/>
        <c:axPos val="l"/>
        <c:title>
          <c:tx>
            <c:rich>
              <a:bodyPr/>
              <a:lstStyle/>
              <a:p>
                <a:pPr>
                  <a:defRPr/>
                </a:pPr>
                <a:r>
                  <a:rPr lang="en-US"/>
                  <a:t>Separation factors </a:t>
                </a:r>
              </a:p>
            </c:rich>
          </c:tx>
          <c:layout>
            <c:manualLayout>
              <c:xMode val="edge"/>
              <c:yMode val="edge"/>
              <c:x val="8.9385670850549628E-3"/>
              <c:y val="0.13055072614478702"/>
            </c:manualLayout>
          </c:layout>
          <c:overlay val="0"/>
        </c:title>
        <c:numFmt formatCode="0.0" sourceLinked="1"/>
        <c:majorTickMark val="out"/>
        <c:minorTickMark val="none"/>
        <c:tickLblPos val="nextTo"/>
        <c:crossAx val="247959936"/>
        <c:crosses val="autoZero"/>
        <c:crossBetween val="midCat"/>
      </c:valAx>
    </c:plotArea>
    <c:legend>
      <c:legendPos val="t"/>
      <c:layout>
        <c:manualLayout>
          <c:xMode val="edge"/>
          <c:yMode val="edge"/>
          <c:x val="0.2282377017229282"/>
          <c:y val="8.2028850809661991E-3"/>
          <c:w val="0.73164340843533171"/>
          <c:h val="0.13181427734756296"/>
        </c:manualLayout>
      </c:layout>
      <c:overlay val="0"/>
      <c:spPr>
        <a:noFill/>
      </c:spPr>
    </c:legend>
    <c:plotVisOnly val="1"/>
    <c:dispBlanksAs val="gap"/>
    <c:showDLblsOverMax val="0"/>
  </c:chart>
  <c:spPr>
    <a:ln>
      <a:noFill/>
    </a:ln>
  </c:spPr>
  <c:txPr>
    <a:bodyPr/>
    <a:lstStyle/>
    <a:p>
      <a:pPr>
        <a:defRPr sz="900" b="0">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50579292839694"/>
          <c:y val="0.11640797845295515"/>
          <c:w val="0.74860879395026103"/>
          <c:h val="0.63201027045532354"/>
        </c:manualLayout>
      </c:layout>
      <c:scatterChart>
        <c:scatterStyle val="lineMarker"/>
        <c:varyColors val="0"/>
        <c:ser>
          <c:idx val="1"/>
          <c:order val="0"/>
          <c:tx>
            <c:strRef>
              <c:f>'Effect of variable CO2 Conc'!$BD$80</c:f>
              <c:strCache>
                <c:ptCount val="1"/>
                <c:pt idx="0">
                  <c:v>CO₂/N₂</c:v>
                </c:pt>
              </c:strCache>
            </c:strRef>
          </c:tx>
          <c:spPr>
            <a:ln w="25400">
              <a:solidFill>
                <a:schemeClr val="tx1"/>
              </a:solidFill>
              <a:prstDash val="sysDot"/>
            </a:ln>
          </c:spPr>
          <c:marker>
            <c:symbol val="square"/>
            <c:size val="5"/>
          </c:marker>
          <c:xVal>
            <c:numRef>
              <c:f>'Effect of variable CO2 Conc'!$BC$81:$BC$86</c:f>
              <c:numCache>
                <c:formatCode>0</c:formatCode>
                <c:ptCount val="6"/>
                <c:pt idx="0">
                  <c:v>300.3298207436012</c:v>
                </c:pt>
                <c:pt idx="1">
                  <c:v>347.54822593485545</c:v>
                </c:pt>
                <c:pt idx="2">
                  <c:v>363.05635241961329</c:v>
                </c:pt>
                <c:pt idx="3">
                  <c:v>369.82378656607779</c:v>
                </c:pt>
                <c:pt idx="4">
                  <c:v>374.66716622909053</c:v>
                </c:pt>
                <c:pt idx="5">
                  <c:v>377.33277252300087</c:v>
                </c:pt>
              </c:numCache>
            </c:numRef>
          </c:xVal>
          <c:yVal>
            <c:numRef>
              <c:f>'Effect of variable CO2 Conc'!$BD$81:$BD$86</c:f>
              <c:numCache>
                <c:formatCode>0.0</c:formatCode>
                <c:ptCount val="6"/>
                <c:pt idx="0">
                  <c:v>2.9713463253088777</c:v>
                </c:pt>
                <c:pt idx="1">
                  <c:v>3.2421285418106431</c:v>
                </c:pt>
                <c:pt idx="2">
                  <c:v>3.281964993090742</c:v>
                </c:pt>
                <c:pt idx="3">
                  <c:v>3.1707909918379555</c:v>
                </c:pt>
                <c:pt idx="4">
                  <c:v>2.9286507635996464</c:v>
                </c:pt>
                <c:pt idx="5">
                  <c:v>2.5588785046728968</c:v>
                </c:pt>
              </c:numCache>
            </c:numRef>
          </c:yVal>
          <c:smooth val="0"/>
          <c:extLst>
            <c:ext xmlns:c16="http://schemas.microsoft.com/office/drawing/2014/chart" uri="{C3380CC4-5D6E-409C-BE32-E72D297353CC}">
              <c16:uniqueId val="{00000000-B6EF-4D1D-A089-1CFB89D92080}"/>
            </c:ext>
          </c:extLst>
        </c:ser>
        <c:ser>
          <c:idx val="2"/>
          <c:order val="1"/>
          <c:tx>
            <c:strRef>
              <c:f>'Effect of variable CO2 Conc'!$BE$80</c:f>
              <c:strCache>
                <c:ptCount val="1"/>
                <c:pt idx="0">
                  <c:v>CO₂/O₂</c:v>
                </c:pt>
              </c:strCache>
            </c:strRef>
          </c:tx>
          <c:spPr>
            <a:ln w="25400">
              <a:solidFill>
                <a:schemeClr val="tx1"/>
              </a:solidFill>
              <a:prstDash val="sysDot"/>
            </a:ln>
          </c:spPr>
          <c:marker>
            <c:symbol val="triangle"/>
            <c:size val="5"/>
          </c:marker>
          <c:xVal>
            <c:numRef>
              <c:f>'Effect of variable CO2 Conc'!$BC$81:$BC$86</c:f>
              <c:numCache>
                <c:formatCode>0</c:formatCode>
                <c:ptCount val="6"/>
                <c:pt idx="0">
                  <c:v>300.3298207436012</c:v>
                </c:pt>
                <c:pt idx="1">
                  <c:v>347.54822593485545</c:v>
                </c:pt>
                <c:pt idx="2">
                  <c:v>363.05635241961329</c:v>
                </c:pt>
                <c:pt idx="3">
                  <c:v>369.82378656607779</c:v>
                </c:pt>
                <c:pt idx="4">
                  <c:v>374.66716622909053</c:v>
                </c:pt>
                <c:pt idx="5">
                  <c:v>377.33277252300087</c:v>
                </c:pt>
              </c:numCache>
            </c:numRef>
          </c:xVal>
          <c:yVal>
            <c:numRef>
              <c:f>'Effect of variable CO2 Conc'!$BE$81:$BE$86</c:f>
              <c:numCache>
                <c:formatCode>0.0</c:formatCode>
                <c:ptCount val="6"/>
                <c:pt idx="0">
                  <c:v>1.2815295480880649</c:v>
                </c:pt>
                <c:pt idx="1">
                  <c:v>1.3810681399631675</c:v>
                </c:pt>
                <c:pt idx="2">
                  <c:v>1.4001744749596121</c:v>
                </c:pt>
                <c:pt idx="3">
                  <c:v>1.3778034076015726</c:v>
                </c:pt>
                <c:pt idx="4">
                  <c:v>1.3279127305443092</c:v>
                </c:pt>
                <c:pt idx="5">
                  <c:v>1.2577075098814228</c:v>
                </c:pt>
              </c:numCache>
            </c:numRef>
          </c:yVal>
          <c:smooth val="0"/>
          <c:extLst>
            <c:ext xmlns:c16="http://schemas.microsoft.com/office/drawing/2014/chart" uri="{C3380CC4-5D6E-409C-BE32-E72D297353CC}">
              <c16:uniqueId val="{00000001-B6EF-4D1D-A089-1CFB89D92080}"/>
            </c:ext>
          </c:extLst>
        </c:ser>
        <c:dLbls>
          <c:showLegendKey val="0"/>
          <c:showVal val="0"/>
          <c:showCatName val="0"/>
          <c:showSerName val="0"/>
          <c:showPercent val="0"/>
          <c:showBubbleSize val="0"/>
        </c:dLbls>
        <c:axId val="247980032"/>
        <c:axId val="247981952"/>
      </c:scatterChart>
      <c:valAx>
        <c:axId val="247980032"/>
        <c:scaling>
          <c:orientation val="minMax"/>
          <c:max val="380"/>
          <c:min val="280"/>
        </c:scaling>
        <c:delete val="0"/>
        <c:axPos val="b"/>
        <c:title>
          <c:tx>
            <c:rich>
              <a:bodyPr/>
              <a:lstStyle/>
              <a:p>
                <a:pPr>
                  <a:defRPr/>
                </a:pPr>
                <a:r>
                  <a:rPr lang="en-US" sz="900" b="0" i="0" u="none" strike="noStrike" baseline="0">
                    <a:effectLst/>
                  </a:rPr>
                  <a:t>CO₂</a:t>
                </a:r>
                <a:r>
                  <a:rPr lang="en-US"/>
                  <a:t> Permeability (barrer)</a:t>
                </a:r>
              </a:p>
            </c:rich>
          </c:tx>
          <c:layout>
            <c:manualLayout>
              <c:xMode val="edge"/>
              <c:yMode val="edge"/>
              <c:x val="0.34050298735584272"/>
              <c:y val="0.91747983399980759"/>
            </c:manualLayout>
          </c:layout>
          <c:overlay val="0"/>
        </c:title>
        <c:numFmt formatCode="0" sourceLinked="1"/>
        <c:majorTickMark val="out"/>
        <c:minorTickMark val="none"/>
        <c:tickLblPos val="nextTo"/>
        <c:crossAx val="247981952"/>
        <c:crosses val="autoZero"/>
        <c:crossBetween val="midCat"/>
        <c:majorUnit val="20"/>
        <c:minorUnit val="10"/>
      </c:valAx>
      <c:valAx>
        <c:axId val="247981952"/>
        <c:scaling>
          <c:orientation val="minMax"/>
        </c:scaling>
        <c:delete val="0"/>
        <c:axPos val="l"/>
        <c:title>
          <c:tx>
            <c:rich>
              <a:bodyPr/>
              <a:lstStyle/>
              <a:p>
                <a:pPr>
                  <a:defRPr/>
                </a:pPr>
                <a:r>
                  <a:rPr lang="en-US"/>
                  <a:t>Separation factors </a:t>
                </a:r>
              </a:p>
            </c:rich>
          </c:tx>
          <c:layout>
            <c:manualLayout>
              <c:xMode val="edge"/>
              <c:yMode val="edge"/>
              <c:x val="3.9935292741872614E-3"/>
              <c:y val="0.11296679219445395"/>
            </c:manualLayout>
          </c:layout>
          <c:overlay val="0"/>
        </c:title>
        <c:numFmt formatCode="0.0" sourceLinked="1"/>
        <c:majorTickMark val="out"/>
        <c:minorTickMark val="none"/>
        <c:tickLblPos val="nextTo"/>
        <c:crossAx val="247980032"/>
        <c:crosses val="autoZero"/>
        <c:crossBetween val="midCat"/>
      </c:valAx>
    </c:plotArea>
    <c:legend>
      <c:legendPos val="t"/>
      <c:layout>
        <c:manualLayout>
          <c:xMode val="edge"/>
          <c:yMode val="edge"/>
          <c:x val="0.248039681920948"/>
          <c:y val="0"/>
          <c:w val="0.73164340843533171"/>
          <c:h val="0.12412083703544839"/>
        </c:manualLayout>
      </c:layout>
      <c:overlay val="0"/>
    </c:legend>
    <c:plotVisOnly val="1"/>
    <c:dispBlanksAs val="gap"/>
    <c:showDLblsOverMax val="0"/>
  </c:chart>
  <c:spPr>
    <a:ln>
      <a:noFill/>
    </a:ln>
  </c:spPr>
  <c:txPr>
    <a:bodyPr/>
    <a:lstStyle/>
    <a:p>
      <a:pPr>
        <a:defRPr sz="900" b="0">
          <a:latin typeface="Arial" pitchFamily="34" charset="0"/>
          <a:cs typeface="Arial"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0.03556</cdr:x>
      <cdr:y>0.28406</cdr:y>
    </cdr:from>
    <cdr:to>
      <cdr:x>0.08577</cdr:x>
      <cdr:y>0.66553</cdr:y>
    </cdr:to>
    <cdr:sp macro="" textlink="">
      <cdr:nvSpPr>
        <cdr:cNvPr id="2" name="TextBox 1"/>
        <cdr:cNvSpPr txBox="1"/>
      </cdr:nvSpPr>
      <cdr:spPr>
        <a:xfrm xmlns:a="http://schemas.openxmlformats.org/drawingml/2006/main">
          <a:off x="161925" y="794385"/>
          <a:ext cx="228600" cy="1066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0.0862</cdr:y>
    </cdr:from>
    <cdr:to>
      <cdr:x>0.09656</cdr:x>
      <cdr:y>0.60484</cdr:y>
    </cdr:to>
    <cdr:sp macro="" textlink="">
      <cdr:nvSpPr>
        <cdr:cNvPr id="3" name="TextBox 2"/>
        <cdr:cNvSpPr txBox="1"/>
      </cdr:nvSpPr>
      <cdr:spPr>
        <a:xfrm xmlns:a="http://schemas.openxmlformats.org/drawingml/2006/main">
          <a:off x="0" y="135748"/>
          <a:ext cx="247650" cy="816751"/>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900"/>
            <a:t>CO₂  </a:t>
          </a:r>
          <a:r>
            <a:rPr lang="en-US" sz="900" b="0" i="0" baseline="0">
              <a:effectLst/>
              <a:latin typeface="Arial" pitchFamily="34" charset="0"/>
              <a:ea typeface="+mn-ea"/>
              <a:cs typeface="Arial" pitchFamily="34" charset="0"/>
            </a:rPr>
            <a:t>P (Barrer</a:t>
          </a:r>
          <a:r>
            <a:rPr lang="en-US" sz="900" b="1" i="0" baseline="0">
              <a:effectLst/>
              <a:latin typeface="Arial" pitchFamily="34" charset="0"/>
              <a:ea typeface="+mn-ea"/>
              <a:cs typeface="Arial" pitchFamily="34" charset="0"/>
            </a:rPr>
            <a:t>)</a:t>
          </a:r>
          <a:endParaRPr lang="en-US" sz="900">
            <a:effectLst/>
            <a:latin typeface="Arial" pitchFamily="34" charset="0"/>
            <a:cs typeface="Arial" pitchFamily="34" charset="0"/>
          </a:endParaRPr>
        </a:p>
        <a:p xmlns:a="http://schemas.openxmlformats.org/drawingml/2006/main">
          <a:endParaRPr lang="en-US" sz="1100"/>
        </a:p>
      </cdr:txBody>
    </cdr:sp>
  </cdr:relSizeAnchor>
  <cdr:relSizeAnchor xmlns:cdr="http://schemas.openxmlformats.org/drawingml/2006/chartDrawing">
    <cdr:from>
      <cdr:x>0.32427</cdr:x>
      <cdr:y>0.85627</cdr:y>
    </cdr:from>
    <cdr:to>
      <cdr:x>0.67782</cdr:x>
      <cdr:y>0.94482</cdr:y>
    </cdr:to>
    <cdr:sp macro="" textlink="">
      <cdr:nvSpPr>
        <cdr:cNvPr id="4" name="TextBox 3"/>
        <cdr:cNvSpPr txBox="1"/>
      </cdr:nvSpPr>
      <cdr:spPr>
        <a:xfrm xmlns:a="http://schemas.openxmlformats.org/drawingml/2006/main">
          <a:off x="1476374" y="2394584"/>
          <a:ext cx="1609725" cy="2476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0.28811</cdr:x>
      <cdr:y>0.85081</cdr:y>
    </cdr:from>
    <cdr:to>
      <cdr:x>0.97047</cdr:x>
      <cdr:y>1</cdr:y>
    </cdr:to>
    <cdr:sp macro="" textlink="">
      <cdr:nvSpPr>
        <cdr:cNvPr id="5" name="TextBox 4"/>
        <cdr:cNvSpPr txBox="1"/>
      </cdr:nvSpPr>
      <cdr:spPr>
        <a:xfrm xmlns:a="http://schemas.openxmlformats.org/drawingml/2006/main">
          <a:off x="748264" y="1485727"/>
          <a:ext cx="1772198" cy="2605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900" b="0" i="0" baseline="0">
              <a:effectLst/>
              <a:latin typeface="Arial" pitchFamily="34" charset="0"/>
              <a:ea typeface="+mn-ea"/>
              <a:cs typeface="Arial" pitchFamily="34" charset="0"/>
            </a:rPr>
            <a:t>CO₂ feed concentration (%vol)</a:t>
          </a:r>
          <a:endParaRPr lang="en-US" sz="900" b="0">
            <a:effectLst/>
            <a:latin typeface="Arial" pitchFamily="34" charset="0"/>
            <a:cs typeface="Arial" pitchFamily="34" charset="0"/>
          </a:endParaRPr>
        </a:p>
        <a:p xmlns:a="http://schemas.openxmlformats.org/drawingml/2006/main">
          <a:endParaRPr lang="en-US" sz="1100"/>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B43D-836B-49C4-A73B-C15BDBA9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3222</Words>
  <Characters>18372</Characters>
  <Application>Microsoft Office Word</Application>
  <DocSecurity>0</DocSecurity>
  <Lines>153</Lines>
  <Paragraphs>43</Paragraphs>
  <ScaleCrop>false</ScaleCrop>
  <HeadingPairs>
    <vt:vector size="6" baseType="variant">
      <vt:variant>
        <vt:lpstr>Title</vt:lpstr>
      </vt:variant>
      <vt:variant>
        <vt:i4>1</vt:i4>
      </vt:variant>
      <vt:variant>
        <vt:lpstr>Název</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Aninwede, CHUKWUEBUKA SIMEON</cp:lastModifiedBy>
  <cp:revision>15</cp:revision>
  <cp:lastPrinted>2024-11-26T16:06:00Z</cp:lastPrinted>
  <dcterms:created xsi:type="dcterms:W3CDTF">2024-11-27T07:40:00Z</dcterms:created>
  <dcterms:modified xsi:type="dcterms:W3CDTF">2025-01-08T09:06:00Z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