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n-U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15DAE12D"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843EAC">
              <w:rPr>
                <w:rFonts w:cs="Arial"/>
                <w:b/>
                <w:bCs/>
                <w:i/>
                <w:iCs/>
                <w:color w:val="000066"/>
                <w:sz w:val="22"/>
                <w:szCs w:val="22"/>
                <w:lang w:eastAsia="it-IT"/>
              </w:rPr>
              <w:t xml:space="preserve">    </w:t>
            </w:r>
            <w:r w:rsidR="004761E9">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DB3233">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n-U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475D992A" w:rsidR="00AA7D26" w:rsidRPr="006A23E9" w:rsidRDefault="00AA7D26" w:rsidP="00AA7D26">
            <w:pPr>
              <w:ind w:left="-107"/>
              <w:outlineLvl w:val="2"/>
              <w:rPr>
                <w:rFonts w:ascii="Tahoma" w:hAnsi="Tahoma" w:cs="Tahoma"/>
                <w:bCs/>
                <w:color w:val="000000"/>
                <w:sz w:val="14"/>
                <w:szCs w:val="14"/>
                <w:lang w:eastAsia="it-IT"/>
              </w:rPr>
            </w:pPr>
            <w:r w:rsidRPr="006A23E9">
              <w:rPr>
                <w:rFonts w:ascii="Tahoma" w:hAnsi="Tahoma" w:cs="Tahoma"/>
                <w:iCs/>
                <w:color w:val="333333"/>
                <w:sz w:val="14"/>
                <w:szCs w:val="14"/>
                <w:lang w:eastAsia="it-IT"/>
              </w:rPr>
              <w:t>Guest Editors:</w:t>
            </w:r>
            <w:r w:rsidRPr="006A23E9">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shd w:val="clear" w:color="auto" w:fill="FFFFFF"/>
              </w:rPr>
              <w:t xml:space="preserve">Leonardo Tognotti, </w:t>
            </w:r>
            <w:r w:rsidR="006A23E9" w:rsidRPr="00946B70">
              <w:rPr>
                <w:rFonts w:ascii="Tahoma" w:hAnsi="Tahoma" w:cs="Tahoma"/>
                <w:color w:val="000000"/>
                <w:sz w:val="14"/>
                <w:szCs w:val="14"/>
              </w:rPr>
              <w:t>Rubens Maciel Filho</w:t>
            </w:r>
            <w:r w:rsidR="006A23E9" w:rsidRPr="00946B70">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rPr>
              <w:t>Viatcheslav Kafarov</w:t>
            </w:r>
          </w:p>
          <w:p w14:paraId="1B0F1814" w14:textId="3AD74145"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843EAC">
              <w:rPr>
                <w:rFonts w:ascii="Tahoma" w:hAnsi="Tahoma" w:cs="Tahoma"/>
                <w:iCs/>
                <w:color w:val="333333"/>
                <w:sz w:val="14"/>
                <w:szCs w:val="14"/>
                <w:lang w:eastAsia="it-IT"/>
              </w:rPr>
              <w:t>4</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DB3233">
              <w:rPr>
                <w:rFonts w:ascii="Tahoma" w:hAnsi="Tahoma" w:cs="Tahoma"/>
                <w:sz w:val="14"/>
                <w:szCs w:val="14"/>
              </w:rPr>
              <w:t>09</w:t>
            </w:r>
            <w:r>
              <w:rPr>
                <w:rFonts w:ascii="Tahoma" w:hAnsi="Tahoma" w:cs="Tahoma"/>
                <w:sz w:val="14"/>
                <w:szCs w:val="14"/>
              </w:rPr>
              <w:t>-</w:t>
            </w:r>
            <w:r w:rsidR="00DB3233">
              <w:rPr>
                <w:rFonts w:ascii="Tahoma" w:hAnsi="Tahoma" w:cs="Tahoma"/>
                <w:sz w:val="14"/>
                <w:szCs w:val="14"/>
              </w:rPr>
              <w:t>0</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08A8721D" w14:textId="77777777" w:rsidR="00281B8D" w:rsidRDefault="00281B8D" w:rsidP="00281B8D">
      <w:pPr>
        <w:rPr>
          <w:sz w:val="32"/>
        </w:rPr>
      </w:pPr>
    </w:p>
    <w:p w14:paraId="280663ED" w14:textId="7987B0EB" w:rsidR="00281B8D" w:rsidRPr="00281B8D" w:rsidRDefault="00281B8D" w:rsidP="00281B8D">
      <w:pPr>
        <w:jc w:val="center"/>
        <w:rPr>
          <w:sz w:val="32"/>
        </w:rPr>
      </w:pPr>
      <w:r w:rsidRPr="00281B8D">
        <w:rPr>
          <w:sz w:val="32"/>
        </w:rPr>
        <w:t xml:space="preserve">Life cycle assessment of a novel process for the production of </w:t>
      </w:r>
      <w:r w:rsidR="00A9587E">
        <w:rPr>
          <w:sz w:val="32"/>
        </w:rPr>
        <w:t>S</w:t>
      </w:r>
      <w:r w:rsidRPr="00281B8D">
        <w:rPr>
          <w:sz w:val="32"/>
        </w:rPr>
        <w:t xml:space="preserve">ynthetic </w:t>
      </w:r>
      <w:r w:rsidR="00A9587E">
        <w:rPr>
          <w:sz w:val="32"/>
        </w:rPr>
        <w:t>N</w:t>
      </w:r>
      <w:r w:rsidRPr="00281B8D">
        <w:rPr>
          <w:sz w:val="32"/>
        </w:rPr>
        <w:t xml:space="preserve">atural </w:t>
      </w:r>
      <w:r w:rsidR="00A9587E">
        <w:rPr>
          <w:sz w:val="32"/>
        </w:rPr>
        <w:t>G</w:t>
      </w:r>
      <w:r w:rsidRPr="00281B8D">
        <w:rPr>
          <w:sz w:val="32"/>
        </w:rPr>
        <w:t>as from empty fruit bunches</w:t>
      </w:r>
    </w:p>
    <w:p w14:paraId="6EEB2E5E" w14:textId="77777777" w:rsidR="00281B8D" w:rsidRPr="00281B8D" w:rsidRDefault="00281B8D" w:rsidP="00281B8D">
      <w:pPr>
        <w:pStyle w:val="CETAuthors"/>
      </w:pPr>
    </w:p>
    <w:p w14:paraId="0488FED2" w14:textId="2D448391" w:rsidR="00B57E6F" w:rsidRPr="003015A5" w:rsidRDefault="004A06F0" w:rsidP="00B57E6F">
      <w:pPr>
        <w:pStyle w:val="CETAuthors"/>
        <w:rPr>
          <w:lang w:val="es-CO"/>
        </w:rPr>
      </w:pPr>
      <w:r w:rsidRPr="003015A5">
        <w:rPr>
          <w:lang w:val="es-CO"/>
        </w:rPr>
        <w:t>Otto A. Ortiz</w:t>
      </w:r>
      <w:r w:rsidR="00B57E6F" w:rsidRPr="003015A5">
        <w:rPr>
          <w:vertAlign w:val="superscript"/>
          <w:lang w:val="es-CO"/>
        </w:rPr>
        <w:t>a</w:t>
      </w:r>
      <w:r w:rsidR="00B57E6F" w:rsidRPr="003015A5">
        <w:rPr>
          <w:lang w:val="es-CO"/>
        </w:rPr>
        <w:t xml:space="preserve">, </w:t>
      </w:r>
      <w:r w:rsidR="00547D56" w:rsidRPr="003015A5">
        <w:rPr>
          <w:lang w:val="es-CO"/>
        </w:rPr>
        <w:t>Karina</w:t>
      </w:r>
      <w:r w:rsidR="00B57E6F" w:rsidRPr="003015A5">
        <w:rPr>
          <w:lang w:val="es-CO"/>
        </w:rPr>
        <w:t xml:space="preserve"> A. </w:t>
      </w:r>
      <w:r w:rsidR="00547D56" w:rsidRPr="003015A5">
        <w:rPr>
          <w:lang w:val="es-CO"/>
        </w:rPr>
        <w:t>Ojeda</w:t>
      </w:r>
      <w:r w:rsidR="00B57E6F" w:rsidRPr="003015A5">
        <w:rPr>
          <w:vertAlign w:val="superscript"/>
          <w:lang w:val="es-CO"/>
        </w:rPr>
        <w:t>b,</w:t>
      </w:r>
      <w:r w:rsidR="00B57E6F" w:rsidRPr="003015A5">
        <w:rPr>
          <w:lang w:val="es-CO"/>
        </w:rPr>
        <w:t>*,</w:t>
      </w:r>
      <w:r w:rsidR="00EF550E" w:rsidRPr="003015A5">
        <w:rPr>
          <w:lang w:val="es-CO"/>
        </w:rPr>
        <w:t xml:space="preserve"> Luis A. Rios</w:t>
      </w:r>
      <w:r w:rsidR="00EF550E" w:rsidRPr="003015A5">
        <w:rPr>
          <w:vertAlign w:val="superscript"/>
          <w:lang w:val="es-CO"/>
        </w:rPr>
        <w:t>a</w:t>
      </w:r>
      <w:r w:rsidR="00B57E6F" w:rsidRPr="003015A5">
        <w:rPr>
          <w:lang w:val="es-CO"/>
        </w:rPr>
        <w:t xml:space="preserve"> </w:t>
      </w:r>
    </w:p>
    <w:p w14:paraId="6B2D21B3" w14:textId="1A11D98F" w:rsidR="00B57E6F" w:rsidRPr="00B57B36" w:rsidRDefault="00B57E6F" w:rsidP="00B57E6F">
      <w:pPr>
        <w:pStyle w:val="CETAddress"/>
      </w:pPr>
      <w:r w:rsidRPr="00B57B36">
        <w:rPr>
          <w:vertAlign w:val="superscript"/>
        </w:rPr>
        <w:t>a</w:t>
      </w:r>
      <w:r w:rsidR="00654143">
        <w:rPr>
          <w:rFonts w:eastAsiaTheme="minorHAnsi" w:cs="Arial"/>
          <w:szCs w:val="16"/>
          <w:lang w:val="en-US"/>
        </w:rPr>
        <w:t>Grupo Procesos Quimicos Industriales (PQI),</w:t>
      </w:r>
      <w:r w:rsidR="006C7ECE">
        <w:t xml:space="preserve"> Department</w:t>
      </w:r>
      <w:r w:rsidR="00B242B1">
        <w:t xml:space="preserve"> of Engineering,</w:t>
      </w:r>
      <w:r w:rsidRPr="00B57B36">
        <w:t xml:space="preserve"> </w:t>
      </w:r>
      <w:r w:rsidR="00654143">
        <w:t>University of Antioquia</w:t>
      </w:r>
      <w:r w:rsidR="00654143" w:rsidRPr="00B57B36">
        <w:t>,</w:t>
      </w:r>
      <w:r w:rsidR="00654143">
        <w:t xml:space="preserve"> </w:t>
      </w:r>
      <w:r w:rsidR="00B242B1">
        <w:t>Medellín, Colombia</w:t>
      </w:r>
    </w:p>
    <w:p w14:paraId="3D72B0B0" w14:textId="5D904C18" w:rsidR="00B57E6F" w:rsidRPr="00B57B36" w:rsidRDefault="00B57E6F" w:rsidP="00B57E6F">
      <w:pPr>
        <w:pStyle w:val="CETAddress"/>
      </w:pPr>
      <w:r w:rsidRPr="00B57B36">
        <w:rPr>
          <w:vertAlign w:val="superscript"/>
        </w:rPr>
        <w:t>b</w:t>
      </w:r>
      <w:r w:rsidR="00654143">
        <w:rPr>
          <w:rFonts w:eastAsiaTheme="minorHAnsi" w:cs="Arial"/>
          <w:szCs w:val="16"/>
          <w:lang w:val="en-US"/>
        </w:rPr>
        <w:t>Process Design and Biomass Utilization Research Group (IDAB). Chemical Engineering Program,</w:t>
      </w:r>
      <w:r w:rsidR="005945F7">
        <w:t xml:space="preserve"> Cartagena, Colombia</w:t>
      </w:r>
      <w:r w:rsidRPr="00B57B36">
        <w:t xml:space="preserve"> </w:t>
      </w:r>
    </w:p>
    <w:p w14:paraId="73F1267A" w14:textId="47B95D7E" w:rsidR="00B57E6F" w:rsidRPr="00B57B36" w:rsidRDefault="00B57E6F" w:rsidP="00B57E6F">
      <w:pPr>
        <w:pStyle w:val="CETemail"/>
      </w:pPr>
      <w:r>
        <w:t xml:space="preserve"> </w:t>
      </w:r>
      <w:r w:rsidR="00547D56" w:rsidRPr="00700958">
        <w:t>kojedad@unicartagena.edu.co</w:t>
      </w:r>
    </w:p>
    <w:p w14:paraId="4FA9D2D3" w14:textId="54A98F53" w:rsidR="00AC2692" w:rsidRDefault="00281B8D" w:rsidP="00A02721">
      <w:pPr>
        <w:pStyle w:val="CETBodytext"/>
        <w:rPr>
          <w:lang w:val="en-GB"/>
        </w:rPr>
      </w:pPr>
      <w:r w:rsidRPr="00281B8D">
        <w:t>The</w:t>
      </w:r>
      <w:r w:rsidR="00AC2692" w:rsidRPr="00AC2692">
        <w:rPr>
          <w:lang w:val="en-GB"/>
        </w:rPr>
        <w:t xml:space="preserve"> production of Synthetic Natural Gas (SNG) from residual biomass is an alternative to replace or reduce the consumption of fossil-origin natural gas. In this work, using life cycle assessment (LCA) methodology, the environmental viability of a novel synthetic natural gas production process from empty fruit bunches was evaluated. The LCA is based on the standards of the International Organization for Standardization ISO 14040 and ISO 14044 and systematically covers goal and system definition, life cycle inventory, life cycle impact assessment, and interpretation. A gate-to-gate approach was used, which includes: drying of the empty fruit bunches (EFB), gasification, cleaning of the produced gas, and production of SNG by methanation. The functional unit for impact assessment was 1 kg/h of SNG produced. The LCA shows that the production of SNG has representative impacts in several categories, such as carcinogenic human toxicity, freshwater ecotoxicity, marine ecotoxicity, terrestrial ecotoxicity, freshwater eutrophication and water consumption. The two sub-processes that generate the most environmental impacts are those associated with the production of EFB and peridotite (a novel bed material), but when analyzing the environmental load associated with these materials, it should be taken into account that they are currently considered waste, and even in the case of peridotite, it is even used as filler for tertiary roads.</w:t>
      </w:r>
    </w:p>
    <w:p w14:paraId="476B2F2E" w14:textId="77777777" w:rsidR="00600535" w:rsidRPr="00B57B36" w:rsidRDefault="00600535" w:rsidP="00600535">
      <w:pPr>
        <w:pStyle w:val="CETHeading1"/>
        <w:rPr>
          <w:lang w:val="en-GB"/>
        </w:rPr>
      </w:pPr>
      <w:r w:rsidRPr="00B57B36">
        <w:rPr>
          <w:lang w:val="en-GB"/>
        </w:rPr>
        <w:t>Introduction</w:t>
      </w:r>
    </w:p>
    <w:p w14:paraId="51E1027F" w14:textId="30C236A3" w:rsidR="00385561" w:rsidRPr="00007F4D" w:rsidRDefault="00B101DA" w:rsidP="00061BCF">
      <w:pPr>
        <w:pStyle w:val="NormalWeb"/>
        <w:rPr>
          <w:sz w:val="18"/>
          <w:szCs w:val="20"/>
          <w:lang w:val="en-US"/>
        </w:rPr>
      </w:pPr>
      <w:r>
        <w:rPr>
          <w:sz w:val="18"/>
          <w:szCs w:val="20"/>
          <w:lang w:val="en-US"/>
        </w:rPr>
        <w:t>Climate change and the inevitable depletion of fossil fuels have prompted the search for renewable energy sources to help achieve a global energy transition. Therefore, sustainable and renewable alternatives to fossil fuels are needed. In particular, biomass, which is considered a carbon-neutral resource</w:t>
      </w:r>
      <w:r w:rsidR="00C84BB5" w:rsidRPr="00007F4D">
        <w:rPr>
          <w:sz w:val="18"/>
          <w:szCs w:val="20"/>
          <w:lang w:val="en-US"/>
        </w:rPr>
        <w:t xml:space="preserve"> </w:t>
      </w:r>
      <w:r w:rsidR="00C84BB5" w:rsidRPr="00007F4D">
        <w:rPr>
          <w:sz w:val="18"/>
          <w:szCs w:val="20"/>
          <w:lang w:val="en-US"/>
        </w:rPr>
        <w:fldChar w:fldCharType="begin" w:fldLock="1"/>
      </w:r>
      <w:r w:rsidR="00C84BB5" w:rsidRPr="00007F4D">
        <w:rPr>
          <w:sz w:val="18"/>
          <w:szCs w:val="20"/>
          <w:lang w:val="en-US"/>
        </w:rPr>
        <w:instrText>ADDIN CSL_CITATION {"citationItems":[{"id":"ITEM-1","itemData":{"DOI":"10.1016/B978-0-12-816229-3.00005-3","ISBN":"9780128162293","abstract":"Bioenergy with carbon capture and storage (BECCS), as a negative emission technology, has been assigned a key role for achieving ambitious mitigation targets in several climate models. One of the main challenges to deploy BECCS at the level required in the stringent emission scenarios is expanding sustainable bioenergy production. Intensification of bioenergy production could result in severe pressure on natural resources, especially land and water, and competition between food, feed, and energy. Thus it potentially could lead to controversial economic, ethical, and environmental issues. To avoid the social uncertainties and environmental impacts resulting from dedicated energy crop production, BECCS potential has to be restricted to the presumption of no land-use expansion and no increase in water consumption.","author":[{"dropping-particle":"","family":"Pour","given":"Nasim","non-dropping-particle":"","parse-names":false,"suffix":""}],"container-title":"Bioenergy with Carbon Capture and Storage: Using Natural Resources for Sustainable Development","id":"ITEM-1","issued":{"date-parts":[["2019"]]},"page":"85-107","title":"Status of bioenergy with carbon capture and storage-potential and challenges","type":"article-journal"},"uris":["http://www.mendeley.com/documents/?uuid=80f75def-6b4c-43c2-98dd-3ad6d180c7f6"]}],"mendeley":{"formattedCitation":"(Pour, 2019)","plainTextFormattedCitation":"(Pour, 2019)","previouslyFormattedCitation":"(Pour, 2019)"},"properties":{"noteIndex":0},"schema":"https://github.com/citation-style-language/schema/raw/master/csl-citation.json"}</w:instrText>
      </w:r>
      <w:r w:rsidR="00C84BB5" w:rsidRPr="00007F4D">
        <w:rPr>
          <w:sz w:val="18"/>
          <w:szCs w:val="20"/>
          <w:lang w:val="en-US"/>
        </w:rPr>
        <w:fldChar w:fldCharType="separate"/>
      </w:r>
      <w:r w:rsidR="00C84BB5" w:rsidRPr="00007F4D">
        <w:rPr>
          <w:noProof/>
          <w:sz w:val="18"/>
          <w:szCs w:val="20"/>
          <w:lang w:val="en-US"/>
        </w:rPr>
        <w:t>(Pour, 2019)</w:t>
      </w:r>
      <w:r w:rsidR="00C84BB5" w:rsidRPr="00007F4D">
        <w:rPr>
          <w:sz w:val="18"/>
          <w:szCs w:val="20"/>
          <w:lang w:val="en-US"/>
        </w:rPr>
        <w:fldChar w:fldCharType="end"/>
      </w:r>
      <w:r w:rsidR="00C84BB5" w:rsidRPr="00007F4D">
        <w:rPr>
          <w:sz w:val="18"/>
          <w:szCs w:val="20"/>
          <w:lang w:val="en-US"/>
        </w:rPr>
        <w:t xml:space="preserve">, </w:t>
      </w:r>
      <w:r w:rsidR="00654143">
        <w:rPr>
          <w:sz w:val="18"/>
          <w:szCs w:val="20"/>
          <w:lang w:val="en-US"/>
        </w:rPr>
        <w:t>can</w:t>
      </w:r>
      <w:r>
        <w:rPr>
          <w:sz w:val="18"/>
          <w:szCs w:val="20"/>
          <w:lang w:val="en-US"/>
        </w:rPr>
        <w:t xml:space="preserve"> be converted not only into heat and electricity but also into valuable products such as biohydrocarbons, renewable hydrogen, bioalcohols, aviation biofuel, SNG (biomethane), and biofuels</w:t>
      </w:r>
      <w:r w:rsidR="00C84BB5" w:rsidRPr="00007F4D">
        <w:rPr>
          <w:sz w:val="18"/>
          <w:szCs w:val="20"/>
          <w:lang w:val="en-US"/>
        </w:rPr>
        <w:t xml:space="preserve"> </w:t>
      </w:r>
      <w:r w:rsidR="00956E09" w:rsidRPr="00007F4D">
        <w:rPr>
          <w:sz w:val="18"/>
          <w:szCs w:val="20"/>
          <w:lang w:val="en-US"/>
        </w:rPr>
        <w:fldChar w:fldCharType="begin" w:fldLock="1"/>
      </w:r>
      <w:r w:rsidR="00385561" w:rsidRPr="00007F4D">
        <w:rPr>
          <w:sz w:val="18"/>
          <w:szCs w:val="20"/>
          <w:lang w:val="en-US"/>
        </w:rPr>
        <w:instrText>ADDIN CSL_CITATION {"citationItems":[{"id":"ITEM-1","itemData":{"DOI":"//doi.org/10.1016/j.biortech.2021.126109","author":[{"dropping-particle":"","family":"Seo","given":"Myung Won","non-dropping-particle":"","parse-names":false,"suffix":""},{"dropping-particle":"","family":"Lee","given":"See Hoon","non-dropping-particle":"","parse-names":false,"suffix":""},{"dropping-particle":"","family":"Nam","given":"Hyungseok","non-dropping-particle":"","parse-names":false,"suffix":""},{"dropping-particle":"","family":"Lee","given":"Doyeon","non-dropping-particle":"","parse-names":false,"suffix":""},{"dropping-particle":"","family":"Tokmurzin","given":"Diyar","non-dropping-particle":"","parse-names":false,"suffix":""},{"dropping-particle":"","family":"Wang","given":"Shuang","non-dropping-particle":"","parse-names":false,"suffix":""},{"dropping-particle":"","family":"Park","given":"Young-Kwon","non-dropping-particle":"","parse-names":false,"suffix":""}],"container-title":"Bioresource Technology","id":"ITEM-1","issued":{"date-parts":[["2022"]]},"page":"126109","title":"Recent advances of thermochemical conversion processes for biorefinery","type":"article-journal","volume":"343"},"uris":["http://www.mendeley.com/documents/?uuid=b801876b-a0bc-4a3a-a79c-ebb03dd06244"]}],"mendeley":{"formattedCitation":"(Seo et al., 2022)","plainTextFormattedCitation":"(Seo et al., 2022)","previouslyFormattedCitation":"(Seo et al., 2022)"},"properties":{"noteIndex":0},"schema":"https://github.com/citation-style-language/schema/raw/master/csl-citation.json"}</w:instrText>
      </w:r>
      <w:r w:rsidR="00956E09" w:rsidRPr="00007F4D">
        <w:rPr>
          <w:sz w:val="18"/>
          <w:szCs w:val="20"/>
          <w:lang w:val="en-US"/>
        </w:rPr>
        <w:fldChar w:fldCharType="separate"/>
      </w:r>
      <w:r w:rsidR="00956E09" w:rsidRPr="00007F4D">
        <w:rPr>
          <w:noProof/>
          <w:sz w:val="18"/>
          <w:szCs w:val="20"/>
          <w:lang w:val="en-US"/>
        </w:rPr>
        <w:t>(Seo et al., 2022)</w:t>
      </w:r>
      <w:r w:rsidR="00956E09" w:rsidRPr="00007F4D">
        <w:rPr>
          <w:sz w:val="18"/>
          <w:szCs w:val="20"/>
          <w:lang w:val="en-US"/>
        </w:rPr>
        <w:fldChar w:fldCharType="end"/>
      </w:r>
      <w:r w:rsidR="00956E09" w:rsidRPr="00007F4D">
        <w:rPr>
          <w:sz w:val="18"/>
          <w:szCs w:val="20"/>
          <w:lang w:val="en-US"/>
        </w:rPr>
        <w:t>.</w:t>
      </w:r>
      <w:r w:rsidR="00C84BB5" w:rsidRPr="00007F4D">
        <w:rPr>
          <w:sz w:val="18"/>
          <w:szCs w:val="20"/>
          <w:lang w:val="en-US"/>
        </w:rPr>
        <w:t xml:space="preserve"> </w:t>
      </w:r>
      <w:r>
        <w:rPr>
          <w:sz w:val="18"/>
          <w:szCs w:val="20"/>
          <w:lang w:val="en-US"/>
        </w:rPr>
        <w:t>SNG is the term used by many authors to define gas produced from biomass because it shares similar chemical and physical properties with fossil natural gas but is artificially generated from renewable sources, such as biomass, instead of being extracted from underground natural gas reservoirs</w:t>
      </w:r>
      <w:r w:rsidR="00C84BB5" w:rsidRPr="00007F4D">
        <w:rPr>
          <w:sz w:val="18"/>
          <w:szCs w:val="20"/>
          <w:lang w:val="en-US"/>
        </w:rPr>
        <w:t xml:space="preserve"> </w:t>
      </w:r>
      <w:r w:rsidR="00C84BB5" w:rsidRPr="00007F4D">
        <w:rPr>
          <w:sz w:val="18"/>
          <w:szCs w:val="20"/>
          <w:lang w:val="en-US"/>
        </w:rPr>
        <w:fldChar w:fldCharType="begin" w:fldLock="1"/>
      </w:r>
      <w:r w:rsidR="00C84BB5" w:rsidRPr="00007F4D">
        <w:rPr>
          <w:sz w:val="18"/>
          <w:szCs w:val="20"/>
          <w:lang w:val="en-US"/>
        </w:rPr>
        <w:instrText>ADDIN CSL_CITATION {"citationItems":[{"id":"ITEM-1","itemData":{"DOI":"10.1016/j.psep.2023.11.074","ISSN":"09575820","abstract":"Synthetic natural gas has a promising potential to contribute in sustainable supply of the natural gas and mitigating the intermittence issue of renewable energy sources. This study presents a novel system for synthetic natural gas production from biomass and renewable electrolytic hydrogen. A novel biomass and renewable electricity driven synthetic natural gas production system is presented. Hydrogen, an important input of the system, is supplied by biomass gasification and water electrolysis driven by renewable energy. Integrated system of photovoltaic panels and wind turbines supplies the required electricity of the system. An oxygen-steam mix is utilized as the gasification agent. An ion transport membrane is employed for oxygen production as an alternative to an expensive and complicated air separation unit. A comprehensive thermodynamic and economic analysis of the system is carried out. All equipment and ancillary costs are considered. Since solid carbon generation can lead to deactivation of the methanation reactor catalysts, the potential for solid carbon generation is considered for practicality. Multi-objective optimizations of different scenarios, are performed to determine the optimal economical and technical performance of the system. The optimization results indicate that the minimum cost for producing synthetic natural gas is 0.28 $/kWh. Furthermore, the heating value of synthetic natural gas is 41,500 kJ/kg, which closely approximates that of natural gas. Additionally, the price of the produced synthetic natural gas is lower than the price of natural gas in certain countries. In Sweden and the Netherlands, synthetic natural gas costs are notably 36% and 10% lower than conventional natural gas. However, in Germany, Austria, and Denmark, synthetic natural gas prices closely align with conventional natural gas rates, reflecting regional market variations.","author":[{"dropping-particle":"","family":"Jalili","given":"Mohammad","non-dropping-particle":"","parse-names":false,"suffix":""},{"dropping-particle":"","family":"Beyrami","given":"Javid","non-dropping-particle":"","parse-names":false,"suffix":""},{"dropping-particle":"","family":"Ziyaei","given":"Mozhgan","non-dropping-particle":"","parse-names":false,"suffix":""},{"dropping-particle":"","family":"Chitsaz","given":"Ata","non-dropping-particle":"","parse-names":false,"suffix":""},{"dropping-particle":"","family":"Rosen","given":"Marc A.","non-dropping-particle":"","parse-names":false,"suffix":""}],"container-title":"Process Safety and Environmental Protection","id":"ITEM-1","issue":"May 2023","issued":{"date-parts":[["2024"]]},"page":"139-153","publisher":"Elsevier Ltd","title":"Innovative synthetic natural gas production from biomass and renewable hydrogen: Evaluation and optimization with sustainability perspective","type":"article-journal","volume":"182"},"uris":["http://www.mendeley.com/documents/?uuid=256c591a-4378-4aee-986a-8b80dcce9536"]},{"id":"ITEM-2","itemData":{"DOI":"10.1016/j.cej.2024.152487","ISSN":"13858947","abstract":"Synthetic natural gas (SNG) is a promising alternative to conventional fossil natural gas. This study proposes a chemical looping hydrogen production (CLHP)-based route for SNG synthesis and elucidates the insights and necessities of appropriately co-feeding different types of feedstocks to maximize the yields of hydrogen and subsequent SNG. A study employing microalgae (MA) and refuse-derived fuel (RDF) as biomass and municipal solid waste representatives demonstrates that blending MA with RDF in a proportion of 40 %:60 % (0.4MA-0.6RDF) eradicates oxygen carrier splitting. This boosts fuel-to-hydrogen efficiency from 74.1 % to 77.8 %, as well as subsequent thermal and exergy efficiencies of SNG production from 59.07 % and 55.8 % to 61.3 % and 57.92 %, respectively, compared to the use of MA alone. Nonetheless, blending fuels does not yield substantial economic advantages, as evidenced by the levelized cost of SNG production using pure MA and the 0.4MA-0.6RDF blend remaining at approximately 0.63 USD/Nm3.","author":[{"dropping-particle":"","family":"Sun","given":"Zhuang","non-dropping-particle":"","parse-names":false,"suffix":""},{"dropping-particle":"","family":"Chen","given":"Xiangxiang","non-dropping-particle":"","parse-names":false,"suffix":""},{"dropping-particle":"","family":"Kuo","given":"Po Chih","non-dropping-particle":"","parse-names":false,"suffix":""},{"dropping-particle":"","family":"Ding","given":"Lu","non-dropping-particle":"","parse-names":false,"suffix":""},{"dropping-particle":"","family":"Aziz","given":"Muhammad","non-dropping-particle":"","parse-names":false,"suffix":""}],"container-title":"Chemical Engineering Journal","id":"ITEM-2","issue":"May","issued":{"date-parts":[["2024"]]},"page":"152487","publisher":"Elsevier B.V.","title":"Co-feeding biomass and municipal solid waste for enhanced hydrogen and synthetic natural gas yields employing chemical looping process","type":"article-journal","volume":"493"},"uris":["http://www.mendeley.com/documents/?uuid=1e8be1d7-ad76-4cc4-a25d-93466f27cde3"]},{"id":"ITEM-3","itemData":{"DOI":"10.1016/j.energy.2024.133507","ISSN":"18736785","abstract":"The integration of renewables with CCUS technologies has the promising potential to deliver energy applications with overall negative CO2 emissions which would significantly contribute to the climate neutrality. Moreover, the renewable-based synthetic fuels are predicted to replace the conventional fossil fuels. The current work evaluates key techno-economic and environmental indicators for the SNG production from various renewable fuels (e.g., sawdust, residual wood, organic wastes, agricultural and urban wastes etc.) through gasification process fitted with decarbonization capability. The investigated plant capacity was set to 500 MWth SNG with 60 % CO2 capture rate of primary fuel (biomass). The overall concept was evaluated using various process engineering approaches e.g., reactor &amp; process modelling and simulation, model validation, heat and power analysis, techno-economic assessment combined with detailed environmental impact by Life Cycle Analysis (LCA). The investigated design shows promising performance indicators such as high cumulative energy efficiency (69 %) and carbon conversion to SNG, almost zero plant specific CO2 emissions (3 kg/MWh) and overall negative carbon emissions (−457 kg/MWh) from the whole biomass chain. The SNG production cost is not yet fully competitive versus the EU natural gas prices (53 vs. 30–35 €/MWh) but it shows promising potential considering the trends of increasing fossil prices and CO2 emission tax.","author":[{"dropping-particle":"","family":"Cormos","given":"Calin Cristian","non-dropping-particle":"","parse-names":false,"suffix":""},{"dropping-particle":"","family":"Dragan","given":"Mihaela","non-dropping-particle":"","parse-names":false,"suffix":""},{"dropping-particle":"","family":"Petrescu","given":"Letitia","non-dropping-particle":"","parse-names":false,"suffix":""},{"dropping-particle":"","family":"Cormos","given":"Ana Maria","non-dropping-particle":"","parse-names":false,"suffix":""},{"dropping-particle":"","family":"Dragan","given":"Simion","non-dropping-particle":"","parse-names":false,"suffix":""},{"dropping-particle":"","family":"Bathori","given":"Arthur Maximilian","non-dropping-particle":"","parse-names":false,"suffix":""},{"dropping-particle":"","family":"Galusnyak","given":"Stefan Cristian","non-dropping-particle":"","parse-names":false,"suffix":""}],"container-title":"Energy","id":"ITEM-3","issue":"December 2023","issued":{"date-parts":[["2024"]]},"page":"133507","publisher":"Elsevier Ltd","title":"Synthetic natural gas (SNG) production by biomass gasification with CO2 capture: Techno-economic and life cycle analysis (LCA)","type":"article-journal","volume":"312"},"uris":["http://www.mendeley.com/documents/?uuid=b4bb648f-4474-4609-96ce-63aefc0782e7"]},{"id":"ITEM-4","itemData":{"DOI":"10.1016/j.fuproc.2020.106515","ISSN":"03783820","abstract":"Synthetic natural gas (methane) production was systematically investigated by optimizing various operating parameters using a three stage (i) biomass pyrolysis (ii) catalytic steam reforming (iii) catalytic hydrogenation reactor system. Several operating parameters were optimized including catalytic steam reforming temperature, steam weight hourly space velocity (WHSV), catalytic hydrogenation temperature and hydrogen gas space velocity. In addition, the influence of different metal catalysts (Ni/Al2O3, Fe/Al2O3, Co/Al2O3, and Mo/Al2O3), catalyst calcination temperature, catalyst metal loadings, and different catalyst support materials (Al2O3, SiO2, and MCM-41) was carried out specifically to optimize catalytic hydrogenation in the third stage reactor. The highest methane yield of 13.73 mmoles g−1biomass (22.02 g CH4 100 g−1biomass) was obtained with a second stage catalytic steam reforming temperature of 800 °C over a 10 wt% Ni/Al2O3 catalyst and with a steam WHSV of 5 mL h−1 g−1catalyst together with a third stage catalytic hydrogenation temperature of 350 °C over a 10 wt% Ni/Al2O3 catalyst with added hydrogen gas space velocity of 2400 mL h−1 g−1catalyst.","author":[{"dropping-particle":"","family":"Jaffar","given":"Mohammad M.","non-dropping-particle":"","parse-names":false,"suffix":""},{"dropping-particle":"","family":"Nahil","given":"Mohamad A.","non-dropping-particle":"","parse-names":false,"suffix":""},{"dropping-particle":"","family":"Williams","given":"Paul T.","non-dropping-particle":"","parse-names":false,"suffix":""}],"container-title":"Fuel Processing Technology","id":"ITEM-4","issue":"June","issued":{"date-parts":[["2020"]]},"title":"Synthetic natural gas production from the three stage (i) pyrolysis (ii) catalytic steam reforming (iii) catalytic hydrogenation of waste biomass","type":"article-journal","volume":"208"},"uris":["http://www.mendeley.com/documents/?uuid=9525487b-2322-4a36-bde3-cd38bf981a6e"]},{"id":"ITEM-5","itemData":{"DOI":"10.1016/j.enconman.2023.117895","ISSN":"01968904","abstract":"Due to the growth in the share of renewable energy sources (RES) in the power generation sector worldwide and their intermittency, storage of surplus electricity is needed. The technology known as Power to X (PtX) facilitates the extended storage of excess electricity by converting it into gaseous or liquid fuels such as hydrogen, methane, ammonia, or methanol. This study examines the potential of synthetic natural gas (SNG) technology as a viable energy storage solution. The paper introduces three distinct SNG production systems, all of which are based on the processes of biomass gasification and methanation. Case 1 assumes further CO2 capture from generated SNG, and Cases 2 and 3 additionally assume hydrogen production and almost complete CO2 utilization by syngas hydrogenation via the methanation process. The methanation process converts syngas and hydrogen into SNG with a high methane content (&gt;90 vol% dry), that can be injected into the natural gas grid. The thermodynamic and economic potential of SNG production systems is presented in this work. The simulations were conducted using the AspenONE software. The methanation process was analyzed for various design conditions such as methanation temperature and pressure, and different H2:CO, and H2:CO2 ratios. The estimated cold gas efficiency of proposed SNG production systems varies from 63.27% to 77.10% and can be increased up to about 69.10–75.58% when the recovery of heat from methanation is considered. A sensitivity analysis was conducted to determine the break-even price of SNG, considering different scenarios for the costs of feedstock, specifically biomass and electricity. The results indicate that under the most optimi</w:instrText>
      </w:r>
      <w:r w:rsidR="00C84BB5" w:rsidRPr="00654143">
        <w:rPr>
          <w:sz w:val="18"/>
          <w:szCs w:val="20"/>
          <w:lang w:val="es-ES"/>
        </w:rPr>
        <w:instrText>stic conditions, the break-even price of SNG is estimated to be 115 €/MWhSNG, 58 €/MWhSNG and 67 €/MWhSNG for Cases 1, 2, and 3, respectively.","author":[{"dropping-particle":"","family":"Katla-Milewska","given":"Daria","non-dropping-particle":"","parse-names":false,"suffix":""},{"dropping-particle":"","family":"Nazir","given":"Shareq Mohd","non-dropping-particle":"","parse-names":false,"suffix":""},{"dropping-particle":"","family":"Skorek-Osikowska","given":"Anna","non-dropping-particle":"","parse-names":false,"suffix":""}],"container-title":"Energy Conversion and Management","id":"ITEM-5","issue":"November 2023","issued":{"date-parts":[["2024"]]},"page":"117895","publisher":"Elsevier Ltd","title":"Synthetic natural gas (SNG) production with higher carbon recovery from biomass: Techno-economic assessment","type":"article-journal","volume":"300"},"uris":["http://www.mendeley.com/documents/?uuid=ed143b8e-f5c3-4ed4-95c5-416f228c8bbf"]}],"mendeley":{"formattedCitation":"(Cormos et al., 2024; Jaffar et al., 2020; Jalili et al., 2024; Katla-Milewska et al., 2024; Sun et al., 2024)","plainTextFormattedCitation":"(Cormos et al., 2024; Jaffar et al., 2020; Jalili et al., 2024; Katla-Milewska et al., 2024; Sun et al., 2024)","previouslyFormattedCitation":"(Cormos et al., 2024; Jaffar et al., 2020; Jalili et al., 2024; Katla-Milewska et al., 2024; Sun et al., 2024)"},"properties":{"noteIndex":0},"schema":"https://github.com/citation-style-language/schema/raw/master/csl-citation.json"}</w:instrText>
      </w:r>
      <w:r w:rsidR="00C84BB5" w:rsidRPr="00007F4D">
        <w:rPr>
          <w:sz w:val="18"/>
          <w:szCs w:val="20"/>
          <w:lang w:val="en-US"/>
        </w:rPr>
        <w:fldChar w:fldCharType="separate"/>
      </w:r>
      <w:r w:rsidR="00C84BB5" w:rsidRPr="00654143">
        <w:rPr>
          <w:noProof/>
          <w:sz w:val="18"/>
          <w:szCs w:val="20"/>
          <w:lang w:val="es-ES"/>
        </w:rPr>
        <w:t>(Cormos et al., 2024; Jaffar et al., 2020; Jalili et al., 2024; Katla-Milewska et al., 2024; Sun et al., 2024)</w:t>
      </w:r>
      <w:r w:rsidR="00C84BB5" w:rsidRPr="00007F4D">
        <w:rPr>
          <w:sz w:val="18"/>
          <w:szCs w:val="20"/>
          <w:lang w:val="en-US"/>
        </w:rPr>
        <w:fldChar w:fldCharType="end"/>
      </w:r>
      <w:r w:rsidR="00C84BB5" w:rsidRPr="00654143">
        <w:rPr>
          <w:sz w:val="18"/>
          <w:szCs w:val="20"/>
          <w:lang w:val="es-ES"/>
        </w:rPr>
        <w:t xml:space="preserve">. </w:t>
      </w:r>
      <w:r>
        <w:rPr>
          <w:sz w:val="18"/>
          <w:szCs w:val="20"/>
          <w:lang w:val="en-US"/>
        </w:rPr>
        <w:t>One of the biomasses potentially used as raw material for fuel production is empty fruit bunch (EFB) waste from the palm oil industry </w:t>
      </w:r>
      <w:r>
        <w:rPr>
          <w:sz w:val="18"/>
          <w:lang w:val="en-US"/>
        </w:rPr>
        <w:t xml:space="preserve">due to </w:t>
      </w:r>
      <w:r w:rsidR="00654143">
        <w:rPr>
          <w:sz w:val="18"/>
          <w:lang w:val="en-US"/>
        </w:rPr>
        <w:t>its abundance</w:t>
      </w:r>
      <w:r>
        <w:rPr>
          <w:sz w:val="18"/>
          <w:lang w:val="en-US"/>
        </w:rPr>
        <w:t>, inexpensive, safe for food security, and </w:t>
      </w:r>
      <w:r>
        <w:rPr>
          <w:sz w:val="18"/>
          <w:szCs w:val="20"/>
          <w:lang w:val="en-US"/>
        </w:rPr>
        <w:t>favorable physicochemical characteristics</w:t>
      </w:r>
      <w:r w:rsidR="00C84BB5" w:rsidRPr="00007F4D">
        <w:rPr>
          <w:sz w:val="18"/>
          <w:szCs w:val="20"/>
          <w:lang w:val="en-US"/>
        </w:rPr>
        <w:t xml:space="preserve"> </w:t>
      </w:r>
      <w:r w:rsidR="00C84BB5" w:rsidRPr="00007F4D">
        <w:rPr>
          <w:sz w:val="18"/>
          <w:szCs w:val="20"/>
          <w:lang w:val="en-US"/>
        </w:rPr>
        <w:fldChar w:fldCharType="begin" w:fldLock="1"/>
      </w:r>
      <w:r w:rsidR="00C84BB5" w:rsidRPr="00007F4D">
        <w:rPr>
          <w:sz w:val="18"/>
          <w:szCs w:val="20"/>
          <w:lang w:val="en-US"/>
        </w:rPr>
        <w:instrText>ADDIN CSL_CITATION {"citationItems":[{"id":"ITEM-1","itemData":{"DOI":"10.20508/ijrer.v10i2.10690.g7940","ISSN":"13090127","abstract":"Alternative fuel is needed in order to anticipate the petroleum depletion and environmental issues. The most abundant and inexpensive raw material for producing renewable fuel is biomass. One of the biomass that is potentially used as raw material for fuel production is empty fruit bunch (EFB) waste of the palm oil industry. EFB can be converted into bio-oil by pyrolysis process, but this product can not be used directly as a transportation fuel, as it needs to undergo a process of an upgrade to bio-oil. Co-pyrolysis is a biomass pyrolysis process with solid material that has a high hydrogen index at atmospheric pressure. One of the materials that have a higher hydrogen index than biomass is polymer, such as solid tire waste. The objectives of this research are to study the effects of EFB treatment, the mass ratio of solid tire waste to EFB, and temperature of co-pyrolysis to the yield and composition of the product. EFB that had been treated was mixed with the tire waste, with a weight ratio of (100:0; 75:25; 50:50; 25:75 and 0:100) between EFB and tire waste. The mixed raw material was put into the co-pyrolysis reactor and heated at 400-600 oC, the nitrogen gas was used as a carrier and flowed at a flow rate of 400 mL/min for 45 minutes. The results showed that the treatment of EFB as the raw material of pyrolysis could increase the yield of bio-oil and improve the quality of bio-oil. With the addition of 75% tire waste in the co-pyrolysis raw material, the composition of hydrocarbons in bio-oil became 59.55% with a bio-oil heating value of 33.1 MJ/kg.","author":[{"dropping-particle":"","family":"Sunarno","given":"","non-dropping-particle":"","parse-names":false,"suffix":""},{"dropping-particle":"","family":"Saputra","given":"Edy","non-dropping-particle":"","parse-names":false,"suffix":""},{"dropping-particle":"","family":"Fermi","given":"Muhammad Iwan","non-dropping-particle":"","parse-names":false,"suffix":""},{"dropping-particle":"","family":"Utama","given":"Panca Setia","non-dropping-particle":"","parse-names":false,"suffix":""}],"container-title":"International Journal of Renewable Energy Research","id":"ITEM-1","issue":"2","issued":{"date-parts":[["2020"]]},"page":"687-692","title":"Non-catalytic co-pyrolysis of empty fruit bunch of palm and solid tire waste into upgrade bio-oil","type":"article-journal","volume":"10"},"uris":["http://www.mendeley.com/documents/?uuid=6e047e26-ecff-4a04-ac0b-a68eb9b28bc6"]},{"id":"ITEM-2","itemData":{"DOI":"10.1016/j.biombioe.2014.01.002","ISSN":"09619534","abstract":"Empty fruit bunch (EFB) from oil palm is one of the potential biomass to produce biofuels like bio-oil due to its abundant supply and favorable physicochemical characteristics. Confirming the assertion, this paper presents an overview of EFB as a feedstock for bio-oil production. The fundamental characteristics of EFB in terms of proximate analysis, ultimate analysis and chemical composition, as well as the recent advances in EFB conversion processes for bio-oil production like pyrolysis and solvolysis are outlined and discussed. A comparison of properties in terms of proximate analysis, ultimate analysis and fuel properties between the bio-oil from EFB and petroleum fuel oil is included. The major challenges and future prospects towards the utilization of EFB as a useful resource for bio-oil production are also addressed. © 2014 Elsevier Ltd.","author":[{"dropping-particle":"","family":"Chang","given":"Siu Hua","non-dropping-particle":"","parse-names":false,"suffix":""}],"container-title":"Biomass and Bioenergy","id":"ITEM-2","issued":{"date-parts":[["2014"]]},"page":"174-181","publisher":"Elsevier Ltd","title":"An overview of empty fruit bunch from oil palm as feedstock for bio-oil production","type":"article-journal","volume":"62"},"uris":["http://www.mendeley.com/documents/?uuid=2a970378-b00e-4670-9199-7aea1a71f148"]}],"mendeley":{"formattedCitation":"(Chang, 2014; Sunarno et al., 2020)","plainTextFormattedCitation":"(Chang, 2014; Sunarno et al., 2020)"},"properties":{"noteIndex":0},"schema":"https://github.com/citation-style-language/schema/raw/master/csl-citation.json"}</w:instrText>
      </w:r>
      <w:r w:rsidR="00C84BB5" w:rsidRPr="00007F4D">
        <w:rPr>
          <w:sz w:val="18"/>
          <w:szCs w:val="20"/>
          <w:lang w:val="en-US"/>
        </w:rPr>
        <w:fldChar w:fldCharType="separate"/>
      </w:r>
      <w:r w:rsidR="00C84BB5" w:rsidRPr="00007F4D">
        <w:rPr>
          <w:noProof/>
          <w:sz w:val="18"/>
          <w:szCs w:val="20"/>
          <w:lang w:val="en-US"/>
        </w:rPr>
        <w:t>(Chang, 2014; Sunarno et al., 2020)</w:t>
      </w:r>
      <w:r w:rsidR="00C84BB5" w:rsidRPr="00007F4D">
        <w:rPr>
          <w:sz w:val="18"/>
          <w:szCs w:val="20"/>
          <w:lang w:val="en-US"/>
        </w:rPr>
        <w:fldChar w:fldCharType="end"/>
      </w:r>
      <w:r w:rsidR="00C84BB5" w:rsidRPr="00007F4D">
        <w:rPr>
          <w:sz w:val="18"/>
          <w:szCs w:val="20"/>
          <w:lang w:val="en-US"/>
        </w:rPr>
        <w:t xml:space="preserve">. </w:t>
      </w:r>
      <w:r>
        <w:rPr>
          <w:sz w:val="18"/>
          <w:szCs w:val="20"/>
          <w:lang w:val="en-US"/>
        </w:rPr>
        <w:t>Biomass transformation processes must be evaluated to determine their environmental impacts. Life cycle assessment (LCA) is an internationally recognized methodology for quantifying the environmental impacts of a product or process throughout its life cycle</w:t>
      </w:r>
      <w:r w:rsidR="00AC2692" w:rsidRPr="00007F4D">
        <w:rPr>
          <w:sz w:val="18"/>
          <w:szCs w:val="20"/>
          <w:lang w:val="en-US"/>
        </w:rPr>
        <w:t xml:space="preserve"> </w:t>
      </w:r>
      <w:r w:rsidR="00385561" w:rsidRPr="00007F4D">
        <w:rPr>
          <w:sz w:val="18"/>
          <w:szCs w:val="20"/>
          <w:lang w:val="en-US"/>
        </w:rPr>
        <w:fldChar w:fldCharType="begin" w:fldLock="1"/>
      </w:r>
      <w:r w:rsidR="004C6D02" w:rsidRPr="00007F4D">
        <w:rPr>
          <w:sz w:val="18"/>
          <w:szCs w:val="20"/>
          <w:lang w:val="en-US"/>
        </w:rPr>
        <w:instrText>ADDIN CSL_CITATION {"citationItems":[{"id":"ITEM-1","itemData":{"abstract":"Análisis de ciclo de vida. Principios y marco de referencia.","author":[{"dropping-particle":"","family":"ICONTEC","given":"","non-dropping-particle":"","parse-names":false,"suffix":""}],"container-title":"Icontec","id":"ITEM-1","issue":"571","issued":{"date-parts":[["2007"]]},"page":"1-24","title":"NORMA TECNICA COLOMBIA NTC-ISO14040. Gestión ambiental. Análisis de ciclo de vida. Requisitos y directrices. requisitos del ciclo de vida.","type":"article-journal","volume":"2"},"uris":["http://www.mendeley.com/documents/?uuid=127904ed-90f3-49e1-a0d5-f5577ff1bf73"]},{"id":"ITEM-2","itemData":{"author":[{"dropping-particle":"","family":"ICONTEC","given":"","non-dropping-particle":"","parse-names":false,"suffix":""}],"container-title":"Icontec","id":"ITEM-2","issued":{"date-parts":[["2007"]]},"page":"1-24","title":"NORMA TECNICA COLOMBIA NTC-ISO14040. Gestión ambiental. Análisis de ciclo de vida. Principios y marco de refencia","type":"article-journal","volume":"2"},"uris":["http://www.mendeley.com/documents/?uuid=0f8f8f5d-4584-4ac3-b7fc-c9459c26544d"]}],"mendeley":{"formattedCitation":"(ICONTEC, 2007b, 2007a)","plainTextFormattedCitation":"(ICONTEC, 2007b, 2007a)","previouslyFormattedCitation":"(ICONTEC, 2007b, 2007a)"},"properties":{"noteIndex":0},"schema":"https://github.com/citation-style-language/schema/raw/master/csl-citation.json"}</w:instrText>
      </w:r>
      <w:r w:rsidR="00385561" w:rsidRPr="00007F4D">
        <w:rPr>
          <w:sz w:val="18"/>
          <w:szCs w:val="20"/>
          <w:lang w:val="en-US"/>
        </w:rPr>
        <w:fldChar w:fldCharType="separate"/>
      </w:r>
      <w:r w:rsidR="00385561" w:rsidRPr="00007F4D">
        <w:rPr>
          <w:noProof/>
          <w:sz w:val="18"/>
          <w:szCs w:val="20"/>
          <w:lang w:val="en-US"/>
        </w:rPr>
        <w:t>(ICONTEC, 2007b, 2007a)</w:t>
      </w:r>
      <w:r w:rsidR="00385561" w:rsidRPr="00007F4D">
        <w:rPr>
          <w:sz w:val="18"/>
          <w:szCs w:val="20"/>
          <w:lang w:val="en-US"/>
        </w:rPr>
        <w:fldChar w:fldCharType="end"/>
      </w:r>
      <w:r w:rsidR="00061BCF" w:rsidRPr="00007F4D">
        <w:rPr>
          <w:sz w:val="18"/>
          <w:szCs w:val="20"/>
          <w:lang w:val="en-US"/>
        </w:rPr>
        <w:t xml:space="preserve">. </w:t>
      </w:r>
      <w:r>
        <w:rPr>
          <w:sz w:val="18"/>
          <w:szCs w:val="20"/>
          <w:lang w:val="en-US"/>
        </w:rPr>
        <w:t>This approach identifies the stages and subprocesses with the highest environmental burden and guides the design of improvement strategies. This work performed a life cycle assessment of the production of SNG from the EFB. Previous LCA studies have suggested improvements in similar processes that use EFB as a raw material to generate products such as ethylene</w:t>
      </w:r>
      <w:r w:rsidR="004C6D02" w:rsidRPr="00007F4D">
        <w:rPr>
          <w:sz w:val="18"/>
          <w:szCs w:val="20"/>
          <w:lang w:val="en-US"/>
        </w:rPr>
        <w:t xml:space="preserve"> </w:t>
      </w:r>
      <w:r w:rsidR="004C6D02" w:rsidRPr="00007F4D">
        <w:rPr>
          <w:sz w:val="18"/>
          <w:szCs w:val="20"/>
          <w:lang w:val="en-US"/>
        </w:rPr>
        <w:fldChar w:fldCharType="begin" w:fldLock="1"/>
      </w:r>
      <w:r w:rsidR="004C6D02" w:rsidRPr="00007F4D">
        <w:rPr>
          <w:sz w:val="18"/>
          <w:szCs w:val="20"/>
          <w:lang w:val="en-US"/>
        </w:rPr>
        <w:instrText>ADDIN CSL_CITATION {"citationItems":[{"id":"ITEM-1","itemData":{"DOI":"10.1002/apj.2436","abstract":"Empty fruit bunch (EFB), as the abundant residue of palm oil processing in Indonesia, is potential lignocellulosic biomass that can be converted into ethylene. The use of lignocellulosic biomass as feedstock may overcome the problem of fossil-sources depletion in the long term. The Aspen Plus was employed to simulate the entire process of ethylene production. The environmental impact of the process was further evaluated through life cycle assessment (LCA) method in which the global warming potential, acidification, eutrophication, ozone depletion, and photochemical oxidant creation were considered. A cradle-to-gate LCA study of ethylene production from EFB revealed that global warming potential (GWP) had the largest impact to the environment with the value of 1.15 kg CO2 eq/kg ethylene. Utilizing biomass as the raw material for producing ethylene showed a lower impact of global warming compared with the fossil based. The presence of biogenic carbon and lignin content in lignocellulosic biomass may potentially reduce environmental burden. Taking lignin into account as a credited product in this study resulted in a considerable reduction on greenhouse gas (GHG) emission by 83.9%, while the sequestration of CO2 provided insignificant effect to offset GHG emission.","author":[{"dropping-particle":"","family":"Akmalina","given":"Rifkah","non-dropping-particle":"","parse-names":false,"suffix":""},{"dropping-particle":"","family":"Pawitra","given":"Mayang Gitta","non-dropping-particle":"","parse-names":false,"suffix":""}],"container-title":"Asia-Pacific Journal of Chemical Engineering","id":"ITEM-1","issued":{"date-parts":[["2020"]]},"page":"1-9","title":"Life cycle assessment of ethylene production from empty fruit bunch","type":"article-journal"},"uris":["http://www.mendeley.com/documents/?uuid=19f5c83f-1b97-4d9b-90fb-48958fa25194"]}],"mendeley":{"formattedCitation":"(Akmalina &amp; Pawitra, 2020)","plainTextFormattedCitation":"(Akmalina &amp; Pawitra, 2020)","previouslyFormattedCitation":"(Akmalina &amp; Pawitra, 2020)"},"properties":{"noteIndex":0},"schema":"https://github.com/citation-style-language/schema/raw/master/csl-citation.json"}</w:instrText>
      </w:r>
      <w:r w:rsidR="004C6D02" w:rsidRPr="00007F4D">
        <w:rPr>
          <w:sz w:val="18"/>
          <w:szCs w:val="20"/>
          <w:lang w:val="en-US"/>
        </w:rPr>
        <w:fldChar w:fldCharType="separate"/>
      </w:r>
      <w:r w:rsidR="004C6D02" w:rsidRPr="00007F4D">
        <w:rPr>
          <w:noProof/>
          <w:sz w:val="18"/>
          <w:szCs w:val="20"/>
          <w:lang w:val="en-US"/>
        </w:rPr>
        <w:t>(Akmalina &amp; Pawitra, 2020)</w:t>
      </w:r>
      <w:r w:rsidR="004C6D02" w:rsidRPr="00007F4D">
        <w:rPr>
          <w:sz w:val="18"/>
          <w:szCs w:val="20"/>
          <w:lang w:val="en-US"/>
        </w:rPr>
        <w:fldChar w:fldCharType="end"/>
      </w:r>
      <w:r w:rsidR="004C6D02" w:rsidRPr="00007F4D">
        <w:rPr>
          <w:sz w:val="18"/>
          <w:szCs w:val="20"/>
          <w:lang w:val="en-US"/>
        </w:rPr>
        <w:t xml:space="preserve"> and xylitol </w:t>
      </w:r>
      <w:r w:rsidR="004C6D02" w:rsidRPr="00007F4D">
        <w:rPr>
          <w:sz w:val="18"/>
          <w:szCs w:val="20"/>
          <w:lang w:val="en-US"/>
        </w:rPr>
        <w:fldChar w:fldCharType="begin" w:fldLock="1"/>
      </w:r>
      <w:r w:rsidR="00CF3996" w:rsidRPr="00007F4D">
        <w:rPr>
          <w:sz w:val="18"/>
          <w:szCs w:val="20"/>
          <w:lang w:val="en-US"/>
        </w:rPr>
        <w:instrText>ADDIN CSL_CITATION {"citationItems":[{"id":"ITEM-1","itemData":{"DOI":"10.1051/matecconf/201926806018","abstract":"Empty fruit bunch (EFB), one of the wastes from palm oil production, can be utilized into fuels and chemicals. The aim of this paper is to find the optimum capacity to produce xylitol from EFB. The optimum capacity was found by simultaneously considering its profitability, hazard potential and environmental performances. The process was developed and simulated using Aspen Plus to analyze its technical challenges and economic performances, covering net present values, internal rate of returns and payback period. On the other hand, hazard identification and ranking (HIRA) was used to evaluate its safety performances, while Simapro V.8.5.2 was used to assess the environmental impact via a life cycle assessment (LCA). The results show that the high consumption of steam in chemical hydrogenation causes the main contribution of Global warming potential (GWP) by 62%. This acid pre-treatment is also considered the most toxic part of the process while the hydrogenation of xylitol is the most hazardous part based on fire and explosion perspectives. Then, multi-objective optimization using Genetic Algorithm (GA) was performed in Matlab to find the optimum capacity. The methodology and result of this work lay the foundation of future works in utilizing.","author":[{"dropping-particle":"","family":"Hafyan","given":"Rendra","non-dropping-particle":"","parse-names":false,"suffix":""},{"dropping-particle":"","family":"Bhullar","given":"Lupete","non-dropping-particle":"","parse-names":false,"suffix":""},{"dropping-particle":"","family":"Putra","given":"Zulfan","non-dropping-particle":"","parse-names":false,"suffix":""},{"dropping-particle":"","family":"Bilad","given":"MR","non-dropping-particle":"","parse-names":false,"suffix":""},{"dropping-particle":"","family":"Wirzal","given":"MDH","non-dropping-particle":"","parse-names":false,"suffix":""},{"dropping-particle":"","family":"Nordin","given":"NAHM","non-dropping-particle":"","parse-names":false,"suffix":""}],"container-title":"MATEC Web of Conferences","id":"ITEM-1","issued":{"date-parts":[["2019"]]},"page":"06018","title":"Sustainability assessment of xylitol production from empty fruit bunch","type":"article","volume":"268"},"uris":["http://www.mendeley.com/documents/?uuid=277e035f-36f7-4ada-a51b-3fc7b7c28fa7"]}],"mendeley":{"formattedCitation":"(Hafyan et al., 2019)","plainTextFormattedCitation":"(Hafyan et al., 2019)","previouslyFormattedCitation":"(Hafyan et al., 2019)"},"properties":{"noteIndex":0},"schema":"https://github.com/citation-style-language/schema/raw/master/csl-citation.json"}</w:instrText>
      </w:r>
      <w:r w:rsidR="004C6D02" w:rsidRPr="00007F4D">
        <w:rPr>
          <w:sz w:val="18"/>
          <w:szCs w:val="20"/>
          <w:lang w:val="en-US"/>
        </w:rPr>
        <w:fldChar w:fldCharType="separate"/>
      </w:r>
      <w:r w:rsidR="004C6D02" w:rsidRPr="00007F4D">
        <w:rPr>
          <w:noProof/>
          <w:sz w:val="18"/>
          <w:szCs w:val="20"/>
          <w:lang w:val="en-US"/>
        </w:rPr>
        <w:t>(Hafyan et al., 2019)</w:t>
      </w:r>
      <w:r w:rsidR="004C6D02" w:rsidRPr="00007F4D">
        <w:rPr>
          <w:sz w:val="18"/>
          <w:szCs w:val="20"/>
          <w:lang w:val="en-US"/>
        </w:rPr>
        <w:fldChar w:fldCharType="end"/>
      </w:r>
      <w:r w:rsidR="004C6D02" w:rsidRPr="00007F4D">
        <w:rPr>
          <w:sz w:val="18"/>
          <w:szCs w:val="20"/>
          <w:lang w:val="en-US"/>
        </w:rPr>
        <w:t>.</w:t>
      </w:r>
      <w:r w:rsidR="00C84BB5" w:rsidRPr="00007F4D">
        <w:rPr>
          <w:sz w:val="18"/>
          <w:szCs w:val="20"/>
          <w:lang w:val="en-US"/>
        </w:rPr>
        <w:t xml:space="preserve"> </w:t>
      </w:r>
    </w:p>
    <w:p w14:paraId="67942571" w14:textId="77777777" w:rsidR="00061BCF" w:rsidRPr="00007F4D" w:rsidRDefault="00061BCF" w:rsidP="00061BCF">
      <w:pPr>
        <w:pStyle w:val="NormalWeb"/>
        <w:rPr>
          <w:sz w:val="18"/>
          <w:szCs w:val="20"/>
          <w:lang w:val="en-US"/>
        </w:rPr>
      </w:pPr>
    </w:p>
    <w:p w14:paraId="26A76F03" w14:textId="5425C537" w:rsidR="00061BCF" w:rsidRPr="00061BCF" w:rsidRDefault="00B101DA" w:rsidP="00061BCF">
      <w:pPr>
        <w:pStyle w:val="NormalWeb"/>
        <w:rPr>
          <w:sz w:val="18"/>
          <w:szCs w:val="20"/>
          <w:highlight w:val="yellow"/>
          <w:lang w:val="en-US"/>
        </w:rPr>
      </w:pPr>
      <w:r>
        <w:rPr>
          <w:sz w:val="18"/>
          <w:szCs w:val="20"/>
          <w:lang w:val="en-US"/>
        </w:rPr>
        <w:t xml:space="preserve">The aim of this study was to quantify and evaluate the environmental impacts of a new process for the production of SNG from EFB using the LCA method. The assessment considers only the gate-to-gate scope. The EFB </w:t>
      </w:r>
      <w:r>
        <w:rPr>
          <w:sz w:val="18"/>
          <w:szCs w:val="20"/>
          <w:lang w:val="en-US"/>
        </w:rPr>
        <w:lastRenderedPageBreak/>
        <w:t>conversion process was simulated using Aspen Plus software, whereas the LCA was calculated using SimaPro.The evaluated process used a rock as an alternative catalyst, called peridotite, which is waste material from mining activities such as copper extraction in Colombia. To assess the environmental impacts, this study used the ReCiPe method, which is a tool in LCA that allows the life cycle inventories to be converted into significant environmental impacts. This method integrates impact categories at the midpoint (such as terrestrial acidification, eutrophication and ozone formation) and endpoint (affecting human health, ecosystem quality and resource availability) levels</w:t>
      </w:r>
      <w:r w:rsidR="00AC2692" w:rsidRPr="00007F4D">
        <w:rPr>
          <w:sz w:val="18"/>
          <w:szCs w:val="20"/>
          <w:lang w:val="en-US"/>
        </w:rPr>
        <w:t xml:space="preserve"> </w:t>
      </w:r>
      <w:r w:rsidR="00CF3996" w:rsidRPr="00007F4D">
        <w:rPr>
          <w:sz w:val="18"/>
          <w:szCs w:val="20"/>
          <w:lang w:val="en-US"/>
        </w:rPr>
        <w:fldChar w:fldCharType="begin" w:fldLock="1"/>
      </w:r>
      <w:r w:rsidR="00C84BB5" w:rsidRPr="00007F4D">
        <w:rPr>
          <w:sz w:val="18"/>
          <w:szCs w:val="20"/>
          <w:lang w:val="en-US"/>
        </w:rPr>
        <w:instrText>ADDIN CSL_CITATION {"citationItems":[{"id":"ITEM-1","itemData":{"DOI":"10.1007/s11367-016-1246-y","ISSN":"16147502","abstract":"Purpose: Life cycle impact assessment (LCIA) translates emissions and resource extractions into a limited number of environmental impact scores by means of so-called characterisation factors. There are two mainstream ways to derive characterisation factors, i.e. at midpoint level and at endpoint level. To further progress LCIA method development, we updated the ReCiPe2008 method to its version of 2016. This paper provides an overview of the key elements of the ReCiPe2016 method. Methods: We implemented human health, ecosystem quality and resource scarcity as three areas of protection. Endpoint characterisation factors, directly related to the areas of protection, were derived from midpoint characterisation factors with a constant mid-to-endpoint factor per impact category. We included 17 midpoint impact categories. Results and discussion: The update of ReCiPe provides characterisation factors that are representative for the global scale instead of the European scale, while maintaining the possibility for a number of impact categories to implement characterisation factors at a country and continental scale. We also expanded the number of environmental interventions and added impacts of water use on human health, impacts of water use and climate change on freshwater ecosystems and impacts of water use and tropospheric ozone formation on terrestrial ecosystems as novel damage pathways. Although significant effort has been put into the update of ReCiPe, there is still major improvement potential in the way impact pathways are modelled. Further improvements relate to a regionalisation of more impact categories, moving from local to global species extinction and adding more impact pathways. Conclusions: Life cycle impact assessment is a fast evolving field of research. ReCiPe2016 provides a state-of-the-art method to convert life cycle inventories to a limited number of life cycle impact scores on midpoint and endpoint level.","author":[{"dropping-particle":"","family":"Huijbregts","given":"Mark A.J.","non-dropping-particle":"","parse-names":false,"suffix":""},{"dropping-particle":"","family":"Steinmann","given":"Zoran J.N.","non-dropping-particle":"","parse-names":false,"suffix":""},{"dropping-particle":"","family":"Elshout","given":"Pieter M.F.","non-dropping-particle":"","parse-names":false,"suffix":""},{"dropping-particle":"","family":"Stam","given":"Gea","non-dropping-particle":"","parse-names":false,"suffix":""},{"dropping-particle":"","family":"Verones","given":"Francesca","non-dropping-particle":"","parse-names":false,"suffix":""},{"dropping-particle":"","family":"Vieira","given":"Marisa","non-dropping-particle":"","parse-names":false,"suffix":""},{"dropping-particle":"","family":"Zijp","given":"Michiel","non-dropping-particle":"","parse-names":false,"suffix":""},{"dropping-particle":"","family":"Hollander","given":"Anne","non-dropping-particle":"","parse-names":false,"suffix":""},{"dropping-particle":"","family":"Zelm","given":"Rosalie","non-dropping-particle":"van","parse-names":false,"suffix":""}],"container-title":"International Journal of Life Cycle Assessment","id":"ITEM-1","issue":"2","issued":{"date-parts":[["2017"]]},"page":"138-147","publisher":"The International Journal of Life Cycle Assessment","title":"ReCiPe2016: a harmonised life cycle impact assessment method at midpoint and endpoint level","type":"article-journal","volume":"22"},"uris":["http://www.mendeley.com/documents/?uuid=7f1a050a-a327-40e6-868b-f35cf340a1f4"]}],"mendeley":{"formattedCitation":"(Huijbregts et al., 2017)","plainTextFormattedCitation":"(Huijbregts et al., 2017)","previouslyFormattedCitation":"(Huijbregts et al., 2017)"},"properties":{"noteIndex":0},"schema":"https://github.com/citation-style-language/schema/raw/master/csl-citation.json"}</w:instrText>
      </w:r>
      <w:r w:rsidR="00CF3996" w:rsidRPr="00007F4D">
        <w:rPr>
          <w:sz w:val="18"/>
          <w:szCs w:val="20"/>
          <w:lang w:val="en-US"/>
        </w:rPr>
        <w:fldChar w:fldCharType="separate"/>
      </w:r>
      <w:r w:rsidR="00CF3996" w:rsidRPr="00007F4D">
        <w:rPr>
          <w:noProof/>
          <w:sz w:val="18"/>
          <w:szCs w:val="20"/>
          <w:lang w:val="en-US"/>
        </w:rPr>
        <w:t>(Huijbregts et al., 2017)</w:t>
      </w:r>
      <w:r w:rsidR="00CF3996" w:rsidRPr="00007F4D">
        <w:rPr>
          <w:sz w:val="18"/>
          <w:szCs w:val="20"/>
          <w:lang w:val="en-US"/>
        </w:rPr>
        <w:fldChar w:fldCharType="end"/>
      </w:r>
      <w:r w:rsidR="00CF3996" w:rsidRPr="00007F4D">
        <w:rPr>
          <w:sz w:val="18"/>
          <w:szCs w:val="20"/>
          <w:lang w:val="en-US"/>
        </w:rPr>
        <w:t>.</w:t>
      </w:r>
      <w:r w:rsidR="00C84BB5" w:rsidRPr="00007F4D">
        <w:rPr>
          <w:sz w:val="18"/>
          <w:szCs w:val="20"/>
          <w:lang w:val="en-US"/>
        </w:rPr>
        <w:t xml:space="preserve"> The LCA method was used to identify the subprocesses that contribute most to the environmental impact and, therefore, those that should be intervened to improve environmental performance.</w:t>
      </w:r>
    </w:p>
    <w:p w14:paraId="403ABE66" w14:textId="0AFAB8AE" w:rsidR="00A9587E" w:rsidRDefault="00A9587E" w:rsidP="00B61DFC">
      <w:pPr>
        <w:pStyle w:val="CETHeading1"/>
      </w:pPr>
      <w:r>
        <w:t>Process design description</w:t>
      </w:r>
    </w:p>
    <w:p w14:paraId="3C3681E2" w14:textId="653A94A7" w:rsidR="00A9587E" w:rsidRPr="00A9587E" w:rsidRDefault="00A9587E" w:rsidP="00DE0E1C">
      <w:pPr>
        <w:pStyle w:val="CETBodytext"/>
        <w:rPr>
          <w:rFonts w:ascii="ArialMT" w:hAnsi="ArialMT"/>
          <w:color w:val="000000"/>
          <w:szCs w:val="18"/>
          <w:lang w:val="en-GB"/>
        </w:rPr>
      </w:pPr>
      <w:r w:rsidRPr="009F5342">
        <w:t>The process conditions were based on</w:t>
      </w:r>
      <w:r>
        <w:t xml:space="preserve"> </w:t>
      </w:r>
      <w:r w:rsidR="00E54CE5">
        <w:fldChar w:fldCharType="begin" w:fldLock="1"/>
      </w:r>
      <w:r w:rsidR="00956E09">
        <w:instrText>ADDIN CSL_CITATION {"citationItems":[{"id":"ITEM-1","itemData":{"DOI":"10.3303/CET24109107","ISSN":"22839216","abstract":"Colombia has a privileged geography and location that allow it to have a great potential in terms of variety and availability of useful raw materials to produce synthetic natural gas (SNG) through the combined gasification-methanation process. In this study, the steady state simulation model of a proposed plant to produce SNG from empty fruit bunches (EFB) is done in Aspen Plus. The combined gasification-methanation process has been modeled in four stages. In the first stage, the moisture content of the biomass is reduced. In the second stage, gasification of the dry EFB is performed. In the third stage, cleaning and conditioning of the produced gas (syngas) is carried out, removing ash, tars, COS, H2S and CO2. In the fourth stage, methanation of the syngas is carried out using Tremp technology to produce SNG. The SNG produced contains a methane molar concentration of 95% and an approximate yield of 0.064 m3 SNG/kg of biomass. The plant simulation has been improved by means of an energy integration, implemented through Pinch technology. The energy integration enabled savings of 100 % of the required heating utilities and 37.7 % of the cooling utilities.","author":[{"dropping-particle":"","family":"Ortiz","given":"Otto A.","non-dropping-particle":"","parse-names":false,"suffix":""},{"dropping-particle":"","family":"Ojeda","given":"Karina A.","non-dropping-particle":"","parse-names":false,"suffix":""},{"dropping-particle":"","family":"Rios","given":"Luis A.","non-dropping-particle":"","parse-names":false,"suffix":""}],"container-title":"Chemical Engineering Transactions","id":"ITEM-1","issued":{"date-parts":[["2024"]]},"page":"637-642","publisher":"Italian Association of Chemical Engineering - AIDIC","title":"Case Study: Simulation of Synthetic Natural Gas Production Plant from Empty Fruit Bunches","type":"article-journal","volume":"109"},"uris":["http://www.mendeley.com/documents/?uuid=07aea7f7-96e6-34b1-befc-cc4e3d10b5ab"]}],"mendeley":{"formattedCitation":"(Ortiz et al., 2024)","plainTextFormattedCitation":"(Ortiz et al., 2024)","previouslyFormattedCitation":"(Ortiz et al., 2024)"},"properties":{"noteIndex":0},"schema":"https://github.com/citation-style-language/schema/raw/master/csl-citation.json"}</w:instrText>
      </w:r>
      <w:r w:rsidR="00E54CE5">
        <w:fldChar w:fldCharType="separate"/>
      </w:r>
      <w:r w:rsidR="00E54CE5" w:rsidRPr="00E54CE5">
        <w:rPr>
          <w:noProof/>
        </w:rPr>
        <w:t>(Ortiz et al., 2024)</w:t>
      </w:r>
      <w:r w:rsidR="00E54CE5">
        <w:fldChar w:fldCharType="end"/>
      </w:r>
      <w:r>
        <w:t xml:space="preserve"> </w:t>
      </w:r>
      <w:r w:rsidR="00AC2692" w:rsidRPr="00AC2692">
        <w:rPr>
          <w:lang w:val="en-GB"/>
        </w:rPr>
        <w:t>(Using peridotite as a catalyst replacing olivine in the gasification stage), and the simulation was conducted using Aspen plus (V12.1). The overall process of SNG production can be divided into four main stages: drying of EFB, gasification, cleaning of the produced gas, and production of SNG by methanation. First, biomass is introduced into the drying stage to reduce moisture using hot air. The dried biomass is fed into a dual-type gasifier to generate a raw gas called syngas (H</w:t>
      </w:r>
      <w:r w:rsidR="00AC2692" w:rsidRPr="00AC2692">
        <w:rPr>
          <w:vertAlign w:val="subscript"/>
          <w:lang w:val="en-GB"/>
        </w:rPr>
        <w:t>2</w:t>
      </w:r>
      <w:r w:rsidR="00AC2692" w:rsidRPr="00AC2692">
        <w:rPr>
          <w:lang w:val="en-GB"/>
        </w:rPr>
        <w:t>, CO, CO</w:t>
      </w:r>
      <w:r w:rsidR="00AC2692" w:rsidRPr="00AC2692">
        <w:rPr>
          <w:vertAlign w:val="subscript"/>
          <w:lang w:val="en-GB"/>
        </w:rPr>
        <w:t>2</w:t>
      </w:r>
      <w:r w:rsidR="00AC2692" w:rsidRPr="00AC2692">
        <w:rPr>
          <w:lang w:val="en-GB"/>
        </w:rPr>
        <w:t>, CH</w:t>
      </w:r>
      <w:r w:rsidR="00AC2692" w:rsidRPr="00AC2692">
        <w:rPr>
          <w:vertAlign w:val="subscript"/>
          <w:lang w:val="en-GB"/>
        </w:rPr>
        <w:t>4</w:t>
      </w:r>
      <w:r w:rsidR="00AC2692" w:rsidRPr="00AC2692">
        <w:rPr>
          <w:lang w:val="en-GB"/>
        </w:rPr>
        <w:t>, H</w:t>
      </w:r>
      <w:r w:rsidR="00AC2692" w:rsidRPr="00AC2692">
        <w:rPr>
          <w:vertAlign w:val="subscript"/>
          <w:lang w:val="en-GB"/>
        </w:rPr>
        <w:t>2</w:t>
      </w:r>
      <w:r w:rsidR="00AC2692" w:rsidRPr="00AC2692">
        <w:rPr>
          <w:lang w:val="en-GB"/>
        </w:rPr>
        <w:t>O</w:t>
      </w:r>
      <w:r w:rsidR="00654143">
        <w:rPr>
          <w:lang w:val="en-GB"/>
        </w:rPr>
        <w:t>,</w:t>
      </w:r>
      <w:r w:rsidR="00AC2692" w:rsidRPr="00AC2692">
        <w:rPr>
          <w:lang w:val="en-GB"/>
        </w:rPr>
        <w:t xml:space="preserve"> and in smaller quantities, tars, </w:t>
      </w:r>
      <w:r w:rsidR="00654143">
        <w:rPr>
          <w:lang w:val="en-GB"/>
        </w:rPr>
        <w:t>sulfur</w:t>
      </w:r>
      <w:r w:rsidR="00AC2692" w:rsidRPr="00AC2692">
        <w:rPr>
          <w:lang w:val="en-GB"/>
        </w:rPr>
        <w:t xml:space="preserve"> compounds such as H</w:t>
      </w:r>
      <w:r w:rsidR="00AC2692" w:rsidRPr="00AC2692">
        <w:rPr>
          <w:vertAlign w:val="subscript"/>
          <w:lang w:val="en-GB"/>
        </w:rPr>
        <w:t>2</w:t>
      </w:r>
      <w:r w:rsidR="00AC2692" w:rsidRPr="00AC2692">
        <w:rPr>
          <w:lang w:val="en-GB"/>
        </w:rPr>
        <w:t>S and COS</w:t>
      </w:r>
      <w:r w:rsidR="00654143">
        <w:rPr>
          <w:lang w:val="en-GB"/>
        </w:rPr>
        <w:t>,</w:t>
      </w:r>
      <w:r w:rsidR="00AC2692" w:rsidRPr="00AC2692">
        <w:rPr>
          <w:lang w:val="en-GB"/>
        </w:rPr>
        <w:t xml:space="preserve"> and particulate matter). The unconverted char is transported along with the bed material (peridotite) to the combustor, where it is burned together with other waste streams from the process to heat the peridotite, which returns to the gasifier and provides the heat for the endothermic gasification reactions. Fresh peridotite is continuously fed to the combustor to maintain its catalytic activity and replenish the material leaving the system along with ash and flue gas. Syngas is fed to a scrubber that uses rapeseed methyl ester (RME) as a scrubbing liquid, which removes 99.9% of the heavy tars and polycyclic aromatic hydrocarbons. After scrubbing, the unwanted components present in the gas are predominantly light cyclic hydrocarbons, such as benzene, toluene, and xylene (referred to as BTX), a small fraction of naphthalene, and traces of heavier tar components. These compounds were removed in a series of three fixed beds containing activated carbon. The product gas leaving the activated carbon beds is compressed in a centrifugal compressor and sent to a reactor where the alkenes are converted to alkanes. Next, the COS component is catalytically converted to H</w:t>
      </w:r>
      <w:r w:rsidR="00AC2692" w:rsidRPr="00AC2692">
        <w:rPr>
          <w:vertAlign w:val="subscript"/>
          <w:lang w:val="en-GB"/>
        </w:rPr>
        <w:t>2</w:t>
      </w:r>
      <w:r w:rsidR="00AC2692" w:rsidRPr="00AC2692">
        <w:rPr>
          <w:lang w:val="en-GB"/>
        </w:rPr>
        <w:t>S in the COS hydrolysis unit, and the resulting stream is cooled to enter a scrubber employing MDEA as a scrubbing solvent, where 99.0 % of the H</w:t>
      </w:r>
      <w:r w:rsidR="00AC2692" w:rsidRPr="00421E7A">
        <w:rPr>
          <w:vertAlign w:val="subscript"/>
          <w:lang w:val="en-GB"/>
        </w:rPr>
        <w:t>2</w:t>
      </w:r>
      <w:r w:rsidR="00AC2692" w:rsidRPr="00AC2692">
        <w:rPr>
          <w:lang w:val="en-GB"/>
        </w:rPr>
        <w:t>S present is removed. The gas enters a scrubber using MEA as the scrubbing solvent to remove 95 % of the CO</w:t>
      </w:r>
      <w:r w:rsidR="00AC2692" w:rsidRPr="00421E7A">
        <w:rPr>
          <w:vertAlign w:val="subscript"/>
          <w:lang w:val="en-GB"/>
        </w:rPr>
        <w:t>2</w:t>
      </w:r>
      <w:r w:rsidR="00AC2692" w:rsidRPr="00AC2692">
        <w:rPr>
          <w:lang w:val="en-GB"/>
        </w:rPr>
        <w:t>. Finally, the syngas enters the methanation stage, which comprises three adiabatic fixed-bed reactors. At the end of the methanation stage, CH</w:t>
      </w:r>
      <w:r w:rsidR="00AC2692" w:rsidRPr="00421E7A">
        <w:rPr>
          <w:vertAlign w:val="subscript"/>
          <w:lang w:val="en-GB"/>
        </w:rPr>
        <w:t>4</w:t>
      </w:r>
      <w:r w:rsidR="00AC2692" w:rsidRPr="00AC2692">
        <w:rPr>
          <w:lang w:val="en-GB"/>
        </w:rPr>
        <w:t>-rich synthetic natural gas (SNG) is obtained. </w:t>
      </w:r>
      <w:r w:rsidR="00A80795">
        <w:rPr>
          <w:rFonts w:ascii="ArialMT" w:hAnsi="ArialMT"/>
          <w:color w:val="000000"/>
          <w:szCs w:val="18"/>
          <w:lang w:val="en-GB"/>
        </w:rPr>
        <w:t xml:space="preserve"> </w:t>
      </w:r>
    </w:p>
    <w:p w14:paraId="5741900F" w14:textId="3E8453F7" w:rsidR="00453E24" w:rsidRDefault="002178D3" w:rsidP="00A9587E">
      <w:pPr>
        <w:pStyle w:val="CETHeading1"/>
        <w:numPr>
          <w:ilvl w:val="1"/>
          <w:numId w:val="27"/>
        </w:numPr>
      </w:pPr>
      <w:r>
        <w:t xml:space="preserve">Life </w:t>
      </w:r>
      <w:r w:rsidR="00654143">
        <w:t>cycle</w:t>
      </w:r>
      <w:r>
        <w:t xml:space="preserve"> assessment (LCA)</w:t>
      </w:r>
    </w:p>
    <w:p w14:paraId="35F3931C" w14:textId="11DC7C53" w:rsidR="00281B8D" w:rsidRDefault="00AC2692" w:rsidP="00281B8D">
      <w:pPr>
        <w:pStyle w:val="CETBodytext"/>
      </w:pPr>
      <w:r w:rsidRPr="00AC2692">
        <w:rPr>
          <w:lang w:val="en-GB"/>
        </w:rPr>
        <w:t>The methodology for the LCA of the SNG production process was based on the International Organization for Standardization standards ISO 14040 and ISO 14044. The LCA is divided into four phases: goal and scope definition, Life Cycle Inventory (LCI), Life Cycle Impact Assessment (LCIA), and interpretation of results. SimaPro 9.4.0.2 software was used to construct the inventory and perform impact assessment.</w:t>
      </w:r>
    </w:p>
    <w:p w14:paraId="0636B784" w14:textId="1192DC01" w:rsidR="00453E24" w:rsidRDefault="00A9587E" w:rsidP="00453E24">
      <w:pPr>
        <w:pStyle w:val="CETheadingx"/>
      </w:pPr>
      <w:r>
        <w:t xml:space="preserve">Goal and </w:t>
      </w:r>
      <w:r w:rsidR="00654143">
        <w:t>Scope</w:t>
      </w:r>
      <w:r>
        <w:t xml:space="preserve"> </w:t>
      </w:r>
    </w:p>
    <w:p w14:paraId="328B46CE" w14:textId="18A4566B" w:rsidR="007F250A" w:rsidRDefault="00654143" w:rsidP="00A02721">
      <w:pPr>
        <w:pStyle w:val="CETBodytext"/>
      </w:pPr>
      <w:r>
        <w:t>This study aimed</w:t>
      </w:r>
      <w:r w:rsidR="007F250A" w:rsidRPr="007F250A">
        <w:t xml:space="preserve"> to quantify the environmental impact of the production of S</w:t>
      </w:r>
      <w:r w:rsidR="00AC2692">
        <w:t>NG</w:t>
      </w:r>
      <w:r w:rsidR="007F250A" w:rsidRPr="007F250A">
        <w:t xml:space="preserve"> from </w:t>
      </w:r>
      <w:r w:rsidR="000F6A21">
        <w:t>EFB</w:t>
      </w:r>
      <w:r w:rsidR="007F250A" w:rsidRPr="007F250A">
        <w:t>.</w:t>
      </w:r>
      <w:r w:rsidR="007F250A">
        <w:t xml:space="preserve"> </w:t>
      </w:r>
      <w:r w:rsidR="00AC2692" w:rsidRPr="00AC2692">
        <w:rPr>
          <w:lang w:val="en-GB"/>
        </w:rPr>
        <w:t>A "gate-to-gate" approach was employed to evaluate the drying, gasification, cleaning, and methanation stages. The functional unit selected was 1 kg of SNG. Figure 1 shows the system boundaries of this study. </w:t>
      </w:r>
      <w:r w:rsidR="007F250A" w:rsidRPr="007F250A">
        <w:t xml:space="preserve"> </w:t>
      </w:r>
    </w:p>
    <w:p w14:paraId="2F92185D" w14:textId="21808A3F" w:rsidR="007F250A" w:rsidRDefault="007F250A" w:rsidP="00A02721">
      <w:pPr>
        <w:pStyle w:val="CETBodytext"/>
      </w:pPr>
    </w:p>
    <w:p w14:paraId="20727D1A" w14:textId="7EF701A8" w:rsidR="00F13A8E" w:rsidRPr="00B57B36" w:rsidRDefault="00F1542F" w:rsidP="00F13A8E">
      <w:pPr>
        <w:pStyle w:val="CETheadingx"/>
      </w:pPr>
      <w:r>
        <w:rPr>
          <w:lang w:val="es-CO"/>
        </w:rPr>
        <w:t>Life Cycle Inventory (LCI)</w:t>
      </w:r>
    </w:p>
    <w:p w14:paraId="6101D789" w14:textId="33CD81BF" w:rsidR="006F07AE" w:rsidRDefault="003A17D9" w:rsidP="00AA6D87">
      <w:pPr>
        <w:tabs>
          <w:tab w:val="clear" w:pos="7100"/>
        </w:tabs>
        <w:spacing w:after="160" w:line="259" w:lineRule="auto"/>
        <w:rPr>
          <w:rStyle w:val="CETBodytextCarattere"/>
        </w:rPr>
      </w:pPr>
      <w:r w:rsidRPr="003A17D9">
        <w:rPr>
          <w:lang w:val="en-US"/>
        </w:rPr>
        <w:t xml:space="preserve">The Life Cycle Inventory includes the quantities of input and output materials of the overall SNG production process, energy consumption, and emissions released into the environment. The data is calculated based on the mass and energy balance provided by the Aspen Plus Simulation. The LCI is associated with the previously defined functional unit, shown in </w:t>
      </w:r>
      <w:r w:rsidR="00654143">
        <w:rPr>
          <w:lang w:val="en-US"/>
        </w:rPr>
        <w:t>T</w:t>
      </w:r>
      <w:r w:rsidRPr="003A17D9">
        <w:rPr>
          <w:lang w:val="en-US"/>
        </w:rPr>
        <w:t>able 1.</w:t>
      </w:r>
      <w:r w:rsidR="006F07AE">
        <w:rPr>
          <w:rStyle w:val="CETBodytextCarattere"/>
        </w:rPr>
        <w:t xml:space="preserve"> </w:t>
      </w:r>
    </w:p>
    <w:p w14:paraId="5149BCFE" w14:textId="77777777" w:rsidR="006F5124" w:rsidRDefault="006F5124" w:rsidP="006F5124">
      <w:pPr>
        <w:pStyle w:val="CETBodytext"/>
      </w:pPr>
      <w:r>
        <w:rPr>
          <w:noProof/>
        </w:rPr>
        <w:lastRenderedPageBreak/>
        <w:drawing>
          <wp:inline distT="0" distB="0" distL="0" distR="0" wp14:anchorId="1355B8B1" wp14:editId="2BC567C8">
            <wp:extent cx="2091037" cy="23285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a:stretch>
                      <a:fillRect/>
                    </a:stretch>
                  </pic:blipFill>
                  <pic:spPr>
                    <a:xfrm>
                      <a:off x="0" y="0"/>
                      <a:ext cx="2117778" cy="2358308"/>
                    </a:xfrm>
                    <a:prstGeom prst="rect">
                      <a:avLst/>
                    </a:prstGeom>
                  </pic:spPr>
                </pic:pic>
              </a:graphicData>
            </a:graphic>
          </wp:inline>
        </w:drawing>
      </w:r>
    </w:p>
    <w:p w14:paraId="14E43F1B" w14:textId="77777777" w:rsidR="006F5124" w:rsidRDefault="006F5124" w:rsidP="006F5124">
      <w:pPr>
        <w:pStyle w:val="CETBodytext"/>
        <w:rPr>
          <w:rStyle w:val="CETCaptionCarattere"/>
        </w:rPr>
      </w:pPr>
      <w:r w:rsidRPr="00BD077D">
        <w:rPr>
          <w:rStyle w:val="CETCaptionCarattere"/>
        </w:rPr>
        <w:t xml:space="preserve">Figure 1: </w:t>
      </w:r>
      <w:r>
        <w:rPr>
          <w:rStyle w:val="CETCaptionCarattere"/>
        </w:rPr>
        <w:t>Limits of the SNG production system.</w:t>
      </w:r>
    </w:p>
    <w:p w14:paraId="5E168CF1" w14:textId="1E627047" w:rsidR="00661815" w:rsidRDefault="00661815" w:rsidP="00661815">
      <w:pPr>
        <w:pStyle w:val="CETTabletitle"/>
      </w:pPr>
      <w:bookmarkStart w:id="0" w:name="_Hlk189142775"/>
      <w:r w:rsidRPr="00B57B36">
        <w:t xml:space="preserve">Table 1: </w:t>
      </w:r>
      <w:r w:rsidR="005519AC">
        <w:t>LCI of 1 kg SNG production.</w:t>
      </w:r>
    </w:p>
    <w:tbl>
      <w:tblPr>
        <w:tblW w:w="9562" w:type="dxa"/>
        <w:tblCellMar>
          <w:left w:w="70" w:type="dxa"/>
          <w:right w:w="70" w:type="dxa"/>
        </w:tblCellMar>
        <w:tblLook w:val="04A0" w:firstRow="1" w:lastRow="0" w:firstColumn="1" w:lastColumn="0" w:noHBand="0" w:noVBand="1"/>
      </w:tblPr>
      <w:tblGrid>
        <w:gridCol w:w="1758"/>
        <w:gridCol w:w="1644"/>
        <w:gridCol w:w="1203"/>
        <w:gridCol w:w="2131"/>
        <w:gridCol w:w="1416"/>
        <w:gridCol w:w="1410"/>
      </w:tblGrid>
      <w:tr w:rsidR="00007F4D" w:rsidRPr="008A04A0" w14:paraId="24326923" w14:textId="77777777" w:rsidTr="005519AC">
        <w:trPr>
          <w:gridAfter w:val="1"/>
          <w:wAfter w:w="1410" w:type="dxa"/>
          <w:trHeight w:val="165"/>
        </w:trPr>
        <w:tc>
          <w:tcPr>
            <w:tcW w:w="1758" w:type="dxa"/>
            <w:tcBorders>
              <w:top w:val="single" w:sz="12" w:space="0" w:color="83C183"/>
            </w:tcBorders>
            <w:shd w:val="clear" w:color="000000" w:fill="FFFFFF"/>
            <w:noWrap/>
            <w:vAlign w:val="center"/>
          </w:tcPr>
          <w:p w14:paraId="053CDBC2" w14:textId="77777777" w:rsidR="00007F4D" w:rsidRPr="005519AC" w:rsidRDefault="00007F4D" w:rsidP="008B69E8">
            <w:pPr>
              <w:spacing w:line="240" w:lineRule="auto"/>
              <w:jc w:val="center"/>
              <w:rPr>
                <w:rFonts w:cs="Arial"/>
                <w:b/>
                <w:bCs/>
                <w:color w:val="000000"/>
                <w:szCs w:val="18"/>
                <w:lang w:eastAsia="es-CO"/>
              </w:rPr>
            </w:pPr>
            <w:r w:rsidRPr="005519AC">
              <w:rPr>
                <w:rFonts w:cs="Arial"/>
                <w:b/>
                <w:bCs/>
                <w:color w:val="000000"/>
                <w:szCs w:val="18"/>
                <w:lang w:eastAsia="es-CO"/>
              </w:rPr>
              <w:t>Stage</w:t>
            </w:r>
          </w:p>
        </w:tc>
        <w:tc>
          <w:tcPr>
            <w:tcW w:w="2847" w:type="dxa"/>
            <w:gridSpan w:val="2"/>
            <w:tcBorders>
              <w:top w:val="single" w:sz="12" w:space="0" w:color="83C183"/>
            </w:tcBorders>
            <w:shd w:val="clear" w:color="000000" w:fill="FFFFFF"/>
            <w:noWrap/>
            <w:vAlign w:val="center"/>
          </w:tcPr>
          <w:p w14:paraId="0AC74C44" w14:textId="77777777" w:rsidR="00007F4D" w:rsidRPr="005519AC" w:rsidRDefault="00007F4D" w:rsidP="008B69E8">
            <w:pPr>
              <w:spacing w:line="240" w:lineRule="auto"/>
              <w:jc w:val="center"/>
              <w:rPr>
                <w:rFonts w:cs="Arial"/>
                <w:b/>
                <w:bCs/>
                <w:color w:val="000000"/>
                <w:szCs w:val="18"/>
                <w:lang w:eastAsia="es-CO"/>
              </w:rPr>
            </w:pPr>
            <w:r w:rsidRPr="005519AC">
              <w:rPr>
                <w:rFonts w:cs="Arial"/>
                <w:b/>
                <w:bCs/>
                <w:color w:val="000000"/>
                <w:szCs w:val="18"/>
                <w:lang w:eastAsia="es-CO"/>
              </w:rPr>
              <w:t>Inputs</w:t>
            </w:r>
          </w:p>
        </w:tc>
        <w:tc>
          <w:tcPr>
            <w:tcW w:w="3547" w:type="dxa"/>
            <w:gridSpan w:val="2"/>
            <w:tcBorders>
              <w:top w:val="single" w:sz="12" w:space="0" w:color="83C183"/>
            </w:tcBorders>
            <w:shd w:val="clear" w:color="000000" w:fill="FFFFFF"/>
            <w:noWrap/>
            <w:vAlign w:val="center"/>
          </w:tcPr>
          <w:p w14:paraId="1AC57551" w14:textId="77777777" w:rsidR="00007F4D" w:rsidRPr="005519AC" w:rsidRDefault="00007F4D" w:rsidP="008B69E8">
            <w:pPr>
              <w:spacing w:line="240" w:lineRule="auto"/>
              <w:jc w:val="center"/>
              <w:rPr>
                <w:rFonts w:cs="Arial"/>
                <w:b/>
                <w:bCs/>
                <w:color w:val="000000"/>
                <w:szCs w:val="18"/>
              </w:rPr>
            </w:pPr>
            <w:r w:rsidRPr="005519AC">
              <w:rPr>
                <w:rFonts w:cs="Arial"/>
                <w:b/>
                <w:bCs/>
                <w:color w:val="000000"/>
                <w:szCs w:val="18"/>
              </w:rPr>
              <w:t>Outputs</w:t>
            </w:r>
          </w:p>
        </w:tc>
      </w:tr>
      <w:tr w:rsidR="00007F4D" w:rsidRPr="008A04A0" w14:paraId="6FD0F154" w14:textId="77777777" w:rsidTr="008B69E8">
        <w:trPr>
          <w:gridAfter w:val="1"/>
          <w:wAfter w:w="1410" w:type="dxa"/>
          <w:trHeight w:val="215"/>
        </w:trPr>
        <w:tc>
          <w:tcPr>
            <w:tcW w:w="1758" w:type="dxa"/>
            <w:vMerge w:val="restart"/>
            <w:tcBorders>
              <w:top w:val="single" w:sz="12" w:space="0" w:color="83C183"/>
            </w:tcBorders>
            <w:shd w:val="clear" w:color="000000" w:fill="FFFFFF"/>
            <w:noWrap/>
            <w:vAlign w:val="center"/>
          </w:tcPr>
          <w:p w14:paraId="3CF82CD8" w14:textId="7777777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DRYING</w:t>
            </w:r>
          </w:p>
        </w:tc>
        <w:tc>
          <w:tcPr>
            <w:tcW w:w="1644" w:type="dxa"/>
            <w:tcBorders>
              <w:top w:val="single" w:sz="12" w:space="0" w:color="83C183"/>
            </w:tcBorders>
            <w:shd w:val="clear" w:color="000000" w:fill="FFFFFF"/>
            <w:noWrap/>
            <w:vAlign w:val="center"/>
          </w:tcPr>
          <w:p w14:paraId="17DD3F1A" w14:textId="744BAE4F"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 xml:space="preserve">Wet </w:t>
            </w:r>
            <w:r>
              <w:rPr>
                <w:rFonts w:cs="Arial"/>
                <w:color w:val="000000"/>
                <w:szCs w:val="18"/>
                <w:lang w:eastAsia="es-CO"/>
              </w:rPr>
              <w:t>EFB</w:t>
            </w:r>
            <w:r w:rsidRPr="008A04A0">
              <w:rPr>
                <w:rFonts w:cs="Arial"/>
                <w:color w:val="000000"/>
                <w:szCs w:val="18"/>
                <w:lang w:eastAsia="es-CO"/>
              </w:rPr>
              <w:t xml:space="preserve"> [kg</w:t>
            </w:r>
            <w:r w:rsidR="005519AC">
              <w:rPr>
                <w:rFonts w:cs="Arial"/>
                <w:color w:val="000000"/>
                <w:szCs w:val="18"/>
                <w:lang w:eastAsia="es-CO"/>
              </w:rPr>
              <w:t>/h</w:t>
            </w:r>
            <w:r w:rsidRPr="008A04A0">
              <w:rPr>
                <w:rFonts w:cs="Arial"/>
                <w:color w:val="000000"/>
                <w:szCs w:val="18"/>
                <w:lang w:eastAsia="es-CO"/>
              </w:rPr>
              <w:t>]</w:t>
            </w:r>
          </w:p>
        </w:tc>
        <w:tc>
          <w:tcPr>
            <w:tcW w:w="1203" w:type="dxa"/>
            <w:tcBorders>
              <w:top w:val="single" w:sz="12" w:space="0" w:color="83C183"/>
            </w:tcBorders>
            <w:shd w:val="clear" w:color="000000" w:fill="FFFFFF"/>
            <w:noWrap/>
            <w:vAlign w:val="center"/>
          </w:tcPr>
          <w:p w14:paraId="1DCA79C0" w14:textId="3D6EA04C" w:rsidR="00007F4D" w:rsidRPr="008A04A0" w:rsidRDefault="00007F4D" w:rsidP="008B69E8">
            <w:pPr>
              <w:spacing w:line="240" w:lineRule="auto"/>
              <w:jc w:val="center"/>
              <w:rPr>
                <w:rFonts w:cs="Arial"/>
                <w:color w:val="000000"/>
                <w:szCs w:val="18"/>
                <w:lang w:eastAsia="es-CO"/>
              </w:rPr>
            </w:pPr>
            <w:r w:rsidRPr="008A04A0">
              <w:rPr>
                <w:rFonts w:cs="Arial"/>
                <w:color w:val="000000"/>
                <w:szCs w:val="18"/>
              </w:rPr>
              <w:t>5</w:t>
            </w:r>
            <w:r>
              <w:rPr>
                <w:rFonts w:cs="Arial"/>
                <w:color w:val="000000"/>
                <w:szCs w:val="18"/>
              </w:rPr>
              <w:t>.</w:t>
            </w:r>
            <w:r w:rsidRPr="008A04A0">
              <w:rPr>
                <w:rFonts w:cs="Arial"/>
                <w:color w:val="000000"/>
                <w:szCs w:val="18"/>
              </w:rPr>
              <w:t>8</w:t>
            </w:r>
            <w:r w:rsidR="005519AC">
              <w:rPr>
                <w:rFonts w:cs="Arial"/>
                <w:color w:val="000000"/>
                <w:szCs w:val="18"/>
              </w:rPr>
              <w:t>2</w:t>
            </w:r>
          </w:p>
        </w:tc>
        <w:tc>
          <w:tcPr>
            <w:tcW w:w="2131" w:type="dxa"/>
            <w:tcBorders>
              <w:top w:val="single" w:sz="12" w:space="0" w:color="83C183"/>
            </w:tcBorders>
            <w:shd w:val="clear" w:color="000000" w:fill="FFFFFF"/>
            <w:noWrap/>
            <w:vAlign w:val="center"/>
          </w:tcPr>
          <w:p w14:paraId="7BAD8227" w14:textId="77777777" w:rsidR="00007F4D" w:rsidRPr="008A04A0" w:rsidRDefault="00007F4D" w:rsidP="008B69E8">
            <w:pPr>
              <w:spacing w:line="240" w:lineRule="auto"/>
              <w:jc w:val="center"/>
              <w:rPr>
                <w:rFonts w:cs="Arial"/>
                <w:color w:val="000000"/>
                <w:szCs w:val="18"/>
              </w:rPr>
            </w:pPr>
            <w:r w:rsidRPr="008A04A0">
              <w:rPr>
                <w:rFonts w:cs="Arial"/>
                <w:color w:val="000000"/>
                <w:szCs w:val="18"/>
                <w:lang w:eastAsia="es-CO"/>
              </w:rPr>
              <w:t>Air [kg]</w:t>
            </w:r>
          </w:p>
        </w:tc>
        <w:tc>
          <w:tcPr>
            <w:tcW w:w="1416" w:type="dxa"/>
            <w:tcBorders>
              <w:top w:val="single" w:sz="12" w:space="0" w:color="83C183"/>
            </w:tcBorders>
            <w:shd w:val="clear" w:color="000000" w:fill="FFFFFF"/>
            <w:vAlign w:val="center"/>
          </w:tcPr>
          <w:p w14:paraId="4A671657" w14:textId="602004C4" w:rsidR="00007F4D" w:rsidRPr="008A04A0" w:rsidRDefault="00007F4D" w:rsidP="008B69E8">
            <w:pPr>
              <w:spacing w:line="240" w:lineRule="auto"/>
              <w:jc w:val="center"/>
              <w:rPr>
                <w:rFonts w:cs="Arial"/>
                <w:color w:val="000000"/>
                <w:szCs w:val="18"/>
              </w:rPr>
            </w:pPr>
            <w:r w:rsidRPr="008A04A0">
              <w:rPr>
                <w:rFonts w:cs="Arial"/>
                <w:color w:val="000000"/>
                <w:szCs w:val="18"/>
              </w:rPr>
              <w:t>15</w:t>
            </w:r>
            <w:r>
              <w:rPr>
                <w:rFonts w:cs="Arial"/>
                <w:color w:val="000000"/>
                <w:szCs w:val="18"/>
              </w:rPr>
              <w:t>.</w:t>
            </w:r>
            <w:r w:rsidRPr="008A04A0">
              <w:rPr>
                <w:rFonts w:cs="Arial"/>
                <w:color w:val="000000"/>
                <w:szCs w:val="18"/>
              </w:rPr>
              <w:t>27</w:t>
            </w:r>
          </w:p>
        </w:tc>
      </w:tr>
      <w:tr w:rsidR="00007F4D" w:rsidRPr="008A04A0" w14:paraId="41107BDD" w14:textId="77777777" w:rsidTr="008B69E8">
        <w:trPr>
          <w:gridAfter w:val="1"/>
          <w:wAfter w:w="1410" w:type="dxa"/>
          <w:trHeight w:val="215"/>
        </w:trPr>
        <w:tc>
          <w:tcPr>
            <w:tcW w:w="1758" w:type="dxa"/>
            <w:vMerge/>
            <w:shd w:val="clear" w:color="000000" w:fill="FFFFFF"/>
            <w:noWrap/>
            <w:vAlign w:val="center"/>
          </w:tcPr>
          <w:p w14:paraId="3DC708AB" w14:textId="77777777" w:rsidR="00007F4D" w:rsidRPr="008A04A0" w:rsidRDefault="00007F4D" w:rsidP="008B69E8">
            <w:pPr>
              <w:spacing w:line="240" w:lineRule="auto"/>
              <w:jc w:val="center"/>
              <w:rPr>
                <w:rFonts w:cs="Arial"/>
                <w:color w:val="000000"/>
                <w:szCs w:val="18"/>
                <w:lang w:eastAsia="es-CO"/>
              </w:rPr>
            </w:pPr>
          </w:p>
        </w:tc>
        <w:tc>
          <w:tcPr>
            <w:tcW w:w="1644" w:type="dxa"/>
            <w:shd w:val="clear" w:color="000000" w:fill="FFFFFF"/>
            <w:noWrap/>
            <w:vAlign w:val="center"/>
          </w:tcPr>
          <w:p w14:paraId="17A46A5B" w14:textId="7777777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Air [kg]</w:t>
            </w:r>
          </w:p>
        </w:tc>
        <w:tc>
          <w:tcPr>
            <w:tcW w:w="1203" w:type="dxa"/>
            <w:shd w:val="clear" w:color="000000" w:fill="FFFFFF"/>
            <w:noWrap/>
            <w:vAlign w:val="center"/>
          </w:tcPr>
          <w:p w14:paraId="1990DD8F" w14:textId="560F5E44" w:rsidR="00007F4D" w:rsidRPr="008A04A0" w:rsidRDefault="00007F4D" w:rsidP="008B69E8">
            <w:pPr>
              <w:spacing w:line="240" w:lineRule="auto"/>
              <w:jc w:val="center"/>
              <w:rPr>
                <w:rFonts w:cs="Arial"/>
                <w:color w:val="000000"/>
                <w:szCs w:val="18"/>
                <w:lang w:eastAsia="es-CO"/>
              </w:rPr>
            </w:pPr>
            <w:r w:rsidRPr="008A04A0">
              <w:rPr>
                <w:rFonts w:cs="Arial"/>
                <w:color w:val="000000"/>
                <w:szCs w:val="18"/>
              </w:rPr>
              <w:t>15</w:t>
            </w:r>
            <w:r>
              <w:rPr>
                <w:rFonts w:cs="Arial"/>
                <w:color w:val="000000"/>
                <w:szCs w:val="18"/>
              </w:rPr>
              <w:t>.</w:t>
            </w:r>
            <w:r w:rsidRPr="008A04A0">
              <w:rPr>
                <w:rFonts w:cs="Arial"/>
                <w:color w:val="000000"/>
                <w:szCs w:val="18"/>
              </w:rPr>
              <w:t>27</w:t>
            </w:r>
          </w:p>
        </w:tc>
        <w:tc>
          <w:tcPr>
            <w:tcW w:w="2131" w:type="dxa"/>
            <w:shd w:val="clear" w:color="000000" w:fill="FFFFFF"/>
            <w:noWrap/>
            <w:vAlign w:val="center"/>
          </w:tcPr>
          <w:p w14:paraId="659068C6" w14:textId="77777777" w:rsidR="00007F4D" w:rsidRPr="008A04A0" w:rsidRDefault="00007F4D" w:rsidP="008B69E8">
            <w:pPr>
              <w:spacing w:line="240" w:lineRule="auto"/>
              <w:jc w:val="center"/>
              <w:rPr>
                <w:rFonts w:cs="Arial"/>
                <w:color w:val="000000"/>
                <w:szCs w:val="18"/>
              </w:rPr>
            </w:pPr>
            <w:r w:rsidRPr="008A04A0">
              <w:rPr>
                <w:rFonts w:cs="Arial"/>
                <w:color w:val="000000"/>
                <w:szCs w:val="18"/>
                <w:lang w:eastAsia="es-CO"/>
              </w:rPr>
              <w:t>Water [kg]</w:t>
            </w:r>
          </w:p>
        </w:tc>
        <w:tc>
          <w:tcPr>
            <w:tcW w:w="1416" w:type="dxa"/>
            <w:shd w:val="clear" w:color="000000" w:fill="FFFFFF"/>
            <w:vAlign w:val="center"/>
          </w:tcPr>
          <w:p w14:paraId="70106C1D" w14:textId="081139C8" w:rsidR="00007F4D" w:rsidRPr="008A04A0" w:rsidRDefault="00007F4D" w:rsidP="008B69E8">
            <w:pPr>
              <w:spacing w:line="240" w:lineRule="auto"/>
              <w:jc w:val="center"/>
              <w:rPr>
                <w:rFonts w:cs="Arial"/>
                <w:color w:val="000000"/>
                <w:szCs w:val="18"/>
              </w:rPr>
            </w:pPr>
            <w:r w:rsidRPr="008A04A0">
              <w:rPr>
                <w:rFonts w:cs="Arial"/>
                <w:color w:val="000000"/>
                <w:szCs w:val="18"/>
              </w:rPr>
              <w:t>1</w:t>
            </w:r>
            <w:r>
              <w:rPr>
                <w:rFonts w:cs="Arial"/>
                <w:color w:val="000000"/>
                <w:szCs w:val="18"/>
              </w:rPr>
              <w:t>.</w:t>
            </w:r>
            <w:r w:rsidRPr="008A04A0">
              <w:rPr>
                <w:rFonts w:cs="Arial"/>
                <w:color w:val="000000"/>
                <w:szCs w:val="18"/>
              </w:rPr>
              <w:t>4</w:t>
            </w:r>
            <w:r w:rsidR="005519AC">
              <w:rPr>
                <w:rFonts w:cs="Arial"/>
                <w:color w:val="000000"/>
                <w:szCs w:val="18"/>
              </w:rPr>
              <w:t>8</w:t>
            </w:r>
          </w:p>
        </w:tc>
      </w:tr>
      <w:tr w:rsidR="00007F4D" w:rsidRPr="008A04A0" w14:paraId="0AF92E55" w14:textId="77777777" w:rsidTr="008B69E8">
        <w:trPr>
          <w:gridAfter w:val="1"/>
          <w:wAfter w:w="1410" w:type="dxa"/>
          <w:trHeight w:val="215"/>
        </w:trPr>
        <w:tc>
          <w:tcPr>
            <w:tcW w:w="1758" w:type="dxa"/>
            <w:vMerge/>
            <w:shd w:val="clear" w:color="000000" w:fill="FFFFFF"/>
            <w:noWrap/>
            <w:vAlign w:val="center"/>
          </w:tcPr>
          <w:p w14:paraId="306C9358" w14:textId="77777777" w:rsidR="00007F4D" w:rsidRPr="008A04A0" w:rsidRDefault="00007F4D" w:rsidP="008B69E8">
            <w:pPr>
              <w:spacing w:line="240" w:lineRule="auto"/>
              <w:jc w:val="center"/>
              <w:rPr>
                <w:rFonts w:cs="Arial"/>
                <w:color w:val="000000"/>
                <w:szCs w:val="18"/>
                <w:lang w:eastAsia="es-CO"/>
              </w:rPr>
            </w:pPr>
          </w:p>
        </w:tc>
        <w:tc>
          <w:tcPr>
            <w:tcW w:w="1644" w:type="dxa"/>
            <w:shd w:val="clear" w:color="000000" w:fill="FFFFFF"/>
            <w:noWrap/>
            <w:vAlign w:val="center"/>
          </w:tcPr>
          <w:p w14:paraId="505D6A70" w14:textId="77777777" w:rsidR="00007F4D" w:rsidRPr="008A04A0" w:rsidRDefault="00007F4D" w:rsidP="008B69E8">
            <w:pPr>
              <w:spacing w:line="240" w:lineRule="auto"/>
              <w:jc w:val="center"/>
              <w:rPr>
                <w:rFonts w:cs="Arial"/>
                <w:color w:val="000000"/>
                <w:szCs w:val="18"/>
                <w:lang w:eastAsia="es-CO"/>
              </w:rPr>
            </w:pPr>
          </w:p>
        </w:tc>
        <w:tc>
          <w:tcPr>
            <w:tcW w:w="1203" w:type="dxa"/>
            <w:shd w:val="clear" w:color="000000" w:fill="FFFFFF"/>
            <w:noWrap/>
            <w:vAlign w:val="center"/>
          </w:tcPr>
          <w:p w14:paraId="2AC931DE" w14:textId="77777777" w:rsidR="00007F4D" w:rsidRPr="008A04A0" w:rsidRDefault="00007F4D" w:rsidP="008B69E8">
            <w:pPr>
              <w:spacing w:line="240" w:lineRule="auto"/>
              <w:jc w:val="center"/>
              <w:rPr>
                <w:rFonts w:cs="Arial"/>
                <w:color w:val="000000"/>
                <w:szCs w:val="18"/>
              </w:rPr>
            </w:pPr>
          </w:p>
        </w:tc>
        <w:tc>
          <w:tcPr>
            <w:tcW w:w="2131" w:type="dxa"/>
            <w:shd w:val="clear" w:color="000000" w:fill="FFFFFF"/>
            <w:noWrap/>
            <w:vAlign w:val="center"/>
          </w:tcPr>
          <w:p w14:paraId="038AC9B3" w14:textId="77777777" w:rsidR="00007F4D" w:rsidRPr="008A04A0" w:rsidRDefault="00007F4D" w:rsidP="008B69E8">
            <w:pPr>
              <w:spacing w:line="240" w:lineRule="auto"/>
              <w:jc w:val="center"/>
              <w:rPr>
                <w:rFonts w:cs="Arial"/>
                <w:color w:val="000000"/>
                <w:szCs w:val="18"/>
              </w:rPr>
            </w:pPr>
            <w:r w:rsidRPr="008A04A0">
              <w:rPr>
                <w:rFonts w:cs="Arial"/>
                <w:color w:val="000000"/>
                <w:szCs w:val="18"/>
                <w:lang w:eastAsia="es-CO"/>
              </w:rPr>
              <w:t>Residual heat (air) [MJ]</w:t>
            </w:r>
          </w:p>
        </w:tc>
        <w:tc>
          <w:tcPr>
            <w:tcW w:w="1416" w:type="dxa"/>
            <w:shd w:val="clear" w:color="000000" w:fill="FFFFFF"/>
            <w:vAlign w:val="center"/>
          </w:tcPr>
          <w:p w14:paraId="7E688668" w14:textId="77AF0688" w:rsidR="00007F4D" w:rsidRPr="008A04A0" w:rsidRDefault="00007F4D" w:rsidP="008B69E8">
            <w:pPr>
              <w:spacing w:line="240" w:lineRule="auto"/>
              <w:jc w:val="center"/>
              <w:rPr>
                <w:rFonts w:cs="Arial"/>
                <w:color w:val="000000"/>
                <w:szCs w:val="18"/>
              </w:rPr>
            </w:pPr>
            <w:r w:rsidRPr="008A04A0">
              <w:rPr>
                <w:rFonts w:cs="Arial"/>
                <w:color w:val="000000"/>
                <w:szCs w:val="18"/>
              </w:rPr>
              <w:t>4</w:t>
            </w:r>
            <w:r>
              <w:rPr>
                <w:rFonts w:cs="Arial"/>
                <w:color w:val="000000"/>
                <w:szCs w:val="18"/>
              </w:rPr>
              <w:t>.</w:t>
            </w:r>
            <w:r w:rsidRPr="008A04A0">
              <w:rPr>
                <w:rFonts w:cs="Arial"/>
                <w:color w:val="000000"/>
                <w:szCs w:val="18"/>
              </w:rPr>
              <w:t>7</w:t>
            </w:r>
            <w:r w:rsidR="005519AC">
              <w:rPr>
                <w:rFonts w:cs="Arial"/>
                <w:color w:val="000000"/>
                <w:szCs w:val="18"/>
              </w:rPr>
              <w:t>7</w:t>
            </w:r>
          </w:p>
        </w:tc>
      </w:tr>
      <w:tr w:rsidR="00007F4D" w:rsidRPr="008A04A0" w14:paraId="05B30509" w14:textId="77777777" w:rsidTr="008B69E8">
        <w:trPr>
          <w:gridAfter w:val="1"/>
          <w:wAfter w:w="1410" w:type="dxa"/>
          <w:trHeight w:val="215"/>
        </w:trPr>
        <w:tc>
          <w:tcPr>
            <w:tcW w:w="1758" w:type="dxa"/>
            <w:vMerge/>
            <w:shd w:val="clear" w:color="000000" w:fill="FFFFFF"/>
            <w:noWrap/>
            <w:vAlign w:val="center"/>
          </w:tcPr>
          <w:p w14:paraId="147331BF" w14:textId="77777777" w:rsidR="00007F4D" w:rsidRPr="008A04A0" w:rsidRDefault="00007F4D" w:rsidP="008B69E8">
            <w:pPr>
              <w:spacing w:line="240" w:lineRule="auto"/>
              <w:jc w:val="center"/>
              <w:rPr>
                <w:rFonts w:cs="Arial"/>
                <w:color w:val="000000"/>
                <w:szCs w:val="18"/>
                <w:lang w:eastAsia="es-CO"/>
              </w:rPr>
            </w:pPr>
          </w:p>
        </w:tc>
        <w:tc>
          <w:tcPr>
            <w:tcW w:w="1644" w:type="dxa"/>
            <w:shd w:val="clear" w:color="000000" w:fill="FFFFFF"/>
            <w:noWrap/>
            <w:vAlign w:val="center"/>
          </w:tcPr>
          <w:p w14:paraId="22482F13" w14:textId="77777777" w:rsidR="00007F4D" w:rsidRPr="008A04A0" w:rsidRDefault="00007F4D" w:rsidP="008B69E8">
            <w:pPr>
              <w:spacing w:line="240" w:lineRule="auto"/>
              <w:jc w:val="center"/>
              <w:rPr>
                <w:rFonts w:cs="Arial"/>
                <w:color w:val="000000"/>
                <w:szCs w:val="18"/>
                <w:lang w:eastAsia="es-CO"/>
              </w:rPr>
            </w:pPr>
          </w:p>
        </w:tc>
        <w:tc>
          <w:tcPr>
            <w:tcW w:w="1203" w:type="dxa"/>
            <w:shd w:val="clear" w:color="000000" w:fill="FFFFFF"/>
            <w:noWrap/>
            <w:vAlign w:val="center"/>
          </w:tcPr>
          <w:p w14:paraId="4642B8B4" w14:textId="77777777" w:rsidR="00007F4D" w:rsidRPr="008A04A0" w:rsidRDefault="00007F4D" w:rsidP="008B69E8">
            <w:pPr>
              <w:spacing w:line="240" w:lineRule="auto"/>
              <w:jc w:val="center"/>
              <w:rPr>
                <w:rFonts w:cs="Arial"/>
                <w:color w:val="000000"/>
                <w:szCs w:val="18"/>
              </w:rPr>
            </w:pPr>
          </w:p>
        </w:tc>
        <w:tc>
          <w:tcPr>
            <w:tcW w:w="2131" w:type="dxa"/>
            <w:shd w:val="clear" w:color="000000" w:fill="FFFFFF"/>
            <w:noWrap/>
            <w:vAlign w:val="center"/>
          </w:tcPr>
          <w:p w14:paraId="08B4B234" w14:textId="77777777" w:rsidR="00007F4D" w:rsidRPr="008A04A0" w:rsidRDefault="00007F4D" w:rsidP="008B69E8">
            <w:pPr>
              <w:spacing w:line="240" w:lineRule="auto"/>
              <w:jc w:val="center"/>
              <w:rPr>
                <w:rFonts w:cs="Arial"/>
                <w:color w:val="000000"/>
                <w:szCs w:val="18"/>
              </w:rPr>
            </w:pPr>
            <w:r w:rsidRPr="008A04A0">
              <w:rPr>
                <w:rFonts w:cs="Arial"/>
                <w:color w:val="000000"/>
                <w:szCs w:val="18"/>
                <w:lang w:eastAsia="es-CO"/>
              </w:rPr>
              <w:t xml:space="preserve">Dry </w:t>
            </w:r>
            <w:r>
              <w:rPr>
                <w:rFonts w:cs="Arial"/>
                <w:color w:val="000000"/>
                <w:szCs w:val="18"/>
                <w:lang w:eastAsia="es-CO"/>
              </w:rPr>
              <w:t>EFB</w:t>
            </w:r>
            <w:r w:rsidRPr="008A04A0">
              <w:rPr>
                <w:rFonts w:cs="Arial"/>
                <w:color w:val="000000"/>
                <w:szCs w:val="18"/>
                <w:lang w:eastAsia="es-CO"/>
              </w:rPr>
              <w:t xml:space="preserve"> [kg]</w:t>
            </w:r>
          </w:p>
        </w:tc>
        <w:tc>
          <w:tcPr>
            <w:tcW w:w="1416" w:type="dxa"/>
            <w:shd w:val="clear" w:color="000000" w:fill="FFFFFF"/>
            <w:vAlign w:val="center"/>
          </w:tcPr>
          <w:p w14:paraId="17251C15" w14:textId="50C80E58" w:rsidR="00007F4D" w:rsidRPr="008A04A0" w:rsidRDefault="00007F4D" w:rsidP="008B69E8">
            <w:pPr>
              <w:spacing w:line="240" w:lineRule="auto"/>
              <w:jc w:val="center"/>
              <w:rPr>
                <w:rFonts w:cs="Arial"/>
                <w:color w:val="000000"/>
                <w:szCs w:val="18"/>
              </w:rPr>
            </w:pPr>
            <w:r w:rsidRPr="008A04A0">
              <w:rPr>
                <w:rFonts w:cs="Arial"/>
                <w:color w:val="000000"/>
                <w:szCs w:val="18"/>
              </w:rPr>
              <w:t>4</w:t>
            </w:r>
            <w:r>
              <w:rPr>
                <w:rFonts w:cs="Arial"/>
                <w:color w:val="000000"/>
                <w:szCs w:val="18"/>
              </w:rPr>
              <w:t>.</w:t>
            </w:r>
            <w:r w:rsidRPr="008A04A0">
              <w:rPr>
                <w:rFonts w:cs="Arial"/>
                <w:color w:val="000000"/>
                <w:szCs w:val="18"/>
              </w:rPr>
              <w:t>3</w:t>
            </w:r>
            <w:r w:rsidR="005519AC">
              <w:rPr>
                <w:rFonts w:cs="Arial"/>
                <w:color w:val="000000"/>
                <w:szCs w:val="18"/>
              </w:rPr>
              <w:t>4</w:t>
            </w:r>
          </w:p>
        </w:tc>
      </w:tr>
      <w:tr w:rsidR="00007F4D" w:rsidRPr="008A04A0" w14:paraId="5E66B7BA" w14:textId="77777777" w:rsidTr="008B69E8">
        <w:trPr>
          <w:gridAfter w:val="1"/>
          <w:wAfter w:w="1410" w:type="dxa"/>
          <w:trHeight w:val="215"/>
        </w:trPr>
        <w:tc>
          <w:tcPr>
            <w:tcW w:w="1758" w:type="dxa"/>
            <w:vMerge w:val="restart"/>
            <w:tcBorders>
              <w:top w:val="single" w:sz="12" w:space="0" w:color="83C183"/>
            </w:tcBorders>
            <w:shd w:val="clear" w:color="000000" w:fill="FFFFFF"/>
            <w:noWrap/>
            <w:vAlign w:val="center"/>
          </w:tcPr>
          <w:p w14:paraId="3FD4CE9C" w14:textId="7777777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GASIFICA</w:t>
            </w:r>
            <w:r>
              <w:rPr>
                <w:rFonts w:cs="Arial"/>
                <w:color w:val="000000"/>
                <w:szCs w:val="18"/>
                <w:lang w:eastAsia="es-CO"/>
              </w:rPr>
              <w:t>TION</w:t>
            </w:r>
          </w:p>
        </w:tc>
        <w:tc>
          <w:tcPr>
            <w:tcW w:w="1644" w:type="dxa"/>
            <w:tcBorders>
              <w:top w:val="single" w:sz="12" w:space="0" w:color="83C183"/>
            </w:tcBorders>
            <w:shd w:val="clear" w:color="000000" w:fill="FFFFFF"/>
            <w:noWrap/>
            <w:vAlign w:val="center"/>
          </w:tcPr>
          <w:p w14:paraId="6207142E" w14:textId="7777777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 xml:space="preserve">Dry </w:t>
            </w:r>
            <w:r>
              <w:rPr>
                <w:rFonts w:cs="Arial"/>
                <w:color w:val="000000"/>
                <w:szCs w:val="18"/>
                <w:lang w:eastAsia="es-CO"/>
              </w:rPr>
              <w:t>EFB</w:t>
            </w:r>
            <w:r w:rsidRPr="008A04A0">
              <w:rPr>
                <w:rFonts w:cs="Arial"/>
                <w:color w:val="000000"/>
                <w:szCs w:val="18"/>
                <w:lang w:eastAsia="es-CO"/>
              </w:rPr>
              <w:t xml:space="preserve"> [kg]</w:t>
            </w:r>
          </w:p>
        </w:tc>
        <w:tc>
          <w:tcPr>
            <w:tcW w:w="1203" w:type="dxa"/>
            <w:tcBorders>
              <w:top w:val="single" w:sz="12" w:space="0" w:color="83C183"/>
            </w:tcBorders>
            <w:shd w:val="clear" w:color="000000" w:fill="FFFFFF"/>
            <w:noWrap/>
            <w:vAlign w:val="center"/>
          </w:tcPr>
          <w:p w14:paraId="449E1CED" w14:textId="1B97CBFA" w:rsidR="00007F4D" w:rsidRPr="008A04A0" w:rsidRDefault="00007F4D" w:rsidP="008B69E8">
            <w:pPr>
              <w:spacing w:line="240" w:lineRule="auto"/>
              <w:jc w:val="center"/>
              <w:rPr>
                <w:rFonts w:cs="Arial"/>
                <w:color w:val="000000"/>
                <w:szCs w:val="18"/>
                <w:lang w:eastAsia="es-CO"/>
              </w:rPr>
            </w:pPr>
            <w:r w:rsidRPr="008A04A0">
              <w:rPr>
                <w:rFonts w:cs="Arial"/>
                <w:color w:val="000000"/>
                <w:szCs w:val="18"/>
              </w:rPr>
              <w:t>4</w:t>
            </w:r>
            <w:r>
              <w:rPr>
                <w:rFonts w:cs="Arial"/>
                <w:color w:val="000000"/>
                <w:szCs w:val="18"/>
              </w:rPr>
              <w:t>.</w:t>
            </w:r>
            <w:r w:rsidRPr="008A04A0">
              <w:rPr>
                <w:rFonts w:cs="Arial"/>
                <w:color w:val="000000"/>
                <w:szCs w:val="18"/>
              </w:rPr>
              <w:t>3</w:t>
            </w:r>
            <w:r w:rsidR="005519AC">
              <w:rPr>
                <w:rFonts w:cs="Arial"/>
                <w:color w:val="000000"/>
                <w:szCs w:val="18"/>
              </w:rPr>
              <w:t>4</w:t>
            </w:r>
          </w:p>
        </w:tc>
        <w:tc>
          <w:tcPr>
            <w:tcW w:w="2131" w:type="dxa"/>
            <w:tcBorders>
              <w:top w:val="single" w:sz="12" w:space="0" w:color="83C183"/>
            </w:tcBorders>
            <w:shd w:val="clear" w:color="000000" w:fill="FFFFFF"/>
            <w:noWrap/>
            <w:vAlign w:val="center"/>
          </w:tcPr>
          <w:p w14:paraId="00C87F60" w14:textId="77777777" w:rsidR="00007F4D" w:rsidRPr="008A04A0" w:rsidRDefault="00007F4D" w:rsidP="008B69E8">
            <w:pPr>
              <w:spacing w:line="240" w:lineRule="auto"/>
              <w:jc w:val="center"/>
              <w:rPr>
                <w:rFonts w:cs="Arial"/>
                <w:color w:val="000000"/>
                <w:szCs w:val="18"/>
              </w:rPr>
            </w:pPr>
            <w:r>
              <w:rPr>
                <w:rFonts w:cs="Arial"/>
                <w:color w:val="000000"/>
                <w:szCs w:val="18"/>
                <w:lang w:eastAsia="es-CO"/>
              </w:rPr>
              <w:t>Ash</w:t>
            </w:r>
            <w:r w:rsidRPr="008A04A0">
              <w:rPr>
                <w:rFonts w:cs="Arial"/>
                <w:color w:val="000000"/>
                <w:szCs w:val="18"/>
                <w:lang w:eastAsia="es-CO"/>
              </w:rPr>
              <w:t xml:space="preserve"> [kg]</w:t>
            </w:r>
          </w:p>
        </w:tc>
        <w:tc>
          <w:tcPr>
            <w:tcW w:w="1416" w:type="dxa"/>
            <w:tcBorders>
              <w:top w:val="single" w:sz="12" w:space="0" w:color="83C183"/>
            </w:tcBorders>
            <w:shd w:val="clear" w:color="000000" w:fill="FFFFFF"/>
            <w:vAlign w:val="center"/>
          </w:tcPr>
          <w:p w14:paraId="26CB4019" w14:textId="711D5A1E" w:rsidR="00007F4D" w:rsidRPr="008A04A0" w:rsidRDefault="00007F4D" w:rsidP="008B69E8">
            <w:pPr>
              <w:spacing w:line="240" w:lineRule="auto"/>
              <w:jc w:val="center"/>
              <w:rPr>
                <w:rFonts w:cs="Arial"/>
                <w:color w:val="000000"/>
                <w:szCs w:val="18"/>
              </w:rPr>
            </w:pPr>
            <w:r w:rsidRPr="008A04A0">
              <w:rPr>
                <w:rFonts w:cs="Arial"/>
                <w:color w:val="000000"/>
                <w:szCs w:val="18"/>
              </w:rPr>
              <w:t>0</w:t>
            </w:r>
            <w:r>
              <w:rPr>
                <w:rFonts w:cs="Arial"/>
                <w:color w:val="000000"/>
                <w:szCs w:val="18"/>
              </w:rPr>
              <w:t>.</w:t>
            </w:r>
            <w:r w:rsidRPr="008A04A0">
              <w:rPr>
                <w:rFonts w:cs="Arial"/>
                <w:color w:val="000000"/>
                <w:szCs w:val="18"/>
              </w:rPr>
              <w:t>1</w:t>
            </w:r>
            <w:r w:rsidR="005519AC">
              <w:rPr>
                <w:rFonts w:cs="Arial"/>
                <w:color w:val="000000"/>
                <w:szCs w:val="18"/>
              </w:rPr>
              <w:t>7</w:t>
            </w:r>
          </w:p>
        </w:tc>
      </w:tr>
      <w:tr w:rsidR="00007F4D" w:rsidRPr="008A04A0" w14:paraId="2672FCB1" w14:textId="77777777" w:rsidTr="008B69E8">
        <w:trPr>
          <w:gridAfter w:val="1"/>
          <w:wAfter w:w="1410" w:type="dxa"/>
          <w:trHeight w:val="215"/>
        </w:trPr>
        <w:tc>
          <w:tcPr>
            <w:tcW w:w="1758" w:type="dxa"/>
            <w:vMerge/>
            <w:shd w:val="clear" w:color="000000" w:fill="FFFFFF"/>
            <w:noWrap/>
            <w:vAlign w:val="center"/>
          </w:tcPr>
          <w:p w14:paraId="25A34C33" w14:textId="77777777" w:rsidR="00007F4D" w:rsidRPr="008A04A0" w:rsidRDefault="00007F4D" w:rsidP="008B69E8">
            <w:pPr>
              <w:spacing w:line="240" w:lineRule="auto"/>
              <w:jc w:val="center"/>
              <w:rPr>
                <w:rFonts w:cs="Arial"/>
                <w:color w:val="000000"/>
                <w:szCs w:val="18"/>
                <w:lang w:eastAsia="es-CO"/>
              </w:rPr>
            </w:pPr>
          </w:p>
        </w:tc>
        <w:tc>
          <w:tcPr>
            <w:tcW w:w="1644" w:type="dxa"/>
            <w:shd w:val="clear" w:color="000000" w:fill="FFFFFF"/>
            <w:noWrap/>
            <w:vAlign w:val="center"/>
          </w:tcPr>
          <w:p w14:paraId="04AF18CC" w14:textId="77777777" w:rsidR="00007F4D" w:rsidRPr="008A04A0" w:rsidRDefault="00007F4D" w:rsidP="008B69E8">
            <w:pPr>
              <w:spacing w:line="240" w:lineRule="auto"/>
              <w:jc w:val="center"/>
              <w:rPr>
                <w:rFonts w:cs="Arial"/>
                <w:color w:val="000000"/>
                <w:szCs w:val="18"/>
                <w:lang w:eastAsia="es-CO"/>
              </w:rPr>
            </w:pPr>
            <w:r>
              <w:rPr>
                <w:rFonts w:cs="Arial"/>
                <w:color w:val="000000"/>
                <w:szCs w:val="18"/>
                <w:lang w:eastAsia="es-CO"/>
              </w:rPr>
              <w:t>Steam</w:t>
            </w:r>
            <w:r w:rsidRPr="008A04A0">
              <w:rPr>
                <w:rFonts w:cs="Arial"/>
                <w:color w:val="000000"/>
                <w:szCs w:val="18"/>
                <w:lang w:eastAsia="es-CO"/>
              </w:rPr>
              <w:t xml:space="preserve"> [kg]</w:t>
            </w:r>
          </w:p>
        </w:tc>
        <w:tc>
          <w:tcPr>
            <w:tcW w:w="1203" w:type="dxa"/>
            <w:shd w:val="clear" w:color="000000" w:fill="FFFFFF"/>
            <w:noWrap/>
            <w:vAlign w:val="center"/>
          </w:tcPr>
          <w:p w14:paraId="4C56FC89" w14:textId="2069A576" w:rsidR="00007F4D" w:rsidRPr="008A04A0" w:rsidRDefault="00007F4D" w:rsidP="008B69E8">
            <w:pPr>
              <w:spacing w:line="240" w:lineRule="auto"/>
              <w:jc w:val="center"/>
              <w:rPr>
                <w:rFonts w:cs="Arial"/>
                <w:color w:val="000000"/>
                <w:szCs w:val="18"/>
                <w:lang w:eastAsia="es-CO"/>
              </w:rPr>
            </w:pPr>
            <w:r w:rsidRPr="008A04A0">
              <w:rPr>
                <w:rFonts w:cs="Arial"/>
                <w:color w:val="000000"/>
                <w:szCs w:val="18"/>
              </w:rPr>
              <w:t>2</w:t>
            </w:r>
            <w:r>
              <w:rPr>
                <w:rFonts w:cs="Arial"/>
                <w:color w:val="000000"/>
                <w:szCs w:val="18"/>
              </w:rPr>
              <w:t>.</w:t>
            </w:r>
            <w:r w:rsidRPr="008A04A0">
              <w:rPr>
                <w:rFonts w:cs="Arial"/>
                <w:color w:val="000000"/>
                <w:szCs w:val="18"/>
              </w:rPr>
              <w:t>17</w:t>
            </w:r>
          </w:p>
        </w:tc>
        <w:tc>
          <w:tcPr>
            <w:tcW w:w="2131" w:type="dxa"/>
            <w:shd w:val="clear" w:color="000000" w:fill="FFFFFF"/>
            <w:noWrap/>
            <w:vAlign w:val="center"/>
          </w:tcPr>
          <w:p w14:paraId="4022F6FA" w14:textId="77777777" w:rsidR="00007F4D" w:rsidRPr="008A04A0" w:rsidRDefault="00007F4D" w:rsidP="008B69E8">
            <w:pPr>
              <w:spacing w:line="240" w:lineRule="auto"/>
              <w:jc w:val="center"/>
              <w:rPr>
                <w:rFonts w:cs="Arial"/>
                <w:color w:val="000000"/>
                <w:szCs w:val="18"/>
              </w:rPr>
            </w:pPr>
            <w:r w:rsidRPr="008A04A0">
              <w:rPr>
                <w:rFonts w:cs="Arial"/>
                <w:color w:val="000000"/>
                <w:szCs w:val="18"/>
                <w:lang w:eastAsia="es-CO"/>
              </w:rPr>
              <w:t>Syngas [kg]</w:t>
            </w:r>
          </w:p>
        </w:tc>
        <w:tc>
          <w:tcPr>
            <w:tcW w:w="1416" w:type="dxa"/>
            <w:shd w:val="clear" w:color="000000" w:fill="FFFFFF"/>
            <w:vAlign w:val="center"/>
          </w:tcPr>
          <w:p w14:paraId="18699B2E" w14:textId="0731D05B" w:rsidR="00007F4D" w:rsidRPr="008A04A0" w:rsidRDefault="00007F4D" w:rsidP="008B69E8">
            <w:pPr>
              <w:spacing w:line="240" w:lineRule="auto"/>
              <w:jc w:val="center"/>
              <w:rPr>
                <w:rFonts w:cs="Arial"/>
                <w:color w:val="000000"/>
                <w:szCs w:val="18"/>
              </w:rPr>
            </w:pPr>
            <w:r w:rsidRPr="008A04A0">
              <w:rPr>
                <w:rFonts w:cs="Arial"/>
                <w:color w:val="000000"/>
                <w:szCs w:val="18"/>
              </w:rPr>
              <w:t>6</w:t>
            </w:r>
            <w:r>
              <w:rPr>
                <w:rFonts w:cs="Arial"/>
                <w:color w:val="000000"/>
                <w:szCs w:val="18"/>
              </w:rPr>
              <w:t>.</w:t>
            </w:r>
            <w:r w:rsidRPr="008A04A0">
              <w:rPr>
                <w:rFonts w:cs="Arial"/>
                <w:color w:val="000000"/>
                <w:szCs w:val="18"/>
              </w:rPr>
              <w:t>1</w:t>
            </w:r>
            <w:r w:rsidR="005519AC">
              <w:rPr>
                <w:rFonts w:cs="Arial"/>
                <w:color w:val="000000"/>
                <w:szCs w:val="18"/>
              </w:rPr>
              <w:t>1</w:t>
            </w:r>
          </w:p>
        </w:tc>
      </w:tr>
      <w:tr w:rsidR="00007F4D" w:rsidRPr="008A04A0" w14:paraId="21160844" w14:textId="77777777" w:rsidTr="008B69E8">
        <w:trPr>
          <w:gridAfter w:val="1"/>
          <w:wAfter w:w="1410" w:type="dxa"/>
          <w:trHeight w:val="215"/>
        </w:trPr>
        <w:tc>
          <w:tcPr>
            <w:tcW w:w="1758" w:type="dxa"/>
            <w:vMerge/>
            <w:shd w:val="clear" w:color="000000" w:fill="FFFFFF"/>
            <w:noWrap/>
            <w:vAlign w:val="center"/>
          </w:tcPr>
          <w:p w14:paraId="2454E8FF" w14:textId="77777777" w:rsidR="00007F4D" w:rsidRPr="008A04A0" w:rsidRDefault="00007F4D" w:rsidP="008B69E8">
            <w:pPr>
              <w:spacing w:line="240" w:lineRule="auto"/>
              <w:jc w:val="center"/>
              <w:rPr>
                <w:rFonts w:cs="Arial"/>
                <w:color w:val="000000"/>
                <w:szCs w:val="18"/>
                <w:lang w:eastAsia="es-CO"/>
              </w:rPr>
            </w:pPr>
          </w:p>
        </w:tc>
        <w:tc>
          <w:tcPr>
            <w:tcW w:w="1644" w:type="dxa"/>
            <w:shd w:val="clear" w:color="000000" w:fill="FFFFFF"/>
            <w:noWrap/>
            <w:vAlign w:val="center"/>
          </w:tcPr>
          <w:p w14:paraId="687B382E" w14:textId="7777777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Peridotit</w:t>
            </w:r>
            <w:r>
              <w:rPr>
                <w:rFonts w:cs="Arial"/>
                <w:color w:val="000000"/>
                <w:szCs w:val="18"/>
                <w:lang w:eastAsia="es-CO"/>
              </w:rPr>
              <w:t>e</w:t>
            </w:r>
            <w:r w:rsidRPr="008A04A0">
              <w:rPr>
                <w:rFonts w:cs="Arial"/>
                <w:color w:val="000000"/>
                <w:szCs w:val="18"/>
                <w:lang w:eastAsia="es-CO"/>
              </w:rPr>
              <w:t xml:space="preserve"> [kg]</w:t>
            </w:r>
          </w:p>
        </w:tc>
        <w:tc>
          <w:tcPr>
            <w:tcW w:w="1203" w:type="dxa"/>
            <w:shd w:val="clear" w:color="000000" w:fill="FFFFFF"/>
            <w:noWrap/>
            <w:vAlign w:val="center"/>
          </w:tcPr>
          <w:p w14:paraId="5A2729BB" w14:textId="7397D44C" w:rsidR="00007F4D" w:rsidRPr="008A04A0" w:rsidRDefault="00007F4D" w:rsidP="008B69E8">
            <w:pPr>
              <w:spacing w:line="240" w:lineRule="auto"/>
              <w:jc w:val="center"/>
              <w:rPr>
                <w:rFonts w:cs="Arial"/>
                <w:color w:val="000000"/>
                <w:szCs w:val="18"/>
                <w:lang w:eastAsia="es-CO"/>
              </w:rPr>
            </w:pPr>
            <w:r w:rsidRPr="008A04A0">
              <w:rPr>
                <w:rFonts w:cs="Arial"/>
                <w:color w:val="000000"/>
                <w:szCs w:val="18"/>
              </w:rPr>
              <w:t>52</w:t>
            </w:r>
            <w:r>
              <w:rPr>
                <w:rFonts w:cs="Arial"/>
                <w:color w:val="000000"/>
                <w:szCs w:val="18"/>
              </w:rPr>
              <w:t>.</w:t>
            </w:r>
            <w:r w:rsidRPr="008A04A0">
              <w:rPr>
                <w:rFonts w:cs="Arial"/>
                <w:color w:val="000000"/>
                <w:szCs w:val="18"/>
              </w:rPr>
              <w:t>36</w:t>
            </w:r>
          </w:p>
        </w:tc>
        <w:tc>
          <w:tcPr>
            <w:tcW w:w="2131" w:type="dxa"/>
            <w:shd w:val="clear" w:color="000000" w:fill="FFFFFF"/>
            <w:noWrap/>
            <w:vAlign w:val="center"/>
          </w:tcPr>
          <w:p w14:paraId="2B78CFCA" w14:textId="77777777" w:rsidR="00007F4D" w:rsidRPr="008A04A0" w:rsidRDefault="00007F4D" w:rsidP="008B69E8">
            <w:pPr>
              <w:spacing w:line="240" w:lineRule="auto"/>
              <w:jc w:val="center"/>
              <w:rPr>
                <w:rFonts w:cs="Arial"/>
                <w:color w:val="000000"/>
                <w:szCs w:val="18"/>
              </w:rPr>
            </w:pPr>
            <w:r w:rsidRPr="008A04A0">
              <w:rPr>
                <w:rFonts w:cs="Arial"/>
                <w:color w:val="000000"/>
                <w:szCs w:val="18"/>
                <w:lang w:eastAsia="es-CO"/>
              </w:rPr>
              <w:t>Residual heat (</w:t>
            </w:r>
            <w:r>
              <w:rPr>
                <w:rFonts w:cs="Arial"/>
                <w:color w:val="000000"/>
                <w:szCs w:val="18"/>
                <w:lang w:eastAsia="es-CO"/>
              </w:rPr>
              <w:t>Ash</w:t>
            </w:r>
            <w:r w:rsidRPr="008A04A0">
              <w:rPr>
                <w:rFonts w:cs="Arial"/>
                <w:color w:val="000000"/>
                <w:szCs w:val="18"/>
                <w:lang w:eastAsia="es-CO"/>
              </w:rPr>
              <w:t>) [MJ]</w:t>
            </w:r>
          </w:p>
        </w:tc>
        <w:tc>
          <w:tcPr>
            <w:tcW w:w="1416" w:type="dxa"/>
            <w:shd w:val="clear" w:color="000000" w:fill="FFFFFF"/>
            <w:vAlign w:val="center"/>
          </w:tcPr>
          <w:p w14:paraId="54C83E97" w14:textId="2E7D04D9" w:rsidR="00007F4D" w:rsidRPr="008A04A0" w:rsidRDefault="00007F4D" w:rsidP="008B69E8">
            <w:pPr>
              <w:spacing w:line="240" w:lineRule="auto"/>
              <w:jc w:val="center"/>
              <w:rPr>
                <w:rFonts w:cs="Arial"/>
                <w:color w:val="000000"/>
                <w:szCs w:val="18"/>
              </w:rPr>
            </w:pPr>
            <w:r w:rsidRPr="008A04A0">
              <w:rPr>
                <w:rFonts w:cs="Arial"/>
                <w:color w:val="000000"/>
                <w:szCs w:val="18"/>
              </w:rPr>
              <w:t>0</w:t>
            </w:r>
            <w:r>
              <w:rPr>
                <w:rFonts w:cs="Arial"/>
                <w:color w:val="000000"/>
                <w:szCs w:val="18"/>
              </w:rPr>
              <w:t>.</w:t>
            </w:r>
            <w:r w:rsidRPr="008A04A0">
              <w:rPr>
                <w:rFonts w:cs="Arial"/>
                <w:color w:val="000000"/>
                <w:szCs w:val="18"/>
              </w:rPr>
              <w:t>0</w:t>
            </w:r>
            <w:r w:rsidR="005519AC">
              <w:rPr>
                <w:rFonts w:cs="Arial"/>
                <w:color w:val="000000"/>
                <w:szCs w:val="18"/>
              </w:rPr>
              <w:t>2</w:t>
            </w:r>
          </w:p>
        </w:tc>
      </w:tr>
      <w:tr w:rsidR="00007F4D" w:rsidRPr="008A04A0" w14:paraId="0B33893B" w14:textId="77777777" w:rsidTr="008B69E8">
        <w:trPr>
          <w:gridAfter w:val="1"/>
          <w:wAfter w:w="1410" w:type="dxa"/>
          <w:trHeight w:val="215"/>
        </w:trPr>
        <w:tc>
          <w:tcPr>
            <w:tcW w:w="1758" w:type="dxa"/>
            <w:vMerge/>
            <w:shd w:val="clear" w:color="000000" w:fill="FFFFFF"/>
            <w:noWrap/>
            <w:vAlign w:val="center"/>
          </w:tcPr>
          <w:p w14:paraId="6547D146" w14:textId="77777777" w:rsidR="00007F4D" w:rsidRPr="008A04A0" w:rsidRDefault="00007F4D" w:rsidP="008B69E8">
            <w:pPr>
              <w:spacing w:line="240" w:lineRule="auto"/>
              <w:jc w:val="center"/>
              <w:rPr>
                <w:rFonts w:cs="Arial"/>
                <w:color w:val="000000"/>
                <w:szCs w:val="18"/>
                <w:lang w:eastAsia="es-CO"/>
              </w:rPr>
            </w:pPr>
          </w:p>
        </w:tc>
        <w:tc>
          <w:tcPr>
            <w:tcW w:w="1644" w:type="dxa"/>
            <w:shd w:val="clear" w:color="000000" w:fill="FFFFFF"/>
            <w:noWrap/>
            <w:vAlign w:val="center"/>
          </w:tcPr>
          <w:p w14:paraId="0F344998" w14:textId="7777777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Air [kg]</w:t>
            </w:r>
          </w:p>
        </w:tc>
        <w:tc>
          <w:tcPr>
            <w:tcW w:w="1203" w:type="dxa"/>
            <w:shd w:val="clear" w:color="000000" w:fill="FFFFFF"/>
            <w:noWrap/>
            <w:vAlign w:val="center"/>
          </w:tcPr>
          <w:p w14:paraId="63F7F38E" w14:textId="17B5856A" w:rsidR="00007F4D" w:rsidRPr="008A04A0" w:rsidRDefault="00007F4D" w:rsidP="008B69E8">
            <w:pPr>
              <w:spacing w:line="240" w:lineRule="auto"/>
              <w:jc w:val="center"/>
              <w:rPr>
                <w:rFonts w:cs="Arial"/>
                <w:color w:val="000000"/>
                <w:szCs w:val="18"/>
                <w:lang w:eastAsia="es-CO"/>
              </w:rPr>
            </w:pPr>
            <w:r w:rsidRPr="008A04A0">
              <w:rPr>
                <w:rFonts w:cs="Arial"/>
                <w:color w:val="000000"/>
                <w:szCs w:val="18"/>
              </w:rPr>
              <w:t>8</w:t>
            </w:r>
            <w:r>
              <w:rPr>
                <w:rFonts w:cs="Arial"/>
                <w:color w:val="000000"/>
                <w:szCs w:val="18"/>
              </w:rPr>
              <w:t>.</w:t>
            </w:r>
            <w:r w:rsidRPr="008A04A0">
              <w:rPr>
                <w:rFonts w:cs="Arial"/>
                <w:color w:val="000000"/>
                <w:szCs w:val="18"/>
              </w:rPr>
              <w:t>24</w:t>
            </w:r>
          </w:p>
        </w:tc>
        <w:tc>
          <w:tcPr>
            <w:tcW w:w="2131" w:type="dxa"/>
            <w:shd w:val="clear" w:color="000000" w:fill="FFFFFF"/>
            <w:noWrap/>
            <w:vAlign w:val="center"/>
          </w:tcPr>
          <w:p w14:paraId="3A47764A" w14:textId="77777777" w:rsidR="00007F4D" w:rsidRPr="008A04A0" w:rsidRDefault="00007F4D" w:rsidP="008B69E8">
            <w:pPr>
              <w:spacing w:line="240" w:lineRule="auto"/>
              <w:jc w:val="center"/>
              <w:rPr>
                <w:rFonts w:cs="Arial"/>
                <w:color w:val="000000"/>
                <w:szCs w:val="18"/>
              </w:rPr>
            </w:pPr>
            <w:r w:rsidRPr="008A04A0">
              <w:rPr>
                <w:rFonts w:cs="Arial"/>
                <w:color w:val="000000"/>
                <w:szCs w:val="18"/>
                <w:lang w:eastAsia="es-CO"/>
              </w:rPr>
              <w:t>Residual heat (</w:t>
            </w:r>
            <w:r>
              <w:rPr>
                <w:rFonts w:cs="Arial"/>
                <w:color w:val="000000"/>
                <w:szCs w:val="18"/>
                <w:lang w:eastAsia="es-CO"/>
              </w:rPr>
              <w:t>Combustion g</w:t>
            </w:r>
            <w:r w:rsidRPr="008A04A0">
              <w:rPr>
                <w:rFonts w:cs="Arial"/>
                <w:color w:val="000000"/>
                <w:szCs w:val="18"/>
                <w:lang w:eastAsia="es-CO"/>
              </w:rPr>
              <w:t>as) [MJ]</w:t>
            </w:r>
          </w:p>
        </w:tc>
        <w:tc>
          <w:tcPr>
            <w:tcW w:w="1416" w:type="dxa"/>
            <w:shd w:val="clear" w:color="000000" w:fill="FFFFFF"/>
            <w:vAlign w:val="center"/>
          </w:tcPr>
          <w:p w14:paraId="6291B758" w14:textId="6E355060" w:rsidR="00007F4D" w:rsidRPr="008A04A0" w:rsidRDefault="00007F4D" w:rsidP="008B69E8">
            <w:pPr>
              <w:spacing w:line="240" w:lineRule="auto"/>
              <w:jc w:val="center"/>
              <w:rPr>
                <w:rFonts w:cs="Arial"/>
                <w:color w:val="000000"/>
                <w:szCs w:val="18"/>
              </w:rPr>
            </w:pPr>
            <w:r w:rsidRPr="008A04A0">
              <w:rPr>
                <w:rFonts w:cs="Arial"/>
                <w:color w:val="000000"/>
                <w:szCs w:val="18"/>
              </w:rPr>
              <w:t>1</w:t>
            </w:r>
            <w:r>
              <w:rPr>
                <w:rFonts w:cs="Arial"/>
                <w:color w:val="000000"/>
                <w:szCs w:val="18"/>
              </w:rPr>
              <w:t>.</w:t>
            </w:r>
            <w:r w:rsidRPr="008A04A0">
              <w:rPr>
                <w:rFonts w:cs="Arial"/>
                <w:color w:val="000000"/>
                <w:szCs w:val="18"/>
              </w:rPr>
              <w:t>3</w:t>
            </w:r>
            <w:r w:rsidR="005519AC">
              <w:rPr>
                <w:rFonts w:cs="Arial"/>
                <w:color w:val="000000"/>
                <w:szCs w:val="18"/>
              </w:rPr>
              <w:t>5</w:t>
            </w:r>
          </w:p>
        </w:tc>
      </w:tr>
      <w:tr w:rsidR="00007F4D" w:rsidRPr="008A04A0" w14:paraId="711679A5" w14:textId="77777777" w:rsidTr="008B69E8">
        <w:trPr>
          <w:gridAfter w:val="1"/>
          <w:wAfter w:w="1410" w:type="dxa"/>
          <w:trHeight w:val="215"/>
        </w:trPr>
        <w:tc>
          <w:tcPr>
            <w:tcW w:w="1758" w:type="dxa"/>
            <w:vMerge/>
            <w:shd w:val="clear" w:color="000000" w:fill="FFFFFF"/>
            <w:noWrap/>
            <w:vAlign w:val="center"/>
          </w:tcPr>
          <w:p w14:paraId="5324633D" w14:textId="77777777" w:rsidR="00007F4D" w:rsidRPr="008A04A0" w:rsidRDefault="00007F4D" w:rsidP="008B69E8">
            <w:pPr>
              <w:spacing w:line="240" w:lineRule="auto"/>
              <w:jc w:val="center"/>
              <w:rPr>
                <w:rFonts w:cs="Arial"/>
                <w:color w:val="000000"/>
                <w:szCs w:val="18"/>
                <w:lang w:eastAsia="es-CO"/>
              </w:rPr>
            </w:pPr>
          </w:p>
        </w:tc>
        <w:tc>
          <w:tcPr>
            <w:tcW w:w="1644" w:type="dxa"/>
            <w:shd w:val="clear" w:color="000000" w:fill="FFFFFF"/>
            <w:noWrap/>
            <w:vAlign w:val="center"/>
          </w:tcPr>
          <w:p w14:paraId="36000DF4" w14:textId="77777777" w:rsidR="00007F4D" w:rsidRPr="008A04A0" w:rsidRDefault="00007F4D" w:rsidP="008B69E8">
            <w:pPr>
              <w:spacing w:line="240" w:lineRule="auto"/>
              <w:jc w:val="center"/>
              <w:rPr>
                <w:rFonts w:cs="Arial"/>
                <w:color w:val="000000"/>
                <w:szCs w:val="18"/>
                <w:lang w:eastAsia="es-CO"/>
              </w:rPr>
            </w:pPr>
          </w:p>
        </w:tc>
        <w:tc>
          <w:tcPr>
            <w:tcW w:w="1203" w:type="dxa"/>
            <w:shd w:val="clear" w:color="000000" w:fill="FFFFFF"/>
            <w:noWrap/>
            <w:vAlign w:val="center"/>
          </w:tcPr>
          <w:p w14:paraId="3B24079B" w14:textId="77777777" w:rsidR="00007F4D" w:rsidRPr="008A04A0" w:rsidRDefault="00007F4D" w:rsidP="008B69E8">
            <w:pPr>
              <w:spacing w:line="240" w:lineRule="auto"/>
              <w:jc w:val="center"/>
              <w:rPr>
                <w:rFonts w:cs="Arial"/>
                <w:color w:val="000000"/>
                <w:szCs w:val="18"/>
                <w:lang w:eastAsia="es-CO"/>
              </w:rPr>
            </w:pPr>
          </w:p>
        </w:tc>
        <w:tc>
          <w:tcPr>
            <w:tcW w:w="2131" w:type="dxa"/>
            <w:shd w:val="clear" w:color="000000" w:fill="FFFFFF"/>
            <w:noWrap/>
            <w:vAlign w:val="center"/>
          </w:tcPr>
          <w:p w14:paraId="7044A776" w14:textId="77777777" w:rsidR="00007F4D" w:rsidRPr="008A04A0" w:rsidRDefault="00007F4D" w:rsidP="008B69E8">
            <w:pPr>
              <w:spacing w:line="240" w:lineRule="auto"/>
              <w:jc w:val="center"/>
              <w:rPr>
                <w:rFonts w:cs="Arial"/>
                <w:color w:val="000000"/>
                <w:szCs w:val="18"/>
              </w:rPr>
            </w:pPr>
            <w:r w:rsidRPr="008A04A0">
              <w:rPr>
                <w:rFonts w:cs="Arial"/>
                <w:color w:val="000000"/>
                <w:szCs w:val="18"/>
                <w:lang w:eastAsia="es-CO"/>
              </w:rPr>
              <w:t>N</w:t>
            </w:r>
            <w:r w:rsidRPr="008A04A0">
              <w:rPr>
                <w:rFonts w:cs="Arial"/>
                <w:color w:val="000000"/>
                <w:szCs w:val="18"/>
                <w:vertAlign w:val="subscript"/>
                <w:lang w:eastAsia="es-CO"/>
              </w:rPr>
              <w:t>2</w:t>
            </w:r>
            <w:r w:rsidRPr="008A04A0">
              <w:rPr>
                <w:rFonts w:cs="Arial"/>
                <w:color w:val="000000"/>
                <w:szCs w:val="18"/>
                <w:lang w:eastAsia="es-CO"/>
              </w:rPr>
              <w:t xml:space="preserve"> [kg]</w:t>
            </w:r>
          </w:p>
        </w:tc>
        <w:tc>
          <w:tcPr>
            <w:tcW w:w="1416" w:type="dxa"/>
            <w:shd w:val="clear" w:color="000000" w:fill="FFFFFF"/>
            <w:vAlign w:val="center"/>
          </w:tcPr>
          <w:p w14:paraId="14D95820" w14:textId="3E310D16" w:rsidR="00007F4D" w:rsidRPr="008A04A0" w:rsidRDefault="00007F4D" w:rsidP="008B69E8">
            <w:pPr>
              <w:spacing w:line="240" w:lineRule="auto"/>
              <w:jc w:val="center"/>
              <w:rPr>
                <w:rFonts w:cs="Arial"/>
                <w:color w:val="000000"/>
                <w:szCs w:val="18"/>
              </w:rPr>
            </w:pPr>
            <w:r w:rsidRPr="008A04A0">
              <w:rPr>
                <w:rFonts w:cs="Arial"/>
                <w:color w:val="000000"/>
                <w:szCs w:val="18"/>
              </w:rPr>
              <w:t>6</w:t>
            </w:r>
            <w:r>
              <w:rPr>
                <w:rFonts w:cs="Arial"/>
                <w:color w:val="000000"/>
                <w:szCs w:val="18"/>
              </w:rPr>
              <w:t>.</w:t>
            </w:r>
            <w:r w:rsidRPr="008A04A0">
              <w:rPr>
                <w:rFonts w:cs="Arial"/>
                <w:color w:val="000000"/>
                <w:szCs w:val="18"/>
              </w:rPr>
              <w:t>32</w:t>
            </w:r>
          </w:p>
        </w:tc>
      </w:tr>
      <w:tr w:rsidR="00007F4D" w:rsidRPr="008A04A0" w14:paraId="69102EE8" w14:textId="77777777" w:rsidTr="008B69E8">
        <w:trPr>
          <w:gridAfter w:val="1"/>
          <w:wAfter w:w="1410" w:type="dxa"/>
          <w:trHeight w:val="215"/>
        </w:trPr>
        <w:tc>
          <w:tcPr>
            <w:tcW w:w="1758" w:type="dxa"/>
            <w:vMerge/>
            <w:shd w:val="clear" w:color="000000" w:fill="FFFFFF"/>
            <w:noWrap/>
            <w:vAlign w:val="center"/>
          </w:tcPr>
          <w:p w14:paraId="0645ADB9" w14:textId="77777777" w:rsidR="00007F4D" w:rsidRPr="008A04A0" w:rsidRDefault="00007F4D" w:rsidP="008B69E8">
            <w:pPr>
              <w:spacing w:line="240" w:lineRule="auto"/>
              <w:jc w:val="center"/>
              <w:rPr>
                <w:rFonts w:cs="Arial"/>
                <w:color w:val="000000"/>
                <w:szCs w:val="18"/>
                <w:lang w:eastAsia="es-CO"/>
              </w:rPr>
            </w:pPr>
          </w:p>
        </w:tc>
        <w:tc>
          <w:tcPr>
            <w:tcW w:w="1644" w:type="dxa"/>
            <w:shd w:val="clear" w:color="000000" w:fill="FFFFFF"/>
            <w:noWrap/>
            <w:vAlign w:val="center"/>
          </w:tcPr>
          <w:p w14:paraId="3A265292" w14:textId="77777777" w:rsidR="00007F4D" w:rsidRPr="008A04A0" w:rsidRDefault="00007F4D" w:rsidP="008B69E8">
            <w:pPr>
              <w:spacing w:line="240" w:lineRule="auto"/>
              <w:jc w:val="center"/>
              <w:rPr>
                <w:rFonts w:cs="Arial"/>
                <w:color w:val="000000"/>
                <w:szCs w:val="18"/>
                <w:lang w:eastAsia="es-CO"/>
              </w:rPr>
            </w:pPr>
          </w:p>
        </w:tc>
        <w:tc>
          <w:tcPr>
            <w:tcW w:w="1203" w:type="dxa"/>
            <w:shd w:val="clear" w:color="000000" w:fill="FFFFFF"/>
            <w:noWrap/>
            <w:vAlign w:val="center"/>
          </w:tcPr>
          <w:p w14:paraId="6B3A8600" w14:textId="77777777" w:rsidR="00007F4D" w:rsidRPr="008A04A0" w:rsidRDefault="00007F4D" w:rsidP="008B69E8">
            <w:pPr>
              <w:spacing w:line="240" w:lineRule="auto"/>
              <w:jc w:val="center"/>
              <w:rPr>
                <w:rFonts w:cs="Arial"/>
                <w:color w:val="000000"/>
                <w:szCs w:val="18"/>
                <w:lang w:eastAsia="es-CO"/>
              </w:rPr>
            </w:pPr>
          </w:p>
        </w:tc>
        <w:tc>
          <w:tcPr>
            <w:tcW w:w="2131" w:type="dxa"/>
            <w:shd w:val="clear" w:color="000000" w:fill="FFFFFF"/>
            <w:noWrap/>
            <w:vAlign w:val="center"/>
          </w:tcPr>
          <w:p w14:paraId="3F339B78" w14:textId="77777777" w:rsidR="00007F4D" w:rsidRPr="008A04A0" w:rsidRDefault="00007F4D" w:rsidP="008B69E8">
            <w:pPr>
              <w:spacing w:line="240" w:lineRule="auto"/>
              <w:jc w:val="center"/>
              <w:rPr>
                <w:rFonts w:cs="Arial"/>
                <w:color w:val="000000"/>
                <w:szCs w:val="18"/>
              </w:rPr>
            </w:pPr>
            <w:r w:rsidRPr="008A04A0">
              <w:rPr>
                <w:rFonts w:cs="Arial"/>
                <w:color w:val="000000"/>
                <w:szCs w:val="18"/>
                <w:lang w:eastAsia="es-CO"/>
              </w:rPr>
              <w:t>O</w:t>
            </w:r>
            <w:r w:rsidRPr="008A04A0">
              <w:rPr>
                <w:rFonts w:cs="Arial"/>
                <w:color w:val="000000"/>
                <w:szCs w:val="18"/>
                <w:vertAlign w:val="subscript"/>
                <w:lang w:eastAsia="es-CO"/>
              </w:rPr>
              <w:t>2</w:t>
            </w:r>
            <w:r w:rsidRPr="008A04A0">
              <w:rPr>
                <w:rFonts w:cs="Arial"/>
                <w:color w:val="000000"/>
                <w:szCs w:val="18"/>
                <w:lang w:eastAsia="es-CO"/>
              </w:rPr>
              <w:t xml:space="preserve"> [kg]</w:t>
            </w:r>
          </w:p>
        </w:tc>
        <w:tc>
          <w:tcPr>
            <w:tcW w:w="1416" w:type="dxa"/>
            <w:shd w:val="clear" w:color="000000" w:fill="FFFFFF"/>
            <w:vAlign w:val="center"/>
          </w:tcPr>
          <w:p w14:paraId="39E032F8" w14:textId="008303F8" w:rsidR="00007F4D" w:rsidRPr="008A04A0" w:rsidRDefault="00007F4D" w:rsidP="008B69E8">
            <w:pPr>
              <w:spacing w:line="240" w:lineRule="auto"/>
              <w:jc w:val="center"/>
              <w:rPr>
                <w:rFonts w:cs="Arial"/>
                <w:color w:val="000000"/>
                <w:szCs w:val="18"/>
              </w:rPr>
            </w:pPr>
            <w:r w:rsidRPr="008A04A0">
              <w:rPr>
                <w:rFonts w:cs="Arial"/>
                <w:color w:val="000000"/>
                <w:szCs w:val="18"/>
              </w:rPr>
              <w:t>0</w:t>
            </w:r>
            <w:r>
              <w:rPr>
                <w:rFonts w:cs="Arial"/>
                <w:color w:val="000000"/>
                <w:szCs w:val="18"/>
              </w:rPr>
              <w:t>.</w:t>
            </w:r>
            <w:r w:rsidRPr="008A04A0">
              <w:rPr>
                <w:rFonts w:cs="Arial"/>
                <w:color w:val="000000"/>
                <w:szCs w:val="18"/>
              </w:rPr>
              <w:t>5</w:t>
            </w:r>
            <w:r w:rsidR="005519AC">
              <w:rPr>
                <w:rFonts w:cs="Arial"/>
                <w:color w:val="000000"/>
                <w:szCs w:val="18"/>
              </w:rPr>
              <w:t>6</w:t>
            </w:r>
          </w:p>
        </w:tc>
      </w:tr>
      <w:tr w:rsidR="00007F4D" w:rsidRPr="008A04A0" w14:paraId="24F27698" w14:textId="77777777" w:rsidTr="008B69E8">
        <w:trPr>
          <w:gridAfter w:val="1"/>
          <w:wAfter w:w="1410" w:type="dxa"/>
          <w:trHeight w:val="215"/>
        </w:trPr>
        <w:tc>
          <w:tcPr>
            <w:tcW w:w="1758" w:type="dxa"/>
            <w:vMerge/>
            <w:shd w:val="clear" w:color="000000" w:fill="FFFFFF"/>
            <w:noWrap/>
            <w:vAlign w:val="center"/>
          </w:tcPr>
          <w:p w14:paraId="2CE459D1" w14:textId="77777777" w:rsidR="00007F4D" w:rsidRPr="008A04A0" w:rsidRDefault="00007F4D" w:rsidP="008B69E8">
            <w:pPr>
              <w:spacing w:line="240" w:lineRule="auto"/>
              <w:jc w:val="center"/>
              <w:rPr>
                <w:rFonts w:cs="Arial"/>
                <w:color w:val="000000"/>
                <w:szCs w:val="18"/>
                <w:lang w:eastAsia="es-CO"/>
              </w:rPr>
            </w:pPr>
          </w:p>
        </w:tc>
        <w:tc>
          <w:tcPr>
            <w:tcW w:w="1644" w:type="dxa"/>
            <w:shd w:val="clear" w:color="000000" w:fill="FFFFFF"/>
            <w:noWrap/>
            <w:vAlign w:val="center"/>
          </w:tcPr>
          <w:p w14:paraId="4F56711B" w14:textId="77777777" w:rsidR="00007F4D" w:rsidRPr="008A04A0" w:rsidRDefault="00007F4D" w:rsidP="008B69E8">
            <w:pPr>
              <w:spacing w:line="240" w:lineRule="auto"/>
              <w:jc w:val="center"/>
              <w:rPr>
                <w:rFonts w:cs="Arial"/>
                <w:color w:val="000000"/>
                <w:szCs w:val="18"/>
                <w:lang w:eastAsia="es-CO"/>
              </w:rPr>
            </w:pPr>
          </w:p>
        </w:tc>
        <w:tc>
          <w:tcPr>
            <w:tcW w:w="1203" w:type="dxa"/>
            <w:shd w:val="clear" w:color="000000" w:fill="FFFFFF"/>
            <w:noWrap/>
            <w:vAlign w:val="center"/>
          </w:tcPr>
          <w:p w14:paraId="423DEBE7" w14:textId="77777777" w:rsidR="00007F4D" w:rsidRPr="008A04A0" w:rsidRDefault="00007F4D" w:rsidP="008B69E8">
            <w:pPr>
              <w:spacing w:line="240" w:lineRule="auto"/>
              <w:jc w:val="center"/>
              <w:rPr>
                <w:rFonts w:cs="Arial"/>
                <w:color w:val="000000"/>
                <w:szCs w:val="18"/>
                <w:lang w:eastAsia="es-CO"/>
              </w:rPr>
            </w:pPr>
          </w:p>
        </w:tc>
        <w:tc>
          <w:tcPr>
            <w:tcW w:w="2131" w:type="dxa"/>
            <w:shd w:val="clear" w:color="000000" w:fill="FFFFFF"/>
            <w:noWrap/>
            <w:vAlign w:val="center"/>
          </w:tcPr>
          <w:p w14:paraId="5C8FE79D" w14:textId="77777777" w:rsidR="00007F4D" w:rsidRPr="008A04A0" w:rsidRDefault="00007F4D" w:rsidP="008B69E8">
            <w:pPr>
              <w:spacing w:line="240" w:lineRule="auto"/>
              <w:jc w:val="center"/>
              <w:rPr>
                <w:rFonts w:cs="Arial"/>
                <w:color w:val="000000"/>
                <w:szCs w:val="18"/>
              </w:rPr>
            </w:pPr>
            <w:r w:rsidRPr="008A04A0">
              <w:rPr>
                <w:rFonts w:cs="Arial"/>
                <w:color w:val="000000"/>
                <w:szCs w:val="18"/>
                <w:lang w:eastAsia="es-CO"/>
              </w:rPr>
              <w:t>CO</w:t>
            </w:r>
            <w:r w:rsidRPr="008A04A0">
              <w:rPr>
                <w:rFonts w:cs="Arial"/>
                <w:color w:val="000000"/>
                <w:szCs w:val="18"/>
                <w:vertAlign w:val="subscript"/>
                <w:lang w:eastAsia="es-CO"/>
              </w:rPr>
              <w:t>2</w:t>
            </w:r>
            <w:r w:rsidRPr="008A04A0">
              <w:rPr>
                <w:rFonts w:cs="Arial"/>
                <w:color w:val="000000"/>
                <w:szCs w:val="18"/>
                <w:lang w:eastAsia="es-CO"/>
              </w:rPr>
              <w:t xml:space="preserve"> [kg]</w:t>
            </w:r>
          </w:p>
        </w:tc>
        <w:tc>
          <w:tcPr>
            <w:tcW w:w="1416" w:type="dxa"/>
            <w:shd w:val="clear" w:color="000000" w:fill="FFFFFF"/>
            <w:vAlign w:val="center"/>
          </w:tcPr>
          <w:p w14:paraId="17B5650E" w14:textId="2E410826" w:rsidR="00007F4D" w:rsidRPr="008A04A0" w:rsidRDefault="00007F4D" w:rsidP="008B69E8">
            <w:pPr>
              <w:spacing w:line="240" w:lineRule="auto"/>
              <w:jc w:val="center"/>
              <w:rPr>
                <w:rFonts w:cs="Arial"/>
                <w:color w:val="000000"/>
                <w:szCs w:val="18"/>
              </w:rPr>
            </w:pPr>
            <w:r w:rsidRPr="008A04A0">
              <w:rPr>
                <w:rFonts w:cs="Arial"/>
                <w:color w:val="000000"/>
                <w:szCs w:val="18"/>
              </w:rPr>
              <w:t>1</w:t>
            </w:r>
            <w:r>
              <w:rPr>
                <w:rFonts w:cs="Arial"/>
                <w:color w:val="000000"/>
                <w:szCs w:val="18"/>
              </w:rPr>
              <w:t>.</w:t>
            </w:r>
            <w:r w:rsidRPr="008A04A0">
              <w:rPr>
                <w:rFonts w:cs="Arial"/>
                <w:color w:val="000000"/>
                <w:szCs w:val="18"/>
              </w:rPr>
              <w:t>6</w:t>
            </w:r>
            <w:r w:rsidR="005519AC">
              <w:rPr>
                <w:rFonts w:cs="Arial"/>
                <w:color w:val="000000"/>
                <w:szCs w:val="18"/>
              </w:rPr>
              <w:t>1</w:t>
            </w:r>
          </w:p>
        </w:tc>
      </w:tr>
      <w:tr w:rsidR="00007F4D" w:rsidRPr="008A04A0" w14:paraId="12CC7D06" w14:textId="77777777" w:rsidTr="008B69E8">
        <w:trPr>
          <w:gridAfter w:val="1"/>
          <w:wAfter w:w="1410" w:type="dxa"/>
          <w:trHeight w:val="215"/>
        </w:trPr>
        <w:tc>
          <w:tcPr>
            <w:tcW w:w="1758" w:type="dxa"/>
            <w:vMerge/>
            <w:shd w:val="clear" w:color="000000" w:fill="FFFFFF"/>
            <w:noWrap/>
            <w:vAlign w:val="center"/>
          </w:tcPr>
          <w:p w14:paraId="04BC7B04" w14:textId="77777777" w:rsidR="00007F4D" w:rsidRPr="008A04A0" w:rsidRDefault="00007F4D" w:rsidP="008B69E8">
            <w:pPr>
              <w:spacing w:line="240" w:lineRule="auto"/>
              <w:jc w:val="center"/>
              <w:rPr>
                <w:rFonts w:cs="Arial"/>
                <w:color w:val="000000"/>
                <w:szCs w:val="18"/>
                <w:lang w:eastAsia="es-CO"/>
              </w:rPr>
            </w:pPr>
          </w:p>
        </w:tc>
        <w:tc>
          <w:tcPr>
            <w:tcW w:w="1644" w:type="dxa"/>
            <w:shd w:val="clear" w:color="000000" w:fill="FFFFFF"/>
            <w:noWrap/>
            <w:vAlign w:val="center"/>
          </w:tcPr>
          <w:p w14:paraId="4DC7FB1B" w14:textId="77777777" w:rsidR="00007F4D" w:rsidRPr="008A04A0" w:rsidRDefault="00007F4D" w:rsidP="008B69E8">
            <w:pPr>
              <w:spacing w:line="240" w:lineRule="auto"/>
              <w:jc w:val="center"/>
              <w:rPr>
                <w:rFonts w:cs="Arial"/>
                <w:color w:val="000000"/>
                <w:szCs w:val="18"/>
                <w:lang w:eastAsia="es-CO"/>
              </w:rPr>
            </w:pPr>
          </w:p>
        </w:tc>
        <w:tc>
          <w:tcPr>
            <w:tcW w:w="1203" w:type="dxa"/>
            <w:shd w:val="clear" w:color="000000" w:fill="FFFFFF"/>
            <w:noWrap/>
            <w:vAlign w:val="center"/>
          </w:tcPr>
          <w:p w14:paraId="0BF90C8F" w14:textId="77777777" w:rsidR="00007F4D" w:rsidRPr="008A04A0" w:rsidRDefault="00007F4D" w:rsidP="008B69E8">
            <w:pPr>
              <w:spacing w:line="240" w:lineRule="auto"/>
              <w:jc w:val="center"/>
              <w:rPr>
                <w:rFonts w:cs="Arial"/>
                <w:color w:val="000000"/>
                <w:szCs w:val="18"/>
                <w:lang w:eastAsia="es-CO"/>
              </w:rPr>
            </w:pPr>
          </w:p>
        </w:tc>
        <w:tc>
          <w:tcPr>
            <w:tcW w:w="2131" w:type="dxa"/>
            <w:shd w:val="clear" w:color="000000" w:fill="FFFFFF"/>
            <w:noWrap/>
            <w:vAlign w:val="center"/>
          </w:tcPr>
          <w:p w14:paraId="6C6383F1" w14:textId="77777777" w:rsidR="00007F4D" w:rsidRPr="008A04A0" w:rsidRDefault="00007F4D" w:rsidP="008B69E8">
            <w:pPr>
              <w:spacing w:line="240" w:lineRule="auto"/>
              <w:jc w:val="center"/>
              <w:rPr>
                <w:rFonts w:cs="Arial"/>
                <w:color w:val="000000"/>
                <w:szCs w:val="18"/>
              </w:rPr>
            </w:pPr>
            <w:r w:rsidRPr="008A04A0">
              <w:rPr>
                <w:rFonts w:cs="Arial"/>
                <w:color w:val="000000"/>
                <w:szCs w:val="18"/>
                <w:lang w:eastAsia="es-CO"/>
              </w:rPr>
              <w:t>H</w:t>
            </w:r>
            <w:r w:rsidRPr="008A04A0">
              <w:rPr>
                <w:rFonts w:cs="Arial"/>
                <w:color w:val="000000"/>
                <w:szCs w:val="18"/>
                <w:vertAlign w:val="subscript"/>
                <w:lang w:eastAsia="es-CO"/>
              </w:rPr>
              <w:t>2</w:t>
            </w:r>
            <w:r w:rsidRPr="008A04A0">
              <w:rPr>
                <w:rFonts w:cs="Arial"/>
                <w:color w:val="000000"/>
                <w:szCs w:val="18"/>
                <w:lang w:eastAsia="es-CO"/>
              </w:rPr>
              <w:t>O [kg]</w:t>
            </w:r>
          </w:p>
        </w:tc>
        <w:tc>
          <w:tcPr>
            <w:tcW w:w="1416" w:type="dxa"/>
            <w:shd w:val="clear" w:color="000000" w:fill="FFFFFF"/>
            <w:vAlign w:val="center"/>
          </w:tcPr>
          <w:p w14:paraId="40C9A505" w14:textId="02223428" w:rsidR="00007F4D" w:rsidRPr="008A04A0" w:rsidRDefault="00007F4D" w:rsidP="008B69E8">
            <w:pPr>
              <w:spacing w:line="240" w:lineRule="auto"/>
              <w:jc w:val="center"/>
              <w:rPr>
                <w:rFonts w:cs="Arial"/>
                <w:color w:val="000000"/>
                <w:szCs w:val="18"/>
              </w:rPr>
            </w:pPr>
            <w:r w:rsidRPr="008A04A0">
              <w:rPr>
                <w:rFonts w:cs="Arial"/>
                <w:color w:val="000000"/>
                <w:szCs w:val="18"/>
              </w:rPr>
              <w:t>0</w:t>
            </w:r>
            <w:r>
              <w:rPr>
                <w:rFonts w:cs="Arial"/>
                <w:color w:val="000000"/>
                <w:szCs w:val="18"/>
              </w:rPr>
              <w:t>.</w:t>
            </w:r>
            <w:r w:rsidRPr="008A04A0">
              <w:rPr>
                <w:rFonts w:cs="Arial"/>
                <w:color w:val="000000"/>
                <w:szCs w:val="18"/>
              </w:rPr>
              <w:t>2</w:t>
            </w:r>
            <w:r w:rsidR="005519AC">
              <w:rPr>
                <w:rFonts w:cs="Arial"/>
                <w:color w:val="000000"/>
                <w:szCs w:val="18"/>
              </w:rPr>
              <w:t>3</w:t>
            </w:r>
          </w:p>
        </w:tc>
      </w:tr>
      <w:tr w:rsidR="00007F4D" w:rsidRPr="008A04A0" w14:paraId="68FAD554" w14:textId="77777777" w:rsidTr="008B69E8">
        <w:trPr>
          <w:trHeight w:val="215"/>
        </w:trPr>
        <w:tc>
          <w:tcPr>
            <w:tcW w:w="1758" w:type="dxa"/>
            <w:vMerge w:val="restart"/>
            <w:tcBorders>
              <w:top w:val="single" w:sz="12" w:space="0" w:color="83C183"/>
            </w:tcBorders>
            <w:shd w:val="clear" w:color="000000" w:fill="FFFFFF"/>
            <w:noWrap/>
            <w:vAlign w:val="center"/>
          </w:tcPr>
          <w:p w14:paraId="49E4F83D" w14:textId="7777777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GAS CLEANING</w:t>
            </w:r>
          </w:p>
        </w:tc>
        <w:tc>
          <w:tcPr>
            <w:tcW w:w="1644" w:type="dxa"/>
            <w:tcBorders>
              <w:top w:val="single" w:sz="12" w:space="0" w:color="83C183"/>
            </w:tcBorders>
            <w:shd w:val="clear" w:color="000000" w:fill="FFFFFF"/>
            <w:noWrap/>
            <w:vAlign w:val="center"/>
          </w:tcPr>
          <w:p w14:paraId="70142AAD" w14:textId="7777777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Syngas [kg]</w:t>
            </w:r>
          </w:p>
        </w:tc>
        <w:tc>
          <w:tcPr>
            <w:tcW w:w="1203" w:type="dxa"/>
            <w:tcBorders>
              <w:top w:val="single" w:sz="12" w:space="0" w:color="83C183"/>
            </w:tcBorders>
            <w:shd w:val="clear" w:color="000000" w:fill="FFFFFF"/>
            <w:noWrap/>
            <w:vAlign w:val="center"/>
          </w:tcPr>
          <w:p w14:paraId="50B62BFA" w14:textId="5C22822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rPr>
              <w:t>6</w:t>
            </w:r>
            <w:r>
              <w:rPr>
                <w:rFonts w:cs="Arial"/>
                <w:color w:val="000000"/>
                <w:szCs w:val="18"/>
              </w:rPr>
              <w:t>.</w:t>
            </w:r>
            <w:r w:rsidRPr="008A04A0">
              <w:rPr>
                <w:rFonts w:cs="Arial"/>
                <w:color w:val="000000"/>
                <w:szCs w:val="18"/>
              </w:rPr>
              <w:t>1</w:t>
            </w:r>
            <w:r w:rsidR="005519AC">
              <w:rPr>
                <w:rFonts w:cs="Arial"/>
                <w:color w:val="000000"/>
                <w:szCs w:val="18"/>
              </w:rPr>
              <w:t>1</w:t>
            </w:r>
          </w:p>
        </w:tc>
        <w:tc>
          <w:tcPr>
            <w:tcW w:w="2131" w:type="dxa"/>
            <w:tcBorders>
              <w:top w:val="single" w:sz="12" w:space="0" w:color="83C183"/>
            </w:tcBorders>
            <w:shd w:val="clear" w:color="000000" w:fill="FFFFFF"/>
            <w:noWrap/>
            <w:vAlign w:val="center"/>
          </w:tcPr>
          <w:p w14:paraId="77C1FCD8" w14:textId="7777777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H</w:t>
            </w:r>
            <w:r w:rsidRPr="008A04A0">
              <w:rPr>
                <w:rFonts w:cs="Arial"/>
                <w:color w:val="000000"/>
                <w:szCs w:val="18"/>
                <w:vertAlign w:val="subscript"/>
                <w:lang w:eastAsia="es-CO"/>
              </w:rPr>
              <w:t>2</w:t>
            </w:r>
            <w:r w:rsidRPr="008A04A0">
              <w:rPr>
                <w:rFonts w:cs="Arial"/>
                <w:color w:val="000000"/>
                <w:szCs w:val="18"/>
                <w:lang w:eastAsia="es-CO"/>
              </w:rPr>
              <w:t>S [kg]</w:t>
            </w:r>
          </w:p>
        </w:tc>
        <w:tc>
          <w:tcPr>
            <w:tcW w:w="1416" w:type="dxa"/>
            <w:tcBorders>
              <w:top w:val="single" w:sz="12" w:space="0" w:color="83C183"/>
            </w:tcBorders>
            <w:shd w:val="clear" w:color="000000" w:fill="FFFFFF"/>
            <w:vAlign w:val="center"/>
          </w:tcPr>
          <w:p w14:paraId="680DE14E" w14:textId="4763C7B7" w:rsidR="00007F4D" w:rsidRPr="008A04A0" w:rsidRDefault="005519AC" w:rsidP="008B69E8">
            <w:pPr>
              <w:spacing w:line="240" w:lineRule="auto"/>
              <w:jc w:val="center"/>
              <w:rPr>
                <w:rFonts w:cs="Arial"/>
                <w:color w:val="000000"/>
                <w:szCs w:val="18"/>
              </w:rPr>
            </w:pPr>
            <w:r>
              <w:rPr>
                <w:rFonts w:cs="Arial"/>
                <w:color w:val="000000"/>
                <w:szCs w:val="18"/>
              </w:rPr>
              <w:t>&lt;</w:t>
            </w:r>
            <w:r w:rsidR="00007F4D" w:rsidRPr="008A04A0">
              <w:rPr>
                <w:rFonts w:cs="Arial"/>
                <w:color w:val="000000"/>
                <w:szCs w:val="18"/>
              </w:rPr>
              <w:t>0</w:t>
            </w:r>
            <w:r w:rsidR="00007F4D">
              <w:rPr>
                <w:rFonts w:cs="Arial"/>
                <w:color w:val="000000"/>
                <w:szCs w:val="18"/>
              </w:rPr>
              <w:t>.</w:t>
            </w:r>
            <w:r w:rsidR="00007F4D" w:rsidRPr="008A04A0">
              <w:rPr>
                <w:rFonts w:cs="Arial"/>
                <w:color w:val="000000"/>
                <w:szCs w:val="18"/>
              </w:rPr>
              <w:t>01</w:t>
            </w:r>
          </w:p>
        </w:tc>
        <w:tc>
          <w:tcPr>
            <w:tcW w:w="1410" w:type="dxa"/>
            <w:vAlign w:val="center"/>
          </w:tcPr>
          <w:p w14:paraId="77894A78" w14:textId="77777777" w:rsidR="00007F4D" w:rsidRPr="008A04A0" w:rsidRDefault="00007F4D" w:rsidP="008B69E8">
            <w:pPr>
              <w:tabs>
                <w:tab w:val="clear" w:pos="7100"/>
              </w:tabs>
              <w:spacing w:after="160" w:line="259" w:lineRule="auto"/>
              <w:jc w:val="center"/>
            </w:pPr>
          </w:p>
        </w:tc>
      </w:tr>
      <w:tr w:rsidR="00007F4D" w:rsidRPr="008A04A0" w14:paraId="54762DE0" w14:textId="77777777" w:rsidTr="008B69E8">
        <w:trPr>
          <w:trHeight w:val="215"/>
        </w:trPr>
        <w:tc>
          <w:tcPr>
            <w:tcW w:w="1758" w:type="dxa"/>
            <w:vMerge/>
            <w:shd w:val="clear" w:color="000000" w:fill="FFFFFF"/>
            <w:noWrap/>
            <w:vAlign w:val="center"/>
          </w:tcPr>
          <w:p w14:paraId="79D6DB8B" w14:textId="77777777" w:rsidR="00007F4D" w:rsidRPr="008A04A0" w:rsidRDefault="00007F4D" w:rsidP="008B69E8">
            <w:pPr>
              <w:spacing w:line="240" w:lineRule="auto"/>
              <w:jc w:val="center"/>
              <w:rPr>
                <w:rFonts w:cs="Arial"/>
                <w:color w:val="000000"/>
                <w:szCs w:val="18"/>
                <w:lang w:eastAsia="es-CO"/>
              </w:rPr>
            </w:pPr>
          </w:p>
        </w:tc>
        <w:tc>
          <w:tcPr>
            <w:tcW w:w="1644" w:type="dxa"/>
            <w:shd w:val="clear" w:color="000000" w:fill="FFFFFF"/>
            <w:noWrap/>
            <w:vAlign w:val="center"/>
          </w:tcPr>
          <w:p w14:paraId="42B15024" w14:textId="7777777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Electrici</w:t>
            </w:r>
            <w:r>
              <w:rPr>
                <w:rFonts w:cs="Arial"/>
                <w:color w:val="000000"/>
                <w:szCs w:val="18"/>
                <w:lang w:eastAsia="es-CO"/>
              </w:rPr>
              <w:t>ty</w:t>
            </w:r>
            <w:r w:rsidRPr="008A04A0">
              <w:rPr>
                <w:rFonts w:cs="Arial"/>
                <w:color w:val="000000"/>
                <w:szCs w:val="18"/>
                <w:lang w:eastAsia="es-CO"/>
              </w:rPr>
              <w:t xml:space="preserve"> [kWh]</w:t>
            </w:r>
          </w:p>
        </w:tc>
        <w:tc>
          <w:tcPr>
            <w:tcW w:w="1203" w:type="dxa"/>
            <w:shd w:val="clear" w:color="000000" w:fill="FFFFFF"/>
            <w:noWrap/>
            <w:vAlign w:val="center"/>
          </w:tcPr>
          <w:p w14:paraId="275C5D9B" w14:textId="3EC964F2" w:rsidR="00007F4D" w:rsidRPr="008A04A0" w:rsidRDefault="00007F4D" w:rsidP="008B69E8">
            <w:pPr>
              <w:spacing w:line="240" w:lineRule="auto"/>
              <w:jc w:val="center"/>
              <w:rPr>
                <w:rFonts w:cs="Arial"/>
                <w:color w:val="000000"/>
                <w:szCs w:val="18"/>
                <w:lang w:eastAsia="es-CO"/>
              </w:rPr>
            </w:pPr>
            <w:r w:rsidRPr="008A04A0">
              <w:rPr>
                <w:rFonts w:cs="Arial"/>
                <w:color w:val="000000"/>
                <w:szCs w:val="18"/>
              </w:rPr>
              <w:t>1</w:t>
            </w:r>
            <w:r>
              <w:rPr>
                <w:rFonts w:cs="Arial"/>
                <w:color w:val="000000"/>
                <w:szCs w:val="18"/>
              </w:rPr>
              <w:t>.</w:t>
            </w:r>
            <w:r w:rsidRPr="008A04A0">
              <w:rPr>
                <w:rFonts w:cs="Arial"/>
                <w:color w:val="000000"/>
                <w:szCs w:val="18"/>
              </w:rPr>
              <w:t>4</w:t>
            </w:r>
            <w:r w:rsidR="005519AC">
              <w:rPr>
                <w:rFonts w:cs="Arial"/>
                <w:color w:val="000000"/>
                <w:szCs w:val="18"/>
              </w:rPr>
              <w:t>1</w:t>
            </w:r>
          </w:p>
        </w:tc>
        <w:tc>
          <w:tcPr>
            <w:tcW w:w="2131" w:type="dxa"/>
            <w:shd w:val="clear" w:color="000000" w:fill="FFFFFF"/>
            <w:noWrap/>
            <w:vAlign w:val="center"/>
          </w:tcPr>
          <w:p w14:paraId="1D7FC5B3" w14:textId="7777777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CO</w:t>
            </w:r>
            <w:r w:rsidRPr="008A04A0">
              <w:rPr>
                <w:rFonts w:cs="Arial"/>
                <w:color w:val="000000"/>
                <w:szCs w:val="18"/>
                <w:vertAlign w:val="subscript"/>
                <w:lang w:eastAsia="es-CO"/>
              </w:rPr>
              <w:t>2</w:t>
            </w:r>
            <w:r w:rsidRPr="008A04A0">
              <w:rPr>
                <w:rFonts w:cs="Arial"/>
                <w:color w:val="000000"/>
                <w:szCs w:val="18"/>
                <w:lang w:eastAsia="es-CO"/>
              </w:rPr>
              <w:t xml:space="preserve"> [kg]</w:t>
            </w:r>
          </w:p>
        </w:tc>
        <w:tc>
          <w:tcPr>
            <w:tcW w:w="1416" w:type="dxa"/>
            <w:shd w:val="clear" w:color="000000" w:fill="FFFFFF"/>
            <w:vAlign w:val="center"/>
          </w:tcPr>
          <w:p w14:paraId="49D014F5" w14:textId="4912D187" w:rsidR="00007F4D" w:rsidRPr="008A04A0" w:rsidRDefault="00007F4D" w:rsidP="008B69E8">
            <w:pPr>
              <w:spacing w:line="240" w:lineRule="auto"/>
              <w:jc w:val="center"/>
              <w:rPr>
                <w:rFonts w:cs="Arial"/>
                <w:color w:val="000000"/>
                <w:szCs w:val="18"/>
              </w:rPr>
            </w:pPr>
            <w:r w:rsidRPr="008A04A0">
              <w:rPr>
                <w:rFonts w:cs="Arial"/>
                <w:color w:val="000000"/>
                <w:szCs w:val="18"/>
              </w:rPr>
              <w:t>2</w:t>
            </w:r>
            <w:r>
              <w:rPr>
                <w:rFonts w:cs="Arial"/>
                <w:color w:val="000000"/>
                <w:szCs w:val="18"/>
              </w:rPr>
              <w:t>.</w:t>
            </w:r>
            <w:r w:rsidRPr="008A04A0">
              <w:rPr>
                <w:rFonts w:cs="Arial"/>
                <w:color w:val="000000"/>
                <w:szCs w:val="18"/>
              </w:rPr>
              <w:t>7</w:t>
            </w:r>
            <w:r w:rsidR="005519AC">
              <w:rPr>
                <w:rFonts w:cs="Arial"/>
                <w:color w:val="000000"/>
                <w:szCs w:val="18"/>
              </w:rPr>
              <w:t>1</w:t>
            </w:r>
          </w:p>
        </w:tc>
        <w:tc>
          <w:tcPr>
            <w:tcW w:w="1410" w:type="dxa"/>
            <w:vAlign w:val="center"/>
          </w:tcPr>
          <w:p w14:paraId="4EC0C5EE" w14:textId="77777777" w:rsidR="00007F4D" w:rsidRPr="008A04A0" w:rsidRDefault="00007F4D" w:rsidP="008B69E8">
            <w:pPr>
              <w:tabs>
                <w:tab w:val="clear" w:pos="7100"/>
              </w:tabs>
              <w:spacing w:after="160" w:line="259" w:lineRule="auto"/>
              <w:jc w:val="center"/>
            </w:pPr>
          </w:p>
        </w:tc>
      </w:tr>
      <w:tr w:rsidR="00007F4D" w:rsidRPr="008A04A0" w14:paraId="5FC83E80" w14:textId="77777777" w:rsidTr="008B69E8">
        <w:trPr>
          <w:trHeight w:val="215"/>
        </w:trPr>
        <w:tc>
          <w:tcPr>
            <w:tcW w:w="1758" w:type="dxa"/>
            <w:vMerge/>
            <w:shd w:val="clear" w:color="000000" w:fill="FFFFFF"/>
            <w:noWrap/>
            <w:vAlign w:val="center"/>
          </w:tcPr>
          <w:p w14:paraId="54CAD23A" w14:textId="77777777" w:rsidR="00007F4D" w:rsidRPr="008A04A0" w:rsidRDefault="00007F4D" w:rsidP="008B69E8">
            <w:pPr>
              <w:spacing w:line="240" w:lineRule="auto"/>
              <w:jc w:val="center"/>
              <w:rPr>
                <w:rFonts w:cs="Arial"/>
                <w:color w:val="000000"/>
                <w:szCs w:val="18"/>
                <w:lang w:eastAsia="es-CO"/>
              </w:rPr>
            </w:pPr>
          </w:p>
        </w:tc>
        <w:tc>
          <w:tcPr>
            <w:tcW w:w="1644" w:type="dxa"/>
            <w:shd w:val="clear" w:color="000000" w:fill="FFFFFF"/>
            <w:noWrap/>
            <w:vAlign w:val="center"/>
          </w:tcPr>
          <w:p w14:paraId="03EFCB79" w14:textId="7777777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RME [kg]</w:t>
            </w:r>
          </w:p>
        </w:tc>
        <w:tc>
          <w:tcPr>
            <w:tcW w:w="1203" w:type="dxa"/>
            <w:shd w:val="clear" w:color="000000" w:fill="FFFFFF"/>
            <w:noWrap/>
            <w:vAlign w:val="center"/>
          </w:tcPr>
          <w:p w14:paraId="215D909D" w14:textId="2234BC69" w:rsidR="00007F4D" w:rsidRPr="008A04A0" w:rsidRDefault="00007F4D" w:rsidP="008B69E8">
            <w:pPr>
              <w:spacing w:line="240" w:lineRule="auto"/>
              <w:jc w:val="center"/>
              <w:rPr>
                <w:rFonts w:cs="Arial"/>
                <w:color w:val="000000"/>
                <w:szCs w:val="18"/>
                <w:lang w:eastAsia="es-CO"/>
              </w:rPr>
            </w:pPr>
            <w:r w:rsidRPr="008A04A0">
              <w:rPr>
                <w:rFonts w:cs="Arial"/>
                <w:color w:val="000000"/>
                <w:szCs w:val="18"/>
              </w:rPr>
              <w:t>0</w:t>
            </w:r>
            <w:r>
              <w:rPr>
                <w:rFonts w:cs="Arial"/>
                <w:color w:val="000000"/>
                <w:szCs w:val="18"/>
              </w:rPr>
              <w:t>.</w:t>
            </w:r>
            <w:r w:rsidRPr="008A04A0">
              <w:rPr>
                <w:rFonts w:cs="Arial"/>
                <w:color w:val="000000"/>
                <w:szCs w:val="18"/>
              </w:rPr>
              <w:t>1</w:t>
            </w:r>
            <w:r w:rsidR="005519AC">
              <w:rPr>
                <w:rFonts w:cs="Arial"/>
                <w:color w:val="000000"/>
                <w:szCs w:val="18"/>
              </w:rPr>
              <w:t>3</w:t>
            </w:r>
          </w:p>
        </w:tc>
        <w:tc>
          <w:tcPr>
            <w:tcW w:w="2131" w:type="dxa"/>
            <w:shd w:val="clear" w:color="000000" w:fill="FFFFFF"/>
            <w:noWrap/>
            <w:vAlign w:val="center"/>
          </w:tcPr>
          <w:p w14:paraId="1D819E98" w14:textId="77777777" w:rsidR="00007F4D" w:rsidRPr="008A04A0" w:rsidRDefault="00007F4D" w:rsidP="008B69E8">
            <w:pPr>
              <w:spacing w:line="240" w:lineRule="auto"/>
              <w:jc w:val="center"/>
              <w:rPr>
                <w:rFonts w:cs="Arial"/>
                <w:color w:val="000000"/>
                <w:szCs w:val="18"/>
                <w:lang w:eastAsia="es-CO"/>
              </w:rPr>
            </w:pPr>
            <w:r>
              <w:rPr>
                <w:rFonts w:cs="Arial"/>
                <w:color w:val="000000"/>
                <w:szCs w:val="18"/>
                <w:lang w:eastAsia="es-CO"/>
              </w:rPr>
              <w:t>Water</w:t>
            </w:r>
            <w:r w:rsidRPr="008A04A0">
              <w:rPr>
                <w:rFonts w:cs="Arial"/>
                <w:color w:val="000000"/>
                <w:szCs w:val="18"/>
                <w:lang w:eastAsia="es-CO"/>
              </w:rPr>
              <w:t xml:space="preserve"> [kg]</w:t>
            </w:r>
          </w:p>
        </w:tc>
        <w:tc>
          <w:tcPr>
            <w:tcW w:w="1416" w:type="dxa"/>
            <w:shd w:val="clear" w:color="000000" w:fill="FFFFFF"/>
            <w:vAlign w:val="center"/>
          </w:tcPr>
          <w:p w14:paraId="10ADF29B" w14:textId="4D05A8F1" w:rsidR="00007F4D" w:rsidRPr="008A04A0" w:rsidRDefault="00007F4D" w:rsidP="008B69E8">
            <w:pPr>
              <w:spacing w:line="240" w:lineRule="auto"/>
              <w:jc w:val="center"/>
              <w:rPr>
                <w:rFonts w:cs="Arial"/>
                <w:color w:val="000000"/>
                <w:szCs w:val="18"/>
              </w:rPr>
            </w:pPr>
            <w:r w:rsidRPr="008A04A0">
              <w:rPr>
                <w:rFonts w:cs="Arial"/>
                <w:color w:val="000000"/>
                <w:szCs w:val="18"/>
              </w:rPr>
              <w:t>2</w:t>
            </w:r>
            <w:r>
              <w:rPr>
                <w:rFonts w:cs="Arial"/>
                <w:color w:val="000000"/>
                <w:szCs w:val="18"/>
              </w:rPr>
              <w:t>.</w:t>
            </w:r>
            <w:r w:rsidRPr="008A04A0">
              <w:rPr>
                <w:rFonts w:cs="Arial"/>
                <w:color w:val="000000"/>
                <w:szCs w:val="18"/>
              </w:rPr>
              <w:t>32</w:t>
            </w:r>
          </w:p>
        </w:tc>
        <w:tc>
          <w:tcPr>
            <w:tcW w:w="1410" w:type="dxa"/>
            <w:vAlign w:val="center"/>
          </w:tcPr>
          <w:p w14:paraId="7C40DF6C" w14:textId="77777777" w:rsidR="00007F4D" w:rsidRPr="008A04A0" w:rsidRDefault="00007F4D" w:rsidP="008B69E8">
            <w:pPr>
              <w:tabs>
                <w:tab w:val="clear" w:pos="7100"/>
              </w:tabs>
              <w:spacing w:after="160" w:line="259" w:lineRule="auto"/>
              <w:jc w:val="center"/>
            </w:pPr>
          </w:p>
        </w:tc>
      </w:tr>
      <w:tr w:rsidR="00007F4D" w:rsidRPr="008A04A0" w14:paraId="11556501" w14:textId="77777777" w:rsidTr="008B69E8">
        <w:trPr>
          <w:trHeight w:val="215"/>
        </w:trPr>
        <w:tc>
          <w:tcPr>
            <w:tcW w:w="1758" w:type="dxa"/>
            <w:vMerge/>
            <w:shd w:val="clear" w:color="000000" w:fill="FFFFFF"/>
            <w:noWrap/>
            <w:vAlign w:val="center"/>
          </w:tcPr>
          <w:p w14:paraId="20128F8A" w14:textId="77777777" w:rsidR="00007F4D" w:rsidRPr="008A04A0" w:rsidRDefault="00007F4D" w:rsidP="008B69E8">
            <w:pPr>
              <w:spacing w:line="240" w:lineRule="auto"/>
              <w:jc w:val="center"/>
              <w:rPr>
                <w:rFonts w:cs="Arial"/>
                <w:color w:val="000000"/>
                <w:szCs w:val="18"/>
                <w:lang w:eastAsia="es-CO"/>
              </w:rPr>
            </w:pPr>
          </w:p>
        </w:tc>
        <w:tc>
          <w:tcPr>
            <w:tcW w:w="1644" w:type="dxa"/>
            <w:shd w:val="clear" w:color="000000" w:fill="FFFFFF"/>
            <w:noWrap/>
            <w:vAlign w:val="center"/>
          </w:tcPr>
          <w:p w14:paraId="03196F36" w14:textId="7777777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MDEA [kg]</w:t>
            </w:r>
          </w:p>
        </w:tc>
        <w:tc>
          <w:tcPr>
            <w:tcW w:w="1203" w:type="dxa"/>
            <w:shd w:val="clear" w:color="000000" w:fill="FFFFFF"/>
            <w:noWrap/>
            <w:vAlign w:val="center"/>
          </w:tcPr>
          <w:p w14:paraId="01CC2870" w14:textId="0DF36B7F" w:rsidR="00007F4D" w:rsidRPr="008A04A0" w:rsidRDefault="00007F4D" w:rsidP="008B69E8">
            <w:pPr>
              <w:spacing w:line="240" w:lineRule="auto"/>
              <w:jc w:val="center"/>
              <w:rPr>
                <w:rFonts w:cs="Arial"/>
                <w:color w:val="000000"/>
                <w:szCs w:val="18"/>
                <w:lang w:eastAsia="es-CO"/>
              </w:rPr>
            </w:pPr>
            <w:r w:rsidRPr="008A04A0">
              <w:rPr>
                <w:rFonts w:cs="Arial"/>
                <w:color w:val="000000"/>
                <w:szCs w:val="18"/>
              </w:rPr>
              <w:t>5</w:t>
            </w:r>
            <w:r>
              <w:rPr>
                <w:rFonts w:cs="Arial"/>
                <w:color w:val="000000"/>
                <w:szCs w:val="18"/>
              </w:rPr>
              <w:t>.</w:t>
            </w:r>
            <w:r w:rsidRPr="008A04A0">
              <w:rPr>
                <w:rFonts w:cs="Arial"/>
                <w:color w:val="000000"/>
                <w:szCs w:val="18"/>
              </w:rPr>
              <w:t>3</w:t>
            </w:r>
            <w:r w:rsidR="005519AC">
              <w:rPr>
                <w:rFonts w:cs="Arial"/>
                <w:color w:val="000000"/>
                <w:szCs w:val="18"/>
              </w:rPr>
              <w:t>4</w:t>
            </w:r>
          </w:p>
        </w:tc>
        <w:tc>
          <w:tcPr>
            <w:tcW w:w="2131" w:type="dxa"/>
            <w:shd w:val="clear" w:color="000000" w:fill="FFFFFF"/>
            <w:noWrap/>
            <w:vAlign w:val="center"/>
          </w:tcPr>
          <w:p w14:paraId="1037FE8D" w14:textId="77777777" w:rsidR="00007F4D" w:rsidRPr="008A04A0" w:rsidRDefault="00007F4D" w:rsidP="008B69E8">
            <w:pPr>
              <w:spacing w:line="240" w:lineRule="auto"/>
              <w:jc w:val="center"/>
              <w:rPr>
                <w:rFonts w:cs="Arial"/>
                <w:color w:val="000000"/>
                <w:szCs w:val="18"/>
                <w:lang w:eastAsia="es-CO"/>
              </w:rPr>
            </w:pPr>
            <w:r>
              <w:rPr>
                <w:rFonts w:cs="Arial"/>
                <w:color w:val="000000"/>
                <w:szCs w:val="18"/>
                <w:lang w:eastAsia="es-CO"/>
              </w:rPr>
              <w:t>Clean s</w:t>
            </w:r>
            <w:r w:rsidRPr="008A04A0">
              <w:rPr>
                <w:rFonts w:cs="Arial"/>
                <w:color w:val="000000"/>
                <w:szCs w:val="18"/>
                <w:lang w:eastAsia="es-CO"/>
              </w:rPr>
              <w:t>yngas [kg]</w:t>
            </w:r>
          </w:p>
        </w:tc>
        <w:tc>
          <w:tcPr>
            <w:tcW w:w="1416" w:type="dxa"/>
            <w:shd w:val="clear" w:color="000000" w:fill="FFFFFF"/>
            <w:vAlign w:val="center"/>
          </w:tcPr>
          <w:p w14:paraId="4F2D11A0" w14:textId="0296E1E7" w:rsidR="00007F4D" w:rsidRPr="008A04A0" w:rsidRDefault="00007F4D" w:rsidP="008B69E8">
            <w:pPr>
              <w:spacing w:line="240" w:lineRule="auto"/>
              <w:jc w:val="center"/>
              <w:rPr>
                <w:rFonts w:cs="Arial"/>
                <w:color w:val="000000"/>
                <w:szCs w:val="18"/>
              </w:rPr>
            </w:pPr>
            <w:r w:rsidRPr="008A04A0">
              <w:rPr>
                <w:rFonts w:cs="Arial"/>
                <w:color w:val="000000"/>
                <w:szCs w:val="18"/>
              </w:rPr>
              <w:t>1</w:t>
            </w:r>
            <w:r>
              <w:rPr>
                <w:rFonts w:cs="Arial"/>
                <w:color w:val="000000"/>
                <w:szCs w:val="18"/>
              </w:rPr>
              <w:t>.</w:t>
            </w:r>
            <w:r w:rsidRPr="008A04A0">
              <w:rPr>
                <w:rFonts w:cs="Arial"/>
                <w:color w:val="000000"/>
                <w:szCs w:val="18"/>
              </w:rPr>
              <w:t>7</w:t>
            </w:r>
            <w:r w:rsidR="005519AC">
              <w:rPr>
                <w:rFonts w:cs="Arial"/>
                <w:color w:val="000000"/>
                <w:szCs w:val="18"/>
              </w:rPr>
              <w:t>3</w:t>
            </w:r>
          </w:p>
        </w:tc>
        <w:tc>
          <w:tcPr>
            <w:tcW w:w="1410" w:type="dxa"/>
            <w:vAlign w:val="center"/>
          </w:tcPr>
          <w:p w14:paraId="0F0A185D" w14:textId="77777777" w:rsidR="00007F4D" w:rsidRPr="008A04A0" w:rsidRDefault="00007F4D" w:rsidP="008B69E8">
            <w:pPr>
              <w:tabs>
                <w:tab w:val="clear" w:pos="7100"/>
              </w:tabs>
              <w:spacing w:after="160" w:line="259" w:lineRule="auto"/>
              <w:jc w:val="center"/>
            </w:pPr>
          </w:p>
        </w:tc>
      </w:tr>
      <w:tr w:rsidR="00007F4D" w:rsidRPr="008A04A0" w14:paraId="05A7F5DF" w14:textId="77777777" w:rsidTr="008B69E8">
        <w:trPr>
          <w:gridAfter w:val="1"/>
          <w:wAfter w:w="1410" w:type="dxa"/>
          <w:trHeight w:val="215"/>
        </w:trPr>
        <w:tc>
          <w:tcPr>
            <w:tcW w:w="1758" w:type="dxa"/>
            <w:vMerge/>
            <w:shd w:val="clear" w:color="000000" w:fill="FFFFFF"/>
            <w:noWrap/>
            <w:vAlign w:val="center"/>
          </w:tcPr>
          <w:p w14:paraId="14109A34" w14:textId="77777777" w:rsidR="00007F4D" w:rsidRPr="008A04A0" w:rsidRDefault="00007F4D" w:rsidP="008B69E8">
            <w:pPr>
              <w:spacing w:line="240" w:lineRule="auto"/>
              <w:jc w:val="center"/>
              <w:rPr>
                <w:rFonts w:cs="Arial"/>
                <w:color w:val="000000"/>
                <w:szCs w:val="18"/>
                <w:lang w:eastAsia="es-CO"/>
              </w:rPr>
            </w:pPr>
          </w:p>
        </w:tc>
        <w:tc>
          <w:tcPr>
            <w:tcW w:w="1644" w:type="dxa"/>
            <w:shd w:val="clear" w:color="000000" w:fill="FFFFFF"/>
            <w:noWrap/>
            <w:vAlign w:val="center"/>
          </w:tcPr>
          <w:p w14:paraId="5BF87144" w14:textId="7777777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MEA [kg]</w:t>
            </w:r>
          </w:p>
        </w:tc>
        <w:tc>
          <w:tcPr>
            <w:tcW w:w="1203" w:type="dxa"/>
            <w:shd w:val="clear" w:color="000000" w:fill="FFFFFF"/>
            <w:noWrap/>
            <w:vAlign w:val="center"/>
          </w:tcPr>
          <w:p w14:paraId="651E1644" w14:textId="6E2B9138" w:rsidR="00007F4D" w:rsidRPr="008A04A0" w:rsidRDefault="00007F4D" w:rsidP="008B69E8">
            <w:pPr>
              <w:spacing w:line="240" w:lineRule="auto"/>
              <w:jc w:val="center"/>
              <w:rPr>
                <w:rFonts w:cs="Arial"/>
                <w:color w:val="000000"/>
                <w:szCs w:val="18"/>
                <w:lang w:eastAsia="es-CO"/>
              </w:rPr>
            </w:pPr>
            <w:r w:rsidRPr="008A04A0">
              <w:rPr>
                <w:rFonts w:cs="Arial"/>
                <w:color w:val="000000"/>
                <w:szCs w:val="18"/>
              </w:rPr>
              <w:t>7</w:t>
            </w:r>
            <w:r>
              <w:rPr>
                <w:rFonts w:cs="Arial"/>
                <w:color w:val="000000"/>
                <w:szCs w:val="18"/>
              </w:rPr>
              <w:t>.</w:t>
            </w:r>
            <w:r w:rsidRPr="008A04A0">
              <w:rPr>
                <w:rFonts w:cs="Arial"/>
                <w:color w:val="000000"/>
                <w:szCs w:val="18"/>
              </w:rPr>
              <w:t>1</w:t>
            </w:r>
            <w:r w:rsidR="005519AC">
              <w:rPr>
                <w:rFonts w:cs="Arial"/>
                <w:color w:val="000000"/>
                <w:szCs w:val="18"/>
              </w:rPr>
              <w:t>2</w:t>
            </w:r>
          </w:p>
        </w:tc>
        <w:tc>
          <w:tcPr>
            <w:tcW w:w="2131" w:type="dxa"/>
            <w:shd w:val="clear" w:color="000000" w:fill="FFFFFF"/>
            <w:noWrap/>
            <w:vAlign w:val="center"/>
          </w:tcPr>
          <w:p w14:paraId="4E49235E" w14:textId="77777777" w:rsidR="00007F4D" w:rsidRPr="008A04A0" w:rsidRDefault="00007F4D" w:rsidP="008B69E8">
            <w:pPr>
              <w:spacing w:line="240" w:lineRule="auto"/>
              <w:jc w:val="center"/>
              <w:rPr>
                <w:rFonts w:cs="Arial"/>
                <w:color w:val="000000"/>
                <w:szCs w:val="18"/>
                <w:lang w:eastAsia="es-CO"/>
              </w:rPr>
            </w:pPr>
          </w:p>
        </w:tc>
        <w:tc>
          <w:tcPr>
            <w:tcW w:w="1416" w:type="dxa"/>
            <w:shd w:val="clear" w:color="000000" w:fill="FFFFFF"/>
            <w:vAlign w:val="center"/>
          </w:tcPr>
          <w:p w14:paraId="66DE9FDE" w14:textId="77777777" w:rsidR="00007F4D" w:rsidRPr="008A04A0" w:rsidRDefault="00007F4D" w:rsidP="008B69E8">
            <w:pPr>
              <w:spacing w:line="240" w:lineRule="auto"/>
              <w:jc w:val="center"/>
              <w:rPr>
                <w:rFonts w:cs="Arial"/>
                <w:color w:val="000000"/>
                <w:szCs w:val="18"/>
              </w:rPr>
            </w:pPr>
          </w:p>
        </w:tc>
      </w:tr>
      <w:tr w:rsidR="00007F4D" w:rsidRPr="008A04A0" w14:paraId="286AC79E" w14:textId="77777777" w:rsidTr="008B69E8">
        <w:trPr>
          <w:gridAfter w:val="1"/>
          <w:wAfter w:w="1410" w:type="dxa"/>
          <w:trHeight w:val="215"/>
        </w:trPr>
        <w:tc>
          <w:tcPr>
            <w:tcW w:w="1758" w:type="dxa"/>
            <w:vMerge w:val="restart"/>
            <w:tcBorders>
              <w:top w:val="single" w:sz="12" w:space="0" w:color="83C183"/>
            </w:tcBorders>
            <w:shd w:val="clear" w:color="000000" w:fill="FFFFFF"/>
            <w:noWrap/>
            <w:vAlign w:val="center"/>
          </w:tcPr>
          <w:p w14:paraId="179026E8" w14:textId="7777777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M</w:t>
            </w:r>
            <w:r>
              <w:rPr>
                <w:rFonts w:cs="Arial"/>
                <w:color w:val="000000"/>
                <w:szCs w:val="18"/>
                <w:lang w:eastAsia="es-CO"/>
              </w:rPr>
              <w:t>ETHANATION</w:t>
            </w:r>
          </w:p>
        </w:tc>
        <w:tc>
          <w:tcPr>
            <w:tcW w:w="1644" w:type="dxa"/>
            <w:tcBorders>
              <w:top w:val="single" w:sz="12" w:space="0" w:color="83C183"/>
            </w:tcBorders>
            <w:shd w:val="clear" w:color="000000" w:fill="FFFFFF"/>
            <w:noWrap/>
            <w:vAlign w:val="center"/>
          </w:tcPr>
          <w:p w14:paraId="10316348" w14:textId="77777777" w:rsidR="00007F4D" w:rsidRPr="008A04A0" w:rsidRDefault="00007F4D" w:rsidP="008B69E8">
            <w:pPr>
              <w:spacing w:line="240" w:lineRule="auto"/>
              <w:jc w:val="center"/>
              <w:rPr>
                <w:rFonts w:cs="Arial"/>
                <w:color w:val="000000"/>
                <w:szCs w:val="18"/>
                <w:lang w:eastAsia="es-CO"/>
              </w:rPr>
            </w:pPr>
            <w:r>
              <w:rPr>
                <w:rFonts w:cs="Arial"/>
                <w:color w:val="000000"/>
                <w:szCs w:val="18"/>
                <w:lang w:eastAsia="es-CO"/>
              </w:rPr>
              <w:t>Clean s</w:t>
            </w:r>
            <w:r w:rsidRPr="008A04A0">
              <w:rPr>
                <w:rFonts w:cs="Arial"/>
                <w:color w:val="000000"/>
                <w:szCs w:val="18"/>
                <w:lang w:eastAsia="es-CO"/>
              </w:rPr>
              <w:t>yngas [kg]</w:t>
            </w:r>
          </w:p>
        </w:tc>
        <w:tc>
          <w:tcPr>
            <w:tcW w:w="1203" w:type="dxa"/>
            <w:tcBorders>
              <w:top w:val="single" w:sz="12" w:space="0" w:color="83C183"/>
            </w:tcBorders>
            <w:shd w:val="clear" w:color="000000" w:fill="FFFFFF"/>
            <w:noWrap/>
            <w:vAlign w:val="center"/>
          </w:tcPr>
          <w:p w14:paraId="51BA8231" w14:textId="3FD3D1F2" w:rsidR="00007F4D" w:rsidRPr="008A04A0" w:rsidRDefault="00007F4D" w:rsidP="008B69E8">
            <w:pPr>
              <w:spacing w:line="240" w:lineRule="auto"/>
              <w:jc w:val="center"/>
              <w:rPr>
                <w:rFonts w:cs="Arial"/>
                <w:color w:val="000000"/>
                <w:szCs w:val="18"/>
                <w:lang w:eastAsia="es-CO"/>
              </w:rPr>
            </w:pPr>
            <w:r w:rsidRPr="008A04A0">
              <w:rPr>
                <w:rFonts w:cs="Arial"/>
                <w:color w:val="000000"/>
                <w:szCs w:val="18"/>
              </w:rPr>
              <w:t>1</w:t>
            </w:r>
            <w:r>
              <w:rPr>
                <w:rFonts w:cs="Arial"/>
                <w:color w:val="000000"/>
                <w:szCs w:val="18"/>
              </w:rPr>
              <w:t>.</w:t>
            </w:r>
            <w:r w:rsidRPr="008A04A0">
              <w:rPr>
                <w:rFonts w:cs="Arial"/>
                <w:color w:val="000000"/>
                <w:szCs w:val="18"/>
              </w:rPr>
              <w:t>7</w:t>
            </w:r>
            <w:r w:rsidR="005519AC">
              <w:rPr>
                <w:rFonts w:cs="Arial"/>
                <w:color w:val="000000"/>
                <w:szCs w:val="18"/>
              </w:rPr>
              <w:t>3</w:t>
            </w:r>
          </w:p>
        </w:tc>
        <w:tc>
          <w:tcPr>
            <w:tcW w:w="2131" w:type="dxa"/>
            <w:tcBorders>
              <w:top w:val="single" w:sz="12" w:space="0" w:color="83C183"/>
            </w:tcBorders>
            <w:shd w:val="clear" w:color="000000" w:fill="FFFFFF"/>
            <w:noWrap/>
            <w:vAlign w:val="center"/>
          </w:tcPr>
          <w:p w14:paraId="7B21851D" w14:textId="77777777" w:rsidR="00007F4D" w:rsidRPr="008A04A0" w:rsidRDefault="00007F4D" w:rsidP="008B69E8">
            <w:pPr>
              <w:spacing w:line="240" w:lineRule="auto"/>
              <w:jc w:val="center"/>
              <w:rPr>
                <w:rFonts w:cs="Arial"/>
                <w:color w:val="000000"/>
                <w:szCs w:val="18"/>
                <w:lang w:eastAsia="es-CO"/>
              </w:rPr>
            </w:pPr>
            <w:r>
              <w:rPr>
                <w:rFonts w:cs="Arial"/>
                <w:color w:val="000000"/>
                <w:szCs w:val="18"/>
                <w:lang w:eastAsia="es-CO"/>
              </w:rPr>
              <w:t>Water</w:t>
            </w:r>
            <w:r w:rsidRPr="008A04A0">
              <w:rPr>
                <w:rFonts w:cs="Arial"/>
                <w:color w:val="000000"/>
                <w:szCs w:val="18"/>
                <w:lang w:eastAsia="es-CO"/>
              </w:rPr>
              <w:t xml:space="preserve"> [kg]</w:t>
            </w:r>
          </w:p>
        </w:tc>
        <w:tc>
          <w:tcPr>
            <w:tcW w:w="1416" w:type="dxa"/>
            <w:tcBorders>
              <w:top w:val="single" w:sz="12" w:space="0" w:color="83C183"/>
            </w:tcBorders>
            <w:shd w:val="clear" w:color="000000" w:fill="FFFFFF"/>
            <w:vAlign w:val="center"/>
          </w:tcPr>
          <w:p w14:paraId="4FFC9847" w14:textId="5E4D94D7" w:rsidR="00007F4D" w:rsidRPr="008A04A0" w:rsidRDefault="00007F4D" w:rsidP="008B69E8">
            <w:pPr>
              <w:spacing w:line="240" w:lineRule="auto"/>
              <w:jc w:val="center"/>
              <w:rPr>
                <w:rFonts w:cs="Arial"/>
                <w:color w:val="000000"/>
                <w:szCs w:val="18"/>
              </w:rPr>
            </w:pPr>
            <w:r w:rsidRPr="008A04A0">
              <w:rPr>
                <w:rFonts w:cs="Arial"/>
                <w:color w:val="000000"/>
                <w:szCs w:val="18"/>
              </w:rPr>
              <w:t>0</w:t>
            </w:r>
            <w:r>
              <w:rPr>
                <w:rFonts w:cs="Arial"/>
                <w:color w:val="000000"/>
                <w:szCs w:val="18"/>
              </w:rPr>
              <w:t>.</w:t>
            </w:r>
            <w:r w:rsidRPr="008A04A0">
              <w:rPr>
                <w:rFonts w:cs="Arial"/>
                <w:color w:val="000000"/>
                <w:szCs w:val="18"/>
              </w:rPr>
              <w:t>0</w:t>
            </w:r>
            <w:r w:rsidR="005519AC">
              <w:rPr>
                <w:rFonts w:cs="Arial"/>
                <w:color w:val="000000"/>
                <w:szCs w:val="18"/>
              </w:rPr>
              <w:t>1</w:t>
            </w:r>
          </w:p>
        </w:tc>
      </w:tr>
      <w:tr w:rsidR="00007F4D" w:rsidRPr="008A04A0" w14:paraId="2A708A49" w14:textId="77777777" w:rsidTr="008B69E8">
        <w:trPr>
          <w:gridAfter w:val="1"/>
          <w:wAfter w:w="1410" w:type="dxa"/>
          <w:trHeight w:val="215"/>
        </w:trPr>
        <w:tc>
          <w:tcPr>
            <w:tcW w:w="1758" w:type="dxa"/>
            <w:vMerge/>
            <w:shd w:val="clear" w:color="000000" w:fill="FFFFFF"/>
            <w:noWrap/>
            <w:vAlign w:val="center"/>
          </w:tcPr>
          <w:p w14:paraId="2378BA7D" w14:textId="77777777" w:rsidR="00007F4D" w:rsidRPr="008A04A0" w:rsidRDefault="00007F4D" w:rsidP="008B69E8">
            <w:pPr>
              <w:spacing w:line="240" w:lineRule="auto"/>
              <w:jc w:val="center"/>
              <w:rPr>
                <w:rFonts w:cs="Arial"/>
                <w:color w:val="000000"/>
                <w:szCs w:val="18"/>
                <w:lang w:eastAsia="es-CO"/>
              </w:rPr>
            </w:pPr>
          </w:p>
        </w:tc>
        <w:tc>
          <w:tcPr>
            <w:tcW w:w="1644" w:type="dxa"/>
            <w:shd w:val="clear" w:color="000000" w:fill="FFFFFF"/>
            <w:noWrap/>
            <w:vAlign w:val="center"/>
          </w:tcPr>
          <w:p w14:paraId="699708D3" w14:textId="7777777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Electrici</w:t>
            </w:r>
            <w:r>
              <w:rPr>
                <w:rFonts w:cs="Arial"/>
                <w:color w:val="000000"/>
                <w:szCs w:val="18"/>
                <w:lang w:eastAsia="es-CO"/>
              </w:rPr>
              <w:t>ty</w:t>
            </w:r>
            <w:r w:rsidRPr="008A04A0">
              <w:rPr>
                <w:rFonts w:cs="Arial"/>
                <w:color w:val="000000"/>
                <w:szCs w:val="18"/>
                <w:lang w:eastAsia="es-CO"/>
              </w:rPr>
              <w:t xml:space="preserve"> [kWh]</w:t>
            </w:r>
          </w:p>
        </w:tc>
        <w:tc>
          <w:tcPr>
            <w:tcW w:w="1203" w:type="dxa"/>
            <w:shd w:val="clear" w:color="000000" w:fill="FFFFFF"/>
            <w:noWrap/>
            <w:vAlign w:val="center"/>
          </w:tcPr>
          <w:p w14:paraId="623A886D" w14:textId="4905F963" w:rsidR="00007F4D" w:rsidRPr="008A04A0" w:rsidRDefault="00007F4D" w:rsidP="008B69E8">
            <w:pPr>
              <w:spacing w:line="240" w:lineRule="auto"/>
              <w:jc w:val="center"/>
              <w:rPr>
                <w:rFonts w:cs="Arial"/>
                <w:color w:val="000000"/>
                <w:szCs w:val="18"/>
                <w:lang w:eastAsia="es-CO"/>
              </w:rPr>
            </w:pPr>
            <w:r w:rsidRPr="008A04A0">
              <w:rPr>
                <w:rFonts w:cs="Arial"/>
                <w:color w:val="000000"/>
                <w:szCs w:val="18"/>
              </w:rPr>
              <w:t>0</w:t>
            </w:r>
            <w:r>
              <w:rPr>
                <w:rFonts w:cs="Arial"/>
                <w:color w:val="000000"/>
                <w:szCs w:val="18"/>
              </w:rPr>
              <w:t>.</w:t>
            </w:r>
            <w:r w:rsidRPr="008A04A0">
              <w:rPr>
                <w:rFonts w:cs="Arial"/>
                <w:color w:val="000000"/>
                <w:szCs w:val="18"/>
              </w:rPr>
              <w:t>0</w:t>
            </w:r>
            <w:r w:rsidR="005519AC">
              <w:rPr>
                <w:rFonts w:cs="Arial"/>
                <w:color w:val="000000"/>
                <w:szCs w:val="18"/>
              </w:rPr>
              <w:t>2</w:t>
            </w:r>
          </w:p>
        </w:tc>
        <w:tc>
          <w:tcPr>
            <w:tcW w:w="2131" w:type="dxa"/>
            <w:shd w:val="clear" w:color="000000" w:fill="FFFFFF"/>
            <w:noWrap/>
            <w:vAlign w:val="center"/>
          </w:tcPr>
          <w:p w14:paraId="7A90AE83" w14:textId="77777777" w:rsidR="00007F4D" w:rsidRPr="008A04A0" w:rsidRDefault="00007F4D" w:rsidP="008B69E8">
            <w:pPr>
              <w:spacing w:line="240" w:lineRule="auto"/>
              <w:jc w:val="center"/>
              <w:rPr>
                <w:rFonts w:cs="Arial"/>
                <w:color w:val="000000"/>
                <w:szCs w:val="18"/>
                <w:lang w:eastAsia="es-CO"/>
              </w:rPr>
            </w:pPr>
            <w:r w:rsidRPr="008A04A0">
              <w:rPr>
                <w:rFonts w:cs="Arial"/>
                <w:b/>
                <w:bCs/>
                <w:color w:val="000000"/>
                <w:szCs w:val="18"/>
                <w:lang w:eastAsia="es-CO"/>
              </w:rPr>
              <w:t>S</w:t>
            </w:r>
            <w:r>
              <w:rPr>
                <w:rFonts w:cs="Arial"/>
                <w:b/>
                <w:bCs/>
                <w:color w:val="000000"/>
                <w:szCs w:val="18"/>
                <w:lang w:eastAsia="es-CO"/>
              </w:rPr>
              <w:t>NG</w:t>
            </w:r>
            <w:r w:rsidRPr="008A04A0">
              <w:rPr>
                <w:rFonts w:cs="Arial"/>
                <w:b/>
                <w:bCs/>
                <w:color w:val="000000"/>
                <w:szCs w:val="18"/>
                <w:lang w:eastAsia="es-CO"/>
              </w:rPr>
              <w:t xml:space="preserve"> [kg]</w:t>
            </w:r>
          </w:p>
        </w:tc>
        <w:tc>
          <w:tcPr>
            <w:tcW w:w="1416" w:type="dxa"/>
            <w:shd w:val="clear" w:color="000000" w:fill="FFFFFF"/>
            <w:vAlign w:val="center"/>
          </w:tcPr>
          <w:p w14:paraId="1B83CD88" w14:textId="17ED2B2A" w:rsidR="00007F4D" w:rsidRPr="008A04A0" w:rsidRDefault="00007F4D" w:rsidP="008B69E8">
            <w:pPr>
              <w:spacing w:line="240" w:lineRule="auto"/>
              <w:jc w:val="center"/>
              <w:rPr>
                <w:rFonts w:cs="Arial"/>
                <w:color w:val="000000"/>
                <w:szCs w:val="18"/>
              </w:rPr>
            </w:pPr>
            <w:r w:rsidRPr="008A04A0">
              <w:rPr>
                <w:rFonts w:cs="Arial"/>
                <w:b/>
                <w:bCs/>
                <w:color w:val="000000"/>
                <w:szCs w:val="18"/>
              </w:rPr>
              <w:t>1</w:t>
            </w:r>
            <w:r>
              <w:rPr>
                <w:rFonts w:cs="Arial"/>
                <w:b/>
                <w:bCs/>
                <w:color w:val="000000"/>
                <w:szCs w:val="18"/>
              </w:rPr>
              <w:t>.</w:t>
            </w:r>
            <w:r w:rsidRPr="008A04A0">
              <w:rPr>
                <w:rFonts w:cs="Arial"/>
                <w:b/>
                <w:bCs/>
                <w:color w:val="000000"/>
                <w:szCs w:val="18"/>
              </w:rPr>
              <w:t>00</w:t>
            </w:r>
          </w:p>
        </w:tc>
      </w:tr>
      <w:tr w:rsidR="00007F4D" w:rsidRPr="008A04A0" w14:paraId="7E9E7BE6" w14:textId="77777777" w:rsidTr="008B69E8">
        <w:trPr>
          <w:gridAfter w:val="1"/>
          <w:wAfter w:w="1410" w:type="dxa"/>
          <w:trHeight w:val="215"/>
        </w:trPr>
        <w:tc>
          <w:tcPr>
            <w:tcW w:w="1758" w:type="dxa"/>
            <w:tcBorders>
              <w:top w:val="single" w:sz="12" w:space="0" w:color="83C183"/>
            </w:tcBorders>
            <w:shd w:val="clear" w:color="000000" w:fill="FFFFFF"/>
            <w:noWrap/>
            <w:vAlign w:val="center"/>
          </w:tcPr>
          <w:p w14:paraId="3A75EEFB" w14:textId="77777777" w:rsidR="00007F4D" w:rsidRPr="008A04A0" w:rsidRDefault="00007F4D" w:rsidP="008B69E8">
            <w:pPr>
              <w:spacing w:line="240" w:lineRule="auto"/>
              <w:jc w:val="center"/>
              <w:rPr>
                <w:rFonts w:cs="Arial"/>
                <w:color w:val="000000"/>
                <w:szCs w:val="18"/>
                <w:lang w:eastAsia="es-CO"/>
              </w:rPr>
            </w:pPr>
          </w:p>
        </w:tc>
        <w:tc>
          <w:tcPr>
            <w:tcW w:w="1644" w:type="dxa"/>
            <w:tcBorders>
              <w:top w:val="single" w:sz="12" w:space="0" w:color="83C183"/>
            </w:tcBorders>
            <w:shd w:val="clear" w:color="000000" w:fill="FFFFFF"/>
            <w:noWrap/>
            <w:vAlign w:val="center"/>
          </w:tcPr>
          <w:p w14:paraId="595DF291" w14:textId="77777777" w:rsidR="00007F4D" w:rsidRPr="008A04A0" w:rsidRDefault="00007F4D" w:rsidP="008B69E8">
            <w:pPr>
              <w:spacing w:line="240" w:lineRule="auto"/>
              <w:jc w:val="center"/>
              <w:rPr>
                <w:rFonts w:cs="Arial"/>
                <w:color w:val="000000"/>
                <w:szCs w:val="18"/>
                <w:lang w:eastAsia="es-CO"/>
              </w:rPr>
            </w:pPr>
          </w:p>
        </w:tc>
        <w:tc>
          <w:tcPr>
            <w:tcW w:w="1203" w:type="dxa"/>
            <w:tcBorders>
              <w:top w:val="single" w:sz="12" w:space="0" w:color="83C183"/>
            </w:tcBorders>
            <w:shd w:val="clear" w:color="000000" w:fill="FFFFFF"/>
            <w:noWrap/>
            <w:vAlign w:val="center"/>
          </w:tcPr>
          <w:p w14:paraId="042F8749" w14:textId="77777777" w:rsidR="00007F4D" w:rsidRPr="008A04A0" w:rsidRDefault="00007F4D" w:rsidP="008B69E8">
            <w:pPr>
              <w:spacing w:line="240" w:lineRule="auto"/>
              <w:jc w:val="center"/>
              <w:rPr>
                <w:rFonts w:cs="Arial"/>
                <w:color w:val="000000"/>
                <w:szCs w:val="18"/>
                <w:lang w:eastAsia="es-CO"/>
              </w:rPr>
            </w:pPr>
          </w:p>
        </w:tc>
        <w:tc>
          <w:tcPr>
            <w:tcW w:w="2131" w:type="dxa"/>
            <w:tcBorders>
              <w:top w:val="single" w:sz="12" w:space="0" w:color="83C183"/>
            </w:tcBorders>
            <w:shd w:val="clear" w:color="000000" w:fill="FFFFFF"/>
            <w:noWrap/>
            <w:vAlign w:val="center"/>
          </w:tcPr>
          <w:p w14:paraId="2E65B07F" w14:textId="77777777" w:rsidR="00007F4D" w:rsidRPr="008A04A0" w:rsidRDefault="00007F4D" w:rsidP="008B69E8">
            <w:pPr>
              <w:spacing w:line="240" w:lineRule="auto"/>
              <w:jc w:val="center"/>
              <w:rPr>
                <w:rFonts w:cs="Arial"/>
                <w:color w:val="000000"/>
                <w:szCs w:val="18"/>
                <w:lang w:eastAsia="es-CO"/>
              </w:rPr>
            </w:pPr>
          </w:p>
        </w:tc>
        <w:tc>
          <w:tcPr>
            <w:tcW w:w="1416" w:type="dxa"/>
            <w:tcBorders>
              <w:top w:val="single" w:sz="12" w:space="0" w:color="83C183"/>
            </w:tcBorders>
            <w:shd w:val="clear" w:color="000000" w:fill="FFFFFF"/>
            <w:vAlign w:val="center"/>
          </w:tcPr>
          <w:p w14:paraId="0E30BBBA" w14:textId="77777777" w:rsidR="00007F4D" w:rsidRPr="008A04A0" w:rsidRDefault="00007F4D" w:rsidP="008B69E8">
            <w:pPr>
              <w:spacing w:line="240" w:lineRule="auto"/>
              <w:jc w:val="center"/>
              <w:rPr>
                <w:rFonts w:cs="Arial"/>
                <w:color w:val="000000"/>
                <w:szCs w:val="18"/>
              </w:rPr>
            </w:pPr>
          </w:p>
        </w:tc>
      </w:tr>
    </w:tbl>
    <w:bookmarkEnd w:id="0"/>
    <w:p w14:paraId="21043B2C" w14:textId="1124FB33" w:rsidR="00110276" w:rsidRPr="00707009" w:rsidRDefault="008B3F26" w:rsidP="00403E7A">
      <w:pPr>
        <w:pStyle w:val="CETheadingx"/>
        <w:numPr>
          <w:ilvl w:val="0"/>
          <w:numId w:val="0"/>
        </w:numPr>
      </w:pPr>
      <w:r w:rsidRPr="00707009">
        <w:t>3.</w:t>
      </w:r>
      <w:r w:rsidR="00A710A4">
        <w:t>3</w:t>
      </w:r>
      <w:r w:rsidRPr="00707009">
        <w:t xml:space="preserve"> </w:t>
      </w:r>
      <w:r w:rsidR="00440E18">
        <w:t>Life Cycle I</w:t>
      </w:r>
      <w:r w:rsidR="00403E7A" w:rsidRPr="00707009">
        <w:t>m</w:t>
      </w:r>
      <w:r w:rsidR="00440E18">
        <w:t>pact Assessment (LCIA)</w:t>
      </w:r>
    </w:p>
    <w:p w14:paraId="55372CDE" w14:textId="417A799B" w:rsidR="007C14B6" w:rsidRDefault="003D7D67" w:rsidP="007C14B6">
      <w:pPr>
        <w:autoSpaceDE w:val="0"/>
        <w:autoSpaceDN w:val="0"/>
        <w:adjustRightInd w:val="0"/>
        <w:spacing w:line="240" w:lineRule="auto"/>
        <w:rPr>
          <w:lang w:val="en-US"/>
        </w:rPr>
      </w:pPr>
      <w:r>
        <w:t>​​</w:t>
      </w:r>
      <w:r w:rsidR="003A17D9" w:rsidRPr="003A17D9">
        <w:rPr>
          <w:lang w:val="en-US"/>
        </w:rPr>
        <w:t>The life cycle impact assessment was performed using the ReCiPe method in SimaPro. It should be noted that several inputs and outputs of the different stages of the process were selected from the SimaPro database and therefore had environmental loads associated with the production process. Figure 1 shows the environmental impacts generated in the production of the main products of each stage (dry EFB for the drying stage, Syngas for the gasification stage, clean Syngas from the gas cleaning stage and Synthetic Natural Gas from the methanation stage). The impacted categories, in decreasing order of impact magnitude, are: human carcinogenic toxicity, freshwater ecotoxicity, marine ecotoxicity, terrestrial ecotoxicity, freshwater eutrophication, water consumption, fossil resource scarcity, global warming, ozone formation (terrestrial ecosystems), ozone formation (human), fine particulate matter formation, land use, ionizing radiation, and human noncarcinogenic toxicity. Taking into account that the main product of a stage is an input for the next stage and that the consecutive order of the stages is drying, gasification, syngas cleaning, and methanation, it is clear that, from the second stage onwards, the environmental impacts of the previous stages accumulate. Therefore, the stages that generate representative environmental impacts are drying, gasification, and gas cleaning, whereas methanation does not generate representative impacts.</w:t>
      </w:r>
    </w:p>
    <w:p w14:paraId="1297F9DE" w14:textId="57908864" w:rsidR="006F5124" w:rsidRDefault="006F5124" w:rsidP="007C14B6">
      <w:pPr>
        <w:autoSpaceDE w:val="0"/>
        <w:autoSpaceDN w:val="0"/>
        <w:adjustRightInd w:val="0"/>
        <w:spacing w:line="240" w:lineRule="auto"/>
        <w:rPr>
          <w:lang w:val="en-US"/>
        </w:rPr>
      </w:pPr>
      <w:r>
        <w:rPr>
          <w:noProof/>
          <w:lang w:val="en-US"/>
        </w:rPr>
        <w:lastRenderedPageBreak/>
        <w:drawing>
          <wp:inline distT="0" distB="0" distL="0" distR="0" wp14:anchorId="5ECD53F8" wp14:editId="706F8CC2">
            <wp:extent cx="5014774" cy="180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1"/>
                    <a:stretch>
                      <a:fillRect/>
                    </a:stretch>
                  </pic:blipFill>
                  <pic:spPr>
                    <a:xfrm>
                      <a:off x="0" y="0"/>
                      <a:ext cx="5014774" cy="1800000"/>
                    </a:xfrm>
                    <a:prstGeom prst="rect">
                      <a:avLst/>
                    </a:prstGeom>
                  </pic:spPr>
                </pic:pic>
              </a:graphicData>
            </a:graphic>
          </wp:inline>
        </w:drawing>
      </w:r>
    </w:p>
    <w:p w14:paraId="07169854" w14:textId="6FFA8A88" w:rsidR="007A298F" w:rsidRDefault="007C14B6" w:rsidP="007A298F">
      <w:pPr>
        <w:pStyle w:val="CETBodytext"/>
      </w:pPr>
      <w:r w:rsidRPr="00BD077D">
        <w:rPr>
          <w:rStyle w:val="CETCaptionCarattere"/>
        </w:rPr>
        <w:t xml:space="preserve">Figure 1: </w:t>
      </w:r>
      <w:r w:rsidR="000458F3" w:rsidRPr="000458F3">
        <w:rPr>
          <w:rStyle w:val="CETCaptionCarattere"/>
        </w:rPr>
        <w:t xml:space="preserve">Environmental impacts (normalized) generated in the production of the main products of each stage of the process </w:t>
      </w:r>
    </w:p>
    <w:p w14:paraId="416E37D1" w14:textId="3CCBD423" w:rsidR="007C14B6" w:rsidRDefault="007C14B6" w:rsidP="007A298F">
      <w:pPr>
        <w:pStyle w:val="CETBodytext"/>
      </w:pPr>
    </w:p>
    <w:p w14:paraId="08EA7FCA" w14:textId="4EFAF04C" w:rsidR="00AD6E15" w:rsidRDefault="003A17D9" w:rsidP="007A298F">
      <w:pPr>
        <w:pStyle w:val="CETBodytext"/>
        <w:rPr>
          <w:lang w:val="en-GB"/>
        </w:rPr>
      </w:pPr>
      <w:r w:rsidRPr="003A17D9">
        <w:rPr>
          <w:lang w:val="en-GB"/>
        </w:rPr>
        <w:t>Using the SimaPro database, it is possible to identify which sub-processes are generating representative environmental impacts. For this identification, each stage of the process was evaluated, and Figures 2-5 show the results obtained for drying, gasification, syngas cleaning, and methanation.</w:t>
      </w:r>
    </w:p>
    <w:p w14:paraId="0BE17E2A" w14:textId="7E26CDC7" w:rsidR="006F5124" w:rsidRDefault="00C66589" w:rsidP="007A298F">
      <w:pPr>
        <w:pStyle w:val="CETBodytext"/>
      </w:pPr>
      <w:r>
        <w:rPr>
          <w:noProof/>
        </w:rPr>
        <w:drawing>
          <wp:inline distT="0" distB="0" distL="0" distR="0" wp14:anchorId="31B1371E" wp14:editId="71843E05">
            <wp:extent cx="4997346" cy="180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2"/>
                    <a:stretch>
                      <a:fillRect/>
                    </a:stretch>
                  </pic:blipFill>
                  <pic:spPr>
                    <a:xfrm>
                      <a:off x="0" y="0"/>
                      <a:ext cx="4997346" cy="1800000"/>
                    </a:xfrm>
                    <a:prstGeom prst="rect">
                      <a:avLst/>
                    </a:prstGeom>
                  </pic:spPr>
                </pic:pic>
              </a:graphicData>
            </a:graphic>
          </wp:inline>
        </w:drawing>
      </w:r>
    </w:p>
    <w:p w14:paraId="7B1A058E" w14:textId="228A398B" w:rsidR="001856F9" w:rsidRDefault="001856F9" w:rsidP="007A298F">
      <w:pPr>
        <w:pStyle w:val="CETBodytext"/>
      </w:pPr>
      <w:r w:rsidRPr="00BD077D">
        <w:rPr>
          <w:rStyle w:val="CETCaptionCarattere"/>
        </w:rPr>
        <w:t xml:space="preserve">Figure </w:t>
      </w:r>
      <w:r>
        <w:rPr>
          <w:rStyle w:val="CETCaptionCarattere"/>
        </w:rPr>
        <w:t>2</w:t>
      </w:r>
      <w:r w:rsidRPr="00BD077D">
        <w:rPr>
          <w:rStyle w:val="CETCaptionCarattere"/>
        </w:rPr>
        <w:t xml:space="preserve">: </w:t>
      </w:r>
      <w:r w:rsidRPr="001856F9">
        <w:rPr>
          <w:rStyle w:val="CETCaptionCarattere"/>
        </w:rPr>
        <w:t xml:space="preserve">Environmental impacts (normalized) generated in the wet </w:t>
      </w:r>
      <w:r w:rsidR="000F6A21">
        <w:rPr>
          <w:rStyle w:val="CETCaptionCarattere"/>
        </w:rPr>
        <w:t>EFB</w:t>
      </w:r>
      <w:r w:rsidRPr="001856F9">
        <w:rPr>
          <w:rStyle w:val="CETCaptionCarattere"/>
        </w:rPr>
        <w:t xml:space="preserve"> drying stage. </w:t>
      </w:r>
    </w:p>
    <w:p w14:paraId="2F4AAB6B" w14:textId="77777777" w:rsidR="001856F9" w:rsidRDefault="001856F9" w:rsidP="007A298F">
      <w:pPr>
        <w:pStyle w:val="CETBodytext"/>
      </w:pPr>
    </w:p>
    <w:p w14:paraId="569F3491" w14:textId="6676ECF8" w:rsidR="003A17D9" w:rsidRPr="00654143" w:rsidRDefault="003A17D9" w:rsidP="003A17D9">
      <w:pPr>
        <w:pStyle w:val="CETBodytext"/>
      </w:pPr>
      <w:r w:rsidRPr="003A17D9">
        <w:t>Figure 2 shows that the environmental impacts of the drying stage are mainly associated with the environmental load related to the production of wet EFB, with water consumption being the category with the greatest impact. </w:t>
      </w:r>
    </w:p>
    <w:p w14:paraId="34B07119" w14:textId="77777777" w:rsidR="003A17D9" w:rsidRPr="00654143" w:rsidRDefault="003A17D9" w:rsidP="003A17D9">
      <w:pPr>
        <w:pStyle w:val="CETBodytext"/>
      </w:pPr>
      <w:r w:rsidRPr="00654143">
        <w:t> </w:t>
      </w:r>
    </w:p>
    <w:p w14:paraId="6FEF9E6D" w14:textId="77777777" w:rsidR="003A17D9" w:rsidRPr="00654143" w:rsidRDefault="003A17D9" w:rsidP="003A17D9">
      <w:pPr>
        <w:pStyle w:val="CETBodytext"/>
      </w:pPr>
      <w:r w:rsidRPr="003A17D9">
        <w:t>Figure 3 clearly shows that the gasification stage affects the following categories in decreasing order: human carcinogenic toxicity, freshwater ecotoxicity, marine ecotoxicity, terrestrial ecotoxicity, freshwater eutrophication, water consumption, mineral resource scarcity, ozone formation (terrestrial ecosystems), global warming, ozone formation (human), terrestrial acidification, ionizing radiation, fine particulate matter formation, and human noncarcinogenic toxicity. The above categories are affected by the environmental loads associated with the production of peridotite (catalyst used), the drying stage, and the production of syngas.</w:t>
      </w:r>
    </w:p>
    <w:p w14:paraId="5E9DE3C9" w14:textId="049B6019" w:rsidR="001E2732" w:rsidRDefault="001E2732" w:rsidP="003A17D9">
      <w:pPr>
        <w:pStyle w:val="CETBodytext"/>
      </w:pPr>
    </w:p>
    <w:p w14:paraId="7A933D85" w14:textId="7AD705A3" w:rsidR="00170974" w:rsidRDefault="00170974" w:rsidP="00170974">
      <w:pPr>
        <w:pStyle w:val="CETBodytext"/>
      </w:pPr>
      <w:r w:rsidRPr="001E2732">
        <w:t>Figure 4 shows that when analyzing the syngas cleanup stage, all categories in which an impact is generated are mainly affected by the environmental load associated with syngas.</w:t>
      </w:r>
    </w:p>
    <w:p w14:paraId="26003221" w14:textId="5DD697B0" w:rsidR="00C66589" w:rsidRDefault="00C66589" w:rsidP="00170974">
      <w:pPr>
        <w:pStyle w:val="CETBodytext"/>
      </w:pPr>
      <w:r>
        <w:rPr>
          <w:noProof/>
        </w:rPr>
        <w:drawing>
          <wp:inline distT="0" distB="0" distL="0" distR="0" wp14:anchorId="0C86147B" wp14:editId="617A0EAB">
            <wp:extent cx="5003672" cy="1800000"/>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3"/>
                    <a:stretch>
                      <a:fillRect/>
                    </a:stretch>
                  </pic:blipFill>
                  <pic:spPr>
                    <a:xfrm>
                      <a:off x="0" y="0"/>
                      <a:ext cx="5003672" cy="1800000"/>
                    </a:xfrm>
                    <a:prstGeom prst="rect">
                      <a:avLst/>
                    </a:prstGeom>
                  </pic:spPr>
                </pic:pic>
              </a:graphicData>
            </a:graphic>
          </wp:inline>
        </w:drawing>
      </w:r>
    </w:p>
    <w:p w14:paraId="7D5C6AEC" w14:textId="23F9396D" w:rsidR="001856F9" w:rsidRDefault="001856F9" w:rsidP="007A298F">
      <w:pPr>
        <w:pStyle w:val="CETBodytext"/>
      </w:pPr>
      <w:r w:rsidRPr="00BD077D">
        <w:rPr>
          <w:rStyle w:val="CETCaptionCarattere"/>
        </w:rPr>
        <w:t xml:space="preserve">Figure </w:t>
      </w:r>
      <w:r>
        <w:rPr>
          <w:rStyle w:val="CETCaptionCarattere"/>
        </w:rPr>
        <w:t>3</w:t>
      </w:r>
      <w:r w:rsidRPr="00BD077D">
        <w:rPr>
          <w:rStyle w:val="CETCaptionCarattere"/>
        </w:rPr>
        <w:t xml:space="preserve">: </w:t>
      </w:r>
      <w:r w:rsidRPr="001856F9">
        <w:rPr>
          <w:rStyle w:val="CETCaptionCarattere"/>
        </w:rPr>
        <w:t xml:space="preserve">Environmental impacts (normalized) generated in the gasification stage of the dried </w:t>
      </w:r>
      <w:r w:rsidR="000F6A21">
        <w:rPr>
          <w:rStyle w:val="CETCaptionCarattere"/>
        </w:rPr>
        <w:t>EFB</w:t>
      </w:r>
      <w:r w:rsidRPr="001856F9">
        <w:rPr>
          <w:rStyle w:val="CETCaptionCarattere"/>
        </w:rPr>
        <w:t>.</w:t>
      </w:r>
    </w:p>
    <w:p w14:paraId="1863F258" w14:textId="77777777" w:rsidR="001856F9" w:rsidRDefault="001856F9" w:rsidP="007A298F">
      <w:pPr>
        <w:pStyle w:val="CETBodytext"/>
      </w:pPr>
    </w:p>
    <w:p w14:paraId="068407FA" w14:textId="0531D238" w:rsidR="00C66589" w:rsidRDefault="00C66589" w:rsidP="007A298F">
      <w:pPr>
        <w:pStyle w:val="CETBodytext"/>
        <w:rPr>
          <w:noProof/>
        </w:rPr>
      </w:pPr>
      <w:r>
        <w:rPr>
          <w:noProof/>
        </w:rPr>
        <w:drawing>
          <wp:inline distT="0" distB="0" distL="0" distR="0" wp14:anchorId="635A5A8D" wp14:editId="0779C9C9">
            <wp:extent cx="5024331" cy="1800000"/>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4"/>
                    <a:stretch>
                      <a:fillRect/>
                    </a:stretch>
                  </pic:blipFill>
                  <pic:spPr>
                    <a:xfrm>
                      <a:off x="0" y="0"/>
                      <a:ext cx="5024331" cy="1800000"/>
                    </a:xfrm>
                    <a:prstGeom prst="rect">
                      <a:avLst/>
                    </a:prstGeom>
                  </pic:spPr>
                </pic:pic>
              </a:graphicData>
            </a:graphic>
          </wp:inline>
        </w:drawing>
      </w:r>
    </w:p>
    <w:p w14:paraId="55584603" w14:textId="192A6229" w:rsidR="001856F9" w:rsidRDefault="001E2732" w:rsidP="007A298F">
      <w:pPr>
        <w:pStyle w:val="CETBodytext"/>
      </w:pPr>
      <w:r w:rsidRPr="00BD077D">
        <w:rPr>
          <w:rStyle w:val="CETCaptionCarattere"/>
        </w:rPr>
        <w:t xml:space="preserve">Figure </w:t>
      </w:r>
      <w:r>
        <w:rPr>
          <w:rStyle w:val="CETCaptionCarattere"/>
        </w:rPr>
        <w:t>4</w:t>
      </w:r>
      <w:r w:rsidRPr="00BD077D">
        <w:rPr>
          <w:rStyle w:val="CETCaptionCarattere"/>
        </w:rPr>
        <w:t xml:space="preserve">: </w:t>
      </w:r>
      <w:r w:rsidRPr="001E2732">
        <w:rPr>
          <w:rStyle w:val="CETCaptionCarattere"/>
        </w:rPr>
        <w:t>Environmental impacts (normalized) generated in the syngas cleaning stage</w:t>
      </w:r>
      <w:r>
        <w:rPr>
          <w:rStyle w:val="CETCaptionCarattere"/>
        </w:rPr>
        <w:t>.</w:t>
      </w:r>
      <w:r w:rsidRPr="001E2732">
        <w:rPr>
          <w:rStyle w:val="CETCaptionCarattere"/>
        </w:rPr>
        <w:t xml:space="preserve"> </w:t>
      </w:r>
    </w:p>
    <w:p w14:paraId="528054A8" w14:textId="77777777" w:rsidR="001856F9" w:rsidRDefault="001856F9" w:rsidP="007A298F">
      <w:pPr>
        <w:pStyle w:val="CETBodytext"/>
      </w:pPr>
    </w:p>
    <w:p w14:paraId="2A203D11" w14:textId="425B1663" w:rsidR="00AD6E15" w:rsidRDefault="000F7CAD" w:rsidP="007A298F">
      <w:pPr>
        <w:pStyle w:val="CETBodytext"/>
      </w:pPr>
      <w:r>
        <w:rPr>
          <w:noProof/>
        </w:rPr>
        <w:drawing>
          <wp:inline distT="0" distB="0" distL="0" distR="0" wp14:anchorId="3B769DEB" wp14:editId="149934C2">
            <wp:extent cx="5008425" cy="1800000"/>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5"/>
                    <a:stretch>
                      <a:fillRect/>
                    </a:stretch>
                  </pic:blipFill>
                  <pic:spPr>
                    <a:xfrm>
                      <a:off x="0" y="0"/>
                      <a:ext cx="5008425" cy="1800000"/>
                    </a:xfrm>
                    <a:prstGeom prst="rect">
                      <a:avLst/>
                    </a:prstGeom>
                  </pic:spPr>
                </pic:pic>
              </a:graphicData>
            </a:graphic>
          </wp:inline>
        </w:drawing>
      </w:r>
    </w:p>
    <w:p w14:paraId="16EF7A01" w14:textId="0A2D4AE3" w:rsidR="00AD6E15" w:rsidRDefault="001E2732" w:rsidP="007A298F">
      <w:pPr>
        <w:pStyle w:val="CETBodytext"/>
      </w:pPr>
      <w:r w:rsidRPr="00BD077D">
        <w:rPr>
          <w:rStyle w:val="CETCaptionCarattere"/>
        </w:rPr>
        <w:t xml:space="preserve">Figure </w:t>
      </w:r>
      <w:r>
        <w:rPr>
          <w:rStyle w:val="CETCaptionCarattere"/>
        </w:rPr>
        <w:t>5</w:t>
      </w:r>
      <w:r w:rsidRPr="00BD077D">
        <w:rPr>
          <w:rStyle w:val="CETCaptionCarattere"/>
        </w:rPr>
        <w:t xml:space="preserve">: </w:t>
      </w:r>
      <w:r w:rsidRPr="001E2732">
        <w:rPr>
          <w:rStyle w:val="CETCaptionCarattere"/>
        </w:rPr>
        <w:t>Environmental impacts (normalized) generated in the methanation stage</w:t>
      </w:r>
      <w:r>
        <w:rPr>
          <w:rStyle w:val="CETCaptionCarattere"/>
        </w:rPr>
        <w:t>.</w:t>
      </w:r>
    </w:p>
    <w:p w14:paraId="305118CC" w14:textId="77777777" w:rsidR="00AD6E15" w:rsidRDefault="00AD6E15" w:rsidP="007A298F">
      <w:pPr>
        <w:pStyle w:val="CETBodytext"/>
      </w:pPr>
    </w:p>
    <w:p w14:paraId="230629E6" w14:textId="3E24A714" w:rsidR="00AD6E15" w:rsidRDefault="001E2732" w:rsidP="007A298F">
      <w:pPr>
        <w:pStyle w:val="CETBodytext"/>
      </w:pPr>
      <w:r w:rsidRPr="001E2732">
        <w:t xml:space="preserve">Finally, </w:t>
      </w:r>
      <w:r w:rsidR="003A17D9" w:rsidRPr="003A17D9">
        <w:rPr>
          <w:lang w:val="en-GB"/>
        </w:rPr>
        <w:t>Figure 5 shows that the impacts generated in the methanation stage are associated with the previous stages. Methanation did not have a significant impact on the overall syngas production process from EFB, which was also observed in Figure 1.</w:t>
      </w:r>
    </w:p>
    <w:p w14:paraId="4544AC04" w14:textId="7BFB1D97" w:rsidR="00707009" w:rsidRPr="00707009" w:rsidRDefault="00707009" w:rsidP="00707009">
      <w:pPr>
        <w:pStyle w:val="CETheadingx"/>
        <w:numPr>
          <w:ilvl w:val="0"/>
          <w:numId w:val="0"/>
        </w:numPr>
      </w:pPr>
      <w:r w:rsidRPr="00707009">
        <w:t>3</w:t>
      </w:r>
      <w:r w:rsidR="000458F3">
        <w:t>.4</w:t>
      </w:r>
      <w:r w:rsidRPr="00707009">
        <w:t xml:space="preserve"> </w:t>
      </w:r>
      <w:r w:rsidR="000458F3">
        <w:t>Interpretation of results</w:t>
      </w:r>
    </w:p>
    <w:p w14:paraId="54AC5CE1" w14:textId="7E47DAC1" w:rsidR="00214CE1" w:rsidRPr="009E33AB" w:rsidRDefault="00214CE1" w:rsidP="001025B3">
      <w:pPr>
        <w:pStyle w:val="CETBodytext"/>
      </w:pPr>
      <w:r w:rsidRPr="00214CE1">
        <w:t>Each stage of SNG production has impacts that can be interpreted as follows:</w:t>
      </w:r>
      <w:r w:rsidR="001025B3">
        <w:t xml:space="preserve"> 1) </w:t>
      </w:r>
      <w:r w:rsidRPr="009E33AB">
        <w:t xml:space="preserve">Drying of </w:t>
      </w:r>
      <w:r w:rsidR="000F6A21" w:rsidRPr="009E33AB">
        <w:t>EFB</w:t>
      </w:r>
      <w:r w:rsidRPr="009E33AB">
        <w:t xml:space="preserve">: </w:t>
      </w:r>
      <w:r w:rsidR="00A35978" w:rsidRPr="00A35978">
        <w:rPr>
          <w:lang w:val="en-GB"/>
        </w:rPr>
        <w:t>The drying stage significantly affects water consumption and human toxicity due to the processes associated with the production of wet EFB. The water consumption of palm oil extraction was particularly high due to crop irrigation and water usage. To mitigate these impacts, the implementation of water reuse and regeneration technologies is suggested. Additionally, steel production for equipment significantly contributes to human carcinogenic toxicity due to industrial waste generated during manufacturing</w:t>
      </w:r>
      <w:r w:rsidR="001025B3">
        <w:rPr>
          <w:lang w:val="en-GB"/>
        </w:rPr>
        <w:t xml:space="preserve">; 2) </w:t>
      </w:r>
      <w:r w:rsidRPr="009E33AB">
        <w:t xml:space="preserve">Gasification: </w:t>
      </w:r>
      <w:r w:rsidR="00A35978" w:rsidRPr="00A35978">
        <w:rPr>
          <w:lang w:val="en-GB"/>
        </w:rPr>
        <w:t>The impacts at this stage were attributed to the use of peridotite as a catalyst and water consumption in syngas production. Peridotite, a byproduct of ferronickel production, is not the primary product of this industrial process, offering a key environmental advantage: its use as a gasification catalyst significantly reduces the need for new mineral resource extraction. Although ferronickel extraction generates environmental impacts, repurposing peridotite as a byproduct minimizes waste generation and its disposal in landfills. Furthermore, steam used as a gasifying agent presents an opportunity to integrate recycling strategies and optimize residual heat to reduce thermal losses and additional water consumption</w:t>
      </w:r>
      <w:r w:rsidR="001025B3">
        <w:rPr>
          <w:lang w:val="en-GB"/>
        </w:rPr>
        <w:t xml:space="preserve">; 3) </w:t>
      </w:r>
      <w:r w:rsidRPr="009E33AB">
        <w:t xml:space="preserve">Gas Cleaning: </w:t>
      </w:r>
      <w:r w:rsidR="00A35978" w:rsidRPr="00A35978">
        <w:rPr>
          <w:lang w:val="en-GB"/>
        </w:rPr>
        <w:t>Solvents used, such as rapeseed methyl ester (RME), and cleaning agents like monoethanolamine (MEA) and methyldiethanolamine (MDEA), significantly contribute to the ecotoxicity and water consumption categories. Optimizing solvent formulations and developing alternatives with lower ecological impacts ar</w:t>
      </w:r>
      <w:bookmarkStart w:id="1" w:name="_GoBack"/>
      <w:bookmarkEnd w:id="1"/>
      <w:r w:rsidR="00A35978" w:rsidRPr="00A35978">
        <w:rPr>
          <w:lang w:val="en-GB"/>
        </w:rPr>
        <w:t>e viable strategies to improve the sustainability of this stage</w:t>
      </w:r>
      <w:r w:rsidR="001025B3">
        <w:rPr>
          <w:lang w:val="en-GB"/>
        </w:rPr>
        <w:t xml:space="preserve">; 4) </w:t>
      </w:r>
      <w:r w:rsidRPr="009E33AB">
        <w:t xml:space="preserve">Methanation: </w:t>
      </w:r>
      <w:r w:rsidR="00A35978" w:rsidRPr="00A35978">
        <w:rPr>
          <w:lang w:val="en-GB"/>
        </w:rPr>
        <w:t>This stage had a minimal impact because of its efficiency and low additional resource consumption.</w:t>
      </w:r>
      <w:r w:rsidRPr="009E33AB">
        <w:t xml:space="preserve"> </w:t>
      </w:r>
    </w:p>
    <w:p w14:paraId="68D26B83" w14:textId="77777777" w:rsidR="00600535" w:rsidRPr="00B57B36" w:rsidRDefault="00600535" w:rsidP="00600535">
      <w:pPr>
        <w:pStyle w:val="CETHeading1"/>
        <w:rPr>
          <w:lang w:val="en-GB"/>
        </w:rPr>
      </w:pPr>
      <w:r w:rsidRPr="00B57B36">
        <w:rPr>
          <w:lang w:val="en-GB"/>
        </w:rPr>
        <w:t>Conclusions</w:t>
      </w:r>
    </w:p>
    <w:p w14:paraId="15DB1824" w14:textId="7CD31974" w:rsidR="003A3F5A" w:rsidRPr="003A3F5A" w:rsidRDefault="00A35978" w:rsidP="003A3F5A">
      <w:pPr>
        <w:pStyle w:val="NormalWeb"/>
        <w:rPr>
          <w:sz w:val="18"/>
          <w:szCs w:val="20"/>
          <w:lang w:val="en-US"/>
        </w:rPr>
      </w:pPr>
      <w:r>
        <w:rPr>
          <w:sz w:val="18"/>
          <w:szCs w:val="20"/>
          <w:lang w:val="en-US"/>
        </w:rPr>
        <w:t>L</w:t>
      </w:r>
      <w:r w:rsidRPr="00A35978">
        <w:rPr>
          <w:sz w:val="18"/>
          <w:szCs w:val="20"/>
          <w:lang w:val="en-US"/>
        </w:rPr>
        <w:t>CA revealed that the drying, gasification, and cleaning stages were most responsible for the environmental impact of SNG production from EFB. The main contributing factors are water consumption, peridotite production, and solvent use. Energy integration proved effective in reducing external energy requirements.</w:t>
      </w:r>
      <w:r w:rsidR="00421E7A">
        <w:rPr>
          <w:sz w:val="18"/>
          <w:szCs w:val="20"/>
          <w:lang w:val="en-US"/>
        </w:rPr>
        <w:t xml:space="preserve"> </w:t>
      </w:r>
      <w:r w:rsidR="003A3F5A" w:rsidRPr="003A3F5A">
        <w:rPr>
          <w:sz w:val="18"/>
          <w:szCs w:val="20"/>
          <w:lang w:val="en-US"/>
        </w:rPr>
        <w:t xml:space="preserve">A </w:t>
      </w:r>
      <w:r w:rsidRPr="00A35978">
        <w:rPr>
          <w:sz w:val="18"/>
          <w:szCs w:val="20"/>
          <w:lang w:val="en-US"/>
        </w:rPr>
        <w:t xml:space="preserve">significant </w:t>
      </w:r>
      <w:r w:rsidRPr="00A35978">
        <w:rPr>
          <w:sz w:val="18"/>
          <w:szCs w:val="20"/>
          <w:lang w:val="en-US"/>
        </w:rPr>
        <w:lastRenderedPageBreak/>
        <w:t>advantage of using peridotite is that it is a byproduct of ferronickel extraction, which is currently considered a waste with no defined use in many industrial applications. Leveraging this material not only reduces the need for extracting new mineral resources, but also mitigates the environmental issues associated with their final disposal. Moreover, using peridotite as a catalyst exemplifies practical circular economy principles, where industrial waste is transformed into valuable inputs for other production processes, improving the overall sustainability of the</w:t>
      </w:r>
      <w:r>
        <w:rPr>
          <w:sz w:val="18"/>
          <w:szCs w:val="20"/>
          <w:lang w:val="en-US"/>
        </w:rPr>
        <w:t xml:space="preserve"> </w:t>
      </w:r>
      <w:r w:rsidR="003A3F5A" w:rsidRPr="003A3F5A">
        <w:rPr>
          <w:sz w:val="18"/>
          <w:szCs w:val="20"/>
          <w:lang w:val="en-US"/>
        </w:rPr>
        <w:t>system.</w:t>
      </w:r>
      <w:r w:rsidR="00421E7A">
        <w:rPr>
          <w:sz w:val="18"/>
          <w:szCs w:val="20"/>
          <w:lang w:val="en-US"/>
        </w:rPr>
        <w:t xml:space="preserve"> </w:t>
      </w:r>
      <w:r w:rsidR="003A3F5A" w:rsidRPr="003A3F5A">
        <w:rPr>
          <w:sz w:val="18"/>
          <w:szCs w:val="20"/>
          <w:lang w:val="en-US"/>
        </w:rPr>
        <w:t>This</w:t>
      </w:r>
      <w:r w:rsidRPr="00A35978">
        <w:rPr>
          <w:sz w:val="18"/>
          <w:szCs w:val="20"/>
          <w:lang w:val="en-US"/>
        </w:rPr>
        <w:t> study highlights the importance of optimizing each stage of the SNG production process from a life cycle perspective. It is recommended to improve water recycling by evaluating its purity for reuse and to adopt more sustainable construction materials that consider environmentally friendly practices in their production. Additionally, integrating more efficient recycling strategies for process streams could significantly reduce generated waste, strengthening the environmental feasibility of this</w:t>
      </w:r>
      <w:r w:rsidR="003A3F5A" w:rsidRPr="003A3F5A">
        <w:rPr>
          <w:sz w:val="18"/>
          <w:szCs w:val="20"/>
          <w:lang w:val="en-US"/>
        </w:rPr>
        <w:t xml:space="preserve"> technology.</w:t>
      </w:r>
    </w:p>
    <w:p w14:paraId="4F1327F8" w14:textId="3DEB1438" w:rsidR="00600535" w:rsidRPr="00654143" w:rsidRDefault="00600535" w:rsidP="00600535">
      <w:pPr>
        <w:pStyle w:val="CETReference"/>
        <w:rPr>
          <w:lang w:val="es-ES"/>
        </w:rPr>
      </w:pPr>
      <w:r w:rsidRPr="00654143">
        <w:rPr>
          <w:lang w:val="es-ES"/>
        </w:rPr>
        <w:t>References</w:t>
      </w:r>
    </w:p>
    <w:p w14:paraId="1AD69335" w14:textId="48DDF8C1" w:rsidR="00C84BB5" w:rsidRPr="00C84BB5" w:rsidRDefault="00E400A1" w:rsidP="00C84BB5">
      <w:pPr>
        <w:widowControl w:val="0"/>
        <w:autoSpaceDE w:val="0"/>
        <w:autoSpaceDN w:val="0"/>
        <w:adjustRightInd w:val="0"/>
        <w:spacing w:line="240" w:lineRule="auto"/>
        <w:ind w:left="480" w:hanging="480"/>
        <w:rPr>
          <w:rFonts w:cs="Arial"/>
          <w:noProof/>
          <w:szCs w:val="24"/>
        </w:rPr>
      </w:pPr>
      <w:r w:rsidRPr="00CE38E9">
        <w:fldChar w:fldCharType="begin" w:fldLock="1"/>
      </w:r>
      <w:r w:rsidRPr="00654143">
        <w:rPr>
          <w:lang w:val="es-ES"/>
        </w:rPr>
        <w:instrText xml:space="preserve">ADDIN Mendeley Bibliography CSL_BIBLIOGRAPHY </w:instrText>
      </w:r>
      <w:r w:rsidRPr="00CE38E9">
        <w:fldChar w:fldCharType="separate"/>
      </w:r>
      <w:r w:rsidR="00C84BB5" w:rsidRPr="00654143">
        <w:rPr>
          <w:rFonts w:cs="Arial"/>
          <w:noProof/>
          <w:szCs w:val="24"/>
          <w:lang w:val="es-ES"/>
        </w:rPr>
        <w:t xml:space="preserve">Akmalina, R., &amp; Pawitra, M. G. (2020). </w:t>
      </w:r>
      <w:r w:rsidR="00C84BB5" w:rsidRPr="00C84BB5">
        <w:rPr>
          <w:rFonts w:cs="Arial"/>
          <w:noProof/>
          <w:szCs w:val="24"/>
        </w:rPr>
        <w:t xml:space="preserve">Life cycle assessment of ethylene production from empty fruit bunch. </w:t>
      </w:r>
      <w:r w:rsidR="00C84BB5" w:rsidRPr="00C84BB5">
        <w:rPr>
          <w:rFonts w:cs="Arial"/>
          <w:i/>
          <w:iCs/>
          <w:noProof/>
          <w:szCs w:val="24"/>
        </w:rPr>
        <w:t>Asia-Pacific Journal of Chemical Engineering</w:t>
      </w:r>
      <w:r w:rsidR="00C84BB5" w:rsidRPr="00C84BB5">
        <w:rPr>
          <w:rFonts w:cs="Arial"/>
          <w:noProof/>
          <w:szCs w:val="24"/>
        </w:rPr>
        <w:t>, 1–9. https://doi.org/10.1002/apj.2436</w:t>
      </w:r>
    </w:p>
    <w:p w14:paraId="34DA1971" w14:textId="77777777" w:rsidR="00C84BB5" w:rsidRPr="00C84BB5" w:rsidRDefault="00C84BB5" w:rsidP="00C84BB5">
      <w:pPr>
        <w:widowControl w:val="0"/>
        <w:autoSpaceDE w:val="0"/>
        <w:autoSpaceDN w:val="0"/>
        <w:adjustRightInd w:val="0"/>
        <w:spacing w:line="240" w:lineRule="auto"/>
        <w:ind w:left="480" w:hanging="480"/>
        <w:rPr>
          <w:rFonts w:cs="Arial"/>
          <w:noProof/>
          <w:szCs w:val="24"/>
        </w:rPr>
      </w:pPr>
      <w:r w:rsidRPr="00C84BB5">
        <w:rPr>
          <w:rFonts w:cs="Arial"/>
          <w:noProof/>
          <w:szCs w:val="24"/>
        </w:rPr>
        <w:t xml:space="preserve">Chang, S. H. (2014). An overview of empty fruit bunch from oil palm as feedstock for bio-oil production. </w:t>
      </w:r>
      <w:r w:rsidRPr="00C84BB5">
        <w:rPr>
          <w:rFonts w:cs="Arial"/>
          <w:i/>
          <w:iCs/>
          <w:noProof/>
          <w:szCs w:val="24"/>
        </w:rPr>
        <w:t>Biomass and Bioenergy</w:t>
      </w:r>
      <w:r w:rsidRPr="00C84BB5">
        <w:rPr>
          <w:rFonts w:cs="Arial"/>
          <w:noProof/>
          <w:szCs w:val="24"/>
        </w:rPr>
        <w:t xml:space="preserve">, </w:t>
      </w:r>
      <w:r w:rsidRPr="00C84BB5">
        <w:rPr>
          <w:rFonts w:cs="Arial"/>
          <w:i/>
          <w:iCs/>
          <w:noProof/>
          <w:szCs w:val="24"/>
        </w:rPr>
        <w:t>62</w:t>
      </w:r>
      <w:r w:rsidRPr="00C84BB5">
        <w:rPr>
          <w:rFonts w:cs="Arial"/>
          <w:noProof/>
          <w:szCs w:val="24"/>
        </w:rPr>
        <w:t>, 174–181. https://doi.org/10.1016/j.biombioe.2014.01.002</w:t>
      </w:r>
    </w:p>
    <w:p w14:paraId="2E0EDEF1" w14:textId="77777777" w:rsidR="00C84BB5" w:rsidRPr="00C84BB5" w:rsidRDefault="00C84BB5" w:rsidP="00C84BB5">
      <w:pPr>
        <w:widowControl w:val="0"/>
        <w:autoSpaceDE w:val="0"/>
        <w:autoSpaceDN w:val="0"/>
        <w:adjustRightInd w:val="0"/>
        <w:spacing w:line="240" w:lineRule="auto"/>
        <w:ind w:left="480" w:hanging="480"/>
        <w:rPr>
          <w:rFonts w:cs="Arial"/>
          <w:noProof/>
          <w:szCs w:val="24"/>
        </w:rPr>
      </w:pPr>
      <w:r w:rsidRPr="00C84BB5">
        <w:rPr>
          <w:rFonts w:cs="Arial"/>
          <w:noProof/>
          <w:szCs w:val="24"/>
        </w:rPr>
        <w:t xml:space="preserve">Cormos, C. C., Dragan, M., Petrescu, L., Cormos, A. M., Dragan, S., Bathori, A. M., &amp; Galusnyak, S. C. (2024). Synthetic natural gas (SNG) production by biomass gasification with CO2 capture: Techno-economic and life cycle analysis (LCA). </w:t>
      </w:r>
      <w:r w:rsidRPr="00C84BB5">
        <w:rPr>
          <w:rFonts w:cs="Arial"/>
          <w:i/>
          <w:iCs/>
          <w:noProof/>
          <w:szCs w:val="24"/>
        </w:rPr>
        <w:t>Energy</w:t>
      </w:r>
      <w:r w:rsidRPr="00C84BB5">
        <w:rPr>
          <w:rFonts w:cs="Arial"/>
          <w:noProof/>
          <w:szCs w:val="24"/>
        </w:rPr>
        <w:t xml:space="preserve">, </w:t>
      </w:r>
      <w:r w:rsidRPr="00C84BB5">
        <w:rPr>
          <w:rFonts w:cs="Arial"/>
          <w:i/>
          <w:iCs/>
          <w:noProof/>
          <w:szCs w:val="24"/>
        </w:rPr>
        <w:t>312</w:t>
      </w:r>
      <w:r w:rsidRPr="00C84BB5">
        <w:rPr>
          <w:rFonts w:cs="Arial"/>
          <w:noProof/>
          <w:szCs w:val="24"/>
        </w:rPr>
        <w:t>(December 2023), 133507. https://doi.org/10.1016/j.energy.2024.133507</w:t>
      </w:r>
    </w:p>
    <w:p w14:paraId="0B8B83B1" w14:textId="77777777" w:rsidR="00C84BB5" w:rsidRPr="00C84BB5" w:rsidRDefault="00C84BB5" w:rsidP="00C84BB5">
      <w:pPr>
        <w:widowControl w:val="0"/>
        <w:autoSpaceDE w:val="0"/>
        <w:autoSpaceDN w:val="0"/>
        <w:adjustRightInd w:val="0"/>
        <w:spacing w:line="240" w:lineRule="auto"/>
        <w:ind w:left="480" w:hanging="480"/>
        <w:rPr>
          <w:rFonts w:cs="Arial"/>
          <w:noProof/>
          <w:szCs w:val="24"/>
        </w:rPr>
      </w:pPr>
      <w:r w:rsidRPr="00C84BB5">
        <w:rPr>
          <w:rFonts w:cs="Arial"/>
          <w:noProof/>
          <w:szCs w:val="24"/>
        </w:rPr>
        <w:t xml:space="preserve">Hafyan, R., Bhullar, L., Putra, Z., Bilad, M., Wirzal, M., &amp; Nordin, N. (2019). Sustainability assessment of xylitol production from empty fruit bunch. In </w:t>
      </w:r>
      <w:r w:rsidRPr="00C84BB5">
        <w:rPr>
          <w:rFonts w:cs="Arial"/>
          <w:i/>
          <w:iCs/>
          <w:noProof/>
          <w:szCs w:val="24"/>
        </w:rPr>
        <w:t>MATEC Web of Conferences</w:t>
      </w:r>
      <w:r w:rsidRPr="00C84BB5">
        <w:rPr>
          <w:rFonts w:cs="Arial"/>
          <w:noProof/>
          <w:szCs w:val="24"/>
        </w:rPr>
        <w:t xml:space="preserve"> (Vol. 268, p. 06018). https://doi.org/10.1051/matecconf/201926806018</w:t>
      </w:r>
    </w:p>
    <w:p w14:paraId="0247E35D" w14:textId="77777777" w:rsidR="00C84BB5" w:rsidRPr="00C84BB5" w:rsidRDefault="00C84BB5" w:rsidP="00C84BB5">
      <w:pPr>
        <w:widowControl w:val="0"/>
        <w:autoSpaceDE w:val="0"/>
        <w:autoSpaceDN w:val="0"/>
        <w:adjustRightInd w:val="0"/>
        <w:spacing w:line="240" w:lineRule="auto"/>
        <w:ind w:left="480" w:hanging="480"/>
        <w:rPr>
          <w:rFonts w:cs="Arial"/>
          <w:noProof/>
          <w:szCs w:val="24"/>
        </w:rPr>
      </w:pPr>
      <w:r w:rsidRPr="00C84BB5">
        <w:rPr>
          <w:rFonts w:cs="Arial"/>
          <w:noProof/>
          <w:szCs w:val="24"/>
        </w:rPr>
        <w:t xml:space="preserve">Huijbregts, M. A. J., Steinmann, Z. J. N., Elshout, P. M. F., Stam, G., Verones, F., Vieira, M., Zijp, M., Hollander, A., &amp; van Zelm, R. (2017). ReCiPe2016: a harmonised life cycle impact assessment method at midpoint and endpoint level. </w:t>
      </w:r>
      <w:r w:rsidRPr="00C84BB5">
        <w:rPr>
          <w:rFonts w:cs="Arial"/>
          <w:i/>
          <w:iCs/>
          <w:noProof/>
          <w:szCs w:val="24"/>
        </w:rPr>
        <w:t>International Journal of Life Cycle Assessment</w:t>
      </w:r>
      <w:r w:rsidRPr="00C84BB5">
        <w:rPr>
          <w:rFonts w:cs="Arial"/>
          <w:noProof/>
          <w:szCs w:val="24"/>
        </w:rPr>
        <w:t xml:space="preserve">, </w:t>
      </w:r>
      <w:r w:rsidRPr="00C84BB5">
        <w:rPr>
          <w:rFonts w:cs="Arial"/>
          <w:i/>
          <w:iCs/>
          <w:noProof/>
          <w:szCs w:val="24"/>
        </w:rPr>
        <w:t>22</w:t>
      </w:r>
      <w:r w:rsidRPr="00C84BB5">
        <w:rPr>
          <w:rFonts w:cs="Arial"/>
          <w:noProof/>
          <w:szCs w:val="24"/>
        </w:rPr>
        <w:t>(2), 138–147. https://doi.org/10.1007/s11367-016-1246-y</w:t>
      </w:r>
    </w:p>
    <w:p w14:paraId="1AEA13E5" w14:textId="77777777" w:rsidR="00C84BB5" w:rsidRPr="00654143" w:rsidRDefault="00C84BB5" w:rsidP="00C84BB5">
      <w:pPr>
        <w:widowControl w:val="0"/>
        <w:autoSpaceDE w:val="0"/>
        <w:autoSpaceDN w:val="0"/>
        <w:adjustRightInd w:val="0"/>
        <w:spacing w:line="240" w:lineRule="auto"/>
        <w:ind w:left="480" w:hanging="480"/>
        <w:rPr>
          <w:rFonts w:cs="Arial"/>
          <w:noProof/>
          <w:szCs w:val="24"/>
          <w:lang w:val="es-ES"/>
        </w:rPr>
      </w:pPr>
      <w:r w:rsidRPr="00654143">
        <w:rPr>
          <w:rFonts w:cs="Arial"/>
          <w:noProof/>
          <w:szCs w:val="24"/>
          <w:lang w:val="es-ES"/>
        </w:rPr>
        <w:t xml:space="preserve">ICONTEC. (2007a). NORMA TECNICA COLOMBIA NTC-ISO14040. Gestión ambiental. Análisis de ciclo de vida. Principios y marco de refencia. </w:t>
      </w:r>
      <w:r w:rsidRPr="00654143">
        <w:rPr>
          <w:rFonts w:cs="Arial"/>
          <w:i/>
          <w:iCs/>
          <w:noProof/>
          <w:szCs w:val="24"/>
          <w:lang w:val="es-ES"/>
        </w:rPr>
        <w:t>Icontec</w:t>
      </w:r>
      <w:r w:rsidRPr="00654143">
        <w:rPr>
          <w:rFonts w:cs="Arial"/>
          <w:noProof/>
          <w:szCs w:val="24"/>
          <w:lang w:val="es-ES"/>
        </w:rPr>
        <w:t xml:space="preserve">, </w:t>
      </w:r>
      <w:r w:rsidRPr="00654143">
        <w:rPr>
          <w:rFonts w:cs="Arial"/>
          <w:i/>
          <w:iCs/>
          <w:noProof/>
          <w:szCs w:val="24"/>
          <w:lang w:val="es-ES"/>
        </w:rPr>
        <w:t>2</w:t>
      </w:r>
      <w:r w:rsidRPr="00654143">
        <w:rPr>
          <w:rFonts w:cs="Arial"/>
          <w:noProof/>
          <w:szCs w:val="24"/>
          <w:lang w:val="es-ES"/>
        </w:rPr>
        <w:t>, 1–24.</w:t>
      </w:r>
    </w:p>
    <w:p w14:paraId="2109F902" w14:textId="77777777" w:rsidR="00C84BB5" w:rsidRPr="00654143" w:rsidRDefault="00C84BB5" w:rsidP="00C84BB5">
      <w:pPr>
        <w:widowControl w:val="0"/>
        <w:autoSpaceDE w:val="0"/>
        <w:autoSpaceDN w:val="0"/>
        <w:adjustRightInd w:val="0"/>
        <w:spacing w:line="240" w:lineRule="auto"/>
        <w:ind w:left="480" w:hanging="480"/>
        <w:rPr>
          <w:rFonts w:cs="Arial"/>
          <w:noProof/>
          <w:szCs w:val="24"/>
          <w:lang w:val="es-ES"/>
        </w:rPr>
      </w:pPr>
      <w:r w:rsidRPr="00654143">
        <w:rPr>
          <w:rFonts w:cs="Arial"/>
          <w:noProof/>
          <w:szCs w:val="24"/>
          <w:lang w:val="es-ES"/>
        </w:rPr>
        <w:t xml:space="preserve">ICONTEC. (2007b). NORMA TECNICA COLOMBIA NTC-ISO14040. Gestión ambiental. Análisis de ciclo de vida. Requisitos y directrices. requisitos del ciclo de vida. </w:t>
      </w:r>
      <w:r w:rsidRPr="00654143">
        <w:rPr>
          <w:rFonts w:cs="Arial"/>
          <w:i/>
          <w:iCs/>
          <w:noProof/>
          <w:szCs w:val="24"/>
          <w:lang w:val="es-ES"/>
        </w:rPr>
        <w:t>Icontec</w:t>
      </w:r>
      <w:r w:rsidRPr="00654143">
        <w:rPr>
          <w:rFonts w:cs="Arial"/>
          <w:noProof/>
          <w:szCs w:val="24"/>
          <w:lang w:val="es-ES"/>
        </w:rPr>
        <w:t xml:space="preserve">, </w:t>
      </w:r>
      <w:r w:rsidRPr="00654143">
        <w:rPr>
          <w:rFonts w:cs="Arial"/>
          <w:i/>
          <w:iCs/>
          <w:noProof/>
          <w:szCs w:val="24"/>
          <w:lang w:val="es-ES"/>
        </w:rPr>
        <w:t>2</w:t>
      </w:r>
      <w:r w:rsidRPr="00654143">
        <w:rPr>
          <w:rFonts w:cs="Arial"/>
          <w:noProof/>
          <w:szCs w:val="24"/>
          <w:lang w:val="es-ES"/>
        </w:rPr>
        <w:t>(571), 1–24. http://files.control-ambiental5.webnode.com.co/200000127-a0991a28c5/NTC-ISO14040-2007 Analisis_CicloVida.pdf</w:t>
      </w:r>
    </w:p>
    <w:p w14:paraId="16A290C7" w14:textId="77777777" w:rsidR="00C84BB5" w:rsidRPr="00C84BB5" w:rsidRDefault="00C84BB5" w:rsidP="00C84BB5">
      <w:pPr>
        <w:widowControl w:val="0"/>
        <w:autoSpaceDE w:val="0"/>
        <w:autoSpaceDN w:val="0"/>
        <w:adjustRightInd w:val="0"/>
        <w:spacing w:line="240" w:lineRule="auto"/>
        <w:ind w:left="480" w:hanging="480"/>
        <w:rPr>
          <w:rFonts w:cs="Arial"/>
          <w:noProof/>
          <w:szCs w:val="24"/>
        </w:rPr>
      </w:pPr>
      <w:r w:rsidRPr="00C84BB5">
        <w:rPr>
          <w:rFonts w:cs="Arial"/>
          <w:noProof/>
          <w:szCs w:val="24"/>
        </w:rPr>
        <w:t xml:space="preserve">Jaffar, M. M., Nahil, M. A., &amp; Williams, P. T. (2020). Synthetic natural gas production from the three stage (i) pyrolysis (ii) catalytic steam reforming (iii) catalytic hydrogenation of waste biomass. </w:t>
      </w:r>
      <w:r w:rsidRPr="00C84BB5">
        <w:rPr>
          <w:rFonts w:cs="Arial"/>
          <w:i/>
          <w:iCs/>
          <w:noProof/>
          <w:szCs w:val="24"/>
        </w:rPr>
        <w:t>Fuel Processing Technology</w:t>
      </w:r>
      <w:r w:rsidRPr="00C84BB5">
        <w:rPr>
          <w:rFonts w:cs="Arial"/>
          <w:noProof/>
          <w:szCs w:val="24"/>
        </w:rPr>
        <w:t xml:space="preserve">, </w:t>
      </w:r>
      <w:r w:rsidRPr="00C84BB5">
        <w:rPr>
          <w:rFonts w:cs="Arial"/>
          <w:i/>
          <w:iCs/>
          <w:noProof/>
          <w:szCs w:val="24"/>
        </w:rPr>
        <w:t>208</w:t>
      </w:r>
      <w:r w:rsidRPr="00C84BB5">
        <w:rPr>
          <w:rFonts w:cs="Arial"/>
          <w:noProof/>
          <w:szCs w:val="24"/>
        </w:rPr>
        <w:t>(June). https://doi.org/10.1016/j.fuproc.2020.106515</w:t>
      </w:r>
    </w:p>
    <w:p w14:paraId="7598EDF8" w14:textId="77777777" w:rsidR="00C84BB5" w:rsidRPr="00C84BB5" w:rsidRDefault="00C84BB5" w:rsidP="00C84BB5">
      <w:pPr>
        <w:widowControl w:val="0"/>
        <w:autoSpaceDE w:val="0"/>
        <w:autoSpaceDN w:val="0"/>
        <w:adjustRightInd w:val="0"/>
        <w:spacing w:line="240" w:lineRule="auto"/>
        <w:ind w:left="480" w:hanging="480"/>
        <w:rPr>
          <w:rFonts w:cs="Arial"/>
          <w:noProof/>
          <w:szCs w:val="24"/>
        </w:rPr>
      </w:pPr>
      <w:r w:rsidRPr="00C84BB5">
        <w:rPr>
          <w:rFonts w:cs="Arial"/>
          <w:noProof/>
          <w:szCs w:val="24"/>
        </w:rPr>
        <w:t xml:space="preserve">Jalili, M., Beyrami, J., Ziyaei, M., Chitsaz, A., &amp; Rosen, M. A. (2024). Innovative synthetic natural gas production from biomass and renewable hydrogen: Evaluation and optimization with sustainability perspective. </w:t>
      </w:r>
      <w:r w:rsidRPr="00C84BB5">
        <w:rPr>
          <w:rFonts w:cs="Arial"/>
          <w:i/>
          <w:iCs/>
          <w:noProof/>
          <w:szCs w:val="24"/>
        </w:rPr>
        <w:t>Process Safety and Environmental Protection</w:t>
      </w:r>
      <w:r w:rsidRPr="00C84BB5">
        <w:rPr>
          <w:rFonts w:cs="Arial"/>
          <w:noProof/>
          <w:szCs w:val="24"/>
        </w:rPr>
        <w:t xml:space="preserve">, </w:t>
      </w:r>
      <w:r w:rsidRPr="00C84BB5">
        <w:rPr>
          <w:rFonts w:cs="Arial"/>
          <w:i/>
          <w:iCs/>
          <w:noProof/>
          <w:szCs w:val="24"/>
        </w:rPr>
        <w:t>182</w:t>
      </w:r>
      <w:r w:rsidRPr="00C84BB5">
        <w:rPr>
          <w:rFonts w:cs="Arial"/>
          <w:noProof/>
          <w:szCs w:val="24"/>
        </w:rPr>
        <w:t>(May 2023), 139–153. https://doi.org/10.1016/j.psep.2023.11.074</w:t>
      </w:r>
    </w:p>
    <w:p w14:paraId="06EE2E78" w14:textId="77777777" w:rsidR="00C84BB5" w:rsidRPr="00C84BB5" w:rsidRDefault="00C84BB5" w:rsidP="00C84BB5">
      <w:pPr>
        <w:widowControl w:val="0"/>
        <w:autoSpaceDE w:val="0"/>
        <w:autoSpaceDN w:val="0"/>
        <w:adjustRightInd w:val="0"/>
        <w:spacing w:line="240" w:lineRule="auto"/>
        <w:ind w:left="480" w:hanging="480"/>
        <w:rPr>
          <w:rFonts w:cs="Arial"/>
          <w:noProof/>
          <w:szCs w:val="24"/>
        </w:rPr>
      </w:pPr>
      <w:r w:rsidRPr="00C84BB5">
        <w:rPr>
          <w:rFonts w:cs="Arial"/>
          <w:noProof/>
          <w:szCs w:val="24"/>
        </w:rPr>
        <w:t xml:space="preserve">Katla-Milewska, D., Nazir, S. M., &amp; Skorek-Osikowska, A. (2024). Synthetic natural gas (SNG) production with higher carbon recovery from biomass: Techno-economic assessment. </w:t>
      </w:r>
      <w:r w:rsidRPr="00C84BB5">
        <w:rPr>
          <w:rFonts w:cs="Arial"/>
          <w:i/>
          <w:iCs/>
          <w:noProof/>
          <w:szCs w:val="24"/>
        </w:rPr>
        <w:t>Energy Conversion and Management</w:t>
      </w:r>
      <w:r w:rsidRPr="00C84BB5">
        <w:rPr>
          <w:rFonts w:cs="Arial"/>
          <w:noProof/>
          <w:szCs w:val="24"/>
        </w:rPr>
        <w:t xml:space="preserve">, </w:t>
      </w:r>
      <w:r w:rsidRPr="00C84BB5">
        <w:rPr>
          <w:rFonts w:cs="Arial"/>
          <w:i/>
          <w:iCs/>
          <w:noProof/>
          <w:szCs w:val="24"/>
        </w:rPr>
        <w:t>300</w:t>
      </w:r>
      <w:r w:rsidRPr="00C84BB5">
        <w:rPr>
          <w:rFonts w:cs="Arial"/>
          <w:noProof/>
          <w:szCs w:val="24"/>
        </w:rPr>
        <w:t>(November 2023), 117895. https://doi.org/10.1016/j.enconman.2023.117895</w:t>
      </w:r>
    </w:p>
    <w:p w14:paraId="7A79704E" w14:textId="77777777" w:rsidR="00C84BB5" w:rsidRPr="00C84BB5" w:rsidRDefault="00C84BB5" w:rsidP="00C84BB5">
      <w:pPr>
        <w:widowControl w:val="0"/>
        <w:autoSpaceDE w:val="0"/>
        <w:autoSpaceDN w:val="0"/>
        <w:adjustRightInd w:val="0"/>
        <w:spacing w:line="240" w:lineRule="auto"/>
        <w:ind w:left="480" w:hanging="480"/>
        <w:rPr>
          <w:rFonts w:cs="Arial"/>
          <w:noProof/>
          <w:szCs w:val="24"/>
        </w:rPr>
      </w:pPr>
      <w:r w:rsidRPr="00654143">
        <w:rPr>
          <w:rFonts w:cs="Arial"/>
          <w:noProof/>
          <w:szCs w:val="24"/>
          <w:lang w:val="es-ES"/>
        </w:rPr>
        <w:t xml:space="preserve">Ortiz, O. A., Ojeda, K. A., &amp; Rios, L. A. (2024). </w:t>
      </w:r>
      <w:r w:rsidRPr="00C84BB5">
        <w:rPr>
          <w:rFonts w:cs="Arial"/>
          <w:noProof/>
          <w:szCs w:val="24"/>
        </w:rPr>
        <w:t xml:space="preserve">Case Study: Simulation of Synthetic Natural Gas Production Plant from Empty Fruit Bunches. </w:t>
      </w:r>
      <w:r w:rsidRPr="00C84BB5">
        <w:rPr>
          <w:rFonts w:cs="Arial"/>
          <w:i/>
          <w:iCs/>
          <w:noProof/>
          <w:szCs w:val="24"/>
        </w:rPr>
        <w:t>Chemical Engineering Transactions</w:t>
      </w:r>
      <w:r w:rsidRPr="00C84BB5">
        <w:rPr>
          <w:rFonts w:cs="Arial"/>
          <w:noProof/>
          <w:szCs w:val="24"/>
        </w:rPr>
        <w:t xml:space="preserve">, </w:t>
      </w:r>
      <w:r w:rsidRPr="00C84BB5">
        <w:rPr>
          <w:rFonts w:cs="Arial"/>
          <w:i/>
          <w:iCs/>
          <w:noProof/>
          <w:szCs w:val="24"/>
        </w:rPr>
        <w:t>109</w:t>
      </w:r>
      <w:r w:rsidRPr="00C84BB5">
        <w:rPr>
          <w:rFonts w:cs="Arial"/>
          <w:noProof/>
          <w:szCs w:val="24"/>
        </w:rPr>
        <w:t>, 637–642. https://doi.org/10.3303/CET24109107</w:t>
      </w:r>
    </w:p>
    <w:p w14:paraId="1FD661D0" w14:textId="77777777" w:rsidR="00C84BB5" w:rsidRPr="00C84BB5" w:rsidRDefault="00C84BB5" w:rsidP="00C84BB5">
      <w:pPr>
        <w:widowControl w:val="0"/>
        <w:autoSpaceDE w:val="0"/>
        <w:autoSpaceDN w:val="0"/>
        <w:adjustRightInd w:val="0"/>
        <w:spacing w:line="240" w:lineRule="auto"/>
        <w:ind w:left="480" w:hanging="480"/>
        <w:rPr>
          <w:rFonts w:cs="Arial"/>
          <w:noProof/>
          <w:szCs w:val="24"/>
        </w:rPr>
      </w:pPr>
      <w:r w:rsidRPr="00C84BB5">
        <w:rPr>
          <w:rFonts w:cs="Arial"/>
          <w:noProof/>
          <w:szCs w:val="24"/>
        </w:rPr>
        <w:t xml:space="preserve">Pour, N. (2019). Status of bioenergy with carbon capture and storage-potential and challenges. </w:t>
      </w:r>
      <w:r w:rsidRPr="00C84BB5">
        <w:rPr>
          <w:rFonts w:cs="Arial"/>
          <w:i/>
          <w:iCs/>
          <w:noProof/>
          <w:szCs w:val="24"/>
        </w:rPr>
        <w:t>Bioenergy with Carbon Capture and Storage: Using Natural Resources for Sustainable Development</w:t>
      </w:r>
      <w:r w:rsidRPr="00C84BB5">
        <w:rPr>
          <w:rFonts w:cs="Arial"/>
          <w:noProof/>
          <w:szCs w:val="24"/>
        </w:rPr>
        <w:t>, 85–107. https://doi.org/10.1016/B978-0-12-816229-3.00005-3</w:t>
      </w:r>
    </w:p>
    <w:p w14:paraId="7E733D9A" w14:textId="77777777" w:rsidR="00C84BB5" w:rsidRPr="00C84BB5" w:rsidRDefault="00C84BB5" w:rsidP="00C84BB5">
      <w:pPr>
        <w:widowControl w:val="0"/>
        <w:autoSpaceDE w:val="0"/>
        <w:autoSpaceDN w:val="0"/>
        <w:adjustRightInd w:val="0"/>
        <w:spacing w:line="240" w:lineRule="auto"/>
        <w:ind w:left="480" w:hanging="480"/>
        <w:rPr>
          <w:rFonts w:cs="Arial"/>
          <w:noProof/>
          <w:szCs w:val="24"/>
        </w:rPr>
      </w:pPr>
      <w:r w:rsidRPr="00C84BB5">
        <w:rPr>
          <w:rFonts w:cs="Arial"/>
          <w:noProof/>
          <w:szCs w:val="24"/>
        </w:rPr>
        <w:t xml:space="preserve">Seo, M. W., Lee, S. H., Nam, H., Lee, D., Tokmurzin, D., Wang, S., &amp; Park, Y.-K. (2022). Recent advances of thermochemical conversion processes for biorefinery. </w:t>
      </w:r>
      <w:r w:rsidRPr="00C84BB5">
        <w:rPr>
          <w:rFonts w:cs="Arial"/>
          <w:i/>
          <w:iCs/>
          <w:noProof/>
          <w:szCs w:val="24"/>
        </w:rPr>
        <w:t>Bioresource Technology</w:t>
      </w:r>
      <w:r w:rsidRPr="00C84BB5">
        <w:rPr>
          <w:rFonts w:cs="Arial"/>
          <w:noProof/>
          <w:szCs w:val="24"/>
        </w:rPr>
        <w:t xml:space="preserve">, </w:t>
      </w:r>
      <w:r w:rsidRPr="00C84BB5">
        <w:rPr>
          <w:rFonts w:cs="Arial"/>
          <w:i/>
          <w:iCs/>
          <w:noProof/>
          <w:szCs w:val="24"/>
        </w:rPr>
        <w:t>343</w:t>
      </w:r>
      <w:r w:rsidRPr="00C84BB5">
        <w:rPr>
          <w:rFonts w:cs="Arial"/>
          <w:noProof/>
          <w:szCs w:val="24"/>
        </w:rPr>
        <w:t>, 126109. https://doi.org///doi.org/10.1016/j.biortech.2021.126109</w:t>
      </w:r>
    </w:p>
    <w:p w14:paraId="260F435E" w14:textId="77777777" w:rsidR="00C84BB5" w:rsidRPr="00C84BB5" w:rsidRDefault="00C84BB5" w:rsidP="00C84BB5">
      <w:pPr>
        <w:widowControl w:val="0"/>
        <w:autoSpaceDE w:val="0"/>
        <w:autoSpaceDN w:val="0"/>
        <w:adjustRightInd w:val="0"/>
        <w:spacing w:line="240" w:lineRule="auto"/>
        <w:ind w:left="480" w:hanging="480"/>
        <w:rPr>
          <w:rFonts w:cs="Arial"/>
          <w:noProof/>
          <w:szCs w:val="24"/>
        </w:rPr>
      </w:pPr>
      <w:r w:rsidRPr="00C84BB5">
        <w:rPr>
          <w:rFonts w:cs="Arial"/>
          <w:noProof/>
          <w:szCs w:val="24"/>
        </w:rPr>
        <w:t xml:space="preserve">Sun, Z., Chen, X., Kuo, P. C., Ding, L., &amp; Aziz, M. (2024). Co-feeding biomass and municipal solid waste for enhanced hydrogen and synthetic natural gas yields employing chemical looping process. </w:t>
      </w:r>
      <w:r w:rsidRPr="00C84BB5">
        <w:rPr>
          <w:rFonts w:cs="Arial"/>
          <w:i/>
          <w:iCs/>
          <w:noProof/>
          <w:szCs w:val="24"/>
        </w:rPr>
        <w:t>Chemical Engineering Journal</w:t>
      </w:r>
      <w:r w:rsidRPr="00C84BB5">
        <w:rPr>
          <w:rFonts w:cs="Arial"/>
          <w:noProof/>
          <w:szCs w:val="24"/>
        </w:rPr>
        <w:t xml:space="preserve">, </w:t>
      </w:r>
      <w:r w:rsidRPr="00C84BB5">
        <w:rPr>
          <w:rFonts w:cs="Arial"/>
          <w:i/>
          <w:iCs/>
          <w:noProof/>
          <w:szCs w:val="24"/>
        </w:rPr>
        <w:t>493</w:t>
      </w:r>
      <w:r w:rsidRPr="00C84BB5">
        <w:rPr>
          <w:rFonts w:cs="Arial"/>
          <w:noProof/>
          <w:szCs w:val="24"/>
        </w:rPr>
        <w:t>(May), 152487. https://doi.org/10.1016/j.cej.2024.152487</w:t>
      </w:r>
    </w:p>
    <w:p w14:paraId="329841E5" w14:textId="77777777" w:rsidR="00C84BB5" w:rsidRPr="00C84BB5" w:rsidRDefault="00C84BB5" w:rsidP="00C84BB5">
      <w:pPr>
        <w:widowControl w:val="0"/>
        <w:autoSpaceDE w:val="0"/>
        <w:autoSpaceDN w:val="0"/>
        <w:adjustRightInd w:val="0"/>
        <w:spacing w:line="240" w:lineRule="auto"/>
        <w:ind w:left="480" w:hanging="480"/>
        <w:rPr>
          <w:rFonts w:cs="Arial"/>
          <w:noProof/>
        </w:rPr>
      </w:pPr>
      <w:r w:rsidRPr="00C84BB5">
        <w:rPr>
          <w:rFonts w:cs="Arial"/>
          <w:noProof/>
          <w:szCs w:val="24"/>
        </w:rPr>
        <w:t xml:space="preserve">Sunarno, Saputra, E., Fermi, M. I., &amp; Utama, P. S. (2020). Non-catalytic co-pyrolysis of empty fruit bunch of palm and solid tire waste into upgrade bio-oil. </w:t>
      </w:r>
      <w:r w:rsidRPr="00C84BB5">
        <w:rPr>
          <w:rFonts w:cs="Arial"/>
          <w:i/>
          <w:iCs/>
          <w:noProof/>
          <w:szCs w:val="24"/>
        </w:rPr>
        <w:t>International Journal of Renewable Energy Research</w:t>
      </w:r>
      <w:r w:rsidRPr="00C84BB5">
        <w:rPr>
          <w:rFonts w:cs="Arial"/>
          <w:noProof/>
          <w:szCs w:val="24"/>
        </w:rPr>
        <w:t xml:space="preserve">, </w:t>
      </w:r>
      <w:r w:rsidRPr="00C84BB5">
        <w:rPr>
          <w:rFonts w:cs="Arial"/>
          <w:i/>
          <w:iCs/>
          <w:noProof/>
          <w:szCs w:val="24"/>
        </w:rPr>
        <w:t>10</w:t>
      </w:r>
      <w:r w:rsidRPr="00C84BB5">
        <w:rPr>
          <w:rFonts w:cs="Arial"/>
          <w:noProof/>
          <w:szCs w:val="24"/>
        </w:rPr>
        <w:t>(2), 687–692. https://doi.org/10.20508/ijrer.v10i2.10690.g7940</w:t>
      </w:r>
    </w:p>
    <w:p w14:paraId="19C4FC68" w14:textId="6A387DF1" w:rsidR="004628D2" w:rsidRDefault="00E400A1" w:rsidP="001E2732">
      <w:pPr>
        <w:pStyle w:val="CETReferencetext"/>
      </w:pPr>
      <w:r w:rsidRPr="00CE38E9">
        <w:fldChar w:fldCharType="end"/>
      </w: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4C215C" w14:textId="77777777" w:rsidR="002D395D" w:rsidRDefault="002D395D" w:rsidP="004F5E36">
      <w:r>
        <w:separator/>
      </w:r>
    </w:p>
  </w:endnote>
  <w:endnote w:type="continuationSeparator" w:id="0">
    <w:p w14:paraId="5C7DEE81" w14:textId="77777777" w:rsidR="002D395D" w:rsidRDefault="002D395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font>
  <w:font w:name="AdvP6960">
    <w:altName w:val="Cambria"/>
    <w:panose1 w:val="00000000000000000000"/>
    <w:charset w:val="4D"/>
    <w:family w:val="roman"/>
    <w:notTrueType/>
    <w:pitch w:val="default"/>
    <w:sig w:usb0="00000003" w:usb1="00000000" w:usb2="00000000" w:usb3="00000000" w:csb0="00000001" w:csb1="00000000"/>
  </w:font>
  <w:font w:name="ArialMT">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D32F23" w14:textId="77777777" w:rsidR="002D395D" w:rsidRDefault="002D395D" w:rsidP="004F5E36">
      <w:r>
        <w:separator/>
      </w:r>
    </w:p>
  </w:footnote>
  <w:footnote w:type="continuationSeparator" w:id="0">
    <w:p w14:paraId="23AA2027" w14:textId="77777777" w:rsidR="002D395D" w:rsidRDefault="002D395D" w:rsidP="004F5E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1DB02CC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CCB7989"/>
    <w:multiLevelType w:val="multilevel"/>
    <w:tmpl w:val="93522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2DC3A12"/>
    <w:multiLevelType w:val="hybridMultilevel"/>
    <w:tmpl w:val="114AC4A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BA23FD9"/>
    <w:multiLevelType w:val="hybridMultilevel"/>
    <w:tmpl w:val="41B089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9"/>
  </w:num>
  <w:num w:numId="13">
    <w:abstractNumId w:val="13"/>
  </w:num>
  <w:num w:numId="14">
    <w:abstractNumId w:val="20"/>
  </w:num>
  <w:num w:numId="15">
    <w:abstractNumId w:val="22"/>
  </w:num>
  <w:num w:numId="16">
    <w:abstractNumId w:val="21"/>
  </w:num>
  <w:num w:numId="17">
    <w:abstractNumId w:val="12"/>
  </w:num>
  <w:num w:numId="18">
    <w:abstractNumId w:val="13"/>
    <w:lvlOverride w:ilvl="0">
      <w:startOverride w:val="1"/>
    </w:lvlOverride>
  </w:num>
  <w:num w:numId="19">
    <w:abstractNumId w:val="18"/>
  </w:num>
  <w:num w:numId="20">
    <w:abstractNumId w:val="17"/>
  </w:num>
  <w:num w:numId="21">
    <w:abstractNumId w:val="15"/>
  </w:num>
  <w:num w:numId="22">
    <w:abstractNumId w:val="14"/>
  </w:num>
  <w:num w:numId="23">
    <w:abstractNumId w:val="24"/>
  </w:num>
  <w:num w:numId="24">
    <w:abstractNumId w:val="10"/>
  </w:num>
  <w:num w:numId="25">
    <w:abstractNumId w:val="11"/>
  </w:num>
  <w:num w:numId="26">
    <w:abstractNumId w:val="11"/>
    <w:lvlOverride w:ilvl="0">
      <w:startOverride w:val="1"/>
    </w:lvlOverride>
    <w:lvlOverride w:ilvl="1">
      <w:startOverride w:val="2"/>
    </w:lvlOverride>
  </w:num>
  <w:num w:numId="27">
    <w:abstractNumId w:val="11"/>
    <w:lvlOverride w:ilvl="0">
      <w:startOverride w:val="1"/>
    </w:lvlOverride>
    <w:lvlOverride w:ilvl="1">
      <w:startOverride w:val="3"/>
    </w:lvlOverride>
  </w:num>
  <w:num w:numId="28">
    <w:abstractNumId w:val="16"/>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50D"/>
    <w:rsid w:val="000027C0"/>
    <w:rsid w:val="000052FB"/>
    <w:rsid w:val="00007F4D"/>
    <w:rsid w:val="000117CB"/>
    <w:rsid w:val="000120EB"/>
    <w:rsid w:val="00015DB8"/>
    <w:rsid w:val="00026994"/>
    <w:rsid w:val="0003148D"/>
    <w:rsid w:val="00031EEC"/>
    <w:rsid w:val="000353E0"/>
    <w:rsid w:val="000375BE"/>
    <w:rsid w:val="000458F3"/>
    <w:rsid w:val="00051566"/>
    <w:rsid w:val="000562A9"/>
    <w:rsid w:val="00061BCF"/>
    <w:rsid w:val="00062A9A"/>
    <w:rsid w:val="00063461"/>
    <w:rsid w:val="00065058"/>
    <w:rsid w:val="000661E6"/>
    <w:rsid w:val="00084F62"/>
    <w:rsid w:val="00086C39"/>
    <w:rsid w:val="00091221"/>
    <w:rsid w:val="00093782"/>
    <w:rsid w:val="000961F3"/>
    <w:rsid w:val="0009701B"/>
    <w:rsid w:val="000A03B2"/>
    <w:rsid w:val="000A1134"/>
    <w:rsid w:val="000A367F"/>
    <w:rsid w:val="000B6C52"/>
    <w:rsid w:val="000C721E"/>
    <w:rsid w:val="000D0268"/>
    <w:rsid w:val="000D34BE"/>
    <w:rsid w:val="000D5FAD"/>
    <w:rsid w:val="000E102F"/>
    <w:rsid w:val="000E36F1"/>
    <w:rsid w:val="000E3A73"/>
    <w:rsid w:val="000E414A"/>
    <w:rsid w:val="000E4C0A"/>
    <w:rsid w:val="000F093C"/>
    <w:rsid w:val="000F4B19"/>
    <w:rsid w:val="000F4FEA"/>
    <w:rsid w:val="000F6A21"/>
    <w:rsid w:val="000F787B"/>
    <w:rsid w:val="000F7CAD"/>
    <w:rsid w:val="000F7EF7"/>
    <w:rsid w:val="001025B3"/>
    <w:rsid w:val="00110276"/>
    <w:rsid w:val="0012091F"/>
    <w:rsid w:val="00120BED"/>
    <w:rsid w:val="00126BC2"/>
    <w:rsid w:val="001308B6"/>
    <w:rsid w:val="0013121F"/>
    <w:rsid w:val="00131FE6"/>
    <w:rsid w:val="0013263F"/>
    <w:rsid w:val="001331DF"/>
    <w:rsid w:val="00134DE4"/>
    <w:rsid w:val="00137126"/>
    <w:rsid w:val="0014034D"/>
    <w:rsid w:val="00143165"/>
    <w:rsid w:val="00144D16"/>
    <w:rsid w:val="00147DFC"/>
    <w:rsid w:val="00150E59"/>
    <w:rsid w:val="00152DE3"/>
    <w:rsid w:val="00153A49"/>
    <w:rsid w:val="00153F46"/>
    <w:rsid w:val="00156F74"/>
    <w:rsid w:val="00164CF9"/>
    <w:rsid w:val="001667A6"/>
    <w:rsid w:val="00170974"/>
    <w:rsid w:val="0017425B"/>
    <w:rsid w:val="00184AD6"/>
    <w:rsid w:val="001856F9"/>
    <w:rsid w:val="0019745B"/>
    <w:rsid w:val="001A031B"/>
    <w:rsid w:val="001A271B"/>
    <w:rsid w:val="001A2DB5"/>
    <w:rsid w:val="001A4AF7"/>
    <w:rsid w:val="001A6603"/>
    <w:rsid w:val="001A6677"/>
    <w:rsid w:val="001A7B08"/>
    <w:rsid w:val="001B0349"/>
    <w:rsid w:val="001B1E93"/>
    <w:rsid w:val="001B65C1"/>
    <w:rsid w:val="001B77F7"/>
    <w:rsid w:val="001C684B"/>
    <w:rsid w:val="001D0CFB"/>
    <w:rsid w:val="001D21AF"/>
    <w:rsid w:val="001D4443"/>
    <w:rsid w:val="001D53FC"/>
    <w:rsid w:val="001D6190"/>
    <w:rsid w:val="001E0DF7"/>
    <w:rsid w:val="001E2732"/>
    <w:rsid w:val="001E47AE"/>
    <w:rsid w:val="001E69BB"/>
    <w:rsid w:val="001F2A71"/>
    <w:rsid w:val="001F42A5"/>
    <w:rsid w:val="001F7B9D"/>
    <w:rsid w:val="00201C93"/>
    <w:rsid w:val="00206B6C"/>
    <w:rsid w:val="002075EF"/>
    <w:rsid w:val="00214CE1"/>
    <w:rsid w:val="002178D3"/>
    <w:rsid w:val="00221C2C"/>
    <w:rsid w:val="002224B4"/>
    <w:rsid w:val="00223747"/>
    <w:rsid w:val="00236EEC"/>
    <w:rsid w:val="00241717"/>
    <w:rsid w:val="002447EF"/>
    <w:rsid w:val="00245429"/>
    <w:rsid w:val="00251550"/>
    <w:rsid w:val="00263B05"/>
    <w:rsid w:val="0027221A"/>
    <w:rsid w:val="00275B61"/>
    <w:rsid w:val="00280FAF"/>
    <w:rsid w:val="00281B8D"/>
    <w:rsid w:val="00282656"/>
    <w:rsid w:val="00296B83"/>
    <w:rsid w:val="002A05BD"/>
    <w:rsid w:val="002A0B7F"/>
    <w:rsid w:val="002A73CE"/>
    <w:rsid w:val="002B4015"/>
    <w:rsid w:val="002B78CE"/>
    <w:rsid w:val="002C2FB6"/>
    <w:rsid w:val="002D395D"/>
    <w:rsid w:val="002D6B22"/>
    <w:rsid w:val="002E5FA7"/>
    <w:rsid w:val="002F078B"/>
    <w:rsid w:val="002F3309"/>
    <w:rsid w:val="003008CE"/>
    <w:rsid w:val="003009B7"/>
    <w:rsid w:val="00300E56"/>
    <w:rsid w:val="0030152C"/>
    <w:rsid w:val="003015A5"/>
    <w:rsid w:val="0030469C"/>
    <w:rsid w:val="00305276"/>
    <w:rsid w:val="00321CA6"/>
    <w:rsid w:val="00323763"/>
    <w:rsid w:val="00323C5F"/>
    <w:rsid w:val="00326456"/>
    <w:rsid w:val="00331740"/>
    <w:rsid w:val="00334C09"/>
    <w:rsid w:val="00343954"/>
    <w:rsid w:val="00346D81"/>
    <w:rsid w:val="003723D4"/>
    <w:rsid w:val="00381905"/>
    <w:rsid w:val="003832A4"/>
    <w:rsid w:val="00384CC8"/>
    <w:rsid w:val="00385561"/>
    <w:rsid w:val="003871FD"/>
    <w:rsid w:val="00390011"/>
    <w:rsid w:val="003A14E1"/>
    <w:rsid w:val="003A17D9"/>
    <w:rsid w:val="003A1E30"/>
    <w:rsid w:val="003A2013"/>
    <w:rsid w:val="003A2829"/>
    <w:rsid w:val="003A3F5A"/>
    <w:rsid w:val="003A542B"/>
    <w:rsid w:val="003A6FC6"/>
    <w:rsid w:val="003A7D1C"/>
    <w:rsid w:val="003B0E04"/>
    <w:rsid w:val="003B304B"/>
    <w:rsid w:val="003B3146"/>
    <w:rsid w:val="003D3DDE"/>
    <w:rsid w:val="003D7D67"/>
    <w:rsid w:val="003E65AA"/>
    <w:rsid w:val="003F015E"/>
    <w:rsid w:val="00400414"/>
    <w:rsid w:val="00403E7A"/>
    <w:rsid w:val="0040517C"/>
    <w:rsid w:val="00405BF2"/>
    <w:rsid w:val="00413CF3"/>
    <w:rsid w:val="0041446B"/>
    <w:rsid w:val="00421E7A"/>
    <w:rsid w:val="00433079"/>
    <w:rsid w:val="0044071E"/>
    <w:rsid w:val="00440E18"/>
    <w:rsid w:val="0044329C"/>
    <w:rsid w:val="004463A9"/>
    <w:rsid w:val="0044695A"/>
    <w:rsid w:val="00453E24"/>
    <w:rsid w:val="00457456"/>
    <w:rsid w:val="004577FE"/>
    <w:rsid w:val="00457B9C"/>
    <w:rsid w:val="0046164A"/>
    <w:rsid w:val="004628D2"/>
    <w:rsid w:val="00462DCD"/>
    <w:rsid w:val="00462F93"/>
    <w:rsid w:val="00463FA4"/>
    <w:rsid w:val="004648AD"/>
    <w:rsid w:val="004703A9"/>
    <w:rsid w:val="00475826"/>
    <w:rsid w:val="004760DE"/>
    <w:rsid w:val="004761E9"/>
    <w:rsid w:val="004763D7"/>
    <w:rsid w:val="00492A6E"/>
    <w:rsid w:val="0049490F"/>
    <w:rsid w:val="004A004E"/>
    <w:rsid w:val="004A04B4"/>
    <w:rsid w:val="004A06F0"/>
    <w:rsid w:val="004A24CF"/>
    <w:rsid w:val="004B2160"/>
    <w:rsid w:val="004B2C9D"/>
    <w:rsid w:val="004C3D1D"/>
    <w:rsid w:val="004C3D84"/>
    <w:rsid w:val="004C6D02"/>
    <w:rsid w:val="004C7913"/>
    <w:rsid w:val="004D20E0"/>
    <w:rsid w:val="004E44B2"/>
    <w:rsid w:val="004E4DD6"/>
    <w:rsid w:val="004E7537"/>
    <w:rsid w:val="004F40E0"/>
    <w:rsid w:val="004F5E36"/>
    <w:rsid w:val="00500CF4"/>
    <w:rsid w:val="00501F2C"/>
    <w:rsid w:val="0050203B"/>
    <w:rsid w:val="005071C7"/>
    <w:rsid w:val="00507B47"/>
    <w:rsid w:val="00507BEF"/>
    <w:rsid w:val="00507CC9"/>
    <w:rsid w:val="005119A5"/>
    <w:rsid w:val="0051640D"/>
    <w:rsid w:val="00516AAC"/>
    <w:rsid w:val="005278B7"/>
    <w:rsid w:val="00532016"/>
    <w:rsid w:val="00533FAF"/>
    <w:rsid w:val="005346C8"/>
    <w:rsid w:val="005402D1"/>
    <w:rsid w:val="00540382"/>
    <w:rsid w:val="00543E7D"/>
    <w:rsid w:val="00547A68"/>
    <w:rsid w:val="00547D56"/>
    <w:rsid w:val="005519AC"/>
    <w:rsid w:val="00551C28"/>
    <w:rsid w:val="005531C9"/>
    <w:rsid w:val="00555DB7"/>
    <w:rsid w:val="00560D46"/>
    <w:rsid w:val="00570C43"/>
    <w:rsid w:val="005945F7"/>
    <w:rsid w:val="005A7030"/>
    <w:rsid w:val="005B2110"/>
    <w:rsid w:val="005B61E6"/>
    <w:rsid w:val="005B726B"/>
    <w:rsid w:val="005C77E1"/>
    <w:rsid w:val="005D668A"/>
    <w:rsid w:val="005D6A2F"/>
    <w:rsid w:val="005E1A82"/>
    <w:rsid w:val="005E794C"/>
    <w:rsid w:val="005F0A28"/>
    <w:rsid w:val="005F0E5E"/>
    <w:rsid w:val="00600535"/>
    <w:rsid w:val="00603013"/>
    <w:rsid w:val="00610CD6"/>
    <w:rsid w:val="006173AD"/>
    <w:rsid w:val="00620DEE"/>
    <w:rsid w:val="00621F92"/>
    <w:rsid w:val="0062280A"/>
    <w:rsid w:val="00625639"/>
    <w:rsid w:val="006272BE"/>
    <w:rsid w:val="006274D3"/>
    <w:rsid w:val="00631B33"/>
    <w:rsid w:val="00633329"/>
    <w:rsid w:val="0064184D"/>
    <w:rsid w:val="006422CC"/>
    <w:rsid w:val="006423D7"/>
    <w:rsid w:val="0064600B"/>
    <w:rsid w:val="00654143"/>
    <w:rsid w:val="00656F19"/>
    <w:rsid w:val="00660E3E"/>
    <w:rsid w:val="00661815"/>
    <w:rsid w:val="00662E74"/>
    <w:rsid w:val="00666E47"/>
    <w:rsid w:val="006738F6"/>
    <w:rsid w:val="00676F87"/>
    <w:rsid w:val="00680C23"/>
    <w:rsid w:val="00683F85"/>
    <w:rsid w:val="00685E47"/>
    <w:rsid w:val="00691110"/>
    <w:rsid w:val="00693766"/>
    <w:rsid w:val="006A1BCA"/>
    <w:rsid w:val="006A23E9"/>
    <w:rsid w:val="006A3281"/>
    <w:rsid w:val="006B1093"/>
    <w:rsid w:val="006B4888"/>
    <w:rsid w:val="006C2BB9"/>
    <w:rsid w:val="006C2E45"/>
    <w:rsid w:val="006C359C"/>
    <w:rsid w:val="006C5579"/>
    <w:rsid w:val="006C7ECE"/>
    <w:rsid w:val="006D206D"/>
    <w:rsid w:val="006D6E8B"/>
    <w:rsid w:val="006E0DC2"/>
    <w:rsid w:val="006E737D"/>
    <w:rsid w:val="006E7EB1"/>
    <w:rsid w:val="006F07AE"/>
    <w:rsid w:val="006F3473"/>
    <w:rsid w:val="006F5124"/>
    <w:rsid w:val="006F5CC0"/>
    <w:rsid w:val="00700958"/>
    <w:rsid w:val="00707009"/>
    <w:rsid w:val="00713973"/>
    <w:rsid w:val="00715D5D"/>
    <w:rsid w:val="00720A24"/>
    <w:rsid w:val="00725C8F"/>
    <w:rsid w:val="00732386"/>
    <w:rsid w:val="0073514D"/>
    <w:rsid w:val="00737407"/>
    <w:rsid w:val="007447F3"/>
    <w:rsid w:val="007462DC"/>
    <w:rsid w:val="00752396"/>
    <w:rsid w:val="0075499F"/>
    <w:rsid w:val="007661C8"/>
    <w:rsid w:val="00766907"/>
    <w:rsid w:val="0077098D"/>
    <w:rsid w:val="00772E8D"/>
    <w:rsid w:val="00773FF8"/>
    <w:rsid w:val="00775DBE"/>
    <w:rsid w:val="007919B8"/>
    <w:rsid w:val="007931FA"/>
    <w:rsid w:val="00797C5E"/>
    <w:rsid w:val="007A2936"/>
    <w:rsid w:val="007A298F"/>
    <w:rsid w:val="007A4861"/>
    <w:rsid w:val="007A7BBA"/>
    <w:rsid w:val="007B0321"/>
    <w:rsid w:val="007B0C50"/>
    <w:rsid w:val="007B48F9"/>
    <w:rsid w:val="007B61E2"/>
    <w:rsid w:val="007B7F56"/>
    <w:rsid w:val="007C14B6"/>
    <w:rsid w:val="007C1A43"/>
    <w:rsid w:val="007D0951"/>
    <w:rsid w:val="007D4189"/>
    <w:rsid w:val="007D77E2"/>
    <w:rsid w:val="007E29A1"/>
    <w:rsid w:val="007E4CFC"/>
    <w:rsid w:val="007F250A"/>
    <w:rsid w:val="007F2F0B"/>
    <w:rsid w:val="0080013E"/>
    <w:rsid w:val="00811C23"/>
    <w:rsid w:val="00813288"/>
    <w:rsid w:val="008168FC"/>
    <w:rsid w:val="008234C5"/>
    <w:rsid w:val="008237BC"/>
    <w:rsid w:val="00830996"/>
    <w:rsid w:val="008345F1"/>
    <w:rsid w:val="00842938"/>
    <w:rsid w:val="00843EAC"/>
    <w:rsid w:val="00852FB9"/>
    <w:rsid w:val="00865B07"/>
    <w:rsid w:val="008667EA"/>
    <w:rsid w:val="0087105F"/>
    <w:rsid w:val="0087637F"/>
    <w:rsid w:val="00892AD5"/>
    <w:rsid w:val="008A1512"/>
    <w:rsid w:val="008A33E3"/>
    <w:rsid w:val="008B3F26"/>
    <w:rsid w:val="008B7C03"/>
    <w:rsid w:val="008D32B9"/>
    <w:rsid w:val="008D3C54"/>
    <w:rsid w:val="008D433B"/>
    <w:rsid w:val="008D4A16"/>
    <w:rsid w:val="008E07FB"/>
    <w:rsid w:val="008E566E"/>
    <w:rsid w:val="008F1F3F"/>
    <w:rsid w:val="008F3EDE"/>
    <w:rsid w:val="0090161A"/>
    <w:rsid w:val="00901DBC"/>
    <w:rsid w:val="00901EB6"/>
    <w:rsid w:val="00902EDA"/>
    <w:rsid w:val="00904C62"/>
    <w:rsid w:val="00915598"/>
    <w:rsid w:val="00922BA8"/>
    <w:rsid w:val="00924DAC"/>
    <w:rsid w:val="00927058"/>
    <w:rsid w:val="009365C3"/>
    <w:rsid w:val="00942750"/>
    <w:rsid w:val="009427DD"/>
    <w:rsid w:val="009450CE"/>
    <w:rsid w:val="0094546C"/>
    <w:rsid w:val="009459BB"/>
    <w:rsid w:val="009461CD"/>
    <w:rsid w:val="00947179"/>
    <w:rsid w:val="0095164B"/>
    <w:rsid w:val="00954090"/>
    <w:rsid w:val="00955F43"/>
    <w:rsid w:val="00956E09"/>
    <w:rsid w:val="009573E7"/>
    <w:rsid w:val="0096178A"/>
    <w:rsid w:val="00963E05"/>
    <w:rsid w:val="00964A45"/>
    <w:rsid w:val="00965658"/>
    <w:rsid w:val="00966949"/>
    <w:rsid w:val="00967843"/>
    <w:rsid w:val="00967D54"/>
    <w:rsid w:val="00971028"/>
    <w:rsid w:val="00983FB4"/>
    <w:rsid w:val="00993B84"/>
    <w:rsid w:val="00996483"/>
    <w:rsid w:val="00996F5A"/>
    <w:rsid w:val="00997660"/>
    <w:rsid w:val="009B041A"/>
    <w:rsid w:val="009C0C28"/>
    <w:rsid w:val="009C2D84"/>
    <w:rsid w:val="009C37C3"/>
    <w:rsid w:val="009C7C86"/>
    <w:rsid w:val="009D2FF7"/>
    <w:rsid w:val="009D54D9"/>
    <w:rsid w:val="009E226F"/>
    <w:rsid w:val="009E33AB"/>
    <w:rsid w:val="009E7884"/>
    <w:rsid w:val="009E788A"/>
    <w:rsid w:val="009F0E08"/>
    <w:rsid w:val="009F5342"/>
    <w:rsid w:val="00A0099A"/>
    <w:rsid w:val="00A00FAB"/>
    <w:rsid w:val="00A02721"/>
    <w:rsid w:val="00A1763D"/>
    <w:rsid w:val="00A17CEC"/>
    <w:rsid w:val="00A20119"/>
    <w:rsid w:val="00A20E22"/>
    <w:rsid w:val="00A27EF0"/>
    <w:rsid w:val="00A338D3"/>
    <w:rsid w:val="00A35978"/>
    <w:rsid w:val="00A42361"/>
    <w:rsid w:val="00A50B20"/>
    <w:rsid w:val="00A51390"/>
    <w:rsid w:val="00A53DA3"/>
    <w:rsid w:val="00A60D13"/>
    <w:rsid w:val="00A65A59"/>
    <w:rsid w:val="00A66BBA"/>
    <w:rsid w:val="00A710A4"/>
    <w:rsid w:val="00A7223D"/>
    <w:rsid w:val="00A72745"/>
    <w:rsid w:val="00A73B78"/>
    <w:rsid w:val="00A76EFC"/>
    <w:rsid w:val="00A80795"/>
    <w:rsid w:val="00A87D50"/>
    <w:rsid w:val="00A91010"/>
    <w:rsid w:val="00A92658"/>
    <w:rsid w:val="00A9563C"/>
    <w:rsid w:val="00A9587E"/>
    <w:rsid w:val="00A97F29"/>
    <w:rsid w:val="00AA6D87"/>
    <w:rsid w:val="00AA702E"/>
    <w:rsid w:val="00AA794A"/>
    <w:rsid w:val="00AA7D26"/>
    <w:rsid w:val="00AB0964"/>
    <w:rsid w:val="00AB1C16"/>
    <w:rsid w:val="00AB5011"/>
    <w:rsid w:val="00AC0031"/>
    <w:rsid w:val="00AC2692"/>
    <w:rsid w:val="00AC29D9"/>
    <w:rsid w:val="00AC5D79"/>
    <w:rsid w:val="00AC7368"/>
    <w:rsid w:val="00AD16B9"/>
    <w:rsid w:val="00AD1B9E"/>
    <w:rsid w:val="00AD6E15"/>
    <w:rsid w:val="00AE377D"/>
    <w:rsid w:val="00AF0EBA"/>
    <w:rsid w:val="00B02C8A"/>
    <w:rsid w:val="00B101DA"/>
    <w:rsid w:val="00B13C06"/>
    <w:rsid w:val="00B15EBF"/>
    <w:rsid w:val="00B179ED"/>
    <w:rsid w:val="00B17FBD"/>
    <w:rsid w:val="00B242B1"/>
    <w:rsid w:val="00B315A6"/>
    <w:rsid w:val="00B31813"/>
    <w:rsid w:val="00B33365"/>
    <w:rsid w:val="00B37D83"/>
    <w:rsid w:val="00B54173"/>
    <w:rsid w:val="00B57B36"/>
    <w:rsid w:val="00B57E6F"/>
    <w:rsid w:val="00B648B9"/>
    <w:rsid w:val="00B674B2"/>
    <w:rsid w:val="00B8686D"/>
    <w:rsid w:val="00B91978"/>
    <w:rsid w:val="00B92240"/>
    <w:rsid w:val="00B93F69"/>
    <w:rsid w:val="00BA5CC2"/>
    <w:rsid w:val="00BA7AF9"/>
    <w:rsid w:val="00BB1DDC"/>
    <w:rsid w:val="00BC30C9"/>
    <w:rsid w:val="00BD077D"/>
    <w:rsid w:val="00BD1794"/>
    <w:rsid w:val="00BD652A"/>
    <w:rsid w:val="00BD702A"/>
    <w:rsid w:val="00BE3E58"/>
    <w:rsid w:val="00BE3EFE"/>
    <w:rsid w:val="00BF4798"/>
    <w:rsid w:val="00BF4A58"/>
    <w:rsid w:val="00C01616"/>
    <w:rsid w:val="00C0162B"/>
    <w:rsid w:val="00C0301D"/>
    <w:rsid w:val="00C031B6"/>
    <w:rsid w:val="00C068ED"/>
    <w:rsid w:val="00C10066"/>
    <w:rsid w:val="00C11C26"/>
    <w:rsid w:val="00C1422C"/>
    <w:rsid w:val="00C20408"/>
    <w:rsid w:val="00C22E0C"/>
    <w:rsid w:val="00C258B3"/>
    <w:rsid w:val="00C267E6"/>
    <w:rsid w:val="00C345B1"/>
    <w:rsid w:val="00C40142"/>
    <w:rsid w:val="00C4165A"/>
    <w:rsid w:val="00C52C3C"/>
    <w:rsid w:val="00C57182"/>
    <w:rsid w:val="00C57863"/>
    <w:rsid w:val="00C640AF"/>
    <w:rsid w:val="00C655FD"/>
    <w:rsid w:val="00C66589"/>
    <w:rsid w:val="00C66667"/>
    <w:rsid w:val="00C71119"/>
    <w:rsid w:val="00C722B2"/>
    <w:rsid w:val="00C72BC5"/>
    <w:rsid w:val="00C75407"/>
    <w:rsid w:val="00C83EF2"/>
    <w:rsid w:val="00C84BB5"/>
    <w:rsid w:val="00C864F7"/>
    <w:rsid w:val="00C870A8"/>
    <w:rsid w:val="00C94434"/>
    <w:rsid w:val="00C970C6"/>
    <w:rsid w:val="00CA0D4A"/>
    <w:rsid w:val="00CA0D75"/>
    <w:rsid w:val="00CA1C95"/>
    <w:rsid w:val="00CA5A9C"/>
    <w:rsid w:val="00CC4C20"/>
    <w:rsid w:val="00CC5620"/>
    <w:rsid w:val="00CC7320"/>
    <w:rsid w:val="00CC7C82"/>
    <w:rsid w:val="00CD3517"/>
    <w:rsid w:val="00CD5F75"/>
    <w:rsid w:val="00CD5FE2"/>
    <w:rsid w:val="00CD64B5"/>
    <w:rsid w:val="00CE38E9"/>
    <w:rsid w:val="00CE7C68"/>
    <w:rsid w:val="00CF3996"/>
    <w:rsid w:val="00D02B4C"/>
    <w:rsid w:val="00D040C4"/>
    <w:rsid w:val="00D17D12"/>
    <w:rsid w:val="00D20AD1"/>
    <w:rsid w:val="00D35A9B"/>
    <w:rsid w:val="00D412CD"/>
    <w:rsid w:val="00D46B7E"/>
    <w:rsid w:val="00D518B5"/>
    <w:rsid w:val="00D53122"/>
    <w:rsid w:val="00D56123"/>
    <w:rsid w:val="00D57C84"/>
    <w:rsid w:val="00D6057D"/>
    <w:rsid w:val="00D6238C"/>
    <w:rsid w:val="00D648EC"/>
    <w:rsid w:val="00D7019F"/>
    <w:rsid w:val="00D71640"/>
    <w:rsid w:val="00D771BE"/>
    <w:rsid w:val="00D80A68"/>
    <w:rsid w:val="00D819A2"/>
    <w:rsid w:val="00D836C5"/>
    <w:rsid w:val="00D84576"/>
    <w:rsid w:val="00DA0B21"/>
    <w:rsid w:val="00DA1399"/>
    <w:rsid w:val="00DA24C6"/>
    <w:rsid w:val="00DA4D7B"/>
    <w:rsid w:val="00DB1013"/>
    <w:rsid w:val="00DB3233"/>
    <w:rsid w:val="00DC26BF"/>
    <w:rsid w:val="00DD271C"/>
    <w:rsid w:val="00DE0E1C"/>
    <w:rsid w:val="00DE264A"/>
    <w:rsid w:val="00DE7CD8"/>
    <w:rsid w:val="00DF5072"/>
    <w:rsid w:val="00DF5D54"/>
    <w:rsid w:val="00DF65A3"/>
    <w:rsid w:val="00E02D18"/>
    <w:rsid w:val="00E041E7"/>
    <w:rsid w:val="00E079C4"/>
    <w:rsid w:val="00E23CA1"/>
    <w:rsid w:val="00E26C56"/>
    <w:rsid w:val="00E303C4"/>
    <w:rsid w:val="00E33DD7"/>
    <w:rsid w:val="00E400A1"/>
    <w:rsid w:val="00E409A8"/>
    <w:rsid w:val="00E414AD"/>
    <w:rsid w:val="00E455D2"/>
    <w:rsid w:val="00E50C12"/>
    <w:rsid w:val="00E54CE5"/>
    <w:rsid w:val="00E62576"/>
    <w:rsid w:val="00E65B91"/>
    <w:rsid w:val="00E7209D"/>
    <w:rsid w:val="00E72EAD"/>
    <w:rsid w:val="00E77223"/>
    <w:rsid w:val="00E80092"/>
    <w:rsid w:val="00E845A8"/>
    <w:rsid w:val="00E8528B"/>
    <w:rsid w:val="00E85B94"/>
    <w:rsid w:val="00E934D0"/>
    <w:rsid w:val="00E95B12"/>
    <w:rsid w:val="00E978D0"/>
    <w:rsid w:val="00EA4613"/>
    <w:rsid w:val="00EA7F91"/>
    <w:rsid w:val="00EB1523"/>
    <w:rsid w:val="00EB4A72"/>
    <w:rsid w:val="00EC0E49"/>
    <w:rsid w:val="00EC101F"/>
    <w:rsid w:val="00EC1D9F"/>
    <w:rsid w:val="00ED5A28"/>
    <w:rsid w:val="00EE0131"/>
    <w:rsid w:val="00EE17B0"/>
    <w:rsid w:val="00EE32E8"/>
    <w:rsid w:val="00EE7829"/>
    <w:rsid w:val="00EF06D9"/>
    <w:rsid w:val="00EF4E34"/>
    <w:rsid w:val="00EF5203"/>
    <w:rsid w:val="00EF550E"/>
    <w:rsid w:val="00F13A8E"/>
    <w:rsid w:val="00F1542F"/>
    <w:rsid w:val="00F3049E"/>
    <w:rsid w:val="00F30C64"/>
    <w:rsid w:val="00F32BA2"/>
    <w:rsid w:val="00F32CDB"/>
    <w:rsid w:val="00F4454D"/>
    <w:rsid w:val="00F565FE"/>
    <w:rsid w:val="00F60EEE"/>
    <w:rsid w:val="00F63A70"/>
    <w:rsid w:val="00F63D8C"/>
    <w:rsid w:val="00F669D0"/>
    <w:rsid w:val="00F709FE"/>
    <w:rsid w:val="00F7534E"/>
    <w:rsid w:val="00F825DF"/>
    <w:rsid w:val="00F93EDF"/>
    <w:rsid w:val="00FA1802"/>
    <w:rsid w:val="00FA21D0"/>
    <w:rsid w:val="00FA5F5F"/>
    <w:rsid w:val="00FB730C"/>
    <w:rsid w:val="00FC2695"/>
    <w:rsid w:val="00FC3E03"/>
    <w:rsid w:val="00FC3FC1"/>
    <w:rsid w:val="00FD5AB6"/>
    <w:rsid w:val="00FE066B"/>
    <w:rsid w:val="00FE299A"/>
    <w:rsid w:val="00FF43D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00050D"/>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qFormat/>
    <w:rsid w:val="00280FAF"/>
    <w:pPr>
      <w:ind w:left="720"/>
      <w:contextualSpacing/>
    </w:pPr>
  </w:style>
  <w:style w:type="character" w:customStyle="1" w:styleId="jlqj4b">
    <w:name w:val="jlqj4b"/>
    <w:basedOn w:val="Fuentedeprrafopredeter"/>
    <w:rsid w:val="00B179ED"/>
  </w:style>
  <w:style w:type="character" w:customStyle="1" w:styleId="rynqvb">
    <w:name w:val="rynqvb"/>
    <w:basedOn w:val="Fuentedeprrafopredeter"/>
    <w:rsid w:val="001A271B"/>
  </w:style>
  <w:style w:type="character" w:customStyle="1" w:styleId="fontstyle01">
    <w:name w:val="fontstyle01"/>
    <w:basedOn w:val="Fuentedeprrafopredeter"/>
    <w:rsid w:val="009F5342"/>
    <w:rPr>
      <w:rFonts w:ascii="TimesNewRomanPSMT" w:hAnsi="TimesNewRomanPSMT" w:hint="default"/>
      <w:b w:val="0"/>
      <w:bCs w:val="0"/>
      <w:i w:val="0"/>
      <w:iCs w:val="0"/>
      <w:color w:val="000000"/>
      <w:sz w:val="20"/>
      <w:szCs w:val="20"/>
    </w:rPr>
  </w:style>
  <w:style w:type="character" w:styleId="Textoennegrita">
    <w:name w:val="Strong"/>
    <w:basedOn w:val="Fuentedeprrafopredeter"/>
    <w:uiPriority w:val="22"/>
    <w:qFormat/>
    <w:rsid w:val="00214C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88395">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0153">
      <w:bodyDiv w:val="1"/>
      <w:marLeft w:val="0"/>
      <w:marRight w:val="0"/>
      <w:marTop w:val="0"/>
      <w:marBottom w:val="0"/>
      <w:divBdr>
        <w:top w:val="none" w:sz="0" w:space="0" w:color="auto"/>
        <w:left w:val="none" w:sz="0" w:space="0" w:color="auto"/>
        <w:bottom w:val="none" w:sz="0" w:space="0" w:color="auto"/>
        <w:right w:val="none" w:sz="0" w:space="0" w:color="auto"/>
      </w:divBdr>
    </w:div>
    <w:div w:id="128878065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39119">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93D8B58-A4E0-417B-AD51-29AD68862071}">
  <we:reference id="wa104382081" version="1.55.1.0" store="es-ES" storeType="OMEX"/>
  <we:alternateReferences>
    <we:reference id="wa104382081" version="1.55.1.0" store="WA104382081"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BB6AD-B95E-4062-997C-2AAAEFC53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7795</Words>
  <Characters>46225</Characters>
  <Application>Microsoft Office Word</Application>
  <DocSecurity>0</DocSecurity>
  <Lines>856</Lines>
  <Paragraphs>409</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53611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ING KARINA OJEDA</cp:lastModifiedBy>
  <cp:revision>3</cp:revision>
  <cp:lastPrinted>2015-05-12T18:31:00Z</cp:lastPrinted>
  <dcterms:created xsi:type="dcterms:W3CDTF">2025-02-05T20:27:00Z</dcterms:created>
  <dcterms:modified xsi:type="dcterms:W3CDTF">2025-02-05T20:33:00Z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6th/7th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12th edition - Harvard</vt:lpwstr>
  </property>
  <property fmtid="{D5CDD505-2E9C-101B-9397-08002B2CF9AE}" pid="14" name="Mendeley Recent Style Id 5_1">
    <vt:lpwstr>http://www.zotero.org/styles/energy-and-fuels</vt:lpwstr>
  </property>
  <property fmtid="{D5CDD505-2E9C-101B-9397-08002B2CF9AE}" pid="15" name="Mendeley Recent Style Name 5_1">
    <vt:lpwstr>Energy &amp; Fuels</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4th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dbb6e7f5-275c-3313-9776-46427236e5a0</vt:lpwstr>
  </property>
  <property fmtid="{D5CDD505-2E9C-101B-9397-08002B2CF9AE}" pid="26" name="Mendeley Citation Style_1">
    <vt:lpwstr>http://www.zotero.org/styles/apa</vt:lpwstr>
  </property>
  <property fmtid="{D5CDD505-2E9C-101B-9397-08002B2CF9AE}" pid="27" name="GrammarlyDocumentId">
    <vt:lpwstr>92bd284336ca6b928c4d27b28f422b38639171bff4d457ed49f6533b08e346ce</vt:lpwstr>
  </property>
</Properties>
</file>