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025D7B18" w:rsidR="00AA7D26" w:rsidRPr="007D610D" w:rsidRDefault="00AA7D26" w:rsidP="007D610D">
            <w:pPr>
              <w:ind w:left="-107"/>
              <w:outlineLvl w:val="2"/>
              <w:rPr>
                <w:rFonts w:ascii="Tahoma" w:hAnsi="Tahoma" w:cs="Tahoma"/>
                <w:color w:val="000000"/>
                <w:sz w:val="14"/>
                <w:szCs w:val="14"/>
                <w:shd w:val="clear" w:color="auto" w:fill="FFFFFF"/>
                <w:lang w:val="it-IT"/>
              </w:rPr>
            </w:pPr>
            <w:r w:rsidRPr="007D610D">
              <w:rPr>
                <w:rFonts w:ascii="Tahoma" w:hAnsi="Tahoma" w:cs="Tahoma"/>
                <w:iCs/>
                <w:color w:val="333333"/>
                <w:sz w:val="14"/>
                <w:szCs w:val="14"/>
                <w:lang w:val="it-IT" w:eastAsia="it-IT"/>
              </w:rPr>
              <w:t>Guest Editors:</w:t>
            </w:r>
            <w:r w:rsidR="007D610D" w:rsidRPr="007D610D">
              <w:rPr>
                <w:rFonts w:ascii="Aptos" w:eastAsiaTheme="minorHAnsi" w:hAnsi="Aptos" w:cs="Aptos"/>
                <w:sz w:val="22"/>
                <w:szCs w:val="22"/>
                <w:lang w:val="it-IT"/>
                <w14:ligatures w14:val="standardContextual"/>
              </w:rPr>
              <w:t xml:space="preserve"> </w:t>
            </w:r>
            <w:r w:rsidR="007D610D" w:rsidRPr="007D610D">
              <w:rPr>
                <w:rFonts w:ascii="Tahoma" w:hAnsi="Tahoma" w:cs="Tahoma"/>
                <w:color w:val="000000"/>
                <w:sz w:val="14"/>
                <w:szCs w:val="14"/>
                <w:shd w:val="clear" w:color="auto" w:fill="FFFFFF"/>
                <w:lang w:val="it-IT"/>
              </w:rPr>
              <w:t xml:space="preserve">Fabrizio Bezzo, </w:t>
            </w:r>
            <w:r w:rsidR="001D3D32">
              <w:rPr>
                <w:rFonts w:ascii="Tahoma" w:hAnsi="Tahoma" w:cs="Tahoma"/>
                <w:color w:val="000000"/>
                <w:sz w:val="14"/>
                <w:szCs w:val="14"/>
                <w:shd w:val="clear" w:color="auto" w:fill="FFFFFF"/>
                <w:lang w:val="it-IT"/>
              </w:rPr>
              <w:t>Flavio Manenti</w:t>
            </w:r>
            <w:r w:rsidR="00304CE8">
              <w:rPr>
                <w:rFonts w:ascii="Tahoma" w:hAnsi="Tahoma" w:cs="Tahoma"/>
                <w:color w:val="000000"/>
                <w:sz w:val="14"/>
                <w:szCs w:val="14"/>
                <w:shd w:val="clear" w:color="auto" w:fill="FFFFFF"/>
                <w:lang w:val="it-IT"/>
              </w:rPr>
              <w:t>,</w:t>
            </w:r>
            <w:r w:rsidR="001D3D32">
              <w:rPr>
                <w:rFonts w:ascii="Tahoma" w:hAnsi="Tahoma" w:cs="Tahoma"/>
                <w:color w:val="000000"/>
                <w:sz w:val="14"/>
                <w:szCs w:val="14"/>
                <w:shd w:val="clear" w:color="auto" w:fill="FFFFFF"/>
                <w:lang w:val="it-IT"/>
              </w:rPr>
              <w:t xml:space="preserve"> </w:t>
            </w:r>
            <w:r w:rsidR="007D610D" w:rsidRPr="007D610D">
              <w:rPr>
                <w:rFonts w:ascii="Tahoma" w:hAnsi="Tahoma" w:cs="Tahoma"/>
                <w:color w:val="000000"/>
                <w:sz w:val="14"/>
                <w:szCs w:val="14"/>
                <w:shd w:val="clear" w:color="auto" w:fill="FFFFFF"/>
                <w:lang w:val="it-IT"/>
              </w:rPr>
              <w:t>Gabriele Pannocchia, Almerinda di Benedetto</w:t>
            </w:r>
          </w:p>
          <w:p w14:paraId="1B0F1814" w14:textId="7C54DC3A"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81206-1</w:t>
            </w:r>
            <w:r w:rsidR="00994C6A">
              <w:rPr>
                <w:rFonts w:ascii="Tahoma" w:hAnsi="Tahoma" w:cs="Tahoma"/>
                <w:sz w:val="14"/>
                <w:szCs w:val="14"/>
              </w:rPr>
              <w:t>7</w:t>
            </w:r>
            <w:r w:rsidR="003B49CD">
              <w:rPr>
                <w:rFonts w:ascii="Tahoma" w:hAnsi="Tahoma" w:cs="Tahoma"/>
                <w:sz w:val="14"/>
                <w:szCs w:val="14"/>
              </w:rPr>
              <w:t>-</w:t>
            </w:r>
            <w:r w:rsidR="00994C6A">
              <w:rPr>
                <w:rFonts w:ascii="Tahoma" w:hAnsi="Tahoma" w:cs="Tahoma"/>
                <w:sz w:val="14"/>
                <w:szCs w:val="14"/>
              </w:rPr>
              <w:t>5</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1B909DE4" w:rsidR="00E978D0" w:rsidRPr="004A0707" w:rsidRDefault="00DA2AD3" w:rsidP="00E978D0">
      <w:pPr>
        <w:pStyle w:val="CETTitle"/>
        <w:rPr>
          <w:lang w:val="en-US"/>
        </w:rPr>
      </w:pPr>
      <w:bookmarkStart w:id="1" w:name="_Hlk193120013"/>
      <w:bookmarkEnd w:id="0"/>
      <w:r w:rsidRPr="004A0707">
        <w:t xml:space="preserve">Benchmarking </w:t>
      </w:r>
      <w:r>
        <w:t>a</w:t>
      </w:r>
      <w:r w:rsidRPr="004A0707">
        <w:t xml:space="preserve">nd Trends </w:t>
      </w:r>
      <w:r>
        <w:t>a</w:t>
      </w:r>
      <w:r w:rsidRPr="004A0707">
        <w:t xml:space="preserve">round In-Situ </w:t>
      </w:r>
      <w:r>
        <w:t>a</w:t>
      </w:r>
      <w:r w:rsidRPr="004A0707">
        <w:t xml:space="preserve">nd Ex-Situ Sensors </w:t>
      </w:r>
      <w:r>
        <w:t>i</w:t>
      </w:r>
      <w:r w:rsidRPr="004A0707">
        <w:t>n Bioreactors</w:t>
      </w:r>
    </w:p>
    <w:bookmarkEnd w:id="1"/>
    <w:p w14:paraId="6B2D21B3" w14:textId="2CB8826C" w:rsidR="00B57E6F" w:rsidRPr="000D2DDA" w:rsidRDefault="004A0707" w:rsidP="004A0707">
      <w:pPr>
        <w:pStyle w:val="CETAuthors"/>
        <w:rPr>
          <w:lang w:val="es-CO"/>
        </w:rPr>
      </w:pPr>
      <w:r w:rsidRPr="000D2DDA">
        <w:rPr>
          <w:lang w:val="es-CO"/>
        </w:rPr>
        <w:t xml:space="preserve">David A. </w:t>
      </w:r>
      <w:r w:rsidRPr="000D2DDA">
        <w:rPr>
          <w:smallCaps/>
          <w:lang w:val="es-CO"/>
        </w:rPr>
        <w:t>Pineda-Rincon</w:t>
      </w:r>
      <w:r w:rsidRPr="000D2DDA">
        <w:rPr>
          <w:vertAlign w:val="superscript"/>
          <w:lang w:val="es-CO"/>
        </w:rPr>
        <w:t>a</w:t>
      </w:r>
      <w:r w:rsidR="008304F5" w:rsidRPr="000D2DDA">
        <w:rPr>
          <w:vertAlign w:val="superscript"/>
          <w:lang w:val="es-CO"/>
        </w:rPr>
        <w:t>,b</w:t>
      </w:r>
      <w:r w:rsidRPr="000D2DDA">
        <w:rPr>
          <w:lang w:val="es-CO"/>
        </w:rPr>
        <w:t>, David C</w:t>
      </w:r>
      <w:r w:rsidR="0065431D">
        <w:rPr>
          <w:lang w:val="es-CO"/>
        </w:rPr>
        <w:t>amilo</w:t>
      </w:r>
      <w:r w:rsidRPr="000D2DDA">
        <w:rPr>
          <w:lang w:val="es-CO"/>
        </w:rPr>
        <w:t xml:space="preserve"> </w:t>
      </w:r>
      <w:r w:rsidRPr="000D2DDA">
        <w:rPr>
          <w:smallCaps/>
          <w:lang w:val="es-CO"/>
        </w:rPr>
        <w:t>Corrales</w:t>
      </w:r>
      <w:r w:rsidR="00127919" w:rsidRPr="000D2DDA">
        <w:rPr>
          <w:vertAlign w:val="superscript"/>
          <w:lang w:val="es-CO"/>
        </w:rPr>
        <w:t>a,</w:t>
      </w:r>
      <w:r w:rsidRPr="000D2DDA">
        <w:rPr>
          <w:vertAlign w:val="superscript"/>
          <w:lang w:val="es-CO"/>
        </w:rPr>
        <w:t>b</w:t>
      </w:r>
      <w:r w:rsidRPr="000D2DDA">
        <w:rPr>
          <w:lang w:val="es-CO"/>
        </w:rPr>
        <w:t xml:space="preserve">, Fayza </w:t>
      </w:r>
      <w:r w:rsidRPr="000D2DDA">
        <w:rPr>
          <w:smallCaps/>
          <w:lang w:val="es-CO"/>
        </w:rPr>
        <w:t>Daboussi</w:t>
      </w:r>
      <w:r w:rsidR="00127919" w:rsidRPr="000D2DDA">
        <w:rPr>
          <w:vertAlign w:val="superscript"/>
          <w:lang w:val="es-CO"/>
        </w:rPr>
        <w:t>a</w:t>
      </w:r>
      <w:r w:rsidRPr="000D2DDA">
        <w:rPr>
          <w:lang w:val="es-CO"/>
        </w:rPr>
        <w:t xml:space="preserve">, Julien </w:t>
      </w:r>
      <w:r w:rsidRPr="000D2DDA">
        <w:rPr>
          <w:smallCaps/>
          <w:lang w:val="es-CO"/>
        </w:rPr>
        <w:t>Cescut</w:t>
      </w:r>
      <w:r w:rsidR="00127919" w:rsidRPr="000D2DDA">
        <w:rPr>
          <w:vertAlign w:val="superscript"/>
          <w:lang w:val="es-CO"/>
        </w:rPr>
        <w:t>a</w:t>
      </w:r>
      <w:r w:rsidRPr="000D2DDA">
        <w:rPr>
          <w:lang w:val="es-CO"/>
        </w:rPr>
        <w:t xml:space="preserve">, Luc </w:t>
      </w:r>
      <w:r w:rsidRPr="000D2DDA">
        <w:rPr>
          <w:smallCaps/>
          <w:lang w:val="es-CO"/>
        </w:rPr>
        <w:t>Fillaudeau</w:t>
      </w:r>
      <w:r w:rsidR="008304F5" w:rsidRPr="000D2DDA">
        <w:rPr>
          <w:vertAlign w:val="superscript"/>
          <w:lang w:val="es-CO"/>
        </w:rPr>
        <w:t>b</w:t>
      </w:r>
      <w:r w:rsidRPr="000D2DDA">
        <w:rPr>
          <w:lang w:val="es-CO"/>
        </w:rPr>
        <w:t xml:space="preserve">, César A. </w:t>
      </w:r>
      <w:r w:rsidRPr="000D2DDA">
        <w:rPr>
          <w:smallCaps/>
          <w:lang w:val="es-CO"/>
        </w:rPr>
        <w:t>Aceves-Lara</w:t>
      </w:r>
      <w:r w:rsidR="008304F5" w:rsidRPr="000D2DDA">
        <w:rPr>
          <w:vertAlign w:val="superscript"/>
          <w:lang w:val="es-CO"/>
        </w:rPr>
        <w:t>b</w:t>
      </w:r>
      <w:r w:rsidRPr="000D2DDA">
        <w:rPr>
          <w:lang w:val="es-CO"/>
        </w:rPr>
        <w:t>*</w:t>
      </w:r>
      <w:r w:rsidR="00B57E6F" w:rsidRPr="000D2DDA">
        <w:rPr>
          <w:lang w:val="es-CO"/>
        </w:rPr>
        <w:t xml:space="preserve"> </w:t>
      </w:r>
    </w:p>
    <w:p w14:paraId="58D5E7D9" w14:textId="77777777" w:rsidR="00127919" w:rsidRDefault="00127919" w:rsidP="00127919">
      <w:pPr>
        <w:pStyle w:val="CETAddress"/>
        <w:rPr>
          <w:lang w:val="fr-FR"/>
        </w:rPr>
      </w:pPr>
      <w:r w:rsidRPr="00127919">
        <w:rPr>
          <w:vertAlign w:val="superscript"/>
          <w:lang w:val="fr-FR"/>
        </w:rPr>
        <w:t>a</w:t>
      </w:r>
      <w:r w:rsidR="00B57E6F" w:rsidRPr="00127919">
        <w:rPr>
          <w:lang w:val="fr-FR"/>
        </w:rPr>
        <w:t xml:space="preserve"> </w:t>
      </w:r>
      <w:r w:rsidRPr="00127919">
        <w:rPr>
          <w:lang w:val="fr-FR"/>
        </w:rPr>
        <w:t xml:space="preserve">INRAE, UMS (1337) TWB, 135 Avenue de Rangueil, 31077 Toulouse, France </w:t>
      </w:r>
    </w:p>
    <w:p w14:paraId="09F7A123" w14:textId="035A503C" w:rsidR="00127919" w:rsidRPr="00127919" w:rsidRDefault="00127919" w:rsidP="00127919">
      <w:pPr>
        <w:pStyle w:val="CETAddress"/>
        <w:rPr>
          <w:lang w:val="fr-FR"/>
        </w:rPr>
      </w:pPr>
      <w:r w:rsidRPr="00127919">
        <w:rPr>
          <w:vertAlign w:val="superscript"/>
          <w:lang w:val="fr-FR"/>
        </w:rPr>
        <w:t>b</w:t>
      </w:r>
      <w:r w:rsidR="00DA2AD3">
        <w:rPr>
          <w:vertAlign w:val="superscript"/>
          <w:lang w:val="fr-FR"/>
        </w:rPr>
        <w:t xml:space="preserve"> </w:t>
      </w:r>
      <w:r w:rsidRPr="00127919">
        <w:rPr>
          <w:lang w:val="fr-FR"/>
        </w:rPr>
        <w:t>TBI, Université de Toulouse, CNRS</w:t>
      </w:r>
      <w:r w:rsidR="008304F5">
        <w:rPr>
          <w:lang w:val="fr-FR"/>
        </w:rPr>
        <w:t xml:space="preserve"> UMR5504</w:t>
      </w:r>
      <w:r w:rsidRPr="00127919">
        <w:rPr>
          <w:lang w:val="fr-FR"/>
        </w:rPr>
        <w:t>, INRAE</w:t>
      </w:r>
      <w:r w:rsidR="008304F5">
        <w:rPr>
          <w:lang w:val="fr-FR"/>
        </w:rPr>
        <w:t xml:space="preserve"> UMR792</w:t>
      </w:r>
      <w:r w:rsidRPr="00127919">
        <w:rPr>
          <w:lang w:val="fr-FR"/>
        </w:rPr>
        <w:t xml:space="preserve">, INSA, Toulouse, France </w:t>
      </w:r>
    </w:p>
    <w:p w14:paraId="22654EDC" w14:textId="55E4BCB8" w:rsidR="00127919" w:rsidRDefault="00DA2AD3" w:rsidP="00127919">
      <w:pPr>
        <w:pStyle w:val="CETAddress"/>
      </w:pPr>
      <w:r w:rsidRPr="00DA2AD3">
        <w:rPr>
          <w:vertAlign w:val="superscript"/>
        </w:rPr>
        <w:t>*</w:t>
      </w:r>
      <w:r>
        <w:t xml:space="preserve"> </w:t>
      </w:r>
      <w:r w:rsidR="00127919">
        <w:t xml:space="preserve">Corresponding author: </w:t>
      </w:r>
      <w:hyperlink r:id="rId10" w:history="1">
        <w:r w:rsidR="00127919" w:rsidRPr="008E40D5">
          <w:rPr>
            <w:rStyle w:val="Lienhypertexte"/>
          </w:rPr>
          <w:t>aceves@insa-toulouse.fr</w:t>
        </w:r>
      </w:hyperlink>
    </w:p>
    <w:p w14:paraId="73F1267A" w14:textId="0A68FABC" w:rsidR="00B57E6F" w:rsidRPr="00127919" w:rsidRDefault="00B57E6F" w:rsidP="00127919">
      <w:pPr>
        <w:pStyle w:val="CETAddress"/>
        <w:rPr>
          <w:lang w:val="en-US"/>
        </w:rPr>
      </w:pPr>
    </w:p>
    <w:p w14:paraId="7906520C" w14:textId="73E81B17" w:rsidR="002E1F4E" w:rsidRPr="002E1F4E" w:rsidRDefault="00127919" w:rsidP="0052206A">
      <w:pPr>
        <w:pStyle w:val="CETBodytext"/>
        <w:rPr>
          <w:b/>
          <w:sz w:val="20"/>
          <w:lang w:val="en-GB"/>
        </w:rPr>
      </w:pPr>
      <w:r w:rsidRPr="00127919">
        <w:rPr>
          <w:lang w:val="en-GB"/>
        </w:rPr>
        <w:t xml:space="preserve">This work presents a benchmark of bioreactor instrumentation and describe its relationship to critical biotic variables, exploring technologies of sensors, control loops, and the integration of 4.0 technologies, such as artificial intelligence </w:t>
      </w:r>
      <w:r w:rsidR="008304F5">
        <w:rPr>
          <w:lang w:val="en-GB"/>
        </w:rPr>
        <w:t xml:space="preserve">(AI) </w:t>
      </w:r>
      <w:r w:rsidRPr="00127919">
        <w:rPr>
          <w:lang w:val="en-GB"/>
        </w:rPr>
        <w:t>and Internet of Things</w:t>
      </w:r>
      <w:r w:rsidR="008304F5">
        <w:rPr>
          <w:lang w:val="en-GB"/>
        </w:rPr>
        <w:t xml:space="preserve"> (IoT)</w:t>
      </w:r>
      <w:r w:rsidRPr="00127919">
        <w:rPr>
          <w:lang w:val="en-GB"/>
        </w:rPr>
        <w:t xml:space="preserve">. A review of literature </w:t>
      </w:r>
      <w:r w:rsidR="008304F5">
        <w:rPr>
          <w:lang w:val="en-GB"/>
        </w:rPr>
        <w:t xml:space="preserve">through scientific database </w:t>
      </w:r>
      <w:r w:rsidRPr="00127919">
        <w:rPr>
          <w:lang w:val="en-GB"/>
        </w:rPr>
        <w:t>was conducted</w:t>
      </w:r>
      <w:r w:rsidR="008304F5">
        <w:rPr>
          <w:lang w:val="en-GB"/>
        </w:rPr>
        <w:t xml:space="preserve"> with accurate</w:t>
      </w:r>
      <w:r w:rsidRPr="00127919">
        <w:rPr>
          <w:lang w:val="en-GB"/>
        </w:rPr>
        <w:t xml:space="preserve"> method</w:t>
      </w:r>
      <w:r w:rsidR="008304F5">
        <w:rPr>
          <w:lang w:val="en-GB"/>
        </w:rPr>
        <w:t>ology</w:t>
      </w:r>
      <w:r w:rsidRPr="000F2E56">
        <w:rPr>
          <w:lang w:val="en-GB"/>
        </w:rPr>
        <w:t xml:space="preserve">. </w:t>
      </w:r>
      <w:r w:rsidR="009956F4" w:rsidRPr="000F2E56">
        <w:rPr>
          <w:lang w:val="en-GB"/>
        </w:rPr>
        <w:t>Out of 28,200 papers retrieved in the bibliographic search</w:t>
      </w:r>
      <w:r w:rsidRPr="000F2E56">
        <w:rPr>
          <w:lang w:val="en-GB"/>
        </w:rPr>
        <w:t xml:space="preserve">, the most relevant ones were </w:t>
      </w:r>
      <w:r w:rsidR="008304F5" w:rsidRPr="000F2E56">
        <w:rPr>
          <w:lang w:val="en-GB"/>
        </w:rPr>
        <w:t xml:space="preserve">extracted and </w:t>
      </w:r>
      <w:r w:rsidRPr="000F2E56">
        <w:rPr>
          <w:lang w:val="en-GB"/>
        </w:rPr>
        <w:t xml:space="preserve">classified, arriving at a working database of </w:t>
      </w:r>
      <w:r w:rsidR="009956F4" w:rsidRPr="000F2E56">
        <w:rPr>
          <w:lang w:val="en-GB"/>
        </w:rPr>
        <w:t>89</w:t>
      </w:r>
      <w:r w:rsidRPr="000F2E56">
        <w:rPr>
          <w:lang w:val="en-GB"/>
        </w:rPr>
        <w:t xml:space="preserve"> </w:t>
      </w:r>
      <w:r w:rsidRPr="00127919">
        <w:rPr>
          <w:lang w:val="en-GB"/>
        </w:rPr>
        <w:t xml:space="preserve">articles from which 130 instruments were </w:t>
      </w:r>
      <w:r w:rsidR="005835EE" w:rsidRPr="00127919">
        <w:rPr>
          <w:lang w:val="en-GB"/>
        </w:rPr>
        <w:t>analysed</w:t>
      </w:r>
      <w:r w:rsidRPr="00127919">
        <w:rPr>
          <w:lang w:val="en-GB"/>
        </w:rPr>
        <w:t xml:space="preserve"> and referenced.</w:t>
      </w:r>
      <w:r w:rsidR="0052206A">
        <w:rPr>
          <w:lang w:val="en-GB"/>
        </w:rPr>
        <w:t xml:space="preserve"> T</w:t>
      </w:r>
      <w:r w:rsidR="0052206A" w:rsidRPr="0052206A">
        <w:rPr>
          <w:lang w:val="en-GB"/>
        </w:rPr>
        <w:t xml:space="preserve">his benchmark highlighted significant advancements in Bioindustry 4.0, particularly trends surrounding in-situ and ex-situ sensors. Six major trends were identified, including the adoption of Process Analytical Technology (PAT) nomenclature, the growing use of optical and integrative instruments for real-time data, the vital role of soft sensors that estimate unmeasured variables, and the integration of AI into bioprocess monitoring and control. While these developments indicate a shift toward a more automated and adaptable biotechnology landscape, challenges such as data processing and scaling of sensor technologies remain. </w:t>
      </w:r>
      <w:r w:rsidR="00F23CF7">
        <w:rPr>
          <w:lang w:val="en-GB"/>
        </w:rPr>
        <w:t>I</w:t>
      </w:r>
      <w:r w:rsidRPr="00127919">
        <w:rPr>
          <w:lang w:val="en-GB"/>
        </w:rPr>
        <w:t xml:space="preserve">n summary, this research provides a comprehensive perspective on the evolution of instrumentation </w:t>
      </w:r>
      <w:r w:rsidR="005835EE">
        <w:rPr>
          <w:lang w:val="en-GB"/>
        </w:rPr>
        <w:t xml:space="preserve">into bioprocess </w:t>
      </w:r>
      <w:r w:rsidRPr="00127919">
        <w:rPr>
          <w:lang w:val="en-GB"/>
        </w:rPr>
        <w:t>and highlights the importance of emerging technologies in the move towards a faster, easier, more sustainable, integrated, smarter and more efficient bioindustry.</w:t>
      </w:r>
    </w:p>
    <w:p w14:paraId="476B2F2E" w14:textId="435D9ABE" w:rsidR="00600535" w:rsidRPr="00B57B36" w:rsidRDefault="00600535" w:rsidP="00127919">
      <w:pPr>
        <w:pStyle w:val="CETHeading1"/>
        <w:rPr>
          <w:lang w:val="en-GB"/>
        </w:rPr>
      </w:pPr>
      <w:r w:rsidRPr="00B57B36">
        <w:rPr>
          <w:lang w:val="en-GB"/>
        </w:rPr>
        <w:t>Introduction</w:t>
      </w:r>
    </w:p>
    <w:p w14:paraId="7FD0B1F6" w14:textId="65E09A1C" w:rsidR="00E32702" w:rsidRDefault="00E32702" w:rsidP="00EA4682">
      <w:pPr>
        <w:pStyle w:val="CETBodytext"/>
        <w:rPr>
          <w:lang w:val="en-GB"/>
        </w:rPr>
      </w:pPr>
      <w:r w:rsidRPr="00E32702">
        <w:rPr>
          <w:lang w:val="en-GB"/>
        </w:rPr>
        <w:t>Since the beginning of the 21</w:t>
      </w:r>
      <w:r w:rsidRPr="004F241C">
        <w:rPr>
          <w:vertAlign w:val="superscript"/>
          <w:lang w:val="en-GB"/>
        </w:rPr>
        <w:t>st</w:t>
      </w:r>
      <w:r w:rsidRPr="00E32702">
        <w:rPr>
          <w:lang w:val="en-GB"/>
        </w:rPr>
        <w:t xml:space="preserve"> century, the biotechnology market and bioprocessing have been growing quickly </w:t>
      </w:r>
      <w:r w:rsidR="00952A8A">
        <w:rPr>
          <w:lang w:val="en-GB"/>
        </w:rPr>
        <w:t>(</w:t>
      </w:r>
      <w:r w:rsidR="00952A8A" w:rsidRPr="00952A8A">
        <w:rPr>
          <w:lang w:val="en-GB"/>
        </w:rPr>
        <w:t>Martin et al</w:t>
      </w:r>
      <w:r w:rsidRPr="00E32702">
        <w:rPr>
          <w:lang w:val="en-GB"/>
        </w:rPr>
        <w:t>.</w:t>
      </w:r>
      <w:r w:rsidR="00952A8A">
        <w:rPr>
          <w:lang w:val="en-GB"/>
        </w:rPr>
        <w:t xml:space="preserve"> 2021)</w:t>
      </w:r>
      <w:r w:rsidR="00DA2AD3">
        <w:rPr>
          <w:lang w:val="en-GB"/>
        </w:rPr>
        <w:t>.</w:t>
      </w:r>
      <w:r w:rsidR="00880BE3">
        <w:rPr>
          <w:lang w:val="en-GB"/>
        </w:rPr>
        <w:t xml:space="preserve"> </w:t>
      </w:r>
      <w:r w:rsidR="0049681C">
        <w:rPr>
          <w:lang w:val="en-GB"/>
        </w:rPr>
        <w:t>The development of</w:t>
      </w:r>
      <w:r w:rsidR="0049681C" w:rsidRPr="009F3F46">
        <w:rPr>
          <w:lang w:val="en-GB"/>
        </w:rPr>
        <w:t xml:space="preserve"> </w:t>
      </w:r>
      <w:r w:rsidR="0049681C">
        <w:rPr>
          <w:lang w:val="en-GB"/>
        </w:rPr>
        <w:t xml:space="preserve">breakthrough technologies like </w:t>
      </w:r>
      <w:r w:rsidR="0049681C" w:rsidRPr="00E32702">
        <w:rPr>
          <w:lang w:val="en-GB"/>
        </w:rPr>
        <w:t xml:space="preserve">CRISPR-CAS9 </w:t>
      </w:r>
      <w:r w:rsidR="0049681C">
        <w:rPr>
          <w:lang w:val="en-GB"/>
        </w:rPr>
        <w:t xml:space="preserve">genome editing has revolutionized microbiology field. Introducing mutations or inserting genes </w:t>
      </w:r>
      <w:r w:rsidR="0049681C" w:rsidRPr="00E32702">
        <w:rPr>
          <w:lang w:val="en-GB"/>
        </w:rPr>
        <w:t xml:space="preserve">to </w:t>
      </w:r>
      <w:r w:rsidR="0049681C">
        <w:rPr>
          <w:lang w:val="en-GB"/>
        </w:rPr>
        <w:t xml:space="preserve">rewire the metabolism of microorganisms </w:t>
      </w:r>
      <w:r w:rsidR="0049681C" w:rsidRPr="00E32702">
        <w:rPr>
          <w:lang w:val="en-GB"/>
        </w:rPr>
        <w:t xml:space="preserve">has become increasingly easy and efficient. </w:t>
      </w:r>
      <w:r w:rsidRPr="00E32702">
        <w:rPr>
          <w:lang w:val="en-GB"/>
        </w:rPr>
        <w:t xml:space="preserve">However, these </w:t>
      </w:r>
      <w:r w:rsidR="005835EE">
        <w:rPr>
          <w:lang w:val="en-GB"/>
        </w:rPr>
        <w:t>bio-</w:t>
      </w:r>
      <w:r w:rsidRPr="00E32702">
        <w:rPr>
          <w:lang w:val="en-GB"/>
        </w:rPr>
        <w:t xml:space="preserve">machines </w:t>
      </w:r>
      <w:r w:rsidR="005835EE">
        <w:rPr>
          <w:lang w:val="en-GB"/>
        </w:rPr>
        <w:t>require</w:t>
      </w:r>
      <w:r w:rsidRPr="00E32702">
        <w:rPr>
          <w:lang w:val="en-GB"/>
        </w:rPr>
        <w:t xml:space="preserve"> optimal</w:t>
      </w:r>
      <w:r w:rsidR="005835EE">
        <w:rPr>
          <w:lang w:val="en-GB"/>
        </w:rPr>
        <w:t xml:space="preserve"> </w:t>
      </w:r>
      <w:proofErr w:type="spellStart"/>
      <w:r w:rsidR="005835EE">
        <w:rPr>
          <w:lang w:val="en-GB"/>
        </w:rPr>
        <w:t>physico</w:t>
      </w:r>
      <w:proofErr w:type="spellEnd"/>
      <w:r w:rsidR="005835EE">
        <w:rPr>
          <w:lang w:val="en-GB"/>
        </w:rPr>
        <w:t>-chemical conditions such as</w:t>
      </w:r>
      <w:r w:rsidRPr="00E32702">
        <w:rPr>
          <w:lang w:val="en-GB"/>
        </w:rPr>
        <w:t xml:space="preserve"> oxygen, </w:t>
      </w:r>
      <w:r w:rsidR="005835EE">
        <w:rPr>
          <w:lang w:val="en-GB"/>
        </w:rPr>
        <w:t xml:space="preserve">substrate, mixing, temperature, </w:t>
      </w:r>
      <w:r w:rsidRPr="00E32702">
        <w:rPr>
          <w:lang w:val="en-GB"/>
        </w:rPr>
        <w:t>pH</w:t>
      </w:r>
      <w:r w:rsidR="005835EE">
        <w:rPr>
          <w:lang w:val="en-GB"/>
        </w:rPr>
        <w:t>…</w:t>
      </w:r>
      <w:r w:rsidRPr="00E32702">
        <w:rPr>
          <w:lang w:val="en-GB"/>
        </w:rPr>
        <w:t xml:space="preserve"> This is why bioprocesses are being tilted towards a technological evolution that allows not only to ensure the quality and quantity of a product, but also that allows a fast way towards the screening of strains to optimize all the process. Therefore, the process instrumentation must be </w:t>
      </w:r>
      <w:r w:rsidR="007C2ED4">
        <w:rPr>
          <w:lang w:val="en-GB"/>
        </w:rPr>
        <w:t>adapted</w:t>
      </w:r>
      <w:r w:rsidRPr="00E32702">
        <w:rPr>
          <w:lang w:val="en-GB"/>
        </w:rPr>
        <w:t xml:space="preserve"> to meet the characteristics expected by the industry.</w:t>
      </w:r>
      <w:r w:rsidR="006B6BE9">
        <w:rPr>
          <w:lang w:val="en-GB"/>
        </w:rPr>
        <w:t xml:space="preserve"> </w:t>
      </w:r>
      <w:r w:rsidRPr="00E32702">
        <w:rPr>
          <w:lang w:val="en-GB"/>
        </w:rPr>
        <w:t xml:space="preserve">This was reflected in the PAT initiative </w:t>
      </w:r>
      <w:r w:rsidR="001C284E">
        <w:rPr>
          <w:lang w:val="en-GB"/>
        </w:rPr>
        <w:t>(</w:t>
      </w:r>
      <w:r w:rsidR="00E375AD" w:rsidRPr="00E32702">
        <w:rPr>
          <w:lang w:val="en-GB"/>
        </w:rPr>
        <w:t xml:space="preserve">U.S. Food and Drug Administration </w:t>
      </w:r>
      <w:r w:rsidRPr="00E32702">
        <w:rPr>
          <w:lang w:val="en-GB"/>
        </w:rPr>
        <w:t>2004</w:t>
      </w:r>
      <w:r w:rsidR="001C284E">
        <w:rPr>
          <w:lang w:val="en-GB"/>
        </w:rPr>
        <w:t>)</w:t>
      </w:r>
      <w:r w:rsidRPr="00E32702">
        <w:rPr>
          <w:lang w:val="en-GB"/>
        </w:rPr>
        <w:t xml:space="preserve">. The purpose of this new technology is "to be a system for designing, </w:t>
      </w:r>
      <w:r w:rsidR="005835EE" w:rsidRPr="00E32702">
        <w:rPr>
          <w:lang w:val="en-GB"/>
        </w:rPr>
        <w:t>analysing</w:t>
      </w:r>
      <w:r w:rsidRPr="00E32702">
        <w:rPr>
          <w:lang w:val="en-GB"/>
        </w:rPr>
        <w:t xml:space="preserve">, and controlling manufacturing through timely measurements (i.e., during processing) of critical quality and performance attributes of raw and in-process materials and processes, with the goal of ensuring final product quality" </w:t>
      </w:r>
      <w:r w:rsidR="001C284E">
        <w:rPr>
          <w:lang w:val="en-GB"/>
        </w:rPr>
        <w:t>(</w:t>
      </w:r>
      <w:r w:rsidR="00D234BD" w:rsidRPr="00E32702">
        <w:rPr>
          <w:lang w:val="en-GB"/>
        </w:rPr>
        <w:t>U.S. Food and Drug Administration</w:t>
      </w:r>
      <w:r w:rsidR="00D234BD">
        <w:rPr>
          <w:lang w:val="en-GB"/>
        </w:rPr>
        <w:t xml:space="preserve"> </w:t>
      </w:r>
      <w:r w:rsidR="00D234BD" w:rsidRPr="00E32702">
        <w:rPr>
          <w:lang w:val="en-GB"/>
        </w:rPr>
        <w:t>2004</w:t>
      </w:r>
      <w:r w:rsidR="001C284E">
        <w:rPr>
          <w:lang w:val="en-GB"/>
        </w:rPr>
        <w:t>)</w:t>
      </w:r>
      <w:r w:rsidRPr="00E32702">
        <w:rPr>
          <w:lang w:val="en-GB"/>
        </w:rPr>
        <w:t xml:space="preserve">. In other words, the aim is to have an instrumentation </w:t>
      </w:r>
      <w:r w:rsidR="005835EE">
        <w:rPr>
          <w:lang w:val="en-GB"/>
        </w:rPr>
        <w:t xml:space="preserve">able to </w:t>
      </w:r>
      <w:r w:rsidRPr="00E32702">
        <w:rPr>
          <w:lang w:val="en-GB"/>
        </w:rPr>
        <w:t>describ</w:t>
      </w:r>
      <w:r w:rsidR="005835EE">
        <w:rPr>
          <w:lang w:val="en-GB"/>
        </w:rPr>
        <w:t>e</w:t>
      </w:r>
      <w:r w:rsidRPr="00E32702">
        <w:rPr>
          <w:lang w:val="en-GB"/>
        </w:rPr>
        <w:t xml:space="preserve"> the real-time variables in a bioprocess in order to have timely and rigorous control. The PAT initiative seeks to ensure the quality of biomanufacturing processes by design (</w:t>
      </w:r>
      <w:proofErr w:type="spellStart"/>
      <w:r w:rsidRPr="00E32702">
        <w:rPr>
          <w:lang w:val="en-GB"/>
        </w:rPr>
        <w:t>QbD</w:t>
      </w:r>
      <w:proofErr w:type="spellEnd"/>
      <w:r w:rsidRPr="00E32702">
        <w:rPr>
          <w:lang w:val="en-GB"/>
        </w:rPr>
        <w:t xml:space="preserve">) </w:t>
      </w:r>
      <w:r w:rsidR="003231D1">
        <w:rPr>
          <w:lang w:val="en-GB"/>
        </w:rPr>
        <w:t>(</w:t>
      </w:r>
      <w:proofErr w:type="spellStart"/>
      <w:r w:rsidR="003231D1" w:rsidRPr="00D234BD">
        <w:rPr>
          <w:lang w:val="en-GB"/>
        </w:rPr>
        <w:t>Gerzon</w:t>
      </w:r>
      <w:proofErr w:type="spellEnd"/>
      <w:r w:rsidR="003231D1">
        <w:rPr>
          <w:lang w:val="en-GB"/>
        </w:rPr>
        <w:t xml:space="preserve"> </w:t>
      </w:r>
      <w:r w:rsidR="003231D1" w:rsidRPr="004F241C">
        <w:rPr>
          <w:i/>
          <w:iCs/>
          <w:lang w:val="en-GB"/>
        </w:rPr>
        <w:t>et al.</w:t>
      </w:r>
      <w:r w:rsidR="003231D1">
        <w:rPr>
          <w:lang w:val="en-GB"/>
        </w:rPr>
        <w:t xml:space="preserve"> 2022)</w:t>
      </w:r>
      <w:r w:rsidRPr="00E32702">
        <w:rPr>
          <w:lang w:val="en-GB"/>
        </w:rPr>
        <w:t>, keeping them standardized from their conception to their implementation and control, thanks to a deep technical knowledge of the system's specifications.</w:t>
      </w:r>
      <w:r w:rsidR="00046066">
        <w:rPr>
          <w:lang w:val="en-GB"/>
        </w:rPr>
        <w:t xml:space="preserve"> </w:t>
      </w:r>
      <w:r w:rsidRPr="00E32702">
        <w:rPr>
          <w:lang w:val="en-GB"/>
        </w:rPr>
        <w:t xml:space="preserve">The post-pandemic effect also highlighted the importance of implementing PAT technologies, "the consequences of the pandemic helped biopharmaceutical industries to understand the necessity of innovation in process understanding and control, and its importance to competitively create and understand new biological products and scale-up for quick development and validation of both upstream </w:t>
      </w:r>
      <w:r w:rsidR="00502ECC">
        <w:rPr>
          <w:lang w:val="en-GB"/>
        </w:rPr>
        <w:t xml:space="preserve">(USP) </w:t>
      </w:r>
      <w:r w:rsidRPr="00E32702">
        <w:rPr>
          <w:lang w:val="en-GB"/>
        </w:rPr>
        <w:t xml:space="preserve">and downstream </w:t>
      </w:r>
      <w:r w:rsidR="00502ECC">
        <w:rPr>
          <w:lang w:val="en-GB"/>
        </w:rPr>
        <w:t xml:space="preserve">(DSP) </w:t>
      </w:r>
      <w:r w:rsidRPr="00E32702">
        <w:rPr>
          <w:lang w:val="en-GB"/>
        </w:rPr>
        <w:t xml:space="preserve">processes to develop biological </w:t>
      </w:r>
      <w:r w:rsidRPr="00E32702">
        <w:rPr>
          <w:lang w:val="en-GB"/>
        </w:rPr>
        <w:lastRenderedPageBreak/>
        <w:t xml:space="preserve">products in response to medical need" </w:t>
      </w:r>
      <w:r w:rsidR="00D234BD">
        <w:rPr>
          <w:lang w:val="en-GB"/>
        </w:rPr>
        <w:t>(</w:t>
      </w:r>
      <w:proofErr w:type="spellStart"/>
      <w:r w:rsidR="00D234BD" w:rsidRPr="00D234BD">
        <w:rPr>
          <w:lang w:val="en-GB"/>
        </w:rPr>
        <w:t>Gerzon</w:t>
      </w:r>
      <w:proofErr w:type="spellEnd"/>
      <w:r w:rsidR="00D234BD">
        <w:rPr>
          <w:lang w:val="en-GB"/>
        </w:rPr>
        <w:t xml:space="preserve"> et al. 2022)</w:t>
      </w:r>
      <w:r w:rsidRPr="00E32702">
        <w:rPr>
          <w:lang w:val="en-GB"/>
        </w:rPr>
        <w:t>. Nevertheless, it is important to mention that several questions arise from this accelerated evolution. In particular, how and in what way this emerging technology is being related to bioprocessing and its dynamics.</w:t>
      </w:r>
      <w:r w:rsidR="00A02FC8">
        <w:rPr>
          <w:lang w:val="en-GB"/>
        </w:rPr>
        <w:t xml:space="preserve"> </w:t>
      </w:r>
      <w:r w:rsidR="00A02FC8" w:rsidRPr="00A02FC8">
        <w:rPr>
          <w:lang w:val="en-GB"/>
        </w:rPr>
        <w:t>This document will present a referential of the state of the art of bioreactors instrumentation.</w:t>
      </w:r>
    </w:p>
    <w:p w14:paraId="5741900F" w14:textId="28F8E397" w:rsidR="00453E24" w:rsidRDefault="00960B5B" w:rsidP="00EA4682">
      <w:pPr>
        <w:pStyle w:val="CETHeading1"/>
        <w:spacing w:before="0"/>
      </w:pPr>
      <w:r w:rsidRPr="00960B5B">
        <w:t>Methodology</w:t>
      </w:r>
      <w:r w:rsidR="00453E24">
        <w:t xml:space="preserve"> </w:t>
      </w:r>
    </w:p>
    <w:p w14:paraId="3F958611" w14:textId="46DAC8C4" w:rsidR="00960B5B" w:rsidRDefault="00461395" w:rsidP="00960B5B">
      <w:pPr>
        <w:pStyle w:val="CETBodytext"/>
      </w:pPr>
      <w:r w:rsidRPr="00461395">
        <w:t xml:space="preserve">In this study, we have adopted different </w:t>
      </w:r>
      <w:r w:rsidR="008D3379">
        <w:t>steps</w:t>
      </w:r>
      <w:r w:rsidR="002E3B83">
        <w:t xml:space="preserve"> </w:t>
      </w:r>
      <w:r w:rsidRPr="00461395">
        <w:t xml:space="preserve">of a systematic </w:t>
      </w:r>
      <w:r w:rsidR="008D3379">
        <w:t>mapping</w:t>
      </w:r>
      <w:r w:rsidRPr="00461395">
        <w:t xml:space="preserve"> based on the methodology proposed by Petersen</w:t>
      </w:r>
      <w:r w:rsidR="00740AC5">
        <w:t xml:space="preserve"> et al. (2015)</w:t>
      </w:r>
      <w:r w:rsidR="00960B5B">
        <w:t>.</w:t>
      </w:r>
      <w:r w:rsidR="008D3379">
        <w:t xml:space="preserve"> </w:t>
      </w:r>
      <w:r w:rsidR="008D3379" w:rsidRPr="008D3379">
        <w:t>The aim of a systematic mapping is to provide an overview of a research area by building a classification scheme and structuring evidences on a research field</w:t>
      </w:r>
      <w:r w:rsidR="008D3379">
        <w:t>.</w:t>
      </w:r>
      <w:r w:rsidR="00C30C81">
        <w:t xml:space="preserve"> </w:t>
      </w:r>
      <w:r w:rsidR="00C30C81" w:rsidRPr="00C30C81">
        <w:t xml:space="preserve">In our case, </w:t>
      </w:r>
      <w:r w:rsidR="00740AC5">
        <w:t>t</w:t>
      </w:r>
      <w:r w:rsidR="00424577" w:rsidRPr="00424577">
        <w:t>he initial stage of the process entails the identification of two principal categories of defining keywords (KWs) and queries. The keywords were established prior to conducting an analysis of the literature. The initial keyword set, comprising "</w:t>
      </w:r>
      <w:r w:rsidR="00424577" w:rsidRPr="00740AC5">
        <w:rPr>
          <w:i/>
          <w:iCs/>
        </w:rPr>
        <w:t>Instrumentation</w:t>
      </w:r>
      <w:r w:rsidR="00424577" w:rsidRPr="00424577">
        <w:t>"</w:t>
      </w:r>
      <w:r w:rsidR="00424577">
        <w:t>,</w:t>
      </w:r>
      <w:r w:rsidR="00424577" w:rsidRPr="00424577">
        <w:t xml:space="preserve"> "</w:t>
      </w:r>
      <w:r w:rsidR="00424577" w:rsidRPr="00740AC5">
        <w:rPr>
          <w:i/>
          <w:iCs/>
        </w:rPr>
        <w:t>Sensor</w:t>
      </w:r>
      <w:r w:rsidR="00424577" w:rsidRPr="00424577">
        <w:t>"</w:t>
      </w:r>
      <w:r w:rsidR="00424577">
        <w:t>,</w:t>
      </w:r>
      <w:r w:rsidR="00424577" w:rsidRPr="00424577">
        <w:t xml:space="preserve"> "</w:t>
      </w:r>
      <w:r w:rsidR="00424577" w:rsidRPr="00740AC5">
        <w:rPr>
          <w:i/>
          <w:iCs/>
        </w:rPr>
        <w:t>Actuator</w:t>
      </w:r>
      <w:r w:rsidR="00424577" w:rsidRPr="00424577">
        <w:t>" and "</w:t>
      </w:r>
      <w:r w:rsidR="00424577" w:rsidRPr="00740AC5">
        <w:rPr>
          <w:i/>
          <w:iCs/>
        </w:rPr>
        <w:t>Control</w:t>
      </w:r>
      <w:r w:rsidR="00424577" w:rsidRPr="00424577">
        <w:t xml:space="preserve">," ensures that only research </w:t>
      </w:r>
      <w:r w:rsidR="00CA2D1B">
        <w:t>scientific papers</w:t>
      </w:r>
      <w:r w:rsidR="00424577" w:rsidRPr="00424577">
        <w:t xml:space="preserve"> </w:t>
      </w:r>
      <w:r w:rsidR="00CA2D1B">
        <w:t>corresponding</w:t>
      </w:r>
      <w:r w:rsidR="00424577" w:rsidRPr="00424577">
        <w:t xml:space="preserve"> to control loop components, such as sensors, actuators, or controllers, are retrieved. The subsequent keyword set, consisting of "</w:t>
      </w:r>
      <w:r w:rsidR="00424577" w:rsidRPr="00740AC5">
        <w:rPr>
          <w:i/>
          <w:iCs/>
        </w:rPr>
        <w:t>Bioprocess</w:t>
      </w:r>
      <w:r w:rsidR="00424577" w:rsidRPr="00424577">
        <w:t>," "</w:t>
      </w:r>
      <w:r w:rsidR="00424577" w:rsidRPr="00740AC5">
        <w:rPr>
          <w:i/>
          <w:iCs/>
        </w:rPr>
        <w:t>Bioreactor</w:t>
      </w:r>
      <w:r w:rsidR="00424577" w:rsidRPr="00424577">
        <w:t>," "</w:t>
      </w:r>
      <w:r w:rsidR="00424577" w:rsidRPr="00740AC5">
        <w:rPr>
          <w:i/>
          <w:iCs/>
        </w:rPr>
        <w:t>Biotechnology</w:t>
      </w:r>
      <w:r w:rsidR="00424577" w:rsidRPr="00424577">
        <w:t>," and "</w:t>
      </w:r>
      <w:r w:rsidR="00424577" w:rsidRPr="00740AC5">
        <w:rPr>
          <w:i/>
          <w:iCs/>
        </w:rPr>
        <w:t>PAT</w:t>
      </w:r>
      <w:r w:rsidR="00424577" w:rsidRPr="00424577">
        <w:t xml:space="preserve">," </w:t>
      </w:r>
      <w:r w:rsidR="00CA2D1B">
        <w:t>focus</w:t>
      </w:r>
      <w:r w:rsidR="00424577" w:rsidRPr="00424577">
        <w:t xml:space="preserve"> the scope to instrumentation relevant to the biotechnology</w:t>
      </w:r>
      <w:r w:rsidR="00CA2D1B">
        <w:t xml:space="preserve"> or pharmaceutical</w:t>
      </w:r>
      <w:r w:rsidR="00424577" w:rsidRPr="00424577">
        <w:t xml:space="preserve"> industries</w:t>
      </w:r>
      <w:r w:rsidR="00960B5B">
        <w:t xml:space="preserve">. </w:t>
      </w:r>
      <w:r w:rsidR="00944C7F" w:rsidRPr="00944C7F">
        <w:t xml:space="preserve">Once the two sets had been defined, the initial general search profile was established. This profile is broad in scope and aims to capture as much information as possible about instrumentation in bioprocesses. However, to provide more detailed insights based on specific variables, additional refined </w:t>
      </w:r>
      <w:r w:rsidR="008C4D71">
        <w:t>query</w:t>
      </w:r>
      <w:r w:rsidR="00944C7F" w:rsidRPr="00944C7F">
        <w:t xml:space="preserve"> profiles were created. The inclusion of specific keyword sets was determined after the first research iteration to facilitate a deeper investigation (Table 1).</w:t>
      </w:r>
      <w:r w:rsidR="00EA4682">
        <w:t xml:space="preserve"> </w:t>
      </w:r>
      <w:r w:rsidR="00442F46">
        <w:t>T</w:t>
      </w:r>
      <w:r w:rsidR="00960B5B">
        <w:t xml:space="preserve">hree </w:t>
      </w:r>
      <w:r w:rsidR="00925E12">
        <w:t xml:space="preserve">scientific </w:t>
      </w:r>
      <w:r w:rsidR="00960B5B">
        <w:t xml:space="preserve">databases were chosen for </w:t>
      </w:r>
      <w:r w:rsidR="00442F46">
        <w:t xml:space="preserve">this </w:t>
      </w:r>
      <w:r w:rsidR="00960B5B">
        <w:t>research</w:t>
      </w:r>
      <w:r w:rsidR="00E375AD">
        <w:t xml:space="preserve"> </w:t>
      </w:r>
      <w:r w:rsidR="00AF3599" w:rsidRPr="00AF3599">
        <w:t xml:space="preserve">to </w:t>
      </w:r>
      <w:proofErr w:type="spellStart"/>
      <w:r w:rsidR="00AF3599" w:rsidRPr="00AF3599">
        <w:t>analyse</w:t>
      </w:r>
      <w:proofErr w:type="spellEnd"/>
      <w:r w:rsidR="00AF3599" w:rsidRPr="00AF3599">
        <w:t xml:space="preserve"> publications from 1950 to 2024</w:t>
      </w:r>
      <w:r w:rsidR="00960B5B">
        <w:t xml:space="preserve">: </w:t>
      </w:r>
    </w:p>
    <w:p w14:paraId="6645039A" w14:textId="77777777" w:rsidR="00960B5B" w:rsidRDefault="00960B5B" w:rsidP="00960B5B">
      <w:pPr>
        <w:pStyle w:val="CETBodytext"/>
      </w:pPr>
      <w:r>
        <w:t>-</w:t>
      </w:r>
      <w:r>
        <w:tab/>
        <w:t>Web of Science ® (</w:t>
      </w:r>
      <w:proofErr w:type="spellStart"/>
      <w:r>
        <w:t>WoS</w:t>
      </w:r>
      <w:proofErr w:type="spellEnd"/>
      <w:r>
        <w:t xml:space="preserve">) Core collection - editor Clarivate Analytics): https://www.webofscience.com </w:t>
      </w:r>
    </w:p>
    <w:p w14:paraId="00A82B74" w14:textId="2A2D2346" w:rsidR="00960B5B" w:rsidRDefault="00960B5B" w:rsidP="00960B5B">
      <w:pPr>
        <w:pStyle w:val="CETBodytext"/>
      </w:pPr>
      <w:r>
        <w:t xml:space="preserve">-Science Direct ® (SD) - editor Elsevier: https://www.sciencedirect.com </w:t>
      </w:r>
    </w:p>
    <w:p w14:paraId="48E28857" w14:textId="20AF0F9F" w:rsidR="00960B5B" w:rsidRPr="00C70EE4" w:rsidRDefault="00960B5B" w:rsidP="00960B5B">
      <w:pPr>
        <w:pStyle w:val="CETBodytext"/>
        <w:rPr>
          <w:lang w:val="es-CO"/>
        </w:rPr>
      </w:pPr>
      <w:r w:rsidRPr="00C70EE4">
        <w:rPr>
          <w:lang w:val="es-CO"/>
        </w:rPr>
        <w:t>-Pascal (</w:t>
      </w:r>
      <w:proofErr w:type="spellStart"/>
      <w:r w:rsidRPr="00C70EE4">
        <w:rPr>
          <w:lang w:val="es-CO"/>
        </w:rPr>
        <w:t>Pa</w:t>
      </w:r>
      <w:proofErr w:type="spellEnd"/>
      <w:r w:rsidRPr="00C70EE4">
        <w:rPr>
          <w:lang w:val="es-CO"/>
        </w:rPr>
        <w:t xml:space="preserve">) - editor: </w:t>
      </w:r>
      <w:proofErr w:type="spellStart"/>
      <w:r w:rsidRPr="00C70EE4">
        <w:rPr>
          <w:lang w:val="es-CO"/>
        </w:rPr>
        <w:t>EBScoHost</w:t>
      </w:r>
      <w:proofErr w:type="spellEnd"/>
      <w:r w:rsidRPr="00C70EE4">
        <w:rPr>
          <w:lang w:val="es-CO"/>
        </w:rPr>
        <w:t xml:space="preserve">: https://www.ebsco.com  </w:t>
      </w:r>
    </w:p>
    <w:p w14:paraId="23E59ED5" w14:textId="1A1E2442" w:rsidR="00EC69D1" w:rsidRPr="000E118C" w:rsidRDefault="00465BCE" w:rsidP="00EC69D1">
      <w:pPr>
        <w:pStyle w:val="CETBodytext"/>
      </w:pPr>
      <w:r w:rsidRPr="000E118C">
        <w:t>T</w:t>
      </w:r>
      <w:r w:rsidR="00A35BEC" w:rsidRPr="000E118C">
        <w:t xml:space="preserve">o follow closely the new trends, priority was given to </w:t>
      </w:r>
      <w:r w:rsidR="00A15E0E" w:rsidRPr="000E118C">
        <w:t xml:space="preserve">scientific </w:t>
      </w:r>
      <w:r w:rsidR="00A35BEC" w:rsidRPr="000E118C">
        <w:t>reviews</w:t>
      </w:r>
      <w:r w:rsidR="00C70EE4" w:rsidRPr="000E118C">
        <w:t xml:space="preserve"> and articles</w:t>
      </w:r>
      <w:r w:rsidR="00A35BEC" w:rsidRPr="000E118C">
        <w:t xml:space="preserve"> </w:t>
      </w:r>
      <w:r w:rsidRPr="000E118C">
        <w:t xml:space="preserve">published </w:t>
      </w:r>
      <w:r w:rsidR="00862A03" w:rsidRPr="000E118C">
        <w:t>since 2020</w:t>
      </w:r>
      <w:r w:rsidR="00A35BEC" w:rsidRPr="000E118C">
        <w:t>.</w:t>
      </w:r>
      <w:r w:rsidR="00EC69D1" w:rsidRPr="000E118C">
        <w:t xml:space="preserve"> A classification was defined for each instrument found in the database. The classification was divided into two parts, the first part concerns a separation of the instrument according to the variable to be measured and the second part is the classification according to the specific technological criteria. </w:t>
      </w:r>
    </w:p>
    <w:p w14:paraId="3B0B285F" w14:textId="77777777" w:rsidR="00EC69D1" w:rsidRPr="000E118C" w:rsidRDefault="00EC69D1" w:rsidP="00EC69D1">
      <w:pPr>
        <w:pStyle w:val="CETBodytext"/>
      </w:pPr>
      <w:r w:rsidRPr="000E118C">
        <w:t>The following nomenclature was defined for the classification by variable:</w:t>
      </w:r>
    </w:p>
    <w:p w14:paraId="361899EE" w14:textId="77777777" w:rsidR="00EC69D1" w:rsidRPr="000E118C" w:rsidRDefault="00EC69D1" w:rsidP="00EC69D1">
      <w:pPr>
        <w:pStyle w:val="CETBodytext"/>
        <w:numPr>
          <w:ilvl w:val="0"/>
          <w:numId w:val="26"/>
        </w:numPr>
        <w:ind w:left="142" w:hanging="142"/>
      </w:pPr>
      <w:r w:rsidRPr="000E118C">
        <w:rPr>
          <w:i/>
          <w:iCs/>
        </w:rPr>
        <w:t>Nature</w:t>
      </w:r>
      <w:r w:rsidRPr="000E118C">
        <w:t>: Determines if the measurement is related to cells (Biotic nature), chemical species (Physicochemical nature), physical properties (Physical nature) or bioprocess validation.</w:t>
      </w:r>
    </w:p>
    <w:p w14:paraId="68D61BFF" w14:textId="77777777" w:rsidR="00EC69D1" w:rsidRPr="000E118C" w:rsidRDefault="00EC69D1" w:rsidP="00EC69D1">
      <w:pPr>
        <w:pStyle w:val="CETBodytext"/>
        <w:numPr>
          <w:ilvl w:val="0"/>
          <w:numId w:val="26"/>
        </w:numPr>
        <w:ind w:left="142" w:hanging="142"/>
      </w:pPr>
      <w:r w:rsidRPr="000E118C">
        <w:rPr>
          <w:i/>
          <w:iCs/>
        </w:rPr>
        <w:t>Phase</w:t>
      </w:r>
      <w:r w:rsidRPr="000E118C">
        <w:t>: Determines in which phase the measurement is carried out; measurements can be made in the liquid phase as well as in the gas phase.</w:t>
      </w:r>
    </w:p>
    <w:p w14:paraId="78FCEBFC" w14:textId="77777777" w:rsidR="00EC69D1" w:rsidRPr="000E118C" w:rsidRDefault="00EC69D1" w:rsidP="00EC69D1">
      <w:pPr>
        <w:pStyle w:val="CETBodytext"/>
        <w:numPr>
          <w:ilvl w:val="0"/>
          <w:numId w:val="26"/>
        </w:numPr>
        <w:ind w:left="142" w:hanging="142"/>
      </w:pPr>
      <w:r w:rsidRPr="000E118C">
        <w:rPr>
          <w:i/>
          <w:iCs/>
        </w:rPr>
        <w:t>Variable</w:t>
      </w:r>
      <w:r w:rsidRPr="000E118C">
        <w:t>: It is the factor or quantity that changes during the process and is going to be measured by the instrumentation. It could be the biomass, pH, Substrate concentration, etc.</w:t>
      </w:r>
    </w:p>
    <w:p w14:paraId="19F62766" w14:textId="77777777" w:rsidR="00EC69D1" w:rsidRPr="000E118C" w:rsidRDefault="00EC69D1" w:rsidP="00EC69D1">
      <w:pPr>
        <w:pStyle w:val="CETBodytext"/>
        <w:numPr>
          <w:ilvl w:val="0"/>
          <w:numId w:val="26"/>
        </w:numPr>
        <w:ind w:left="142" w:hanging="142"/>
      </w:pPr>
      <w:r w:rsidRPr="000E118C">
        <w:rPr>
          <w:i/>
          <w:iCs/>
        </w:rPr>
        <w:t>Specification</w:t>
      </w:r>
      <w:r w:rsidRPr="000E118C">
        <w:t>: Detailed information on the chemical species or characteristic to be measured. For example, the specification of the substrate concentration could be O2, CO2, sugars, etc.</w:t>
      </w:r>
    </w:p>
    <w:p w14:paraId="1352297B" w14:textId="77777777" w:rsidR="00EC69D1" w:rsidRPr="000E118C" w:rsidRDefault="00EC69D1" w:rsidP="00EC69D1">
      <w:pPr>
        <w:pStyle w:val="CETBodytext"/>
        <w:numPr>
          <w:ilvl w:val="0"/>
          <w:numId w:val="26"/>
        </w:numPr>
        <w:ind w:left="142" w:hanging="142"/>
      </w:pPr>
      <w:r w:rsidRPr="000E118C">
        <w:rPr>
          <w:i/>
          <w:iCs/>
        </w:rPr>
        <w:t>Principle</w:t>
      </w:r>
      <w:r w:rsidRPr="000E118C">
        <w:t xml:space="preserve">: Phenomenon considered to measure the change of the variable. For example, an optic, capacitance or voltametric phenomenon. </w:t>
      </w:r>
    </w:p>
    <w:p w14:paraId="520E1AB7" w14:textId="77777777" w:rsidR="00EC69D1" w:rsidRPr="000E118C" w:rsidRDefault="00EC69D1" w:rsidP="00EC69D1">
      <w:pPr>
        <w:pStyle w:val="CETBodytext"/>
        <w:numPr>
          <w:ilvl w:val="0"/>
          <w:numId w:val="26"/>
        </w:numPr>
        <w:ind w:left="142" w:hanging="142"/>
      </w:pPr>
      <w:r w:rsidRPr="000E118C">
        <w:rPr>
          <w:i/>
          <w:iCs/>
        </w:rPr>
        <w:t>Type</w:t>
      </w:r>
      <w:r w:rsidRPr="000E118C">
        <w:t xml:space="preserve">: It is the name of the instrument used. For example: Mass analytical balance, Paramagnetic probe, Glass bulb electrode, etc. </w:t>
      </w:r>
    </w:p>
    <w:p w14:paraId="0223BFD1" w14:textId="77777777" w:rsidR="00EC69D1" w:rsidRPr="000E118C" w:rsidRDefault="00EC69D1" w:rsidP="00EC69D1">
      <w:pPr>
        <w:pStyle w:val="CETBodytext"/>
      </w:pPr>
      <w:r w:rsidRPr="000E118C">
        <w:t xml:space="preserve">For the technological criteria classification the following nomenclature was used: </w:t>
      </w:r>
    </w:p>
    <w:p w14:paraId="30826688" w14:textId="77777777" w:rsidR="00EC69D1" w:rsidRPr="000E118C" w:rsidRDefault="00EC69D1" w:rsidP="00EC69D1">
      <w:pPr>
        <w:pStyle w:val="CETBodytext"/>
        <w:numPr>
          <w:ilvl w:val="0"/>
          <w:numId w:val="26"/>
        </w:numPr>
        <w:ind w:left="284" w:hanging="142"/>
      </w:pPr>
      <w:r w:rsidRPr="000E118C">
        <w:rPr>
          <w:i/>
          <w:iCs/>
        </w:rPr>
        <w:t>Instrument type</w:t>
      </w:r>
      <w:r w:rsidRPr="000E118C">
        <w:t>: classify the instrument into sensor, experiment, controller or actuator.</w:t>
      </w:r>
    </w:p>
    <w:p w14:paraId="15A42C54" w14:textId="77777777" w:rsidR="00EC69D1" w:rsidRPr="000E118C" w:rsidRDefault="00EC69D1" w:rsidP="00EC69D1">
      <w:pPr>
        <w:pStyle w:val="CETBodytext"/>
        <w:numPr>
          <w:ilvl w:val="0"/>
          <w:numId w:val="26"/>
        </w:numPr>
        <w:ind w:left="284" w:hanging="142"/>
      </w:pPr>
      <w:r w:rsidRPr="000E118C">
        <w:rPr>
          <w:i/>
          <w:iCs/>
        </w:rPr>
        <w:t>Result</w:t>
      </w:r>
      <w:r w:rsidRPr="000E118C">
        <w:t>: describe whether the result is immediate (on-time) or delayed (off-time).</w:t>
      </w:r>
    </w:p>
    <w:p w14:paraId="5645507B" w14:textId="77777777" w:rsidR="00EC69D1" w:rsidRPr="000E118C" w:rsidRDefault="00EC69D1" w:rsidP="00EC69D1">
      <w:pPr>
        <w:pStyle w:val="CETBodytext"/>
        <w:numPr>
          <w:ilvl w:val="0"/>
          <w:numId w:val="26"/>
        </w:numPr>
        <w:ind w:left="284" w:hanging="142"/>
      </w:pPr>
      <w:r w:rsidRPr="000E118C">
        <w:rPr>
          <w:i/>
          <w:iCs/>
        </w:rPr>
        <w:t>Readiness</w:t>
      </w:r>
      <w:r w:rsidRPr="000E118C">
        <w:t>: describes if the instrument is already in use at laboratory, pilot or industrial scale.</w:t>
      </w:r>
    </w:p>
    <w:p w14:paraId="3C2D60D7" w14:textId="77777777" w:rsidR="00EC69D1" w:rsidRPr="000E118C" w:rsidRDefault="00EC69D1" w:rsidP="00EC69D1">
      <w:pPr>
        <w:pStyle w:val="CETBodytext"/>
        <w:numPr>
          <w:ilvl w:val="0"/>
          <w:numId w:val="26"/>
        </w:numPr>
        <w:ind w:left="284" w:hanging="142"/>
      </w:pPr>
      <w:r w:rsidRPr="000E118C">
        <w:rPr>
          <w:i/>
          <w:iCs/>
        </w:rPr>
        <w:t>Use</w:t>
      </w:r>
      <w:r w:rsidRPr="000E118C">
        <w:t>: Describe whether the instrument is standard, alternative or under development (advanced).</w:t>
      </w:r>
    </w:p>
    <w:p w14:paraId="33E8EFFF" w14:textId="77777777" w:rsidR="00EC69D1" w:rsidRPr="000E118C" w:rsidRDefault="00EC69D1" w:rsidP="00EC69D1">
      <w:pPr>
        <w:pStyle w:val="CETBodytext"/>
        <w:numPr>
          <w:ilvl w:val="0"/>
          <w:numId w:val="26"/>
        </w:numPr>
        <w:ind w:left="284" w:hanging="142"/>
      </w:pPr>
      <w:r w:rsidRPr="000E118C">
        <w:rPr>
          <w:i/>
          <w:iCs/>
        </w:rPr>
        <w:t>Ad/Dis</w:t>
      </w:r>
      <w:r w:rsidRPr="000E118C">
        <w:t>: Describe precisely the limitations, advantages and disadvantages of each instrument.</w:t>
      </w:r>
    </w:p>
    <w:p w14:paraId="1CC16CBA" w14:textId="34B90804" w:rsidR="00EC69D1" w:rsidRDefault="00EC69D1" w:rsidP="00EC69D1">
      <w:pPr>
        <w:pStyle w:val="CETBodytext"/>
        <w:spacing w:after="120"/>
      </w:pPr>
      <w:r w:rsidRPr="000E118C">
        <w:t>A term called “measure” was added to describe whether the instrument was In-line, On-line, At-line or Off-line. This classification is based on the Process Analytical Technology (PAT) initiative and is related to the position of the instrument in relation to the bioprocess (</w:t>
      </w:r>
      <w:proofErr w:type="spellStart"/>
      <w:r w:rsidRPr="000E118C">
        <w:t>Minnich</w:t>
      </w:r>
      <w:proofErr w:type="spellEnd"/>
      <w:r w:rsidRPr="000E118C">
        <w:t xml:space="preserve"> </w:t>
      </w:r>
      <w:r w:rsidRPr="000E118C">
        <w:rPr>
          <w:i/>
          <w:iCs/>
        </w:rPr>
        <w:t>et. al</w:t>
      </w:r>
      <w:r w:rsidRPr="000E118C">
        <w:t xml:space="preserve"> 2016). In-line instrument means an </w:t>
      </w:r>
      <w:r w:rsidRPr="000E118C">
        <w:rPr>
          <w:i/>
        </w:rPr>
        <w:t>in-situ</w:t>
      </w:r>
      <w:r w:rsidRPr="000E118C">
        <w:t xml:space="preserve"> analyzer that is inside the process stream; On-line means an analyzer that is connected to a bypass in the process stream; At-line means an analyzer that needs an automatic or manual sampling action but is close to the process and can generate data with short time delays and </w:t>
      </w:r>
      <w:proofErr w:type="gramStart"/>
      <w:r w:rsidRPr="000E118C">
        <w:t>Off-line</w:t>
      </w:r>
      <w:proofErr w:type="gramEnd"/>
      <w:r w:rsidRPr="000E118C">
        <w:t xml:space="preserve"> means an instrument that is disconnected from the process that needs sampling and that its processing time could be much longer than the process time.</w:t>
      </w:r>
    </w:p>
    <w:p w14:paraId="5ECFD31B" w14:textId="29DC7E00" w:rsidR="009F240C" w:rsidRDefault="009F240C" w:rsidP="00EE3C79">
      <w:pPr>
        <w:pStyle w:val="CETHeading1"/>
        <w:spacing w:before="120"/>
      </w:pPr>
      <w:r>
        <w:t xml:space="preserve">Results </w:t>
      </w:r>
      <w:r w:rsidR="00862A03">
        <w:t>&amp; discussion</w:t>
      </w:r>
      <w:r>
        <w:t xml:space="preserve">. </w:t>
      </w:r>
    </w:p>
    <w:p w14:paraId="65E2AE70" w14:textId="4BEC6454" w:rsidR="009F240C" w:rsidRPr="000E118C" w:rsidRDefault="009F240C" w:rsidP="009F240C">
      <w:pPr>
        <w:pStyle w:val="CETBodytext"/>
      </w:pPr>
      <w:r>
        <w:t xml:space="preserve">After the </w:t>
      </w:r>
      <w:r w:rsidR="00862A03">
        <w:t xml:space="preserve">database </w:t>
      </w:r>
      <w:r>
        <w:t>creation</w:t>
      </w:r>
      <w:r w:rsidR="00862A03">
        <w:t xml:space="preserve">, </w:t>
      </w:r>
      <w:r w:rsidR="00225443">
        <w:t xml:space="preserve">a quantitative (all working database) and qualitative (recent papers and review) </w:t>
      </w:r>
      <w:r w:rsidRPr="000E118C">
        <w:t>benchmarking</w:t>
      </w:r>
      <w:r w:rsidR="00862A03" w:rsidRPr="000E118C">
        <w:t xml:space="preserve"> </w:t>
      </w:r>
      <w:r w:rsidR="00225443" w:rsidRPr="000E118C">
        <w:t xml:space="preserve">approach was applied </w:t>
      </w:r>
      <w:r w:rsidR="00862A03" w:rsidRPr="000E118C">
        <w:t xml:space="preserve">to compare </w:t>
      </w:r>
      <w:r w:rsidR="00D73528" w:rsidRPr="000E118C">
        <w:t xml:space="preserve">and to discriminate </w:t>
      </w:r>
      <w:r w:rsidR="00862A03" w:rsidRPr="000E118C">
        <w:t>sensors, methods and technical innovation</w:t>
      </w:r>
      <w:r w:rsidR="006E0149" w:rsidRPr="000E118C">
        <w:t xml:space="preserve">. The database with the most information concerning the proposed research topic is </w:t>
      </w:r>
      <w:proofErr w:type="spellStart"/>
      <w:r w:rsidR="006E0149" w:rsidRPr="000E118C">
        <w:t>WoS</w:t>
      </w:r>
      <w:proofErr w:type="spellEnd"/>
      <w:r w:rsidR="006E0149" w:rsidRPr="000E118C">
        <w:t>, followed by SD and finally Pa with limited information</w:t>
      </w:r>
      <w:r w:rsidR="00225443" w:rsidRPr="000E118C">
        <w:t xml:space="preserve">. </w:t>
      </w:r>
    </w:p>
    <w:p w14:paraId="444AF3A7" w14:textId="5C9CEA40" w:rsidR="009F240C" w:rsidRPr="000E118C" w:rsidRDefault="009F240C" w:rsidP="00740AC5">
      <w:pPr>
        <w:pStyle w:val="CETheadingx"/>
      </w:pPr>
      <w:r w:rsidRPr="000E118C">
        <w:t xml:space="preserve">Quantitative analysis and </w:t>
      </w:r>
      <w:r w:rsidR="006900C8" w:rsidRPr="000E118C">
        <w:t>controlled vocabulary</w:t>
      </w:r>
    </w:p>
    <w:p w14:paraId="201ED93B" w14:textId="21CBCA5B" w:rsidR="00A35BEC" w:rsidRDefault="00031A4F" w:rsidP="00D822BC">
      <w:pPr>
        <w:pStyle w:val="CETBodytext"/>
        <w:spacing w:after="120"/>
      </w:pPr>
      <w:bookmarkStart w:id="2" w:name="_Hlk193120121"/>
      <w:r w:rsidRPr="000E118C">
        <w:t>Once the initial database search was completed</w:t>
      </w:r>
      <w:r w:rsidR="006E0149" w:rsidRPr="000E118C">
        <w:t xml:space="preserve"> three general profiles were created with the key words proposed in the methodology. P1 was the general profile that focused on the instruments themselves, P2 focused on our field of bioindustries, a profile P3=P1+P2 which covered the instruments that can be found in bioindustries and finally the combination with some other specific words were made (</w:t>
      </w:r>
      <w:r w:rsidRPr="000E118C">
        <w:t>Table 1</w:t>
      </w:r>
      <w:r w:rsidR="006E0149" w:rsidRPr="000E118C">
        <w:t>)</w:t>
      </w:r>
      <w:r w:rsidR="009F240C" w:rsidRPr="000E118C">
        <w:t>.</w:t>
      </w:r>
      <w:r w:rsidR="0073051F" w:rsidRPr="000E118C">
        <w:t xml:space="preserve"> </w:t>
      </w:r>
      <w:bookmarkEnd w:id="2"/>
      <w:r w:rsidR="00C966D9" w:rsidRPr="000E118C">
        <w:t xml:space="preserve">The year 1950 was specified in the search motor so that no publication of the study would be left out. The discrepancy could be explained by the fact that the subject of bio industries and especially of instrumentation 4.0 came a long time after. </w:t>
      </w:r>
      <w:r w:rsidR="0073051F" w:rsidRPr="000E118C">
        <w:t xml:space="preserve">The information found includes a large number of scientific articles, thesis, dissertations and conferences that help to consolidate the referential. Two filters were applied to select fewer articles without hiding any information of interest for the research. The first filter was the selection of “Review” articles on each variable and the second filter was the selection of </w:t>
      </w:r>
      <w:r w:rsidR="00D73528" w:rsidRPr="000E118C">
        <w:t xml:space="preserve">recent </w:t>
      </w:r>
      <w:r w:rsidR="0073051F" w:rsidRPr="000E118C">
        <w:t xml:space="preserve">articles (2020-2024), in order to observe the most recently developed or investigated techniques. Once these filters had been applied, a database of approximately </w:t>
      </w:r>
      <w:r w:rsidR="00373227" w:rsidRPr="000E118C">
        <w:rPr>
          <w:color w:val="FF0000"/>
        </w:rPr>
        <w:t>89</w:t>
      </w:r>
      <w:r w:rsidR="0073051F" w:rsidRPr="000E118C">
        <w:t xml:space="preserve"> articles was stored in Zotero.</w:t>
      </w:r>
      <w:r w:rsidR="00C966D9" w:rsidRPr="000E118C">
        <w:t xml:space="preserve"> </w:t>
      </w:r>
      <w:bookmarkStart w:id="3" w:name="_Hlk193125136"/>
      <w:r w:rsidR="00A06A84" w:rsidRPr="000E118C">
        <w:t>The year 1950 was specified in the search motor so that no publication of the study would be left out. However, results related to the subject of bio-industries and especially instrumentation begin to emerge from 1990 onwards.</w:t>
      </w:r>
      <w:bookmarkEnd w:id="3"/>
    </w:p>
    <w:p w14:paraId="76BE8B14" w14:textId="45B7A6C1" w:rsidR="009F240C" w:rsidRPr="007A3F29" w:rsidRDefault="009F240C" w:rsidP="00415FA5">
      <w:pPr>
        <w:pStyle w:val="Lgende"/>
        <w:keepNext/>
        <w:jc w:val="left"/>
        <w:rPr>
          <w:rFonts w:ascii="Times New Roman" w:hAnsi="Times New Roman"/>
          <w:sz w:val="22"/>
          <w:szCs w:val="22"/>
          <w:lang w:val="en-US"/>
        </w:rPr>
      </w:pPr>
      <w:r w:rsidRPr="00415FA5">
        <w:rPr>
          <w:color w:val="auto"/>
          <w:szCs w:val="20"/>
          <w:lang w:val="en-US"/>
        </w:rPr>
        <w:t>Table</w:t>
      </w:r>
      <w:r w:rsidR="00415FA5" w:rsidRPr="00415FA5">
        <w:rPr>
          <w:color w:val="auto"/>
          <w:szCs w:val="20"/>
          <w:lang w:val="en-US"/>
        </w:rPr>
        <w:t xml:space="preserve"> 1</w:t>
      </w:r>
      <w:r w:rsidRPr="009F240C">
        <w:rPr>
          <w:b w:val="0"/>
          <w:bCs w:val="0"/>
          <w:color w:val="auto"/>
          <w:szCs w:val="20"/>
          <w:lang w:val="en-US"/>
        </w:rPr>
        <w:t>. Number of articles per search profile</w:t>
      </w:r>
      <w:r w:rsidR="00A90494">
        <w:rPr>
          <w:b w:val="0"/>
          <w:bCs w:val="0"/>
          <w:color w:val="auto"/>
          <w:szCs w:val="20"/>
          <w:lang w:val="en-US"/>
        </w:rPr>
        <w:t>s</w:t>
      </w:r>
      <w:r w:rsidRPr="009F240C">
        <w:rPr>
          <w:b w:val="0"/>
          <w:bCs w:val="0"/>
          <w:color w:val="auto"/>
          <w:szCs w:val="20"/>
          <w:lang w:val="en-US"/>
        </w:rPr>
        <w:t xml:space="preserve"> </w:t>
      </w:r>
      <w:r w:rsidR="00225443">
        <w:rPr>
          <w:b w:val="0"/>
          <w:bCs w:val="0"/>
          <w:color w:val="auto"/>
          <w:szCs w:val="20"/>
          <w:lang w:val="en-US"/>
        </w:rPr>
        <w:t xml:space="preserve">(P1, P2), </w:t>
      </w:r>
      <w:r w:rsidR="00A90494">
        <w:rPr>
          <w:b w:val="0"/>
          <w:bCs w:val="0"/>
          <w:color w:val="auto"/>
          <w:szCs w:val="20"/>
          <w:lang w:val="en-US"/>
        </w:rPr>
        <w:t>refining keywords (E1, E2, E3, and E4)</w:t>
      </w:r>
      <w:r w:rsidR="00225443">
        <w:rPr>
          <w:b w:val="0"/>
          <w:bCs w:val="0"/>
          <w:color w:val="auto"/>
          <w:szCs w:val="20"/>
          <w:lang w:val="en-US"/>
        </w:rPr>
        <w:t xml:space="preserve"> </w:t>
      </w:r>
      <w:r w:rsidRPr="009F240C">
        <w:rPr>
          <w:b w:val="0"/>
          <w:bCs w:val="0"/>
          <w:color w:val="auto"/>
          <w:szCs w:val="20"/>
          <w:lang w:val="en-US"/>
        </w:rPr>
        <w:t>and database</w:t>
      </w:r>
      <w:r w:rsidR="00A90494">
        <w:rPr>
          <w:b w:val="0"/>
          <w:bCs w:val="0"/>
          <w:color w:val="auto"/>
          <w:szCs w:val="20"/>
          <w:lang w:val="en-US"/>
        </w:rPr>
        <w:t xml:space="preserve"> (</w:t>
      </w:r>
      <w:proofErr w:type="spellStart"/>
      <w:r w:rsidR="00A90494">
        <w:rPr>
          <w:b w:val="0"/>
          <w:bCs w:val="0"/>
          <w:color w:val="auto"/>
          <w:szCs w:val="20"/>
          <w:lang w:val="en-US"/>
        </w:rPr>
        <w:t>WoS</w:t>
      </w:r>
      <w:proofErr w:type="spellEnd"/>
      <w:r w:rsidR="00A90494">
        <w:rPr>
          <w:b w:val="0"/>
          <w:bCs w:val="0"/>
          <w:color w:val="auto"/>
          <w:szCs w:val="20"/>
          <w:lang w:val="en-US"/>
        </w:rPr>
        <w:t>, SD, Pa) over 1990-2024 (</w:t>
      </w:r>
      <w:proofErr w:type="gramStart"/>
      <w:r w:rsidR="00A90494">
        <w:rPr>
          <w:b w:val="0"/>
          <w:bCs w:val="0"/>
          <w:color w:val="auto"/>
          <w:szCs w:val="20"/>
          <w:lang w:val="en-US"/>
        </w:rPr>
        <w:t>Field :</w:t>
      </w:r>
      <w:proofErr w:type="gramEnd"/>
      <w:r w:rsidR="00A90494">
        <w:rPr>
          <w:b w:val="0"/>
          <w:bCs w:val="0"/>
          <w:color w:val="auto"/>
          <w:szCs w:val="20"/>
          <w:lang w:val="en-US"/>
        </w:rPr>
        <w:t xml:space="preserve"> TOPIC). </w:t>
      </w:r>
    </w:p>
    <w:tbl>
      <w:tblPr>
        <w:tblW w:w="8781" w:type="dxa"/>
        <w:tblCellMar>
          <w:left w:w="0" w:type="dxa"/>
          <w:right w:w="0" w:type="dxa"/>
        </w:tblCellMar>
        <w:tblLook w:val="0420" w:firstRow="1" w:lastRow="0" w:firstColumn="0" w:lastColumn="0" w:noHBand="0" w:noVBand="1"/>
      </w:tblPr>
      <w:tblGrid>
        <w:gridCol w:w="1268"/>
        <w:gridCol w:w="4820"/>
        <w:gridCol w:w="955"/>
        <w:gridCol w:w="1005"/>
        <w:gridCol w:w="733"/>
      </w:tblGrid>
      <w:tr w:rsidR="00415FA5" w:rsidRPr="009F240C" w14:paraId="784D4DCE" w14:textId="77777777" w:rsidTr="005F7C7D">
        <w:trPr>
          <w:trHeight w:val="17"/>
        </w:trPr>
        <w:tc>
          <w:tcPr>
            <w:tcW w:w="1268"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vAlign w:val="center"/>
            <w:hideMark/>
          </w:tcPr>
          <w:p w14:paraId="3E07E7E9" w14:textId="77777777" w:rsidR="009F240C" w:rsidRPr="009F240C" w:rsidRDefault="009F240C" w:rsidP="00384273">
            <w:pPr>
              <w:spacing w:line="240" w:lineRule="auto"/>
              <w:jc w:val="center"/>
              <w:rPr>
                <w:rFonts w:cs="Arial"/>
              </w:rPr>
            </w:pPr>
            <w:r w:rsidRPr="009F240C">
              <w:rPr>
                <w:rFonts w:cs="Arial"/>
                <w:b/>
                <w:bCs/>
                <w:lang w:val="en-US"/>
              </w:rPr>
              <w:t xml:space="preserve">Profile </w:t>
            </w:r>
          </w:p>
        </w:tc>
        <w:tc>
          <w:tcPr>
            <w:tcW w:w="482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vAlign w:val="center"/>
            <w:hideMark/>
          </w:tcPr>
          <w:p w14:paraId="5058A61E" w14:textId="77777777" w:rsidR="009F240C" w:rsidRPr="009F240C" w:rsidRDefault="009F240C" w:rsidP="00384273">
            <w:pPr>
              <w:spacing w:line="240" w:lineRule="auto"/>
              <w:jc w:val="center"/>
              <w:rPr>
                <w:rFonts w:cs="Arial"/>
              </w:rPr>
            </w:pPr>
            <w:r w:rsidRPr="009F240C">
              <w:rPr>
                <w:rFonts w:cs="Arial"/>
                <w:b/>
                <w:bCs/>
                <w:lang w:val="en-US"/>
              </w:rPr>
              <w:t>Key Words (KWs)</w:t>
            </w:r>
          </w:p>
        </w:tc>
        <w:tc>
          <w:tcPr>
            <w:tcW w:w="955"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vAlign w:val="center"/>
            <w:hideMark/>
          </w:tcPr>
          <w:p w14:paraId="73E9A9E2" w14:textId="77777777" w:rsidR="009F240C" w:rsidRPr="009F240C" w:rsidRDefault="009F240C" w:rsidP="00384273">
            <w:pPr>
              <w:spacing w:line="240" w:lineRule="auto"/>
              <w:jc w:val="center"/>
              <w:rPr>
                <w:rFonts w:cs="Arial"/>
              </w:rPr>
            </w:pPr>
            <w:proofErr w:type="spellStart"/>
            <w:r w:rsidRPr="009F240C">
              <w:rPr>
                <w:rFonts w:cs="Arial"/>
                <w:b/>
                <w:bCs/>
                <w:lang w:val="en-US"/>
              </w:rPr>
              <w:t>WoS</w:t>
            </w:r>
            <w:proofErr w:type="spellEnd"/>
          </w:p>
        </w:tc>
        <w:tc>
          <w:tcPr>
            <w:tcW w:w="1005"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vAlign w:val="center"/>
            <w:hideMark/>
          </w:tcPr>
          <w:p w14:paraId="66272CE6" w14:textId="77777777" w:rsidR="009F240C" w:rsidRPr="009F240C" w:rsidRDefault="009F240C" w:rsidP="00384273">
            <w:pPr>
              <w:spacing w:line="240" w:lineRule="auto"/>
              <w:jc w:val="center"/>
              <w:rPr>
                <w:rFonts w:cs="Arial"/>
              </w:rPr>
            </w:pPr>
            <w:r w:rsidRPr="009F240C">
              <w:rPr>
                <w:rFonts w:cs="Arial"/>
                <w:b/>
                <w:bCs/>
                <w:lang w:val="en-US"/>
              </w:rPr>
              <w:t>SD</w:t>
            </w:r>
          </w:p>
        </w:tc>
        <w:tc>
          <w:tcPr>
            <w:tcW w:w="733"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vAlign w:val="center"/>
            <w:hideMark/>
          </w:tcPr>
          <w:p w14:paraId="07F25FAE" w14:textId="77777777" w:rsidR="009F240C" w:rsidRPr="009F240C" w:rsidRDefault="009F240C" w:rsidP="00384273">
            <w:pPr>
              <w:spacing w:line="240" w:lineRule="auto"/>
              <w:jc w:val="center"/>
              <w:rPr>
                <w:rFonts w:cs="Arial"/>
              </w:rPr>
            </w:pPr>
            <w:r w:rsidRPr="009F240C">
              <w:rPr>
                <w:rFonts w:cs="Arial"/>
                <w:b/>
                <w:bCs/>
                <w:lang w:val="en-US"/>
              </w:rPr>
              <w:t>Pa</w:t>
            </w:r>
          </w:p>
        </w:tc>
      </w:tr>
      <w:tr w:rsidR="00415FA5" w:rsidRPr="009F240C" w14:paraId="37C45A4C" w14:textId="77777777" w:rsidTr="005F7C7D">
        <w:trPr>
          <w:trHeight w:val="17"/>
        </w:trPr>
        <w:tc>
          <w:tcPr>
            <w:tcW w:w="1268"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vAlign w:val="center"/>
            <w:hideMark/>
          </w:tcPr>
          <w:p w14:paraId="48AECF7F" w14:textId="77777777" w:rsidR="009F240C" w:rsidRPr="00046066" w:rsidRDefault="009F240C" w:rsidP="00415FA5">
            <w:pPr>
              <w:spacing w:line="240" w:lineRule="auto"/>
              <w:jc w:val="center"/>
              <w:rPr>
                <w:rFonts w:cs="Arial"/>
                <w:sz w:val="16"/>
                <w:szCs w:val="16"/>
              </w:rPr>
            </w:pPr>
            <w:r w:rsidRPr="00046066">
              <w:rPr>
                <w:rFonts w:cs="Arial"/>
                <w:sz w:val="16"/>
                <w:szCs w:val="16"/>
                <w:lang w:val="en-US"/>
              </w:rPr>
              <w:t>P1</w:t>
            </w:r>
          </w:p>
        </w:tc>
        <w:tc>
          <w:tcPr>
            <w:tcW w:w="482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vAlign w:val="center"/>
            <w:hideMark/>
          </w:tcPr>
          <w:p w14:paraId="755B181F" w14:textId="77777777" w:rsidR="009F240C" w:rsidRPr="00046066" w:rsidRDefault="009F240C" w:rsidP="00415FA5">
            <w:pPr>
              <w:spacing w:line="240" w:lineRule="auto"/>
              <w:jc w:val="center"/>
              <w:rPr>
                <w:rFonts w:cs="Arial"/>
                <w:sz w:val="16"/>
                <w:szCs w:val="16"/>
                <w:lang w:val="en-US"/>
              </w:rPr>
            </w:pPr>
            <w:r w:rsidRPr="00046066">
              <w:rPr>
                <w:rFonts w:cs="Arial"/>
                <w:i/>
                <w:iCs/>
                <w:sz w:val="16"/>
                <w:szCs w:val="16"/>
                <w:lang w:val="en-US"/>
              </w:rPr>
              <w:t xml:space="preserve">Instrumentation </w:t>
            </w:r>
            <w:r w:rsidRPr="004F241C">
              <w:rPr>
                <w:rFonts w:cs="Arial"/>
                <w:b/>
                <w:i/>
                <w:iCs/>
                <w:sz w:val="16"/>
                <w:szCs w:val="16"/>
                <w:lang w:val="en-US"/>
              </w:rPr>
              <w:t>OR</w:t>
            </w:r>
            <w:r w:rsidRPr="00046066">
              <w:rPr>
                <w:rFonts w:cs="Arial"/>
                <w:i/>
                <w:iCs/>
                <w:sz w:val="16"/>
                <w:szCs w:val="16"/>
                <w:lang w:val="en-US"/>
              </w:rPr>
              <w:t xml:space="preserve"> Sensor </w:t>
            </w:r>
            <w:r w:rsidRPr="004F241C">
              <w:rPr>
                <w:rFonts w:cs="Arial"/>
                <w:b/>
                <w:i/>
                <w:iCs/>
                <w:sz w:val="16"/>
                <w:szCs w:val="16"/>
                <w:lang w:val="en-US"/>
              </w:rPr>
              <w:t>OR</w:t>
            </w:r>
            <w:r w:rsidRPr="00046066">
              <w:rPr>
                <w:rFonts w:cs="Arial"/>
                <w:i/>
                <w:iCs/>
                <w:sz w:val="16"/>
                <w:szCs w:val="16"/>
                <w:lang w:val="en-US"/>
              </w:rPr>
              <w:t xml:space="preserve"> Actuator </w:t>
            </w:r>
            <w:r w:rsidRPr="004F241C">
              <w:rPr>
                <w:rFonts w:cs="Arial"/>
                <w:b/>
                <w:i/>
                <w:iCs/>
                <w:sz w:val="16"/>
                <w:szCs w:val="16"/>
                <w:lang w:val="en-US"/>
              </w:rPr>
              <w:t>OR</w:t>
            </w:r>
            <w:r w:rsidRPr="00046066">
              <w:rPr>
                <w:rFonts w:cs="Arial"/>
                <w:i/>
                <w:iCs/>
                <w:sz w:val="16"/>
                <w:szCs w:val="16"/>
                <w:lang w:val="en-US"/>
              </w:rPr>
              <w:t xml:space="preserve"> Control</w:t>
            </w:r>
          </w:p>
        </w:tc>
        <w:tc>
          <w:tcPr>
            <w:tcW w:w="955"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vAlign w:val="center"/>
            <w:hideMark/>
          </w:tcPr>
          <w:p w14:paraId="42B94710" w14:textId="26A9CF16" w:rsidR="009F240C" w:rsidRPr="00046066" w:rsidRDefault="009F240C" w:rsidP="00415FA5">
            <w:pPr>
              <w:spacing w:line="240" w:lineRule="auto"/>
              <w:jc w:val="center"/>
              <w:rPr>
                <w:rFonts w:cs="Arial"/>
                <w:sz w:val="16"/>
                <w:szCs w:val="16"/>
              </w:rPr>
            </w:pPr>
            <w:r w:rsidRPr="00046066">
              <w:rPr>
                <w:rFonts w:cs="Arial"/>
                <w:sz w:val="16"/>
                <w:szCs w:val="16"/>
                <w:lang w:val="en-US"/>
              </w:rPr>
              <w:t>9534311</w:t>
            </w:r>
          </w:p>
        </w:tc>
        <w:tc>
          <w:tcPr>
            <w:tcW w:w="1005"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vAlign w:val="center"/>
            <w:hideMark/>
          </w:tcPr>
          <w:p w14:paraId="58E7F692" w14:textId="7ACC4D4E" w:rsidR="009F240C" w:rsidRPr="00046066" w:rsidRDefault="009F240C" w:rsidP="00415FA5">
            <w:pPr>
              <w:spacing w:line="240" w:lineRule="auto"/>
              <w:jc w:val="center"/>
              <w:rPr>
                <w:rFonts w:cs="Arial"/>
                <w:sz w:val="16"/>
                <w:szCs w:val="16"/>
              </w:rPr>
            </w:pPr>
            <w:r w:rsidRPr="00046066">
              <w:rPr>
                <w:rFonts w:cs="Arial"/>
                <w:sz w:val="16"/>
                <w:szCs w:val="16"/>
                <w:lang w:val="en-US"/>
              </w:rPr>
              <w:t>1000000+</w:t>
            </w:r>
          </w:p>
        </w:tc>
        <w:tc>
          <w:tcPr>
            <w:tcW w:w="733"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vAlign w:val="center"/>
            <w:hideMark/>
          </w:tcPr>
          <w:p w14:paraId="55EB1D00" w14:textId="56674FDB" w:rsidR="009F240C" w:rsidRPr="00046066" w:rsidRDefault="009F240C" w:rsidP="00415FA5">
            <w:pPr>
              <w:spacing w:line="240" w:lineRule="auto"/>
              <w:jc w:val="center"/>
              <w:rPr>
                <w:rFonts w:cs="Arial"/>
                <w:sz w:val="16"/>
                <w:szCs w:val="16"/>
              </w:rPr>
            </w:pPr>
            <w:r w:rsidRPr="00046066">
              <w:rPr>
                <w:rFonts w:cs="Arial"/>
                <w:sz w:val="16"/>
                <w:szCs w:val="16"/>
                <w:lang w:val="en-US"/>
              </w:rPr>
              <w:t>36016</w:t>
            </w:r>
          </w:p>
        </w:tc>
      </w:tr>
      <w:tr w:rsidR="00415FA5" w:rsidRPr="009F240C" w14:paraId="397F13D4" w14:textId="77777777" w:rsidTr="005F7C7D">
        <w:trPr>
          <w:trHeight w:val="246"/>
        </w:trPr>
        <w:tc>
          <w:tcPr>
            <w:tcW w:w="1268"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vAlign w:val="center"/>
            <w:hideMark/>
          </w:tcPr>
          <w:p w14:paraId="02C8F286" w14:textId="77777777" w:rsidR="009F240C" w:rsidRPr="00046066" w:rsidRDefault="009F240C" w:rsidP="00384273">
            <w:pPr>
              <w:spacing w:line="240" w:lineRule="auto"/>
              <w:jc w:val="center"/>
              <w:rPr>
                <w:rFonts w:cs="Arial"/>
                <w:sz w:val="16"/>
                <w:szCs w:val="16"/>
              </w:rPr>
            </w:pPr>
            <w:r w:rsidRPr="00046066">
              <w:rPr>
                <w:rFonts w:cs="Arial"/>
                <w:sz w:val="16"/>
                <w:szCs w:val="16"/>
                <w:lang w:val="en-US"/>
              </w:rPr>
              <w:t>P2</w:t>
            </w:r>
          </w:p>
        </w:tc>
        <w:tc>
          <w:tcPr>
            <w:tcW w:w="482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vAlign w:val="center"/>
            <w:hideMark/>
          </w:tcPr>
          <w:p w14:paraId="720CBB25" w14:textId="77777777" w:rsidR="009F240C" w:rsidRPr="00046066" w:rsidRDefault="009F240C" w:rsidP="00384273">
            <w:pPr>
              <w:spacing w:line="240" w:lineRule="auto"/>
              <w:jc w:val="center"/>
              <w:rPr>
                <w:rFonts w:cs="Arial"/>
                <w:sz w:val="16"/>
                <w:szCs w:val="16"/>
                <w:lang w:val="en-US"/>
              </w:rPr>
            </w:pPr>
            <w:r w:rsidRPr="00046066">
              <w:rPr>
                <w:rFonts w:cs="Arial"/>
                <w:i/>
                <w:iCs/>
                <w:sz w:val="16"/>
                <w:szCs w:val="16"/>
                <w:lang w:val="en-US"/>
              </w:rPr>
              <w:t xml:space="preserve">Bioprocess </w:t>
            </w:r>
            <w:r w:rsidRPr="004F241C">
              <w:rPr>
                <w:rFonts w:cs="Arial"/>
                <w:b/>
                <w:i/>
                <w:iCs/>
                <w:sz w:val="16"/>
                <w:szCs w:val="16"/>
                <w:lang w:val="en-US"/>
              </w:rPr>
              <w:t>OR</w:t>
            </w:r>
            <w:r w:rsidRPr="00046066">
              <w:rPr>
                <w:rFonts w:cs="Arial"/>
                <w:i/>
                <w:iCs/>
                <w:sz w:val="16"/>
                <w:szCs w:val="16"/>
                <w:lang w:val="en-US"/>
              </w:rPr>
              <w:t xml:space="preserve"> Bioreactor </w:t>
            </w:r>
            <w:r w:rsidRPr="004F241C">
              <w:rPr>
                <w:rFonts w:cs="Arial"/>
                <w:b/>
                <w:i/>
                <w:iCs/>
                <w:sz w:val="16"/>
                <w:szCs w:val="16"/>
                <w:lang w:val="en-US"/>
              </w:rPr>
              <w:t>OR</w:t>
            </w:r>
            <w:r w:rsidRPr="00046066">
              <w:rPr>
                <w:rFonts w:cs="Arial"/>
                <w:i/>
                <w:iCs/>
                <w:sz w:val="16"/>
                <w:szCs w:val="16"/>
                <w:lang w:val="en-US"/>
              </w:rPr>
              <w:t xml:space="preserve"> Biotechnology </w:t>
            </w:r>
            <w:r w:rsidRPr="004F241C">
              <w:rPr>
                <w:rFonts w:cs="Arial"/>
                <w:b/>
                <w:i/>
                <w:iCs/>
                <w:sz w:val="16"/>
                <w:szCs w:val="16"/>
                <w:lang w:val="en-US"/>
              </w:rPr>
              <w:t>OR</w:t>
            </w:r>
            <w:r w:rsidRPr="00046066">
              <w:rPr>
                <w:rFonts w:cs="Arial"/>
                <w:i/>
                <w:iCs/>
                <w:sz w:val="16"/>
                <w:szCs w:val="16"/>
                <w:lang w:val="en-US"/>
              </w:rPr>
              <w:t xml:space="preserve"> PAT</w:t>
            </w:r>
          </w:p>
        </w:tc>
        <w:tc>
          <w:tcPr>
            <w:tcW w:w="955"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vAlign w:val="center"/>
            <w:hideMark/>
          </w:tcPr>
          <w:p w14:paraId="6D746AAF" w14:textId="42CC51D2" w:rsidR="009F240C" w:rsidRPr="00046066" w:rsidRDefault="009F240C" w:rsidP="00384273">
            <w:pPr>
              <w:spacing w:line="240" w:lineRule="auto"/>
              <w:jc w:val="center"/>
              <w:rPr>
                <w:rFonts w:cs="Arial"/>
                <w:sz w:val="16"/>
                <w:szCs w:val="16"/>
              </w:rPr>
            </w:pPr>
            <w:r w:rsidRPr="00046066">
              <w:rPr>
                <w:rFonts w:cs="Arial"/>
                <w:sz w:val="16"/>
                <w:szCs w:val="16"/>
                <w:lang w:val="en-US"/>
              </w:rPr>
              <w:t>143514</w:t>
            </w:r>
          </w:p>
        </w:tc>
        <w:tc>
          <w:tcPr>
            <w:tcW w:w="1005"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vAlign w:val="center"/>
            <w:hideMark/>
          </w:tcPr>
          <w:p w14:paraId="262DB03D" w14:textId="0ABE9EAD" w:rsidR="009F240C" w:rsidRPr="00046066" w:rsidRDefault="009F240C" w:rsidP="00384273">
            <w:pPr>
              <w:spacing w:line="240" w:lineRule="auto"/>
              <w:jc w:val="center"/>
              <w:rPr>
                <w:rFonts w:cs="Arial"/>
                <w:sz w:val="16"/>
                <w:szCs w:val="16"/>
              </w:rPr>
            </w:pPr>
            <w:r w:rsidRPr="00046066">
              <w:rPr>
                <w:rFonts w:cs="Arial"/>
                <w:sz w:val="16"/>
                <w:szCs w:val="16"/>
                <w:lang w:val="en-US"/>
              </w:rPr>
              <w:t>64646</w:t>
            </w:r>
          </w:p>
        </w:tc>
        <w:tc>
          <w:tcPr>
            <w:tcW w:w="733"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vAlign w:val="center"/>
            <w:hideMark/>
          </w:tcPr>
          <w:p w14:paraId="41CEE6F5" w14:textId="546F5A33" w:rsidR="009F240C" w:rsidRPr="00046066" w:rsidRDefault="009F240C" w:rsidP="00384273">
            <w:pPr>
              <w:spacing w:line="240" w:lineRule="auto"/>
              <w:jc w:val="center"/>
              <w:rPr>
                <w:rFonts w:cs="Arial"/>
                <w:sz w:val="16"/>
                <w:szCs w:val="16"/>
              </w:rPr>
            </w:pPr>
            <w:r w:rsidRPr="00046066">
              <w:rPr>
                <w:rFonts w:cs="Arial"/>
                <w:sz w:val="16"/>
                <w:szCs w:val="16"/>
                <w:lang w:val="en-US"/>
              </w:rPr>
              <w:t>1670</w:t>
            </w:r>
          </w:p>
        </w:tc>
      </w:tr>
      <w:tr w:rsidR="00415FA5" w:rsidRPr="009F240C" w14:paraId="0B9A34B6" w14:textId="77777777" w:rsidTr="005F7C7D">
        <w:trPr>
          <w:trHeight w:val="17"/>
        </w:trPr>
        <w:tc>
          <w:tcPr>
            <w:tcW w:w="1268"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vAlign w:val="center"/>
            <w:hideMark/>
          </w:tcPr>
          <w:p w14:paraId="5B288926" w14:textId="77777777" w:rsidR="009F240C" w:rsidRPr="00046066" w:rsidRDefault="009F240C" w:rsidP="00384273">
            <w:pPr>
              <w:spacing w:line="240" w:lineRule="auto"/>
              <w:jc w:val="center"/>
              <w:rPr>
                <w:rFonts w:cs="Arial"/>
                <w:sz w:val="16"/>
                <w:szCs w:val="16"/>
              </w:rPr>
            </w:pPr>
            <w:r w:rsidRPr="00046066">
              <w:rPr>
                <w:rFonts w:cs="Arial"/>
                <w:sz w:val="16"/>
                <w:szCs w:val="16"/>
                <w:lang w:val="en-US"/>
              </w:rPr>
              <w:t>(P1+P2)</w:t>
            </w:r>
          </w:p>
        </w:tc>
        <w:tc>
          <w:tcPr>
            <w:tcW w:w="482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vAlign w:val="center"/>
            <w:hideMark/>
          </w:tcPr>
          <w:p w14:paraId="3D226E8A" w14:textId="77777777" w:rsidR="009F240C" w:rsidRPr="00046066" w:rsidRDefault="009F240C" w:rsidP="00384273">
            <w:pPr>
              <w:spacing w:line="240" w:lineRule="auto"/>
              <w:jc w:val="center"/>
              <w:rPr>
                <w:rFonts w:cs="Arial"/>
                <w:sz w:val="16"/>
                <w:szCs w:val="16"/>
              </w:rPr>
            </w:pPr>
            <w:r w:rsidRPr="00046066">
              <w:rPr>
                <w:rFonts w:cs="Arial"/>
                <w:i/>
                <w:iCs/>
                <w:sz w:val="16"/>
                <w:szCs w:val="16"/>
                <w:lang w:val="en-US"/>
              </w:rPr>
              <w:t xml:space="preserve">Profile 1 </w:t>
            </w:r>
            <w:r w:rsidRPr="00046066">
              <w:rPr>
                <w:rFonts w:cs="Arial"/>
                <w:b/>
                <w:bCs/>
                <w:i/>
                <w:iCs/>
                <w:sz w:val="16"/>
                <w:szCs w:val="16"/>
                <w:lang w:val="en-US"/>
              </w:rPr>
              <w:t>AND</w:t>
            </w:r>
            <w:r w:rsidRPr="00046066">
              <w:rPr>
                <w:rFonts w:cs="Arial"/>
                <w:i/>
                <w:iCs/>
                <w:sz w:val="16"/>
                <w:szCs w:val="16"/>
                <w:lang w:val="en-US"/>
              </w:rPr>
              <w:t xml:space="preserve"> Profile 2</w:t>
            </w:r>
          </w:p>
        </w:tc>
        <w:tc>
          <w:tcPr>
            <w:tcW w:w="955"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vAlign w:val="center"/>
            <w:hideMark/>
          </w:tcPr>
          <w:p w14:paraId="6CF78803" w14:textId="336BC1AD" w:rsidR="009F240C" w:rsidRPr="00046066" w:rsidRDefault="009F240C" w:rsidP="00384273">
            <w:pPr>
              <w:spacing w:line="240" w:lineRule="auto"/>
              <w:jc w:val="center"/>
              <w:rPr>
                <w:rFonts w:cs="Arial"/>
                <w:sz w:val="16"/>
                <w:szCs w:val="16"/>
              </w:rPr>
            </w:pPr>
            <w:r w:rsidRPr="00046066">
              <w:rPr>
                <w:rFonts w:cs="Arial"/>
                <w:sz w:val="16"/>
                <w:szCs w:val="16"/>
                <w:lang w:val="en-US"/>
              </w:rPr>
              <w:t>27629</w:t>
            </w:r>
          </w:p>
        </w:tc>
        <w:tc>
          <w:tcPr>
            <w:tcW w:w="1005"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vAlign w:val="center"/>
            <w:hideMark/>
          </w:tcPr>
          <w:p w14:paraId="6F29B9CC" w14:textId="4DDA17B5" w:rsidR="009F240C" w:rsidRPr="00046066" w:rsidRDefault="009F240C" w:rsidP="00384273">
            <w:pPr>
              <w:spacing w:line="240" w:lineRule="auto"/>
              <w:jc w:val="center"/>
              <w:rPr>
                <w:rFonts w:cs="Arial"/>
                <w:sz w:val="16"/>
                <w:szCs w:val="16"/>
              </w:rPr>
            </w:pPr>
            <w:r w:rsidRPr="00046066">
              <w:rPr>
                <w:rFonts w:cs="Arial"/>
                <w:sz w:val="16"/>
                <w:szCs w:val="16"/>
                <w:lang w:val="en-US"/>
              </w:rPr>
              <w:t>12409</w:t>
            </w:r>
          </w:p>
        </w:tc>
        <w:tc>
          <w:tcPr>
            <w:tcW w:w="733"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vAlign w:val="center"/>
            <w:hideMark/>
          </w:tcPr>
          <w:p w14:paraId="2EC9B7BA" w14:textId="77777777" w:rsidR="009F240C" w:rsidRPr="00046066" w:rsidRDefault="009F240C" w:rsidP="00384273">
            <w:pPr>
              <w:spacing w:line="240" w:lineRule="auto"/>
              <w:jc w:val="center"/>
              <w:rPr>
                <w:rFonts w:cs="Arial"/>
                <w:sz w:val="16"/>
                <w:szCs w:val="16"/>
              </w:rPr>
            </w:pPr>
            <w:r w:rsidRPr="00046066">
              <w:rPr>
                <w:rFonts w:cs="Arial"/>
                <w:sz w:val="16"/>
                <w:szCs w:val="16"/>
                <w:lang w:val="en-US"/>
              </w:rPr>
              <w:t>380</w:t>
            </w:r>
          </w:p>
        </w:tc>
      </w:tr>
      <w:tr w:rsidR="00415FA5" w:rsidRPr="009F240C" w14:paraId="6B57771D" w14:textId="77777777" w:rsidTr="005F7C7D">
        <w:trPr>
          <w:trHeight w:val="17"/>
        </w:trPr>
        <w:tc>
          <w:tcPr>
            <w:tcW w:w="1268"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vAlign w:val="center"/>
          </w:tcPr>
          <w:p w14:paraId="35E4F14D" w14:textId="77777777" w:rsidR="009F240C" w:rsidRPr="00046066" w:rsidRDefault="009F240C" w:rsidP="00384273">
            <w:pPr>
              <w:spacing w:line="240" w:lineRule="auto"/>
              <w:jc w:val="center"/>
              <w:rPr>
                <w:rFonts w:cs="Arial"/>
                <w:sz w:val="16"/>
                <w:szCs w:val="16"/>
                <w:lang w:val="en-US"/>
              </w:rPr>
            </w:pPr>
            <w:r w:rsidRPr="00046066">
              <w:rPr>
                <w:rFonts w:cs="Arial"/>
                <w:sz w:val="16"/>
                <w:szCs w:val="16"/>
                <w:lang w:val="en-US"/>
              </w:rPr>
              <w:t>(P1+P2) +E1</w:t>
            </w:r>
          </w:p>
        </w:tc>
        <w:tc>
          <w:tcPr>
            <w:tcW w:w="482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vAlign w:val="center"/>
          </w:tcPr>
          <w:p w14:paraId="2B09DFE1" w14:textId="51AFD162" w:rsidR="009F240C" w:rsidRPr="00046066" w:rsidRDefault="009F240C" w:rsidP="00384273">
            <w:pPr>
              <w:spacing w:line="240" w:lineRule="auto"/>
              <w:jc w:val="center"/>
              <w:rPr>
                <w:rFonts w:cs="Arial"/>
                <w:i/>
                <w:iCs/>
                <w:sz w:val="16"/>
                <w:szCs w:val="16"/>
                <w:lang w:val="en-US"/>
              </w:rPr>
            </w:pPr>
            <w:r w:rsidRPr="00046066">
              <w:rPr>
                <w:rFonts w:cs="Arial"/>
                <w:i/>
                <w:iCs/>
                <w:sz w:val="16"/>
                <w:szCs w:val="16"/>
                <w:lang w:val="en-US"/>
              </w:rPr>
              <w:t xml:space="preserve">Profile 1 </w:t>
            </w:r>
            <w:r w:rsidRPr="00046066">
              <w:rPr>
                <w:rFonts w:cs="Arial"/>
                <w:b/>
                <w:bCs/>
                <w:i/>
                <w:iCs/>
                <w:sz w:val="16"/>
                <w:szCs w:val="16"/>
                <w:lang w:val="en-US"/>
              </w:rPr>
              <w:t>AND</w:t>
            </w:r>
            <w:r w:rsidRPr="00046066">
              <w:rPr>
                <w:rFonts w:cs="Arial"/>
                <w:i/>
                <w:iCs/>
                <w:sz w:val="16"/>
                <w:szCs w:val="16"/>
                <w:lang w:val="en-US"/>
              </w:rPr>
              <w:t xml:space="preserve"> Profile 2 </w:t>
            </w:r>
            <w:r w:rsidRPr="00046066">
              <w:rPr>
                <w:rFonts w:cs="Arial"/>
                <w:b/>
                <w:bCs/>
                <w:i/>
                <w:iCs/>
                <w:sz w:val="16"/>
                <w:szCs w:val="16"/>
                <w:lang w:val="en-US"/>
              </w:rPr>
              <w:t xml:space="preserve">AND </w:t>
            </w:r>
            <w:r w:rsidR="00A90494">
              <w:rPr>
                <w:rFonts w:cs="Arial"/>
                <w:b/>
                <w:bCs/>
                <w:i/>
                <w:iCs/>
                <w:sz w:val="16"/>
                <w:szCs w:val="16"/>
                <w:lang w:val="en-US"/>
              </w:rPr>
              <w:t>(</w:t>
            </w:r>
            <w:r w:rsidRPr="00046066">
              <w:rPr>
                <w:rFonts w:cs="Arial"/>
                <w:i/>
                <w:iCs/>
                <w:sz w:val="16"/>
                <w:szCs w:val="16"/>
                <w:lang w:val="en-US"/>
              </w:rPr>
              <w:t xml:space="preserve">Optic </w:t>
            </w:r>
            <w:r w:rsidRPr="004F241C">
              <w:rPr>
                <w:rFonts w:cs="Arial"/>
                <w:b/>
                <w:i/>
                <w:iCs/>
                <w:sz w:val="16"/>
                <w:szCs w:val="16"/>
                <w:lang w:val="en-US"/>
              </w:rPr>
              <w:t>OR</w:t>
            </w:r>
            <w:r w:rsidRPr="00046066">
              <w:rPr>
                <w:rFonts w:cs="Arial"/>
                <w:i/>
                <w:iCs/>
                <w:sz w:val="16"/>
                <w:szCs w:val="16"/>
                <w:lang w:val="en-US"/>
              </w:rPr>
              <w:t xml:space="preserve"> </w:t>
            </w:r>
            <w:proofErr w:type="spellStart"/>
            <w:r w:rsidRPr="00046066">
              <w:rPr>
                <w:rFonts w:cs="Arial"/>
                <w:i/>
                <w:iCs/>
                <w:sz w:val="16"/>
                <w:szCs w:val="16"/>
                <w:lang w:val="en-US"/>
              </w:rPr>
              <w:t>Optode</w:t>
            </w:r>
            <w:proofErr w:type="spellEnd"/>
            <w:r w:rsidRPr="00046066">
              <w:rPr>
                <w:rFonts w:cs="Arial"/>
                <w:i/>
                <w:iCs/>
                <w:sz w:val="16"/>
                <w:szCs w:val="16"/>
                <w:lang w:val="en-US"/>
              </w:rPr>
              <w:t xml:space="preserve"> </w:t>
            </w:r>
            <w:r w:rsidRPr="004F241C">
              <w:rPr>
                <w:rFonts w:cs="Arial"/>
                <w:b/>
                <w:i/>
                <w:iCs/>
                <w:sz w:val="16"/>
                <w:szCs w:val="16"/>
                <w:lang w:val="en-US"/>
              </w:rPr>
              <w:t>OR</w:t>
            </w:r>
            <w:r w:rsidRPr="00046066">
              <w:rPr>
                <w:rFonts w:cs="Arial"/>
                <w:i/>
                <w:iCs/>
                <w:sz w:val="16"/>
                <w:szCs w:val="16"/>
                <w:lang w:val="en-US"/>
              </w:rPr>
              <w:t xml:space="preserve"> spectroscopy</w:t>
            </w:r>
            <w:r w:rsidR="00A90494">
              <w:rPr>
                <w:rFonts w:cs="Arial"/>
                <w:i/>
                <w:iCs/>
                <w:sz w:val="16"/>
                <w:szCs w:val="16"/>
                <w:lang w:val="en-US"/>
              </w:rPr>
              <w:t>)</w:t>
            </w:r>
          </w:p>
        </w:tc>
        <w:tc>
          <w:tcPr>
            <w:tcW w:w="955"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vAlign w:val="center"/>
          </w:tcPr>
          <w:p w14:paraId="34DE8A77" w14:textId="77777777" w:rsidR="009F240C" w:rsidRPr="00046066" w:rsidRDefault="009F240C" w:rsidP="00384273">
            <w:pPr>
              <w:spacing w:line="240" w:lineRule="auto"/>
              <w:jc w:val="center"/>
              <w:rPr>
                <w:rFonts w:cs="Arial"/>
                <w:sz w:val="16"/>
                <w:szCs w:val="16"/>
                <w:lang w:val="en-US"/>
              </w:rPr>
            </w:pPr>
            <w:r w:rsidRPr="00046066">
              <w:rPr>
                <w:rFonts w:cs="Arial"/>
                <w:sz w:val="16"/>
                <w:szCs w:val="16"/>
                <w:lang w:val="en-US"/>
              </w:rPr>
              <w:t>1737</w:t>
            </w:r>
          </w:p>
        </w:tc>
        <w:tc>
          <w:tcPr>
            <w:tcW w:w="1005"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vAlign w:val="center"/>
          </w:tcPr>
          <w:p w14:paraId="5872B4E5" w14:textId="77777777" w:rsidR="009F240C" w:rsidRPr="00046066" w:rsidRDefault="009F240C" w:rsidP="00384273">
            <w:pPr>
              <w:spacing w:line="240" w:lineRule="auto"/>
              <w:jc w:val="center"/>
              <w:rPr>
                <w:rFonts w:cs="Arial"/>
                <w:sz w:val="16"/>
                <w:szCs w:val="16"/>
                <w:lang w:val="en-US"/>
              </w:rPr>
            </w:pPr>
            <w:r w:rsidRPr="00046066">
              <w:rPr>
                <w:rFonts w:cs="Arial"/>
                <w:sz w:val="16"/>
                <w:szCs w:val="16"/>
                <w:lang w:val="en-US"/>
              </w:rPr>
              <w:t>405</w:t>
            </w:r>
          </w:p>
        </w:tc>
        <w:tc>
          <w:tcPr>
            <w:tcW w:w="733"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vAlign w:val="center"/>
          </w:tcPr>
          <w:p w14:paraId="4392A1D6" w14:textId="77777777" w:rsidR="009F240C" w:rsidRPr="00046066" w:rsidRDefault="009F240C" w:rsidP="00384273">
            <w:pPr>
              <w:spacing w:line="240" w:lineRule="auto"/>
              <w:jc w:val="center"/>
              <w:rPr>
                <w:rFonts w:cs="Arial"/>
                <w:sz w:val="16"/>
                <w:szCs w:val="16"/>
                <w:lang w:val="en-US"/>
              </w:rPr>
            </w:pPr>
            <w:r w:rsidRPr="00046066">
              <w:rPr>
                <w:rFonts w:cs="Arial"/>
                <w:sz w:val="16"/>
                <w:szCs w:val="16"/>
                <w:lang w:val="en-US"/>
              </w:rPr>
              <w:t>76</w:t>
            </w:r>
          </w:p>
        </w:tc>
      </w:tr>
      <w:tr w:rsidR="00415FA5" w:rsidRPr="009F240C" w14:paraId="0377ECC4" w14:textId="77777777" w:rsidTr="005F7C7D">
        <w:trPr>
          <w:trHeight w:val="17"/>
        </w:trPr>
        <w:tc>
          <w:tcPr>
            <w:tcW w:w="1268"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vAlign w:val="center"/>
          </w:tcPr>
          <w:p w14:paraId="158194B7" w14:textId="77777777" w:rsidR="009F240C" w:rsidRPr="00046066" w:rsidRDefault="009F240C" w:rsidP="00384273">
            <w:pPr>
              <w:spacing w:line="240" w:lineRule="auto"/>
              <w:jc w:val="center"/>
              <w:rPr>
                <w:rFonts w:cs="Arial"/>
                <w:sz w:val="16"/>
                <w:szCs w:val="16"/>
                <w:lang w:val="en-US"/>
              </w:rPr>
            </w:pPr>
            <w:r w:rsidRPr="00046066">
              <w:rPr>
                <w:rFonts w:cs="Arial"/>
                <w:sz w:val="16"/>
                <w:szCs w:val="16"/>
                <w:lang w:val="en-US"/>
              </w:rPr>
              <w:t>(P1+P2) +E2</w:t>
            </w:r>
          </w:p>
        </w:tc>
        <w:tc>
          <w:tcPr>
            <w:tcW w:w="482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vAlign w:val="center"/>
          </w:tcPr>
          <w:p w14:paraId="2732E9A7" w14:textId="77777777" w:rsidR="009F240C" w:rsidRPr="00046066" w:rsidRDefault="009F240C" w:rsidP="00384273">
            <w:pPr>
              <w:spacing w:line="240" w:lineRule="auto"/>
              <w:jc w:val="center"/>
              <w:rPr>
                <w:rFonts w:cs="Arial"/>
                <w:i/>
                <w:iCs/>
                <w:sz w:val="16"/>
                <w:szCs w:val="16"/>
                <w:lang w:val="en-US"/>
              </w:rPr>
            </w:pPr>
            <w:r w:rsidRPr="00046066">
              <w:rPr>
                <w:rFonts w:cs="Arial"/>
                <w:i/>
                <w:iCs/>
                <w:sz w:val="16"/>
                <w:szCs w:val="16"/>
                <w:lang w:val="en-US"/>
              </w:rPr>
              <w:t xml:space="preserve">Profile 1 </w:t>
            </w:r>
            <w:r w:rsidRPr="00046066">
              <w:rPr>
                <w:rFonts w:cs="Arial"/>
                <w:b/>
                <w:bCs/>
                <w:i/>
                <w:iCs/>
                <w:sz w:val="16"/>
                <w:szCs w:val="16"/>
                <w:lang w:val="en-US"/>
              </w:rPr>
              <w:t>AND</w:t>
            </w:r>
            <w:r w:rsidRPr="00046066">
              <w:rPr>
                <w:rFonts w:cs="Arial"/>
                <w:i/>
                <w:iCs/>
                <w:sz w:val="16"/>
                <w:szCs w:val="16"/>
                <w:lang w:val="en-US"/>
              </w:rPr>
              <w:t xml:space="preserve"> Profile 2 </w:t>
            </w:r>
            <w:r w:rsidRPr="00046066">
              <w:rPr>
                <w:rFonts w:cs="Arial"/>
                <w:b/>
                <w:bCs/>
                <w:i/>
                <w:iCs/>
                <w:sz w:val="16"/>
                <w:szCs w:val="16"/>
                <w:lang w:val="en-US"/>
              </w:rPr>
              <w:t xml:space="preserve">AND </w:t>
            </w:r>
            <w:r w:rsidRPr="00046066">
              <w:rPr>
                <w:rFonts w:cs="Arial"/>
                <w:i/>
                <w:iCs/>
                <w:sz w:val="16"/>
                <w:szCs w:val="16"/>
                <w:lang w:val="en-US"/>
              </w:rPr>
              <w:t>Biosensor</w:t>
            </w:r>
          </w:p>
        </w:tc>
        <w:tc>
          <w:tcPr>
            <w:tcW w:w="955"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vAlign w:val="center"/>
          </w:tcPr>
          <w:p w14:paraId="673A75D8" w14:textId="77777777" w:rsidR="009F240C" w:rsidRPr="00046066" w:rsidRDefault="009F240C" w:rsidP="00384273">
            <w:pPr>
              <w:spacing w:line="240" w:lineRule="auto"/>
              <w:jc w:val="center"/>
              <w:rPr>
                <w:rFonts w:cs="Arial"/>
                <w:sz w:val="16"/>
                <w:szCs w:val="16"/>
                <w:lang w:val="en-US"/>
              </w:rPr>
            </w:pPr>
            <w:r w:rsidRPr="00046066">
              <w:rPr>
                <w:rFonts w:cs="Arial"/>
                <w:sz w:val="16"/>
                <w:szCs w:val="16"/>
                <w:lang w:val="en-US"/>
              </w:rPr>
              <w:t>629</w:t>
            </w:r>
          </w:p>
        </w:tc>
        <w:tc>
          <w:tcPr>
            <w:tcW w:w="1005"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vAlign w:val="center"/>
          </w:tcPr>
          <w:p w14:paraId="48C7D8ED" w14:textId="77777777" w:rsidR="009F240C" w:rsidRPr="00046066" w:rsidRDefault="009F240C" w:rsidP="00384273">
            <w:pPr>
              <w:spacing w:line="240" w:lineRule="auto"/>
              <w:jc w:val="center"/>
              <w:rPr>
                <w:rFonts w:cs="Arial"/>
                <w:sz w:val="16"/>
                <w:szCs w:val="16"/>
                <w:lang w:val="en-US"/>
              </w:rPr>
            </w:pPr>
            <w:r w:rsidRPr="00046066">
              <w:rPr>
                <w:rFonts w:cs="Arial"/>
                <w:sz w:val="16"/>
                <w:szCs w:val="16"/>
                <w:lang w:val="en-US"/>
              </w:rPr>
              <w:t>296</w:t>
            </w:r>
          </w:p>
        </w:tc>
        <w:tc>
          <w:tcPr>
            <w:tcW w:w="733"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vAlign w:val="center"/>
          </w:tcPr>
          <w:p w14:paraId="35D9E6CC" w14:textId="77777777" w:rsidR="009F240C" w:rsidRPr="00046066" w:rsidRDefault="009F240C" w:rsidP="00384273">
            <w:pPr>
              <w:spacing w:line="240" w:lineRule="auto"/>
              <w:jc w:val="center"/>
              <w:rPr>
                <w:rFonts w:cs="Arial"/>
                <w:sz w:val="16"/>
                <w:szCs w:val="16"/>
                <w:lang w:val="en-US"/>
              </w:rPr>
            </w:pPr>
            <w:r w:rsidRPr="00046066">
              <w:rPr>
                <w:rFonts w:cs="Arial"/>
                <w:sz w:val="16"/>
                <w:szCs w:val="16"/>
                <w:lang w:val="en-US"/>
              </w:rPr>
              <w:t>15</w:t>
            </w:r>
          </w:p>
        </w:tc>
      </w:tr>
      <w:tr w:rsidR="00415FA5" w:rsidRPr="009F240C" w14:paraId="5E9AC5CA" w14:textId="77777777" w:rsidTr="005F7C7D">
        <w:trPr>
          <w:trHeight w:val="17"/>
        </w:trPr>
        <w:tc>
          <w:tcPr>
            <w:tcW w:w="1268"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vAlign w:val="center"/>
          </w:tcPr>
          <w:p w14:paraId="2AC2C7B6" w14:textId="77777777" w:rsidR="009F240C" w:rsidRPr="00046066" w:rsidRDefault="009F240C" w:rsidP="00384273">
            <w:pPr>
              <w:spacing w:line="240" w:lineRule="auto"/>
              <w:jc w:val="center"/>
              <w:rPr>
                <w:rFonts w:cs="Arial"/>
                <w:sz w:val="16"/>
                <w:szCs w:val="16"/>
                <w:lang w:val="en-US"/>
              </w:rPr>
            </w:pPr>
            <w:r w:rsidRPr="00046066">
              <w:rPr>
                <w:rFonts w:cs="Arial"/>
                <w:sz w:val="16"/>
                <w:szCs w:val="16"/>
                <w:lang w:val="en-US"/>
              </w:rPr>
              <w:t>(P1+P2) +E3</w:t>
            </w:r>
          </w:p>
        </w:tc>
        <w:tc>
          <w:tcPr>
            <w:tcW w:w="482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vAlign w:val="center"/>
          </w:tcPr>
          <w:p w14:paraId="0D7466EA" w14:textId="318520B1" w:rsidR="009F240C" w:rsidRPr="00046066" w:rsidRDefault="009F240C" w:rsidP="00384273">
            <w:pPr>
              <w:spacing w:line="240" w:lineRule="auto"/>
              <w:jc w:val="center"/>
              <w:rPr>
                <w:rFonts w:cs="Arial"/>
                <w:i/>
                <w:iCs/>
                <w:sz w:val="16"/>
                <w:szCs w:val="16"/>
                <w:lang w:val="en-US"/>
              </w:rPr>
            </w:pPr>
            <w:r w:rsidRPr="00046066">
              <w:rPr>
                <w:rFonts w:cs="Arial"/>
                <w:i/>
                <w:iCs/>
                <w:sz w:val="16"/>
                <w:szCs w:val="16"/>
                <w:lang w:val="en-US"/>
              </w:rPr>
              <w:t xml:space="preserve">Profile 1 </w:t>
            </w:r>
            <w:r w:rsidRPr="00046066">
              <w:rPr>
                <w:rFonts w:cs="Arial"/>
                <w:b/>
                <w:bCs/>
                <w:i/>
                <w:iCs/>
                <w:sz w:val="16"/>
                <w:szCs w:val="16"/>
                <w:lang w:val="en-US"/>
              </w:rPr>
              <w:t>AND</w:t>
            </w:r>
            <w:r w:rsidRPr="00046066">
              <w:rPr>
                <w:rFonts w:cs="Arial"/>
                <w:i/>
                <w:iCs/>
                <w:sz w:val="16"/>
                <w:szCs w:val="16"/>
                <w:lang w:val="en-US"/>
              </w:rPr>
              <w:t xml:space="preserve"> Profile 2 </w:t>
            </w:r>
            <w:r w:rsidRPr="00046066">
              <w:rPr>
                <w:rFonts w:cs="Arial"/>
                <w:b/>
                <w:bCs/>
                <w:i/>
                <w:iCs/>
                <w:sz w:val="16"/>
                <w:szCs w:val="16"/>
                <w:lang w:val="en-US"/>
              </w:rPr>
              <w:t xml:space="preserve">AND </w:t>
            </w:r>
            <w:r w:rsidR="00A90494">
              <w:rPr>
                <w:rFonts w:cs="Arial"/>
                <w:i/>
                <w:iCs/>
                <w:sz w:val="16"/>
                <w:szCs w:val="16"/>
                <w:lang w:val="en-US"/>
              </w:rPr>
              <w:t>(</w:t>
            </w:r>
            <w:r w:rsidRPr="00046066">
              <w:rPr>
                <w:rFonts w:cs="Arial"/>
                <w:i/>
                <w:iCs/>
                <w:sz w:val="16"/>
                <w:szCs w:val="16"/>
                <w:lang w:val="en-US"/>
              </w:rPr>
              <w:t xml:space="preserve">Soft-sensor </w:t>
            </w:r>
            <w:r w:rsidRPr="004F241C">
              <w:rPr>
                <w:rFonts w:cs="Arial"/>
                <w:b/>
                <w:i/>
                <w:iCs/>
                <w:sz w:val="16"/>
                <w:szCs w:val="16"/>
                <w:lang w:val="en-US"/>
              </w:rPr>
              <w:t>OR</w:t>
            </w:r>
            <w:r w:rsidRPr="00046066">
              <w:rPr>
                <w:rFonts w:cs="Arial"/>
                <w:i/>
                <w:iCs/>
                <w:sz w:val="16"/>
                <w:szCs w:val="16"/>
                <w:lang w:val="en-US"/>
              </w:rPr>
              <w:t xml:space="preserve"> Estimators</w:t>
            </w:r>
            <w:r w:rsidR="00A90494">
              <w:rPr>
                <w:rFonts w:cs="Arial"/>
                <w:i/>
                <w:iCs/>
                <w:sz w:val="16"/>
                <w:szCs w:val="16"/>
                <w:lang w:val="en-US"/>
              </w:rPr>
              <w:t>)</w:t>
            </w:r>
          </w:p>
        </w:tc>
        <w:tc>
          <w:tcPr>
            <w:tcW w:w="955"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vAlign w:val="center"/>
          </w:tcPr>
          <w:p w14:paraId="459CD1A9" w14:textId="77777777" w:rsidR="009F240C" w:rsidRPr="00046066" w:rsidRDefault="009F240C" w:rsidP="00384273">
            <w:pPr>
              <w:spacing w:line="240" w:lineRule="auto"/>
              <w:jc w:val="center"/>
              <w:rPr>
                <w:rFonts w:cs="Arial"/>
                <w:sz w:val="16"/>
                <w:szCs w:val="16"/>
                <w:lang w:val="en-US"/>
              </w:rPr>
            </w:pPr>
            <w:r w:rsidRPr="00046066">
              <w:rPr>
                <w:rFonts w:cs="Arial"/>
                <w:sz w:val="16"/>
                <w:szCs w:val="16"/>
                <w:lang w:val="en-US"/>
              </w:rPr>
              <w:t>358</w:t>
            </w:r>
          </w:p>
        </w:tc>
        <w:tc>
          <w:tcPr>
            <w:tcW w:w="1005"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vAlign w:val="center"/>
          </w:tcPr>
          <w:p w14:paraId="2C241225" w14:textId="77777777" w:rsidR="009F240C" w:rsidRPr="00046066" w:rsidRDefault="009F240C" w:rsidP="00384273">
            <w:pPr>
              <w:spacing w:line="240" w:lineRule="auto"/>
              <w:jc w:val="center"/>
              <w:rPr>
                <w:rFonts w:cs="Arial"/>
                <w:sz w:val="16"/>
                <w:szCs w:val="16"/>
                <w:lang w:val="en-US"/>
              </w:rPr>
            </w:pPr>
            <w:r w:rsidRPr="00046066">
              <w:rPr>
                <w:rFonts w:cs="Arial"/>
                <w:sz w:val="16"/>
                <w:szCs w:val="16"/>
                <w:lang w:val="en-US"/>
              </w:rPr>
              <w:t>99</w:t>
            </w:r>
          </w:p>
        </w:tc>
        <w:tc>
          <w:tcPr>
            <w:tcW w:w="733"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vAlign w:val="center"/>
          </w:tcPr>
          <w:p w14:paraId="7ED8CF6F" w14:textId="77777777" w:rsidR="009F240C" w:rsidRPr="00046066" w:rsidRDefault="009F240C" w:rsidP="00384273">
            <w:pPr>
              <w:spacing w:line="240" w:lineRule="auto"/>
              <w:jc w:val="center"/>
              <w:rPr>
                <w:rFonts w:cs="Arial"/>
                <w:sz w:val="16"/>
                <w:szCs w:val="16"/>
                <w:lang w:val="en-US"/>
              </w:rPr>
            </w:pPr>
            <w:r w:rsidRPr="00046066">
              <w:rPr>
                <w:rFonts w:cs="Arial"/>
                <w:sz w:val="16"/>
                <w:szCs w:val="16"/>
                <w:lang w:val="en-US"/>
              </w:rPr>
              <w:t>22</w:t>
            </w:r>
          </w:p>
        </w:tc>
      </w:tr>
      <w:tr w:rsidR="00415FA5" w:rsidRPr="009F240C" w14:paraId="0AF334E7" w14:textId="77777777" w:rsidTr="005F7C7D">
        <w:trPr>
          <w:trHeight w:val="17"/>
        </w:trPr>
        <w:tc>
          <w:tcPr>
            <w:tcW w:w="1268"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vAlign w:val="center"/>
          </w:tcPr>
          <w:p w14:paraId="72A2C8F2" w14:textId="77777777" w:rsidR="009F240C" w:rsidRPr="00046066" w:rsidRDefault="009F240C" w:rsidP="00384273">
            <w:pPr>
              <w:spacing w:line="240" w:lineRule="auto"/>
              <w:jc w:val="center"/>
              <w:rPr>
                <w:rFonts w:cs="Arial"/>
                <w:sz w:val="16"/>
                <w:szCs w:val="16"/>
                <w:lang w:val="en-US"/>
              </w:rPr>
            </w:pPr>
            <w:r w:rsidRPr="00046066">
              <w:rPr>
                <w:rFonts w:cs="Arial"/>
                <w:sz w:val="16"/>
                <w:szCs w:val="16"/>
                <w:lang w:val="en-US"/>
              </w:rPr>
              <w:t>(P1+P2) +E4</w:t>
            </w:r>
          </w:p>
        </w:tc>
        <w:tc>
          <w:tcPr>
            <w:tcW w:w="482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vAlign w:val="center"/>
          </w:tcPr>
          <w:p w14:paraId="6A03E1B3" w14:textId="6D8A2AAB" w:rsidR="009F240C" w:rsidRPr="00046066" w:rsidRDefault="009F240C" w:rsidP="00384273">
            <w:pPr>
              <w:spacing w:line="240" w:lineRule="auto"/>
              <w:jc w:val="center"/>
              <w:rPr>
                <w:rFonts w:cs="Arial"/>
                <w:i/>
                <w:iCs/>
                <w:sz w:val="16"/>
                <w:szCs w:val="16"/>
                <w:lang w:val="en-US"/>
              </w:rPr>
            </w:pPr>
            <w:r w:rsidRPr="00046066">
              <w:rPr>
                <w:rFonts w:cs="Arial"/>
                <w:i/>
                <w:iCs/>
                <w:sz w:val="16"/>
                <w:szCs w:val="16"/>
                <w:lang w:val="en-US"/>
              </w:rPr>
              <w:t xml:space="preserve">Profile 1 </w:t>
            </w:r>
            <w:r w:rsidRPr="00046066">
              <w:rPr>
                <w:rFonts w:cs="Arial"/>
                <w:b/>
                <w:bCs/>
                <w:i/>
                <w:iCs/>
                <w:sz w:val="16"/>
                <w:szCs w:val="16"/>
                <w:lang w:val="en-US"/>
              </w:rPr>
              <w:t>AND</w:t>
            </w:r>
            <w:r w:rsidRPr="00046066">
              <w:rPr>
                <w:rFonts w:cs="Arial"/>
                <w:i/>
                <w:iCs/>
                <w:sz w:val="16"/>
                <w:szCs w:val="16"/>
                <w:lang w:val="en-US"/>
              </w:rPr>
              <w:t xml:space="preserve"> Profile 2 </w:t>
            </w:r>
            <w:r w:rsidRPr="00046066">
              <w:rPr>
                <w:rFonts w:cs="Arial"/>
                <w:b/>
                <w:bCs/>
                <w:i/>
                <w:iCs/>
                <w:sz w:val="16"/>
                <w:szCs w:val="16"/>
                <w:lang w:val="en-US"/>
              </w:rPr>
              <w:t xml:space="preserve">AND </w:t>
            </w:r>
            <w:r w:rsidR="00A90494">
              <w:rPr>
                <w:rFonts w:cs="Arial"/>
                <w:b/>
                <w:bCs/>
                <w:i/>
                <w:iCs/>
                <w:sz w:val="16"/>
                <w:szCs w:val="16"/>
                <w:lang w:val="en-US"/>
              </w:rPr>
              <w:t>(</w:t>
            </w:r>
            <w:r w:rsidRPr="00046066">
              <w:rPr>
                <w:rFonts w:cs="Arial"/>
                <w:i/>
                <w:iCs/>
                <w:sz w:val="16"/>
                <w:szCs w:val="16"/>
                <w:lang w:val="en-US"/>
              </w:rPr>
              <w:t xml:space="preserve">Artificial Intelligence </w:t>
            </w:r>
            <w:r w:rsidRPr="004F241C">
              <w:rPr>
                <w:rFonts w:cs="Arial"/>
                <w:b/>
                <w:i/>
                <w:iCs/>
                <w:sz w:val="16"/>
                <w:szCs w:val="16"/>
                <w:lang w:val="en-US"/>
              </w:rPr>
              <w:t>OR</w:t>
            </w:r>
            <w:r w:rsidRPr="00046066">
              <w:rPr>
                <w:rFonts w:cs="Arial"/>
                <w:i/>
                <w:iCs/>
                <w:sz w:val="16"/>
                <w:szCs w:val="16"/>
                <w:lang w:val="en-US"/>
              </w:rPr>
              <w:t xml:space="preserve"> Artificial Neural Networks</w:t>
            </w:r>
            <w:r w:rsidR="00A90494">
              <w:rPr>
                <w:rFonts w:cs="Arial"/>
                <w:i/>
                <w:iCs/>
                <w:sz w:val="16"/>
                <w:szCs w:val="16"/>
                <w:lang w:val="en-US"/>
              </w:rPr>
              <w:t>)</w:t>
            </w:r>
          </w:p>
        </w:tc>
        <w:tc>
          <w:tcPr>
            <w:tcW w:w="955"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vAlign w:val="center"/>
          </w:tcPr>
          <w:p w14:paraId="31F67E8C" w14:textId="77777777" w:rsidR="009F240C" w:rsidRPr="00046066" w:rsidRDefault="009F240C" w:rsidP="00384273">
            <w:pPr>
              <w:spacing w:line="240" w:lineRule="auto"/>
              <w:jc w:val="center"/>
              <w:rPr>
                <w:rFonts w:cs="Arial"/>
                <w:sz w:val="16"/>
                <w:szCs w:val="16"/>
                <w:lang w:val="en-US"/>
              </w:rPr>
            </w:pPr>
            <w:r w:rsidRPr="00046066">
              <w:rPr>
                <w:rFonts w:cs="Arial"/>
                <w:sz w:val="16"/>
                <w:szCs w:val="16"/>
                <w:lang w:val="en-US"/>
              </w:rPr>
              <w:t>321</w:t>
            </w:r>
          </w:p>
        </w:tc>
        <w:tc>
          <w:tcPr>
            <w:tcW w:w="1005"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vAlign w:val="center"/>
          </w:tcPr>
          <w:p w14:paraId="586197A0" w14:textId="77777777" w:rsidR="009F240C" w:rsidRPr="00046066" w:rsidRDefault="009F240C" w:rsidP="00384273">
            <w:pPr>
              <w:spacing w:line="240" w:lineRule="auto"/>
              <w:jc w:val="center"/>
              <w:rPr>
                <w:rFonts w:cs="Arial"/>
                <w:sz w:val="16"/>
                <w:szCs w:val="16"/>
                <w:lang w:val="en-US"/>
              </w:rPr>
            </w:pPr>
            <w:r w:rsidRPr="00046066">
              <w:rPr>
                <w:rFonts w:cs="Arial"/>
                <w:sz w:val="16"/>
                <w:szCs w:val="16"/>
                <w:lang w:val="en-US"/>
              </w:rPr>
              <w:t>77</w:t>
            </w:r>
          </w:p>
        </w:tc>
        <w:tc>
          <w:tcPr>
            <w:tcW w:w="733"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vAlign w:val="center"/>
          </w:tcPr>
          <w:p w14:paraId="3302BC01" w14:textId="77777777" w:rsidR="009F240C" w:rsidRPr="00046066" w:rsidRDefault="009F240C" w:rsidP="00384273">
            <w:pPr>
              <w:spacing w:line="240" w:lineRule="auto"/>
              <w:jc w:val="center"/>
              <w:rPr>
                <w:rFonts w:cs="Arial"/>
                <w:sz w:val="16"/>
                <w:szCs w:val="16"/>
                <w:lang w:val="en-US"/>
              </w:rPr>
            </w:pPr>
            <w:r w:rsidRPr="00046066">
              <w:rPr>
                <w:rFonts w:cs="Arial"/>
                <w:sz w:val="16"/>
                <w:szCs w:val="16"/>
                <w:lang w:val="en-US"/>
              </w:rPr>
              <w:t>50</w:t>
            </w:r>
          </w:p>
        </w:tc>
      </w:tr>
    </w:tbl>
    <w:p w14:paraId="3B7D513F" w14:textId="2B77332C" w:rsidR="009A4F6B" w:rsidRDefault="009A4F6B" w:rsidP="00740AC5">
      <w:pPr>
        <w:pStyle w:val="CETheadingx"/>
      </w:pPr>
      <w:r>
        <w:t>Trend towards the development and use of optical instrumentation</w:t>
      </w:r>
    </w:p>
    <w:p w14:paraId="504DCCCA" w14:textId="0FDA551F" w:rsidR="009A4F6B" w:rsidRDefault="009A4F6B" w:rsidP="009A4F6B">
      <w:pPr>
        <w:pStyle w:val="CETBodytext"/>
      </w:pPr>
      <w:r>
        <w:t xml:space="preserve">The research has shown that the use of optical sensors has also been increasing as a topic of scientific publications. As </w:t>
      </w:r>
      <w:r w:rsidR="00D73528">
        <w:t xml:space="preserve">shown </w:t>
      </w:r>
      <w:r>
        <w:t xml:space="preserve">in Figure </w:t>
      </w:r>
      <w:r w:rsidR="004F241C">
        <w:t>1</w:t>
      </w:r>
      <w:r>
        <w:t>, the number of publications per year increased from 2004 until 2021</w:t>
      </w:r>
      <w:r w:rsidR="003231D1">
        <w:t xml:space="preserve"> with a</w:t>
      </w:r>
      <w:r>
        <w:t xml:space="preserve"> slightly decreased in the last 4 years. This increase is explained by the large number of variables that can be analyzed with this type of instrument and the great acceptance by the industry.</w:t>
      </w:r>
      <w:r w:rsidR="003231D1">
        <w:t xml:space="preserve"> A</w:t>
      </w:r>
      <w:r>
        <w:t xml:space="preserve"> detailed investigation was carried out in a database with the search profile (</w:t>
      </w:r>
      <w:r w:rsidR="00C70EE4">
        <w:t>P</w:t>
      </w:r>
      <w:r>
        <w:t>1+</w:t>
      </w:r>
      <w:r w:rsidR="00C70EE4">
        <w:t>P</w:t>
      </w:r>
      <w:r>
        <w:t>2) and 1 set of specific KW</w:t>
      </w:r>
      <w:r w:rsidR="00C70EE4">
        <w:t xml:space="preserve"> (E1)</w:t>
      </w:r>
      <w:r>
        <w:t>.</w:t>
      </w:r>
      <w:r w:rsidR="0073051F">
        <w:t xml:space="preserve"> </w:t>
      </w:r>
      <w:r w:rsidR="00AC0E9E" w:rsidRPr="00AC0E9E">
        <w:t>Several variables have been influenced by this trend and have evolved rapidly</w:t>
      </w:r>
      <w:r>
        <w:t xml:space="preserve">. For example, in the case of pH, </w:t>
      </w:r>
      <w:r w:rsidR="003231D1">
        <w:t>i</w:t>
      </w:r>
      <w:r w:rsidR="00046066">
        <w:t xml:space="preserve">t </w:t>
      </w:r>
      <w:r w:rsidR="003231D1">
        <w:t>was</w:t>
      </w:r>
      <w:r>
        <w:t xml:space="preserve"> </w:t>
      </w:r>
      <w:r w:rsidR="003231D1">
        <w:t>found</w:t>
      </w:r>
      <w:r>
        <w:t xml:space="preserve"> technologies that have been predominant over time, such as glass blub electrodes or specialized Ion-Selective Field Effect Transistors (ISFET) sensors. However, since the introduction of the PAT initiative, measurements are required to be much more accurate and faster without compromising the safety of the process. To meet these requirements, the use of optical sensors such as Optical </w:t>
      </w:r>
      <w:proofErr w:type="spellStart"/>
      <w:r>
        <w:t>Chemosensor</w:t>
      </w:r>
      <w:proofErr w:type="spellEnd"/>
      <w:r>
        <w:t xml:space="preserve"> System (</w:t>
      </w:r>
      <w:proofErr w:type="spellStart"/>
      <w:r>
        <w:t>Optodes</w:t>
      </w:r>
      <w:proofErr w:type="spellEnd"/>
      <w:r>
        <w:t>) or disposable pH patch sensors has been increasing in the industry. In this case, the use of such sensors provides pH measurements that are fast, sensitive, accurate and do not compromise the safety of the culture as they can be performed non-invasively. Other variables such as pO</w:t>
      </w:r>
      <w:r w:rsidRPr="00740AC5">
        <w:rPr>
          <w:vertAlign w:val="subscript"/>
        </w:rPr>
        <w:t xml:space="preserve">2 </w:t>
      </w:r>
      <w:r>
        <w:t>and pCO</w:t>
      </w:r>
      <w:r w:rsidRPr="00740AC5">
        <w:rPr>
          <w:vertAlign w:val="subscript"/>
        </w:rPr>
        <w:t>2</w:t>
      </w:r>
      <w:r>
        <w:t xml:space="preserve"> have also turned to be measured by optical means, especially fiber optic instrumentation such as </w:t>
      </w:r>
      <w:proofErr w:type="spellStart"/>
      <w:r>
        <w:t>Optodes</w:t>
      </w:r>
      <w:proofErr w:type="spellEnd"/>
      <w:r>
        <w:t>.</w:t>
      </w:r>
      <w:r w:rsidR="000E118C">
        <w:t xml:space="preserve"> </w:t>
      </w:r>
      <w:r>
        <w:t>Biomass instrumentation has also evolved towards the implementation of optical sensors. Optical methods such as spectroscopy, fluorometry, and optical density are used for the measurement of biomass concentration in bioreactors. For this technology the use of correlations in relation to the cell dry weight are mandatory since, contrary to biochemical species which are measured at pH or pO</w:t>
      </w:r>
      <w:r w:rsidRPr="00740AC5">
        <w:rPr>
          <w:vertAlign w:val="subscript"/>
        </w:rPr>
        <w:t>2</w:t>
      </w:r>
      <w:r>
        <w:t xml:space="preserve"> variables, microorganisms change their elemental composition between strains. This is why, together with a good optical measurement, there is a classical gravimetric reference to correlate the data to a concentration. Another interesting example is cell morpho granulometry. Recent studies have described how this variable is directly related to the productivity of the bioprocess. </w:t>
      </w:r>
      <w:r w:rsidR="00AA50EA">
        <w:t>There are some</w:t>
      </w:r>
      <w:r>
        <w:t xml:space="preserve"> examples of competitors to classical microscopy: the use of flow cytometry, the microtomography for the identification of fungi pellets and the Focus Beam Reflectance Measurement (FBRM), which has become more accepted in industrial processes.</w:t>
      </w:r>
      <w:r w:rsidR="00AA50EA">
        <w:t xml:space="preserve"> </w:t>
      </w:r>
      <w:r>
        <w:t>All of the above demonstrates then a great acceptance and adaptation of optical instrumentation in bioprocesses, with which data can be obtained quickly, but with restrictions for its use and processing.</w:t>
      </w:r>
    </w:p>
    <w:p w14:paraId="44471A0F" w14:textId="77777777" w:rsidR="00334702" w:rsidRDefault="00334702" w:rsidP="00740AC5">
      <w:pPr>
        <w:pStyle w:val="CETheadingx"/>
        <w:spacing w:after="0"/>
      </w:pPr>
      <w:r>
        <w:t>The implementation of Biosensors in bioindustries</w:t>
      </w:r>
    </w:p>
    <w:p w14:paraId="76BF7EFF" w14:textId="64A61DC6" w:rsidR="00334702" w:rsidRDefault="00334702" w:rsidP="00740AC5">
      <w:pPr>
        <w:pStyle w:val="CETReferencetext"/>
        <w:ind w:left="0" w:firstLine="0"/>
      </w:pPr>
      <w:r>
        <w:t xml:space="preserve">In general terms, a biosensor is a device “that use specific biochemical reactions mediated by isolated enzymes, </w:t>
      </w:r>
      <w:proofErr w:type="spellStart"/>
      <w:r>
        <w:t>immunosystems</w:t>
      </w:r>
      <w:proofErr w:type="spellEnd"/>
      <w:r>
        <w:t>, tissues, organelles or whole cells to detect chemical compounds</w:t>
      </w:r>
      <w:r w:rsidR="000073EA">
        <w:t>,</w:t>
      </w:r>
      <w:r>
        <w:t xml:space="preserve"> usually by electrical, thermal or optical signals” </w:t>
      </w:r>
      <w:r w:rsidR="00C831BC">
        <w:t xml:space="preserve">(Nagel </w:t>
      </w:r>
      <w:r w:rsidR="00C831BC" w:rsidRPr="00C831BC">
        <w:rPr>
          <w:i/>
          <w:iCs/>
        </w:rPr>
        <w:t>et al.</w:t>
      </w:r>
      <w:r w:rsidR="00C831BC">
        <w:t xml:space="preserve"> 1992)</w:t>
      </w:r>
      <w:r>
        <w:t>. In this work all biosensors that have been studied in integration with bioprocesses were considered</w:t>
      </w:r>
      <w:r w:rsidR="00F36779">
        <w:t xml:space="preserve"> (Figure 2)</w:t>
      </w:r>
      <w:r w:rsidR="00EC69D1">
        <w:t>.</w:t>
      </w:r>
      <w:r w:rsidR="009A0615" w:rsidRPr="009A0615">
        <w:rPr>
          <w:lang w:val="en-US"/>
        </w:rPr>
        <w:t xml:space="preserve"> </w:t>
      </w:r>
      <w:r w:rsidR="009A0615" w:rsidRPr="008D17FD">
        <w:rPr>
          <w:lang w:val="en-US"/>
        </w:rPr>
        <w:t>Although there has been a slow growth in the total number of publications per year, the number has always been increasing. In fact, biosensors are classified according to the active agent they use for quantification. In this case they can be enzymatic, genetically encoded, microbial, based on transcription factors, and sterilization bio-indicators.</w:t>
      </w:r>
      <w:r w:rsidR="009A0615" w:rsidRPr="009A0615">
        <w:rPr>
          <w:lang w:val="en-US"/>
        </w:rPr>
        <w:t xml:space="preserve"> </w:t>
      </w:r>
      <w:r w:rsidR="009A0615">
        <w:rPr>
          <w:lang w:val="en-US"/>
        </w:rPr>
        <w:t>One example of this kind of</w:t>
      </w:r>
      <w:r w:rsidR="009A0615" w:rsidRPr="008D17FD">
        <w:rPr>
          <w:lang w:val="en-US"/>
        </w:rPr>
        <w:t xml:space="preserve"> biosensors</w:t>
      </w:r>
      <w:r w:rsidR="009A0615">
        <w:rPr>
          <w:lang w:val="en-US"/>
        </w:rPr>
        <w:t xml:space="preserve"> was proposed by</w:t>
      </w:r>
      <w:r w:rsidR="009A0615" w:rsidRPr="008D17FD">
        <w:rPr>
          <w:lang w:val="en-US"/>
        </w:rPr>
        <w:t xml:space="preserve"> </w:t>
      </w:r>
      <w:proofErr w:type="spellStart"/>
      <w:r w:rsidR="009A0615">
        <w:t>Kinet</w:t>
      </w:r>
      <w:proofErr w:type="spellEnd"/>
      <w:r w:rsidR="009A0615">
        <w:t xml:space="preserve"> </w:t>
      </w:r>
      <w:r w:rsidR="009A0615" w:rsidRPr="00C831BC">
        <w:rPr>
          <w:i/>
          <w:iCs/>
        </w:rPr>
        <w:t>et al.</w:t>
      </w:r>
      <w:r w:rsidR="009A0615">
        <w:t xml:space="preserve"> (2024)</w:t>
      </w:r>
      <w:r w:rsidR="009A0615" w:rsidRPr="008D17FD">
        <w:rPr>
          <w:lang w:val="en-US"/>
        </w:rPr>
        <w:t xml:space="preserve">. A genetically encoded biosensor </w:t>
      </w:r>
      <w:r w:rsidR="009A0615">
        <w:rPr>
          <w:lang w:val="en-US"/>
        </w:rPr>
        <w:t xml:space="preserve">that </w:t>
      </w:r>
      <w:r w:rsidR="009A0615" w:rsidRPr="008D17FD">
        <w:rPr>
          <w:lang w:val="en-US"/>
        </w:rPr>
        <w:t>transcribed and translated into a fluorescent protein such as GFP</w:t>
      </w:r>
      <w:r w:rsidR="009A0615">
        <w:rPr>
          <w:lang w:val="en-US"/>
        </w:rPr>
        <w:t xml:space="preserve"> shown that</w:t>
      </w:r>
      <w:r w:rsidR="009A0615" w:rsidRPr="008D17FD">
        <w:rPr>
          <w:lang w:val="en-US"/>
        </w:rPr>
        <w:t xml:space="preserve"> cellular stress</w:t>
      </w:r>
      <w:r w:rsidR="009A0615">
        <w:rPr>
          <w:lang w:val="en-US"/>
        </w:rPr>
        <w:t xml:space="preserve"> was</w:t>
      </w:r>
      <w:r w:rsidR="009A0615" w:rsidRPr="008D17FD">
        <w:rPr>
          <w:lang w:val="en-US"/>
        </w:rPr>
        <w:t xml:space="preserve"> due to a lack of ammonium in the medium.</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7"/>
        <w:gridCol w:w="4460"/>
      </w:tblGrid>
      <w:tr w:rsidR="00334702" w14:paraId="6B5FA8BE" w14:textId="77777777" w:rsidTr="00F36779">
        <w:tc>
          <w:tcPr>
            <w:tcW w:w="4327" w:type="dxa"/>
          </w:tcPr>
          <w:p w14:paraId="526C884F" w14:textId="1378D955" w:rsidR="00334702" w:rsidRPr="009C609E" w:rsidRDefault="004B0E25" w:rsidP="009C609E">
            <w:pPr>
              <w:keepNext/>
              <w:ind w:left="-106"/>
              <w:jc w:val="center"/>
              <w:rPr>
                <w:sz w:val="24"/>
                <w:szCs w:val="24"/>
              </w:rPr>
            </w:pPr>
            <w:r>
              <w:rPr>
                <w:noProof/>
                <w:sz w:val="24"/>
                <w:szCs w:val="24"/>
              </w:rPr>
              <w:drawing>
                <wp:inline distT="0" distB="0" distL="0" distR="0" wp14:anchorId="1E365312" wp14:editId="251D8E11">
                  <wp:extent cx="2740370" cy="1918800"/>
                  <wp:effectExtent l="0" t="0" r="3175" b="5715"/>
                  <wp:docPr id="17900646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064631" name="Imagen 1"/>
                          <pic:cNvPicPr>
                            <a:picLocks noChangeAspect="1" noChangeArrowheads="1"/>
                          </pic:cNvPicPr>
                        </pic:nvPicPr>
                        <pic:blipFill>
                          <a:blip r:embed="rId11">
                            <a:extLst>
                              <a:ext uri="{96DAC541-7B7A-43D3-8B79-37D633B846F1}">
                                <asvg:svgBlip xmlns:asvg="http://schemas.microsoft.com/office/drawing/2016/SVG/main" r:embed="rId12"/>
                              </a:ext>
                            </a:extLst>
                          </a:blip>
                          <a:stretch>
                            <a:fillRect/>
                          </a:stretch>
                        </pic:blipFill>
                        <pic:spPr bwMode="auto">
                          <a:xfrm>
                            <a:off x="0" y="0"/>
                            <a:ext cx="2740370" cy="1918800"/>
                          </a:xfrm>
                          <a:prstGeom prst="rect">
                            <a:avLst/>
                          </a:prstGeom>
                        </pic:spPr>
                      </pic:pic>
                    </a:graphicData>
                  </a:graphic>
                </wp:inline>
              </w:drawing>
            </w:r>
          </w:p>
        </w:tc>
        <w:tc>
          <w:tcPr>
            <w:tcW w:w="4460" w:type="dxa"/>
          </w:tcPr>
          <w:p w14:paraId="28B60EB9" w14:textId="6CC61E71" w:rsidR="00334702" w:rsidRDefault="00EC69D1" w:rsidP="00334702">
            <w:pPr>
              <w:keepNext/>
              <w:jc w:val="center"/>
              <w:rPr>
                <w:sz w:val="24"/>
                <w:szCs w:val="24"/>
              </w:rPr>
            </w:pPr>
            <w:r>
              <w:rPr>
                <w:noProof/>
                <w:sz w:val="24"/>
                <w:szCs w:val="24"/>
              </w:rPr>
              <w:drawing>
                <wp:inline distT="0" distB="0" distL="0" distR="0" wp14:anchorId="078AC872" wp14:editId="72386666">
                  <wp:extent cx="2752983" cy="1926000"/>
                  <wp:effectExtent l="0" t="0" r="9525" b="0"/>
                  <wp:docPr id="28433041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330418" name="Imagen 2"/>
                          <pic:cNvPicPr>
                            <a:picLocks noChangeAspect="1" noChangeArrowheads="1"/>
                          </pic:cNvPicPr>
                        </pic:nvPicPr>
                        <pic:blipFill>
                          <a:blip r:embed="rId13">
                            <a:extLst>
                              <a:ext uri="{96DAC541-7B7A-43D3-8B79-37D633B846F1}">
                                <asvg:svgBlip xmlns:asvg="http://schemas.microsoft.com/office/drawing/2016/SVG/main" r:embed="rId14"/>
                              </a:ext>
                            </a:extLst>
                          </a:blip>
                          <a:stretch>
                            <a:fillRect/>
                          </a:stretch>
                        </pic:blipFill>
                        <pic:spPr bwMode="auto">
                          <a:xfrm>
                            <a:off x="0" y="0"/>
                            <a:ext cx="2752983" cy="1926000"/>
                          </a:xfrm>
                          <a:prstGeom prst="rect">
                            <a:avLst/>
                          </a:prstGeom>
                        </pic:spPr>
                      </pic:pic>
                    </a:graphicData>
                  </a:graphic>
                </wp:inline>
              </w:drawing>
            </w:r>
          </w:p>
        </w:tc>
      </w:tr>
      <w:tr w:rsidR="00F36779" w14:paraId="02D567C5" w14:textId="77777777" w:rsidTr="00F36779">
        <w:tc>
          <w:tcPr>
            <w:tcW w:w="4327" w:type="dxa"/>
          </w:tcPr>
          <w:p w14:paraId="4FD9838C" w14:textId="0D20B13B" w:rsidR="00F36779" w:rsidRPr="00300656" w:rsidRDefault="00F36779" w:rsidP="00F36779">
            <w:pPr>
              <w:pStyle w:val="Lgende"/>
              <w:jc w:val="center"/>
              <w:rPr>
                <w:b w:val="0"/>
                <w:bCs w:val="0"/>
                <w:color w:val="auto"/>
                <w:lang w:val="en-US"/>
              </w:rPr>
            </w:pPr>
            <w:r w:rsidRPr="00300656">
              <w:rPr>
                <w:color w:val="auto"/>
                <w:lang w:val="en-US"/>
              </w:rPr>
              <w:t>Figure</w:t>
            </w:r>
            <w:r w:rsidRPr="009A52E5">
              <w:rPr>
                <w:color w:val="auto"/>
                <w:lang w:val="en-US"/>
              </w:rPr>
              <w:t xml:space="preserve"> 1</w:t>
            </w:r>
            <w:r w:rsidRPr="00300656">
              <w:rPr>
                <w:b w:val="0"/>
                <w:bCs w:val="0"/>
                <w:color w:val="auto"/>
                <w:lang w:val="en-US"/>
              </w:rPr>
              <w:t xml:space="preserve">. Number of publications per year related to </w:t>
            </w:r>
            <w:r>
              <w:rPr>
                <w:b w:val="0"/>
                <w:bCs w:val="0"/>
                <w:color w:val="auto"/>
                <w:lang w:val="en-US"/>
              </w:rPr>
              <w:t>“</w:t>
            </w:r>
            <w:r w:rsidRPr="00740AC5">
              <w:rPr>
                <w:b w:val="0"/>
                <w:bCs w:val="0"/>
                <w:i/>
                <w:iCs/>
                <w:color w:val="auto"/>
                <w:lang w:val="en-US"/>
              </w:rPr>
              <w:t>Optic</w:t>
            </w:r>
            <w:r w:rsidRPr="00300656">
              <w:rPr>
                <w:b w:val="0"/>
                <w:bCs w:val="0"/>
                <w:color w:val="auto"/>
                <w:lang w:val="en-US"/>
              </w:rPr>
              <w:t xml:space="preserve"> OR </w:t>
            </w:r>
            <w:proofErr w:type="spellStart"/>
            <w:r w:rsidRPr="00740AC5">
              <w:rPr>
                <w:b w:val="0"/>
                <w:bCs w:val="0"/>
                <w:i/>
                <w:iCs/>
                <w:color w:val="auto"/>
                <w:lang w:val="en-US"/>
              </w:rPr>
              <w:t>Optode</w:t>
            </w:r>
            <w:proofErr w:type="spellEnd"/>
            <w:r w:rsidRPr="00300656">
              <w:rPr>
                <w:b w:val="0"/>
                <w:bCs w:val="0"/>
                <w:color w:val="auto"/>
                <w:lang w:val="en-US"/>
              </w:rPr>
              <w:t xml:space="preserve"> OR </w:t>
            </w:r>
            <w:r w:rsidRPr="00740AC5">
              <w:rPr>
                <w:b w:val="0"/>
                <w:bCs w:val="0"/>
                <w:i/>
                <w:iCs/>
                <w:color w:val="auto"/>
                <w:lang w:val="en-US"/>
              </w:rPr>
              <w:t>spectroscopy instrumentation</w:t>
            </w:r>
            <w:r>
              <w:rPr>
                <w:b w:val="0"/>
                <w:bCs w:val="0"/>
                <w:color w:val="auto"/>
                <w:lang w:val="en-US"/>
              </w:rPr>
              <w:t>”</w:t>
            </w:r>
            <w:r w:rsidRPr="00300656">
              <w:rPr>
                <w:b w:val="0"/>
                <w:bCs w:val="0"/>
                <w:color w:val="auto"/>
                <w:lang w:val="en-US"/>
              </w:rPr>
              <w:t xml:space="preserve"> (cross with P1 and P2) in bioprocesses (Source: </w:t>
            </w:r>
            <w:proofErr w:type="spellStart"/>
            <w:r w:rsidRPr="00300656">
              <w:rPr>
                <w:b w:val="0"/>
                <w:bCs w:val="0"/>
                <w:color w:val="auto"/>
                <w:lang w:val="en-US"/>
              </w:rPr>
              <w:t>WoS</w:t>
            </w:r>
            <w:proofErr w:type="spellEnd"/>
            <w:r w:rsidRPr="00300656">
              <w:rPr>
                <w:b w:val="0"/>
                <w:bCs w:val="0"/>
                <w:color w:val="auto"/>
                <w:lang w:val="en-US"/>
              </w:rPr>
              <w:t>, Period: 1990-202</w:t>
            </w:r>
            <w:r>
              <w:rPr>
                <w:b w:val="0"/>
                <w:bCs w:val="0"/>
                <w:color w:val="auto"/>
                <w:lang w:val="en-US"/>
              </w:rPr>
              <w:t>4</w:t>
            </w:r>
            <w:r w:rsidRPr="00300656">
              <w:rPr>
                <w:b w:val="0"/>
                <w:bCs w:val="0"/>
                <w:color w:val="auto"/>
                <w:lang w:val="en-US"/>
              </w:rPr>
              <w:t>)</w:t>
            </w:r>
          </w:p>
        </w:tc>
        <w:tc>
          <w:tcPr>
            <w:tcW w:w="4460" w:type="dxa"/>
          </w:tcPr>
          <w:p w14:paraId="1DBBD532" w14:textId="52D24AC5" w:rsidR="00F36779" w:rsidRPr="00300656" w:rsidRDefault="00F36779" w:rsidP="00F36779">
            <w:pPr>
              <w:pStyle w:val="Lgende"/>
              <w:jc w:val="center"/>
              <w:rPr>
                <w:b w:val="0"/>
                <w:bCs w:val="0"/>
                <w:color w:val="auto"/>
                <w:lang w:val="en-US"/>
              </w:rPr>
            </w:pPr>
            <w:r w:rsidRPr="00300656">
              <w:rPr>
                <w:color w:val="auto"/>
                <w:lang w:val="en-US"/>
              </w:rPr>
              <w:t>Figure</w:t>
            </w:r>
            <w:r w:rsidRPr="00300656">
              <w:rPr>
                <w:b w:val="0"/>
                <w:bCs w:val="0"/>
                <w:color w:val="auto"/>
                <w:lang w:val="en-US"/>
              </w:rPr>
              <w:t xml:space="preserve"> </w:t>
            </w:r>
            <w:r w:rsidR="000E118C">
              <w:rPr>
                <w:color w:val="auto"/>
                <w:lang w:val="en-US"/>
              </w:rPr>
              <w:t>2</w:t>
            </w:r>
            <w:r w:rsidRPr="00300656">
              <w:rPr>
                <w:b w:val="0"/>
                <w:bCs w:val="0"/>
                <w:color w:val="auto"/>
                <w:lang w:val="en-US"/>
              </w:rPr>
              <w:t xml:space="preserve">. </w:t>
            </w:r>
            <w:r>
              <w:rPr>
                <w:b w:val="0"/>
                <w:bCs w:val="0"/>
                <w:color w:val="auto"/>
                <w:lang w:val="en-US"/>
              </w:rPr>
              <w:t>Number of p</w:t>
            </w:r>
            <w:r w:rsidRPr="00300656">
              <w:rPr>
                <w:b w:val="0"/>
                <w:bCs w:val="0"/>
                <w:color w:val="auto"/>
                <w:lang w:val="en-US"/>
              </w:rPr>
              <w:t xml:space="preserve">ublications per year related to </w:t>
            </w:r>
            <w:r>
              <w:rPr>
                <w:b w:val="0"/>
                <w:bCs w:val="0"/>
                <w:color w:val="auto"/>
                <w:lang w:val="en-US"/>
              </w:rPr>
              <w:t>“</w:t>
            </w:r>
            <w:r w:rsidRPr="00300656">
              <w:rPr>
                <w:b w:val="0"/>
                <w:bCs w:val="0"/>
                <w:color w:val="auto"/>
                <w:lang w:val="en-US"/>
              </w:rPr>
              <w:t>Biosensor instrumentation in bioprocesses</w:t>
            </w:r>
            <w:r>
              <w:rPr>
                <w:b w:val="0"/>
                <w:bCs w:val="0"/>
                <w:color w:val="auto"/>
                <w:lang w:val="en-US"/>
              </w:rPr>
              <w:t>”</w:t>
            </w:r>
            <w:r w:rsidRPr="00300656">
              <w:rPr>
                <w:b w:val="0"/>
                <w:bCs w:val="0"/>
                <w:color w:val="auto"/>
                <w:lang w:val="en-US"/>
              </w:rPr>
              <w:t xml:space="preserve"> (Source: </w:t>
            </w:r>
            <w:proofErr w:type="spellStart"/>
            <w:r w:rsidRPr="00300656">
              <w:rPr>
                <w:b w:val="0"/>
                <w:bCs w:val="0"/>
                <w:color w:val="auto"/>
                <w:lang w:val="en-US"/>
              </w:rPr>
              <w:t>WoS</w:t>
            </w:r>
            <w:proofErr w:type="spellEnd"/>
            <w:r w:rsidRPr="00300656">
              <w:rPr>
                <w:b w:val="0"/>
                <w:bCs w:val="0"/>
                <w:color w:val="auto"/>
                <w:lang w:val="en-US"/>
              </w:rPr>
              <w:t>, Period: 1985-202</w:t>
            </w:r>
            <w:r>
              <w:rPr>
                <w:b w:val="0"/>
                <w:bCs w:val="0"/>
                <w:color w:val="auto"/>
                <w:lang w:val="en-US"/>
              </w:rPr>
              <w:t>4</w:t>
            </w:r>
            <w:r w:rsidRPr="00300656">
              <w:rPr>
                <w:b w:val="0"/>
                <w:bCs w:val="0"/>
                <w:color w:val="auto"/>
                <w:lang w:val="en-US"/>
              </w:rPr>
              <w:t>)</w:t>
            </w:r>
          </w:p>
          <w:p w14:paraId="66987BE2" w14:textId="265BCD84" w:rsidR="00F36779" w:rsidRPr="00300656" w:rsidRDefault="00F36779" w:rsidP="00F36779">
            <w:pPr>
              <w:pStyle w:val="Lgende"/>
              <w:jc w:val="center"/>
            </w:pPr>
          </w:p>
        </w:tc>
      </w:tr>
    </w:tbl>
    <w:p w14:paraId="622C0BBB" w14:textId="77777777" w:rsidR="00B3726D" w:rsidRPr="00740AC5" w:rsidRDefault="00B3726D" w:rsidP="00334702">
      <w:pPr>
        <w:pStyle w:val="CETReferencetext"/>
        <w:ind w:left="0" w:firstLine="0"/>
        <w:rPr>
          <w:sz w:val="14"/>
          <w:szCs w:val="14"/>
        </w:rPr>
      </w:pPr>
    </w:p>
    <w:p w14:paraId="119AC36B" w14:textId="2F6EB850" w:rsidR="00E2480D" w:rsidRDefault="00E2480D" w:rsidP="00E2480D">
      <w:pPr>
        <w:pStyle w:val="CETReferencetext"/>
        <w:ind w:left="0" w:firstLine="0"/>
        <w:rPr>
          <w:lang w:val="en-US"/>
        </w:rPr>
      </w:pPr>
      <w:r w:rsidRPr="000E118C">
        <w:rPr>
          <w:lang w:val="en-US"/>
        </w:rPr>
        <w:t>Figures 1 and 2 show similar trends in terms of growth in the number of publications on optical sensors and biosensors in bioprocesses. However, while optical sensors (Figure 1) experienced accelerated growth until 2021, followed by a slight decline over the past four years, biosensors (Figure 2) have shown a more stable and sustained increase. This suggests that optical sensors may have reached a stage of maturity in the industry, whereas biosensors are still expanding.</w:t>
      </w:r>
      <w:r>
        <w:rPr>
          <w:lang w:val="en-US"/>
        </w:rPr>
        <w:t xml:space="preserve"> </w:t>
      </w:r>
    </w:p>
    <w:p w14:paraId="6C152F29" w14:textId="1A7E9E69" w:rsidR="009A4F6B" w:rsidRDefault="009A4F6B" w:rsidP="00740AC5">
      <w:pPr>
        <w:pStyle w:val="CETheadingx"/>
      </w:pPr>
      <w:r>
        <w:t>Trend towards the miniaturization of the sensing element and the creation of integrative sensors.</w:t>
      </w:r>
    </w:p>
    <w:p w14:paraId="55498612" w14:textId="25074D01" w:rsidR="00D822BC" w:rsidRDefault="009A4F6B" w:rsidP="009A4F6B">
      <w:pPr>
        <w:pStyle w:val="CETBodytext"/>
      </w:pPr>
      <w:r>
        <w:t>The pO</w:t>
      </w:r>
      <w:r w:rsidRPr="00740AC5">
        <w:rPr>
          <w:vertAlign w:val="subscript"/>
        </w:rPr>
        <w:t>2</w:t>
      </w:r>
      <w:r>
        <w:t xml:space="preserve"> is another great example of a phenomenon that has been carried out in parallel to the development of optical sensor: the miniaturization of the sensitive element. Generally, in bioprocesses, dissolved oxygen is an important variable to ensure a productive process. If there is a significant lack of oxygen, the productivity and maintenance of the micro-organisms can be shifted to other processes. To measure this type of variable, Clark-type sensors are normally used, which relate an amperometry measurement to the concentration of oxygen in the medium. However, the adoption of optical methods has led to the use of sensors with elements that are chemically sensitive to oxygen. Chelation and oxidation reactions are normally used on the sensitive elements, giving a color change and thus producing an optical signal that is related to the oxygen concentration. These sensitive elements, being chemical in origin, are easily miniaturized. A property that has been used to not only make instrumentation less invasive, but also to make single-use instrumentation. This type of instrumentation carries the sensitive element inside as a patch-type configuration and the measuring element is outside the bioreactor, usually being instrumentation with optical principles.</w:t>
      </w:r>
      <w:r w:rsidR="00334702">
        <w:t xml:space="preserve"> </w:t>
      </w:r>
      <w:r>
        <w:t>This type of configuration has also been applied for the measurement of CO</w:t>
      </w:r>
      <w:r w:rsidRPr="00740AC5">
        <w:rPr>
          <w:vertAlign w:val="subscript"/>
        </w:rPr>
        <w:t>2</w:t>
      </w:r>
      <w:r>
        <w:t xml:space="preserve"> dissolved in the medium. For this variable, the classical technology was the </w:t>
      </w:r>
      <w:proofErr w:type="spellStart"/>
      <w:r>
        <w:t>Severinghaus</w:t>
      </w:r>
      <w:proofErr w:type="spellEnd"/>
      <w:r>
        <w:t xml:space="preserve"> type electrodes, which are electrodes that take advantage of the high solubility and reactivity of carbon dioxide in the liquid phase. These electrodes selectively pass the carbon dioxide through a polytetrafluoroethylene (PTFE) membrane. The analyte enters an aqueous medium where a pH meter measures the change in acidity in this medium and correlates it directly with the concentration of the analyte in the culture medium.</w:t>
      </w:r>
      <w:r w:rsidR="00C41C6F">
        <w:t xml:space="preserve"> T</w:t>
      </w:r>
      <w:r>
        <w:t xml:space="preserve">hese electrodes contain part of the basic principle of miniaturization of the sensitive elements, adding a selective layer that only allows the diffusion of the chemical species of interest. With this technology, various types of </w:t>
      </w:r>
      <w:proofErr w:type="spellStart"/>
      <w:r>
        <w:t>optodes</w:t>
      </w:r>
      <w:proofErr w:type="spellEnd"/>
      <w:r>
        <w:t xml:space="preserve"> and patches have been developed for cell cultures that are particularly interested in the measurement of carbon dioxide or other organic species dissolved in aqueous media.</w:t>
      </w:r>
      <w:r w:rsidR="00334702">
        <w:t xml:space="preserve"> </w:t>
      </w:r>
      <w:r>
        <w:t>The consequence of this miniaturization phenomenon is the new trend of manufacturing integrative sensors. These sensors capable of measuring more than 3 variables on-time and in-line are especially accepted to not only detect variables such as temperature, pH or pO</w:t>
      </w:r>
      <w:r w:rsidRPr="00740AC5">
        <w:rPr>
          <w:vertAlign w:val="subscript"/>
        </w:rPr>
        <w:t>2</w:t>
      </w:r>
      <w:r>
        <w:t>, but also relate them to a spatial variable in the bioreactor. This generates data on mixing capacity and homogeneity in the culture medium</w:t>
      </w:r>
      <w:r w:rsidR="00C41C6F">
        <w:t xml:space="preserve"> and could be </w:t>
      </w:r>
      <w:r>
        <w:t>send information wirelessly</w:t>
      </w:r>
      <w:r w:rsidR="00C41C6F">
        <w:t xml:space="preserve"> using IoT systems</w:t>
      </w:r>
      <w:r>
        <w:t xml:space="preserve">. </w:t>
      </w:r>
    </w:p>
    <w:p w14:paraId="5FC6C579" w14:textId="643FC7DD" w:rsidR="00C85F49" w:rsidRPr="00C85F49" w:rsidRDefault="00C85F49" w:rsidP="00740AC5">
      <w:pPr>
        <w:pStyle w:val="CETheadingx"/>
      </w:pPr>
      <w:r w:rsidRPr="00C85F49">
        <w:t>The implementation of soft-sensors in bioindustries</w:t>
      </w:r>
    </w:p>
    <w:p w14:paraId="3E088486" w14:textId="0CB0E4FC" w:rsidR="00D822BC" w:rsidRDefault="00C85F49" w:rsidP="00D822BC">
      <w:pPr>
        <w:pStyle w:val="CETReferencetext"/>
        <w:spacing w:after="120"/>
        <w:ind w:left="0" w:firstLine="0"/>
        <w:rPr>
          <w:lang w:val="en-US"/>
        </w:rPr>
      </w:pPr>
      <w:r w:rsidRPr="00C85F49">
        <w:rPr>
          <w:lang w:val="en-US"/>
        </w:rPr>
        <w:t xml:space="preserve">A </w:t>
      </w:r>
      <w:r w:rsidR="00A76E57">
        <w:rPr>
          <w:lang w:val="en-US"/>
        </w:rPr>
        <w:t>S</w:t>
      </w:r>
      <w:r w:rsidRPr="00C85F49">
        <w:rPr>
          <w:lang w:val="en-US"/>
        </w:rPr>
        <w:t>oft-</w:t>
      </w:r>
      <w:r w:rsidR="00A76E57">
        <w:rPr>
          <w:lang w:val="en-US"/>
        </w:rPr>
        <w:t>S</w:t>
      </w:r>
      <w:r w:rsidRPr="00C85F49">
        <w:rPr>
          <w:lang w:val="en-US"/>
        </w:rPr>
        <w:t xml:space="preserve">ensor are process analytical devices that grant access to important non-measured process variables by mathematical processing of readily available process data </w:t>
      </w:r>
      <w:r w:rsidR="00C831BC">
        <w:rPr>
          <w:lang w:val="en-US"/>
        </w:rPr>
        <w:t>(</w:t>
      </w:r>
      <w:proofErr w:type="spellStart"/>
      <w:r w:rsidR="00C831BC">
        <w:t>Sagmeister</w:t>
      </w:r>
      <w:proofErr w:type="spellEnd"/>
      <w:r w:rsidR="00C831BC">
        <w:t xml:space="preserve"> </w:t>
      </w:r>
      <w:r w:rsidR="00C831BC" w:rsidRPr="00C831BC">
        <w:rPr>
          <w:i/>
          <w:iCs/>
        </w:rPr>
        <w:t>et al.</w:t>
      </w:r>
      <w:r w:rsidR="00C831BC">
        <w:t xml:space="preserve"> 2013)</w:t>
      </w:r>
      <w:r w:rsidRPr="00C85F49">
        <w:rPr>
          <w:lang w:val="en-US"/>
        </w:rPr>
        <w:t xml:space="preserve">. This type of instrumentation can be classified as Model-drive, Data-Driven or hybrid model sensors. Since the creation of the PAT initiative, </w:t>
      </w:r>
      <w:r w:rsidR="00701F6E">
        <w:rPr>
          <w:lang w:val="en-US"/>
        </w:rPr>
        <w:t>S</w:t>
      </w:r>
      <w:r w:rsidRPr="00C85F49">
        <w:rPr>
          <w:lang w:val="en-US"/>
        </w:rPr>
        <w:t>oft-</w:t>
      </w:r>
      <w:r w:rsidR="00701F6E">
        <w:rPr>
          <w:lang w:val="en-US"/>
        </w:rPr>
        <w:t>S</w:t>
      </w:r>
      <w:r w:rsidRPr="00C85F49">
        <w:rPr>
          <w:lang w:val="en-US"/>
        </w:rPr>
        <w:t>ensors have been increasingly studied by academia, with a peak of publications between 2020 and 2021</w:t>
      </w:r>
      <w:r w:rsidR="00701F6E">
        <w:rPr>
          <w:lang w:val="en-US"/>
        </w:rPr>
        <w:t xml:space="preserve"> (F</w:t>
      </w:r>
      <w:r w:rsidRPr="00C85F49">
        <w:rPr>
          <w:lang w:val="en-US"/>
        </w:rPr>
        <w:t>igure</w:t>
      </w:r>
      <w:r w:rsidR="00701F6E">
        <w:rPr>
          <w:lang w:val="en-US"/>
        </w:rPr>
        <w:t xml:space="preserve"> </w:t>
      </w:r>
      <w:r w:rsidR="00F36779">
        <w:rPr>
          <w:lang w:val="en-US"/>
        </w:rPr>
        <w:t>3</w:t>
      </w:r>
      <w:r w:rsidR="00701F6E">
        <w:rPr>
          <w:lang w:val="en-US"/>
        </w:rPr>
        <w:t>)</w:t>
      </w:r>
      <w:r w:rsidRPr="00C85F49">
        <w:rPr>
          <w:lang w:val="en-US"/>
        </w:rPr>
        <w:t>.</w:t>
      </w:r>
      <w:r w:rsidR="00990255">
        <w:rPr>
          <w:lang w:val="en-US"/>
        </w:rPr>
        <w:t xml:space="preserve"> </w:t>
      </w:r>
      <w:r w:rsidR="00A34145" w:rsidRPr="00A34145">
        <w:rPr>
          <w:lang w:val="en-US"/>
        </w:rPr>
        <w:t xml:space="preserve">An example of </w:t>
      </w:r>
      <w:r w:rsidR="00A76E57">
        <w:rPr>
          <w:lang w:val="en-US"/>
        </w:rPr>
        <w:t>S</w:t>
      </w:r>
      <w:r w:rsidR="00A34145" w:rsidRPr="00A34145">
        <w:rPr>
          <w:lang w:val="en-US"/>
        </w:rPr>
        <w:t>oft-</w:t>
      </w:r>
      <w:r w:rsidR="00A76E57">
        <w:rPr>
          <w:lang w:val="en-US"/>
        </w:rPr>
        <w:t>S</w:t>
      </w:r>
      <w:r w:rsidR="00A34145" w:rsidRPr="00A34145">
        <w:rPr>
          <w:lang w:val="en-US"/>
        </w:rPr>
        <w:t>ensors is the use of bio-calorimeter to estimate the amount of biomass in the bioreactor</w:t>
      </w:r>
      <w:r w:rsidR="001970FF">
        <w:rPr>
          <w:lang w:val="en-US"/>
        </w:rPr>
        <w:t>. Th</w:t>
      </w:r>
      <w:r w:rsidR="00990255">
        <w:rPr>
          <w:lang w:val="en-US"/>
        </w:rPr>
        <w:t>is</w:t>
      </w:r>
      <w:r w:rsidR="001970FF">
        <w:rPr>
          <w:lang w:val="en-US"/>
        </w:rPr>
        <w:t xml:space="preserve"> Soft-S</w:t>
      </w:r>
      <w:r w:rsidR="00D73528">
        <w:rPr>
          <w:lang w:val="en-US"/>
        </w:rPr>
        <w:t>e</w:t>
      </w:r>
      <w:r w:rsidR="001970FF">
        <w:rPr>
          <w:lang w:val="en-US"/>
        </w:rPr>
        <w:t>nsor use</w:t>
      </w:r>
      <w:r w:rsidR="00A76E57">
        <w:rPr>
          <w:lang w:val="en-US"/>
        </w:rPr>
        <w:t xml:space="preserve"> the</w:t>
      </w:r>
      <w:r w:rsidR="00A34145" w:rsidRPr="00A34145">
        <w:rPr>
          <w:lang w:val="en-US"/>
        </w:rPr>
        <w:t xml:space="preserve"> temperature,</w:t>
      </w:r>
      <w:r w:rsidR="00990255">
        <w:rPr>
          <w:lang w:val="en-US"/>
        </w:rPr>
        <w:t xml:space="preserve"> the</w:t>
      </w:r>
      <w:r w:rsidR="00A34145" w:rsidRPr="00A34145">
        <w:rPr>
          <w:lang w:val="en-US"/>
        </w:rPr>
        <w:t xml:space="preserve"> power and flow rates and correlat</w:t>
      </w:r>
      <w:r w:rsidR="001970FF">
        <w:rPr>
          <w:lang w:val="en-US"/>
        </w:rPr>
        <w:t>e</w:t>
      </w:r>
      <w:r w:rsidR="00A34145" w:rsidRPr="00A34145">
        <w:rPr>
          <w:lang w:val="en-US"/>
        </w:rPr>
        <w:t xml:space="preserve"> them by means of heat balance models to determine the </w:t>
      </w:r>
      <w:r w:rsidR="00F4765E">
        <w:rPr>
          <w:lang w:val="en-US"/>
        </w:rPr>
        <w:t xml:space="preserve">biomass </w:t>
      </w:r>
      <w:r w:rsidR="00A34145" w:rsidRPr="00A34145">
        <w:rPr>
          <w:lang w:val="en-US"/>
        </w:rPr>
        <w:t>produced by the process</w:t>
      </w:r>
      <w:r w:rsidR="00A76E57">
        <w:rPr>
          <w:lang w:val="en-US"/>
        </w:rPr>
        <w:t xml:space="preserve"> </w:t>
      </w:r>
      <w:r w:rsidR="007C7328">
        <w:rPr>
          <w:lang w:val="en-US"/>
        </w:rPr>
        <w:t>(</w:t>
      </w:r>
      <w:proofErr w:type="spellStart"/>
      <w:r w:rsidR="007C7328">
        <w:t>Sivaprakasam</w:t>
      </w:r>
      <w:proofErr w:type="spellEnd"/>
      <w:r w:rsidR="007C7328">
        <w:t xml:space="preserve"> </w:t>
      </w:r>
      <w:r w:rsidR="007C7328" w:rsidRPr="007C7328">
        <w:rPr>
          <w:i/>
          <w:iCs/>
        </w:rPr>
        <w:t>et al.</w:t>
      </w:r>
      <w:r w:rsidR="007C7328">
        <w:t xml:space="preserve"> 2018)</w:t>
      </w:r>
      <w:r w:rsidR="00A76E57">
        <w:rPr>
          <w:lang w:val="en-US"/>
        </w:rPr>
        <w:t>.</w:t>
      </w:r>
      <w:r w:rsidR="00A34145" w:rsidRPr="00A34145">
        <w:rPr>
          <w:lang w:val="en-US"/>
        </w:rPr>
        <w:t xml:space="preserve"> </w:t>
      </w:r>
    </w:p>
    <w:p w14:paraId="350B51FC" w14:textId="09BAD670" w:rsidR="00A34145" w:rsidRPr="00A34145" w:rsidRDefault="00A34145" w:rsidP="00740AC5">
      <w:pPr>
        <w:pStyle w:val="CETheadingx"/>
      </w:pPr>
      <w:r w:rsidRPr="00A34145">
        <w:t>Artificial Intelligence in bioprocess instrumentation</w:t>
      </w:r>
    </w:p>
    <w:p w14:paraId="2CDDB97A" w14:textId="7C11B0C7" w:rsidR="00E2480D" w:rsidRDefault="00A34145" w:rsidP="00E2480D">
      <w:pPr>
        <w:pStyle w:val="CETReferencetext"/>
        <w:ind w:left="0" w:firstLine="0"/>
        <w:rPr>
          <w:lang w:val="en-US"/>
        </w:rPr>
      </w:pPr>
      <w:r w:rsidRPr="00A34145">
        <w:rPr>
          <w:lang w:val="en-US"/>
        </w:rPr>
        <w:t>The latest trend in bioprocesses is the inclusion of artificial intelligence (AI)</w:t>
      </w:r>
      <w:r w:rsidR="00701F6E">
        <w:rPr>
          <w:lang w:val="en-US"/>
        </w:rPr>
        <w:t>.</w:t>
      </w:r>
      <w:r w:rsidRPr="00A34145">
        <w:rPr>
          <w:lang w:val="en-US"/>
        </w:rPr>
        <w:t xml:space="preserve"> This trend has touched the agents of the control loops, turning sensors and actuators into intelligent instrumentation. </w:t>
      </w:r>
      <w:r w:rsidR="00880BE3">
        <w:rPr>
          <w:lang w:val="en-US"/>
        </w:rPr>
        <w:t>F</w:t>
      </w:r>
      <w:r w:rsidRPr="00A34145">
        <w:rPr>
          <w:lang w:val="en-US"/>
        </w:rPr>
        <w:t>igure</w:t>
      </w:r>
      <w:r w:rsidR="00880BE3">
        <w:rPr>
          <w:lang w:val="en-US"/>
        </w:rPr>
        <w:t xml:space="preserve"> </w:t>
      </w:r>
      <w:r w:rsidR="00F36779">
        <w:rPr>
          <w:lang w:val="en-US"/>
        </w:rPr>
        <w:t>4</w:t>
      </w:r>
      <w:r w:rsidR="00880BE3">
        <w:rPr>
          <w:lang w:val="en-US"/>
        </w:rPr>
        <w:t xml:space="preserve"> </w:t>
      </w:r>
      <w:r w:rsidRPr="00A34145">
        <w:rPr>
          <w:lang w:val="en-US"/>
        </w:rPr>
        <w:t>shows two phases in this process, the first one comprising the advance of artificial neural networks and machine learning in bioprocessing (1993-2009), and the second one that joins these two strategies with the new trends towards Deep Learning and problem solving in data management (2009-2023).</w:t>
      </w:r>
      <w:r w:rsidR="00E2480D">
        <w:rPr>
          <w:lang w:val="en-US"/>
        </w:rPr>
        <w:t xml:space="preserve"> </w:t>
      </w:r>
    </w:p>
    <w:p w14:paraId="2B7ECCE7" w14:textId="51213AB0" w:rsidR="00A34145" w:rsidRDefault="00A34145" w:rsidP="00D40B67">
      <w:pPr>
        <w:pStyle w:val="CETReferencetext"/>
        <w:ind w:left="0" w:firstLine="0"/>
        <w:rPr>
          <w:lang w:val="en-U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3"/>
        <w:gridCol w:w="4474"/>
      </w:tblGrid>
      <w:tr w:rsidR="00472160" w14:paraId="2ECCA4A9" w14:textId="77777777" w:rsidTr="00F36779">
        <w:tc>
          <w:tcPr>
            <w:tcW w:w="4313" w:type="dxa"/>
          </w:tcPr>
          <w:p w14:paraId="72AA0702" w14:textId="245BF96F" w:rsidR="00472160" w:rsidRDefault="00F36779" w:rsidP="004F241C">
            <w:pPr>
              <w:keepNext/>
              <w:ind w:left="-106"/>
              <w:jc w:val="center"/>
              <w:rPr>
                <w:lang w:val="en-US"/>
              </w:rPr>
            </w:pPr>
            <w:r w:rsidRPr="00D40B67">
              <w:rPr>
                <w:noProof/>
                <w:lang w:val="en-US"/>
              </w:rPr>
              <w:drawing>
                <wp:inline distT="0" distB="0" distL="0" distR="0" wp14:anchorId="777CE5EC" wp14:editId="0D8D7D55">
                  <wp:extent cx="2735229" cy="1915199"/>
                  <wp:effectExtent l="0" t="0" r="8255" b="8890"/>
                  <wp:docPr id="64562179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621792" name="Imagen 3"/>
                          <pic:cNvPicPr>
                            <a:picLocks noChangeAspect="1" noChangeArrowheads="1"/>
                          </pic:cNvPicPr>
                        </pic:nvPicPr>
                        <pic:blipFill>
                          <a:blip r:embed="rId15">
                            <a:extLst>
                              <a:ext uri="{96DAC541-7B7A-43D3-8B79-37D633B846F1}">
                                <asvg:svgBlip xmlns:asvg="http://schemas.microsoft.com/office/drawing/2016/SVG/main" r:embed="rId16"/>
                              </a:ext>
                            </a:extLst>
                          </a:blip>
                          <a:stretch>
                            <a:fillRect/>
                          </a:stretch>
                        </pic:blipFill>
                        <pic:spPr bwMode="auto">
                          <a:xfrm>
                            <a:off x="0" y="0"/>
                            <a:ext cx="2735229" cy="1915199"/>
                          </a:xfrm>
                          <a:prstGeom prst="rect">
                            <a:avLst/>
                          </a:prstGeom>
                        </pic:spPr>
                      </pic:pic>
                    </a:graphicData>
                  </a:graphic>
                </wp:inline>
              </w:drawing>
            </w:r>
          </w:p>
        </w:tc>
        <w:tc>
          <w:tcPr>
            <w:tcW w:w="4474" w:type="dxa"/>
          </w:tcPr>
          <w:p w14:paraId="7FDBD022" w14:textId="65E97F7F" w:rsidR="00472160" w:rsidRDefault="00F36779" w:rsidP="00384273">
            <w:pPr>
              <w:pStyle w:val="CETReferencetext"/>
              <w:ind w:left="0" w:firstLine="0"/>
              <w:rPr>
                <w:lang w:val="en-US"/>
              </w:rPr>
            </w:pPr>
            <w:r>
              <w:rPr>
                <w:noProof/>
                <w:sz w:val="24"/>
                <w:szCs w:val="24"/>
              </w:rPr>
              <w:drawing>
                <wp:inline distT="0" distB="0" distL="0" distR="0" wp14:anchorId="49CD0E7E" wp14:editId="5AB1CC11">
                  <wp:extent cx="2775598" cy="1937992"/>
                  <wp:effectExtent l="0" t="0" r="5715" b="5715"/>
                  <wp:docPr id="96094978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949784" name="Imagen 4"/>
                          <pic:cNvPicPr>
                            <a:picLocks noChangeAspect="1" noChangeArrowheads="1"/>
                          </pic:cNvPicPr>
                        </pic:nvPicPr>
                        <pic:blipFill>
                          <a:blip r:embed="rId17">
                            <a:extLst>
                              <a:ext uri="{96DAC541-7B7A-43D3-8B79-37D633B846F1}">
                                <asvg:svgBlip xmlns:asvg="http://schemas.microsoft.com/office/drawing/2016/SVG/main" r:embed="rId18"/>
                              </a:ext>
                            </a:extLst>
                          </a:blip>
                          <a:stretch>
                            <a:fillRect/>
                          </a:stretch>
                        </pic:blipFill>
                        <pic:spPr bwMode="auto">
                          <a:xfrm>
                            <a:off x="0" y="0"/>
                            <a:ext cx="2775598" cy="1937992"/>
                          </a:xfrm>
                          <a:prstGeom prst="rect">
                            <a:avLst/>
                          </a:prstGeom>
                        </pic:spPr>
                      </pic:pic>
                    </a:graphicData>
                  </a:graphic>
                </wp:inline>
              </w:drawing>
            </w:r>
          </w:p>
        </w:tc>
      </w:tr>
      <w:tr w:rsidR="00F36779" w:rsidRPr="00472160" w14:paraId="7BAB95DE" w14:textId="77777777" w:rsidTr="00F36779">
        <w:tc>
          <w:tcPr>
            <w:tcW w:w="4313" w:type="dxa"/>
          </w:tcPr>
          <w:p w14:paraId="7BD5A80E" w14:textId="241EC40B" w:rsidR="00F36779" w:rsidRPr="00300656" w:rsidRDefault="00F36779" w:rsidP="00F36779">
            <w:pPr>
              <w:pStyle w:val="Lgende"/>
              <w:jc w:val="center"/>
              <w:rPr>
                <w:b w:val="0"/>
                <w:bCs w:val="0"/>
                <w:color w:val="auto"/>
                <w:lang w:val="en-US"/>
              </w:rPr>
            </w:pPr>
            <w:r w:rsidRPr="00300656">
              <w:rPr>
                <w:color w:val="auto"/>
                <w:lang w:val="en-US"/>
              </w:rPr>
              <w:t xml:space="preserve">Figure </w:t>
            </w:r>
            <w:r>
              <w:rPr>
                <w:color w:val="auto"/>
                <w:lang w:val="en-US"/>
              </w:rPr>
              <w:t>3</w:t>
            </w:r>
            <w:r w:rsidRPr="00300656">
              <w:rPr>
                <w:b w:val="0"/>
                <w:bCs w:val="0"/>
                <w:color w:val="auto"/>
                <w:lang w:val="en-US"/>
              </w:rPr>
              <w:t xml:space="preserve">. Publications related to Soft-sensor OR Estimators (cross with P1 and P2) in bioprocesses (Database: </w:t>
            </w:r>
            <w:proofErr w:type="spellStart"/>
            <w:r w:rsidRPr="00300656">
              <w:rPr>
                <w:b w:val="0"/>
                <w:bCs w:val="0"/>
                <w:color w:val="auto"/>
                <w:lang w:val="en-US"/>
              </w:rPr>
              <w:t>WoS</w:t>
            </w:r>
            <w:proofErr w:type="spellEnd"/>
            <w:r w:rsidRPr="00300656">
              <w:rPr>
                <w:b w:val="0"/>
                <w:bCs w:val="0"/>
                <w:color w:val="auto"/>
                <w:lang w:val="en-US"/>
              </w:rPr>
              <w:t>, Period: 1990-2024)</w:t>
            </w:r>
          </w:p>
        </w:tc>
        <w:tc>
          <w:tcPr>
            <w:tcW w:w="4474" w:type="dxa"/>
          </w:tcPr>
          <w:p w14:paraId="4E9D17EC" w14:textId="64D66E09" w:rsidR="00F36779" w:rsidRPr="00300656" w:rsidRDefault="00F36779" w:rsidP="00F36779">
            <w:pPr>
              <w:pStyle w:val="Lgende"/>
              <w:jc w:val="center"/>
              <w:rPr>
                <w:lang w:val="en-US"/>
              </w:rPr>
            </w:pPr>
            <w:r w:rsidRPr="00300656">
              <w:rPr>
                <w:color w:val="auto"/>
                <w:lang w:val="en-US"/>
              </w:rPr>
              <w:t xml:space="preserve">Figure </w:t>
            </w:r>
            <w:r>
              <w:rPr>
                <w:color w:val="auto"/>
                <w:lang w:val="en-US"/>
              </w:rPr>
              <w:t>4</w:t>
            </w:r>
            <w:r w:rsidRPr="00300656">
              <w:rPr>
                <w:b w:val="0"/>
                <w:bCs w:val="0"/>
                <w:color w:val="auto"/>
                <w:lang w:val="en-US"/>
              </w:rPr>
              <w:t xml:space="preserve">. Publications related to Artificial Intelligence OR Artificial Neural Networks in bioprocesses instrumentation (Database: </w:t>
            </w:r>
            <w:proofErr w:type="spellStart"/>
            <w:r w:rsidRPr="00300656">
              <w:rPr>
                <w:b w:val="0"/>
                <w:bCs w:val="0"/>
                <w:color w:val="auto"/>
                <w:lang w:val="en-US"/>
              </w:rPr>
              <w:t>WoS</w:t>
            </w:r>
            <w:proofErr w:type="spellEnd"/>
            <w:r w:rsidRPr="00300656">
              <w:rPr>
                <w:b w:val="0"/>
                <w:bCs w:val="0"/>
                <w:color w:val="auto"/>
                <w:lang w:val="en-US"/>
              </w:rPr>
              <w:t>, Period: 1990-2023)</w:t>
            </w:r>
          </w:p>
        </w:tc>
      </w:tr>
    </w:tbl>
    <w:p w14:paraId="434015A5" w14:textId="77777777" w:rsidR="000E118C" w:rsidRDefault="000E118C" w:rsidP="000E118C">
      <w:pPr>
        <w:pStyle w:val="CETReferencetext"/>
        <w:ind w:left="0" w:firstLine="0"/>
        <w:rPr>
          <w:lang w:val="en-US"/>
        </w:rPr>
      </w:pPr>
    </w:p>
    <w:p w14:paraId="57BDA426" w14:textId="2795B84A" w:rsidR="000E118C" w:rsidRDefault="000E118C" w:rsidP="000E118C">
      <w:pPr>
        <w:pStyle w:val="CETReferencetext"/>
        <w:ind w:left="0" w:firstLine="0"/>
        <w:rPr>
          <w:lang w:val="en-US"/>
        </w:rPr>
      </w:pPr>
      <w:r w:rsidRPr="000E118C">
        <w:rPr>
          <w:lang w:val="en-US"/>
        </w:rPr>
        <w:t xml:space="preserve">The implementation of artificial intelligence in bioprocess instrumentation has revolutionized monitoring and control capabilities, enabling unprecedented optimization. A key example is the use of artificial neural networks to perform simulations of directed evolution or combinatorial problem solving, at the genetic level, to choose the best strain for a process. In addition, AI-based control strategies have been applied to improve complex culture systems such as the cultivation of consortia of microorganisms (co-cultures). </w:t>
      </w:r>
      <w:r>
        <w:rPr>
          <w:lang w:val="en-US"/>
        </w:rPr>
        <w:t>T</w:t>
      </w:r>
      <w:r w:rsidRPr="000E118C">
        <w:rPr>
          <w:lang w:val="en-US"/>
        </w:rPr>
        <w:t>he use of AI in these types of systems helps to maintain stable critical parameters, such as the population levels, and can even take on the role of a proportional-integral controller to keep the culture stable. These advances demonstrate that AI not only complements traditional instrumentation but also introduces new levels of adaptability and precision in biomanufacturing, accelerating the transition to more intelligent and autonomous bioprocesses.</w:t>
      </w:r>
      <w:r w:rsidR="009A0615">
        <w:rPr>
          <w:lang w:val="en-US"/>
        </w:rPr>
        <w:t xml:space="preserve"> </w:t>
      </w:r>
    </w:p>
    <w:p w14:paraId="195127D1" w14:textId="09B75FAB" w:rsidR="00A06A84" w:rsidRDefault="00A06A84" w:rsidP="00DF4A5A">
      <w:pPr>
        <w:pStyle w:val="CETReferencetext"/>
        <w:spacing w:line="240" w:lineRule="auto"/>
        <w:ind w:left="0" w:firstLine="0"/>
        <w:rPr>
          <w:lang w:val="en-US"/>
        </w:rPr>
      </w:pPr>
      <w:r w:rsidRPr="00A34145">
        <w:rPr>
          <w:lang w:val="en-US"/>
        </w:rPr>
        <w:t xml:space="preserve">The classical research method, by means of database consultation, identified 6 main trends in the instrumentation of a </w:t>
      </w:r>
      <w:r>
        <w:rPr>
          <w:lang w:val="en-US"/>
        </w:rPr>
        <w:t xml:space="preserve">bioprocess (Figure 5): </w:t>
      </w:r>
      <w:r w:rsidRPr="00A34145">
        <w:rPr>
          <w:lang w:val="en-US"/>
        </w:rPr>
        <w:t>adoption of the PAT nomenclature</w:t>
      </w:r>
      <w:r>
        <w:rPr>
          <w:lang w:val="en-US"/>
        </w:rPr>
        <w:t>, development and use of optical instrumentation, miniaturization of the sensing element and the creation of integrative sensors, implementation of biosensors, implementation of soft sensors and AI in bioprocess instrumentation</w:t>
      </w:r>
      <w:r w:rsidRPr="00A34145">
        <w:rPr>
          <w:lang w:val="en-US"/>
        </w:rPr>
        <w:t>.</w:t>
      </w:r>
    </w:p>
    <w:p w14:paraId="4E438954" w14:textId="77777777" w:rsidR="009A0615" w:rsidRPr="00A34145" w:rsidRDefault="009A0615" w:rsidP="009A0615">
      <w:pPr>
        <w:pStyle w:val="CETHeading1"/>
        <w:spacing w:before="120"/>
      </w:pPr>
      <w:r w:rsidRPr="00A34145">
        <w:t>Conclusion</w:t>
      </w:r>
    </w:p>
    <w:p w14:paraId="6D882C46" w14:textId="0FF8295F" w:rsidR="009A0615" w:rsidRDefault="009A0615" w:rsidP="009A0615">
      <w:pPr>
        <w:pStyle w:val="CETReferencetext"/>
        <w:ind w:left="0" w:firstLine="0"/>
        <w:rPr>
          <w:lang w:val="en-US"/>
        </w:rPr>
      </w:pPr>
      <w:r w:rsidRPr="00A34145">
        <w:rPr>
          <w:lang w:val="en-US"/>
        </w:rPr>
        <w:t xml:space="preserve">This </w:t>
      </w:r>
      <w:r>
        <w:rPr>
          <w:lang w:val="en-US"/>
        </w:rPr>
        <w:t>article</w:t>
      </w:r>
      <w:r w:rsidRPr="00A34145">
        <w:rPr>
          <w:lang w:val="en-US"/>
        </w:rPr>
        <w:t xml:space="preserve">, focused on the comparative analysis and trends of </w:t>
      </w:r>
      <w:r w:rsidRPr="004F241C">
        <w:rPr>
          <w:i/>
          <w:lang w:val="en-US"/>
        </w:rPr>
        <w:t>in-situ</w:t>
      </w:r>
      <w:r w:rsidRPr="00A34145">
        <w:rPr>
          <w:lang w:val="en-US"/>
        </w:rPr>
        <w:t xml:space="preserve"> and </w:t>
      </w:r>
      <w:r w:rsidRPr="004F241C">
        <w:rPr>
          <w:i/>
          <w:lang w:val="en-US"/>
        </w:rPr>
        <w:t>ex-situ</w:t>
      </w:r>
      <w:r w:rsidRPr="00A34145">
        <w:rPr>
          <w:lang w:val="en-US"/>
        </w:rPr>
        <w:t xml:space="preserve"> sensors in bioreactors, underlines the evolution and sophistication of instrumentation in Bioindustry 4.0. Throughout the </w:t>
      </w:r>
      <w:r>
        <w:rPr>
          <w:lang w:val="en-US"/>
        </w:rPr>
        <w:t>benchmark It was s</w:t>
      </w:r>
      <w:r w:rsidRPr="000E118C">
        <w:rPr>
          <w:lang w:val="en-US"/>
        </w:rPr>
        <w:t>how</w:t>
      </w:r>
      <w:r>
        <w:rPr>
          <w:lang w:val="en-US"/>
        </w:rPr>
        <w:t>n</w:t>
      </w:r>
      <w:r w:rsidRPr="000E118C">
        <w:rPr>
          <w:lang w:val="en-US"/>
        </w:rPr>
        <w:t xml:space="preserve"> </w:t>
      </w:r>
      <w:r>
        <w:rPr>
          <w:lang w:val="en-US"/>
        </w:rPr>
        <w:t xml:space="preserve">how </w:t>
      </w:r>
      <w:r w:rsidRPr="000E118C">
        <w:rPr>
          <w:lang w:val="en-US"/>
        </w:rPr>
        <w:t>the evolution of instrumentation in bioprocesses has shifted from relying exclusively on physical sensors to integrating advanced computational models and artificial intelligence techniques, marking a clear transition toward intelligent automation in the bioindustry</w:t>
      </w:r>
      <w:r>
        <w:rPr>
          <w:lang w:val="en-US"/>
        </w:rPr>
        <w:t xml:space="preserve"> </w:t>
      </w:r>
      <w:r w:rsidRPr="00A34145">
        <w:rPr>
          <w:lang w:val="en-US"/>
        </w:rPr>
        <w:t>techniques.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7"/>
      </w:tblGrid>
      <w:tr w:rsidR="00501998" w14:paraId="269EB24F" w14:textId="77777777" w:rsidTr="0013597A">
        <w:tc>
          <w:tcPr>
            <w:tcW w:w="8777" w:type="dxa"/>
          </w:tcPr>
          <w:p w14:paraId="56B987E1" w14:textId="6463633C" w:rsidR="00501998" w:rsidRDefault="00501998" w:rsidP="0042275F">
            <w:pPr>
              <w:pStyle w:val="CETReferencetext"/>
              <w:spacing w:line="240" w:lineRule="auto"/>
              <w:ind w:left="0" w:firstLine="0"/>
              <w:jc w:val="center"/>
              <w:rPr>
                <w:lang w:val="en-US"/>
              </w:rPr>
            </w:pPr>
            <w:r>
              <w:rPr>
                <w:noProof/>
              </w:rPr>
              <w:drawing>
                <wp:inline distT="0" distB="0" distL="0" distR="0" wp14:anchorId="3785A889" wp14:editId="105576F2">
                  <wp:extent cx="1611969" cy="2006600"/>
                  <wp:effectExtent l="0" t="0" r="762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615270" cy="2010709"/>
                          </a:xfrm>
                          <a:prstGeom prst="rect">
                            <a:avLst/>
                          </a:prstGeom>
                        </pic:spPr>
                      </pic:pic>
                    </a:graphicData>
                  </a:graphic>
                </wp:inline>
              </w:drawing>
            </w:r>
          </w:p>
        </w:tc>
      </w:tr>
      <w:tr w:rsidR="00501998" w14:paraId="3C08C54B" w14:textId="77777777" w:rsidTr="009804AA">
        <w:tc>
          <w:tcPr>
            <w:tcW w:w="8777" w:type="dxa"/>
          </w:tcPr>
          <w:p w14:paraId="6426B55E" w14:textId="63AA465A" w:rsidR="00501998" w:rsidRDefault="00501998" w:rsidP="00501998">
            <w:pPr>
              <w:pStyle w:val="CETReferencetext"/>
              <w:spacing w:line="240" w:lineRule="auto"/>
              <w:ind w:left="0" w:firstLine="0"/>
              <w:jc w:val="center"/>
              <w:rPr>
                <w:lang w:val="en-US"/>
              </w:rPr>
            </w:pPr>
            <w:r w:rsidRPr="00501998">
              <w:rPr>
                <w:b/>
                <w:bCs/>
                <w:lang w:val="en-US"/>
              </w:rPr>
              <w:t>Figure 5</w:t>
            </w:r>
            <w:r w:rsidRPr="00F36779">
              <w:rPr>
                <w:lang w:val="en-US"/>
              </w:rPr>
              <w:t>. Major trends of the benchmark analysis</w:t>
            </w:r>
          </w:p>
        </w:tc>
      </w:tr>
    </w:tbl>
    <w:p w14:paraId="16A08833" w14:textId="77777777" w:rsidR="009A0615" w:rsidRDefault="009A0615" w:rsidP="00990255">
      <w:pPr>
        <w:pStyle w:val="CETReferencetext"/>
        <w:spacing w:line="240" w:lineRule="auto"/>
        <w:ind w:left="0" w:firstLine="0"/>
        <w:rPr>
          <w:lang w:val="en-US"/>
        </w:rPr>
      </w:pPr>
    </w:p>
    <w:p w14:paraId="5B27C5E7" w14:textId="53D111B1" w:rsidR="00A34145" w:rsidRDefault="00A34145" w:rsidP="00990255">
      <w:pPr>
        <w:pStyle w:val="CETReferencetext"/>
        <w:spacing w:line="240" w:lineRule="auto"/>
        <w:ind w:left="0" w:firstLine="0"/>
        <w:rPr>
          <w:lang w:val="en-US"/>
        </w:rPr>
      </w:pPr>
      <w:r w:rsidRPr="00A34145">
        <w:rPr>
          <w:lang w:val="en-US"/>
        </w:rPr>
        <w:t>This integration not only optimizes process performance, but also opens new possibilities for innovation in sustainable biomanufacturing.</w:t>
      </w:r>
      <w:r w:rsidR="00990255">
        <w:rPr>
          <w:lang w:val="en-US"/>
        </w:rPr>
        <w:t xml:space="preserve"> </w:t>
      </w:r>
      <w:r w:rsidRPr="00A34145">
        <w:rPr>
          <w:lang w:val="en-US"/>
        </w:rPr>
        <w:t>Going through the strong adoption of optical and integrative instrumentation to make processes with reliable and on-line information</w:t>
      </w:r>
      <w:r w:rsidR="004B0E25">
        <w:rPr>
          <w:lang w:val="en-US"/>
        </w:rPr>
        <w:t>, a</w:t>
      </w:r>
      <w:r w:rsidRPr="00A34145">
        <w:rPr>
          <w:lang w:val="en-US"/>
        </w:rPr>
        <w:t>s well as the crucial role of soft-sensors</w:t>
      </w:r>
      <w:r w:rsidR="004B0E25">
        <w:rPr>
          <w:lang w:val="en-US"/>
        </w:rPr>
        <w:t xml:space="preserve"> to </w:t>
      </w:r>
      <w:r w:rsidRPr="00A34145">
        <w:rPr>
          <w:lang w:val="en-US"/>
        </w:rPr>
        <w:t>estimate variables not directly measured in real time. These developments highlight the transition to more automated and adaptive control in bioindustry</w:t>
      </w:r>
      <w:r w:rsidR="00AA6B5E">
        <w:rPr>
          <w:lang w:val="en-US"/>
        </w:rPr>
        <w:t xml:space="preserve"> (</w:t>
      </w:r>
      <w:proofErr w:type="gramStart"/>
      <w:r w:rsidR="00AA6B5E" w:rsidRPr="00AA6B5E">
        <w:rPr>
          <w:i/>
          <w:iCs/>
          <w:lang w:val="en-US"/>
        </w:rPr>
        <w:t>e.g.</w:t>
      </w:r>
      <w:proofErr w:type="gramEnd"/>
      <w:r w:rsidR="00AA6B5E">
        <w:rPr>
          <w:lang w:val="en-US"/>
        </w:rPr>
        <w:t xml:space="preserve"> Digital Twins)</w:t>
      </w:r>
      <w:r w:rsidRPr="00A34145">
        <w:rPr>
          <w:lang w:val="en-US"/>
        </w:rPr>
        <w:t>, setting the framework for future innovations in biotech production</w:t>
      </w:r>
      <w:r w:rsidR="000738B3">
        <w:rPr>
          <w:lang w:val="en-US"/>
        </w:rPr>
        <w:t xml:space="preserve"> </w:t>
      </w:r>
      <w:r w:rsidR="000738B3" w:rsidRPr="000738B3">
        <w:rPr>
          <w:lang w:val="en-US"/>
        </w:rPr>
        <w:t>where AI methods are enriched with expert knowledge</w:t>
      </w:r>
      <w:r w:rsidR="00501998" w:rsidRPr="000E118C">
        <w:rPr>
          <w:lang w:val="en-US"/>
        </w:rPr>
        <w:t>.</w:t>
      </w:r>
    </w:p>
    <w:p w14:paraId="200455D9" w14:textId="77777777" w:rsidR="005B3D71" w:rsidRDefault="005B3D71" w:rsidP="00EE3C79">
      <w:pPr>
        <w:pStyle w:val="CETHeading1"/>
        <w:spacing w:before="120"/>
      </w:pPr>
      <w:r>
        <w:t>Acknowledgments</w:t>
      </w:r>
    </w:p>
    <w:p w14:paraId="3748CD62" w14:textId="6AAA40FC" w:rsidR="005B3D71" w:rsidRDefault="005B3D71" w:rsidP="00D822BC">
      <w:pPr>
        <w:pStyle w:val="CETHeading1"/>
        <w:numPr>
          <w:ilvl w:val="0"/>
          <w:numId w:val="0"/>
        </w:numPr>
        <w:spacing w:before="120"/>
        <w:jc w:val="both"/>
        <w:rPr>
          <w:b w:val="0"/>
          <w:sz w:val="18"/>
        </w:rPr>
      </w:pPr>
      <w:r w:rsidRPr="005B3D71">
        <w:rPr>
          <w:b w:val="0"/>
          <w:sz w:val="18"/>
        </w:rPr>
        <w:t>This work was funded (or co-funded) by the European Union under the Horizon Europe project</w:t>
      </w:r>
      <w:r>
        <w:rPr>
          <w:b w:val="0"/>
          <w:sz w:val="18"/>
        </w:rPr>
        <w:t xml:space="preserve"> </w:t>
      </w:r>
      <w:r w:rsidRPr="005B3D71">
        <w:rPr>
          <w:b w:val="0"/>
          <w:sz w:val="18"/>
        </w:rPr>
        <w:t>Bioindustry 4.0, grant n.101094287</w:t>
      </w:r>
      <w:r>
        <w:rPr>
          <w:b w:val="0"/>
          <w:sz w:val="18"/>
        </w:rPr>
        <w:t>.</w:t>
      </w:r>
    </w:p>
    <w:p w14:paraId="28E6AB53" w14:textId="125B45FF" w:rsidR="00A173FA" w:rsidRDefault="00A173FA" w:rsidP="00740AC5">
      <w:pPr>
        <w:pStyle w:val="CETHeading1"/>
        <w:numPr>
          <w:ilvl w:val="0"/>
          <w:numId w:val="0"/>
        </w:numPr>
        <w:spacing w:before="120"/>
      </w:pPr>
      <w:r>
        <w:t>Appendix</w:t>
      </w:r>
    </w:p>
    <w:p w14:paraId="5A830F56" w14:textId="5657E103" w:rsidR="00406C65" w:rsidRPr="00A173FA" w:rsidRDefault="00A173FA" w:rsidP="00D822BC">
      <w:pPr>
        <w:pStyle w:val="CETBodytext"/>
      </w:pPr>
      <w:r w:rsidRPr="00A173FA">
        <w:t>The following link contains 30,000 papers found in the bibliographic search</w:t>
      </w:r>
      <w:r w:rsidR="00D822BC">
        <w:t xml:space="preserve"> and t</w:t>
      </w:r>
      <w:r w:rsidR="00406C65" w:rsidRPr="00406C65">
        <w:t xml:space="preserve">he Zotero database mentioned in section </w:t>
      </w:r>
      <w:r w:rsidR="00D822BC">
        <w:t xml:space="preserve">3 </w:t>
      </w:r>
      <w:hyperlink r:id="rId20" w:history="1">
        <w:r w:rsidR="00D822BC">
          <w:rPr>
            <w:rStyle w:val="Lienhypertexte"/>
          </w:rPr>
          <w:t>https://doi.org/10.57745/PLNRMN</w:t>
        </w:r>
      </w:hyperlink>
      <w:r w:rsidR="00D822BC">
        <w:t>.</w:t>
      </w:r>
    </w:p>
    <w:p w14:paraId="6C388BC5" w14:textId="03CBAA16" w:rsidR="005B3D71" w:rsidRPr="005B3D71" w:rsidRDefault="00A34145" w:rsidP="00EE3C79">
      <w:pPr>
        <w:pStyle w:val="CETHeading1"/>
        <w:spacing w:before="120"/>
      </w:pPr>
      <w:r w:rsidRPr="00A34145">
        <w:t>References</w:t>
      </w:r>
    </w:p>
    <w:p w14:paraId="3FA0B70A" w14:textId="1D334C83" w:rsidR="00990255" w:rsidRDefault="00990255" w:rsidP="00A34145">
      <w:pPr>
        <w:pStyle w:val="CETReferencetext"/>
        <w:rPr>
          <w:lang w:val="en-US"/>
        </w:rPr>
      </w:pPr>
      <w:proofErr w:type="spellStart"/>
      <w:r w:rsidRPr="00990255">
        <w:rPr>
          <w:lang w:val="en-US"/>
        </w:rPr>
        <w:t>Austerjost</w:t>
      </w:r>
      <w:proofErr w:type="spellEnd"/>
      <w:r w:rsidRPr="00990255">
        <w:rPr>
          <w:lang w:val="en-US"/>
        </w:rPr>
        <w:t xml:space="preserve">, J., </w:t>
      </w:r>
      <w:proofErr w:type="spellStart"/>
      <w:r w:rsidRPr="00990255">
        <w:rPr>
          <w:lang w:val="en-US"/>
        </w:rPr>
        <w:t>Söldner</w:t>
      </w:r>
      <w:proofErr w:type="spellEnd"/>
      <w:r w:rsidRPr="00990255">
        <w:rPr>
          <w:lang w:val="en-US"/>
        </w:rPr>
        <w:t xml:space="preserve">, R., </w:t>
      </w:r>
      <w:proofErr w:type="spellStart"/>
      <w:r w:rsidRPr="00990255">
        <w:rPr>
          <w:lang w:val="en-US"/>
        </w:rPr>
        <w:t>Edlund</w:t>
      </w:r>
      <w:proofErr w:type="spellEnd"/>
      <w:r w:rsidRPr="00990255">
        <w:rPr>
          <w:lang w:val="en-US"/>
        </w:rPr>
        <w:t xml:space="preserve">, C., </w:t>
      </w:r>
      <w:proofErr w:type="spellStart"/>
      <w:r w:rsidRPr="00990255">
        <w:rPr>
          <w:lang w:val="en-US"/>
        </w:rPr>
        <w:t>Trygg</w:t>
      </w:r>
      <w:proofErr w:type="spellEnd"/>
      <w:r w:rsidRPr="00990255">
        <w:rPr>
          <w:lang w:val="en-US"/>
        </w:rPr>
        <w:t xml:space="preserve">, J., Pollard, D., and </w:t>
      </w:r>
      <w:proofErr w:type="spellStart"/>
      <w:r w:rsidRPr="00990255">
        <w:rPr>
          <w:lang w:val="en-US"/>
        </w:rPr>
        <w:t>Sjögren</w:t>
      </w:r>
      <w:proofErr w:type="spellEnd"/>
      <w:r w:rsidRPr="00990255">
        <w:rPr>
          <w:lang w:val="en-US"/>
        </w:rPr>
        <w:t xml:space="preserve">, R., </w:t>
      </w:r>
      <w:r w:rsidR="005002C1" w:rsidRPr="00990255">
        <w:rPr>
          <w:lang w:val="en-US"/>
        </w:rPr>
        <w:t>2021</w:t>
      </w:r>
      <w:r w:rsidR="005002C1">
        <w:rPr>
          <w:lang w:val="en-US"/>
        </w:rPr>
        <w:t xml:space="preserve">, </w:t>
      </w:r>
      <w:r w:rsidRPr="00990255">
        <w:rPr>
          <w:lang w:val="en-US"/>
        </w:rPr>
        <w:t>A Machine Vision Approach for Bioreactor Foam Sensing, SLAS Technol., 26</w:t>
      </w:r>
      <w:r w:rsidR="005002C1">
        <w:rPr>
          <w:lang w:val="en-US"/>
        </w:rPr>
        <w:t xml:space="preserve"> (</w:t>
      </w:r>
      <w:r w:rsidRPr="00990255">
        <w:rPr>
          <w:lang w:val="en-US"/>
        </w:rPr>
        <w:t>4</w:t>
      </w:r>
      <w:r w:rsidR="005002C1">
        <w:rPr>
          <w:lang w:val="en-US"/>
        </w:rPr>
        <w:t>)</w:t>
      </w:r>
      <w:r w:rsidRPr="00990255">
        <w:rPr>
          <w:lang w:val="en-US"/>
        </w:rPr>
        <w:t xml:space="preserve">, 408–414, </w:t>
      </w:r>
      <w:proofErr w:type="spellStart"/>
      <w:r w:rsidRPr="00990255">
        <w:rPr>
          <w:lang w:val="en-US"/>
        </w:rPr>
        <w:t>doi</w:t>
      </w:r>
      <w:proofErr w:type="spellEnd"/>
      <w:r w:rsidRPr="00990255">
        <w:rPr>
          <w:lang w:val="en-US"/>
        </w:rPr>
        <w:t>: 10.1177/24726303211008861.</w:t>
      </w:r>
    </w:p>
    <w:p w14:paraId="0E091F6A" w14:textId="0375E1B1" w:rsidR="000D2DDA" w:rsidRDefault="000D2DDA" w:rsidP="00A34145">
      <w:pPr>
        <w:pStyle w:val="CETReferencetext"/>
        <w:rPr>
          <w:lang w:val="en-US"/>
        </w:rPr>
      </w:pPr>
      <w:proofErr w:type="spellStart"/>
      <w:r w:rsidRPr="000D2DDA">
        <w:t>Beutel</w:t>
      </w:r>
      <w:proofErr w:type="spellEnd"/>
      <w:r w:rsidRPr="000D2DDA">
        <w:t>, S., Henkel, S.</w:t>
      </w:r>
      <w:r>
        <w:t>, 2011,</w:t>
      </w:r>
      <w:r w:rsidRPr="000D2DDA">
        <w:t xml:space="preserve"> In situ sensor techniques in modern bioprocess monitoring. </w:t>
      </w:r>
      <w:proofErr w:type="spellStart"/>
      <w:r w:rsidRPr="000D2DDA">
        <w:t>Appl</w:t>
      </w:r>
      <w:proofErr w:type="spellEnd"/>
      <w:r w:rsidRPr="000D2DDA">
        <w:t xml:space="preserve"> </w:t>
      </w:r>
      <w:proofErr w:type="spellStart"/>
      <w:r w:rsidRPr="000D2DDA">
        <w:t>Microbiol</w:t>
      </w:r>
      <w:proofErr w:type="spellEnd"/>
      <w:r w:rsidRPr="000D2DDA">
        <w:t xml:space="preserve"> </w:t>
      </w:r>
      <w:proofErr w:type="spellStart"/>
      <w:r w:rsidRPr="000D2DDA">
        <w:t>Biotechnol</w:t>
      </w:r>
      <w:proofErr w:type="spellEnd"/>
      <w:r w:rsidRPr="000D2DDA">
        <w:t> 91, 1493–1505. https://doi.org/10.1007/s00253-011-3470-5</w:t>
      </w:r>
    </w:p>
    <w:p w14:paraId="14A69541" w14:textId="0B524F7C" w:rsidR="00990255" w:rsidRDefault="00990255" w:rsidP="00A34145">
      <w:pPr>
        <w:pStyle w:val="CETReferencetext"/>
        <w:rPr>
          <w:lang w:val="en-US"/>
        </w:rPr>
      </w:pPr>
      <w:proofErr w:type="spellStart"/>
      <w:r w:rsidRPr="00990255">
        <w:rPr>
          <w:lang w:val="en-US"/>
        </w:rPr>
        <w:t>Gerzon</w:t>
      </w:r>
      <w:proofErr w:type="spellEnd"/>
      <w:r w:rsidRPr="00990255">
        <w:rPr>
          <w:lang w:val="en-US"/>
        </w:rPr>
        <w:t xml:space="preserve">, G., Sheng, Y., and </w:t>
      </w:r>
      <w:proofErr w:type="spellStart"/>
      <w:r w:rsidRPr="00990255">
        <w:rPr>
          <w:lang w:val="en-US"/>
        </w:rPr>
        <w:t>Kirkitadze</w:t>
      </w:r>
      <w:proofErr w:type="spellEnd"/>
      <w:r w:rsidRPr="00990255">
        <w:rPr>
          <w:lang w:val="en-US"/>
        </w:rPr>
        <w:t xml:space="preserve"> M., </w:t>
      </w:r>
      <w:r w:rsidR="005002C1" w:rsidRPr="00990255">
        <w:rPr>
          <w:lang w:val="en-US"/>
        </w:rPr>
        <w:t>2022</w:t>
      </w:r>
      <w:r w:rsidR="005002C1">
        <w:rPr>
          <w:lang w:val="en-US"/>
        </w:rPr>
        <w:t xml:space="preserve">, </w:t>
      </w:r>
      <w:r w:rsidRPr="00990255">
        <w:rPr>
          <w:lang w:val="en-US"/>
        </w:rPr>
        <w:t>Process Analytical Technologies – Advances in bioprocess integration and future perspectives, J. Pharm. Biomed. Anal., 207, 114379</w:t>
      </w:r>
      <w:r w:rsidR="005002C1">
        <w:rPr>
          <w:lang w:val="en-US"/>
        </w:rPr>
        <w:t>,</w:t>
      </w:r>
      <w:r w:rsidRPr="00990255">
        <w:rPr>
          <w:lang w:val="en-US"/>
        </w:rPr>
        <w:t xml:space="preserve"> </w:t>
      </w:r>
      <w:proofErr w:type="spellStart"/>
      <w:r w:rsidRPr="00990255">
        <w:rPr>
          <w:lang w:val="en-US"/>
        </w:rPr>
        <w:t>doi</w:t>
      </w:r>
      <w:proofErr w:type="spellEnd"/>
      <w:r w:rsidRPr="00990255">
        <w:rPr>
          <w:lang w:val="en-US"/>
        </w:rPr>
        <w:t>: 10.1016/j.jpba.2021.114379.</w:t>
      </w:r>
    </w:p>
    <w:p w14:paraId="0C8CB17A" w14:textId="359A4F54" w:rsidR="00990255" w:rsidRPr="00990255" w:rsidRDefault="00990255" w:rsidP="00DF4A5A">
      <w:pPr>
        <w:pStyle w:val="CETReferencetext"/>
        <w:spacing w:line="240" w:lineRule="auto"/>
        <w:rPr>
          <w:lang w:val="en-US"/>
        </w:rPr>
      </w:pPr>
      <w:proofErr w:type="spellStart"/>
      <w:r w:rsidRPr="00990255">
        <w:rPr>
          <w:lang w:val="en-US"/>
        </w:rPr>
        <w:t>Kinet</w:t>
      </w:r>
      <w:proofErr w:type="spellEnd"/>
      <w:r w:rsidRPr="00990255">
        <w:rPr>
          <w:lang w:val="en-US"/>
        </w:rPr>
        <w:t xml:space="preserve"> R, Richelle A, Colle M, </w:t>
      </w:r>
      <w:proofErr w:type="spellStart"/>
      <w:r w:rsidRPr="00990255">
        <w:rPr>
          <w:lang w:val="en-US"/>
        </w:rPr>
        <w:t>Demaegd</w:t>
      </w:r>
      <w:proofErr w:type="spellEnd"/>
      <w:r w:rsidRPr="00990255">
        <w:rPr>
          <w:lang w:val="en-US"/>
        </w:rPr>
        <w:t xml:space="preserve"> D, von Stosch M, Sanders M, </w:t>
      </w:r>
      <w:proofErr w:type="spellStart"/>
      <w:r w:rsidRPr="00990255">
        <w:rPr>
          <w:lang w:val="en-US"/>
        </w:rPr>
        <w:t>Sehrt</w:t>
      </w:r>
      <w:proofErr w:type="spellEnd"/>
      <w:r w:rsidRPr="00990255">
        <w:rPr>
          <w:lang w:val="en-US"/>
        </w:rPr>
        <w:t xml:space="preserve"> H, </w:t>
      </w:r>
      <w:proofErr w:type="spellStart"/>
      <w:r w:rsidRPr="00990255">
        <w:rPr>
          <w:lang w:val="en-US"/>
        </w:rPr>
        <w:t>Delvigne</w:t>
      </w:r>
      <w:proofErr w:type="spellEnd"/>
      <w:r w:rsidRPr="00990255">
        <w:rPr>
          <w:lang w:val="en-US"/>
        </w:rPr>
        <w:t xml:space="preserve"> F, Goffin P.</w:t>
      </w:r>
      <w:r w:rsidR="005002C1">
        <w:rPr>
          <w:lang w:val="en-US"/>
        </w:rPr>
        <w:t>,</w:t>
      </w:r>
      <w:r w:rsidRPr="00990255">
        <w:rPr>
          <w:lang w:val="en-US"/>
        </w:rPr>
        <w:t xml:space="preserve"> </w:t>
      </w:r>
      <w:r w:rsidR="005002C1" w:rsidRPr="00990255">
        <w:rPr>
          <w:lang w:val="en-US"/>
        </w:rPr>
        <w:t>2024</w:t>
      </w:r>
      <w:r w:rsidR="005002C1">
        <w:rPr>
          <w:lang w:val="en-US"/>
        </w:rPr>
        <w:t>,</w:t>
      </w:r>
      <w:r w:rsidR="005002C1" w:rsidRPr="00990255">
        <w:rPr>
          <w:lang w:val="en-US"/>
        </w:rPr>
        <w:t xml:space="preserve"> </w:t>
      </w:r>
      <w:r w:rsidRPr="00990255">
        <w:rPr>
          <w:lang w:val="en-US"/>
        </w:rPr>
        <w:t xml:space="preserve">Giving the cells what they need when they need it: Biosensor-based feeding control. </w:t>
      </w:r>
      <w:proofErr w:type="spellStart"/>
      <w:r w:rsidRPr="00990255">
        <w:rPr>
          <w:lang w:val="en-US"/>
        </w:rPr>
        <w:t>Biotechnol</w:t>
      </w:r>
      <w:proofErr w:type="spellEnd"/>
      <w:r w:rsidRPr="00990255">
        <w:rPr>
          <w:lang w:val="en-US"/>
        </w:rPr>
        <w:t xml:space="preserve"> </w:t>
      </w:r>
      <w:proofErr w:type="spellStart"/>
      <w:r w:rsidRPr="00990255">
        <w:rPr>
          <w:lang w:val="en-US"/>
        </w:rPr>
        <w:t>Bioeng</w:t>
      </w:r>
      <w:proofErr w:type="spellEnd"/>
      <w:r w:rsidRPr="00990255">
        <w:rPr>
          <w:lang w:val="en-US"/>
        </w:rPr>
        <w:t>. 121(4)</w:t>
      </w:r>
      <w:r w:rsidR="005002C1">
        <w:rPr>
          <w:lang w:val="en-US"/>
        </w:rPr>
        <w:t>,</w:t>
      </w:r>
      <w:r w:rsidRPr="00990255">
        <w:rPr>
          <w:lang w:val="en-US"/>
        </w:rPr>
        <w:t>1271-1283</w:t>
      </w:r>
      <w:r w:rsidR="005002C1">
        <w:rPr>
          <w:lang w:val="en-US"/>
        </w:rPr>
        <w:t>,</w:t>
      </w:r>
      <w:r w:rsidRPr="00990255">
        <w:rPr>
          <w:lang w:val="en-US"/>
        </w:rPr>
        <w:t xml:space="preserve"> </w:t>
      </w:r>
      <w:proofErr w:type="spellStart"/>
      <w:r w:rsidRPr="00990255">
        <w:rPr>
          <w:lang w:val="en-US"/>
        </w:rPr>
        <w:t>doi</w:t>
      </w:r>
      <w:proofErr w:type="spellEnd"/>
      <w:r w:rsidRPr="00990255">
        <w:rPr>
          <w:lang w:val="en-US"/>
        </w:rPr>
        <w:t>: 10.1002/bit.28657.</w:t>
      </w:r>
    </w:p>
    <w:p w14:paraId="37807413" w14:textId="3F00D367" w:rsidR="00A34145" w:rsidRDefault="00CD7CF7" w:rsidP="00DF4A5A">
      <w:pPr>
        <w:pStyle w:val="CETReferencetext"/>
        <w:spacing w:line="240" w:lineRule="auto"/>
      </w:pPr>
      <w:r w:rsidRPr="00300656">
        <w:rPr>
          <w:lang w:val="en-US"/>
        </w:rPr>
        <w:t xml:space="preserve">Martin, D. K., Vicente, O., </w:t>
      </w:r>
      <w:proofErr w:type="spellStart"/>
      <w:r w:rsidRPr="00300656">
        <w:rPr>
          <w:lang w:val="en-US"/>
        </w:rPr>
        <w:t>Beccari</w:t>
      </w:r>
      <w:proofErr w:type="spellEnd"/>
      <w:r w:rsidRPr="00300656">
        <w:rPr>
          <w:lang w:val="en-US"/>
        </w:rPr>
        <w:t xml:space="preserve">, T., </w:t>
      </w:r>
      <w:proofErr w:type="spellStart"/>
      <w:r w:rsidRPr="00300656">
        <w:rPr>
          <w:lang w:val="en-US"/>
        </w:rPr>
        <w:t>Kellermayer</w:t>
      </w:r>
      <w:proofErr w:type="spellEnd"/>
      <w:r w:rsidRPr="00300656">
        <w:rPr>
          <w:lang w:val="en-US"/>
        </w:rPr>
        <w:t xml:space="preserve">, M., Koller, M., Lal, R. and </w:t>
      </w:r>
      <w:proofErr w:type="spellStart"/>
      <w:r>
        <w:t>Dundar</w:t>
      </w:r>
      <w:proofErr w:type="spellEnd"/>
      <w:r>
        <w:t>, M.</w:t>
      </w:r>
      <w:r w:rsidR="00300656">
        <w:t xml:space="preserve">, </w:t>
      </w:r>
      <w:r>
        <w:t>2021</w:t>
      </w:r>
      <w:r w:rsidR="00300656">
        <w:t xml:space="preserve">, </w:t>
      </w:r>
      <w:r>
        <w:t xml:space="preserve">A brief overview of global biotechnology. </w:t>
      </w:r>
      <w:r>
        <w:rPr>
          <w:i/>
          <w:iCs/>
        </w:rPr>
        <w:t>Biotechnology &amp; Biotechnological Equipment</w:t>
      </w:r>
      <w:r>
        <w:t xml:space="preserve">, </w:t>
      </w:r>
      <w:r>
        <w:rPr>
          <w:i/>
          <w:iCs/>
        </w:rPr>
        <w:t>35</w:t>
      </w:r>
      <w:r>
        <w:t>(1),</w:t>
      </w:r>
      <w:r w:rsidR="00300656">
        <w:t xml:space="preserve"> </w:t>
      </w:r>
      <w:r>
        <w:t>S5–S14. https://doi.org/10.1080/13102818.2021.1878933</w:t>
      </w:r>
    </w:p>
    <w:p w14:paraId="0A7C1CA8" w14:textId="1DFCE395" w:rsidR="00990255" w:rsidRDefault="00990255" w:rsidP="00DF4A5A">
      <w:pPr>
        <w:pStyle w:val="CETReferencetext"/>
        <w:spacing w:line="240" w:lineRule="auto"/>
      </w:pPr>
      <w:proofErr w:type="spellStart"/>
      <w:r w:rsidRPr="00990255">
        <w:t>Minnich</w:t>
      </w:r>
      <w:proofErr w:type="spellEnd"/>
      <w:r w:rsidRPr="00990255">
        <w:t xml:space="preserve">, C., Hardy, S. and </w:t>
      </w:r>
      <w:proofErr w:type="spellStart"/>
      <w:r w:rsidRPr="00990255">
        <w:t>Krämer</w:t>
      </w:r>
      <w:proofErr w:type="spellEnd"/>
      <w:r w:rsidRPr="00990255">
        <w:t xml:space="preserve">, S., </w:t>
      </w:r>
      <w:r w:rsidR="00300656" w:rsidRPr="00990255">
        <w:t>2016</w:t>
      </w:r>
      <w:r w:rsidR="00300656">
        <w:t xml:space="preserve">, </w:t>
      </w:r>
      <w:r w:rsidRPr="00990255">
        <w:t xml:space="preserve">Stopping the Babylonian Confusion: An Updated Nomenclature for Process </w:t>
      </w:r>
      <w:proofErr w:type="spellStart"/>
      <w:r w:rsidRPr="00990255">
        <w:t>Analyzers</w:t>
      </w:r>
      <w:proofErr w:type="spellEnd"/>
      <w:r w:rsidRPr="00990255">
        <w:t xml:space="preserve"> in PAT Applications, Chem. Ing. Tech., 88</w:t>
      </w:r>
      <w:r w:rsidR="00300656">
        <w:t xml:space="preserve"> (</w:t>
      </w:r>
      <w:r w:rsidRPr="00990255">
        <w:t>6</w:t>
      </w:r>
      <w:r w:rsidR="00300656">
        <w:t>)</w:t>
      </w:r>
      <w:r w:rsidRPr="00990255">
        <w:t xml:space="preserve">, 694–697, </w:t>
      </w:r>
      <w:proofErr w:type="spellStart"/>
      <w:r w:rsidRPr="00990255">
        <w:t>doi</w:t>
      </w:r>
      <w:proofErr w:type="spellEnd"/>
      <w:r w:rsidRPr="00990255">
        <w:t>: 10.1002/cite.201500188.</w:t>
      </w:r>
    </w:p>
    <w:p w14:paraId="20A1FC7E" w14:textId="4BEA695F" w:rsidR="00990255" w:rsidRDefault="00990255" w:rsidP="00DF4A5A">
      <w:pPr>
        <w:pStyle w:val="CETReferencetext"/>
        <w:spacing w:line="240" w:lineRule="auto"/>
      </w:pPr>
      <w:r w:rsidRPr="00990255">
        <w:t xml:space="preserve">Nagel, B., </w:t>
      </w:r>
      <w:proofErr w:type="spellStart"/>
      <w:r w:rsidRPr="00990255">
        <w:t>Dellweg</w:t>
      </w:r>
      <w:proofErr w:type="spellEnd"/>
      <w:r w:rsidRPr="00990255">
        <w:t xml:space="preserve">, H. and </w:t>
      </w:r>
      <w:proofErr w:type="spellStart"/>
      <w:r w:rsidRPr="00990255">
        <w:t>Gierasch</w:t>
      </w:r>
      <w:proofErr w:type="spellEnd"/>
      <w:r w:rsidRPr="00990255">
        <w:t>, L. M.</w:t>
      </w:r>
      <w:r w:rsidR="00300656">
        <w:t xml:space="preserve">, </w:t>
      </w:r>
      <w:r w:rsidR="00300656" w:rsidRPr="00990255">
        <w:t>1992</w:t>
      </w:r>
      <w:r w:rsidR="00300656">
        <w:t xml:space="preserve">, </w:t>
      </w:r>
      <w:r w:rsidRPr="00990255">
        <w:t>Glossary for chemists of terms used in biotechnology (IUPAC Recommendations 1992)</w:t>
      </w:r>
      <w:r w:rsidR="00300656">
        <w:t>,</w:t>
      </w:r>
      <w:r w:rsidRPr="00990255">
        <w:t xml:space="preserve"> Pure and Applied Chemistry, 64</w:t>
      </w:r>
      <w:r w:rsidR="00300656">
        <w:t xml:space="preserve"> (</w:t>
      </w:r>
      <w:r w:rsidRPr="00990255">
        <w:t>1</w:t>
      </w:r>
      <w:r w:rsidR="00300656">
        <w:t xml:space="preserve">), </w:t>
      </w:r>
      <w:r w:rsidRPr="00990255">
        <w:t>143-168</w:t>
      </w:r>
      <w:r w:rsidR="00300656">
        <w:t>.</w:t>
      </w:r>
    </w:p>
    <w:p w14:paraId="2728A94B" w14:textId="70082C55" w:rsidR="00990255" w:rsidRDefault="00990255" w:rsidP="00DF4A5A">
      <w:pPr>
        <w:pStyle w:val="CETReferencetext"/>
        <w:spacing w:line="240" w:lineRule="auto"/>
      </w:pPr>
      <w:r>
        <w:t xml:space="preserve">O’Mara, P., Farrell, A., Bones, J. and Twomey, K., </w:t>
      </w:r>
      <w:r w:rsidR="00300656">
        <w:t xml:space="preserve">2018, </w:t>
      </w:r>
      <w:r>
        <w:t>Staying alive! Sensors used for monitoring cell health in bioreactors,</w:t>
      </w:r>
      <w:r w:rsidR="00300656">
        <w:t xml:space="preserve"> </w:t>
      </w:r>
      <w:proofErr w:type="spellStart"/>
      <w:r>
        <w:t>Talanta</w:t>
      </w:r>
      <w:proofErr w:type="spellEnd"/>
      <w:r>
        <w:t>, 176</w:t>
      </w:r>
      <w:r w:rsidR="00300656">
        <w:t xml:space="preserve"> (</w:t>
      </w:r>
      <w:r>
        <w:t>130–139</w:t>
      </w:r>
      <w:r w:rsidR="00300656">
        <w:t>)</w:t>
      </w:r>
      <w:r>
        <w:t xml:space="preserve">, </w:t>
      </w:r>
      <w:proofErr w:type="spellStart"/>
      <w:r>
        <w:t>doi</w:t>
      </w:r>
      <w:proofErr w:type="spellEnd"/>
      <w:r>
        <w:t>: 10.1016/j.talanta.2017.07.088.</w:t>
      </w:r>
    </w:p>
    <w:p w14:paraId="257E29F7" w14:textId="25258593" w:rsidR="00740AC5" w:rsidRDefault="00740AC5" w:rsidP="00DF4A5A">
      <w:pPr>
        <w:pStyle w:val="CETReferencetext"/>
        <w:spacing w:line="240" w:lineRule="auto"/>
      </w:pPr>
      <w:r w:rsidRPr="00740AC5">
        <w:t xml:space="preserve">K. Petersen, S. </w:t>
      </w:r>
      <w:proofErr w:type="spellStart"/>
      <w:r w:rsidRPr="00740AC5">
        <w:t>Vakkalanka</w:t>
      </w:r>
      <w:proofErr w:type="spellEnd"/>
      <w:r w:rsidRPr="00740AC5">
        <w:t xml:space="preserve">, and L. </w:t>
      </w:r>
      <w:proofErr w:type="spellStart"/>
      <w:r w:rsidRPr="00740AC5">
        <w:t>Kuzniarz</w:t>
      </w:r>
      <w:proofErr w:type="spellEnd"/>
      <w:r w:rsidRPr="00740AC5">
        <w:t xml:space="preserve">, </w:t>
      </w:r>
      <w:r>
        <w:t xml:space="preserve">2015, </w:t>
      </w:r>
      <w:r w:rsidRPr="00740AC5">
        <w:t>Guidelines for</w:t>
      </w:r>
      <w:r>
        <w:t xml:space="preserve"> </w:t>
      </w:r>
      <w:r w:rsidRPr="00740AC5">
        <w:t xml:space="preserve">conducting systematic mapping studies in software </w:t>
      </w:r>
      <w:proofErr w:type="spellStart"/>
      <w:r w:rsidRPr="00740AC5">
        <w:t>engi</w:t>
      </w:r>
      <w:proofErr w:type="spellEnd"/>
      <w:r w:rsidRPr="00740AC5">
        <w:t>-</w:t>
      </w:r>
      <w:r>
        <w:t xml:space="preserve"> </w:t>
      </w:r>
      <w:proofErr w:type="spellStart"/>
      <w:r w:rsidRPr="00740AC5">
        <w:t>neering</w:t>
      </w:r>
      <w:proofErr w:type="spellEnd"/>
      <w:r w:rsidRPr="00740AC5">
        <w:t>: an update, Information and Software Technology,</w:t>
      </w:r>
      <w:r>
        <w:t xml:space="preserve"> </w:t>
      </w:r>
      <w:r w:rsidRPr="00740AC5">
        <w:t>vol. 64, pp. 1–18</w:t>
      </w:r>
      <w:r>
        <w:t>.</w:t>
      </w:r>
    </w:p>
    <w:p w14:paraId="5DF3641B" w14:textId="0D48EB26" w:rsidR="00990255" w:rsidRDefault="00990255" w:rsidP="00DF4A5A">
      <w:pPr>
        <w:pStyle w:val="CETReferencetext"/>
        <w:spacing w:line="240" w:lineRule="auto"/>
      </w:pPr>
      <w:proofErr w:type="spellStart"/>
      <w:r>
        <w:t>Sagmeister</w:t>
      </w:r>
      <w:proofErr w:type="spellEnd"/>
      <w:r>
        <w:t xml:space="preserve">, P, </w:t>
      </w:r>
      <w:proofErr w:type="spellStart"/>
      <w:r>
        <w:t>Wechselberger</w:t>
      </w:r>
      <w:proofErr w:type="spellEnd"/>
      <w:r>
        <w:t xml:space="preserve">, P, </w:t>
      </w:r>
      <w:proofErr w:type="spellStart"/>
      <w:r>
        <w:t>Jazini</w:t>
      </w:r>
      <w:proofErr w:type="spellEnd"/>
      <w:r>
        <w:t xml:space="preserve">, M., </w:t>
      </w:r>
      <w:proofErr w:type="spellStart"/>
      <w:r>
        <w:t>Meitz</w:t>
      </w:r>
      <w:proofErr w:type="spellEnd"/>
      <w:r>
        <w:t xml:space="preserve">, A., </w:t>
      </w:r>
      <w:proofErr w:type="spellStart"/>
      <w:r>
        <w:t>Langemann</w:t>
      </w:r>
      <w:proofErr w:type="spellEnd"/>
      <w:r>
        <w:t xml:space="preserve"> T. and Herwig C, </w:t>
      </w:r>
      <w:r w:rsidR="00300656">
        <w:t xml:space="preserve">2013, </w:t>
      </w:r>
      <w:r>
        <w:t xml:space="preserve">Soft sensor assisted dynamic bioprocess control: Efficient tools for bioprocess development, </w:t>
      </w:r>
      <w:proofErr w:type="spellStart"/>
      <w:r>
        <w:t>Chem.Eng.Sci</w:t>
      </w:r>
      <w:proofErr w:type="spellEnd"/>
      <w:r>
        <w:t>., 96,</w:t>
      </w:r>
      <w:r w:rsidR="00300656">
        <w:t xml:space="preserve"> </w:t>
      </w:r>
      <w:r>
        <w:t>190–198</w:t>
      </w:r>
      <w:r w:rsidR="007C2ED4">
        <w:t>.</w:t>
      </w:r>
    </w:p>
    <w:p w14:paraId="1CE5A503" w14:textId="76653F6B" w:rsidR="00990255" w:rsidRDefault="00990255" w:rsidP="00990255">
      <w:pPr>
        <w:pStyle w:val="CETReferencetext"/>
      </w:pPr>
      <w:proofErr w:type="spellStart"/>
      <w:r>
        <w:t>Sivaprakasam</w:t>
      </w:r>
      <w:proofErr w:type="spellEnd"/>
      <w:r>
        <w:t xml:space="preserve">, S., Schuler, M. M., Hama, A., Hughes, K.-M., and </w:t>
      </w:r>
      <w:proofErr w:type="spellStart"/>
      <w:r>
        <w:t>Marison</w:t>
      </w:r>
      <w:proofErr w:type="spellEnd"/>
      <w:r>
        <w:t xml:space="preserve">, I. W., </w:t>
      </w:r>
      <w:r w:rsidR="00300656">
        <w:t xml:space="preserve">2011, </w:t>
      </w:r>
      <w:r>
        <w:t xml:space="preserve">Biocalorimetry as a process analytical technology process analyser; robust in-line monitoring and control of aerobic fed-batch cultures of </w:t>
      </w:r>
      <w:proofErr w:type="spellStart"/>
      <w:r>
        <w:t>crabtree</w:t>
      </w:r>
      <w:proofErr w:type="spellEnd"/>
      <w:r>
        <w:t xml:space="preserve">-negative yeast cells,” J. Therm. Anal. </w:t>
      </w:r>
      <w:proofErr w:type="spellStart"/>
      <w:r>
        <w:t>Calorim</w:t>
      </w:r>
      <w:proofErr w:type="spellEnd"/>
      <w:r>
        <w:t>., 104</w:t>
      </w:r>
      <w:r w:rsidR="00300656">
        <w:t xml:space="preserve"> (</w:t>
      </w:r>
      <w:r>
        <w:t>1</w:t>
      </w:r>
      <w:r w:rsidR="00300656">
        <w:t>)</w:t>
      </w:r>
      <w:r>
        <w:t>, 75–85</w:t>
      </w:r>
    </w:p>
    <w:p w14:paraId="17C63E54" w14:textId="37F4D5E9" w:rsidR="00990255" w:rsidRDefault="00A34145" w:rsidP="00DF4A5A">
      <w:pPr>
        <w:pStyle w:val="CETReferencetext"/>
        <w:spacing w:line="240" w:lineRule="auto"/>
      </w:pPr>
      <w:r>
        <w:t xml:space="preserve">U.S. Department of Health Food and Drug Administration and Human Services, </w:t>
      </w:r>
      <w:r w:rsidR="00300656">
        <w:t xml:space="preserve">2004, </w:t>
      </w:r>
      <w:r>
        <w:t>Guidance for Industry PAT A Framework for Innovative Pharmaceutical Development, Manufacturing and Quality Assurance. https://www.fda.gov/regulatory-information/search-fda-guidance-documents/pat-framework-innovative-pharmaceutical-development-manufacturing-and-quality-assurance</w:t>
      </w:r>
    </w:p>
    <w:sectPr w:rsidR="00990255"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90BC1" w14:textId="77777777" w:rsidR="00DE1391" w:rsidRDefault="00DE1391" w:rsidP="004F5E36">
      <w:r>
        <w:separator/>
      </w:r>
    </w:p>
  </w:endnote>
  <w:endnote w:type="continuationSeparator" w:id="0">
    <w:p w14:paraId="4B06D8B2" w14:textId="77777777" w:rsidR="00DE1391" w:rsidRDefault="00DE139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54C54" w14:textId="77777777" w:rsidR="00DE1391" w:rsidRDefault="00DE1391" w:rsidP="004F5E36">
      <w:r>
        <w:separator/>
      </w:r>
    </w:p>
  </w:footnote>
  <w:footnote w:type="continuationSeparator" w:id="0">
    <w:p w14:paraId="079595B5" w14:textId="77777777" w:rsidR="00DE1391" w:rsidRDefault="00DE1391"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3AC15A9"/>
    <w:multiLevelType w:val="hybridMultilevel"/>
    <w:tmpl w:val="CD0E06EC"/>
    <w:lvl w:ilvl="0" w:tplc="4DC275E2">
      <w:start w:val="1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64F4085"/>
    <w:multiLevelType w:val="hybridMultilevel"/>
    <w:tmpl w:val="79201D28"/>
    <w:lvl w:ilvl="0" w:tplc="CD62E310">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836772B"/>
    <w:multiLevelType w:val="hybridMultilevel"/>
    <w:tmpl w:val="DEF8876C"/>
    <w:lvl w:ilvl="0" w:tplc="0310D2E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438217E"/>
    <w:multiLevelType w:val="multilevel"/>
    <w:tmpl w:val="BF2EC0C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au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15:restartNumberingAfterBreak="0">
    <w:nsid w:val="267B7D36"/>
    <w:multiLevelType w:val="hybridMultilevel"/>
    <w:tmpl w:val="A2F07040"/>
    <w:lvl w:ilvl="0" w:tplc="0310D2EA">
      <w:numFmt w:val="bullet"/>
      <w:lvlText w:val="•"/>
      <w:lvlJc w:val="left"/>
      <w:pPr>
        <w:ind w:left="152" w:hanging="360"/>
      </w:pPr>
      <w:rPr>
        <w:rFonts w:ascii="Arial" w:eastAsia="Times New Roman" w:hAnsi="Arial" w:cs="Arial" w:hint="default"/>
      </w:rPr>
    </w:lvl>
    <w:lvl w:ilvl="1" w:tplc="040C0003" w:tentative="1">
      <w:start w:val="1"/>
      <w:numFmt w:val="bullet"/>
      <w:lvlText w:val="o"/>
      <w:lvlJc w:val="left"/>
      <w:pPr>
        <w:ind w:left="872" w:hanging="360"/>
      </w:pPr>
      <w:rPr>
        <w:rFonts w:ascii="Courier New" w:hAnsi="Courier New" w:cs="Courier New" w:hint="default"/>
      </w:rPr>
    </w:lvl>
    <w:lvl w:ilvl="2" w:tplc="040C0005" w:tentative="1">
      <w:start w:val="1"/>
      <w:numFmt w:val="bullet"/>
      <w:lvlText w:val=""/>
      <w:lvlJc w:val="left"/>
      <w:pPr>
        <w:ind w:left="1592" w:hanging="360"/>
      </w:pPr>
      <w:rPr>
        <w:rFonts w:ascii="Wingdings" w:hAnsi="Wingdings" w:hint="default"/>
      </w:rPr>
    </w:lvl>
    <w:lvl w:ilvl="3" w:tplc="040C0001" w:tentative="1">
      <w:start w:val="1"/>
      <w:numFmt w:val="bullet"/>
      <w:lvlText w:val=""/>
      <w:lvlJc w:val="left"/>
      <w:pPr>
        <w:ind w:left="2312" w:hanging="360"/>
      </w:pPr>
      <w:rPr>
        <w:rFonts w:ascii="Symbol" w:hAnsi="Symbol" w:hint="default"/>
      </w:rPr>
    </w:lvl>
    <w:lvl w:ilvl="4" w:tplc="040C0003" w:tentative="1">
      <w:start w:val="1"/>
      <w:numFmt w:val="bullet"/>
      <w:lvlText w:val="o"/>
      <w:lvlJc w:val="left"/>
      <w:pPr>
        <w:ind w:left="3032" w:hanging="360"/>
      </w:pPr>
      <w:rPr>
        <w:rFonts w:ascii="Courier New" w:hAnsi="Courier New" w:cs="Courier New" w:hint="default"/>
      </w:rPr>
    </w:lvl>
    <w:lvl w:ilvl="5" w:tplc="040C0005" w:tentative="1">
      <w:start w:val="1"/>
      <w:numFmt w:val="bullet"/>
      <w:lvlText w:val=""/>
      <w:lvlJc w:val="left"/>
      <w:pPr>
        <w:ind w:left="3752" w:hanging="360"/>
      </w:pPr>
      <w:rPr>
        <w:rFonts w:ascii="Wingdings" w:hAnsi="Wingdings" w:hint="default"/>
      </w:rPr>
    </w:lvl>
    <w:lvl w:ilvl="6" w:tplc="040C0001" w:tentative="1">
      <w:start w:val="1"/>
      <w:numFmt w:val="bullet"/>
      <w:lvlText w:val=""/>
      <w:lvlJc w:val="left"/>
      <w:pPr>
        <w:ind w:left="4472" w:hanging="360"/>
      </w:pPr>
      <w:rPr>
        <w:rFonts w:ascii="Symbol" w:hAnsi="Symbol" w:hint="default"/>
      </w:rPr>
    </w:lvl>
    <w:lvl w:ilvl="7" w:tplc="040C0003" w:tentative="1">
      <w:start w:val="1"/>
      <w:numFmt w:val="bullet"/>
      <w:lvlText w:val="o"/>
      <w:lvlJc w:val="left"/>
      <w:pPr>
        <w:ind w:left="5192" w:hanging="360"/>
      </w:pPr>
      <w:rPr>
        <w:rFonts w:ascii="Courier New" w:hAnsi="Courier New" w:cs="Courier New" w:hint="default"/>
      </w:rPr>
    </w:lvl>
    <w:lvl w:ilvl="8" w:tplc="040C0005" w:tentative="1">
      <w:start w:val="1"/>
      <w:numFmt w:val="bullet"/>
      <w:lvlText w:val=""/>
      <w:lvlJc w:val="left"/>
      <w:pPr>
        <w:ind w:left="5912" w:hanging="360"/>
      </w:pPr>
      <w:rPr>
        <w:rFonts w:ascii="Wingdings" w:hAnsi="Wingdings" w:hint="default"/>
      </w:rPr>
    </w:lvl>
  </w:abstractNum>
  <w:abstractNum w:abstractNumId="16" w15:restartNumberingAfterBreak="0">
    <w:nsid w:val="2981725C"/>
    <w:multiLevelType w:val="hybridMultilevel"/>
    <w:tmpl w:val="E9C6D5AE"/>
    <w:lvl w:ilvl="0" w:tplc="297E3B28">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E7B55EE"/>
    <w:multiLevelType w:val="hybridMultilevel"/>
    <w:tmpl w:val="F040799C"/>
    <w:lvl w:ilvl="0" w:tplc="F0D2309A">
      <w:start w:val="3"/>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4345C44"/>
    <w:multiLevelType w:val="hybridMultilevel"/>
    <w:tmpl w:val="B2E2F4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43C2B90"/>
    <w:multiLevelType w:val="hybridMultilevel"/>
    <w:tmpl w:val="F3E68406"/>
    <w:lvl w:ilvl="0" w:tplc="7004AAC0">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694071C"/>
    <w:multiLevelType w:val="hybridMultilevel"/>
    <w:tmpl w:val="BA8E6C4A"/>
    <w:lvl w:ilvl="0" w:tplc="0310D2E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7"/>
  </w:num>
  <w:num w:numId="13">
    <w:abstractNumId w:val="21"/>
  </w:num>
  <w:num w:numId="14">
    <w:abstractNumId w:val="28"/>
  </w:num>
  <w:num w:numId="15">
    <w:abstractNumId w:val="30"/>
  </w:num>
  <w:num w:numId="16">
    <w:abstractNumId w:val="29"/>
  </w:num>
  <w:num w:numId="17">
    <w:abstractNumId w:val="18"/>
  </w:num>
  <w:num w:numId="18">
    <w:abstractNumId w:val="21"/>
    <w:lvlOverride w:ilvl="0">
      <w:startOverride w:val="1"/>
    </w:lvlOverride>
  </w:num>
  <w:num w:numId="19">
    <w:abstractNumId w:val="26"/>
  </w:num>
  <w:num w:numId="20">
    <w:abstractNumId w:val="25"/>
  </w:num>
  <w:num w:numId="21">
    <w:abstractNumId w:val="24"/>
  </w:num>
  <w:num w:numId="22">
    <w:abstractNumId w:val="23"/>
  </w:num>
  <w:num w:numId="23">
    <w:abstractNumId w:val="12"/>
  </w:num>
  <w:num w:numId="24">
    <w:abstractNumId w:val="19"/>
  </w:num>
  <w:num w:numId="25">
    <w:abstractNumId w:val="13"/>
  </w:num>
  <w:num w:numId="26">
    <w:abstractNumId w:val="15"/>
  </w:num>
  <w:num w:numId="27">
    <w:abstractNumId w:val="22"/>
  </w:num>
  <w:num w:numId="28">
    <w:abstractNumId w:val="20"/>
  </w:num>
  <w:num w:numId="29">
    <w:abstractNumId w:val="11"/>
  </w:num>
  <w:num w:numId="30">
    <w:abstractNumId w:val="10"/>
  </w:num>
  <w:num w:numId="31">
    <w:abstractNumId w:val="17"/>
  </w:num>
  <w:num w:numId="32">
    <w:abstractNumId w:val="16"/>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2BBA"/>
    <w:rsid w:val="00003C94"/>
    <w:rsid w:val="000052FB"/>
    <w:rsid w:val="00005A19"/>
    <w:rsid w:val="000073EA"/>
    <w:rsid w:val="000117CB"/>
    <w:rsid w:val="0003148D"/>
    <w:rsid w:val="00031A4F"/>
    <w:rsid w:val="00031EEC"/>
    <w:rsid w:val="00046066"/>
    <w:rsid w:val="00051566"/>
    <w:rsid w:val="000562A9"/>
    <w:rsid w:val="00062A9A"/>
    <w:rsid w:val="00065058"/>
    <w:rsid w:val="000738B3"/>
    <w:rsid w:val="00086C39"/>
    <w:rsid w:val="000A03B2"/>
    <w:rsid w:val="000D0268"/>
    <w:rsid w:val="000D2DDA"/>
    <w:rsid w:val="000D34BE"/>
    <w:rsid w:val="000E0B3C"/>
    <w:rsid w:val="000E102F"/>
    <w:rsid w:val="000E118C"/>
    <w:rsid w:val="000E36F1"/>
    <w:rsid w:val="000E3A73"/>
    <w:rsid w:val="000E414A"/>
    <w:rsid w:val="000E75FD"/>
    <w:rsid w:val="000F093C"/>
    <w:rsid w:val="000F2E56"/>
    <w:rsid w:val="000F787B"/>
    <w:rsid w:val="000F7B95"/>
    <w:rsid w:val="0012091F"/>
    <w:rsid w:val="00126BC2"/>
    <w:rsid w:val="00127919"/>
    <w:rsid w:val="001308B6"/>
    <w:rsid w:val="0013121F"/>
    <w:rsid w:val="00131FE6"/>
    <w:rsid w:val="0013263F"/>
    <w:rsid w:val="001331DF"/>
    <w:rsid w:val="00134DE4"/>
    <w:rsid w:val="0014034D"/>
    <w:rsid w:val="00140FE3"/>
    <w:rsid w:val="00144D16"/>
    <w:rsid w:val="00150E59"/>
    <w:rsid w:val="00152DE3"/>
    <w:rsid w:val="00164CF9"/>
    <w:rsid w:val="0016668E"/>
    <w:rsid w:val="001667A6"/>
    <w:rsid w:val="0018171E"/>
    <w:rsid w:val="00184AD6"/>
    <w:rsid w:val="001970FF"/>
    <w:rsid w:val="001A4AF7"/>
    <w:rsid w:val="001B0349"/>
    <w:rsid w:val="001B1E93"/>
    <w:rsid w:val="001B2D19"/>
    <w:rsid w:val="001B65C1"/>
    <w:rsid w:val="001B73D6"/>
    <w:rsid w:val="001C260F"/>
    <w:rsid w:val="001C284E"/>
    <w:rsid w:val="001C5C3A"/>
    <w:rsid w:val="001C684B"/>
    <w:rsid w:val="001D0CFB"/>
    <w:rsid w:val="001D21AF"/>
    <w:rsid w:val="001D3D32"/>
    <w:rsid w:val="001D53FC"/>
    <w:rsid w:val="001F134C"/>
    <w:rsid w:val="001F18AC"/>
    <w:rsid w:val="001F42A5"/>
    <w:rsid w:val="001F7B9D"/>
    <w:rsid w:val="00201C93"/>
    <w:rsid w:val="002224B4"/>
    <w:rsid w:val="00223ACC"/>
    <w:rsid w:val="00225443"/>
    <w:rsid w:val="002447EF"/>
    <w:rsid w:val="00251550"/>
    <w:rsid w:val="00263B05"/>
    <w:rsid w:val="00263EF8"/>
    <w:rsid w:val="0027221A"/>
    <w:rsid w:val="00275B61"/>
    <w:rsid w:val="00280FAF"/>
    <w:rsid w:val="00282656"/>
    <w:rsid w:val="00296B83"/>
    <w:rsid w:val="002B4015"/>
    <w:rsid w:val="002B78CE"/>
    <w:rsid w:val="002C2FB6"/>
    <w:rsid w:val="002C3CA9"/>
    <w:rsid w:val="002E1F4E"/>
    <w:rsid w:val="002E3B83"/>
    <w:rsid w:val="002E5FA7"/>
    <w:rsid w:val="002F3309"/>
    <w:rsid w:val="00300656"/>
    <w:rsid w:val="003008CE"/>
    <w:rsid w:val="003009B7"/>
    <w:rsid w:val="00300E56"/>
    <w:rsid w:val="0030152C"/>
    <w:rsid w:val="0030469C"/>
    <w:rsid w:val="00304CE8"/>
    <w:rsid w:val="00321CA6"/>
    <w:rsid w:val="003231D1"/>
    <w:rsid w:val="00323763"/>
    <w:rsid w:val="00323C5F"/>
    <w:rsid w:val="00334702"/>
    <w:rsid w:val="00334C09"/>
    <w:rsid w:val="003723D4"/>
    <w:rsid w:val="00373227"/>
    <w:rsid w:val="00381905"/>
    <w:rsid w:val="00384CC8"/>
    <w:rsid w:val="003871FD"/>
    <w:rsid w:val="003A1E30"/>
    <w:rsid w:val="003A2829"/>
    <w:rsid w:val="003A7D1C"/>
    <w:rsid w:val="003B304B"/>
    <w:rsid w:val="003B3146"/>
    <w:rsid w:val="003B49CD"/>
    <w:rsid w:val="003C09BA"/>
    <w:rsid w:val="003D1E02"/>
    <w:rsid w:val="003D2D5C"/>
    <w:rsid w:val="003E798D"/>
    <w:rsid w:val="003F015E"/>
    <w:rsid w:val="00400414"/>
    <w:rsid w:val="00405340"/>
    <w:rsid w:val="00406C65"/>
    <w:rsid w:val="0041446B"/>
    <w:rsid w:val="00415FA5"/>
    <w:rsid w:val="00424577"/>
    <w:rsid w:val="0044071E"/>
    <w:rsid w:val="00442F46"/>
    <w:rsid w:val="0044329C"/>
    <w:rsid w:val="00453E24"/>
    <w:rsid w:val="00457456"/>
    <w:rsid w:val="004577FE"/>
    <w:rsid w:val="00457B9C"/>
    <w:rsid w:val="00461395"/>
    <w:rsid w:val="0046164A"/>
    <w:rsid w:val="004628D2"/>
    <w:rsid w:val="00462DCD"/>
    <w:rsid w:val="004648AD"/>
    <w:rsid w:val="00465BCE"/>
    <w:rsid w:val="004703A9"/>
    <w:rsid w:val="00472160"/>
    <w:rsid w:val="004760DE"/>
    <w:rsid w:val="004763D7"/>
    <w:rsid w:val="00494641"/>
    <w:rsid w:val="0049681C"/>
    <w:rsid w:val="004A004E"/>
    <w:rsid w:val="004A0707"/>
    <w:rsid w:val="004A24CF"/>
    <w:rsid w:val="004B09ED"/>
    <w:rsid w:val="004B0E25"/>
    <w:rsid w:val="004B46BB"/>
    <w:rsid w:val="004C3D1D"/>
    <w:rsid w:val="004C3D84"/>
    <w:rsid w:val="004C7913"/>
    <w:rsid w:val="004D0EDE"/>
    <w:rsid w:val="004E4DD6"/>
    <w:rsid w:val="004F241C"/>
    <w:rsid w:val="004F5E36"/>
    <w:rsid w:val="005002C1"/>
    <w:rsid w:val="00501998"/>
    <w:rsid w:val="00502ECC"/>
    <w:rsid w:val="00507B47"/>
    <w:rsid w:val="00507BEF"/>
    <w:rsid w:val="00507CC9"/>
    <w:rsid w:val="005119A5"/>
    <w:rsid w:val="005124A4"/>
    <w:rsid w:val="0052206A"/>
    <w:rsid w:val="005278B7"/>
    <w:rsid w:val="00532016"/>
    <w:rsid w:val="005346C8"/>
    <w:rsid w:val="00543E7D"/>
    <w:rsid w:val="00547A68"/>
    <w:rsid w:val="005531C9"/>
    <w:rsid w:val="00554879"/>
    <w:rsid w:val="00570301"/>
    <w:rsid w:val="00570C43"/>
    <w:rsid w:val="005835EE"/>
    <w:rsid w:val="00592274"/>
    <w:rsid w:val="005B2110"/>
    <w:rsid w:val="005B350B"/>
    <w:rsid w:val="005B3D71"/>
    <w:rsid w:val="005B61E6"/>
    <w:rsid w:val="005C77E1"/>
    <w:rsid w:val="005D668A"/>
    <w:rsid w:val="005D6A2F"/>
    <w:rsid w:val="005E0370"/>
    <w:rsid w:val="005E0592"/>
    <w:rsid w:val="005E1A82"/>
    <w:rsid w:val="005E794C"/>
    <w:rsid w:val="005F0A28"/>
    <w:rsid w:val="005F0E5E"/>
    <w:rsid w:val="005F7C7D"/>
    <w:rsid w:val="00600535"/>
    <w:rsid w:val="00606EC9"/>
    <w:rsid w:val="00610CD6"/>
    <w:rsid w:val="00620DEE"/>
    <w:rsid w:val="00621F92"/>
    <w:rsid w:val="0062280A"/>
    <w:rsid w:val="006231E1"/>
    <w:rsid w:val="00625639"/>
    <w:rsid w:val="00626342"/>
    <w:rsid w:val="00631B33"/>
    <w:rsid w:val="00640D04"/>
    <w:rsid w:val="0064184D"/>
    <w:rsid w:val="006422CC"/>
    <w:rsid w:val="00651D18"/>
    <w:rsid w:val="0065431D"/>
    <w:rsid w:val="00660E3E"/>
    <w:rsid w:val="00662E74"/>
    <w:rsid w:val="00666AA5"/>
    <w:rsid w:val="00680C23"/>
    <w:rsid w:val="00683E23"/>
    <w:rsid w:val="006900C8"/>
    <w:rsid w:val="00693766"/>
    <w:rsid w:val="006A3281"/>
    <w:rsid w:val="006A6DE5"/>
    <w:rsid w:val="006B3B78"/>
    <w:rsid w:val="006B4888"/>
    <w:rsid w:val="006B6BE9"/>
    <w:rsid w:val="006C2E45"/>
    <w:rsid w:val="006C359C"/>
    <w:rsid w:val="006C5579"/>
    <w:rsid w:val="006D6E8B"/>
    <w:rsid w:val="006D7209"/>
    <w:rsid w:val="006E0149"/>
    <w:rsid w:val="006E737D"/>
    <w:rsid w:val="00701F6E"/>
    <w:rsid w:val="00707DD1"/>
    <w:rsid w:val="00713973"/>
    <w:rsid w:val="00720A24"/>
    <w:rsid w:val="0073051F"/>
    <w:rsid w:val="00731DA0"/>
    <w:rsid w:val="00732386"/>
    <w:rsid w:val="0073514D"/>
    <w:rsid w:val="00740AC5"/>
    <w:rsid w:val="007447F3"/>
    <w:rsid w:val="00747390"/>
    <w:rsid w:val="00753768"/>
    <w:rsid w:val="0075499F"/>
    <w:rsid w:val="0076090E"/>
    <w:rsid w:val="00760C39"/>
    <w:rsid w:val="007661C8"/>
    <w:rsid w:val="0077098D"/>
    <w:rsid w:val="00770E55"/>
    <w:rsid w:val="00785BF9"/>
    <w:rsid w:val="007931FA"/>
    <w:rsid w:val="007A3EE8"/>
    <w:rsid w:val="007A4861"/>
    <w:rsid w:val="007A7BBA"/>
    <w:rsid w:val="007B0C50"/>
    <w:rsid w:val="007B48F9"/>
    <w:rsid w:val="007B4D64"/>
    <w:rsid w:val="007C1A43"/>
    <w:rsid w:val="007C2ED4"/>
    <w:rsid w:val="007C7328"/>
    <w:rsid w:val="007D0951"/>
    <w:rsid w:val="007D610D"/>
    <w:rsid w:val="0080013E"/>
    <w:rsid w:val="00801759"/>
    <w:rsid w:val="00813288"/>
    <w:rsid w:val="008168FC"/>
    <w:rsid w:val="008209F9"/>
    <w:rsid w:val="008304F5"/>
    <w:rsid w:val="00830996"/>
    <w:rsid w:val="00833E53"/>
    <w:rsid w:val="008345F1"/>
    <w:rsid w:val="00862A03"/>
    <w:rsid w:val="00865B07"/>
    <w:rsid w:val="008667EA"/>
    <w:rsid w:val="0087637F"/>
    <w:rsid w:val="00880BE3"/>
    <w:rsid w:val="00892AD5"/>
    <w:rsid w:val="008A1512"/>
    <w:rsid w:val="008B3F3C"/>
    <w:rsid w:val="008C4D71"/>
    <w:rsid w:val="008D17FD"/>
    <w:rsid w:val="008D32B9"/>
    <w:rsid w:val="008D3379"/>
    <w:rsid w:val="008D433B"/>
    <w:rsid w:val="008D4A16"/>
    <w:rsid w:val="008E5401"/>
    <w:rsid w:val="008E566E"/>
    <w:rsid w:val="0090161A"/>
    <w:rsid w:val="00901EB6"/>
    <w:rsid w:val="0090303F"/>
    <w:rsid w:val="009041F8"/>
    <w:rsid w:val="00904C62"/>
    <w:rsid w:val="00922BA8"/>
    <w:rsid w:val="00924DAC"/>
    <w:rsid w:val="00925E12"/>
    <w:rsid w:val="00927058"/>
    <w:rsid w:val="00942750"/>
    <w:rsid w:val="00944C7F"/>
    <w:rsid w:val="009450CE"/>
    <w:rsid w:val="009459BB"/>
    <w:rsid w:val="00947179"/>
    <w:rsid w:val="0095164B"/>
    <w:rsid w:val="00952A8A"/>
    <w:rsid w:val="00954090"/>
    <w:rsid w:val="009573E7"/>
    <w:rsid w:val="00960B5B"/>
    <w:rsid w:val="00963E05"/>
    <w:rsid w:val="00964A45"/>
    <w:rsid w:val="00967843"/>
    <w:rsid w:val="00967D54"/>
    <w:rsid w:val="00971028"/>
    <w:rsid w:val="00990255"/>
    <w:rsid w:val="00993B84"/>
    <w:rsid w:val="00994C6A"/>
    <w:rsid w:val="009956F4"/>
    <w:rsid w:val="00996483"/>
    <w:rsid w:val="00996F5A"/>
    <w:rsid w:val="009A0615"/>
    <w:rsid w:val="009A4F6B"/>
    <w:rsid w:val="009A52E5"/>
    <w:rsid w:val="009B041A"/>
    <w:rsid w:val="009B6E57"/>
    <w:rsid w:val="009C37C3"/>
    <w:rsid w:val="009C609E"/>
    <w:rsid w:val="009C66BE"/>
    <w:rsid w:val="009C7C86"/>
    <w:rsid w:val="009D2FF7"/>
    <w:rsid w:val="009E7884"/>
    <w:rsid w:val="009E788A"/>
    <w:rsid w:val="009F0E08"/>
    <w:rsid w:val="009F240C"/>
    <w:rsid w:val="00A02FC8"/>
    <w:rsid w:val="00A06A84"/>
    <w:rsid w:val="00A079AE"/>
    <w:rsid w:val="00A15E0E"/>
    <w:rsid w:val="00A173FA"/>
    <w:rsid w:val="00A1763D"/>
    <w:rsid w:val="00A17CEC"/>
    <w:rsid w:val="00A27EF0"/>
    <w:rsid w:val="00A34145"/>
    <w:rsid w:val="00A35BEC"/>
    <w:rsid w:val="00A42361"/>
    <w:rsid w:val="00A50B20"/>
    <w:rsid w:val="00A51390"/>
    <w:rsid w:val="00A60840"/>
    <w:rsid w:val="00A60D13"/>
    <w:rsid w:val="00A7223D"/>
    <w:rsid w:val="00A72745"/>
    <w:rsid w:val="00A76E57"/>
    <w:rsid w:val="00A76EFC"/>
    <w:rsid w:val="00A87D50"/>
    <w:rsid w:val="00A90494"/>
    <w:rsid w:val="00A91010"/>
    <w:rsid w:val="00A97F29"/>
    <w:rsid w:val="00AA50EA"/>
    <w:rsid w:val="00AA6B5E"/>
    <w:rsid w:val="00AA702E"/>
    <w:rsid w:val="00AA7D26"/>
    <w:rsid w:val="00AB0964"/>
    <w:rsid w:val="00AB5011"/>
    <w:rsid w:val="00AC0E9E"/>
    <w:rsid w:val="00AC5F95"/>
    <w:rsid w:val="00AC7368"/>
    <w:rsid w:val="00AD16B9"/>
    <w:rsid w:val="00AE377D"/>
    <w:rsid w:val="00AF0B01"/>
    <w:rsid w:val="00AF0EBA"/>
    <w:rsid w:val="00AF2463"/>
    <w:rsid w:val="00AF3599"/>
    <w:rsid w:val="00B02C8A"/>
    <w:rsid w:val="00B17FBD"/>
    <w:rsid w:val="00B270D6"/>
    <w:rsid w:val="00B315A6"/>
    <w:rsid w:val="00B31813"/>
    <w:rsid w:val="00B33365"/>
    <w:rsid w:val="00B3726D"/>
    <w:rsid w:val="00B4279D"/>
    <w:rsid w:val="00B57B36"/>
    <w:rsid w:val="00B57E6F"/>
    <w:rsid w:val="00B61214"/>
    <w:rsid w:val="00B61455"/>
    <w:rsid w:val="00B808F4"/>
    <w:rsid w:val="00B8686D"/>
    <w:rsid w:val="00B93F69"/>
    <w:rsid w:val="00BB1DDC"/>
    <w:rsid w:val="00BC30C9"/>
    <w:rsid w:val="00BD077D"/>
    <w:rsid w:val="00BE3E58"/>
    <w:rsid w:val="00BF13CE"/>
    <w:rsid w:val="00BF401C"/>
    <w:rsid w:val="00BF7D79"/>
    <w:rsid w:val="00C007DF"/>
    <w:rsid w:val="00C01616"/>
    <w:rsid w:val="00C0162B"/>
    <w:rsid w:val="00C068ED"/>
    <w:rsid w:val="00C22E0C"/>
    <w:rsid w:val="00C30C81"/>
    <w:rsid w:val="00C345B1"/>
    <w:rsid w:val="00C40142"/>
    <w:rsid w:val="00C41C6F"/>
    <w:rsid w:val="00C52C3C"/>
    <w:rsid w:val="00C57182"/>
    <w:rsid w:val="00C57863"/>
    <w:rsid w:val="00C640AF"/>
    <w:rsid w:val="00C655FD"/>
    <w:rsid w:val="00C70EE4"/>
    <w:rsid w:val="00C75407"/>
    <w:rsid w:val="00C831BC"/>
    <w:rsid w:val="00C841C6"/>
    <w:rsid w:val="00C85F49"/>
    <w:rsid w:val="00C870A8"/>
    <w:rsid w:val="00C92E7C"/>
    <w:rsid w:val="00C94434"/>
    <w:rsid w:val="00C966D9"/>
    <w:rsid w:val="00CA0D75"/>
    <w:rsid w:val="00CA1C95"/>
    <w:rsid w:val="00CA2D1B"/>
    <w:rsid w:val="00CA5A9C"/>
    <w:rsid w:val="00CC007E"/>
    <w:rsid w:val="00CC4C20"/>
    <w:rsid w:val="00CD3517"/>
    <w:rsid w:val="00CD5FE2"/>
    <w:rsid w:val="00CD7CF7"/>
    <w:rsid w:val="00CE7C68"/>
    <w:rsid w:val="00D02B4C"/>
    <w:rsid w:val="00D040C4"/>
    <w:rsid w:val="00D1717E"/>
    <w:rsid w:val="00D20AD1"/>
    <w:rsid w:val="00D234BD"/>
    <w:rsid w:val="00D2582C"/>
    <w:rsid w:val="00D40B67"/>
    <w:rsid w:val="00D46B7E"/>
    <w:rsid w:val="00D57C84"/>
    <w:rsid w:val="00D6057D"/>
    <w:rsid w:val="00D71640"/>
    <w:rsid w:val="00D73528"/>
    <w:rsid w:val="00D75C46"/>
    <w:rsid w:val="00D822BC"/>
    <w:rsid w:val="00D836C5"/>
    <w:rsid w:val="00D84576"/>
    <w:rsid w:val="00DA1399"/>
    <w:rsid w:val="00DA24C6"/>
    <w:rsid w:val="00DA2AD3"/>
    <w:rsid w:val="00DA4D7B"/>
    <w:rsid w:val="00DC0E09"/>
    <w:rsid w:val="00DC2840"/>
    <w:rsid w:val="00DC73EE"/>
    <w:rsid w:val="00DD271C"/>
    <w:rsid w:val="00DE1391"/>
    <w:rsid w:val="00DE264A"/>
    <w:rsid w:val="00DF4A5A"/>
    <w:rsid w:val="00DF5072"/>
    <w:rsid w:val="00E02D18"/>
    <w:rsid w:val="00E041E7"/>
    <w:rsid w:val="00E23CA1"/>
    <w:rsid w:val="00E2480D"/>
    <w:rsid w:val="00E30F0E"/>
    <w:rsid w:val="00E32702"/>
    <w:rsid w:val="00E375AD"/>
    <w:rsid w:val="00E40385"/>
    <w:rsid w:val="00E409A8"/>
    <w:rsid w:val="00E50C12"/>
    <w:rsid w:val="00E65B91"/>
    <w:rsid w:val="00E7209D"/>
    <w:rsid w:val="00E72EAD"/>
    <w:rsid w:val="00E77223"/>
    <w:rsid w:val="00E8528B"/>
    <w:rsid w:val="00E85B94"/>
    <w:rsid w:val="00E93885"/>
    <w:rsid w:val="00E978D0"/>
    <w:rsid w:val="00EA4613"/>
    <w:rsid w:val="00EA4682"/>
    <w:rsid w:val="00EA5780"/>
    <w:rsid w:val="00EA7F91"/>
    <w:rsid w:val="00EB1523"/>
    <w:rsid w:val="00EC0E49"/>
    <w:rsid w:val="00EC101F"/>
    <w:rsid w:val="00EC1D9F"/>
    <w:rsid w:val="00EC22D9"/>
    <w:rsid w:val="00EC69D1"/>
    <w:rsid w:val="00EE0131"/>
    <w:rsid w:val="00EE17B0"/>
    <w:rsid w:val="00EE3174"/>
    <w:rsid w:val="00EE3C79"/>
    <w:rsid w:val="00EE50A4"/>
    <w:rsid w:val="00EF06D9"/>
    <w:rsid w:val="00F160C5"/>
    <w:rsid w:val="00F23CF7"/>
    <w:rsid w:val="00F3049E"/>
    <w:rsid w:val="00F30C64"/>
    <w:rsid w:val="00F32BA2"/>
    <w:rsid w:val="00F32CDB"/>
    <w:rsid w:val="00F36779"/>
    <w:rsid w:val="00F41EE4"/>
    <w:rsid w:val="00F4765E"/>
    <w:rsid w:val="00F565FE"/>
    <w:rsid w:val="00F63A70"/>
    <w:rsid w:val="00F63D8C"/>
    <w:rsid w:val="00F7534E"/>
    <w:rsid w:val="00F93EDF"/>
    <w:rsid w:val="00FA1802"/>
    <w:rsid w:val="00FA21D0"/>
    <w:rsid w:val="00FA5F5F"/>
    <w:rsid w:val="00FB288E"/>
    <w:rsid w:val="00FB730C"/>
    <w:rsid w:val="00FC2695"/>
    <w:rsid w:val="00FC3DC8"/>
    <w:rsid w:val="00FC3E03"/>
    <w:rsid w:val="00FC3FC1"/>
    <w:rsid w:val="00FC4B4C"/>
    <w:rsid w:val="00FD6EA8"/>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re1">
    <w:name w:val="heading 1"/>
    <w:basedOn w:val="CETHeading1"/>
    <w:next w:val="Normal"/>
    <w:link w:val="Titre1Car"/>
    <w:uiPriority w:val="9"/>
    <w:rsid w:val="004F5E36"/>
    <w:pPr>
      <w:tabs>
        <w:tab w:val="right" w:pos="7100"/>
      </w:tabs>
      <w:jc w:val="both"/>
      <w:outlineLvl w:val="0"/>
    </w:pPr>
    <w:rPr>
      <w:lang w:val="en-GB"/>
    </w:rPr>
  </w:style>
  <w:style w:type="paragraph" w:styleId="Titre2">
    <w:name w:val="heading 2"/>
    <w:basedOn w:val="Normal"/>
    <w:next w:val="Normal"/>
    <w:link w:val="Titre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740AC5"/>
    <w:pPr>
      <w:keepNext/>
      <w:numPr>
        <w:ilvl w:val="2"/>
        <w:numId w:val="1"/>
      </w:numPr>
      <w:suppressAutoHyphens/>
      <w:spacing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ausimple1">
    <w:name w:val="Table Simple 1"/>
    <w:basedOn w:val="Tableau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740AC5"/>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Marquedecommentaire">
    <w:name w:val="annotation reference"/>
    <w:basedOn w:val="Policepardfaut"/>
    <w:uiPriority w:val="99"/>
    <w:semiHidden/>
    <w:unhideWhenUsed/>
    <w:rsid w:val="004577FE"/>
    <w:rPr>
      <w:sz w:val="16"/>
      <w:szCs w:val="16"/>
    </w:rPr>
  </w:style>
  <w:style w:type="paragraph" w:styleId="Textedebulles">
    <w:name w:val="Balloon Text"/>
    <w:basedOn w:val="Normal"/>
    <w:link w:val="TextedebullesCar"/>
    <w:uiPriority w:val="99"/>
    <w:semiHidden/>
    <w:unhideWhenUs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CETReferencetext"/>
    <w:uiPriority w:val="37"/>
    <w:unhideWhenUsed/>
    <w:rsid w:val="00631B33"/>
    <w:pPr>
      <w:spacing w:line="240" w:lineRule="auto"/>
      <w:ind w:left="720" w:hanging="720"/>
    </w:pPr>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spacing w:after="120"/>
    </w:p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rsid w:val="0003148D"/>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unhideWhenUsed/>
    <w:qFormat/>
    <w:rsid w:val="0003148D"/>
    <w:pPr>
      <w:spacing w:line="240" w:lineRule="auto"/>
    </w:pPr>
    <w:rPr>
      <w:b/>
      <w:bCs/>
      <w:color w:val="4F81BD" w:themeColor="accent1"/>
      <w:szCs w:val="18"/>
    </w:rPr>
  </w:style>
  <w:style w:type="paragraph" w:styleId="Liste">
    <w:name w:val="List"/>
    <w:basedOn w:val="Normal"/>
    <w:uiPriority w:val="99"/>
    <w:semiHidden/>
    <w:unhideWhenUsed/>
    <w:rsid w:val="0003148D"/>
    <w:pPr>
      <w:ind w:left="283" w:hanging="283"/>
      <w:contextualSpacing/>
    </w:pPr>
  </w:style>
  <w:style w:type="paragraph" w:styleId="Liste2">
    <w:name w:val="List 2"/>
    <w:basedOn w:val="Normal"/>
    <w:uiPriority w:val="99"/>
    <w:semiHidden/>
    <w:unhideWhenUsed/>
    <w:rsid w:val="0003148D"/>
    <w:pPr>
      <w:ind w:left="566" w:hanging="283"/>
      <w:contextualSpacing/>
    </w:pPr>
  </w:style>
  <w:style w:type="paragraph" w:styleId="Liste3">
    <w:name w:val="List 3"/>
    <w:basedOn w:val="Normal"/>
    <w:uiPriority w:val="99"/>
    <w:semiHidden/>
    <w:unhideWhenUsed/>
    <w:rsid w:val="0003148D"/>
    <w:pPr>
      <w:ind w:left="849" w:hanging="283"/>
      <w:contextualSpacing/>
    </w:pPr>
  </w:style>
  <w:style w:type="paragraph" w:styleId="Liste4">
    <w:name w:val="List 4"/>
    <w:basedOn w:val="Normal"/>
    <w:uiPriority w:val="99"/>
    <w:semiHidden/>
    <w:unhideWhenUsed/>
    <w:rsid w:val="0003148D"/>
    <w:pPr>
      <w:ind w:left="1132" w:hanging="283"/>
      <w:contextualSpacing/>
    </w:pPr>
  </w:style>
  <w:style w:type="paragraph" w:styleId="Liste5">
    <w:name w:val="List 5"/>
    <w:basedOn w:val="Normal"/>
    <w:uiPriority w:val="99"/>
    <w:semiHidden/>
    <w:unhideWhenUsed/>
    <w:rsid w:val="0003148D"/>
    <w:pPr>
      <w:ind w:left="1415" w:hanging="283"/>
      <w:contextualSpacing/>
    </w:pPr>
  </w:style>
  <w:style w:type="paragraph" w:styleId="Listecontinue">
    <w:name w:val="List Continue"/>
    <w:basedOn w:val="Normal"/>
    <w:uiPriority w:val="99"/>
    <w:semiHidden/>
    <w:unhideWhenUsed/>
    <w:rsid w:val="0003148D"/>
    <w:pPr>
      <w:spacing w:after="120"/>
      <w:ind w:left="283"/>
      <w:contextualSpacing/>
    </w:pPr>
  </w:style>
  <w:style w:type="paragraph" w:styleId="Listecontinue2">
    <w:name w:val="List Continue 2"/>
    <w:basedOn w:val="Normal"/>
    <w:uiPriority w:val="99"/>
    <w:semiHidden/>
    <w:unhideWhenUsed/>
    <w:rsid w:val="0003148D"/>
    <w:pPr>
      <w:spacing w:after="120"/>
      <w:ind w:left="566"/>
      <w:contextualSpacing/>
    </w:pPr>
  </w:style>
  <w:style w:type="paragraph" w:styleId="Listecontinue3">
    <w:name w:val="List Continue 3"/>
    <w:basedOn w:val="Normal"/>
    <w:uiPriority w:val="99"/>
    <w:semiHidden/>
    <w:unhideWhenUsed/>
    <w:rsid w:val="0003148D"/>
    <w:pPr>
      <w:spacing w:after="120"/>
      <w:ind w:left="849"/>
      <w:contextualSpacing/>
    </w:pPr>
  </w:style>
  <w:style w:type="paragraph" w:styleId="Listecontinue4">
    <w:name w:val="List Continue 4"/>
    <w:basedOn w:val="Normal"/>
    <w:uiPriority w:val="99"/>
    <w:semiHidden/>
    <w:unhideWhenUsed/>
    <w:rsid w:val="0003148D"/>
    <w:pPr>
      <w:spacing w:after="120"/>
      <w:ind w:left="1132"/>
      <w:contextualSpacing/>
    </w:pPr>
  </w:style>
  <w:style w:type="paragraph" w:styleId="Liste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ar"/>
    <w:uiPriority w:val="99"/>
    <w:semiHidden/>
    <w:unhideWhenUsed/>
    <w:rsid w:val="0003148D"/>
    <w:pPr>
      <w:spacing w:line="240" w:lineRule="auto"/>
      <w:ind w:left="4252"/>
    </w:p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rsid w:val="0003148D"/>
  </w:style>
  <w:style w:type="character" w:customStyle="1" w:styleId="SalutationsCar">
    <w:name w:val="Salutations Car"/>
    <w:basedOn w:val="Policepardfaut"/>
    <w:link w:val="Salutations"/>
    <w:uiPriority w:val="99"/>
    <w:semiHidden/>
    <w:rsid w:val="0003148D"/>
  </w:style>
  <w:style w:type="paragraph" w:styleId="Formuledepolitesse">
    <w:name w:val="Closing"/>
    <w:basedOn w:val="Normal"/>
    <w:link w:val="FormuledepolitesseCar"/>
    <w:uiPriority w:val="99"/>
    <w:semiHidden/>
    <w:unhideWhenUsed/>
    <w:rsid w:val="0003148D"/>
    <w:pPr>
      <w:spacing w:line="240" w:lineRule="auto"/>
      <w:ind w:left="4252"/>
    </w:pPr>
  </w:style>
  <w:style w:type="character" w:customStyle="1" w:styleId="FormuledepolitesseCar">
    <w:name w:val="Formule de politesse Car"/>
    <w:basedOn w:val="Policepardfaut"/>
    <w:link w:val="Formuledepolitesse"/>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desillustrations">
    <w:name w:val="table of figures"/>
    <w:basedOn w:val="Normal"/>
    <w:next w:val="Normal"/>
    <w:uiPriority w:val="99"/>
    <w:semiHidden/>
    <w:unhideWhenUsed/>
    <w:rsid w:val="0003148D"/>
  </w:style>
  <w:style w:type="paragraph" w:styleId="Tabledesrfrencesjuridiques">
    <w:name w:val="table of authorities"/>
    <w:basedOn w:val="Normal"/>
    <w:next w:val="Normal"/>
    <w:uiPriority w:val="99"/>
    <w:semiHidden/>
    <w:unhideWhenUsed/>
    <w:rsid w:val="0003148D"/>
    <w:pPr>
      <w:ind w:left="220" w:hanging="220"/>
    </w:pPr>
  </w:style>
  <w:style w:type="paragraph" w:styleId="Adressedestinatai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ttedemessage">
    <w:name w:val="Message Header"/>
    <w:basedOn w:val="Normal"/>
    <w:link w:val="En-ttedemessag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rsid w:val="0003148D"/>
    <w:pPr>
      <w:spacing w:line="240" w:lineRule="auto"/>
    </w:pPr>
  </w:style>
  <w:style w:type="character" w:customStyle="1" w:styleId="TitredenoteCar">
    <w:name w:val="Titre de note Car"/>
    <w:basedOn w:val="Policepardfaut"/>
    <w:link w:val="Titredenote"/>
    <w:uiPriority w:val="99"/>
    <w:semiHidden/>
    <w:rsid w:val="0003148D"/>
  </w:style>
  <w:style w:type="paragraph" w:styleId="Explorateurdedocuments">
    <w:name w:val="Document Map"/>
    <w:basedOn w:val="Normal"/>
    <w:link w:val="ExplorateurdedocumentsCar"/>
    <w:uiPriority w:val="99"/>
    <w:semiHidden/>
    <w:unhideWhenUsed/>
    <w:rsid w:val="0003148D"/>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enumros">
    <w:name w:val="List Number"/>
    <w:basedOn w:val="Normal"/>
    <w:uiPriority w:val="99"/>
    <w:semiHidden/>
    <w:unhideWhenUsed/>
    <w:rsid w:val="0003148D"/>
    <w:pPr>
      <w:numPr>
        <w:numId w:val="2"/>
      </w:numPr>
      <w:contextualSpacing/>
    </w:pPr>
  </w:style>
  <w:style w:type="paragraph" w:styleId="Listenumros2">
    <w:name w:val="List Number 2"/>
    <w:basedOn w:val="Normal"/>
    <w:uiPriority w:val="99"/>
    <w:semiHidden/>
    <w:unhideWhenUsed/>
    <w:rsid w:val="0003148D"/>
    <w:pPr>
      <w:numPr>
        <w:numId w:val="3"/>
      </w:numPr>
      <w:contextualSpacing/>
    </w:pPr>
  </w:style>
  <w:style w:type="paragraph" w:styleId="Listenumros3">
    <w:name w:val="List Number 3"/>
    <w:basedOn w:val="Normal"/>
    <w:uiPriority w:val="99"/>
    <w:semiHidden/>
    <w:unhideWhenUsed/>
    <w:rsid w:val="0003148D"/>
    <w:pPr>
      <w:numPr>
        <w:numId w:val="4"/>
      </w:numPr>
      <w:contextualSpacing/>
    </w:pPr>
  </w:style>
  <w:style w:type="paragraph" w:styleId="Listenumros4">
    <w:name w:val="List Number 4"/>
    <w:basedOn w:val="Normal"/>
    <w:uiPriority w:val="99"/>
    <w:semiHidden/>
    <w:unhideWhenUsed/>
    <w:rsid w:val="0003148D"/>
    <w:pPr>
      <w:numPr>
        <w:numId w:val="5"/>
      </w:numPr>
      <w:contextualSpacing/>
    </w:pPr>
  </w:style>
  <w:style w:type="paragraph" w:styleId="Listenumros5">
    <w:name w:val="List Number 5"/>
    <w:basedOn w:val="Normal"/>
    <w:uiPriority w:val="99"/>
    <w:semiHidden/>
    <w:unhideWhenUsed/>
    <w:rsid w:val="0003148D"/>
    <w:pPr>
      <w:numPr>
        <w:numId w:val="6"/>
      </w:numPr>
      <w:contextualSpacing/>
    </w:pPr>
  </w:style>
  <w:style w:type="paragraph" w:styleId="PrformatHTML">
    <w:name w:val="HTML Preformatted"/>
    <w:basedOn w:val="Normal"/>
    <w:link w:val="PrformatHTMLCar"/>
    <w:uiPriority w:val="99"/>
    <w:semiHidden/>
    <w:unhideWhenUsed/>
    <w:rsid w:val="0003148D"/>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rsid w:val="0003148D"/>
    <w:pPr>
      <w:spacing w:after="200"/>
      <w:ind w:firstLine="360"/>
    </w:pPr>
  </w:style>
  <w:style w:type="character" w:customStyle="1" w:styleId="Retrait1religneCar">
    <w:name w:val="Retrait 1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rsid w:val="0003148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03148D"/>
  </w:style>
  <w:style w:type="paragraph" w:styleId="Listepuces">
    <w:name w:val="List Bullet"/>
    <w:basedOn w:val="Normal"/>
    <w:uiPriority w:val="99"/>
    <w:semiHidden/>
    <w:unhideWhenUsed/>
    <w:rsid w:val="0003148D"/>
    <w:pPr>
      <w:numPr>
        <w:numId w:val="7"/>
      </w:numPr>
      <w:contextualSpacing/>
    </w:pPr>
  </w:style>
  <w:style w:type="paragraph" w:styleId="Listepuces2">
    <w:name w:val="List Bullet 2"/>
    <w:basedOn w:val="Normal"/>
    <w:uiPriority w:val="99"/>
    <w:semiHidden/>
    <w:unhideWhenUsed/>
    <w:rsid w:val="0003148D"/>
    <w:pPr>
      <w:numPr>
        <w:numId w:val="8"/>
      </w:numPr>
      <w:contextualSpacing/>
    </w:pPr>
  </w:style>
  <w:style w:type="paragraph" w:styleId="Listepuces3">
    <w:name w:val="List Bullet 3"/>
    <w:basedOn w:val="Normal"/>
    <w:uiPriority w:val="99"/>
    <w:semiHidden/>
    <w:unhideWhenUsed/>
    <w:rsid w:val="0003148D"/>
    <w:pPr>
      <w:numPr>
        <w:numId w:val="9"/>
      </w:numPr>
      <w:contextualSpacing/>
    </w:pPr>
  </w:style>
  <w:style w:type="paragraph" w:styleId="Listepuces4">
    <w:name w:val="List Bullet 4"/>
    <w:basedOn w:val="Normal"/>
    <w:uiPriority w:val="99"/>
    <w:semiHidden/>
    <w:unhideWhenUsed/>
    <w:rsid w:val="0003148D"/>
    <w:pPr>
      <w:numPr>
        <w:numId w:val="10"/>
      </w:numPr>
      <w:contextualSpacing/>
    </w:pPr>
  </w:style>
  <w:style w:type="paragraph" w:styleId="Listepuces5">
    <w:name w:val="List Bullet 5"/>
    <w:basedOn w:val="Normal"/>
    <w:uiPriority w:val="99"/>
    <w:semiHidden/>
    <w:unhideWhenUsed/>
    <w:rsid w:val="0003148D"/>
    <w:pPr>
      <w:numPr>
        <w:numId w:val="11"/>
      </w:numPr>
      <w:contextualSpacing/>
    </w:pPr>
  </w:style>
  <w:style w:type="paragraph" w:styleId="Retraitcorpsdetexte2">
    <w:name w:val="Body Text Indent 2"/>
    <w:basedOn w:val="Normal"/>
    <w:link w:val="Retraitcorpsdetexte2Car"/>
    <w:uiPriority w:val="99"/>
    <w:semiHidden/>
    <w:unhideWhenUs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rsid w:val="0003148D"/>
    <w:pPr>
      <w:ind w:left="720"/>
    </w:pPr>
  </w:style>
  <w:style w:type="paragraph" w:styleId="Commentaire">
    <w:name w:val="annotation text"/>
    <w:basedOn w:val="Normal"/>
    <w:link w:val="CommentaireCar"/>
    <w:uiPriority w:val="99"/>
    <w:unhideWhenUsed/>
    <w:rsid w:val="0003148D"/>
    <w:pPr>
      <w:spacing w:line="240" w:lineRule="auto"/>
    </w:pPr>
  </w:style>
  <w:style w:type="character" w:customStyle="1" w:styleId="CommentaireCar">
    <w:name w:val="Commentaire Car"/>
    <w:basedOn w:val="Policepardfaut"/>
    <w:link w:val="Commentaire"/>
    <w:uiPriority w:val="99"/>
    <w:rsid w:val="0003148D"/>
    <w:rPr>
      <w:sz w:val="20"/>
      <w:szCs w:val="20"/>
    </w:rPr>
  </w:style>
  <w:style w:type="paragraph" w:styleId="Objetducommentaire">
    <w:name w:val="annotation subject"/>
    <w:basedOn w:val="Commentaire"/>
    <w:next w:val="Commentaire"/>
    <w:link w:val="ObjetducommentaireCar"/>
    <w:uiPriority w:val="99"/>
    <w:semiHidden/>
    <w:unhideWhenUs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rsid w:val="0003148D"/>
    <w:pPr>
      <w:spacing w:after="100"/>
    </w:pPr>
  </w:style>
  <w:style w:type="paragraph" w:styleId="TM2">
    <w:name w:val="toc 2"/>
    <w:basedOn w:val="Normal"/>
    <w:next w:val="Normal"/>
    <w:autoRedefine/>
    <w:uiPriority w:val="39"/>
    <w:semiHidden/>
    <w:unhideWhenUsed/>
    <w:rsid w:val="0003148D"/>
    <w:pPr>
      <w:spacing w:after="100"/>
      <w:ind w:left="220"/>
    </w:pPr>
  </w:style>
  <w:style w:type="paragraph" w:styleId="TM3">
    <w:name w:val="toc 3"/>
    <w:basedOn w:val="Normal"/>
    <w:next w:val="Normal"/>
    <w:autoRedefine/>
    <w:uiPriority w:val="39"/>
    <w:semiHidden/>
    <w:unhideWhenUsed/>
    <w:rsid w:val="0003148D"/>
    <w:pPr>
      <w:spacing w:after="100"/>
      <w:ind w:left="440"/>
    </w:pPr>
  </w:style>
  <w:style w:type="paragraph" w:styleId="TM4">
    <w:name w:val="toc 4"/>
    <w:basedOn w:val="Normal"/>
    <w:next w:val="Normal"/>
    <w:autoRedefine/>
    <w:uiPriority w:val="39"/>
    <w:semiHidden/>
    <w:unhideWhenUsed/>
    <w:rsid w:val="0003148D"/>
    <w:pPr>
      <w:spacing w:after="100"/>
      <w:ind w:left="660"/>
    </w:pPr>
  </w:style>
  <w:style w:type="paragraph" w:styleId="TM5">
    <w:name w:val="toc 5"/>
    <w:basedOn w:val="Normal"/>
    <w:next w:val="Normal"/>
    <w:autoRedefine/>
    <w:uiPriority w:val="39"/>
    <w:semiHidden/>
    <w:unhideWhenUsed/>
    <w:rsid w:val="0003148D"/>
    <w:pPr>
      <w:spacing w:after="100"/>
      <w:ind w:left="880"/>
    </w:pPr>
  </w:style>
  <w:style w:type="paragraph" w:styleId="TM6">
    <w:name w:val="toc 6"/>
    <w:basedOn w:val="Normal"/>
    <w:next w:val="Normal"/>
    <w:autoRedefine/>
    <w:uiPriority w:val="39"/>
    <w:semiHidden/>
    <w:unhideWhenUsed/>
    <w:rsid w:val="0003148D"/>
    <w:pPr>
      <w:spacing w:after="100"/>
      <w:ind w:left="1100"/>
    </w:pPr>
  </w:style>
  <w:style w:type="paragraph" w:styleId="TM7">
    <w:name w:val="toc 7"/>
    <w:basedOn w:val="Normal"/>
    <w:next w:val="Normal"/>
    <w:autoRedefine/>
    <w:uiPriority w:val="39"/>
    <w:semiHidden/>
    <w:unhideWhenUsed/>
    <w:rsid w:val="0003148D"/>
    <w:pPr>
      <w:spacing w:after="100"/>
      <w:ind w:left="1320"/>
    </w:pPr>
  </w:style>
  <w:style w:type="paragraph" w:styleId="TM8">
    <w:name w:val="toc 8"/>
    <w:basedOn w:val="Normal"/>
    <w:next w:val="Normal"/>
    <w:autoRedefine/>
    <w:uiPriority w:val="39"/>
    <w:semiHidden/>
    <w:unhideWhenUsed/>
    <w:rsid w:val="0003148D"/>
    <w:pPr>
      <w:spacing w:after="100"/>
      <w:ind w:left="1540"/>
    </w:pPr>
  </w:style>
  <w:style w:type="paragraph" w:styleId="TM9">
    <w:name w:val="toc 9"/>
    <w:basedOn w:val="Normal"/>
    <w:next w:val="Normal"/>
    <w:autoRedefine/>
    <w:uiPriority w:val="39"/>
    <w:semiHidden/>
    <w:unhideWhenUsed/>
    <w:rsid w:val="0003148D"/>
    <w:pPr>
      <w:spacing w:after="100"/>
      <w:ind w:left="1760"/>
    </w:pPr>
  </w:style>
  <w:style w:type="paragraph" w:styleId="Normalcentr">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rsid w:val="0003148D"/>
    <w:pPr>
      <w:spacing w:line="240" w:lineRule="auto"/>
    </w:p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rsid w:val="0003148D"/>
    <w:pPr>
      <w:spacing w:line="240" w:lineRule="auto"/>
    </w:p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itreTR">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tte">
    <w:name w:val="header"/>
    <w:basedOn w:val="Normal"/>
    <w:link w:val="En-tteCar"/>
    <w:uiPriority w:val="99"/>
    <w:unhideWhenUs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dutableau">
    <w:name w:val="Table Grid"/>
    <w:basedOn w:val="TableauNormal"/>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04C62"/>
    <w:rPr>
      <w:color w:val="0000FF" w:themeColor="hyperlink"/>
      <w:u w:val="single"/>
    </w:rPr>
  </w:style>
  <w:style w:type="character" w:customStyle="1" w:styleId="eudoraheader">
    <w:name w:val="eudoraheader"/>
    <w:basedOn w:val="Policepardfau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phedeliste">
    <w:name w:val="List Paragraph"/>
    <w:basedOn w:val="Normal"/>
    <w:uiPriority w:val="34"/>
    <w:qFormat/>
    <w:rsid w:val="00280FAF"/>
    <w:pPr>
      <w:ind w:left="720"/>
      <w:contextualSpacing/>
    </w:pPr>
  </w:style>
  <w:style w:type="character" w:customStyle="1" w:styleId="gmail-apple-converted-space">
    <w:name w:val="gmail-apple-converted-space"/>
    <w:basedOn w:val="Policepardfaut"/>
    <w:rsid w:val="00005A19"/>
  </w:style>
  <w:style w:type="character" w:styleId="Mentionnonrsolue">
    <w:name w:val="Unresolved Mention"/>
    <w:basedOn w:val="Policepardfaut"/>
    <w:uiPriority w:val="99"/>
    <w:semiHidden/>
    <w:unhideWhenUsed/>
    <w:rsid w:val="00127919"/>
    <w:rPr>
      <w:color w:val="605E5C"/>
      <w:shd w:val="clear" w:color="auto" w:fill="E1DFDD"/>
    </w:rPr>
  </w:style>
  <w:style w:type="paragraph" w:styleId="Rvision">
    <w:name w:val="Revision"/>
    <w:hidden/>
    <w:uiPriority w:val="99"/>
    <w:semiHidden/>
    <w:rsid w:val="00C70EE4"/>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78463351">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sv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sv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svg"/><Relationship Id="rId20" Type="http://schemas.openxmlformats.org/officeDocument/2006/relationships/hyperlink" Target="https://doi.org/10.57745/PLNRM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yperlink" Target="mailto:aceves@insa-toulouse.fr" TargetMode="Externa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svg"/><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9E277-E08C-4A1A-8DDA-F36028631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6</Pages>
  <Words>4112</Words>
  <Characters>22622</Characters>
  <Application>Microsoft Office Word</Application>
  <DocSecurity>0</DocSecurity>
  <Lines>188</Lines>
  <Paragraphs>53</Paragraphs>
  <ScaleCrop>false</ScaleCrop>
  <HeadingPairs>
    <vt:vector size="10" baseType="variant">
      <vt:variant>
        <vt:lpstr>Titre</vt:lpstr>
      </vt:variant>
      <vt:variant>
        <vt:i4>1</vt:i4>
      </vt:variant>
      <vt:variant>
        <vt:lpstr>Titres</vt:lpstr>
      </vt:variant>
      <vt:variant>
        <vt:i4>1</vt:i4>
      </vt:variant>
      <vt:variant>
        <vt:lpstr>Título</vt:lpstr>
      </vt:variant>
      <vt:variant>
        <vt:i4>1</vt:i4>
      </vt:variant>
      <vt:variant>
        <vt:lpstr>Titolo</vt:lpstr>
      </vt:variant>
      <vt:variant>
        <vt:i4>1</vt:i4>
      </vt:variant>
      <vt:variant>
        <vt:lpstr>Title</vt:lpstr>
      </vt:variant>
      <vt:variant>
        <vt:i4>1</vt:i4>
      </vt:variant>
    </vt:vector>
  </HeadingPairs>
  <TitlesOfParts>
    <vt:vector size="5" baseType="lpstr">
      <vt:lpstr/>
      <vt:lpstr>Benchmarking and Trends around In-Situ and Ex-Situ Sensors in Bioreactors</vt:lpstr>
      <vt:lpstr/>
      <vt:lpstr/>
      <vt:lpstr/>
    </vt:vector>
  </TitlesOfParts>
  <Company>Dipartimento CMIC - Politecnico di Milano</Company>
  <LinksUpToDate>false</LinksUpToDate>
  <CharactersWithSpaces>26681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Cesar-Arturo Aceves-Lara</cp:lastModifiedBy>
  <cp:revision>12</cp:revision>
  <cp:lastPrinted>2015-05-12T18:31:00Z</cp:lastPrinted>
  <dcterms:created xsi:type="dcterms:W3CDTF">2024-10-25T14:39:00Z</dcterms:created>
  <dcterms:modified xsi:type="dcterms:W3CDTF">2025-03-25T09:59:00Z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