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cs-CZ" w:eastAsia="cs-CZ"/>
              </w:rPr>
              <w:drawing>
                <wp:inline distT="0" distB="0" distL="0" distR="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:rsidR="000A03B2" w:rsidRPr="00B57B36" w:rsidRDefault="00A76EFC" w:rsidP="00B5220D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B5220D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xxx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</w:t>
            </w:r>
            <w:r w:rsidR="00DF5072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B5220D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cs-CZ" w:eastAsia="cs-CZ"/>
              </w:rPr>
              <w:drawing>
                <wp:inline distT="0" distB="0" distL="0" distR="0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:rsidTr="00DE264A">
        <w:trPr>
          <w:trHeight w:val="68"/>
          <w:jc w:val="center"/>
        </w:trPr>
        <w:tc>
          <w:tcPr>
            <w:tcW w:w="8789" w:type="dxa"/>
            <w:gridSpan w:val="2"/>
          </w:tcPr>
          <w:p w:rsidR="00B5220D" w:rsidRPr="007D610D" w:rsidRDefault="00B5220D" w:rsidP="00B5220D">
            <w:pPr>
              <w:ind w:left="-107"/>
              <w:outlineLvl w:val="2"/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7D610D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Pr="007D610D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Pr="007D610D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Fabrizio Bezzo, </w:t>
            </w:r>
            <w:r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Flavio Manenti, </w:t>
            </w:r>
            <w:r w:rsidRPr="007D610D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Gabriele Pannocchia, Almerinda di Benedetto</w:t>
            </w:r>
          </w:p>
          <w:p w:rsidR="000A03B2" w:rsidRPr="00B57B36" w:rsidRDefault="00B5220D" w:rsidP="00B5220D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0562A9">
              <w:rPr>
                <w:rFonts w:ascii="Tahoma" w:hAnsi="Tahoma" w:cs="Tahoma"/>
                <w:sz w:val="14"/>
                <w:szCs w:val="14"/>
              </w:rPr>
              <w:t>97</w:t>
            </w:r>
            <w:r>
              <w:rPr>
                <w:rFonts w:ascii="Tahoma" w:hAnsi="Tahoma" w:cs="Tahoma"/>
                <w:sz w:val="14"/>
                <w:szCs w:val="14"/>
              </w:rPr>
              <w:t>9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12</w:t>
            </w:r>
            <w:r w:rsidRPr="000562A9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81206-17-5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:rsidR="00E978D0" w:rsidRPr="00B57B36" w:rsidRDefault="00B5220D" w:rsidP="00E978D0">
      <w:pPr>
        <w:pStyle w:val="CETTitle"/>
      </w:pPr>
      <w:r>
        <w:t>The Effect of Intermitten</w:t>
      </w:r>
      <w:r w:rsidR="00D85734">
        <w:t>t</w:t>
      </w:r>
      <w:r>
        <w:t xml:space="preserve"> </w:t>
      </w:r>
      <w:r w:rsidR="00D85734">
        <w:t xml:space="preserve">Turbulence </w:t>
      </w:r>
      <w:r>
        <w:t>on Drop Size in Immiscible Liquid-Liquid</w:t>
      </w:r>
      <w:r w:rsidR="009F1A72" w:rsidRPr="009F1A72">
        <w:t xml:space="preserve"> </w:t>
      </w:r>
      <w:r>
        <w:t>Dispersion Mechanically Agitated by High-Shear Sawtooth Impeller</w:t>
      </w:r>
      <w:r w:rsidR="006975C8" w:rsidRPr="006975C8">
        <w:t xml:space="preserve"> </w:t>
      </w:r>
    </w:p>
    <w:p w:rsidR="00E978D0" w:rsidRPr="00B57B36" w:rsidRDefault="00B5220D" w:rsidP="00AB5011">
      <w:pPr>
        <w:pStyle w:val="CETAuthors"/>
      </w:pPr>
      <w:r>
        <w:t xml:space="preserve">Roman Formánek, </w:t>
      </w:r>
      <w:r w:rsidR="006975C8">
        <w:t>Radek Šulc</w:t>
      </w:r>
      <w:r w:rsidR="006975C8" w:rsidRPr="006975C8">
        <w:rPr>
          <w:vertAlign w:val="superscript"/>
        </w:rPr>
        <w:t>*</w:t>
      </w:r>
    </w:p>
    <w:p w:rsidR="00E978D0" w:rsidRPr="00B57B36" w:rsidRDefault="00BE7DC8" w:rsidP="00BE7DC8">
      <w:pPr>
        <w:pStyle w:val="CETAddress"/>
      </w:pPr>
      <w:r>
        <w:t xml:space="preserve">Czech Technical University in Prague, Faculty of Mechanical Engineering, Department of Process Engineering, </w:t>
      </w:r>
      <w:r>
        <w:br/>
        <w:t>Technicka 4, 160 00, Prague 6, Czech Republic</w:t>
      </w:r>
      <w:r w:rsidR="00E978D0" w:rsidRPr="00B57B36">
        <w:t xml:space="preserve"> </w:t>
      </w:r>
    </w:p>
    <w:p w:rsidR="00E978D0" w:rsidRPr="00B57B36" w:rsidRDefault="009D22C8" w:rsidP="00E978D0">
      <w:pPr>
        <w:pStyle w:val="CETemail"/>
      </w:pPr>
      <w:r w:rsidRPr="009D22C8">
        <w:t>Radek.Sulc@fs.cvut.cz</w:t>
      </w:r>
    </w:p>
    <w:p w:rsidR="00374F68" w:rsidRDefault="00DF6B72" w:rsidP="00374F68">
      <w:pPr>
        <w:pStyle w:val="CETBodytext"/>
        <w:rPr>
          <w:lang w:val="en-GB"/>
        </w:rPr>
      </w:pPr>
      <w:r w:rsidRPr="00DF6B72">
        <w:rPr>
          <w:lang w:val="en-GB"/>
        </w:rPr>
        <w:t xml:space="preserve">The effect of </w:t>
      </w:r>
      <w:r w:rsidR="00D85734">
        <w:rPr>
          <w:lang w:val="en-GB"/>
        </w:rPr>
        <w:t xml:space="preserve">intermittent </w:t>
      </w:r>
      <w:r w:rsidR="00D85734" w:rsidRPr="00DF6B72">
        <w:rPr>
          <w:lang w:val="en-GB"/>
        </w:rPr>
        <w:t>turbulence</w:t>
      </w:r>
      <w:r w:rsidRPr="00DF6B72">
        <w:rPr>
          <w:lang w:val="en-GB"/>
        </w:rPr>
        <w:t xml:space="preserve"> on drop size reported by Bałdyga and Podgórska (1998) was </w:t>
      </w:r>
      <w:r w:rsidR="00374F68">
        <w:rPr>
          <w:lang w:val="en-GB"/>
        </w:rPr>
        <w:t xml:space="preserve">analysed </w:t>
      </w:r>
      <w:r w:rsidRPr="00DF6B72">
        <w:rPr>
          <w:lang w:val="en-GB"/>
        </w:rPr>
        <w:t xml:space="preserve">and the multifractal exponent </w:t>
      </w:r>
      <w:r w:rsidRPr="00DF6B72">
        <w:rPr>
          <w:rFonts w:ascii="Symbol" w:hAnsi="Symbol"/>
          <w:lang w:val="en-GB"/>
        </w:rPr>
        <w:t></w:t>
      </w:r>
      <w:r w:rsidRPr="002312FB">
        <w:rPr>
          <w:vertAlign w:val="subscript"/>
          <w:lang w:val="en-GB"/>
        </w:rPr>
        <w:t>FT</w:t>
      </w:r>
      <w:r w:rsidR="00374F68">
        <w:rPr>
          <w:lang w:val="en-GB"/>
        </w:rPr>
        <w:t xml:space="preserve"> was evaluated in </w:t>
      </w:r>
      <w:r w:rsidR="00945821">
        <w:rPr>
          <w:lang w:val="en-GB"/>
        </w:rPr>
        <w:t xml:space="preserve">a model system of immiscible silicon oil-water dispersion </w:t>
      </w:r>
      <w:r w:rsidR="00374F68">
        <w:rPr>
          <w:lang w:val="en-GB"/>
        </w:rPr>
        <w:t>m</w:t>
      </w:r>
      <w:r w:rsidR="00374F68" w:rsidRPr="00374F68">
        <w:rPr>
          <w:lang w:val="en-GB"/>
        </w:rPr>
        <w:t xml:space="preserve">echanically </w:t>
      </w:r>
      <w:r w:rsidR="00374F68">
        <w:rPr>
          <w:lang w:val="en-GB"/>
        </w:rPr>
        <w:t>a</w:t>
      </w:r>
      <w:r w:rsidR="00374F68" w:rsidRPr="00374F68">
        <w:rPr>
          <w:lang w:val="en-GB"/>
        </w:rPr>
        <w:t xml:space="preserve">gitated by </w:t>
      </w:r>
      <w:r w:rsidR="007A0B11">
        <w:rPr>
          <w:lang w:val="en-GB"/>
        </w:rPr>
        <w:t xml:space="preserve">a </w:t>
      </w:r>
      <w:r w:rsidR="00374F68">
        <w:rPr>
          <w:lang w:val="en-GB"/>
        </w:rPr>
        <w:t>h</w:t>
      </w:r>
      <w:r w:rsidR="00374F68" w:rsidRPr="00374F68">
        <w:rPr>
          <w:lang w:val="en-GB"/>
        </w:rPr>
        <w:t>igh-</w:t>
      </w:r>
      <w:r w:rsidR="00374F68">
        <w:rPr>
          <w:lang w:val="en-GB"/>
        </w:rPr>
        <w:t>s</w:t>
      </w:r>
      <w:r w:rsidR="00374F68" w:rsidRPr="00374F68">
        <w:rPr>
          <w:lang w:val="en-GB"/>
        </w:rPr>
        <w:t xml:space="preserve">hear </w:t>
      </w:r>
      <w:r w:rsidR="00374F68">
        <w:rPr>
          <w:lang w:val="en-GB"/>
        </w:rPr>
        <w:t>sawtooth i</w:t>
      </w:r>
      <w:r w:rsidR="00374F68" w:rsidRPr="00374F68">
        <w:rPr>
          <w:lang w:val="en-GB"/>
        </w:rPr>
        <w:t>mpeller</w:t>
      </w:r>
      <w:r w:rsidR="00374F68">
        <w:rPr>
          <w:lang w:val="en-GB"/>
        </w:rPr>
        <w:t xml:space="preserve">. </w:t>
      </w:r>
      <w:r w:rsidR="002B4E68" w:rsidRPr="002B4E68">
        <w:rPr>
          <w:lang w:val="en-GB"/>
        </w:rPr>
        <w:t xml:space="preserve">The </w:t>
      </w:r>
      <w:r w:rsidR="002B4E68" w:rsidRPr="002B4E68">
        <w:rPr>
          <w:rFonts w:ascii="Symbol" w:hAnsi="Symbol"/>
          <w:lang w:val="en-GB"/>
        </w:rPr>
        <w:t></w:t>
      </w:r>
      <w:r w:rsidR="002B4E68" w:rsidRPr="002B4E68">
        <w:rPr>
          <w:vertAlign w:val="subscript"/>
          <w:lang w:val="en-GB"/>
        </w:rPr>
        <w:t>FT</w:t>
      </w:r>
      <w:r w:rsidR="002B4E68" w:rsidRPr="002B4E68">
        <w:rPr>
          <w:lang w:val="en-GB"/>
        </w:rPr>
        <w:t xml:space="preserve">  values of approx</w:t>
      </w:r>
      <w:r w:rsidR="00DD4DF9">
        <w:rPr>
          <w:lang w:val="en-GB"/>
        </w:rPr>
        <w:t>imately</w:t>
      </w:r>
      <w:r w:rsidR="002B4E68" w:rsidRPr="002B4E68">
        <w:rPr>
          <w:lang w:val="en-GB"/>
        </w:rPr>
        <w:t xml:space="preserve"> 1.64 </w:t>
      </w:r>
      <w:r w:rsidR="00DD4DF9">
        <w:rPr>
          <w:lang w:val="en-GB"/>
        </w:rPr>
        <w:t>on</w:t>
      </w:r>
      <w:r w:rsidR="002B4E68" w:rsidRPr="002B4E68">
        <w:rPr>
          <w:lang w:val="en-GB"/>
        </w:rPr>
        <w:t xml:space="preserve"> average and 1.46 were found for regions close to the impeller and the region outside the impeller, respectively. </w:t>
      </w:r>
      <w:r w:rsidR="009968BA">
        <w:rPr>
          <w:lang w:val="en-GB"/>
        </w:rPr>
        <w:t xml:space="preserve">Finally, </w:t>
      </w:r>
      <w:r w:rsidR="009968BA" w:rsidRPr="009968BA">
        <w:rPr>
          <w:lang w:val="en-GB"/>
        </w:rPr>
        <w:t>the relation between Sauter mean diameter d</w:t>
      </w:r>
      <w:r w:rsidR="009968BA" w:rsidRPr="009968BA">
        <w:rPr>
          <w:vertAlign w:val="subscript"/>
          <w:lang w:val="en-GB"/>
        </w:rPr>
        <w:t>32</w:t>
      </w:r>
      <w:r w:rsidR="009968BA" w:rsidRPr="009968BA">
        <w:rPr>
          <w:lang w:val="en-GB"/>
        </w:rPr>
        <w:t xml:space="preserve"> and maximum drop size d</w:t>
      </w:r>
      <w:r w:rsidR="009968BA" w:rsidRPr="00D059A2">
        <w:rPr>
          <w:vertAlign w:val="subscript"/>
          <w:lang w:val="en-GB"/>
        </w:rPr>
        <w:t>max</w:t>
      </w:r>
      <w:r w:rsidR="009968BA" w:rsidRPr="009968BA">
        <w:rPr>
          <w:lang w:val="en-GB"/>
        </w:rPr>
        <w:t xml:space="preserve"> was investigated. </w:t>
      </w:r>
      <w:r w:rsidR="002B4E68" w:rsidRPr="0055667C">
        <w:rPr>
          <w:lang w:val="en-GB"/>
        </w:rPr>
        <w:t xml:space="preserve">The </w:t>
      </w:r>
      <w:r w:rsidR="002B4E68">
        <w:rPr>
          <w:lang w:val="en-GB"/>
        </w:rPr>
        <w:t>d</w:t>
      </w:r>
      <w:r w:rsidR="002B4E68" w:rsidRPr="001A1BB6">
        <w:rPr>
          <w:vertAlign w:val="subscript"/>
          <w:lang w:val="en-GB"/>
        </w:rPr>
        <w:t>32</w:t>
      </w:r>
      <w:r w:rsidR="002B4E68">
        <w:rPr>
          <w:lang w:val="en-GB"/>
        </w:rPr>
        <w:t>/d</w:t>
      </w:r>
      <w:r w:rsidR="002B4E68" w:rsidRPr="001A1BB6">
        <w:rPr>
          <w:vertAlign w:val="subscript"/>
          <w:lang w:val="en-GB"/>
        </w:rPr>
        <w:t>max</w:t>
      </w:r>
      <w:r w:rsidR="002B4E68">
        <w:rPr>
          <w:lang w:val="en-GB"/>
        </w:rPr>
        <w:t xml:space="preserve"> </w:t>
      </w:r>
      <w:r w:rsidR="002B4E68" w:rsidRPr="0055667C">
        <w:rPr>
          <w:lang w:val="en-GB"/>
        </w:rPr>
        <w:t>value</w:t>
      </w:r>
      <w:r w:rsidR="002B4E68">
        <w:rPr>
          <w:lang w:val="en-GB"/>
        </w:rPr>
        <w:t>s</w:t>
      </w:r>
      <w:r w:rsidR="002B4E68" w:rsidRPr="0055667C">
        <w:rPr>
          <w:lang w:val="en-GB"/>
        </w:rPr>
        <w:t xml:space="preserve"> of approx</w:t>
      </w:r>
      <w:r w:rsidR="008F6CB6">
        <w:rPr>
          <w:lang w:val="en-GB"/>
        </w:rPr>
        <w:t>imately</w:t>
      </w:r>
      <w:r w:rsidR="002B4E68" w:rsidRPr="0055667C">
        <w:rPr>
          <w:lang w:val="en-GB"/>
        </w:rPr>
        <w:t xml:space="preserve"> </w:t>
      </w:r>
      <w:r w:rsidR="002B4E68">
        <w:rPr>
          <w:lang w:val="en-GB"/>
        </w:rPr>
        <w:t xml:space="preserve">0.6 </w:t>
      </w:r>
      <w:r w:rsidR="00DD4DF9">
        <w:rPr>
          <w:lang w:val="en-GB"/>
        </w:rPr>
        <w:t>on</w:t>
      </w:r>
      <w:r w:rsidR="002B4E68">
        <w:rPr>
          <w:lang w:val="en-GB"/>
        </w:rPr>
        <w:t xml:space="preserve"> average and 0.5 </w:t>
      </w:r>
      <w:r w:rsidR="002B4E68" w:rsidRPr="0055667C">
        <w:rPr>
          <w:lang w:val="en-GB"/>
        </w:rPr>
        <w:t>w</w:t>
      </w:r>
      <w:r w:rsidR="002B4E68">
        <w:rPr>
          <w:lang w:val="en-GB"/>
        </w:rPr>
        <w:t>ere</w:t>
      </w:r>
      <w:r w:rsidR="002B4E68" w:rsidRPr="0055667C">
        <w:rPr>
          <w:lang w:val="en-GB"/>
        </w:rPr>
        <w:t xml:space="preserve"> found for regions </w:t>
      </w:r>
      <w:r w:rsidR="002B4E68">
        <w:rPr>
          <w:lang w:val="en-GB"/>
        </w:rPr>
        <w:t xml:space="preserve">close to the impeller and the region outside the impeller, respectively. </w:t>
      </w:r>
      <w:r w:rsidR="00374F68" w:rsidRPr="00DF6B72">
        <w:rPr>
          <w:lang w:val="en-GB"/>
        </w:rPr>
        <w:t xml:space="preserve">The </w:t>
      </w:r>
      <w:r w:rsidR="0028075F">
        <w:rPr>
          <w:lang w:val="en-GB"/>
        </w:rPr>
        <w:t xml:space="preserve">droplet </w:t>
      </w:r>
      <w:r w:rsidR="00374F68" w:rsidRPr="00DF6B72">
        <w:rPr>
          <w:lang w:val="en-GB"/>
        </w:rPr>
        <w:t>sizes were obtained by the in-situ mea</w:t>
      </w:r>
      <w:r w:rsidR="00DD4DF9">
        <w:rPr>
          <w:lang w:val="en-GB"/>
        </w:rPr>
        <w:t>surements technique and by the i</w:t>
      </w:r>
      <w:r w:rsidR="00374F68" w:rsidRPr="00DF6B72">
        <w:rPr>
          <w:lang w:val="en-GB"/>
        </w:rPr>
        <w:t xml:space="preserve">mage </w:t>
      </w:r>
      <w:r w:rsidR="00012C3B">
        <w:rPr>
          <w:lang w:val="en-GB"/>
        </w:rPr>
        <w:t>a</w:t>
      </w:r>
      <w:r w:rsidR="00374F68" w:rsidRPr="00DF6B72">
        <w:rPr>
          <w:lang w:val="en-GB"/>
        </w:rPr>
        <w:t>nalysis method.</w:t>
      </w:r>
    </w:p>
    <w:p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:rsidR="004B0302" w:rsidRDefault="00DD4DF9" w:rsidP="0016394C">
      <w:pPr>
        <w:pStyle w:val="PRESBodytext"/>
        <w:rPr>
          <w:lang w:val="en-GB"/>
        </w:rPr>
      </w:pPr>
      <w:r>
        <w:rPr>
          <w:color w:val="000000" w:themeColor="text1"/>
          <w:lang w:val="en-GB"/>
        </w:rPr>
        <w:t>D</w:t>
      </w:r>
      <w:r w:rsidR="00687E8D" w:rsidRPr="004B0302">
        <w:rPr>
          <w:color w:val="000000" w:themeColor="text1"/>
          <w:lang w:val="en-GB"/>
        </w:rPr>
        <w:t>ispersed</w:t>
      </w:r>
      <w:r w:rsidR="004B0302">
        <w:rPr>
          <w:color w:val="000000" w:themeColor="text1"/>
          <w:lang w:val="en-GB"/>
        </w:rPr>
        <w:t xml:space="preserve"> immiscible</w:t>
      </w:r>
      <w:r w:rsidR="00687E8D" w:rsidRPr="004B0302">
        <w:rPr>
          <w:color w:val="000000" w:themeColor="text1"/>
          <w:lang w:val="en-GB"/>
        </w:rPr>
        <w:t xml:space="preserve"> liquid-liquid systems are usually characterized by </w:t>
      </w:r>
      <w:r>
        <w:rPr>
          <w:color w:val="000000" w:themeColor="text1"/>
          <w:lang w:val="en-GB"/>
        </w:rPr>
        <w:t xml:space="preserve">the </w:t>
      </w:r>
      <w:r w:rsidR="00687E8D" w:rsidRPr="004B0302">
        <w:rPr>
          <w:color w:val="000000" w:themeColor="text1"/>
          <w:lang w:val="en-GB"/>
        </w:rPr>
        <w:t>Sauter mean diameter</w:t>
      </w:r>
      <w:r w:rsidR="004B0302">
        <w:rPr>
          <w:color w:val="000000" w:themeColor="text1"/>
          <w:lang w:val="en-GB"/>
        </w:rPr>
        <w:t xml:space="preserve"> d</w:t>
      </w:r>
      <w:r w:rsidR="004B0302" w:rsidRPr="004B0302">
        <w:rPr>
          <w:color w:val="000000" w:themeColor="text1"/>
          <w:vertAlign w:val="subscript"/>
          <w:lang w:val="en-GB"/>
        </w:rPr>
        <w:t>32</w:t>
      </w:r>
      <w:r w:rsidR="00687E8D" w:rsidRPr="004B0302">
        <w:rPr>
          <w:color w:val="000000" w:themeColor="text1"/>
          <w:lang w:val="en-GB"/>
        </w:rPr>
        <w:t xml:space="preserve"> and drop size distribution.</w:t>
      </w:r>
      <w:r w:rsidR="00424D44">
        <w:rPr>
          <w:color w:val="000000" w:themeColor="text1"/>
          <w:lang w:val="en-GB"/>
        </w:rPr>
        <w:t xml:space="preserve"> </w:t>
      </w:r>
      <w:r w:rsidR="00687E8D" w:rsidRPr="004B0302">
        <w:rPr>
          <w:color w:val="000000" w:themeColor="text1"/>
          <w:lang w:val="en-GB"/>
        </w:rPr>
        <w:t>Based on Hinze –</w:t>
      </w:r>
      <w:r w:rsidR="00970477" w:rsidRPr="004B0302">
        <w:rPr>
          <w:color w:val="000000" w:themeColor="text1"/>
          <w:lang w:val="en-GB"/>
        </w:rPr>
        <w:t xml:space="preserve"> </w:t>
      </w:r>
      <w:r w:rsidR="00687E8D" w:rsidRPr="004B0302">
        <w:rPr>
          <w:color w:val="000000" w:themeColor="text1"/>
          <w:lang w:val="en-GB"/>
        </w:rPr>
        <w:t xml:space="preserve">Kolmogorov theory </w:t>
      </w:r>
      <w:r w:rsidR="004B0302" w:rsidRPr="004B0302">
        <w:rPr>
          <w:color w:val="000000" w:themeColor="text1"/>
          <w:lang w:val="en-GB"/>
        </w:rPr>
        <w:t xml:space="preserve">(Kolmogorov, 1949; Hinze, 1955) </w:t>
      </w:r>
      <w:r w:rsidR="00713AD1">
        <w:rPr>
          <w:color w:val="000000" w:themeColor="text1"/>
          <w:lang w:val="en-GB"/>
        </w:rPr>
        <w:t xml:space="preserve">and </w:t>
      </w:r>
      <w:r w:rsidR="004B0302" w:rsidRPr="004B0302">
        <w:rPr>
          <w:color w:val="000000" w:themeColor="text1"/>
          <w:lang w:val="en-GB"/>
        </w:rPr>
        <w:t>assuming</w:t>
      </w:r>
      <w:r w:rsidR="00713AD1">
        <w:rPr>
          <w:color w:val="000000" w:themeColor="text1"/>
          <w:lang w:val="en-GB"/>
        </w:rPr>
        <w:t xml:space="preserve"> </w:t>
      </w:r>
      <w:r w:rsidR="00713AD1" w:rsidRPr="00713AD1">
        <w:rPr>
          <w:color w:val="000000" w:themeColor="text1"/>
          <w:lang w:val="en-GB"/>
        </w:rPr>
        <w:t>breakup occu</w:t>
      </w:r>
      <w:r w:rsidR="007A0B11">
        <w:rPr>
          <w:color w:val="000000" w:themeColor="text1"/>
          <w:lang w:val="en-GB"/>
        </w:rPr>
        <w:t>r</w:t>
      </w:r>
      <w:r w:rsidR="00713AD1" w:rsidRPr="00713AD1">
        <w:rPr>
          <w:color w:val="000000" w:themeColor="text1"/>
          <w:lang w:val="en-GB"/>
        </w:rPr>
        <w:t>r</w:t>
      </w:r>
      <w:r w:rsidR="00713AD1">
        <w:rPr>
          <w:color w:val="000000" w:themeColor="text1"/>
          <w:lang w:val="en-GB"/>
        </w:rPr>
        <w:t>ing</w:t>
      </w:r>
      <w:r w:rsidR="00713AD1" w:rsidRPr="00713AD1">
        <w:rPr>
          <w:color w:val="000000" w:themeColor="text1"/>
          <w:lang w:val="en-GB"/>
        </w:rPr>
        <w:t xml:space="preserve"> in the inertial subrange</w:t>
      </w:r>
      <w:r w:rsidR="007748EC">
        <w:rPr>
          <w:color w:val="000000" w:themeColor="text1"/>
          <w:lang w:val="en-GB"/>
        </w:rPr>
        <w:t xml:space="preserve"> of turbulence</w:t>
      </w:r>
      <w:r w:rsidR="00713AD1">
        <w:rPr>
          <w:color w:val="000000" w:themeColor="text1"/>
          <w:lang w:val="en-GB"/>
        </w:rPr>
        <w:t xml:space="preserve"> and </w:t>
      </w:r>
      <w:r w:rsidR="00713AD1" w:rsidRPr="006460A4">
        <w:rPr>
          <w:lang w:val="en-GB"/>
        </w:rPr>
        <w:t>local isotropy state</w:t>
      </w:r>
      <w:r w:rsidR="00713AD1">
        <w:rPr>
          <w:lang w:val="en-GB"/>
        </w:rPr>
        <w:t>, the following relation between</w:t>
      </w:r>
      <w:r w:rsidR="00713AD1" w:rsidRPr="00713AD1">
        <w:rPr>
          <w:lang w:val="en-GB"/>
        </w:rPr>
        <w:t xml:space="preserve"> maximum stable drop size d</w:t>
      </w:r>
      <w:r w:rsidR="00713AD1" w:rsidRPr="00713AD1">
        <w:rPr>
          <w:vertAlign w:val="subscript"/>
          <w:lang w:val="en-GB"/>
        </w:rPr>
        <w:t>max</w:t>
      </w:r>
      <w:r w:rsidR="00713AD1" w:rsidRPr="00713AD1">
        <w:rPr>
          <w:lang w:val="en-GB"/>
        </w:rPr>
        <w:t xml:space="preserve"> </w:t>
      </w:r>
      <w:r w:rsidR="00713AD1">
        <w:rPr>
          <w:lang w:val="en-GB"/>
        </w:rPr>
        <w:t>and impeller Weber number</w:t>
      </w:r>
      <w:r w:rsidR="00A37561">
        <w:rPr>
          <w:lang w:val="en-GB"/>
        </w:rPr>
        <w:t xml:space="preserve"> We</w:t>
      </w:r>
      <w:r w:rsidR="00A37561" w:rsidRPr="00A37561">
        <w:rPr>
          <w:vertAlign w:val="subscript"/>
          <w:lang w:val="en-GB"/>
        </w:rPr>
        <w:t>M</w:t>
      </w:r>
      <w:r w:rsidR="00713AD1">
        <w:rPr>
          <w:lang w:val="en-GB"/>
        </w:rPr>
        <w:t xml:space="preserve"> can be derived </w:t>
      </w:r>
      <w:r w:rsidR="00713AD1" w:rsidRPr="00713AD1">
        <w:rPr>
          <w:lang w:val="en-GB"/>
        </w:rPr>
        <w:t>(Pacek et al.</w:t>
      </w:r>
      <w:r w:rsidR="00713AD1">
        <w:rPr>
          <w:lang w:val="en-GB"/>
        </w:rPr>
        <w:t>, 1998</w:t>
      </w:r>
      <w:r w:rsidR="00713AD1" w:rsidRPr="00713AD1">
        <w:rPr>
          <w:lang w:val="en-GB"/>
        </w:rPr>
        <w:t>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7"/>
        <w:gridCol w:w="800"/>
      </w:tblGrid>
      <w:tr w:rsidR="00713AD1" w:rsidRPr="00B57B36" w:rsidTr="002830CF">
        <w:tc>
          <w:tcPr>
            <w:tcW w:w="7987" w:type="dxa"/>
            <w:shd w:val="clear" w:color="auto" w:fill="auto"/>
            <w:vAlign w:val="center"/>
          </w:tcPr>
          <w:p w:rsidR="00713AD1" w:rsidRPr="007A0B11" w:rsidRDefault="00A37561" w:rsidP="009926C7">
            <w:pPr>
              <w:pStyle w:val="CETBodytext"/>
              <w:spacing w:before="120" w:after="120"/>
              <w:rPr>
                <w:vertAlign w:val="subscript"/>
                <w:lang w:val="en-GB"/>
              </w:rPr>
            </w:pPr>
            <w:r>
              <w:rPr>
                <w:position w:val="-20"/>
                <w:sz w:val="24"/>
                <w:szCs w:val="24"/>
              </w:rPr>
              <w:object w:dxaOrig="24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3pt;height:18.9pt" o:ole="" fillcolor="window">
                  <v:imagedata r:id="rId10" o:title=""/>
                </v:shape>
                <o:OLEObject Type="Embed" ProgID="Equation.3" ShapeID="_x0000_i1025" DrawAspect="Content" ObjectID="_1798969873" r:id="rId11"/>
              </w:objec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713AD1" w:rsidRPr="00B57B36" w:rsidRDefault="00713AD1" w:rsidP="002830CF">
            <w:pPr>
              <w:pStyle w:val="CETEquation"/>
              <w:jc w:val="right"/>
            </w:pPr>
            <w:r w:rsidRPr="00B57B36">
              <w:t>(1)</w:t>
            </w:r>
          </w:p>
        </w:tc>
      </w:tr>
    </w:tbl>
    <w:p w:rsidR="004F222C" w:rsidRPr="004F222C" w:rsidRDefault="00713AD1" w:rsidP="004F222C">
      <w:pPr>
        <w:pStyle w:val="PRESBodytext"/>
        <w:rPr>
          <w:color w:val="000000" w:themeColor="text1"/>
          <w:lang w:val="en-GB"/>
        </w:rPr>
      </w:pPr>
      <w:r>
        <w:rPr>
          <w:lang w:val="en-GB"/>
        </w:rPr>
        <w:t xml:space="preserve">where </w:t>
      </w:r>
      <w:r w:rsidR="009926C7">
        <w:rPr>
          <w:lang w:val="en-GB"/>
        </w:rPr>
        <w:t>D is the impeller diameter, C</w:t>
      </w:r>
      <w:r w:rsidR="009926C7" w:rsidRPr="009926C7">
        <w:rPr>
          <w:vertAlign w:val="subscript"/>
          <w:lang w:val="en-GB"/>
        </w:rPr>
        <w:t>1</w:t>
      </w:r>
      <w:r w:rsidR="009926C7">
        <w:rPr>
          <w:lang w:val="en-GB"/>
        </w:rPr>
        <w:t xml:space="preserve"> is the </w:t>
      </w:r>
      <w:r w:rsidR="00DD4DF9">
        <w:rPr>
          <w:lang w:val="en-GB"/>
        </w:rPr>
        <w:t>proportionality constant</w:t>
      </w:r>
      <w:r w:rsidR="009926C7">
        <w:rPr>
          <w:lang w:val="en-GB"/>
        </w:rPr>
        <w:t>.</w:t>
      </w:r>
      <w:r w:rsidR="004F222C" w:rsidRPr="004F222C">
        <w:rPr>
          <w:color w:val="000000" w:themeColor="text1"/>
          <w:lang w:val="en-GB"/>
        </w:rPr>
        <w:t xml:space="preserve"> The same </w:t>
      </w:r>
      <w:r w:rsidR="004F222C">
        <w:rPr>
          <w:color w:val="000000" w:themeColor="text1"/>
          <w:lang w:val="en-GB"/>
        </w:rPr>
        <w:t xml:space="preserve">correlation </w:t>
      </w:r>
      <w:r w:rsidR="004F222C" w:rsidRPr="004F222C">
        <w:rPr>
          <w:color w:val="000000" w:themeColor="text1"/>
          <w:lang w:val="en-GB"/>
        </w:rPr>
        <w:t>with the exponent of –0.6</w:t>
      </w:r>
      <w:r w:rsidR="004F222C">
        <w:rPr>
          <w:color w:val="000000" w:themeColor="text1"/>
          <w:lang w:val="en-GB"/>
        </w:rPr>
        <w:t xml:space="preserve"> has been expected for </w:t>
      </w:r>
      <w:r w:rsidR="004F222C" w:rsidRPr="004F222C">
        <w:rPr>
          <w:color w:val="000000" w:themeColor="text1"/>
          <w:lang w:val="en-GB"/>
        </w:rPr>
        <w:t xml:space="preserve">the relation between </w:t>
      </w:r>
      <w:r w:rsidR="00DD4DF9">
        <w:rPr>
          <w:color w:val="000000" w:themeColor="text1"/>
          <w:lang w:val="en-GB"/>
        </w:rPr>
        <w:t xml:space="preserve">the </w:t>
      </w:r>
      <w:r w:rsidR="004F222C" w:rsidRPr="004F222C">
        <w:rPr>
          <w:color w:val="000000" w:themeColor="text1"/>
          <w:lang w:val="en-GB"/>
        </w:rPr>
        <w:t>equilibrium Sauter mean diameter, d</w:t>
      </w:r>
      <w:r w:rsidR="004F222C" w:rsidRPr="004F222C">
        <w:rPr>
          <w:color w:val="000000" w:themeColor="text1"/>
          <w:vertAlign w:val="subscript"/>
          <w:lang w:val="en-GB"/>
        </w:rPr>
        <w:t>32</w:t>
      </w:r>
      <w:r w:rsidR="004F222C" w:rsidRPr="004F222C">
        <w:rPr>
          <w:color w:val="000000" w:themeColor="text1"/>
          <w:lang w:val="en-GB"/>
        </w:rPr>
        <w:t xml:space="preserve">, and </w:t>
      </w:r>
      <w:r w:rsidR="00DD4DF9">
        <w:rPr>
          <w:color w:val="000000" w:themeColor="text1"/>
          <w:lang w:val="en-GB"/>
        </w:rPr>
        <w:t xml:space="preserve">the </w:t>
      </w:r>
      <w:r w:rsidR="004F222C" w:rsidRPr="004F222C">
        <w:rPr>
          <w:color w:val="000000" w:themeColor="text1"/>
          <w:lang w:val="en-GB"/>
        </w:rPr>
        <w:t>impeller Weber number</w:t>
      </w:r>
      <w:r w:rsidR="00DD4DF9">
        <w:rPr>
          <w:color w:val="000000" w:themeColor="text1"/>
          <w:lang w:val="en-GB"/>
        </w:rPr>
        <w:t>,</w:t>
      </w:r>
      <w:r w:rsidR="004F222C">
        <w:rPr>
          <w:color w:val="000000" w:themeColor="text1"/>
          <w:lang w:val="en-GB"/>
        </w:rPr>
        <w:t xml:space="preserve"> assuming the </w:t>
      </w:r>
      <w:r w:rsidR="004F222C" w:rsidRPr="004F222C">
        <w:rPr>
          <w:color w:val="000000" w:themeColor="text1"/>
          <w:lang w:val="en-GB"/>
        </w:rPr>
        <w:t>constant r</w:t>
      </w:r>
      <w:r w:rsidR="00DD4DF9">
        <w:rPr>
          <w:color w:val="000000" w:themeColor="text1"/>
          <w:lang w:val="en-GB"/>
        </w:rPr>
        <w:t>elationship</w:t>
      </w:r>
      <w:r w:rsidR="004F222C">
        <w:rPr>
          <w:color w:val="000000" w:themeColor="text1"/>
          <w:lang w:val="en-GB"/>
        </w:rPr>
        <w:t xml:space="preserve"> between </w:t>
      </w:r>
      <w:r w:rsidR="00DD4DF9">
        <w:rPr>
          <w:color w:val="000000" w:themeColor="text1"/>
          <w:lang w:val="en-GB"/>
        </w:rPr>
        <w:t xml:space="preserve">the </w:t>
      </w:r>
      <w:r w:rsidR="004F222C">
        <w:rPr>
          <w:color w:val="000000" w:themeColor="text1"/>
          <w:lang w:val="en-GB"/>
        </w:rPr>
        <w:t>Sauter mean diameter d</w:t>
      </w:r>
      <w:r w:rsidR="004F222C" w:rsidRPr="004F222C">
        <w:rPr>
          <w:color w:val="000000" w:themeColor="text1"/>
          <w:vertAlign w:val="subscript"/>
          <w:lang w:val="en-GB"/>
        </w:rPr>
        <w:t>32</w:t>
      </w:r>
      <w:r w:rsidR="004F222C">
        <w:rPr>
          <w:color w:val="000000" w:themeColor="text1"/>
          <w:lang w:val="en-GB"/>
        </w:rPr>
        <w:t xml:space="preserve"> and </w:t>
      </w:r>
      <w:r w:rsidR="00DD4DF9">
        <w:rPr>
          <w:color w:val="000000" w:themeColor="text1"/>
          <w:lang w:val="en-GB"/>
        </w:rPr>
        <w:t xml:space="preserve">the </w:t>
      </w:r>
      <w:r w:rsidR="004F222C">
        <w:rPr>
          <w:color w:val="000000" w:themeColor="text1"/>
          <w:lang w:val="en-GB"/>
        </w:rPr>
        <w:t>maximum drop size d</w:t>
      </w:r>
      <w:r w:rsidR="004F222C" w:rsidRPr="004F222C">
        <w:rPr>
          <w:color w:val="000000" w:themeColor="text1"/>
          <w:vertAlign w:val="subscript"/>
          <w:lang w:val="en-GB"/>
        </w:rPr>
        <w:t>max</w:t>
      </w:r>
      <w:r w:rsidR="004F222C" w:rsidRPr="004F222C">
        <w:rPr>
          <w:color w:val="000000" w:themeColor="text1"/>
          <w:lang w:val="en-GB"/>
        </w:rPr>
        <w:t xml:space="preserve"> (Calabrese et al.</w:t>
      </w:r>
      <w:r w:rsidR="004F222C">
        <w:rPr>
          <w:color w:val="000000" w:themeColor="text1"/>
          <w:lang w:val="en-GB"/>
        </w:rPr>
        <w:t>,</w:t>
      </w:r>
      <w:r w:rsidR="004F222C" w:rsidRPr="004F222C">
        <w:rPr>
          <w:color w:val="000000" w:themeColor="text1"/>
          <w:lang w:val="en-GB"/>
        </w:rPr>
        <w:t xml:space="preserve"> </w:t>
      </w:r>
      <w:r w:rsidR="004F222C">
        <w:rPr>
          <w:color w:val="000000" w:themeColor="text1"/>
          <w:lang w:val="en-GB"/>
        </w:rPr>
        <w:t>1986</w:t>
      </w:r>
      <w:r w:rsidR="004F222C" w:rsidRPr="004F222C">
        <w:rPr>
          <w:color w:val="000000" w:themeColor="text1"/>
          <w:lang w:val="en-GB"/>
        </w:rPr>
        <w:t>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7"/>
        <w:gridCol w:w="800"/>
      </w:tblGrid>
      <w:tr w:rsidR="004F222C" w:rsidRPr="00B57B36" w:rsidTr="002830CF">
        <w:tc>
          <w:tcPr>
            <w:tcW w:w="7987" w:type="dxa"/>
            <w:shd w:val="clear" w:color="auto" w:fill="auto"/>
            <w:vAlign w:val="center"/>
          </w:tcPr>
          <w:p w:rsidR="004F222C" w:rsidRPr="00DF0673" w:rsidRDefault="00A37561" w:rsidP="00A37561">
            <w:pPr>
              <w:pStyle w:val="CETBodytext"/>
              <w:spacing w:before="120" w:after="120"/>
              <w:rPr>
                <w:lang w:val="en-GB"/>
              </w:rPr>
            </w:pPr>
            <w:r w:rsidRPr="00A37561">
              <w:rPr>
                <w:position w:val="-20"/>
                <w:sz w:val="24"/>
                <w:szCs w:val="24"/>
              </w:rPr>
              <w:object w:dxaOrig="1680" w:dyaOrig="440">
                <v:shape id="_x0000_i1026" type="#_x0000_t75" style="width:62.75pt;height:16.6pt" o:ole="" fillcolor="window">
                  <v:imagedata r:id="rId12" o:title=""/>
                </v:shape>
                <o:OLEObject Type="Embed" ProgID="Equation.3" ShapeID="_x0000_i1026" DrawAspect="Content" ObjectID="_1798969874" r:id="rId13"/>
              </w:objec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F222C" w:rsidRPr="00B57B36" w:rsidRDefault="004F222C" w:rsidP="004F222C">
            <w:pPr>
              <w:pStyle w:val="CETEquation"/>
              <w:jc w:val="right"/>
            </w:pPr>
            <w:r w:rsidRPr="00B57B36">
              <w:t>(</w:t>
            </w:r>
            <w:r>
              <w:t>2</w:t>
            </w:r>
            <w:r w:rsidRPr="00B57B36">
              <w:t>)</w:t>
            </w:r>
          </w:p>
        </w:tc>
      </w:tr>
    </w:tbl>
    <w:p w:rsidR="00A37561" w:rsidRDefault="00A37561" w:rsidP="0016394C">
      <w:pPr>
        <w:pStyle w:val="PRESBodytext"/>
        <w:rPr>
          <w:color w:val="000000" w:themeColor="text1"/>
          <w:lang w:val="en-GB"/>
        </w:rPr>
      </w:pPr>
      <w:r>
        <w:rPr>
          <w:lang w:val="en-GB"/>
        </w:rPr>
        <w:t>where C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 is the </w:t>
      </w:r>
      <w:r w:rsidR="00DD4DF9">
        <w:rPr>
          <w:lang w:val="en-GB"/>
        </w:rPr>
        <w:t xml:space="preserve">proportionality </w:t>
      </w:r>
      <w:r>
        <w:rPr>
          <w:lang w:val="en-GB"/>
        </w:rPr>
        <w:t>constant.</w:t>
      </w:r>
      <w:r w:rsidRPr="004F222C">
        <w:rPr>
          <w:color w:val="000000" w:themeColor="text1"/>
          <w:lang w:val="en-GB"/>
        </w:rPr>
        <w:t xml:space="preserve"> </w:t>
      </w:r>
    </w:p>
    <w:p w:rsidR="00C87795" w:rsidRPr="0021702F" w:rsidRDefault="0055402B" w:rsidP="0016394C">
      <w:pPr>
        <w:pStyle w:val="PRESBodytext"/>
        <w:rPr>
          <w:lang w:val="en-GB"/>
        </w:rPr>
      </w:pPr>
      <w:r>
        <w:rPr>
          <w:lang w:val="en-GB"/>
        </w:rPr>
        <w:t xml:space="preserve">Intermittent turbulence refers </w:t>
      </w:r>
      <w:r w:rsidR="00DD4DF9">
        <w:rPr>
          <w:lang w:val="en-GB"/>
        </w:rPr>
        <w:t xml:space="preserve">to an </w:t>
      </w:r>
      <w:r>
        <w:rPr>
          <w:lang w:val="en-GB"/>
        </w:rPr>
        <w:t>experimental phenomen</w:t>
      </w:r>
      <w:r w:rsidR="003B27E6">
        <w:rPr>
          <w:lang w:val="en-GB"/>
        </w:rPr>
        <w:t xml:space="preserve">on </w:t>
      </w:r>
      <w:r w:rsidR="003B27E6" w:rsidRPr="003B27E6">
        <w:rPr>
          <w:lang w:val="en-GB"/>
        </w:rPr>
        <w:t>characterized by random changes</w:t>
      </w:r>
      <w:r w:rsidR="003B27E6">
        <w:rPr>
          <w:lang w:val="en-GB"/>
        </w:rPr>
        <w:t xml:space="preserve"> </w:t>
      </w:r>
      <w:r w:rsidR="007A0B11">
        <w:rPr>
          <w:lang w:val="en-GB"/>
        </w:rPr>
        <w:t>in</w:t>
      </w:r>
      <w:r w:rsidR="003B27E6">
        <w:rPr>
          <w:lang w:val="en-GB"/>
        </w:rPr>
        <w:t xml:space="preserve"> the turbulence</w:t>
      </w:r>
      <w:r w:rsidR="003B27E6" w:rsidRPr="003B27E6">
        <w:rPr>
          <w:lang w:val="en-GB"/>
        </w:rPr>
        <w:t xml:space="preserve"> characteristics in a turbulent flow at </w:t>
      </w:r>
      <w:r w:rsidR="003B27E6">
        <w:rPr>
          <w:lang w:val="en-GB"/>
        </w:rPr>
        <w:t>the smal</w:t>
      </w:r>
      <w:bookmarkStart w:id="0" w:name="_GoBack"/>
      <w:bookmarkEnd w:id="0"/>
      <w:r w:rsidR="003B27E6">
        <w:rPr>
          <w:lang w:val="en-GB"/>
        </w:rPr>
        <w:t xml:space="preserve">l turbulence scale level </w:t>
      </w:r>
      <w:r w:rsidR="007A0B11">
        <w:rPr>
          <w:lang w:val="en-GB"/>
        </w:rPr>
        <w:t xml:space="preserve">at </w:t>
      </w:r>
      <w:r w:rsidR="003B27E6" w:rsidRPr="003B27E6">
        <w:rPr>
          <w:lang w:val="en-GB"/>
        </w:rPr>
        <w:t xml:space="preserve">a given location during </w:t>
      </w:r>
      <w:r w:rsidR="003B27E6">
        <w:rPr>
          <w:lang w:val="en-GB"/>
        </w:rPr>
        <w:t>vortex stretching</w:t>
      </w:r>
      <w:r>
        <w:rPr>
          <w:lang w:val="en-GB"/>
        </w:rPr>
        <w:t xml:space="preserve"> </w:t>
      </w:r>
      <w:r w:rsidR="003B27E6" w:rsidRPr="003B27E6">
        <w:rPr>
          <w:lang w:val="en-GB"/>
        </w:rPr>
        <w:t xml:space="preserve">in the process of </w:t>
      </w:r>
      <w:r w:rsidR="003B27E6">
        <w:rPr>
          <w:lang w:val="en-GB"/>
        </w:rPr>
        <w:t xml:space="preserve">turbulent </w:t>
      </w:r>
      <w:r w:rsidR="003B27E6" w:rsidRPr="003B27E6">
        <w:rPr>
          <w:lang w:val="en-GB"/>
        </w:rPr>
        <w:t xml:space="preserve">eddy </w:t>
      </w:r>
      <w:r w:rsidR="003B27E6">
        <w:rPr>
          <w:lang w:val="en-GB"/>
        </w:rPr>
        <w:t xml:space="preserve">breakup </w:t>
      </w:r>
      <w:r>
        <w:rPr>
          <w:lang w:val="en-GB"/>
        </w:rPr>
        <w:t xml:space="preserve">(Baldyga and Bourne, </w:t>
      </w:r>
      <w:r w:rsidR="005E0E8D">
        <w:rPr>
          <w:lang w:val="en-GB"/>
        </w:rPr>
        <w:t xml:space="preserve">1993, 1995). </w:t>
      </w:r>
      <w:r w:rsidR="007C46DE">
        <w:rPr>
          <w:lang w:val="en-GB"/>
        </w:rPr>
        <w:t>The v</w:t>
      </w:r>
      <w:r w:rsidR="007C46DE" w:rsidRPr="006460A4">
        <w:rPr>
          <w:lang w:val="en-GB"/>
        </w:rPr>
        <w:t>orticity and turbulent stresses are not distributed uniformly</w:t>
      </w:r>
      <w:r w:rsidR="007C46DE">
        <w:rPr>
          <w:lang w:val="en-GB"/>
        </w:rPr>
        <w:t xml:space="preserve">. </w:t>
      </w:r>
      <w:r w:rsidR="00853B7F" w:rsidRPr="0021702F">
        <w:rPr>
          <w:lang w:val="en-GB"/>
        </w:rPr>
        <w:t xml:space="preserve">These sudden fluctuations in turbulence intensity, whether high or low, even in the case of homogeneous isotropic turbulence, can significantly influence the breakup of the droplets </w:t>
      </w:r>
      <w:r w:rsidR="007C46DE" w:rsidRPr="0021702F">
        <w:rPr>
          <w:lang w:val="en-GB"/>
        </w:rPr>
        <w:t xml:space="preserve">(Bałdyga and Podgórska, 1998). </w:t>
      </w:r>
    </w:p>
    <w:p w:rsidR="00FC44BC" w:rsidRDefault="00D90496" w:rsidP="00FC44BC">
      <w:pPr>
        <w:pStyle w:val="PRESBodytext"/>
        <w:rPr>
          <w:lang w:val="en-GB"/>
        </w:rPr>
      </w:pPr>
      <w:r w:rsidRPr="00F83C83">
        <w:rPr>
          <w:lang w:val="en-GB"/>
        </w:rPr>
        <w:t>Low values ​​of the multifractal exponent α</w:t>
      </w:r>
      <w:r w:rsidRPr="00F83C83">
        <w:rPr>
          <w:vertAlign w:val="subscript"/>
          <w:lang w:val="en-GB"/>
        </w:rPr>
        <w:t>FT</w:t>
      </w:r>
      <w:r w:rsidRPr="00F83C83">
        <w:rPr>
          <w:lang w:val="en-GB"/>
        </w:rPr>
        <w:t xml:space="preserve"> </w:t>
      </w:r>
      <w:r w:rsidRPr="00F83C83">
        <w:rPr>
          <w:rFonts w:ascii="Symbol" w:hAnsi="Symbol"/>
          <w:lang w:val="en-GB"/>
        </w:rPr>
        <w:t></w:t>
      </w:r>
      <w:r w:rsidRPr="00F83C83">
        <w:rPr>
          <w:rFonts w:ascii="Symbol" w:hAnsi="Symbol"/>
          <w:lang w:val="en-GB"/>
        </w:rPr>
        <w:t></w:t>
      </w:r>
      <w:r w:rsidRPr="00F83C83">
        <w:rPr>
          <w:rFonts w:ascii="Symbol" w:hAnsi="Symbol"/>
          <w:lang w:val="en-GB"/>
        </w:rPr>
        <w:t></w:t>
      </w:r>
      <w:r w:rsidRPr="00F83C83">
        <w:rPr>
          <w:lang w:val="en-GB"/>
        </w:rPr>
        <w:t xml:space="preserve">1 indicate </w:t>
      </w:r>
      <w:r>
        <w:rPr>
          <w:lang w:val="en-GB"/>
        </w:rPr>
        <w:t>the presence of p</w:t>
      </w:r>
      <w:r w:rsidR="007C46DE" w:rsidRPr="00F83C83">
        <w:rPr>
          <w:lang w:val="en-GB"/>
        </w:rPr>
        <w:t xml:space="preserve">eaks in the turbulent energy dissipation </w:t>
      </w:r>
      <w:r w:rsidR="007C46DE">
        <w:rPr>
          <w:lang w:val="en-GB"/>
        </w:rPr>
        <w:t>rate</w:t>
      </w:r>
      <w:r>
        <w:rPr>
          <w:lang w:val="en-GB"/>
        </w:rPr>
        <w:t xml:space="preserve">. However, the probability of these peaks is low. In this case, some turbulent eddies exhibit </w:t>
      </w:r>
      <w:r w:rsidRPr="00F83C83">
        <w:rPr>
          <w:lang w:val="en-GB"/>
        </w:rPr>
        <w:t>high</w:t>
      </w:r>
      <w:r>
        <w:rPr>
          <w:lang w:val="en-GB"/>
        </w:rPr>
        <w:t>er</w:t>
      </w:r>
      <w:r w:rsidRPr="00F83C83">
        <w:rPr>
          <w:lang w:val="en-GB"/>
        </w:rPr>
        <w:t xml:space="preserve"> </w:t>
      </w:r>
      <w:r>
        <w:rPr>
          <w:lang w:val="en-GB"/>
        </w:rPr>
        <w:t xml:space="preserve">turbulent energy dissipation </w:t>
      </w:r>
      <w:r w:rsidRPr="00F83C83">
        <w:rPr>
          <w:lang w:val="en-GB"/>
        </w:rPr>
        <w:t xml:space="preserve">rate </w:t>
      </w:r>
      <w:r>
        <w:rPr>
          <w:lang w:val="en-GB"/>
        </w:rPr>
        <w:t xml:space="preserve">than other, they </w:t>
      </w:r>
      <w:r w:rsidRPr="00F83C83">
        <w:rPr>
          <w:lang w:val="en-GB"/>
        </w:rPr>
        <w:t>are “</w:t>
      </w:r>
      <w:r>
        <w:rPr>
          <w:lang w:val="en-GB"/>
        </w:rPr>
        <w:t xml:space="preserve">more </w:t>
      </w:r>
      <w:r w:rsidRPr="00F83C83">
        <w:rPr>
          <w:lang w:val="en-GB"/>
        </w:rPr>
        <w:t xml:space="preserve">violent”, but </w:t>
      </w:r>
      <w:r>
        <w:rPr>
          <w:lang w:val="en-GB"/>
        </w:rPr>
        <w:t>these eddies are not frequent</w:t>
      </w:r>
      <w:r w:rsidR="00FC44BC">
        <w:rPr>
          <w:lang w:val="en-GB"/>
        </w:rPr>
        <w:t xml:space="preserve"> (</w:t>
      </w:r>
      <w:r w:rsidR="00FC44BC" w:rsidRPr="006460A4">
        <w:rPr>
          <w:lang w:val="en-GB"/>
        </w:rPr>
        <w:t>Bałdyga and Podgórska</w:t>
      </w:r>
      <w:r w:rsidR="00FC44BC">
        <w:rPr>
          <w:lang w:val="en-GB"/>
        </w:rPr>
        <w:t xml:space="preserve">, </w:t>
      </w:r>
      <w:r w:rsidR="00FC44BC" w:rsidRPr="006460A4">
        <w:rPr>
          <w:lang w:val="en-GB"/>
        </w:rPr>
        <w:t>1998)</w:t>
      </w:r>
      <w:r w:rsidR="00FC44BC" w:rsidRPr="003B27E6">
        <w:rPr>
          <w:lang w:val="en-GB"/>
        </w:rPr>
        <w:t>.</w:t>
      </w:r>
      <w:r w:rsidR="00FC44BC">
        <w:rPr>
          <w:lang w:val="en-GB"/>
        </w:rPr>
        <w:t xml:space="preserve"> </w:t>
      </w:r>
    </w:p>
    <w:p w:rsidR="0055402B" w:rsidRDefault="00FC44BC" w:rsidP="0016394C">
      <w:pPr>
        <w:pStyle w:val="PRESBodytext"/>
        <w:rPr>
          <w:lang w:val="en-GB"/>
        </w:rPr>
      </w:pPr>
      <w:r>
        <w:rPr>
          <w:lang w:val="en-GB"/>
        </w:rPr>
        <w:lastRenderedPageBreak/>
        <w:t>H</w:t>
      </w:r>
      <w:r w:rsidR="00F83C83">
        <w:rPr>
          <w:lang w:val="en-GB"/>
        </w:rPr>
        <w:t xml:space="preserve">igh values of </w:t>
      </w:r>
      <w:r w:rsidR="00F83C83" w:rsidRPr="00F83C83">
        <w:rPr>
          <w:lang w:val="en-GB"/>
        </w:rPr>
        <w:t>the multifractal exponent α</w:t>
      </w:r>
      <w:r w:rsidR="00F83C83" w:rsidRPr="00F83C83">
        <w:rPr>
          <w:vertAlign w:val="subscript"/>
          <w:lang w:val="en-GB"/>
        </w:rPr>
        <w:t>FT</w:t>
      </w:r>
      <w:r w:rsidR="00F83C83" w:rsidRPr="00F83C83">
        <w:rPr>
          <w:lang w:val="en-GB"/>
        </w:rPr>
        <w:t xml:space="preserve"> </w:t>
      </w:r>
      <w:r w:rsidR="00F83C83" w:rsidRPr="00F83C83">
        <w:rPr>
          <w:rFonts w:ascii="Symbol" w:hAnsi="Symbol"/>
          <w:lang w:val="en-GB"/>
        </w:rPr>
        <w:t></w:t>
      </w:r>
      <w:r w:rsidR="00F83C83" w:rsidRPr="00F83C83">
        <w:rPr>
          <w:lang w:val="en-GB"/>
        </w:rPr>
        <w:t xml:space="preserve"> 1</w:t>
      </w:r>
      <w:r w:rsidR="00F83C83">
        <w:rPr>
          <w:lang w:val="en-GB"/>
        </w:rPr>
        <w:t xml:space="preserve"> indicate that </w:t>
      </w:r>
      <w:r w:rsidR="00F83C83" w:rsidRPr="00F83C83">
        <w:rPr>
          <w:lang w:val="en-GB"/>
        </w:rPr>
        <w:t xml:space="preserve">the turbulent stresses generated by the acting </w:t>
      </w:r>
      <w:r w:rsidR="00F83C83">
        <w:rPr>
          <w:lang w:val="en-GB"/>
        </w:rPr>
        <w:t>eddies</w:t>
      </w:r>
      <w:r w:rsidR="00F83C83" w:rsidRPr="00F83C83">
        <w:rPr>
          <w:lang w:val="en-GB"/>
        </w:rPr>
        <w:t xml:space="preserve"> are smaller than predicted by </w:t>
      </w:r>
      <w:r w:rsidR="00DD4DF9">
        <w:rPr>
          <w:lang w:val="en-GB"/>
        </w:rPr>
        <w:t xml:space="preserve">the </w:t>
      </w:r>
      <w:r w:rsidR="00F83C83" w:rsidRPr="00F83C83">
        <w:rPr>
          <w:lang w:val="en-GB"/>
        </w:rPr>
        <w:t>Kolmogorov theory</w:t>
      </w:r>
      <w:r w:rsidR="00F83C83">
        <w:rPr>
          <w:lang w:val="en-GB"/>
        </w:rPr>
        <w:t xml:space="preserve"> of local turbulence</w:t>
      </w:r>
      <w:r w:rsidR="002B7CED">
        <w:rPr>
          <w:lang w:val="en-GB"/>
        </w:rPr>
        <w:t xml:space="preserve"> (</w:t>
      </w:r>
      <w:r w:rsidR="002B7CED" w:rsidRPr="006460A4">
        <w:rPr>
          <w:lang w:val="en-GB"/>
        </w:rPr>
        <w:t>Bałdyga and Podgórska</w:t>
      </w:r>
      <w:r w:rsidR="002B7CED">
        <w:rPr>
          <w:lang w:val="en-GB"/>
        </w:rPr>
        <w:t xml:space="preserve">, </w:t>
      </w:r>
      <w:r w:rsidR="002B7CED" w:rsidRPr="006460A4">
        <w:rPr>
          <w:lang w:val="en-GB"/>
        </w:rPr>
        <w:t>1998)</w:t>
      </w:r>
      <w:r w:rsidR="002B7CED" w:rsidRPr="003B27E6">
        <w:rPr>
          <w:lang w:val="en-GB"/>
        </w:rPr>
        <w:t>.</w:t>
      </w:r>
    </w:p>
    <w:p w:rsidR="002830CF" w:rsidRDefault="00610B49" w:rsidP="0016394C">
      <w:pPr>
        <w:pStyle w:val="PRESBodytext"/>
        <w:rPr>
          <w:lang w:val="en-GB"/>
        </w:rPr>
      </w:pPr>
      <w:r w:rsidRPr="00D153CE">
        <w:rPr>
          <w:lang w:val="en-GB"/>
        </w:rPr>
        <w:t>Menevau a</w:t>
      </w:r>
      <w:r>
        <w:rPr>
          <w:lang w:val="en-GB"/>
        </w:rPr>
        <w:t>nd</w:t>
      </w:r>
      <w:r w:rsidRPr="00D153CE">
        <w:rPr>
          <w:lang w:val="en-GB"/>
        </w:rPr>
        <w:t xml:space="preserve"> Sreenivasan</w:t>
      </w:r>
      <w:r>
        <w:rPr>
          <w:lang w:val="en-GB"/>
        </w:rPr>
        <w:t xml:space="preserve"> (1989, 1991) </w:t>
      </w:r>
      <w:r w:rsidRPr="00610B49">
        <w:rPr>
          <w:lang w:val="en-GB"/>
        </w:rPr>
        <w:t>report</w:t>
      </w:r>
      <w:r w:rsidR="00DD4DF9">
        <w:rPr>
          <w:lang w:val="en-GB"/>
        </w:rPr>
        <w:t>ed</w:t>
      </w:r>
      <w:r w:rsidRPr="00610B49">
        <w:rPr>
          <w:lang w:val="en-GB"/>
        </w:rPr>
        <w:t xml:space="preserve"> values ​​of the multifractal exponent in the range 0.12 &lt; α</w:t>
      </w:r>
      <w:r w:rsidRPr="00610B49">
        <w:rPr>
          <w:vertAlign w:val="subscript"/>
          <w:lang w:val="en-GB"/>
        </w:rPr>
        <w:t>FT</w:t>
      </w:r>
      <w:r w:rsidRPr="00610B49">
        <w:rPr>
          <w:lang w:val="en-GB"/>
        </w:rPr>
        <w:t xml:space="preserve"> &lt; 1.78 for turbulence </w:t>
      </w:r>
      <w:r>
        <w:rPr>
          <w:lang w:val="en-GB"/>
        </w:rPr>
        <w:t>formed in the boundary layer</w:t>
      </w:r>
      <w:r w:rsidRPr="00610B49">
        <w:rPr>
          <w:lang w:val="en-GB"/>
        </w:rPr>
        <w:t xml:space="preserve"> or </w:t>
      </w:r>
      <w:r>
        <w:rPr>
          <w:lang w:val="en-GB"/>
        </w:rPr>
        <w:t>grid</w:t>
      </w:r>
      <w:r w:rsidR="007A0B11">
        <w:rPr>
          <w:lang w:val="en-GB"/>
        </w:rPr>
        <w:t>-</w:t>
      </w:r>
      <w:r>
        <w:rPr>
          <w:lang w:val="en-GB"/>
        </w:rPr>
        <w:t xml:space="preserve">generated turbulence. </w:t>
      </w:r>
      <w:r w:rsidRPr="00610B49">
        <w:rPr>
          <w:lang w:val="en-GB"/>
        </w:rPr>
        <w:t>She and Levaque (1994) report</w:t>
      </w:r>
      <w:r w:rsidR="00DD4DF9">
        <w:rPr>
          <w:lang w:val="en-GB"/>
        </w:rPr>
        <w:t>ed</w:t>
      </w:r>
      <w:r w:rsidRPr="00610B49">
        <w:rPr>
          <w:lang w:val="en-GB"/>
        </w:rPr>
        <w:t xml:space="preserve"> a minimum value of α</w:t>
      </w:r>
      <w:r w:rsidRPr="00610B49">
        <w:rPr>
          <w:vertAlign w:val="subscript"/>
          <w:lang w:val="en-GB"/>
        </w:rPr>
        <w:t>FT</w:t>
      </w:r>
      <w:r w:rsidRPr="00610B49">
        <w:rPr>
          <w:lang w:val="en-GB"/>
        </w:rPr>
        <w:t xml:space="preserve"> = 0.33.</w:t>
      </w:r>
      <w:r>
        <w:rPr>
          <w:lang w:val="en-GB"/>
        </w:rPr>
        <w:t xml:space="preserve"> </w:t>
      </w:r>
      <w:r w:rsidRPr="00610B49">
        <w:rPr>
          <w:lang w:val="en-GB"/>
        </w:rPr>
        <w:t xml:space="preserve">Baldyga and Bourne (1993) </w:t>
      </w:r>
      <w:r>
        <w:rPr>
          <w:lang w:val="en-GB"/>
        </w:rPr>
        <w:t>report</w:t>
      </w:r>
      <w:r w:rsidR="00DD4DF9">
        <w:rPr>
          <w:lang w:val="en-GB"/>
        </w:rPr>
        <w:t>ed</w:t>
      </w:r>
      <w:r w:rsidRPr="00610B49">
        <w:rPr>
          <w:lang w:val="en-GB"/>
        </w:rPr>
        <w:t xml:space="preserve"> that the most probable value of the α</w:t>
      </w:r>
      <w:r w:rsidRPr="00610B49">
        <w:rPr>
          <w:vertAlign w:val="subscript"/>
          <w:lang w:val="en-GB"/>
        </w:rPr>
        <w:t xml:space="preserve">FT </w:t>
      </w:r>
      <w:r w:rsidRPr="00610B49">
        <w:rPr>
          <w:lang w:val="en-GB"/>
        </w:rPr>
        <w:t>exponent is 0.961.</w:t>
      </w:r>
    </w:p>
    <w:p w:rsidR="006460A4" w:rsidRDefault="006460A4" w:rsidP="007748EC">
      <w:pPr>
        <w:pStyle w:val="PRESBodytext"/>
        <w:rPr>
          <w:lang w:val="en-GB"/>
        </w:rPr>
      </w:pPr>
      <w:r w:rsidRPr="006460A4">
        <w:rPr>
          <w:lang w:val="en-GB"/>
        </w:rPr>
        <w:t xml:space="preserve">Bałdyga and Podgórska (1998) </w:t>
      </w:r>
      <w:r>
        <w:rPr>
          <w:lang w:val="en-GB"/>
        </w:rPr>
        <w:t>derived</w:t>
      </w:r>
      <w:r w:rsidRPr="006460A4">
        <w:rPr>
          <w:lang w:val="en-GB"/>
        </w:rPr>
        <w:t xml:space="preserve"> the relation between maximal stable drop size d</w:t>
      </w:r>
      <w:r w:rsidRPr="006460A4">
        <w:rPr>
          <w:vertAlign w:val="subscript"/>
          <w:lang w:val="en-GB"/>
        </w:rPr>
        <w:t>max</w:t>
      </w:r>
      <w:r w:rsidRPr="006460A4">
        <w:rPr>
          <w:lang w:val="en-GB"/>
        </w:rPr>
        <w:t xml:space="preserve"> in dilute non-coalescing liquid-liquid dispersion for drop breaking </w:t>
      </w:r>
      <w:r>
        <w:rPr>
          <w:lang w:val="en-GB"/>
        </w:rPr>
        <w:t xml:space="preserve">that occurs in </w:t>
      </w:r>
      <w:r w:rsidRPr="006460A4">
        <w:rPr>
          <w:lang w:val="en-GB"/>
        </w:rPr>
        <w:t>the inertial subrange of turbulen</w:t>
      </w:r>
      <w:r>
        <w:rPr>
          <w:lang w:val="en-GB"/>
        </w:rPr>
        <w:t>ce</w:t>
      </w:r>
      <w:r w:rsidRPr="006460A4">
        <w:rPr>
          <w:lang w:val="en-GB"/>
        </w:rPr>
        <w:t xml:space="preserve"> and </w:t>
      </w:r>
      <w:r>
        <w:rPr>
          <w:lang w:val="en-GB"/>
        </w:rPr>
        <w:t xml:space="preserve">that takes </w:t>
      </w:r>
      <w:r w:rsidRPr="006460A4">
        <w:rPr>
          <w:lang w:val="en-GB"/>
        </w:rPr>
        <w:t>internal intermittency into account</w:t>
      </w:r>
      <w:r w:rsidR="007748EC">
        <w:rPr>
          <w:lang w:val="en-GB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7"/>
        <w:gridCol w:w="800"/>
      </w:tblGrid>
      <w:tr w:rsidR="006460A4" w:rsidRPr="00B57B36" w:rsidTr="006460A4">
        <w:tc>
          <w:tcPr>
            <w:tcW w:w="7987" w:type="dxa"/>
            <w:shd w:val="clear" w:color="auto" w:fill="auto"/>
            <w:vAlign w:val="center"/>
          </w:tcPr>
          <w:p w:rsidR="006460A4" w:rsidRPr="00DF0673" w:rsidRDefault="00E50574" w:rsidP="00340C8C">
            <w:pPr>
              <w:pStyle w:val="CETBodytext"/>
              <w:spacing w:before="120" w:after="120"/>
              <w:rPr>
                <w:lang w:val="en-GB"/>
              </w:rPr>
            </w:pPr>
            <w:r w:rsidRPr="00A37561">
              <w:rPr>
                <w:position w:val="-24"/>
              </w:rPr>
              <w:object w:dxaOrig="3379" w:dyaOrig="1020">
                <v:shape id="_x0000_i1027" type="#_x0000_t75" style="width:130.15pt;height:39.7pt" o:ole="" fillcolor="window">
                  <v:imagedata r:id="rId14" o:title=""/>
                </v:shape>
                <o:OLEObject Type="Embed" ProgID="Equation.3" ShapeID="_x0000_i1027" DrawAspect="Content" ObjectID="_1798969875" r:id="rId15"/>
              </w:objec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460A4" w:rsidRPr="00B57B36" w:rsidRDefault="006460A4" w:rsidP="007748EC">
            <w:pPr>
              <w:pStyle w:val="CETEquation"/>
              <w:jc w:val="right"/>
            </w:pPr>
            <w:r w:rsidRPr="00B57B36">
              <w:t>(</w:t>
            </w:r>
            <w:r w:rsidR="007748EC">
              <w:t>3</w:t>
            </w:r>
            <w:r w:rsidRPr="00B57B36">
              <w:t>)</w:t>
            </w:r>
          </w:p>
        </w:tc>
      </w:tr>
    </w:tbl>
    <w:p w:rsidR="006460A4" w:rsidRDefault="006460A4" w:rsidP="006460A4">
      <w:pPr>
        <w:pStyle w:val="PRESBodytext"/>
        <w:rPr>
          <w:lang w:val="en-GB"/>
        </w:rPr>
      </w:pPr>
      <w:r>
        <w:rPr>
          <w:lang w:val="en-GB"/>
        </w:rPr>
        <w:t xml:space="preserve">where </w:t>
      </w:r>
      <w:r w:rsidRPr="006460A4">
        <w:rPr>
          <w:lang w:val="en-GB"/>
        </w:rPr>
        <w:t>α</w:t>
      </w:r>
      <w:r w:rsidRPr="006460A4">
        <w:rPr>
          <w:vertAlign w:val="subscript"/>
          <w:lang w:val="en-GB"/>
        </w:rPr>
        <w:t>FT</w:t>
      </w:r>
      <w:r w:rsidRPr="006460A4">
        <w:rPr>
          <w:lang w:val="en-GB"/>
        </w:rPr>
        <w:t xml:space="preserve"> is the multifractal exponent.</w:t>
      </w:r>
      <w:r w:rsidR="007748EC">
        <w:rPr>
          <w:lang w:val="en-GB"/>
        </w:rPr>
        <w:t xml:space="preserve"> When the </w:t>
      </w:r>
      <w:r w:rsidRPr="006460A4">
        <w:rPr>
          <w:lang w:val="en-GB"/>
        </w:rPr>
        <w:t>multifractal exponent α</w:t>
      </w:r>
      <w:r w:rsidRPr="002312FB">
        <w:rPr>
          <w:vertAlign w:val="subscript"/>
          <w:lang w:val="en-GB"/>
        </w:rPr>
        <w:t>FT</w:t>
      </w:r>
      <w:r w:rsidRPr="006460A4">
        <w:rPr>
          <w:lang w:val="en-GB"/>
        </w:rPr>
        <w:t xml:space="preserve"> </w:t>
      </w:r>
      <w:r w:rsidR="007748EC">
        <w:rPr>
          <w:lang w:val="en-GB"/>
        </w:rPr>
        <w:t>equals 1</w:t>
      </w:r>
      <w:r w:rsidRPr="006460A4">
        <w:rPr>
          <w:lang w:val="en-GB"/>
        </w:rPr>
        <w:t xml:space="preserve">, the exponent of </w:t>
      </w:r>
      <w:r w:rsidR="007A0B11">
        <w:rPr>
          <w:lang w:val="en-GB"/>
        </w:rPr>
        <w:t xml:space="preserve">the </w:t>
      </w:r>
      <w:r w:rsidR="00A37561">
        <w:rPr>
          <w:lang w:val="en-GB"/>
        </w:rPr>
        <w:t xml:space="preserve">impeller </w:t>
      </w:r>
      <w:r w:rsidRPr="006460A4">
        <w:rPr>
          <w:lang w:val="en-GB"/>
        </w:rPr>
        <w:t>Weber number in Eq(</w:t>
      </w:r>
      <w:r w:rsidR="007748EC">
        <w:rPr>
          <w:lang w:val="en-GB"/>
        </w:rPr>
        <w:t>3</w:t>
      </w:r>
      <w:r w:rsidRPr="006460A4">
        <w:rPr>
          <w:lang w:val="en-GB"/>
        </w:rPr>
        <w:t>) equal</w:t>
      </w:r>
      <w:r w:rsidR="007748EC">
        <w:rPr>
          <w:lang w:val="en-GB"/>
        </w:rPr>
        <w:t>s -0.6, thus the relation c</w:t>
      </w:r>
      <w:r w:rsidRPr="006460A4">
        <w:rPr>
          <w:lang w:val="en-GB"/>
        </w:rPr>
        <w:t xml:space="preserve">orresponds to </w:t>
      </w:r>
      <w:r w:rsidR="007A0B11">
        <w:rPr>
          <w:lang w:val="en-GB"/>
        </w:rPr>
        <w:t xml:space="preserve">the </w:t>
      </w:r>
      <w:r w:rsidRPr="006460A4">
        <w:rPr>
          <w:lang w:val="en-GB"/>
        </w:rPr>
        <w:t xml:space="preserve">Hinze-Kolmogorov theory assuming </w:t>
      </w:r>
      <w:r w:rsidR="00DD4DF9">
        <w:rPr>
          <w:lang w:val="en-GB"/>
        </w:rPr>
        <w:t xml:space="preserve">a </w:t>
      </w:r>
      <w:r w:rsidRPr="006460A4">
        <w:rPr>
          <w:lang w:val="en-GB"/>
        </w:rPr>
        <w:t>local isotropy state</w:t>
      </w:r>
      <w:r w:rsidR="00925B87">
        <w:rPr>
          <w:lang w:val="en-GB"/>
        </w:rPr>
        <w:t xml:space="preserve"> (</w:t>
      </w:r>
      <w:r w:rsidR="00925B87" w:rsidRPr="006460A4">
        <w:rPr>
          <w:lang w:val="en-GB"/>
        </w:rPr>
        <w:t>Bałdyga and Podgórska</w:t>
      </w:r>
      <w:r w:rsidR="00925B87">
        <w:rPr>
          <w:lang w:val="en-GB"/>
        </w:rPr>
        <w:t xml:space="preserve">, </w:t>
      </w:r>
      <w:r w:rsidR="00925B87" w:rsidRPr="006460A4">
        <w:rPr>
          <w:lang w:val="en-GB"/>
        </w:rPr>
        <w:t>1998)</w:t>
      </w:r>
      <w:r w:rsidR="00925B87" w:rsidRPr="003B27E6">
        <w:rPr>
          <w:lang w:val="en-GB"/>
        </w:rPr>
        <w:t>.</w:t>
      </w:r>
      <w:r w:rsidRPr="006460A4">
        <w:rPr>
          <w:lang w:val="en-GB"/>
        </w:rPr>
        <w:t xml:space="preserve"> </w:t>
      </w:r>
    </w:p>
    <w:p w:rsidR="00B14CB2" w:rsidRDefault="006460A4" w:rsidP="006460A4">
      <w:pPr>
        <w:pStyle w:val="PRESBodytext"/>
        <w:rPr>
          <w:lang w:val="en-GB"/>
        </w:rPr>
      </w:pPr>
      <w:r w:rsidRPr="006460A4">
        <w:rPr>
          <w:lang w:val="en-GB"/>
        </w:rPr>
        <w:t>The question arises</w:t>
      </w:r>
      <w:r w:rsidR="00DD4DF9">
        <w:rPr>
          <w:lang w:val="en-GB"/>
        </w:rPr>
        <w:t xml:space="preserve"> of</w:t>
      </w:r>
      <w:r w:rsidRPr="006460A4">
        <w:rPr>
          <w:lang w:val="en-GB"/>
        </w:rPr>
        <w:t xml:space="preserve"> how to determine </w:t>
      </w:r>
      <w:r w:rsidR="00DD4DF9">
        <w:rPr>
          <w:lang w:val="en-GB"/>
        </w:rPr>
        <w:t xml:space="preserve">the </w:t>
      </w:r>
      <w:r w:rsidRPr="006460A4">
        <w:rPr>
          <w:lang w:val="en-GB"/>
        </w:rPr>
        <w:t>maximum drop size, d</w:t>
      </w:r>
      <w:r w:rsidRPr="00EF15FC">
        <w:rPr>
          <w:vertAlign w:val="subscript"/>
          <w:lang w:val="en-GB"/>
        </w:rPr>
        <w:t>max</w:t>
      </w:r>
      <w:r w:rsidR="007748EC">
        <w:rPr>
          <w:lang w:val="en-GB"/>
        </w:rPr>
        <w:t xml:space="preserve">, and whether </w:t>
      </w:r>
      <w:r w:rsidR="007748EC" w:rsidRPr="007748EC">
        <w:rPr>
          <w:lang w:val="en-GB"/>
        </w:rPr>
        <w:t xml:space="preserve">the </w:t>
      </w:r>
      <w:r w:rsidR="007748EC">
        <w:rPr>
          <w:lang w:val="en-GB"/>
        </w:rPr>
        <w:t>d</w:t>
      </w:r>
      <w:r w:rsidR="007748EC" w:rsidRPr="007748EC">
        <w:rPr>
          <w:vertAlign w:val="subscript"/>
          <w:lang w:val="en-GB"/>
        </w:rPr>
        <w:t>32</w:t>
      </w:r>
      <w:r w:rsidR="007748EC">
        <w:rPr>
          <w:lang w:val="en-GB"/>
        </w:rPr>
        <w:t>/d</w:t>
      </w:r>
      <w:r w:rsidR="007748EC" w:rsidRPr="007748EC">
        <w:rPr>
          <w:vertAlign w:val="subscript"/>
          <w:lang w:val="en-GB"/>
        </w:rPr>
        <w:t>max</w:t>
      </w:r>
      <w:r w:rsidR="007748EC">
        <w:rPr>
          <w:lang w:val="en-GB"/>
        </w:rPr>
        <w:t xml:space="preserve"> ratio is </w:t>
      </w:r>
      <w:r w:rsidR="005C0E35">
        <w:rPr>
          <w:lang w:val="en-GB"/>
        </w:rPr>
        <w:t>constant as assumed</w:t>
      </w:r>
      <w:r w:rsidR="007748EC">
        <w:rPr>
          <w:lang w:val="en-GB"/>
        </w:rPr>
        <w:t>.</w:t>
      </w:r>
      <w:r w:rsidRPr="006460A4">
        <w:rPr>
          <w:lang w:val="en-GB"/>
        </w:rPr>
        <w:t xml:space="preserve"> </w:t>
      </w:r>
      <w:r w:rsidR="0055667C" w:rsidRPr="0055667C">
        <w:rPr>
          <w:lang w:val="en-GB"/>
        </w:rPr>
        <w:t>Formánek and Šulc (2022)</w:t>
      </w:r>
      <w:r w:rsidR="0055667C">
        <w:rPr>
          <w:lang w:val="en-GB"/>
        </w:rPr>
        <w:t xml:space="preserve"> tested</w:t>
      </w:r>
      <w:r w:rsidR="006906B0" w:rsidRPr="006906B0">
        <w:t xml:space="preserve"> </w:t>
      </w:r>
      <w:r w:rsidR="006906B0" w:rsidRPr="006906B0">
        <w:rPr>
          <w:lang w:val="en-GB"/>
        </w:rPr>
        <w:t>different ways of estimating d</w:t>
      </w:r>
      <w:r w:rsidR="006906B0" w:rsidRPr="006906B0">
        <w:rPr>
          <w:vertAlign w:val="subscript"/>
          <w:lang w:val="en-GB"/>
        </w:rPr>
        <w:t>max</w:t>
      </w:r>
      <w:r w:rsidR="006906B0" w:rsidRPr="006906B0">
        <w:rPr>
          <w:lang w:val="en-GB"/>
        </w:rPr>
        <w:t xml:space="preserve"> u</w:t>
      </w:r>
      <w:r w:rsidR="00DD4DF9">
        <w:rPr>
          <w:lang w:val="en-GB"/>
        </w:rPr>
        <w:t>sing</w:t>
      </w:r>
      <w:r w:rsidR="006906B0" w:rsidRPr="006906B0">
        <w:rPr>
          <w:lang w:val="en-GB"/>
        </w:rPr>
        <w:t xml:space="preserve"> the cumulative </w:t>
      </w:r>
      <w:r w:rsidR="006906B0" w:rsidRPr="006460A4">
        <w:rPr>
          <w:lang w:val="en-GB"/>
        </w:rPr>
        <w:t>frequency</w:t>
      </w:r>
      <w:r w:rsidR="006906B0" w:rsidRPr="006906B0">
        <w:rPr>
          <w:lang w:val="en-GB"/>
        </w:rPr>
        <w:t xml:space="preserve"> </w:t>
      </w:r>
      <w:r w:rsidR="005C0E35">
        <w:rPr>
          <w:lang w:val="en-GB"/>
        </w:rPr>
        <w:t xml:space="preserve">drop size </w:t>
      </w:r>
      <w:r w:rsidR="006906B0" w:rsidRPr="006906B0">
        <w:rPr>
          <w:lang w:val="en-GB"/>
        </w:rPr>
        <w:t>distribution</w:t>
      </w:r>
      <w:r w:rsidR="006906B0">
        <w:rPr>
          <w:lang w:val="en-GB"/>
        </w:rPr>
        <w:t xml:space="preserve">. Subsequently, the </w:t>
      </w:r>
      <w:r w:rsidR="006906B0" w:rsidRPr="006906B0">
        <w:rPr>
          <w:lang w:val="en-GB"/>
        </w:rPr>
        <w:t xml:space="preserve">multifractal exponents </w:t>
      </w:r>
      <w:r w:rsidR="006906B0" w:rsidRPr="006906B0">
        <w:rPr>
          <w:rFonts w:ascii="Symbol" w:hAnsi="Symbol"/>
          <w:lang w:val="en-GB"/>
        </w:rPr>
        <w:t></w:t>
      </w:r>
      <w:r w:rsidR="006906B0" w:rsidRPr="006906B0">
        <w:rPr>
          <w:vertAlign w:val="subscript"/>
          <w:lang w:val="en-GB"/>
        </w:rPr>
        <w:t>FT</w:t>
      </w:r>
      <w:r w:rsidR="006906B0" w:rsidRPr="006906B0">
        <w:rPr>
          <w:lang w:val="en-GB"/>
        </w:rPr>
        <w:t xml:space="preserve"> </w:t>
      </w:r>
      <w:r w:rsidR="006906B0">
        <w:rPr>
          <w:lang w:val="en-GB"/>
        </w:rPr>
        <w:t>were determined using Eq(</w:t>
      </w:r>
      <w:r w:rsidR="00596546">
        <w:rPr>
          <w:lang w:val="en-GB"/>
        </w:rPr>
        <w:t>3</w:t>
      </w:r>
      <w:r w:rsidR="006906B0">
        <w:rPr>
          <w:lang w:val="en-GB"/>
        </w:rPr>
        <w:t>). The</w:t>
      </w:r>
      <w:r w:rsidR="00B14CB2">
        <w:rPr>
          <w:lang w:val="en-GB"/>
        </w:rPr>
        <w:t xml:space="preserve"> </w:t>
      </w:r>
      <w:r w:rsidR="00DD4DF9">
        <w:rPr>
          <w:lang w:val="en-GB"/>
        </w:rPr>
        <w:t xml:space="preserve">proposed </w:t>
      </w:r>
      <w:r w:rsidR="00B14CB2">
        <w:rPr>
          <w:lang w:val="en-GB"/>
        </w:rPr>
        <w:t xml:space="preserve">methodology was applied for </w:t>
      </w:r>
      <w:r w:rsidR="007A0B11">
        <w:rPr>
          <w:lang w:val="en-GB"/>
        </w:rPr>
        <w:t xml:space="preserve">the </w:t>
      </w:r>
      <w:r w:rsidR="00B14CB2">
        <w:rPr>
          <w:lang w:val="en-GB"/>
        </w:rPr>
        <w:t xml:space="preserve">model </w:t>
      </w:r>
      <w:r w:rsidR="005C0E35">
        <w:rPr>
          <w:lang w:val="en-GB"/>
        </w:rPr>
        <w:t xml:space="preserve">dispersion </w:t>
      </w:r>
      <w:r w:rsidR="00B14CB2">
        <w:rPr>
          <w:lang w:val="en-GB"/>
        </w:rPr>
        <w:t>of silicone oil</w:t>
      </w:r>
      <w:r w:rsidR="005C0E35">
        <w:rPr>
          <w:lang w:val="en-GB"/>
        </w:rPr>
        <w:t xml:space="preserve"> and </w:t>
      </w:r>
      <w:r w:rsidR="00B14CB2">
        <w:rPr>
          <w:lang w:val="en-GB"/>
        </w:rPr>
        <w:t>distilled water agitated by a Rushton turbine. They reported that t</w:t>
      </w:r>
      <w:r w:rsidR="00B14CB2" w:rsidRPr="006906B0">
        <w:rPr>
          <w:lang w:val="en-GB"/>
        </w:rPr>
        <w:t>he correct determination of</w:t>
      </w:r>
      <w:r w:rsidR="00DD4DF9">
        <w:rPr>
          <w:lang w:val="en-GB"/>
        </w:rPr>
        <w:t xml:space="preserve"> the</w:t>
      </w:r>
      <w:r w:rsidR="00B14CB2" w:rsidRPr="006906B0">
        <w:rPr>
          <w:lang w:val="en-GB"/>
        </w:rPr>
        <w:t xml:space="preserve"> maximum drop size is a crucial factor for the correct estimation of </w:t>
      </w:r>
      <w:r w:rsidR="00DD4DF9">
        <w:rPr>
          <w:lang w:val="en-GB"/>
        </w:rPr>
        <w:t xml:space="preserve">the </w:t>
      </w:r>
      <w:r w:rsidR="00B14CB2" w:rsidRPr="006906B0">
        <w:rPr>
          <w:lang w:val="en-GB"/>
        </w:rPr>
        <w:t xml:space="preserve">multifractal exponent </w:t>
      </w:r>
      <w:r w:rsidR="00B14CB2" w:rsidRPr="006906B0">
        <w:rPr>
          <w:rFonts w:ascii="Symbol" w:hAnsi="Symbol"/>
          <w:lang w:val="en-GB"/>
        </w:rPr>
        <w:t></w:t>
      </w:r>
      <w:r w:rsidR="00B14CB2" w:rsidRPr="006906B0">
        <w:rPr>
          <w:vertAlign w:val="subscript"/>
          <w:lang w:val="en-GB"/>
        </w:rPr>
        <w:t>FT</w:t>
      </w:r>
      <w:r w:rsidR="00B14CB2" w:rsidRPr="006906B0">
        <w:rPr>
          <w:lang w:val="en-GB"/>
        </w:rPr>
        <w:t>.</w:t>
      </w:r>
      <w:r w:rsidR="00B14CB2">
        <w:rPr>
          <w:lang w:val="en-GB"/>
        </w:rPr>
        <w:t xml:space="preserve"> The </w:t>
      </w:r>
      <w:r w:rsidR="005C0E35" w:rsidRPr="006906B0">
        <w:rPr>
          <w:rFonts w:ascii="Symbol" w:hAnsi="Symbol"/>
          <w:lang w:val="en-GB"/>
        </w:rPr>
        <w:t></w:t>
      </w:r>
      <w:r w:rsidR="005C0E35" w:rsidRPr="006906B0">
        <w:rPr>
          <w:vertAlign w:val="subscript"/>
          <w:lang w:val="en-GB"/>
        </w:rPr>
        <w:t>FT</w:t>
      </w:r>
      <w:r w:rsidR="005C0E35">
        <w:rPr>
          <w:lang w:val="en-GB"/>
        </w:rPr>
        <w:t xml:space="preserve"> </w:t>
      </w:r>
      <w:r w:rsidR="00B14CB2">
        <w:rPr>
          <w:lang w:val="en-GB"/>
        </w:rPr>
        <w:t xml:space="preserve">values were determined in two regions close to the impeller and one region outside the impeller. </w:t>
      </w:r>
      <w:r w:rsidR="00B14CB2" w:rsidRPr="0055667C">
        <w:rPr>
          <w:lang w:val="en-GB"/>
        </w:rPr>
        <w:t xml:space="preserve">The </w:t>
      </w:r>
      <w:r w:rsidR="00B14CB2" w:rsidRPr="0055667C">
        <w:rPr>
          <w:rFonts w:ascii="Symbol" w:hAnsi="Symbol"/>
          <w:lang w:val="en-GB"/>
        </w:rPr>
        <w:t></w:t>
      </w:r>
      <w:r w:rsidR="00B14CB2" w:rsidRPr="0055667C">
        <w:rPr>
          <w:vertAlign w:val="subscript"/>
          <w:lang w:val="en-GB"/>
        </w:rPr>
        <w:t>FT</w:t>
      </w:r>
      <w:r w:rsidR="00B14CB2" w:rsidRPr="0055667C">
        <w:rPr>
          <w:lang w:val="en-GB"/>
        </w:rPr>
        <w:t xml:space="preserve">  value</w:t>
      </w:r>
      <w:r w:rsidR="00B14CB2">
        <w:rPr>
          <w:lang w:val="en-GB"/>
        </w:rPr>
        <w:t>s</w:t>
      </w:r>
      <w:r w:rsidR="00B14CB2" w:rsidRPr="0055667C">
        <w:rPr>
          <w:lang w:val="en-GB"/>
        </w:rPr>
        <w:t xml:space="preserve"> of approx. 0.73 </w:t>
      </w:r>
      <w:r w:rsidR="00B14CB2">
        <w:rPr>
          <w:lang w:val="en-GB"/>
        </w:rPr>
        <w:t xml:space="preserve">and 0.81 </w:t>
      </w:r>
      <w:r w:rsidR="00B14CB2" w:rsidRPr="0055667C">
        <w:rPr>
          <w:lang w:val="en-GB"/>
        </w:rPr>
        <w:t>w</w:t>
      </w:r>
      <w:r w:rsidR="00B14CB2">
        <w:rPr>
          <w:lang w:val="en-GB"/>
        </w:rPr>
        <w:t>ere</w:t>
      </w:r>
      <w:r w:rsidR="00B14CB2" w:rsidRPr="0055667C">
        <w:rPr>
          <w:lang w:val="en-GB"/>
        </w:rPr>
        <w:t xml:space="preserve"> found for regions </w:t>
      </w:r>
      <w:r w:rsidR="00B14CB2">
        <w:rPr>
          <w:lang w:val="en-GB"/>
        </w:rPr>
        <w:t>close to the impeller and the region outside the impeller, respectively.</w:t>
      </w:r>
    </w:p>
    <w:p w:rsidR="00B14CB2" w:rsidRDefault="00B14CB2" w:rsidP="006460A4">
      <w:pPr>
        <w:pStyle w:val="PRESBodytext"/>
        <w:rPr>
          <w:lang w:val="en-GB"/>
        </w:rPr>
      </w:pPr>
      <w:r>
        <w:rPr>
          <w:lang w:val="en-GB"/>
        </w:rPr>
        <w:t xml:space="preserve">The contribution aims to apply the procedure proposed by </w:t>
      </w:r>
      <w:r w:rsidRPr="0055667C">
        <w:rPr>
          <w:lang w:val="en-GB"/>
        </w:rPr>
        <w:t>Formánek and Šulc (2022)</w:t>
      </w:r>
      <w:r>
        <w:rPr>
          <w:lang w:val="en-GB"/>
        </w:rPr>
        <w:t xml:space="preserve"> and to analyse the </w:t>
      </w:r>
      <w:r w:rsidRPr="006906B0">
        <w:rPr>
          <w:lang w:val="en-GB"/>
        </w:rPr>
        <w:t xml:space="preserve">multifractal exponent </w:t>
      </w:r>
      <w:r w:rsidRPr="006906B0">
        <w:rPr>
          <w:rFonts w:ascii="Symbol" w:hAnsi="Symbol"/>
          <w:lang w:val="en-GB"/>
        </w:rPr>
        <w:t></w:t>
      </w:r>
      <w:r w:rsidRPr="006906B0">
        <w:rPr>
          <w:vertAlign w:val="subscript"/>
          <w:lang w:val="en-GB"/>
        </w:rPr>
        <w:t>FT</w:t>
      </w:r>
      <w:r>
        <w:rPr>
          <w:lang w:val="en-GB"/>
        </w:rPr>
        <w:t xml:space="preserve"> in the model system of silicone oil and distilled water agitated by a high-shear sawtooth impeller using experimental data obtained in our previous work (</w:t>
      </w:r>
      <w:r w:rsidR="0096068C">
        <w:rPr>
          <w:lang w:val="en-GB"/>
        </w:rPr>
        <w:t xml:space="preserve">Formánek and Šulc, 2020). </w:t>
      </w:r>
      <w:r>
        <w:rPr>
          <w:lang w:val="en-GB"/>
        </w:rPr>
        <w:t xml:space="preserve">Finally, the </w:t>
      </w:r>
      <w:r w:rsidR="0096068C">
        <w:rPr>
          <w:lang w:val="en-GB"/>
        </w:rPr>
        <w:t>relation</w:t>
      </w:r>
      <w:r w:rsidR="00DD4DF9">
        <w:rPr>
          <w:lang w:val="en-GB"/>
        </w:rPr>
        <w:t>ship</w:t>
      </w:r>
      <w:r w:rsidR="0096068C">
        <w:rPr>
          <w:lang w:val="en-GB"/>
        </w:rPr>
        <w:t xml:space="preserve"> between </w:t>
      </w:r>
      <w:r w:rsidR="00DD4DF9">
        <w:rPr>
          <w:lang w:val="en-GB"/>
        </w:rPr>
        <w:t xml:space="preserve">the </w:t>
      </w:r>
      <w:r w:rsidR="0096068C">
        <w:rPr>
          <w:lang w:val="en-GB"/>
        </w:rPr>
        <w:t>Sauter mean diameter d</w:t>
      </w:r>
      <w:r w:rsidR="0096068C" w:rsidRPr="0096068C">
        <w:rPr>
          <w:vertAlign w:val="subscript"/>
          <w:lang w:val="en-GB"/>
        </w:rPr>
        <w:t>32</w:t>
      </w:r>
      <w:r w:rsidR="0096068C">
        <w:rPr>
          <w:lang w:val="en-GB"/>
        </w:rPr>
        <w:t xml:space="preserve"> and </w:t>
      </w:r>
      <w:r w:rsidR="00DD4DF9">
        <w:rPr>
          <w:lang w:val="en-GB"/>
        </w:rPr>
        <w:t xml:space="preserve">the </w:t>
      </w:r>
      <w:r w:rsidR="0096068C">
        <w:rPr>
          <w:lang w:val="en-GB"/>
        </w:rPr>
        <w:t>maximum drop size d</w:t>
      </w:r>
      <w:r w:rsidR="0096068C" w:rsidRPr="0096068C">
        <w:rPr>
          <w:vertAlign w:val="subscript"/>
          <w:lang w:val="en-GB"/>
        </w:rPr>
        <w:t>max</w:t>
      </w:r>
      <w:r w:rsidR="0096068C">
        <w:rPr>
          <w:lang w:val="en-GB"/>
        </w:rPr>
        <w:t xml:space="preserve"> was investigated. </w:t>
      </w:r>
    </w:p>
    <w:p w:rsidR="00600535" w:rsidRPr="00B57B36" w:rsidRDefault="00D90B61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Methods</w:t>
      </w:r>
    </w:p>
    <w:p w:rsidR="00600535" w:rsidRPr="00B57B36" w:rsidRDefault="00D90B61" w:rsidP="00FA5F5F">
      <w:pPr>
        <w:pStyle w:val="CETheadingx"/>
      </w:pPr>
      <w:r>
        <w:t>Experimental set-up</w:t>
      </w:r>
    </w:p>
    <w:p w:rsidR="00721536" w:rsidRDefault="00947B0C" w:rsidP="00DB07B3">
      <w:pPr>
        <w:pStyle w:val="CETBodytext"/>
        <w:rPr>
          <w:szCs w:val="18"/>
        </w:rPr>
      </w:pPr>
      <w:r w:rsidRPr="00947B0C">
        <w:rPr>
          <w:szCs w:val="18"/>
        </w:rPr>
        <w:t xml:space="preserve">The experiments were </w:t>
      </w:r>
      <w:r w:rsidR="00DD4DF9">
        <w:rPr>
          <w:szCs w:val="18"/>
        </w:rPr>
        <w:t>carried out</w:t>
      </w:r>
      <w:r w:rsidRPr="00947B0C">
        <w:rPr>
          <w:szCs w:val="18"/>
        </w:rPr>
        <w:t xml:space="preserve"> in the fully baffled cylindrical vessel with flat bottom. </w:t>
      </w:r>
      <w:r w:rsidR="002F53B3" w:rsidRPr="00947B0C">
        <w:rPr>
          <w:szCs w:val="18"/>
        </w:rPr>
        <w:t xml:space="preserve">An immiscible liquid system of distilled water and silicone oil (Wacker AP200) was agitated by a </w:t>
      </w:r>
      <w:r w:rsidRPr="00947B0C">
        <w:rPr>
          <w:szCs w:val="18"/>
        </w:rPr>
        <w:t>high-shear sawtooth impeller</w:t>
      </w:r>
      <w:r w:rsidR="00583BF4">
        <w:rPr>
          <w:szCs w:val="18"/>
        </w:rPr>
        <w:t xml:space="preserve">. The physical properties of </w:t>
      </w:r>
      <w:r w:rsidR="007A0B11">
        <w:rPr>
          <w:szCs w:val="18"/>
        </w:rPr>
        <w:t xml:space="preserve">the </w:t>
      </w:r>
      <w:r w:rsidR="00583BF4" w:rsidRPr="00947B0C">
        <w:rPr>
          <w:szCs w:val="18"/>
        </w:rPr>
        <w:t xml:space="preserve">immiscible liquid system </w:t>
      </w:r>
      <w:r w:rsidR="003665DE">
        <w:rPr>
          <w:szCs w:val="18"/>
        </w:rPr>
        <w:t>investigated</w:t>
      </w:r>
      <w:r w:rsidR="00583BF4">
        <w:rPr>
          <w:szCs w:val="18"/>
        </w:rPr>
        <w:t xml:space="preserve"> are presented in Table 2.</w:t>
      </w:r>
      <w:r w:rsidR="002F53B3" w:rsidRPr="00947B0C">
        <w:rPr>
          <w:szCs w:val="18"/>
        </w:rPr>
        <w:t xml:space="preserve"> The vessel was </w:t>
      </w:r>
      <w:r w:rsidR="004B3FB6">
        <w:rPr>
          <w:szCs w:val="18"/>
        </w:rPr>
        <w:t>placed</w:t>
      </w:r>
      <w:r w:rsidR="002F53B3" w:rsidRPr="00947B0C">
        <w:rPr>
          <w:szCs w:val="18"/>
        </w:rPr>
        <w:t xml:space="preserve"> in the square optical box </w:t>
      </w:r>
      <w:r w:rsidR="007A0B11">
        <w:rPr>
          <w:szCs w:val="18"/>
        </w:rPr>
        <w:t>which</w:t>
      </w:r>
      <w:r w:rsidR="002F53B3" w:rsidRPr="00947B0C">
        <w:rPr>
          <w:szCs w:val="18"/>
        </w:rPr>
        <w:t xml:space="preserve"> eliminates the image distortion. </w:t>
      </w:r>
      <w:r w:rsidR="00721536">
        <w:rPr>
          <w:szCs w:val="18"/>
        </w:rPr>
        <w:t xml:space="preserve">The droplet sizes were measured in-situ by </w:t>
      </w:r>
      <w:r w:rsidR="00721536" w:rsidRPr="00947B0C">
        <w:rPr>
          <w:szCs w:val="18"/>
        </w:rPr>
        <w:t>non-intrusive optical method</w:t>
      </w:r>
      <w:r w:rsidR="00721536">
        <w:rPr>
          <w:szCs w:val="18"/>
        </w:rPr>
        <w:t xml:space="preserve"> in three different regions. </w:t>
      </w:r>
      <w:r w:rsidRPr="00947B0C">
        <w:rPr>
          <w:szCs w:val="18"/>
        </w:rPr>
        <w:t>The experimental device arrangement</w:t>
      </w:r>
      <w:r w:rsidR="00721536">
        <w:rPr>
          <w:szCs w:val="18"/>
        </w:rPr>
        <w:t xml:space="preserve"> and </w:t>
      </w:r>
      <w:r w:rsidR="00721536" w:rsidRPr="00947B0C">
        <w:rPr>
          <w:szCs w:val="18"/>
        </w:rPr>
        <w:t>placement of the regions of interest</w:t>
      </w:r>
      <w:r w:rsidR="00583BF4">
        <w:rPr>
          <w:szCs w:val="18"/>
        </w:rPr>
        <w:t xml:space="preserve"> </w:t>
      </w:r>
      <w:r w:rsidR="00721536" w:rsidRPr="00947B0C">
        <w:rPr>
          <w:szCs w:val="18"/>
        </w:rPr>
        <w:t>are shown in Figure 1</w:t>
      </w:r>
      <w:r w:rsidR="00721536">
        <w:rPr>
          <w:szCs w:val="18"/>
        </w:rPr>
        <w:t xml:space="preserve">. </w:t>
      </w:r>
      <w:r w:rsidR="007E6C24">
        <w:rPr>
          <w:szCs w:val="18"/>
        </w:rPr>
        <w:t>Detailed data are presented in Formánek and Šulc (2020</w:t>
      </w:r>
      <w:r w:rsidR="007E6C24" w:rsidRPr="0021702F">
        <w:rPr>
          <w:szCs w:val="18"/>
        </w:rPr>
        <w:t>).</w:t>
      </w:r>
      <w:r w:rsidR="00874CD5" w:rsidRPr="0021702F">
        <w:rPr>
          <w:szCs w:val="18"/>
        </w:rPr>
        <w:t xml:space="preserve"> Drop sizes were measured using the non-intrusive in-situ optical method</w:t>
      </w:r>
      <w:r w:rsidR="00B309F8" w:rsidRPr="0021702F">
        <w:rPr>
          <w:szCs w:val="18"/>
        </w:rPr>
        <w:t xml:space="preserve"> via image analysis from images</w:t>
      </w:r>
      <w:r w:rsidR="008C693D" w:rsidRPr="0021702F">
        <w:rPr>
          <w:szCs w:val="18"/>
        </w:rPr>
        <w:t xml:space="preserve"> captured by a digital camera in a plane illuminated by a light</w:t>
      </w:r>
      <w:r w:rsidR="00392441" w:rsidRPr="0021702F">
        <w:rPr>
          <w:szCs w:val="18"/>
        </w:rPr>
        <w:t>. Drop boundary was identified using pixel shade gradient method (</w:t>
      </w:r>
      <w:r w:rsidR="00B309F8" w:rsidRPr="0021702F">
        <w:rPr>
          <w:szCs w:val="18"/>
        </w:rPr>
        <w:t>Formanek et al, 2019)</w:t>
      </w:r>
      <w:r w:rsidR="00874CD5" w:rsidRPr="0021702F">
        <w:rPr>
          <w:szCs w:val="18"/>
        </w:rPr>
        <w:t xml:space="preserve">. The resolution deviation was less </w:t>
      </w:r>
      <w:r w:rsidR="00C34697" w:rsidRPr="0021702F">
        <w:rPr>
          <w:szCs w:val="18"/>
        </w:rPr>
        <w:t>than 0.01 % (Formánek and Šulc, 2020).</w:t>
      </w:r>
    </w:p>
    <w:p w:rsidR="00DB07B3" w:rsidRDefault="00DB07B3" w:rsidP="00DB07B3">
      <w:pPr>
        <w:pStyle w:val="CETBodytext"/>
        <w:rPr>
          <w:lang w:val="en-GB"/>
        </w:rPr>
      </w:pPr>
      <w:r>
        <w:rPr>
          <w:lang w:val="en-GB"/>
        </w:rPr>
        <w:t xml:space="preserve">   </w:t>
      </w:r>
    </w:p>
    <w:tbl>
      <w:tblPr>
        <w:tblStyle w:val="Mkatabulky"/>
        <w:tblW w:w="86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5"/>
        <w:gridCol w:w="1276"/>
      </w:tblGrid>
      <w:tr w:rsidR="00FC44BC" w:rsidTr="004B3FB6">
        <w:tc>
          <w:tcPr>
            <w:tcW w:w="7405" w:type="dxa"/>
          </w:tcPr>
          <w:p w:rsidR="00FC44BC" w:rsidRDefault="00FC44BC" w:rsidP="007D78CE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9576B64" wp14:editId="49BF9AF1">
                  <wp:extent cx="4486275" cy="1877075"/>
                  <wp:effectExtent l="0" t="0" r="0" b="889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paratu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63" cy="2008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C44BC" w:rsidRDefault="00FC44BC" w:rsidP="007D78CE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Geometrical parameters</w:t>
            </w:r>
          </w:p>
          <w:p w:rsidR="00FC44BC" w:rsidRDefault="00FC44BC" w:rsidP="007D78CE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T = 300 mm</w:t>
            </w:r>
          </w:p>
          <w:p w:rsidR="00FC44BC" w:rsidRDefault="00FC44BC" w:rsidP="007D78CE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H = 300 mm</w:t>
            </w:r>
          </w:p>
          <w:p w:rsidR="00FC44BC" w:rsidRDefault="00FC44BC" w:rsidP="007D78CE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D = 100 mm</w:t>
            </w:r>
          </w:p>
          <w:p w:rsidR="00FC44BC" w:rsidRDefault="00FC44BC" w:rsidP="007D78CE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C = 75 mm</w:t>
            </w:r>
          </w:p>
          <w:p w:rsidR="004B3FB6" w:rsidRDefault="004B3FB6" w:rsidP="007D78CE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</w:p>
          <w:p w:rsidR="00FC44BC" w:rsidRDefault="004B3FB6" w:rsidP="007D78CE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Regions of interest</w:t>
            </w:r>
          </w:p>
          <w:p w:rsidR="004B3FB6" w:rsidRDefault="004B3FB6" w:rsidP="007D78CE">
            <w:pPr>
              <w:pStyle w:val="Normlnweb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= 50 mm</w:t>
            </w:r>
          </w:p>
          <w:p w:rsidR="004B3FB6" w:rsidRDefault="004B3FB6" w:rsidP="007D78CE">
            <w:pPr>
              <w:pStyle w:val="Normlnweb"/>
              <w:jc w:val="left"/>
              <w:rPr>
                <w:sz w:val="18"/>
                <w:szCs w:val="18"/>
              </w:rPr>
            </w:pPr>
            <w:r w:rsidRPr="004B3FB6">
              <w:rPr>
                <w:sz w:val="18"/>
                <w:szCs w:val="18"/>
              </w:rPr>
              <w:t>c = 70 mm</w:t>
            </w:r>
          </w:p>
          <w:p w:rsidR="004B3FB6" w:rsidRDefault="004B3FB6" w:rsidP="007D78CE">
            <w:pPr>
              <w:pStyle w:val="Normlnweb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= 55 mm</w:t>
            </w:r>
          </w:p>
          <w:p w:rsidR="00C04562" w:rsidRPr="00C04562" w:rsidRDefault="004B3FB6" w:rsidP="007D78CE">
            <w:pPr>
              <w:pStyle w:val="Normlnweb"/>
              <w:jc w:val="left"/>
              <w:rPr>
                <w:sz w:val="18"/>
                <w:szCs w:val="18"/>
              </w:rPr>
            </w:pPr>
            <w:r w:rsidRPr="004B3FB6">
              <w:rPr>
                <w:sz w:val="18"/>
                <w:szCs w:val="18"/>
              </w:rPr>
              <w:t xml:space="preserve"> f = 25 mm</w:t>
            </w:r>
          </w:p>
        </w:tc>
      </w:tr>
    </w:tbl>
    <w:p w:rsidR="00073CDC" w:rsidRPr="00365A78" w:rsidRDefault="00073CDC" w:rsidP="00073CDC">
      <w:pPr>
        <w:pStyle w:val="CETListbullets"/>
        <w:spacing w:before="240" w:after="240"/>
        <w:ind w:left="0" w:firstLine="0"/>
        <w:rPr>
          <w:i/>
        </w:rPr>
      </w:pPr>
      <w:r w:rsidRPr="00721536">
        <w:rPr>
          <w:i/>
        </w:rPr>
        <w:t xml:space="preserve">Figure 1: </w:t>
      </w:r>
      <w:r w:rsidR="00721536" w:rsidRPr="00721536">
        <w:rPr>
          <w:i/>
        </w:rPr>
        <w:t>The experimental device a</w:t>
      </w:r>
      <w:r w:rsidR="002F53B3" w:rsidRPr="00721536">
        <w:rPr>
          <w:i/>
        </w:rPr>
        <w:t>rrangement</w:t>
      </w:r>
    </w:p>
    <w:p w:rsidR="00F9406B" w:rsidRDefault="00F9406B" w:rsidP="00F9406B">
      <w:pPr>
        <w:pStyle w:val="CETTabletitle"/>
      </w:pPr>
      <w:r w:rsidRPr="00B57B36">
        <w:lastRenderedPageBreak/>
        <w:t xml:space="preserve">Table </w:t>
      </w:r>
      <w:r w:rsidR="00F8600C">
        <w:t>2</w:t>
      </w:r>
      <w:r w:rsidRPr="00B57B36">
        <w:t xml:space="preserve">: </w:t>
      </w:r>
      <w:r w:rsidR="002F53B3" w:rsidRPr="003665DE">
        <w:t>Physical properties of an immiscible liquid-liquid system</w:t>
      </w:r>
      <w:r w:rsidR="003665DE" w:rsidRPr="003665DE">
        <w:t xml:space="preserve"> investigated</w:t>
      </w:r>
      <w:r w:rsidR="008C65EB">
        <w:t xml:space="preserve"> </w:t>
      </w:r>
      <w:r w:rsidR="008C65EB" w:rsidRPr="0021702F">
        <w:t>(temperature T = 23.5°C)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0"/>
        <w:gridCol w:w="1861"/>
        <w:gridCol w:w="1842"/>
        <w:gridCol w:w="1843"/>
        <w:gridCol w:w="1843"/>
      </w:tblGrid>
      <w:tr w:rsidR="00D67EC3" w:rsidRPr="00B57B36" w:rsidTr="00D67EC3">
        <w:tc>
          <w:tcPr>
            <w:tcW w:w="140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D67EC3" w:rsidRPr="00B57B36" w:rsidRDefault="00D67EC3" w:rsidP="002830C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Phase</w:t>
            </w:r>
          </w:p>
        </w:tc>
        <w:tc>
          <w:tcPr>
            <w:tcW w:w="186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D67EC3" w:rsidRPr="00D67EC3" w:rsidRDefault="00D67EC3" w:rsidP="00D67EC3">
            <w:pPr>
              <w:pStyle w:val="CETBodytext"/>
              <w:jc w:val="center"/>
              <w:rPr>
                <w:lang w:val="en-GB"/>
              </w:rPr>
            </w:pPr>
            <w:r w:rsidRPr="00D67EC3">
              <w:rPr>
                <w:lang w:val="en-GB"/>
              </w:rPr>
              <w:t>Density</w:t>
            </w:r>
            <w:r w:rsidR="00C03346">
              <w:rPr>
                <w:lang w:val="en-GB"/>
              </w:rPr>
              <w:t xml:space="preserve"> </w:t>
            </w:r>
            <w:r w:rsidR="00C03346" w:rsidRPr="00C03346">
              <w:rPr>
                <w:vertAlign w:val="superscript"/>
                <w:lang w:val="en-GB"/>
              </w:rPr>
              <w:t>*1</w:t>
            </w:r>
          </w:p>
          <w:p w:rsidR="00D67EC3" w:rsidRPr="00B57B36" w:rsidRDefault="00D67EC3" w:rsidP="00D67EC3">
            <w:pPr>
              <w:pStyle w:val="CETBodytext"/>
              <w:jc w:val="center"/>
              <w:rPr>
                <w:lang w:val="en-GB"/>
              </w:rPr>
            </w:pPr>
            <w:r w:rsidRPr="00D67EC3">
              <w:rPr>
                <w:lang w:val="en-GB"/>
              </w:rPr>
              <w:t>(kg m</w:t>
            </w:r>
            <w:r w:rsidRPr="00D67EC3">
              <w:rPr>
                <w:vertAlign w:val="superscript"/>
                <w:lang w:val="en-GB"/>
              </w:rPr>
              <w:t>-3</w:t>
            </w:r>
            <w:r w:rsidRPr="00D67EC3">
              <w:rPr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D67EC3" w:rsidRPr="00B57B36" w:rsidRDefault="00D67EC3" w:rsidP="002830CF">
            <w:pPr>
              <w:pStyle w:val="CETBodytext"/>
              <w:jc w:val="center"/>
              <w:rPr>
                <w:lang w:val="en-GB"/>
              </w:rPr>
            </w:pPr>
            <w:r w:rsidRPr="00D67EC3">
              <w:rPr>
                <w:lang w:val="en-GB"/>
              </w:rPr>
              <w:t xml:space="preserve">Dynamic viscosity </w:t>
            </w:r>
            <w:r w:rsidR="00C03346">
              <w:rPr>
                <w:vertAlign w:val="superscript"/>
                <w:lang w:val="en-GB"/>
              </w:rPr>
              <w:t>*2</w:t>
            </w:r>
            <w:r w:rsidR="00C03346" w:rsidRPr="00D67EC3">
              <w:rPr>
                <w:lang w:val="en-GB"/>
              </w:rPr>
              <w:t xml:space="preserve"> </w:t>
            </w:r>
            <w:r w:rsidRPr="00D67EC3">
              <w:rPr>
                <w:lang w:val="en-GB"/>
              </w:rPr>
              <w:t>(mPa s)</w:t>
            </w:r>
          </w:p>
        </w:tc>
        <w:tc>
          <w:tcPr>
            <w:tcW w:w="184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D67EC3" w:rsidRPr="00D67EC3" w:rsidRDefault="00D67EC3" w:rsidP="00D67EC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67EC3">
              <w:rPr>
                <w:rFonts w:cs="Arial"/>
                <w:szCs w:val="18"/>
                <w:lang w:val="en-GB"/>
              </w:rPr>
              <w:t xml:space="preserve">Surface tension </w:t>
            </w:r>
            <w:r w:rsidR="00C03346">
              <w:rPr>
                <w:vertAlign w:val="superscript"/>
                <w:lang w:val="en-GB"/>
              </w:rPr>
              <w:t>*3</w:t>
            </w:r>
          </w:p>
          <w:p w:rsidR="00D67EC3" w:rsidRPr="00B57B36" w:rsidRDefault="00D67EC3" w:rsidP="00D67EC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67EC3">
              <w:rPr>
                <w:rFonts w:cs="Arial"/>
                <w:szCs w:val="18"/>
                <w:lang w:val="en-GB"/>
              </w:rPr>
              <w:t>(mN m</w:t>
            </w:r>
            <w:r w:rsidRPr="00D67EC3">
              <w:rPr>
                <w:rFonts w:cs="Arial"/>
                <w:szCs w:val="18"/>
                <w:vertAlign w:val="superscript"/>
                <w:lang w:val="en-GB"/>
              </w:rPr>
              <w:t>-1</w:t>
            </w:r>
            <w:r w:rsidRPr="00D67EC3">
              <w:rPr>
                <w:rFonts w:cs="Arial"/>
                <w:szCs w:val="18"/>
                <w:lang w:val="en-GB"/>
              </w:rPr>
              <w:t>)</w:t>
            </w:r>
          </w:p>
        </w:tc>
        <w:tc>
          <w:tcPr>
            <w:tcW w:w="184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D67EC3" w:rsidRPr="00D67EC3" w:rsidRDefault="00D67EC3" w:rsidP="00D67EC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67EC3">
              <w:rPr>
                <w:rFonts w:cs="Arial"/>
                <w:szCs w:val="18"/>
                <w:lang w:val="en-GB"/>
              </w:rPr>
              <w:t>Volumetric fraction</w:t>
            </w:r>
          </w:p>
          <w:p w:rsidR="00D67EC3" w:rsidRPr="00B57B36" w:rsidRDefault="00D67EC3" w:rsidP="00D67EC3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 w:rsidRPr="00D67EC3">
              <w:rPr>
                <w:rFonts w:cs="Arial"/>
                <w:szCs w:val="18"/>
                <w:lang w:val="en-GB"/>
              </w:rPr>
              <w:t>(-)</w:t>
            </w:r>
          </w:p>
        </w:tc>
      </w:tr>
      <w:tr w:rsidR="00D67EC3" w:rsidRPr="00031EC5" w:rsidTr="00D67EC3">
        <w:tc>
          <w:tcPr>
            <w:tcW w:w="1400" w:type="dxa"/>
            <w:shd w:val="clear" w:color="auto" w:fill="FFFFFF"/>
          </w:tcPr>
          <w:p w:rsidR="00D67EC3" w:rsidRPr="00B57B36" w:rsidRDefault="00D67EC3" w:rsidP="002312FB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Continuous</w:t>
            </w:r>
          </w:p>
        </w:tc>
        <w:tc>
          <w:tcPr>
            <w:tcW w:w="1861" w:type="dxa"/>
            <w:shd w:val="clear" w:color="auto" w:fill="FFFFFF"/>
          </w:tcPr>
          <w:p w:rsidR="00D67EC3" w:rsidRPr="00B57B36" w:rsidRDefault="00D67EC3" w:rsidP="002312FB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997.66</w:t>
            </w:r>
          </w:p>
        </w:tc>
        <w:tc>
          <w:tcPr>
            <w:tcW w:w="1842" w:type="dxa"/>
            <w:shd w:val="clear" w:color="auto" w:fill="FFFFFF"/>
          </w:tcPr>
          <w:p w:rsidR="00D67EC3" w:rsidRPr="00B57B36" w:rsidRDefault="00D67EC3" w:rsidP="002312FB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0.94</w:t>
            </w:r>
          </w:p>
        </w:tc>
        <w:tc>
          <w:tcPr>
            <w:tcW w:w="1843" w:type="dxa"/>
            <w:shd w:val="clear" w:color="auto" w:fill="FFFFFF"/>
          </w:tcPr>
          <w:p w:rsidR="00D67EC3" w:rsidRPr="00B57B36" w:rsidRDefault="00D67EC3" w:rsidP="002312FB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71.97</w:t>
            </w:r>
          </w:p>
        </w:tc>
        <w:tc>
          <w:tcPr>
            <w:tcW w:w="1843" w:type="dxa"/>
            <w:shd w:val="clear" w:color="auto" w:fill="FFFFFF"/>
          </w:tcPr>
          <w:p w:rsidR="00D67EC3" w:rsidRPr="00B57B36" w:rsidRDefault="00D67EC3" w:rsidP="002312FB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0.999 53</w:t>
            </w:r>
          </w:p>
        </w:tc>
      </w:tr>
      <w:tr w:rsidR="00D67EC3" w:rsidTr="00D67EC3">
        <w:tc>
          <w:tcPr>
            <w:tcW w:w="1400" w:type="dxa"/>
            <w:shd w:val="clear" w:color="auto" w:fill="FFFFFF"/>
          </w:tcPr>
          <w:p w:rsidR="00D67EC3" w:rsidRPr="00B57B36" w:rsidRDefault="00D67EC3" w:rsidP="002312FB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Dispersed</w:t>
            </w:r>
          </w:p>
        </w:tc>
        <w:tc>
          <w:tcPr>
            <w:tcW w:w="1861" w:type="dxa"/>
            <w:shd w:val="clear" w:color="auto" w:fill="FFFFFF"/>
          </w:tcPr>
          <w:p w:rsidR="00D67EC3" w:rsidRPr="005F605E" w:rsidRDefault="00D67EC3" w:rsidP="002312FB">
            <w:pPr>
              <w:jc w:val="center"/>
            </w:pPr>
            <w:r>
              <w:t>1 075.58</w:t>
            </w:r>
          </w:p>
        </w:tc>
        <w:tc>
          <w:tcPr>
            <w:tcW w:w="1842" w:type="dxa"/>
            <w:shd w:val="clear" w:color="auto" w:fill="FFFFFF"/>
          </w:tcPr>
          <w:p w:rsidR="00D67EC3" w:rsidRPr="00031EC5" w:rsidRDefault="00D67EC3" w:rsidP="002312FB">
            <w:pPr>
              <w:jc w:val="center"/>
            </w:pPr>
            <w:r>
              <w:t>223</w:t>
            </w:r>
          </w:p>
        </w:tc>
        <w:tc>
          <w:tcPr>
            <w:tcW w:w="1843" w:type="dxa"/>
            <w:shd w:val="clear" w:color="auto" w:fill="FFFFFF"/>
          </w:tcPr>
          <w:p w:rsidR="00D67EC3" w:rsidRPr="00031EC5" w:rsidRDefault="00D67EC3" w:rsidP="002312FB">
            <w:pPr>
              <w:jc w:val="center"/>
            </w:pPr>
            <w:r>
              <w:t>26.42</w:t>
            </w:r>
          </w:p>
        </w:tc>
        <w:tc>
          <w:tcPr>
            <w:tcW w:w="1843" w:type="dxa"/>
            <w:shd w:val="clear" w:color="auto" w:fill="FFFFFF"/>
          </w:tcPr>
          <w:p w:rsidR="00D67EC3" w:rsidRPr="00031EC5" w:rsidRDefault="00D67EC3" w:rsidP="002312FB">
            <w:pPr>
              <w:jc w:val="center"/>
            </w:pPr>
            <w:r>
              <w:t>0.000 47</w:t>
            </w:r>
          </w:p>
        </w:tc>
      </w:tr>
    </w:tbl>
    <w:p w:rsidR="00EB5BB7" w:rsidRPr="0021702F" w:rsidRDefault="00C03346" w:rsidP="00C03346">
      <w:pPr>
        <w:pStyle w:val="CETTabletitle"/>
        <w:spacing w:before="0" w:after="0"/>
        <w:rPr>
          <w:i w:val="0"/>
        </w:rPr>
      </w:pPr>
      <w:r w:rsidRPr="0021702F">
        <w:rPr>
          <w:i w:val="0"/>
          <w:sz w:val="16"/>
          <w:szCs w:val="16"/>
        </w:rPr>
        <w:t xml:space="preserve">Note: </w:t>
      </w:r>
      <w:r w:rsidRPr="0021702F">
        <w:rPr>
          <w:i w:val="0"/>
          <w:sz w:val="16"/>
          <w:szCs w:val="16"/>
          <w:vertAlign w:val="superscript"/>
        </w:rPr>
        <w:t>*1</w:t>
      </w:r>
      <w:r w:rsidRPr="0021702F">
        <w:rPr>
          <w:i w:val="0"/>
          <w:sz w:val="16"/>
          <w:szCs w:val="16"/>
        </w:rPr>
        <w:t xml:space="preserve"> pycnometer method.</w:t>
      </w:r>
      <w:r w:rsidRPr="0021702F">
        <w:rPr>
          <w:i w:val="0"/>
          <w:sz w:val="16"/>
          <w:szCs w:val="16"/>
          <w:vertAlign w:val="superscript"/>
        </w:rPr>
        <w:t xml:space="preserve"> *2</w:t>
      </w:r>
      <w:r w:rsidRPr="0021702F">
        <w:rPr>
          <w:i w:val="0"/>
          <w:sz w:val="16"/>
          <w:szCs w:val="16"/>
        </w:rPr>
        <w:t xml:space="preserve"> rotational viscometry (Reotec RC20). </w:t>
      </w:r>
      <w:r w:rsidRPr="0021702F">
        <w:rPr>
          <w:i w:val="0"/>
          <w:sz w:val="16"/>
          <w:szCs w:val="16"/>
          <w:vertAlign w:val="superscript"/>
        </w:rPr>
        <w:t>*3</w:t>
      </w:r>
      <w:r w:rsidRPr="0021702F">
        <w:rPr>
          <w:i w:val="0"/>
          <w:sz w:val="16"/>
          <w:szCs w:val="16"/>
        </w:rPr>
        <w:t xml:space="preserve"> Kr</w:t>
      </w:r>
      <w:r w:rsidRPr="0021702F">
        <w:rPr>
          <w:rFonts w:cs="Arial"/>
          <w:i w:val="0"/>
          <w:sz w:val="16"/>
          <w:szCs w:val="16"/>
        </w:rPr>
        <w:t>ü</w:t>
      </w:r>
      <w:r w:rsidRPr="0021702F">
        <w:rPr>
          <w:i w:val="0"/>
          <w:sz w:val="16"/>
          <w:szCs w:val="16"/>
        </w:rPr>
        <w:t>ss Force Tensiometer.</w:t>
      </w:r>
    </w:p>
    <w:p w:rsidR="00600535" w:rsidRPr="00B57B36" w:rsidRDefault="00CC6009" w:rsidP="00FA5F5F">
      <w:pPr>
        <w:pStyle w:val="CETheadingx"/>
      </w:pPr>
      <w:r>
        <w:t>Experimental data</w:t>
      </w:r>
    </w:p>
    <w:p w:rsidR="009250E8" w:rsidRDefault="00AB6209" w:rsidP="009250E8">
      <w:pPr>
        <w:pStyle w:val="PRESBodytext"/>
        <w:rPr>
          <w:lang w:val="en-GB"/>
        </w:rPr>
      </w:pPr>
      <w:r>
        <w:rPr>
          <w:lang w:val="en-GB"/>
        </w:rPr>
        <w:t>The 10</w:t>
      </w:r>
      <w:r w:rsidRPr="00053532">
        <w:rPr>
          <w:lang w:val="en-GB"/>
        </w:rPr>
        <w:t xml:space="preserve"> image sets were captured repeatedly after 5 min</w:t>
      </w:r>
      <w:r>
        <w:rPr>
          <w:lang w:val="en-GB"/>
        </w:rPr>
        <w:t xml:space="preserve">; thus </w:t>
      </w:r>
      <w:r w:rsidRPr="00053532">
        <w:rPr>
          <w:lang w:val="en-GB"/>
        </w:rPr>
        <w:t xml:space="preserve">the total measurement time was </w:t>
      </w:r>
      <w:r>
        <w:rPr>
          <w:lang w:val="en-GB"/>
        </w:rPr>
        <w:t>50 minutes for given region and the</w:t>
      </w:r>
      <w:r w:rsidRPr="00053532">
        <w:rPr>
          <w:lang w:val="en-GB"/>
        </w:rPr>
        <w:t xml:space="preserve"> impeller rotation</w:t>
      </w:r>
      <w:r>
        <w:rPr>
          <w:lang w:val="en-GB"/>
        </w:rPr>
        <w:t xml:space="preserve">al speed. </w:t>
      </w:r>
      <w:r w:rsidRPr="00053532">
        <w:rPr>
          <w:lang w:val="en-GB"/>
        </w:rPr>
        <w:t>When the image sets were captured</w:t>
      </w:r>
      <w:r>
        <w:rPr>
          <w:lang w:val="en-GB"/>
        </w:rPr>
        <w:t xml:space="preserve"> </w:t>
      </w:r>
      <w:r w:rsidRPr="00053532">
        <w:rPr>
          <w:lang w:val="en-GB"/>
        </w:rPr>
        <w:t>(</w:t>
      </w:r>
      <w:r>
        <w:rPr>
          <w:lang w:val="en-GB"/>
        </w:rPr>
        <w:t xml:space="preserve">each image set consists of </w:t>
      </w:r>
      <w:r w:rsidRPr="00053532">
        <w:rPr>
          <w:lang w:val="en-GB"/>
        </w:rPr>
        <w:t>1</w:t>
      </w:r>
      <w:r>
        <w:rPr>
          <w:lang w:val="en-GB"/>
        </w:rPr>
        <w:t>,</w:t>
      </w:r>
      <w:r w:rsidRPr="00053532">
        <w:rPr>
          <w:lang w:val="en-GB"/>
        </w:rPr>
        <w:t xml:space="preserve">000 images), the impeller </w:t>
      </w:r>
      <w:r>
        <w:rPr>
          <w:lang w:val="en-GB"/>
        </w:rPr>
        <w:t xml:space="preserve">rotational </w:t>
      </w:r>
      <w:r w:rsidRPr="00053532">
        <w:rPr>
          <w:lang w:val="en-GB"/>
        </w:rPr>
        <w:t>speed increased by a jump.</w:t>
      </w:r>
      <w:r>
        <w:rPr>
          <w:lang w:val="en-GB"/>
        </w:rPr>
        <w:t xml:space="preserve"> The experiments were carried out for three impeller rotational speeds: a) 600 rpm </w:t>
      </w:r>
      <w:r w:rsidRPr="00053532">
        <w:rPr>
          <w:lang w:val="en-GB"/>
        </w:rPr>
        <w:t>(Re</w:t>
      </w:r>
      <w:r w:rsidRPr="005C0E35">
        <w:rPr>
          <w:vertAlign w:val="subscript"/>
          <w:lang w:val="en-GB"/>
        </w:rPr>
        <w:t>M</w:t>
      </w:r>
      <w:r w:rsidRPr="00053532">
        <w:rPr>
          <w:lang w:val="en-GB"/>
        </w:rPr>
        <w:t xml:space="preserve"> = </w:t>
      </w:r>
      <w:r>
        <w:rPr>
          <w:lang w:val="en-GB"/>
        </w:rPr>
        <w:t>102,055</w:t>
      </w:r>
      <w:r w:rsidRPr="00053532">
        <w:rPr>
          <w:lang w:val="en-GB"/>
        </w:rPr>
        <w:t>)</w:t>
      </w:r>
      <w:r>
        <w:rPr>
          <w:lang w:val="en-GB"/>
        </w:rPr>
        <w:t>, b) 700</w:t>
      </w:r>
      <w:r w:rsidRPr="00053532">
        <w:rPr>
          <w:lang w:val="en-GB"/>
        </w:rPr>
        <w:t xml:space="preserve"> rpm (Re</w:t>
      </w:r>
      <w:r w:rsidRPr="005C0E35">
        <w:rPr>
          <w:vertAlign w:val="subscript"/>
          <w:lang w:val="en-GB"/>
        </w:rPr>
        <w:t>M</w:t>
      </w:r>
      <w:r w:rsidRPr="00053532">
        <w:rPr>
          <w:lang w:val="en-GB"/>
        </w:rPr>
        <w:t xml:space="preserve"> = </w:t>
      </w:r>
      <w:r>
        <w:rPr>
          <w:lang w:val="en-GB"/>
        </w:rPr>
        <w:t>119,064</w:t>
      </w:r>
      <w:r w:rsidRPr="00053532">
        <w:rPr>
          <w:lang w:val="en-GB"/>
        </w:rPr>
        <w:t>)</w:t>
      </w:r>
      <w:r>
        <w:rPr>
          <w:lang w:val="en-GB"/>
        </w:rPr>
        <w:t>, and c) 800</w:t>
      </w:r>
      <w:r w:rsidRPr="00053532">
        <w:rPr>
          <w:lang w:val="en-GB"/>
        </w:rPr>
        <w:t xml:space="preserve"> rpm (Re</w:t>
      </w:r>
      <w:r w:rsidRPr="005C0E35">
        <w:rPr>
          <w:vertAlign w:val="subscript"/>
          <w:lang w:val="en-GB"/>
        </w:rPr>
        <w:t>M</w:t>
      </w:r>
      <w:r w:rsidRPr="00053532">
        <w:rPr>
          <w:lang w:val="en-GB"/>
        </w:rPr>
        <w:t xml:space="preserve"> = </w:t>
      </w:r>
      <w:r>
        <w:rPr>
          <w:lang w:val="en-GB"/>
        </w:rPr>
        <w:t xml:space="preserve">136,074) in three regions of interest. </w:t>
      </w:r>
      <w:r w:rsidR="00AE1253">
        <w:rPr>
          <w:lang w:val="en-GB"/>
        </w:rPr>
        <w:t>T</w:t>
      </w:r>
      <w:r w:rsidR="00292F74">
        <w:rPr>
          <w:lang w:val="en-GB"/>
        </w:rPr>
        <w:t xml:space="preserve">he frequency distribution of drop sizes </w:t>
      </w:r>
      <w:r w:rsidR="00DD4DF9">
        <w:rPr>
          <w:lang w:val="en-GB"/>
        </w:rPr>
        <w:t>evaluated</w:t>
      </w:r>
      <w:r w:rsidR="00DD4DF9" w:rsidRPr="00292F74">
        <w:rPr>
          <w:lang w:val="en-GB"/>
        </w:rPr>
        <w:t xml:space="preserve"> </w:t>
      </w:r>
      <w:r w:rsidR="009250E8" w:rsidRPr="00292F74">
        <w:rPr>
          <w:lang w:val="en-GB"/>
        </w:rPr>
        <w:t xml:space="preserve">for all scanned areas </w:t>
      </w:r>
      <w:r w:rsidR="009250E8">
        <w:rPr>
          <w:lang w:val="en-GB"/>
        </w:rPr>
        <w:t xml:space="preserve">and </w:t>
      </w:r>
      <w:r w:rsidR="00DD4DF9">
        <w:rPr>
          <w:lang w:val="en-GB"/>
        </w:rPr>
        <w:t xml:space="preserve">the </w:t>
      </w:r>
      <w:r w:rsidR="009250E8">
        <w:rPr>
          <w:lang w:val="en-GB"/>
        </w:rPr>
        <w:t xml:space="preserve">impeller </w:t>
      </w:r>
      <w:r w:rsidR="003743A4">
        <w:rPr>
          <w:lang w:val="en-GB"/>
        </w:rPr>
        <w:t xml:space="preserve">rotational </w:t>
      </w:r>
      <w:r w:rsidR="009250E8">
        <w:rPr>
          <w:lang w:val="en-GB"/>
        </w:rPr>
        <w:t xml:space="preserve">speeds are presented in Figure 2 </w:t>
      </w:r>
      <w:r w:rsidR="009250E8" w:rsidRPr="00053532">
        <w:rPr>
          <w:lang w:val="en-GB"/>
        </w:rPr>
        <w:t xml:space="preserve">on a logarithmic scale to visualize </w:t>
      </w:r>
      <w:r w:rsidR="007A0B11">
        <w:rPr>
          <w:lang w:val="en-GB"/>
        </w:rPr>
        <w:t xml:space="preserve">the </w:t>
      </w:r>
      <w:r w:rsidR="009250E8">
        <w:rPr>
          <w:lang w:val="en-GB"/>
        </w:rPr>
        <w:t xml:space="preserve">time evolution of </w:t>
      </w:r>
      <w:r w:rsidR="00DD4DF9">
        <w:rPr>
          <w:lang w:val="en-GB"/>
        </w:rPr>
        <w:t xml:space="preserve">the </w:t>
      </w:r>
      <w:r w:rsidR="009250E8">
        <w:rPr>
          <w:lang w:val="en-GB"/>
        </w:rPr>
        <w:t xml:space="preserve">drop size distribution. </w:t>
      </w:r>
      <w:r w:rsidR="009250E8" w:rsidRPr="00053532">
        <w:rPr>
          <w:lang w:val="en-GB"/>
        </w:rPr>
        <w:t xml:space="preserve">For </w:t>
      </w:r>
      <w:r w:rsidR="001765C3">
        <w:rPr>
          <w:lang w:val="en-GB"/>
        </w:rPr>
        <w:t>clearer view</w:t>
      </w:r>
      <w:r w:rsidR="009250E8">
        <w:rPr>
          <w:lang w:val="en-GB"/>
        </w:rPr>
        <w:t xml:space="preserve">, the distribution curves are presented at </w:t>
      </w:r>
      <w:r w:rsidR="009250E8" w:rsidRPr="00292F74">
        <w:rPr>
          <w:lang w:val="en-GB"/>
        </w:rPr>
        <w:t>the initial and final time steps of the measurement (</w:t>
      </w:r>
      <w:r w:rsidR="009250E8">
        <w:rPr>
          <w:lang w:val="en-GB"/>
        </w:rPr>
        <w:t xml:space="preserve">i.e. </w:t>
      </w:r>
      <w:r w:rsidR="009250E8" w:rsidRPr="00292F74">
        <w:rPr>
          <w:lang w:val="en-GB"/>
        </w:rPr>
        <w:t xml:space="preserve">in </w:t>
      </w:r>
      <w:r w:rsidR="00DD4DF9">
        <w:rPr>
          <w:lang w:val="en-GB"/>
        </w:rPr>
        <w:t>the initial time step t = 5 min</w:t>
      </w:r>
      <w:r w:rsidR="009250E8" w:rsidRPr="00292F74">
        <w:rPr>
          <w:lang w:val="en-GB"/>
        </w:rPr>
        <w:t xml:space="preserve"> and at the end of the measurement at time t = 50 min</w:t>
      </w:r>
      <w:r w:rsidR="009250E8">
        <w:rPr>
          <w:lang w:val="en-GB"/>
        </w:rPr>
        <w:t xml:space="preserve">) only. </w:t>
      </w:r>
    </w:p>
    <w:tbl>
      <w:tblPr>
        <w:tblStyle w:val="Mkatabulky"/>
        <w:tblW w:w="86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341"/>
      </w:tblGrid>
      <w:tr w:rsidR="00EF15FC" w:rsidTr="00583BF4">
        <w:tc>
          <w:tcPr>
            <w:tcW w:w="4340" w:type="dxa"/>
          </w:tcPr>
          <w:p w:rsidR="00EF15FC" w:rsidRDefault="00EF15FC" w:rsidP="00583BF4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C757250" wp14:editId="70AF52BB">
                  <wp:extent cx="2183813" cy="1901372"/>
                  <wp:effectExtent l="0" t="0" r="6985" b="3810"/>
                  <wp:docPr id="1003837933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248" cy="192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</w:tcPr>
          <w:p w:rsidR="00EF15FC" w:rsidRDefault="00EF15FC" w:rsidP="00583BF4">
            <w:pPr>
              <w:pStyle w:val="Normlnweb"/>
              <w:jc w:val="left"/>
              <w:rPr>
                <w:color w:val="0E101A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5EED222" wp14:editId="76003033">
                  <wp:extent cx="2183604" cy="1901190"/>
                  <wp:effectExtent l="0" t="0" r="7620" b="3810"/>
                  <wp:docPr id="30297972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345" cy="195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5FC" w:rsidTr="00583BF4">
        <w:tc>
          <w:tcPr>
            <w:tcW w:w="4340" w:type="dxa"/>
          </w:tcPr>
          <w:p w:rsidR="00EF15FC" w:rsidRDefault="00EF15FC" w:rsidP="00EF15FC">
            <w:pPr>
              <w:pStyle w:val="Normlnweb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a) N = 600 min</w:t>
            </w:r>
            <w:r w:rsidRPr="00EF15FC">
              <w:rPr>
                <w:color w:val="0E101A"/>
                <w:sz w:val="18"/>
                <w:szCs w:val="18"/>
                <w:vertAlign w:val="superscript"/>
              </w:rPr>
              <w:t>-1</w:t>
            </w:r>
          </w:p>
        </w:tc>
        <w:tc>
          <w:tcPr>
            <w:tcW w:w="4341" w:type="dxa"/>
          </w:tcPr>
          <w:p w:rsidR="00EF15FC" w:rsidRDefault="00053532" w:rsidP="00EF15FC">
            <w:pPr>
              <w:pStyle w:val="Normlnweb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b</w:t>
            </w:r>
            <w:r w:rsidR="00EF15FC">
              <w:rPr>
                <w:color w:val="0E101A"/>
                <w:sz w:val="18"/>
                <w:szCs w:val="18"/>
              </w:rPr>
              <w:t>) N = 700 min</w:t>
            </w:r>
            <w:r w:rsidR="00EF15FC" w:rsidRPr="00EF15FC">
              <w:rPr>
                <w:color w:val="0E101A"/>
                <w:sz w:val="18"/>
                <w:szCs w:val="18"/>
                <w:vertAlign w:val="superscript"/>
              </w:rPr>
              <w:t>-1</w:t>
            </w:r>
          </w:p>
        </w:tc>
      </w:tr>
      <w:tr w:rsidR="00EF15FC" w:rsidTr="00583BF4">
        <w:tc>
          <w:tcPr>
            <w:tcW w:w="8681" w:type="dxa"/>
            <w:gridSpan w:val="2"/>
          </w:tcPr>
          <w:p w:rsidR="00EF15FC" w:rsidRDefault="00EF15FC" w:rsidP="00583BF4">
            <w:pPr>
              <w:pStyle w:val="Normlnweb"/>
              <w:rPr>
                <w:color w:val="0E101A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2BEB4FDC" wp14:editId="7D6370CF">
                  <wp:extent cx="2258828" cy="1966685"/>
                  <wp:effectExtent l="0" t="0" r="8255" b="0"/>
                  <wp:docPr id="1736308967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080" cy="202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5FC" w:rsidTr="00583BF4">
        <w:tc>
          <w:tcPr>
            <w:tcW w:w="8681" w:type="dxa"/>
            <w:gridSpan w:val="2"/>
          </w:tcPr>
          <w:p w:rsidR="00EF15FC" w:rsidRDefault="00053532" w:rsidP="00EF15FC">
            <w:pPr>
              <w:pStyle w:val="Normlnweb"/>
              <w:rPr>
                <w:color w:val="0E101A"/>
                <w:sz w:val="18"/>
                <w:szCs w:val="18"/>
              </w:rPr>
            </w:pPr>
            <w:r>
              <w:rPr>
                <w:color w:val="0E101A"/>
                <w:sz w:val="18"/>
                <w:szCs w:val="18"/>
              </w:rPr>
              <w:t>c</w:t>
            </w:r>
            <w:r w:rsidR="00EF15FC">
              <w:rPr>
                <w:color w:val="0E101A"/>
                <w:sz w:val="18"/>
                <w:szCs w:val="18"/>
              </w:rPr>
              <w:t>) N = 800 min</w:t>
            </w:r>
            <w:r w:rsidR="00EF15FC" w:rsidRPr="00EF15FC">
              <w:rPr>
                <w:color w:val="0E101A"/>
                <w:sz w:val="18"/>
                <w:szCs w:val="18"/>
                <w:vertAlign w:val="superscript"/>
              </w:rPr>
              <w:t>-1</w:t>
            </w:r>
          </w:p>
        </w:tc>
      </w:tr>
    </w:tbl>
    <w:p w:rsidR="00EF15FC" w:rsidRDefault="00EF15FC" w:rsidP="00EF15FC">
      <w:pPr>
        <w:pStyle w:val="CETCaption"/>
      </w:pPr>
      <w:r>
        <w:t xml:space="preserve">Figure 2: The time development of </w:t>
      </w:r>
      <w:r w:rsidR="00DD4DF9">
        <w:t xml:space="preserve">the </w:t>
      </w:r>
      <w:r>
        <w:t xml:space="preserve">frequency </w:t>
      </w:r>
      <w:r w:rsidR="005C0E35">
        <w:t xml:space="preserve">drop size </w:t>
      </w:r>
      <w:r>
        <w:t xml:space="preserve">distribution: a) N = 600 </w:t>
      </w:r>
      <w:r w:rsidR="003665DE">
        <w:t>rpm</w:t>
      </w:r>
      <w:r>
        <w:t xml:space="preserve">, b) </w:t>
      </w:r>
      <w:r w:rsidR="00053532">
        <w:t xml:space="preserve">N = 700 </w:t>
      </w:r>
      <w:r w:rsidR="003665DE">
        <w:t>rpm</w:t>
      </w:r>
      <w:r w:rsidR="00053532">
        <w:t xml:space="preserve">, c) N = 800 </w:t>
      </w:r>
      <w:r w:rsidR="003665DE">
        <w:t>rpm</w:t>
      </w:r>
      <w:r w:rsidR="00053532">
        <w:t xml:space="preserve">  </w:t>
      </w:r>
    </w:p>
    <w:p w:rsidR="00A93E80" w:rsidRDefault="00A93E80" w:rsidP="00EF15FC">
      <w:pPr>
        <w:pStyle w:val="PRESBodytext"/>
        <w:rPr>
          <w:lang w:val="en-GB"/>
        </w:rPr>
      </w:pPr>
      <w:r w:rsidRPr="00A93E80">
        <w:rPr>
          <w:lang w:val="en-GB"/>
        </w:rPr>
        <w:t xml:space="preserve">For the </w:t>
      </w:r>
      <w:r>
        <w:rPr>
          <w:lang w:val="en-GB"/>
        </w:rPr>
        <w:t>impeller</w:t>
      </w:r>
      <w:r w:rsidRPr="00A93E80">
        <w:rPr>
          <w:lang w:val="en-GB"/>
        </w:rPr>
        <w:t xml:space="preserve"> speeds</w:t>
      </w:r>
      <w:r w:rsidR="00DD4DF9" w:rsidRPr="00DD4DF9">
        <w:rPr>
          <w:lang w:val="en-GB"/>
        </w:rPr>
        <w:t xml:space="preserve"> </w:t>
      </w:r>
      <w:r w:rsidR="00DD4DF9" w:rsidRPr="00A93E80">
        <w:rPr>
          <w:lang w:val="en-GB"/>
        </w:rPr>
        <w:t>tested</w:t>
      </w:r>
      <w:r w:rsidRPr="00A93E80">
        <w:rPr>
          <w:lang w:val="en-GB"/>
        </w:rPr>
        <w:t xml:space="preserve">, the </w:t>
      </w:r>
      <w:r>
        <w:rPr>
          <w:lang w:val="en-GB"/>
        </w:rPr>
        <w:t xml:space="preserve">drop size distributions </w:t>
      </w:r>
      <w:r w:rsidRPr="00A93E80">
        <w:rPr>
          <w:lang w:val="en-GB"/>
        </w:rPr>
        <w:t xml:space="preserve">remained practically unchanged up to droplet sizes of approximately 100 µm, regardless of the measurement region </w:t>
      </w:r>
      <w:r>
        <w:rPr>
          <w:lang w:val="en-GB"/>
        </w:rPr>
        <w:t>investigated</w:t>
      </w:r>
      <w:r w:rsidRPr="00A93E80">
        <w:rPr>
          <w:lang w:val="en-GB"/>
        </w:rPr>
        <w:t>.</w:t>
      </w:r>
      <w:r>
        <w:rPr>
          <w:lang w:val="en-GB"/>
        </w:rPr>
        <w:t xml:space="preserve"> </w:t>
      </w:r>
      <w:r w:rsidRPr="00A93E80">
        <w:rPr>
          <w:lang w:val="en-GB"/>
        </w:rPr>
        <w:t>Droplet size changes</w:t>
      </w:r>
      <w:r>
        <w:rPr>
          <w:lang w:val="en-GB"/>
        </w:rPr>
        <w:t xml:space="preserve"> are </w:t>
      </w:r>
      <w:r w:rsidRPr="00A93E80">
        <w:rPr>
          <w:lang w:val="en-GB"/>
        </w:rPr>
        <w:t xml:space="preserve">only visible for larger droplet sizes, in </w:t>
      </w:r>
      <w:r>
        <w:rPr>
          <w:lang w:val="en-GB"/>
        </w:rPr>
        <w:t xml:space="preserve">the range of 200 - 800 µm for an impeller </w:t>
      </w:r>
      <w:r w:rsidR="00025756">
        <w:rPr>
          <w:lang w:val="en-GB"/>
        </w:rPr>
        <w:t xml:space="preserve">rotational </w:t>
      </w:r>
      <w:r w:rsidRPr="00A93E80">
        <w:rPr>
          <w:lang w:val="en-GB"/>
        </w:rPr>
        <w:t>speed of 600 rpm, and</w:t>
      </w:r>
      <w:r w:rsidR="00DD4DF9">
        <w:rPr>
          <w:lang w:val="en-GB"/>
        </w:rPr>
        <w:t xml:space="preserve"> in</w:t>
      </w:r>
      <w:r w:rsidRPr="00A93E80">
        <w:rPr>
          <w:lang w:val="en-GB"/>
        </w:rPr>
        <w:t xml:space="preserve"> the range of 200 - 400 µm for higher </w:t>
      </w:r>
      <w:r>
        <w:rPr>
          <w:lang w:val="en-GB"/>
        </w:rPr>
        <w:t>impeller</w:t>
      </w:r>
      <w:r w:rsidRPr="00A93E80">
        <w:rPr>
          <w:lang w:val="en-GB"/>
        </w:rPr>
        <w:t xml:space="preserve"> </w:t>
      </w:r>
      <w:r w:rsidR="00025756">
        <w:rPr>
          <w:lang w:val="en-GB"/>
        </w:rPr>
        <w:t xml:space="preserve">rotational </w:t>
      </w:r>
      <w:r w:rsidRPr="00A93E80">
        <w:rPr>
          <w:lang w:val="en-GB"/>
        </w:rPr>
        <w:t>speeds.</w:t>
      </w:r>
      <w:r w:rsidR="004A4DBE">
        <w:rPr>
          <w:lang w:val="en-GB"/>
        </w:rPr>
        <w:t xml:space="preserve"> I</w:t>
      </w:r>
      <w:r w:rsidR="004A4DBE" w:rsidRPr="004A4DBE">
        <w:rPr>
          <w:lang w:val="en-GB"/>
        </w:rPr>
        <w:t xml:space="preserve">ncreasing </w:t>
      </w:r>
      <w:r w:rsidR="004A4DBE">
        <w:rPr>
          <w:lang w:val="en-GB"/>
        </w:rPr>
        <w:t xml:space="preserve">impeller </w:t>
      </w:r>
      <w:r w:rsidR="00025756">
        <w:rPr>
          <w:lang w:val="en-GB"/>
        </w:rPr>
        <w:t xml:space="preserve">rotational </w:t>
      </w:r>
      <w:r w:rsidR="004A4DBE" w:rsidRPr="004A4DBE">
        <w:rPr>
          <w:lang w:val="en-GB"/>
        </w:rPr>
        <w:t xml:space="preserve">speed, an increase in droplet frequency </w:t>
      </w:r>
      <w:r w:rsidR="00DD4DF9" w:rsidRPr="004A4DBE">
        <w:rPr>
          <w:lang w:val="en-GB"/>
        </w:rPr>
        <w:t xml:space="preserve">is also visible </w:t>
      </w:r>
      <w:r w:rsidR="004A4DBE" w:rsidRPr="004A4DBE">
        <w:rPr>
          <w:lang w:val="en-GB"/>
        </w:rPr>
        <w:t>in the middle part of the distribution curve, indicating that large droplets are dispersed over time into droplets between 100 – 200 µm in size.</w:t>
      </w:r>
    </w:p>
    <w:p w:rsidR="00F8600C" w:rsidRDefault="00F8600C" w:rsidP="00EF15FC">
      <w:pPr>
        <w:pStyle w:val="PRESBodytext"/>
        <w:rPr>
          <w:lang w:val="en-GB"/>
        </w:rPr>
      </w:pPr>
      <w:r>
        <w:rPr>
          <w:lang w:val="en-GB"/>
        </w:rPr>
        <w:t>The</w:t>
      </w:r>
      <w:r w:rsidR="00EF15FC" w:rsidRPr="006460A4">
        <w:rPr>
          <w:lang w:val="en-GB"/>
        </w:rPr>
        <w:t xml:space="preserve"> maximum drop size</w:t>
      </w:r>
      <w:r>
        <w:rPr>
          <w:lang w:val="en-GB"/>
        </w:rPr>
        <w:t xml:space="preserve">s estimated </w:t>
      </w:r>
      <w:r w:rsidR="00EF15FC" w:rsidRPr="006460A4">
        <w:rPr>
          <w:lang w:val="en-GB"/>
        </w:rPr>
        <w:t xml:space="preserve">for the cumulative percentage of 95 %, 97 %, 99 %, 99.3 %, 99.5 %, 99.7 %, and 99.9 % </w:t>
      </w:r>
      <w:r w:rsidRPr="006460A4">
        <w:rPr>
          <w:lang w:val="en-GB"/>
        </w:rPr>
        <w:t xml:space="preserve">from the relative cumulative frequency </w:t>
      </w:r>
      <w:r w:rsidR="003743A4">
        <w:rPr>
          <w:lang w:val="en-GB"/>
        </w:rPr>
        <w:t xml:space="preserve">drop size </w:t>
      </w:r>
      <w:r w:rsidRPr="006460A4">
        <w:rPr>
          <w:lang w:val="en-GB"/>
        </w:rPr>
        <w:t xml:space="preserve">distribution obtained at </w:t>
      </w:r>
      <w:r>
        <w:rPr>
          <w:lang w:val="en-GB"/>
        </w:rPr>
        <w:t xml:space="preserve">the end of a measured </w:t>
      </w:r>
      <w:r>
        <w:rPr>
          <w:lang w:val="en-GB"/>
        </w:rPr>
        <w:lastRenderedPageBreak/>
        <w:t>time step</w:t>
      </w:r>
      <w:r w:rsidRPr="006460A4">
        <w:rPr>
          <w:lang w:val="en-GB"/>
        </w:rPr>
        <w:t xml:space="preserve"> </w:t>
      </w:r>
      <w:r w:rsidR="00EF15FC" w:rsidRPr="006460A4">
        <w:rPr>
          <w:lang w:val="en-GB"/>
        </w:rPr>
        <w:t>for each region and impeller rotational speed</w:t>
      </w:r>
      <w:r>
        <w:rPr>
          <w:lang w:val="en-GB"/>
        </w:rPr>
        <w:t xml:space="preserve"> </w:t>
      </w:r>
      <w:r w:rsidR="00C04562">
        <w:rPr>
          <w:lang w:val="en-GB"/>
        </w:rPr>
        <w:t xml:space="preserve">were evaluated and selected data </w:t>
      </w:r>
      <w:r>
        <w:rPr>
          <w:lang w:val="en-GB"/>
        </w:rPr>
        <w:t>are presented in Table 3.</w:t>
      </w:r>
      <w:r w:rsidR="00EF15FC" w:rsidRPr="006460A4">
        <w:rPr>
          <w:lang w:val="en-GB"/>
        </w:rPr>
        <w:t xml:space="preserve"> For comparison, the maximum drop size was also estimated as an average of 1 % of the number of largest drops (denoted d</w:t>
      </w:r>
      <w:r w:rsidR="00EF15FC" w:rsidRPr="00F8600C">
        <w:rPr>
          <w:vertAlign w:val="subscript"/>
          <w:lang w:val="en-GB"/>
        </w:rPr>
        <w:t>99avg</w:t>
      </w:r>
      <w:r w:rsidR="00EF15FC" w:rsidRPr="006460A4">
        <w:rPr>
          <w:lang w:val="en-GB"/>
        </w:rPr>
        <w:t xml:space="preserve">). </w:t>
      </w:r>
    </w:p>
    <w:p w:rsidR="00032E32" w:rsidRDefault="00032E32" w:rsidP="00032E32">
      <w:pPr>
        <w:pStyle w:val="CETTabletitle"/>
      </w:pPr>
      <w:r>
        <w:t xml:space="preserve">Table </w:t>
      </w:r>
      <w:r w:rsidR="00F8600C">
        <w:t>3</w:t>
      </w:r>
      <w:r>
        <w:t xml:space="preserve">: </w:t>
      </w:r>
      <w:r w:rsidR="00F8600C">
        <w:t xml:space="preserve">The maximum drop sizes estimated 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851"/>
        <w:gridCol w:w="1032"/>
        <w:gridCol w:w="1033"/>
        <w:gridCol w:w="1033"/>
        <w:gridCol w:w="1032"/>
        <w:gridCol w:w="1033"/>
        <w:gridCol w:w="1033"/>
        <w:gridCol w:w="1033"/>
      </w:tblGrid>
      <w:tr w:rsidR="00F80947" w:rsidRPr="00B57B36" w:rsidTr="00C04562">
        <w:tc>
          <w:tcPr>
            <w:tcW w:w="70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Pr="00B57B36" w:rsidRDefault="00F80947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Region</w:t>
            </w:r>
          </w:p>
        </w:tc>
        <w:tc>
          <w:tcPr>
            <w:tcW w:w="85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Default="00F80947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  <w:p w:rsidR="00F80947" w:rsidRPr="00B57B36" w:rsidRDefault="00F80947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(min</w:t>
            </w:r>
            <w:r w:rsidRPr="006561DB">
              <w:rPr>
                <w:vertAlign w:val="superscript"/>
                <w:lang w:val="en-GB"/>
              </w:rPr>
              <w:t>-1</w:t>
            </w:r>
            <w:r>
              <w:rPr>
                <w:lang w:val="en-GB"/>
              </w:rPr>
              <w:t>)</w:t>
            </w:r>
          </w:p>
        </w:tc>
        <w:tc>
          <w:tcPr>
            <w:tcW w:w="103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Default="00F80947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</w:p>
          <w:p w:rsidR="00F80947" w:rsidRPr="00032E32" w:rsidRDefault="00F80947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032E32">
              <w:rPr>
                <w:rFonts w:ascii="Symbol" w:hAnsi="Symbol"/>
                <w:lang w:val="en-GB"/>
              </w:rPr>
              <w:t></w:t>
            </w:r>
            <w:r>
              <w:rPr>
                <w:lang w:val="en-GB"/>
              </w:rPr>
              <w:t>m)</w:t>
            </w:r>
          </w:p>
        </w:tc>
        <w:tc>
          <w:tcPr>
            <w:tcW w:w="103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Default="00F80947" w:rsidP="00583BF4">
            <w:pPr>
              <w:pStyle w:val="CETBodytext"/>
              <w:ind w:right="-1"/>
              <w:jc w:val="center"/>
              <w:rPr>
                <w:vertAlign w:val="subscript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.3</w:t>
            </w:r>
          </w:p>
          <w:p w:rsidR="00F80947" w:rsidRPr="00B57B36" w:rsidRDefault="00F80947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(</w:t>
            </w:r>
            <w:r w:rsidRPr="00032E32">
              <w:rPr>
                <w:rFonts w:ascii="Symbol" w:hAnsi="Symbol"/>
                <w:lang w:val="en-GB"/>
              </w:rPr>
              <w:t></w:t>
            </w:r>
            <w:r>
              <w:rPr>
                <w:lang w:val="en-GB"/>
              </w:rPr>
              <w:t>m)</w:t>
            </w:r>
          </w:p>
        </w:tc>
        <w:tc>
          <w:tcPr>
            <w:tcW w:w="103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Default="00F80947" w:rsidP="00583BF4">
            <w:pPr>
              <w:pStyle w:val="CETBodytext"/>
              <w:ind w:right="-1"/>
              <w:jc w:val="center"/>
              <w:rPr>
                <w:vertAlign w:val="subscript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.5</w:t>
            </w:r>
          </w:p>
          <w:p w:rsidR="00F80947" w:rsidRPr="00B57B36" w:rsidRDefault="00F80947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(</w:t>
            </w:r>
            <w:r w:rsidRPr="00032E32">
              <w:rPr>
                <w:rFonts w:ascii="Symbol" w:hAnsi="Symbol"/>
                <w:lang w:val="en-GB"/>
              </w:rPr>
              <w:t></w:t>
            </w:r>
            <w:r>
              <w:rPr>
                <w:lang w:val="en-GB"/>
              </w:rPr>
              <w:t>m)</w:t>
            </w:r>
          </w:p>
        </w:tc>
        <w:tc>
          <w:tcPr>
            <w:tcW w:w="103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Default="00F80947" w:rsidP="00583BF4">
            <w:pPr>
              <w:pStyle w:val="CETBodytext"/>
              <w:ind w:right="-1"/>
              <w:jc w:val="center"/>
              <w:rPr>
                <w:vertAlign w:val="subscript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.7</w:t>
            </w:r>
          </w:p>
          <w:p w:rsidR="00F80947" w:rsidRPr="00B57B36" w:rsidRDefault="00F80947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(</w:t>
            </w:r>
            <w:r w:rsidRPr="00032E32">
              <w:rPr>
                <w:rFonts w:ascii="Symbol" w:hAnsi="Symbol"/>
                <w:lang w:val="en-GB"/>
              </w:rPr>
              <w:t></w:t>
            </w:r>
            <w:r>
              <w:rPr>
                <w:lang w:val="en-GB"/>
              </w:rPr>
              <w:t>m)</w:t>
            </w:r>
          </w:p>
        </w:tc>
        <w:tc>
          <w:tcPr>
            <w:tcW w:w="103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Default="00F80947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bscript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</w:t>
            </w:r>
            <w:r w:rsidRPr="00D46152">
              <w:rPr>
                <w:rFonts w:cs="Arial"/>
                <w:szCs w:val="18"/>
                <w:vertAlign w:val="subscript"/>
                <w:lang w:val="en-GB"/>
              </w:rPr>
              <w:t>99.9</w:t>
            </w:r>
          </w:p>
          <w:p w:rsidR="00F80947" w:rsidRPr="00B57B36" w:rsidRDefault="00F80947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(</w:t>
            </w:r>
            <w:r w:rsidRPr="00032E32">
              <w:rPr>
                <w:rFonts w:ascii="Symbol" w:hAnsi="Symbol"/>
                <w:lang w:val="en-GB"/>
              </w:rPr>
              <w:t></w:t>
            </w:r>
            <w:r>
              <w:rPr>
                <w:lang w:val="en-GB"/>
              </w:rPr>
              <w:t>m)</w:t>
            </w:r>
          </w:p>
        </w:tc>
        <w:tc>
          <w:tcPr>
            <w:tcW w:w="103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Default="00F80947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</w:t>
            </w:r>
            <w:r w:rsidRPr="00D46152">
              <w:rPr>
                <w:rFonts w:cs="Arial"/>
                <w:szCs w:val="18"/>
                <w:vertAlign w:val="subscript"/>
                <w:lang w:val="en-GB"/>
              </w:rPr>
              <w:t>99avg</w:t>
            </w:r>
            <w:r w:rsidRPr="00D46152">
              <w:rPr>
                <w:rFonts w:cs="Arial"/>
                <w:szCs w:val="18"/>
                <w:vertAlign w:val="superscript"/>
                <w:lang w:val="en-GB"/>
              </w:rPr>
              <w:t>*1</w:t>
            </w:r>
          </w:p>
          <w:p w:rsidR="00F80947" w:rsidRDefault="00F80947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>
              <w:rPr>
                <w:lang w:val="en-GB"/>
              </w:rPr>
              <w:t>(</w:t>
            </w:r>
            <w:r w:rsidRPr="00032E32">
              <w:rPr>
                <w:rFonts w:ascii="Symbol" w:hAnsi="Symbol"/>
                <w:lang w:val="en-GB"/>
              </w:rPr>
              <w:t></w:t>
            </w:r>
            <w:r>
              <w:rPr>
                <w:lang w:val="en-GB"/>
              </w:rPr>
              <w:t>m)</w:t>
            </w:r>
          </w:p>
        </w:tc>
        <w:tc>
          <w:tcPr>
            <w:tcW w:w="103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F80947" w:rsidRDefault="00F80947" w:rsidP="00F80947">
            <w:pPr>
              <w:pStyle w:val="CETBodytext"/>
              <w:ind w:right="-1"/>
              <w:jc w:val="center"/>
              <w:rPr>
                <w:rFonts w:cs="Arial"/>
                <w:szCs w:val="18"/>
                <w:vertAlign w:val="superscript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</w:t>
            </w:r>
            <w:r>
              <w:rPr>
                <w:rFonts w:cs="Arial"/>
                <w:szCs w:val="18"/>
                <w:vertAlign w:val="subscript"/>
                <w:lang w:val="en-GB"/>
              </w:rPr>
              <w:t>mexp</w:t>
            </w:r>
            <w:r>
              <w:rPr>
                <w:rFonts w:cs="Arial"/>
                <w:szCs w:val="18"/>
                <w:vertAlign w:val="superscript"/>
                <w:lang w:val="en-GB"/>
              </w:rPr>
              <w:t>*2</w:t>
            </w:r>
          </w:p>
          <w:p w:rsidR="00F80947" w:rsidRPr="00B57B36" w:rsidRDefault="00F80947" w:rsidP="00F80947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(</w:t>
            </w:r>
            <w:r w:rsidRPr="00032E32">
              <w:rPr>
                <w:rFonts w:ascii="Symbol" w:hAnsi="Symbol"/>
                <w:lang w:val="en-GB"/>
              </w:rPr>
              <w:t></w:t>
            </w:r>
            <w:r>
              <w:rPr>
                <w:lang w:val="en-GB"/>
              </w:rPr>
              <w:t>m)</w:t>
            </w:r>
          </w:p>
        </w:tc>
      </w:tr>
      <w:tr w:rsidR="00AE18C8" w:rsidRPr="00B57B36" w:rsidTr="00C04562">
        <w:tc>
          <w:tcPr>
            <w:tcW w:w="709" w:type="dxa"/>
            <w:shd w:val="clear" w:color="auto" w:fill="FFFFFF"/>
          </w:tcPr>
          <w:p w:rsidR="00AE18C8" w:rsidRPr="00B57B36" w:rsidRDefault="00AE18C8" w:rsidP="00AE18C8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51" w:type="dxa"/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600</w:t>
            </w:r>
          </w:p>
        </w:tc>
        <w:tc>
          <w:tcPr>
            <w:tcW w:w="1032" w:type="dxa"/>
            <w:shd w:val="clear" w:color="auto" w:fill="FFFFFF"/>
          </w:tcPr>
          <w:p w:rsidR="00AE18C8" w:rsidRPr="003351B3" w:rsidRDefault="00AE18C8" w:rsidP="00AE18C8">
            <w:pPr>
              <w:jc w:val="center"/>
            </w:pPr>
            <w:r>
              <w:t>155</w:t>
            </w:r>
          </w:p>
        </w:tc>
        <w:tc>
          <w:tcPr>
            <w:tcW w:w="1033" w:type="dxa"/>
            <w:shd w:val="clear" w:color="auto" w:fill="FFFFFF"/>
          </w:tcPr>
          <w:p w:rsidR="00AE18C8" w:rsidRPr="000D2A88" w:rsidRDefault="00531B3B" w:rsidP="00531B3B">
            <w:pPr>
              <w:jc w:val="center"/>
            </w:pPr>
            <w:r>
              <w:t>163.8</w:t>
            </w:r>
          </w:p>
        </w:tc>
        <w:tc>
          <w:tcPr>
            <w:tcW w:w="1033" w:type="dxa"/>
            <w:shd w:val="clear" w:color="auto" w:fill="FFFFFF"/>
          </w:tcPr>
          <w:p w:rsidR="00AE18C8" w:rsidRPr="00ED2D9C" w:rsidRDefault="00531B3B" w:rsidP="00531B3B">
            <w:pPr>
              <w:jc w:val="center"/>
            </w:pPr>
            <w:r>
              <w:t>172.1</w:t>
            </w:r>
          </w:p>
        </w:tc>
        <w:tc>
          <w:tcPr>
            <w:tcW w:w="1032" w:type="dxa"/>
            <w:shd w:val="clear" w:color="auto" w:fill="FFFFFF"/>
          </w:tcPr>
          <w:p w:rsidR="00AE18C8" w:rsidRPr="002B0C3D" w:rsidRDefault="00AE18C8" w:rsidP="00531B3B">
            <w:pPr>
              <w:jc w:val="center"/>
            </w:pPr>
            <w:r w:rsidRPr="002B0C3D">
              <w:t>1</w:t>
            </w:r>
            <w:r w:rsidR="00531B3B">
              <w:t>84.9</w:t>
            </w:r>
          </w:p>
        </w:tc>
        <w:tc>
          <w:tcPr>
            <w:tcW w:w="1033" w:type="dxa"/>
            <w:shd w:val="clear" w:color="auto" w:fill="FFFFFF"/>
          </w:tcPr>
          <w:p w:rsidR="00AE18C8" w:rsidRPr="009D36E3" w:rsidRDefault="00531B3B" w:rsidP="00531B3B">
            <w:pPr>
              <w:jc w:val="center"/>
            </w:pPr>
            <w:r>
              <w:t>213.4</w:t>
            </w:r>
          </w:p>
        </w:tc>
        <w:tc>
          <w:tcPr>
            <w:tcW w:w="1033" w:type="dxa"/>
            <w:shd w:val="clear" w:color="auto" w:fill="FFFFFF"/>
          </w:tcPr>
          <w:p w:rsidR="00AE18C8" w:rsidRPr="00E83807" w:rsidRDefault="00531B3B" w:rsidP="00531B3B">
            <w:pPr>
              <w:jc w:val="center"/>
            </w:pPr>
            <w:r>
              <w:t>277.2</w:t>
            </w:r>
          </w:p>
        </w:tc>
        <w:tc>
          <w:tcPr>
            <w:tcW w:w="1033" w:type="dxa"/>
            <w:shd w:val="clear" w:color="auto" w:fill="FFFFFF"/>
          </w:tcPr>
          <w:p w:rsidR="00AE18C8" w:rsidRPr="00525CBD" w:rsidRDefault="00C04562" w:rsidP="00C04562">
            <w:pPr>
              <w:jc w:val="center"/>
            </w:pPr>
            <w:r>
              <w:t>473.</w:t>
            </w:r>
            <w:r w:rsidR="00531B3B">
              <w:t>8</w:t>
            </w:r>
          </w:p>
        </w:tc>
      </w:tr>
      <w:tr w:rsidR="00AE18C8" w:rsidRPr="00B57B36" w:rsidTr="00C04562"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AE18C8" w:rsidRPr="00B57B36" w:rsidRDefault="00AE18C8" w:rsidP="00AE18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700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</w:tcPr>
          <w:p w:rsidR="00AE18C8" w:rsidRPr="003351B3" w:rsidRDefault="00AE18C8" w:rsidP="00AE18C8">
            <w:pPr>
              <w:jc w:val="center"/>
            </w:pPr>
            <w:r>
              <w:t>148.4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FFFFFF"/>
          </w:tcPr>
          <w:p w:rsidR="00AE18C8" w:rsidRPr="000D2A88" w:rsidRDefault="00531B3B" w:rsidP="00531B3B">
            <w:pPr>
              <w:jc w:val="center"/>
            </w:pPr>
            <w:r>
              <w:t>156.6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FFFFFF"/>
          </w:tcPr>
          <w:p w:rsidR="00AE18C8" w:rsidRPr="00ED2D9C" w:rsidRDefault="00531B3B" w:rsidP="00531B3B">
            <w:pPr>
              <w:jc w:val="center"/>
            </w:pPr>
            <w:r>
              <w:t>164.4</w:t>
            </w:r>
          </w:p>
        </w:tc>
        <w:tc>
          <w:tcPr>
            <w:tcW w:w="1032" w:type="dxa"/>
            <w:tcBorders>
              <w:bottom w:val="nil"/>
            </w:tcBorders>
            <w:shd w:val="clear" w:color="auto" w:fill="FFFFFF"/>
          </w:tcPr>
          <w:p w:rsidR="00AE18C8" w:rsidRPr="002B0C3D" w:rsidRDefault="00531B3B" w:rsidP="00531B3B">
            <w:pPr>
              <w:jc w:val="center"/>
            </w:pPr>
            <w:r>
              <w:t>176.</w:t>
            </w:r>
            <w:r w:rsidR="00AE18C8" w:rsidRPr="002B0C3D">
              <w:t>4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FFFFFF"/>
          </w:tcPr>
          <w:p w:rsidR="00AE18C8" w:rsidRPr="009D36E3" w:rsidRDefault="00531B3B" w:rsidP="00531B3B">
            <w:pPr>
              <w:jc w:val="center"/>
            </w:pPr>
            <w:r>
              <w:t>203.</w:t>
            </w:r>
            <w:r w:rsidR="00AE18C8" w:rsidRPr="009D36E3">
              <w:t>1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FFFFFF"/>
          </w:tcPr>
          <w:p w:rsidR="00AE18C8" w:rsidRPr="00E83807" w:rsidRDefault="00531B3B" w:rsidP="00531B3B">
            <w:pPr>
              <w:jc w:val="center"/>
            </w:pPr>
            <w:r>
              <w:t>254.9</w:t>
            </w:r>
          </w:p>
        </w:tc>
        <w:tc>
          <w:tcPr>
            <w:tcW w:w="1033" w:type="dxa"/>
            <w:tcBorders>
              <w:bottom w:val="nil"/>
            </w:tcBorders>
            <w:shd w:val="clear" w:color="auto" w:fill="FFFFFF"/>
          </w:tcPr>
          <w:p w:rsidR="00AE18C8" w:rsidRPr="00525CBD" w:rsidRDefault="00C04562" w:rsidP="00C04562">
            <w:pPr>
              <w:jc w:val="center"/>
            </w:pPr>
            <w:r>
              <w:t>464.</w:t>
            </w:r>
            <w:r w:rsidR="00AE18C8" w:rsidRPr="00525CBD">
              <w:t>7</w:t>
            </w:r>
          </w:p>
        </w:tc>
      </w:tr>
      <w:tr w:rsidR="00AE18C8" w:rsidRPr="00B57B36" w:rsidTr="00C04562"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AE18C8" w:rsidRPr="00B57B36" w:rsidRDefault="00AE18C8" w:rsidP="00AE18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800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</w:tcPr>
          <w:p w:rsidR="00AE18C8" w:rsidRPr="003351B3" w:rsidRDefault="00AE18C8" w:rsidP="00AE18C8">
            <w:pPr>
              <w:jc w:val="center"/>
            </w:pPr>
            <w:r>
              <w:t>151.2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</w:tcPr>
          <w:p w:rsidR="00AE18C8" w:rsidRPr="000D2A88" w:rsidRDefault="00531B3B" w:rsidP="00531B3B">
            <w:pPr>
              <w:jc w:val="center"/>
            </w:pPr>
            <w:r>
              <w:t>159.8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</w:tcPr>
          <w:p w:rsidR="00AE18C8" w:rsidRPr="00ED2D9C" w:rsidRDefault="00531B3B" w:rsidP="00531B3B">
            <w:pPr>
              <w:jc w:val="center"/>
            </w:pPr>
            <w:r>
              <w:t>167.</w:t>
            </w:r>
            <w:r w:rsidR="00AE18C8" w:rsidRPr="00ED2D9C">
              <w:t>9</w:t>
            </w:r>
          </w:p>
        </w:tc>
        <w:tc>
          <w:tcPr>
            <w:tcW w:w="1032" w:type="dxa"/>
            <w:tcBorders>
              <w:top w:val="nil"/>
              <w:bottom w:val="nil"/>
            </w:tcBorders>
            <w:shd w:val="clear" w:color="auto" w:fill="FFFFFF"/>
          </w:tcPr>
          <w:p w:rsidR="00AE18C8" w:rsidRPr="002B0C3D" w:rsidRDefault="00531B3B" w:rsidP="00531B3B">
            <w:pPr>
              <w:jc w:val="center"/>
            </w:pPr>
            <w:r>
              <w:t>180.6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</w:tcPr>
          <w:p w:rsidR="00AE18C8" w:rsidRPr="009D36E3" w:rsidRDefault="00531B3B" w:rsidP="00531B3B">
            <w:pPr>
              <w:jc w:val="center"/>
            </w:pPr>
            <w:r>
              <w:t>208.6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</w:tcPr>
          <w:p w:rsidR="00AE18C8" w:rsidRPr="00E83807" w:rsidRDefault="00531B3B" w:rsidP="00531B3B">
            <w:pPr>
              <w:jc w:val="center"/>
            </w:pPr>
            <w:r>
              <w:t>227.5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FFFFFF"/>
          </w:tcPr>
          <w:p w:rsidR="00AE18C8" w:rsidRPr="00525CBD" w:rsidRDefault="00C04562" w:rsidP="00C04562">
            <w:pPr>
              <w:jc w:val="center"/>
            </w:pPr>
            <w:r>
              <w:t>332.</w:t>
            </w:r>
            <w:r w:rsidR="00AE18C8" w:rsidRPr="00525CBD">
              <w:t>2</w:t>
            </w:r>
          </w:p>
        </w:tc>
      </w:tr>
      <w:tr w:rsidR="00AE18C8" w:rsidRPr="00B57B36" w:rsidTr="00C04562">
        <w:tc>
          <w:tcPr>
            <w:tcW w:w="709" w:type="dxa"/>
            <w:tcBorders>
              <w:top w:val="nil"/>
            </w:tcBorders>
            <w:shd w:val="clear" w:color="auto" w:fill="FFFFFF"/>
          </w:tcPr>
          <w:p w:rsidR="00AE18C8" w:rsidRPr="00B57B36" w:rsidRDefault="00AE18C8" w:rsidP="00AE18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B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600</w:t>
            </w:r>
          </w:p>
        </w:tc>
        <w:tc>
          <w:tcPr>
            <w:tcW w:w="1032" w:type="dxa"/>
            <w:tcBorders>
              <w:top w:val="nil"/>
            </w:tcBorders>
            <w:shd w:val="clear" w:color="auto" w:fill="FFFFFF"/>
          </w:tcPr>
          <w:p w:rsidR="00AE18C8" w:rsidRPr="003351B3" w:rsidRDefault="00AE18C8" w:rsidP="00AE18C8">
            <w:pPr>
              <w:jc w:val="center"/>
            </w:pPr>
            <w:r>
              <w:t>147.8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FFFFFF"/>
          </w:tcPr>
          <w:p w:rsidR="00AE18C8" w:rsidRPr="000D2A88" w:rsidRDefault="00531B3B" w:rsidP="00531B3B">
            <w:pPr>
              <w:jc w:val="center"/>
            </w:pPr>
            <w:r>
              <w:t>155.</w:t>
            </w:r>
            <w:r w:rsidR="00AE18C8" w:rsidRPr="000D2A88">
              <w:t>8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FFFFFF"/>
          </w:tcPr>
          <w:p w:rsidR="00AE18C8" w:rsidRPr="00ED2D9C" w:rsidRDefault="00531B3B" w:rsidP="00531B3B">
            <w:pPr>
              <w:jc w:val="center"/>
            </w:pPr>
            <w:r>
              <w:t>163.5</w:t>
            </w:r>
          </w:p>
        </w:tc>
        <w:tc>
          <w:tcPr>
            <w:tcW w:w="1032" w:type="dxa"/>
            <w:tcBorders>
              <w:top w:val="nil"/>
            </w:tcBorders>
            <w:shd w:val="clear" w:color="auto" w:fill="FFFFFF"/>
          </w:tcPr>
          <w:p w:rsidR="00AE18C8" w:rsidRPr="002B0C3D" w:rsidRDefault="00531B3B" w:rsidP="00531B3B">
            <w:pPr>
              <w:jc w:val="center"/>
            </w:pPr>
            <w:r>
              <w:t>175.3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FFFFFF"/>
          </w:tcPr>
          <w:p w:rsidR="00AE18C8" w:rsidRPr="009D36E3" w:rsidRDefault="00531B3B" w:rsidP="00531B3B">
            <w:pPr>
              <w:jc w:val="center"/>
            </w:pPr>
            <w:r>
              <w:t>201.</w:t>
            </w:r>
            <w:r w:rsidR="00AE18C8" w:rsidRPr="009D36E3">
              <w:t>3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FFFFFF"/>
          </w:tcPr>
          <w:p w:rsidR="00AE18C8" w:rsidRPr="00E83807" w:rsidRDefault="00531B3B" w:rsidP="00531B3B">
            <w:pPr>
              <w:jc w:val="center"/>
            </w:pPr>
            <w:r>
              <w:t>255.</w:t>
            </w:r>
            <w:r w:rsidR="00AE18C8" w:rsidRPr="00E83807">
              <w:t>9</w:t>
            </w:r>
          </w:p>
        </w:tc>
        <w:tc>
          <w:tcPr>
            <w:tcW w:w="1033" w:type="dxa"/>
            <w:tcBorders>
              <w:top w:val="nil"/>
            </w:tcBorders>
            <w:shd w:val="clear" w:color="auto" w:fill="FFFFFF"/>
          </w:tcPr>
          <w:p w:rsidR="00AE18C8" w:rsidRPr="00525CBD" w:rsidRDefault="00C04562" w:rsidP="00C04562">
            <w:pPr>
              <w:jc w:val="center"/>
            </w:pPr>
            <w:r>
              <w:t>410.</w:t>
            </w:r>
            <w:r w:rsidR="00AE18C8" w:rsidRPr="00525CBD">
              <w:t>8</w:t>
            </w:r>
          </w:p>
        </w:tc>
      </w:tr>
      <w:tr w:rsidR="00AE18C8" w:rsidRPr="00B57B36" w:rsidTr="00C04562">
        <w:tc>
          <w:tcPr>
            <w:tcW w:w="709" w:type="dxa"/>
            <w:shd w:val="clear" w:color="auto" w:fill="FFFFFF"/>
          </w:tcPr>
          <w:p w:rsidR="00AE18C8" w:rsidRPr="00B57B36" w:rsidRDefault="00AE18C8" w:rsidP="00AE18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700</w:t>
            </w:r>
          </w:p>
        </w:tc>
        <w:tc>
          <w:tcPr>
            <w:tcW w:w="1032" w:type="dxa"/>
            <w:shd w:val="clear" w:color="auto" w:fill="FFFFFF"/>
          </w:tcPr>
          <w:p w:rsidR="00AE18C8" w:rsidRPr="003351B3" w:rsidRDefault="00AE18C8" w:rsidP="00AE18C8">
            <w:pPr>
              <w:jc w:val="center"/>
            </w:pPr>
            <w:r>
              <w:t>131.</w:t>
            </w:r>
            <w:r w:rsidRPr="003351B3">
              <w:t>3</w:t>
            </w:r>
          </w:p>
        </w:tc>
        <w:tc>
          <w:tcPr>
            <w:tcW w:w="1033" w:type="dxa"/>
            <w:shd w:val="clear" w:color="auto" w:fill="FFFFFF"/>
          </w:tcPr>
          <w:p w:rsidR="00AE18C8" w:rsidRPr="000D2A88" w:rsidRDefault="00531B3B" w:rsidP="00531B3B">
            <w:pPr>
              <w:jc w:val="center"/>
            </w:pPr>
            <w:r>
              <w:t>137.</w:t>
            </w:r>
            <w:r w:rsidR="00AE18C8" w:rsidRPr="000D2A88">
              <w:t>9</w:t>
            </w:r>
          </w:p>
        </w:tc>
        <w:tc>
          <w:tcPr>
            <w:tcW w:w="1033" w:type="dxa"/>
            <w:shd w:val="clear" w:color="auto" w:fill="FFFFFF"/>
          </w:tcPr>
          <w:p w:rsidR="00AE18C8" w:rsidRPr="00ED2D9C" w:rsidRDefault="00531B3B" w:rsidP="00531B3B">
            <w:pPr>
              <w:jc w:val="center"/>
            </w:pPr>
            <w:r>
              <w:t>144.1</w:t>
            </w:r>
          </w:p>
        </w:tc>
        <w:tc>
          <w:tcPr>
            <w:tcW w:w="1032" w:type="dxa"/>
            <w:shd w:val="clear" w:color="auto" w:fill="FFFFFF"/>
          </w:tcPr>
          <w:p w:rsidR="00AE18C8" w:rsidRPr="002B0C3D" w:rsidRDefault="00531B3B" w:rsidP="00531B3B">
            <w:pPr>
              <w:jc w:val="center"/>
            </w:pPr>
            <w:r>
              <w:t>153.</w:t>
            </w:r>
            <w:r w:rsidR="00AE18C8" w:rsidRPr="002B0C3D">
              <w:t>5</w:t>
            </w:r>
          </w:p>
        </w:tc>
        <w:tc>
          <w:tcPr>
            <w:tcW w:w="1033" w:type="dxa"/>
            <w:shd w:val="clear" w:color="auto" w:fill="FFFFFF"/>
          </w:tcPr>
          <w:p w:rsidR="00AE18C8" w:rsidRPr="009D36E3" w:rsidRDefault="00531B3B" w:rsidP="00531B3B">
            <w:pPr>
              <w:jc w:val="center"/>
            </w:pPr>
            <w:r>
              <w:t>174.</w:t>
            </w:r>
            <w:r w:rsidR="00AE18C8" w:rsidRPr="009D36E3">
              <w:t>3</w:t>
            </w:r>
          </w:p>
        </w:tc>
        <w:tc>
          <w:tcPr>
            <w:tcW w:w="1033" w:type="dxa"/>
            <w:shd w:val="clear" w:color="auto" w:fill="FFFFFF"/>
          </w:tcPr>
          <w:p w:rsidR="00AE18C8" w:rsidRPr="00E83807" w:rsidRDefault="00AE18C8" w:rsidP="00531B3B">
            <w:pPr>
              <w:jc w:val="center"/>
            </w:pPr>
            <w:r w:rsidRPr="00E83807">
              <w:t>2</w:t>
            </w:r>
            <w:r w:rsidR="00531B3B">
              <w:t>10.4</w:t>
            </w:r>
          </w:p>
        </w:tc>
        <w:tc>
          <w:tcPr>
            <w:tcW w:w="1033" w:type="dxa"/>
            <w:shd w:val="clear" w:color="auto" w:fill="FFFFFF"/>
          </w:tcPr>
          <w:p w:rsidR="00AE18C8" w:rsidRPr="00525CBD" w:rsidRDefault="00C04562" w:rsidP="00C04562">
            <w:pPr>
              <w:jc w:val="center"/>
            </w:pPr>
            <w:r>
              <w:t>336.6</w:t>
            </w:r>
          </w:p>
        </w:tc>
      </w:tr>
      <w:tr w:rsidR="00AE18C8" w:rsidRPr="00B57B36" w:rsidTr="00C04562">
        <w:tc>
          <w:tcPr>
            <w:tcW w:w="709" w:type="dxa"/>
            <w:shd w:val="clear" w:color="auto" w:fill="FFFFFF"/>
          </w:tcPr>
          <w:p w:rsidR="00AE18C8" w:rsidRPr="00B57B36" w:rsidRDefault="00AE18C8" w:rsidP="00AE18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800</w:t>
            </w:r>
          </w:p>
        </w:tc>
        <w:tc>
          <w:tcPr>
            <w:tcW w:w="1032" w:type="dxa"/>
            <w:shd w:val="clear" w:color="auto" w:fill="FFFFFF"/>
          </w:tcPr>
          <w:p w:rsidR="00AE18C8" w:rsidRPr="003351B3" w:rsidRDefault="00AE18C8" w:rsidP="00AE18C8">
            <w:pPr>
              <w:jc w:val="center"/>
            </w:pPr>
            <w:r>
              <w:t>130.9</w:t>
            </w:r>
          </w:p>
        </w:tc>
        <w:tc>
          <w:tcPr>
            <w:tcW w:w="1033" w:type="dxa"/>
            <w:shd w:val="clear" w:color="auto" w:fill="FFFFFF"/>
          </w:tcPr>
          <w:p w:rsidR="00AE18C8" w:rsidRPr="000D2A88" w:rsidRDefault="00531B3B" w:rsidP="00531B3B">
            <w:pPr>
              <w:jc w:val="center"/>
            </w:pPr>
            <w:r>
              <w:t>137.</w:t>
            </w:r>
            <w:r w:rsidR="00AE18C8" w:rsidRPr="000D2A88">
              <w:t>3</w:t>
            </w:r>
          </w:p>
        </w:tc>
        <w:tc>
          <w:tcPr>
            <w:tcW w:w="1033" w:type="dxa"/>
            <w:shd w:val="clear" w:color="auto" w:fill="FFFFFF"/>
          </w:tcPr>
          <w:p w:rsidR="00AE18C8" w:rsidRPr="00ED2D9C" w:rsidRDefault="00531B3B" w:rsidP="00531B3B">
            <w:pPr>
              <w:jc w:val="center"/>
            </w:pPr>
            <w:r>
              <w:t>143.5</w:t>
            </w:r>
          </w:p>
        </w:tc>
        <w:tc>
          <w:tcPr>
            <w:tcW w:w="1032" w:type="dxa"/>
            <w:shd w:val="clear" w:color="auto" w:fill="FFFFFF"/>
          </w:tcPr>
          <w:p w:rsidR="00AE18C8" w:rsidRPr="002B0C3D" w:rsidRDefault="00531B3B" w:rsidP="00531B3B">
            <w:pPr>
              <w:jc w:val="center"/>
            </w:pPr>
            <w:r>
              <w:t>152.</w:t>
            </w:r>
            <w:r w:rsidR="00AE18C8" w:rsidRPr="002B0C3D">
              <w:t>9</w:t>
            </w:r>
          </w:p>
        </w:tc>
        <w:tc>
          <w:tcPr>
            <w:tcW w:w="1033" w:type="dxa"/>
            <w:shd w:val="clear" w:color="auto" w:fill="FFFFFF"/>
          </w:tcPr>
          <w:p w:rsidR="00AE18C8" w:rsidRPr="009D36E3" w:rsidRDefault="00531B3B" w:rsidP="00531B3B">
            <w:pPr>
              <w:jc w:val="center"/>
            </w:pPr>
            <w:r>
              <w:t>173.5</w:t>
            </w:r>
          </w:p>
        </w:tc>
        <w:tc>
          <w:tcPr>
            <w:tcW w:w="1033" w:type="dxa"/>
            <w:shd w:val="clear" w:color="auto" w:fill="FFFFFF"/>
          </w:tcPr>
          <w:p w:rsidR="00AE18C8" w:rsidRPr="00E83807" w:rsidRDefault="00531B3B" w:rsidP="00531B3B">
            <w:pPr>
              <w:jc w:val="center"/>
            </w:pPr>
            <w:r>
              <w:t>191.</w:t>
            </w:r>
            <w:r w:rsidR="00AE18C8" w:rsidRPr="00E83807">
              <w:t>9</w:t>
            </w:r>
          </w:p>
        </w:tc>
        <w:tc>
          <w:tcPr>
            <w:tcW w:w="1033" w:type="dxa"/>
            <w:shd w:val="clear" w:color="auto" w:fill="FFFFFF"/>
          </w:tcPr>
          <w:p w:rsidR="00AE18C8" w:rsidRPr="00525CBD" w:rsidRDefault="00C04562" w:rsidP="00C04562">
            <w:pPr>
              <w:jc w:val="center"/>
            </w:pPr>
            <w:r>
              <w:t>345.6</w:t>
            </w:r>
          </w:p>
        </w:tc>
      </w:tr>
      <w:tr w:rsidR="00AE18C8" w:rsidRPr="00B57B36" w:rsidTr="00C04562">
        <w:tc>
          <w:tcPr>
            <w:tcW w:w="709" w:type="dxa"/>
            <w:shd w:val="clear" w:color="auto" w:fill="FFFFFF"/>
          </w:tcPr>
          <w:p w:rsidR="00AE18C8" w:rsidRPr="00B57B36" w:rsidRDefault="00AE18C8" w:rsidP="00AE18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</w:t>
            </w:r>
          </w:p>
        </w:tc>
        <w:tc>
          <w:tcPr>
            <w:tcW w:w="851" w:type="dxa"/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600</w:t>
            </w:r>
          </w:p>
        </w:tc>
        <w:tc>
          <w:tcPr>
            <w:tcW w:w="1032" w:type="dxa"/>
            <w:shd w:val="clear" w:color="auto" w:fill="FFFFFF"/>
          </w:tcPr>
          <w:p w:rsidR="00AE18C8" w:rsidRPr="003351B3" w:rsidRDefault="00AE18C8" w:rsidP="00AE18C8">
            <w:pPr>
              <w:jc w:val="center"/>
            </w:pPr>
            <w:r>
              <w:t>167.4</w:t>
            </w:r>
          </w:p>
        </w:tc>
        <w:tc>
          <w:tcPr>
            <w:tcW w:w="1033" w:type="dxa"/>
            <w:shd w:val="clear" w:color="auto" w:fill="FFFFFF"/>
          </w:tcPr>
          <w:p w:rsidR="00AE18C8" w:rsidRPr="000D2A88" w:rsidRDefault="00531B3B" w:rsidP="00531B3B">
            <w:pPr>
              <w:jc w:val="center"/>
            </w:pPr>
            <w:r>
              <w:t>177.</w:t>
            </w:r>
            <w:r w:rsidR="00AE18C8" w:rsidRPr="000D2A88">
              <w:t>2</w:t>
            </w:r>
          </w:p>
        </w:tc>
        <w:tc>
          <w:tcPr>
            <w:tcW w:w="1033" w:type="dxa"/>
            <w:shd w:val="clear" w:color="auto" w:fill="FFFFFF"/>
          </w:tcPr>
          <w:p w:rsidR="00AE18C8" w:rsidRPr="00ED2D9C" w:rsidRDefault="00531B3B" w:rsidP="00531B3B">
            <w:pPr>
              <w:jc w:val="center"/>
            </w:pPr>
            <w:r>
              <w:t>186.7</w:t>
            </w:r>
          </w:p>
        </w:tc>
        <w:tc>
          <w:tcPr>
            <w:tcW w:w="1032" w:type="dxa"/>
            <w:shd w:val="clear" w:color="auto" w:fill="FFFFFF"/>
          </w:tcPr>
          <w:p w:rsidR="00AE18C8" w:rsidRPr="002B0C3D" w:rsidRDefault="00531B3B" w:rsidP="00531B3B">
            <w:pPr>
              <w:jc w:val="center"/>
            </w:pPr>
            <w:r>
              <w:t>201.3</w:t>
            </w:r>
          </w:p>
        </w:tc>
        <w:tc>
          <w:tcPr>
            <w:tcW w:w="1033" w:type="dxa"/>
            <w:shd w:val="clear" w:color="auto" w:fill="FFFFFF"/>
          </w:tcPr>
          <w:p w:rsidR="00AE18C8" w:rsidRPr="009D36E3" w:rsidRDefault="00531B3B" w:rsidP="00531B3B">
            <w:pPr>
              <w:jc w:val="center"/>
            </w:pPr>
            <w:r>
              <w:t>233.</w:t>
            </w:r>
            <w:r w:rsidR="00AE18C8" w:rsidRPr="009D36E3">
              <w:t>9</w:t>
            </w:r>
          </w:p>
        </w:tc>
        <w:tc>
          <w:tcPr>
            <w:tcW w:w="1033" w:type="dxa"/>
            <w:shd w:val="clear" w:color="auto" w:fill="FFFFFF"/>
          </w:tcPr>
          <w:p w:rsidR="00AE18C8" w:rsidRPr="00E83807" w:rsidRDefault="00531B3B" w:rsidP="00531B3B">
            <w:pPr>
              <w:jc w:val="center"/>
            </w:pPr>
            <w:r>
              <w:t>263.2</w:t>
            </w:r>
          </w:p>
        </w:tc>
        <w:tc>
          <w:tcPr>
            <w:tcW w:w="1033" w:type="dxa"/>
            <w:shd w:val="clear" w:color="auto" w:fill="FFFFFF"/>
          </w:tcPr>
          <w:p w:rsidR="00AE18C8" w:rsidRPr="00525CBD" w:rsidRDefault="00C04562" w:rsidP="00C04562">
            <w:pPr>
              <w:jc w:val="center"/>
            </w:pPr>
            <w:r>
              <w:t>336.8</w:t>
            </w:r>
          </w:p>
        </w:tc>
      </w:tr>
      <w:tr w:rsidR="00AE18C8" w:rsidRPr="00B57B36" w:rsidTr="00C04562">
        <w:tc>
          <w:tcPr>
            <w:tcW w:w="709" w:type="dxa"/>
            <w:shd w:val="clear" w:color="auto" w:fill="FFFFFF"/>
          </w:tcPr>
          <w:p w:rsidR="00AE18C8" w:rsidRPr="00B57B36" w:rsidRDefault="00AE18C8" w:rsidP="00AE18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700</w:t>
            </w:r>
          </w:p>
        </w:tc>
        <w:tc>
          <w:tcPr>
            <w:tcW w:w="1032" w:type="dxa"/>
            <w:shd w:val="clear" w:color="auto" w:fill="FFFFFF"/>
          </w:tcPr>
          <w:p w:rsidR="00AE18C8" w:rsidRPr="003351B3" w:rsidRDefault="00AE18C8" w:rsidP="00AE18C8">
            <w:pPr>
              <w:jc w:val="center"/>
            </w:pPr>
            <w:r>
              <w:t>157.1</w:t>
            </w:r>
          </w:p>
        </w:tc>
        <w:tc>
          <w:tcPr>
            <w:tcW w:w="1033" w:type="dxa"/>
            <w:shd w:val="clear" w:color="auto" w:fill="FFFFFF"/>
          </w:tcPr>
          <w:p w:rsidR="00AE18C8" w:rsidRPr="000D2A88" w:rsidRDefault="00AE18C8" w:rsidP="00531B3B">
            <w:pPr>
              <w:jc w:val="center"/>
            </w:pPr>
            <w:r w:rsidRPr="000D2A88">
              <w:t>16</w:t>
            </w:r>
            <w:r w:rsidR="00531B3B">
              <w:t>6</w:t>
            </w:r>
          </w:p>
        </w:tc>
        <w:tc>
          <w:tcPr>
            <w:tcW w:w="1033" w:type="dxa"/>
            <w:tcBorders>
              <w:bottom w:val="single" w:sz="4" w:space="0" w:color="9BBB59" w:themeColor="accent3"/>
            </w:tcBorders>
            <w:shd w:val="clear" w:color="auto" w:fill="FFFFFF"/>
          </w:tcPr>
          <w:p w:rsidR="00AE18C8" w:rsidRPr="00ED2D9C" w:rsidRDefault="00531B3B" w:rsidP="00531B3B">
            <w:pPr>
              <w:jc w:val="center"/>
            </w:pPr>
            <w:r>
              <w:t>174.</w:t>
            </w:r>
            <w:r w:rsidR="00AE18C8" w:rsidRPr="00ED2D9C">
              <w:t>4</w:t>
            </w:r>
          </w:p>
        </w:tc>
        <w:tc>
          <w:tcPr>
            <w:tcW w:w="1032" w:type="dxa"/>
            <w:shd w:val="clear" w:color="auto" w:fill="FFFFFF"/>
          </w:tcPr>
          <w:p w:rsidR="00AE18C8" w:rsidRPr="002B0C3D" w:rsidRDefault="00531B3B" w:rsidP="00531B3B">
            <w:pPr>
              <w:jc w:val="center"/>
            </w:pPr>
            <w:r>
              <w:t>187.5</w:t>
            </w:r>
          </w:p>
        </w:tc>
        <w:tc>
          <w:tcPr>
            <w:tcW w:w="1033" w:type="dxa"/>
            <w:shd w:val="clear" w:color="auto" w:fill="FFFFFF"/>
          </w:tcPr>
          <w:p w:rsidR="00AE18C8" w:rsidRPr="009D36E3" w:rsidRDefault="00531B3B" w:rsidP="00531B3B">
            <w:pPr>
              <w:jc w:val="center"/>
            </w:pPr>
            <w:r>
              <w:t>216.4</w:t>
            </w:r>
          </w:p>
        </w:tc>
        <w:tc>
          <w:tcPr>
            <w:tcW w:w="1033" w:type="dxa"/>
            <w:shd w:val="clear" w:color="auto" w:fill="FFFFFF"/>
          </w:tcPr>
          <w:p w:rsidR="00AE18C8" w:rsidRPr="00E83807" w:rsidRDefault="00531B3B" w:rsidP="00531B3B">
            <w:pPr>
              <w:jc w:val="center"/>
            </w:pPr>
            <w:r>
              <w:t>216.</w:t>
            </w:r>
            <w:r w:rsidR="00AE18C8" w:rsidRPr="00E83807">
              <w:t>7</w:t>
            </w:r>
          </w:p>
        </w:tc>
        <w:tc>
          <w:tcPr>
            <w:tcW w:w="1033" w:type="dxa"/>
            <w:shd w:val="clear" w:color="auto" w:fill="FFFFFF"/>
          </w:tcPr>
          <w:p w:rsidR="00AE18C8" w:rsidRPr="00525CBD" w:rsidRDefault="00C04562" w:rsidP="00C04562">
            <w:pPr>
              <w:jc w:val="center"/>
            </w:pPr>
            <w:r>
              <w:t>312.</w:t>
            </w:r>
            <w:r w:rsidR="00AE18C8" w:rsidRPr="00525CBD">
              <w:t>4</w:t>
            </w:r>
          </w:p>
        </w:tc>
      </w:tr>
      <w:tr w:rsidR="00AE18C8" w:rsidRPr="00B57B36" w:rsidTr="00C04562">
        <w:tc>
          <w:tcPr>
            <w:tcW w:w="709" w:type="dxa"/>
            <w:shd w:val="clear" w:color="auto" w:fill="FFFFFF"/>
          </w:tcPr>
          <w:p w:rsidR="00AE18C8" w:rsidRPr="00B57B36" w:rsidRDefault="00AE18C8" w:rsidP="00AE18C8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1" w:type="dxa"/>
            <w:shd w:val="clear" w:color="auto" w:fill="FFFFFF"/>
          </w:tcPr>
          <w:p w:rsidR="00AE18C8" w:rsidRPr="005F605E" w:rsidRDefault="00AE18C8" w:rsidP="00AE18C8">
            <w:pPr>
              <w:jc w:val="center"/>
            </w:pPr>
            <w:r>
              <w:t>800</w:t>
            </w:r>
          </w:p>
        </w:tc>
        <w:tc>
          <w:tcPr>
            <w:tcW w:w="1032" w:type="dxa"/>
            <w:shd w:val="clear" w:color="auto" w:fill="FFFFFF"/>
          </w:tcPr>
          <w:p w:rsidR="00AE18C8" w:rsidRDefault="00AE18C8" w:rsidP="00AE18C8">
            <w:pPr>
              <w:jc w:val="center"/>
            </w:pPr>
            <w:r>
              <w:t>166.</w:t>
            </w:r>
            <w:r w:rsidRPr="003351B3">
              <w:t>6</w:t>
            </w:r>
          </w:p>
        </w:tc>
        <w:tc>
          <w:tcPr>
            <w:tcW w:w="1033" w:type="dxa"/>
            <w:shd w:val="clear" w:color="auto" w:fill="FFFFFF"/>
          </w:tcPr>
          <w:p w:rsidR="00AE18C8" w:rsidRDefault="00531B3B" w:rsidP="00531B3B">
            <w:pPr>
              <w:jc w:val="center"/>
            </w:pPr>
            <w:r>
              <w:t>176.</w:t>
            </w:r>
            <w:r w:rsidR="00AE18C8" w:rsidRPr="000D2A88">
              <w:t>1</w:t>
            </w:r>
          </w:p>
        </w:tc>
        <w:tc>
          <w:tcPr>
            <w:tcW w:w="1033" w:type="dxa"/>
            <w:tcBorders>
              <w:top w:val="single" w:sz="4" w:space="0" w:color="9BBB59" w:themeColor="accent3"/>
            </w:tcBorders>
            <w:shd w:val="clear" w:color="auto" w:fill="FFFFFF"/>
          </w:tcPr>
          <w:p w:rsidR="00AE18C8" w:rsidRDefault="00531B3B" w:rsidP="00531B3B">
            <w:pPr>
              <w:jc w:val="center"/>
            </w:pPr>
            <w:r>
              <w:t>185.</w:t>
            </w:r>
            <w:r w:rsidR="00AE18C8" w:rsidRPr="00ED2D9C">
              <w:t>2</w:t>
            </w:r>
          </w:p>
        </w:tc>
        <w:tc>
          <w:tcPr>
            <w:tcW w:w="1032" w:type="dxa"/>
            <w:shd w:val="clear" w:color="auto" w:fill="FFFFFF"/>
          </w:tcPr>
          <w:p w:rsidR="00AE18C8" w:rsidRDefault="00531B3B" w:rsidP="00531B3B">
            <w:pPr>
              <w:jc w:val="center"/>
            </w:pPr>
            <w:r>
              <w:t>199.3</w:t>
            </w:r>
          </w:p>
        </w:tc>
        <w:tc>
          <w:tcPr>
            <w:tcW w:w="1033" w:type="dxa"/>
            <w:shd w:val="clear" w:color="auto" w:fill="FFFFFF"/>
          </w:tcPr>
          <w:p w:rsidR="00AE18C8" w:rsidRDefault="00531B3B" w:rsidP="00531B3B">
            <w:pPr>
              <w:jc w:val="center"/>
            </w:pPr>
            <w:r>
              <w:t>230.5</w:t>
            </w:r>
          </w:p>
        </w:tc>
        <w:tc>
          <w:tcPr>
            <w:tcW w:w="1033" w:type="dxa"/>
            <w:shd w:val="clear" w:color="auto" w:fill="FFFFFF"/>
          </w:tcPr>
          <w:p w:rsidR="00AE18C8" w:rsidRDefault="00531B3B" w:rsidP="00531B3B">
            <w:pPr>
              <w:jc w:val="center"/>
            </w:pPr>
            <w:r>
              <w:t>189.9</w:t>
            </w:r>
          </w:p>
        </w:tc>
        <w:tc>
          <w:tcPr>
            <w:tcW w:w="1033" w:type="dxa"/>
            <w:shd w:val="clear" w:color="auto" w:fill="FFFFFF"/>
          </w:tcPr>
          <w:p w:rsidR="00AE18C8" w:rsidRDefault="00AE18C8" w:rsidP="00C04562">
            <w:pPr>
              <w:jc w:val="center"/>
            </w:pPr>
            <w:r w:rsidRPr="00525CBD">
              <w:t>27</w:t>
            </w:r>
            <w:r w:rsidR="00C04562">
              <w:t>2</w:t>
            </w:r>
          </w:p>
        </w:tc>
      </w:tr>
    </w:tbl>
    <w:p w:rsidR="00F80947" w:rsidRPr="00CE1893" w:rsidRDefault="00032E32" w:rsidP="00F80947">
      <w:pPr>
        <w:pStyle w:val="CETTabletitle"/>
        <w:spacing w:before="0" w:after="0"/>
        <w:rPr>
          <w:i w:val="0"/>
        </w:rPr>
      </w:pPr>
      <w:r w:rsidRPr="00CE1893">
        <w:rPr>
          <w:i w:val="0"/>
          <w:sz w:val="16"/>
          <w:szCs w:val="16"/>
        </w:rPr>
        <w:t xml:space="preserve">Note: </w:t>
      </w:r>
      <w:r w:rsidRPr="00CE1893">
        <w:rPr>
          <w:i w:val="0"/>
          <w:sz w:val="16"/>
          <w:szCs w:val="16"/>
          <w:vertAlign w:val="superscript"/>
        </w:rPr>
        <w:t>*1</w:t>
      </w:r>
      <w:r w:rsidRPr="00CE1893">
        <w:rPr>
          <w:i w:val="0"/>
          <w:sz w:val="16"/>
          <w:szCs w:val="16"/>
        </w:rPr>
        <w:t xml:space="preserve"> </w:t>
      </w:r>
      <w:r>
        <w:rPr>
          <w:i w:val="0"/>
          <w:sz w:val="16"/>
          <w:szCs w:val="16"/>
        </w:rPr>
        <w:t>average size of 1 % of the largest drops.</w:t>
      </w:r>
      <w:r w:rsidR="00F80947" w:rsidRPr="00F80947">
        <w:rPr>
          <w:i w:val="0"/>
          <w:sz w:val="16"/>
          <w:szCs w:val="16"/>
          <w:vertAlign w:val="superscript"/>
        </w:rPr>
        <w:t xml:space="preserve"> </w:t>
      </w:r>
      <w:r w:rsidR="00F80947">
        <w:rPr>
          <w:i w:val="0"/>
          <w:sz w:val="16"/>
          <w:szCs w:val="16"/>
          <w:vertAlign w:val="superscript"/>
        </w:rPr>
        <w:t>*2</w:t>
      </w:r>
      <w:r w:rsidR="00F80947" w:rsidRPr="00CE1893">
        <w:rPr>
          <w:i w:val="0"/>
          <w:sz w:val="16"/>
          <w:szCs w:val="16"/>
        </w:rPr>
        <w:t xml:space="preserve"> </w:t>
      </w:r>
      <w:r w:rsidR="00F80947">
        <w:rPr>
          <w:i w:val="0"/>
          <w:sz w:val="16"/>
          <w:szCs w:val="16"/>
        </w:rPr>
        <w:t>maximum drop size experimentally observed.</w:t>
      </w:r>
    </w:p>
    <w:p w:rsidR="00D90B61" w:rsidRDefault="00D90B61" w:rsidP="00600535">
      <w:pPr>
        <w:pStyle w:val="CETHeading1"/>
        <w:rPr>
          <w:lang w:val="en-GB"/>
        </w:rPr>
      </w:pPr>
      <w:r>
        <w:rPr>
          <w:lang w:val="en-GB"/>
        </w:rPr>
        <w:t>Results and Discussion</w:t>
      </w:r>
    </w:p>
    <w:p w:rsidR="00CC6009" w:rsidRPr="00B57B36" w:rsidRDefault="0095163C" w:rsidP="00CC6009">
      <w:pPr>
        <w:pStyle w:val="CETheadingx"/>
      </w:pPr>
      <w:r>
        <w:t>Multifractal exponent - e</w:t>
      </w:r>
      <w:r w:rsidR="00D46152">
        <w:t xml:space="preserve">ffect of </w:t>
      </w:r>
      <w:r w:rsidR="002312FB">
        <w:t xml:space="preserve">internal </w:t>
      </w:r>
      <w:r w:rsidR="00D46152">
        <w:t>intermittency</w:t>
      </w:r>
      <w:r w:rsidR="001207AD">
        <w:t xml:space="preserve"> </w:t>
      </w:r>
    </w:p>
    <w:p w:rsidR="00677622" w:rsidRDefault="00F8600C" w:rsidP="00677622">
      <w:pPr>
        <w:pStyle w:val="PRESBodytext"/>
        <w:rPr>
          <w:lang w:val="en-GB"/>
        </w:rPr>
      </w:pPr>
      <w:r w:rsidRPr="006460A4">
        <w:rPr>
          <w:lang w:val="en-GB"/>
        </w:rPr>
        <w:t>The maximum dro</w:t>
      </w:r>
      <w:r w:rsidR="00C444A7">
        <w:rPr>
          <w:lang w:val="en-GB"/>
        </w:rPr>
        <w:t>p sizes estimated by the above</w:t>
      </w:r>
      <w:r w:rsidR="007A0B11">
        <w:rPr>
          <w:lang w:val="en-GB"/>
        </w:rPr>
        <w:t>-</w:t>
      </w:r>
      <w:r w:rsidR="00C444A7">
        <w:rPr>
          <w:lang w:val="en-GB"/>
        </w:rPr>
        <w:t xml:space="preserve">mentioned </w:t>
      </w:r>
      <w:r w:rsidRPr="006460A4">
        <w:rPr>
          <w:lang w:val="en-GB"/>
        </w:rPr>
        <w:t xml:space="preserve">procedure were correlated with the </w:t>
      </w:r>
      <w:r w:rsidR="00596546">
        <w:rPr>
          <w:lang w:val="en-GB"/>
        </w:rPr>
        <w:t>impeller Weber number using Eq</w:t>
      </w:r>
      <w:r w:rsidRPr="006460A4">
        <w:rPr>
          <w:lang w:val="en-GB"/>
        </w:rPr>
        <w:t>(</w:t>
      </w:r>
      <w:r w:rsidR="00596546">
        <w:rPr>
          <w:lang w:val="en-GB"/>
        </w:rPr>
        <w:t>3</w:t>
      </w:r>
      <w:r w:rsidR="00C444A7">
        <w:rPr>
          <w:lang w:val="en-GB"/>
        </w:rPr>
        <w:t>), and the m</w:t>
      </w:r>
      <w:r w:rsidR="00C444A7" w:rsidRPr="006460A4">
        <w:rPr>
          <w:lang w:val="en-GB"/>
        </w:rPr>
        <w:t xml:space="preserve">ultifractal exponents </w:t>
      </w:r>
      <w:r w:rsidR="00C444A7" w:rsidRPr="00C444A7">
        <w:rPr>
          <w:rFonts w:ascii="Symbol" w:hAnsi="Symbol"/>
          <w:lang w:val="en-GB"/>
        </w:rPr>
        <w:t></w:t>
      </w:r>
      <w:r w:rsidR="00C444A7" w:rsidRPr="00C444A7">
        <w:rPr>
          <w:vertAlign w:val="subscript"/>
          <w:lang w:val="en-GB"/>
        </w:rPr>
        <w:t>FT</w:t>
      </w:r>
      <w:r w:rsidR="00C444A7">
        <w:rPr>
          <w:vertAlign w:val="subscript"/>
          <w:lang w:val="en-GB"/>
        </w:rPr>
        <w:t xml:space="preserve"> </w:t>
      </w:r>
      <w:r w:rsidR="00C444A7">
        <w:rPr>
          <w:lang w:val="en-GB"/>
        </w:rPr>
        <w:t xml:space="preserve">were evaluated </w:t>
      </w:r>
      <w:r w:rsidR="00C444A7" w:rsidRPr="006460A4">
        <w:rPr>
          <w:lang w:val="en-GB"/>
        </w:rPr>
        <w:t>for each region</w:t>
      </w:r>
      <w:r w:rsidR="00C444A7">
        <w:rPr>
          <w:lang w:val="en-GB"/>
        </w:rPr>
        <w:t xml:space="preserve">. The calculated exponents </w:t>
      </w:r>
      <w:r w:rsidR="00C444A7" w:rsidRPr="00C444A7">
        <w:rPr>
          <w:rFonts w:ascii="Symbol" w:hAnsi="Symbol"/>
          <w:lang w:val="en-GB"/>
        </w:rPr>
        <w:t></w:t>
      </w:r>
      <w:r w:rsidR="00C444A7" w:rsidRPr="00C444A7">
        <w:rPr>
          <w:vertAlign w:val="subscript"/>
          <w:lang w:val="en-GB"/>
        </w:rPr>
        <w:t>FT</w:t>
      </w:r>
      <w:r w:rsidR="00C444A7" w:rsidRPr="006460A4">
        <w:rPr>
          <w:lang w:val="en-GB"/>
        </w:rPr>
        <w:t xml:space="preserve"> are presented in Table 4 and graphically in Figure </w:t>
      </w:r>
      <w:r w:rsidR="00C444A7">
        <w:rPr>
          <w:lang w:val="en-GB"/>
        </w:rPr>
        <w:t>3</w:t>
      </w:r>
      <w:r w:rsidR="00C444A7" w:rsidRPr="006460A4">
        <w:rPr>
          <w:lang w:val="en-GB"/>
        </w:rPr>
        <w:t>.</w:t>
      </w:r>
      <w:r w:rsidR="00A2693C">
        <w:rPr>
          <w:lang w:val="en-GB"/>
        </w:rPr>
        <w:t xml:space="preserve"> As expected, the </w:t>
      </w:r>
      <w:r w:rsidR="00A2693C" w:rsidRPr="006460A4">
        <w:rPr>
          <w:lang w:val="en-GB"/>
        </w:rPr>
        <w:t xml:space="preserve">method used for </w:t>
      </w:r>
      <w:r w:rsidR="00DD4DF9">
        <w:rPr>
          <w:lang w:val="en-GB"/>
        </w:rPr>
        <w:t xml:space="preserve">the </w:t>
      </w:r>
      <w:r w:rsidR="00DD4DF9" w:rsidRPr="006460A4">
        <w:rPr>
          <w:lang w:val="en-GB"/>
        </w:rPr>
        <w:t>estimation</w:t>
      </w:r>
      <w:r w:rsidR="00DD4DF9">
        <w:rPr>
          <w:lang w:val="en-GB"/>
        </w:rPr>
        <w:t xml:space="preserve"> of</w:t>
      </w:r>
      <w:r w:rsidR="00DD4DF9" w:rsidRPr="006460A4">
        <w:rPr>
          <w:lang w:val="en-GB"/>
        </w:rPr>
        <w:t xml:space="preserve"> </w:t>
      </w:r>
      <w:r w:rsidR="00A2693C" w:rsidRPr="006460A4">
        <w:rPr>
          <w:lang w:val="en-GB"/>
        </w:rPr>
        <w:t>d</w:t>
      </w:r>
      <w:r w:rsidR="00A2693C" w:rsidRPr="00A2693C">
        <w:rPr>
          <w:vertAlign w:val="subscript"/>
          <w:lang w:val="en-GB"/>
        </w:rPr>
        <w:t>max</w:t>
      </w:r>
      <w:r w:rsidR="00A2693C" w:rsidRPr="006460A4">
        <w:rPr>
          <w:lang w:val="en-GB"/>
        </w:rPr>
        <w:t xml:space="preserve"> </w:t>
      </w:r>
      <w:r w:rsidR="00DD4DF9">
        <w:rPr>
          <w:lang w:val="en-GB"/>
        </w:rPr>
        <w:t xml:space="preserve">also </w:t>
      </w:r>
      <w:r w:rsidR="00A2693C" w:rsidRPr="006460A4">
        <w:rPr>
          <w:lang w:val="en-GB"/>
        </w:rPr>
        <w:t>significantly affects the α</w:t>
      </w:r>
      <w:r w:rsidR="00A2693C" w:rsidRPr="00A2693C">
        <w:rPr>
          <w:vertAlign w:val="subscript"/>
          <w:lang w:val="en-GB"/>
        </w:rPr>
        <w:t>FT</w:t>
      </w:r>
      <w:r w:rsidR="00A2693C" w:rsidRPr="006460A4">
        <w:rPr>
          <w:lang w:val="en-GB"/>
        </w:rPr>
        <w:t xml:space="preserve"> estimation</w:t>
      </w:r>
      <w:r w:rsidR="00A2693C">
        <w:rPr>
          <w:lang w:val="en-GB"/>
        </w:rPr>
        <w:t xml:space="preserve"> for </w:t>
      </w:r>
      <w:r w:rsidR="00677622">
        <w:rPr>
          <w:lang w:val="en-GB"/>
        </w:rPr>
        <w:t xml:space="preserve">systems agitated by </w:t>
      </w:r>
      <w:r w:rsidR="00DD4DF9">
        <w:rPr>
          <w:lang w:val="en-GB"/>
        </w:rPr>
        <w:t xml:space="preserve">the </w:t>
      </w:r>
      <w:r w:rsidR="00677622">
        <w:rPr>
          <w:lang w:val="en-GB"/>
        </w:rPr>
        <w:t>high-shear sawtooth impeller.</w:t>
      </w:r>
      <w:r w:rsidR="00AE1253">
        <w:rPr>
          <w:lang w:val="en-GB"/>
        </w:rPr>
        <w:t xml:space="preserve"> </w:t>
      </w:r>
      <w:r w:rsidR="003743A4">
        <w:rPr>
          <w:lang w:val="en-GB"/>
        </w:rPr>
        <w:t>T</w:t>
      </w:r>
      <w:r w:rsidR="00677622" w:rsidRPr="006460A4">
        <w:rPr>
          <w:lang w:val="en-GB"/>
        </w:rPr>
        <w:t xml:space="preserve">herefore, </w:t>
      </w:r>
      <w:r w:rsidR="003743A4">
        <w:rPr>
          <w:lang w:val="en-GB"/>
        </w:rPr>
        <w:t>the</w:t>
      </w:r>
      <w:r w:rsidR="00677622" w:rsidRPr="006460A4">
        <w:rPr>
          <w:lang w:val="en-GB"/>
        </w:rPr>
        <w:t xml:space="preserve"> multifractal exponent </w:t>
      </w:r>
      <w:r w:rsidR="00677622" w:rsidRPr="006460A4">
        <w:rPr>
          <w:rFonts w:ascii="Symbol" w:hAnsi="Symbol"/>
          <w:lang w:val="en-GB"/>
        </w:rPr>
        <w:t></w:t>
      </w:r>
      <w:r w:rsidR="00677622" w:rsidRPr="00677622">
        <w:rPr>
          <w:vertAlign w:val="subscript"/>
          <w:lang w:val="en-GB"/>
        </w:rPr>
        <w:t>FT</w:t>
      </w:r>
      <w:r w:rsidR="00677622" w:rsidRPr="006460A4">
        <w:rPr>
          <w:lang w:val="en-GB"/>
        </w:rPr>
        <w:t xml:space="preserve"> </w:t>
      </w:r>
      <w:r w:rsidR="003743A4">
        <w:rPr>
          <w:lang w:val="en-GB"/>
        </w:rPr>
        <w:t xml:space="preserve">was estimated </w:t>
      </w:r>
      <w:r w:rsidR="00677622" w:rsidRPr="006460A4">
        <w:rPr>
          <w:lang w:val="en-GB"/>
        </w:rPr>
        <w:t>by extrapolati</w:t>
      </w:r>
      <w:r w:rsidR="00DD4DF9">
        <w:rPr>
          <w:lang w:val="en-GB"/>
        </w:rPr>
        <w:t>ng</w:t>
      </w:r>
      <w:r w:rsidR="00677622" w:rsidRPr="006460A4">
        <w:rPr>
          <w:lang w:val="en-GB"/>
        </w:rPr>
        <w:t xml:space="preserve"> partial values to </w:t>
      </w:r>
      <w:r w:rsidR="00DD4DF9">
        <w:rPr>
          <w:lang w:val="en-GB"/>
        </w:rPr>
        <w:t xml:space="preserve">a </w:t>
      </w:r>
      <w:r w:rsidR="00677622" w:rsidRPr="006460A4">
        <w:rPr>
          <w:lang w:val="en-GB"/>
        </w:rPr>
        <w:t>cumulative 100 %</w:t>
      </w:r>
      <w:r w:rsidR="003743A4">
        <w:rPr>
          <w:lang w:val="en-GB"/>
        </w:rPr>
        <w:t xml:space="preserve"> value</w:t>
      </w:r>
      <w:r w:rsidR="00677622" w:rsidRPr="006460A4">
        <w:rPr>
          <w:lang w:val="en-GB"/>
        </w:rPr>
        <w:t xml:space="preserve">. </w:t>
      </w:r>
    </w:p>
    <w:p w:rsidR="00A729FF" w:rsidRDefault="00C444A7" w:rsidP="00A729FF">
      <w:pPr>
        <w:pStyle w:val="CETTabletitle"/>
      </w:pPr>
      <w:r>
        <w:t>T</w:t>
      </w:r>
      <w:r w:rsidR="00A729FF">
        <w:t xml:space="preserve">able </w:t>
      </w:r>
      <w:r>
        <w:t>4</w:t>
      </w:r>
      <w:r w:rsidR="00A729FF">
        <w:t>: T</w:t>
      </w:r>
      <w:r w:rsidR="00A729FF" w:rsidRPr="00A729FF">
        <w:t xml:space="preserve">he effect of the method of estimating the maximum drop size on the </w:t>
      </w:r>
      <w:r w:rsidR="00A729FF">
        <w:t xml:space="preserve">multifractal </w:t>
      </w:r>
      <w:r w:rsidR="00A729FF" w:rsidRPr="00A729FF">
        <w:t>exponent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032E32" w:rsidRPr="00B57B36" w:rsidTr="00032E32">
        <w:tc>
          <w:tcPr>
            <w:tcW w:w="85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Region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</w:t>
            </w:r>
            <w:r>
              <w:rPr>
                <w:vertAlign w:val="subscript"/>
                <w:lang w:val="en-GB"/>
              </w:rPr>
              <w:t>5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</w:t>
            </w:r>
            <w:r>
              <w:rPr>
                <w:vertAlign w:val="subscript"/>
                <w:lang w:val="en-GB"/>
              </w:rPr>
              <w:t>7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.3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.5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.7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</w:t>
            </w:r>
            <w:r w:rsidRPr="00D46152">
              <w:rPr>
                <w:rFonts w:cs="Arial"/>
                <w:szCs w:val="18"/>
                <w:vertAlign w:val="subscript"/>
                <w:lang w:val="en-GB"/>
              </w:rPr>
              <w:t>99.9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</w:t>
            </w:r>
            <w:r w:rsidRPr="00D46152">
              <w:rPr>
                <w:rFonts w:cs="Arial"/>
                <w:szCs w:val="18"/>
                <w:vertAlign w:val="subscript"/>
                <w:lang w:val="en-GB"/>
              </w:rPr>
              <w:t>99avg</w:t>
            </w:r>
            <w:r w:rsidRPr="00D46152">
              <w:rPr>
                <w:rFonts w:cs="Arial"/>
                <w:szCs w:val="18"/>
                <w:vertAlign w:val="superscript"/>
                <w:lang w:val="en-GB"/>
              </w:rPr>
              <w:t>*1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32E32" w:rsidRPr="00B57B36" w:rsidRDefault="00032E32" w:rsidP="00032E32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</w:t>
            </w:r>
            <w:r>
              <w:rPr>
                <w:rFonts w:cs="Arial"/>
                <w:szCs w:val="18"/>
                <w:vertAlign w:val="subscript"/>
                <w:lang w:val="en-GB"/>
              </w:rPr>
              <w:t>100extr</w:t>
            </w:r>
            <w:r>
              <w:rPr>
                <w:rFonts w:cs="Arial"/>
                <w:szCs w:val="18"/>
                <w:vertAlign w:val="superscript"/>
                <w:lang w:val="en-GB"/>
              </w:rPr>
              <w:t>*2</w:t>
            </w:r>
          </w:p>
        </w:tc>
      </w:tr>
      <w:tr w:rsidR="00032E32" w:rsidRPr="00B57B36" w:rsidTr="00032E32">
        <w:tc>
          <w:tcPr>
            <w:tcW w:w="851" w:type="dxa"/>
            <w:shd w:val="clear" w:color="auto" w:fill="FFFFFF"/>
          </w:tcPr>
          <w:p w:rsidR="00032E32" w:rsidRPr="00B57B36" w:rsidRDefault="00032E32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82" w:type="dxa"/>
            <w:shd w:val="clear" w:color="auto" w:fill="FFFFFF"/>
          </w:tcPr>
          <w:p w:rsidR="00032E32" w:rsidRPr="005F605E" w:rsidRDefault="00032E32" w:rsidP="00583BF4">
            <w:pPr>
              <w:jc w:val="center"/>
            </w:pPr>
            <w:r>
              <w:t>0.899</w:t>
            </w:r>
          </w:p>
        </w:tc>
        <w:tc>
          <w:tcPr>
            <w:tcW w:w="882" w:type="dxa"/>
            <w:shd w:val="clear" w:color="auto" w:fill="FFFFFF"/>
          </w:tcPr>
          <w:p w:rsidR="00032E32" w:rsidRPr="005F605E" w:rsidRDefault="00032E32" w:rsidP="00583BF4">
            <w:pPr>
              <w:jc w:val="center"/>
            </w:pPr>
            <w:r>
              <w:t>0.945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1.04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1.06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1.09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1.13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1.21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1.33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1.7</w:t>
            </w:r>
          </w:p>
        </w:tc>
      </w:tr>
      <w:tr w:rsidR="00032E32" w:rsidRPr="00B57B36" w:rsidTr="00032E32">
        <w:tc>
          <w:tcPr>
            <w:tcW w:w="851" w:type="dxa"/>
            <w:shd w:val="clear" w:color="auto" w:fill="FFFFFF"/>
          </w:tcPr>
          <w:p w:rsidR="00032E32" w:rsidRPr="00B57B36" w:rsidRDefault="00032E32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B</w:t>
            </w:r>
          </w:p>
        </w:tc>
        <w:tc>
          <w:tcPr>
            <w:tcW w:w="882" w:type="dxa"/>
            <w:shd w:val="clear" w:color="auto" w:fill="FFFFFF"/>
          </w:tcPr>
          <w:p w:rsidR="00032E32" w:rsidRPr="005F605E" w:rsidRDefault="00032E32" w:rsidP="00583BF4">
            <w:pPr>
              <w:jc w:val="center"/>
            </w:pPr>
            <w:r>
              <w:t>0.865</w:t>
            </w:r>
          </w:p>
        </w:tc>
        <w:tc>
          <w:tcPr>
            <w:tcW w:w="882" w:type="dxa"/>
            <w:shd w:val="clear" w:color="auto" w:fill="FFFFFF"/>
          </w:tcPr>
          <w:p w:rsidR="00032E32" w:rsidRPr="005F605E" w:rsidRDefault="00032E32" w:rsidP="00583BF4">
            <w:pPr>
              <w:jc w:val="center"/>
            </w:pPr>
            <w:r>
              <w:t>0.906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0.987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1.01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1.03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1.07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1.14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1.25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1.58</w:t>
            </w:r>
          </w:p>
        </w:tc>
      </w:tr>
      <w:tr w:rsidR="00032E32" w:rsidRPr="00B57B36" w:rsidTr="00032E32">
        <w:tc>
          <w:tcPr>
            <w:tcW w:w="851" w:type="dxa"/>
            <w:shd w:val="clear" w:color="auto" w:fill="FFFFFF"/>
          </w:tcPr>
          <w:p w:rsidR="00032E32" w:rsidRPr="00B57B36" w:rsidRDefault="00032E32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</w:t>
            </w:r>
          </w:p>
        </w:tc>
        <w:tc>
          <w:tcPr>
            <w:tcW w:w="882" w:type="dxa"/>
            <w:shd w:val="clear" w:color="auto" w:fill="FFFFFF"/>
          </w:tcPr>
          <w:p w:rsidR="00032E32" w:rsidRPr="005F605E" w:rsidRDefault="00032E32" w:rsidP="00583BF4">
            <w:pPr>
              <w:jc w:val="center"/>
            </w:pPr>
            <w:r>
              <w:t>0.931</w:t>
            </w:r>
          </w:p>
        </w:tc>
        <w:tc>
          <w:tcPr>
            <w:tcW w:w="882" w:type="dxa"/>
            <w:shd w:val="clear" w:color="auto" w:fill="FFFFFF"/>
          </w:tcPr>
          <w:p w:rsidR="00032E32" w:rsidRPr="005F605E" w:rsidRDefault="00032E32" w:rsidP="00583BF4">
            <w:pPr>
              <w:jc w:val="center"/>
            </w:pPr>
            <w:r>
              <w:t>0.979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1.08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1.1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1.13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1.17</w:t>
            </w:r>
          </w:p>
        </w:tc>
        <w:tc>
          <w:tcPr>
            <w:tcW w:w="882" w:type="dxa"/>
            <w:shd w:val="clear" w:color="auto" w:fill="FFFFFF"/>
          </w:tcPr>
          <w:p w:rsidR="00032E32" w:rsidRPr="00031EC5" w:rsidRDefault="00032E32" w:rsidP="00583BF4">
            <w:pPr>
              <w:jc w:val="center"/>
            </w:pPr>
            <w:r>
              <w:t>1.26</w:t>
            </w:r>
          </w:p>
        </w:tc>
        <w:tc>
          <w:tcPr>
            <w:tcW w:w="882" w:type="dxa"/>
            <w:shd w:val="clear" w:color="auto" w:fill="FFFFFF"/>
          </w:tcPr>
          <w:p w:rsidR="00032E32" w:rsidRDefault="00032E32" w:rsidP="00583BF4">
            <w:pPr>
              <w:jc w:val="center"/>
            </w:pPr>
            <w:r>
              <w:t>1.27</w:t>
            </w:r>
          </w:p>
        </w:tc>
        <w:tc>
          <w:tcPr>
            <w:tcW w:w="882" w:type="dxa"/>
            <w:shd w:val="clear" w:color="auto" w:fill="FFFFFF"/>
          </w:tcPr>
          <w:p w:rsidR="00032E32" w:rsidRDefault="00032E32" w:rsidP="00583BF4">
            <w:pPr>
              <w:jc w:val="center"/>
            </w:pPr>
            <w:r>
              <w:t>1.46</w:t>
            </w:r>
          </w:p>
        </w:tc>
      </w:tr>
    </w:tbl>
    <w:p w:rsidR="00A729FF" w:rsidRPr="00CE1893" w:rsidRDefault="00A729FF" w:rsidP="00A729FF">
      <w:pPr>
        <w:pStyle w:val="CETTabletitle"/>
        <w:spacing w:before="0" w:after="0"/>
        <w:rPr>
          <w:i w:val="0"/>
        </w:rPr>
      </w:pPr>
      <w:r w:rsidRPr="00CE1893">
        <w:rPr>
          <w:i w:val="0"/>
          <w:sz w:val="16"/>
          <w:szCs w:val="16"/>
        </w:rPr>
        <w:t xml:space="preserve">Note: </w:t>
      </w:r>
      <w:r w:rsidRPr="00CE1893">
        <w:rPr>
          <w:i w:val="0"/>
          <w:sz w:val="16"/>
          <w:szCs w:val="16"/>
          <w:vertAlign w:val="superscript"/>
        </w:rPr>
        <w:t>*1</w:t>
      </w:r>
      <w:r w:rsidRPr="00CE1893">
        <w:rPr>
          <w:i w:val="0"/>
          <w:sz w:val="16"/>
          <w:szCs w:val="16"/>
        </w:rPr>
        <w:t xml:space="preserve"> </w:t>
      </w:r>
      <w:r>
        <w:rPr>
          <w:i w:val="0"/>
          <w:sz w:val="16"/>
          <w:szCs w:val="16"/>
        </w:rPr>
        <w:t>average size of 1 % of the largest drops.</w:t>
      </w:r>
      <w:r w:rsidR="00032E32">
        <w:rPr>
          <w:i w:val="0"/>
          <w:sz w:val="16"/>
          <w:szCs w:val="16"/>
        </w:rPr>
        <w:t xml:space="preserve"> </w:t>
      </w:r>
      <w:r w:rsidR="00032E32" w:rsidRPr="00CE1893">
        <w:rPr>
          <w:i w:val="0"/>
          <w:sz w:val="16"/>
          <w:szCs w:val="16"/>
          <w:vertAlign w:val="superscript"/>
        </w:rPr>
        <w:t>*</w:t>
      </w:r>
      <w:r w:rsidR="00032E32">
        <w:rPr>
          <w:i w:val="0"/>
          <w:sz w:val="16"/>
          <w:szCs w:val="16"/>
          <w:vertAlign w:val="superscript"/>
        </w:rPr>
        <w:t>2</w:t>
      </w:r>
      <w:r w:rsidR="00032E32" w:rsidRPr="00CE1893">
        <w:rPr>
          <w:i w:val="0"/>
          <w:sz w:val="16"/>
          <w:szCs w:val="16"/>
        </w:rPr>
        <w:t xml:space="preserve"> </w:t>
      </w:r>
      <w:r w:rsidR="00032E32">
        <w:rPr>
          <w:i w:val="0"/>
          <w:sz w:val="16"/>
          <w:szCs w:val="16"/>
        </w:rPr>
        <w:t xml:space="preserve">exponent extrapolated </w:t>
      </w:r>
      <w:r w:rsidR="00AE1253">
        <w:rPr>
          <w:i w:val="0"/>
          <w:sz w:val="16"/>
          <w:szCs w:val="16"/>
        </w:rPr>
        <w:t>on</w:t>
      </w:r>
      <w:r w:rsidR="00032E32">
        <w:rPr>
          <w:i w:val="0"/>
          <w:sz w:val="16"/>
          <w:szCs w:val="16"/>
        </w:rPr>
        <w:t xml:space="preserve"> d</w:t>
      </w:r>
      <w:r w:rsidR="00032E32" w:rsidRPr="00032E32">
        <w:rPr>
          <w:i w:val="0"/>
          <w:sz w:val="16"/>
          <w:szCs w:val="16"/>
          <w:vertAlign w:val="subscript"/>
        </w:rPr>
        <w:t>100%</w:t>
      </w:r>
      <w:r w:rsidR="00032E32">
        <w:rPr>
          <w:i w:val="0"/>
          <w:sz w:val="16"/>
          <w:szCs w:val="16"/>
        </w:rPr>
        <w:t>.</w:t>
      </w:r>
    </w:p>
    <w:p w:rsidR="007A6DE2" w:rsidRDefault="007A6DE2" w:rsidP="00192F37">
      <w:pPr>
        <w:pStyle w:val="CETBodytext"/>
        <w:rPr>
          <w:lang w:val="en-GB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A729FF" w:rsidTr="00583BF4">
        <w:tc>
          <w:tcPr>
            <w:tcW w:w="8679" w:type="dxa"/>
          </w:tcPr>
          <w:p w:rsidR="00A729FF" w:rsidRDefault="00BF47FA" w:rsidP="00583BF4">
            <w:pPr>
              <w:pStyle w:val="CETBodytext"/>
              <w:spacing w:before="120"/>
              <w:rPr>
                <w:lang w:val="en-GB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69058C9" wp14:editId="3AAAE758">
                  <wp:extent cx="2532743" cy="2206652"/>
                  <wp:effectExtent l="0" t="0" r="1270" b="3175"/>
                  <wp:docPr id="715109976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157" cy="2307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9FF" w:rsidRDefault="00A729FF" w:rsidP="003743A4">
      <w:pPr>
        <w:pStyle w:val="CETCaption"/>
      </w:pPr>
      <w:r>
        <w:t xml:space="preserve">Figure </w:t>
      </w:r>
      <w:r w:rsidR="00491AA0">
        <w:t>3</w:t>
      </w:r>
      <w:r>
        <w:t xml:space="preserve">: </w:t>
      </w:r>
      <w:r w:rsidR="00491AA0">
        <w:t>The multifractal exponent</w:t>
      </w:r>
      <w:r w:rsidR="0095163C">
        <w:t xml:space="preserve"> – effect of </w:t>
      </w:r>
      <w:r w:rsidR="003743A4" w:rsidRPr="00A729FF">
        <w:t>the method of estimating the maximum drop size</w:t>
      </w:r>
    </w:p>
    <w:p w:rsidR="00AE1253" w:rsidRPr="00AE1253" w:rsidRDefault="00AE1253" w:rsidP="00AE1253">
      <w:pPr>
        <w:pStyle w:val="CETCaption"/>
        <w:spacing w:before="0" w:after="0"/>
        <w:rPr>
          <w:i w:val="0"/>
        </w:rPr>
      </w:pPr>
      <w:r w:rsidRPr="00AE1253">
        <w:rPr>
          <w:i w:val="0"/>
        </w:rPr>
        <w:t>The results obtained are much more surprising and different compared to the results presented for the Rushton turbine (Formánek and Šulc, 2021). Estimating the maximum drop size d</w:t>
      </w:r>
      <w:r w:rsidRPr="00AE1253">
        <w:rPr>
          <w:i w:val="0"/>
          <w:vertAlign w:val="subscript"/>
        </w:rPr>
        <w:t xml:space="preserve">max </w:t>
      </w:r>
      <w:r w:rsidRPr="00AE1253">
        <w:rPr>
          <w:i w:val="0"/>
        </w:rPr>
        <w:t>as a cumulative frequency of 97 – 99.5% the evaluated multifractal exponent α</w:t>
      </w:r>
      <w:r w:rsidRPr="00AE1253">
        <w:rPr>
          <w:i w:val="0"/>
          <w:vertAlign w:val="subscript"/>
        </w:rPr>
        <w:t xml:space="preserve">FT </w:t>
      </w:r>
      <w:r w:rsidRPr="00AE1253">
        <w:rPr>
          <w:i w:val="0"/>
        </w:rPr>
        <w:t xml:space="preserve">is about 1, which would indicate turbulence without internal </w:t>
      </w:r>
      <w:r w:rsidRPr="00AE1253">
        <w:rPr>
          <w:i w:val="0"/>
        </w:rPr>
        <w:lastRenderedPageBreak/>
        <w:t>intermittency and droplet breakup according to theory assuming isotropic turbulence. However, estimating d</w:t>
      </w:r>
      <w:r w:rsidRPr="00AE1253">
        <w:rPr>
          <w:i w:val="0"/>
          <w:vertAlign w:val="subscript"/>
        </w:rPr>
        <w:t>max</w:t>
      </w:r>
      <w:r w:rsidRPr="00AE1253">
        <w:rPr>
          <w:i w:val="0"/>
        </w:rPr>
        <w:t xml:space="preserve"> as the droplet size value for 99.7% and above the cumulative frequency, the values ​​of the multifractal exponent α</w:t>
      </w:r>
      <w:r w:rsidRPr="00AE1253">
        <w:rPr>
          <w:i w:val="0"/>
          <w:vertAlign w:val="subscript"/>
        </w:rPr>
        <w:t>FT</w:t>
      </w:r>
      <w:r w:rsidRPr="00AE1253">
        <w:rPr>
          <w:i w:val="0"/>
        </w:rPr>
        <w:t xml:space="preserve"> &gt; 1 were obtained, which would indicate lower turbulent stresses generated by the acting eddies than predicted by the Kolmogorov theory. The regional evaluation is also interesting. The values ​​of the multifractal exponent α</w:t>
      </w:r>
      <w:r w:rsidRPr="00AE1253">
        <w:rPr>
          <w:i w:val="0"/>
          <w:vertAlign w:val="subscript"/>
        </w:rPr>
        <w:t>FT</w:t>
      </w:r>
      <w:r w:rsidRPr="00AE1253">
        <w:rPr>
          <w:i w:val="0"/>
        </w:rPr>
        <w:t xml:space="preserve"> are practically the same in regions A and C (the difference is about 4%). On the contrary, the values ​​of the multifractal exponent in region B, which is above the impeller symmetrically to region A (see Figure 1), are systematically lower compared to region A and about 8% lower than in region C.</w:t>
      </w:r>
    </w:p>
    <w:p w:rsidR="006561DB" w:rsidRPr="00B57B36" w:rsidRDefault="001B1C03" w:rsidP="006561DB">
      <w:pPr>
        <w:pStyle w:val="CETheadingx"/>
      </w:pPr>
      <w:r>
        <w:t xml:space="preserve">Relation between Sauter mean diameter </w:t>
      </w:r>
      <w:r w:rsidR="00D46152">
        <w:t>d</w:t>
      </w:r>
      <w:r w:rsidR="00D46152" w:rsidRPr="00D46152">
        <w:rPr>
          <w:vertAlign w:val="subscript"/>
        </w:rPr>
        <w:t>32</w:t>
      </w:r>
      <w:r>
        <w:t xml:space="preserve"> and maximum drop size </w:t>
      </w:r>
      <w:r w:rsidR="00D46152">
        <w:t>d</w:t>
      </w:r>
      <w:r w:rsidR="00D46152" w:rsidRPr="00D46152">
        <w:rPr>
          <w:vertAlign w:val="subscript"/>
        </w:rPr>
        <w:t>max</w:t>
      </w:r>
    </w:p>
    <w:p w:rsidR="00751988" w:rsidRDefault="00F960A9" w:rsidP="00751988">
      <w:pPr>
        <w:pStyle w:val="CETBodytext"/>
        <w:rPr>
          <w:lang w:val="en-GB"/>
        </w:rPr>
      </w:pPr>
      <w:r>
        <w:rPr>
          <w:lang w:val="en-GB"/>
        </w:rPr>
        <w:t>The ratio of</w:t>
      </w:r>
      <w:r w:rsidR="00596546" w:rsidRPr="00596546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596546">
        <w:rPr>
          <w:lang w:val="en-GB"/>
        </w:rPr>
        <w:t xml:space="preserve">Sauter mean diameter </w:t>
      </w:r>
      <w:r w:rsidR="00596546" w:rsidRPr="00596546">
        <w:rPr>
          <w:lang w:val="en-GB"/>
        </w:rPr>
        <w:t>d</w:t>
      </w:r>
      <w:r w:rsidR="00596546" w:rsidRPr="00CE69FC">
        <w:rPr>
          <w:vertAlign w:val="subscript"/>
          <w:lang w:val="en-GB"/>
        </w:rPr>
        <w:t>32</w:t>
      </w:r>
      <w:r w:rsidR="00596546">
        <w:rPr>
          <w:lang w:val="en-GB"/>
        </w:rPr>
        <w:t xml:space="preserve"> and </w:t>
      </w:r>
      <w:r>
        <w:rPr>
          <w:lang w:val="en-GB"/>
        </w:rPr>
        <w:t xml:space="preserve">the </w:t>
      </w:r>
      <w:r w:rsidR="00596546">
        <w:rPr>
          <w:lang w:val="en-GB"/>
        </w:rPr>
        <w:t xml:space="preserve">maximum drop size </w:t>
      </w:r>
      <w:r w:rsidR="00596546" w:rsidRPr="00596546">
        <w:rPr>
          <w:lang w:val="en-GB"/>
        </w:rPr>
        <w:t>d</w:t>
      </w:r>
      <w:r w:rsidR="00596546" w:rsidRPr="00596546">
        <w:rPr>
          <w:vertAlign w:val="subscript"/>
          <w:lang w:val="en-GB"/>
        </w:rPr>
        <w:t>max</w:t>
      </w:r>
      <w:r w:rsidR="00596546" w:rsidRPr="00596546">
        <w:rPr>
          <w:lang w:val="en-GB"/>
        </w:rPr>
        <w:t xml:space="preserve"> was </w:t>
      </w:r>
      <w:r w:rsidR="00596546">
        <w:rPr>
          <w:lang w:val="en-GB"/>
        </w:rPr>
        <w:t>calculated</w:t>
      </w:r>
      <w:r w:rsidR="00596546" w:rsidRPr="00596546">
        <w:rPr>
          <w:lang w:val="en-GB"/>
        </w:rPr>
        <w:t xml:space="preserve"> according to </w:t>
      </w:r>
      <w:r w:rsidR="00CE144F">
        <w:rPr>
          <w:lang w:val="en-GB"/>
        </w:rPr>
        <w:t>Eq(2) for the maximum drop s</w:t>
      </w:r>
      <w:r w:rsidR="00596546" w:rsidRPr="00596546">
        <w:rPr>
          <w:lang w:val="en-GB"/>
        </w:rPr>
        <w:t xml:space="preserve">izes </w:t>
      </w:r>
      <w:r w:rsidR="00CE144F">
        <w:rPr>
          <w:lang w:val="en-GB"/>
        </w:rPr>
        <w:t>estimated</w:t>
      </w:r>
      <w:r w:rsidR="00596546" w:rsidRPr="00596546">
        <w:rPr>
          <w:lang w:val="en-GB"/>
        </w:rPr>
        <w:t xml:space="preserve"> from the cumulative </w:t>
      </w:r>
      <w:r w:rsidR="00CE144F">
        <w:rPr>
          <w:lang w:val="en-GB"/>
        </w:rPr>
        <w:t xml:space="preserve">frequency drop size distribution. </w:t>
      </w:r>
      <w:r w:rsidR="00596546" w:rsidRPr="00596546">
        <w:rPr>
          <w:lang w:val="en-GB"/>
        </w:rPr>
        <w:t xml:space="preserve"> </w:t>
      </w:r>
      <w:r w:rsidR="00CE144F" w:rsidRPr="00CE144F">
        <w:rPr>
          <w:lang w:val="en-GB"/>
        </w:rPr>
        <w:t xml:space="preserve">The calculated </w:t>
      </w:r>
      <w:r w:rsidR="00CE144F">
        <w:rPr>
          <w:lang w:val="en-GB"/>
        </w:rPr>
        <w:t>ratios</w:t>
      </w:r>
      <w:r w:rsidR="00CE144F" w:rsidRPr="00CE144F">
        <w:rPr>
          <w:lang w:val="en-GB"/>
        </w:rPr>
        <w:t xml:space="preserve"> are presented in Table </w:t>
      </w:r>
      <w:r w:rsidR="00CE144F">
        <w:rPr>
          <w:lang w:val="en-GB"/>
        </w:rPr>
        <w:t>5</w:t>
      </w:r>
      <w:r w:rsidR="00CE144F" w:rsidRPr="00CE144F">
        <w:rPr>
          <w:lang w:val="en-GB"/>
        </w:rPr>
        <w:t xml:space="preserve"> and </w:t>
      </w:r>
      <w:r w:rsidR="007A0B11">
        <w:rPr>
          <w:lang w:val="en-GB"/>
        </w:rPr>
        <w:t xml:space="preserve">the </w:t>
      </w:r>
      <w:r w:rsidR="001A1BB6">
        <w:rPr>
          <w:lang w:val="en-GB"/>
        </w:rPr>
        <w:t xml:space="preserve">selected values </w:t>
      </w:r>
      <w:r w:rsidR="007A0B11">
        <w:rPr>
          <w:lang w:val="en-GB"/>
        </w:rPr>
        <w:t>are presented</w:t>
      </w:r>
      <w:r w:rsidR="00CE144F" w:rsidRPr="00CE144F">
        <w:rPr>
          <w:lang w:val="en-GB"/>
        </w:rPr>
        <w:t xml:space="preserve"> </w:t>
      </w:r>
      <w:r w:rsidRPr="00CE144F">
        <w:rPr>
          <w:lang w:val="en-GB"/>
        </w:rPr>
        <w:t>graphically</w:t>
      </w:r>
      <w:r>
        <w:rPr>
          <w:lang w:val="en-GB"/>
        </w:rPr>
        <w:t xml:space="preserve"> </w:t>
      </w:r>
      <w:r w:rsidR="00CE144F" w:rsidRPr="00CE144F">
        <w:rPr>
          <w:lang w:val="en-GB"/>
        </w:rPr>
        <w:t xml:space="preserve">in Figure </w:t>
      </w:r>
      <w:r w:rsidR="00CE144F">
        <w:rPr>
          <w:lang w:val="en-GB"/>
        </w:rPr>
        <w:t>4</w:t>
      </w:r>
      <w:r w:rsidR="00CE144F" w:rsidRPr="00CE144F">
        <w:rPr>
          <w:lang w:val="en-GB"/>
        </w:rPr>
        <w:t>.</w:t>
      </w:r>
      <w:r w:rsidR="00751988">
        <w:rPr>
          <w:lang w:val="en-GB"/>
        </w:rPr>
        <w:t xml:space="preserve"> </w:t>
      </w:r>
    </w:p>
    <w:p w:rsidR="00E735FC" w:rsidRDefault="00E735FC" w:rsidP="00E735FC">
      <w:pPr>
        <w:pStyle w:val="CETTabletitle"/>
      </w:pPr>
      <w:r>
        <w:t xml:space="preserve">Table 5: </w:t>
      </w:r>
      <w:r w:rsidR="00F960A9">
        <w:t>Proportionality c</w:t>
      </w:r>
      <w:r>
        <w:t>onstant C</w:t>
      </w:r>
      <w:r w:rsidR="00CE144F">
        <w:rPr>
          <w:vertAlign w:val="subscript"/>
        </w:rPr>
        <w:t>2</w:t>
      </w:r>
      <w:r>
        <w:t xml:space="preserve"> evaluated for d</w:t>
      </w:r>
      <w:r w:rsidRPr="006561DB">
        <w:rPr>
          <w:vertAlign w:val="subscript"/>
        </w:rPr>
        <w:t>max</w:t>
      </w:r>
      <w:r>
        <w:t xml:space="preserve"> estimated from </w:t>
      </w:r>
      <w:r w:rsidR="00F960A9">
        <w:t xml:space="preserve">the </w:t>
      </w:r>
      <w:r>
        <w:t xml:space="preserve">cumulative </w:t>
      </w:r>
      <w:r w:rsidR="00596546">
        <w:t xml:space="preserve">frequency </w:t>
      </w:r>
      <w:r>
        <w:t xml:space="preserve">drop </w:t>
      </w:r>
      <w:r w:rsidR="00596546">
        <w:t xml:space="preserve">size </w:t>
      </w:r>
      <w:r>
        <w:t xml:space="preserve">distribution </w:t>
      </w:r>
    </w:p>
    <w:tbl>
      <w:tblPr>
        <w:tblW w:w="8789" w:type="dxa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1"/>
        <w:gridCol w:w="850"/>
        <w:gridCol w:w="1181"/>
        <w:gridCol w:w="1181"/>
        <w:gridCol w:w="1182"/>
        <w:gridCol w:w="1181"/>
        <w:gridCol w:w="1181"/>
        <w:gridCol w:w="1182"/>
      </w:tblGrid>
      <w:tr w:rsidR="00E735FC" w:rsidRPr="00B57B36" w:rsidTr="00032E32">
        <w:tc>
          <w:tcPr>
            <w:tcW w:w="85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E735FC" w:rsidRPr="00B57B36" w:rsidRDefault="00E735FC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Region</w:t>
            </w:r>
          </w:p>
        </w:tc>
        <w:tc>
          <w:tcPr>
            <w:tcW w:w="85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E735FC" w:rsidRDefault="00E735FC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  <w:p w:rsidR="00E735FC" w:rsidRPr="00B57B36" w:rsidRDefault="00E735FC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(min</w:t>
            </w:r>
            <w:r w:rsidRPr="006561DB">
              <w:rPr>
                <w:vertAlign w:val="superscript"/>
                <w:lang w:val="en-GB"/>
              </w:rPr>
              <w:t>-1</w:t>
            </w:r>
            <w:r>
              <w:rPr>
                <w:lang w:val="en-GB"/>
              </w:rPr>
              <w:t>)</w:t>
            </w:r>
          </w:p>
        </w:tc>
        <w:tc>
          <w:tcPr>
            <w:tcW w:w="118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E735FC" w:rsidRPr="00B57B36" w:rsidRDefault="00E735FC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</w:p>
        </w:tc>
        <w:tc>
          <w:tcPr>
            <w:tcW w:w="118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.3</w:t>
            </w:r>
          </w:p>
        </w:tc>
        <w:tc>
          <w:tcPr>
            <w:tcW w:w="11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.5</w:t>
            </w:r>
          </w:p>
        </w:tc>
        <w:tc>
          <w:tcPr>
            <w:tcW w:w="118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d</w:t>
            </w:r>
            <w:r w:rsidRPr="006561DB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.7</w:t>
            </w:r>
          </w:p>
        </w:tc>
        <w:tc>
          <w:tcPr>
            <w:tcW w:w="118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</w:t>
            </w:r>
            <w:r w:rsidRPr="00D46152">
              <w:rPr>
                <w:rFonts w:cs="Arial"/>
                <w:szCs w:val="18"/>
                <w:vertAlign w:val="subscript"/>
                <w:lang w:val="en-GB"/>
              </w:rPr>
              <w:t>99.9</w:t>
            </w:r>
          </w:p>
        </w:tc>
        <w:tc>
          <w:tcPr>
            <w:tcW w:w="118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</w:t>
            </w:r>
            <w:r w:rsidRPr="00D46152">
              <w:rPr>
                <w:rFonts w:cs="Arial"/>
                <w:szCs w:val="18"/>
                <w:vertAlign w:val="subscript"/>
                <w:lang w:val="en-GB"/>
              </w:rPr>
              <w:t>99avg</w:t>
            </w:r>
            <w:r w:rsidRPr="00D46152">
              <w:rPr>
                <w:rFonts w:cs="Arial"/>
                <w:szCs w:val="18"/>
                <w:vertAlign w:val="superscript"/>
                <w:lang w:val="en-GB"/>
              </w:rPr>
              <w:t>*1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600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0.82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0.77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0.74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0.69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0.59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0.46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700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0.8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0.76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0.73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0.68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0.59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0.47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800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0.76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0.72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0.69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0.64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0.55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B</w:t>
            </w: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600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0.86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0.82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0.78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0.73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0.63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700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0.85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0.8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0.77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0.72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0.64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0.53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800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0.8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0.76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0.73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0.68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0.55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</w:t>
            </w: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600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0.76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0.72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0.68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0.63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0.55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0.49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700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0.7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0.67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0.64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0.6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0.51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0.51</w:t>
            </w:r>
          </w:p>
        </w:tc>
      </w:tr>
      <w:tr w:rsidR="00E735FC" w:rsidRPr="00B57B36" w:rsidTr="00032E32">
        <w:tc>
          <w:tcPr>
            <w:tcW w:w="851" w:type="dxa"/>
            <w:shd w:val="clear" w:color="auto" w:fill="FFFFFF"/>
          </w:tcPr>
          <w:p w:rsidR="00E735FC" w:rsidRPr="00B57B36" w:rsidRDefault="00E735FC" w:rsidP="00583BF4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:rsidR="00E735FC" w:rsidRPr="005F605E" w:rsidRDefault="00E735FC" w:rsidP="00583BF4">
            <w:pPr>
              <w:jc w:val="center"/>
            </w:pPr>
            <w:r>
              <w:t>800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0.63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0.6</w:t>
            </w:r>
          </w:p>
        </w:tc>
        <w:tc>
          <w:tcPr>
            <w:tcW w:w="1182" w:type="dxa"/>
            <w:shd w:val="clear" w:color="auto" w:fill="FFFFFF"/>
          </w:tcPr>
          <w:p w:rsidR="00E735FC" w:rsidRPr="00031EC5" w:rsidRDefault="00E735FC" w:rsidP="00583BF4">
            <w:pPr>
              <w:jc w:val="center"/>
            </w:pPr>
            <w:r>
              <w:t>0.56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0.53</w:t>
            </w:r>
          </w:p>
        </w:tc>
        <w:tc>
          <w:tcPr>
            <w:tcW w:w="1181" w:type="dxa"/>
            <w:shd w:val="clear" w:color="auto" w:fill="FFFFFF"/>
          </w:tcPr>
          <w:p w:rsidR="00E735FC" w:rsidRPr="00031EC5" w:rsidRDefault="00A729FF" w:rsidP="00583BF4">
            <w:pPr>
              <w:jc w:val="center"/>
            </w:pPr>
            <w:r>
              <w:t>0.45</w:t>
            </w:r>
          </w:p>
        </w:tc>
        <w:tc>
          <w:tcPr>
            <w:tcW w:w="1182" w:type="dxa"/>
            <w:shd w:val="clear" w:color="auto" w:fill="FFFFFF"/>
          </w:tcPr>
          <w:p w:rsidR="00E735FC" w:rsidRDefault="00A729FF" w:rsidP="00583BF4">
            <w:pPr>
              <w:jc w:val="center"/>
            </w:pPr>
            <w:r>
              <w:t>0.55</w:t>
            </w:r>
          </w:p>
        </w:tc>
      </w:tr>
    </w:tbl>
    <w:p w:rsidR="00E735FC" w:rsidRPr="00CE1893" w:rsidRDefault="00E735FC" w:rsidP="00E735FC">
      <w:pPr>
        <w:pStyle w:val="CETTabletitle"/>
        <w:spacing w:before="0" w:after="0"/>
        <w:rPr>
          <w:i w:val="0"/>
        </w:rPr>
      </w:pPr>
      <w:r w:rsidRPr="00CE1893">
        <w:rPr>
          <w:i w:val="0"/>
          <w:sz w:val="16"/>
          <w:szCs w:val="16"/>
        </w:rPr>
        <w:t xml:space="preserve">Note: </w:t>
      </w:r>
      <w:r w:rsidRPr="00CE1893">
        <w:rPr>
          <w:i w:val="0"/>
          <w:sz w:val="16"/>
          <w:szCs w:val="16"/>
          <w:vertAlign w:val="superscript"/>
        </w:rPr>
        <w:t>*1</w:t>
      </w:r>
      <w:r w:rsidRPr="00CE1893">
        <w:rPr>
          <w:i w:val="0"/>
          <w:sz w:val="16"/>
          <w:szCs w:val="16"/>
        </w:rPr>
        <w:t xml:space="preserve"> </w:t>
      </w:r>
      <w:r>
        <w:rPr>
          <w:i w:val="0"/>
          <w:sz w:val="16"/>
          <w:szCs w:val="16"/>
        </w:rPr>
        <w:t>average size of 1 % of the largest drops.</w:t>
      </w:r>
    </w:p>
    <w:p w:rsidR="00E735FC" w:rsidRDefault="00E735FC" w:rsidP="00751988">
      <w:pPr>
        <w:pStyle w:val="CETBodytext"/>
        <w:rPr>
          <w:lang w:val="en-GB"/>
        </w:rPr>
      </w:pPr>
    </w:p>
    <w:tbl>
      <w:tblPr>
        <w:tblStyle w:val="Mkatabulky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3"/>
      </w:tblGrid>
      <w:tr w:rsidR="00E735FC" w:rsidTr="00583BF4">
        <w:tc>
          <w:tcPr>
            <w:tcW w:w="9003" w:type="dxa"/>
          </w:tcPr>
          <w:p w:rsidR="00E735FC" w:rsidRPr="00AE1253" w:rsidRDefault="00AE1253" w:rsidP="00583BF4">
            <w:pPr>
              <w:pStyle w:val="CETBodytext"/>
              <w:spacing w:before="120"/>
              <w:rPr>
                <w:lang w:val="en-GB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3701142" cy="2172162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4.t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862" cy="229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35FC" w:rsidRDefault="00E735FC" w:rsidP="00E735FC">
      <w:pPr>
        <w:pStyle w:val="CETCaption"/>
      </w:pPr>
      <w:r>
        <w:t xml:space="preserve">Figure 4: </w:t>
      </w:r>
      <w:r w:rsidR="00A729FF">
        <w:t xml:space="preserve">The dependence of </w:t>
      </w:r>
      <w:r w:rsidR="00F960A9">
        <w:t xml:space="preserve">proportionality </w:t>
      </w:r>
      <w:r w:rsidR="00A729FF">
        <w:t>constant C</w:t>
      </w:r>
      <w:r w:rsidR="00CE69FC">
        <w:rPr>
          <w:vertAlign w:val="subscript"/>
        </w:rPr>
        <w:t>2</w:t>
      </w:r>
      <w:r w:rsidR="00A729FF">
        <w:t xml:space="preserve"> on impeller </w:t>
      </w:r>
      <w:r w:rsidR="00CE69FC">
        <w:t xml:space="preserve">rotational </w:t>
      </w:r>
      <w:r w:rsidR="00A729FF">
        <w:t xml:space="preserve">speed </w:t>
      </w:r>
      <w:r>
        <w:t xml:space="preserve"> </w:t>
      </w:r>
    </w:p>
    <w:p w:rsidR="002C50DB" w:rsidRDefault="002C50DB" w:rsidP="002C50DB">
      <w:pPr>
        <w:pStyle w:val="CETTabletitle"/>
      </w:pPr>
      <w:r>
        <w:t>Table 6: Constant of proportionality C</w:t>
      </w:r>
      <w:r w:rsidR="00BF47FA">
        <w:rPr>
          <w:vertAlign w:val="subscript"/>
        </w:rPr>
        <w:t>2</w:t>
      </w:r>
      <w:r>
        <w:t xml:space="preserve"> – hypothesis testing  </w:t>
      </w:r>
    </w:p>
    <w:tbl>
      <w:tblPr>
        <w:tblW w:w="8787" w:type="dxa"/>
        <w:tblInd w:w="2" w:type="dxa"/>
        <w:tblBorders>
          <w:top w:val="single" w:sz="12" w:space="0" w:color="008000"/>
          <w:bottom w:val="single" w:sz="12" w:space="0" w:color="008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803"/>
        <w:gridCol w:w="803"/>
        <w:gridCol w:w="804"/>
        <w:gridCol w:w="771"/>
        <w:gridCol w:w="772"/>
        <w:gridCol w:w="772"/>
        <w:gridCol w:w="787"/>
        <w:gridCol w:w="788"/>
        <w:gridCol w:w="788"/>
      </w:tblGrid>
      <w:tr w:rsidR="004E6D3A" w:rsidTr="009F5F25">
        <w:tc>
          <w:tcPr>
            <w:tcW w:w="1699" w:type="dxa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:rsidR="004E6D3A" w:rsidRDefault="004E6D3A" w:rsidP="002830CF">
            <w:pPr>
              <w:pStyle w:val="CETBodytext"/>
              <w:jc w:val="center"/>
              <w:rPr>
                <w:lang w:val="en-GB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:rsidR="004E6D3A" w:rsidRDefault="004E6D3A" w:rsidP="002830C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Region A</w:t>
            </w:r>
          </w:p>
        </w:tc>
        <w:tc>
          <w:tcPr>
            <w:tcW w:w="2315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:rsidR="004E6D3A" w:rsidRDefault="004E6D3A" w:rsidP="004E6D3A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Region B</w:t>
            </w:r>
          </w:p>
        </w:tc>
        <w:tc>
          <w:tcPr>
            <w:tcW w:w="2363" w:type="dxa"/>
            <w:gridSpan w:val="3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FFFFFF"/>
          </w:tcPr>
          <w:p w:rsidR="004E6D3A" w:rsidRDefault="004E6D3A" w:rsidP="002830CF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Region C</w:t>
            </w:r>
          </w:p>
        </w:tc>
      </w:tr>
      <w:tr w:rsidR="001A1BB6" w:rsidTr="009F5F25">
        <w:tc>
          <w:tcPr>
            <w:tcW w:w="1699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rPr>
                <w:lang w:val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F5F25">
              <w:rPr>
                <w:vertAlign w:val="subscript"/>
                <w:lang w:val="en-GB"/>
              </w:rPr>
              <w:t>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vertAlign w:val="subscript"/>
                <w:lang w:val="en-GB"/>
              </w:rPr>
              <w:t>99.5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F5F25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F5F25">
              <w:rPr>
                <w:vertAlign w:val="subscript"/>
                <w:lang w:val="en-GB"/>
              </w:rPr>
              <w:t>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vertAlign w:val="subscript"/>
                <w:lang w:val="en-GB"/>
              </w:rPr>
              <w:t>99.5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F5F25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F5F25">
              <w:rPr>
                <w:vertAlign w:val="subscript"/>
                <w:lang w:val="en-GB"/>
              </w:rPr>
              <w:t>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vertAlign w:val="subscript"/>
                <w:lang w:val="en-GB"/>
              </w:rPr>
              <w:t>99.5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8000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9F5F25">
              <w:rPr>
                <w:vertAlign w:val="subscript"/>
                <w:lang w:val="en-GB"/>
              </w:rPr>
              <w:t>99</w:t>
            </w:r>
            <w:r>
              <w:rPr>
                <w:vertAlign w:val="subscript"/>
                <w:lang w:val="en-GB"/>
              </w:rPr>
              <w:t>.9</w:t>
            </w:r>
          </w:p>
        </w:tc>
      </w:tr>
      <w:tr w:rsidR="009F5F25" w:rsidRPr="005F605E" w:rsidTr="009F5F25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Default="009F5F25" w:rsidP="009F5F25">
            <w:pPr>
              <w:pStyle w:val="CETBodytext"/>
              <w:rPr>
                <w:lang w:val="en-GB"/>
              </w:rPr>
            </w:pPr>
            <w:r w:rsidRPr="003E2091">
              <w:rPr>
                <w:lang w:val="en-GB"/>
              </w:rPr>
              <w:t xml:space="preserve">Relation: </w:t>
            </w:r>
            <w:r w:rsidRPr="003E2091">
              <w:rPr>
                <w:rFonts w:ascii="Symbol" w:hAnsi="Symbol"/>
                <w:lang w:val="en-GB"/>
              </w:rPr>
              <w:t></w:t>
            </w:r>
            <w:r w:rsidRPr="004E6D3A">
              <w:rPr>
                <w:vertAlign w:val="subscript"/>
                <w:lang w:val="en-GB"/>
              </w:rPr>
              <w:t>calc</w:t>
            </w:r>
            <w:r>
              <w:rPr>
                <w:lang w:val="en-GB"/>
              </w:rPr>
              <w:t xml:space="preserve"> (-)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534CA" w:rsidP="009F5F25">
            <w:pPr>
              <w:jc w:val="center"/>
            </w:pPr>
            <w:r>
              <w:t>-0.261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534CA" w:rsidP="001A1BB6">
            <w:pPr>
              <w:jc w:val="center"/>
            </w:pPr>
            <w:r>
              <w:t>-0.2</w:t>
            </w:r>
            <w:r w:rsidR="001A1BB6"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534CA" w:rsidP="001A1BB6">
            <w:pPr>
              <w:jc w:val="center"/>
            </w:pPr>
            <w:r>
              <w:t>0.2</w:t>
            </w:r>
            <w:r w:rsidR="001A1BB6">
              <w:t>38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534CA" w:rsidP="009F5F25">
            <w:pPr>
              <w:jc w:val="center"/>
            </w:pPr>
            <w:r>
              <w:t>-0.247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534CA" w:rsidP="001A1BB6">
            <w:pPr>
              <w:jc w:val="center"/>
            </w:pPr>
            <w:r>
              <w:t>-0.2</w:t>
            </w:r>
            <w:r w:rsidR="001A1BB6">
              <w:t>61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-0.163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534CA" w:rsidP="009F5F25">
            <w:pPr>
              <w:jc w:val="center"/>
            </w:pPr>
            <w:r>
              <w:t>-0.649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1A1BB6">
            <w:pPr>
              <w:jc w:val="center"/>
            </w:pPr>
            <w:r>
              <w:t>-0.629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-0.692</w:t>
            </w:r>
          </w:p>
        </w:tc>
      </w:tr>
      <w:tr w:rsidR="009F5F25" w:rsidRPr="005F605E" w:rsidTr="009F5F25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Default="009F5F25" w:rsidP="009F5F25">
            <w:pPr>
              <w:pStyle w:val="CETBodytext"/>
              <w:rPr>
                <w:lang w:val="en-GB"/>
              </w:rPr>
            </w:pPr>
            <w:r w:rsidRPr="003E2091">
              <w:rPr>
                <w:lang w:val="en-GB"/>
              </w:rPr>
              <w:t xml:space="preserve">Hypothesis: </w:t>
            </w:r>
            <w:r w:rsidRPr="003E2091">
              <w:rPr>
                <w:rFonts w:ascii="Symbol" w:hAnsi="Symbol"/>
                <w:lang w:val="en-GB"/>
              </w:rPr>
              <w:t></w:t>
            </w:r>
            <w:r w:rsidRPr="009F5F25">
              <w:rPr>
                <w:vertAlign w:val="subscript"/>
                <w:lang w:val="en-GB"/>
              </w:rPr>
              <w:t>pred</w:t>
            </w:r>
            <w:r>
              <w:rPr>
                <w:lang w:val="en-GB"/>
              </w:rPr>
              <w:t xml:space="preserve"> (-)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0375A1" w:rsidP="009F5F25">
            <w:pPr>
              <w:jc w:val="center"/>
            </w:pPr>
            <w:r>
              <w:t>0</w:t>
            </w:r>
          </w:p>
        </w:tc>
      </w:tr>
      <w:tr w:rsidR="009F5F25" w:rsidRPr="005F605E" w:rsidTr="009F5F25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Default="009F5F25" w:rsidP="001A1BB6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t-characteristics </w:t>
            </w:r>
            <w:r>
              <w:rPr>
                <w:lang w:val="en-GB"/>
              </w:rPr>
              <w:sym w:font="Symbol" w:char="F07C"/>
            </w:r>
            <w:r>
              <w:rPr>
                <w:lang w:val="en-GB"/>
              </w:rPr>
              <w:t>t</w:t>
            </w:r>
            <w:r>
              <w:rPr>
                <w:lang w:val="en-GB"/>
              </w:rPr>
              <w:sym w:font="Symbol" w:char="F07C"/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4.1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2.5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1.6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2.3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4.1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8.9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6.1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5.4</w:t>
            </w:r>
          </w:p>
        </w:tc>
      </w:tr>
      <w:tr w:rsidR="001A1BB6" w:rsidRPr="005F605E" w:rsidTr="009F5F25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Default="001A1BB6" w:rsidP="001A1BB6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Hypothesis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1BB6" w:rsidRPr="005F605E" w:rsidRDefault="001A1BB6" w:rsidP="009F5F25">
            <w:pPr>
              <w:jc w:val="center"/>
            </w:pPr>
            <w:r>
              <w:t>Accept.</w:t>
            </w:r>
          </w:p>
        </w:tc>
      </w:tr>
      <w:tr w:rsidR="009F5F25" w:rsidRPr="005F605E" w:rsidTr="009F5F25">
        <w:tc>
          <w:tcPr>
            <w:tcW w:w="1699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Default="001A1BB6" w:rsidP="009F5F25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Average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0.793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0.720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0.577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0.837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0.760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1A1BB6">
            <w:pPr>
              <w:jc w:val="center"/>
            </w:pPr>
            <w:r>
              <w:t>0.623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0.697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0.627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FFFFFF"/>
          </w:tcPr>
          <w:p w:rsidR="009F5F25" w:rsidRPr="005F605E" w:rsidRDefault="001A1BB6" w:rsidP="009F5F25">
            <w:pPr>
              <w:jc w:val="center"/>
            </w:pPr>
            <w:r>
              <w:t>0.503</w:t>
            </w:r>
          </w:p>
        </w:tc>
      </w:tr>
    </w:tbl>
    <w:p w:rsidR="009F5F25" w:rsidRDefault="009F5F25" w:rsidP="009F5F25">
      <w:pPr>
        <w:pStyle w:val="CETBodytext"/>
        <w:rPr>
          <w:sz w:val="16"/>
          <w:szCs w:val="16"/>
          <w:lang w:val="en-GB"/>
        </w:rPr>
      </w:pPr>
      <w:r w:rsidRPr="004E6D3A">
        <w:rPr>
          <w:sz w:val="16"/>
          <w:szCs w:val="16"/>
          <w:lang w:val="en-GB"/>
        </w:rPr>
        <w:t xml:space="preserve">Note: </w:t>
      </w:r>
      <w:r w:rsidR="00F960A9">
        <w:rPr>
          <w:sz w:val="16"/>
          <w:szCs w:val="16"/>
          <w:lang w:val="en-GB"/>
        </w:rPr>
        <w:t xml:space="preserve">the </w:t>
      </w:r>
      <w:r w:rsidRPr="004E6D3A">
        <w:rPr>
          <w:sz w:val="16"/>
          <w:szCs w:val="16"/>
          <w:lang w:val="en-GB"/>
        </w:rPr>
        <w:t>critical t-distribution coefficient t(m-2),</w:t>
      </w:r>
      <w:r w:rsidRPr="004E6D3A">
        <w:rPr>
          <w:rFonts w:ascii="Symbol" w:hAnsi="Symbol"/>
          <w:sz w:val="16"/>
          <w:szCs w:val="16"/>
          <w:lang w:val="en-GB"/>
        </w:rPr>
        <w:t></w:t>
      </w:r>
      <w:r w:rsidRPr="004E6D3A">
        <w:rPr>
          <w:sz w:val="16"/>
          <w:szCs w:val="16"/>
          <w:lang w:val="en-GB"/>
        </w:rPr>
        <w:t xml:space="preserve"> for </w:t>
      </w:r>
      <w:r w:rsidR="00F960A9">
        <w:rPr>
          <w:sz w:val="16"/>
          <w:szCs w:val="16"/>
          <w:lang w:val="en-GB"/>
        </w:rPr>
        <w:t xml:space="preserve">the </w:t>
      </w:r>
      <w:r w:rsidRPr="004E6D3A">
        <w:rPr>
          <w:sz w:val="16"/>
          <w:szCs w:val="16"/>
          <w:lang w:val="en-GB"/>
        </w:rPr>
        <w:t xml:space="preserve">significance level </w:t>
      </w:r>
      <w:r w:rsidRPr="004E6D3A">
        <w:rPr>
          <w:rFonts w:ascii="Symbol" w:hAnsi="Symbol"/>
          <w:sz w:val="16"/>
          <w:szCs w:val="16"/>
          <w:lang w:val="en-GB"/>
        </w:rPr>
        <w:t></w:t>
      </w:r>
      <w:r w:rsidRPr="004E6D3A">
        <w:rPr>
          <w:sz w:val="16"/>
          <w:szCs w:val="16"/>
          <w:lang w:val="en-GB"/>
        </w:rPr>
        <w:t xml:space="preserve"> = 0.05 is </w:t>
      </w:r>
      <w:r w:rsidRPr="000375A1">
        <w:rPr>
          <w:sz w:val="16"/>
          <w:szCs w:val="16"/>
          <w:lang w:val="en-GB"/>
        </w:rPr>
        <w:t>12.7</w:t>
      </w:r>
      <w:r w:rsidR="000375A1" w:rsidRPr="000375A1">
        <w:rPr>
          <w:sz w:val="16"/>
          <w:szCs w:val="16"/>
          <w:lang w:val="en-GB"/>
        </w:rPr>
        <w:t>06</w:t>
      </w:r>
      <w:r w:rsidRPr="000375A1">
        <w:rPr>
          <w:sz w:val="16"/>
          <w:szCs w:val="16"/>
          <w:lang w:val="en-GB"/>
        </w:rPr>
        <w:t>.</w:t>
      </w:r>
      <w:r w:rsidR="001A1BB6">
        <w:rPr>
          <w:sz w:val="16"/>
          <w:szCs w:val="16"/>
          <w:lang w:val="en-GB"/>
        </w:rPr>
        <w:t xml:space="preserve"> Accept. = </w:t>
      </w:r>
      <w:r w:rsidR="003743A4">
        <w:rPr>
          <w:sz w:val="16"/>
          <w:szCs w:val="16"/>
          <w:lang w:val="en-GB"/>
        </w:rPr>
        <w:t>hypothesis is a</w:t>
      </w:r>
      <w:r w:rsidR="001A1BB6">
        <w:rPr>
          <w:sz w:val="16"/>
          <w:szCs w:val="16"/>
          <w:lang w:val="en-GB"/>
        </w:rPr>
        <w:t>cceptable</w:t>
      </w:r>
      <w:r w:rsidR="00E840FC">
        <w:rPr>
          <w:sz w:val="16"/>
          <w:szCs w:val="16"/>
          <w:lang w:val="en-GB"/>
        </w:rPr>
        <w:t>.</w:t>
      </w:r>
    </w:p>
    <w:p w:rsidR="00392441" w:rsidRPr="00AE1253" w:rsidRDefault="00392441" w:rsidP="00392441">
      <w:pPr>
        <w:pStyle w:val="CETTabletitle"/>
        <w:spacing w:before="0" w:after="0" w:line="264" w:lineRule="auto"/>
        <w:jc w:val="both"/>
        <w:rPr>
          <w:i w:val="0"/>
        </w:rPr>
      </w:pPr>
      <w:r w:rsidRPr="00AE1253">
        <w:rPr>
          <w:i w:val="0"/>
        </w:rPr>
        <w:lastRenderedPageBreak/>
        <w:t>The effect of the impeller rotational speed N on the proportionality constant C</w:t>
      </w:r>
      <w:r w:rsidRPr="00AE1253">
        <w:rPr>
          <w:i w:val="0"/>
          <w:vertAlign w:val="subscript"/>
        </w:rPr>
        <w:t>2</w:t>
      </w:r>
      <w:r w:rsidRPr="00AE1253">
        <w:rPr>
          <w:i w:val="0"/>
        </w:rPr>
        <w:t xml:space="preserve"> was tested by hypothesis testing (Bowerman and O’Connell, 1997) for all regions investigated. The power-law dependence of the proportionality constant C</w:t>
      </w:r>
      <w:r w:rsidRPr="00AE1253">
        <w:rPr>
          <w:i w:val="0"/>
          <w:vertAlign w:val="subscript"/>
        </w:rPr>
        <w:t>2</w:t>
      </w:r>
      <w:r w:rsidRPr="00AE1253">
        <w:rPr>
          <w:i w:val="0"/>
        </w:rPr>
        <w:t xml:space="preserve"> on the impeller rotational speed was assumed as follows: C</w:t>
      </w:r>
      <w:r w:rsidRPr="00AE1253">
        <w:rPr>
          <w:i w:val="0"/>
          <w:vertAlign w:val="subscript"/>
        </w:rPr>
        <w:t>2</w:t>
      </w:r>
      <w:r w:rsidRPr="00AE1253">
        <w:rPr>
          <w:i w:val="0"/>
        </w:rPr>
        <w:t>= B</w:t>
      </w:r>
      <w:r w:rsidRPr="00AE1253">
        <w:rPr>
          <w:i w:val="0"/>
          <w:vertAlign w:val="subscript"/>
        </w:rPr>
        <w:t>R</w:t>
      </w:r>
      <w:r w:rsidRPr="00AE1253">
        <w:rPr>
          <w:i w:val="0"/>
        </w:rPr>
        <w:t>.(N)</w:t>
      </w:r>
      <w:r w:rsidRPr="00AE1253">
        <w:rPr>
          <w:rFonts w:ascii="Symbol" w:hAnsi="Symbol"/>
          <w:i w:val="0"/>
          <w:vertAlign w:val="superscript"/>
        </w:rPr>
        <w:t></w:t>
      </w:r>
      <w:r w:rsidRPr="00AE1253">
        <w:rPr>
          <w:i w:val="0"/>
          <w:vertAlign w:val="superscript"/>
        </w:rPr>
        <w:t>calc</w:t>
      </w:r>
      <w:r w:rsidRPr="00AE1253">
        <w:rPr>
          <w:i w:val="0"/>
        </w:rPr>
        <w:t>. The independence of the proportionality constant C</w:t>
      </w:r>
      <w:r w:rsidRPr="00AE1253">
        <w:rPr>
          <w:i w:val="0"/>
          <w:vertAlign w:val="subscript"/>
        </w:rPr>
        <w:t>2</w:t>
      </w:r>
      <w:r w:rsidRPr="00AE1253">
        <w:rPr>
          <w:i w:val="0"/>
        </w:rPr>
        <w:t xml:space="preserve"> from the impeller rotational speed was formulated as the hypothesis, that is, C</w:t>
      </w:r>
      <w:r w:rsidRPr="00AE1253">
        <w:rPr>
          <w:i w:val="0"/>
          <w:vertAlign w:val="subscript"/>
        </w:rPr>
        <w:t>2</w:t>
      </w:r>
      <w:r w:rsidRPr="00AE1253">
        <w:rPr>
          <w:i w:val="0"/>
        </w:rPr>
        <w:t xml:space="preserve"> = B</w:t>
      </w:r>
      <w:r w:rsidRPr="00AE1253">
        <w:rPr>
          <w:i w:val="0"/>
          <w:vertAlign w:val="subscript"/>
        </w:rPr>
        <w:t>H</w:t>
      </w:r>
      <w:r w:rsidRPr="00AE1253">
        <w:rPr>
          <w:i w:val="0"/>
        </w:rPr>
        <w:t>.(N)</w:t>
      </w:r>
      <w:r w:rsidRPr="00AE1253">
        <w:rPr>
          <w:i w:val="0"/>
          <w:vertAlign w:val="superscript"/>
        </w:rPr>
        <w:t>0</w:t>
      </w:r>
      <w:r w:rsidRPr="00AE1253">
        <w:rPr>
          <w:i w:val="0"/>
        </w:rPr>
        <w:t xml:space="preserve">  = const., i.e. </w:t>
      </w:r>
      <w:r w:rsidRPr="00AE1253">
        <w:rPr>
          <w:rFonts w:ascii="Symbol" w:hAnsi="Symbol"/>
          <w:i w:val="0"/>
        </w:rPr>
        <w:t></w:t>
      </w:r>
      <w:r w:rsidRPr="00AE1253">
        <w:rPr>
          <w:i w:val="0"/>
          <w:vertAlign w:val="subscript"/>
        </w:rPr>
        <w:t>pred</w:t>
      </w:r>
      <w:r w:rsidRPr="00AE1253">
        <w:rPr>
          <w:i w:val="0"/>
        </w:rPr>
        <w:t xml:space="preserve"> = 0. The principle of this statistical method is testing of the relevance of the difference between the values of the predicted parameter and parameter evaluated from the measured data, i.e. between </w:t>
      </w:r>
      <w:r w:rsidRPr="00AE1253">
        <w:rPr>
          <w:rFonts w:ascii="Symbol" w:hAnsi="Symbol"/>
          <w:i w:val="0"/>
        </w:rPr>
        <w:t></w:t>
      </w:r>
      <w:r w:rsidRPr="00AE1253">
        <w:rPr>
          <w:i w:val="0"/>
          <w:vertAlign w:val="subscript"/>
        </w:rPr>
        <w:t>pred</w:t>
      </w:r>
      <w:r w:rsidRPr="00AE1253">
        <w:rPr>
          <w:i w:val="0"/>
        </w:rPr>
        <w:t xml:space="preserve"> and </w:t>
      </w:r>
      <w:r w:rsidRPr="00AE1253">
        <w:rPr>
          <w:rFonts w:ascii="Symbol" w:hAnsi="Symbol"/>
          <w:i w:val="0"/>
        </w:rPr>
        <w:t></w:t>
      </w:r>
      <w:r w:rsidRPr="00AE1253">
        <w:rPr>
          <w:i w:val="0"/>
          <w:vertAlign w:val="superscript"/>
        </w:rPr>
        <w:t>calc</w:t>
      </w:r>
      <w:r w:rsidRPr="00AE1253">
        <w:rPr>
          <w:i w:val="0"/>
        </w:rPr>
        <w:t xml:space="preserve"> respectively in this case. The results of the hypothesis testing are presented in Table 6. For illustration, the values of calculated </w:t>
      </w:r>
      <w:r w:rsidRPr="00AE1253">
        <w:rPr>
          <w:rFonts w:ascii="Symbol" w:hAnsi="Symbol"/>
          <w:i w:val="0"/>
        </w:rPr>
        <w:t></w:t>
      </w:r>
      <w:r w:rsidRPr="00AE1253">
        <w:rPr>
          <w:i w:val="0"/>
        </w:rPr>
        <w:t>t</w:t>
      </w:r>
      <w:r w:rsidRPr="00AE1253">
        <w:rPr>
          <w:rFonts w:ascii="Symbol" w:hAnsi="Symbol"/>
          <w:i w:val="0"/>
        </w:rPr>
        <w:t></w:t>
      </w:r>
      <w:r w:rsidRPr="00AE1253">
        <w:rPr>
          <w:i w:val="0"/>
        </w:rPr>
        <w:t xml:space="preserve"> values are presented here. Despite the visual observance implies a possible dependence of the constant C</w:t>
      </w:r>
      <w:r w:rsidRPr="00AE1253">
        <w:rPr>
          <w:i w:val="0"/>
          <w:vertAlign w:val="subscript"/>
        </w:rPr>
        <w:t>2</w:t>
      </w:r>
      <w:r w:rsidRPr="00AE1253">
        <w:rPr>
          <w:i w:val="0"/>
        </w:rPr>
        <w:t xml:space="preserve"> on the impeller speed, the hypothesis test does not confirm this dependence. However, it should be noted that the number of data is small. On the other hand, the t-characteristic values are low except for region C.</w:t>
      </w:r>
    </w:p>
    <w:p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:rsidR="00FA725F" w:rsidRDefault="00E826D1" w:rsidP="001A1BB6">
      <w:pPr>
        <w:pStyle w:val="CETBodytext"/>
        <w:rPr>
          <w:lang w:val="en-GB"/>
        </w:rPr>
      </w:pPr>
      <w:r w:rsidRPr="00DF6B72">
        <w:rPr>
          <w:lang w:val="en-GB"/>
        </w:rPr>
        <w:t xml:space="preserve">The effect of </w:t>
      </w:r>
      <w:r w:rsidR="00D85734">
        <w:rPr>
          <w:lang w:val="en-GB"/>
        </w:rPr>
        <w:t xml:space="preserve">intermittent </w:t>
      </w:r>
      <w:r w:rsidRPr="00DF6B72">
        <w:rPr>
          <w:lang w:val="en-GB"/>
        </w:rPr>
        <w:t>turbulence</w:t>
      </w:r>
      <w:r w:rsidR="00D85734" w:rsidRPr="00DF6B72">
        <w:rPr>
          <w:lang w:val="en-GB"/>
        </w:rPr>
        <w:t xml:space="preserve"> </w:t>
      </w:r>
      <w:r w:rsidRPr="00DF6B72">
        <w:rPr>
          <w:lang w:val="en-GB"/>
        </w:rPr>
        <w:t xml:space="preserve">on drop size was </w:t>
      </w:r>
      <w:r>
        <w:rPr>
          <w:lang w:val="en-GB"/>
        </w:rPr>
        <w:t>analysed in a model system of immiscible silicon oil-water dispersion m</w:t>
      </w:r>
      <w:r w:rsidRPr="00374F68">
        <w:rPr>
          <w:lang w:val="en-GB"/>
        </w:rPr>
        <w:t xml:space="preserve">echanically </w:t>
      </w:r>
      <w:r>
        <w:rPr>
          <w:lang w:val="en-GB"/>
        </w:rPr>
        <w:t>a</w:t>
      </w:r>
      <w:r w:rsidRPr="00374F68">
        <w:rPr>
          <w:lang w:val="en-GB"/>
        </w:rPr>
        <w:t xml:space="preserve">gitated by </w:t>
      </w:r>
      <w:r w:rsidR="007A0B11">
        <w:rPr>
          <w:lang w:val="en-GB"/>
        </w:rPr>
        <w:t xml:space="preserve">a </w:t>
      </w:r>
      <w:r>
        <w:rPr>
          <w:lang w:val="en-GB"/>
        </w:rPr>
        <w:t>h</w:t>
      </w:r>
      <w:r w:rsidRPr="00374F68">
        <w:rPr>
          <w:lang w:val="en-GB"/>
        </w:rPr>
        <w:t>igh-</w:t>
      </w:r>
      <w:r>
        <w:rPr>
          <w:lang w:val="en-GB"/>
        </w:rPr>
        <w:t>s</w:t>
      </w:r>
      <w:r w:rsidRPr="00374F68">
        <w:rPr>
          <w:lang w:val="en-GB"/>
        </w:rPr>
        <w:t xml:space="preserve">hear </w:t>
      </w:r>
      <w:r>
        <w:rPr>
          <w:lang w:val="en-GB"/>
        </w:rPr>
        <w:t>sawtooth i</w:t>
      </w:r>
      <w:r w:rsidRPr="00374F68">
        <w:rPr>
          <w:lang w:val="en-GB"/>
        </w:rPr>
        <w:t>mpeller</w:t>
      </w:r>
      <w:r w:rsidR="001A1BB6">
        <w:rPr>
          <w:lang w:val="en-GB"/>
        </w:rPr>
        <w:t xml:space="preserve"> in three different regions</w:t>
      </w:r>
      <w:r>
        <w:rPr>
          <w:lang w:val="en-GB"/>
        </w:rPr>
        <w:t xml:space="preserve">. </w:t>
      </w:r>
      <w:r w:rsidR="00FA725F">
        <w:rPr>
          <w:lang w:val="en-GB"/>
        </w:rPr>
        <w:t xml:space="preserve">The procedure proposed by </w:t>
      </w:r>
      <w:r w:rsidR="00FA725F" w:rsidRPr="0055667C">
        <w:rPr>
          <w:lang w:val="en-GB"/>
        </w:rPr>
        <w:t>Formánek and Šulc (2022)</w:t>
      </w:r>
      <w:r w:rsidR="00FA725F">
        <w:rPr>
          <w:lang w:val="en-GB"/>
        </w:rPr>
        <w:t xml:space="preserve"> was adopted for </w:t>
      </w:r>
      <w:r w:rsidR="00F960A9">
        <w:rPr>
          <w:lang w:val="en-GB"/>
        </w:rPr>
        <w:t xml:space="preserve">the estimation of the </w:t>
      </w:r>
      <w:r w:rsidR="00FA725F">
        <w:rPr>
          <w:lang w:val="en-GB"/>
        </w:rPr>
        <w:t xml:space="preserve">maximum drop size. </w:t>
      </w:r>
      <w:r w:rsidR="00F960A9">
        <w:rPr>
          <w:lang w:val="en-GB"/>
        </w:rPr>
        <w:t>T</w:t>
      </w:r>
      <w:r w:rsidR="00FA725F" w:rsidRPr="006460A4">
        <w:rPr>
          <w:lang w:val="en-GB"/>
        </w:rPr>
        <w:t xml:space="preserve">he correct determination of maximum drop size </w:t>
      </w:r>
      <w:r w:rsidR="00F960A9">
        <w:rPr>
          <w:lang w:val="en-GB"/>
        </w:rPr>
        <w:t xml:space="preserve">was found to be </w:t>
      </w:r>
      <w:r w:rsidR="00FA725F" w:rsidRPr="006460A4">
        <w:rPr>
          <w:lang w:val="en-GB"/>
        </w:rPr>
        <w:t xml:space="preserve">a crucial factor for the correct estimation of </w:t>
      </w:r>
      <w:r w:rsidR="00F960A9">
        <w:rPr>
          <w:lang w:val="en-GB"/>
        </w:rPr>
        <w:t xml:space="preserve">the </w:t>
      </w:r>
      <w:r w:rsidR="00FA725F" w:rsidRPr="006460A4">
        <w:rPr>
          <w:lang w:val="en-GB"/>
        </w:rPr>
        <w:t xml:space="preserve">multifractal exponent </w:t>
      </w:r>
      <w:r w:rsidR="00FA725F" w:rsidRPr="00677622">
        <w:rPr>
          <w:rFonts w:ascii="Symbol" w:hAnsi="Symbol"/>
          <w:lang w:val="en-GB"/>
        </w:rPr>
        <w:t></w:t>
      </w:r>
      <w:r w:rsidR="00FA725F" w:rsidRPr="00677622">
        <w:rPr>
          <w:vertAlign w:val="subscript"/>
          <w:lang w:val="en-GB"/>
        </w:rPr>
        <w:t>FT</w:t>
      </w:r>
      <w:r w:rsidR="00FA725F">
        <w:rPr>
          <w:lang w:val="en-GB"/>
        </w:rPr>
        <w:t xml:space="preserve"> for systems agitated by high-shear sawtooth impeller</w:t>
      </w:r>
      <w:r w:rsidR="00F960A9">
        <w:rPr>
          <w:lang w:val="en-GB"/>
        </w:rPr>
        <w:t xml:space="preserve"> also</w:t>
      </w:r>
      <w:r w:rsidR="00FA725F">
        <w:rPr>
          <w:lang w:val="en-GB"/>
        </w:rPr>
        <w:t>.</w:t>
      </w:r>
      <w:r w:rsidR="00FA725F" w:rsidRPr="00FA725F">
        <w:rPr>
          <w:lang w:val="en-GB"/>
        </w:rPr>
        <w:t xml:space="preserve"> </w:t>
      </w:r>
      <w:r w:rsidR="00FA725F" w:rsidRPr="0055667C">
        <w:rPr>
          <w:lang w:val="en-GB"/>
        </w:rPr>
        <w:t xml:space="preserve">The </w:t>
      </w:r>
      <w:r w:rsidR="00FA725F" w:rsidRPr="0055667C">
        <w:rPr>
          <w:rFonts w:ascii="Symbol" w:hAnsi="Symbol"/>
          <w:lang w:val="en-GB"/>
        </w:rPr>
        <w:t></w:t>
      </w:r>
      <w:r w:rsidR="00FA725F" w:rsidRPr="0055667C">
        <w:rPr>
          <w:vertAlign w:val="subscript"/>
          <w:lang w:val="en-GB"/>
        </w:rPr>
        <w:t>FT</w:t>
      </w:r>
      <w:r w:rsidR="00FA725F" w:rsidRPr="0055667C">
        <w:rPr>
          <w:lang w:val="en-GB"/>
        </w:rPr>
        <w:t xml:space="preserve"> value</w:t>
      </w:r>
      <w:r w:rsidR="00FA725F">
        <w:rPr>
          <w:lang w:val="en-GB"/>
        </w:rPr>
        <w:t>s</w:t>
      </w:r>
      <w:r w:rsidR="00FA725F" w:rsidRPr="0055667C">
        <w:rPr>
          <w:lang w:val="en-GB"/>
        </w:rPr>
        <w:t xml:space="preserve"> of approx</w:t>
      </w:r>
      <w:r w:rsidR="00F960A9">
        <w:rPr>
          <w:lang w:val="en-GB"/>
        </w:rPr>
        <w:t>imately</w:t>
      </w:r>
      <w:r w:rsidR="00FA725F" w:rsidRPr="0055667C">
        <w:rPr>
          <w:lang w:val="en-GB"/>
        </w:rPr>
        <w:t xml:space="preserve"> </w:t>
      </w:r>
      <w:r w:rsidR="00FA725F">
        <w:rPr>
          <w:lang w:val="en-GB"/>
        </w:rPr>
        <w:t>1.</w:t>
      </w:r>
      <w:r w:rsidR="001A1BB6">
        <w:rPr>
          <w:lang w:val="en-GB"/>
        </w:rPr>
        <w:t xml:space="preserve">64 </w:t>
      </w:r>
      <w:r w:rsidR="00F960A9">
        <w:rPr>
          <w:lang w:val="en-GB"/>
        </w:rPr>
        <w:t>on</w:t>
      </w:r>
      <w:r w:rsidR="001A1BB6">
        <w:rPr>
          <w:lang w:val="en-GB"/>
        </w:rPr>
        <w:t xml:space="preserve"> average</w:t>
      </w:r>
      <w:r w:rsidR="00FA725F">
        <w:rPr>
          <w:lang w:val="en-GB"/>
        </w:rPr>
        <w:t xml:space="preserve"> and 1.46 </w:t>
      </w:r>
      <w:r w:rsidR="00FA725F" w:rsidRPr="0055667C">
        <w:rPr>
          <w:lang w:val="en-GB"/>
        </w:rPr>
        <w:t>w</w:t>
      </w:r>
      <w:r w:rsidR="00FA725F">
        <w:rPr>
          <w:lang w:val="en-GB"/>
        </w:rPr>
        <w:t>ere</w:t>
      </w:r>
      <w:r w:rsidR="00FA725F" w:rsidRPr="0055667C">
        <w:rPr>
          <w:lang w:val="en-GB"/>
        </w:rPr>
        <w:t xml:space="preserve"> found for regions </w:t>
      </w:r>
      <w:r w:rsidR="00FA725F">
        <w:rPr>
          <w:lang w:val="en-GB"/>
        </w:rPr>
        <w:t>close to the impeller and the region outside the impeller, respectively.</w:t>
      </w:r>
      <w:r w:rsidR="000E13BA">
        <w:rPr>
          <w:lang w:val="en-GB"/>
        </w:rPr>
        <w:t xml:space="preserve"> These values </w:t>
      </w:r>
      <w:r w:rsidR="000E13BA" w:rsidRPr="000E13BA">
        <w:rPr>
          <w:lang w:val="en-GB"/>
        </w:rPr>
        <w:t xml:space="preserve">would indicate smaller turbulent stresses generated by the acting eddies than predicted by </w:t>
      </w:r>
      <w:r w:rsidR="00F960A9">
        <w:rPr>
          <w:lang w:val="en-GB"/>
        </w:rPr>
        <w:t xml:space="preserve">the </w:t>
      </w:r>
      <w:r w:rsidR="000E13BA" w:rsidRPr="000E13BA">
        <w:rPr>
          <w:lang w:val="en-GB"/>
        </w:rPr>
        <w:t>Kolmogorov theory.</w:t>
      </w:r>
      <w:r w:rsidR="001A1BB6">
        <w:rPr>
          <w:lang w:val="en-GB"/>
        </w:rPr>
        <w:t xml:space="preserve"> </w:t>
      </w:r>
      <w:r w:rsidR="00FA725F">
        <w:rPr>
          <w:lang w:val="en-GB"/>
        </w:rPr>
        <w:t>Finally, the relation</w:t>
      </w:r>
      <w:r w:rsidR="00F960A9">
        <w:rPr>
          <w:lang w:val="en-GB"/>
        </w:rPr>
        <w:t>ship</w:t>
      </w:r>
      <w:r w:rsidR="00FA725F">
        <w:rPr>
          <w:lang w:val="en-GB"/>
        </w:rPr>
        <w:t xml:space="preserve"> between </w:t>
      </w:r>
      <w:r w:rsidR="00F960A9">
        <w:rPr>
          <w:lang w:val="en-GB"/>
        </w:rPr>
        <w:t xml:space="preserve">the </w:t>
      </w:r>
      <w:r w:rsidR="00FA725F">
        <w:rPr>
          <w:lang w:val="en-GB"/>
        </w:rPr>
        <w:t>Sauter mean diameter d</w:t>
      </w:r>
      <w:r w:rsidR="00FA725F" w:rsidRPr="0096068C">
        <w:rPr>
          <w:vertAlign w:val="subscript"/>
          <w:lang w:val="en-GB"/>
        </w:rPr>
        <w:t>32</w:t>
      </w:r>
      <w:r w:rsidR="00FA725F">
        <w:rPr>
          <w:lang w:val="en-GB"/>
        </w:rPr>
        <w:t xml:space="preserve"> and </w:t>
      </w:r>
      <w:r w:rsidR="00F960A9">
        <w:rPr>
          <w:lang w:val="en-GB"/>
        </w:rPr>
        <w:t xml:space="preserve">the </w:t>
      </w:r>
      <w:r w:rsidR="00FA725F">
        <w:rPr>
          <w:lang w:val="en-GB"/>
        </w:rPr>
        <w:t>maximum drop size d</w:t>
      </w:r>
      <w:r w:rsidR="00FA725F" w:rsidRPr="0096068C">
        <w:rPr>
          <w:vertAlign w:val="subscript"/>
          <w:lang w:val="en-GB"/>
        </w:rPr>
        <w:t>max</w:t>
      </w:r>
      <w:r w:rsidR="00FA725F">
        <w:rPr>
          <w:lang w:val="en-GB"/>
        </w:rPr>
        <w:t xml:space="preserve"> was investigated. </w:t>
      </w:r>
      <w:r w:rsidR="001A1BB6" w:rsidRPr="0055667C">
        <w:rPr>
          <w:lang w:val="en-GB"/>
        </w:rPr>
        <w:t xml:space="preserve">The </w:t>
      </w:r>
      <w:r w:rsidR="001A1BB6">
        <w:rPr>
          <w:lang w:val="en-GB"/>
        </w:rPr>
        <w:t>d</w:t>
      </w:r>
      <w:r w:rsidR="001A1BB6" w:rsidRPr="001A1BB6">
        <w:rPr>
          <w:vertAlign w:val="subscript"/>
          <w:lang w:val="en-GB"/>
        </w:rPr>
        <w:t>32</w:t>
      </w:r>
      <w:r w:rsidR="001A1BB6">
        <w:rPr>
          <w:lang w:val="en-GB"/>
        </w:rPr>
        <w:t>/d</w:t>
      </w:r>
      <w:r w:rsidR="001A1BB6" w:rsidRPr="001A1BB6">
        <w:rPr>
          <w:vertAlign w:val="subscript"/>
          <w:lang w:val="en-GB"/>
        </w:rPr>
        <w:t>max</w:t>
      </w:r>
      <w:r w:rsidR="001A1BB6">
        <w:rPr>
          <w:lang w:val="en-GB"/>
        </w:rPr>
        <w:t xml:space="preserve"> </w:t>
      </w:r>
      <w:r w:rsidR="00F960A9">
        <w:rPr>
          <w:lang w:val="en-GB"/>
        </w:rPr>
        <w:t xml:space="preserve">ratios </w:t>
      </w:r>
      <w:r w:rsidR="001A1BB6" w:rsidRPr="0055667C">
        <w:rPr>
          <w:lang w:val="en-GB"/>
        </w:rPr>
        <w:t>of approx</w:t>
      </w:r>
      <w:r w:rsidR="00F960A9">
        <w:rPr>
          <w:lang w:val="en-GB"/>
        </w:rPr>
        <w:t>imately</w:t>
      </w:r>
      <w:r w:rsidR="001A1BB6" w:rsidRPr="0055667C">
        <w:rPr>
          <w:lang w:val="en-GB"/>
        </w:rPr>
        <w:t xml:space="preserve"> </w:t>
      </w:r>
      <w:r w:rsidR="001A1BB6">
        <w:rPr>
          <w:lang w:val="en-GB"/>
        </w:rPr>
        <w:t xml:space="preserve">0.6 </w:t>
      </w:r>
      <w:r w:rsidR="00F960A9">
        <w:rPr>
          <w:lang w:val="en-GB"/>
        </w:rPr>
        <w:t xml:space="preserve">on </w:t>
      </w:r>
      <w:r w:rsidR="001A1BB6">
        <w:rPr>
          <w:lang w:val="en-GB"/>
        </w:rPr>
        <w:t xml:space="preserve">average and 0.5 </w:t>
      </w:r>
      <w:r w:rsidR="001A1BB6" w:rsidRPr="0055667C">
        <w:rPr>
          <w:lang w:val="en-GB"/>
        </w:rPr>
        <w:t>w</w:t>
      </w:r>
      <w:r w:rsidR="001A1BB6">
        <w:rPr>
          <w:lang w:val="en-GB"/>
        </w:rPr>
        <w:t>ere</w:t>
      </w:r>
      <w:r w:rsidR="001A1BB6" w:rsidRPr="0055667C">
        <w:rPr>
          <w:lang w:val="en-GB"/>
        </w:rPr>
        <w:t xml:space="preserve"> found for regions </w:t>
      </w:r>
      <w:r w:rsidR="001A1BB6">
        <w:rPr>
          <w:lang w:val="en-GB"/>
        </w:rPr>
        <w:t>close to the impeller and the region outside the impeller, respectively.</w:t>
      </w:r>
    </w:p>
    <w:p w:rsidR="00600535" w:rsidRPr="00B57B36" w:rsidRDefault="00600535" w:rsidP="00600535">
      <w:pPr>
        <w:pStyle w:val="CETAcknowledgementstitle"/>
      </w:pPr>
      <w:r w:rsidRPr="00B57B36">
        <w:t>Acknowledg</w:t>
      </w:r>
      <w:r w:rsidR="007702C5">
        <w:t>e</w:t>
      </w:r>
      <w:r w:rsidRPr="00B57B36">
        <w:t>ments</w:t>
      </w:r>
    </w:p>
    <w:p w:rsidR="00F9406B" w:rsidRPr="003C1C4A" w:rsidRDefault="00D90B61" w:rsidP="00F9406B">
      <w:pPr>
        <w:pStyle w:val="CETBodytext"/>
        <w:rPr>
          <w:lang w:val="en-GB"/>
        </w:rPr>
      </w:pPr>
      <w:r w:rsidRPr="003C1C4A">
        <w:rPr>
          <w:rFonts w:eastAsiaTheme="minorHAnsi"/>
        </w:rPr>
        <w:t xml:space="preserve">This work was supported by </w:t>
      </w:r>
      <w:r w:rsidR="007A0B11">
        <w:rPr>
          <w:rFonts w:eastAsiaTheme="minorHAnsi"/>
        </w:rPr>
        <w:t xml:space="preserve">the </w:t>
      </w:r>
      <w:r w:rsidRPr="003C1C4A">
        <w:rPr>
          <w:rFonts w:eastAsiaTheme="minorHAnsi"/>
        </w:rPr>
        <w:t>Ministry of Education, Youth</w:t>
      </w:r>
      <w:r w:rsidR="00F960A9">
        <w:rPr>
          <w:rFonts w:eastAsiaTheme="minorHAnsi"/>
        </w:rPr>
        <w:t>,</w:t>
      </w:r>
      <w:r w:rsidRPr="003C1C4A">
        <w:rPr>
          <w:rFonts w:eastAsiaTheme="minorHAnsi"/>
        </w:rPr>
        <w:t xml:space="preserve"> and Sports of the Czech Republic under grant number </w:t>
      </w:r>
      <w:r w:rsidR="003C1C4A" w:rsidRPr="003C1C4A">
        <w:rPr>
          <w:rFonts w:eastAsiaTheme="minorHAnsi"/>
        </w:rPr>
        <w:t>RVO:12000</w:t>
      </w:r>
      <w:r w:rsidRPr="003C1C4A">
        <w:rPr>
          <w:rFonts w:eastAsiaTheme="minorHAnsi"/>
        </w:rPr>
        <w:t xml:space="preserve"> "R</w:t>
      </w:r>
      <w:r w:rsidR="003C1C4A" w:rsidRPr="003C1C4A">
        <w:rPr>
          <w:rFonts w:eastAsiaTheme="minorHAnsi"/>
        </w:rPr>
        <w:sym w:font="Symbol" w:char="F026"/>
      </w:r>
      <w:r w:rsidR="003C1C4A" w:rsidRPr="003C1C4A">
        <w:rPr>
          <w:rFonts w:eastAsiaTheme="minorHAnsi"/>
        </w:rPr>
        <w:t>D institutional support</w:t>
      </w:r>
      <w:r w:rsidRPr="003C1C4A">
        <w:rPr>
          <w:rFonts w:eastAsiaTheme="minorHAnsi"/>
        </w:rPr>
        <w:t>".</w:t>
      </w:r>
    </w:p>
    <w:p w:rsidR="00600535" w:rsidRPr="00B57B36" w:rsidRDefault="00600535" w:rsidP="00600535">
      <w:pPr>
        <w:pStyle w:val="CETReference"/>
      </w:pPr>
      <w:r w:rsidRPr="00B57B36">
        <w:t>References</w:t>
      </w:r>
    </w:p>
    <w:p w:rsidR="00F364E7" w:rsidRDefault="00F364E7" w:rsidP="00F364E7">
      <w:pPr>
        <w:ind w:left="284" w:hanging="284"/>
      </w:pPr>
      <w:r w:rsidRPr="0055667C">
        <w:t xml:space="preserve">Bałdyga J., </w:t>
      </w:r>
      <w:r>
        <w:t xml:space="preserve">Bourne J.R., </w:t>
      </w:r>
      <w:r w:rsidR="00BD6775">
        <w:t>1</w:t>
      </w:r>
      <w:r>
        <w:t xml:space="preserve">993, Drop Breakup and Intermittent Turbulence, Journal of Chemical Engineering of Japan, 26(6), 738–741. </w:t>
      </w:r>
    </w:p>
    <w:p w:rsidR="00F364E7" w:rsidRDefault="00F364E7" w:rsidP="00F364E7">
      <w:pPr>
        <w:ind w:left="284" w:hanging="284"/>
      </w:pPr>
      <w:r w:rsidRPr="0055667C">
        <w:t xml:space="preserve">Bałdyga J., </w:t>
      </w:r>
      <w:r>
        <w:t xml:space="preserve">Bourne J.R., 1995, Interpretation of turbulent mixing using fractals and multifractals, Chemical Engineering Science, 50(3), 381–400. </w:t>
      </w:r>
    </w:p>
    <w:p w:rsidR="0055667C" w:rsidRDefault="0055667C" w:rsidP="003E2091">
      <w:pPr>
        <w:ind w:left="284" w:hanging="284"/>
      </w:pPr>
      <w:r w:rsidRPr="0055667C">
        <w:t>Bałdyga J., Podgórska W., 1998</w:t>
      </w:r>
      <w:r>
        <w:t>,</w:t>
      </w:r>
      <w:r w:rsidRPr="0055667C">
        <w:t xml:space="preserve"> Drop break-up in intermittent turbulence. Maximum stable drop size and transient sizes of drops</w:t>
      </w:r>
      <w:r>
        <w:t>,</w:t>
      </w:r>
      <w:r w:rsidRPr="0055667C">
        <w:t xml:space="preserve"> Can. J. Chem. Eng., 76, 456 –470.</w:t>
      </w:r>
    </w:p>
    <w:p w:rsidR="003E2091" w:rsidRDefault="003E2091" w:rsidP="003E2091">
      <w:pPr>
        <w:ind w:left="284" w:hanging="284"/>
      </w:pPr>
      <w:r>
        <w:t>Bowerman B.L., O´Connell, R.T., 1997, Applied statistics: improving business processes. Richard D. Irwin, USA.</w:t>
      </w:r>
    </w:p>
    <w:p w:rsidR="003E2091" w:rsidRDefault="003E2091" w:rsidP="003E2091">
      <w:pPr>
        <w:ind w:left="284" w:hanging="284"/>
      </w:pPr>
      <w:r>
        <w:t xml:space="preserve">Calabrese R.V., Chang T.P.K., Dang, P.T., 1986, Drop breakup in turbulent stirred-tank contactors. Part I: Effect of dispersed-phase viscosity, AIChE J, 32, 657–666. </w:t>
      </w:r>
    </w:p>
    <w:p w:rsidR="00B309F8" w:rsidRPr="0021702F" w:rsidRDefault="00B309F8" w:rsidP="00B309F8">
      <w:pPr>
        <w:ind w:left="284" w:hanging="284"/>
      </w:pPr>
      <w:r w:rsidRPr="0021702F">
        <w:t>Formánek R., Kysela B., Šulc R., 2019, Drop Size Evolution Kinetics in a Liquid-liquid Dispersions System in a Vessel Agitated by a Rushton Turbine, Chemical Engineering Transactions, 74, 1039-1044.</w:t>
      </w:r>
    </w:p>
    <w:p w:rsidR="00A249B2" w:rsidRDefault="00A249B2" w:rsidP="001276CB">
      <w:pPr>
        <w:ind w:left="284" w:hanging="284"/>
      </w:pPr>
      <w:r w:rsidRPr="00A249B2">
        <w:t>F</w:t>
      </w:r>
      <w:r>
        <w:t>ormánek</w:t>
      </w:r>
      <w:r w:rsidRPr="00A249B2">
        <w:t xml:space="preserve"> R</w:t>
      </w:r>
      <w:r>
        <w:t>.,</w:t>
      </w:r>
      <w:r w:rsidRPr="00A249B2">
        <w:t xml:space="preserve"> Š</w:t>
      </w:r>
      <w:r>
        <w:t xml:space="preserve">ulc R., 2020, </w:t>
      </w:r>
      <w:r w:rsidRPr="00A249B2">
        <w:t>The Liquid-Liquid Dispersion Homogeneity in a Vessel Agitated by</w:t>
      </w:r>
      <w:r>
        <w:t xml:space="preserve"> a High-Shear Sawtooth Impeller, Processes, 8, article 1012</w:t>
      </w:r>
      <w:r w:rsidR="00B309F8">
        <w:t>.</w:t>
      </w:r>
    </w:p>
    <w:p w:rsidR="00683223" w:rsidRDefault="00683223" w:rsidP="001276CB">
      <w:pPr>
        <w:ind w:left="284" w:hanging="284"/>
      </w:pPr>
      <w:r w:rsidRPr="00A249B2">
        <w:t>F</w:t>
      </w:r>
      <w:r>
        <w:t>ormánek</w:t>
      </w:r>
      <w:r w:rsidRPr="00A249B2">
        <w:t xml:space="preserve"> R</w:t>
      </w:r>
      <w:r>
        <w:t>.,</w:t>
      </w:r>
      <w:r w:rsidRPr="00A249B2">
        <w:t xml:space="preserve"> Š</w:t>
      </w:r>
      <w:r>
        <w:t xml:space="preserve">ulc R., 2021, </w:t>
      </w:r>
      <w:r w:rsidRPr="00683223">
        <w:t>The homogeneity of immiscible liquid-liquid dispersion in a vessel agitated by Rushton turbine</w:t>
      </w:r>
      <w:r>
        <w:t xml:space="preserve">, </w:t>
      </w:r>
      <w:r w:rsidRPr="00683223">
        <w:t>Chemical and Process Engineering</w:t>
      </w:r>
      <w:r>
        <w:t>, 42(3), 209-222.</w:t>
      </w:r>
    </w:p>
    <w:p w:rsidR="003E2091" w:rsidRDefault="003E2091" w:rsidP="003E2091">
      <w:pPr>
        <w:ind w:left="284" w:hanging="284"/>
      </w:pPr>
      <w:r>
        <w:t xml:space="preserve">Hinze J.O., 1955, Fundamentals of the hydrodynamic mechanism of splitting in dispersion processes, AIChE J., 1, 289-295. </w:t>
      </w:r>
    </w:p>
    <w:p w:rsidR="001501D2" w:rsidRDefault="001501D2" w:rsidP="003E2091">
      <w:pPr>
        <w:ind w:left="284" w:hanging="284"/>
      </w:pPr>
      <w:r w:rsidRPr="001501D2">
        <w:t>Kolmogorov A.N., 1949</w:t>
      </w:r>
      <w:r>
        <w:t>,</w:t>
      </w:r>
      <w:r w:rsidRPr="001501D2">
        <w:t xml:space="preserve"> The breakage of drops in a turbulent current</w:t>
      </w:r>
      <w:r>
        <w:t>,</w:t>
      </w:r>
      <w:r w:rsidRPr="001501D2">
        <w:t xml:space="preserve"> Dokl. Akad. Nauk SSSR, 66, 825–828.</w:t>
      </w:r>
    </w:p>
    <w:p w:rsidR="0055402B" w:rsidRDefault="0055402B" w:rsidP="0055402B">
      <w:pPr>
        <w:pStyle w:val="PRESReferencetext"/>
      </w:pPr>
      <w:r>
        <w:t xml:space="preserve">Meneveau C., Sreenivasan K. R., 1989, Measurement of ƒ(α) from scaling of histograms, and applications to dynamical systems and fully developed turbulence. Physics Letters A, 137(3), 103–112. </w:t>
      </w:r>
    </w:p>
    <w:p w:rsidR="0055402B" w:rsidRDefault="0055402B" w:rsidP="0055402B">
      <w:pPr>
        <w:pStyle w:val="PRESReferencetext"/>
      </w:pPr>
      <w:r>
        <w:t xml:space="preserve">Meneveau C., Sreenivasan K. R., 1991, The multifractal nature of turbulent energy dissipation. Journal of Fluid Mechanics, 224, 429–484. </w:t>
      </w:r>
    </w:p>
    <w:p w:rsidR="003E2091" w:rsidRDefault="003E2091" w:rsidP="003E2091">
      <w:pPr>
        <w:ind w:left="284" w:hanging="284"/>
      </w:pPr>
      <w:r>
        <w:t xml:space="preserve">Pacek A.W., Man C.C., Nienow A.W.,1998, On the Sauter mean diameter and size distributions in turbulent liquid/liquid dispersions in a stirred vessel, Chem Eng Sci, 53(11), 2005-2011. </w:t>
      </w:r>
    </w:p>
    <w:p w:rsidR="001225A9" w:rsidRDefault="00F364E7" w:rsidP="00F364E7">
      <w:pPr>
        <w:pStyle w:val="PRESReferencetext"/>
        <w:ind w:left="0" w:firstLine="0"/>
      </w:pPr>
      <w:r>
        <w:t>S</w:t>
      </w:r>
      <w:r w:rsidR="0055402B">
        <w:t xml:space="preserve">he </w:t>
      </w:r>
      <w:r>
        <w:t>Zhen-Su</w:t>
      </w:r>
      <w:r w:rsidR="0055402B">
        <w:t xml:space="preserve">, Leveque E., 1994, </w:t>
      </w:r>
      <w:r>
        <w:t xml:space="preserve">Universal scaling laws in fully developed turbulence. Physical Review Letters, 72(3), 336–339. </w:t>
      </w:r>
    </w:p>
    <w:sectPr w:rsidR="001225A9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CF" w:rsidRDefault="00F046CF" w:rsidP="004F5E36">
      <w:r>
        <w:separator/>
      </w:r>
    </w:p>
  </w:endnote>
  <w:endnote w:type="continuationSeparator" w:id="0">
    <w:p w:rsidR="00F046CF" w:rsidRDefault="00F046C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CF" w:rsidRDefault="00F046CF" w:rsidP="004F5E36">
      <w:r>
        <w:separator/>
      </w:r>
    </w:p>
  </w:footnote>
  <w:footnote w:type="continuationSeparator" w:id="0">
    <w:p w:rsidR="00F046CF" w:rsidRDefault="00F046CF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Jednoduchtabulk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Nq4FAMfoTLQtAAAA"/>
  </w:docVars>
  <w:rsids>
    <w:rsidRoot w:val="000E414A"/>
    <w:rsid w:val="000018E3"/>
    <w:rsid w:val="000019F3"/>
    <w:rsid w:val="000027C0"/>
    <w:rsid w:val="00004C5F"/>
    <w:rsid w:val="000052FB"/>
    <w:rsid w:val="0000621D"/>
    <w:rsid w:val="00006244"/>
    <w:rsid w:val="000117CB"/>
    <w:rsid w:val="00012C3B"/>
    <w:rsid w:val="00012FDE"/>
    <w:rsid w:val="000200D0"/>
    <w:rsid w:val="00023897"/>
    <w:rsid w:val="00025481"/>
    <w:rsid w:val="00025756"/>
    <w:rsid w:val="00026D29"/>
    <w:rsid w:val="00027730"/>
    <w:rsid w:val="0003148D"/>
    <w:rsid w:val="00032E32"/>
    <w:rsid w:val="000375A1"/>
    <w:rsid w:val="00040149"/>
    <w:rsid w:val="00044E1C"/>
    <w:rsid w:val="00051566"/>
    <w:rsid w:val="00053532"/>
    <w:rsid w:val="000574E0"/>
    <w:rsid w:val="00062A9A"/>
    <w:rsid w:val="00063A17"/>
    <w:rsid w:val="00063D89"/>
    <w:rsid w:val="00065058"/>
    <w:rsid w:val="000679DC"/>
    <w:rsid w:val="00073CDC"/>
    <w:rsid w:val="00077E5F"/>
    <w:rsid w:val="0008525F"/>
    <w:rsid w:val="00086C39"/>
    <w:rsid w:val="0008718C"/>
    <w:rsid w:val="000971EF"/>
    <w:rsid w:val="0009743A"/>
    <w:rsid w:val="000A03B2"/>
    <w:rsid w:val="000A38C7"/>
    <w:rsid w:val="000B5494"/>
    <w:rsid w:val="000B7DEF"/>
    <w:rsid w:val="000C54EF"/>
    <w:rsid w:val="000C77AE"/>
    <w:rsid w:val="000C7837"/>
    <w:rsid w:val="000D0268"/>
    <w:rsid w:val="000D34BE"/>
    <w:rsid w:val="000D38D1"/>
    <w:rsid w:val="000D4A12"/>
    <w:rsid w:val="000E102F"/>
    <w:rsid w:val="000E13BA"/>
    <w:rsid w:val="000E22A0"/>
    <w:rsid w:val="000E36F1"/>
    <w:rsid w:val="000E3A73"/>
    <w:rsid w:val="000E414A"/>
    <w:rsid w:val="000E6ADC"/>
    <w:rsid w:val="000F0514"/>
    <w:rsid w:val="000F093C"/>
    <w:rsid w:val="000F4DC7"/>
    <w:rsid w:val="000F787B"/>
    <w:rsid w:val="001061F8"/>
    <w:rsid w:val="001207AD"/>
    <w:rsid w:val="0012091F"/>
    <w:rsid w:val="001225A9"/>
    <w:rsid w:val="00124F16"/>
    <w:rsid w:val="00126BC2"/>
    <w:rsid w:val="001276CB"/>
    <w:rsid w:val="001308B6"/>
    <w:rsid w:val="0013121F"/>
    <w:rsid w:val="00131FE6"/>
    <w:rsid w:val="0013263F"/>
    <w:rsid w:val="001336EB"/>
    <w:rsid w:val="00134B10"/>
    <w:rsid w:val="00134DE4"/>
    <w:rsid w:val="0014034D"/>
    <w:rsid w:val="001405A0"/>
    <w:rsid w:val="0014304A"/>
    <w:rsid w:val="001501D2"/>
    <w:rsid w:val="00150E59"/>
    <w:rsid w:val="00152DE3"/>
    <w:rsid w:val="001534CA"/>
    <w:rsid w:val="00154901"/>
    <w:rsid w:val="0016394C"/>
    <w:rsid w:val="00163B10"/>
    <w:rsid w:val="00164CF9"/>
    <w:rsid w:val="00165E34"/>
    <w:rsid w:val="001667A6"/>
    <w:rsid w:val="0017106B"/>
    <w:rsid w:val="00175EA0"/>
    <w:rsid w:val="001765C3"/>
    <w:rsid w:val="00181854"/>
    <w:rsid w:val="00184AD6"/>
    <w:rsid w:val="00186B17"/>
    <w:rsid w:val="00190EB5"/>
    <w:rsid w:val="00192F37"/>
    <w:rsid w:val="00194944"/>
    <w:rsid w:val="001A1BB6"/>
    <w:rsid w:val="001A3686"/>
    <w:rsid w:val="001A4AF7"/>
    <w:rsid w:val="001B0349"/>
    <w:rsid w:val="001B1C03"/>
    <w:rsid w:val="001B65C1"/>
    <w:rsid w:val="001C0CDC"/>
    <w:rsid w:val="001C13F1"/>
    <w:rsid w:val="001C1B89"/>
    <w:rsid w:val="001C59A7"/>
    <w:rsid w:val="001C684B"/>
    <w:rsid w:val="001D1A42"/>
    <w:rsid w:val="001D53FC"/>
    <w:rsid w:val="001F42A5"/>
    <w:rsid w:val="001F5F8F"/>
    <w:rsid w:val="001F7B9D"/>
    <w:rsid w:val="0021574E"/>
    <w:rsid w:val="0021702F"/>
    <w:rsid w:val="0022025C"/>
    <w:rsid w:val="002224B4"/>
    <w:rsid w:val="0022428E"/>
    <w:rsid w:val="002312FB"/>
    <w:rsid w:val="0023175C"/>
    <w:rsid w:val="0023244B"/>
    <w:rsid w:val="0023401C"/>
    <w:rsid w:val="00234077"/>
    <w:rsid w:val="002344B7"/>
    <w:rsid w:val="002447EF"/>
    <w:rsid w:val="00251550"/>
    <w:rsid w:val="0025657B"/>
    <w:rsid w:val="00263B05"/>
    <w:rsid w:val="00267007"/>
    <w:rsid w:val="0027221A"/>
    <w:rsid w:val="00272C80"/>
    <w:rsid w:val="00274DAA"/>
    <w:rsid w:val="00275B61"/>
    <w:rsid w:val="00276A93"/>
    <w:rsid w:val="00276DDB"/>
    <w:rsid w:val="0028075F"/>
    <w:rsid w:val="00280868"/>
    <w:rsid w:val="00280C24"/>
    <w:rsid w:val="00282656"/>
    <w:rsid w:val="00282FAC"/>
    <w:rsid w:val="002830CF"/>
    <w:rsid w:val="00287D58"/>
    <w:rsid w:val="00292F74"/>
    <w:rsid w:val="00296B83"/>
    <w:rsid w:val="00297A37"/>
    <w:rsid w:val="002A15ED"/>
    <w:rsid w:val="002A2850"/>
    <w:rsid w:val="002B4E68"/>
    <w:rsid w:val="002B78CE"/>
    <w:rsid w:val="002B7CED"/>
    <w:rsid w:val="002C2FB6"/>
    <w:rsid w:val="002C40FB"/>
    <w:rsid w:val="002C50DB"/>
    <w:rsid w:val="002C7363"/>
    <w:rsid w:val="002D03B2"/>
    <w:rsid w:val="002E3119"/>
    <w:rsid w:val="002E7077"/>
    <w:rsid w:val="002F3309"/>
    <w:rsid w:val="002F36B3"/>
    <w:rsid w:val="002F53B3"/>
    <w:rsid w:val="002F678C"/>
    <w:rsid w:val="003009B7"/>
    <w:rsid w:val="00300E56"/>
    <w:rsid w:val="00303DC8"/>
    <w:rsid w:val="00304582"/>
    <w:rsid w:val="0030469C"/>
    <w:rsid w:val="00306502"/>
    <w:rsid w:val="00314590"/>
    <w:rsid w:val="00315809"/>
    <w:rsid w:val="003204AC"/>
    <w:rsid w:val="00321CA6"/>
    <w:rsid w:val="00323763"/>
    <w:rsid w:val="00334454"/>
    <w:rsid w:val="00334C09"/>
    <w:rsid w:val="0033654A"/>
    <w:rsid w:val="00340C8C"/>
    <w:rsid w:val="003414C5"/>
    <w:rsid w:val="003423F1"/>
    <w:rsid w:val="00346B28"/>
    <w:rsid w:val="0035617F"/>
    <w:rsid w:val="00363AE9"/>
    <w:rsid w:val="00365885"/>
    <w:rsid w:val="00365A78"/>
    <w:rsid w:val="003665DE"/>
    <w:rsid w:val="003723D4"/>
    <w:rsid w:val="003730DD"/>
    <w:rsid w:val="003743A4"/>
    <w:rsid w:val="00374F68"/>
    <w:rsid w:val="003805C0"/>
    <w:rsid w:val="003808DF"/>
    <w:rsid w:val="00381905"/>
    <w:rsid w:val="00384470"/>
    <w:rsid w:val="00384CC8"/>
    <w:rsid w:val="00384DF3"/>
    <w:rsid w:val="003871FD"/>
    <w:rsid w:val="00392441"/>
    <w:rsid w:val="0039539A"/>
    <w:rsid w:val="003A1E30"/>
    <w:rsid w:val="003A2729"/>
    <w:rsid w:val="003A7D1C"/>
    <w:rsid w:val="003B05E2"/>
    <w:rsid w:val="003B27E6"/>
    <w:rsid w:val="003B304B"/>
    <w:rsid w:val="003B3146"/>
    <w:rsid w:val="003B6A53"/>
    <w:rsid w:val="003C1C4A"/>
    <w:rsid w:val="003C473C"/>
    <w:rsid w:val="003D2FC2"/>
    <w:rsid w:val="003E0D4F"/>
    <w:rsid w:val="003E2091"/>
    <w:rsid w:val="003F015E"/>
    <w:rsid w:val="00400414"/>
    <w:rsid w:val="004104C7"/>
    <w:rsid w:val="00412D29"/>
    <w:rsid w:val="0041446B"/>
    <w:rsid w:val="00424D44"/>
    <w:rsid w:val="00425FB3"/>
    <w:rsid w:val="004354FF"/>
    <w:rsid w:val="00435643"/>
    <w:rsid w:val="00435EF5"/>
    <w:rsid w:val="0044051D"/>
    <w:rsid w:val="004419E2"/>
    <w:rsid w:val="0044329C"/>
    <w:rsid w:val="00447A52"/>
    <w:rsid w:val="00457257"/>
    <w:rsid w:val="004577FE"/>
    <w:rsid w:val="00457B9C"/>
    <w:rsid w:val="0046164A"/>
    <w:rsid w:val="00461827"/>
    <w:rsid w:val="004628D2"/>
    <w:rsid w:val="00462DCD"/>
    <w:rsid w:val="004648AD"/>
    <w:rsid w:val="004703A9"/>
    <w:rsid w:val="0047314A"/>
    <w:rsid w:val="004760DE"/>
    <w:rsid w:val="004763D7"/>
    <w:rsid w:val="00490872"/>
    <w:rsid w:val="00491AA0"/>
    <w:rsid w:val="00494028"/>
    <w:rsid w:val="004A004E"/>
    <w:rsid w:val="004A1BA5"/>
    <w:rsid w:val="004A24CF"/>
    <w:rsid w:val="004A2D37"/>
    <w:rsid w:val="004A4DBE"/>
    <w:rsid w:val="004A5E32"/>
    <w:rsid w:val="004A76DC"/>
    <w:rsid w:val="004B01AA"/>
    <w:rsid w:val="004B0302"/>
    <w:rsid w:val="004B3FB6"/>
    <w:rsid w:val="004B6BA9"/>
    <w:rsid w:val="004C3D1D"/>
    <w:rsid w:val="004C7913"/>
    <w:rsid w:val="004C7BD7"/>
    <w:rsid w:val="004D4DD0"/>
    <w:rsid w:val="004D5E1E"/>
    <w:rsid w:val="004E4DD6"/>
    <w:rsid w:val="004E6D3A"/>
    <w:rsid w:val="004F222C"/>
    <w:rsid w:val="004F5E36"/>
    <w:rsid w:val="00500048"/>
    <w:rsid w:val="00504CB6"/>
    <w:rsid w:val="00505122"/>
    <w:rsid w:val="00505B40"/>
    <w:rsid w:val="00507B47"/>
    <w:rsid w:val="00507BEF"/>
    <w:rsid w:val="00507CC9"/>
    <w:rsid w:val="005119A5"/>
    <w:rsid w:val="00512F08"/>
    <w:rsid w:val="00522DE0"/>
    <w:rsid w:val="00526FB2"/>
    <w:rsid w:val="005278B7"/>
    <w:rsid w:val="00531675"/>
    <w:rsid w:val="00531B3B"/>
    <w:rsid w:val="00532016"/>
    <w:rsid w:val="00533489"/>
    <w:rsid w:val="00534105"/>
    <w:rsid w:val="00534168"/>
    <w:rsid w:val="005346C8"/>
    <w:rsid w:val="00543E14"/>
    <w:rsid w:val="00543E7D"/>
    <w:rsid w:val="00547A68"/>
    <w:rsid w:val="005531C9"/>
    <w:rsid w:val="0055402B"/>
    <w:rsid w:val="005547FD"/>
    <w:rsid w:val="0055667C"/>
    <w:rsid w:val="00561D5B"/>
    <w:rsid w:val="00570C43"/>
    <w:rsid w:val="00570D57"/>
    <w:rsid w:val="005835DD"/>
    <w:rsid w:val="00583BF4"/>
    <w:rsid w:val="00584E47"/>
    <w:rsid w:val="00596546"/>
    <w:rsid w:val="00596996"/>
    <w:rsid w:val="005B2110"/>
    <w:rsid w:val="005B225F"/>
    <w:rsid w:val="005B2B3A"/>
    <w:rsid w:val="005B61E6"/>
    <w:rsid w:val="005C0E35"/>
    <w:rsid w:val="005C374D"/>
    <w:rsid w:val="005C7416"/>
    <w:rsid w:val="005C77E1"/>
    <w:rsid w:val="005D3FFA"/>
    <w:rsid w:val="005D5638"/>
    <w:rsid w:val="005D668A"/>
    <w:rsid w:val="005D6A2F"/>
    <w:rsid w:val="005E0E8D"/>
    <w:rsid w:val="005E1A82"/>
    <w:rsid w:val="005E68AA"/>
    <w:rsid w:val="005E794C"/>
    <w:rsid w:val="005F0A28"/>
    <w:rsid w:val="005F0E5E"/>
    <w:rsid w:val="005F6FA1"/>
    <w:rsid w:val="00600535"/>
    <w:rsid w:val="00610B49"/>
    <w:rsid w:val="00610CD6"/>
    <w:rsid w:val="00610DF5"/>
    <w:rsid w:val="00620DEE"/>
    <w:rsid w:val="00621F92"/>
    <w:rsid w:val="0062280A"/>
    <w:rsid w:val="00624B76"/>
    <w:rsid w:val="00625639"/>
    <w:rsid w:val="00627017"/>
    <w:rsid w:val="00631B33"/>
    <w:rsid w:val="00632DC8"/>
    <w:rsid w:val="00635B40"/>
    <w:rsid w:val="0064184D"/>
    <w:rsid w:val="006422CC"/>
    <w:rsid w:val="0064254C"/>
    <w:rsid w:val="006460A4"/>
    <w:rsid w:val="006561DB"/>
    <w:rsid w:val="00656759"/>
    <w:rsid w:val="00657515"/>
    <w:rsid w:val="00660E3E"/>
    <w:rsid w:val="00662E74"/>
    <w:rsid w:val="00677622"/>
    <w:rsid w:val="00680C23"/>
    <w:rsid w:val="00682771"/>
    <w:rsid w:val="006830FE"/>
    <w:rsid w:val="00683223"/>
    <w:rsid w:val="00686619"/>
    <w:rsid w:val="00687E8D"/>
    <w:rsid w:val="006906B0"/>
    <w:rsid w:val="00693766"/>
    <w:rsid w:val="0069464D"/>
    <w:rsid w:val="006975C8"/>
    <w:rsid w:val="006A3281"/>
    <w:rsid w:val="006A7675"/>
    <w:rsid w:val="006B4888"/>
    <w:rsid w:val="006C1326"/>
    <w:rsid w:val="006C2E45"/>
    <w:rsid w:val="006C359C"/>
    <w:rsid w:val="006C5579"/>
    <w:rsid w:val="006D15EB"/>
    <w:rsid w:val="006D2285"/>
    <w:rsid w:val="006D6E8B"/>
    <w:rsid w:val="006D7F56"/>
    <w:rsid w:val="006E3079"/>
    <w:rsid w:val="006E737D"/>
    <w:rsid w:val="0071311B"/>
    <w:rsid w:val="00713AD1"/>
    <w:rsid w:val="0071678A"/>
    <w:rsid w:val="00720A24"/>
    <w:rsid w:val="00721536"/>
    <w:rsid w:val="00723585"/>
    <w:rsid w:val="00732386"/>
    <w:rsid w:val="00734198"/>
    <w:rsid w:val="0073514D"/>
    <w:rsid w:val="0073606D"/>
    <w:rsid w:val="007407BD"/>
    <w:rsid w:val="007447F3"/>
    <w:rsid w:val="00745646"/>
    <w:rsid w:val="00751988"/>
    <w:rsid w:val="0075499F"/>
    <w:rsid w:val="007602AB"/>
    <w:rsid w:val="00762C0D"/>
    <w:rsid w:val="007661C8"/>
    <w:rsid w:val="007702C5"/>
    <w:rsid w:val="0077098D"/>
    <w:rsid w:val="00771DA4"/>
    <w:rsid w:val="00773063"/>
    <w:rsid w:val="007748EC"/>
    <w:rsid w:val="00775D7B"/>
    <w:rsid w:val="00777E10"/>
    <w:rsid w:val="007931FA"/>
    <w:rsid w:val="00797D2D"/>
    <w:rsid w:val="007A0B11"/>
    <w:rsid w:val="007A1886"/>
    <w:rsid w:val="007A3E76"/>
    <w:rsid w:val="007A4861"/>
    <w:rsid w:val="007A542F"/>
    <w:rsid w:val="007A6DE2"/>
    <w:rsid w:val="007A7BBA"/>
    <w:rsid w:val="007B0C50"/>
    <w:rsid w:val="007B22C5"/>
    <w:rsid w:val="007B79AD"/>
    <w:rsid w:val="007B7F62"/>
    <w:rsid w:val="007C1A43"/>
    <w:rsid w:val="007C46DE"/>
    <w:rsid w:val="007C79C0"/>
    <w:rsid w:val="007D4F98"/>
    <w:rsid w:val="007D78CE"/>
    <w:rsid w:val="007E0FC6"/>
    <w:rsid w:val="007E6C24"/>
    <w:rsid w:val="007E7A47"/>
    <w:rsid w:val="0080013E"/>
    <w:rsid w:val="00801918"/>
    <w:rsid w:val="00806FF4"/>
    <w:rsid w:val="0081168F"/>
    <w:rsid w:val="00812FD9"/>
    <w:rsid w:val="00813288"/>
    <w:rsid w:val="008139DB"/>
    <w:rsid w:val="00815981"/>
    <w:rsid w:val="0081645C"/>
    <w:rsid w:val="008168FC"/>
    <w:rsid w:val="00826962"/>
    <w:rsid w:val="00830996"/>
    <w:rsid w:val="008345F1"/>
    <w:rsid w:val="00853B7F"/>
    <w:rsid w:val="00865B07"/>
    <w:rsid w:val="00865E39"/>
    <w:rsid w:val="008667EA"/>
    <w:rsid w:val="00874CD5"/>
    <w:rsid w:val="00875908"/>
    <w:rsid w:val="0087637F"/>
    <w:rsid w:val="00892AD5"/>
    <w:rsid w:val="00892B9F"/>
    <w:rsid w:val="00897DCF"/>
    <w:rsid w:val="008A03D0"/>
    <w:rsid w:val="008A1512"/>
    <w:rsid w:val="008A46E5"/>
    <w:rsid w:val="008A5DAE"/>
    <w:rsid w:val="008B1F63"/>
    <w:rsid w:val="008C29F1"/>
    <w:rsid w:val="008C65EB"/>
    <w:rsid w:val="008C693D"/>
    <w:rsid w:val="008D24F3"/>
    <w:rsid w:val="008D32B9"/>
    <w:rsid w:val="008D433B"/>
    <w:rsid w:val="008D4AE9"/>
    <w:rsid w:val="008D4CC5"/>
    <w:rsid w:val="008D5DED"/>
    <w:rsid w:val="008E566E"/>
    <w:rsid w:val="008E6D2A"/>
    <w:rsid w:val="008F41C2"/>
    <w:rsid w:val="008F599C"/>
    <w:rsid w:val="008F6CB6"/>
    <w:rsid w:val="008F7DB4"/>
    <w:rsid w:val="0090161A"/>
    <w:rsid w:val="00901EB6"/>
    <w:rsid w:val="00904C62"/>
    <w:rsid w:val="00905B1F"/>
    <w:rsid w:val="00914EC8"/>
    <w:rsid w:val="00917600"/>
    <w:rsid w:val="00922BA8"/>
    <w:rsid w:val="00924DAC"/>
    <w:rsid w:val="009250E8"/>
    <w:rsid w:val="00925B87"/>
    <w:rsid w:val="00927058"/>
    <w:rsid w:val="00932011"/>
    <w:rsid w:val="00942750"/>
    <w:rsid w:val="0094421E"/>
    <w:rsid w:val="009450CE"/>
    <w:rsid w:val="00945821"/>
    <w:rsid w:val="00947179"/>
    <w:rsid w:val="00947B0C"/>
    <w:rsid w:val="0095078D"/>
    <w:rsid w:val="0095163C"/>
    <w:rsid w:val="0095164B"/>
    <w:rsid w:val="00954090"/>
    <w:rsid w:val="009573E7"/>
    <w:rsid w:val="0096068C"/>
    <w:rsid w:val="00963E05"/>
    <w:rsid w:val="00967843"/>
    <w:rsid w:val="00967D54"/>
    <w:rsid w:val="00970477"/>
    <w:rsid w:val="00971028"/>
    <w:rsid w:val="009717CA"/>
    <w:rsid w:val="00973A1D"/>
    <w:rsid w:val="0098298B"/>
    <w:rsid w:val="009918A6"/>
    <w:rsid w:val="009926C7"/>
    <w:rsid w:val="00993040"/>
    <w:rsid w:val="00996483"/>
    <w:rsid w:val="009968BA"/>
    <w:rsid w:val="00996F5A"/>
    <w:rsid w:val="009A3C18"/>
    <w:rsid w:val="009B041A"/>
    <w:rsid w:val="009B2357"/>
    <w:rsid w:val="009B50CB"/>
    <w:rsid w:val="009B6B23"/>
    <w:rsid w:val="009B7CA1"/>
    <w:rsid w:val="009C346F"/>
    <w:rsid w:val="009C37C3"/>
    <w:rsid w:val="009C3C7D"/>
    <w:rsid w:val="009C5F15"/>
    <w:rsid w:val="009C7C86"/>
    <w:rsid w:val="009D22C8"/>
    <w:rsid w:val="009D2FF7"/>
    <w:rsid w:val="009D583D"/>
    <w:rsid w:val="009D6493"/>
    <w:rsid w:val="009E01A0"/>
    <w:rsid w:val="009E7884"/>
    <w:rsid w:val="009E788A"/>
    <w:rsid w:val="009F0E08"/>
    <w:rsid w:val="009F0EA1"/>
    <w:rsid w:val="009F1A72"/>
    <w:rsid w:val="009F373C"/>
    <w:rsid w:val="009F5F25"/>
    <w:rsid w:val="009F726C"/>
    <w:rsid w:val="00A01125"/>
    <w:rsid w:val="00A0533D"/>
    <w:rsid w:val="00A0576F"/>
    <w:rsid w:val="00A07FE0"/>
    <w:rsid w:val="00A16C4C"/>
    <w:rsid w:val="00A1763D"/>
    <w:rsid w:val="00A17CEC"/>
    <w:rsid w:val="00A23E09"/>
    <w:rsid w:val="00A24976"/>
    <w:rsid w:val="00A249B2"/>
    <w:rsid w:val="00A2693C"/>
    <w:rsid w:val="00A27EF0"/>
    <w:rsid w:val="00A308CC"/>
    <w:rsid w:val="00A32626"/>
    <w:rsid w:val="00A37313"/>
    <w:rsid w:val="00A37561"/>
    <w:rsid w:val="00A42361"/>
    <w:rsid w:val="00A50B20"/>
    <w:rsid w:val="00A51390"/>
    <w:rsid w:val="00A533F3"/>
    <w:rsid w:val="00A60629"/>
    <w:rsid w:val="00A60D13"/>
    <w:rsid w:val="00A610C5"/>
    <w:rsid w:val="00A63C6A"/>
    <w:rsid w:val="00A657E4"/>
    <w:rsid w:val="00A6636B"/>
    <w:rsid w:val="00A72745"/>
    <w:rsid w:val="00A729FF"/>
    <w:rsid w:val="00A72C25"/>
    <w:rsid w:val="00A74143"/>
    <w:rsid w:val="00A76EFC"/>
    <w:rsid w:val="00A900D0"/>
    <w:rsid w:val="00A91010"/>
    <w:rsid w:val="00A91AA8"/>
    <w:rsid w:val="00A92943"/>
    <w:rsid w:val="00A93E80"/>
    <w:rsid w:val="00A9622A"/>
    <w:rsid w:val="00A97F29"/>
    <w:rsid w:val="00AA54C0"/>
    <w:rsid w:val="00AA702E"/>
    <w:rsid w:val="00AA7098"/>
    <w:rsid w:val="00AB0964"/>
    <w:rsid w:val="00AB5011"/>
    <w:rsid w:val="00AB540E"/>
    <w:rsid w:val="00AB6209"/>
    <w:rsid w:val="00AB6B3C"/>
    <w:rsid w:val="00AB760C"/>
    <w:rsid w:val="00AC3E7C"/>
    <w:rsid w:val="00AC7368"/>
    <w:rsid w:val="00AD16B9"/>
    <w:rsid w:val="00AD26DF"/>
    <w:rsid w:val="00AD3629"/>
    <w:rsid w:val="00AD6227"/>
    <w:rsid w:val="00AE1253"/>
    <w:rsid w:val="00AE18C8"/>
    <w:rsid w:val="00AE377D"/>
    <w:rsid w:val="00AE4887"/>
    <w:rsid w:val="00AE49D2"/>
    <w:rsid w:val="00AF0EBA"/>
    <w:rsid w:val="00AF19FF"/>
    <w:rsid w:val="00B00123"/>
    <w:rsid w:val="00B02190"/>
    <w:rsid w:val="00B02C8A"/>
    <w:rsid w:val="00B05179"/>
    <w:rsid w:val="00B13868"/>
    <w:rsid w:val="00B14CB2"/>
    <w:rsid w:val="00B15A31"/>
    <w:rsid w:val="00B17DF5"/>
    <w:rsid w:val="00B17FBD"/>
    <w:rsid w:val="00B21412"/>
    <w:rsid w:val="00B27BD3"/>
    <w:rsid w:val="00B309F8"/>
    <w:rsid w:val="00B315A6"/>
    <w:rsid w:val="00B31813"/>
    <w:rsid w:val="00B32DCC"/>
    <w:rsid w:val="00B33365"/>
    <w:rsid w:val="00B34782"/>
    <w:rsid w:val="00B4405C"/>
    <w:rsid w:val="00B4660B"/>
    <w:rsid w:val="00B5220D"/>
    <w:rsid w:val="00B54A54"/>
    <w:rsid w:val="00B57B36"/>
    <w:rsid w:val="00B62BE0"/>
    <w:rsid w:val="00B65480"/>
    <w:rsid w:val="00B66148"/>
    <w:rsid w:val="00B678FC"/>
    <w:rsid w:val="00B71F23"/>
    <w:rsid w:val="00B840F9"/>
    <w:rsid w:val="00B8558F"/>
    <w:rsid w:val="00B8686D"/>
    <w:rsid w:val="00B87548"/>
    <w:rsid w:val="00B90B5B"/>
    <w:rsid w:val="00BA061B"/>
    <w:rsid w:val="00BA2F26"/>
    <w:rsid w:val="00BA2F83"/>
    <w:rsid w:val="00BB03C2"/>
    <w:rsid w:val="00BB1DDC"/>
    <w:rsid w:val="00BB4215"/>
    <w:rsid w:val="00BC30C9"/>
    <w:rsid w:val="00BC5B91"/>
    <w:rsid w:val="00BD314B"/>
    <w:rsid w:val="00BD6775"/>
    <w:rsid w:val="00BE3E58"/>
    <w:rsid w:val="00BE68DF"/>
    <w:rsid w:val="00BE7DC8"/>
    <w:rsid w:val="00BF261B"/>
    <w:rsid w:val="00BF47FA"/>
    <w:rsid w:val="00BF47FB"/>
    <w:rsid w:val="00C0090D"/>
    <w:rsid w:val="00C01616"/>
    <w:rsid w:val="00C0162B"/>
    <w:rsid w:val="00C02B9F"/>
    <w:rsid w:val="00C03346"/>
    <w:rsid w:val="00C037CD"/>
    <w:rsid w:val="00C04562"/>
    <w:rsid w:val="00C068ED"/>
    <w:rsid w:val="00C06E2B"/>
    <w:rsid w:val="00C21192"/>
    <w:rsid w:val="00C233EA"/>
    <w:rsid w:val="00C345B1"/>
    <w:rsid w:val="00C34697"/>
    <w:rsid w:val="00C40142"/>
    <w:rsid w:val="00C444A7"/>
    <w:rsid w:val="00C46B67"/>
    <w:rsid w:val="00C50B25"/>
    <w:rsid w:val="00C57182"/>
    <w:rsid w:val="00C57863"/>
    <w:rsid w:val="00C655FD"/>
    <w:rsid w:val="00C6594C"/>
    <w:rsid w:val="00C707A9"/>
    <w:rsid w:val="00C74442"/>
    <w:rsid w:val="00C75407"/>
    <w:rsid w:val="00C80025"/>
    <w:rsid w:val="00C812DE"/>
    <w:rsid w:val="00C870A8"/>
    <w:rsid w:val="00C87795"/>
    <w:rsid w:val="00C9008C"/>
    <w:rsid w:val="00C91556"/>
    <w:rsid w:val="00C94434"/>
    <w:rsid w:val="00CA0D75"/>
    <w:rsid w:val="00CA1C95"/>
    <w:rsid w:val="00CA5A9C"/>
    <w:rsid w:val="00CB2CAE"/>
    <w:rsid w:val="00CB57D7"/>
    <w:rsid w:val="00CB7202"/>
    <w:rsid w:val="00CC3152"/>
    <w:rsid w:val="00CC4C20"/>
    <w:rsid w:val="00CC6009"/>
    <w:rsid w:val="00CC6B02"/>
    <w:rsid w:val="00CD3517"/>
    <w:rsid w:val="00CD3E46"/>
    <w:rsid w:val="00CD5FE2"/>
    <w:rsid w:val="00CE144F"/>
    <w:rsid w:val="00CE1893"/>
    <w:rsid w:val="00CE249C"/>
    <w:rsid w:val="00CE2EF4"/>
    <w:rsid w:val="00CE69FC"/>
    <w:rsid w:val="00CE7C68"/>
    <w:rsid w:val="00D02B4C"/>
    <w:rsid w:val="00D040C4"/>
    <w:rsid w:val="00D059A2"/>
    <w:rsid w:val="00D10667"/>
    <w:rsid w:val="00D153CE"/>
    <w:rsid w:val="00D207B0"/>
    <w:rsid w:val="00D20B17"/>
    <w:rsid w:val="00D21D3D"/>
    <w:rsid w:val="00D30CE0"/>
    <w:rsid w:val="00D46152"/>
    <w:rsid w:val="00D512AE"/>
    <w:rsid w:val="00D57C84"/>
    <w:rsid w:val="00D6057D"/>
    <w:rsid w:val="00D621C1"/>
    <w:rsid w:val="00D63721"/>
    <w:rsid w:val="00D67EC3"/>
    <w:rsid w:val="00D72243"/>
    <w:rsid w:val="00D7323E"/>
    <w:rsid w:val="00D75D90"/>
    <w:rsid w:val="00D76D7D"/>
    <w:rsid w:val="00D836C5"/>
    <w:rsid w:val="00D84576"/>
    <w:rsid w:val="00D85683"/>
    <w:rsid w:val="00D85734"/>
    <w:rsid w:val="00D90496"/>
    <w:rsid w:val="00D90B61"/>
    <w:rsid w:val="00D91DAD"/>
    <w:rsid w:val="00D9222E"/>
    <w:rsid w:val="00DA0F73"/>
    <w:rsid w:val="00DA1399"/>
    <w:rsid w:val="00DA24C6"/>
    <w:rsid w:val="00DA457F"/>
    <w:rsid w:val="00DA4D7B"/>
    <w:rsid w:val="00DA7633"/>
    <w:rsid w:val="00DB07B3"/>
    <w:rsid w:val="00DB2ED6"/>
    <w:rsid w:val="00DC5470"/>
    <w:rsid w:val="00DD4DF9"/>
    <w:rsid w:val="00DE264A"/>
    <w:rsid w:val="00DF0673"/>
    <w:rsid w:val="00DF3EFE"/>
    <w:rsid w:val="00DF5072"/>
    <w:rsid w:val="00DF6B72"/>
    <w:rsid w:val="00E02D18"/>
    <w:rsid w:val="00E034D7"/>
    <w:rsid w:val="00E041E7"/>
    <w:rsid w:val="00E04A74"/>
    <w:rsid w:val="00E06EF6"/>
    <w:rsid w:val="00E14C13"/>
    <w:rsid w:val="00E15C6D"/>
    <w:rsid w:val="00E23401"/>
    <w:rsid w:val="00E23CA1"/>
    <w:rsid w:val="00E314D0"/>
    <w:rsid w:val="00E35D40"/>
    <w:rsid w:val="00E36039"/>
    <w:rsid w:val="00E403CC"/>
    <w:rsid w:val="00E405ED"/>
    <w:rsid w:val="00E409A8"/>
    <w:rsid w:val="00E40C6E"/>
    <w:rsid w:val="00E44411"/>
    <w:rsid w:val="00E45EB1"/>
    <w:rsid w:val="00E4632D"/>
    <w:rsid w:val="00E504C9"/>
    <w:rsid w:val="00E50574"/>
    <w:rsid w:val="00E50C12"/>
    <w:rsid w:val="00E55198"/>
    <w:rsid w:val="00E57D9E"/>
    <w:rsid w:val="00E65B91"/>
    <w:rsid w:val="00E7209D"/>
    <w:rsid w:val="00E7265A"/>
    <w:rsid w:val="00E72EA9"/>
    <w:rsid w:val="00E735FC"/>
    <w:rsid w:val="00E76962"/>
    <w:rsid w:val="00E77223"/>
    <w:rsid w:val="00E826D1"/>
    <w:rsid w:val="00E8336C"/>
    <w:rsid w:val="00E840FC"/>
    <w:rsid w:val="00E84126"/>
    <w:rsid w:val="00E8528B"/>
    <w:rsid w:val="00E85B94"/>
    <w:rsid w:val="00E87B46"/>
    <w:rsid w:val="00E91CBE"/>
    <w:rsid w:val="00E978D0"/>
    <w:rsid w:val="00E97927"/>
    <w:rsid w:val="00EA06EA"/>
    <w:rsid w:val="00EA4613"/>
    <w:rsid w:val="00EA736A"/>
    <w:rsid w:val="00EA7F91"/>
    <w:rsid w:val="00EB1523"/>
    <w:rsid w:val="00EB17DE"/>
    <w:rsid w:val="00EB5BB7"/>
    <w:rsid w:val="00EC044C"/>
    <w:rsid w:val="00EC0E49"/>
    <w:rsid w:val="00EC101F"/>
    <w:rsid w:val="00EC1D9F"/>
    <w:rsid w:val="00ED31D6"/>
    <w:rsid w:val="00ED7F22"/>
    <w:rsid w:val="00EE0131"/>
    <w:rsid w:val="00EE17B0"/>
    <w:rsid w:val="00EF0104"/>
    <w:rsid w:val="00EF06D9"/>
    <w:rsid w:val="00EF15FC"/>
    <w:rsid w:val="00EF3639"/>
    <w:rsid w:val="00F046CF"/>
    <w:rsid w:val="00F05DBA"/>
    <w:rsid w:val="00F1040D"/>
    <w:rsid w:val="00F15DA2"/>
    <w:rsid w:val="00F16357"/>
    <w:rsid w:val="00F241C5"/>
    <w:rsid w:val="00F30C64"/>
    <w:rsid w:val="00F32CDB"/>
    <w:rsid w:val="00F364E7"/>
    <w:rsid w:val="00F4396E"/>
    <w:rsid w:val="00F46327"/>
    <w:rsid w:val="00F565FE"/>
    <w:rsid w:val="00F625E8"/>
    <w:rsid w:val="00F63A70"/>
    <w:rsid w:val="00F6767D"/>
    <w:rsid w:val="00F72F86"/>
    <w:rsid w:val="00F8000B"/>
    <w:rsid w:val="00F80947"/>
    <w:rsid w:val="00F80A42"/>
    <w:rsid w:val="00F83C83"/>
    <w:rsid w:val="00F8600C"/>
    <w:rsid w:val="00F9406B"/>
    <w:rsid w:val="00F960A9"/>
    <w:rsid w:val="00F96C08"/>
    <w:rsid w:val="00FA21D0"/>
    <w:rsid w:val="00FA5F5F"/>
    <w:rsid w:val="00FA725F"/>
    <w:rsid w:val="00FB33FF"/>
    <w:rsid w:val="00FB4D09"/>
    <w:rsid w:val="00FB730C"/>
    <w:rsid w:val="00FC2695"/>
    <w:rsid w:val="00FC3E03"/>
    <w:rsid w:val="00FC3FC1"/>
    <w:rsid w:val="00FC44BC"/>
    <w:rsid w:val="00FD37AE"/>
    <w:rsid w:val="00FD3E85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B90499-02A4-459A-83E0-B89649F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ET Top_page"/>
    <w:rsid w:val="00751988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adpis1">
    <w:name w:val="heading 1"/>
    <w:basedOn w:val="CETHeading1"/>
    <w:next w:val="Normln"/>
    <w:link w:val="Nadpis1Char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uiPriority w:val="99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uiPriority w:val="99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uiPriority w:val="99"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  <w:ind w:left="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Jednoduchtabulka1">
    <w:name w:val="Table Simple 1"/>
    <w:basedOn w:val="Normlntabulka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uiPriority w:val="99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4577F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e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3148D"/>
  </w:style>
  <w:style w:type="paragraph" w:styleId="Zkladntext3">
    <w:name w:val="Body Text 3"/>
    <w:basedOn w:val="Normln"/>
    <w:link w:val="Zkladn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3148D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31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3148D"/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03148D"/>
  </w:style>
  <w:style w:type="character" w:customStyle="1" w:styleId="DatumChar">
    <w:name w:val="Datum Char"/>
    <w:basedOn w:val="Standardnpsmoodstavce"/>
    <w:link w:val="Datum"/>
    <w:uiPriority w:val="99"/>
    <w:semiHidden/>
    <w:rsid w:val="0003148D"/>
  </w:style>
  <w:style w:type="paragraph" w:styleId="Titulek">
    <w:name w:val="caption"/>
    <w:basedOn w:val="Normln"/>
    <w:next w:val="Normln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Seznam">
    <w:name w:val="List"/>
    <w:basedOn w:val="Normln"/>
    <w:uiPriority w:val="99"/>
    <w:semiHidden/>
    <w:unhideWhenUsed/>
    <w:rsid w:val="0003148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03148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03148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03148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03148D"/>
    <w:pPr>
      <w:ind w:left="1415" w:hanging="283"/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03148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3148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03148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Podpis">
    <w:name w:val="Signature"/>
    <w:basedOn w:val="Normln"/>
    <w:link w:val="Podpis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3148D"/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3148D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3148D"/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3148D"/>
  </w:style>
  <w:style w:type="character" w:customStyle="1" w:styleId="OslovenChar">
    <w:name w:val="Oslovení Char"/>
    <w:basedOn w:val="Standardnpsmoodstavce"/>
    <w:link w:val="Osloven"/>
    <w:uiPriority w:val="99"/>
    <w:semiHidden/>
    <w:rsid w:val="0003148D"/>
  </w:style>
  <w:style w:type="paragraph" w:styleId="Zvr">
    <w:name w:val="Closing"/>
    <w:basedOn w:val="Normln"/>
    <w:link w:val="Zvr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3148D"/>
  </w:style>
  <w:style w:type="paragraph" w:styleId="Rejstk1">
    <w:name w:val="index 1"/>
    <w:basedOn w:val="Normln"/>
    <w:next w:val="Normln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03148D"/>
  </w:style>
  <w:style w:type="paragraph" w:styleId="Seznamcitac">
    <w:name w:val="table of authorities"/>
    <w:basedOn w:val="Normln"/>
    <w:next w:val="Normln"/>
    <w:uiPriority w:val="99"/>
    <w:semiHidden/>
    <w:unhideWhenUsed/>
    <w:rsid w:val="0003148D"/>
    <w:pPr>
      <w:ind w:left="220" w:hanging="220"/>
    </w:pPr>
  </w:style>
  <w:style w:type="paragraph" w:styleId="Adresanaoblku">
    <w:name w:val="envelope address"/>
    <w:basedOn w:val="Normln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3148D"/>
    <w:rPr>
      <w:i/>
      <w:iCs/>
    </w:rPr>
  </w:style>
  <w:style w:type="paragraph" w:styleId="Zptenadresanaoblku">
    <w:name w:val="envelope return"/>
    <w:basedOn w:val="Normln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03148D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3148D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3148D"/>
    <w:rPr>
      <w:sz w:val="24"/>
      <w:szCs w:val="24"/>
    </w:rPr>
  </w:style>
  <w:style w:type="paragraph" w:styleId="slovanseznam">
    <w:name w:val="List Number"/>
    <w:basedOn w:val="Normln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03148D"/>
    <w:pPr>
      <w:spacing w:after="20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3148D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3148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3148D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3148D"/>
  </w:style>
  <w:style w:type="paragraph" w:styleId="Seznamsodrkami">
    <w:name w:val="List Bullet"/>
    <w:basedOn w:val="Normln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unhideWhenUsed/>
    <w:rsid w:val="0003148D"/>
    <w:pPr>
      <w:numPr>
        <w:numId w:val="11"/>
      </w:numPr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3148D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3148D"/>
    <w:rPr>
      <w:sz w:val="16"/>
      <w:szCs w:val="16"/>
    </w:rPr>
  </w:style>
  <w:style w:type="paragraph" w:styleId="Normlnodsazen">
    <w:name w:val="Normal Indent"/>
    <w:basedOn w:val="Normln"/>
    <w:uiPriority w:val="99"/>
    <w:semiHidden/>
    <w:unhideWhenUsed/>
    <w:rsid w:val="0003148D"/>
    <w:pPr>
      <w:ind w:left="720"/>
    </w:pPr>
  </w:style>
  <w:style w:type="paragraph" w:styleId="Textkomente">
    <w:name w:val="annotation text"/>
    <w:basedOn w:val="Normln"/>
    <w:link w:val="TextkomenteChar"/>
    <w:uiPriority w:val="99"/>
    <w:unhideWhenUsed/>
    <w:rsid w:val="0003148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3148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48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48D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03148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03148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03148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03148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03148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03148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03148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03148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03148D"/>
    <w:pPr>
      <w:spacing w:after="100"/>
      <w:ind w:left="1760"/>
    </w:pPr>
  </w:style>
  <w:style w:type="paragraph" w:styleId="Textvbloku">
    <w:name w:val="Block Text"/>
    <w:basedOn w:val="Normln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makra">
    <w:name w:val="macro"/>
    <w:link w:val="Textmakra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148D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148D"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3148D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3148D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9"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Hlavikaobsahu">
    <w:name w:val="toa heading"/>
    <w:basedOn w:val="Normln"/>
    <w:next w:val="Normln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Standardnpsmoodstavce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Zhlav">
    <w:name w:val="header"/>
    <w:basedOn w:val="Normln"/>
    <w:link w:val="Zhlav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Mkatabulky">
    <w:name w:val="Table Grid"/>
    <w:basedOn w:val="Normlntabulka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Standardnpsmoodstavce"/>
    <w:rsid w:val="00904C62"/>
  </w:style>
  <w:style w:type="paragraph" w:customStyle="1" w:styleId="CETListbullets">
    <w:name w:val="CET List bullets"/>
    <w:uiPriority w:val="99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uiPriority w:val="99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uiPriority w:val="99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Zstupntext">
    <w:name w:val="Placeholder Text"/>
    <w:basedOn w:val="Standardnpsmoodstavce"/>
    <w:uiPriority w:val="99"/>
    <w:semiHidden/>
    <w:rsid w:val="00267007"/>
    <w:rPr>
      <w:color w:val="808080"/>
    </w:rPr>
  </w:style>
  <w:style w:type="paragraph" w:customStyle="1" w:styleId="Default">
    <w:name w:val="Default"/>
    <w:rsid w:val="000254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customStyle="1" w:styleId="pimiennictwo">
    <w:name w:val="piśmiennictwo"/>
    <w:basedOn w:val="Normln"/>
    <w:uiPriority w:val="99"/>
    <w:rsid w:val="00287D58"/>
    <w:pPr>
      <w:tabs>
        <w:tab w:val="clear" w:pos="7100"/>
      </w:tabs>
      <w:spacing w:line="220" w:lineRule="exact"/>
      <w:ind w:left="284" w:hanging="284"/>
    </w:pPr>
    <w:rPr>
      <w:rFonts w:eastAsiaTheme="minorEastAsia" w:cs="Arial"/>
      <w:szCs w:val="18"/>
      <w:lang w:val="pl-PL" w:eastAsia="cs-CZ"/>
    </w:rPr>
  </w:style>
  <w:style w:type="paragraph" w:customStyle="1" w:styleId="PRESBodytext">
    <w:name w:val="PRES Body text"/>
    <w:link w:val="PRESBodytextChar"/>
    <w:qFormat/>
    <w:rsid w:val="0016394C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PRESBodytextChar">
    <w:name w:val="PRES Body text Char"/>
    <w:link w:val="PRESBodytext"/>
    <w:rsid w:val="0016394C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PRESReferencetext">
    <w:name w:val="PRES Reference text"/>
    <w:qFormat/>
    <w:rsid w:val="000018E3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Vchoz">
    <w:name w:val="Výchozí"/>
    <w:rsid w:val="00F9406B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</w:pPr>
    <w:rPr>
      <w:rFonts w:ascii="Calibri" w:eastAsia="Arial Unicode MS" w:hAnsi="Calibri" w:cs="Arial Unicode MS"/>
      <w:color w:val="111111"/>
      <w:sz w:val="24"/>
      <w:szCs w:val="24"/>
      <w:bdr w:val="nil"/>
      <w:shd w:val="clear" w:color="auto" w:fill="FFFFFF"/>
      <w:lang w:val="cs-CZ" w:eastAsia="cs-CZ"/>
    </w:rPr>
  </w:style>
  <w:style w:type="table" w:customStyle="1" w:styleId="TableNormal1">
    <w:name w:val="Table Normal1"/>
    <w:rsid w:val="00F940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cs-CZ"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tiff"/><Relationship Id="rId3" Type="http://schemas.openxmlformats.org/officeDocument/2006/relationships/styles" Target="styles.xml"/><Relationship Id="rId21" Type="http://schemas.openxmlformats.org/officeDocument/2006/relationships/image" Target="media/image11.ti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tif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F871-C00D-4EB3-9B95-4B4ACAA5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2677</Words>
  <Characters>15798</Characters>
  <Application>Microsoft Office Word</Application>
  <DocSecurity>0</DocSecurity>
  <Lines>131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Radek Šulc</cp:lastModifiedBy>
  <cp:revision>2</cp:revision>
  <cp:lastPrinted>2015-05-12T18:31:00Z</cp:lastPrinted>
  <dcterms:created xsi:type="dcterms:W3CDTF">2025-01-21T12:05:00Z</dcterms:created>
  <dcterms:modified xsi:type="dcterms:W3CDTF">2025-01-21T12:05:00Z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