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B1FE5F6" w:rsidR="00E978D0" w:rsidRPr="00B57B36" w:rsidRDefault="0076474A" w:rsidP="00E978D0">
      <w:pPr>
        <w:pStyle w:val="CETTitle"/>
      </w:pPr>
      <w:bookmarkStart w:id="1" w:name="_Hlk188547882"/>
      <w:bookmarkEnd w:id="0"/>
      <w:r>
        <w:t xml:space="preserve">Exploring the </w:t>
      </w:r>
      <w:r w:rsidR="00735D3B">
        <w:t>V</w:t>
      </w:r>
      <w:r>
        <w:t xml:space="preserve">iability of </w:t>
      </w:r>
      <w:r w:rsidR="00735D3B">
        <w:t>G</w:t>
      </w:r>
      <w:r>
        <w:t xml:space="preserve">reen </w:t>
      </w:r>
      <w:r w:rsidR="00735D3B">
        <w:t>F</w:t>
      </w:r>
      <w:r>
        <w:t xml:space="preserve">ormic </w:t>
      </w:r>
      <w:r w:rsidR="00735D3B">
        <w:t>A</w:t>
      </w:r>
      <w:r>
        <w:t>cid as H</w:t>
      </w:r>
      <w:r w:rsidRPr="0076474A">
        <w:rPr>
          <w:vertAlign w:val="subscript"/>
        </w:rPr>
        <w:t>2</w:t>
      </w:r>
      <w:r>
        <w:t xml:space="preserve"> </w:t>
      </w:r>
      <w:r w:rsidR="00735D3B">
        <w:t>C</w:t>
      </w:r>
      <w:r>
        <w:t>arrier</w:t>
      </w:r>
      <w:bookmarkEnd w:id="1"/>
    </w:p>
    <w:p w14:paraId="0488FED2" w14:textId="0FCF9AB0" w:rsidR="00B57E6F" w:rsidRPr="00D018BF" w:rsidRDefault="00141DA9" w:rsidP="008D1CA4">
      <w:pPr>
        <w:pStyle w:val="CETAuthors"/>
        <w:jc w:val="center"/>
        <w:rPr>
          <w:lang w:val="it-IT"/>
        </w:rPr>
      </w:pPr>
      <w:r>
        <w:rPr>
          <w:lang w:val="it-IT"/>
        </w:rPr>
        <w:t>Elvira Spatolisano</w:t>
      </w:r>
      <w:r w:rsidR="00E73571">
        <w:rPr>
          <w:lang w:val="it-IT"/>
        </w:rPr>
        <w:t xml:space="preserve">, </w:t>
      </w:r>
      <w:bookmarkStart w:id="2" w:name="_Hlk188547911"/>
      <w:r w:rsidR="00E73571">
        <w:rPr>
          <w:lang w:val="it-IT"/>
        </w:rPr>
        <w:t>Federica Restelli, Sofia Leon</w:t>
      </w:r>
      <w:r w:rsidR="00F6747A">
        <w:rPr>
          <w:lang w:val="it-IT"/>
        </w:rPr>
        <w:t>i, Laura A. Pellegrini</w:t>
      </w:r>
      <w:bookmarkEnd w:id="2"/>
    </w:p>
    <w:p w14:paraId="3AA483AA" w14:textId="2A6E13E0" w:rsidR="00984A0A" w:rsidRPr="00887545" w:rsidRDefault="00984A0A" w:rsidP="00984A0A">
      <w:pPr>
        <w:pStyle w:val="CETAddress"/>
        <w:rPr>
          <w:lang w:val="it-IT"/>
        </w:rPr>
      </w:pPr>
      <w:r w:rsidRPr="00887545">
        <w:rPr>
          <w:lang w:val="it-IT"/>
        </w:rPr>
        <w:t>GASP - Group on Advanced Separation Processes &amp; GAS Processing, Dipartimento di Chimica, Materiali e Ingegneria Chimica “G. Natta”, Politecnico di Milano, Piazza Leonardo da Vinci 32, 20133 Milano, Italy</w:t>
      </w:r>
    </w:p>
    <w:p w14:paraId="545BF4B6" w14:textId="0E1E3857" w:rsidR="00984A0A" w:rsidRPr="00B57B36" w:rsidRDefault="00E73571" w:rsidP="00984A0A">
      <w:pPr>
        <w:pStyle w:val="CETemail"/>
      </w:pPr>
      <w:r>
        <w:t>elvira</w:t>
      </w:r>
      <w:r w:rsidR="00984A0A">
        <w:t>.</w:t>
      </w:r>
      <w:r>
        <w:t>spatolisano</w:t>
      </w:r>
      <w:r w:rsidR="00984A0A" w:rsidRPr="00B57B36">
        <w:t>@</w:t>
      </w:r>
      <w:r w:rsidR="00984A0A">
        <w:t>polimi.it</w:t>
      </w:r>
      <w:r w:rsidR="00984A0A" w:rsidRPr="00B57B36">
        <w:t xml:space="preserve"> </w:t>
      </w:r>
    </w:p>
    <w:p w14:paraId="38F76186" w14:textId="7BEB8874" w:rsidR="006A6DE5" w:rsidRDefault="005233A8" w:rsidP="005233A8">
      <w:pPr>
        <w:pStyle w:val="CETBodytext"/>
      </w:pPr>
      <w:bookmarkStart w:id="3" w:name="_Hlk495475023"/>
      <w:r>
        <w:rPr>
          <w:lang w:val="en-GB"/>
        </w:rPr>
        <w:t>To favour the implementation of hydrogen e</w:t>
      </w:r>
      <w:r w:rsidR="00111F16">
        <w:rPr>
          <w:lang w:val="en-GB"/>
        </w:rPr>
        <w:t>nerg</w:t>
      </w:r>
      <w:r>
        <w:rPr>
          <w:lang w:val="en-GB"/>
        </w:rPr>
        <w:t>y, H</w:t>
      </w:r>
      <w:r w:rsidRPr="005233A8">
        <w:rPr>
          <w:vertAlign w:val="subscript"/>
          <w:lang w:val="en-GB"/>
        </w:rPr>
        <w:t>2</w:t>
      </w:r>
      <w:r>
        <w:rPr>
          <w:lang w:val="en-GB"/>
        </w:rPr>
        <w:t xml:space="preserve"> carriers are </w:t>
      </w:r>
      <w:r w:rsidR="00111F16">
        <w:rPr>
          <w:lang w:val="en-GB"/>
        </w:rPr>
        <w:t>regarded</w:t>
      </w:r>
      <w:r>
        <w:rPr>
          <w:lang w:val="en-GB"/>
        </w:rPr>
        <w:t xml:space="preserve"> as a reliable alternative for hydrogen transport. </w:t>
      </w:r>
      <w:bookmarkEnd w:id="3"/>
      <w:r w:rsidRPr="008B2FB3">
        <w:t>Common hydrogen carriers include liquid organic compounds (</w:t>
      </w:r>
      <w:r w:rsidR="00111F16">
        <w:t>as toluene, dibenzyltoluene or N-</w:t>
      </w:r>
      <w:proofErr w:type="spellStart"/>
      <w:r w:rsidR="00111F16">
        <w:t>ethylcarbazole</w:t>
      </w:r>
      <w:proofErr w:type="spellEnd"/>
      <w:r w:rsidRPr="008B2FB3">
        <w:t xml:space="preserve">), ammonia, </w:t>
      </w:r>
      <w:r w:rsidR="00111F16">
        <w:t>methanol, formic acid</w:t>
      </w:r>
      <w:r w:rsidR="00111F16" w:rsidRPr="008B2FB3">
        <w:t xml:space="preserve"> </w:t>
      </w:r>
      <w:r w:rsidR="00111F16">
        <w:t xml:space="preserve">and </w:t>
      </w:r>
      <w:r w:rsidRPr="008B2FB3">
        <w:t xml:space="preserve">chemical hydrides. These </w:t>
      </w:r>
      <w:r w:rsidR="00111F16">
        <w:t>substances</w:t>
      </w:r>
      <w:r w:rsidRPr="008B2FB3">
        <w:t xml:space="preserve"> can release </w:t>
      </w:r>
      <w:r w:rsidR="00111F16">
        <w:t>H</w:t>
      </w:r>
      <w:r w:rsidR="00111F16" w:rsidRPr="00111F16">
        <w:rPr>
          <w:vertAlign w:val="subscript"/>
        </w:rPr>
        <w:t>2</w:t>
      </w:r>
      <w:r w:rsidRPr="008B2FB3">
        <w:t xml:space="preserve"> upon demand through dehydrogenation or electrochemical reactions, offering a flexible way to integrate hydrogen into energy infrastructure.</w:t>
      </w:r>
      <w:r>
        <w:t xml:space="preserve"> </w:t>
      </w:r>
      <w:r w:rsidR="00111F16">
        <w:t>Among them, f</w:t>
      </w:r>
      <w:r w:rsidRPr="00600192">
        <w:t xml:space="preserve">ormic acid (HCOOH) is an attractive candidate due to its hydrogen content </w:t>
      </w:r>
      <w:r>
        <w:t>(4.4 wt.%)</w:t>
      </w:r>
      <w:r w:rsidR="00492BD8">
        <w:t xml:space="preserve"> and</w:t>
      </w:r>
      <w:r w:rsidR="00492BD8" w:rsidRPr="00492BD8">
        <w:t xml:space="preserve"> </w:t>
      </w:r>
      <w:r w:rsidR="00F76556">
        <w:t xml:space="preserve">straightforward </w:t>
      </w:r>
      <w:r w:rsidR="00492BD8">
        <w:t>dehydrogenation process</w:t>
      </w:r>
      <w:r w:rsidRPr="00600192">
        <w:t xml:space="preserve">. </w:t>
      </w:r>
      <w:r>
        <w:t>To explore the viability of green formic acid as H</w:t>
      </w:r>
      <w:r w:rsidRPr="005233A8">
        <w:rPr>
          <w:vertAlign w:val="subscript"/>
        </w:rPr>
        <w:t>2</w:t>
      </w:r>
      <w:r>
        <w:t xml:space="preserve"> carrier, this work analyses all </w:t>
      </w:r>
      <w:r w:rsidR="00687A64">
        <w:t>its</w:t>
      </w:r>
      <w:r>
        <w:t xml:space="preserve"> possible production pathways</w:t>
      </w:r>
      <w:r w:rsidR="00492BD8">
        <w:t xml:space="preserve"> from renewable energy</w:t>
      </w:r>
      <w:r>
        <w:t xml:space="preserve">, with a focus on </w:t>
      </w:r>
      <w:r w:rsidR="004542C2">
        <w:t>the</w:t>
      </w:r>
      <w:r w:rsidR="008565B4">
        <w:t xml:space="preserve"> synthesis </w:t>
      </w:r>
      <w:r w:rsidR="00111F16">
        <w:t>from captured</w:t>
      </w:r>
      <w:r>
        <w:t xml:space="preserve"> CO</w:t>
      </w:r>
      <w:r w:rsidRPr="00111F16">
        <w:rPr>
          <w:vertAlign w:val="subscript"/>
        </w:rPr>
        <w:t>2</w:t>
      </w:r>
      <w:r w:rsidR="00687A64">
        <w:rPr>
          <w:vertAlign w:val="subscript"/>
        </w:rPr>
        <w:t xml:space="preserve"> </w:t>
      </w:r>
      <w:r w:rsidR="00687A64" w:rsidRPr="00687A64">
        <w:t>as raw material</w:t>
      </w:r>
      <w:r>
        <w:t xml:space="preserve">. </w:t>
      </w:r>
      <w:r w:rsidR="00111F16">
        <w:t>Advantages and disadvantages</w:t>
      </w:r>
      <w:r w:rsidR="008565B4">
        <w:t xml:space="preserve"> of this new </w:t>
      </w:r>
      <w:r w:rsidR="00492BD8">
        <w:t>process</w:t>
      </w:r>
      <w:r w:rsidR="00111F16">
        <w:t xml:space="preserve"> are </w:t>
      </w:r>
      <w:r w:rsidR="004542C2">
        <w:t>presented</w:t>
      </w:r>
      <w:r w:rsidR="00492BD8">
        <w:t>, assessing its</w:t>
      </w:r>
      <w:r w:rsidR="008565B4">
        <w:t xml:space="preserve"> potential by </w:t>
      </w:r>
      <w:r w:rsidR="00492BD8">
        <w:t xml:space="preserve">means of </w:t>
      </w:r>
      <w:r w:rsidR="008565B4">
        <w:t>the equivalent hydrogen methodology.</w:t>
      </w:r>
      <w:r w:rsidR="004542C2">
        <w:t xml:space="preserve"> The </w:t>
      </w:r>
      <w:r w:rsidR="00AE545C">
        <w:t>H</w:t>
      </w:r>
      <w:r w:rsidR="00AE545C" w:rsidRPr="00AE545C">
        <w:rPr>
          <w:vertAlign w:val="subscript"/>
        </w:rPr>
        <w:t>2</w:t>
      </w:r>
      <w:r w:rsidR="00AE545C">
        <w:t xml:space="preserve"> </w:t>
      </w:r>
      <w:r w:rsidR="00BE3B1D" w:rsidRPr="00BE3B1D">
        <w:t>delivery performance</w:t>
      </w:r>
      <w:r w:rsidR="00AE545C">
        <w:t xml:space="preserve"> of formic acid</w:t>
      </w:r>
      <w:r w:rsidR="00492BD8">
        <w:t xml:space="preserve">, strictly related to its synthesis </w:t>
      </w:r>
      <w:r w:rsidR="004542C2">
        <w:t>stage</w:t>
      </w:r>
      <w:r w:rsidR="00492BD8">
        <w:t xml:space="preserve">, is </w:t>
      </w:r>
      <w:r w:rsidR="004542C2">
        <w:t xml:space="preserve">analyzed and </w:t>
      </w:r>
      <w:r w:rsidR="00BE3B1D" w:rsidRPr="00BE3B1D">
        <w:t>then compared to other carriers (</w:t>
      </w:r>
      <w:r w:rsidR="00AE545C">
        <w:t>liquefied H</w:t>
      </w:r>
      <w:r w:rsidR="00AE545C" w:rsidRPr="00AE545C">
        <w:rPr>
          <w:vertAlign w:val="subscript"/>
        </w:rPr>
        <w:t>2</w:t>
      </w:r>
      <w:r w:rsidR="00AE545C">
        <w:t xml:space="preserve">, </w:t>
      </w:r>
      <w:r w:rsidR="00BE3B1D" w:rsidRPr="00BE3B1D">
        <w:t>ammonia, toluene, dibenzyltoluene)</w:t>
      </w:r>
      <w:r w:rsidR="004542C2">
        <w:t>,</w:t>
      </w:r>
      <w:r w:rsidR="00BE3B1D" w:rsidRPr="00BE3B1D">
        <w:t xml:space="preserve"> to </w:t>
      </w:r>
      <w:r w:rsidR="004542C2">
        <w:t>discuss</w:t>
      </w:r>
      <w:r w:rsidR="00BE3B1D" w:rsidRPr="00BE3B1D">
        <w:t xml:space="preserve"> its practicality for industrial-scale implementation.</w:t>
      </w:r>
    </w:p>
    <w:p w14:paraId="476B2F2E" w14:textId="52B36035" w:rsidR="00600535" w:rsidRPr="00B57B36" w:rsidRDefault="00600535" w:rsidP="00600535">
      <w:pPr>
        <w:pStyle w:val="CETHeading1"/>
        <w:rPr>
          <w:lang w:val="en-GB"/>
        </w:rPr>
      </w:pPr>
      <w:r w:rsidRPr="00B57B36">
        <w:rPr>
          <w:lang w:val="en-GB"/>
        </w:rPr>
        <w:t>Introduction</w:t>
      </w:r>
    </w:p>
    <w:p w14:paraId="7A290185" w14:textId="1FC570E8" w:rsidR="00C5222F" w:rsidRDefault="00687A64" w:rsidP="006D63B2">
      <w:pPr>
        <w:pStyle w:val="CETBodytext"/>
      </w:pPr>
      <w:r>
        <w:t>While g</w:t>
      </w:r>
      <w:r w:rsidR="000908B3">
        <w:t>aseous hydrogen low density and high volatility hinders its cost-effective transport, h</w:t>
      </w:r>
      <w:r w:rsidR="000B08C8" w:rsidRPr="000B08C8">
        <w:t xml:space="preserve">ydrogen carriers </w:t>
      </w:r>
      <w:r w:rsidR="000908B3">
        <w:t xml:space="preserve">offer an </w:t>
      </w:r>
      <w:r w:rsidR="00FC50E1">
        <w:t>attractive</w:t>
      </w:r>
      <w:r w:rsidR="000908B3">
        <w:t xml:space="preserve"> solution to</w:t>
      </w:r>
      <w:r w:rsidR="00FC50E1">
        <w:t xml:space="preserve"> </w:t>
      </w:r>
      <w:r w:rsidR="00AE545C">
        <w:t>connect</w:t>
      </w:r>
      <w:r>
        <w:t xml:space="preserve"> green H</w:t>
      </w:r>
      <w:r w:rsidRPr="00687A64">
        <w:rPr>
          <w:vertAlign w:val="subscript"/>
        </w:rPr>
        <w:t>2</w:t>
      </w:r>
      <w:r>
        <w:t xml:space="preserve"> production and utilization hubs</w:t>
      </w:r>
      <w:r w:rsidR="00473EA4">
        <w:t xml:space="preserve"> (</w:t>
      </w:r>
      <w:proofErr w:type="spellStart"/>
      <w:r w:rsidR="00473EA4">
        <w:t>Restelli</w:t>
      </w:r>
      <w:proofErr w:type="spellEnd"/>
      <w:r w:rsidR="00473EA4">
        <w:t xml:space="preserve"> et al., 2023)</w:t>
      </w:r>
      <w:r w:rsidR="000908B3">
        <w:t xml:space="preserve">. </w:t>
      </w:r>
      <w:r w:rsidR="00FC50E1">
        <w:t>The</w:t>
      </w:r>
      <w:r>
        <w:t>se carriers</w:t>
      </w:r>
      <w:r w:rsidR="000908B3">
        <w:t xml:space="preserve"> </w:t>
      </w:r>
      <w:r w:rsidR="000B08C8" w:rsidRPr="000B08C8">
        <w:t xml:space="preserve">are </w:t>
      </w:r>
      <w:r>
        <w:t xml:space="preserve">molecules, </w:t>
      </w:r>
      <w:r w:rsidR="00C5222F">
        <w:t>typically</w:t>
      </w:r>
      <w:r>
        <w:t xml:space="preserve"> </w:t>
      </w:r>
      <w:r w:rsidR="00C5222F">
        <w:t xml:space="preserve">in </w:t>
      </w:r>
      <w:r>
        <w:t xml:space="preserve">liquid </w:t>
      </w:r>
      <w:r w:rsidR="00C5222F">
        <w:t xml:space="preserve">state </w:t>
      </w:r>
      <w:r>
        <w:t>at ambient temperature and pressure, in which hydrogen is chemically bonded</w:t>
      </w:r>
      <w:r w:rsidR="000B08C8" w:rsidRPr="000B08C8">
        <w:t xml:space="preserve"> </w:t>
      </w:r>
      <w:r>
        <w:t>and can be released upon need</w:t>
      </w:r>
      <w:r w:rsidR="00473EA4">
        <w:t xml:space="preserve"> (Spatolisano </w:t>
      </w:r>
      <w:r w:rsidR="006626B7">
        <w:t>and</w:t>
      </w:r>
      <w:r w:rsidR="00473EA4">
        <w:t xml:space="preserve"> </w:t>
      </w:r>
      <w:proofErr w:type="spellStart"/>
      <w:r w:rsidR="00473EA4">
        <w:t>Restelli</w:t>
      </w:r>
      <w:proofErr w:type="spellEnd"/>
      <w:r w:rsidR="00473EA4">
        <w:t>, 2024)</w:t>
      </w:r>
      <w:r w:rsidR="000B08C8" w:rsidRPr="000B08C8">
        <w:t xml:space="preserve">. </w:t>
      </w:r>
      <w:r>
        <w:t xml:space="preserve">A variety of hydrogen storage compounds have been proposed in literature: organic liquids derived from fossil feedstock, biomass-based substances or synthetic products obtained from </w:t>
      </w:r>
      <w:r w:rsidR="00C5222F">
        <w:t xml:space="preserve">captured </w:t>
      </w:r>
      <w:r>
        <w:t>CO</w:t>
      </w:r>
      <w:r w:rsidRPr="00687A64">
        <w:rPr>
          <w:vertAlign w:val="subscript"/>
        </w:rPr>
        <w:t>2</w:t>
      </w:r>
      <w:r>
        <w:t xml:space="preserve">. The latter are of particular interest in the </w:t>
      </w:r>
      <w:r w:rsidR="00C5222F">
        <w:t>research panorama since they are able to conjugate CO</w:t>
      </w:r>
      <w:r w:rsidR="00C5222F" w:rsidRPr="00C5222F">
        <w:rPr>
          <w:vertAlign w:val="subscript"/>
        </w:rPr>
        <w:t>2</w:t>
      </w:r>
      <w:r w:rsidR="00C5222F">
        <w:t xml:space="preserve"> utilization and H</w:t>
      </w:r>
      <w:r w:rsidR="00C5222F" w:rsidRPr="00C5222F">
        <w:rPr>
          <w:vertAlign w:val="subscript"/>
        </w:rPr>
        <w:t>2</w:t>
      </w:r>
      <w:r w:rsidR="00C5222F">
        <w:t xml:space="preserve"> transport. </w:t>
      </w:r>
      <w:r w:rsidR="00AE545C">
        <w:t>F</w:t>
      </w:r>
      <w:r w:rsidR="00AE545C" w:rsidRPr="000B08C8">
        <w:t>ormic acid (HCOOH)</w:t>
      </w:r>
      <w:r w:rsidR="00735D3B">
        <w:t xml:space="preserve"> is one of them. The</w:t>
      </w:r>
      <w:r w:rsidR="00AE545C">
        <w:t xml:space="preserve"> </w:t>
      </w:r>
      <w:proofErr w:type="spellStart"/>
      <w:r w:rsidR="00AE545C">
        <w:t>physico</w:t>
      </w:r>
      <w:proofErr w:type="spellEnd"/>
      <w:r w:rsidR="00AE545C">
        <w:t xml:space="preserve">-chemical properties </w:t>
      </w:r>
      <w:r w:rsidR="00735D3B">
        <w:t>of interest</w:t>
      </w:r>
      <w:r w:rsidR="00D018BF">
        <w:t xml:space="preserve"> </w:t>
      </w:r>
      <w:r w:rsidR="00735D3B">
        <w:t>for</w:t>
      </w:r>
      <w:r w:rsidR="00D018BF">
        <w:t xml:space="preserve"> its</w:t>
      </w:r>
      <w:r w:rsidR="00C5222F">
        <w:t xml:space="preserve"> implementation as H</w:t>
      </w:r>
      <w:r w:rsidR="00C5222F" w:rsidRPr="00C5222F">
        <w:rPr>
          <w:vertAlign w:val="subscript"/>
        </w:rPr>
        <w:t>2</w:t>
      </w:r>
      <w:r w:rsidR="00C5222F">
        <w:t xml:space="preserve"> carrier are listed in Table 1. </w:t>
      </w:r>
    </w:p>
    <w:p w14:paraId="3F5DE447" w14:textId="64D94183" w:rsidR="00C5222F" w:rsidRPr="00B57B36" w:rsidRDefault="00C5222F" w:rsidP="00C5222F">
      <w:pPr>
        <w:pStyle w:val="CETTabletitle"/>
      </w:pPr>
      <w:r w:rsidRPr="00B57B36">
        <w:t xml:space="preserve">Table 1: </w:t>
      </w:r>
      <w:r>
        <w:t xml:space="preserve">Main </w:t>
      </w:r>
      <w:proofErr w:type="spellStart"/>
      <w:r>
        <w:t>physico</w:t>
      </w:r>
      <w:proofErr w:type="spellEnd"/>
      <w:r>
        <w:t>-chemical properties of formic acid.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851"/>
        <w:gridCol w:w="2268"/>
      </w:tblGrid>
      <w:tr w:rsidR="0059006D" w:rsidRPr="00B57B36" w14:paraId="304DD74B" w14:textId="547D546A" w:rsidTr="00C64420">
        <w:tc>
          <w:tcPr>
            <w:tcW w:w="2835" w:type="dxa"/>
            <w:tcBorders>
              <w:top w:val="single" w:sz="12" w:space="0" w:color="008000"/>
              <w:bottom w:val="single" w:sz="6" w:space="0" w:color="008000"/>
            </w:tcBorders>
            <w:shd w:val="clear" w:color="auto" w:fill="FFFFFF"/>
          </w:tcPr>
          <w:p w14:paraId="100B5096" w14:textId="1941632C" w:rsidR="0059006D" w:rsidRPr="00B57B36" w:rsidRDefault="0059006D" w:rsidP="00B60A51">
            <w:pPr>
              <w:pStyle w:val="CETBodytext"/>
              <w:rPr>
                <w:lang w:val="en-GB"/>
              </w:rPr>
            </w:pPr>
            <w:r>
              <w:rPr>
                <w:lang w:val="en-GB"/>
              </w:rPr>
              <w:t>Property</w:t>
            </w:r>
          </w:p>
        </w:tc>
        <w:tc>
          <w:tcPr>
            <w:tcW w:w="851" w:type="dxa"/>
            <w:tcBorders>
              <w:top w:val="single" w:sz="12" w:space="0" w:color="008000"/>
              <w:bottom w:val="single" w:sz="6" w:space="0" w:color="008000"/>
            </w:tcBorders>
            <w:shd w:val="clear" w:color="auto" w:fill="FFFFFF"/>
          </w:tcPr>
          <w:p w14:paraId="1D1F4756" w14:textId="11715252" w:rsidR="0059006D" w:rsidRPr="00B57B36" w:rsidRDefault="0059006D" w:rsidP="00C5222F">
            <w:pPr>
              <w:pStyle w:val="CETBodytext"/>
              <w:jc w:val="center"/>
              <w:rPr>
                <w:lang w:val="en-GB"/>
              </w:rPr>
            </w:pPr>
            <w:r>
              <w:rPr>
                <w:lang w:val="en-GB"/>
              </w:rPr>
              <w:t>Value</w:t>
            </w:r>
          </w:p>
        </w:tc>
        <w:tc>
          <w:tcPr>
            <w:tcW w:w="2268" w:type="dxa"/>
            <w:tcBorders>
              <w:top w:val="single" w:sz="12" w:space="0" w:color="008000"/>
              <w:bottom w:val="single" w:sz="6" w:space="0" w:color="008000"/>
            </w:tcBorders>
            <w:shd w:val="clear" w:color="auto" w:fill="FFFFFF"/>
          </w:tcPr>
          <w:p w14:paraId="671C4B36" w14:textId="5253847A" w:rsidR="0059006D" w:rsidRDefault="0059006D" w:rsidP="00C5222F">
            <w:pPr>
              <w:pStyle w:val="CETBodytext"/>
              <w:jc w:val="center"/>
              <w:rPr>
                <w:lang w:val="en-GB"/>
              </w:rPr>
            </w:pPr>
            <w:r>
              <w:rPr>
                <w:lang w:val="en-GB"/>
              </w:rPr>
              <w:t>Reference</w:t>
            </w:r>
          </w:p>
        </w:tc>
      </w:tr>
      <w:tr w:rsidR="0059006D" w:rsidRPr="00B57B36" w14:paraId="4860014F" w14:textId="7F9472BC" w:rsidTr="00C64420">
        <w:tc>
          <w:tcPr>
            <w:tcW w:w="2835" w:type="dxa"/>
            <w:shd w:val="clear" w:color="auto" w:fill="FFFFFF"/>
          </w:tcPr>
          <w:p w14:paraId="5158A4DA" w14:textId="01C9D617" w:rsidR="0059006D" w:rsidRPr="00B57B36" w:rsidRDefault="00B907A7" w:rsidP="00B60A51">
            <w:pPr>
              <w:pStyle w:val="CETBodytext"/>
              <w:ind w:right="-1"/>
              <w:rPr>
                <w:rFonts w:cs="Arial"/>
                <w:szCs w:val="18"/>
                <w:lang w:val="en-GB"/>
              </w:rPr>
            </w:pPr>
            <w:r>
              <w:rPr>
                <w:rFonts w:cs="Arial"/>
                <w:szCs w:val="18"/>
                <w:lang w:val="en-GB"/>
              </w:rPr>
              <w:t>H</w:t>
            </w:r>
            <w:r w:rsidRPr="00B907A7">
              <w:rPr>
                <w:rFonts w:cs="Arial"/>
                <w:szCs w:val="18"/>
                <w:vertAlign w:val="subscript"/>
                <w:lang w:val="en-GB"/>
              </w:rPr>
              <w:t>2</w:t>
            </w:r>
            <w:r>
              <w:rPr>
                <w:rFonts w:cs="Arial"/>
                <w:szCs w:val="18"/>
                <w:lang w:val="en-GB"/>
              </w:rPr>
              <w:t xml:space="preserve"> d</w:t>
            </w:r>
            <w:r w:rsidR="0059006D">
              <w:rPr>
                <w:rFonts w:cs="Arial"/>
                <w:szCs w:val="18"/>
                <w:lang w:val="en-GB"/>
              </w:rPr>
              <w:t>ensity [</w:t>
            </w:r>
            <w:r w:rsidR="006D3E7C">
              <w:rPr>
                <w:rFonts w:cs="Arial"/>
                <w:szCs w:val="18"/>
                <w:lang w:val="en-GB"/>
              </w:rPr>
              <w:t>g</w:t>
            </w:r>
            <w:r w:rsidR="006D3E7C" w:rsidRPr="006D3E7C">
              <w:rPr>
                <w:rFonts w:cs="Arial"/>
                <w:szCs w:val="18"/>
                <w:vertAlign w:val="subscript"/>
                <w:lang w:val="en-GB"/>
              </w:rPr>
              <w:t>H2</w:t>
            </w:r>
            <w:r w:rsidR="0059006D">
              <w:rPr>
                <w:rFonts w:cs="Arial"/>
                <w:szCs w:val="18"/>
                <w:lang w:val="en-GB"/>
              </w:rPr>
              <w:t>/</w:t>
            </w:r>
            <w:r w:rsidR="006D3E7C">
              <w:rPr>
                <w:rFonts w:cs="Arial"/>
                <w:szCs w:val="18"/>
                <w:lang w:val="en-GB"/>
              </w:rPr>
              <w:t>L</w:t>
            </w:r>
            <w:r w:rsidR="0059006D">
              <w:rPr>
                <w:rFonts w:cs="Arial"/>
                <w:szCs w:val="18"/>
                <w:lang w:val="en-GB"/>
              </w:rPr>
              <w:t>]</w:t>
            </w:r>
          </w:p>
        </w:tc>
        <w:tc>
          <w:tcPr>
            <w:tcW w:w="851" w:type="dxa"/>
            <w:shd w:val="clear" w:color="auto" w:fill="FFFFFF"/>
          </w:tcPr>
          <w:p w14:paraId="50B926E5" w14:textId="42CCE6BF" w:rsidR="0059006D" w:rsidRPr="00B57B36" w:rsidRDefault="006D3E7C" w:rsidP="00B34820">
            <w:pPr>
              <w:pStyle w:val="CETBodytext"/>
              <w:ind w:right="-1"/>
              <w:jc w:val="center"/>
              <w:rPr>
                <w:rFonts w:cs="Arial"/>
                <w:szCs w:val="18"/>
                <w:lang w:val="en-GB"/>
              </w:rPr>
            </w:pPr>
            <w:r>
              <w:rPr>
                <w:rFonts w:cs="Arial"/>
                <w:szCs w:val="18"/>
                <w:lang w:val="en-GB"/>
              </w:rPr>
              <w:t>53</w:t>
            </w:r>
          </w:p>
        </w:tc>
        <w:tc>
          <w:tcPr>
            <w:tcW w:w="2268" w:type="dxa"/>
            <w:shd w:val="clear" w:color="auto" w:fill="FFFFFF"/>
          </w:tcPr>
          <w:p w14:paraId="7D02A2DC" w14:textId="541CDFE8" w:rsidR="0059006D" w:rsidRPr="00B57B36" w:rsidRDefault="006D3E7C" w:rsidP="006D3E7C">
            <w:pPr>
              <w:pStyle w:val="CETBodytext"/>
              <w:ind w:right="-1"/>
              <w:jc w:val="center"/>
              <w:rPr>
                <w:rFonts w:cs="Arial"/>
                <w:szCs w:val="18"/>
                <w:lang w:val="en-GB"/>
              </w:rPr>
            </w:pPr>
            <w:r>
              <w:rPr>
                <w:rFonts w:cs="Arial"/>
                <w:szCs w:val="18"/>
                <w:lang w:val="en-GB"/>
              </w:rPr>
              <w:t>Gao et al., 2024</w:t>
            </w:r>
          </w:p>
        </w:tc>
      </w:tr>
      <w:tr w:rsidR="0059006D" w:rsidRPr="00B57B36" w14:paraId="1ABBE7EA" w14:textId="7880BD6D" w:rsidTr="00C64420">
        <w:tc>
          <w:tcPr>
            <w:tcW w:w="2835" w:type="dxa"/>
            <w:shd w:val="clear" w:color="auto" w:fill="FFFFFF"/>
          </w:tcPr>
          <w:p w14:paraId="3976037C" w14:textId="195BE888" w:rsidR="0059006D" w:rsidRDefault="0059006D" w:rsidP="00B60A51">
            <w:pPr>
              <w:pStyle w:val="CETBodytext"/>
              <w:ind w:right="-1"/>
              <w:rPr>
                <w:rFonts w:cs="Arial"/>
                <w:szCs w:val="18"/>
                <w:lang w:val="en-GB"/>
              </w:rPr>
            </w:pPr>
            <w:r>
              <w:rPr>
                <w:rFonts w:cs="Arial"/>
                <w:szCs w:val="18"/>
                <w:lang w:val="en-GB"/>
              </w:rPr>
              <w:t>Melting temperature [°C]</w:t>
            </w:r>
          </w:p>
        </w:tc>
        <w:tc>
          <w:tcPr>
            <w:tcW w:w="851" w:type="dxa"/>
            <w:shd w:val="clear" w:color="auto" w:fill="FFFFFF"/>
          </w:tcPr>
          <w:p w14:paraId="7F70856F" w14:textId="72091840" w:rsidR="0059006D" w:rsidRPr="00B57B36" w:rsidRDefault="00B34820" w:rsidP="00B34820">
            <w:pPr>
              <w:pStyle w:val="CETBodytext"/>
              <w:ind w:right="-1"/>
              <w:jc w:val="center"/>
              <w:rPr>
                <w:rFonts w:cs="Arial"/>
                <w:szCs w:val="18"/>
                <w:lang w:val="en-GB"/>
              </w:rPr>
            </w:pPr>
            <w:r>
              <w:rPr>
                <w:rFonts w:cs="Arial"/>
                <w:szCs w:val="18"/>
                <w:lang w:val="en-GB"/>
              </w:rPr>
              <w:t>8.4</w:t>
            </w:r>
          </w:p>
        </w:tc>
        <w:tc>
          <w:tcPr>
            <w:tcW w:w="2268" w:type="dxa"/>
            <w:shd w:val="clear" w:color="auto" w:fill="FFFFFF"/>
          </w:tcPr>
          <w:p w14:paraId="7DEFE6F8" w14:textId="42075E3A" w:rsidR="0059006D" w:rsidRPr="00B57B36" w:rsidRDefault="006D3E7C" w:rsidP="00B60A51">
            <w:pPr>
              <w:pStyle w:val="CETBodytext"/>
              <w:ind w:right="-1"/>
              <w:rPr>
                <w:rFonts w:cs="Arial"/>
                <w:szCs w:val="18"/>
                <w:lang w:val="en-GB"/>
              </w:rPr>
            </w:pPr>
            <w:r w:rsidRPr="006D3E7C">
              <w:rPr>
                <w:rFonts w:cs="Arial"/>
                <w:szCs w:val="18"/>
                <w:lang w:val="en-GB"/>
              </w:rPr>
              <w:t xml:space="preserve">NIST Chemistry </w:t>
            </w:r>
            <w:proofErr w:type="spellStart"/>
            <w:r w:rsidRPr="006D3E7C">
              <w:rPr>
                <w:rFonts w:cs="Arial"/>
                <w:szCs w:val="18"/>
                <w:lang w:val="en-GB"/>
              </w:rPr>
              <w:t>WebBook</w:t>
            </w:r>
            <w:proofErr w:type="spellEnd"/>
          </w:p>
        </w:tc>
      </w:tr>
      <w:tr w:rsidR="006D3E7C" w:rsidRPr="00B57B36" w14:paraId="3C10580C" w14:textId="777CB958" w:rsidTr="00C64420">
        <w:tc>
          <w:tcPr>
            <w:tcW w:w="2835" w:type="dxa"/>
            <w:shd w:val="clear" w:color="auto" w:fill="FFFFFF"/>
          </w:tcPr>
          <w:p w14:paraId="1FA32F5A" w14:textId="3809085E" w:rsidR="006D3E7C" w:rsidRDefault="006D3E7C" w:rsidP="006D3E7C">
            <w:pPr>
              <w:pStyle w:val="CETBodytext"/>
              <w:ind w:right="-1"/>
              <w:rPr>
                <w:rFonts w:cs="Arial"/>
                <w:szCs w:val="18"/>
                <w:lang w:val="en-GB"/>
              </w:rPr>
            </w:pPr>
            <w:r>
              <w:rPr>
                <w:rFonts w:cs="Arial"/>
                <w:szCs w:val="18"/>
                <w:lang w:val="en-GB"/>
              </w:rPr>
              <w:t>Boiling temperature [°C]</w:t>
            </w:r>
          </w:p>
        </w:tc>
        <w:tc>
          <w:tcPr>
            <w:tcW w:w="851" w:type="dxa"/>
            <w:shd w:val="clear" w:color="auto" w:fill="FFFFFF"/>
          </w:tcPr>
          <w:p w14:paraId="525C5AB3" w14:textId="07836929" w:rsidR="006D3E7C" w:rsidRPr="00B57B36" w:rsidRDefault="00C64420" w:rsidP="006D3E7C">
            <w:pPr>
              <w:pStyle w:val="CETBodytext"/>
              <w:ind w:right="-1"/>
              <w:jc w:val="center"/>
              <w:rPr>
                <w:rFonts w:cs="Arial"/>
                <w:szCs w:val="18"/>
                <w:lang w:val="en-GB"/>
              </w:rPr>
            </w:pPr>
            <w:r>
              <w:rPr>
                <w:rFonts w:cs="Arial"/>
                <w:szCs w:val="18"/>
                <w:lang w:val="en-GB"/>
              </w:rPr>
              <w:t>101</w:t>
            </w:r>
          </w:p>
        </w:tc>
        <w:tc>
          <w:tcPr>
            <w:tcW w:w="2268" w:type="dxa"/>
            <w:shd w:val="clear" w:color="auto" w:fill="FFFFFF"/>
          </w:tcPr>
          <w:p w14:paraId="06DF4B8D" w14:textId="76283B66" w:rsidR="006D3E7C" w:rsidRPr="00B57B36" w:rsidRDefault="00C64420" w:rsidP="006D3E7C">
            <w:pPr>
              <w:pStyle w:val="CETBodytext"/>
              <w:ind w:right="-1"/>
              <w:rPr>
                <w:rFonts w:cs="Arial"/>
                <w:szCs w:val="18"/>
                <w:lang w:val="en-GB"/>
              </w:rPr>
            </w:pPr>
            <w:r>
              <w:rPr>
                <w:rFonts w:cs="Arial"/>
                <w:szCs w:val="18"/>
                <w:lang w:val="en-GB"/>
              </w:rPr>
              <w:t>American Chemical Society</w:t>
            </w:r>
          </w:p>
        </w:tc>
      </w:tr>
      <w:tr w:rsidR="006D3E7C" w:rsidRPr="00B57B36" w14:paraId="1C97C706" w14:textId="3F6206F6" w:rsidTr="00C64420">
        <w:tc>
          <w:tcPr>
            <w:tcW w:w="2835" w:type="dxa"/>
            <w:shd w:val="clear" w:color="auto" w:fill="FFFFFF"/>
          </w:tcPr>
          <w:p w14:paraId="07218C9B" w14:textId="21F0D533" w:rsidR="006D3E7C" w:rsidRDefault="006D3E7C" w:rsidP="006D3E7C">
            <w:pPr>
              <w:pStyle w:val="CETBodytext"/>
              <w:ind w:right="-1"/>
              <w:rPr>
                <w:rFonts w:cs="Arial"/>
                <w:szCs w:val="18"/>
                <w:lang w:val="en-GB"/>
              </w:rPr>
            </w:pPr>
            <w:r>
              <w:rPr>
                <w:rFonts w:cs="Arial"/>
                <w:szCs w:val="18"/>
                <w:lang w:val="en-GB"/>
              </w:rPr>
              <w:t>Cost [$/ton]</w:t>
            </w:r>
          </w:p>
        </w:tc>
        <w:tc>
          <w:tcPr>
            <w:tcW w:w="851" w:type="dxa"/>
            <w:shd w:val="clear" w:color="auto" w:fill="FFFFFF"/>
          </w:tcPr>
          <w:p w14:paraId="2D1BBFBF" w14:textId="71C33DE7" w:rsidR="006D3E7C" w:rsidRPr="00B57B36" w:rsidRDefault="006D3E7C" w:rsidP="006D3E7C">
            <w:pPr>
              <w:pStyle w:val="CETBodytext"/>
              <w:ind w:right="-1"/>
              <w:jc w:val="center"/>
              <w:rPr>
                <w:rFonts w:cs="Arial"/>
                <w:szCs w:val="18"/>
                <w:lang w:val="en-GB"/>
              </w:rPr>
            </w:pPr>
            <w:r>
              <w:rPr>
                <w:rFonts w:cs="Arial"/>
                <w:szCs w:val="18"/>
                <w:lang w:val="en-GB"/>
              </w:rPr>
              <w:t>800</w:t>
            </w:r>
          </w:p>
        </w:tc>
        <w:tc>
          <w:tcPr>
            <w:tcW w:w="2268" w:type="dxa"/>
            <w:shd w:val="clear" w:color="auto" w:fill="FFFFFF"/>
          </w:tcPr>
          <w:p w14:paraId="2EB1E1B0" w14:textId="7CAC2184" w:rsidR="006D3E7C" w:rsidRPr="00B57B36" w:rsidRDefault="00E97171" w:rsidP="00E97171">
            <w:pPr>
              <w:pStyle w:val="CETBodytext"/>
              <w:ind w:right="-1"/>
              <w:jc w:val="center"/>
              <w:rPr>
                <w:rFonts w:cs="Arial"/>
                <w:szCs w:val="18"/>
                <w:lang w:val="en-GB"/>
              </w:rPr>
            </w:pPr>
            <w:r w:rsidRPr="00E97171">
              <w:rPr>
                <w:rFonts w:cs="Arial"/>
                <w:szCs w:val="18"/>
                <w:lang w:val="en-GB"/>
              </w:rPr>
              <w:t>chemanalyst.com</w:t>
            </w:r>
          </w:p>
        </w:tc>
      </w:tr>
      <w:tr w:rsidR="006D3E7C" w:rsidRPr="00B57B36" w14:paraId="74629365" w14:textId="792BDA00" w:rsidTr="00C64420">
        <w:tc>
          <w:tcPr>
            <w:tcW w:w="2835" w:type="dxa"/>
            <w:shd w:val="clear" w:color="auto" w:fill="FFFFFF"/>
          </w:tcPr>
          <w:p w14:paraId="38A43F54" w14:textId="24428AD6" w:rsidR="006D3E7C" w:rsidRDefault="006D3E7C" w:rsidP="006D3E7C">
            <w:pPr>
              <w:pStyle w:val="CETBodytext"/>
              <w:ind w:right="-1"/>
              <w:rPr>
                <w:rFonts w:cs="Arial"/>
                <w:szCs w:val="18"/>
                <w:lang w:val="en-GB"/>
              </w:rPr>
            </w:pPr>
            <w:r>
              <w:rPr>
                <w:rFonts w:cs="Arial"/>
                <w:szCs w:val="18"/>
                <w:lang w:val="en-GB"/>
              </w:rPr>
              <w:t>Dehydrogenation enthalpy [kJ/mol]</w:t>
            </w:r>
          </w:p>
        </w:tc>
        <w:tc>
          <w:tcPr>
            <w:tcW w:w="851" w:type="dxa"/>
            <w:shd w:val="clear" w:color="auto" w:fill="FFFFFF"/>
          </w:tcPr>
          <w:p w14:paraId="101E45A5" w14:textId="7B8A0C2B" w:rsidR="006D3E7C" w:rsidRPr="00B57B36" w:rsidRDefault="006D3E7C" w:rsidP="006D3E7C">
            <w:pPr>
              <w:pStyle w:val="CETBodytext"/>
              <w:ind w:right="-1"/>
              <w:jc w:val="center"/>
              <w:rPr>
                <w:rFonts w:cs="Arial"/>
                <w:szCs w:val="18"/>
                <w:lang w:val="en-GB"/>
              </w:rPr>
            </w:pPr>
            <w:r>
              <w:rPr>
                <w:rFonts w:cs="Arial"/>
                <w:szCs w:val="18"/>
                <w:lang w:val="en-GB"/>
              </w:rPr>
              <w:t>31.2</w:t>
            </w:r>
          </w:p>
        </w:tc>
        <w:tc>
          <w:tcPr>
            <w:tcW w:w="2268" w:type="dxa"/>
            <w:shd w:val="clear" w:color="auto" w:fill="FFFFFF"/>
          </w:tcPr>
          <w:p w14:paraId="225733A1" w14:textId="5F8750FF" w:rsidR="006D3E7C" w:rsidRPr="00B57B36" w:rsidRDefault="006D3E7C" w:rsidP="00E97171">
            <w:pPr>
              <w:pStyle w:val="CETBodytext"/>
              <w:ind w:right="-1"/>
              <w:jc w:val="center"/>
              <w:rPr>
                <w:rFonts w:cs="Arial"/>
                <w:szCs w:val="18"/>
                <w:lang w:val="en-GB"/>
              </w:rPr>
            </w:pPr>
            <w:r>
              <w:rPr>
                <w:rFonts w:cs="Arial"/>
                <w:szCs w:val="18"/>
                <w:lang w:val="en-GB"/>
              </w:rPr>
              <w:t>Patra et al., 2023</w:t>
            </w:r>
          </w:p>
        </w:tc>
      </w:tr>
    </w:tbl>
    <w:p w14:paraId="69B50A55" w14:textId="77777777" w:rsidR="00C5222F" w:rsidRDefault="00C5222F" w:rsidP="000B08C8">
      <w:pPr>
        <w:pStyle w:val="CETListbullets"/>
      </w:pPr>
    </w:p>
    <w:p w14:paraId="55852E94" w14:textId="2E557BEC" w:rsidR="00A719BE" w:rsidRDefault="00C64420" w:rsidP="006D63B2">
      <w:pPr>
        <w:pStyle w:val="CETBodytext"/>
      </w:pPr>
      <w:r w:rsidRPr="00C64420">
        <w:t xml:space="preserve">Formic acid, a colorless liquid with a pungent odor, is a simple carboxylic acid. It finds applications across various industries, thanks to its versatile properties: it is commonly used as a chemical precursor to produce a variety of substances, including formamide, esters and other derivatives, in turn used in the manufacture of plastics, textiles, pharmaceuticals and agrochemicals. </w:t>
      </w:r>
      <w:r w:rsidRPr="000B08C8">
        <w:t xml:space="preserve">It </w:t>
      </w:r>
      <w:r>
        <w:t>is a non-volatile liquid (normal boiling point around 100°C), less hazardous compared to some other hydrogen carriers like NH</w:t>
      </w:r>
      <w:r w:rsidRPr="006D63B2">
        <w:rPr>
          <w:vertAlign w:val="subscript"/>
        </w:rPr>
        <w:t>3</w:t>
      </w:r>
      <w:r>
        <w:t>, which is highly toxic, but corrosive in the concentrated form.</w:t>
      </w:r>
      <w:r w:rsidRPr="006D63B2">
        <w:t xml:space="preserve"> </w:t>
      </w:r>
      <w:r w:rsidR="0059006D">
        <w:t xml:space="preserve">Formic </w:t>
      </w:r>
      <w:r w:rsidR="00A719BE">
        <w:t>acid high H</w:t>
      </w:r>
      <w:r w:rsidR="00A719BE" w:rsidRPr="00A719BE">
        <w:rPr>
          <w:vertAlign w:val="subscript"/>
        </w:rPr>
        <w:t>2</w:t>
      </w:r>
      <w:r w:rsidR="00A719BE">
        <w:t xml:space="preserve"> </w:t>
      </w:r>
      <w:r>
        <w:t xml:space="preserve">density </w:t>
      </w:r>
      <w:r w:rsidR="00A719BE">
        <w:t xml:space="preserve">allows, in principle, for </w:t>
      </w:r>
      <w:r w:rsidR="006626B7">
        <w:t xml:space="preserve">an </w:t>
      </w:r>
      <w:r w:rsidR="00A719BE">
        <w:t xml:space="preserve">efficient storage and transport of hydrogen. </w:t>
      </w:r>
      <w:r w:rsidR="006D63B2">
        <w:t xml:space="preserve">As </w:t>
      </w:r>
      <w:r w:rsidR="00893D9D">
        <w:t>confirmed</w:t>
      </w:r>
      <w:r w:rsidR="006D63B2">
        <w:t xml:space="preserve"> by the d</w:t>
      </w:r>
      <w:r w:rsidR="00F76556">
        <w:t>e</w:t>
      </w:r>
      <w:r w:rsidR="006D63B2">
        <w:t>hydrogen</w:t>
      </w:r>
      <w:r w:rsidR="00F76556">
        <w:t>ation</w:t>
      </w:r>
      <w:r w:rsidR="006D63B2">
        <w:t xml:space="preserve"> enthalpy, it </w:t>
      </w:r>
      <w:r w:rsidR="006D63B2" w:rsidRPr="000B08C8">
        <w:t xml:space="preserve">can </w:t>
      </w:r>
      <w:r w:rsidR="006D63B2">
        <w:t>undergo</w:t>
      </w:r>
      <w:r w:rsidR="006D63B2" w:rsidRPr="000B08C8">
        <w:t xml:space="preserve"> catalytic dehydrogenation</w:t>
      </w:r>
      <w:r w:rsidR="006D63B2">
        <w:t xml:space="preserve"> at mild </w:t>
      </w:r>
      <w:r w:rsidR="006D63B2">
        <w:lastRenderedPageBreak/>
        <w:t>conditions</w:t>
      </w:r>
      <w:r w:rsidR="00F76556">
        <w:t xml:space="preserve"> (around 200</w:t>
      </w:r>
      <w:r w:rsidR="00F76556">
        <w:rPr>
          <w:rFonts w:cs="Arial"/>
        </w:rPr>
        <w:t>°</w:t>
      </w:r>
      <w:r w:rsidR="00F76556">
        <w:t>C)</w:t>
      </w:r>
      <w:r w:rsidR="006D63B2" w:rsidRPr="000B08C8">
        <w:t xml:space="preserve">, </w:t>
      </w:r>
      <w:r w:rsidR="006D63B2">
        <w:t>to release</w:t>
      </w:r>
      <w:r w:rsidR="006D63B2" w:rsidRPr="000B08C8">
        <w:t xml:space="preserve"> CO</w:t>
      </w:r>
      <w:r w:rsidR="006D63B2" w:rsidRPr="000B08C8">
        <w:rPr>
          <w:rFonts w:ascii="Cambria Math" w:hAnsi="Cambria Math" w:cs="Cambria Math"/>
        </w:rPr>
        <w:t>₂</w:t>
      </w:r>
      <w:r w:rsidR="006D63B2" w:rsidRPr="000B08C8">
        <w:t xml:space="preserve"> and H</w:t>
      </w:r>
      <w:r w:rsidR="006D63B2" w:rsidRPr="000B08C8">
        <w:rPr>
          <w:rFonts w:ascii="Cambria Math" w:hAnsi="Cambria Math" w:cs="Cambria Math"/>
        </w:rPr>
        <w:t>₂</w:t>
      </w:r>
      <w:r w:rsidR="006D63B2" w:rsidRPr="000B08C8">
        <w:t>.</w:t>
      </w:r>
      <w:r w:rsidR="00F76556" w:rsidRPr="00F76556">
        <w:t xml:space="preserve"> </w:t>
      </w:r>
      <w:r w:rsidR="00F733FE">
        <w:t>Dehydrogenation</w:t>
      </w:r>
      <w:r w:rsidR="00F76556">
        <w:t xml:space="preserve"> is less energy-intensive compared to other hydrogen carriers, such as NH</w:t>
      </w:r>
      <w:r w:rsidR="00F76556" w:rsidRPr="00F76556">
        <w:rPr>
          <w:vertAlign w:val="subscript"/>
        </w:rPr>
        <w:t>3</w:t>
      </w:r>
      <w:r w:rsidR="00F76556">
        <w:t xml:space="preserve"> or </w:t>
      </w:r>
      <w:r w:rsidR="005D49DE">
        <w:t>toluene</w:t>
      </w:r>
      <w:r w:rsidR="00F76556">
        <w:t>, which often require more complex and energy-consuming processes.</w:t>
      </w:r>
    </w:p>
    <w:p w14:paraId="7B7FEB30" w14:textId="67D8D5D7" w:rsidR="000B08C8" w:rsidRDefault="005D49DE" w:rsidP="005D49DE">
      <w:pPr>
        <w:pStyle w:val="CETBodytext"/>
      </w:pPr>
      <w:r>
        <w:t xml:space="preserve">Since </w:t>
      </w:r>
      <w:r w:rsidR="00F76556">
        <w:t>CO</w:t>
      </w:r>
      <w:r w:rsidR="00F76556" w:rsidRPr="005D49DE">
        <w:rPr>
          <w:vertAlign w:val="subscript"/>
        </w:rPr>
        <w:t>2</w:t>
      </w:r>
      <w:r w:rsidR="00F76556">
        <w:t xml:space="preserve"> </w:t>
      </w:r>
      <w:r>
        <w:t xml:space="preserve">is </w:t>
      </w:r>
      <w:r w:rsidR="00F76556">
        <w:t>released during the dehydrogenation stage</w:t>
      </w:r>
      <w:r>
        <w:t>, in view of improving the carrier carbon footprint, research efforts are devoted to enable the synthesis reaction</w:t>
      </w:r>
      <w:r w:rsidR="000B08C8">
        <w:t xml:space="preserve"> from renewable sources, such as biomass or CO</w:t>
      </w:r>
      <w:r w:rsidR="000B08C8">
        <w:rPr>
          <w:rFonts w:ascii="Cambria Math" w:hAnsi="Cambria Math" w:cs="Cambria Math"/>
        </w:rPr>
        <w:t>₂</w:t>
      </w:r>
      <w:r>
        <w:t xml:space="preserve"> itself,</w:t>
      </w:r>
      <w:r w:rsidR="000B08C8">
        <w:t xml:space="preserve"> through catalytic hydrogenation. This makes </w:t>
      </w:r>
      <w:r>
        <w:t>formic acid</w:t>
      </w:r>
      <w:r w:rsidR="000B08C8">
        <w:t xml:space="preserve"> a sustainable option for hydrogen storage, unlike fossil fuel-derived hydrogen carriers</w:t>
      </w:r>
      <w:r>
        <w:t>. The H</w:t>
      </w:r>
      <w:r w:rsidRPr="005D49DE">
        <w:rPr>
          <w:vertAlign w:val="subscript"/>
        </w:rPr>
        <w:t>2</w:t>
      </w:r>
      <w:r>
        <w:t xml:space="preserve"> value chain with formic acid as hydrogen carrier, synthetized from captured CO</w:t>
      </w:r>
      <w:r w:rsidRPr="005D49DE">
        <w:rPr>
          <w:vertAlign w:val="subscript"/>
        </w:rPr>
        <w:t>2</w:t>
      </w:r>
      <w:r>
        <w:t>, is depicted in Figure 1.</w:t>
      </w:r>
      <w:r w:rsidR="000B08C8">
        <w:t xml:space="preserve"> </w:t>
      </w:r>
    </w:p>
    <w:p w14:paraId="32C7D60D" w14:textId="7CDB7A63" w:rsidR="00F76556" w:rsidRPr="00B57B36" w:rsidRDefault="00E62E22" w:rsidP="00425668">
      <w:pPr>
        <w:pStyle w:val="CETBodytextItalic"/>
      </w:pPr>
      <w:r w:rsidRPr="00E62E22">
        <w:rPr>
          <w:noProof/>
        </w:rPr>
        <w:drawing>
          <wp:inline distT="0" distB="0" distL="0" distR="0" wp14:anchorId="4B3F5F8B" wp14:editId="4B49800B">
            <wp:extent cx="5588812" cy="1019916"/>
            <wp:effectExtent l="0" t="0" r="0" b="0"/>
            <wp:docPr id="19169502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723" t="6040" r="1737" b="11409"/>
                    <a:stretch/>
                  </pic:blipFill>
                  <pic:spPr bwMode="auto">
                    <a:xfrm>
                      <a:off x="0" y="0"/>
                      <a:ext cx="5674983" cy="1035642"/>
                    </a:xfrm>
                    <a:prstGeom prst="rect">
                      <a:avLst/>
                    </a:prstGeom>
                    <a:noFill/>
                    <a:ln>
                      <a:noFill/>
                    </a:ln>
                    <a:extLst>
                      <a:ext uri="{53640926-AAD7-44D8-BBD7-CCE9431645EC}">
                        <a14:shadowObscured xmlns:a14="http://schemas.microsoft.com/office/drawing/2010/main"/>
                      </a:ext>
                    </a:extLst>
                  </pic:spPr>
                </pic:pic>
              </a:graphicData>
            </a:graphic>
          </wp:inline>
        </w:drawing>
      </w:r>
    </w:p>
    <w:p w14:paraId="376B7B80" w14:textId="3DA29091" w:rsidR="00F76556" w:rsidRPr="00BD077D" w:rsidRDefault="00F76556" w:rsidP="00F76556">
      <w:pPr>
        <w:pStyle w:val="CETCaption"/>
      </w:pPr>
      <w:r w:rsidRPr="00BD077D">
        <w:rPr>
          <w:rStyle w:val="CETCaptionCarattere"/>
          <w:i/>
        </w:rPr>
        <w:t xml:space="preserve">Figure 1: </w:t>
      </w:r>
      <w:r>
        <w:rPr>
          <w:rStyle w:val="CETCaptionCarattere"/>
          <w:i/>
        </w:rPr>
        <w:t>H</w:t>
      </w:r>
      <w:r w:rsidRPr="00F76556">
        <w:rPr>
          <w:rStyle w:val="CETCaptionCarattere"/>
          <w:i/>
          <w:vertAlign w:val="subscript"/>
        </w:rPr>
        <w:t>2</w:t>
      </w:r>
      <w:r>
        <w:rPr>
          <w:rStyle w:val="CETCaptionCarattere"/>
          <w:i/>
        </w:rPr>
        <w:t xml:space="preserve"> value chain considering formic acid as H</w:t>
      </w:r>
      <w:r w:rsidRPr="00F76556">
        <w:rPr>
          <w:rStyle w:val="CETCaptionCarattere"/>
          <w:i/>
          <w:vertAlign w:val="subscript"/>
        </w:rPr>
        <w:t>2</w:t>
      </w:r>
      <w:r>
        <w:rPr>
          <w:rStyle w:val="CETCaptionCarattere"/>
          <w:i/>
        </w:rPr>
        <w:t xml:space="preserve"> carrier. Long distance harbour-to-harbour scenario.</w:t>
      </w:r>
      <w:r w:rsidRPr="00BD077D">
        <w:t xml:space="preserve"> </w:t>
      </w:r>
    </w:p>
    <w:p w14:paraId="0FF135BB" w14:textId="1B562B45" w:rsidR="00F76556" w:rsidRDefault="00F76556" w:rsidP="006D63B2">
      <w:pPr>
        <w:pStyle w:val="CETBodytext"/>
      </w:pPr>
      <w:r>
        <w:t xml:space="preserve">Due to the straightforward nature of dehydrogenation </w:t>
      </w:r>
      <w:r w:rsidR="005D49DE">
        <w:t>stage</w:t>
      </w:r>
      <w:r>
        <w:t xml:space="preserve">, the </w:t>
      </w:r>
      <w:r w:rsidR="005D49DE">
        <w:t>tiebreaker of formic acid implementation at large scale</w:t>
      </w:r>
      <w:r>
        <w:t xml:space="preserve"> is the </w:t>
      </w:r>
      <w:r w:rsidR="00C82261">
        <w:t xml:space="preserve">effectiveness of the </w:t>
      </w:r>
      <w:r>
        <w:t xml:space="preserve">synthesis stage, which is </w:t>
      </w:r>
      <w:r w:rsidR="00C82261">
        <w:t>deepened</w:t>
      </w:r>
      <w:r>
        <w:t xml:space="preserve"> in section 1.1.</w:t>
      </w:r>
    </w:p>
    <w:p w14:paraId="61A9B77A" w14:textId="5B915609" w:rsidR="00600535" w:rsidRPr="00B57B36" w:rsidRDefault="000B08C8" w:rsidP="00FA5F5F">
      <w:pPr>
        <w:pStyle w:val="CETheadingx"/>
      </w:pPr>
      <w:r>
        <w:t>Formic acid production</w:t>
      </w:r>
    </w:p>
    <w:p w14:paraId="10FD7B22" w14:textId="58A914E1" w:rsidR="00D468DD" w:rsidRDefault="001B3682" w:rsidP="00F76556">
      <w:pPr>
        <w:pStyle w:val="CETBodytext"/>
      </w:pPr>
      <w:r>
        <w:t>The state-of-the-art production method</w:t>
      </w:r>
      <w:r w:rsidR="0038036E">
        <w:t xml:space="preserve"> </w:t>
      </w:r>
      <w:r>
        <w:t>at</w:t>
      </w:r>
      <w:r w:rsidR="0038036E">
        <w:t xml:space="preserve"> industrial-scale is the </w:t>
      </w:r>
      <w:r w:rsidR="00056B4A">
        <w:t xml:space="preserve">well-established </w:t>
      </w:r>
      <w:r w:rsidR="0038036E">
        <w:t>carbonylation of methanol</w:t>
      </w:r>
      <w:r w:rsidR="00D468DD">
        <w:t>, which is a two-stage process occurring via reactions (1) and (2)</w:t>
      </w:r>
      <w:r w:rsidR="00DD4CBC">
        <w:t xml:space="preserve"> (</w:t>
      </w:r>
      <w:proofErr w:type="spellStart"/>
      <w:r w:rsidR="00DD4CBC">
        <w:t>Bulushev</w:t>
      </w:r>
      <w:proofErr w:type="spellEnd"/>
      <w:r w:rsidR="00DD4CBC">
        <w:t xml:space="preserve"> and Ross, 2018)</w:t>
      </w:r>
      <w:r w:rsidR="00D468DD">
        <w:t xml:space="preserve">. </w:t>
      </w:r>
    </w:p>
    <w:p w14:paraId="5EB87FD3" w14:textId="5FB4DEB0" w:rsidR="00D468DD" w:rsidRDefault="00D468DD" w:rsidP="00D468DD">
      <w:pPr>
        <w:pStyle w:val="CETBodytext"/>
      </w:pPr>
      <w:r>
        <w:t>R</w:t>
      </w:r>
      <w:r w:rsidR="00056B4A">
        <w:t>eaction (1)</w:t>
      </w:r>
      <w:r>
        <w:t xml:space="preserve"> is operated at high pressure (4 MPa), but at relatively low temperatures </w:t>
      </w:r>
      <w:r w:rsidR="0026329E">
        <w:t>(</w:t>
      </w:r>
      <w:r w:rsidR="00FA5603">
        <w:t>80°C</w:t>
      </w:r>
      <w:r w:rsidR="0026329E">
        <w:t>)</w:t>
      </w:r>
      <w:r>
        <w:t>, with a selectivity</w:t>
      </w:r>
    </w:p>
    <w:p w14:paraId="27BB5FCF" w14:textId="2E4416B2" w:rsidR="0026329E" w:rsidRDefault="00D468DD" w:rsidP="0026329E">
      <w:pPr>
        <w:pStyle w:val="CETBodytext"/>
      </w:pPr>
      <w:r>
        <w:t>of 96%</w:t>
      </w:r>
      <w:r w:rsidR="00056B4A">
        <w:t xml:space="preserve"> </w:t>
      </w:r>
      <w:r w:rsidR="0026329E">
        <w:t xml:space="preserve">in the presence of a strong base (sodium methoxide). The second step is the hydrolysis of methyl </w:t>
      </w:r>
      <w:proofErr w:type="spellStart"/>
      <w:r w:rsidR="0026329E">
        <w:t>formate</w:t>
      </w:r>
      <w:proofErr w:type="spellEnd"/>
      <w:r w:rsidR="0026329E">
        <w:t xml:space="preserve"> to produce formic acid at high concentration (up to 98%) and methanol, which can be recycled back to stage (1).</w:t>
      </w:r>
    </w:p>
    <w:tbl>
      <w:tblPr>
        <w:tblW w:w="5000" w:type="pct"/>
        <w:tblLook w:val="04A0" w:firstRow="1" w:lastRow="0" w:firstColumn="1" w:lastColumn="0" w:noHBand="0" w:noVBand="1"/>
      </w:tblPr>
      <w:tblGrid>
        <w:gridCol w:w="7983"/>
        <w:gridCol w:w="804"/>
      </w:tblGrid>
      <w:tr w:rsidR="00056B4A" w:rsidRPr="00B57B36" w14:paraId="0354F337" w14:textId="77777777" w:rsidTr="00056B4A">
        <w:tc>
          <w:tcPr>
            <w:tcW w:w="7983" w:type="dxa"/>
            <w:shd w:val="clear" w:color="auto" w:fill="auto"/>
            <w:vAlign w:val="center"/>
          </w:tcPr>
          <w:p w14:paraId="3342D282" w14:textId="5AEC0DAF" w:rsidR="00056B4A" w:rsidRPr="00B57B36" w:rsidRDefault="00056B4A" w:rsidP="00056B4A">
            <w:pPr>
              <w:pStyle w:val="CETEquation"/>
            </w:pPr>
            <w:r>
              <w:t>CH</w:t>
            </w:r>
            <w:r w:rsidRPr="00056B4A">
              <w:rPr>
                <w:vertAlign w:val="subscript"/>
              </w:rPr>
              <w:t>3</w:t>
            </w:r>
            <w:r>
              <w:t xml:space="preserve">OH + CO </w:t>
            </w:r>
            <w:r>
              <w:sym w:font="Wingdings" w:char="F0E0"/>
            </w:r>
            <w:r>
              <w:t xml:space="preserve"> </w:t>
            </w:r>
            <w:r w:rsidR="0026329E">
              <w:t>HCOOCH</w:t>
            </w:r>
            <w:r w:rsidR="0026329E" w:rsidRPr="0026329E">
              <w:rPr>
                <w:vertAlign w:val="subscript"/>
              </w:rPr>
              <w:t>3</w:t>
            </w:r>
          </w:p>
        </w:tc>
        <w:tc>
          <w:tcPr>
            <w:tcW w:w="804" w:type="dxa"/>
            <w:shd w:val="clear" w:color="auto" w:fill="auto"/>
            <w:vAlign w:val="center"/>
          </w:tcPr>
          <w:p w14:paraId="2592946D" w14:textId="77777777" w:rsidR="00056B4A" w:rsidRPr="00B57B36" w:rsidRDefault="00056B4A" w:rsidP="00B60A51">
            <w:pPr>
              <w:pStyle w:val="CETEquation"/>
              <w:jc w:val="right"/>
            </w:pPr>
            <w:r w:rsidRPr="00B57B36">
              <w:t>(1)</w:t>
            </w:r>
          </w:p>
        </w:tc>
      </w:tr>
      <w:tr w:rsidR="0026329E" w:rsidRPr="00B57B36" w14:paraId="16D5250B" w14:textId="77777777" w:rsidTr="00056B4A">
        <w:tc>
          <w:tcPr>
            <w:tcW w:w="7983" w:type="dxa"/>
            <w:shd w:val="clear" w:color="auto" w:fill="auto"/>
            <w:vAlign w:val="center"/>
          </w:tcPr>
          <w:p w14:paraId="19D176C0" w14:textId="17887352" w:rsidR="0026329E" w:rsidRPr="0026329E" w:rsidRDefault="0026329E" w:rsidP="00056B4A">
            <w:pPr>
              <w:pStyle w:val="CETEquation"/>
            </w:pPr>
            <w:r>
              <w:t>HCOOCH</w:t>
            </w:r>
            <w:r w:rsidRPr="0026329E">
              <w:rPr>
                <w:vertAlign w:val="subscript"/>
              </w:rPr>
              <w:t>3</w:t>
            </w:r>
            <w:r>
              <w:t xml:space="preserve"> + H2O </w:t>
            </w:r>
            <w:r>
              <w:sym w:font="Wingdings" w:char="F0E0"/>
            </w:r>
            <w:r>
              <w:t xml:space="preserve"> HCOOH + CH</w:t>
            </w:r>
            <w:r w:rsidRPr="00056B4A">
              <w:rPr>
                <w:vertAlign w:val="subscript"/>
              </w:rPr>
              <w:t>3</w:t>
            </w:r>
            <w:r>
              <w:t>OH</w:t>
            </w:r>
          </w:p>
        </w:tc>
        <w:tc>
          <w:tcPr>
            <w:tcW w:w="804" w:type="dxa"/>
            <w:shd w:val="clear" w:color="auto" w:fill="auto"/>
            <w:vAlign w:val="center"/>
          </w:tcPr>
          <w:p w14:paraId="13C5658A" w14:textId="0D925F57" w:rsidR="0026329E" w:rsidRPr="00B57B36" w:rsidRDefault="00DD4CBC" w:rsidP="00B60A51">
            <w:pPr>
              <w:pStyle w:val="CETEquation"/>
              <w:jc w:val="right"/>
            </w:pPr>
            <w:r>
              <w:t>(2)</w:t>
            </w:r>
          </w:p>
        </w:tc>
      </w:tr>
    </w:tbl>
    <w:p w14:paraId="58781434" w14:textId="40A34944" w:rsidR="0038036E" w:rsidRDefault="00886DE6" w:rsidP="003413CB">
      <w:pPr>
        <w:pStyle w:val="CETBodytext"/>
      </w:pPr>
      <w:r>
        <w:t xml:space="preserve">Despite the good process </w:t>
      </w:r>
      <w:r w:rsidR="008250D6">
        <w:t>performance</w:t>
      </w:r>
      <w:r w:rsidR="000908B3">
        <w:t xml:space="preserve">, formic acid production </w:t>
      </w:r>
      <w:r>
        <w:t>through</w:t>
      </w:r>
      <w:r w:rsidR="000908B3">
        <w:t xml:space="preserve"> </w:t>
      </w:r>
      <w:r w:rsidR="00FA670F">
        <w:t>methanol carbonylation</w:t>
      </w:r>
      <w:r w:rsidR="000908B3">
        <w:t xml:space="preserve"> </w:t>
      </w:r>
      <w:r w:rsidR="001B3682">
        <w:t xml:space="preserve">is not </w:t>
      </w:r>
      <w:r w:rsidR="00FA670F">
        <w:t>a good choice</w:t>
      </w:r>
      <w:r w:rsidR="001B3682">
        <w:t xml:space="preserve"> for its implementation as H</w:t>
      </w:r>
      <w:r w:rsidR="001B3682" w:rsidRPr="001B3682">
        <w:rPr>
          <w:vertAlign w:val="subscript"/>
        </w:rPr>
        <w:t>2</w:t>
      </w:r>
      <w:r w:rsidR="001B3682">
        <w:t xml:space="preserve"> carrier.</w:t>
      </w:r>
      <w:r w:rsidR="000908B3">
        <w:t xml:space="preserve"> </w:t>
      </w:r>
      <w:r w:rsidR="001B3682">
        <w:t>S</w:t>
      </w:r>
      <w:r w:rsidR="000908B3">
        <w:t>ince CH</w:t>
      </w:r>
      <w:r w:rsidR="000908B3" w:rsidRPr="003413CB">
        <w:rPr>
          <w:vertAlign w:val="subscript"/>
        </w:rPr>
        <w:t>3</w:t>
      </w:r>
      <w:r w:rsidR="000908B3">
        <w:t>OH is required</w:t>
      </w:r>
      <w:r w:rsidR="001B3682">
        <w:t xml:space="preserve"> as raw material, it would be more practical to consider CH</w:t>
      </w:r>
      <w:r w:rsidR="001B3682" w:rsidRPr="00FA5603">
        <w:rPr>
          <w:vertAlign w:val="subscript"/>
        </w:rPr>
        <w:t>3</w:t>
      </w:r>
      <w:r w:rsidR="001B3682">
        <w:t xml:space="preserve">OH </w:t>
      </w:r>
      <w:r w:rsidR="00FA670F">
        <w:t>itself as H</w:t>
      </w:r>
      <w:r w:rsidR="00FA670F" w:rsidRPr="00FA670F">
        <w:rPr>
          <w:vertAlign w:val="subscript"/>
        </w:rPr>
        <w:t>2</w:t>
      </w:r>
      <w:r w:rsidR="00FA670F">
        <w:t xml:space="preserve"> carrier</w:t>
      </w:r>
      <w:r w:rsidR="001B3682">
        <w:t>, rather than HCOOH</w:t>
      </w:r>
      <w:r w:rsidR="000908B3">
        <w:t xml:space="preserve">. </w:t>
      </w:r>
    </w:p>
    <w:p w14:paraId="1708BBB3" w14:textId="71D66D42" w:rsidR="00F76556" w:rsidRDefault="000908B3" w:rsidP="003413CB">
      <w:pPr>
        <w:pStyle w:val="CETBodytext"/>
      </w:pPr>
      <w:r>
        <w:t>More</w:t>
      </w:r>
      <w:r w:rsidR="00210F7B">
        <w:t xml:space="preserve"> sustainable approach</w:t>
      </w:r>
      <w:r>
        <w:t>es</w:t>
      </w:r>
      <w:r w:rsidR="00210F7B">
        <w:t xml:space="preserve"> </w:t>
      </w:r>
      <w:r>
        <w:t xml:space="preserve">for HCOOH synthesis are </w:t>
      </w:r>
      <w:r w:rsidR="001B3682">
        <w:t>being explored and summarized</w:t>
      </w:r>
      <w:r>
        <w:t xml:space="preserve"> in </w:t>
      </w:r>
      <w:r w:rsidR="00F76556">
        <w:t xml:space="preserve">Table </w:t>
      </w:r>
      <w:r w:rsidR="002412DE">
        <w:t>2</w:t>
      </w:r>
      <w:r w:rsidR="00F76556">
        <w:t xml:space="preserve">, </w:t>
      </w:r>
      <w:r w:rsidR="003413CB">
        <w:t>together with</w:t>
      </w:r>
      <w:r w:rsidR="00F76556">
        <w:t xml:space="preserve"> the related technology readiness level (TRL). </w:t>
      </w:r>
    </w:p>
    <w:p w14:paraId="46EA112C" w14:textId="1EDA9C72" w:rsidR="00F76556" w:rsidRPr="00B57B36" w:rsidRDefault="00F76556" w:rsidP="00F76556">
      <w:pPr>
        <w:pStyle w:val="CETTabletitle"/>
      </w:pPr>
      <w:r w:rsidRPr="00B57B36">
        <w:t xml:space="preserve">Table </w:t>
      </w:r>
      <w:r w:rsidR="003413CB">
        <w:t>2</w:t>
      </w:r>
      <w:r w:rsidRPr="00B57B36">
        <w:t xml:space="preserve">: </w:t>
      </w:r>
      <w:r w:rsidR="003413CB">
        <w:t>Proposed formic acid production pathway and related TRL</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344"/>
        <w:gridCol w:w="992"/>
        <w:gridCol w:w="2058"/>
      </w:tblGrid>
      <w:tr w:rsidR="0027659B" w:rsidRPr="00B57B36" w14:paraId="303BD247" w14:textId="77777777" w:rsidTr="00E949F1">
        <w:tc>
          <w:tcPr>
            <w:tcW w:w="3896" w:type="dxa"/>
            <w:gridSpan w:val="2"/>
            <w:tcBorders>
              <w:top w:val="single" w:sz="12" w:space="0" w:color="008000"/>
              <w:bottom w:val="single" w:sz="6" w:space="0" w:color="008000"/>
            </w:tcBorders>
            <w:shd w:val="clear" w:color="auto" w:fill="FFFFFF"/>
            <w:vAlign w:val="center"/>
          </w:tcPr>
          <w:p w14:paraId="3B2CE540" w14:textId="03F43D79" w:rsidR="0027659B" w:rsidRDefault="0027659B" w:rsidP="0027659B">
            <w:pPr>
              <w:pStyle w:val="CETBodytext"/>
              <w:jc w:val="left"/>
              <w:rPr>
                <w:lang w:val="en-GB"/>
              </w:rPr>
            </w:pPr>
            <w:r>
              <w:rPr>
                <w:lang w:val="en-GB"/>
              </w:rPr>
              <w:t>Production pathway</w:t>
            </w:r>
          </w:p>
        </w:tc>
        <w:tc>
          <w:tcPr>
            <w:tcW w:w="992" w:type="dxa"/>
            <w:tcBorders>
              <w:top w:val="single" w:sz="12" w:space="0" w:color="008000"/>
              <w:bottom w:val="single" w:sz="6" w:space="0" w:color="008000"/>
            </w:tcBorders>
            <w:shd w:val="clear" w:color="auto" w:fill="FFFFFF"/>
          </w:tcPr>
          <w:p w14:paraId="7CECD220" w14:textId="0E53AD52" w:rsidR="0027659B" w:rsidRPr="00B57B36" w:rsidRDefault="0027659B" w:rsidP="00B60A51">
            <w:pPr>
              <w:pStyle w:val="CETBodytext"/>
              <w:jc w:val="center"/>
              <w:rPr>
                <w:lang w:val="en-GB"/>
              </w:rPr>
            </w:pPr>
            <w:r>
              <w:rPr>
                <w:lang w:val="en-GB"/>
              </w:rPr>
              <w:t>TRL</w:t>
            </w:r>
          </w:p>
        </w:tc>
        <w:tc>
          <w:tcPr>
            <w:tcW w:w="2058" w:type="dxa"/>
            <w:tcBorders>
              <w:top w:val="single" w:sz="12" w:space="0" w:color="008000"/>
              <w:bottom w:val="single" w:sz="6" w:space="0" w:color="008000"/>
            </w:tcBorders>
            <w:shd w:val="clear" w:color="auto" w:fill="FFFFFF"/>
          </w:tcPr>
          <w:p w14:paraId="2446190D" w14:textId="77777777" w:rsidR="0027659B" w:rsidRDefault="0027659B" w:rsidP="00B60A51">
            <w:pPr>
              <w:pStyle w:val="CETBodytext"/>
              <w:jc w:val="center"/>
              <w:rPr>
                <w:lang w:val="en-GB"/>
              </w:rPr>
            </w:pPr>
            <w:r>
              <w:rPr>
                <w:lang w:val="en-GB"/>
              </w:rPr>
              <w:t>Reference</w:t>
            </w:r>
          </w:p>
        </w:tc>
      </w:tr>
      <w:tr w:rsidR="00F00649" w:rsidRPr="00B57B36" w14:paraId="4ACCDCFD" w14:textId="77777777" w:rsidTr="00627FE3">
        <w:tc>
          <w:tcPr>
            <w:tcW w:w="2552" w:type="dxa"/>
            <w:vMerge w:val="restart"/>
            <w:shd w:val="clear" w:color="auto" w:fill="FFFFFF"/>
            <w:vAlign w:val="center"/>
          </w:tcPr>
          <w:p w14:paraId="01FEBD5F" w14:textId="669B0DEE" w:rsidR="00F00649" w:rsidRPr="00B57B36" w:rsidRDefault="00F00649" w:rsidP="00F00649">
            <w:pPr>
              <w:pStyle w:val="CETBodytext"/>
              <w:jc w:val="left"/>
              <w:rPr>
                <w:lang w:val="en-GB"/>
              </w:rPr>
            </w:pPr>
            <w:r>
              <w:rPr>
                <w:lang w:val="en-GB"/>
              </w:rPr>
              <w:t>catalytic CO</w:t>
            </w:r>
            <w:r w:rsidRPr="003413CB">
              <w:rPr>
                <w:vertAlign w:val="subscript"/>
                <w:lang w:val="en-GB"/>
              </w:rPr>
              <w:t>2</w:t>
            </w:r>
            <w:r>
              <w:rPr>
                <w:lang w:val="en-GB"/>
              </w:rPr>
              <w:t xml:space="preserve"> hydrogenation</w:t>
            </w:r>
          </w:p>
        </w:tc>
        <w:tc>
          <w:tcPr>
            <w:tcW w:w="1344" w:type="dxa"/>
            <w:shd w:val="clear" w:color="auto" w:fill="FFFFFF"/>
          </w:tcPr>
          <w:p w14:paraId="3DF7B666" w14:textId="7081CE44" w:rsidR="00F00649" w:rsidRPr="00B57B36" w:rsidRDefault="00F00649" w:rsidP="00F00649">
            <w:pPr>
              <w:pStyle w:val="CETBodytext"/>
              <w:jc w:val="center"/>
              <w:rPr>
                <w:lang w:val="en-GB"/>
              </w:rPr>
            </w:pPr>
            <w:r>
              <w:rPr>
                <w:lang w:val="en-GB"/>
              </w:rPr>
              <w:t>homogeneous</w:t>
            </w:r>
          </w:p>
        </w:tc>
        <w:tc>
          <w:tcPr>
            <w:tcW w:w="992" w:type="dxa"/>
            <w:shd w:val="clear" w:color="auto" w:fill="FFFFFF"/>
            <w:vAlign w:val="center"/>
          </w:tcPr>
          <w:p w14:paraId="24B3953E" w14:textId="0F2935FA" w:rsidR="00F00649" w:rsidRPr="00B57B36" w:rsidRDefault="00F00649" w:rsidP="00F00649">
            <w:pPr>
              <w:pStyle w:val="CETBodytext"/>
              <w:jc w:val="center"/>
              <w:rPr>
                <w:lang w:val="en-GB"/>
              </w:rPr>
            </w:pPr>
            <w:r>
              <w:rPr>
                <w:rFonts w:cs="Arial"/>
                <w:szCs w:val="18"/>
                <w:lang w:val="en-GB"/>
              </w:rPr>
              <w:t>3-5</w:t>
            </w:r>
          </w:p>
        </w:tc>
        <w:tc>
          <w:tcPr>
            <w:tcW w:w="2058" w:type="dxa"/>
            <w:shd w:val="clear" w:color="auto" w:fill="FFFFFF"/>
          </w:tcPr>
          <w:p w14:paraId="18713A0E" w14:textId="3B085EB5" w:rsidR="00F00649" w:rsidRPr="00B57B36" w:rsidRDefault="00F00649" w:rsidP="00F00649">
            <w:pPr>
              <w:pStyle w:val="CETBodytext"/>
              <w:rPr>
                <w:lang w:val="en-GB"/>
              </w:rPr>
            </w:pPr>
            <w:r>
              <w:rPr>
                <w:rFonts w:cs="Arial"/>
                <w:szCs w:val="18"/>
                <w:lang w:val="en-GB"/>
              </w:rPr>
              <w:t>Perez-Fortes et al., 2016</w:t>
            </w:r>
          </w:p>
        </w:tc>
      </w:tr>
      <w:tr w:rsidR="0027659B" w:rsidRPr="00B57B36" w14:paraId="288A82E3" w14:textId="77777777" w:rsidTr="00E949F1">
        <w:tc>
          <w:tcPr>
            <w:tcW w:w="2552" w:type="dxa"/>
            <w:vMerge/>
            <w:shd w:val="clear" w:color="auto" w:fill="FFFFFF"/>
          </w:tcPr>
          <w:p w14:paraId="1EF0330A" w14:textId="77777777" w:rsidR="0027659B" w:rsidRDefault="0027659B" w:rsidP="00B60A51">
            <w:pPr>
              <w:pStyle w:val="CETBodytext"/>
              <w:rPr>
                <w:lang w:val="en-GB"/>
              </w:rPr>
            </w:pPr>
          </w:p>
        </w:tc>
        <w:tc>
          <w:tcPr>
            <w:tcW w:w="1344" w:type="dxa"/>
            <w:shd w:val="clear" w:color="auto" w:fill="FFFFFF"/>
          </w:tcPr>
          <w:p w14:paraId="724CDA03" w14:textId="01428E7A" w:rsidR="0027659B" w:rsidRPr="00B57B36" w:rsidRDefault="0027659B" w:rsidP="00B60A51">
            <w:pPr>
              <w:pStyle w:val="CETBodytext"/>
              <w:jc w:val="center"/>
              <w:rPr>
                <w:lang w:val="en-GB"/>
              </w:rPr>
            </w:pPr>
            <w:r>
              <w:rPr>
                <w:lang w:val="en-GB"/>
              </w:rPr>
              <w:t>heterogeneous</w:t>
            </w:r>
          </w:p>
        </w:tc>
        <w:tc>
          <w:tcPr>
            <w:tcW w:w="992" w:type="dxa"/>
            <w:shd w:val="clear" w:color="auto" w:fill="FFFFFF"/>
          </w:tcPr>
          <w:p w14:paraId="7FE2BE4D" w14:textId="68171553" w:rsidR="0027659B" w:rsidRPr="00B57B36" w:rsidRDefault="00DE3710" w:rsidP="00B60A51">
            <w:pPr>
              <w:pStyle w:val="CETBodytext"/>
              <w:jc w:val="center"/>
              <w:rPr>
                <w:lang w:val="en-GB"/>
              </w:rPr>
            </w:pPr>
            <w:r>
              <w:rPr>
                <w:lang w:val="en-GB"/>
              </w:rPr>
              <w:t>3-5</w:t>
            </w:r>
          </w:p>
        </w:tc>
        <w:tc>
          <w:tcPr>
            <w:tcW w:w="2058" w:type="dxa"/>
            <w:shd w:val="clear" w:color="auto" w:fill="FFFFFF"/>
          </w:tcPr>
          <w:p w14:paraId="38AB8E9A" w14:textId="113BAE15" w:rsidR="0027659B" w:rsidRPr="00B57B36" w:rsidRDefault="00F00649" w:rsidP="00F00649">
            <w:pPr>
              <w:pStyle w:val="CETBodytext"/>
              <w:jc w:val="center"/>
              <w:rPr>
                <w:lang w:val="en-GB"/>
              </w:rPr>
            </w:pPr>
            <w:r>
              <w:rPr>
                <w:lang w:val="en-GB"/>
              </w:rPr>
              <w:t>Chen et al., 2020</w:t>
            </w:r>
          </w:p>
        </w:tc>
      </w:tr>
      <w:tr w:rsidR="00FA670F" w:rsidRPr="00B57B36" w14:paraId="251D633C" w14:textId="77777777" w:rsidTr="00E949F1">
        <w:tc>
          <w:tcPr>
            <w:tcW w:w="3896" w:type="dxa"/>
            <w:gridSpan w:val="2"/>
            <w:shd w:val="clear" w:color="auto" w:fill="FFFFFF"/>
          </w:tcPr>
          <w:p w14:paraId="0AD553EE" w14:textId="36AEFEB5" w:rsidR="00FA670F" w:rsidRPr="00B57B36" w:rsidRDefault="00141DA9" w:rsidP="00B60A51">
            <w:pPr>
              <w:pStyle w:val="CETBodytext"/>
              <w:ind w:right="-1"/>
              <w:rPr>
                <w:rFonts w:cs="Arial"/>
                <w:szCs w:val="18"/>
                <w:lang w:val="en-GB"/>
              </w:rPr>
            </w:pPr>
            <w:r>
              <w:t>e</w:t>
            </w:r>
            <w:r w:rsidR="00FA670F">
              <w:t>lectrochemical CO</w:t>
            </w:r>
            <w:r w:rsidR="00FA670F">
              <w:rPr>
                <w:rFonts w:ascii="Cambria Math" w:hAnsi="Cambria Math" w:cs="Cambria Math"/>
              </w:rPr>
              <w:t>₂</w:t>
            </w:r>
            <w:r w:rsidR="00FA670F">
              <w:t xml:space="preserve"> reduction</w:t>
            </w:r>
          </w:p>
        </w:tc>
        <w:tc>
          <w:tcPr>
            <w:tcW w:w="992" w:type="dxa"/>
            <w:shd w:val="clear" w:color="auto" w:fill="FFFFFF"/>
            <w:vAlign w:val="center"/>
          </w:tcPr>
          <w:p w14:paraId="36C60111" w14:textId="1BE68C20" w:rsidR="00FA670F" w:rsidRPr="00B57B36" w:rsidRDefault="00E949F1" w:rsidP="00FA670F">
            <w:pPr>
              <w:pStyle w:val="CETBodytext"/>
              <w:ind w:right="-1"/>
              <w:jc w:val="center"/>
              <w:rPr>
                <w:rFonts w:cs="Arial"/>
                <w:szCs w:val="18"/>
                <w:lang w:val="en-GB"/>
              </w:rPr>
            </w:pPr>
            <w:r>
              <w:rPr>
                <w:rFonts w:cs="Arial"/>
                <w:szCs w:val="18"/>
                <w:lang w:val="en-GB"/>
              </w:rPr>
              <w:t>3-5</w:t>
            </w:r>
          </w:p>
        </w:tc>
        <w:tc>
          <w:tcPr>
            <w:tcW w:w="2058" w:type="dxa"/>
            <w:shd w:val="clear" w:color="auto" w:fill="FFFFFF"/>
          </w:tcPr>
          <w:p w14:paraId="6523AFD5" w14:textId="67A3BAB8" w:rsidR="00FA670F" w:rsidRPr="00B57B36" w:rsidRDefault="00E949F1" w:rsidP="00B60A51">
            <w:pPr>
              <w:pStyle w:val="CETBodytext"/>
              <w:ind w:right="-1"/>
              <w:rPr>
                <w:rFonts w:cs="Arial"/>
                <w:szCs w:val="18"/>
                <w:lang w:val="en-GB"/>
              </w:rPr>
            </w:pPr>
            <w:r>
              <w:rPr>
                <w:rFonts w:cs="Arial"/>
                <w:szCs w:val="18"/>
                <w:lang w:val="en-GB"/>
              </w:rPr>
              <w:t>Perez-Fortes et al., 2016</w:t>
            </w:r>
          </w:p>
        </w:tc>
      </w:tr>
      <w:tr w:rsidR="00FA670F" w:rsidRPr="00B57B36" w14:paraId="6D2387A8" w14:textId="77777777" w:rsidTr="00E949F1">
        <w:tc>
          <w:tcPr>
            <w:tcW w:w="3896" w:type="dxa"/>
            <w:gridSpan w:val="2"/>
            <w:shd w:val="clear" w:color="auto" w:fill="FFFFFF"/>
          </w:tcPr>
          <w:p w14:paraId="18CB408A" w14:textId="0737A22D" w:rsidR="00FA670F" w:rsidRPr="00B57B36" w:rsidRDefault="00141DA9" w:rsidP="00B60A51">
            <w:pPr>
              <w:pStyle w:val="CETBodytext"/>
              <w:ind w:right="-1"/>
              <w:rPr>
                <w:rFonts w:cs="Arial"/>
                <w:szCs w:val="18"/>
                <w:lang w:val="en-GB"/>
              </w:rPr>
            </w:pPr>
            <w:r>
              <w:t>b</w:t>
            </w:r>
            <w:r w:rsidR="00FA670F">
              <w:t xml:space="preserve">iological </w:t>
            </w:r>
          </w:p>
        </w:tc>
        <w:tc>
          <w:tcPr>
            <w:tcW w:w="992" w:type="dxa"/>
            <w:shd w:val="clear" w:color="auto" w:fill="FFFFFF"/>
            <w:vAlign w:val="center"/>
          </w:tcPr>
          <w:p w14:paraId="6036F6C5" w14:textId="2F709505" w:rsidR="00FA670F" w:rsidRPr="00B57B36" w:rsidRDefault="00DE3710" w:rsidP="00FA670F">
            <w:pPr>
              <w:pStyle w:val="CETBodytext"/>
              <w:ind w:right="-1"/>
              <w:jc w:val="center"/>
              <w:rPr>
                <w:rFonts w:cs="Arial"/>
                <w:szCs w:val="18"/>
                <w:lang w:val="en-GB"/>
              </w:rPr>
            </w:pPr>
            <w:r>
              <w:rPr>
                <w:rFonts w:cs="Arial"/>
                <w:szCs w:val="18"/>
                <w:lang w:val="en-GB"/>
              </w:rPr>
              <w:t>1-3</w:t>
            </w:r>
          </w:p>
        </w:tc>
        <w:tc>
          <w:tcPr>
            <w:tcW w:w="2058" w:type="dxa"/>
            <w:shd w:val="clear" w:color="auto" w:fill="FFFFFF"/>
          </w:tcPr>
          <w:p w14:paraId="37A5C280" w14:textId="696179A1" w:rsidR="00FA670F" w:rsidRPr="00B57B36" w:rsidRDefault="00DE3710" w:rsidP="00DE3710">
            <w:pPr>
              <w:pStyle w:val="CETBodytext"/>
              <w:ind w:right="-1"/>
              <w:jc w:val="center"/>
              <w:rPr>
                <w:rFonts w:cs="Arial"/>
                <w:szCs w:val="18"/>
                <w:lang w:val="en-GB"/>
              </w:rPr>
            </w:pPr>
            <w:r>
              <w:t>Schwarz et al., 2022</w:t>
            </w:r>
          </w:p>
        </w:tc>
      </w:tr>
      <w:tr w:rsidR="00FA670F" w:rsidRPr="00B57B36" w14:paraId="6704DDD0" w14:textId="77777777" w:rsidTr="00E949F1">
        <w:tc>
          <w:tcPr>
            <w:tcW w:w="3896" w:type="dxa"/>
            <w:gridSpan w:val="2"/>
            <w:shd w:val="clear" w:color="auto" w:fill="FFFFFF"/>
          </w:tcPr>
          <w:p w14:paraId="3328F0B2" w14:textId="5E7B44FB" w:rsidR="00FA670F" w:rsidRPr="00B57B36" w:rsidRDefault="00FA670F" w:rsidP="00B60A51">
            <w:pPr>
              <w:pStyle w:val="CETBodytext"/>
              <w:ind w:right="-1"/>
              <w:rPr>
                <w:rFonts w:cs="Arial"/>
                <w:szCs w:val="18"/>
                <w:lang w:val="en-GB"/>
              </w:rPr>
            </w:pPr>
            <w:r>
              <w:t>direct oxidation of biomass</w:t>
            </w:r>
          </w:p>
        </w:tc>
        <w:tc>
          <w:tcPr>
            <w:tcW w:w="992" w:type="dxa"/>
            <w:shd w:val="clear" w:color="auto" w:fill="FFFFFF"/>
            <w:vAlign w:val="center"/>
          </w:tcPr>
          <w:p w14:paraId="45607C7F" w14:textId="1F4CC108" w:rsidR="00FA670F" w:rsidRPr="00B57B36" w:rsidRDefault="00DE3710" w:rsidP="00FA670F">
            <w:pPr>
              <w:pStyle w:val="CETBodytext"/>
              <w:ind w:right="-1"/>
              <w:jc w:val="center"/>
              <w:rPr>
                <w:rFonts w:cs="Arial"/>
                <w:szCs w:val="18"/>
                <w:lang w:val="en-GB"/>
              </w:rPr>
            </w:pPr>
            <w:r>
              <w:rPr>
                <w:rFonts w:cs="Arial"/>
                <w:szCs w:val="18"/>
                <w:lang w:val="en-GB"/>
              </w:rPr>
              <w:t>1-3</w:t>
            </w:r>
          </w:p>
        </w:tc>
        <w:tc>
          <w:tcPr>
            <w:tcW w:w="2058" w:type="dxa"/>
            <w:shd w:val="clear" w:color="auto" w:fill="FFFFFF"/>
          </w:tcPr>
          <w:p w14:paraId="2194DD92" w14:textId="5F41E992" w:rsidR="00FA670F" w:rsidRPr="00B57B36" w:rsidRDefault="00D14AAE" w:rsidP="00D14AAE">
            <w:pPr>
              <w:pStyle w:val="CETBodytext"/>
              <w:ind w:right="-1"/>
              <w:jc w:val="center"/>
              <w:rPr>
                <w:rFonts w:cs="Arial"/>
                <w:szCs w:val="18"/>
                <w:lang w:val="en-GB"/>
              </w:rPr>
            </w:pPr>
            <w:r>
              <w:rPr>
                <w:rFonts w:cs="Arial"/>
                <w:szCs w:val="18"/>
                <w:lang w:val="en-GB"/>
              </w:rPr>
              <w:t>Chen et al., 2020</w:t>
            </w:r>
          </w:p>
        </w:tc>
      </w:tr>
    </w:tbl>
    <w:p w14:paraId="17FD9C50" w14:textId="77777777" w:rsidR="00F76556" w:rsidRDefault="00F76556" w:rsidP="000908B3">
      <w:pPr>
        <w:pStyle w:val="CETnumberingbullets"/>
        <w:numPr>
          <w:ilvl w:val="0"/>
          <w:numId w:val="0"/>
        </w:numPr>
        <w:ind w:left="340" w:hanging="227"/>
      </w:pPr>
    </w:p>
    <w:p w14:paraId="4A104299" w14:textId="77777777" w:rsidR="008E4895" w:rsidRDefault="008250D6" w:rsidP="008250D6">
      <w:pPr>
        <w:pStyle w:val="CETBodytext"/>
      </w:pPr>
      <w:r>
        <w:t>The CO</w:t>
      </w:r>
      <w:r>
        <w:rPr>
          <w:rFonts w:ascii="Cambria Math" w:hAnsi="Cambria Math" w:cs="Cambria Math"/>
        </w:rPr>
        <w:t xml:space="preserve">₂ </w:t>
      </w:r>
      <w:r>
        <w:t xml:space="preserve">hydrogenation </w:t>
      </w:r>
      <w:r w:rsidR="0050055F">
        <w:t xml:space="preserve">methods </w:t>
      </w:r>
      <w:r>
        <w:t xml:space="preserve">can be broadly classified into homogeneous and heterogeneous catalytic processes. </w:t>
      </w:r>
      <w:proofErr w:type="spellStart"/>
      <w:r w:rsidR="00DB4A05" w:rsidRPr="00DB4A05">
        <w:t>Álvarez</w:t>
      </w:r>
      <w:proofErr w:type="spellEnd"/>
      <w:r w:rsidR="00DB4A05">
        <w:t xml:space="preserve"> et al. (2017) reviewed the state-of-the-art for </w:t>
      </w:r>
      <w:r w:rsidR="00A42E05">
        <w:t xml:space="preserve">the catalytic </w:t>
      </w:r>
      <w:r w:rsidR="00DB4A05">
        <w:t xml:space="preserve">hydrogenation reaction, </w:t>
      </w:r>
      <w:r w:rsidR="00A42E05">
        <w:t xml:space="preserve">offering a summary of many catalytic complexes explored in literature. </w:t>
      </w:r>
    </w:p>
    <w:p w14:paraId="01846918" w14:textId="52C77CEC" w:rsidR="008250D6" w:rsidRDefault="008250D6" w:rsidP="008250D6">
      <w:pPr>
        <w:pStyle w:val="CETBodytext"/>
      </w:pPr>
      <w:r>
        <w:t xml:space="preserve">As far as the homogeneous catalysis is concerned, transition metal complexes are typically used, as Rh, </w:t>
      </w:r>
      <w:proofErr w:type="spellStart"/>
      <w:r>
        <w:t>Ir</w:t>
      </w:r>
      <w:proofErr w:type="spellEnd"/>
      <w:r>
        <w:t>, and Pd.</w:t>
      </w:r>
      <w:r w:rsidR="0050055F">
        <w:t xml:space="preserve"> </w:t>
      </w:r>
      <w:r>
        <w:t>Rh catalysts show high activity</w:t>
      </w:r>
      <w:r w:rsidR="0050055F">
        <w:t xml:space="preserve"> and</w:t>
      </w:r>
      <w:r>
        <w:t xml:space="preserve"> good selectivity </w:t>
      </w:r>
      <w:r w:rsidR="0050055F">
        <w:t>towards</w:t>
      </w:r>
      <w:r>
        <w:t xml:space="preserve"> formic acid</w:t>
      </w:r>
      <w:r w:rsidR="0050055F">
        <w:t xml:space="preserve"> and typically operate</w:t>
      </w:r>
      <w:r>
        <w:t xml:space="preserve"> at low to moderate temperatures (50</w:t>
      </w:r>
      <w:r>
        <w:rPr>
          <w:rFonts w:cs="Arial"/>
        </w:rPr>
        <w:t>–</w:t>
      </w:r>
      <w:r>
        <w:t>150</w:t>
      </w:r>
      <w:r>
        <w:rPr>
          <w:rFonts w:cs="Arial"/>
        </w:rPr>
        <w:t>°</w:t>
      </w:r>
      <w:r>
        <w:t>C) and moderate pressures (20</w:t>
      </w:r>
      <w:r>
        <w:rPr>
          <w:rFonts w:cs="Arial"/>
        </w:rPr>
        <w:t>–</w:t>
      </w:r>
      <w:r>
        <w:t>50 bar)</w:t>
      </w:r>
      <w:r w:rsidR="0050055F">
        <w:t xml:space="preserve"> </w:t>
      </w:r>
      <w:r>
        <w:t xml:space="preserve">with phosphine or carboxylate ligands. Similar concepts have been explored for </w:t>
      </w:r>
      <w:proofErr w:type="spellStart"/>
      <w:r>
        <w:t>Ir</w:t>
      </w:r>
      <w:proofErr w:type="spellEnd"/>
      <w:r w:rsidR="00A42E05">
        <w:t>-</w:t>
      </w:r>
      <w:r>
        <w:t>based catalytic systems.</w:t>
      </w:r>
      <w:r w:rsidRPr="008250D6">
        <w:t xml:space="preserve"> </w:t>
      </w:r>
    </w:p>
    <w:p w14:paraId="377A2FF7" w14:textId="26B43FBE" w:rsidR="008250D6" w:rsidRDefault="008250D6" w:rsidP="008250D6">
      <w:pPr>
        <w:pStyle w:val="CETBodytext"/>
      </w:pPr>
      <w:r>
        <w:t>P</w:t>
      </w:r>
      <w:r w:rsidR="0050055F">
        <w:t>d</w:t>
      </w:r>
      <w:r>
        <w:t xml:space="preserve">-based </w:t>
      </w:r>
      <w:r w:rsidR="00A42E05">
        <w:t>c</w:t>
      </w:r>
      <w:r>
        <w:t xml:space="preserve">atalysts, on the other hand, are known to be less effective than </w:t>
      </w:r>
      <w:proofErr w:type="spellStart"/>
      <w:r>
        <w:t>Ir</w:t>
      </w:r>
      <w:proofErr w:type="spellEnd"/>
      <w:r>
        <w:t xml:space="preserve"> or Rh</w:t>
      </w:r>
      <w:r w:rsidR="00A42E05">
        <w:t>-</w:t>
      </w:r>
      <w:r>
        <w:t xml:space="preserve">based: their </w:t>
      </w:r>
      <w:r w:rsidR="0050055F">
        <w:t xml:space="preserve">activity and </w:t>
      </w:r>
      <w:r>
        <w:t xml:space="preserve">stability need improvement compared to Rh and </w:t>
      </w:r>
      <w:proofErr w:type="spellStart"/>
      <w:r>
        <w:t>Ir</w:t>
      </w:r>
      <w:proofErr w:type="spellEnd"/>
      <w:r>
        <w:t xml:space="preserve"> catalysts</w:t>
      </w:r>
      <w:r w:rsidR="0050055F">
        <w:t xml:space="preserve">. Also, </w:t>
      </w:r>
      <w:r>
        <w:t xml:space="preserve">they often require higher temperatures and pressures than Rh and </w:t>
      </w:r>
      <w:proofErr w:type="spellStart"/>
      <w:r>
        <w:t>Ir</w:t>
      </w:r>
      <w:proofErr w:type="spellEnd"/>
      <w:r>
        <w:t xml:space="preserve"> systems.</w:t>
      </w:r>
    </w:p>
    <w:p w14:paraId="3ABDF9A8" w14:textId="77777777" w:rsidR="0070061C" w:rsidRDefault="008250D6" w:rsidP="004C46CD">
      <w:pPr>
        <w:pStyle w:val="CETBodytext"/>
      </w:pPr>
      <w:r>
        <w:t>Homogeneous catalysis can also involve bimetallic systems, where two metals (such as Rh/</w:t>
      </w:r>
      <w:proofErr w:type="spellStart"/>
      <w:r>
        <w:t>Ir</w:t>
      </w:r>
      <w:proofErr w:type="spellEnd"/>
      <w:r>
        <w:t xml:space="preserve"> or Rh/Pd) are combined to enhance the reactivity and selectivity for CO</w:t>
      </w:r>
      <w:r>
        <w:rPr>
          <w:rFonts w:ascii="Cambria Math" w:hAnsi="Cambria Math" w:cs="Cambria Math"/>
        </w:rPr>
        <w:t>₂</w:t>
      </w:r>
      <w:r>
        <w:t xml:space="preserve"> hydrogenation.</w:t>
      </w:r>
      <w:r w:rsidR="00590F28" w:rsidRPr="00590F28">
        <w:t xml:space="preserve"> </w:t>
      </w:r>
      <w:r w:rsidR="00590F28">
        <w:t xml:space="preserve">Different patents have been filed by </w:t>
      </w:r>
      <w:r w:rsidR="00590F28">
        <w:lastRenderedPageBreak/>
        <w:t>BP and BASF</w:t>
      </w:r>
      <w:r w:rsidR="00A42E05">
        <w:t>.</w:t>
      </w:r>
      <w:r w:rsidR="00590F28">
        <w:t xml:space="preserve"> Anderson et al.</w:t>
      </w:r>
      <w:r w:rsidR="00A42E05">
        <w:t xml:space="preserve"> (</w:t>
      </w:r>
      <w:r w:rsidR="00590F28">
        <w:t>1989</w:t>
      </w:r>
      <w:r w:rsidR="00A42E05">
        <w:t>) proposed a process which occurs into different stages. In the first stage, CO</w:t>
      </w:r>
      <w:r w:rsidR="00A42E05" w:rsidRPr="00A42E05">
        <w:rPr>
          <w:vertAlign w:val="subscript"/>
        </w:rPr>
        <w:t>2</w:t>
      </w:r>
      <w:r w:rsidR="00A42E05">
        <w:t xml:space="preserve"> reacts with H</w:t>
      </w:r>
      <w:r w:rsidR="00A42E05" w:rsidRPr="00A42E05">
        <w:rPr>
          <w:vertAlign w:val="subscript"/>
        </w:rPr>
        <w:t>2</w:t>
      </w:r>
      <w:r w:rsidR="00A42E05">
        <w:t xml:space="preserve"> in the presence of a transition metal catalyst, with a high boiling solvent (e.g., polyethylene glycol, 1-phenyl-1-propanol, 3-phenyl-1-propanol</w:t>
      </w:r>
      <w:r w:rsidR="00573B40">
        <w:t xml:space="preserve">, </w:t>
      </w:r>
      <w:proofErr w:type="spellStart"/>
      <w:r w:rsidR="00A42E05">
        <w:t>sulpholane</w:t>
      </w:r>
      <w:proofErr w:type="spellEnd"/>
      <w:r w:rsidR="00573B40">
        <w:t>)</w:t>
      </w:r>
      <w:r w:rsidR="00A42E05">
        <w:t xml:space="preserve"> to produce a </w:t>
      </w:r>
      <w:proofErr w:type="spellStart"/>
      <w:r w:rsidR="00A42E05">
        <w:t>formate</w:t>
      </w:r>
      <w:proofErr w:type="spellEnd"/>
      <w:r w:rsidR="00A42E05">
        <w:t xml:space="preserve"> salt</w:t>
      </w:r>
      <w:r w:rsidR="00573B40">
        <w:t xml:space="preserve">. Next, </w:t>
      </w:r>
      <w:r w:rsidR="00E619C3">
        <w:t xml:space="preserve">the catalyst is removed from the </w:t>
      </w:r>
      <w:proofErr w:type="spellStart"/>
      <w:r w:rsidR="00E619C3">
        <w:t>formate</w:t>
      </w:r>
      <w:proofErr w:type="spellEnd"/>
      <w:r w:rsidR="00E619C3">
        <w:t xml:space="preserve"> salt. The latter undergoes </w:t>
      </w:r>
      <w:proofErr w:type="spellStart"/>
      <w:r w:rsidR="00E619C3">
        <w:t>futher</w:t>
      </w:r>
      <w:proofErr w:type="spellEnd"/>
      <w:r w:rsidR="00E619C3">
        <w:t xml:space="preserve"> treatments in order to be thermally decomposed to formic acid. </w:t>
      </w:r>
    </w:p>
    <w:p w14:paraId="033409D7" w14:textId="2C792E39" w:rsidR="004C46CD" w:rsidRDefault="008C4F10" w:rsidP="004C46CD">
      <w:pPr>
        <w:pStyle w:val="CETBodytext"/>
      </w:pPr>
      <w:proofErr w:type="spellStart"/>
      <w:r w:rsidRPr="008C4F10">
        <w:t>Hladiy</w:t>
      </w:r>
      <w:proofErr w:type="spellEnd"/>
      <w:r>
        <w:t xml:space="preserve"> et al.</w:t>
      </w:r>
      <w:r w:rsidR="0070061C">
        <w:t xml:space="preserve"> </w:t>
      </w:r>
      <w:r w:rsidR="004C46CD">
        <w:t>(</w:t>
      </w:r>
      <w:r>
        <w:t>2004</w:t>
      </w:r>
      <w:r w:rsidR="004C46CD">
        <w:t xml:space="preserve">) patented a process comprising the following steps: a) hydrolysis of methyl </w:t>
      </w:r>
      <w:proofErr w:type="spellStart"/>
      <w:r w:rsidR="004C46CD">
        <w:t>formate</w:t>
      </w:r>
      <w:proofErr w:type="spellEnd"/>
      <w:r w:rsidR="004C46CD">
        <w:t xml:space="preserve"> to give a mixture of water, formic acid, methanol and excess methyl </w:t>
      </w:r>
      <w:proofErr w:type="spellStart"/>
      <w:r w:rsidR="004C46CD">
        <w:t>formate</w:t>
      </w:r>
      <w:proofErr w:type="spellEnd"/>
      <w:r w:rsidR="004C46CD">
        <w:t xml:space="preserve">; b) removal of the methanol and excess methyl </w:t>
      </w:r>
      <w:proofErr w:type="spellStart"/>
      <w:r w:rsidR="004C46CD">
        <w:t>formate</w:t>
      </w:r>
      <w:proofErr w:type="spellEnd"/>
      <w:r w:rsidR="004C46CD">
        <w:t xml:space="preserve"> from the mixture of water, formic acid, methanol and excess methyl </w:t>
      </w:r>
      <w:proofErr w:type="spellStart"/>
      <w:r w:rsidR="004C46CD">
        <w:t>formate</w:t>
      </w:r>
      <w:proofErr w:type="spellEnd"/>
      <w:r w:rsidR="004C46CD">
        <w:t xml:space="preserve"> by distillation to give aqueous formic acid; c) extraction of the aqueous formic acid with at least one formic acid ester; d) separation of formic acid ester and formic acid by distillation.</w:t>
      </w:r>
      <w:r>
        <w:t xml:space="preserve"> </w:t>
      </w:r>
    </w:p>
    <w:p w14:paraId="22A62D2A" w14:textId="404358D1" w:rsidR="008250D6" w:rsidRDefault="004C46CD" w:rsidP="004C46CD">
      <w:pPr>
        <w:pStyle w:val="CETBodytext"/>
      </w:pPr>
      <w:r>
        <w:t xml:space="preserve">The most recent invention is the one by </w:t>
      </w:r>
      <w:r w:rsidR="008C4F10">
        <w:t>Schaub et al.</w:t>
      </w:r>
      <w:r>
        <w:t xml:space="preserve"> (</w:t>
      </w:r>
      <w:r w:rsidR="008C4F10">
        <w:t>2014</w:t>
      </w:r>
      <w:r w:rsidR="00590F28">
        <w:t>)</w:t>
      </w:r>
      <w:r>
        <w:t>, which proposed CO</w:t>
      </w:r>
      <w:r w:rsidRPr="004C46CD">
        <w:rPr>
          <w:vertAlign w:val="subscript"/>
        </w:rPr>
        <w:t>2</w:t>
      </w:r>
      <w:r>
        <w:t xml:space="preserve"> hydrogenation in the presence of a catalyst comprising an element of group 8, 9 or 10, a tertiary amine comprising at least 12 carbon atoms per molecule and a polar solvent as methanol, ethanol, </w:t>
      </w:r>
      <w:proofErr w:type="spellStart"/>
      <w:r>
        <w:t>propanols</w:t>
      </w:r>
      <w:proofErr w:type="spellEnd"/>
      <w:r>
        <w:t xml:space="preserve"> or </w:t>
      </w:r>
      <w:proofErr w:type="spellStart"/>
      <w:r>
        <w:t>butanols</w:t>
      </w:r>
      <w:proofErr w:type="spellEnd"/>
      <w:r>
        <w:t xml:space="preserve">. </w:t>
      </w:r>
      <w:r w:rsidR="0050055F">
        <w:t xml:space="preserve">Despite the promising catalytic performance, </w:t>
      </w:r>
      <w:r w:rsidR="009D367F">
        <w:t xml:space="preserve">the major drawback of </w:t>
      </w:r>
      <w:r w:rsidR="0050055F">
        <w:t xml:space="preserve">these </w:t>
      </w:r>
      <w:r w:rsidR="009D367F">
        <w:t>homogeneous catalyst</w:t>
      </w:r>
      <w:r w:rsidR="0050055F">
        <w:t>s</w:t>
      </w:r>
      <w:r w:rsidR="009D367F">
        <w:t xml:space="preserve"> is the</w:t>
      </w:r>
      <w:r w:rsidR="0050055F">
        <w:t>ir</w:t>
      </w:r>
      <w:r w:rsidR="009D367F">
        <w:t xml:space="preserve"> separation </w:t>
      </w:r>
      <w:r w:rsidR="008250D6">
        <w:t>from the product</w:t>
      </w:r>
      <w:r w:rsidR="0050055F">
        <w:t>, to be recycled back to the reaction stage</w:t>
      </w:r>
      <w:r w:rsidR="008250D6">
        <w:t>.</w:t>
      </w:r>
    </w:p>
    <w:p w14:paraId="3D3FBE63" w14:textId="0524DCF9" w:rsidR="00D14AAE" w:rsidRDefault="009D367F" w:rsidP="00D14AAE">
      <w:pPr>
        <w:pStyle w:val="CETBodytext"/>
      </w:pPr>
      <w:r>
        <w:t>As regards the h</w:t>
      </w:r>
      <w:r w:rsidR="008250D6">
        <w:t xml:space="preserve">eterogeneous </w:t>
      </w:r>
      <w:r w:rsidR="00F733FE">
        <w:t>c</w:t>
      </w:r>
      <w:r w:rsidR="008250D6">
        <w:t>atalysis</w:t>
      </w:r>
      <w:r w:rsidR="00F733FE">
        <w:t xml:space="preserve">, different alternatives have been proposed in literature. </w:t>
      </w:r>
      <w:r w:rsidR="0050055F">
        <w:t>T</w:t>
      </w:r>
      <w:r w:rsidR="008250D6">
        <w:t>ransition</w:t>
      </w:r>
      <w:r w:rsidR="00D14AAE">
        <w:t xml:space="preserve"> and noble </w:t>
      </w:r>
      <w:r w:rsidR="0050055F">
        <w:t>m</w:t>
      </w:r>
      <w:r w:rsidR="008250D6">
        <w:t xml:space="preserve">etals such as </w:t>
      </w:r>
      <w:r w:rsidR="00D14AAE">
        <w:t>Ru</w:t>
      </w:r>
      <w:r w:rsidR="00F67387">
        <w:t xml:space="preserve"> (Park et al., 2020)</w:t>
      </w:r>
      <w:r w:rsidR="00D14AAE">
        <w:t xml:space="preserve">, </w:t>
      </w:r>
      <w:r w:rsidR="008250D6">
        <w:t>Pd, Pt, Rh, Ni, Cu are commonly used</w:t>
      </w:r>
      <w:r w:rsidR="00D14AAE">
        <w:t xml:space="preserve"> (Chen et al., 2020).</w:t>
      </w:r>
      <w:r w:rsidR="0050055F" w:rsidRPr="0050055F">
        <w:t xml:space="preserve"> </w:t>
      </w:r>
    </w:p>
    <w:p w14:paraId="368F7A08" w14:textId="2C85DF93" w:rsidR="008250D6" w:rsidRDefault="00F733FE" w:rsidP="00D14AAE">
      <w:pPr>
        <w:pStyle w:val="CETBodytext"/>
      </w:pPr>
      <w:r>
        <w:t>However, l</w:t>
      </w:r>
      <w:r w:rsidR="008250D6">
        <w:t xml:space="preserve">ower </w:t>
      </w:r>
      <w:r>
        <w:t>s</w:t>
      </w:r>
      <w:r w:rsidR="008250D6">
        <w:t>electivity</w:t>
      </w:r>
      <w:r>
        <w:t xml:space="preserve"> is demonstrated </w:t>
      </w:r>
      <w:r w:rsidR="0050055F">
        <w:t xml:space="preserve">for heterogeneous catalytic systems </w:t>
      </w:r>
      <w:r>
        <w:t>and c</w:t>
      </w:r>
      <w:r w:rsidR="008250D6">
        <w:t xml:space="preserve">omplex </w:t>
      </w:r>
      <w:r>
        <w:t>r</w:t>
      </w:r>
      <w:r w:rsidR="008250D6">
        <w:t xml:space="preserve">eaction </w:t>
      </w:r>
      <w:r>
        <w:t>p</w:t>
      </w:r>
      <w:r w:rsidR="008250D6">
        <w:t>athways</w:t>
      </w:r>
      <w:r>
        <w:t xml:space="preserve"> are found</w:t>
      </w:r>
      <w:r w:rsidR="0050055F">
        <w:t xml:space="preserve"> in this case</w:t>
      </w:r>
      <w:r w:rsidR="008250D6">
        <w:t>.</w:t>
      </w:r>
    </w:p>
    <w:p w14:paraId="5C54F702" w14:textId="77777777" w:rsidR="002412DE" w:rsidRDefault="002412DE" w:rsidP="00296E93">
      <w:pPr>
        <w:pStyle w:val="CETBodytext"/>
      </w:pPr>
      <w:r>
        <w:t>With reference to Table 2, other sustainable formic acid production pathways include:</w:t>
      </w:r>
    </w:p>
    <w:p w14:paraId="25E149A1" w14:textId="77777777" w:rsidR="002412DE" w:rsidRDefault="002412DE" w:rsidP="002412DE">
      <w:pPr>
        <w:pStyle w:val="CETListbullets"/>
        <w:numPr>
          <w:ilvl w:val="0"/>
          <w:numId w:val="28"/>
        </w:numPr>
      </w:pPr>
      <w:r w:rsidRPr="002412DE">
        <w:t>electrochemical reduction of CO</w:t>
      </w:r>
      <w:r w:rsidRPr="002412DE">
        <w:rPr>
          <w:rFonts w:ascii="Cambria Math" w:hAnsi="Cambria Math" w:cs="Cambria Math"/>
        </w:rPr>
        <w:t>₂</w:t>
      </w:r>
      <w:r>
        <w:t xml:space="preserve">, </w:t>
      </w:r>
      <w:r w:rsidRPr="002412DE">
        <w:t>applying an electric current to CO</w:t>
      </w:r>
      <w:r w:rsidRPr="002412DE">
        <w:rPr>
          <w:rFonts w:ascii="Cambria Math" w:hAnsi="Cambria Math" w:cs="Cambria Math"/>
        </w:rPr>
        <w:t>₂</w:t>
      </w:r>
      <w:r w:rsidRPr="002412DE">
        <w:t xml:space="preserve"> dissolved in an electrolyte, typically water, in the presence of a catalyst (often metals like silver, copper or tin). The reaction produces formic acid along with oxygen at the anode</w:t>
      </w:r>
      <w:r>
        <w:t>;</w:t>
      </w:r>
    </w:p>
    <w:p w14:paraId="6EE51DA0" w14:textId="1EB73F20" w:rsidR="002412DE" w:rsidRDefault="002412DE" w:rsidP="002412DE">
      <w:pPr>
        <w:pStyle w:val="CETListbullets"/>
        <w:numPr>
          <w:ilvl w:val="0"/>
          <w:numId w:val="28"/>
        </w:numPr>
      </w:pPr>
      <w:r w:rsidRPr="002412DE">
        <w:t xml:space="preserve">thermochemical conversion of biomass, where lignocellulosic materials (such as wood, straw, or agricultural waste) are subjected to high temperatures in the presence of chemicals or steam. This can produce formic acid as a </w:t>
      </w:r>
      <w:r w:rsidR="009C06D8" w:rsidRPr="002412DE">
        <w:t>by-product</w:t>
      </w:r>
      <w:r w:rsidRPr="002412DE">
        <w:t>, often as part of a broader bio-refinery process</w:t>
      </w:r>
      <w:r>
        <w:t>;</w:t>
      </w:r>
    </w:p>
    <w:p w14:paraId="036313FE" w14:textId="7E866854" w:rsidR="002412DE" w:rsidRDefault="002412DE" w:rsidP="002412DE">
      <w:pPr>
        <w:pStyle w:val="CETListbullets"/>
        <w:numPr>
          <w:ilvl w:val="0"/>
          <w:numId w:val="28"/>
        </w:numPr>
      </w:pPr>
      <w:r>
        <w:t>m</w:t>
      </w:r>
      <w:r w:rsidRPr="002412DE">
        <w:t>icrobial fermentation</w:t>
      </w:r>
      <w:r>
        <w:t xml:space="preserve">, </w:t>
      </w:r>
      <w:r w:rsidRPr="002412DE">
        <w:t xml:space="preserve">that utilizes renewable biomass feedstocks like sugars (glucose or fructose) derived from agricultural waste, food scraps or algae. In this process, specific microorganisms are used to ferment these substrates into formic acid as a metabolic </w:t>
      </w:r>
      <w:r w:rsidR="009C06D8" w:rsidRPr="002412DE">
        <w:t>by-product</w:t>
      </w:r>
      <w:r w:rsidRPr="002412DE">
        <w:t xml:space="preserve"> under anaerobic conditions.</w:t>
      </w:r>
      <w:r>
        <w:t xml:space="preserve"> </w:t>
      </w:r>
    </w:p>
    <w:p w14:paraId="6FE115CB" w14:textId="32EB86A4" w:rsidR="002412DE" w:rsidRDefault="002412DE" w:rsidP="002412DE">
      <w:pPr>
        <w:pStyle w:val="CETBodytext"/>
      </w:pPr>
      <w:r>
        <w:t xml:space="preserve">Despite these methods could seem viable at the laboratory level, they suffer from poor scalability. </w:t>
      </w:r>
    </w:p>
    <w:p w14:paraId="7D064072" w14:textId="18B34829" w:rsidR="00296E93" w:rsidRDefault="00F00649" w:rsidP="004F3DF4">
      <w:pPr>
        <w:pStyle w:val="CETBodytext"/>
      </w:pPr>
      <w:r>
        <w:t>T</w:t>
      </w:r>
      <w:r w:rsidR="00296E93">
        <w:t xml:space="preserve">he only </w:t>
      </w:r>
      <w:r w:rsidR="002C5988">
        <w:t>realistic alternative</w:t>
      </w:r>
      <w:r w:rsidR="00296E93">
        <w:t xml:space="preserve"> for the green acid formic production</w:t>
      </w:r>
      <w:r w:rsidR="00741E9E">
        <w:t>,</w:t>
      </w:r>
      <w:r w:rsidR="00296E93">
        <w:t xml:space="preserve"> </w:t>
      </w:r>
      <w:r w:rsidR="00741E9E">
        <w:t>in view of its application</w:t>
      </w:r>
      <w:r w:rsidR="00296E93">
        <w:t xml:space="preserve"> </w:t>
      </w:r>
      <w:r w:rsidR="00141DA9">
        <w:t xml:space="preserve">as </w:t>
      </w:r>
      <w:r w:rsidR="00296E93">
        <w:t>H</w:t>
      </w:r>
      <w:r w:rsidR="00296E93" w:rsidRPr="002412DE">
        <w:rPr>
          <w:vertAlign w:val="subscript"/>
        </w:rPr>
        <w:t>2</w:t>
      </w:r>
      <w:r w:rsidR="00296E93">
        <w:t xml:space="preserve"> carrier</w:t>
      </w:r>
      <w:r w:rsidR="00741E9E">
        <w:t>,</w:t>
      </w:r>
      <w:r w:rsidR="00296E93">
        <w:t xml:space="preserve"> is the catalytic hydrogenation of CO</w:t>
      </w:r>
      <w:r w:rsidR="00296E93" w:rsidRPr="002412DE">
        <w:rPr>
          <w:vertAlign w:val="subscript"/>
        </w:rPr>
        <w:t>2</w:t>
      </w:r>
      <w:r w:rsidR="00296E93">
        <w:t>.</w:t>
      </w:r>
      <w:r w:rsidR="002412DE">
        <w:t xml:space="preserve"> </w:t>
      </w:r>
      <w:r w:rsidR="0036112A">
        <w:t>Although</w:t>
      </w:r>
      <w:r w:rsidR="004F3DF4">
        <w:t xml:space="preserve"> continuous homogeneous catalytic processes have been proposed at the laboratory scale, still the incomplete catalyst recovery from the reaction mixture hinders its scale-up. As for the heterogeneous catalysis, m</w:t>
      </w:r>
      <w:r w:rsidR="002412DE">
        <w:t xml:space="preserve">any studies in literature </w:t>
      </w:r>
      <w:r w:rsidR="009C06D8">
        <w:t>are focused on the tuning of the catalytic complex</w:t>
      </w:r>
      <w:r w:rsidR="002412DE">
        <w:t xml:space="preserve"> few of them delve into the </w:t>
      </w:r>
      <w:r>
        <w:t xml:space="preserve">evaluation of </w:t>
      </w:r>
      <w:r w:rsidR="0027659B">
        <w:t>process aspects of CO</w:t>
      </w:r>
      <w:r w:rsidR="0027659B" w:rsidRPr="00F00649">
        <w:rPr>
          <w:vertAlign w:val="subscript"/>
        </w:rPr>
        <w:t>2</w:t>
      </w:r>
      <w:r w:rsidR="0027659B">
        <w:t xml:space="preserve"> hydrogenation, also discussing the separations downstream the reaction section. After a preliminary literature analysis</w:t>
      </w:r>
      <w:r>
        <w:t xml:space="preserve">, </w:t>
      </w:r>
      <w:r w:rsidR="002A25BF">
        <w:t>the work of Park et al. (2020) is assumed as the reference. The authors tested the R</w:t>
      </w:r>
      <w:r w:rsidR="00741E9E">
        <w:t>u</w:t>
      </w:r>
      <w:r w:rsidR="002A25BF">
        <w:t xml:space="preserve">-based </w:t>
      </w:r>
      <w:r w:rsidR="00741E9E">
        <w:t>heterogeneous</w:t>
      </w:r>
      <w:r w:rsidR="002A25BF">
        <w:t xml:space="preserve"> catalytic complex in a continuous fashion and proposed</w:t>
      </w:r>
      <w:r w:rsidR="00296E93">
        <w:t xml:space="preserve"> a process flow diagram</w:t>
      </w:r>
      <w:r w:rsidR="002A25BF">
        <w:t xml:space="preserve"> for formic acid synthesis stage</w:t>
      </w:r>
      <w:r w:rsidR="00296E93">
        <w:t>.</w:t>
      </w:r>
    </w:p>
    <w:p w14:paraId="263C2D79" w14:textId="11D102AF" w:rsidR="00741E9E" w:rsidRDefault="00296E93" w:rsidP="002412DE">
      <w:pPr>
        <w:pStyle w:val="CETBodytext"/>
      </w:pPr>
      <w:r>
        <w:t xml:space="preserve">With reference to the work of </w:t>
      </w:r>
      <w:r w:rsidR="002A25BF">
        <w:t>Pa</w:t>
      </w:r>
      <w:r w:rsidR="000C7A53">
        <w:t>r</w:t>
      </w:r>
      <w:r w:rsidR="002A25BF">
        <w:t>k et al. (2020)</w:t>
      </w:r>
      <w:r>
        <w:t xml:space="preserve">, </w:t>
      </w:r>
      <w:r w:rsidR="002A25BF">
        <w:t>Figure 2 shows the block flow diagram (BFD) of the formic acid production stage.</w:t>
      </w:r>
      <w:r w:rsidR="00741E9E">
        <w:t xml:space="preserve"> </w:t>
      </w:r>
    </w:p>
    <w:p w14:paraId="43788ED0" w14:textId="272A75B7" w:rsidR="00110FDB" w:rsidRPr="003001EB" w:rsidRDefault="00512B18" w:rsidP="00A67839">
      <w:pPr>
        <w:pStyle w:val="CETBodytext"/>
        <w:jc w:val="center"/>
      </w:pPr>
      <w:r w:rsidRPr="00512B18">
        <w:rPr>
          <w:noProof/>
        </w:rPr>
        <w:drawing>
          <wp:inline distT="0" distB="0" distL="0" distR="0" wp14:anchorId="0CA8FEE0" wp14:editId="685E5355">
            <wp:extent cx="5920875" cy="2165299"/>
            <wp:effectExtent l="0" t="0" r="381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793" r="3197" b="5592"/>
                    <a:stretch/>
                  </pic:blipFill>
                  <pic:spPr bwMode="auto">
                    <a:xfrm>
                      <a:off x="0" y="0"/>
                      <a:ext cx="6125461" cy="2240117"/>
                    </a:xfrm>
                    <a:prstGeom prst="rect">
                      <a:avLst/>
                    </a:prstGeom>
                    <a:noFill/>
                    <a:ln>
                      <a:noFill/>
                    </a:ln>
                    <a:extLst>
                      <a:ext uri="{53640926-AAD7-44D8-BBD7-CCE9431645EC}">
                        <a14:shadowObscured xmlns:a14="http://schemas.microsoft.com/office/drawing/2010/main"/>
                      </a:ext>
                    </a:extLst>
                  </pic:spPr>
                </pic:pic>
              </a:graphicData>
            </a:graphic>
          </wp:inline>
        </w:drawing>
      </w:r>
    </w:p>
    <w:p w14:paraId="030BA49F" w14:textId="072C160E" w:rsidR="00110FDB" w:rsidRPr="00BD077D" w:rsidRDefault="00110FDB" w:rsidP="00110FDB">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Block flow diagram (BFD) of the formic acid production stage, according to Pa</w:t>
      </w:r>
      <w:r w:rsidR="005B6951">
        <w:rPr>
          <w:rStyle w:val="CETCaptionCarattere"/>
          <w:i/>
        </w:rPr>
        <w:t>rk</w:t>
      </w:r>
      <w:r>
        <w:rPr>
          <w:rStyle w:val="CETCaptionCarattere"/>
          <w:i/>
        </w:rPr>
        <w:t xml:space="preserve"> et al. (2020).</w:t>
      </w:r>
      <w:r w:rsidRPr="00BD077D">
        <w:t xml:space="preserve"> </w:t>
      </w:r>
    </w:p>
    <w:p w14:paraId="21A4A3C1" w14:textId="5D16A1F6" w:rsidR="00741E9E" w:rsidRDefault="002C34AD" w:rsidP="002C34AD">
      <w:pPr>
        <w:pStyle w:val="CETBodytext"/>
      </w:pPr>
      <w:r>
        <w:lastRenderedPageBreak/>
        <w:t>CO</w:t>
      </w:r>
      <w:r w:rsidRPr="002C34AD">
        <w:rPr>
          <w:vertAlign w:val="subscript"/>
        </w:rPr>
        <w:t>2</w:t>
      </w:r>
      <w:r>
        <w:rPr>
          <w:vertAlign w:val="subscript"/>
        </w:rPr>
        <w:t xml:space="preserve"> </w:t>
      </w:r>
      <w:r>
        <w:t>and H</w:t>
      </w:r>
      <w:r w:rsidRPr="002C34AD">
        <w:rPr>
          <w:vertAlign w:val="subscript"/>
        </w:rPr>
        <w:t>2</w:t>
      </w:r>
      <w:r>
        <w:t xml:space="preserve"> are fed to the formic acid formation reactor</w:t>
      </w:r>
      <w:r w:rsidR="008E4895">
        <w:t>, together</w:t>
      </w:r>
      <w:r>
        <w:t xml:space="preserve"> with the recycle</w:t>
      </w:r>
      <w:r w:rsidR="008E4895">
        <w:t>d</w:t>
      </w:r>
      <w:r>
        <w:t xml:space="preserve"> </w:t>
      </w:r>
      <w:r w:rsidR="008E4895">
        <w:t>gase</w:t>
      </w:r>
      <w:r>
        <w:t>s</w:t>
      </w:r>
      <w:r w:rsidR="008E4895">
        <w:t xml:space="preserve">, water and </w:t>
      </w:r>
      <w:r w:rsidR="00552934" w:rsidRPr="00552934">
        <w:t>triethylamine</w:t>
      </w:r>
      <w:r>
        <w:t xml:space="preserve">. In the first stage, a carbonate complex is formed which is routed to the </w:t>
      </w:r>
      <w:proofErr w:type="spellStart"/>
      <w:r>
        <w:t>formate</w:t>
      </w:r>
      <w:proofErr w:type="spellEnd"/>
      <w:r>
        <w:t xml:space="preserve"> formation reactor</w:t>
      </w:r>
      <w:r w:rsidR="00512B18">
        <w:t>, the latter</w:t>
      </w:r>
      <w:r>
        <w:t xml:space="preserve"> operate</w:t>
      </w:r>
      <w:r w:rsidR="00512B18">
        <w:t>d</w:t>
      </w:r>
      <w:r>
        <w:t xml:space="preserve"> at very high pressure (120 bar) and moderate temperature (120°C). The liquid product undergoes evaporation </w:t>
      </w:r>
      <w:r w:rsidR="008E4895">
        <w:t xml:space="preserve">to concentrate the adduct </w:t>
      </w:r>
      <w:r w:rsidR="00425668">
        <w:t xml:space="preserve">formed in the reaction stage </w:t>
      </w:r>
      <w:r>
        <w:t xml:space="preserve">and, then, the </w:t>
      </w:r>
      <w:r w:rsidR="00425668">
        <w:t>latter</w:t>
      </w:r>
      <w:r>
        <w:t xml:space="preserve"> is introduced into the amine exchange column. This unit makes the separation of the strongly non ideal mixture possible by replacing triethylamine with a heavier homologue. The triethylamine is routed back to the reaction stage, while the new amine </w:t>
      </w:r>
      <w:proofErr w:type="spellStart"/>
      <w:r>
        <w:t>formate</w:t>
      </w:r>
      <w:proofErr w:type="spellEnd"/>
      <w:r>
        <w:t xml:space="preserve"> complex is further processed in another separation unit, which allows the recovery of </w:t>
      </w:r>
      <w:r w:rsidR="00E247E2">
        <w:t xml:space="preserve">formic acid as the top product. </w:t>
      </w:r>
    </w:p>
    <w:p w14:paraId="543BE84F" w14:textId="113A788C" w:rsidR="00425668" w:rsidRDefault="00425668" w:rsidP="002C34AD">
      <w:pPr>
        <w:pStyle w:val="CETBodytext"/>
      </w:pPr>
      <w:r>
        <w:t xml:space="preserve">Pressure and temperatures levels are specified in Figure 2, for each stage of the process. Considering the operating conditions of Figure 2, high energy consumptions are expected because of the low pressures but, mostly, because of the high temperatures needed in the separation downstream the reactor. </w:t>
      </w:r>
    </w:p>
    <w:p w14:paraId="4493D942" w14:textId="3AF5AAD6" w:rsidR="00110FDB" w:rsidRDefault="00741E9E" w:rsidP="00296E93">
      <w:pPr>
        <w:pStyle w:val="CETBodytext"/>
      </w:pPr>
      <w:r>
        <w:t>S</w:t>
      </w:r>
      <w:r w:rsidR="002A25BF">
        <w:t>tarting from Figure 2 and in view of preliminarily exploring formic acid viability as H</w:t>
      </w:r>
      <w:r w:rsidR="002A25BF" w:rsidRPr="002A25BF">
        <w:rPr>
          <w:vertAlign w:val="subscript"/>
        </w:rPr>
        <w:t>2</w:t>
      </w:r>
      <w:r w:rsidR="002A25BF">
        <w:t xml:space="preserve"> carrier, its production stage is assessed by means of equivalent hydrogen methodology, described in section 2, and then compared with others H</w:t>
      </w:r>
      <w:r w:rsidR="002A25BF" w:rsidRPr="002A25BF">
        <w:rPr>
          <w:vertAlign w:val="subscript"/>
        </w:rPr>
        <w:t>2</w:t>
      </w:r>
      <w:r w:rsidR="002A25BF">
        <w:t xml:space="preserve"> carrier. In this way, opportunities and weaknesses are pointed out, to understand whether further deepening is needed or not. </w:t>
      </w:r>
    </w:p>
    <w:p w14:paraId="5741900F" w14:textId="50595D40" w:rsidR="00453E24" w:rsidRDefault="00056B4A" w:rsidP="00453E24">
      <w:pPr>
        <w:pStyle w:val="CETHeading1"/>
      </w:pPr>
      <w:r>
        <w:t>Methodology</w:t>
      </w:r>
    </w:p>
    <w:p w14:paraId="58D109F9" w14:textId="106CB28D" w:rsidR="00111F16" w:rsidRDefault="00111F16" w:rsidP="009A7ED5">
      <w:pPr>
        <w:pStyle w:val="CETBodytext"/>
      </w:pPr>
      <w:r>
        <w:t xml:space="preserve">The equivalent hydrogen methodology is </w:t>
      </w:r>
      <w:r w:rsidR="001D052D">
        <w:t xml:space="preserve">useful </w:t>
      </w:r>
      <w:r>
        <w:t>to compare and assess different hydrogen carriers based on their ability to store</w:t>
      </w:r>
      <w:r w:rsidR="001D052D">
        <w:t>, transport</w:t>
      </w:r>
      <w:r>
        <w:t xml:space="preserve"> and release hydrogen. </w:t>
      </w:r>
      <w:r w:rsidR="001D052D">
        <w:t>According to this concept, the H</w:t>
      </w:r>
      <w:r w:rsidR="001D052D" w:rsidRPr="001D052D">
        <w:rPr>
          <w:vertAlign w:val="subscript"/>
        </w:rPr>
        <w:t>2</w:t>
      </w:r>
      <w:r w:rsidR="001D052D">
        <w:t xml:space="preserve"> delivered at the utilization hub is evaluated by equation (</w:t>
      </w:r>
      <w:r w:rsidR="00591BB4">
        <w:t>2</w:t>
      </w:r>
      <w:r w:rsidR="001D052D">
        <w:t>).</w:t>
      </w:r>
    </w:p>
    <w:tbl>
      <w:tblPr>
        <w:tblW w:w="5000" w:type="pct"/>
        <w:tblLook w:val="04A0" w:firstRow="1" w:lastRow="0" w:firstColumn="1" w:lastColumn="0" w:noHBand="0" w:noVBand="1"/>
      </w:tblPr>
      <w:tblGrid>
        <w:gridCol w:w="7983"/>
        <w:gridCol w:w="804"/>
      </w:tblGrid>
      <w:tr w:rsidR="001D052D" w:rsidRPr="00B57B36" w14:paraId="44147EA2" w14:textId="77777777" w:rsidTr="00B60A51">
        <w:tc>
          <w:tcPr>
            <w:tcW w:w="8188" w:type="dxa"/>
            <w:shd w:val="clear" w:color="auto" w:fill="auto"/>
            <w:vAlign w:val="center"/>
          </w:tcPr>
          <w:p w14:paraId="663D504B" w14:textId="16BBCB07" w:rsidR="001D052D" w:rsidRPr="00735D3B" w:rsidRDefault="003210CD" w:rsidP="00735D3B">
            <w:pPr>
              <w:pStyle w:val="CETEquation"/>
            </w:pPr>
            <m:oMathPara>
              <m:oMathParaPr>
                <m:jc m:val="center"/>
              </m:oMathParaPr>
              <m:oMath>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sSub>
                      <m:sSubPr>
                        <m:ctrlPr>
                          <w:rPr>
                            <w:rFonts w:ascii="Cambria Math" w:hAnsi="Cambria Math"/>
                          </w:rPr>
                        </m:ctrlPr>
                      </m:sSubPr>
                      <m:e>
                        <m:r>
                          <w:rPr>
                            <w:rFonts w:ascii="Cambria Math" w:hAnsi="Cambria Math"/>
                          </w:rPr>
                          <m:t>H</m:t>
                        </m:r>
                      </m:e>
                      <m:sub>
                        <m:r>
                          <m:rPr>
                            <m:sty m:val="p"/>
                          </m:rPr>
                          <w:rPr>
                            <w:rFonts w:ascii="Cambria Math" w:hAnsi="Cambria Math"/>
                          </w:rPr>
                          <m:t>2,</m:t>
                        </m:r>
                        <m:r>
                          <w:rPr>
                            <w:rFonts w:ascii="Cambria Math" w:hAnsi="Cambria Math"/>
                          </w:rPr>
                          <m:t>net</m:t>
                        </m:r>
                      </m:sub>
                    </m:sSub>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sSub>
                      <m:sSubPr>
                        <m:ctrlPr>
                          <w:rPr>
                            <w:rFonts w:ascii="Cambria Math" w:hAnsi="Cambria Math"/>
                          </w:rPr>
                        </m:ctrlPr>
                      </m:sSubPr>
                      <m:e>
                        <m:r>
                          <w:rPr>
                            <w:rFonts w:ascii="Cambria Math" w:hAnsi="Cambria Math"/>
                          </w:rPr>
                          <m:t>H</m:t>
                        </m:r>
                      </m:e>
                      <m:sub>
                        <m:r>
                          <m:rPr>
                            <m:sty m:val="p"/>
                          </m:rPr>
                          <w:rPr>
                            <w:rFonts w:ascii="Cambria Math" w:hAnsi="Cambria Math"/>
                          </w:rPr>
                          <m:t>2,</m:t>
                        </m:r>
                        <m:r>
                          <w:rPr>
                            <w:rFonts w:ascii="Cambria Math" w:hAnsi="Cambria Math"/>
                          </w:rPr>
                          <m:t>in</m:t>
                        </m:r>
                      </m:sub>
                    </m:sSub>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sSub>
                      <m:sSubPr>
                        <m:ctrlPr>
                          <w:rPr>
                            <w:rFonts w:ascii="Cambria Math" w:hAnsi="Cambria Math"/>
                          </w:rPr>
                        </m:ctrlPr>
                      </m:sSubPr>
                      <m:e>
                        <m:r>
                          <w:rPr>
                            <w:rFonts w:ascii="Cambria Math" w:hAnsi="Cambria Math"/>
                          </w:rPr>
                          <m:t>H</m:t>
                        </m:r>
                      </m:e>
                      <m:sub>
                        <m:r>
                          <m:rPr>
                            <m:sty m:val="p"/>
                          </m:rPr>
                          <w:rPr>
                            <w:rFonts w:ascii="Cambria Math" w:hAnsi="Cambria Math"/>
                          </w:rPr>
                          <m:t>2,</m:t>
                        </m:r>
                        <m:r>
                          <w:rPr>
                            <w:rFonts w:ascii="Cambria Math" w:hAnsi="Cambria Math"/>
                          </w:rPr>
                          <m:t>consumed</m:t>
                        </m:r>
                      </m:sub>
                    </m:sSub>
                  </m:sub>
                </m:sSub>
              </m:oMath>
            </m:oMathPara>
          </w:p>
        </w:tc>
        <w:tc>
          <w:tcPr>
            <w:tcW w:w="815" w:type="dxa"/>
            <w:shd w:val="clear" w:color="auto" w:fill="auto"/>
            <w:vAlign w:val="center"/>
          </w:tcPr>
          <w:p w14:paraId="593E3F70" w14:textId="5C2CEA39" w:rsidR="001D052D" w:rsidRPr="00B57B36" w:rsidRDefault="001D052D" w:rsidP="00B60A51">
            <w:pPr>
              <w:pStyle w:val="CETEquation"/>
              <w:jc w:val="right"/>
            </w:pPr>
            <w:r w:rsidRPr="00B57B36">
              <w:t>(</w:t>
            </w:r>
            <w:r w:rsidR="006C4C93">
              <w:t>2</w:t>
            </w:r>
            <w:r w:rsidRPr="00B57B36">
              <w:t>)</w:t>
            </w:r>
          </w:p>
        </w:tc>
      </w:tr>
    </w:tbl>
    <w:p w14:paraId="7EC2EA15" w14:textId="6A12D1CA" w:rsidR="009A7ED5" w:rsidRDefault="001D052D" w:rsidP="009A7ED5">
      <w:pPr>
        <w:pStyle w:val="CETBodytext"/>
      </w:pPr>
      <w:r>
        <w:t xml:space="preserve">All the electric and thermal energy consumptions are </w:t>
      </w:r>
      <w:r w:rsidR="00591BB4">
        <w:t>expressed</w:t>
      </w:r>
      <w:r>
        <w:t xml:space="preserve"> as equivalent H</w:t>
      </w:r>
      <w:r w:rsidRPr="001D052D">
        <w:rPr>
          <w:vertAlign w:val="subscript"/>
        </w:rPr>
        <w:t>2</w:t>
      </w:r>
      <w:r>
        <w:t xml:space="preserve"> consumed which must be subtracted </w:t>
      </w:r>
      <w:r w:rsidR="00141DA9">
        <w:t>in</w:t>
      </w:r>
      <w:r>
        <w:t xml:space="preserve"> equation (</w:t>
      </w:r>
      <w:r w:rsidR="00591BB4">
        <w:t>2</w:t>
      </w:r>
      <w:r>
        <w:t>) to account for the net H</w:t>
      </w:r>
      <w:r w:rsidRPr="001D052D">
        <w:rPr>
          <w:vertAlign w:val="subscript"/>
        </w:rPr>
        <w:t>2</w:t>
      </w:r>
      <w:r>
        <w:t xml:space="preserve"> quantity delivered upon arrival. </w:t>
      </w:r>
    </w:p>
    <w:p w14:paraId="4C172295" w14:textId="529EEAF2" w:rsidR="001D052D" w:rsidRDefault="001D052D" w:rsidP="009A7ED5">
      <w:pPr>
        <w:pStyle w:val="CETBodytext"/>
      </w:pPr>
      <w:r>
        <w:t>The following contributions are considered in the calculation.</w:t>
      </w:r>
    </w:p>
    <w:p w14:paraId="5ABF4FFC" w14:textId="0AC48B81" w:rsidR="00094AD1" w:rsidRDefault="009A7ED5" w:rsidP="00A7472B">
      <w:pPr>
        <w:pStyle w:val="CETListbullets"/>
        <w:numPr>
          <w:ilvl w:val="0"/>
          <w:numId w:val="27"/>
        </w:numPr>
      </w:pPr>
      <w:r>
        <w:t xml:space="preserve">Cooling duty produced by a proper refrigeration cycle, </w:t>
      </w:r>
      <w:r w:rsidR="00EC59E5">
        <w:t xml:space="preserve">for cooling </w:t>
      </w:r>
      <w:r w:rsidR="00141DA9">
        <w:t>down to</w:t>
      </w:r>
      <w:r w:rsidR="00EC59E5">
        <w:t xml:space="preserve"> </w:t>
      </w:r>
      <w:r>
        <w:t>temperatures lower than the ambient one</w:t>
      </w:r>
      <w:r w:rsidR="00EC59E5">
        <w:t xml:space="preserve"> (cooling above the ambient temperature is neglected in the present analysis)</w:t>
      </w:r>
      <w:r>
        <w:t xml:space="preserve">. </w:t>
      </w:r>
    </w:p>
    <w:p w14:paraId="3294273A" w14:textId="48505241" w:rsidR="009A7ED5" w:rsidRDefault="00EC59E5" w:rsidP="00094AD1">
      <w:pPr>
        <w:pStyle w:val="CETListbullets"/>
        <w:ind w:left="473" w:firstLine="0"/>
      </w:pPr>
      <w:r>
        <w:t>T</w:t>
      </w:r>
      <w:r w:rsidR="009A7ED5">
        <w:t xml:space="preserve">he theoretical Coefficient Of Performance (COP) of the refrigeration cycle </w:t>
      </w:r>
      <w:r w:rsidR="00094AD1">
        <w:t xml:space="preserve">is evaluated </w:t>
      </w:r>
      <w:r w:rsidR="009A7ED5">
        <w:t xml:space="preserve">according to </w:t>
      </w:r>
      <w:r w:rsidR="00591BB4">
        <w:t>equation</w:t>
      </w:r>
      <w:r w:rsidR="009A7ED5">
        <w:t xml:space="preserve"> (</w:t>
      </w:r>
      <w:r w:rsidR="00591BB4">
        <w:t>3</w:t>
      </w:r>
      <w:r w:rsidR="009A7ED5">
        <w:t xml:space="preserve">), where </w:t>
      </w:r>
      <w:r w:rsidR="009A7ED5" w:rsidRPr="00094AD1">
        <w:rPr>
          <w:i/>
          <w:iCs/>
        </w:rPr>
        <w:t>T</w:t>
      </w:r>
      <w:r w:rsidR="009A7ED5" w:rsidRPr="00094AD1">
        <w:rPr>
          <w:i/>
          <w:iCs/>
          <w:vertAlign w:val="subscript"/>
        </w:rPr>
        <w:t>H</w:t>
      </w:r>
      <w:r w:rsidR="009A7ED5">
        <w:t xml:space="preserve"> and </w:t>
      </w:r>
      <w:r w:rsidR="009A7ED5" w:rsidRPr="00094AD1">
        <w:rPr>
          <w:i/>
          <w:iCs/>
        </w:rPr>
        <w:t>T</w:t>
      </w:r>
      <w:r w:rsidR="009A7ED5" w:rsidRPr="00094AD1">
        <w:rPr>
          <w:i/>
          <w:iCs/>
          <w:vertAlign w:val="subscript"/>
        </w:rPr>
        <w:t>L</w:t>
      </w:r>
      <w:r w:rsidR="009A7ED5">
        <w:t xml:space="preserve"> are the two constant temperatures, respectively, of the condenser and of the evaporator in the refrigeration cycle. The temperature of the hot reservoir </w:t>
      </w:r>
      <w:r w:rsidR="00094AD1">
        <w:t>is</w:t>
      </w:r>
      <w:r w:rsidR="009A7ED5">
        <w:t xml:space="preserve"> set equal to 25°C, whereas the </w:t>
      </w:r>
      <w:r w:rsidR="00094AD1">
        <w:t xml:space="preserve">one of the </w:t>
      </w:r>
      <w:r w:rsidR="009A7ED5">
        <w:t xml:space="preserve">cold reservoir </w:t>
      </w:r>
      <w:r w:rsidR="00094AD1">
        <w:t>is</w:t>
      </w:r>
      <w:r w:rsidR="009A7ED5">
        <w:t xml:space="preserve"> determined </w:t>
      </w:r>
      <w:r w:rsidR="00094AD1">
        <w:t>as</w:t>
      </w:r>
      <w:r w:rsidR="009A7ED5">
        <w:t xml:space="preserve"> the </w:t>
      </w:r>
      <w:r w:rsidR="00094AD1">
        <w:t xml:space="preserve">temperature of the </w:t>
      </w:r>
      <w:r w:rsidR="009A7ED5">
        <w:t xml:space="preserve">process stream to be cooled down (from simulations) </w:t>
      </w:r>
      <w:r w:rsidR="00094AD1">
        <w:t>minus</w:t>
      </w:r>
      <w:r w:rsidR="009A7ED5">
        <w:t xml:space="preserve"> a temperature approach of 5°C. </w:t>
      </w:r>
    </w:p>
    <w:tbl>
      <w:tblPr>
        <w:tblW w:w="4758" w:type="pct"/>
        <w:tblInd w:w="426" w:type="dxa"/>
        <w:tblLook w:val="04A0" w:firstRow="1" w:lastRow="0" w:firstColumn="1" w:lastColumn="0" w:noHBand="0" w:noVBand="1"/>
      </w:tblPr>
      <w:tblGrid>
        <w:gridCol w:w="7559"/>
        <w:gridCol w:w="803"/>
      </w:tblGrid>
      <w:tr w:rsidR="00EC59E5" w:rsidRPr="00B57B36" w14:paraId="661965E6" w14:textId="77777777" w:rsidTr="00141DA9">
        <w:tc>
          <w:tcPr>
            <w:tcW w:w="7558" w:type="dxa"/>
            <w:shd w:val="clear" w:color="auto" w:fill="auto"/>
            <w:vAlign w:val="center"/>
          </w:tcPr>
          <w:p w14:paraId="723717CA" w14:textId="6675EBC2" w:rsidR="00EC59E5" w:rsidRPr="00B57B36" w:rsidRDefault="00735D3B" w:rsidP="00B60A51">
            <w:pPr>
              <w:pStyle w:val="CETEquation"/>
            </w:pPr>
            <m:oMathPara>
              <m:oMath>
                <m:r>
                  <w:rPr>
                    <w:rFonts w:ascii="Cambria Math" w:hAnsi="Cambria Math"/>
                  </w:rPr>
                  <m:t>CO</m:t>
                </m:r>
                <m:sSub>
                  <m:sSubPr>
                    <m:ctrlPr>
                      <w:rPr>
                        <w:rFonts w:ascii="Cambria Math" w:hAnsi="Cambria Math"/>
                      </w:rPr>
                    </m:ctrlPr>
                  </m:sSubPr>
                  <m:e>
                    <m:r>
                      <w:rPr>
                        <w:rFonts w:ascii="Cambria Math" w:hAnsi="Cambria Math"/>
                      </w:rPr>
                      <m:t>P</m:t>
                    </m:r>
                  </m:e>
                  <m:sub>
                    <m:r>
                      <w:rPr>
                        <w:rFonts w:ascii="Cambria Math" w:hAnsi="Cambria Math"/>
                      </w:rPr>
                      <m:t>R,Carnot</m:t>
                    </m:r>
                  </m:sub>
                </m:sSub>
                <m:r>
                  <w:rPr>
                    <w:rFonts w:ascii="Cambria Math" w:hAnsi="Cambria Math"/>
                  </w:rPr>
                  <m:t>=</m:t>
                </m:r>
                <m:f>
                  <m:fPr>
                    <m:ctrlPr>
                      <w:rPr>
                        <w:rFonts w:ascii="Cambria Math" w:hAnsi="Cambria Math"/>
                      </w:rPr>
                    </m:ctrlPr>
                  </m:fPr>
                  <m:num>
                    <m:r>
                      <w:rPr>
                        <w:rFonts w:ascii="Cambria Math" w:hAnsi="Cambria Math"/>
                      </w:rPr>
                      <m:t>1</m:t>
                    </m:r>
                  </m:num>
                  <m:den>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m:t>
                            </m:r>
                          </m:sub>
                        </m:sSub>
                      </m:num>
                      <m:den>
                        <m:sSub>
                          <m:sSubPr>
                            <m:ctrlPr>
                              <w:rPr>
                                <w:rFonts w:ascii="Cambria Math" w:hAnsi="Cambria Math"/>
                              </w:rPr>
                            </m:ctrlPr>
                          </m:sSubPr>
                          <m:e>
                            <m:r>
                              <w:rPr>
                                <w:rFonts w:ascii="Cambria Math" w:hAnsi="Cambria Math"/>
                              </w:rPr>
                              <m:t>T</m:t>
                            </m:r>
                          </m:e>
                          <m:sub>
                            <m:r>
                              <w:rPr>
                                <w:rFonts w:ascii="Cambria Math" w:hAnsi="Cambria Math"/>
                              </w:rPr>
                              <m:t>L</m:t>
                            </m:r>
                          </m:sub>
                        </m:sSub>
                      </m:den>
                    </m:f>
                    <m:r>
                      <w:rPr>
                        <w:rFonts w:ascii="Cambria Math" w:hAnsi="Cambria Math"/>
                      </w:rPr>
                      <m:t>-1</m:t>
                    </m:r>
                  </m:den>
                </m:f>
              </m:oMath>
            </m:oMathPara>
          </w:p>
        </w:tc>
        <w:tc>
          <w:tcPr>
            <w:tcW w:w="803" w:type="dxa"/>
            <w:shd w:val="clear" w:color="auto" w:fill="auto"/>
            <w:vAlign w:val="center"/>
          </w:tcPr>
          <w:p w14:paraId="469891AD" w14:textId="3DEFCD15" w:rsidR="00EC59E5" w:rsidRPr="00B57B36" w:rsidRDefault="00EC59E5" w:rsidP="00B60A51">
            <w:pPr>
              <w:pStyle w:val="CETEquation"/>
              <w:jc w:val="right"/>
            </w:pPr>
            <w:r w:rsidRPr="00B57B36">
              <w:t>(</w:t>
            </w:r>
            <w:r w:rsidR="006C4C93">
              <w:t>3</w:t>
            </w:r>
            <w:r w:rsidRPr="00B57B36">
              <w:t>)</w:t>
            </w:r>
          </w:p>
        </w:tc>
      </w:tr>
    </w:tbl>
    <w:p w14:paraId="24591909" w14:textId="78634D2C" w:rsidR="009A7ED5" w:rsidRDefault="00591BB4" w:rsidP="00A71678">
      <w:pPr>
        <w:pStyle w:val="CETListbullets"/>
        <w:ind w:left="426" w:firstLine="0"/>
      </w:pPr>
      <w:r>
        <w:t xml:space="preserve">From </w:t>
      </w:r>
      <w:r w:rsidR="00141DA9">
        <w:t xml:space="preserve">the </w:t>
      </w:r>
      <w:r>
        <w:t xml:space="preserve">ideal </w:t>
      </w:r>
      <w:r w:rsidRPr="00552934">
        <w:rPr>
          <w:i/>
          <w:iCs/>
        </w:rPr>
        <w:t>COP</w:t>
      </w:r>
      <w:r>
        <w:t xml:space="preserve"> of equation (3), t</w:t>
      </w:r>
      <w:r w:rsidR="009A7ED5">
        <w:t xml:space="preserve">he real </w:t>
      </w:r>
      <w:r w:rsidR="00EC59E5" w:rsidRPr="00094AD1">
        <w:rPr>
          <w:i/>
          <w:iCs/>
        </w:rPr>
        <w:t>COP</w:t>
      </w:r>
      <w:r w:rsidR="009A7ED5">
        <w:t xml:space="preserve"> can be </w:t>
      </w:r>
      <w:r>
        <w:t>calculated</w:t>
      </w:r>
      <w:r w:rsidR="009A7ED5">
        <w:t xml:space="preserve"> through </w:t>
      </w:r>
      <w:r>
        <w:t>equation (4)</w:t>
      </w:r>
      <w:r w:rsidR="00A71678">
        <w:t xml:space="preserve">, taking into account the rational efficiency </w:t>
      </w:r>
      <w:proofErr w:type="spellStart"/>
      <w:r w:rsidR="00A71678" w:rsidRPr="00A71678">
        <w:rPr>
          <w:rFonts w:cs="Arial"/>
          <w:i/>
          <w:iCs/>
        </w:rPr>
        <w:t>η</w:t>
      </w:r>
      <w:r w:rsidR="00A71678">
        <w:rPr>
          <w:i/>
          <w:iCs/>
          <w:vertAlign w:val="subscript"/>
        </w:rPr>
        <w:t>II</w:t>
      </w:r>
      <w:proofErr w:type="spellEnd"/>
      <w:r>
        <w:t xml:space="preserve"> and the amount of hydrogen equivalent to the cooling duty </w:t>
      </w:r>
      <w:r w:rsidRPr="00591BB4">
        <w:rPr>
          <w:i/>
          <w:iCs/>
        </w:rPr>
        <w:t>Q</w:t>
      </w:r>
      <w:r>
        <w:t xml:space="preserve"> can be determined according to </w:t>
      </w:r>
      <w:r w:rsidR="00141DA9">
        <w:t>equation</w:t>
      </w:r>
      <w:r>
        <w:t xml:space="preserve"> (5)</w:t>
      </w:r>
      <w:r w:rsidR="00A71678">
        <w:t xml:space="preserve">, from the value of the efficiency of the combined cycle </w:t>
      </w:r>
      <w:proofErr w:type="spellStart"/>
      <w:r w:rsidR="00A71678" w:rsidRPr="00A71678">
        <w:rPr>
          <w:rFonts w:cs="Arial"/>
          <w:i/>
          <w:iCs/>
        </w:rPr>
        <w:t>η</w:t>
      </w:r>
      <w:r w:rsidR="00A71678" w:rsidRPr="00A71678">
        <w:rPr>
          <w:i/>
          <w:iCs/>
          <w:vertAlign w:val="subscript"/>
        </w:rPr>
        <w:t>CC</w:t>
      </w:r>
      <w:proofErr w:type="spellEnd"/>
      <w:r>
        <w:t>.</w:t>
      </w:r>
    </w:p>
    <w:tbl>
      <w:tblPr>
        <w:tblW w:w="4758" w:type="pct"/>
        <w:tblInd w:w="426" w:type="dxa"/>
        <w:tblLook w:val="04A0" w:firstRow="1" w:lastRow="0" w:firstColumn="1" w:lastColumn="0" w:noHBand="0" w:noVBand="1"/>
      </w:tblPr>
      <w:tblGrid>
        <w:gridCol w:w="7560"/>
        <w:gridCol w:w="802"/>
      </w:tblGrid>
      <w:tr w:rsidR="00EC59E5" w:rsidRPr="00B57B36" w14:paraId="47151BDB" w14:textId="77777777" w:rsidTr="00141DA9">
        <w:tc>
          <w:tcPr>
            <w:tcW w:w="7559" w:type="dxa"/>
            <w:shd w:val="clear" w:color="auto" w:fill="auto"/>
            <w:vAlign w:val="center"/>
          </w:tcPr>
          <w:p w14:paraId="11890993" w14:textId="08AFD6F1" w:rsidR="00EC59E5" w:rsidRPr="00B57B36" w:rsidRDefault="00735D3B" w:rsidP="00B60A51">
            <w:pPr>
              <w:pStyle w:val="CETEquation"/>
            </w:pPr>
            <m:oMathPara>
              <m:oMath>
                <m:r>
                  <w:rPr>
                    <w:rFonts w:ascii="Cambria Math" w:hAnsi="Cambria Math"/>
                  </w:rPr>
                  <m:t>CO</m:t>
                </m:r>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=CO</m:t>
                </m:r>
                <m:sSub>
                  <m:sSubPr>
                    <m:ctrlPr>
                      <w:rPr>
                        <w:rFonts w:ascii="Cambria Math" w:hAnsi="Cambria Math"/>
                      </w:rPr>
                    </m:ctrlPr>
                  </m:sSubPr>
                  <m:e>
                    <m:r>
                      <w:rPr>
                        <w:rFonts w:ascii="Cambria Math" w:hAnsi="Cambria Math"/>
                      </w:rPr>
                      <m:t>P</m:t>
                    </m:r>
                  </m:e>
                  <m:sub>
                    <m:r>
                      <w:rPr>
                        <w:rFonts w:ascii="Cambria Math" w:hAnsi="Cambria Math"/>
                      </w:rPr>
                      <m:t>R,Carnot</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II</m:t>
                    </m:r>
                  </m:sub>
                </m:sSub>
              </m:oMath>
            </m:oMathPara>
          </w:p>
        </w:tc>
        <w:tc>
          <w:tcPr>
            <w:tcW w:w="802" w:type="dxa"/>
            <w:shd w:val="clear" w:color="auto" w:fill="auto"/>
            <w:vAlign w:val="center"/>
          </w:tcPr>
          <w:p w14:paraId="51410978" w14:textId="6D5B316B" w:rsidR="00EC59E5" w:rsidRPr="00B57B36" w:rsidRDefault="00EC59E5" w:rsidP="00B60A51">
            <w:pPr>
              <w:pStyle w:val="CETEquation"/>
              <w:jc w:val="right"/>
            </w:pPr>
            <w:r w:rsidRPr="00B57B36">
              <w:t>(</w:t>
            </w:r>
            <w:r w:rsidR="006C4C93">
              <w:t>4</w:t>
            </w:r>
            <w:r w:rsidRPr="00B57B36">
              <w:t>)</w:t>
            </w:r>
          </w:p>
        </w:tc>
      </w:tr>
      <w:tr w:rsidR="00EC59E5" w:rsidRPr="00B57B36" w14:paraId="1E48ECC9" w14:textId="77777777" w:rsidTr="00141DA9">
        <w:tc>
          <w:tcPr>
            <w:tcW w:w="7559" w:type="dxa"/>
            <w:shd w:val="clear" w:color="auto" w:fill="auto"/>
            <w:vAlign w:val="center"/>
          </w:tcPr>
          <w:p w14:paraId="66E7A247" w14:textId="455A9EE9" w:rsidR="00EC59E5" w:rsidRPr="00B57B36" w:rsidRDefault="003210CD" w:rsidP="00B60A51">
            <w:pPr>
              <w:pStyle w:val="CETEquation"/>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sSub>
                      <m:sSubPr>
                        <m:ctrlPr>
                          <w:rPr>
                            <w:rFonts w:ascii="Cambria Math" w:hAnsi="Cambria Math"/>
                          </w:rPr>
                        </m:ctrlPr>
                      </m:sSubPr>
                      <m:e>
                        <m:r>
                          <w:rPr>
                            <w:rFonts w:ascii="Cambria Math" w:hAnsi="Cambria Math"/>
                          </w:rPr>
                          <m:t>H</m:t>
                        </m:r>
                      </m:e>
                      <m:sub>
                        <m:r>
                          <w:rPr>
                            <w:rFonts w:ascii="Cambria Math" w:hAnsi="Cambria Math"/>
                          </w:rPr>
                          <m:t>2</m:t>
                        </m:r>
                      </m:sub>
                    </m:sSub>
                  </m:sub>
                </m:sSub>
                <m:r>
                  <w:rPr>
                    <w:rFonts w:ascii="Cambria Math" w:hAnsi="Cambria Math"/>
                  </w:rPr>
                  <m:t>=</m:t>
                </m:r>
                <m:f>
                  <m:fPr>
                    <m:ctrlPr>
                      <w:rPr>
                        <w:rFonts w:ascii="Cambria Math" w:hAnsi="Cambria Math"/>
                      </w:rPr>
                    </m:ctrlPr>
                  </m:fPr>
                  <m:num>
                    <m:r>
                      <w:rPr>
                        <w:rFonts w:ascii="Cambria Math" w:hAnsi="Cambria Math"/>
                      </w:rPr>
                      <m:t>Q</m:t>
                    </m:r>
                  </m:num>
                  <m:den>
                    <m:r>
                      <w:rPr>
                        <w:rFonts w:ascii="Cambria Math" w:hAnsi="Cambria Math"/>
                      </w:rPr>
                      <m:t>CO</m:t>
                    </m:r>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CC</m:t>
                        </m:r>
                      </m:sub>
                    </m:sSub>
                    <m:r>
                      <w:rPr>
                        <w:rFonts w:ascii="Cambria Math" w:hAnsi="Cambria Math"/>
                      </w:rPr>
                      <m:t>⋅LH</m:t>
                    </m:r>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H</m:t>
                            </m:r>
                          </m:e>
                          <m:sub>
                            <m:r>
                              <w:rPr>
                                <w:rFonts w:ascii="Cambria Math" w:hAnsi="Cambria Math"/>
                              </w:rPr>
                              <m:t>2</m:t>
                            </m:r>
                          </m:sub>
                        </m:sSub>
                      </m:sub>
                    </m:sSub>
                  </m:den>
                </m:f>
              </m:oMath>
            </m:oMathPara>
          </w:p>
        </w:tc>
        <w:tc>
          <w:tcPr>
            <w:tcW w:w="802" w:type="dxa"/>
            <w:shd w:val="clear" w:color="auto" w:fill="auto"/>
            <w:vAlign w:val="center"/>
          </w:tcPr>
          <w:p w14:paraId="5F4968DE" w14:textId="0336E2F6" w:rsidR="00EC59E5" w:rsidRPr="00B57B36" w:rsidRDefault="00EC59E5" w:rsidP="00B60A51">
            <w:pPr>
              <w:pStyle w:val="CETEquation"/>
              <w:jc w:val="right"/>
            </w:pPr>
            <w:r w:rsidRPr="00B57B36">
              <w:t>(</w:t>
            </w:r>
            <w:r w:rsidR="006C4C93">
              <w:t>5</w:t>
            </w:r>
            <w:r w:rsidRPr="00B57B36">
              <w:t>)</w:t>
            </w:r>
          </w:p>
        </w:tc>
      </w:tr>
    </w:tbl>
    <w:p w14:paraId="7458854D" w14:textId="6D678C33" w:rsidR="009A7ED5" w:rsidRDefault="009A7ED5" w:rsidP="00A71678">
      <w:pPr>
        <w:pStyle w:val="CETBodytext"/>
        <w:numPr>
          <w:ilvl w:val="0"/>
          <w:numId w:val="27"/>
        </w:numPr>
      </w:pPr>
      <w:r>
        <w:tab/>
        <w:t xml:space="preserve">Mechanical work required by compressors, evaluated according to </w:t>
      </w:r>
      <w:r w:rsidR="00A71678">
        <w:t>equation</w:t>
      </w:r>
      <w:r>
        <w:t xml:space="preserve"> (</w:t>
      </w:r>
      <w:r w:rsidR="00A71678">
        <w:t>6</w:t>
      </w:r>
      <w:r>
        <w:t xml:space="preserve">), recalling that the </w:t>
      </w:r>
      <w:r w:rsidRPr="00A71678">
        <w:rPr>
          <w:i/>
          <w:iCs/>
        </w:rPr>
        <w:t>COP</w:t>
      </w:r>
      <w:r w:rsidRPr="00A71678">
        <w:rPr>
          <w:i/>
          <w:iCs/>
          <w:vertAlign w:val="subscript"/>
        </w:rPr>
        <w:t>R</w:t>
      </w:r>
      <w:r>
        <w:t xml:space="preserve"> represents the ratio </w:t>
      </w:r>
      <w:r w:rsidR="00A71678">
        <w:t>of</w:t>
      </w:r>
      <w:r>
        <w:t xml:space="preserve"> the provided cooling duty and the electrical energy consumed, </w:t>
      </w:r>
      <w:r w:rsidRPr="00A71678">
        <w:rPr>
          <w:i/>
          <w:iCs/>
        </w:rPr>
        <w:t>W</w:t>
      </w:r>
      <w:r w:rsidRPr="00A71678">
        <w:rPr>
          <w:i/>
          <w:iCs/>
          <w:vertAlign w:val="subscript"/>
        </w:rPr>
        <w:t>EL</w:t>
      </w:r>
      <w:r>
        <w:t>, by the cycle (</w:t>
      </w:r>
      <w:r w:rsidR="00A71678">
        <w:t>equation (6)</w:t>
      </w:r>
      <w:r>
        <w:t>).</w:t>
      </w:r>
    </w:p>
    <w:tbl>
      <w:tblPr>
        <w:tblW w:w="4758" w:type="pct"/>
        <w:tblInd w:w="426" w:type="dxa"/>
        <w:tblLook w:val="04A0" w:firstRow="1" w:lastRow="0" w:firstColumn="1" w:lastColumn="0" w:noHBand="0" w:noVBand="1"/>
      </w:tblPr>
      <w:tblGrid>
        <w:gridCol w:w="7560"/>
        <w:gridCol w:w="802"/>
      </w:tblGrid>
      <w:tr w:rsidR="00EC59E5" w:rsidRPr="00B57B36" w14:paraId="5966C3D2" w14:textId="77777777" w:rsidTr="00141DA9">
        <w:tc>
          <w:tcPr>
            <w:tcW w:w="7559" w:type="dxa"/>
            <w:shd w:val="clear" w:color="auto" w:fill="auto"/>
            <w:vAlign w:val="center"/>
          </w:tcPr>
          <w:p w14:paraId="61F21162" w14:textId="307317EF" w:rsidR="00EC59E5" w:rsidRPr="00B57B36" w:rsidRDefault="003210CD" w:rsidP="00B60A51">
            <w:pPr>
              <w:pStyle w:val="CETEquation"/>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sSub>
                      <m:sSubPr>
                        <m:ctrlPr>
                          <w:rPr>
                            <w:rFonts w:ascii="Cambria Math" w:hAnsi="Cambria Math"/>
                          </w:rPr>
                        </m:ctrlPr>
                      </m:sSubPr>
                      <m:e>
                        <m:r>
                          <w:rPr>
                            <w:rFonts w:ascii="Cambria Math" w:hAnsi="Cambria Math"/>
                          </w:rPr>
                          <m:t>H</m:t>
                        </m:r>
                      </m:e>
                      <m:sub>
                        <m:r>
                          <w:rPr>
                            <w:rFonts w:ascii="Cambria Math" w:hAnsi="Cambria Math"/>
                          </w:rPr>
                          <m:t>2</m:t>
                        </m:r>
                      </m:sub>
                    </m:sSub>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EL</m:t>
                        </m:r>
                      </m:sub>
                    </m:sSub>
                  </m:num>
                  <m:den>
                    <m:sSub>
                      <m:sSubPr>
                        <m:ctrlPr>
                          <w:rPr>
                            <w:rFonts w:ascii="Cambria Math" w:hAnsi="Cambria Math"/>
                          </w:rPr>
                        </m:ctrlPr>
                      </m:sSubPr>
                      <m:e>
                        <m:r>
                          <w:rPr>
                            <w:rFonts w:ascii="Cambria Math" w:hAnsi="Cambria Math"/>
                          </w:rPr>
                          <m:t>η</m:t>
                        </m:r>
                      </m:e>
                      <m:sub>
                        <m:r>
                          <w:rPr>
                            <w:rFonts w:ascii="Cambria Math" w:hAnsi="Cambria Math"/>
                          </w:rPr>
                          <m:t>CC</m:t>
                        </m:r>
                      </m:sub>
                    </m:sSub>
                    <m:r>
                      <w:rPr>
                        <w:rFonts w:ascii="Cambria Math" w:hAnsi="Cambria Math"/>
                      </w:rPr>
                      <m:t>⋅LH</m:t>
                    </m:r>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H</m:t>
                            </m:r>
                          </m:e>
                          <m:sub>
                            <m:r>
                              <w:rPr>
                                <w:rFonts w:ascii="Cambria Math" w:hAnsi="Cambria Math"/>
                              </w:rPr>
                              <m:t>2</m:t>
                            </m:r>
                          </m:sub>
                        </m:sSub>
                      </m:sub>
                    </m:sSub>
                  </m:den>
                </m:f>
              </m:oMath>
            </m:oMathPara>
          </w:p>
        </w:tc>
        <w:tc>
          <w:tcPr>
            <w:tcW w:w="802" w:type="dxa"/>
            <w:shd w:val="clear" w:color="auto" w:fill="auto"/>
            <w:vAlign w:val="center"/>
          </w:tcPr>
          <w:p w14:paraId="1E91C607" w14:textId="030C74CA" w:rsidR="00EC59E5" w:rsidRPr="00B57B36" w:rsidRDefault="00EC59E5" w:rsidP="00B60A51">
            <w:pPr>
              <w:pStyle w:val="CETEquation"/>
              <w:jc w:val="right"/>
            </w:pPr>
            <w:r w:rsidRPr="00B57B36">
              <w:t>(</w:t>
            </w:r>
            <w:r w:rsidR="006C4C93">
              <w:t>6</w:t>
            </w:r>
            <w:r w:rsidRPr="00B57B36">
              <w:t>)</w:t>
            </w:r>
          </w:p>
        </w:tc>
      </w:tr>
    </w:tbl>
    <w:p w14:paraId="383DF2A2" w14:textId="1F94B28F" w:rsidR="00EC59E5" w:rsidRDefault="00EC59E5" w:rsidP="00A71678">
      <w:pPr>
        <w:pStyle w:val="CETListbullets"/>
        <w:numPr>
          <w:ilvl w:val="0"/>
          <w:numId w:val="27"/>
        </w:numPr>
      </w:pPr>
      <w:r>
        <w:t xml:space="preserve">Heating above the ambient temperature, </w:t>
      </w:r>
      <w:r w:rsidR="00A71678">
        <w:t xml:space="preserve">calculated as in equation </w:t>
      </w:r>
      <w:r>
        <w:t>(</w:t>
      </w:r>
      <w:r w:rsidR="00A71678">
        <w:t>7</w:t>
      </w:r>
      <w:r>
        <w:t>)</w:t>
      </w:r>
      <w:r w:rsidR="0097650A">
        <w:t xml:space="preserve">, where </w:t>
      </w:r>
      <w:proofErr w:type="spellStart"/>
      <w:r w:rsidR="0097650A" w:rsidRPr="00A71678">
        <w:rPr>
          <w:rFonts w:cs="Arial"/>
          <w:i/>
          <w:iCs/>
        </w:rPr>
        <w:t>η</w:t>
      </w:r>
      <w:r w:rsidR="0097650A">
        <w:rPr>
          <w:i/>
          <w:iCs/>
          <w:vertAlign w:val="subscript"/>
        </w:rPr>
        <w:t>B</w:t>
      </w:r>
      <w:proofErr w:type="spellEnd"/>
      <w:r w:rsidR="0097650A">
        <w:t xml:space="preserve"> is the boiler efficiency</w:t>
      </w:r>
      <w:r>
        <w:t>.</w:t>
      </w:r>
    </w:p>
    <w:tbl>
      <w:tblPr>
        <w:tblW w:w="4758" w:type="pct"/>
        <w:tblInd w:w="426" w:type="dxa"/>
        <w:tblLook w:val="04A0" w:firstRow="1" w:lastRow="0" w:firstColumn="1" w:lastColumn="0" w:noHBand="0" w:noVBand="1"/>
      </w:tblPr>
      <w:tblGrid>
        <w:gridCol w:w="7560"/>
        <w:gridCol w:w="802"/>
      </w:tblGrid>
      <w:tr w:rsidR="00EC59E5" w:rsidRPr="00B57B36" w14:paraId="47A8D04C" w14:textId="77777777" w:rsidTr="00141DA9">
        <w:tc>
          <w:tcPr>
            <w:tcW w:w="7559" w:type="dxa"/>
            <w:shd w:val="clear" w:color="auto" w:fill="auto"/>
            <w:vAlign w:val="center"/>
          </w:tcPr>
          <w:p w14:paraId="121DE688" w14:textId="35311DE9" w:rsidR="00EC59E5" w:rsidRPr="00B57B36" w:rsidRDefault="003210CD" w:rsidP="00B60A51">
            <w:pPr>
              <w:pStyle w:val="CETEquation"/>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sSub>
                      <m:sSubPr>
                        <m:ctrlPr>
                          <w:rPr>
                            <w:rFonts w:ascii="Cambria Math" w:hAnsi="Cambria Math"/>
                          </w:rPr>
                        </m:ctrlPr>
                      </m:sSubPr>
                      <m:e>
                        <m:r>
                          <w:rPr>
                            <w:rFonts w:ascii="Cambria Math" w:hAnsi="Cambria Math"/>
                          </w:rPr>
                          <m:t>H</m:t>
                        </m:r>
                      </m:e>
                      <m:sub>
                        <m:r>
                          <w:rPr>
                            <w:rFonts w:ascii="Cambria Math" w:hAnsi="Cambria Math"/>
                          </w:rPr>
                          <m:t>2</m:t>
                        </m:r>
                      </m:sub>
                    </m:sSub>
                  </m:sub>
                </m:sSub>
                <m:r>
                  <w:rPr>
                    <w:rFonts w:ascii="Cambria Math" w:hAnsi="Cambria Math"/>
                  </w:rPr>
                  <m:t>=</m:t>
                </m:r>
                <m:f>
                  <m:fPr>
                    <m:ctrlPr>
                      <w:rPr>
                        <w:rFonts w:ascii="Cambria Math" w:hAnsi="Cambria Math"/>
                      </w:rPr>
                    </m:ctrlPr>
                  </m:fPr>
                  <m:num>
                    <m:r>
                      <w:rPr>
                        <w:rFonts w:ascii="Cambria Math" w:hAnsi="Cambria Math"/>
                      </w:rPr>
                      <m:t>Q</m:t>
                    </m:r>
                  </m:num>
                  <m:den>
                    <m:sSub>
                      <m:sSubPr>
                        <m:ctrlPr>
                          <w:rPr>
                            <w:rFonts w:ascii="Cambria Math" w:hAnsi="Cambria Math"/>
                          </w:rPr>
                        </m:ctrlPr>
                      </m:sSubPr>
                      <m:e>
                        <m:r>
                          <w:rPr>
                            <w:rFonts w:ascii="Cambria Math" w:hAnsi="Cambria Math"/>
                          </w:rPr>
                          <m:t>η</m:t>
                        </m:r>
                      </m:e>
                      <m:sub>
                        <m:r>
                          <w:rPr>
                            <w:rFonts w:ascii="Cambria Math" w:hAnsi="Cambria Math"/>
                          </w:rPr>
                          <m:t>B</m:t>
                        </m:r>
                      </m:sub>
                    </m:sSub>
                    <m:r>
                      <w:rPr>
                        <w:rFonts w:ascii="Cambria Math" w:hAnsi="Cambria Math"/>
                      </w:rPr>
                      <m:t>⋅LH</m:t>
                    </m:r>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H</m:t>
                            </m:r>
                          </m:e>
                          <m:sub>
                            <m:r>
                              <w:rPr>
                                <w:rFonts w:ascii="Cambria Math" w:hAnsi="Cambria Math"/>
                              </w:rPr>
                              <m:t>2</m:t>
                            </m:r>
                          </m:sub>
                        </m:sSub>
                      </m:sub>
                    </m:sSub>
                  </m:den>
                </m:f>
              </m:oMath>
            </m:oMathPara>
          </w:p>
        </w:tc>
        <w:tc>
          <w:tcPr>
            <w:tcW w:w="802" w:type="dxa"/>
            <w:shd w:val="clear" w:color="auto" w:fill="auto"/>
            <w:vAlign w:val="center"/>
          </w:tcPr>
          <w:p w14:paraId="2021B1A5" w14:textId="7E2FE825" w:rsidR="00EC59E5" w:rsidRPr="00B57B36" w:rsidRDefault="00EC59E5" w:rsidP="00B60A51">
            <w:pPr>
              <w:pStyle w:val="CETEquation"/>
              <w:jc w:val="right"/>
            </w:pPr>
            <w:r w:rsidRPr="00B57B36">
              <w:t>(</w:t>
            </w:r>
            <w:r w:rsidR="006C4C93">
              <w:t>7</w:t>
            </w:r>
            <w:r w:rsidRPr="00B57B36">
              <w:t>)</w:t>
            </w:r>
          </w:p>
        </w:tc>
      </w:tr>
    </w:tbl>
    <w:p w14:paraId="2E562C00" w14:textId="4784C698" w:rsidR="004577FE" w:rsidRDefault="005B5604" w:rsidP="009A7ED5">
      <w:pPr>
        <w:pStyle w:val="CETBodytext"/>
      </w:pPr>
      <w:r>
        <w:t>T</w:t>
      </w:r>
      <w:r w:rsidR="00094AD1">
        <w:t xml:space="preserve">his </w:t>
      </w:r>
      <w:r w:rsidR="00111F16">
        <w:t xml:space="preserve">methodology provides a standardized way of comparing hydrogen carriers based on practical and efficiency metrics, not just theoretical hydrogen content. </w:t>
      </w:r>
      <w:r>
        <w:t>Thus, the</w:t>
      </w:r>
      <w:r w:rsidR="00111F16">
        <w:t xml:space="preserve"> comparison allows for </w:t>
      </w:r>
      <w:r w:rsidR="00094AD1">
        <w:t xml:space="preserve">conscious </w:t>
      </w:r>
      <w:r w:rsidR="00111F16">
        <w:t>decision-making in selecting the most suitable hydrogen storage and transport solutions</w:t>
      </w:r>
      <w:r w:rsidR="00094AD1">
        <w:t>.</w:t>
      </w:r>
    </w:p>
    <w:p w14:paraId="3E7DD8A6" w14:textId="3C1710BC" w:rsidR="009A7ED5" w:rsidRDefault="009A7ED5" w:rsidP="009A7ED5">
      <w:pPr>
        <w:pStyle w:val="CETHeading1"/>
      </w:pPr>
      <w:r>
        <w:lastRenderedPageBreak/>
        <w:t>Results and discussion</w:t>
      </w:r>
    </w:p>
    <w:p w14:paraId="62276B91" w14:textId="604FE19A" w:rsidR="005B5604" w:rsidRPr="00B57B36" w:rsidRDefault="00094AD1" w:rsidP="005B5604">
      <w:pPr>
        <w:pStyle w:val="CETBodytext"/>
      </w:pPr>
      <w:r w:rsidRPr="00094AD1">
        <w:t xml:space="preserve">Based on the methodology described in section 2, </w:t>
      </w:r>
      <w:r w:rsidR="005B5604" w:rsidRPr="00094AD1">
        <w:t xml:space="preserve">energy consumptions </w:t>
      </w:r>
      <w:r w:rsidR="005B5604">
        <w:t>of the production stages of different H</w:t>
      </w:r>
      <w:r w:rsidR="005B5604" w:rsidRPr="005B5604">
        <w:rPr>
          <w:vertAlign w:val="subscript"/>
        </w:rPr>
        <w:t>2</w:t>
      </w:r>
      <w:r w:rsidR="005B5604">
        <w:t xml:space="preserve"> carriers (</w:t>
      </w:r>
      <w:r w:rsidR="005B5604" w:rsidRPr="00094AD1">
        <w:rPr>
          <w:rStyle w:val="CETCaptionCarattere"/>
          <w:i w:val="0"/>
          <w:lang w:val="en-US"/>
        </w:rPr>
        <w:t>liquefied H</w:t>
      </w:r>
      <w:r w:rsidR="005B5604" w:rsidRPr="00C50D9F">
        <w:rPr>
          <w:rStyle w:val="CETCaptionCarattere"/>
          <w:i w:val="0"/>
          <w:vertAlign w:val="subscript"/>
          <w:lang w:val="en-US"/>
        </w:rPr>
        <w:t>2</w:t>
      </w:r>
      <w:r w:rsidR="005B5604" w:rsidRPr="00094AD1">
        <w:rPr>
          <w:rStyle w:val="CETCaptionCarattere"/>
          <w:i w:val="0"/>
          <w:lang w:val="en-US"/>
        </w:rPr>
        <w:t xml:space="preserve"> (LH2), ammonia (NH3), toluene (TOL), DBT (dibenzyltoluene), formic acid (FA)</w:t>
      </w:r>
      <w:r w:rsidR="005B5604">
        <w:rPr>
          <w:rStyle w:val="CETCaptionCarattere"/>
          <w:i w:val="0"/>
          <w:lang w:val="en-US"/>
        </w:rPr>
        <w:t xml:space="preserve">) </w:t>
      </w:r>
      <w:r w:rsidR="005B5604">
        <w:t>are accounted for</w:t>
      </w:r>
      <w:r w:rsidR="005B5604" w:rsidRPr="00094AD1">
        <w:rPr>
          <w:rStyle w:val="CETCaptionCarattere"/>
          <w:i w:val="0"/>
          <w:lang w:val="en-US"/>
        </w:rPr>
        <w:t>.</w:t>
      </w:r>
      <w:r w:rsidR="005B5604">
        <w:rPr>
          <w:rStyle w:val="CETCaptionCarattere"/>
          <w:i w:val="0"/>
          <w:lang w:val="en-US"/>
        </w:rPr>
        <w:t xml:space="preserve"> </w:t>
      </w:r>
      <w:r w:rsidR="005B5604">
        <w:t>The same H</w:t>
      </w:r>
      <w:r w:rsidR="005B5604" w:rsidRPr="00AF5179">
        <w:rPr>
          <w:vertAlign w:val="subscript"/>
        </w:rPr>
        <w:t>2</w:t>
      </w:r>
      <w:r w:rsidR="005B5604">
        <w:t xml:space="preserve"> flow rate is considered for the synthesis of all these species, equal to 20000 Nm</w:t>
      </w:r>
      <w:r w:rsidR="005B5604" w:rsidRPr="00AF5179">
        <w:rPr>
          <w:vertAlign w:val="superscript"/>
        </w:rPr>
        <w:t>3</w:t>
      </w:r>
      <w:r w:rsidR="005B5604">
        <w:t>/h, to take into account the land footprint of solar panels.</w:t>
      </w:r>
    </w:p>
    <w:p w14:paraId="53C2129B" w14:textId="28F2C6DF" w:rsidR="003E7819" w:rsidRPr="00094AD1" w:rsidRDefault="005B5604" w:rsidP="00094AD1">
      <w:pPr>
        <w:pStyle w:val="CETBodytext"/>
      </w:pPr>
      <w:r>
        <w:t>As regards a</w:t>
      </w:r>
      <w:r>
        <w:rPr>
          <w:rStyle w:val="CETCaptionCarattere"/>
          <w:i w:val="0"/>
          <w:lang w:val="en-US"/>
        </w:rPr>
        <w:t>mmonia, toluene, dibenzyltoluene and liquefied hydrogen, t</w:t>
      </w:r>
      <w:r w:rsidR="00110FDB">
        <w:rPr>
          <w:rStyle w:val="CETCaptionCarattere"/>
          <w:i w:val="0"/>
          <w:lang w:val="en-US"/>
        </w:rPr>
        <w:t>he</w:t>
      </w:r>
      <w:r>
        <w:rPr>
          <w:rStyle w:val="CETCaptionCarattere"/>
          <w:i w:val="0"/>
          <w:lang w:val="en-US"/>
        </w:rPr>
        <w:t>ir</w:t>
      </w:r>
      <w:r w:rsidR="00110FDB">
        <w:rPr>
          <w:rStyle w:val="CETCaptionCarattere"/>
          <w:i w:val="0"/>
          <w:lang w:val="en-US"/>
        </w:rPr>
        <w:t xml:space="preserve"> detailed techn</w:t>
      </w:r>
      <w:r w:rsidR="00512B18">
        <w:rPr>
          <w:rStyle w:val="CETCaptionCarattere"/>
          <w:i w:val="0"/>
          <w:lang w:val="en-US"/>
        </w:rPr>
        <w:t xml:space="preserve">ical (Pellegrini et al., 2024) and </w:t>
      </w:r>
      <w:r w:rsidR="00110FDB">
        <w:rPr>
          <w:rStyle w:val="CETCaptionCarattere"/>
          <w:i w:val="0"/>
          <w:lang w:val="en-US"/>
        </w:rPr>
        <w:t xml:space="preserve">economic assessment </w:t>
      </w:r>
      <w:r w:rsidR="00512B18">
        <w:rPr>
          <w:rStyle w:val="CETCaptionCarattere"/>
          <w:i w:val="0"/>
          <w:lang w:val="en-US"/>
        </w:rPr>
        <w:t xml:space="preserve">(Spatolisano et al., 2024) </w:t>
      </w:r>
      <w:r w:rsidR="00110FDB">
        <w:rPr>
          <w:rStyle w:val="CETCaptionCarattere"/>
          <w:i w:val="0"/>
          <w:lang w:val="en-US"/>
        </w:rPr>
        <w:t xml:space="preserve">has been already published </w:t>
      </w:r>
      <w:r w:rsidR="00C50D9F">
        <w:rPr>
          <w:rStyle w:val="CETCaptionCarattere"/>
          <w:i w:val="0"/>
          <w:lang w:val="en-US"/>
        </w:rPr>
        <w:t>elsewhere</w:t>
      </w:r>
      <w:r w:rsidR="00512B18">
        <w:rPr>
          <w:rStyle w:val="CETCaptionCarattere"/>
          <w:i w:val="0"/>
          <w:lang w:val="en-US"/>
        </w:rPr>
        <w:t xml:space="preserve"> </w:t>
      </w:r>
      <w:r w:rsidR="00110FDB">
        <w:rPr>
          <w:rStyle w:val="CETCaptionCarattere"/>
          <w:i w:val="0"/>
          <w:lang w:val="en-US"/>
        </w:rPr>
        <w:t xml:space="preserve">and is not </w:t>
      </w:r>
      <w:r>
        <w:rPr>
          <w:rStyle w:val="CETCaptionCarattere"/>
          <w:i w:val="0"/>
          <w:lang w:val="en-US"/>
        </w:rPr>
        <w:t>detailed</w:t>
      </w:r>
      <w:r w:rsidR="00110FDB">
        <w:rPr>
          <w:rStyle w:val="CETCaptionCarattere"/>
          <w:i w:val="0"/>
          <w:lang w:val="en-US"/>
        </w:rPr>
        <w:t xml:space="preserve"> in this work. </w:t>
      </w:r>
      <w:r w:rsidR="000D2BA8">
        <w:rPr>
          <w:rStyle w:val="CETCaptionCarattere"/>
          <w:i w:val="0"/>
          <w:lang w:val="en-US"/>
        </w:rPr>
        <w:t>For formic acid, the catalytic production process of Figure 2 is assumed. Energy consumptions have been evaluated from Park et al</w:t>
      </w:r>
      <w:r w:rsidR="00512B18">
        <w:rPr>
          <w:rStyle w:val="CETCaptionCarattere"/>
          <w:i w:val="0"/>
          <w:lang w:val="en-US"/>
        </w:rPr>
        <w:t>.</w:t>
      </w:r>
      <w:r w:rsidR="000D2BA8">
        <w:rPr>
          <w:rStyle w:val="CETCaptionCarattere"/>
          <w:i w:val="0"/>
          <w:lang w:val="en-US"/>
        </w:rPr>
        <w:t xml:space="preserve"> (2020) and referred to the considered H</w:t>
      </w:r>
      <w:r w:rsidR="000D2BA8" w:rsidRPr="000D2BA8">
        <w:rPr>
          <w:rStyle w:val="CETCaptionCarattere"/>
          <w:i w:val="0"/>
          <w:vertAlign w:val="subscript"/>
          <w:lang w:val="en-US"/>
        </w:rPr>
        <w:t>2</w:t>
      </w:r>
      <w:r w:rsidR="000D2BA8">
        <w:rPr>
          <w:rStyle w:val="CETCaptionCarattere"/>
          <w:i w:val="0"/>
          <w:lang w:val="en-US"/>
        </w:rPr>
        <w:t xml:space="preserve"> capacity. </w:t>
      </w:r>
    </w:p>
    <w:p w14:paraId="3F01AE05" w14:textId="16F1A58C" w:rsidR="009A7ED5" w:rsidRDefault="003E3BA6" w:rsidP="00D14AAE">
      <w:pPr>
        <w:pStyle w:val="CETCaption"/>
        <w:jc w:val="center"/>
      </w:pPr>
      <w:r w:rsidRPr="003E3BA6">
        <w:rPr>
          <w:noProof/>
        </w:rPr>
        <w:drawing>
          <wp:inline distT="0" distB="0" distL="0" distR="0" wp14:anchorId="0789A7AC" wp14:editId="4BD0D25E">
            <wp:extent cx="3781958" cy="245800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447" t="6005" r="2556" b="4374"/>
                    <a:stretch/>
                  </pic:blipFill>
                  <pic:spPr bwMode="auto">
                    <a:xfrm>
                      <a:off x="0" y="0"/>
                      <a:ext cx="3796121" cy="2467212"/>
                    </a:xfrm>
                    <a:prstGeom prst="rect">
                      <a:avLst/>
                    </a:prstGeom>
                    <a:noFill/>
                    <a:ln>
                      <a:noFill/>
                    </a:ln>
                    <a:extLst>
                      <a:ext uri="{53640926-AAD7-44D8-BBD7-CCE9431645EC}">
                        <a14:shadowObscured xmlns:a14="http://schemas.microsoft.com/office/drawing/2010/main"/>
                      </a:ext>
                    </a:extLst>
                  </pic:spPr>
                </pic:pic>
              </a:graphicData>
            </a:graphic>
          </wp:inline>
        </w:drawing>
      </w:r>
    </w:p>
    <w:p w14:paraId="3181BBEF" w14:textId="5CA878C3" w:rsidR="00B2477F" w:rsidRDefault="00B2477F" w:rsidP="00BD077D">
      <w:pPr>
        <w:pStyle w:val="CETCaption"/>
      </w:pPr>
      <w:r w:rsidRPr="00BD077D">
        <w:rPr>
          <w:rStyle w:val="CETCaptionCarattere"/>
          <w:i/>
        </w:rPr>
        <w:t xml:space="preserve">Figure </w:t>
      </w:r>
      <w:r w:rsidR="00C50D9F">
        <w:rPr>
          <w:rStyle w:val="CETCaptionCarattere"/>
          <w:i/>
        </w:rPr>
        <w:t>3</w:t>
      </w:r>
      <w:r w:rsidRPr="00BD077D">
        <w:rPr>
          <w:rStyle w:val="CETCaptionCarattere"/>
          <w:i/>
        </w:rPr>
        <w:t>:</w:t>
      </w:r>
      <w:r>
        <w:rPr>
          <w:rStyle w:val="CETCaptionCarattere"/>
          <w:i/>
        </w:rPr>
        <w:t xml:space="preserve"> Energy consumptions in terms of equivalent H</w:t>
      </w:r>
      <w:r w:rsidRPr="00B2477F">
        <w:rPr>
          <w:rStyle w:val="CETCaptionCarattere"/>
          <w:i/>
          <w:vertAlign w:val="subscript"/>
        </w:rPr>
        <w:t>2</w:t>
      </w:r>
      <w:r>
        <w:rPr>
          <w:rStyle w:val="CETCaptionCarattere"/>
          <w:i/>
        </w:rPr>
        <w:t xml:space="preserve"> for the production stage of different H</w:t>
      </w:r>
      <w:r w:rsidRPr="00B2477F">
        <w:rPr>
          <w:rStyle w:val="CETCaptionCarattere"/>
          <w:i/>
          <w:vertAlign w:val="subscript"/>
        </w:rPr>
        <w:t>2</w:t>
      </w:r>
      <w:r>
        <w:rPr>
          <w:rStyle w:val="CETCaptionCarattere"/>
          <w:i/>
        </w:rPr>
        <w:t xml:space="preserve"> carriers: liquefied H</w:t>
      </w:r>
      <w:r w:rsidRPr="00B2477F">
        <w:rPr>
          <w:rStyle w:val="CETCaptionCarattere"/>
          <w:i/>
          <w:vertAlign w:val="subscript"/>
        </w:rPr>
        <w:t>2</w:t>
      </w:r>
      <w:r>
        <w:rPr>
          <w:rStyle w:val="CETCaptionCarattere"/>
          <w:i/>
        </w:rPr>
        <w:t xml:space="preserve"> (LH2), ammonia (NH3), toluene (TOL), </w:t>
      </w:r>
      <w:r w:rsidR="003E3BA6">
        <w:rPr>
          <w:rStyle w:val="CETCaptionCarattere"/>
          <w:i/>
        </w:rPr>
        <w:t xml:space="preserve">dibenzyltoluene </w:t>
      </w:r>
      <w:r>
        <w:rPr>
          <w:rStyle w:val="CETCaptionCarattere"/>
          <w:i/>
        </w:rPr>
        <w:t>(</w:t>
      </w:r>
      <w:r w:rsidR="003E3BA6">
        <w:rPr>
          <w:rStyle w:val="CETCaptionCarattere"/>
          <w:i/>
        </w:rPr>
        <w:t>DBT</w:t>
      </w:r>
      <w:r>
        <w:rPr>
          <w:rStyle w:val="CETCaptionCarattere"/>
          <w:i/>
        </w:rPr>
        <w:t>), formic acid (FA).</w:t>
      </w:r>
      <w:r w:rsidRPr="00BD077D">
        <w:t xml:space="preserve"> </w:t>
      </w:r>
    </w:p>
    <w:p w14:paraId="7EA99987" w14:textId="16C049F3" w:rsidR="000E71B5" w:rsidRPr="000E71B5" w:rsidRDefault="000D2BA8" w:rsidP="000E71B5">
      <w:pPr>
        <w:pStyle w:val="CETBodytext"/>
        <w:rPr>
          <w:lang w:val="en-GB"/>
        </w:rPr>
      </w:pPr>
      <w:r w:rsidRPr="000E71B5">
        <w:rPr>
          <w:lang w:val="en-GB"/>
        </w:rPr>
        <w:t>As can be observed in Figure 3, formic acid production stage is very energy intensive with respect to the other carriers, consuming even more H</w:t>
      </w:r>
      <w:r w:rsidRPr="000E71B5">
        <w:rPr>
          <w:vertAlign w:val="subscript"/>
          <w:lang w:val="en-GB"/>
        </w:rPr>
        <w:t>2</w:t>
      </w:r>
      <w:r w:rsidRPr="000E71B5">
        <w:rPr>
          <w:lang w:val="en-GB"/>
        </w:rPr>
        <w:t xml:space="preserve"> than the one needed by gaseous hydrogen liquefaction. </w:t>
      </w:r>
      <w:r w:rsidR="003E3BA6" w:rsidRPr="000E71B5">
        <w:rPr>
          <w:lang w:val="en-GB"/>
        </w:rPr>
        <w:t xml:space="preserve">Indeed, the production stage of Figure 2 is quite complex: it involves </w:t>
      </w:r>
      <w:r w:rsidR="00552934">
        <w:rPr>
          <w:lang w:val="en-GB"/>
        </w:rPr>
        <w:t xml:space="preserve">a </w:t>
      </w:r>
      <w:r w:rsidR="003E3BA6" w:rsidRPr="000E71B5">
        <w:rPr>
          <w:lang w:val="en-GB"/>
        </w:rPr>
        <w:t>huge quantity of amine diluted in water which act as the reaction medium. This amine undergoes a reactive distillation, in which it is substituted by a heavier homologue to enable the product separation. Also, the system is strongly non ideal: a heterogeneous ternary azeotrope is present</w:t>
      </w:r>
      <w:r w:rsidR="000E71B5" w:rsidRPr="000E71B5">
        <w:rPr>
          <w:lang w:val="en-GB"/>
        </w:rPr>
        <w:t>,</w:t>
      </w:r>
      <w:r w:rsidR="003E3BA6" w:rsidRPr="000E71B5">
        <w:rPr>
          <w:lang w:val="en-GB"/>
        </w:rPr>
        <w:t xml:space="preserve"> formed by water, formic acid complex and amine. </w:t>
      </w:r>
    </w:p>
    <w:p w14:paraId="235A17FD" w14:textId="4E58F45B" w:rsidR="000E71B5" w:rsidRDefault="003E3BA6" w:rsidP="000E71B5">
      <w:pPr>
        <w:pStyle w:val="CETBodytext"/>
        <w:rPr>
          <w:iCs/>
        </w:rPr>
      </w:pPr>
      <w:r w:rsidRPr="000E71B5">
        <w:rPr>
          <w:iCs/>
        </w:rPr>
        <w:t>Liquefied H</w:t>
      </w:r>
      <w:r w:rsidRPr="000E71B5">
        <w:rPr>
          <w:iCs/>
          <w:vertAlign w:val="subscript"/>
        </w:rPr>
        <w:t>2</w:t>
      </w:r>
      <w:r w:rsidRPr="000E71B5">
        <w:rPr>
          <w:iCs/>
        </w:rPr>
        <w:t xml:space="preserve"> (LH2), ammonia (NH3), toluene (TOL) and </w:t>
      </w:r>
      <w:r w:rsidR="00552934" w:rsidRPr="000E71B5">
        <w:rPr>
          <w:iCs/>
        </w:rPr>
        <w:t>dibenzyltoluene</w:t>
      </w:r>
      <w:r w:rsidR="00552934" w:rsidRPr="000E71B5">
        <w:rPr>
          <w:iCs/>
        </w:rPr>
        <w:t xml:space="preserve"> </w:t>
      </w:r>
      <w:r w:rsidRPr="000E71B5">
        <w:rPr>
          <w:iCs/>
        </w:rPr>
        <w:t>(</w:t>
      </w:r>
      <w:r w:rsidR="00552934" w:rsidRPr="000E71B5">
        <w:rPr>
          <w:iCs/>
        </w:rPr>
        <w:t>DBT</w:t>
      </w:r>
      <w:r w:rsidRPr="000E71B5">
        <w:rPr>
          <w:iCs/>
        </w:rPr>
        <w:t xml:space="preserve">) only require electric energy for their production stage. On the other hand, formic acid needs a huge amount of heat for the separation downstream the reaction section to occur. </w:t>
      </w:r>
      <w:r w:rsidR="000E71B5">
        <w:rPr>
          <w:iCs/>
        </w:rPr>
        <w:t xml:space="preserve">This is another drawback of the analyzed production stage, as </w:t>
      </w:r>
      <w:r w:rsidRPr="000E71B5">
        <w:rPr>
          <w:iCs/>
        </w:rPr>
        <w:t xml:space="preserve">heating </w:t>
      </w:r>
      <w:r w:rsidR="000E71B5">
        <w:rPr>
          <w:iCs/>
        </w:rPr>
        <w:t>by a hot utility as stream</w:t>
      </w:r>
      <w:r w:rsidRPr="000E71B5">
        <w:rPr>
          <w:iCs/>
        </w:rPr>
        <w:t xml:space="preserve"> is associated with indirect CO</w:t>
      </w:r>
      <w:r w:rsidRPr="000E71B5">
        <w:rPr>
          <w:iCs/>
          <w:vertAlign w:val="subscript"/>
        </w:rPr>
        <w:t>2</w:t>
      </w:r>
      <w:r w:rsidRPr="000E71B5">
        <w:rPr>
          <w:iCs/>
        </w:rPr>
        <w:t xml:space="preserve"> emissions release. </w:t>
      </w:r>
    </w:p>
    <w:p w14:paraId="3360B0DC" w14:textId="59C636D8" w:rsidR="000D2BA8" w:rsidRPr="000E71B5" w:rsidRDefault="000E71B5" w:rsidP="000E71B5">
      <w:pPr>
        <w:pStyle w:val="CETBodytext"/>
        <w:rPr>
          <w:iCs/>
          <w:lang w:val="en-GB"/>
        </w:rPr>
      </w:pPr>
      <w:r>
        <w:rPr>
          <w:iCs/>
        </w:rPr>
        <w:t xml:space="preserve">Due to the energy-intensive </w:t>
      </w:r>
      <w:r w:rsidR="00552934">
        <w:rPr>
          <w:lang w:val="en-GB"/>
        </w:rPr>
        <w:t>reaction</w:t>
      </w:r>
      <w:r w:rsidRPr="000E71B5">
        <w:rPr>
          <w:lang w:val="en-GB"/>
        </w:rPr>
        <w:t xml:space="preserve"> and separation stages</w:t>
      </w:r>
      <w:r>
        <w:rPr>
          <w:lang w:val="en-GB"/>
        </w:rPr>
        <w:t xml:space="preserve">, green formic acid production of Figure 2 is </w:t>
      </w:r>
      <w:r w:rsidRPr="000E71B5">
        <w:rPr>
          <w:lang w:val="en-GB"/>
        </w:rPr>
        <w:t>far from the industrialization target.</w:t>
      </w:r>
    </w:p>
    <w:p w14:paraId="68D26B83" w14:textId="77777777" w:rsidR="00600535" w:rsidRPr="00B57B36" w:rsidRDefault="00600535" w:rsidP="00600535">
      <w:pPr>
        <w:pStyle w:val="CETHeading1"/>
        <w:rPr>
          <w:lang w:val="en-GB"/>
        </w:rPr>
      </w:pPr>
      <w:r w:rsidRPr="00B57B36">
        <w:rPr>
          <w:lang w:val="en-GB"/>
        </w:rPr>
        <w:t>Conclusions</w:t>
      </w:r>
    </w:p>
    <w:p w14:paraId="11815ECB" w14:textId="52AD9CF9" w:rsidR="005E0ACF" w:rsidRDefault="005E0ACF" w:rsidP="00600535">
      <w:pPr>
        <w:pStyle w:val="CETBodytext"/>
        <w:rPr>
          <w:lang w:val="en-GB"/>
        </w:rPr>
      </w:pPr>
      <w:r>
        <w:rPr>
          <w:lang w:val="en-GB"/>
        </w:rPr>
        <w:t>This work discusses</w:t>
      </w:r>
      <w:r w:rsidR="0070061C" w:rsidRPr="0070061C">
        <w:rPr>
          <w:lang w:val="en-GB"/>
        </w:rPr>
        <w:t xml:space="preserve"> </w:t>
      </w:r>
      <w:r w:rsidR="0070061C">
        <w:rPr>
          <w:lang w:val="en-GB"/>
        </w:rPr>
        <w:t>the potential of formic acid (FA) as green H</w:t>
      </w:r>
      <w:r w:rsidR="0070061C" w:rsidRPr="005E0ACF">
        <w:rPr>
          <w:vertAlign w:val="subscript"/>
          <w:lang w:val="en-GB"/>
        </w:rPr>
        <w:t>2</w:t>
      </w:r>
      <w:r w:rsidR="0070061C">
        <w:rPr>
          <w:lang w:val="en-GB"/>
        </w:rPr>
        <w:t xml:space="preserve"> carrier</w:t>
      </w:r>
      <w:r>
        <w:rPr>
          <w:lang w:val="en-GB"/>
        </w:rPr>
        <w:t xml:space="preserve">, </w:t>
      </w:r>
      <w:r w:rsidR="0070061C">
        <w:rPr>
          <w:lang w:val="en-GB"/>
        </w:rPr>
        <w:t>focusing on its production stage from CO</w:t>
      </w:r>
      <w:r w:rsidR="0070061C" w:rsidRPr="0070061C">
        <w:rPr>
          <w:vertAlign w:val="subscript"/>
          <w:lang w:val="en-GB"/>
        </w:rPr>
        <w:t>2</w:t>
      </w:r>
      <w:r w:rsidR="0070061C">
        <w:rPr>
          <w:lang w:val="en-GB"/>
        </w:rPr>
        <w:t xml:space="preserve"> and H</w:t>
      </w:r>
      <w:r w:rsidR="0070061C" w:rsidRPr="0070061C">
        <w:rPr>
          <w:vertAlign w:val="subscript"/>
          <w:lang w:val="en-GB"/>
        </w:rPr>
        <w:t>2</w:t>
      </w:r>
      <w:r w:rsidR="0070061C">
        <w:rPr>
          <w:lang w:val="en-GB"/>
        </w:rPr>
        <w:tab/>
        <w:t xml:space="preserve">. Referring to the studies reported in literature, FA catalytic synthesis is analysed by means of </w:t>
      </w:r>
      <w:r>
        <w:rPr>
          <w:lang w:val="en-GB"/>
        </w:rPr>
        <w:t xml:space="preserve">the equivalent hydrogen methodology described </w:t>
      </w:r>
      <w:r w:rsidR="000D41F2">
        <w:rPr>
          <w:lang w:val="en-GB"/>
        </w:rPr>
        <w:t xml:space="preserve">in section </w:t>
      </w:r>
      <w:r w:rsidR="0070061C">
        <w:rPr>
          <w:lang w:val="en-GB"/>
        </w:rPr>
        <w:t>2</w:t>
      </w:r>
      <w:r>
        <w:rPr>
          <w:lang w:val="en-GB"/>
        </w:rPr>
        <w:t>.</w:t>
      </w:r>
      <w:r w:rsidR="000D41F2">
        <w:rPr>
          <w:lang w:val="en-GB"/>
        </w:rPr>
        <w:t xml:space="preserve"> </w:t>
      </w:r>
      <w:r>
        <w:rPr>
          <w:lang w:val="en-GB"/>
        </w:rPr>
        <w:t>Due to the low maturity of the synthesis stage from CO</w:t>
      </w:r>
      <w:r w:rsidRPr="005E0ACF">
        <w:rPr>
          <w:vertAlign w:val="subscript"/>
          <w:lang w:val="en-GB"/>
        </w:rPr>
        <w:t>2</w:t>
      </w:r>
      <w:r>
        <w:rPr>
          <w:lang w:val="en-GB"/>
        </w:rPr>
        <w:t xml:space="preserve">, as well as the lack of effective heterogeneous catalysts, </w:t>
      </w:r>
      <w:r w:rsidR="00E47102">
        <w:rPr>
          <w:lang w:val="en-GB"/>
        </w:rPr>
        <w:t xml:space="preserve">formic acid </w:t>
      </w:r>
      <w:r w:rsidR="000D41F2">
        <w:rPr>
          <w:lang w:val="en-GB"/>
        </w:rPr>
        <w:t xml:space="preserve">is </w:t>
      </w:r>
      <w:r>
        <w:rPr>
          <w:lang w:val="en-GB"/>
        </w:rPr>
        <w:t xml:space="preserve">proved to be </w:t>
      </w:r>
      <w:r w:rsidR="000D41F2">
        <w:rPr>
          <w:lang w:val="en-GB"/>
        </w:rPr>
        <w:t>a</w:t>
      </w:r>
      <w:r>
        <w:rPr>
          <w:lang w:val="en-GB"/>
        </w:rPr>
        <w:t>n</w:t>
      </w:r>
      <w:r w:rsidR="000D41F2">
        <w:rPr>
          <w:lang w:val="en-GB"/>
        </w:rPr>
        <w:t xml:space="preserve"> </w:t>
      </w:r>
      <w:r>
        <w:rPr>
          <w:lang w:val="en-GB"/>
        </w:rPr>
        <w:t xml:space="preserve">unrealistic alternative for hydrogen transport. </w:t>
      </w:r>
    </w:p>
    <w:p w14:paraId="532BC94F" w14:textId="77777777" w:rsidR="005E0ACF" w:rsidRDefault="000D41F2" w:rsidP="00600535">
      <w:pPr>
        <w:pStyle w:val="CETBodytext"/>
        <w:rPr>
          <w:lang w:val="en-GB"/>
        </w:rPr>
      </w:pPr>
      <w:r>
        <w:rPr>
          <w:lang w:val="en-GB"/>
        </w:rPr>
        <w:t xml:space="preserve">Research efforts should be devoted to the identification of more active </w:t>
      </w:r>
      <w:r w:rsidR="00E47102">
        <w:rPr>
          <w:lang w:val="en-GB"/>
        </w:rPr>
        <w:t>and selective catalyst</w:t>
      </w:r>
      <w:r>
        <w:rPr>
          <w:lang w:val="en-GB"/>
        </w:rPr>
        <w:t>s, also considering the process design aspect</w:t>
      </w:r>
      <w:r w:rsidR="005E0ACF">
        <w:rPr>
          <w:lang w:val="en-GB"/>
        </w:rPr>
        <w:t>. In the present case study, despite the good catalytic performances, product separation from the reaction medium is not straightforward and calls for energy-intensive unit operations</w:t>
      </w:r>
      <w:r w:rsidR="00600535" w:rsidRPr="00B57B36">
        <w:rPr>
          <w:lang w:val="en-GB"/>
        </w:rPr>
        <w:t>.</w:t>
      </w:r>
      <w:r w:rsidR="00E47102">
        <w:rPr>
          <w:lang w:val="en-GB"/>
        </w:rPr>
        <w:t xml:space="preserve"> </w:t>
      </w:r>
    </w:p>
    <w:p w14:paraId="6F240C55" w14:textId="77777777" w:rsidR="005E0ACF" w:rsidRDefault="000D41F2" w:rsidP="00600535">
      <w:pPr>
        <w:pStyle w:val="CETBodytext"/>
        <w:rPr>
          <w:lang w:val="en-GB"/>
        </w:rPr>
      </w:pPr>
      <w:r>
        <w:rPr>
          <w:lang w:val="en-GB"/>
        </w:rPr>
        <w:t>In addition</w:t>
      </w:r>
      <w:r w:rsidR="00E47102">
        <w:rPr>
          <w:lang w:val="en-GB"/>
        </w:rPr>
        <w:t xml:space="preserve">, </w:t>
      </w:r>
      <w:r w:rsidR="005E0ACF">
        <w:rPr>
          <w:lang w:val="en-GB"/>
        </w:rPr>
        <w:t xml:space="preserve">it must be pointed out that </w:t>
      </w:r>
      <w:r w:rsidR="00E47102">
        <w:rPr>
          <w:lang w:val="en-GB"/>
        </w:rPr>
        <w:t xml:space="preserve">the </w:t>
      </w:r>
      <w:r>
        <w:rPr>
          <w:lang w:val="en-GB"/>
        </w:rPr>
        <w:t xml:space="preserve">HCOOH </w:t>
      </w:r>
      <w:r w:rsidR="00E47102">
        <w:rPr>
          <w:lang w:val="en-GB"/>
        </w:rPr>
        <w:t xml:space="preserve">melting point </w:t>
      </w:r>
      <w:r>
        <w:rPr>
          <w:lang w:val="en-GB"/>
        </w:rPr>
        <w:t>is not very low (around 8°C)</w:t>
      </w:r>
      <w:r w:rsidR="005E0ACF">
        <w:rPr>
          <w:lang w:val="en-GB"/>
        </w:rPr>
        <w:t>. This</w:t>
      </w:r>
      <w:r>
        <w:rPr>
          <w:lang w:val="en-GB"/>
        </w:rPr>
        <w:t xml:space="preserve"> </w:t>
      </w:r>
      <w:r w:rsidR="00E47102">
        <w:rPr>
          <w:lang w:val="en-GB"/>
        </w:rPr>
        <w:t>is a practical drawback for its implementation</w:t>
      </w:r>
      <w:r>
        <w:rPr>
          <w:lang w:val="en-GB"/>
        </w:rPr>
        <w:t xml:space="preserve"> </w:t>
      </w:r>
      <w:r w:rsidR="005E0ACF">
        <w:rPr>
          <w:lang w:val="en-GB"/>
        </w:rPr>
        <w:t>as H</w:t>
      </w:r>
      <w:r w:rsidR="005E0ACF" w:rsidRPr="005E0ACF">
        <w:rPr>
          <w:vertAlign w:val="subscript"/>
          <w:lang w:val="en-GB"/>
        </w:rPr>
        <w:t>2</w:t>
      </w:r>
      <w:r w:rsidR="005E0ACF">
        <w:rPr>
          <w:lang w:val="en-GB"/>
        </w:rPr>
        <w:t xml:space="preserve"> carrier </w:t>
      </w:r>
      <w:r>
        <w:rPr>
          <w:lang w:val="en-GB"/>
        </w:rPr>
        <w:t>on a large scale</w:t>
      </w:r>
      <w:r w:rsidR="00E47102">
        <w:rPr>
          <w:lang w:val="en-GB"/>
        </w:rPr>
        <w:t>: during winter, it must be stored in heated vessels</w:t>
      </w:r>
      <w:r>
        <w:rPr>
          <w:lang w:val="en-GB"/>
        </w:rPr>
        <w:t xml:space="preserve"> to hinder solid deposits formation</w:t>
      </w:r>
      <w:r w:rsidR="00E47102">
        <w:rPr>
          <w:lang w:val="en-GB"/>
        </w:rPr>
        <w:t>.</w:t>
      </w:r>
      <w:r w:rsidR="001D0CFB" w:rsidRPr="001D0CFB">
        <w:rPr>
          <w:lang w:val="en-GB"/>
        </w:rPr>
        <w:t xml:space="preserve"> </w:t>
      </w:r>
    </w:p>
    <w:p w14:paraId="52DAFDE0" w14:textId="4843F657" w:rsidR="001D0CFB" w:rsidRDefault="005E0ACF" w:rsidP="00600535">
      <w:pPr>
        <w:pStyle w:val="CETBodytext"/>
        <w:rPr>
          <w:lang w:val="en-GB"/>
        </w:rPr>
      </w:pPr>
      <w:r>
        <w:rPr>
          <w:lang w:val="en-GB"/>
        </w:rPr>
        <w:lastRenderedPageBreak/>
        <w:t>By the way, g</w:t>
      </w:r>
      <w:r w:rsidR="000D41F2">
        <w:rPr>
          <w:lang w:val="en-GB"/>
        </w:rPr>
        <w:t>reen formic acid production, in view of its application as a chemical</w:t>
      </w:r>
      <w:r>
        <w:rPr>
          <w:lang w:val="en-GB"/>
        </w:rPr>
        <w:t xml:space="preserve"> rather than energy vector</w:t>
      </w:r>
      <w:r w:rsidR="000D41F2">
        <w:rPr>
          <w:lang w:val="en-GB"/>
        </w:rPr>
        <w:t xml:space="preserve">, also from methanol, </w:t>
      </w:r>
      <w:r>
        <w:rPr>
          <w:lang w:val="en-GB"/>
        </w:rPr>
        <w:t xml:space="preserve">still could be an interesting </w:t>
      </w:r>
      <w:r w:rsidR="000D41F2">
        <w:rPr>
          <w:lang w:val="en-GB"/>
        </w:rPr>
        <w:t>topic to focus on.</w:t>
      </w:r>
    </w:p>
    <w:p w14:paraId="03507984" w14:textId="7A3A2B22" w:rsidR="00600535" w:rsidRPr="00B57B36" w:rsidRDefault="00600535" w:rsidP="000E71B5">
      <w:pPr>
        <w:pStyle w:val="CETReference"/>
        <w:keepNext/>
      </w:pPr>
      <w:r w:rsidRPr="00B57B36">
        <w:t>References</w:t>
      </w:r>
    </w:p>
    <w:p w14:paraId="0A8FC148" w14:textId="744B5AC7" w:rsidR="00A42E05" w:rsidRDefault="00A42E05" w:rsidP="00A42E05">
      <w:pPr>
        <w:pStyle w:val="CETReferencetext"/>
      </w:pPr>
      <w:proofErr w:type="spellStart"/>
      <w:r>
        <w:t>Álvarez</w:t>
      </w:r>
      <w:proofErr w:type="spellEnd"/>
      <w:r>
        <w:t xml:space="preserve"> A., </w:t>
      </w:r>
      <w:proofErr w:type="spellStart"/>
      <w:r>
        <w:t>Bansode</w:t>
      </w:r>
      <w:proofErr w:type="spellEnd"/>
      <w:r>
        <w:t xml:space="preserve"> A., Urakawa A., </w:t>
      </w:r>
      <w:proofErr w:type="spellStart"/>
      <w:r>
        <w:t>Bavykina</w:t>
      </w:r>
      <w:proofErr w:type="spellEnd"/>
      <w:r>
        <w:t xml:space="preserve"> A. V., </w:t>
      </w:r>
      <w:proofErr w:type="spellStart"/>
      <w:r>
        <w:t>Wezendonk</w:t>
      </w:r>
      <w:proofErr w:type="spellEnd"/>
      <w:r>
        <w:t xml:space="preserve"> T. A., </w:t>
      </w:r>
      <w:proofErr w:type="spellStart"/>
      <w:r>
        <w:t>Makkee</w:t>
      </w:r>
      <w:proofErr w:type="spellEnd"/>
      <w:r>
        <w:t xml:space="preserve"> M., Gascon J., </w:t>
      </w:r>
      <w:proofErr w:type="spellStart"/>
      <w:r>
        <w:t>Kapteijn</w:t>
      </w:r>
      <w:proofErr w:type="spellEnd"/>
      <w:r>
        <w:t xml:space="preserve"> F., 2017, Challenges in the Greener Production of </w:t>
      </w:r>
      <w:proofErr w:type="spellStart"/>
      <w:r>
        <w:t>Formates</w:t>
      </w:r>
      <w:proofErr w:type="spellEnd"/>
      <w:r>
        <w:t xml:space="preserve">/Formic Acid, Methanol, and DME by Heterogeneously </w:t>
      </w:r>
      <w:proofErr w:type="spellStart"/>
      <w:r>
        <w:t>Catalyzed</w:t>
      </w:r>
      <w:proofErr w:type="spellEnd"/>
      <w:r>
        <w:t xml:space="preserve"> CO</w:t>
      </w:r>
      <w:r w:rsidRPr="00A42E05">
        <w:rPr>
          <w:vertAlign w:val="subscript"/>
        </w:rPr>
        <w:t>2</w:t>
      </w:r>
      <w:r w:rsidRPr="00A42E05">
        <w:t xml:space="preserve"> </w:t>
      </w:r>
      <w:r>
        <w:t>Hydrogenation Processes, Chemical Reviews, 117, 9804-9838.</w:t>
      </w:r>
    </w:p>
    <w:p w14:paraId="21A1F1DB" w14:textId="4227C3CF" w:rsidR="00590F28" w:rsidRDefault="00590F28" w:rsidP="00590F28">
      <w:pPr>
        <w:pStyle w:val="CETReferencetext"/>
      </w:pPr>
      <w:r>
        <w:t>Anderson J</w:t>
      </w:r>
      <w:r w:rsidR="00AB2FD1">
        <w:t>.</w:t>
      </w:r>
      <w:r>
        <w:t>, Drury D</w:t>
      </w:r>
      <w:r w:rsidR="00AB2FD1">
        <w:t>.</w:t>
      </w:r>
      <w:r>
        <w:t>, Hamlin J</w:t>
      </w:r>
      <w:r w:rsidR="00AB2FD1">
        <w:t>.</w:t>
      </w:r>
      <w:r>
        <w:t>, Kent A., 1989, Process for the preparation of formic acid, US patent 4855496.</w:t>
      </w:r>
    </w:p>
    <w:p w14:paraId="43B9022D" w14:textId="1FAC4900" w:rsidR="00DD4CBC" w:rsidRDefault="00DD4CBC" w:rsidP="006D3E7C">
      <w:pPr>
        <w:pStyle w:val="CETReferencetext"/>
      </w:pPr>
      <w:proofErr w:type="spellStart"/>
      <w:r>
        <w:t>Bulushev</w:t>
      </w:r>
      <w:proofErr w:type="spellEnd"/>
      <w:r>
        <w:t xml:space="preserve"> D. A., Ross J.R.H., 2018, </w:t>
      </w:r>
      <w:r w:rsidRPr="00DD4CBC">
        <w:t>Towards Sustainable Production of Formic Acid</w:t>
      </w:r>
      <w:r>
        <w:t xml:space="preserve">, </w:t>
      </w:r>
      <w:proofErr w:type="spellStart"/>
      <w:r w:rsidRPr="00DD4CBC">
        <w:t>ChemSusChem</w:t>
      </w:r>
      <w:proofErr w:type="spellEnd"/>
      <w:r w:rsidR="002513A4">
        <w:t>,</w:t>
      </w:r>
      <w:r w:rsidRPr="00DD4CBC">
        <w:t xml:space="preserve"> 11, 821</w:t>
      </w:r>
      <w:r w:rsidR="005F36A5">
        <w:t>-</w:t>
      </w:r>
      <w:r w:rsidRPr="00DD4CBC">
        <w:t>836</w:t>
      </w:r>
      <w:r>
        <w:t>.</w:t>
      </w:r>
    </w:p>
    <w:p w14:paraId="07BE64C3" w14:textId="33798DF2" w:rsidR="00D14AAE" w:rsidRDefault="00D14AAE" w:rsidP="006D3E7C">
      <w:pPr>
        <w:pStyle w:val="CETReferencetext"/>
      </w:pPr>
      <w:r>
        <w:t>Chen X., Liu Y.</w:t>
      </w:r>
      <w:r w:rsidR="005D037F">
        <w:t>,</w:t>
      </w:r>
      <w:r>
        <w:t xml:space="preserve"> Wu J., 2020,</w:t>
      </w:r>
      <w:r w:rsidRPr="00D14AAE">
        <w:t>Sustainable production of formic acid from biomass and carbon dioxide</w:t>
      </w:r>
      <w:r>
        <w:t>, Molecular Catalysts</w:t>
      </w:r>
      <w:r w:rsidR="002513A4">
        <w:t>,</w:t>
      </w:r>
      <w:r>
        <w:t xml:space="preserve"> 483, 110716.</w:t>
      </w:r>
    </w:p>
    <w:p w14:paraId="7C42DCED" w14:textId="582235DF" w:rsidR="006D3E7C" w:rsidRDefault="006D3E7C" w:rsidP="006D3E7C">
      <w:pPr>
        <w:pStyle w:val="CETReferencetext"/>
      </w:pPr>
      <w:r>
        <w:t xml:space="preserve">Gao X., Yang Y., Yang S., Wang T., Liu Z., Yu Z., </w:t>
      </w:r>
      <w:r w:rsidR="00E97171">
        <w:t xml:space="preserve">2024, </w:t>
      </w:r>
      <w:r>
        <w:t>Production of CO-free H</w:t>
      </w:r>
      <w:r w:rsidRPr="00E97171">
        <w:rPr>
          <w:vertAlign w:val="subscript"/>
        </w:rPr>
        <w:t>2</w:t>
      </w:r>
      <w:r>
        <w:t xml:space="preserve"> through aqueous formic acid dehydrogenation over the α-Mo2C/NC catalyst, Chemical Engineering Journal</w:t>
      </w:r>
      <w:r w:rsidR="002513A4">
        <w:t>,</w:t>
      </w:r>
      <w:r>
        <w:t xml:space="preserve"> 500, </w:t>
      </w:r>
      <w:r w:rsidRPr="006D3E7C">
        <w:t>156933</w:t>
      </w:r>
      <w:r>
        <w:t>.</w:t>
      </w:r>
    </w:p>
    <w:p w14:paraId="32119331" w14:textId="77777777" w:rsidR="00590F28" w:rsidRDefault="00590F28" w:rsidP="00590F28">
      <w:pPr>
        <w:pStyle w:val="CETReferencetext"/>
      </w:pPr>
      <w:proofErr w:type="spellStart"/>
      <w:r>
        <w:t>Hladiy</w:t>
      </w:r>
      <w:proofErr w:type="spellEnd"/>
      <w:r>
        <w:t xml:space="preserve"> S, </w:t>
      </w:r>
      <w:proofErr w:type="spellStart"/>
      <w:r>
        <w:t>Starchevskyy</w:t>
      </w:r>
      <w:proofErr w:type="spellEnd"/>
      <w:r>
        <w:t xml:space="preserve"> M, </w:t>
      </w:r>
      <w:proofErr w:type="spellStart"/>
      <w:r>
        <w:t>Pazderskyy</w:t>
      </w:r>
      <w:proofErr w:type="spellEnd"/>
      <w:r>
        <w:t xml:space="preserve"> Y, </w:t>
      </w:r>
      <w:proofErr w:type="spellStart"/>
      <w:r>
        <w:t>Lastovyak</w:t>
      </w:r>
      <w:proofErr w:type="spellEnd"/>
      <w:r>
        <w:t xml:space="preserve"> Y., 2004, Method for production of formic acid, US patent 6713649 B1.</w:t>
      </w:r>
    </w:p>
    <w:p w14:paraId="7B43A826" w14:textId="11D97CF8" w:rsidR="002477E2" w:rsidRDefault="003210CD" w:rsidP="006D3E7C">
      <w:pPr>
        <w:pStyle w:val="CETReferencetext"/>
      </w:pPr>
      <w:hyperlink r:id="rId13" w:history="1">
        <w:r w:rsidR="002477E2" w:rsidRPr="0049628D">
          <w:rPr>
            <w:rStyle w:val="Collegamentoipertestuale"/>
          </w:rPr>
          <w:t>https://www.chemanalyst.com/Pricing-data/formic-acid-1242</w:t>
        </w:r>
      </w:hyperlink>
      <w:r w:rsidR="002477E2">
        <w:t>.</w:t>
      </w:r>
    </w:p>
    <w:p w14:paraId="5F9BEAFE" w14:textId="12C7B8E8" w:rsidR="00C64420" w:rsidRDefault="00C64420" w:rsidP="006D3E7C">
      <w:pPr>
        <w:pStyle w:val="CETReferencetext"/>
      </w:pPr>
      <w:r w:rsidRPr="00C64420">
        <w:t>https://www.acs.org/molecule-of-the-week/archive/f/formic-acid.html</w:t>
      </w:r>
    </w:p>
    <w:p w14:paraId="410708D6" w14:textId="4D1F03DF" w:rsidR="00DE3710" w:rsidRDefault="009D6DBA" w:rsidP="009D6DBA">
      <w:pPr>
        <w:pStyle w:val="CETReferencetext"/>
      </w:pPr>
      <w:r>
        <w:t xml:space="preserve">Park K., </w:t>
      </w:r>
      <w:proofErr w:type="spellStart"/>
      <w:r>
        <w:t>Gunasekar</w:t>
      </w:r>
      <w:proofErr w:type="spellEnd"/>
      <w:r>
        <w:t xml:space="preserve"> G.H., Kim S.H., Park H., Kim S., Park K., Jung K.D.,</w:t>
      </w:r>
      <w:r w:rsidR="005D037F">
        <w:t xml:space="preserve"> </w:t>
      </w:r>
      <w:r>
        <w:t>Yoon S., 2020,</w:t>
      </w:r>
      <w:r w:rsidR="00DE3710">
        <w:t xml:space="preserve"> </w:t>
      </w:r>
      <w:r>
        <w:t>CO</w:t>
      </w:r>
      <w:r w:rsidRPr="009D6DBA">
        <w:rPr>
          <w:vertAlign w:val="subscript"/>
        </w:rPr>
        <w:t>2</w:t>
      </w:r>
      <w:r>
        <w:t xml:space="preserve"> hydrogenation to formic acid over heterogenized ruthenium catalysts using a fixed bed reactor with separation units, </w:t>
      </w:r>
      <w:r w:rsidRPr="009D6DBA">
        <w:t>Green Chem</w:t>
      </w:r>
      <w:r>
        <w:t>istry</w:t>
      </w:r>
      <w:r w:rsidR="002513A4">
        <w:t>,</w:t>
      </w:r>
      <w:r w:rsidRPr="009D6DBA">
        <w:t xml:space="preserve"> 22, 1639–1649</w:t>
      </w:r>
      <w:r>
        <w:t>.</w:t>
      </w:r>
    </w:p>
    <w:p w14:paraId="65801254" w14:textId="255B7793" w:rsidR="000B54B5" w:rsidRDefault="000B54B5" w:rsidP="000B54B5">
      <w:pPr>
        <w:pStyle w:val="CETReferencetext"/>
      </w:pPr>
      <w:r w:rsidRPr="000B54B5">
        <w:t>Patra S</w:t>
      </w:r>
      <w:r>
        <w:t>.</w:t>
      </w:r>
      <w:r w:rsidRPr="000B54B5">
        <w:t>, Maji B</w:t>
      </w:r>
      <w:r>
        <w:t>.</w:t>
      </w:r>
      <w:r w:rsidRPr="000B54B5">
        <w:t xml:space="preserve">, </w:t>
      </w:r>
      <w:proofErr w:type="spellStart"/>
      <w:r w:rsidRPr="000B54B5">
        <w:t>Kawanami</w:t>
      </w:r>
      <w:proofErr w:type="spellEnd"/>
      <w:r w:rsidRPr="000B54B5">
        <w:t xml:space="preserve"> H</w:t>
      </w:r>
      <w:r>
        <w:t>.,</w:t>
      </w:r>
      <w:r w:rsidRPr="000B54B5">
        <w:t xml:space="preserve"> </w:t>
      </w:r>
      <w:proofErr w:type="spellStart"/>
      <w:r w:rsidRPr="000B54B5">
        <w:t>Himeda</w:t>
      </w:r>
      <w:proofErr w:type="spellEnd"/>
      <w:r w:rsidRPr="000B54B5">
        <w:t xml:space="preserve"> Y</w:t>
      </w:r>
      <w:r>
        <w:t>.,</w:t>
      </w:r>
      <w:r w:rsidRPr="000B54B5">
        <w:t xml:space="preserve"> </w:t>
      </w:r>
      <w:r>
        <w:t>2023, High-pressure hydrogen generation from dehydrogenation of formic acid, RSC Sustainability 1, 1655</w:t>
      </w:r>
      <w:r w:rsidRPr="000B54B5">
        <w:t>–1671</w:t>
      </w:r>
      <w:r>
        <w:t>.</w:t>
      </w:r>
    </w:p>
    <w:p w14:paraId="7F4AFAFE" w14:textId="1E754B5E" w:rsidR="00E97171" w:rsidRDefault="00E97171" w:rsidP="006D3E7C">
      <w:pPr>
        <w:pStyle w:val="CETReferencetext"/>
      </w:pPr>
      <w:r w:rsidRPr="00E97171">
        <w:t>Pellegrini L.A., Spatolisano E</w:t>
      </w:r>
      <w:r>
        <w:t>.</w:t>
      </w:r>
      <w:r w:rsidRPr="00E97171">
        <w:t xml:space="preserve">, </w:t>
      </w:r>
      <w:proofErr w:type="spellStart"/>
      <w:r w:rsidRPr="00E97171">
        <w:t>Restelli</w:t>
      </w:r>
      <w:proofErr w:type="spellEnd"/>
      <w:r w:rsidRPr="00E97171">
        <w:t xml:space="preserve"> F</w:t>
      </w:r>
      <w:r>
        <w:t>.</w:t>
      </w:r>
      <w:r w:rsidRPr="00E97171">
        <w:t>, De Guido G</w:t>
      </w:r>
      <w:r>
        <w:t>.</w:t>
      </w:r>
      <w:r w:rsidRPr="00E97171">
        <w:t>, de Angelis A</w:t>
      </w:r>
      <w:r>
        <w:t>.</w:t>
      </w:r>
      <w:r w:rsidRPr="00E97171">
        <w:t xml:space="preserve">R., </w:t>
      </w:r>
      <w:proofErr w:type="spellStart"/>
      <w:r w:rsidRPr="00E97171">
        <w:t>Lainati</w:t>
      </w:r>
      <w:proofErr w:type="spellEnd"/>
      <w:r>
        <w:t xml:space="preserve"> </w:t>
      </w:r>
      <w:r w:rsidRPr="00E97171">
        <w:t>A</w:t>
      </w:r>
      <w:r>
        <w:t>., 2024,</w:t>
      </w:r>
      <w:r w:rsidRPr="00E97171">
        <w:t xml:space="preserve"> Green H</w:t>
      </w:r>
      <w:r w:rsidRPr="00E97171">
        <w:rPr>
          <w:vertAlign w:val="subscript"/>
        </w:rPr>
        <w:t>2</w:t>
      </w:r>
      <w:r w:rsidRPr="00E97171">
        <w:t xml:space="preserve"> Transport through LH</w:t>
      </w:r>
      <w:r w:rsidRPr="00E97171">
        <w:rPr>
          <w:vertAlign w:val="subscript"/>
        </w:rPr>
        <w:t>2</w:t>
      </w:r>
      <w:r w:rsidRPr="00E97171">
        <w:t>, NH</w:t>
      </w:r>
      <w:r w:rsidRPr="00E97171">
        <w:rPr>
          <w:vertAlign w:val="subscript"/>
        </w:rPr>
        <w:t>3</w:t>
      </w:r>
      <w:r w:rsidRPr="00E97171">
        <w:t xml:space="preserve"> and LOHC</w:t>
      </w:r>
      <w:r>
        <w:t xml:space="preserve">. </w:t>
      </w:r>
      <w:r w:rsidRPr="00E97171">
        <w:t>Opportunities and Challenges</w:t>
      </w:r>
      <w:r>
        <w:t xml:space="preserve">. </w:t>
      </w:r>
      <w:proofErr w:type="spellStart"/>
      <w:r w:rsidRPr="00E97171">
        <w:t>SpringerBriefs</w:t>
      </w:r>
      <w:proofErr w:type="spellEnd"/>
      <w:r w:rsidRPr="00E97171">
        <w:t xml:space="preserve"> in Applied Sciences and Technology</w:t>
      </w:r>
      <w:r>
        <w:t>.</w:t>
      </w:r>
    </w:p>
    <w:p w14:paraId="79F043FA" w14:textId="39E45AA7" w:rsidR="005D037F" w:rsidRPr="00E97171" w:rsidRDefault="005D037F" w:rsidP="005D037F">
      <w:pPr>
        <w:pStyle w:val="CETReferencetext"/>
      </w:pPr>
      <w:proofErr w:type="spellStart"/>
      <w:r w:rsidRPr="00E97171">
        <w:t>Restelli</w:t>
      </w:r>
      <w:proofErr w:type="spellEnd"/>
      <w:r w:rsidRPr="00E97171">
        <w:t xml:space="preserve"> F</w:t>
      </w:r>
      <w:r>
        <w:t>.</w:t>
      </w:r>
      <w:r w:rsidRPr="00E97171">
        <w:t>, Spatolisano E</w:t>
      </w:r>
      <w:r>
        <w:t>.</w:t>
      </w:r>
      <w:r w:rsidRPr="00E97171">
        <w:t xml:space="preserve">, Pellegrini L.A., </w:t>
      </w:r>
      <w:r>
        <w:t>2023,</w:t>
      </w:r>
      <w:r w:rsidRPr="00E97171">
        <w:t xml:space="preserve"> </w:t>
      </w:r>
      <w:r w:rsidRPr="005D037F">
        <w:t xml:space="preserve">Hydrogen liquefaction: a systematic approach to its thermodynamic </w:t>
      </w:r>
      <w:proofErr w:type="spellStart"/>
      <w:r w:rsidRPr="005D037F">
        <w:t>modeling</w:t>
      </w:r>
      <w:proofErr w:type="spellEnd"/>
      <w:r>
        <w:t>. Chemical Engineering Transactions</w:t>
      </w:r>
      <w:r w:rsidR="002513A4">
        <w:t>,</w:t>
      </w:r>
      <w:r>
        <w:t xml:space="preserve"> </w:t>
      </w:r>
      <w:r w:rsidRPr="005D037F">
        <w:t>99, 433–438</w:t>
      </w:r>
      <w:r>
        <w:t>.</w:t>
      </w:r>
    </w:p>
    <w:p w14:paraId="587C51CB" w14:textId="7107DB48" w:rsidR="00590F28" w:rsidRDefault="00590F28" w:rsidP="00590F28">
      <w:pPr>
        <w:pStyle w:val="CETReferencetext"/>
      </w:pPr>
      <w:r>
        <w:t>Schaub T</w:t>
      </w:r>
      <w:r w:rsidR="005D037F">
        <w:t>.</w:t>
      </w:r>
      <w:r>
        <w:t>, Fries D</w:t>
      </w:r>
      <w:r w:rsidR="005D037F">
        <w:t>.</w:t>
      </w:r>
      <w:r>
        <w:t>, Paciello R</w:t>
      </w:r>
      <w:r w:rsidR="005D037F">
        <w:t>.</w:t>
      </w:r>
      <w:r>
        <w:t xml:space="preserve">, </w:t>
      </w:r>
      <w:proofErr w:type="spellStart"/>
      <w:r>
        <w:t>Mohl</w:t>
      </w:r>
      <w:proofErr w:type="spellEnd"/>
      <w:r>
        <w:t xml:space="preserve"> K.,</w:t>
      </w:r>
      <w:r w:rsidR="005D037F">
        <w:t xml:space="preserve"> </w:t>
      </w:r>
      <w:r>
        <w:t>2014, Process for preparing formic acid by reaction of carbon dioxide with hydrogen, US patent 8791297 B2.</w:t>
      </w:r>
    </w:p>
    <w:p w14:paraId="2F0B4ED2" w14:textId="77777777" w:rsidR="00DE3710" w:rsidRDefault="00DE3710" w:rsidP="00DE3710">
      <w:pPr>
        <w:pStyle w:val="CETReferencetext"/>
      </w:pPr>
      <w:r>
        <w:t xml:space="preserve">Schmidt I., Müller K., </w:t>
      </w:r>
      <w:proofErr w:type="spellStart"/>
      <w:r>
        <w:t>Arlt</w:t>
      </w:r>
      <w:proofErr w:type="spellEnd"/>
      <w:r>
        <w:t xml:space="preserve"> W., 2014, </w:t>
      </w:r>
      <w:r w:rsidRPr="005D09A3">
        <w:t>Evaluation of Formic-Acid-Based Hydrogen Storage Technologies</w:t>
      </w:r>
      <w:r>
        <w:t xml:space="preserve">. Energy &amp; Fuels, 28 (10), 6540-6544. </w:t>
      </w:r>
    </w:p>
    <w:p w14:paraId="72417B80" w14:textId="08768DF1" w:rsidR="00DE3710" w:rsidRDefault="00DE3710" w:rsidP="0085140D">
      <w:pPr>
        <w:pStyle w:val="CETReferencetext"/>
      </w:pPr>
      <w:r>
        <w:t xml:space="preserve">Schwarz F.M., </w:t>
      </w:r>
      <w:r w:rsidRPr="00DE3710">
        <w:t>Moon J</w:t>
      </w:r>
      <w:r>
        <w:t>.,</w:t>
      </w:r>
      <w:r w:rsidRPr="00DE3710">
        <w:t xml:space="preserve"> Oswald F</w:t>
      </w:r>
      <w:r>
        <w:t>.,</w:t>
      </w:r>
      <w:r w:rsidRPr="00DE3710">
        <w:t xml:space="preserve"> Müller V</w:t>
      </w:r>
      <w:r>
        <w:t xml:space="preserve">., </w:t>
      </w:r>
      <w:r w:rsidR="0085140D">
        <w:t>2022,</w:t>
      </w:r>
      <w:r w:rsidRPr="00DE3710">
        <w:t xml:space="preserve"> </w:t>
      </w:r>
      <w:r>
        <w:t>Biological hydrogen storage and release through multiple cycles of bi-directional hydrogenation of CO</w:t>
      </w:r>
      <w:r w:rsidRPr="0085140D">
        <w:rPr>
          <w:vertAlign w:val="subscript"/>
        </w:rPr>
        <w:t>2</w:t>
      </w:r>
      <w:r>
        <w:t xml:space="preserve"> to formic acid in a single process unit</w:t>
      </w:r>
      <w:r w:rsidR="0085140D">
        <w:t xml:space="preserve">, </w:t>
      </w:r>
      <w:r>
        <w:t>Joule 6</w:t>
      </w:r>
      <w:r w:rsidR="0085140D">
        <w:t>(</w:t>
      </w:r>
      <w:r>
        <w:t>6</w:t>
      </w:r>
      <w:r w:rsidR="0085140D">
        <w:t>)</w:t>
      </w:r>
      <w:r>
        <w:t xml:space="preserve">, 1304 </w:t>
      </w:r>
      <w:r w:rsidR="0085140D">
        <w:t>–</w:t>
      </w:r>
      <w:r>
        <w:t xml:space="preserve"> 1319</w:t>
      </w:r>
      <w:r w:rsidR="0085140D">
        <w:t>.</w:t>
      </w:r>
    </w:p>
    <w:p w14:paraId="3E54B901" w14:textId="6F802786" w:rsidR="00E97171" w:rsidRDefault="00E97171" w:rsidP="00E97171">
      <w:pPr>
        <w:pStyle w:val="CETReferencetext"/>
      </w:pPr>
      <w:r w:rsidRPr="00E97171">
        <w:t>Spatolisano E</w:t>
      </w:r>
      <w:r>
        <w:t>.</w:t>
      </w:r>
      <w:r w:rsidRPr="00E97171">
        <w:t xml:space="preserve">, </w:t>
      </w:r>
      <w:proofErr w:type="spellStart"/>
      <w:r w:rsidRPr="00E97171">
        <w:t>Restelli</w:t>
      </w:r>
      <w:proofErr w:type="spellEnd"/>
      <w:r w:rsidRPr="00E97171">
        <w:t xml:space="preserve"> F</w:t>
      </w:r>
      <w:r>
        <w:t>.</w:t>
      </w:r>
      <w:r w:rsidRPr="00E97171">
        <w:t>, Pellegrini L</w:t>
      </w:r>
      <w:r>
        <w:t>.</w:t>
      </w:r>
      <w:r w:rsidRPr="00E97171">
        <w:t xml:space="preserve">A., </w:t>
      </w:r>
      <w:proofErr w:type="spellStart"/>
      <w:r w:rsidRPr="00E97171">
        <w:t>Cattaneo</w:t>
      </w:r>
      <w:proofErr w:type="spellEnd"/>
      <w:r w:rsidRPr="00E97171">
        <w:t xml:space="preserve"> S</w:t>
      </w:r>
      <w:r>
        <w:t>.</w:t>
      </w:r>
      <w:r w:rsidRPr="00E97171">
        <w:t>, de Angelis A</w:t>
      </w:r>
      <w:r>
        <w:t>.</w:t>
      </w:r>
      <w:r w:rsidRPr="00E97171">
        <w:t xml:space="preserve">R., </w:t>
      </w:r>
      <w:proofErr w:type="spellStart"/>
      <w:r w:rsidRPr="00E97171">
        <w:t>Lainati</w:t>
      </w:r>
      <w:proofErr w:type="spellEnd"/>
      <w:r w:rsidRPr="00E97171">
        <w:t xml:space="preserve"> A</w:t>
      </w:r>
      <w:r>
        <w:t>.</w:t>
      </w:r>
      <w:r w:rsidRPr="00E97171">
        <w:t xml:space="preserve">, </w:t>
      </w:r>
      <w:proofErr w:type="spellStart"/>
      <w:r w:rsidRPr="00E97171">
        <w:t>Roccaro</w:t>
      </w:r>
      <w:proofErr w:type="spellEnd"/>
      <w:r w:rsidRPr="00E97171">
        <w:t xml:space="preserve"> E</w:t>
      </w:r>
      <w:r>
        <w:t>.</w:t>
      </w:r>
      <w:r w:rsidRPr="00E97171">
        <w:t xml:space="preserve">, </w:t>
      </w:r>
      <w:r>
        <w:t>Liquefied hydrogen, ammonia and liquid organic hydrogen carriers for harbour-to-harbour hydrogen transport: A sensitivity study, International Journal of Hydrogen Energy 80, 1424-1431.</w:t>
      </w:r>
    </w:p>
    <w:p w14:paraId="32D0D5DD" w14:textId="32EA8BC6" w:rsidR="00590F28" w:rsidRDefault="005D037F" w:rsidP="002513A4">
      <w:pPr>
        <w:pStyle w:val="CETReferencetext"/>
      </w:pPr>
      <w:r w:rsidRPr="00E97171">
        <w:t>Spatolisano E</w:t>
      </w:r>
      <w:r>
        <w:t>.</w:t>
      </w:r>
      <w:r w:rsidRPr="00E97171">
        <w:t xml:space="preserve">, </w:t>
      </w:r>
      <w:proofErr w:type="spellStart"/>
      <w:r w:rsidRPr="00E97171">
        <w:t>Restelli</w:t>
      </w:r>
      <w:proofErr w:type="spellEnd"/>
      <w:r w:rsidRPr="00E97171">
        <w:t xml:space="preserve"> F</w:t>
      </w:r>
      <w:r>
        <w:t>.</w:t>
      </w:r>
      <w:r w:rsidRPr="00E97171">
        <w:t xml:space="preserve">, </w:t>
      </w:r>
      <w:r>
        <w:t xml:space="preserve">2024, </w:t>
      </w:r>
      <w:r w:rsidRPr="005D037F">
        <w:t>The Role of Ammonia in Decarbonization: A Techno-economic Assessment of NH</w:t>
      </w:r>
      <w:r w:rsidRPr="005D037F">
        <w:rPr>
          <w:vertAlign w:val="subscript"/>
        </w:rPr>
        <w:t>3</w:t>
      </w:r>
      <w:r w:rsidRPr="005D037F">
        <w:t xml:space="preserve"> as H</w:t>
      </w:r>
      <w:r w:rsidRPr="005D037F">
        <w:rPr>
          <w:vertAlign w:val="subscript"/>
        </w:rPr>
        <w:t>2</w:t>
      </w:r>
      <w:r w:rsidRPr="005D037F">
        <w:t xml:space="preserve"> Carrier and NH</w:t>
      </w:r>
      <w:r w:rsidRPr="005D037F">
        <w:rPr>
          <w:vertAlign w:val="subscript"/>
        </w:rPr>
        <w:t>3</w:t>
      </w:r>
      <w:r w:rsidRPr="005D037F">
        <w:t xml:space="preserve"> as Energy Vector</w:t>
      </w:r>
      <w:r>
        <w:t xml:space="preserve">. </w:t>
      </w:r>
      <w:r w:rsidRPr="005D037F">
        <w:t>Chemical Engineering Transactions, 109, 607–612</w:t>
      </w:r>
      <w:r w:rsidR="002513A4">
        <w:t>.</w:t>
      </w:r>
    </w:p>
    <w:sectPr w:rsidR="00590F2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5394" w14:textId="77777777" w:rsidR="009B6E57" w:rsidRDefault="009B6E57" w:rsidP="004F5E36">
      <w:r>
        <w:separator/>
      </w:r>
    </w:p>
  </w:endnote>
  <w:endnote w:type="continuationSeparator" w:id="0">
    <w:p w14:paraId="0CBD9BC7" w14:textId="77777777" w:rsidR="009B6E57" w:rsidRDefault="009B6E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BDD7" w14:textId="77777777" w:rsidR="009B6E57" w:rsidRDefault="009B6E57" w:rsidP="004F5E36">
      <w:r>
        <w:separator/>
      </w:r>
    </w:p>
  </w:footnote>
  <w:footnote w:type="continuationSeparator" w:id="0">
    <w:p w14:paraId="6A941260" w14:textId="77777777" w:rsidR="009B6E57" w:rsidRDefault="009B6E5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876517C"/>
    <w:multiLevelType w:val="hybridMultilevel"/>
    <w:tmpl w:val="D88023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4409DD"/>
    <w:multiLevelType w:val="hybridMultilevel"/>
    <w:tmpl w:val="D880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7F22A17"/>
    <w:multiLevelType w:val="hybridMultilevel"/>
    <w:tmpl w:val="1390D4EC"/>
    <w:lvl w:ilvl="0" w:tplc="716A48B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5" w15:restartNumberingAfterBreak="0">
    <w:nsid w:val="28DC4A38"/>
    <w:multiLevelType w:val="hybridMultilevel"/>
    <w:tmpl w:val="1198716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F3336D"/>
    <w:multiLevelType w:val="hybridMultilevel"/>
    <w:tmpl w:val="4AEA76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7"/>
  </w:num>
  <w:num w:numId="14">
    <w:abstractNumId w:val="24"/>
  </w:num>
  <w:num w:numId="15">
    <w:abstractNumId w:val="26"/>
  </w:num>
  <w:num w:numId="16">
    <w:abstractNumId w:val="25"/>
  </w:num>
  <w:num w:numId="17">
    <w:abstractNumId w:val="16"/>
  </w:num>
  <w:num w:numId="18">
    <w:abstractNumId w:val="17"/>
    <w:lvlOverride w:ilvl="0">
      <w:startOverride w:val="1"/>
    </w:lvlOverride>
  </w:num>
  <w:num w:numId="19">
    <w:abstractNumId w:val="22"/>
  </w:num>
  <w:num w:numId="20">
    <w:abstractNumId w:val="21"/>
  </w:num>
  <w:num w:numId="21">
    <w:abstractNumId w:val="19"/>
  </w:num>
  <w:num w:numId="22">
    <w:abstractNumId w:val="18"/>
  </w:num>
  <w:num w:numId="23">
    <w:abstractNumId w:val="11"/>
  </w:num>
  <w:num w:numId="24">
    <w:abstractNumId w:val="10"/>
  </w:num>
  <w:num w:numId="25">
    <w:abstractNumId w:val="20"/>
  </w:num>
  <w:num w:numId="26">
    <w:abstractNumId w:val="12"/>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56B4A"/>
    <w:rsid w:val="00062A9A"/>
    <w:rsid w:val="00065058"/>
    <w:rsid w:val="00086C39"/>
    <w:rsid w:val="000908B3"/>
    <w:rsid w:val="00094AD1"/>
    <w:rsid w:val="000A03B2"/>
    <w:rsid w:val="000B08C8"/>
    <w:rsid w:val="000B54B5"/>
    <w:rsid w:val="000C7A53"/>
    <w:rsid w:val="000D0268"/>
    <w:rsid w:val="000D2BA8"/>
    <w:rsid w:val="000D34BE"/>
    <w:rsid w:val="000D41F2"/>
    <w:rsid w:val="000D54B4"/>
    <w:rsid w:val="000E0B3C"/>
    <w:rsid w:val="000E102F"/>
    <w:rsid w:val="000E36F1"/>
    <w:rsid w:val="000E3A73"/>
    <w:rsid w:val="000E414A"/>
    <w:rsid w:val="000E71B5"/>
    <w:rsid w:val="000E75FD"/>
    <w:rsid w:val="000F093C"/>
    <w:rsid w:val="000F787B"/>
    <w:rsid w:val="00110FDB"/>
    <w:rsid w:val="00111F16"/>
    <w:rsid w:val="0012091F"/>
    <w:rsid w:val="00126BC2"/>
    <w:rsid w:val="001308B6"/>
    <w:rsid w:val="0013121F"/>
    <w:rsid w:val="00131FE6"/>
    <w:rsid w:val="0013263F"/>
    <w:rsid w:val="001331DF"/>
    <w:rsid w:val="00134DE4"/>
    <w:rsid w:val="0014034D"/>
    <w:rsid w:val="00140FE3"/>
    <w:rsid w:val="00141DA9"/>
    <w:rsid w:val="00144D16"/>
    <w:rsid w:val="001504AE"/>
    <w:rsid w:val="00150E59"/>
    <w:rsid w:val="00152DE3"/>
    <w:rsid w:val="00164CF9"/>
    <w:rsid w:val="0016668E"/>
    <w:rsid w:val="001667A6"/>
    <w:rsid w:val="0018171E"/>
    <w:rsid w:val="00184AD6"/>
    <w:rsid w:val="00194D40"/>
    <w:rsid w:val="001A4AF7"/>
    <w:rsid w:val="001B0349"/>
    <w:rsid w:val="001B1E93"/>
    <w:rsid w:val="001B3682"/>
    <w:rsid w:val="001B65C1"/>
    <w:rsid w:val="001C260F"/>
    <w:rsid w:val="001C5C3A"/>
    <w:rsid w:val="001C684B"/>
    <w:rsid w:val="001D052D"/>
    <w:rsid w:val="001D0CFB"/>
    <w:rsid w:val="001D21AF"/>
    <w:rsid w:val="001D3D32"/>
    <w:rsid w:val="001D53FC"/>
    <w:rsid w:val="001F42A5"/>
    <w:rsid w:val="001F7B9D"/>
    <w:rsid w:val="00201C93"/>
    <w:rsid w:val="00210F7B"/>
    <w:rsid w:val="002224B4"/>
    <w:rsid w:val="002412DE"/>
    <w:rsid w:val="002447EF"/>
    <w:rsid w:val="002477E2"/>
    <w:rsid w:val="002513A4"/>
    <w:rsid w:val="00251550"/>
    <w:rsid w:val="0026329E"/>
    <w:rsid w:val="00263B05"/>
    <w:rsid w:val="0027221A"/>
    <w:rsid w:val="00275B61"/>
    <w:rsid w:val="0027659B"/>
    <w:rsid w:val="00280FAF"/>
    <w:rsid w:val="00282656"/>
    <w:rsid w:val="00296B83"/>
    <w:rsid w:val="00296E93"/>
    <w:rsid w:val="002A25BF"/>
    <w:rsid w:val="002B4015"/>
    <w:rsid w:val="002B78CE"/>
    <w:rsid w:val="002C2FB6"/>
    <w:rsid w:val="002C34AD"/>
    <w:rsid w:val="002C5988"/>
    <w:rsid w:val="002E5FA7"/>
    <w:rsid w:val="002F3309"/>
    <w:rsid w:val="003001EB"/>
    <w:rsid w:val="003008CE"/>
    <w:rsid w:val="003009B7"/>
    <w:rsid w:val="00300E56"/>
    <w:rsid w:val="0030152C"/>
    <w:rsid w:val="0030469C"/>
    <w:rsid w:val="00304CE8"/>
    <w:rsid w:val="00321CA6"/>
    <w:rsid w:val="00323763"/>
    <w:rsid w:val="00323C5F"/>
    <w:rsid w:val="00334C09"/>
    <w:rsid w:val="003413CB"/>
    <w:rsid w:val="0036112A"/>
    <w:rsid w:val="003723D4"/>
    <w:rsid w:val="0038036E"/>
    <w:rsid w:val="00381905"/>
    <w:rsid w:val="00384CC8"/>
    <w:rsid w:val="003871FD"/>
    <w:rsid w:val="003A1E30"/>
    <w:rsid w:val="003A2829"/>
    <w:rsid w:val="003A7D1C"/>
    <w:rsid w:val="003B304B"/>
    <w:rsid w:val="003B3146"/>
    <w:rsid w:val="003B49CD"/>
    <w:rsid w:val="003D1E02"/>
    <w:rsid w:val="003E3BA6"/>
    <w:rsid w:val="003E7819"/>
    <w:rsid w:val="003F015E"/>
    <w:rsid w:val="00400414"/>
    <w:rsid w:val="0041446B"/>
    <w:rsid w:val="00425668"/>
    <w:rsid w:val="0044071E"/>
    <w:rsid w:val="0044329C"/>
    <w:rsid w:val="0044387D"/>
    <w:rsid w:val="00453E24"/>
    <w:rsid w:val="004542C2"/>
    <w:rsid w:val="00457456"/>
    <w:rsid w:val="004577FE"/>
    <w:rsid w:val="00457B9C"/>
    <w:rsid w:val="0046164A"/>
    <w:rsid w:val="004628D2"/>
    <w:rsid w:val="00462DCD"/>
    <w:rsid w:val="004648AD"/>
    <w:rsid w:val="004703A9"/>
    <w:rsid w:val="00473EA4"/>
    <w:rsid w:val="004760DE"/>
    <w:rsid w:val="004763D7"/>
    <w:rsid w:val="00492BD8"/>
    <w:rsid w:val="00494812"/>
    <w:rsid w:val="004A004E"/>
    <w:rsid w:val="004A24CF"/>
    <w:rsid w:val="004C3D1D"/>
    <w:rsid w:val="004C3D84"/>
    <w:rsid w:val="004C46CD"/>
    <w:rsid w:val="004C7913"/>
    <w:rsid w:val="004E4DD6"/>
    <w:rsid w:val="004F3DF4"/>
    <w:rsid w:val="004F5E36"/>
    <w:rsid w:val="0050055F"/>
    <w:rsid w:val="00507B47"/>
    <w:rsid w:val="00507BEF"/>
    <w:rsid w:val="00507CC9"/>
    <w:rsid w:val="005119A5"/>
    <w:rsid w:val="00512B18"/>
    <w:rsid w:val="005233A8"/>
    <w:rsid w:val="005278B7"/>
    <w:rsid w:val="00532016"/>
    <w:rsid w:val="005346C8"/>
    <w:rsid w:val="00543E7D"/>
    <w:rsid w:val="00547A68"/>
    <w:rsid w:val="00552934"/>
    <w:rsid w:val="005531C9"/>
    <w:rsid w:val="005539AA"/>
    <w:rsid w:val="00554879"/>
    <w:rsid w:val="00570C43"/>
    <w:rsid w:val="00573B40"/>
    <w:rsid w:val="0059006D"/>
    <w:rsid w:val="00590F28"/>
    <w:rsid w:val="00591BB4"/>
    <w:rsid w:val="00592274"/>
    <w:rsid w:val="005B2110"/>
    <w:rsid w:val="005B350B"/>
    <w:rsid w:val="005B5604"/>
    <w:rsid w:val="005B61E6"/>
    <w:rsid w:val="005B6951"/>
    <w:rsid w:val="005C77E1"/>
    <w:rsid w:val="005D037F"/>
    <w:rsid w:val="005D09A3"/>
    <w:rsid w:val="005D49DE"/>
    <w:rsid w:val="005D668A"/>
    <w:rsid w:val="005D6A2F"/>
    <w:rsid w:val="005E0592"/>
    <w:rsid w:val="005E0ACF"/>
    <w:rsid w:val="005E1A82"/>
    <w:rsid w:val="005E794C"/>
    <w:rsid w:val="005F0A28"/>
    <w:rsid w:val="005F0E5E"/>
    <w:rsid w:val="005F36A5"/>
    <w:rsid w:val="00600192"/>
    <w:rsid w:val="00600535"/>
    <w:rsid w:val="00610CD6"/>
    <w:rsid w:val="00620DEE"/>
    <w:rsid w:val="00621F92"/>
    <w:rsid w:val="0062280A"/>
    <w:rsid w:val="006231E1"/>
    <w:rsid w:val="00625639"/>
    <w:rsid w:val="00626342"/>
    <w:rsid w:val="00631B33"/>
    <w:rsid w:val="0064184D"/>
    <w:rsid w:val="006422CC"/>
    <w:rsid w:val="00643915"/>
    <w:rsid w:val="00651D18"/>
    <w:rsid w:val="00660E3E"/>
    <w:rsid w:val="006626B7"/>
    <w:rsid w:val="00662E74"/>
    <w:rsid w:val="00680C23"/>
    <w:rsid w:val="00683E23"/>
    <w:rsid w:val="00687A64"/>
    <w:rsid w:val="00693766"/>
    <w:rsid w:val="006A3281"/>
    <w:rsid w:val="006A6DE5"/>
    <w:rsid w:val="006B4888"/>
    <w:rsid w:val="006C2E45"/>
    <w:rsid w:val="006C359C"/>
    <w:rsid w:val="006C4C93"/>
    <w:rsid w:val="006C5579"/>
    <w:rsid w:val="006D3E7C"/>
    <w:rsid w:val="006D63B2"/>
    <w:rsid w:val="006D6E8B"/>
    <w:rsid w:val="006D7209"/>
    <w:rsid w:val="006E737D"/>
    <w:rsid w:val="0070061C"/>
    <w:rsid w:val="00707DD1"/>
    <w:rsid w:val="00713973"/>
    <w:rsid w:val="00720A24"/>
    <w:rsid w:val="00732386"/>
    <w:rsid w:val="0073514D"/>
    <w:rsid w:val="00735D3B"/>
    <w:rsid w:val="00741E9E"/>
    <w:rsid w:val="007447F3"/>
    <w:rsid w:val="0075499F"/>
    <w:rsid w:val="0076474A"/>
    <w:rsid w:val="007661C8"/>
    <w:rsid w:val="0077098D"/>
    <w:rsid w:val="00785BF9"/>
    <w:rsid w:val="007931FA"/>
    <w:rsid w:val="007A4861"/>
    <w:rsid w:val="007A7BBA"/>
    <w:rsid w:val="007B0C50"/>
    <w:rsid w:val="007B169E"/>
    <w:rsid w:val="007B48F9"/>
    <w:rsid w:val="007C1A43"/>
    <w:rsid w:val="007C6782"/>
    <w:rsid w:val="007D0951"/>
    <w:rsid w:val="007D610D"/>
    <w:rsid w:val="0080013E"/>
    <w:rsid w:val="00801759"/>
    <w:rsid w:val="00813288"/>
    <w:rsid w:val="008168FC"/>
    <w:rsid w:val="008250D6"/>
    <w:rsid w:val="00830996"/>
    <w:rsid w:val="008345F1"/>
    <w:rsid w:val="0085140D"/>
    <w:rsid w:val="008565B4"/>
    <w:rsid w:val="00865B07"/>
    <w:rsid w:val="008667EA"/>
    <w:rsid w:val="0087637F"/>
    <w:rsid w:val="00886DE6"/>
    <w:rsid w:val="00892AD5"/>
    <w:rsid w:val="00893D9D"/>
    <w:rsid w:val="008A1512"/>
    <w:rsid w:val="008B2FB3"/>
    <w:rsid w:val="008C4F10"/>
    <w:rsid w:val="008D1CA4"/>
    <w:rsid w:val="008D32B9"/>
    <w:rsid w:val="008D433B"/>
    <w:rsid w:val="008D4A16"/>
    <w:rsid w:val="008E4895"/>
    <w:rsid w:val="008E5401"/>
    <w:rsid w:val="008E566E"/>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7650A"/>
    <w:rsid w:val="00984A0A"/>
    <w:rsid w:val="00993B84"/>
    <w:rsid w:val="00994C6A"/>
    <w:rsid w:val="00996483"/>
    <w:rsid w:val="00996F5A"/>
    <w:rsid w:val="009A7ED5"/>
    <w:rsid w:val="009B041A"/>
    <w:rsid w:val="009B6E57"/>
    <w:rsid w:val="009C06D8"/>
    <w:rsid w:val="009C37C3"/>
    <w:rsid w:val="009C7C86"/>
    <w:rsid w:val="009D2FF7"/>
    <w:rsid w:val="009D367F"/>
    <w:rsid w:val="009D6DBA"/>
    <w:rsid w:val="009E7884"/>
    <w:rsid w:val="009E788A"/>
    <w:rsid w:val="009F0E08"/>
    <w:rsid w:val="00A079AE"/>
    <w:rsid w:val="00A1763D"/>
    <w:rsid w:val="00A17CEC"/>
    <w:rsid w:val="00A27EF0"/>
    <w:rsid w:val="00A42361"/>
    <w:rsid w:val="00A42E05"/>
    <w:rsid w:val="00A50B20"/>
    <w:rsid w:val="00A51390"/>
    <w:rsid w:val="00A60D13"/>
    <w:rsid w:val="00A67839"/>
    <w:rsid w:val="00A71678"/>
    <w:rsid w:val="00A719BE"/>
    <w:rsid w:val="00A7223D"/>
    <w:rsid w:val="00A72745"/>
    <w:rsid w:val="00A76EFC"/>
    <w:rsid w:val="00A87D50"/>
    <w:rsid w:val="00A91010"/>
    <w:rsid w:val="00A97F29"/>
    <w:rsid w:val="00AA702E"/>
    <w:rsid w:val="00AA7D26"/>
    <w:rsid w:val="00AB0964"/>
    <w:rsid w:val="00AB2FD1"/>
    <w:rsid w:val="00AB5011"/>
    <w:rsid w:val="00AC7368"/>
    <w:rsid w:val="00AD16B9"/>
    <w:rsid w:val="00AE377D"/>
    <w:rsid w:val="00AE545C"/>
    <w:rsid w:val="00AF0EBA"/>
    <w:rsid w:val="00AF2463"/>
    <w:rsid w:val="00AF5179"/>
    <w:rsid w:val="00B02C8A"/>
    <w:rsid w:val="00B17FBD"/>
    <w:rsid w:val="00B2477F"/>
    <w:rsid w:val="00B315A6"/>
    <w:rsid w:val="00B31813"/>
    <w:rsid w:val="00B33365"/>
    <w:rsid w:val="00B34820"/>
    <w:rsid w:val="00B35006"/>
    <w:rsid w:val="00B57B36"/>
    <w:rsid w:val="00B57E6F"/>
    <w:rsid w:val="00B8686D"/>
    <w:rsid w:val="00B907A7"/>
    <w:rsid w:val="00B93F69"/>
    <w:rsid w:val="00BB1DDC"/>
    <w:rsid w:val="00BC30C9"/>
    <w:rsid w:val="00BD077D"/>
    <w:rsid w:val="00BE3B1D"/>
    <w:rsid w:val="00BE3E58"/>
    <w:rsid w:val="00BF13CE"/>
    <w:rsid w:val="00C01616"/>
    <w:rsid w:val="00C0162B"/>
    <w:rsid w:val="00C068ED"/>
    <w:rsid w:val="00C22E0C"/>
    <w:rsid w:val="00C345B1"/>
    <w:rsid w:val="00C40142"/>
    <w:rsid w:val="00C457A8"/>
    <w:rsid w:val="00C50D9F"/>
    <w:rsid w:val="00C5222F"/>
    <w:rsid w:val="00C52C3C"/>
    <w:rsid w:val="00C57182"/>
    <w:rsid w:val="00C57863"/>
    <w:rsid w:val="00C63A2C"/>
    <w:rsid w:val="00C640AF"/>
    <w:rsid w:val="00C64420"/>
    <w:rsid w:val="00C655FD"/>
    <w:rsid w:val="00C75407"/>
    <w:rsid w:val="00C82261"/>
    <w:rsid w:val="00C841C6"/>
    <w:rsid w:val="00C870A8"/>
    <w:rsid w:val="00C94434"/>
    <w:rsid w:val="00CA0D75"/>
    <w:rsid w:val="00CA1C95"/>
    <w:rsid w:val="00CA5A9C"/>
    <w:rsid w:val="00CC4C20"/>
    <w:rsid w:val="00CD3517"/>
    <w:rsid w:val="00CD5FE2"/>
    <w:rsid w:val="00CE7C68"/>
    <w:rsid w:val="00CF6955"/>
    <w:rsid w:val="00D018BF"/>
    <w:rsid w:val="00D02B4C"/>
    <w:rsid w:val="00D040C4"/>
    <w:rsid w:val="00D14AAE"/>
    <w:rsid w:val="00D20AD1"/>
    <w:rsid w:val="00D2582C"/>
    <w:rsid w:val="00D468DD"/>
    <w:rsid w:val="00D46B7E"/>
    <w:rsid w:val="00D57C84"/>
    <w:rsid w:val="00D6057D"/>
    <w:rsid w:val="00D71640"/>
    <w:rsid w:val="00D836C5"/>
    <w:rsid w:val="00D84576"/>
    <w:rsid w:val="00DA1399"/>
    <w:rsid w:val="00DA24C6"/>
    <w:rsid w:val="00DA4D7B"/>
    <w:rsid w:val="00DB4A05"/>
    <w:rsid w:val="00DC18E7"/>
    <w:rsid w:val="00DC2840"/>
    <w:rsid w:val="00DC73EE"/>
    <w:rsid w:val="00DD271C"/>
    <w:rsid w:val="00DD4CBC"/>
    <w:rsid w:val="00DE264A"/>
    <w:rsid w:val="00DE3710"/>
    <w:rsid w:val="00DF5072"/>
    <w:rsid w:val="00E01DB0"/>
    <w:rsid w:val="00E02D18"/>
    <w:rsid w:val="00E041E7"/>
    <w:rsid w:val="00E23CA1"/>
    <w:rsid w:val="00E247E2"/>
    <w:rsid w:val="00E409A8"/>
    <w:rsid w:val="00E47102"/>
    <w:rsid w:val="00E50C12"/>
    <w:rsid w:val="00E619C3"/>
    <w:rsid w:val="00E62E22"/>
    <w:rsid w:val="00E65B91"/>
    <w:rsid w:val="00E7209D"/>
    <w:rsid w:val="00E72EAD"/>
    <w:rsid w:val="00E73571"/>
    <w:rsid w:val="00E77223"/>
    <w:rsid w:val="00E8528B"/>
    <w:rsid w:val="00E85B94"/>
    <w:rsid w:val="00E949F1"/>
    <w:rsid w:val="00E97171"/>
    <w:rsid w:val="00E978D0"/>
    <w:rsid w:val="00EA4613"/>
    <w:rsid w:val="00EA7F91"/>
    <w:rsid w:val="00EB1523"/>
    <w:rsid w:val="00EC0E49"/>
    <w:rsid w:val="00EC101F"/>
    <w:rsid w:val="00EC1D9F"/>
    <w:rsid w:val="00EC3BA5"/>
    <w:rsid w:val="00EC59E5"/>
    <w:rsid w:val="00EE0131"/>
    <w:rsid w:val="00EE17B0"/>
    <w:rsid w:val="00EF06D9"/>
    <w:rsid w:val="00F00649"/>
    <w:rsid w:val="00F22C52"/>
    <w:rsid w:val="00F3049E"/>
    <w:rsid w:val="00F30C64"/>
    <w:rsid w:val="00F32BA2"/>
    <w:rsid w:val="00F32CDB"/>
    <w:rsid w:val="00F41EE4"/>
    <w:rsid w:val="00F565FE"/>
    <w:rsid w:val="00F63A70"/>
    <w:rsid w:val="00F63D8C"/>
    <w:rsid w:val="00F67387"/>
    <w:rsid w:val="00F6747A"/>
    <w:rsid w:val="00F733FE"/>
    <w:rsid w:val="00F7534E"/>
    <w:rsid w:val="00F76556"/>
    <w:rsid w:val="00F93EDF"/>
    <w:rsid w:val="00FA1802"/>
    <w:rsid w:val="00FA21D0"/>
    <w:rsid w:val="00FA5603"/>
    <w:rsid w:val="00FA5F5F"/>
    <w:rsid w:val="00FA670F"/>
    <w:rsid w:val="00FB1506"/>
    <w:rsid w:val="00FB730C"/>
    <w:rsid w:val="00FC2695"/>
    <w:rsid w:val="00FC3E03"/>
    <w:rsid w:val="00FC3FC1"/>
    <w:rsid w:val="00FC50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9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emanalyst.com/Pricing-data/formic-acid-12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6</Pages>
  <Words>3235</Words>
  <Characters>18440</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Elvira Spatolisano</cp:lastModifiedBy>
  <cp:revision>69</cp:revision>
  <cp:lastPrinted>2015-05-12T18:31:00Z</cp:lastPrinted>
  <dcterms:created xsi:type="dcterms:W3CDTF">2024-12-12T13:27:00Z</dcterms:created>
  <dcterms:modified xsi:type="dcterms:W3CDTF">2025-01-27T11:13:00Z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