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E50618" w:rsidRPr="00E50618" w14:paraId="2A131A54" w14:textId="77777777" w:rsidTr="00EA2D0C">
        <w:trPr>
          <w:trHeight w:val="852"/>
          <w:jc w:val="center"/>
        </w:trPr>
        <w:tc>
          <w:tcPr>
            <w:tcW w:w="6940" w:type="dxa"/>
            <w:vMerge w:val="restart"/>
            <w:tcBorders>
              <w:right w:val="single" w:sz="4" w:space="0" w:color="auto"/>
            </w:tcBorders>
          </w:tcPr>
          <w:p w14:paraId="38C3D2BA" w14:textId="77777777" w:rsidR="000A03B2" w:rsidRPr="008137BF" w:rsidRDefault="000A03B2" w:rsidP="00DE264A">
            <w:pPr>
              <w:tabs>
                <w:tab w:val="left" w:pos="-108"/>
              </w:tabs>
              <w:ind w:left="-108"/>
              <w:jc w:val="left"/>
              <w:rPr>
                <w:rFonts w:cs="Arial"/>
                <w:b/>
                <w:bCs/>
                <w:i/>
                <w:iCs/>
                <w:sz w:val="12"/>
                <w:szCs w:val="12"/>
                <w:lang w:val="en-US" w:eastAsia="it-IT"/>
              </w:rPr>
            </w:pPr>
            <w:bookmarkStart w:id="0" w:name="_Hlk145068772"/>
            <w:r w:rsidRPr="00E50618">
              <w:rPr>
                <w:rFonts w:ascii="AdvP6960" w:hAnsi="AdvP6960" w:cs="AdvP6960"/>
                <w:noProof/>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137BF">
              <w:rPr>
                <w:rFonts w:ascii="AdvP6960" w:hAnsi="AdvP6960" w:cs="AdvP6960"/>
                <w:szCs w:val="18"/>
                <w:lang w:val="en-US" w:eastAsia="it-IT"/>
              </w:rPr>
              <w:t xml:space="preserve"> </w:t>
            </w:r>
            <w:r w:rsidRPr="008137BF">
              <w:rPr>
                <w:rFonts w:cs="Arial"/>
                <w:b/>
                <w:bCs/>
                <w:i/>
                <w:iCs/>
                <w:sz w:val="24"/>
                <w:szCs w:val="24"/>
                <w:lang w:val="en-US" w:eastAsia="it-IT"/>
              </w:rPr>
              <w:t>CHEMICAL ENGINEERING TRANSACTIONS</w:t>
            </w:r>
            <w:r w:rsidRPr="008137BF">
              <w:rPr>
                <w:sz w:val="24"/>
                <w:szCs w:val="24"/>
                <w:lang w:val="en-US" w:eastAsia="it-IT"/>
              </w:rPr>
              <w:t xml:space="preserve"> </w:t>
            </w:r>
            <w:r w:rsidRPr="008137BF">
              <w:rPr>
                <w:rFonts w:cs="Arial"/>
                <w:b/>
                <w:bCs/>
                <w:i/>
                <w:iCs/>
                <w:sz w:val="27"/>
                <w:szCs w:val="27"/>
                <w:lang w:val="en-US" w:eastAsia="it-IT"/>
              </w:rPr>
              <w:br/>
            </w:r>
          </w:p>
          <w:p w14:paraId="4B780582" w14:textId="47EF826C" w:rsidR="000A03B2" w:rsidRPr="008137BF" w:rsidRDefault="00A76EFC" w:rsidP="001D21AF">
            <w:pPr>
              <w:tabs>
                <w:tab w:val="left" w:pos="-108"/>
              </w:tabs>
              <w:ind w:left="-108"/>
              <w:rPr>
                <w:rFonts w:cs="Arial"/>
                <w:b/>
                <w:bCs/>
                <w:i/>
                <w:iCs/>
                <w:lang w:val="en-US" w:eastAsia="it-IT"/>
              </w:rPr>
            </w:pPr>
            <w:r w:rsidRPr="008137BF">
              <w:rPr>
                <w:rFonts w:cs="Arial"/>
                <w:b/>
                <w:bCs/>
                <w:i/>
                <w:iCs/>
                <w:lang w:val="en-US" w:eastAsia="it-IT"/>
              </w:rPr>
              <w:t>VOL.</w:t>
            </w:r>
            <w:r w:rsidR="00785BF9" w:rsidRPr="008137BF">
              <w:rPr>
                <w:rFonts w:cs="Arial"/>
                <w:b/>
                <w:bCs/>
                <w:i/>
                <w:iCs/>
                <w:lang w:val="en-US" w:eastAsia="it-IT"/>
              </w:rPr>
              <w:t xml:space="preserve"> </w:t>
            </w:r>
            <w:r w:rsidR="00994C6A" w:rsidRPr="008137BF">
              <w:rPr>
                <w:rFonts w:cs="Arial"/>
                <w:b/>
                <w:bCs/>
                <w:i/>
                <w:iCs/>
                <w:lang w:val="en-US" w:eastAsia="it-IT"/>
              </w:rPr>
              <w:t>xxx</w:t>
            </w:r>
            <w:r w:rsidR="007B48F9" w:rsidRPr="008137BF">
              <w:rPr>
                <w:rFonts w:cs="Arial"/>
                <w:b/>
                <w:bCs/>
                <w:i/>
                <w:iCs/>
                <w:lang w:val="en-US" w:eastAsia="it-IT"/>
              </w:rPr>
              <w:t>,</w:t>
            </w:r>
            <w:r w:rsidR="00FA5F5F" w:rsidRPr="008137BF">
              <w:rPr>
                <w:rFonts w:cs="Arial"/>
                <w:b/>
                <w:bCs/>
                <w:i/>
                <w:iCs/>
                <w:lang w:val="en-US" w:eastAsia="it-IT"/>
              </w:rPr>
              <w:t xml:space="preserve"> </w:t>
            </w:r>
            <w:r w:rsidR="0030152C" w:rsidRPr="008137BF">
              <w:rPr>
                <w:rFonts w:cs="Arial"/>
                <w:b/>
                <w:bCs/>
                <w:i/>
                <w:iCs/>
                <w:lang w:val="en-US" w:eastAsia="it-IT"/>
              </w:rPr>
              <w:t>202</w:t>
            </w:r>
            <w:r w:rsidR="00994C6A" w:rsidRPr="008137BF">
              <w:rPr>
                <w:rFonts w:cs="Arial"/>
                <w:b/>
                <w:bCs/>
                <w:i/>
                <w:iCs/>
                <w:lang w:val="en-US" w:eastAsia="it-IT"/>
              </w:rPr>
              <w:t>5</w:t>
            </w:r>
          </w:p>
        </w:tc>
        <w:tc>
          <w:tcPr>
            <w:tcW w:w="1842" w:type="dxa"/>
            <w:tcBorders>
              <w:left w:val="single" w:sz="4" w:space="0" w:color="auto"/>
              <w:bottom w:val="nil"/>
              <w:right w:val="single" w:sz="4" w:space="0" w:color="auto"/>
            </w:tcBorders>
          </w:tcPr>
          <w:p w14:paraId="56782132" w14:textId="77777777" w:rsidR="000A03B2" w:rsidRPr="00E50618" w:rsidRDefault="000A03B2" w:rsidP="00CD5FE2">
            <w:pPr>
              <w:spacing w:line="140" w:lineRule="atLeast"/>
              <w:jc w:val="right"/>
              <w:rPr>
                <w:rFonts w:cs="Arial"/>
                <w:sz w:val="14"/>
                <w:szCs w:val="14"/>
              </w:rPr>
            </w:pPr>
            <w:r w:rsidRPr="00E50618">
              <w:rPr>
                <w:rFonts w:cs="Arial"/>
                <w:sz w:val="14"/>
                <w:szCs w:val="14"/>
              </w:rPr>
              <w:t xml:space="preserve">A </w:t>
            </w:r>
            <w:proofErr w:type="spellStart"/>
            <w:r w:rsidRPr="00E50618">
              <w:rPr>
                <w:rFonts w:cs="Arial"/>
                <w:sz w:val="14"/>
                <w:szCs w:val="14"/>
              </w:rPr>
              <w:t>publication</w:t>
            </w:r>
            <w:proofErr w:type="spellEnd"/>
            <w:r w:rsidRPr="00E50618">
              <w:rPr>
                <w:rFonts w:cs="Arial"/>
                <w:sz w:val="14"/>
                <w:szCs w:val="14"/>
              </w:rPr>
              <w:t xml:space="preserve"> of</w:t>
            </w:r>
          </w:p>
          <w:p w14:paraId="599E5441" w14:textId="77777777" w:rsidR="000A03B2" w:rsidRPr="00E50618" w:rsidRDefault="000A03B2" w:rsidP="00CD5FE2">
            <w:pPr>
              <w:jc w:val="right"/>
            </w:pPr>
            <w:r w:rsidRPr="00E50618">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E50618" w:rsidRPr="00F73928" w14:paraId="380FA3CD" w14:textId="77777777" w:rsidTr="00EA2D0C">
        <w:trPr>
          <w:trHeight w:val="567"/>
          <w:jc w:val="center"/>
        </w:trPr>
        <w:tc>
          <w:tcPr>
            <w:tcW w:w="6940" w:type="dxa"/>
            <w:vMerge/>
            <w:tcBorders>
              <w:right w:val="single" w:sz="4" w:space="0" w:color="auto"/>
            </w:tcBorders>
          </w:tcPr>
          <w:p w14:paraId="39E5E4C1" w14:textId="77777777" w:rsidR="000A03B2" w:rsidRPr="00E50618"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5760EE" w:rsidRDefault="000A03B2" w:rsidP="00CD5FE2">
            <w:pPr>
              <w:spacing w:line="140" w:lineRule="atLeast"/>
              <w:jc w:val="right"/>
              <w:rPr>
                <w:rFonts w:cs="Arial"/>
                <w:sz w:val="14"/>
                <w:szCs w:val="14"/>
                <w:lang w:val="en-US"/>
              </w:rPr>
            </w:pPr>
            <w:r w:rsidRPr="005760EE">
              <w:rPr>
                <w:rFonts w:cs="Arial"/>
                <w:sz w:val="14"/>
                <w:szCs w:val="14"/>
                <w:lang w:val="en-US"/>
              </w:rPr>
              <w:t>The Italian Association</w:t>
            </w:r>
          </w:p>
          <w:p w14:paraId="7522B1D2" w14:textId="77777777" w:rsidR="000A03B2" w:rsidRPr="005760EE" w:rsidRDefault="000A03B2" w:rsidP="00CD5FE2">
            <w:pPr>
              <w:spacing w:line="140" w:lineRule="atLeast"/>
              <w:jc w:val="right"/>
              <w:rPr>
                <w:rFonts w:cs="Arial"/>
                <w:sz w:val="14"/>
                <w:szCs w:val="14"/>
                <w:lang w:val="en-US"/>
              </w:rPr>
            </w:pPr>
            <w:r w:rsidRPr="005760EE">
              <w:rPr>
                <w:rFonts w:cs="Arial"/>
                <w:sz w:val="14"/>
                <w:szCs w:val="14"/>
                <w:lang w:val="en-US"/>
              </w:rPr>
              <w:t>of Chemical Engineering</w:t>
            </w:r>
          </w:p>
          <w:p w14:paraId="4F0CC5DE" w14:textId="2C9AF8FC" w:rsidR="000A03B2" w:rsidRPr="005760EE" w:rsidRDefault="000D0268" w:rsidP="00CD5FE2">
            <w:pPr>
              <w:spacing w:line="140" w:lineRule="atLeast"/>
              <w:jc w:val="right"/>
              <w:rPr>
                <w:rFonts w:cs="Arial"/>
                <w:sz w:val="13"/>
                <w:szCs w:val="13"/>
                <w:lang w:val="en-US"/>
              </w:rPr>
            </w:pPr>
            <w:r w:rsidRPr="005760EE">
              <w:rPr>
                <w:rFonts w:cs="Arial"/>
                <w:sz w:val="13"/>
                <w:szCs w:val="13"/>
                <w:lang w:val="en-US"/>
              </w:rPr>
              <w:t xml:space="preserve">Online at </w:t>
            </w:r>
            <w:hyperlink r:id="rId10" w:history="1">
              <w:r w:rsidR="00B25A6B" w:rsidRPr="006B47D5">
                <w:rPr>
                  <w:rStyle w:val="Hyperlink"/>
                  <w:rFonts w:cs="Arial"/>
                  <w:sz w:val="13"/>
                  <w:szCs w:val="13"/>
                  <w:lang w:val="en-US"/>
                </w:rPr>
                <w:t>www.cetjournal.it</w:t>
              </w:r>
            </w:hyperlink>
          </w:p>
        </w:tc>
      </w:tr>
      <w:tr w:rsidR="00E50618" w:rsidRPr="00F73928" w14:paraId="2D1B7169" w14:textId="77777777" w:rsidTr="00EA2D0C">
        <w:trPr>
          <w:trHeight w:val="68"/>
          <w:jc w:val="center"/>
        </w:trPr>
        <w:tc>
          <w:tcPr>
            <w:tcW w:w="8782" w:type="dxa"/>
            <w:gridSpan w:val="2"/>
          </w:tcPr>
          <w:p w14:paraId="1D8DD3C9" w14:textId="025D7B18" w:rsidR="00AA7D26" w:rsidRPr="00E50618" w:rsidRDefault="00AA7D26" w:rsidP="007D610D">
            <w:pPr>
              <w:ind w:left="-107"/>
              <w:outlineLvl w:val="2"/>
              <w:rPr>
                <w:rFonts w:ascii="Tahoma" w:hAnsi="Tahoma" w:cs="Tahoma"/>
                <w:sz w:val="14"/>
                <w:szCs w:val="14"/>
                <w:shd w:val="clear" w:color="auto" w:fill="FFFFFF"/>
              </w:rPr>
            </w:pPr>
            <w:r w:rsidRPr="00E50618">
              <w:rPr>
                <w:rFonts w:ascii="Tahoma" w:hAnsi="Tahoma" w:cs="Tahoma"/>
                <w:iCs/>
                <w:sz w:val="14"/>
                <w:szCs w:val="14"/>
                <w:lang w:eastAsia="it-IT"/>
              </w:rPr>
              <w:t>Guest Editors:</w:t>
            </w:r>
            <w:r w:rsidR="007D610D" w:rsidRPr="00E50618">
              <w:rPr>
                <w:rFonts w:ascii="Aptos" w:hAnsi="Aptos" w:cs="Aptos"/>
                <w14:ligatures w14:val="standardContextual"/>
              </w:rPr>
              <w:t xml:space="preserve"> </w:t>
            </w:r>
            <w:r w:rsidR="007D610D" w:rsidRPr="00E50618">
              <w:rPr>
                <w:rFonts w:ascii="Tahoma" w:hAnsi="Tahoma" w:cs="Tahoma"/>
                <w:sz w:val="14"/>
                <w:szCs w:val="14"/>
                <w:shd w:val="clear" w:color="auto" w:fill="FFFFFF"/>
              </w:rPr>
              <w:t xml:space="preserve">Fabrizio Bezzo, </w:t>
            </w:r>
            <w:r w:rsidR="001D3D32" w:rsidRPr="00E50618">
              <w:rPr>
                <w:rFonts w:ascii="Tahoma" w:hAnsi="Tahoma" w:cs="Tahoma"/>
                <w:sz w:val="14"/>
                <w:szCs w:val="14"/>
                <w:shd w:val="clear" w:color="auto" w:fill="FFFFFF"/>
              </w:rPr>
              <w:t>Flavio Manenti</w:t>
            </w:r>
            <w:r w:rsidR="00304CE8" w:rsidRPr="00E50618">
              <w:rPr>
                <w:rFonts w:ascii="Tahoma" w:hAnsi="Tahoma" w:cs="Tahoma"/>
                <w:sz w:val="14"/>
                <w:szCs w:val="14"/>
                <w:shd w:val="clear" w:color="auto" w:fill="FFFFFF"/>
              </w:rPr>
              <w:t>,</w:t>
            </w:r>
            <w:r w:rsidR="001D3D32" w:rsidRPr="00E50618">
              <w:rPr>
                <w:rFonts w:ascii="Tahoma" w:hAnsi="Tahoma" w:cs="Tahoma"/>
                <w:sz w:val="14"/>
                <w:szCs w:val="14"/>
                <w:shd w:val="clear" w:color="auto" w:fill="FFFFFF"/>
              </w:rPr>
              <w:t xml:space="preserve"> </w:t>
            </w:r>
            <w:r w:rsidR="007D610D" w:rsidRPr="00E50618">
              <w:rPr>
                <w:rFonts w:ascii="Tahoma" w:hAnsi="Tahoma" w:cs="Tahoma"/>
                <w:sz w:val="14"/>
                <w:szCs w:val="14"/>
                <w:shd w:val="clear" w:color="auto" w:fill="FFFFFF"/>
              </w:rPr>
              <w:t>Gabriele Pannocchia, Almerinda di Benedetto</w:t>
            </w:r>
          </w:p>
          <w:p w14:paraId="1B0F1814" w14:textId="7C54DC3A" w:rsidR="000A03B2" w:rsidRPr="005760EE" w:rsidRDefault="00AA7D26" w:rsidP="00AA7D26">
            <w:pPr>
              <w:tabs>
                <w:tab w:val="left" w:pos="-108"/>
              </w:tabs>
              <w:spacing w:line="140" w:lineRule="atLeast"/>
              <w:ind w:left="-107"/>
              <w:jc w:val="left"/>
              <w:rPr>
                <w:lang w:val="en-US"/>
              </w:rPr>
            </w:pPr>
            <w:r w:rsidRPr="005760EE">
              <w:rPr>
                <w:rFonts w:ascii="Tahoma" w:hAnsi="Tahoma" w:cs="Tahoma"/>
                <w:iCs/>
                <w:sz w:val="14"/>
                <w:szCs w:val="14"/>
                <w:lang w:val="en-US" w:eastAsia="it-IT"/>
              </w:rPr>
              <w:t>Copyright © 202</w:t>
            </w:r>
            <w:r w:rsidR="00994C6A" w:rsidRPr="005760EE">
              <w:rPr>
                <w:rFonts w:ascii="Tahoma" w:hAnsi="Tahoma" w:cs="Tahoma"/>
                <w:iCs/>
                <w:sz w:val="14"/>
                <w:szCs w:val="14"/>
                <w:lang w:val="en-US" w:eastAsia="it-IT"/>
              </w:rPr>
              <w:t>5</w:t>
            </w:r>
            <w:r w:rsidRPr="005760EE">
              <w:rPr>
                <w:rFonts w:ascii="Tahoma" w:hAnsi="Tahoma" w:cs="Tahoma"/>
                <w:iCs/>
                <w:sz w:val="14"/>
                <w:szCs w:val="14"/>
                <w:lang w:val="en-US" w:eastAsia="it-IT"/>
              </w:rPr>
              <w:t xml:space="preserve">, AIDIC </w:t>
            </w:r>
            <w:proofErr w:type="spellStart"/>
            <w:r w:rsidRPr="005760EE">
              <w:rPr>
                <w:rFonts w:ascii="Tahoma" w:hAnsi="Tahoma" w:cs="Tahoma"/>
                <w:iCs/>
                <w:sz w:val="14"/>
                <w:szCs w:val="14"/>
                <w:lang w:val="en-US" w:eastAsia="it-IT"/>
              </w:rPr>
              <w:t>Servizi</w:t>
            </w:r>
            <w:proofErr w:type="spellEnd"/>
            <w:r w:rsidRPr="005760EE">
              <w:rPr>
                <w:rFonts w:ascii="Tahoma" w:hAnsi="Tahoma" w:cs="Tahoma"/>
                <w:iCs/>
                <w:sz w:val="14"/>
                <w:szCs w:val="14"/>
                <w:lang w:val="en-US" w:eastAsia="it-IT"/>
              </w:rPr>
              <w:t xml:space="preserve"> </w:t>
            </w:r>
            <w:proofErr w:type="spellStart"/>
            <w:r w:rsidRPr="005760EE">
              <w:rPr>
                <w:rFonts w:ascii="Tahoma" w:hAnsi="Tahoma" w:cs="Tahoma"/>
                <w:iCs/>
                <w:sz w:val="14"/>
                <w:szCs w:val="14"/>
                <w:lang w:val="en-US" w:eastAsia="it-IT"/>
              </w:rPr>
              <w:t>S.r.l</w:t>
            </w:r>
            <w:proofErr w:type="spellEnd"/>
            <w:r w:rsidRPr="005760EE">
              <w:rPr>
                <w:rFonts w:ascii="Tahoma" w:hAnsi="Tahoma" w:cs="Tahoma"/>
                <w:iCs/>
                <w:sz w:val="14"/>
                <w:szCs w:val="14"/>
                <w:lang w:val="en-US" w:eastAsia="it-IT"/>
              </w:rPr>
              <w:t>.</w:t>
            </w:r>
            <w:r w:rsidRPr="005760EE">
              <w:rPr>
                <w:rFonts w:ascii="Tahoma" w:hAnsi="Tahoma" w:cs="Tahoma"/>
                <w:iCs/>
                <w:sz w:val="14"/>
                <w:szCs w:val="14"/>
                <w:lang w:val="en-US" w:eastAsia="it-IT"/>
              </w:rPr>
              <w:br/>
            </w:r>
            <w:r w:rsidRPr="005760EE">
              <w:rPr>
                <w:rFonts w:ascii="Tahoma" w:hAnsi="Tahoma" w:cs="Tahoma"/>
                <w:b/>
                <w:iCs/>
                <w:sz w:val="14"/>
                <w:szCs w:val="14"/>
                <w:lang w:val="en-US" w:eastAsia="it-IT"/>
              </w:rPr>
              <w:t>ISBN</w:t>
            </w:r>
            <w:r w:rsidRPr="005760EE">
              <w:rPr>
                <w:rFonts w:ascii="Tahoma" w:hAnsi="Tahoma" w:cs="Tahoma"/>
                <w:iCs/>
                <w:sz w:val="14"/>
                <w:szCs w:val="14"/>
                <w:lang w:val="en-US" w:eastAsia="it-IT"/>
              </w:rPr>
              <w:t xml:space="preserve"> </w:t>
            </w:r>
            <w:r w:rsidR="003B49CD" w:rsidRPr="005760EE">
              <w:rPr>
                <w:rFonts w:ascii="Tahoma" w:hAnsi="Tahoma" w:cs="Tahoma"/>
                <w:sz w:val="14"/>
                <w:szCs w:val="14"/>
                <w:lang w:val="en-US"/>
              </w:rPr>
              <w:t>979-12-81206-1</w:t>
            </w:r>
            <w:r w:rsidR="00994C6A" w:rsidRPr="005760EE">
              <w:rPr>
                <w:rFonts w:ascii="Tahoma" w:hAnsi="Tahoma" w:cs="Tahoma"/>
                <w:sz w:val="14"/>
                <w:szCs w:val="14"/>
                <w:lang w:val="en-US"/>
              </w:rPr>
              <w:t>7</w:t>
            </w:r>
            <w:r w:rsidR="003B49CD" w:rsidRPr="005760EE">
              <w:rPr>
                <w:rFonts w:ascii="Tahoma" w:hAnsi="Tahoma" w:cs="Tahoma"/>
                <w:sz w:val="14"/>
                <w:szCs w:val="14"/>
                <w:lang w:val="en-US"/>
              </w:rPr>
              <w:t>-</w:t>
            </w:r>
            <w:r w:rsidR="00994C6A" w:rsidRPr="005760EE">
              <w:rPr>
                <w:rFonts w:ascii="Tahoma" w:hAnsi="Tahoma" w:cs="Tahoma"/>
                <w:sz w:val="14"/>
                <w:szCs w:val="14"/>
                <w:lang w:val="en-US"/>
              </w:rPr>
              <w:t>5</w:t>
            </w:r>
            <w:r w:rsidRPr="005760EE">
              <w:rPr>
                <w:rFonts w:ascii="Tahoma" w:hAnsi="Tahoma" w:cs="Tahoma"/>
                <w:iCs/>
                <w:sz w:val="14"/>
                <w:szCs w:val="14"/>
                <w:lang w:val="en-US" w:eastAsia="it-IT"/>
              </w:rPr>
              <w:t xml:space="preserve">; </w:t>
            </w:r>
            <w:r w:rsidRPr="005760EE">
              <w:rPr>
                <w:rFonts w:ascii="Tahoma" w:hAnsi="Tahoma" w:cs="Tahoma"/>
                <w:b/>
                <w:iCs/>
                <w:sz w:val="14"/>
                <w:szCs w:val="14"/>
                <w:lang w:val="en-US" w:eastAsia="it-IT"/>
              </w:rPr>
              <w:t>ISSN</w:t>
            </w:r>
            <w:r w:rsidRPr="005760EE">
              <w:rPr>
                <w:rFonts w:ascii="Tahoma" w:hAnsi="Tahoma" w:cs="Tahoma"/>
                <w:iCs/>
                <w:sz w:val="14"/>
                <w:szCs w:val="14"/>
                <w:lang w:val="en-US" w:eastAsia="it-IT"/>
              </w:rPr>
              <w:t xml:space="preserve"> 2283-9216</w:t>
            </w:r>
          </w:p>
        </w:tc>
      </w:tr>
    </w:tbl>
    <w:bookmarkEnd w:id="0"/>
    <w:p w14:paraId="2E667253" w14:textId="4E2B59E3" w:rsidR="00E978D0" w:rsidRPr="00E50618" w:rsidRDefault="00EA2D0C" w:rsidP="00EA2D0C">
      <w:pPr>
        <w:pStyle w:val="CETTitle"/>
      </w:pPr>
      <w:r w:rsidRPr="00E50618">
        <w:t>Comparative Life Cycle Assessment and Costing of Biogas Direct Methanation and Water Scrubbing Upgrade</w:t>
      </w:r>
    </w:p>
    <w:p w14:paraId="0488FED2" w14:textId="7C79E0B2" w:rsidR="00B57E6F" w:rsidRPr="00E50618" w:rsidRDefault="00EA2D0C" w:rsidP="00B57E6F">
      <w:pPr>
        <w:pStyle w:val="CETAuthors"/>
        <w:rPr>
          <w:lang w:val="it-IT"/>
        </w:rPr>
      </w:pPr>
      <w:r w:rsidRPr="00E50618">
        <w:rPr>
          <w:lang w:val="it-IT"/>
        </w:rPr>
        <w:t>Giuseppe Piso</w:t>
      </w:r>
      <w:r w:rsidR="00B57E6F" w:rsidRPr="00E50618">
        <w:rPr>
          <w:vertAlign w:val="superscript"/>
          <w:lang w:val="it-IT"/>
        </w:rPr>
        <w:t>a</w:t>
      </w:r>
      <w:r w:rsidR="003A271A">
        <w:rPr>
          <w:vertAlign w:val="superscript"/>
          <w:lang w:val="it-IT"/>
        </w:rPr>
        <w:t>,</w:t>
      </w:r>
      <w:r w:rsidR="003A271A" w:rsidRPr="003A271A">
        <w:rPr>
          <w:lang w:val="it-IT"/>
        </w:rPr>
        <w:t>*</w:t>
      </w:r>
      <w:r w:rsidR="00B57E6F" w:rsidRPr="00E50618">
        <w:rPr>
          <w:lang w:val="it-IT"/>
        </w:rPr>
        <w:t xml:space="preserve">, </w:t>
      </w:r>
      <w:r w:rsidRPr="00E50618">
        <w:rPr>
          <w:lang w:val="it-IT"/>
        </w:rPr>
        <w:t>Erasmo Mancusi</w:t>
      </w:r>
      <w:r w:rsidR="00617F3C">
        <w:rPr>
          <w:vertAlign w:val="superscript"/>
          <w:lang w:val="it-IT"/>
        </w:rPr>
        <w:t>a</w:t>
      </w:r>
      <w:r w:rsidR="00B57E6F" w:rsidRPr="00E50618">
        <w:rPr>
          <w:lang w:val="it-IT"/>
        </w:rPr>
        <w:t xml:space="preserve">, </w:t>
      </w:r>
      <w:r w:rsidR="002D4A4E" w:rsidRPr="00E50618">
        <w:rPr>
          <w:lang w:val="it-IT"/>
        </w:rPr>
        <w:t>Hamad</w:t>
      </w:r>
      <w:r w:rsidR="002D4A4E">
        <w:rPr>
          <w:lang w:val="it-IT"/>
        </w:rPr>
        <w:t xml:space="preserve"> </w:t>
      </w:r>
      <w:r w:rsidR="002D4A4E" w:rsidRPr="00E50618">
        <w:rPr>
          <w:lang w:val="it-IT"/>
        </w:rPr>
        <w:t>H</w:t>
      </w:r>
      <w:r w:rsidR="002D4A4E">
        <w:rPr>
          <w:lang w:val="it-IT"/>
        </w:rPr>
        <w:t>.</w:t>
      </w:r>
      <w:r w:rsidR="002D4A4E" w:rsidRPr="00E50618">
        <w:rPr>
          <w:lang w:val="it-IT"/>
        </w:rPr>
        <w:t xml:space="preserve"> </w:t>
      </w:r>
      <w:r w:rsidRPr="00E50618">
        <w:rPr>
          <w:lang w:val="it-IT"/>
        </w:rPr>
        <w:t>S</w:t>
      </w:r>
      <w:r w:rsidR="002D4A4E">
        <w:rPr>
          <w:lang w:val="it-IT"/>
        </w:rPr>
        <w:t>hah</w:t>
      </w:r>
      <w:r w:rsidR="00617F3C" w:rsidRPr="00672EC6">
        <w:rPr>
          <w:vertAlign w:val="superscript"/>
          <w:lang w:val="it-IT"/>
        </w:rPr>
        <w:t>a</w:t>
      </w:r>
      <w:r w:rsidRPr="00E50618">
        <w:rPr>
          <w:lang w:val="it-IT"/>
        </w:rPr>
        <w:t>, Francesco Pepe</w:t>
      </w:r>
      <w:r w:rsidR="00617F3C" w:rsidRPr="00672EC6">
        <w:rPr>
          <w:vertAlign w:val="superscript"/>
          <w:lang w:val="it-IT"/>
        </w:rPr>
        <w:t>a</w:t>
      </w:r>
      <w:r w:rsidRPr="00E50618">
        <w:rPr>
          <w:lang w:val="it-IT"/>
        </w:rPr>
        <w:t xml:space="preserve">, Piero </w:t>
      </w:r>
      <w:r w:rsidR="00B25A6B" w:rsidRPr="00E50618">
        <w:rPr>
          <w:lang w:val="it-IT"/>
        </w:rPr>
        <w:t>Bareschino</w:t>
      </w:r>
      <w:r w:rsidR="00B25A6B">
        <w:rPr>
          <w:vertAlign w:val="superscript"/>
          <w:lang w:val="it-IT"/>
        </w:rPr>
        <w:t>a</w:t>
      </w:r>
      <w:r w:rsidR="00B25A6B" w:rsidRPr="00E50618">
        <w:rPr>
          <w:lang w:val="it-IT"/>
        </w:rPr>
        <w:t xml:space="preserve"> </w:t>
      </w:r>
    </w:p>
    <w:p w14:paraId="1899A352" w14:textId="77777777" w:rsidR="00EA2D0C" w:rsidRPr="00E50618" w:rsidRDefault="00B57E6F" w:rsidP="00B57E6F">
      <w:pPr>
        <w:pStyle w:val="CETAddress"/>
        <w:rPr>
          <w:lang w:val="it-IT"/>
        </w:rPr>
      </w:pPr>
      <w:r w:rsidRPr="00E50618">
        <w:rPr>
          <w:vertAlign w:val="superscript"/>
          <w:lang w:val="it-IT"/>
        </w:rPr>
        <w:t>a</w:t>
      </w:r>
      <w:r w:rsidR="00EA2D0C" w:rsidRPr="00E50618">
        <w:rPr>
          <w:lang w:val="it-IT"/>
        </w:rPr>
        <w:t>Dipartimento di Ingegneria, Università degli Studi del Sannio, Piazza Roma, 21 – 82100, Benevento (Italy)</w:t>
      </w:r>
    </w:p>
    <w:p w14:paraId="73F1267A" w14:textId="05E86BDA" w:rsidR="00B57E6F" w:rsidRPr="003B35A6" w:rsidRDefault="003A271A" w:rsidP="00EA2D0C">
      <w:pPr>
        <w:pStyle w:val="CETAddress"/>
        <w:rPr>
          <w:lang w:val="en-US"/>
        </w:rPr>
      </w:pPr>
      <w:r>
        <w:rPr>
          <w:lang w:val="en-US"/>
        </w:rPr>
        <w:t>gicpiso</w:t>
      </w:r>
      <w:r w:rsidR="00B57E6F" w:rsidRPr="003B35A6">
        <w:rPr>
          <w:lang w:val="en-US"/>
        </w:rPr>
        <w:t>@</w:t>
      </w:r>
      <w:r w:rsidR="00672EC6" w:rsidRPr="003B35A6">
        <w:rPr>
          <w:lang w:val="en-US"/>
        </w:rPr>
        <w:t>unisannio.it</w:t>
      </w:r>
    </w:p>
    <w:p w14:paraId="62CC9197" w14:textId="77777777" w:rsidR="00EA2D0C" w:rsidRPr="003B35A6" w:rsidRDefault="00EA2D0C" w:rsidP="00EA2D0C">
      <w:pPr>
        <w:pStyle w:val="CETAddress"/>
        <w:rPr>
          <w:lang w:val="en-US"/>
        </w:rPr>
      </w:pPr>
    </w:p>
    <w:p w14:paraId="38F76186" w14:textId="2FB00658" w:rsidR="006A6DE5" w:rsidRPr="00E50618" w:rsidRDefault="008137BF" w:rsidP="0010676B">
      <w:pPr>
        <w:pStyle w:val="CETBodytext"/>
      </w:pPr>
      <w:r>
        <w:t>Biogas CO</w:t>
      </w:r>
      <w:r w:rsidRPr="00617F3C">
        <w:rPr>
          <w:vertAlign w:val="subscript"/>
        </w:rPr>
        <w:t>2</w:t>
      </w:r>
      <w:r>
        <w:t xml:space="preserve"> content can be valorized directly through </w:t>
      </w:r>
      <w:r w:rsidR="001A4258">
        <w:t xml:space="preserve">the </w:t>
      </w:r>
      <w:r>
        <w:t>methanation process without the need for a cleaning step.</w:t>
      </w:r>
      <w:r w:rsidR="00121468" w:rsidRPr="00E50618">
        <w:t xml:space="preserve"> </w:t>
      </w:r>
      <w:r w:rsidR="0010676B" w:rsidRPr="00E50618">
        <w:t>B</w:t>
      </w:r>
      <w:r w:rsidR="00121468" w:rsidRPr="00E50618">
        <w:t xml:space="preserve">y integrating biogas production with a methanation system, a net increase in biomethane yield and productivity can be achieved while reducing greenhouse gas emissions. This study aims </w:t>
      </w:r>
      <w:r w:rsidR="002D225F" w:rsidRPr="00E50618">
        <w:t>to compare</w:t>
      </w:r>
      <w:r w:rsidR="00121468" w:rsidRPr="00E50618">
        <w:t xml:space="preserve"> the environmental and economic performances of a biogas direct methanation system to those of one of the most widely-used conventional methods, namely water scrubbing, by means of Life Cycle Assessment and Life Cycle Costing methodologies, with specific reference to the Campania region context. </w:t>
      </w:r>
      <w:r w:rsidR="001A4258">
        <w:t>Two detailed models were developed using Aspen Plus to produce</w:t>
      </w:r>
      <w:r w:rsidR="00121468" w:rsidRPr="00E50618">
        <w:t xml:space="preserve"> high-purity methane suitable for direct injection into the natural gas grid. </w:t>
      </w:r>
      <w:r w:rsidR="0010676B" w:rsidRPr="00E50618">
        <w:t>From simulations</w:t>
      </w:r>
      <w:r w:rsidR="008C483D" w:rsidRPr="00E50618">
        <w:t xml:space="preserve">, inventory data of plant operations are collected and used for </w:t>
      </w:r>
      <w:r w:rsidR="00CD6DED">
        <w:t xml:space="preserve">environmental and economic </w:t>
      </w:r>
      <w:r w:rsidR="00FB7347">
        <w:t>assessments</w:t>
      </w:r>
      <w:r w:rsidR="00121468" w:rsidRPr="00E50618">
        <w:t xml:space="preserve">. </w:t>
      </w:r>
      <w:r w:rsidR="00FB0CAC" w:rsidRPr="00E50618">
        <w:t xml:space="preserve">While direct methanation presents higher environmental impacts under current energy scenarios, </w:t>
      </w:r>
      <w:r w:rsidR="00B25A6B">
        <w:t>utilizing</w:t>
      </w:r>
      <w:r w:rsidR="00B25A6B" w:rsidRPr="00E50618">
        <w:t xml:space="preserve"> </w:t>
      </w:r>
      <w:r w:rsidR="00FB0CAC" w:rsidRPr="00E50618">
        <w:t>renewable energy sources can substantially mitigate these impacts. Similarly</w:t>
      </w:r>
      <w:r w:rsidR="008C483D" w:rsidRPr="00E50618">
        <w:t xml:space="preserve">, direct methanation becomes a cost-effective alternative to water scrubbing if </w:t>
      </w:r>
      <w:r w:rsidR="001A4258">
        <w:t>a surplus of wind energy provides hydrogen</w:t>
      </w:r>
      <w:r w:rsidR="00FB0CAC" w:rsidRPr="00E50618">
        <w:t>.</w:t>
      </w:r>
    </w:p>
    <w:p w14:paraId="476B2F2E" w14:textId="52B36035" w:rsidR="00600535" w:rsidRPr="00E50618" w:rsidRDefault="00600535" w:rsidP="00600535">
      <w:pPr>
        <w:pStyle w:val="CETHeading1"/>
        <w:rPr>
          <w:lang w:val="en-GB"/>
        </w:rPr>
      </w:pPr>
      <w:r w:rsidRPr="00E50618">
        <w:rPr>
          <w:lang w:val="en-GB"/>
        </w:rPr>
        <w:t>Introduction</w:t>
      </w:r>
    </w:p>
    <w:p w14:paraId="33376A26" w14:textId="419C74EB" w:rsidR="00EA2D0C" w:rsidRPr="00E50618" w:rsidRDefault="00B802B3" w:rsidP="00FB0CAC">
      <w:pPr>
        <w:pStyle w:val="CETBodytext"/>
        <w:rPr>
          <w:lang w:val="en-GB"/>
        </w:rPr>
      </w:pPr>
      <w:r w:rsidRPr="00E50618">
        <w:t xml:space="preserve">Biogas is a renewable energy source produced by anaerobic digestion of organic matter. It </w:t>
      </w:r>
      <w:r w:rsidR="008C483D" w:rsidRPr="00E50618">
        <w:t>mainly comprises</w:t>
      </w:r>
      <w:r w:rsidRPr="00E50618">
        <w:t xml:space="preserve"> </w:t>
      </w:r>
      <w:r w:rsidR="006B58EF">
        <w:t>CH</w:t>
      </w:r>
      <w:r w:rsidR="006B58EF" w:rsidRPr="00FB7347">
        <w:rPr>
          <w:vertAlign w:val="subscript"/>
        </w:rPr>
        <w:t>4</w:t>
      </w:r>
      <w:r w:rsidRPr="00E50618">
        <w:t xml:space="preserve"> and </w:t>
      </w:r>
      <w:r w:rsidR="006B58EF">
        <w:t>CO</w:t>
      </w:r>
      <w:r w:rsidR="006B58EF" w:rsidRPr="00FB7347">
        <w:rPr>
          <w:vertAlign w:val="subscript"/>
        </w:rPr>
        <w:t>2</w:t>
      </w:r>
      <w:r w:rsidRPr="00E50618">
        <w:t>; minor impurities such as hydrogen sulfide, ammonia</w:t>
      </w:r>
      <w:r w:rsidR="001A4258">
        <w:t>,</w:t>
      </w:r>
      <w:r w:rsidRPr="00E50618">
        <w:t xml:space="preserve"> and siloxanes can be present. Biogas production is becoming increasingly important due to </w:t>
      </w:r>
      <w:r w:rsidR="00A74DA5" w:rsidRPr="00E50618">
        <w:t xml:space="preserve">its potential to reduce dependency on fossil </w:t>
      </w:r>
      <w:r w:rsidR="008C483D" w:rsidRPr="00E50618">
        <w:t>fuels</w:t>
      </w:r>
      <w:r w:rsidR="00A74DA5" w:rsidRPr="00E50618">
        <w:t xml:space="preserve"> and boost</w:t>
      </w:r>
      <w:r w:rsidRPr="00E50618">
        <w:t xml:space="preserve"> decarbonization efforts</w:t>
      </w:r>
      <w:r w:rsidR="008C483D" w:rsidRPr="00E50618">
        <w:t>.</w:t>
      </w:r>
      <w:r w:rsidR="004A51AC" w:rsidRPr="00E50618">
        <w:t xml:space="preserve"> After a cleaning phase to remove impurities that could damage downstream equipment, biogas is typically employed in cogeneration systems to generate electricity and heat. </w:t>
      </w:r>
      <w:r w:rsidRPr="00E50618">
        <w:t xml:space="preserve">In Italy, </w:t>
      </w:r>
      <w:r w:rsidR="004A51AC" w:rsidRPr="00E50618">
        <w:t>in</w:t>
      </w:r>
      <w:r w:rsidRPr="00E50618">
        <w:t xml:space="preserve"> 2022, </w:t>
      </w:r>
      <w:r w:rsidR="004A51AC" w:rsidRPr="00E50618">
        <w:t xml:space="preserve">there were </w:t>
      </w:r>
      <w:r w:rsidR="00A74DA5" w:rsidRPr="00E50618">
        <w:t xml:space="preserve">more than 2,000 biogas </w:t>
      </w:r>
      <w:r w:rsidR="00E113B2">
        <w:t>cogeneration (</w:t>
      </w:r>
      <w:r w:rsidR="004A51AC" w:rsidRPr="00E50618">
        <w:t>CHP</w:t>
      </w:r>
      <w:r w:rsidR="00E113B2">
        <w:t>)</w:t>
      </w:r>
      <w:r w:rsidR="00A74DA5" w:rsidRPr="00E50618">
        <w:t xml:space="preserve"> plants in operation, with a total capacity of 1.46 GW </w:t>
      </w:r>
      <w:r w:rsidR="00CA3FAC" w:rsidRPr="00E50618">
        <w:fldChar w:fldCharType="begin" w:fldLock="1"/>
      </w:r>
      <w:r w:rsidR="000B10FA">
        <w:instrText>ADDIN CSL_CITATION {"citationItems":[{"id":"ITEM-1","itemData":{"DOI":"https://doi.org/10.1016/j.apenergy.2023.122322","ISSN":"0306-2619","abstract":"This paper aims at evaluating the best allocation of potential biomethane generation for the decarbonization of the transport system, presenting a case study in Italy. The country has some peculiar features, such as several operating biogas plants, additional potential feedstock for biogas/biomethane generation, a well-developed natural gas network and established relevant natural gas uses in different final sectors, including transport. Based on current estimates for sustainable biomethane potential by 2030, ranging from 2.3 to 7.6 billion cubic meters depending on the scenario, the analysis compares technologies for the generation, distribution and final use of biomethane. The results of the analysis confirm the potential interesting contribution of biomethane in decarbonizing the Italian transport system: a billion cubic meters of biomethane can lead to 2.33–4.37 MtCO2e savings, depending on the feedstock mix and the application. On a national basis, annual climate emission savings in 2030 range from 10.0 to 26.7 MtCO2e, depending on the scenario. Additional 3.1–8.1 MtCO2 of emissions can be avoided if the CO2 captured during the biomethane upgrading can be stored or reused. The proposed methodology could be used to extend the analysis to other countries, and to the European context.","author":[{"dropping-particle":"","family":"Noussan","given":"Michel","non-dropping-particle":"","parse-names":false,"suffix":""},{"dropping-particle":"","family":"Negro","given":"Viviana","non-dropping-particle":"","parse-names":false,"suffix":""},{"dropping-particle":"","family":"Prussi","given":"Matteo","non-dropping-particle":"","parse-names":false,"suffix":""},{"dropping-particle":"","family":"Chiaramonti","given":"David","non-dropping-particle":"","parse-names":false,"suffix":""}],"container-title":"Applied Energy","id":"ITEM-1","issued":{"date-parts":[["2024"]]},"page":"122322","title":"The potential role of biomethane for the decarbonization of transport: An analysis of 2030 scenarios in Italy","type":"article-journal","volume":"355"},"uris":["http://www.mendeley.com/documents/?uuid=b00a21b5-26d0-4f7c-92d6-54d3a60315b5"]}],"mendeley":{"formattedCitation":"(Noussan et al., 2024)","plainTextFormattedCitation":"(Noussan et al., 2024)","previouslyFormattedCitation":"(Noussan et al., 2024)"},"properties":{"noteIndex":0},"schema":"https://github.com/citation-style-language/schema/raw/master/csl-citation.json"}</w:instrText>
      </w:r>
      <w:r w:rsidR="00CA3FAC" w:rsidRPr="00E50618">
        <w:fldChar w:fldCharType="separate"/>
      </w:r>
      <w:r w:rsidR="00647C1F" w:rsidRPr="00647C1F">
        <w:rPr>
          <w:noProof/>
        </w:rPr>
        <w:t>(Noussan et al., 2024)</w:t>
      </w:r>
      <w:r w:rsidR="00CA3FAC" w:rsidRPr="00E50618">
        <w:fldChar w:fldCharType="end"/>
      </w:r>
      <w:r w:rsidR="00A74DA5" w:rsidRPr="00E50618">
        <w:t>.</w:t>
      </w:r>
      <w:r w:rsidRPr="00E50618">
        <w:t xml:space="preserve"> </w:t>
      </w:r>
      <w:r w:rsidR="00CA3FAC" w:rsidRPr="00E50618">
        <w:t xml:space="preserve">Alternatively, by removing </w:t>
      </w:r>
      <w:r w:rsidR="00566D0F" w:rsidRPr="00E50618">
        <w:t>CO</w:t>
      </w:r>
      <w:r w:rsidR="00566D0F" w:rsidRPr="00E50618">
        <w:rPr>
          <w:vertAlign w:val="subscript"/>
        </w:rPr>
        <w:t>2</w:t>
      </w:r>
      <w:r w:rsidR="00CA3FAC" w:rsidRPr="00E50618">
        <w:t>, biogas can be upgraded to b</w:t>
      </w:r>
      <w:r w:rsidRPr="00E50618">
        <w:t>iomethane</w:t>
      </w:r>
      <w:r w:rsidR="00CA3FAC" w:rsidRPr="00E50618">
        <w:t xml:space="preserve"> that can be injected </w:t>
      </w:r>
      <w:r w:rsidR="008C483D" w:rsidRPr="00E50618">
        <w:t>into</w:t>
      </w:r>
      <w:r w:rsidR="00CA3FAC" w:rsidRPr="00E50618">
        <w:t xml:space="preserve"> natural gas grids or </w:t>
      </w:r>
      <w:r w:rsidR="008C483D" w:rsidRPr="00E50618">
        <w:t>used</w:t>
      </w:r>
      <w:r w:rsidR="00CA3FAC" w:rsidRPr="00E50618">
        <w:t xml:space="preserve"> for transportation and industrial applications. </w:t>
      </w:r>
      <w:r w:rsidR="001A4258">
        <w:t>To</w:t>
      </w:r>
      <w:r w:rsidR="00D27FD7" w:rsidRPr="00E50618">
        <w:t xml:space="preserve"> further increase the sustainability of biogas plants, </w:t>
      </w:r>
      <w:r w:rsidR="00EA2D0C" w:rsidRPr="00E50618">
        <w:t>the separated CO</w:t>
      </w:r>
      <w:r w:rsidR="00EA2D0C" w:rsidRPr="00E50618">
        <w:rPr>
          <w:vertAlign w:val="subscript"/>
        </w:rPr>
        <w:t>2</w:t>
      </w:r>
      <w:r w:rsidR="00EA2D0C" w:rsidRPr="00E50618">
        <w:t xml:space="preserve"> stream</w:t>
      </w:r>
      <w:r w:rsidR="00D27FD7" w:rsidRPr="00E50618">
        <w:t xml:space="preserve"> </w:t>
      </w:r>
      <w:r w:rsidR="00EA2D0C" w:rsidRPr="00E50618">
        <w:t>can</w:t>
      </w:r>
      <w:r w:rsidR="00D27FD7" w:rsidRPr="00E50618">
        <w:t xml:space="preserve"> be stored</w:t>
      </w:r>
      <w:r w:rsidR="00EA2D0C" w:rsidRPr="00E50618">
        <w:t xml:space="preserve"> </w:t>
      </w:r>
      <w:r w:rsidR="00D27FD7" w:rsidRPr="00E50618">
        <w:t>or</w:t>
      </w:r>
      <w:r w:rsidR="00EA2D0C" w:rsidRPr="00E50618">
        <w:t xml:space="preserve"> </w:t>
      </w:r>
      <w:r w:rsidR="006A61BD" w:rsidRPr="00E50618">
        <w:t>converted</w:t>
      </w:r>
      <w:r w:rsidR="00EA2D0C" w:rsidRPr="00E50618">
        <w:t xml:space="preserve"> into methane via the Sabatier reaction</w:t>
      </w:r>
      <w:r w:rsidR="00287578">
        <w:t xml:space="preserve"> </w:t>
      </w:r>
      <w:r w:rsidR="006B15DF">
        <w:fldChar w:fldCharType="begin" w:fldLock="1"/>
      </w:r>
      <w:r w:rsidR="000B10FA">
        <w:instrText>ADDIN CSL_CITATION {"citationItems":[{"id":"ITEM-1","itemData":{"DOI":"10.1016/J.RENENE.2023.05.060","ISSN":"0960-1481","abstract":"Conversion technologies with low environmental impact and high energetic efficiency are needed to ensure clean, efficient, and cost-effective exploitation of renewable carbonaceous fuels like biogas. In the present study, the Chemical Looping Reforming of biogas is proposed and numerically investigated to pursue this goal. Preliminarily, a thermodynamic model was implemented by means of the Aspen Plus® commercial software to identify the conditions where carbon formation and deposition do not occur. A simple hydrodynamic model of a Dual Fluidized Bed reactor coupled with a 1D, static, and isothermal kinetic model was adopted. The effects of variations in biogas composition (namely, CH4:CO2 ratio and water content) and in other relevant process parameters (e.g., the oxygen-to-fuel ratio and FR operating temperature) on the process performances in terms of the reactants conversion degree, syngas yield, and syngas composition were assessed and critically discussed. Very high conversion degree for both CH4 (93%) and CO2 (87%), as well as syngas yield ranging up to 3.74, were evaluated.","author":[{"dropping-particle":"","family":"Piso","given":"Giuseppe Cristian","non-dropping-particle":"","parse-names":false,"suffix":""},{"dropping-particle":"","family":"Bareschino","given":"Piero","non-dropping-particle":"","parse-names":false,"suffix":""},{"dropping-particle":"","family":"Brachi","given":"Paola","non-dropping-particle":"","parse-names":false,"suffix":""},{"dropping-particle":"","family":"Tregambi","given":"Claudio","non-dropping-particle":"","parse-names":false,"suffix":""},{"dropping-particle":"","family":"Ruoppolo","given":"Giovanna","non-dropping-particle":"","parse-names":false,"suffix":""},{"dropping-particle":"","family":"Pepe","given":"Francesco","non-dropping-particle":"","parse-names":false,"suffix":""},{"dropping-particle":"","family":"Mancusi","given":"Erasmo","non-dropping-particle":"","parse-names":false,"suffix":""}],"container-title":"Renewable Energy","id":"ITEM-1","issued":{"date-parts":[["2023","8","1"]]},"page":"350-358","publisher":"Pergamon","title":"Numerical simulation of biogas chemical looping reforming in a dual fluidized bed reactor","type":"article-journal","volume":"212"},"uris":["http://www.mendeley.com/documents/?uuid=c248f7ba-8998-36c1-901c-4002b67d978a"]}],"mendeley":{"formattedCitation":"(Piso et al., 2023)","plainTextFormattedCitation":"(Piso et al., 2023)","previouslyFormattedCitation":"(Piso et al., 2023)"},"properties":{"noteIndex":0},"schema":"https://github.com/citation-style-language/schema/raw/master/csl-citation.json"}</w:instrText>
      </w:r>
      <w:r w:rsidR="006B15DF">
        <w:fldChar w:fldCharType="separate"/>
      </w:r>
      <w:r w:rsidR="00647C1F" w:rsidRPr="00647C1F">
        <w:rPr>
          <w:noProof/>
        </w:rPr>
        <w:t>(Piso et al., 2023)</w:t>
      </w:r>
      <w:r w:rsidR="006B15DF">
        <w:fldChar w:fldCharType="end"/>
      </w:r>
      <w:r w:rsidR="00EA2D0C" w:rsidRPr="00E50618">
        <w:t xml:space="preserve">. </w:t>
      </w:r>
      <w:r w:rsidR="00C863C3" w:rsidRPr="00E50618">
        <w:t xml:space="preserve">Recently, the direct methanation of biogas, avoiding the separation of </w:t>
      </w:r>
      <w:r w:rsidR="00072D57" w:rsidRPr="00E50618">
        <w:t>CO</w:t>
      </w:r>
      <w:r w:rsidR="00C863C3" w:rsidRPr="00E50618">
        <w:rPr>
          <w:vertAlign w:val="subscript"/>
        </w:rPr>
        <w:t>2</w:t>
      </w:r>
      <w:r w:rsidR="00C863C3" w:rsidRPr="00E50618">
        <w:t>, has been investigated in the literature</w:t>
      </w:r>
      <w:r w:rsidR="006A61BD" w:rsidRPr="00E50618">
        <w:t>, and different plants have been developed to demonstrate the technical feasibility</w:t>
      </w:r>
      <w:r w:rsidR="00EA074B" w:rsidRPr="00E50618">
        <w:t xml:space="preserve"> </w:t>
      </w:r>
      <w:r w:rsidR="00EA074B" w:rsidRPr="00E50618">
        <w:fldChar w:fldCharType="begin" w:fldLock="1"/>
      </w:r>
      <w:r w:rsidR="000B10FA">
        <w:instrText>ADDIN CSL_CITATION {"citationItems":[{"id":"ITEM-1","itemData":{"DOI":"https://doi.org/10.1016/j.cherd.2023.11.060","ISSN":"0263-8762","abstract":"Renewable electricity, production/storage and distribution of green hydrogen and carbon dioxide emission reduction are just three of the practices needed for a net zero-emission world. The increasing amount of renewable energy produced requires the development of versatile technologies capable to store the excess renewable electricity produced. Hydrogen production through electrolysis, despite not being still economically viable, can be considered a mature technology. Different strategies to convert H2 into more volumetric dense fuel are under development through Power-to-Chemicals (PtC) process. Among these, CO2 methanation offers the advantage of a wide infrastructure available for the distribution and use of methane as chemical and fuel for both heat and power generation. The latter approach is also called Power-to-Gas (PtG) process. These technologies in the last year have been the focus of research, both public and private. In particular, direct methanation of biogas obtained from anaerobic digestors represents a challenge and an interesting opportunity due to the possibility to avoid the CO2 separation step at the moment needed for biogas purification to biomethane. Since CO2 separation is an additional cost, this route can be the key for economic sustainability of the process. In this review we focus on the main aspects involved in the design of a methanation plant, with a particular focus on the biogas methanation, starting from the reaction thermodynamics and kinetics. Afterwards, light is shed on the most interesting catalysts reported in the literature, with a focus on Ni-based catalysts and considering the support role in the reaction. Different kinetic approaches currently available and promising reactor types, including different simulation models, which are becoming increasingly fundamental in the reactor design and scale-up phase, are reported. Finally, the last chapter contains the most interesting and industrially relevant ongoing projects on direct biogas methanation.","author":[{"dropping-particle":"","family":"Tommasi","given":"Matteo","non-dropping-particle":"","parse-names":false,"suffix":""},{"dropping-particle":"","family":"Degerli","given":"Simge Naz","non-dropping-particle":"","parse-names":false,"suffix":""},{"dropping-particle":"","family":"Ramis","given":"Gianguido","non-dropping-particle":"","parse-names":false,"suffix":""},{"dropping-particle":"","family":"Rossetti","given":"Ilenia","non-dropping-particle":"","parse-names":false,"suffix":""}],"container-title":"Chemical Engineering Research and Design","id":"ITEM-1","issued":{"date-parts":[["2024"]]},"page":"457-482","title":"Advancements in CO2 methanation: A comprehensive review of catalysis, reactor design and process optimization","type":"article-journal","volume":"201"},"uris":["http://www.mendeley.com/documents/?uuid=fdedc45a-5db5-3012-9d67-bd1556e847c7"]}],"mendeley":{"formattedCitation":"(Tommasi et al., 2024)","plainTextFormattedCitation":"(Tommasi et al., 2024)","previouslyFormattedCitation":"(Tommasi et al., 2024)"},"properties":{"noteIndex":0},"schema":"https://github.com/citation-style-language/schema/raw/master/csl-citation.json"}</w:instrText>
      </w:r>
      <w:r w:rsidR="00EA074B" w:rsidRPr="00E50618">
        <w:fldChar w:fldCharType="separate"/>
      </w:r>
      <w:r w:rsidR="00647C1F" w:rsidRPr="00647C1F">
        <w:rPr>
          <w:noProof/>
        </w:rPr>
        <w:t>(Tommasi et al., 2024)</w:t>
      </w:r>
      <w:r w:rsidR="00EA074B" w:rsidRPr="00E50618">
        <w:fldChar w:fldCharType="end"/>
      </w:r>
      <w:r w:rsidR="00EA074B" w:rsidRPr="00E50618">
        <w:t>. However,</w:t>
      </w:r>
      <w:r w:rsidR="00C863C3" w:rsidRPr="00E50618">
        <w:t xml:space="preserve"> t</w:t>
      </w:r>
      <w:r w:rsidR="00EA2D0C" w:rsidRPr="00E50618">
        <w:t>he carbon dioxide methanation reaction</w:t>
      </w:r>
      <w:r w:rsidR="00C863C3" w:rsidRPr="00E50618">
        <w:rPr>
          <w:lang w:val="en-GB"/>
        </w:rPr>
        <w:t xml:space="preserve"> presents some challenges related to heat management of exothermic reaction and conversion efficiency</w:t>
      </w:r>
      <w:r w:rsidR="00287578">
        <w:rPr>
          <w:lang w:val="en-GB"/>
        </w:rPr>
        <w:t xml:space="preserve"> </w:t>
      </w:r>
      <w:r w:rsidR="00AF792A">
        <w:rPr>
          <w:lang w:val="en-GB"/>
        </w:rPr>
        <w:fldChar w:fldCharType="begin" w:fldLock="1"/>
      </w:r>
      <w:r w:rsidR="000B10FA">
        <w:rPr>
          <w:lang w:val="en-GB"/>
        </w:rPr>
        <w:instrText>ADDIN CSL_CITATION {"citationItems":[{"id":"ITEM-1","itemData":{"DOI":"10.1016/j.powtec.2020.06.059","ISSN":"1873328X","abstract":"In this paper, an innovative process layout to promote the integration among the chemical looping combustion of biomass, solar hydrogen, and carbon methanation is proposed and numerically investigated. The core of the layout consists of a multiple interconnected fluidized bed (MFB) system for the chemical looping combustion of solid fuels. A coupled hydrodynamic and reactive model of the system was developed and applied to evaluate solid circulation rate, solid bed levels in different parts of the system, flue gas composition and flow rate, and power production. The performance of the system was evaluated by considering chemical and physical properties of olive wood, a biomass typical of Mediterranean area, as fuel and of CuO supported on zirconia as oxygen carrier, respectively. A complex reaction scheme comprising both gas–solid heterogeneous and gas-phase homogeneous reactions was considered. Results corresponding to steady state operation of MFB are presented in conjunction with an analysis of the operability of the system under the considered ranges of operating conditions. By considering that only energy coming from renewable sources (such as photovoltaic panels or wind turbines) was fed to the electrolysis cell (EC) array, the potential of the proposed process to be used as an energy storage system was assessed.","author":[{"dropping-particle":"","family":"Bareschino","given":"Piero","non-dropping-particle":"","parse-names":false,"suffix":""},{"dropping-particle":"","family":"Mancusi","given":"Erasmo","non-dropping-particle":"","parse-names":false,"suffix":""},{"dropping-particle":"","family":"Urciuolo","given":"Massimo","non-dropping-particle":"","parse-names":false,"suffix":""},{"dropping-particle":"","family":"Coppola","given":"Antonio","non-dropping-particle":"","parse-names":false,"suffix":""},{"dropping-particle":"","family":"Solimene","given":"Roberto","non-dropping-particle":"","parse-names":false,"suffix":""},{"dropping-particle":"","family":"Pepe","given":"Francesco","non-dropping-particle":"","parse-names":false,"suffix":""},{"dropping-particle":"","family":"Chirone","given":"Riccardo","non-dropping-particle":"","parse-names":false,"suffix":""},{"dropping-particle":"","family":"Salatino","given":"Piero","non-dropping-particle":"","parse-names":false,"suffix":""}],"container-title":"Powder Technology","id":"ITEM-1","issued":{"date-parts":[["2020"]]},"page":"421-432","publisher":"Elsevier B.V.","title":"Modelling of a combined biomass CLC combustion and renewable-energy-based methane production system for CO2 utilization","type":"article-journal","volume":"373"},"uris":["http://www.mendeley.com/documents/?uuid=ebe3cc32-8824-41c8-9c5a-e65dac0832d8"]}],"mendeley":{"formattedCitation":"(Bareschino et al., 2020)","plainTextFormattedCitation":"(Bareschino et al., 2020)","previouslyFormattedCitation":"(Bareschino et al., 2020)"},"properties":{"noteIndex":0},"schema":"https://github.com/citation-style-language/schema/raw/master/csl-citation.json"}</w:instrText>
      </w:r>
      <w:r w:rsidR="00AF792A">
        <w:rPr>
          <w:lang w:val="en-GB"/>
        </w:rPr>
        <w:fldChar w:fldCharType="separate"/>
      </w:r>
      <w:r w:rsidR="00647C1F" w:rsidRPr="00647C1F">
        <w:rPr>
          <w:noProof/>
          <w:lang w:val="en-GB"/>
        </w:rPr>
        <w:t>(Bareschino et al., 2020)</w:t>
      </w:r>
      <w:r w:rsidR="00AF792A">
        <w:rPr>
          <w:lang w:val="en-GB"/>
        </w:rPr>
        <w:fldChar w:fldCharType="end"/>
      </w:r>
      <w:r w:rsidR="00C863C3" w:rsidRPr="00E50618">
        <w:rPr>
          <w:lang w:val="en-GB"/>
        </w:rPr>
        <w:t>.</w:t>
      </w:r>
      <w:r w:rsidR="00EA2D0C" w:rsidRPr="00E50618">
        <w:rPr>
          <w:lang w:val="en-GB"/>
        </w:rPr>
        <w:t xml:space="preserve"> </w:t>
      </w:r>
      <w:r w:rsidR="00E113B2">
        <w:rPr>
          <w:lang w:val="en-GB"/>
        </w:rPr>
        <w:fldChar w:fldCharType="begin" w:fldLock="1"/>
      </w:r>
      <w:r w:rsidR="00E113B2">
        <w:rPr>
          <w:lang w:val="en-GB"/>
        </w:rPr>
        <w:instrText>ADDIN CSL_CITATION {"citationItems":[{"id":"ITEM-1","itemData":{"DOI":"10.1039/c9se00986h","ISSN":"23984902","abstract":"Electricity generation from renewable sources is increasing and will grow further in the future. Since some of this renewable electricity is intermittent and cannot always be consumed when it is generated, options for matching energy demand and supply are needed. Besides electricity storage, coupling the electricity and gas sectors by converting renewable electricity to hydrogen through water electrolysis can be considered a promising option. With CO2 obtained from various sources, hydrogen can further be reacted to produce methane to facilitate large scale gas storage. Among \"Power-to-methane\" systems, there are a few pathways designed to utilize the CO2 from biogas. However, studies that quantify life cycle greenhouse gas (GHG) emissions of such systems are limited, yet are an essential basis when comparing such systems with other alternatives regarding decarbonisation of the energy system. This study therefore focuses on addressing this research gap by providing transparent life cycle inventories and analyses and investigating the life cycle GHG emissions of biogas upgrading, methanation with CO2 from biogas upgrading, and direct biogas methanation. These systems are compared with other fuels in the mobility sector. The analysis also provides an estimate of the potential of such systems to reduce GHG emissions on a country level by considering the availability of biomass and the required amount of renewable electricity. In addition, the results are compared with those of power-to-methane pathways using other CO2 sources and literature values. Our analysis shows that using biomethane as vehicle fuel produced by the systems investigated could provide GHG emission reductions of 27-62% compared to conventional natural gas passenger vehicles or 41-70% compared to petrol vehicles. Although the limited resources of suitable biomass will be a constraint to the widespread deployment of power-to-methane systems using biogenic carbon, the available potential should be used, since it represents an attractive option for reduction of GHG emissions in a future energy system with large amounts of intermittent renewable power generation.","author":[{"dropping-particle":"","family":"Zhang","given":"Xiaojin","non-dropping-particle":"","parse-names":false,"suffix":""},{"dropping-particle":"","family":"Witte","given":"Julia","non-dropping-particle":"","parse-names":false,"suffix":""},{"dropping-particle":"","family":"Schildhauer","given":"Tilman","non-dropping-particle":"","parse-names":false,"suffix":""},{"dropping-particle":"","family":"Bauer","given":"Christian","non-dropping-particle":"","parse-names":false,"suffix":""}],"container-title":"Sustainable Energy and Fuels","id":"ITEM-1","issue":"3","issued":{"date-parts":[["2020"]]},"page":"1427-1436","title":"Life cycle assessment of power-to-gas with biogas as the carbon source","type":"article-journal","volume":"4"},"uris":["http://www.mendeley.com/documents/?uuid=6f16a77f-bbd5-4184-90e3-3a35e1b72354"]}],"mendeley":{"formattedCitation":"(Zhang et al., 2020)","manualFormatting":"Zhang et al. (2020)","plainTextFormattedCitation":"(Zhang et al., 2020)","previouslyFormattedCitation":"(Zhang et al., 2020)"},"properties":{"noteIndex":0},"schema":"https://github.com/citation-style-language/schema/raw/master/csl-citation.json"}</w:instrText>
      </w:r>
      <w:r w:rsidR="00E113B2">
        <w:rPr>
          <w:lang w:val="en-GB"/>
        </w:rPr>
        <w:fldChar w:fldCharType="separate"/>
      </w:r>
      <w:r w:rsidR="00E113B2" w:rsidRPr="005717CE">
        <w:rPr>
          <w:noProof/>
          <w:lang w:val="en-GB"/>
        </w:rPr>
        <w:t xml:space="preserve">Zhang et al. </w:t>
      </w:r>
      <w:r w:rsidR="00E113B2">
        <w:rPr>
          <w:noProof/>
          <w:lang w:val="en-GB"/>
        </w:rPr>
        <w:t>(</w:t>
      </w:r>
      <w:r w:rsidR="00E113B2" w:rsidRPr="005717CE">
        <w:rPr>
          <w:noProof/>
          <w:lang w:val="en-GB"/>
        </w:rPr>
        <w:t>2020)</w:t>
      </w:r>
      <w:r w:rsidR="00E113B2">
        <w:rPr>
          <w:lang w:val="en-GB"/>
        </w:rPr>
        <w:fldChar w:fldCharType="end"/>
      </w:r>
      <w:r w:rsidR="00E113B2">
        <w:rPr>
          <w:lang w:val="en-GB"/>
        </w:rPr>
        <w:t xml:space="preserve"> </w:t>
      </w:r>
      <w:r w:rsidR="00B004F3" w:rsidRPr="00E50618">
        <w:rPr>
          <w:lang w:val="en-GB"/>
        </w:rPr>
        <w:t xml:space="preserve">evaluate the life cycle </w:t>
      </w:r>
      <w:r w:rsidR="00E113B2" w:rsidRPr="00E113B2">
        <w:rPr>
          <w:lang w:val="en-GB"/>
        </w:rPr>
        <w:t>greenhouse gases (GHG)</w:t>
      </w:r>
      <w:r w:rsidR="00E113B2">
        <w:rPr>
          <w:lang w:val="en-GB"/>
        </w:rPr>
        <w:t xml:space="preserve"> </w:t>
      </w:r>
      <w:r w:rsidR="00B004F3" w:rsidRPr="00E50618">
        <w:rPr>
          <w:lang w:val="en-GB"/>
        </w:rPr>
        <w:t xml:space="preserve">emissions of biomethane production pathways through biogas upgrading or methanation. They conclude that </w:t>
      </w:r>
      <w:r w:rsidR="005760EE">
        <w:rPr>
          <w:lang w:val="en-GB"/>
        </w:rPr>
        <w:t>using</w:t>
      </w:r>
      <w:r w:rsidR="00B004F3" w:rsidRPr="00E50618">
        <w:rPr>
          <w:lang w:val="en-GB"/>
        </w:rPr>
        <w:t xml:space="preserve"> low-GHG electricity for electrolysis is crucial for achieving lower emissions than fossil alternatives.</w:t>
      </w:r>
      <w:r w:rsidR="00E113B2">
        <w:rPr>
          <w:lang w:val="en-GB"/>
        </w:rPr>
        <w:t xml:space="preserve"> </w:t>
      </w:r>
      <w:r w:rsidR="00E113B2">
        <w:rPr>
          <w:lang w:val="en-GB"/>
        </w:rPr>
        <w:fldChar w:fldCharType="begin" w:fldLock="1"/>
      </w:r>
      <w:r w:rsidR="00E113B2">
        <w:rPr>
          <w:lang w:val="en-GB"/>
        </w:rPr>
        <w:instrText>ADDIN CSL_CITATION {"citationItems":[{"id":"ITEM-1","itemData":{"DOI":"https://doi.org/10.1016/j.jcou.2023.102632","ISSN":"2212-9820","abstract":"Reducing the use of fossil fuels is an essential measure to counteract the rise in greenhouse gas emissions. In this context, biofuels and e-fuels make an important contribution to achieving climate neutrality targets, especially if their distribution can take place within existing infrastructure, as in the case of methane. The aim of this work is to carry out a techno-economic and environmental assessment of the combined production of biological and synthetic methane in a wastewater treatment plant (WWTP). Methane yield from biogas, usually associated only with biogas upgrading, is enhanced by recovering CO2 to produce additional synthetic natural gas (SNG) through a methanation process. The analysis is applied to a medium-sized WWTP in Italy, whose biogas production profile is known throughout the year. In the current scenario, SNG is not competitive on the gas market. The investment costs of the technologies and the electricity price are then varied in order to better investigate the profitability of SNG production. The results show that, considering long-term cost projections and an electricity price of about 50 €/MWh, SNG can become competitive, with a production cost of 1.4 €/Sm3. Finally, the environmental competitiveness of SNG (direct and indirect CO2 emissions) with respect to fossil natural gas is investigated: results are shown as a function of the carbon intensity of grid electricity and the share of local renewable energy. To make SNG environmentally sustainable, the renewable share must increase to 46% or, alternatively, the carbon intensity of grid electricity must decrease to 187 gCO2eq/kWh.","author":[{"dropping-particle":"","family":"Minardi","given":"Matteo","non-dropping-particle":"","parse-names":false,"suffix":""},{"dropping-particle":"","family":"Marocco","given":"Paolo","non-dropping-particle":"","parse-names":false,"suffix":""},{"dropping-particle":"","family":"Gandiglio","given":"Marta","non-dropping-particle":"","parse-names":false,"suffix":""}],"container-title":"Journal of CO2 Utilization","id":"ITEM-1","issued":{"date-parts":[["2023"]]},"page":"102632","title":"Carbon recovery from biogas through upgrading and methanation: A techno-economic and environmental assessment","type":"article-journal","volume":"78"},"uris":["http://www.mendeley.com/documents/?uuid=b892ea99-c75c-4b9b-bb15-b9bbb427159e"]}],"mendeley":{"formattedCitation":"(Minardi et al., 2023)","manualFormatting":"Minardi et al. (2023)","plainTextFormattedCitation":"(Minardi et al., 2023)","previouslyFormattedCitation":"(Minardi et al., 2023)"},"properties":{"noteIndex":0},"schema":"https://github.com/citation-style-language/schema/raw/master/csl-citation.json"}</w:instrText>
      </w:r>
      <w:r w:rsidR="00E113B2">
        <w:rPr>
          <w:lang w:val="en-GB"/>
        </w:rPr>
        <w:fldChar w:fldCharType="separate"/>
      </w:r>
      <w:r w:rsidR="00E113B2" w:rsidRPr="00647C1F">
        <w:rPr>
          <w:noProof/>
          <w:lang w:val="en-GB"/>
        </w:rPr>
        <w:t xml:space="preserve">Minardi et al. </w:t>
      </w:r>
      <w:r w:rsidR="00E113B2">
        <w:rPr>
          <w:noProof/>
          <w:lang w:val="en-GB"/>
        </w:rPr>
        <w:t>(</w:t>
      </w:r>
      <w:r w:rsidR="00E113B2" w:rsidRPr="00647C1F">
        <w:rPr>
          <w:noProof/>
          <w:lang w:val="en-GB"/>
        </w:rPr>
        <w:t>2023)</w:t>
      </w:r>
      <w:r w:rsidR="00E113B2">
        <w:rPr>
          <w:lang w:val="en-GB"/>
        </w:rPr>
        <w:fldChar w:fldCharType="end"/>
      </w:r>
      <w:r w:rsidR="00B004F3" w:rsidRPr="00E50618">
        <w:rPr>
          <w:lang w:val="en-GB"/>
        </w:rPr>
        <w:t xml:space="preserve"> </w:t>
      </w:r>
      <w:r w:rsidR="007457DB">
        <w:rPr>
          <w:lang w:val="en-GB"/>
        </w:rPr>
        <w:t>evaluate the techno-economic and environmental feasibility of producing synthetic methane (SNG) in a wastewater treatment plant,</w:t>
      </w:r>
      <w:r w:rsidR="00B004F3" w:rsidRPr="00E50618">
        <w:rPr>
          <w:lang w:val="en-GB"/>
        </w:rPr>
        <w:t xml:space="preserve"> highlighting that while SNG is not currently competitive in the gas market, future cost reductions in technology and lower electricity prices could make it viable. </w:t>
      </w:r>
      <w:r w:rsidR="006B58EF" w:rsidRPr="006B58EF">
        <w:t xml:space="preserve">This study aims to broaden the knowledge </w:t>
      </w:r>
      <w:r w:rsidR="007457DB">
        <w:t>of</w:t>
      </w:r>
      <w:r w:rsidR="006B58EF" w:rsidRPr="006B58EF">
        <w:t xml:space="preserve"> </w:t>
      </w:r>
      <w:r w:rsidR="005760EE">
        <w:t>biogas upgrading technologies' environmental and economic impacts</w:t>
      </w:r>
      <w:r w:rsidR="006B58EF" w:rsidRPr="006B58EF">
        <w:t xml:space="preserve">. To achieve this goal, </w:t>
      </w:r>
      <w:r w:rsidR="00C110EC">
        <w:t xml:space="preserve">upgrading </w:t>
      </w:r>
      <w:r w:rsidR="006B58EF" w:rsidRPr="006B58EF">
        <w:t>models were developed and simulated with Aspen Plus</w:t>
      </w:r>
      <w:r w:rsidR="005760EE">
        <w:t>; the resulting operational</w:t>
      </w:r>
      <w:r w:rsidR="006B58EF" w:rsidRPr="006B58EF">
        <w:t xml:space="preserve"> data were subsequently used to conduct </w:t>
      </w:r>
      <w:r w:rsidR="007457DB">
        <w:t xml:space="preserve">a </w:t>
      </w:r>
      <w:r w:rsidR="00647C1F">
        <w:t>Life cycle assessment (</w:t>
      </w:r>
      <w:r w:rsidR="007457DB">
        <w:t>LCA</w:t>
      </w:r>
      <w:r w:rsidR="00647C1F">
        <w:t>)</w:t>
      </w:r>
      <w:r w:rsidR="007457DB">
        <w:t xml:space="preserve"> and </w:t>
      </w:r>
      <w:r w:rsidR="00647C1F">
        <w:t>Life cycle costing (</w:t>
      </w:r>
      <w:r w:rsidR="007457DB">
        <w:t>LCC</w:t>
      </w:r>
      <w:r w:rsidR="00647C1F">
        <w:t>)</w:t>
      </w:r>
      <w:r w:rsidR="007457DB">
        <w:t xml:space="preserve"> analysis within the context of the </w:t>
      </w:r>
      <w:r w:rsidR="00C110EC" w:rsidRPr="006B58EF">
        <w:t>Campania region</w:t>
      </w:r>
      <w:r w:rsidR="00C110EC">
        <w:t>.</w:t>
      </w:r>
      <w:r w:rsidR="005760EE">
        <w:t xml:space="preserve">  </w:t>
      </w:r>
    </w:p>
    <w:p w14:paraId="5741900F" w14:textId="0F028DFA" w:rsidR="00453E24" w:rsidRPr="00E50618" w:rsidRDefault="00A10BF9" w:rsidP="00453E24">
      <w:pPr>
        <w:pStyle w:val="CETHeading1"/>
      </w:pPr>
      <w:r w:rsidRPr="00E50618">
        <w:lastRenderedPageBreak/>
        <w:t>Materials and methods</w:t>
      </w:r>
    </w:p>
    <w:p w14:paraId="410D63EC" w14:textId="5AB35F30" w:rsidR="008A1A7E" w:rsidRPr="00E50618" w:rsidRDefault="001A4258" w:rsidP="008A1A7E">
      <w:pPr>
        <w:pStyle w:val="CETBodytext"/>
      </w:pPr>
      <w:r>
        <w:t>D</w:t>
      </w:r>
      <w:r w:rsidRPr="00E50618">
        <w:t>irect methanation</w:t>
      </w:r>
      <w:r>
        <w:t xml:space="preserve"> and water scrubbing </w:t>
      </w:r>
      <w:r w:rsidR="00FF71AB" w:rsidRPr="00E50618">
        <w:t xml:space="preserve">were </w:t>
      </w:r>
      <w:r w:rsidR="00EA618A" w:rsidRPr="00E50618">
        <w:t>modelled</w:t>
      </w:r>
      <w:r w:rsidR="00FF71AB" w:rsidRPr="00E50618">
        <w:t xml:space="preserve"> </w:t>
      </w:r>
      <w:r w:rsidR="00215C63" w:rsidRPr="00E50618">
        <w:t xml:space="preserve">considering a plant size capable </w:t>
      </w:r>
      <w:r w:rsidR="00E50618">
        <w:t>to</w:t>
      </w:r>
      <w:r w:rsidR="00215C63" w:rsidRPr="00E50618">
        <w:t xml:space="preserve"> produc</w:t>
      </w:r>
      <w:r w:rsidR="00E50618">
        <w:t>e</w:t>
      </w:r>
      <w:r w:rsidR="00215C63" w:rsidRPr="00E50618">
        <w:t xml:space="preserve"> about 280 Nm</w:t>
      </w:r>
      <w:r w:rsidR="00215C63" w:rsidRPr="00E50618">
        <w:rPr>
          <w:vertAlign w:val="superscript"/>
        </w:rPr>
        <w:t>3</w:t>
      </w:r>
      <w:r w:rsidR="00215C63" w:rsidRPr="00E50618">
        <w:t>/h of biomethane</w:t>
      </w:r>
      <w:r w:rsidR="00DC0E2C" w:rsidRPr="00E50618">
        <w:t xml:space="preserve">. </w:t>
      </w:r>
      <w:r w:rsidR="00B407B3" w:rsidRPr="00E50618">
        <w:t>The biogas is assumed to be produced from the anaerobic digestion of a mixture of</w:t>
      </w:r>
      <w:r w:rsidR="00DC0E2C" w:rsidRPr="00E50618">
        <w:t xml:space="preserve"> 70</w:t>
      </w:r>
      <w:r w:rsidR="00CD6DED">
        <w:t xml:space="preserve"> </w:t>
      </w:r>
      <w:r w:rsidR="00DC0E2C" w:rsidRPr="00E50618">
        <w:t>%</w:t>
      </w:r>
      <w:r w:rsidR="00B407B3" w:rsidRPr="00E50618">
        <w:t xml:space="preserve"> manure and </w:t>
      </w:r>
      <w:r w:rsidR="00DC0E2C" w:rsidRPr="00E50618">
        <w:t>30</w:t>
      </w:r>
      <w:r w:rsidR="00CD6DED">
        <w:t xml:space="preserve"> </w:t>
      </w:r>
      <w:r w:rsidR="00DC0E2C" w:rsidRPr="00E50618">
        <w:t>% biowaste</w:t>
      </w:r>
      <w:r w:rsidR="00B96B21" w:rsidRPr="00E50618">
        <w:t xml:space="preserve">. </w:t>
      </w:r>
      <w:r w:rsidR="00DC0E2C" w:rsidRPr="00E50618">
        <w:t>When the digester is fed with manure, the resulting biogas can exhibit</w:t>
      </w:r>
      <w:r w:rsidR="00EA618A" w:rsidRPr="00E50618">
        <w:t xml:space="preserve"> </w:t>
      </w:r>
      <w:r w:rsidR="00C13239" w:rsidRPr="00E50618">
        <w:t>H</w:t>
      </w:r>
      <w:r w:rsidR="00EA618A" w:rsidRPr="00E50618">
        <w:rPr>
          <w:rFonts w:ascii="Cambria Math" w:hAnsi="Cambria Math" w:cs="Cambria Math"/>
          <w:vertAlign w:val="subscript"/>
        </w:rPr>
        <w:t>2</w:t>
      </w:r>
      <w:r w:rsidR="00C13239" w:rsidRPr="00E50618">
        <w:t xml:space="preserve">S </w:t>
      </w:r>
      <w:r w:rsidR="00DC0E2C" w:rsidRPr="00E50618">
        <w:t xml:space="preserve">concentrations of up to 4000 ppm </w:t>
      </w:r>
      <w:r w:rsidR="00D86329" w:rsidRPr="00E50618">
        <w:fldChar w:fldCharType="begin" w:fldLock="1"/>
      </w:r>
      <w:r w:rsidR="000B10FA">
        <w:instrText>ADDIN CSL_CITATION {"citationItems":[{"id":"ITEM-1","itemData":{"DOI":"https://doi.org/10.1002/er.3719","ISSN":"0363-907X","abstract":"Summary Increasing consumption of fossil fuels and environmental concern has led to increased use of compressed natural gas (CNG) in the transportation sector. Keeping in view limited resources of CNG, biogas is advised as potential fuel to provide continuous supply of CNG in the form of bio-CNG. Various technologies, that is, physical and chemical absorption (using water and amine solutions, respectively, for the absorption of carbon dioxide), pressure swing adsorption, membrane separation, and cryogenic separation, are available for purifying biogas and thus upgrading it, to bio-CNG with about 95% methane. Among these, water scrubbing and pressure swing adsorption are the best technologies with respect to various aspects including cost; however, suitability of a technology is decided by various factors including size/quantity of biogas generation, targeted quality of biogas, site of application, and economics of process. Copyright ? 2017 John Wiley &amp; Sons, Ltd.","author":[{"dropping-particle":"","family":"Singhal","given":"Shailey","non-dropping-particle":"","parse-names":false,"suffix":""},{"dropping-particle":"","family":"Agarwal","given":"Shilpi","non-dropping-particle":"","parse-names":false,"suffix":""},{"dropping-particle":"","family":"Arora","given":"Shefali","non-dropping-particle":"","parse-names":false,"suffix":""},{"dropping-particle":"","family":"Sharma","given":"Pankaj","non-dropping-particle":"","parse-names":false,"suffix":""},{"dropping-particle":"","family":"Singhal","given":"Naveen","non-dropping-particle":"","parse-names":false,"suffix":""}],"container-title":"International Journal of Energy Research","id":"ITEM-1","issue":"12","issued":{"date-parts":[["2017","10","10"]]},"page":"1657-1669","publisher":"John Wiley &amp; Sons, Ltd","title":"Upgrading techniques for transformation of biogas to bio-CNG: a review","type":"article-journal","volume":"41"},"uris":["http://www.mendeley.com/documents/?uuid=a6cf414d-ea21-4312-98fc-9fa28e679828"]}],"mendeley":{"formattedCitation":"(Singhal et al., 2017)","plainTextFormattedCitation":"(Singhal et al., 2017)","previouslyFormattedCitation":"(Singhal et al., 2017)"},"properties":{"noteIndex":0},"schema":"https://github.com/citation-style-language/schema/raw/master/csl-citation.json"}</w:instrText>
      </w:r>
      <w:r w:rsidR="00D86329" w:rsidRPr="00E50618">
        <w:fldChar w:fldCharType="separate"/>
      </w:r>
      <w:r w:rsidR="00647C1F" w:rsidRPr="00647C1F">
        <w:rPr>
          <w:noProof/>
        </w:rPr>
        <w:t>(Singhal et al., 2017)</w:t>
      </w:r>
      <w:r w:rsidR="00D86329" w:rsidRPr="00E50618">
        <w:fldChar w:fldCharType="end"/>
      </w:r>
      <w:r w:rsidR="00C07999" w:rsidRPr="00E50618">
        <w:t>.</w:t>
      </w:r>
      <w:r w:rsidR="00D86329" w:rsidRPr="00E50618">
        <w:t xml:space="preserve"> </w:t>
      </w:r>
      <w:r w:rsidR="00CD6DED">
        <w:t>Therefore, it was assumed that the biogas undergoes a preliminary desulfurization phase to remove H</w:t>
      </w:r>
      <w:r w:rsidR="00CD6DED" w:rsidRPr="00CD6DED">
        <w:rPr>
          <w:vertAlign w:val="subscript"/>
        </w:rPr>
        <w:t>2</w:t>
      </w:r>
      <w:r w:rsidR="00CD6DED">
        <w:t>S contaminants</w:t>
      </w:r>
      <w:r w:rsidR="00C13239" w:rsidRPr="00E50618">
        <w:t xml:space="preserve">. As a result, </w:t>
      </w:r>
      <w:r w:rsidR="007457DB">
        <w:t>t</w:t>
      </w:r>
      <w:r w:rsidR="007457DB" w:rsidRPr="00E50618">
        <w:t xml:space="preserve">he biogas </w:t>
      </w:r>
      <w:r w:rsidR="00C13239" w:rsidRPr="00E50618">
        <w:t>is assumed to consist of 60</w:t>
      </w:r>
      <w:r w:rsidR="00215C63" w:rsidRPr="00E50618">
        <w:t xml:space="preserve"> </w:t>
      </w:r>
      <w:r w:rsidR="00C13239" w:rsidRPr="00E50618">
        <w:t xml:space="preserve">% </w:t>
      </w:r>
      <w:r w:rsidR="00EA618A" w:rsidRPr="00E50618">
        <w:t>CH</w:t>
      </w:r>
      <w:r w:rsidR="00EA618A" w:rsidRPr="00E50618">
        <w:rPr>
          <w:vertAlign w:val="subscript"/>
        </w:rPr>
        <w:t>4</w:t>
      </w:r>
      <w:r w:rsidR="00C13239" w:rsidRPr="00E50618">
        <w:t xml:space="preserve"> and 40</w:t>
      </w:r>
      <w:r w:rsidR="00215C63" w:rsidRPr="00E50618">
        <w:t xml:space="preserve"> </w:t>
      </w:r>
      <w:r w:rsidR="00C13239" w:rsidRPr="00E50618">
        <w:t xml:space="preserve">% </w:t>
      </w:r>
      <w:r w:rsidR="00EA618A" w:rsidRPr="00E50618">
        <w:t>CO</w:t>
      </w:r>
      <w:r w:rsidR="00EA618A" w:rsidRPr="00E50618">
        <w:rPr>
          <w:vertAlign w:val="subscript"/>
        </w:rPr>
        <w:t>2</w:t>
      </w:r>
      <w:r w:rsidR="00C13239" w:rsidRPr="00E50618">
        <w:t xml:space="preserve"> by volume</w:t>
      </w:r>
      <w:r w:rsidR="007457DB">
        <w:t xml:space="preserve"> and</w:t>
      </w:r>
      <w:r w:rsidR="00C13239" w:rsidRPr="00E50618">
        <w:t xml:space="preserve"> available at a temperature of 35</w:t>
      </w:r>
      <w:r w:rsidR="00C13239" w:rsidRPr="00E50618">
        <w:rPr>
          <w:rFonts w:cs="Arial"/>
        </w:rPr>
        <w:t>°</w:t>
      </w:r>
      <w:r w:rsidR="00C13239" w:rsidRPr="00E50618">
        <w:t xml:space="preserve">C and a pressure of 1 bar. </w:t>
      </w:r>
      <w:r w:rsidR="00FB7347">
        <w:t>O</w:t>
      </w:r>
      <w:r w:rsidR="00C13239" w:rsidRPr="00E50618">
        <w:t xml:space="preserve">perational parameters were selected to </w:t>
      </w:r>
      <w:r w:rsidR="00FB7347">
        <w:t>obtain biomethane</w:t>
      </w:r>
      <w:r w:rsidR="00C13239" w:rsidRPr="00E50618">
        <w:t xml:space="preserve"> compliance with Italian regulatory standards for injection into the natural gas grid. Specifically, process constraints were established to achieve a final biomethane composition containing less than 2.5</w:t>
      </w:r>
      <w:r w:rsidR="00672EC6">
        <w:t xml:space="preserve"> </w:t>
      </w:r>
      <w:r w:rsidR="00C13239" w:rsidRPr="00647C1F">
        <w:rPr>
          <w:rFonts w:cs="Arial"/>
        </w:rPr>
        <w:t>% CO</w:t>
      </w:r>
      <w:r w:rsidR="00647C1F" w:rsidRPr="00647C1F">
        <w:rPr>
          <w:rFonts w:cs="Arial"/>
          <w:vertAlign w:val="subscript"/>
        </w:rPr>
        <w:t>2</w:t>
      </w:r>
      <w:r w:rsidR="00C13239" w:rsidRPr="00647C1F">
        <w:rPr>
          <w:rFonts w:cs="Arial"/>
        </w:rPr>
        <w:t xml:space="preserve"> and less than 2</w:t>
      </w:r>
      <w:r w:rsidR="00672EC6" w:rsidRPr="00647C1F">
        <w:rPr>
          <w:rFonts w:cs="Arial"/>
        </w:rPr>
        <w:t xml:space="preserve"> </w:t>
      </w:r>
      <w:r w:rsidR="00C13239" w:rsidRPr="00647C1F">
        <w:rPr>
          <w:rFonts w:cs="Arial"/>
        </w:rPr>
        <w:t>% H</w:t>
      </w:r>
      <w:r w:rsidR="00647C1F" w:rsidRPr="00647C1F">
        <w:rPr>
          <w:rFonts w:cs="Arial"/>
          <w:vertAlign w:val="subscript"/>
        </w:rPr>
        <w:t>2</w:t>
      </w:r>
      <w:r w:rsidR="00647C1F" w:rsidRPr="00647C1F">
        <w:rPr>
          <w:rFonts w:cs="Arial"/>
        </w:rPr>
        <w:t xml:space="preserve"> </w:t>
      </w:r>
      <w:r w:rsidR="00070978" w:rsidRPr="00647C1F">
        <w:rPr>
          <w:rFonts w:cs="Arial"/>
        </w:rPr>
        <w:t>by</w:t>
      </w:r>
      <w:r w:rsidR="00070978" w:rsidRPr="00E50618">
        <w:t xml:space="preserve"> volume</w:t>
      </w:r>
      <w:r w:rsidR="00FB7347">
        <w:t>.</w:t>
      </w:r>
    </w:p>
    <w:p w14:paraId="1D83D6DC" w14:textId="10CA062E" w:rsidR="00A264CB" w:rsidRPr="00E50618" w:rsidRDefault="00A264CB" w:rsidP="00A264CB">
      <w:pPr>
        <w:pStyle w:val="CETheadingx"/>
      </w:pPr>
      <w:r w:rsidRPr="00E50618">
        <w:t>Biogas upgrading by direct methanation</w:t>
      </w:r>
    </w:p>
    <w:p w14:paraId="521B6002" w14:textId="77777777" w:rsidR="000B10FA" w:rsidRDefault="005C4EEC" w:rsidP="005C4EEC">
      <w:pPr>
        <w:pStyle w:val="CETBodytext"/>
      </w:pPr>
      <w:r w:rsidRPr="00E50618">
        <w:t xml:space="preserve">The </w:t>
      </w:r>
      <w:r w:rsidR="00493866" w:rsidRPr="00E50618">
        <w:t>Sabatier</w:t>
      </w:r>
      <w:r w:rsidRPr="00E50618">
        <w:t xml:space="preserve"> reaction involves the conversion of C</w:t>
      </w:r>
      <w:r w:rsidR="00CB643E" w:rsidRPr="00E50618">
        <w:t>O</w:t>
      </w:r>
      <w:r w:rsidR="00CB643E" w:rsidRPr="00CD6DED">
        <w:rPr>
          <w:vertAlign w:val="subscript"/>
        </w:rPr>
        <w:t>2</w:t>
      </w:r>
      <w:r w:rsidR="00CB643E" w:rsidRPr="00E50618">
        <w:t xml:space="preserve"> </w:t>
      </w:r>
      <w:r w:rsidRPr="00E50618">
        <w:t>and H</w:t>
      </w:r>
      <w:r w:rsidR="00CB643E" w:rsidRPr="00CD6DED">
        <w:rPr>
          <w:vertAlign w:val="subscript"/>
        </w:rPr>
        <w:t>2</w:t>
      </w:r>
      <w:r w:rsidR="00CB643E" w:rsidRPr="00E50618">
        <w:t xml:space="preserve"> </w:t>
      </w:r>
      <w:r w:rsidR="00070978" w:rsidRPr="00E50618">
        <w:t>into CH</w:t>
      </w:r>
      <w:r w:rsidR="00CD6DED" w:rsidRPr="00CD6DED">
        <w:rPr>
          <w:vertAlign w:val="subscript"/>
        </w:rPr>
        <w:t>4</w:t>
      </w:r>
      <w:r w:rsidR="00CB643E" w:rsidRPr="00E50618">
        <w:t xml:space="preserve"> </w:t>
      </w:r>
      <w:r w:rsidR="00070978" w:rsidRPr="00E50618">
        <w:t>and H</w:t>
      </w:r>
      <w:r w:rsidR="00CB643E" w:rsidRPr="00CD6DED">
        <w:rPr>
          <w:vertAlign w:val="subscript"/>
        </w:rPr>
        <w:t>2</w:t>
      </w:r>
      <w:r w:rsidR="00070978" w:rsidRPr="00E50618">
        <w:t>O</w:t>
      </w:r>
      <w:r w:rsidR="000B10FA">
        <w:t xml:space="preserve">, </w:t>
      </w:r>
      <w:r w:rsidR="000B10FA" w:rsidRPr="000B10FA">
        <w:t>as described by</w:t>
      </w:r>
      <w:r w:rsidR="000B10FA">
        <w:t xml:space="preserve"> R1.</w:t>
      </w:r>
    </w:p>
    <w:tbl>
      <w:tblPr>
        <w:tblW w:w="5000" w:type="pct"/>
        <w:tblLook w:val="04A0" w:firstRow="1" w:lastRow="0" w:firstColumn="1" w:lastColumn="0" w:noHBand="0" w:noVBand="1"/>
      </w:tblPr>
      <w:tblGrid>
        <w:gridCol w:w="7986"/>
        <w:gridCol w:w="801"/>
      </w:tblGrid>
      <w:tr w:rsidR="000B10FA" w:rsidRPr="00B57B36" w14:paraId="1993D26D" w14:textId="77777777" w:rsidTr="000B10FA">
        <w:tc>
          <w:tcPr>
            <w:tcW w:w="7986" w:type="dxa"/>
            <w:shd w:val="clear" w:color="auto" w:fill="auto"/>
            <w:vAlign w:val="center"/>
          </w:tcPr>
          <w:p w14:paraId="4D2D7E89" w14:textId="413FFD88" w:rsidR="000B10FA" w:rsidRPr="000B10FA" w:rsidRDefault="000B10FA" w:rsidP="002473D6">
            <w:pPr>
              <w:pStyle w:val="CETEquation"/>
            </w:pPr>
            <m:oMathPara>
              <m:oMathParaPr>
                <m:jc m:val="left"/>
              </m:oMathParaPr>
              <m:oMath>
                <m:r>
                  <m:rPr>
                    <m:sty m:val="p"/>
                  </m:rPr>
                  <w:rPr>
                    <w:rFonts w:ascii="Cambria Math" w:hAnsi="Cambria Math"/>
                    <w:szCs w:val="14"/>
                  </w:rPr>
                  <m:t>C</m:t>
                </m:r>
                <m:sSub>
                  <m:sSubPr>
                    <m:ctrlPr>
                      <w:rPr>
                        <w:rFonts w:ascii="Cambria Math" w:hAnsi="Cambria Math"/>
                        <w:iCs/>
                        <w:szCs w:val="14"/>
                      </w:rPr>
                    </m:ctrlPr>
                  </m:sSubPr>
                  <m:e>
                    <m:r>
                      <m:rPr>
                        <m:sty m:val="p"/>
                      </m:rPr>
                      <w:rPr>
                        <w:rFonts w:ascii="Cambria Math" w:hAnsi="Cambria Math"/>
                        <w:szCs w:val="14"/>
                      </w:rPr>
                      <m:t>O</m:t>
                    </m:r>
                  </m:e>
                  <m:sub>
                    <m:r>
                      <m:rPr>
                        <m:sty m:val="p"/>
                      </m:rPr>
                      <w:rPr>
                        <w:rFonts w:ascii="Cambria Math" w:hAnsi="Cambria Math"/>
                        <w:szCs w:val="14"/>
                      </w:rPr>
                      <m:t>2</m:t>
                    </m:r>
                  </m:sub>
                </m:sSub>
                <m:r>
                  <m:rPr>
                    <m:sty m:val="p"/>
                  </m:rPr>
                  <w:rPr>
                    <w:rFonts w:ascii="Cambria Math" w:hAnsi="Cambria Math"/>
                    <w:szCs w:val="14"/>
                  </w:rPr>
                  <m:t>+4</m:t>
                </m:r>
                <m:sSub>
                  <m:sSubPr>
                    <m:ctrlPr>
                      <w:rPr>
                        <w:rFonts w:ascii="Cambria Math" w:hAnsi="Cambria Math"/>
                        <w:iCs/>
                        <w:szCs w:val="14"/>
                      </w:rPr>
                    </m:ctrlPr>
                  </m:sSubPr>
                  <m:e>
                    <m:r>
                      <m:rPr>
                        <m:sty m:val="p"/>
                      </m:rPr>
                      <w:rPr>
                        <w:rFonts w:ascii="Cambria Math" w:hAnsi="Cambria Math"/>
                        <w:szCs w:val="14"/>
                      </w:rPr>
                      <m:t>H</m:t>
                    </m:r>
                  </m:e>
                  <m:sub>
                    <m:r>
                      <m:rPr>
                        <m:sty m:val="p"/>
                      </m:rPr>
                      <w:rPr>
                        <w:rFonts w:ascii="Cambria Math" w:hAnsi="Cambria Math"/>
                        <w:szCs w:val="14"/>
                      </w:rPr>
                      <m:t>2</m:t>
                    </m:r>
                  </m:sub>
                </m:sSub>
                <m:r>
                  <m:rPr>
                    <m:sty m:val="p"/>
                  </m:rPr>
                  <w:rPr>
                    <w:rFonts w:ascii="Cambria Math" w:hAnsi="Cambria Math"/>
                    <w:szCs w:val="14"/>
                  </w:rPr>
                  <m:t>⟷C</m:t>
                </m:r>
                <m:sSub>
                  <m:sSubPr>
                    <m:ctrlPr>
                      <w:rPr>
                        <w:rFonts w:ascii="Cambria Math" w:hAnsi="Cambria Math"/>
                        <w:iCs/>
                        <w:szCs w:val="14"/>
                      </w:rPr>
                    </m:ctrlPr>
                  </m:sSubPr>
                  <m:e>
                    <m:r>
                      <m:rPr>
                        <m:sty m:val="p"/>
                      </m:rPr>
                      <w:rPr>
                        <w:rFonts w:ascii="Cambria Math" w:hAnsi="Cambria Math"/>
                        <w:szCs w:val="14"/>
                      </w:rPr>
                      <m:t>H</m:t>
                    </m:r>
                  </m:e>
                  <m:sub>
                    <m:r>
                      <m:rPr>
                        <m:sty m:val="p"/>
                      </m:rPr>
                      <w:rPr>
                        <w:rFonts w:ascii="Cambria Math" w:hAnsi="Cambria Math"/>
                        <w:szCs w:val="14"/>
                      </w:rPr>
                      <m:t>4</m:t>
                    </m:r>
                  </m:sub>
                </m:sSub>
                <m:r>
                  <m:rPr>
                    <m:sty m:val="p"/>
                  </m:rPr>
                  <w:rPr>
                    <w:rFonts w:ascii="Cambria Math" w:hAnsi="Cambria Math"/>
                    <w:szCs w:val="14"/>
                  </w:rPr>
                  <m:t>+</m:t>
                </m:r>
                <m:sSub>
                  <m:sSubPr>
                    <m:ctrlPr>
                      <w:rPr>
                        <w:rFonts w:ascii="Cambria Math" w:hAnsi="Cambria Math"/>
                        <w:iCs/>
                        <w:szCs w:val="14"/>
                      </w:rPr>
                    </m:ctrlPr>
                  </m:sSubPr>
                  <m:e>
                    <m:r>
                      <m:rPr>
                        <m:sty m:val="p"/>
                      </m:rPr>
                      <w:rPr>
                        <w:rFonts w:ascii="Cambria Math" w:hAnsi="Cambria Math"/>
                        <w:szCs w:val="14"/>
                      </w:rPr>
                      <m:t>2H</m:t>
                    </m:r>
                  </m:e>
                  <m:sub>
                    <m:r>
                      <m:rPr>
                        <m:sty m:val="p"/>
                      </m:rPr>
                      <w:rPr>
                        <w:rFonts w:ascii="Cambria Math" w:hAnsi="Cambria Math"/>
                        <w:szCs w:val="14"/>
                      </w:rPr>
                      <m:t>2</m:t>
                    </m:r>
                  </m:sub>
                </m:sSub>
                <m:r>
                  <m:rPr>
                    <m:sty m:val="p"/>
                  </m:rPr>
                  <w:rPr>
                    <w:rFonts w:ascii="Cambria Math" w:hAnsi="Cambria Math"/>
                    <w:szCs w:val="14"/>
                  </w:rPr>
                  <m:t>O</m:t>
                </m:r>
              </m:oMath>
            </m:oMathPara>
          </w:p>
        </w:tc>
        <w:tc>
          <w:tcPr>
            <w:tcW w:w="801" w:type="dxa"/>
            <w:shd w:val="clear" w:color="auto" w:fill="auto"/>
            <w:vAlign w:val="center"/>
          </w:tcPr>
          <w:p w14:paraId="655C1B65" w14:textId="34072EA6" w:rsidR="000B10FA" w:rsidRPr="00B57B36" w:rsidRDefault="000B10FA" w:rsidP="002473D6">
            <w:pPr>
              <w:pStyle w:val="CETEquation"/>
              <w:jc w:val="right"/>
            </w:pPr>
            <w:r w:rsidRPr="00505E0B">
              <w:rPr>
                <w:rFonts w:cs="Arial"/>
                <w:szCs w:val="14"/>
              </w:rPr>
              <w:t>R1</w:t>
            </w:r>
          </w:p>
        </w:tc>
      </w:tr>
    </w:tbl>
    <w:p w14:paraId="705BC31F" w14:textId="62785477" w:rsidR="005E06F7" w:rsidRPr="00E50618" w:rsidRDefault="00CD6DED" w:rsidP="005C4EEC">
      <w:pPr>
        <w:pStyle w:val="CETBodytext"/>
      </w:pPr>
      <w:r>
        <w:t>H</w:t>
      </w:r>
      <w:r w:rsidR="00070978" w:rsidRPr="00E50618">
        <w:t>ydrogen is assumed to be supplied by an alkaline electrolyzer (AEL</w:t>
      </w:r>
      <w:r w:rsidR="00CB643E" w:rsidRPr="00E50618">
        <w:t xml:space="preserve">). </w:t>
      </w:r>
      <w:r w:rsidR="00070978" w:rsidRPr="00E50618">
        <w:t xml:space="preserve">The </w:t>
      </w:r>
      <w:r w:rsidR="00CB643E" w:rsidRPr="00E50618">
        <w:t>modelling</w:t>
      </w:r>
      <w:r w:rsidR="00070978" w:rsidRPr="00E50618">
        <w:t xml:space="preserve"> of the AEL system was carried out using a simplified approach </w:t>
      </w:r>
      <w:r w:rsidR="00CB643E" w:rsidRPr="00E50618">
        <w:fldChar w:fldCharType="begin" w:fldLock="1"/>
      </w:r>
      <w:r w:rsidR="000B10FA">
        <w:instrText>ADDIN CSL_CITATION {"citationItems":[{"id":"ITEM-1","itemData":{"DOI":"https://doi.org/10.1016/j.ijhydene.2019.12.027","ISSN":"0360-3199","abstract":"A model of an alkaline electrolysis plant is proposed in this paper, including both stack and balance of plant, with the objective of analyzing the performance of a complete electrolysis system. For this purpose, Aspen Plus has been used in this work due to its great potential and flexibility. Since this software does not include codes for modelling the electrolysis cells, a custom model for the stack has been integrated as a subroutine, using a tool called Aspen Custom Modeler. This stack model is based on semi-empirical equations which describe the voltage cell, Faraday efficiency and gas purity as a function of the current. The rest of the components in the electrolysis plant have been modelled with standard operation units included in Aspen Plus. Simulations have been carried out in order to evaluate and optimize the balance of the plant of an alkaline electrolysis system for hydrogen production. Also, a parametric study has been conducted. The results show that increasing the operation temperature and reducing the pressure can improve the overall performance of the system. The proposed model in this work for the alkaline electrolyzer can be used in the future to develop a useful tool to carry out techno-economic studies of alkaline electrolysis systems integrated with other process.","author":[{"dropping-particle":"","family":"Sánchez","given":"Mónica","non-dropping-particle":"","parse-names":false,"suffix":""},{"dropping-particle":"","family":"Amores","given":"Ernesto","non-dropping-particle":"","parse-names":false,"suffix":""},{"dropping-particle":"","family":"Abad","given":"David","non-dropping-particle":"","parse-names":false,"suffix":""},{"dropping-particle":"","family":"Rodríguez","given":"Lourdes","non-dropping-particle":"","parse-names":false,"suffix":""},{"dropping-particle":"","family":"Clemente-Jul","given":"Carmen","non-dropping-particle":"","parse-names":false,"suffix":""}],"container-title":"International Journal of Hydrogen Energy","id":"ITEM-1","issue":"7","issued":{"date-parts":[["2020"]]},"page":"3916-3929","title":"Aspen Plus model of an alkaline electrolysis system for hydrogen production","type":"article-journal","volume":"45"},"uris":["http://www.mendeley.com/documents/?uuid=bf0aae6e-0202-4fa3-9919-16862a1b28c8"]}],"mendeley":{"formattedCitation":"(Sánchez et al., 2020)","plainTextFormattedCitation":"(Sánchez et al., 2020)","previouslyFormattedCitation":"(Sánchez et al., 2020)"},"properties":{"noteIndex":0},"schema":"https://github.com/citation-style-language/schema/raw/master/csl-citation.json"}</w:instrText>
      </w:r>
      <w:r w:rsidR="00CB643E" w:rsidRPr="00E50618">
        <w:fldChar w:fldCharType="separate"/>
      </w:r>
      <w:r w:rsidR="00647C1F" w:rsidRPr="00647C1F">
        <w:rPr>
          <w:noProof/>
        </w:rPr>
        <w:t>(Sánchez et al., 2020)</w:t>
      </w:r>
      <w:r w:rsidR="00CB643E" w:rsidRPr="00E50618">
        <w:fldChar w:fldCharType="end"/>
      </w:r>
      <w:r w:rsidR="00070978" w:rsidRPr="00E50618">
        <w:t xml:space="preserve">. </w:t>
      </w:r>
      <w:r w:rsidR="00493866" w:rsidRPr="00E50618">
        <w:t xml:space="preserve">Regarding methanation, </w:t>
      </w:r>
      <w:r w:rsidR="00070978" w:rsidRPr="00E50618">
        <w:t>a significant challenge lies in managing the heat generated by the highly exothermic Sabatier reaction</w:t>
      </w:r>
      <w:r w:rsidR="00730547" w:rsidRPr="00E50618">
        <w:t>.</w:t>
      </w:r>
      <w:r w:rsidR="005C4EEC" w:rsidRPr="00E50618">
        <w:t xml:space="preserve"> </w:t>
      </w:r>
      <w:r w:rsidR="00730547" w:rsidRPr="00E50618">
        <w:t xml:space="preserve">The heat released during the reaction increases the temperature within the reactors, which </w:t>
      </w:r>
      <w:r w:rsidR="00CB643E" w:rsidRPr="00E50618">
        <w:t>reduces</w:t>
      </w:r>
      <w:r w:rsidR="00730547" w:rsidRPr="00E50618">
        <w:t xml:space="preserve"> </w:t>
      </w:r>
      <w:r w:rsidR="00CB643E" w:rsidRPr="00E50618">
        <w:t>the degree of CO</w:t>
      </w:r>
      <w:r w:rsidR="00CB643E" w:rsidRPr="00E50618">
        <w:rPr>
          <w:vertAlign w:val="subscript"/>
        </w:rPr>
        <w:t>2</w:t>
      </w:r>
      <w:r w:rsidR="00CB643E" w:rsidRPr="00E50618">
        <w:t xml:space="preserve"> conversion </w:t>
      </w:r>
      <w:r w:rsidR="00730547" w:rsidRPr="00E50618">
        <w:t>due to thermodynamic constraints</w:t>
      </w:r>
      <w:r w:rsidR="005C4EEC" w:rsidRPr="00E50618">
        <w:t xml:space="preserve">. </w:t>
      </w:r>
      <w:r w:rsidR="00493866" w:rsidRPr="00E50618">
        <w:t>Therefore, t</w:t>
      </w:r>
      <w:r w:rsidR="005C4EEC" w:rsidRPr="00E50618">
        <w:t>o achieve high</w:t>
      </w:r>
      <w:r w:rsidR="00730547" w:rsidRPr="00E50618">
        <w:t>-purity</w:t>
      </w:r>
      <w:r w:rsidR="005C4EEC" w:rsidRPr="00E50618">
        <w:t xml:space="preserve"> methane</w:t>
      </w:r>
      <w:r w:rsidR="00CB643E" w:rsidRPr="00E50618">
        <w:t xml:space="preserve"> suitable for direct injection into the natural gas grid</w:t>
      </w:r>
      <w:r>
        <w:t xml:space="preserve"> and</w:t>
      </w:r>
      <w:r w:rsidR="00CB643E" w:rsidRPr="00E50618">
        <w:t xml:space="preserve"> </w:t>
      </w:r>
      <w:r w:rsidRPr="00E50618">
        <w:t>exploit the heat of reaction</w:t>
      </w:r>
      <w:r>
        <w:t>,</w:t>
      </w:r>
      <w:r w:rsidRPr="00E50618">
        <w:t xml:space="preserve"> </w:t>
      </w:r>
      <w:r w:rsidR="00CB643E" w:rsidRPr="00E50618">
        <w:t>the proposed methanation system consists of three fixed bed reactors arranged in series; the</w:t>
      </w:r>
      <w:r w:rsidR="005C4EEC" w:rsidRPr="00E50618">
        <w:t xml:space="preserve"> first two </w:t>
      </w:r>
      <w:r w:rsidR="005E06F7" w:rsidRPr="00E50618">
        <w:t xml:space="preserve">operate adiabatically while </w:t>
      </w:r>
      <w:r w:rsidR="005C4EEC" w:rsidRPr="00E50618">
        <w:t>the last one</w:t>
      </w:r>
      <w:r w:rsidR="005E06F7" w:rsidRPr="00E50618">
        <w:t xml:space="preserve"> is</w:t>
      </w:r>
      <w:r w:rsidR="005C4EEC" w:rsidRPr="00E50618">
        <w:t xml:space="preserve"> cooled. </w:t>
      </w:r>
      <w:r w:rsidR="005E06F7" w:rsidRPr="00E50618">
        <w:t>The Aspen Plus flowsheet of the complete plant layout is presented in Figure 1.</w:t>
      </w:r>
    </w:p>
    <w:p w14:paraId="31059052" w14:textId="47D8EB7B" w:rsidR="00493866" w:rsidRPr="00E50618" w:rsidRDefault="00493866" w:rsidP="005C4EEC">
      <w:pPr>
        <w:pStyle w:val="CETBodytext"/>
      </w:pPr>
      <w:r w:rsidRPr="00E50618">
        <w:rPr>
          <w:noProof/>
        </w:rPr>
        <w:drawing>
          <wp:inline distT="0" distB="0" distL="0" distR="0" wp14:anchorId="75645851" wp14:editId="3EC1B989">
            <wp:extent cx="4593359" cy="2377440"/>
            <wp:effectExtent l="0" t="0" r="0" b="0"/>
            <wp:docPr id="197707129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71297" name="Picture 4" descr="A screenshot of a video g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3359" cy="2377440"/>
                    </a:xfrm>
                    <a:prstGeom prst="rect">
                      <a:avLst/>
                    </a:prstGeom>
                    <a:noFill/>
                    <a:ln>
                      <a:noFill/>
                    </a:ln>
                  </pic:spPr>
                </pic:pic>
              </a:graphicData>
            </a:graphic>
          </wp:inline>
        </w:drawing>
      </w:r>
    </w:p>
    <w:p w14:paraId="5FB2EEB9" w14:textId="22826DEB" w:rsidR="005C4EEC" w:rsidRPr="00E50618" w:rsidRDefault="00CB643E" w:rsidP="00CB643E">
      <w:pPr>
        <w:pStyle w:val="CETCaption"/>
      </w:pPr>
      <w:r w:rsidRPr="00E50618">
        <w:t>Figure 1: Aspen Plus flowsheet for biogas upgrading by direct methanation.</w:t>
      </w:r>
    </w:p>
    <w:p w14:paraId="248165DB" w14:textId="57A452AD" w:rsidR="006C7703" w:rsidRPr="00E50618" w:rsidRDefault="005E06F7" w:rsidP="006C7703">
      <w:pPr>
        <w:pStyle w:val="CETBodytext"/>
      </w:pPr>
      <w:r w:rsidRPr="00E50618">
        <w:t xml:space="preserve">In </w:t>
      </w:r>
      <w:r w:rsidR="00493866" w:rsidRPr="00E50618">
        <w:t xml:space="preserve">the electrolyzer section </w:t>
      </w:r>
      <w:r w:rsidR="00CD6DED">
        <w:t>in</w:t>
      </w:r>
      <w:r w:rsidR="00493866" w:rsidRPr="00E50618">
        <w:t xml:space="preserve"> </w:t>
      </w:r>
      <w:r w:rsidR="00CB643E" w:rsidRPr="00E50618">
        <w:t>Figure</w:t>
      </w:r>
      <w:r w:rsidR="00493866" w:rsidRPr="00E50618">
        <w:t xml:space="preserve"> 1, </w:t>
      </w:r>
      <w:r w:rsidR="005C4EEC" w:rsidRPr="00E50618">
        <w:t xml:space="preserve">the NRTL property method </w:t>
      </w:r>
      <w:r w:rsidRPr="00E50618">
        <w:t xml:space="preserve">is adopted </w:t>
      </w:r>
      <w:r w:rsidR="005C4EEC" w:rsidRPr="00E50618">
        <w:t xml:space="preserve">to estimate thermodynamic properties. </w:t>
      </w:r>
      <w:r w:rsidRPr="00E50618">
        <w:t>The f</w:t>
      </w:r>
      <w:r w:rsidR="004F4ABB" w:rsidRPr="00E50618">
        <w:t>eed water is pressurized to 9 bar</w:t>
      </w:r>
      <w:r w:rsidR="00CF2FFA" w:rsidRPr="00E50618">
        <w:t xml:space="preserve">, </w:t>
      </w:r>
      <w:r w:rsidR="00487FE8" w:rsidRPr="00E50618">
        <w:t>mixed</w:t>
      </w:r>
      <w:r w:rsidR="004F4ABB" w:rsidRPr="00E50618">
        <w:t xml:space="preserve"> with water recycled from the separator </w:t>
      </w:r>
      <w:r w:rsidR="00CF2FFA" w:rsidRPr="00E50618">
        <w:t xml:space="preserve">and then </w:t>
      </w:r>
      <w:r w:rsidR="00487FE8" w:rsidRPr="00E50618">
        <w:t>heated to the operating temperature of the electrolysis cell, set at 75°C</w:t>
      </w:r>
      <w:r w:rsidR="004F4ABB" w:rsidRPr="00E50618">
        <w:t xml:space="preserve">. </w:t>
      </w:r>
      <w:r w:rsidR="00487FE8" w:rsidRPr="00E50618">
        <w:t>The electrolyzer cell is represented as an RSTOIC reactor</w:t>
      </w:r>
      <w:r w:rsidR="00CF2FFA" w:rsidRPr="00E50618">
        <w:t xml:space="preserve"> in which the water-splitting</w:t>
      </w:r>
      <w:r w:rsidR="00487FE8" w:rsidRPr="00E50618">
        <w:t xml:space="preserve"> reaction occurs. The reaction conversion degree is defined based on Faraday’s efficiency. The </w:t>
      </w:r>
      <w:r w:rsidR="00CF2FFA" w:rsidRPr="00E50618">
        <w:t>H</w:t>
      </w:r>
      <w:r w:rsidR="00CF2FFA" w:rsidRPr="00CD6DED">
        <w:rPr>
          <w:vertAlign w:val="subscript"/>
        </w:rPr>
        <w:t>2</w:t>
      </w:r>
      <w:r w:rsidR="00CF2FFA" w:rsidRPr="00E50618">
        <w:t xml:space="preserve"> and O</w:t>
      </w:r>
      <w:r w:rsidR="00CF2FFA" w:rsidRPr="00CD6DED">
        <w:rPr>
          <w:vertAlign w:val="subscript"/>
        </w:rPr>
        <w:t>2</w:t>
      </w:r>
      <w:r w:rsidR="00487FE8" w:rsidRPr="00E50618">
        <w:t xml:space="preserve"> produced are separated in an ideal separator. Following separation, the hydrogen is pressurized to 18 bar and sent to the methanation section. </w:t>
      </w:r>
      <w:r w:rsidR="003B0475" w:rsidRPr="00E50618">
        <w:t>In the methanation section, the RKSMHV2 property method was adopted. The selected catalyst was a commercial NiAl</w:t>
      </w:r>
      <w:r w:rsidR="00CF2FFA" w:rsidRPr="00CD6DED">
        <w:rPr>
          <w:vertAlign w:val="subscript"/>
        </w:rPr>
        <w:t>2</w:t>
      </w:r>
      <w:r w:rsidR="003B0475" w:rsidRPr="00E50618">
        <w:t>O</w:t>
      </w:r>
      <w:r w:rsidR="00CF2FFA" w:rsidRPr="00CD6DED">
        <w:rPr>
          <w:vertAlign w:val="subscript"/>
        </w:rPr>
        <w:t>3</w:t>
      </w:r>
      <w:r w:rsidR="00CD6DED" w:rsidRPr="00CD6DED">
        <w:t>,</w:t>
      </w:r>
      <w:r w:rsidR="00CD6DED">
        <w:t xml:space="preserve"> while the</w:t>
      </w:r>
      <w:r w:rsidR="003B0475" w:rsidRPr="00E50618">
        <w:t xml:space="preserve"> kinetic model </w:t>
      </w:r>
      <w:r w:rsidR="005760EE">
        <w:t>was</w:t>
      </w:r>
      <w:r w:rsidR="00CD6DED">
        <w:t xml:space="preserve"> taken from</w:t>
      </w:r>
      <w:r w:rsidR="003B0475" w:rsidRPr="00E50618">
        <w:t xml:space="preserve"> </w:t>
      </w:r>
      <w:r w:rsidR="00CF2FFA" w:rsidRPr="00E50618">
        <w:fldChar w:fldCharType="begin" w:fldLock="1"/>
      </w:r>
      <w:r w:rsidR="003D3CC0">
        <w:instrText>ADDIN CSL_CITATION {"citationItems":[{"id":"ITEM-1","itemData":{"DOI":"https://doi.org/10.1002/aic.690350109","ISSN":"0001-1541","abstract":"Abstract Intrinsic rate equations were derived for the steam reforming of methane, accompanied by water-gas shift on a Ni/MgAl2O4 catalyst. A large number of detailed reaction mechanisms were considered. Thermodynamic analysis helped in reducing the number of possible mechanisms. Twenty one sets of three rate equations were retained and subjected to model discrimination and parameter estimation. The parameter estimates in the best model are statistically significant and thermodynamically consistent.","author":[{"dropping-particle":"","family":"Xu","given":"Jianguo","non-dropping-particle":"","parse-names":false,"suffix":""},{"dropping-particle":"","family":"Froment","given":"Gilbert F","non-dropping-particle":"","parse-names":false,"suffix":""}],"container-title":"AIChE Journal","id":"ITEM-1","issue":"1","issued":{"date-parts":[["1989","1","1"]]},"page":"88-96","publisher":"John Wiley &amp; Sons, Ltd","title":"Methane steam reforming, methanation and water-gas shift: I. Intrinsic kinetics","type":"article-journal","volume":"35"},"uris":["http://www.mendeley.com/documents/?uuid=357b411a-08d4-32f7-853b-17bb10d07638"]}],"mendeley":{"formattedCitation":"(Xu and Froment, 1989)","manualFormatting":"Xu and Froment (1989)","plainTextFormattedCitation":"(Xu and Froment, 1989)","previouslyFormattedCitation":"(Xu and Froment, 1989)"},"properties":{"noteIndex":0},"schema":"https://github.com/citation-style-language/schema/raw/master/csl-citation.json"}</w:instrText>
      </w:r>
      <w:r w:rsidR="00CF2FFA" w:rsidRPr="00E50618">
        <w:fldChar w:fldCharType="separate"/>
      </w:r>
      <w:r w:rsidR="00CF2FFA" w:rsidRPr="00E50618">
        <w:rPr>
          <w:noProof/>
        </w:rPr>
        <w:t xml:space="preserve">Xu and Froment </w:t>
      </w:r>
      <w:r w:rsidR="003D3CC0">
        <w:rPr>
          <w:noProof/>
        </w:rPr>
        <w:t>(</w:t>
      </w:r>
      <w:r w:rsidR="00CF2FFA" w:rsidRPr="00E50618">
        <w:rPr>
          <w:noProof/>
        </w:rPr>
        <w:t>1989)</w:t>
      </w:r>
      <w:r w:rsidR="00CF2FFA" w:rsidRPr="00E50618">
        <w:fldChar w:fldCharType="end"/>
      </w:r>
      <w:r w:rsidR="00CD6DED">
        <w:t>.</w:t>
      </w:r>
      <w:r w:rsidR="003B0475" w:rsidRPr="00E50618">
        <w:t xml:space="preserve"> Methanation reactors were simulated using the RPLUG model, </w:t>
      </w:r>
      <w:r w:rsidR="00CD6DED">
        <w:t>accounting</w:t>
      </w:r>
      <w:r w:rsidR="003B0475" w:rsidRPr="00E50618">
        <w:t xml:space="preserve"> </w:t>
      </w:r>
      <w:r w:rsidR="00CD6DED">
        <w:t xml:space="preserve">for pressure drops through the catalyst bed with the </w:t>
      </w:r>
      <w:r w:rsidR="003B0475" w:rsidRPr="00E50618">
        <w:t>Ergun equation</w:t>
      </w:r>
      <w:r w:rsidR="007472F0" w:rsidRPr="00E50618">
        <w:t>.</w:t>
      </w:r>
      <w:r w:rsidR="00F61478" w:rsidRPr="00E50618">
        <w:t xml:space="preserve"> </w:t>
      </w:r>
      <w:r w:rsidR="00CF2FFA" w:rsidRPr="00E50618">
        <w:t>Biogas is compressed to the operating pressure of reactors mixed with H</w:t>
      </w:r>
      <w:r w:rsidR="00CF2FFA" w:rsidRPr="00CD6DED">
        <w:rPr>
          <w:vertAlign w:val="subscript"/>
        </w:rPr>
        <w:t>2</w:t>
      </w:r>
      <w:r w:rsidR="00CF2FFA" w:rsidRPr="00E50618">
        <w:t xml:space="preserve"> and H</w:t>
      </w:r>
      <w:r w:rsidR="00CF2FFA" w:rsidRPr="00CD6DED">
        <w:rPr>
          <w:vertAlign w:val="subscript"/>
        </w:rPr>
        <w:t>2</w:t>
      </w:r>
      <w:r w:rsidR="00CF2FFA" w:rsidRPr="00E50618">
        <w:t>O and heated to inlet temperature before being fed to the first reactor</w:t>
      </w:r>
      <w:r w:rsidR="00064B32" w:rsidRPr="00E50618">
        <w:t xml:space="preserve">. </w:t>
      </w:r>
      <w:r w:rsidR="00CF2FFA" w:rsidRPr="00E50618">
        <w:t xml:space="preserve">Water </w:t>
      </w:r>
      <w:r w:rsidR="00064B32" w:rsidRPr="00E50618">
        <w:t xml:space="preserve">is recycled from the first flash unit, </w:t>
      </w:r>
      <w:r w:rsidR="003E7219" w:rsidRPr="00E50618">
        <w:t xml:space="preserve">which is </w:t>
      </w:r>
      <w:r w:rsidR="00064B32" w:rsidRPr="00E50618">
        <w:t xml:space="preserve">already available at high pressure and </w:t>
      </w:r>
      <w:r w:rsidR="003E7219" w:rsidRPr="00E50618">
        <w:t xml:space="preserve">added to the reactants </w:t>
      </w:r>
      <w:r w:rsidR="00CD6DED">
        <w:t xml:space="preserve">in order </w:t>
      </w:r>
      <w:r w:rsidR="003E7219" w:rsidRPr="00E50618">
        <w:t>to</w:t>
      </w:r>
      <w:r w:rsidR="00CF2FFA" w:rsidRPr="00E50618">
        <w:t xml:space="preserve"> </w:t>
      </w:r>
      <w:r w:rsidR="003E7219" w:rsidRPr="00E50618">
        <w:t xml:space="preserve">lower the temperature and </w:t>
      </w:r>
      <w:r w:rsidR="00CF2FFA" w:rsidRPr="00E50618">
        <w:t>prevent carbon formation.</w:t>
      </w:r>
      <w:r w:rsidR="003E7219" w:rsidRPr="00E50618">
        <w:t xml:space="preserve"> The optimal H</w:t>
      </w:r>
      <w:r w:rsidR="003E7219" w:rsidRPr="00CD6DED">
        <w:rPr>
          <w:vertAlign w:val="subscript"/>
        </w:rPr>
        <w:t>2</w:t>
      </w:r>
      <w:r w:rsidR="003E7219" w:rsidRPr="00E50618">
        <w:t>O:CO</w:t>
      </w:r>
      <w:r w:rsidR="003E7219" w:rsidRPr="00CD6DED">
        <w:rPr>
          <w:vertAlign w:val="subscript"/>
        </w:rPr>
        <w:t>2</w:t>
      </w:r>
      <w:r w:rsidR="003E7219" w:rsidRPr="00E50618">
        <w:t xml:space="preserve"> ratio was evaluated through chemical equilibrium calculation. </w:t>
      </w:r>
      <w:r w:rsidR="00D84F3C" w:rsidRPr="00E50618">
        <w:rPr>
          <w:szCs w:val="24"/>
        </w:rPr>
        <w:t xml:space="preserve">At the exit of the first methanator, the product gas undergoes cooling, and the condensed water is separated from the gas stream. The gas stream is subsequently reheated to the inlet temperature </w:t>
      </w:r>
      <w:r w:rsidR="00CD6DED">
        <w:rPr>
          <w:szCs w:val="24"/>
        </w:rPr>
        <w:t>of</w:t>
      </w:r>
      <w:r w:rsidR="00D84F3C" w:rsidRPr="00E50618">
        <w:rPr>
          <w:szCs w:val="24"/>
        </w:rPr>
        <w:t xml:space="preserve"> </w:t>
      </w:r>
      <w:r w:rsidR="00CD6DED">
        <w:rPr>
          <w:szCs w:val="24"/>
        </w:rPr>
        <w:t xml:space="preserve">the </w:t>
      </w:r>
      <w:r w:rsidR="00D84F3C" w:rsidRPr="00E50618">
        <w:rPr>
          <w:szCs w:val="24"/>
        </w:rPr>
        <w:t>second reactor.</w:t>
      </w:r>
      <w:r w:rsidR="009B2C97" w:rsidRPr="00E50618">
        <w:rPr>
          <w:szCs w:val="24"/>
        </w:rPr>
        <w:t xml:space="preserve"> </w:t>
      </w:r>
      <w:r w:rsidR="00D84F3C" w:rsidRPr="00E50618">
        <w:rPr>
          <w:szCs w:val="24"/>
        </w:rPr>
        <w:t xml:space="preserve">At the exit of the second methanation stage, a similar sequence </w:t>
      </w:r>
      <w:r w:rsidR="00D84F3C" w:rsidRPr="00E50618">
        <w:rPr>
          <w:szCs w:val="24"/>
        </w:rPr>
        <w:lastRenderedPageBreak/>
        <w:t xml:space="preserve">of cooling, water removal, and gas reheating is carried out. The third reactor is designed as a cooled shell-and-tube configuration, consisting of 20 tubes operating with a constant coolant temperature. </w:t>
      </w:r>
      <w:r w:rsidR="00444AC8" w:rsidRPr="00E50618">
        <w:t>Given the strict limit on the residual content of H</w:t>
      </w:r>
      <w:r w:rsidR="00444AC8" w:rsidRPr="00CD6DED">
        <w:rPr>
          <w:vertAlign w:val="subscript"/>
        </w:rPr>
        <w:t>2</w:t>
      </w:r>
      <w:r w:rsidR="00444AC8" w:rsidRPr="00E50618">
        <w:t xml:space="preserve"> in biomethane, a conversion greater than 98.7</w:t>
      </w:r>
      <w:r w:rsidR="00CD6DED">
        <w:t xml:space="preserve"> </w:t>
      </w:r>
      <w:r w:rsidR="00444AC8" w:rsidRPr="00E50618">
        <w:t xml:space="preserve">% is required. Therefore, </w:t>
      </w:r>
      <w:r w:rsidR="00412729" w:rsidRPr="00E50618">
        <w:t xml:space="preserve">the system was designed to operate with a sub-stoichiometric </w:t>
      </w:r>
      <w:r w:rsidR="00444AC8" w:rsidRPr="00E50618">
        <w:t>H</w:t>
      </w:r>
      <w:r w:rsidR="00444AC8" w:rsidRPr="00CD6DED">
        <w:rPr>
          <w:vertAlign w:val="subscript"/>
        </w:rPr>
        <w:t>2</w:t>
      </w:r>
      <w:r w:rsidR="00412729" w:rsidRPr="00E50618">
        <w:t>:C</w:t>
      </w:r>
      <w:r w:rsidR="00444AC8" w:rsidRPr="00E50618">
        <w:t>O</w:t>
      </w:r>
      <w:r w:rsidR="00444AC8" w:rsidRPr="00CD6DED">
        <w:rPr>
          <w:vertAlign w:val="subscript"/>
        </w:rPr>
        <w:t>2</w:t>
      </w:r>
      <w:r w:rsidR="00412729" w:rsidRPr="00E50618">
        <w:t xml:space="preserve"> ratio of 3.9, as </w:t>
      </w:r>
      <w:r w:rsidR="00444AC8" w:rsidRPr="00E50618">
        <w:t>suggested</w:t>
      </w:r>
      <w:r w:rsidR="00412729" w:rsidRPr="00E50618">
        <w:t xml:space="preserve"> by </w:t>
      </w:r>
      <w:r w:rsidR="00444AC8" w:rsidRPr="00E50618">
        <w:fldChar w:fldCharType="begin" w:fldLock="1"/>
      </w:r>
      <w:r w:rsidR="00E113B2">
        <w:instrText>ADDIN CSL_CITATION {"citationItems":[{"id":"ITEM-1","itemData":{"DOI":"https://doi.org/10.1016/j.biortech.2014.10.069","ISSN":"0960-8524","abstract":"This study aimed to investigate the feasibility of substitute natural gas (SNG) generation using biogas from anaerobic digestion and hydrogen from renewable energy systems. Using thermodynamic equilibrium analysis, kinetic reactor modeling and transient simulation, an integrated approach for the operation of a biogas-based Sabatier process was put forward, which was then verified using a lab scale heterogenous methanation reactor. The process simulation using a kinetic reactor model demonstrated the feasibility of the production of SNG at gas grid standards using a single reactor setup. The Wobbe index, CO2 content and calorific value were found to be controllable by the H2/CO2 ratio fed the methanation reactor. An optimal H2/CO2 ratio of 3.45–3.7 was seen to result in a product gas with high calorific value and Wobbe index. The dynamic reactor simulation verified that the process start-up was feasible within several minutes to facilitate surplus electricity use from renewable energy systems.","author":[{"dropping-particle":"","family":"Jürgensen","given":"Lars","non-dropping-particle":"","parse-names":false,"suffix":""},{"dropping-particle":"","family":"Ehimen","given":"Ehiaze Augustine","non-dropping-particle":"","parse-names":false,"suffix":""},{"dropping-particle":"","family":"Born","given":"Jens","non-dropping-particle":"","parse-names":false,"suffix":""},{"dropping-particle":"","family":"Holm-Nielsen","given":"Jens Bo","non-dropping-particle":"","parse-names":false,"suffix":""}],"container-title":"Bioresource Technology","id":"ITEM-1","issued":{"date-parts":[["2015"]]},"page":"323-329","title":"Dynamic biogas upgrading based on the Sabatier process: Thermodynamic and dynamic process simulation","type":"article-journal","volume":"178"},"uris":["http://www.mendeley.com/documents/?uuid=02d4b4c9-dfe0-30a8-8559-695f14ca50ef"]}],"mendeley":{"formattedCitation":"(Jürgensen et al., 2015)","manualFormatting":"Jürgensen et al. (2015)","plainTextFormattedCitation":"(Jürgensen et al., 2015)","previouslyFormattedCitation":"(Jürgensen et al., 2015)"},"properties":{"noteIndex":0},"schema":"https://github.com/citation-style-language/schema/raw/master/csl-citation.json"}</w:instrText>
      </w:r>
      <w:r w:rsidR="00444AC8" w:rsidRPr="00E50618">
        <w:fldChar w:fldCharType="separate"/>
      </w:r>
      <w:r w:rsidR="00647C1F" w:rsidRPr="00647C1F">
        <w:rPr>
          <w:noProof/>
        </w:rPr>
        <w:t xml:space="preserve">Jürgensen et al. </w:t>
      </w:r>
      <w:r w:rsidR="00E113B2">
        <w:rPr>
          <w:noProof/>
        </w:rPr>
        <w:t>(</w:t>
      </w:r>
      <w:r w:rsidR="00647C1F" w:rsidRPr="00647C1F">
        <w:rPr>
          <w:noProof/>
        </w:rPr>
        <w:t>2015)</w:t>
      </w:r>
      <w:r w:rsidR="00444AC8" w:rsidRPr="00E50618">
        <w:fldChar w:fldCharType="end"/>
      </w:r>
      <w:r w:rsidR="006C7703" w:rsidRPr="00E50618">
        <w:t xml:space="preserve">. </w:t>
      </w:r>
      <w:r w:rsidR="003E7219" w:rsidRPr="00E50618">
        <w:t>The geometrical</w:t>
      </w:r>
      <w:r w:rsidR="006C7703" w:rsidRPr="00E50618">
        <w:t xml:space="preserve"> dimensions of the three reactors, operating parameters and catalyst properties are reported in Table </w:t>
      </w:r>
      <w:r w:rsidR="00444AC8" w:rsidRPr="00E50618">
        <w:t>1</w:t>
      </w:r>
      <w:r w:rsidR="006C7703" w:rsidRPr="00E50618">
        <w:t>.</w:t>
      </w:r>
    </w:p>
    <w:p w14:paraId="70D9BA44" w14:textId="05A01A77" w:rsidR="00AC0EDB" w:rsidRPr="00E50618" w:rsidRDefault="00AC0EDB" w:rsidP="00AC0EDB">
      <w:pPr>
        <w:pStyle w:val="CETTabletitle"/>
      </w:pPr>
      <w:r w:rsidRPr="00E50618">
        <w:t xml:space="preserve">Table 1: Parameters </w:t>
      </w:r>
      <w:r w:rsidR="003E7219" w:rsidRPr="00E50618">
        <w:t>adopted</w:t>
      </w:r>
      <w:r w:rsidRPr="00E50618">
        <w:t xml:space="preserve"> in the simulation of biogas </w:t>
      </w:r>
      <w:r w:rsidR="003E7219" w:rsidRPr="00E50618">
        <w:t xml:space="preserve">direct </w:t>
      </w:r>
      <w:r w:rsidRPr="00E50618">
        <w:t>methanation.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6"/>
        <w:gridCol w:w="1095"/>
        <w:gridCol w:w="1117"/>
        <w:gridCol w:w="1111"/>
        <w:gridCol w:w="1117"/>
        <w:gridCol w:w="1095"/>
        <w:gridCol w:w="1068"/>
        <w:gridCol w:w="1068"/>
      </w:tblGrid>
      <w:tr w:rsidR="00E50618" w:rsidRPr="00E50618" w14:paraId="68C1D2C6" w14:textId="4FBABB2C" w:rsidTr="00444AC8">
        <w:trPr>
          <w:trHeight w:val="228"/>
        </w:trPr>
        <w:tc>
          <w:tcPr>
            <w:tcW w:w="1116" w:type="dxa"/>
            <w:tcBorders>
              <w:top w:val="single" w:sz="12" w:space="0" w:color="008000"/>
              <w:bottom w:val="single" w:sz="6" w:space="0" w:color="008000"/>
            </w:tcBorders>
            <w:shd w:val="clear" w:color="auto" w:fill="FFFFFF"/>
          </w:tcPr>
          <w:p w14:paraId="6BCBB6C4" w14:textId="5F31734A" w:rsidR="00444AC8" w:rsidRPr="00E50618" w:rsidRDefault="00444AC8" w:rsidP="00444AC8">
            <w:pPr>
              <w:pStyle w:val="CETBodytext"/>
              <w:rPr>
                <w:lang w:val="en-GB"/>
              </w:rPr>
            </w:pPr>
            <w:r w:rsidRPr="00E50618">
              <w:t>Parameter</w:t>
            </w:r>
          </w:p>
        </w:tc>
        <w:tc>
          <w:tcPr>
            <w:tcW w:w="1095" w:type="dxa"/>
            <w:tcBorders>
              <w:top w:val="single" w:sz="12" w:space="0" w:color="008000"/>
              <w:bottom w:val="single" w:sz="6" w:space="0" w:color="008000"/>
            </w:tcBorders>
            <w:shd w:val="clear" w:color="auto" w:fill="FFFFFF"/>
          </w:tcPr>
          <w:p w14:paraId="012F64FC" w14:textId="55C35F63" w:rsidR="00444AC8" w:rsidRPr="00E50618" w:rsidRDefault="00444AC8" w:rsidP="00444AC8">
            <w:pPr>
              <w:pStyle w:val="CETBodytext"/>
              <w:rPr>
                <w:lang w:val="en-GB"/>
              </w:rPr>
            </w:pPr>
            <w:r w:rsidRPr="00E50618">
              <w:t>Value</w:t>
            </w:r>
          </w:p>
        </w:tc>
        <w:tc>
          <w:tcPr>
            <w:tcW w:w="1117" w:type="dxa"/>
            <w:tcBorders>
              <w:top w:val="single" w:sz="12" w:space="0" w:color="008000"/>
              <w:bottom w:val="single" w:sz="6" w:space="0" w:color="008000"/>
            </w:tcBorders>
            <w:shd w:val="clear" w:color="auto" w:fill="FFFFFF"/>
          </w:tcPr>
          <w:p w14:paraId="1241BAB1" w14:textId="41B1FDFD" w:rsidR="00444AC8" w:rsidRPr="00E50618" w:rsidRDefault="00444AC8" w:rsidP="00444AC8">
            <w:pPr>
              <w:pStyle w:val="CETBodytext"/>
              <w:rPr>
                <w:lang w:val="en-GB"/>
              </w:rPr>
            </w:pPr>
            <w:r w:rsidRPr="00E50618">
              <w:t>Parameter</w:t>
            </w:r>
          </w:p>
        </w:tc>
        <w:tc>
          <w:tcPr>
            <w:tcW w:w="1111" w:type="dxa"/>
            <w:tcBorders>
              <w:top w:val="single" w:sz="12" w:space="0" w:color="008000"/>
              <w:bottom w:val="single" w:sz="6" w:space="0" w:color="008000"/>
            </w:tcBorders>
            <w:shd w:val="clear" w:color="auto" w:fill="FFFFFF"/>
          </w:tcPr>
          <w:p w14:paraId="56A2411F" w14:textId="047DA251" w:rsidR="00444AC8" w:rsidRPr="00E50618" w:rsidRDefault="00444AC8" w:rsidP="00444AC8">
            <w:pPr>
              <w:pStyle w:val="CETBodytext"/>
              <w:ind w:right="-1"/>
            </w:pPr>
            <w:r w:rsidRPr="00E50618">
              <w:t>Value</w:t>
            </w:r>
          </w:p>
        </w:tc>
        <w:tc>
          <w:tcPr>
            <w:tcW w:w="1117" w:type="dxa"/>
            <w:tcBorders>
              <w:top w:val="single" w:sz="12" w:space="0" w:color="008000"/>
              <w:bottom w:val="single" w:sz="6" w:space="0" w:color="008000"/>
            </w:tcBorders>
            <w:shd w:val="clear" w:color="auto" w:fill="FFFFFF"/>
          </w:tcPr>
          <w:p w14:paraId="16F9E48A" w14:textId="64699D03" w:rsidR="00444AC8" w:rsidRPr="00E50618" w:rsidRDefault="00444AC8" w:rsidP="00444AC8">
            <w:pPr>
              <w:pStyle w:val="CETBodytext"/>
              <w:ind w:right="-1"/>
            </w:pPr>
            <w:r w:rsidRPr="00E50618">
              <w:t>Parameter</w:t>
            </w:r>
          </w:p>
        </w:tc>
        <w:tc>
          <w:tcPr>
            <w:tcW w:w="1095" w:type="dxa"/>
            <w:tcBorders>
              <w:top w:val="single" w:sz="12" w:space="0" w:color="008000"/>
              <w:bottom w:val="single" w:sz="6" w:space="0" w:color="008000"/>
            </w:tcBorders>
            <w:shd w:val="clear" w:color="auto" w:fill="FFFFFF"/>
          </w:tcPr>
          <w:p w14:paraId="62B78F49" w14:textId="441A5815" w:rsidR="00444AC8" w:rsidRPr="00E50618" w:rsidRDefault="00444AC8" w:rsidP="00444AC8">
            <w:pPr>
              <w:pStyle w:val="CETBodytext"/>
              <w:ind w:right="-1"/>
            </w:pPr>
            <w:r w:rsidRPr="00E50618">
              <w:t>Value</w:t>
            </w:r>
          </w:p>
        </w:tc>
        <w:tc>
          <w:tcPr>
            <w:tcW w:w="1068" w:type="dxa"/>
            <w:tcBorders>
              <w:top w:val="single" w:sz="12" w:space="0" w:color="008000"/>
              <w:bottom w:val="single" w:sz="6" w:space="0" w:color="008000"/>
            </w:tcBorders>
            <w:shd w:val="clear" w:color="auto" w:fill="FFFFFF"/>
          </w:tcPr>
          <w:p w14:paraId="101834E4" w14:textId="7873ADE0" w:rsidR="00444AC8" w:rsidRPr="00E50618" w:rsidRDefault="00444AC8" w:rsidP="00444AC8">
            <w:pPr>
              <w:pStyle w:val="CETBodytext"/>
              <w:ind w:right="-1"/>
            </w:pPr>
            <w:r w:rsidRPr="00E50618">
              <w:t>Parameter</w:t>
            </w:r>
          </w:p>
        </w:tc>
        <w:tc>
          <w:tcPr>
            <w:tcW w:w="1068" w:type="dxa"/>
            <w:tcBorders>
              <w:top w:val="single" w:sz="12" w:space="0" w:color="008000"/>
              <w:bottom w:val="single" w:sz="6" w:space="0" w:color="008000"/>
            </w:tcBorders>
            <w:shd w:val="clear" w:color="auto" w:fill="FFFFFF"/>
          </w:tcPr>
          <w:p w14:paraId="49AB597B" w14:textId="08E2590C" w:rsidR="00444AC8" w:rsidRPr="00E50618" w:rsidRDefault="00444AC8" w:rsidP="00444AC8">
            <w:pPr>
              <w:pStyle w:val="CETBodytext"/>
              <w:ind w:right="-1"/>
            </w:pPr>
            <w:r w:rsidRPr="00E50618">
              <w:t>Value</w:t>
            </w:r>
          </w:p>
        </w:tc>
      </w:tr>
      <w:tr w:rsidR="00E50618" w:rsidRPr="00E50618" w14:paraId="3CE41A35" w14:textId="4D949CFF" w:rsidTr="00444AC8">
        <w:trPr>
          <w:trHeight w:val="228"/>
        </w:trPr>
        <w:tc>
          <w:tcPr>
            <w:tcW w:w="1116" w:type="dxa"/>
            <w:shd w:val="clear" w:color="auto" w:fill="FFFFFF"/>
          </w:tcPr>
          <w:p w14:paraId="6EBFE040" w14:textId="344ECC79" w:rsidR="00444AC8" w:rsidRPr="00E50618" w:rsidRDefault="00444AC8" w:rsidP="00444AC8">
            <w:pPr>
              <w:pStyle w:val="CETBodytext"/>
              <w:rPr>
                <w:lang w:val="en-GB"/>
              </w:rPr>
            </w:pPr>
            <w:r w:rsidRPr="00E50618">
              <w:t>p</w:t>
            </w:r>
          </w:p>
        </w:tc>
        <w:tc>
          <w:tcPr>
            <w:tcW w:w="1095" w:type="dxa"/>
            <w:shd w:val="clear" w:color="auto" w:fill="FFFFFF"/>
          </w:tcPr>
          <w:p w14:paraId="520AEDC9" w14:textId="4E071B3E" w:rsidR="00444AC8" w:rsidRPr="00E50618" w:rsidRDefault="00444AC8" w:rsidP="00444AC8">
            <w:pPr>
              <w:pStyle w:val="CETBodytext"/>
              <w:rPr>
                <w:lang w:val="en-GB"/>
              </w:rPr>
            </w:pPr>
            <w:r w:rsidRPr="00E50618">
              <w:t>18 bar</w:t>
            </w:r>
          </w:p>
        </w:tc>
        <w:tc>
          <w:tcPr>
            <w:tcW w:w="1117" w:type="dxa"/>
            <w:shd w:val="clear" w:color="auto" w:fill="FFFFFF"/>
          </w:tcPr>
          <w:p w14:paraId="08511FA6" w14:textId="446E4970" w:rsidR="00444AC8" w:rsidRPr="00E50618" w:rsidRDefault="00444AC8" w:rsidP="00444AC8">
            <w:pPr>
              <w:pStyle w:val="CETBodytext"/>
              <w:rPr>
                <w:lang w:val="en-GB"/>
              </w:rPr>
            </w:pPr>
            <w:r w:rsidRPr="00E50618">
              <w:t>L</w:t>
            </w:r>
            <w:r w:rsidRPr="00E50618">
              <w:rPr>
                <w:vertAlign w:val="subscript"/>
              </w:rPr>
              <w:t>m1</w:t>
            </w:r>
            <w:r w:rsidRPr="00E50618">
              <w:t>=L</w:t>
            </w:r>
            <w:r w:rsidRPr="00E50618">
              <w:rPr>
                <w:vertAlign w:val="subscript"/>
              </w:rPr>
              <w:t>m3</w:t>
            </w:r>
          </w:p>
        </w:tc>
        <w:tc>
          <w:tcPr>
            <w:tcW w:w="1111" w:type="dxa"/>
            <w:shd w:val="clear" w:color="auto" w:fill="FFFFFF"/>
          </w:tcPr>
          <w:p w14:paraId="579983C3" w14:textId="5604384F" w:rsidR="00444AC8" w:rsidRPr="00E50618" w:rsidRDefault="00444AC8" w:rsidP="00444AC8">
            <w:pPr>
              <w:pStyle w:val="CETBodytext"/>
              <w:ind w:right="-1"/>
            </w:pPr>
            <w:r w:rsidRPr="00E50618">
              <w:t xml:space="preserve">4 m </w:t>
            </w:r>
          </w:p>
        </w:tc>
        <w:tc>
          <w:tcPr>
            <w:tcW w:w="1117" w:type="dxa"/>
            <w:shd w:val="clear" w:color="auto" w:fill="FFFFFF"/>
          </w:tcPr>
          <w:p w14:paraId="12A1E043" w14:textId="7FA384D0" w:rsidR="00444AC8" w:rsidRPr="00E50618" w:rsidRDefault="00444AC8" w:rsidP="00444AC8">
            <w:pPr>
              <w:pStyle w:val="CETBodytext"/>
              <w:ind w:right="-1"/>
            </w:pPr>
            <w:r w:rsidRPr="00E50618">
              <w:t>d</w:t>
            </w:r>
            <w:r w:rsidRPr="00E50618">
              <w:rPr>
                <w:vertAlign w:val="subscript"/>
              </w:rPr>
              <w:t>m3</w:t>
            </w:r>
          </w:p>
        </w:tc>
        <w:tc>
          <w:tcPr>
            <w:tcW w:w="1095" w:type="dxa"/>
            <w:shd w:val="clear" w:color="auto" w:fill="FFFFFF"/>
          </w:tcPr>
          <w:p w14:paraId="37C58689" w14:textId="3F2B0E62" w:rsidR="00444AC8" w:rsidRPr="00E50618" w:rsidRDefault="00444AC8" w:rsidP="00444AC8">
            <w:pPr>
              <w:pStyle w:val="CETBodytext"/>
              <w:ind w:right="-1"/>
            </w:pPr>
            <w:r w:rsidRPr="00E50618">
              <w:t>0.2 m</w:t>
            </w:r>
          </w:p>
        </w:tc>
        <w:tc>
          <w:tcPr>
            <w:tcW w:w="1068" w:type="dxa"/>
            <w:shd w:val="clear" w:color="auto" w:fill="FFFFFF"/>
          </w:tcPr>
          <w:p w14:paraId="3C304AC0" w14:textId="14F581DB" w:rsidR="00444AC8" w:rsidRPr="00E50618" w:rsidRDefault="00444AC8" w:rsidP="00444AC8">
            <w:pPr>
              <w:pStyle w:val="CETBodytext"/>
              <w:ind w:right="-1"/>
            </w:pPr>
            <w:r w:rsidRPr="00E50618">
              <w:t>H</w:t>
            </w:r>
            <w:r w:rsidRPr="00E50618">
              <w:rPr>
                <w:vertAlign w:val="subscript"/>
              </w:rPr>
              <w:t>2</w:t>
            </w:r>
            <w:r w:rsidRPr="00E50618">
              <w:t>:CO</w:t>
            </w:r>
            <w:r w:rsidRPr="00E50618">
              <w:rPr>
                <w:vertAlign w:val="subscript"/>
              </w:rPr>
              <w:t>2</w:t>
            </w:r>
          </w:p>
        </w:tc>
        <w:tc>
          <w:tcPr>
            <w:tcW w:w="1068" w:type="dxa"/>
            <w:shd w:val="clear" w:color="auto" w:fill="FFFFFF"/>
          </w:tcPr>
          <w:p w14:paraId="5957D041" w14:textId="29836E8D" w:rsidR="00444AC8" w:rsidRPr="00E50618" w:rsidRDefault="00444AC8" w:rsidP="00444AC8">
            <w:pPr>
              <w:pStyle w:val="CETBodytext"/>
              <w:ind w:right="-1"/>
            </w:pPr>
            <w:r w:rsidRPr="00E50618">
              <w:t>3.9 -</w:t>
            </w:r>
          </w:p>
        </w:tc>
      </w:tr>
      <w:tr w:rsidR="00E50618" w:rsidRPr="00E50618" w14:paraId="0A22681A" w14:textId="18DD43DA" w:rsidTr="00444AC8">
        <w:trPr>
          <w:trHeight w:val="228"/>
        </w:trPr>
        <w:tc>
          <w:tcPr>
            <w:tcW w:w="1116" w:type="dxa"/>
            <w:shd w:val="clear" w:color="auto" w:fill="FFFFFF"/>
          </w:tcPr>
          <w:p w14:paraId="0420E84D" w14:textId="272AEBF6" w:rsidR="00444AC8" w:rsidRPr="00E50618" w:rsidRDefault="00444AC8" w:rsidP="00444AC8">
            <w:pPr>
              <w:pStyle w:val="CETBodytext"/>
              <w:rPr>
                <w:lang w:val="en-GB"/>
              </w:rPr>
            </w:pPr>
            <w:r w:rsidRPr="00E50618">
              <w:t>T</w:t>
            </w:r>
            <w:r w:rsidRPr="00E50618">
              <w:rPr>
                <w:vertAlign w:val="subscript"/>
              </w:rPr>
              <w:t>in,1</w:t>
            </w:r>
            <w:r w:rsidRPr="00E50618">
              <w:t>=T</w:t>
            </w:r>
            <w:r w:rsidRPr="00E50618">
              <w:rPr>
                <w:vertAlign w:val="subscript"/>
              </w:rPr>
              <w:t>in,2</w:t>
            </w:r>
          </w:p>
        </w:tc>
        <w:tc>
          <w:tcPr>
            <w:tcW w:w="1095" w:type="dxa"/>
            <w:shd w:val="clear" w:color="auto" w:fill="FFFFFF"/>
          </w:tcPr>
          <w:p w14:paraId="7D7C830C" w14:textId="5F189A38" w:rsidR="00444AC8" w:rsidRPr="00E50618" w:rsidRDefault="00444AC8" w:rsidP="00444AC8">
            <w:pPr>
              <w:pStyle w:val="CETBodytext"/>
              <w:rPr>
                <w:lang w:val="en-GB"/>
              </w:rPr>
            </w:pPr>
            <w:r w:rsidRPr="00E50618">
              <w:t>270 °C</w:t>
            </w:r>
          </w:p>
        </w:tc>
        <w:tc>
          <w:tcPr>
            <w:tcW w:w="1117" w:type="dxa"/>
            <w:shd w:val="clear" w:color="auto" w:fill="FFFFFF"/>
          </w:tcPr>
          <w:p w14:paraId="2CBC6297" w14:textId="17C02C5D" w:rsidR="00444AC8" w:rsidRPr="00E50618" w:rsidRDefault="00444AC8" w:rsidP="00444AC8">
            <w:pPr>
              <w:pStyle w:val="CETBodytext"/>
              <w:rPr>
                <w:lang w:val="en-GB"/>
              </w:rPr>
            </w:pPr>
            <w:r w:rsidRPr="00E50618">
              <w:t>L</w:t>
            </w:r>
            <w:r w:rsidRPr="00E50618">
              <w:rPr>
                <w:vertAlign w:val="subscript"/>
              </w:rPr>
              <w:t>m2</w:t>
            </w:r>
          </w:p>
        </w:tc>
        <w:tc>
          <w:tcPr>
            <w:tcW w:w="1111" w:type="dxa"/>
            <w:shd w:val="clear" w:color="auto" w:fill="FFFFFF"/>
          </w:tcPr>
          <w:p w14:paraId="155F8719" w14:textId="4272A52E" w:rsidR="00444AC8" w:rsidRPr="00E50618" w:rsidRDefault="00444AC8" w:rsidP="00444AC8">
            <w:pPr>
              <w:pStyle w:val="CETBodytext"/>
              <w:ind w:right="-1"/>
            </w:pPr>
            <w:r w:rsidRPr="00E50618">
              <w:t>4.5 m</w:t>
            </w:r>
          </w:p>
        </w:tc>
        <w:tc>
          <w:tcPr>
            <w:tcW w:w="1117" w:type="dxa"/>
            <w:shd w:val="clear" w:color="auto" w:fill="FFFFFF"/>
          </w:tcPr>
          <w:p w14:paraId="1928E7BE" w14:textId="71D391F3" w:rsidR="00444AC8" w:rsidRPr="00E50618" w:rsidRDefault="00444AC8" w:rsidP="00444AC8">
            <w:pPr>
              <w:pStyle w:val="CETBodytext"/>
              <w:ind w:right="-1"/>
            </w:pPr>
            <w:r w:rsidRPr="00E50618">
              <w:t>U</w:t>
            </w:r>
          </w:p>
        </w:tc>
        <w:tc>
          <w:tcPr>
            <w:tcW w:w="1095" w:type="dxa"/>
            <w:shd w:val="clear" w:color="auto" w:fill="FFFFFF"/>
          </w:tcPr>
          <w:p w14:paraId="01D9EEEB" w14:textId="5C931B00" w:rsidR="00444AC8" w:rsidRPr="00E50618" w:rsidRDefault="00444AC8" w:rsidP="00444AC8">
            <w:pPr>
              <w:pStyle w:val="CETBodytext"/>
              <w:ind w:right="-1"/>
            </w:pPr>
            <w:r w:rsidRPr="00E50618">
              <w:t xml:space="preserve">10 </w:t>
            </w:r>
            <w:r w:rsidRPr="00E50618">
              <w:rPr>
                <w:rFonts w:eastAsia="SimSun"/>
              </w:rPr>
              <w:t>W/(m</w:t>
            </w:r>
            <w:r w:rsidRPr="00E50618">
              <w:rPr>
                <w:rFonts w:eastAsia="SimSun"/>
                <w:vertAlign w:val="superscript"/>
              </w:rPr>
              <w:t>2</w:t>
            </w:r>
            <w:r w:rsidRPr="00E50618">
              <w:rPr>
                <w:rFonts w:ascii="Times New Roman" w:eastAsia="SimSun" w:hAnsi="Times New Roman"/>
              </w:rPr>
              <w:t>·</w:t>
            </w:r>
            <w:r w:rsidRPr="00E50618">
              <w:rPr>
                <w:rFonts w:eastAsia="SimSun"/>
              </w:rPr>
              <w:t>K)</w:t>
            </w:r>
          </w:p>
        </w:tc>
        <w:tc>
          <w:tcPr>
            <w:tcW w:w="1068" w:type="dxa"/>
            <w:shd w:val="clear" w:color="auto" w:fill="FFFFFF"/>
          </w:tcPr>
          <w:p w14:paraId="46C14002" w14:textId="092889E5" w:rsidR="00444AC8" w:rsidRPr="00E50618" w:rsidRDefault="00444AC8" w:rsidP="00444AC8">
            <w:pPr>
              <w:pStyle w:val="CETBodytext"/>
              <w:ind w:right="-1"/>
            </w:pPr>
            <w:r w:rsidRPr="00E50618">
              <w:t>H</w:t>
            </w:r>
            <w:r w:rsidRPr="00E50618">
              <w:rPr>
                <w:vertAlign w:val="subscript"/>
              </w:rPr>
              <w:t>2</w:t>
            </w:r>
            <w:r w:rsidRPr="00E50618">
              <w:t>O:CO</w:t>
            </w:r>
            <w:r w:rsidRPr="00E50618">
              <w:rPr>
                <w:vertAlign w:val="subscript"/>
              </w:rPr>
              <w:t>2</w:t>
            </w:r>
          </w:p>
        </w:tc>
        <w:tc>
          <w:tcPr>
            <w:tcW w:w="1068" w:type="dxa"/>
            <w:shd w:val="clear" w:color="auto" w:fill="FFFFFF"/>
          </w:tcPr>
          <w:p w14:paraId="7B80CDCB" w14:textId="733ED2F5" w:rsidR="00444AC8" w:rsidRPr="00E50618" w:rsidRDefault="00444AC8" w:rsidP="00444AC8">
            <w:pPr>
              <w:pStyle w:val="CETBodytext"/>
              <w:ind w:right="-1"/>
            </w:pPr>
            <w:r w:rsidRPr="00E50618">
              <w:t>0.4 -</w:t>
            </w:r>
          </w:p>
        </w:tc>
      </w:tr>
      <w:tr w:rsidR="00E50618" w:rsidRPr="00E50618" w14:paraId="3E13B6DF" w14:textId="1763EF84" w:rsidTr="00444AC8">
        <w:trPr>
          <w:trHeight w:val="228"/>
        </w:trPr>
        <w:tc>
          <w:tcPr>
            <w:tcW w:w="1116" w:type="dxa"/>
            <w:shd w:val="clear" w:color="auto" w:fill="FFFFFF"/>
          </w:tcPr>
          <w:p w14:paraId="72934ABE" w14:textId="0A3827A1" w:rsidR="00444AC8" w:rsidRPr="00E50618" w:rsidRDefault="00444AC8" w:rsidP="00444AC8">
            <w:pPr>
              <w:pStyle w:val="CETBodytext"/>
              <w:rPr>
                <w:lang w:val="en-GB"/>
              </w:rPr>
            </w:pPr>
            <w:r w:rsidRPr="00E50618">
              <w:t>T</w:t>
            </w:r>
            <w:r w:rsidRPr="00E50618">
              <w:rPr>
                <w:vertAlign w:val="subscript"/>
              </w:rPr>
              <w:t>in,3</w:t>
            </w:r>
            <w:r w:rsidRPr="00E50618">
              <w:t>=T</w:t>
            </w:r>
            <w:r w:rsidRPr="00E50618">
              <w:rPr>
                <w:vertAlign w:val="subscript"/>
              </w:rPr>
              <w:t>c</w:t>
            </w:r>
          </w:p>
        </w:tc>
        <w:tc>
          <w:tcPr>
            <w:tcW w:w="1095" w:type="dxa"/>
            <w:shd w:val="clear" w:color="auto" w:fill="FFFFFF"/>
          </w:tcPr>
          <w:p w14:paraId="17A74F2A" w14:textId="39F49FE8" w:rsidR="00444AC8" w:rsidRPr="00E50618" w:rsidRDefault="00444AC8" w:rsidP="00444AC8">
            <w:pPr>
              <w:pStyle w:val="CETBodytext"/>
              <w:rPr>
                <w:lang w:val="en-GB"/>
              </w:rPr>
            </w:pPr>
            <w:r w:rsidRPr="00E50618">
              <w:t>300 °C</w:t>
            </w:r>
          </w:p>
        </w:tc>
        <w:tc>
          <w:tcPr>
            <w:tcW w:w="1117" w:type="dxa"/>
            <w:shd w:val="clear" w:color="auto" w:fill="FFFFFF"/>
          </w:tcPr>
          <w:p w14:paraId="0894C6B8" w14:textId="310519C1" w:rsidR="00444AC8" w:rsidRPr="00E50618" w:rsidRDefault="00444AC8" w:rsidP="00444AC8">
            <w:pPr>
              <w:pStyle w:val="CETBodytext"/>
              <w:rPr>
                <w:lang w:val="en-GB"/>
              </w:rPr>
            </w:pPr>
            <w:r w:rsidRPr="00E50618">
              <w:t>d</w:t>
            </w:r>
            <w:r w:rsidRPr="00E50618">
              <w:rPr>
                <w:vertAlign w:val="subscript"/>
              </w:rPr>
              <w:t>m1</w:t>
            </w:r>
          </w:p>
        </w:tc>
        <w:tc>
          <w:tcPr>
            <w:tcW w:w="1111" w:type="dxa"/>
            <w:shd w:val="clear" w:color="auto" w:fill="FFFFFF"/>
          </w:tcPr>
          <w:p w14:paraId="693AC28A" w14:textId="2BB9D46F" w:rsidR="00444AC8" w:rsidRPr="00E50618" w:rsidRDefault="00444AC8" w:rsidP="00444AC8">
            <w:pPr>
              <w:pStyle w:val="CETBodytext"/>
              <w:ind w:right="-1"/>
            </w:pPr>
            <w:r w:rsidRPr="00E50618">
              <w:t>0.4 m</w:t>
            </w:r>
          </w:p>
        </w:tc>
        <w:tc>
          <w:tcPr>
            <w:tcW w:w="1117" w:type="dxa"/>
            <w:shd w:val="clear" w:color="auto" w:fill="FFFFFF"/>
          </w:tcPr>
          <w:p w14:paraId="646A6278" w14:textId="127FB56E" w:rsidR="00444AC8" w:rsidRPr="00E50618" w:rsidRDefault="00444AC8" w:rsidP="00444AC8">
            <w:pPr>
              <w:pStyle w:val="CETBodytext"/>
              <w:ind w:right="-1"/>
            </w:pPr>
            <w:proofErr w:type="spellStart"/>
            <w:r w:rsidRPr="00E50618">
              <w:t>d</w:t>
            </w:r>
            <w:r w:rsidRPr="00E50618">
              <w:rPr>
                <w:vertAlign w:val="subscript"/>
              </w:rPr>
              <w:t>p</w:t>
            </w:r>
            <w:proofErr w:type="spellEnd"/>
          </w:p>
        </w:tc>
        <w:tc>
          <w:tcPr>
            <w:tcW w:w="1095" w:type="dxa"/>
            <w:shd w:val="clear" w:color="auto" w:fill="FFFFFF"/>
          </w:tcPr>
          <w:p w14:paraId="02C73AA6" w14:textId="485FFC0D" w:rsidR="00444AC8" w:rsidRPr="00E50618" w:rsidRDefault="00444AC8" w:rsidP="00444AC8">
            <w:pPr>
              <w:pStyle w:val="CETBodytext"/>
              <w:ind w:right="-1"/>
            </w:pPr>
            <w:r w:rsidRPr="00E50618">
              <w:t>3 mm</w:t>
            </w:r>
          </w:p>
        </w:tc>
        <w:tc>
          <w:tcPr>
            <w:tcW w:w="1068" w:type="dxa"/>
            <w:shd w:val="clear" w:color="auto" w:fill="FFFFFF"/>
          </w:tcPr>
          <w:p w14:paraId="5D1853E1" w14:textId="4C2FE6C2" w:rsidR="00444AC8" w:rsidRPr="00E50618" w:rsidRDefault="00444AC8" w:rsidP="00444AC8">
            <w:pPr>
              <w:pStyle w:val="CETBodytext"/>
              <w:ind w:right="-1"/>
            </w:pPr>
            <w:r w:rsidRPr="00E50618">
              <w:rPr>
                <w:rFonts w:cs="Arial"/>
              </w:rPr>
              <w:t>ρ</w:t>
            </w:r>
          </w:p>
        </w:tc>
        <w:tc>
          <w:tcPr>
            <w:tcW w:w="1068" w:type="dxa"/>
            <w:shd w:val="clear" w:color="auto" w:fill="FFFFFF"/>
          </w:tcPr>
          <w:p w14:paraId="6FE85DB6" w14:textId="64B46DBA" w:rsidR="00444AC8" w:rsidRPr="00E50618" w:rsidRDefault="00444AC8" w:rsidP="00444AC8">
            <w:pPr>
              <w:pStyle w:val="CETBodytext"/>
              <w:ind w:right="-1"/>
            </w:pPr>
            <w:r w:rsidRPr="00E50618">
              <w:t>2350 kg/m</w:t>
            </w:r>
            <w:r w:rsidRPr="00E50618">
              <w:rPr>
                <w:vertAlign w:val="superscript"/>
              </w:rPr>
              <w:t>3</w:t>
            </w:r>
          </w:p>
        </w:tc>
      </w:tr>
      <w:tr w:rsidR="00E50618" w:rsidRPr="00E50618" w14:paraId="54F6E8B8" w14:textId="40600940" w:rsidTr="00444AC8">
        <w:trPr>
          <w:trHeight w:val="228"/>
        </w:trPr>
        <w:tc>
          <w:tcPr>
            <w:tcW w:w="1116" w:type="dxa"/>
            <w:shd w:val="clear" w:color="auto" w:fill="FFFFFF"/>
          </w:tcPr>
          <w:p w14:paraId="2D5F90BF" w14:textId="214C158C" w:rsidR="00444AC8" w:rsidRPr="00E50618" w:rsidRDefault="00444AC8" w:rsidP="00444AC8">
            <w:pPr>
              <w:pStyle w:val="CETBodytext"/>
              <w:rPr>
                <w:lang w:val="en-GB"/>
              </w:rPr>
            </w:pPr>
            <w:r w:rsidRPr="00E50618">
              <w:t>T</w:t>
            </w:r>
            <w:r w:rsidRPr="00E50618">
              <w:rPr>
                <w:vertAlign w:val="subscript"/>
              </w:rPr>
              <w:t>c</w:t>
            </w:r>
          </w:p>
        </w:tc>
        <w:tc>
          <w:tcPr>
            <w:tcW w:w="1095" w:type="dxa"/>
            <w:shd w:val="clear" w:color="auto" w:fill="FFFFFF"/>
          </w:tcPr>
          <w:p w14:paraId="4640C8DA" w14:textId="09E44B94" w:rsidR="00444AC8" w:rsidRPr="00E50618" w:rsidRDefault="00444AC8" w:rsidP="00444AC8">
            <w:pPr>
              <w:pStyle w:val="CETBodytext"/>
              <w:rPr>
                <w:lang w:val="en-GB"/>
              </w:rPr>
            </w:pPr>
            <w:r w:rsidRPr="00E50618">
              <w:t>300 °C</w:t>
            </w:r>
          </w:p>
        </w:tc>
        <w:tc>
          <w:tcPr>
            <w:tcW w:w="1117" w:type="dxa"/>
            <w:shd w:val="clear" w:color="auto" w:fill="FFFFFF"/>
          </w:tcPr>
          <w:p w14:paraId="3E662864" w14:textId="13177F91" w:rsidR="00444AC8" w:rsidRPr="00E50618" w:rsidRDefault="00444AC8" w:rsidP="00444AC8">
            <w:pPr>
              <w:pStyle w:val="CETBodytext"/>
              <w:rPr>
                <w:lang w:val="en-GB"/>
              </w:rPr>
            </w:pPr>
            <w:r w:rsidRPr="00E50618">
              <w:t>d</w:t>
            </w:r>
            <w:r w:rsidRPr="00E50618">
              <w:rPr>
                <w:vertAlign w:val="subscript"/>
              </w:rPr>
              <w:t>m2</w:t>
            </w:r>
          </w:p>
        </w:tc>
        <w:tc>
          <w:tcPr>
            <w:tcW w:w="1111" w:type="dxa"/>
            <w:shd w:val="clear" w:color="auto" w:fill="FFFFFF"/>
          </w:tcPr>
          <w:p w14:paraId="342D20ED" w14:textId="07859DF8" w:rsidR="00444AC8" w:rsidRPr="00E50618" w:rsidRDefault="00444AC8" w:rsidP="00444AC8">
            <w:pPr>
              <w:pStyle w:val="CETBodytext"/>
              <w:ind w:right="-1"/>
            </w:pPr>
            <w:r w:rsidRPr="00E50618">
              <w:t>0.45 m</w:t>
            </w:r>
          </w:p>
        </w:tc>
        <w:tc>
          <w:tcPr>
            <w:tcW w:w="1117" w:type="dxa"/>
            <w:shd w:val="clear" w:color="auto" w:fill="FFFFFF"/>
          </w:tcPr>
          <w:p w14:paraId="0B8487D5" w14:textId="2EEF8908" w:rsidR="00444AC8" w:rsidRPr="00E50618" w:rsidRDefault="00444AC8" w:rsidP="00444AC8">
            <w:pPr>
              <w:pStyle w:val="CETBodytext"/>
              <w:ind w:right="-1"/>
            </w:pPr>
            <w:proofErr w:type="spellStart"/>
            <w:r w:rsidRPr="00E50618">
              <w:t>N</w:t>
            </w:r>
            <w:r w:rsidRPr="00E50618">
              <w:rPr>
                <w:vertAlign w:val="subscript"/>
              </w:rPr>
              <w:t>t</w:t>
            </w:r>
            <w:proofErr w:type="spellEnd"/>
          </w:p>
        </w:tc>
        <w:tc>
          <w:tcPr>
            <w:tcW w:w="1095" w:type="dxa"/>
            <w:shd w:val="clear" w:color="auto" w:fill="FFFFFF"/>
          </w:tcPr>
          <w:p w14:paraId="160719A7" w14:textId="3668B726" w:rsidR="00444AC8" w:rsidRPr="00E50618" w:rsidRDefault="00444AC8" w:rsidP="00444AC8">
            <w:pPr>
              <w:pStyle w:val="CETBodytext"/>
              <w:ind w:right="-1"/>
            </w:pPr>
            <w:r w:rsidRPr="00E50618">
              <w:t>20 -</w:t>
            </w:r>
          </w:p>
        </w:tc>
        <w:tc>
          <w:tcPr>
            <w:tcW w:w="1068" w:type="dxa"/>
            <w:shd w:val="clear" w:color="auto" w:fill="FFFFFF"/>
          </w:tcPr>
          <w:p w14:paraId="62802E92" w14:textId="78E25CD2" w:rsidR="00444AC8" w:rsidRPr="00E50618" w:rsidRDefault="00444AC8" w:rsidP="00444AC8">
            <w:pPr>
              <w:pStyle w:val="CETBodytext"/>
              <w:ind w:right="-1"/>
            </w:pPr>
            <w:proofErr w:type="spellStart"/>
            <w:r w:rsidRPr="00E50618">
              <w:rPr>
                <w:rFonts w:cs="Arial"/>
              </w:rPr>
              <w:t>ɛ</w:t>
            </w:r>
            <w:r w:rsidRPr="00E50618">
              <w:rPr>
                <w:vertAlign w:val="subscript"/>
              </w:rPr>
              <w:t>b</w:t>
            </w:r>
            <w:proofErr w:type="spellEnd"/>
          </w:p>
        </w:tc>
        <w:tc>
          <w:tcPr>
            <w:tcW w:w="1068" w:type="dxa"/>
            <w:shd w:val="clear" w:color="auto" w:fill="FFFFFF"/>
          </w:tcPr>
          <w:p w14:paraId="3F4FB916" w14:textId="1F0FE5D8" w:rsidR="00444AC8" w:rsidRPr="00E50618" w:rsidRDefault="00444AC8" w:rsidP="00444AC8">
            <w:pPr>
              <w:pStyle w:val="CETBodytext"/>
              <w:ind w:right="-1"/>
            </w:pPr>
            <w:r w:rsidRPr="00E50618">
              <w:t>0.4 -</w:t>
            </w:r>
          </w:p>
        </w:tc>
      </w:tr>
    </w:tbl>
    <w:p w14:paraId="33D8DF08" w14:textId="77777777" w:rsidR="00AC0EDB" w:rsidRPr="00E50618" w:rsidRDefault="00AC0EDB" w:rsidP="006C7703">
      <w:pPr>
        <w:pStyle w:val="CETBodytext"/>
      </w:pPr>
    </w:p>
    <w:p w14:paraId="30E44B11" w14:textId="49FE8C25" w:rsidR="006C7703" w:rsidRPr="00E50618" w:rsidRDefault="00A264CB" w:rsidP="00A264CB">
      <w:pPr>
        <w:pStyle w:val="CETheadingx"/>
      </w:pPr>
      <w:r w:rsidRPr="00E50618">
        <w:t>Biogas u</w:t>
      </w:r>
      <w:r w:rsidR="006C7703" w:rsidRPr="00E50618">
        <w:t>pgrading by water scrubbing</w:t>
      </w:r>
    </w:p>
    <w:p w14:paraId="1ACC4E9F" w14:textId="61E46150" w:rsidR="006C7703" w:rsidRPr="00E50618" w:rsidRDefault="00CD6DED" w:rsidP="006C7703">
      <w:pPr>
        <w:pStyle w:val="CETBodytext"/>
      </w:pPr>
      <w:r w:rsidRPr="00E50618">
        <w:t xml:space="preserve">The process layout </w:t>
      </w:r>
      <w:r>
        <w:t>of u</w:t>
      </w:r>
      <w:r w:rsidR="006C7703" w:rsidRPr="00E50618">
        <w:t>pgrading via water scrubbing</w:t>
      </w:r>
      <w:r w:rsidR="001A4258">
        <w:t xml:space="preserve"> </w:t>
      </w:r>
      <w:r w:rsidR="006C7703" w:rsidRPr="00E50618">
        <w:t xml:space="preserve">is reported in Figure </w:t>
      </w:r>
      <w:r w:rsidR="00203FC9" w:rsidRPr="00E50618">
        <w:t>2</w:t>
      </w:r>
      <w:r w:rsidR="001A4258">
        <w:t xml:space="preserve"> </w:t>
      </w:r>
      <w:r w:rsidR="001A4258" w:rsidRPr="00E50618">
        <w:fldChar w:fldCharType="begin" w:fldLock="1"/>
      </w:r>
      <w:r w:rsidR="000B10FA">
        <w:instrText>ADDIN CSL_CITATION {"citationItems":[{"id":"ITEM-1","itemData":{"DOI":"10.1007/s10098-014-0787-7","ISSN":"16189558","abstract":"Depending on the end of use, the quality of biogas must be upgraded in order to utilize the maximum amount of energy necessary for proper applications. Upgrading biogas refers to the increase of methane concentration in product gas by removal of CO2, which increases its heating power. Several treatment technologies are available for biogas upgrading: high pressure water scrubbing (HPWS), pressure swing adsorption, membrane separation, chemical absorption, and gas permeation. Water absorption based on the physical effect of dissolving gases in liquids (HPWS) is a well-known technology and the most effective upgrading process, since provides a simultaneous removal of CO2 and H2S. This could ensure an increasing methane concentration and energy content per unit volume of biogas. In spite of this, few studies are published on biogas upgrading using pressurized water technology. In order to elucidate the performance of HPWS technology at industrial scale with the possibility of water regeneration and recirculation, effects of different operating parameters on the removal of undesired components from biogas were examined, based on modeling and simulation tools. For simulation, the commercial software tool Aspen Plus was applied. Equilibrium model was applied for simulating the absorption process. The simulation results were validated with experimental data from the literature. The results are summarized in terms of system efficiency, expressed as CH4 enrichment, methane loss, and CO2 removal. Finally, new data which can be further applied for scale-up calculations and techno-economic analysis of the HPWS process are provided. © 2014 Springer-Verlag Berlin Heidelberg.","author":[{"dropping-particle":"","family":"Cozma","given":"Petronela","non-dropping-particle":"","parse-names":false,"suffix":""},{"dropping-particle":"","family":"Wukovits","given":"Walter","non-dropping-particle":"","parse-names":false,"suffix":""},{"dropping-particle":"","family":"Mǎmǎligǎ","given":"Ioan","non-dropping-particle":"","parse-names":false,"suffix":""},{"dropping-particle":"","family":"Friedl","given":"Anton","non-dropping-particle":"","parse-names":false,"suffix":""},{"dropping-particle":"","family":"Gavrilescu","given":"Maria","non-dropping-particle":"","parse-names":false,"suffix":""},{"dropping-particle":"","family":"Mămăligă","given":"Ioan","non-dropping-particle":"","parse-names":false,"suffix":""},{"dropping-particle":"","family":"Friedl","given":"Anton","non-dropping-particle":"","parse-names":false,"suffix":""},{"dropping-particle":"","family":"Gavrilescu","given":"Maria","non-dropping-particle":"","parse-names":false,"suffix":""}],"container-title":"Clean Technologies and Environmental Policy","id":"ITEM-1","issue":"2","issued":{"date-parts":[["2014"]]},"page":"373-391","title":"Modeling and simulation of high pressure water scrubbing technology applied for biogas upgrading","type":"article-journal","volume":"17"},"uris":["http://www.mendeley.com/documents/?uuid=8ad06a5f-58c8-4b00-89c9-f44ead74a8d5"]}],"mendeley":{"formattedCitation":"(Cozma et al., 2014)","plainTextFormattedCitation":"(Cozma et al., 2014)","previouslyFormattedCitation":"(Cozma et al., 2014)"},"properties":{"noteIndex":0},"schema":"https://github.com/citation-style-language/schema/raw/master/csl-citation.json"}</w:instrText>
      </w:r>
      <w:r w:rsidR="001A4258" w:rsidRPr="00E50618">
        <w:fldChar w:fldCharType="separate"/>
      </w:r>
      <w:r w:rsidR="00647C1F" w:rsidRPr="00647C1F">
        <w:rPr>
          <w:noProof/>
        </w:rPr>
        <w:t>(Cozma et al., 2014)</w:t>
      </w:r>
      <w:r w:rsidR="001A4258" w:rsidRPr="00E50618">
        <w:fldChar w:fldCharType="end"/>
      </w:r>
      <w:r w:rsidR="006C7703" w:rsidRPr="00E50618">
        <w:t>.</w:t>
      </w:r>
    </w:p>
    <w:p w14:paraId="73C18DDE" w14:textId="77777777" w:rsidR="00A96F8B" w:rsidRPr="00E50618" w:rsidRDefault="00A96F8B" w:rsidP="00A96F8B">
      <w:pPr>
        <w:pStyle w:val="CETBodytext"/>
      </w:pPr>
    </w:p>
    <w:p w14:paraId="4AC8C97D" w14:textId="7A499957" w:rsidR="00673042" w:rsidRPr="00E50618" w:rsidRDefault="00C806F7" w:rsidP="006C7703">
      <w:pPr>
        <w:pStyle w:val="CETBodytext"/>
      </w:pPr>
      <w:r w:rsidRPr="00E50618">
        <w:rPr>
          <w:noProof/>
        </w:rPr>
        <w:drawing>
          <wp:inline distT="0" distB="0" distL="0" distR="0" wp14:anchorId="5D1CCD8B" wp14:editId="4695FE3C">
            <wp:extent cx="3956957" cy="1703558"/>
            <wp:effectExtent l="0" t="0" r="5715" b="0"/>
            <wp:docPr id="1477586768"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86768" name="Picture 5" descr="A screenshot of a video g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445" cy="1724433"/>
                    </a:xfrm>
                    <a:prstGeom prst="rect">
                      <a:avLst/>
                    </a:prstGeom>
                    <a:noFill/>
                    <a:ln>
                      <a:noFill/>
                    </a:ln>
                  </pic:spPr>
                </pic:pic>
              </a:graphicData>
            </a:graphic>
          </wp:inline>
        </w:drawing>
      </w:r>
    </w:p>
    <w:p w14:paraId="2AF0EAA7" w14:textId="370297A4" w:rsidR="006C7703" w:rsidRPr="00E50618" w:rsidRDefault="006C7703" w:rsidP="00203FC9">
      <w:pPr>
        <w:pStyle w:val="CETCaption"/>
      </w:pPr>
      <w:bookmarkStart w:id="1" w:name="_Hlk184763764"/>
      <w:r w:rsidRPr="00E50618">
        <w:t xml:space="preserve">Figure </w:t>
      </w:r>
      <w:r w:rsidR="00203FC9" w:rsidRPr="00E50618">
        <w:t>2</w:t>
      </w:r>
      <w:r w:rsidRPr="00E50618">
        <w:t>: Aspen Plus flowsheet for biogas upgrading by water scrubbing.</w:t>
      </w:r>
    </w:p>
    <w:bookmarkEnd w:id="1"/>
    <w:p w14:paraId="323551FC" w14:textId="0CFF6DEC" w:rsidR="00E50618" w:rsidRDefault="006B15DF" w:rsidP="00E50618">
      <w:pPr>
        <w:pStyle w:val="CETBodytext"/>
      </w:pPr>
      <w:r>
        <w:t>Biogas</w:t>
      </w:r>
      <w:r w:rsidR="00E50618" w:rsidRPr="00E50618">
        <w:t xml:space="preserve"> is compressed to 10 bar and mixed with a recycled gas stream from the flash unit before entering the absorption column. Simultaneously, water from the regeneration column, supplemented with a make-up water stream, is pressurized to 10 bar and introduced at the top of the absorption column. The water flows counter-currently to the biogas within the column, absorbing CO</w:t>
      </w:r>
      <w:r w:rsidR="00E50618" w:rsidRPr="00CD6DED">
        <w:rPr>
          <w:vertAlign w:val="subscript"/>
        </w:rPr>
        <w:t>2</w:t>
      </w:r>
      <w:r w:rsidR="00E50618" w:rsidRPr="00E50618">
        <w:t xml:space="preserve">. </w:t>
      </w:r>
      <w:r w:rsidR="001A4258" w:rsidRPr="001A4258">
        <w:t>Due to the elevated operating pressure, methane is also partially absorbed; to enhance methane recovery, the intermediate flash unit separates a methane-rich stream, which is then recycled back into the absorber. A countercurrent air flow regenerates the remaining liquid from the flash vessel once it has been depressurized to 1 bar. To prevent the accumulation of air within the system, 1 % of the regenerated water is purged.</w:t>
      </w:r>
    </w:p>
    <w:p w14:paraId="494BCE70" w14:textId="71F2C18A" w:rsidR="00A264CB" w:rsidRPr="00E50618" w:rsidRDefault="00A264CB" w:rsidP="00A264CB">
      <w:pPr>
        <w:pStyle w:val="CETheadingx"/>
      </w:pPr>
      <w:r w:rsidRPr="00E50618">
        <w:t>LCA and LCC assumption</w:t>
      </w:r>
    </w:p>
    <w:p w14:paraId="59158E50" w14:textId="1AAFC593" w:rsidR="003300DC" w:rsidRPr="00E50618" w:rsidRDefault="00C110EC" w:rsidP="00E5376D">
      <w:pPr>
        <w:pStyle w:val="CETBodytext"/>
      </w:pPr>
      <w:r>
        <w:t>The</w:t>
      </w:r>
      <w:r w:rsidR="00D46E86" w:rsidRPr="00E50618">
        <w:t xml:space="preserve"> two biogas upgrading technologies</w:t>
      </w:r>
      <w:r w:rsidR="00E50618" w:rsidRPr="00E50618">
        <w:t xml:space="preserve"> </w:t>
      </w:r>
      <w:r w:rsidRPr="00C110EC">
        <w:t>are named</w:t>
      </w:r>
      <w:r w:rsidR="00D46E86" w:rsidRPr="00E50618">
        <w:t xml:space="preserve"> </w:t>
      </w:r>
      <w:r w:rsidR="00CD6DED">
        <w:t xml:space="preserve">the conventional scenario for water scrubbing and the </w:t>
      </w:r>
      <w:r w:rsidRPr="00E50618">
        <w:t>proposed scenario</w:t>
      </w:r>
      <w:r>
        <w:t xml:space="preserve"> for</w:t>
      </w:r>
      <w:r w:rsidR="00D46E86" w:rsidRPr="00E50618">
        <w:t xml:space="preserve"> direct </w:t>
      </w:r>
      <w:r w:rsidR="00D46E86" w:rsidRPr="00C110EC">
        <w:t>methanation. To align with the objectives of the study, the functional unit selected for both LCA and LCC is 1 Nm</w:t>
      </w:r>
      <w:r w:rsidR="00D46E86" w:rsidRPr="00FB7347">
        <w:rPr>
          <w:vertAlign w:val="superscript"/>
        </w:rPr>
        <w:t>3</w:t>
      </w:r>
      <w:r w:rsidR="00D46E86" w:rsidRPr="00C110EC">
        <w:t xml:space="preserve"> of </w:t>
      </w:r>
      <w:r w:rsidR="00E5376D" w:rsidRPr="00C110EC">
        <w:t xml:space="preserve">outlet </w:t>
      </w:r>
      <w:r w:rsidR="00D46E86" w:rsidRPr="00C110EC">
        <w:t>biomethane compliant with Italian regulatory standards</w:t>
      </w:r>
      <w:r w:rsidR="00E5376D" w:rsidRPr="00C110EC">
        <w:t>, while th</w:t>
      </w:r>
      <w:r w:rsidR="00D46E86" w:rsidRPr="00C110EC">
        <w:t xml:space="preserve">e system boundary was defined as cradle-to-gate. </w:t>
      </w:r>
      <w:r w:rsidR="00493701" w:rsidRPr="00C110EC">
        <w:t xml:space="preserve">Concerning the LCA, </w:t>
      </w:r>
      <w:r w:rsidR="00E5376D" w:rsidRPr="00C110EC">
        <w:t xml:space="preserve">simulations were performed using  OpenLCA software. Environmental </w:t>
      </w:r>
      <w:r w:rsidR="00E04E3D" w:rsidRPr="00C110EC">
        <w:t>impacts</w:t>
      </w:r>
      <w:r w:rsidR="00E5376D" w:rsidRPr="00C110EC">
        <w:t xml:space="preserve"> were evaluated </w:t>
      </w:r>
      <w:r w:rsidR="00E50618" w:rsidRPr="00C110EC">
        <w:t xml:space="preserve">using the ReCiPe Midpoint H method, with background data </w:t>
      </w:r>
      <w:r w:rsidR="00E5376D" w:rsidRPr="00C110EC">
        <w:t xml:space="preserve">from the Agribalyse database. </w:t>
      </w:r>
      <w:r w:rsidR="003300DC" w:rsidRPr="00C110EC">
        <w:t xml:space="preserve">The inventory </w:t>
      </w:r>
      <w:r w:rsidR="00E50618" w:rsidRPr="00C110EC">
        <w:t xml:space="preserve">data </w:t>
      </w:r>
      <w:r w:rsidR="003300DC" w:rsidRPr="00C110EC">
        <w:t xml:space="preserve">of both </w:t>
      </w:r>
      <w:r w:rsidR="00E50618" w:rsidRPr="00C110EC">
        <w:t>systems are detailed in Figure</w:t>
      </w:r>
      <w:r w:rsidR="003300DC" w:rsidRPr="00C110EC">
        <w:t xml:space="preserve"> 3.</w:t>
      </w:r>
    </w:p>
    <w:p w14:paraId="3C8A3FA6" w14:textId="716A29EA" w:rsidR="00FB7347" w:rsidRDefault="00DF62BC" w:rsidP="002D2DC8">
      <w:pPr>
        <w:pStyle w:val="CETBodytext"/>
      </w:pPr>
      <w:r>
        <w:t>T</w:t>
      </w:r>
      <w:r w:rsidRPr="00E50618">
        <w:t xml:space="preserve">he </w:t>
      </w:r>
      <w:r w:rsidR="00FD0114" w:rsidRPr="00E50618">
        <w:t>environmental impacts associated with the manufacturing of methanation reactors are mostly due to the catalyst</w:t>
      </w:r>
      <w:r w:rsidR="00415A42">
        <w:t xml:space="preserve"> </w:t>
      </w:r>
      <w:r w:rsidR="000B10FA">
        <w:fldChar w:fldCharType="begin" w:fldLock="1"/>
      </w:r>
      <w:r w:rsidR="005717CE">
        <w:instrText>ADDIN CSL_CITATION {"citationItems":[{"id":"ITEM-1","itemData":{"DOI":"10.3390/en17040901","ISBN":"1996-1073","abstract":"An innovative process layout for sludge waste management based on chemical looping combustion and flue gas methanation is analyzed in this work. The technical performance of the system was assessed by considering that the flue gas is first purified and then mixed with a pure hydrogen stream sourced from an array of electrolysis cells to produce methane. The life cycle assessment (LCA) and life cycle cost (LCC) methodologies were applied to quantify the environmental and economic performances of the proposed process, and a hotspot analysis was carried out to recognize its most critical steps. The proposed system was then compared with a reference system that includes both the conventional waste management pathways for the Italian context and methane production. Finally, to account for the variability in the future economic climate, the effects of changes in landfill storage costs on sewage end-of-life costs for both the proposed and reference systems were evaluated. With respect to 1 kg/h of sewage sludge with 10%wt of humidity, the analysis shows that the proposed system (i) reduces landfill wastes by about 68%, (ii) has an end-of-life cost of 1.75 EUR × kg−1, and (iii) is environmentally preferable to conventional sewage sludge treatment technologies with respect to several impact categories.","author":[{"dropping-particle":"","family":"Bareschino","given":"Piero","non-dropping-particle":"","parse-names":false,"suffix":""},{"dropping-particle":"","family":"Chirone","given":"Roberto","non-dropping-particle":"","parse-names":false,"suffix":""},{"dropping-particle":"","family":"Paulillo","given":"Andrea","non-dropping-particle":"","parse-names":false,"suffix":""},{"dropping-particle":"","family":"Tregambi","given":"Claudio","non-dropping-particle":"","parse-names":false,"suffix":""},{"dropping-particle":"","family":"Urciuolo","given":"Massimo","non-dropping-particle":"","parse-names":false,"suffix":""},{"dropping-particle":"","family":"Pepe","given":"Francesco","non-dropping-particle":"","parse-names":false,"suffix":""},{"dropping-particle":"","family":"Mancusi","given":"Erasmo","non-dropping-particle":"","parse-names":false,"suffix":""}],"container-title":"Energies","id":"ITEM-1","issue":"4","issued":{"date-parts":[["2024"]]},"title":"Techno-Economic and Environmental Analysis of a Sewage Sludge Alternative Treatment Combining Chemical Looping Combustion and a Power-to-Methane System","type":"article","volume":"17"},"uris":["http://www.mendeley.com/documents/?uuid=c2eb906c-bdab-4612-9045-a1b63aba81ea"]}],"mendeley":{"formattedCitation":"(Bareschino et al., 2024)","plainTextFormattedCitation":"(Bareschino et al., 2024)","previouslyFormattedCitation":"(Bareschino et al., 2024)"},"properties":{"noteIndex":0},"schema":"https://github.com/citation-style-language/schema/raw/master/csl-citation.json"}</w:instrText>
      </w:r>
      <w:r w:rsidR="000B10FA">
        <w:fldChar w:fldCharType="separate"/>
      </w:r>
      <w:r w:rsidR="000B10FA" w:rsidRPr="000B10FA">
        <w:rPr>
          <w:noProof/>
        </w:rPr>
        <w:t>(Bareschino et al., 2024)</w:t>
      </w:r>
      <w:r w:rsidR="000B10FA">
        <w:fldChar w:fldCharType="end"/>
      </w:r>
      <w:r w:rsidR="000B10FA">
        <w:t xml:space="preserve"> </w:t>
      </w:r>
      <w:r w:rsidR="00FD0114" w:rsidRPr="00E50618">
        <w:t>. Consequently, the LCA focused on plant operations, excluding the environmental impacts of plant manufacturing</w:t>
      </w:r>
      <w:r w:rsidR="00E04E3D">
        <w:t xml:space="preserve"> </w:t>
      </w:r>
      <w:r w:rsidR="00E04E3D" w:rsidRPr="003B35A6">
        <w:t xml:space="preserve">but </w:t>
      </w:r>
      <w:r w:rsidR="00FD0114" w:rsidRPr="003B35A6">
        <w:t>the catalyst</w:t>
      </w:r>
      <w:r w:rsidR="00FD0114" w:rsidRPr="00E50618">
        <w:t>. Inventory data for the NiAl</w:t>
      </w:r>
      <w:r w:rsidR="00FD0114" w:rsidRPr="00CD6DED">
        <w:rPr>
          <w:vertAlign w:val="subscript"/>
        </w:rPr>
        <w:t>2</w:t>
      </w:r>
      <w:r w:rsidR="00FD0114" w:rsidRPr="00E50618">
        <w:t>O</w:t>
      </w:r>
      <w:r w:rsidR="00FD0114" w:rsidRPr="00CD6DED">
        <w:rPr>
          <w:vertAlign w:val="subscript"/>
        </w:rPr>
        <w:t>3</w:t>
      </w:r>
      <w:r w:rsidR="00FD0114" w:rsidRPr="00E50618">
        <w:t xml:space="preserve"> catalyst, not detailed in Figure 3</w:t>
      </w:r>
      <w:r>
        <w:t xml:space="preserve"> </w:t>
      </w:r>
      <w:r w:rsidR="00E04E3D">
        <w:t>were taken from</w:t>
      </w:r>
      <w:r w:rsidR="00672EC6">
        <w:t xml:space="preserve"> </w:t>
      </w:r>
      <w:r w:rsidR="00415A42">
        <w:fldChar w:fldCharType="begin" w:fldLock="1"/>
      </w:r>
      <w:r w:rsidR="00E113B2">
        <w:instrText>ADDIN CSL_CITATION {"citationItems":[{"id":"ITEM-1","itemData":{"DOI":"https://doi.org/10.1016/j.jclepro.2023.139120","ISSN":"0959-6526","abstract":"One of the eye-catching procedures for pollution reduction is converting carbon dioxide to valuable materials and chemicals as methane, which is known as carbon dioxide methanation. Although the carbon dioxide hydrogenation process can help the environment by reducing carbon in the atmosphere, it can also release toxic emissions into the environment, which needs urgent assessment. In this research, the final goal is to determine the best path for this process in order to reach a minimum level of environmental pollution and maximum yield. Based on that, machine learning approaches including artificial neural networks and Bayesian optimization-based support vector machine kernel were employed for the carbon dioxide methanation process with Ni/Al2O3 catalyst to find the first objective function, and then an environmental model was formulated based on life cycle assessment results in order to generate global warming potential. The multi-objective optimization problem, which was based on four decision parameters (temperature, pressure, hydrogen to carbon ration, and gas velocity), was computed using a genetic algorithm, and decision-making techniques were used for finding the best solution. For the hydrogen/carbon dioxide ratio, the optimal ratio was approximately 4–4.5. Regarding temperature, the range of 340–360 °C has been determined, and for the optimal gas velocity, the range of 6600–7000 L/gcat.h has been computed. The best optimal pressure obtained by the CODAS, COPRAS, MOORA, MABAC, SAW, and TOPSIS methods was 7.69 bar, and the optimal pressure value computed by other methods has been around 1–2 bar.","author":[{"dropping-particle":"","family":"Sayyah","given":"Ali","non-dropping-particle":"","parse-names":false,"suffix":""},{"dropping-particle":"","family":"Ahangari","given":"Mohammad","non-dropping-particle":"","parse-names":false,"suffix":""},{"dropping-particle":"","family":"Mostafaei","given":"Jafar","non-dropping-particle":"","parse-names":false,"suffix":""},{"dropping-particle":"","family":"Nabavi","given":"Seyed Reza","non-dropping-particle":"","parse-names":false,"suffix":""},{"dropping-particle":"","family":"Niaei","given":"Aligholi","non-dropping-particle":"","parse-names":false,"suffix":""}],"container-title":"Journal of Cleaner Production","id":"ITEM-1","issued":{"date-parts":[["2023"]]},"page":"139120","title":"Machine learning-based life cycle optimization for the carbon dioxide methanation process: Achieving environmental and productivity efficiency","type":"article-journal","volume":"426"},"uris":["http://www.mendeley.com/documents/?uuid=b351b387-8893-43ff-8054-f7ee961709eb"]}],"mendeley":{"formattedCitation":"(Sayyah et al., 2023)","manualFormatting":"Sayyah et al. (2023)","plainTextFormattedCitation":"(Sayyah et al., 2023)","previouslyFormattedCitation":"(Sayyah et al., 2023)"},"properties":{"noteIndex":0},"schema":"https://github.com/citation-style-language/schema/raw/master/csl-citation.json"}</w:instrText>
      </w:r>
      <w:r w:rsidR="00415A42">
        <w:fldChar w:fldCharType="separate"/>
      </w:r>
      <w:r w:rsidR="00647C1F" w:rsidRPr="00647C1F">
        <w:rPr>
          <w:noProof/>
        </w:rPr>
        <w:t xml:space="preserve">Sayyah et al. </w:t>
      </w:r>
      <w:r w:rsidR="00E113B2">
        <w:rPr>
          <w:noProof/>
        </w:rPr>
        <w:t>(</w:t>
      </w:r>
      <w:r w:rsidR="00647C1F" w:rsidRPr="00647C1F">
        <w:rPr>
          <w:noProof/>
        </w:rPr>
        <w:t>2023)</w:t>
      </w:r>
      <w:r w:rsidR="00415A42">
        <w:fldChar w:fldCharType="end"/>
      </w:r>
      <w:r w:rsidR="00415A42">
        <w:t xml:space="preserve">. </w:t>
      </w:r>
      <w:r w:rsidR="00CD6DED">
        <w:t>U</w:t>
      </w:r>
      <w:r w:rsidR="00AE13E9" w:rsidRPr="00E50618">
        <w:t>pstream impacts of substrates and potential downstream benefits of digestate utilization were excluded.</w:t>
      </w:r>
      <w:r w:rsidR="006B15DF">
        <w:t xml:space="preserve"> </w:t>
      </w:r>
      <w:r w:rsidR="006B15DF" w:rsidRPr="00E50618">
        <w:t xml:space="preserve">The methanation process was </w:t>
      </w:r>
      <w:r w:rsidR="006B15DF">
        <w:t>modelled</w:t>
      </w:r>
      <w:r w:rsidR="006B15DF" w:rsidRPr="00E50618">
        <w:t xml:space="preserve"> with complete thermal integration</w:t>
      </w:r>
      <w:r w:rsidR="006B15DF">
        <w:t>; as</w:t>
      </w:r>
      <w:r w:rsidR="006B15DF" w:rsidRPr="00E50618">
        <w:t xml:space="preserve"> a result, no external heat input </w:t>
      </w:r>
      <w:r w:rsidR="00672EC6">
        <w:t>was</w:t>
      </w:r>
      <w:r w:rsidR="00672EC6" w:rsidRPr="00E50618">
        <w:t xml:space="preserve"> </w:t>
      </w:r>
      <w:r w:rsidR="006B15DF" w:rsidRPr="00E50618">
        <w:t>required, while 90</w:t>
      </w:r>
      <w:r w:rsidR="006B15DF">
        <w:t xml:space="preserve"> </w:t>
      </w:r>
      <w:r w:rsidR="006B15DF" w:rsidRPr="00E50618">
        <w:t xml:space="preserve">% of </w:t>
      </w:r>
      <w:r w:rsidR="006B15DF">
        <w:t xml:space="preserve">the excess </w:t>
      </w:r>
      <w:r w:rsidR="006B15DF" w:rsidRPr="00E50618">
        <w:t>heat generated in the process was treated as a credit</w:t>
      </w:r>
      <w:r w:rsidR="00E04E3D">
        <w:t>.</w:t>
      </w:r>
      <w:r>
        <w:t xml:space="preserve"> </w:t>
      </w:r>
      <w:r w:rsidR="00E04E3D">
        <w:t>A</w:t>
      </w:r>
      <w:r w:rsidR="006B15DF">
        <w:t xml:space="preserve">voided environmental impacts were </w:t>
      </w:r>
      <w:r w:rsidR="006B15DF" w:rsidRPr="00E50618">
        <w:t xml:space="preserve">calculated by replacing heat produced by burning natural gas. </w:t>
      </w:r>
      <w:r w:rsidR="006B15DF">
        <w:t>N</w:t>
      </w:r>
      <w:r w:rsidR="006B15DF" w:rsidRPr="00E50618">
        <w:t xml:space="preserve">o credit was assigned for the oxygen produced by the electrolyzer, as it is assumed to </w:t>
      </w:r>
      <w:r w:rsidR="00E04E3D">
        <w:t xml:space="preserve">not </w:t>
      </w:r>
      <w:r w:rsidR="006B15DF" w:rsidRPr="00E50618">
        <w:t xml:space="preserve">be </w:t>
      </w:r>
      <w:r w:rsidR="00E04E3D">
        <w:t>valorized</w:t>
      </w:r>
      <w:r w:rsidR="006B15DF" w:rsidRPr="00E50618">
        <w:t xml:space="preserve">. </w:t>
      </w:r>
      <w:r w:rsidR="00F94E4F" w:rsidRPr="00F94E4F">
        <w:t xml:space="preserve">However, this byproduct could be repurposed for industrial applications such </w:t>
      </w:r>
      <w:r w:rsidR="00F94E4F" w:rsidRPr="00F94E4F">
        <w:lastRenderedPageBreak/>
        <w:t>as oxy-combustion, biological treatments</w:t>
      </w:r>
      <w:r w:rsidR="00F94E4F">
        <w:t xml:space="preserve"> or </w:t>
      </w:r>
      <w:r w:rsidR="00F94E4F" w:rsidRPr="00F94E4F">
        <w:t>medical uses</w:t>
      </w:r>
      <w:r w:rsidR="00F94E4F">
        <w:t xml:space="preserve">, potentially </w:t>
      </w:r>
      <w:r w:rsidR="00F94E4F" w:rsidRPr="00F94E4F">
        <w:t>generating additional environmental and economic benefits</w:t>
      </w:r>
      <w:r w:rsidR="00F94E4F">
        <w:t>.</w:t>
      </w:r>
    </w:p>
    <w:p w14:paraId="35168E70" w14:textId="77777777" w:rsidR="0078457A" w:rsidRDefault="0078457A" w:rsidP="0078457A">
      <w:pPr>
        <w:pStyle w:val="CETCaption"/>
      </w:pPr>
      <w:r>
        <w:rPr>
          <w:noProof/>
        </w:rPr>
        <w:drawing>
          <wp:inline distT="0" distB="0" distL="0" distR="0" wp14:anchorId="2E662E23" wp14:editId="599271FA">
            <wp:extent cx="3200810" cy="2377440"/>
            <wp:effectExtent l="0" t="0" r="0" b="3810"/>
            <wp:docPr id="1350403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810" cy="2377440"/>
                    </a:xfrm>
                    <a:prstGeom prst="rect">
                      <a:avLst/>
                    </a:prstGeom>
                    <a:noFill/>
                  </pic:spPr>
                </pic:pic>
              </a:graphicData>
            </a:graphic>
          </wp:inline>
        </w:drawing>
      </w:r>
    </w:p>
    <w:p w14:paraId="0BB5B302" w14:textId="2CC8F973" w:rsidR="0078457A" w:rsidRPr="00E50618" w:rsidRDefault="0078457A" w:rsidP="0078457A">
      <w:pPr>
        <w:pStyle w:val="CETCaption"/>
      </w:pPr>
      <w:r w:rsidRPr="00E50618">
        <w:t xml:space="preserve">Figure </w:t>
      </w:r>
      <w:r>
        <w:t>3</w:t>
      </w:r>
      <w:r w:rsidRPr="00E50618">
        <w:t xml:space="preserve">: </w:t>
      </w:r>
      <w:r>
        <w:t>System boundaries and inventory data of conventional and proposed</w:t>
      </w:r>
      <w:r w:rsidRPr="00E50618">
        <w:t xml:space="preserve"> biogas upgrading </w:t>
      </w:r>
      <w:r>
        <w:t>systems</w:t>
      </w:r>
      <w:r w:rsidRPr="00E50618">
        <w:t>.</w:t>
      </w:r>
    </w:p>
    <w:p w14:paraId="1AF57E97" w14:textId="20A5E110" w:rsidR="00991F28" w:rsidRPr="00E50618" w:rsidRDefault="00A264CB" w:rsidP="006B15DF">
      <w:pPr>
        <w:pStyle w:val="CETBodytext"/>
      </w:pPr>
      <w:r w:rsidRPr="00E50618">
        <w:t>The</w:t>
      </w:r>
      <w:r w:rsidR="003B1C16" w:rsidRPr="00E50618">
        <w:t xml:space="preserve"> e</w:t>
      </w:r>
      <w:r w:rsidR="00FD0114" w:rsidRPr="00E50618">
        <w:t xml:space="preserve">nvironmental impacts related to transportation were excluded from the analysis. </w:t>
      </w:r>
      <w:r w:rsidR="002D2DC8" w:rsidRPr="00E50618">
        <w:t>For LCC, the methodology outlined by Turton for estimating bare module costs was applied. All cost data were updated to 2023 using the Chemical Engineering Plant Cost Index</w:t>
      </w:r>
      <w:r w:rsidR="00CD6DED">
        <w:t xml:space="preserve"> and </w:t>
      </w:r>
      <w:r w:rsidR="002D2DC8" w:rsidRPr="00E50618">
        <w:t>converted to euros.</w:t>
      </w:r>
      <w:r w:rsidR="009B56E8" w:rsidRPr="00E50618">
        <w:t xml:space="preserve"> </w:t>
      </w:r>
      <w:r w:rsidR="002D2DC8" w:rsidRPr="00E50618">
        <w:t>T</w:t>
      </w:r>
      <w:r w:rsidR="00CD6DED">
        <w:t>hen</w:t>
      </w:r>
      <w:r w:rsidR="006B15DF">
        <w:t>,</w:t>
      </w:r>
      <w:r w:rsidR="00CD6DED">
        <w:t xml:space="preserve"> t</w:t>
      </w:r>
      <w:r w:rsidR="002D2DC8" w:rsidRPr="00E50618">
        <w:t>he calculation of capital costs followed the methodology established by the National Energy Technology Laboratory. Specifically, the Total-As-Spent</w:t>
      </w:r>
      <w:r w:rsidR="00867BE2">
        <w:t xml:space="preserve"> </w:t>
      </w:r>
      <w:r w:rsidR="002D2DC8" w:rsidRPr="00E50618">
        <w:t>Capital</w:t>
      </w:r>
      <w:r w:rsidR="00867BE2">
        <w:t xml:space="preserve"> </w:t>
      </w:r>
      <w:r w:rsidR="00CD6DED">
        <w:t>(</w:t>
      </w:r>
      <w:r w:rsidR="00867BE2">
        <w:t>TASC</w:t>
      </w:r>
      <w:r w:rsidR="00CD6DED">
        <w:t>)</w:t>
      </w:r>
      <w:r w:rsidR="002D2DC8" w:rsidRPr="00E50618">
        <w:t xml:space="preserve"> includes</w:t>
      </w:r>
      <w:r w:rsidR="009B56E8" w:rsidRPr="00E50618">
        <w:t xml:space="preserve"> b</w:t>
      </w:r>
      <w:r w:rsidR="002D2DC8" w:rsidRPr="00E50618">
        <w:t>are erected costs</w:t>
      </w:r>
      <w:r w:rsidR="007E4D61">
        <w:t>,</w:t>
      </w:r>
      <w:r w:rsidR="009B56E8" w:rsidRPr="00E50618">
        <w:t xml:space="preserve"> e</w:t>
      </w:r>
      <w:r w:rsidR="002D2DC8" w:rsidRPr="00E50618">
        <w:t>ngineering, procurement and construction management costs</w:t>
      </w:r>
      <w:r w:rsidR="007E4D61">
        <w:t>, process contingencies, project contingencies,</w:t>
      </w:r>
      <w:r w:rsidR="002D2DC8" w:rsidRPr="00E50618">
        <w:t xml:space="preserve"> and</w:t>
      </w:r>
      <w:r w:rsidR="009B56E8" w:rsidRPr="00E50618">
        <w:t xml:space="preserve"> a</w:t>
      </w:r>
      <w:r w:rsidR="002D2DC8" w:rsidRPr="00E50618">
        <w:t>dditional costs related to startup, financing and other owner</w:t>
      </w:r>
      <w:r w:rsidR="009B56E8" w:rsidRPr="00E50618">
        <w:t>’</w:t>
      </w:r>
      <w:r w:rsidR="002D2DC8" w:rsidRPr="00E50618">
        <w:t>s costs.</w:t>
      </w:r>
      <w:r w:rsidR="007E4D61">
        <w:t xml:space="preserve"> </w:t>
      </w:r>
      <w:r w:rsidR="002D2DC8" w:rsidRPr="00E50618">
        <w:t xml:space="preserve">The </w:t>
      </w:r>
      <w:r w:rsidR="00867BE2">
        <w:t>TASC</w:t>
      </w:r>
      <w:r w:rsidR="007E4D61" w:rsidRPr="00E50618">
        <w:t xml:space="preserve"> </w:t>
      </w:r>
      <w:r w:rsidR="002D2DC8" w:rsidRPr="00E50618">
        <w:t xml:space="preserve">was </w:t>
      </w:r>
      <w:r w:rsidR="007E4D61">
        <w:t>annualized</w:t>
      </w:r>
      <w:r w:rsidR="006B15DF">
        <w:t xml:space="preserve">, adopting an interest rate of </w:t>
      </w:r>
      <w:r w:rsidR="006B15DF" w:rsidRPr="00E50618">
        <w:t>5</w:t>
      </w:r>
      <w:r w:rsidR="006B15DF">
        <w:t xml:space="preserve"> </w:t>
      </w:r>
      <w:r w:rsidR="006B15DF" w:rsidRPr="00E50618">
        <w:t>%</w:t>
      </w:r>
      <w:r w:rsidR="006B15DF">
        <w:t xml:space="preserve"> across a pl</w:t>
      </w:r>
      <w:r w:rsidR="006B15DF" w:rsidRPr="00E50618">
        <w:t>ant lifetime</w:t>
      </w:r>
      <w:r w:rsidR="006B15DF">
        <w:t xml:space="preserve"> of</w:t>
      </w:r>
      <w:r w:rsidR="006B15DF" w:rsidRPr="00E50618">
        <w:t xml:space="preserve"> 20 years</w:t>
      </w:r>
      <w:r w:rsidR="006B15DF">
        <w:t xml:space="preserve"> </w:t>
      </w:r>
      <w:r w:rsidR="007E4D61">
        <w:t xml:space="preserve">and </w:t>
      </w:r>
      <w:r w:rsidR="007E4D61" w:rsidRPr="007E4D61">
        <w:t xml:space="preserve">divided by the annual plant productivity </w:t>
      </w:r>
      <w:r w:rsidR="006B15DF">
        <w:t>to obtain Capital expenditure in €/Nm</w:t>
      </w:r>
      <w:r w:rsidR="006B15DF" w:rsidRPr="006B15DF">
        <w:rPr>
          <w:vertAlign w:val="superscript"/>
        </w:rPr>
        <w:t>3</w:t>
      </w:r>
      <w:r w:rsidR="002D2DC8" w:rsidRPr="00E50618">
        <w:t>.</w:t>
      </w:r>
      <w:r w:rsidR="00867BE2">
        <w:t xml:space="preserve"> </w:t>
      </w:r>
      <w:r w:rsidR="009B56E8" w:rsidRPr="00E50618">
        <w:t>The operating costs for the systems were calculated on an annual capacity factor of 91.3</w:t>
      </w:r>
      <w:r w:rsidR="00672EC6">
        <w:t xml:space="preserve"> </w:t>
      </w:r>
      <w:r w:rsidR="009B56E8" w:rsidRPr="00E50618">
        <w:t xml:space="preserve">%. </w:t>
      </w:r>
      <w:r w:rsidR="006B15DF">
        <w:t>L</w:t>
      </w:r>
      <w:r w:rsidR="00FB7347">
        <w:t>abor</w:t>
      </w:r>
      <w:r w:rsidR="00CD6DED">
        <w:t xml:space="preserve"> costs were estimated by multiplying the annual salary of each operator, assumed to be 40 k€, by</w:t>
      </w:r>
      <w:r w:rsidR="009B56E8" w:rsidRPr="00E50618">
        <w:t xml:space="preserve"> the number of operators required</w:t>
      </w:r>
      <w:r w:rsidR="00867BE2">
        <w:t xml:space="preserve">, </w:t>
      </w:r>
      <w:r w:rsidR="009B56E8" w:rsidRPr="00E50618">
        <w:t xml:space="preserve">one for water scrubbing and two for direct methanation. Maintenance costs were determined </w:t>
      </w:r>
      <w:r w:rsidR="005760EE">
        <w:t>to be</w:t>
      </w:r>
      <w:r w:rsidR="009B56E8" w:rsidRPr="00E50618">
        <w:t xml:space="preserve"> 3</w:t>
      </w:r>
      <w:r w:rsidR="00FB7347">
        <w:t xml:space="preserve"> </w:t>
      </w:r>
      <w:r w:rsidR="009B56E8" w:rsidRPr="00E50618">
        <w:t>% of the TASC</w:t>
      </w:r>
      <w:r w:rsidR="00B47A8F" w:rsidRPr="00E50618">
        <w:t xml:space="preserve">. </w:t>
      </w:r>
      <w:r w:rsidR="009B56E8" w:rsidRPr="00E50618">
        <w:t>The annual cost of raw materials was calculated using unit prices of 0.1</w:t>
      </w:r>
      <w:r w:rsidR="00FB7347">
        <w:t>9</w:t>
      </w:r>
      <w:r w:rsidR="009B56E8" w:rsidRPr="00E50618">
        <w:t xml:space="preserve"> </w:t>
      </w:r>
      <w:r w:rsidR="00867BE2" w:rsidRPr="00E50618">
        <w:t>€</w:t>
      </w:r>
      <w:r w:rsidR="00867BE2">
        <w:t>/</w:t>
      </w:r>
      <w:r w:rsidR="009B56E8" w:rsidRPr="00E50618">
        <w:t xml:space="preserve">kWh for electricity and 0.3 </w:t>
      </w:r>
      <w:r w:rsidR="00867BE2" w:rsidRPr="00E50618">
        <w:t>€</w:t>
      </w:r>
      <w:r w:rsidR="00867BE2">
        <w:t>/m</w:t>
      </w:r>
      <w:r w:rsidR="00867BE2" w:rsidRPr="00867BE2">
        <w:rPr>
          <w:vertAlign w:val="superscript"/>
        </w:rPr>
        <w:t>3</w:t>
      </w:r>
      <w:r w:rsidR="00867BE2">
        <w:t xml:space="preserve"> </w:t>
      </w:r>
      <w:r w:rsidR="009B56E8" w:rsidRPr="00E50618">
        <w:t xml:space="preserve">for water. Additionally, a carbon tax of 24.6 </w:t>
      </w:r>
      <w:r w:rsidR="00867BE2">
        <w:t>€/t</w:t>
      </w:r>
      <w:r w:rsidR="009B56E8" w:rsidRPr="00E50618">
        <w:t xml:space="preserve"> of C</w:t>
      </w:r>
      <w:r w:rsidR="00867BE2">
        <w:t>O</w:t>
      </w:r>
      <w:r w:rsidR="00867BE2" w:rsidRPr="00FB7347">
        <w:rPr>
          <w:vertAlign w:val="subscript"/>
        </w:rPr>
        <w:t>2</w:t>
      </w:r>
      <w:r w:rsidR="009B56E8" w:rsidRPr="00E50618">
        <w:t xml:space="preserve"> emissions was applied to quantify the environmental cost of C</w:t>
      </w:r>
      <w:r w:rsidR="00867BE2">
        <w:t>O</w:t>
      </w:r>
      <w:r w:rsidR="00867BE2" w:rsidRPr="00FB7347">
        <w:rPr>
          <w:vertAlign w:val="subscript"/>
        </w:rPr>
        <w:t>2</w:t>
      </w:r>
      <w:r w:rsidR="009B56E8" w:rsidRPr="00E50618">
        <w:t xml:space="preserve"> released in the water scrubbing</w:t>
      </w:r>
      <w:r w:rsidR="00867BE2">
        <w:t xml:space="preserve"> system</w:t>
      </w:r>
      <w:r w:rsidR="009B56E8" w:rsidRPr="00E50618">
        <w:t>.</w:t>
      </w:r>
      <w:r w:rsidR="00B47A8F" w:rsidRPr="00E50618">
        <w:t xml:space="preserve"> </w:t>
      </w:r>
      <w:r w:rsidR="009B56E8" w:rsidRPr="00E50618">
        <w:t>The cost of producing biomethane was then calculated</w:t>
      </w:r>
      <w:r w:rsidR="005760EE">
        <w:t xml:space="preserve"> by</w:t>
      </w:r>
      <w:r w:rsidR="009B56E8" w:rsidRPr="00E50618">
        <w:t xml:space="preserve"> </w:t>
      </w:r>
      <w:r w:rsidR="00FB7347">
        <w:t>a</w:t>
      </w:r>
      <w:r w:rsidR="00FB7347" w:rsidRPr="00FB7347">
        <w:t xml:space="preserve">dding </w:t>
      </w:r>
      <w:r w:rsidR="00FB7347">
        <w:t>o</w:t>
      </w:r>
      <w:r w:rsidR="00FB7347" w:rsidRPr="00FB7347">
        <w:t>perating costs</w:t>
      </w:r>
      <w:r w:rsidR="00FB7347">
        <w:t xml:space="preserve"> </w:t>
      </w:r>
      <w:r w:rsidR="00FB7347" w:rsidRPr="00FB7347">
        <w:t>to</w:t>
      </w:r>
      <w:r w:rsidR="00FB7347">
        <w:t xml:space="preserve"> the</w:t>
      </w:r>
      <w:r w:rsidR="00FB7347" w:rsidRPr="00FB7347">
        <w:t xml:space="preserve"> </w:t>
      </w:r>
      <w:r w:rsidR="005760EE">
        <w:t>capital expenditure</w:t>
      </w:r>
      <w:r w:rsidR="00FB7347">
        <w:t>.</w:t>
      </w:r>
      <w:r w:rsidR="00FB7347" w:rsidRPr="00FB7347">
        <w:t xml:space="preserve"> </w:t>
      </w:r>
      <w:r w:rsidR="00867BE2" w:rsidRPr="00867BE2">
        <w:t xml:space="preserve">The economic calculations excluded the processes of anaerobic digestion and biogas desulfurization. Instead, a </w:t>
      </w:r>
      <w:r w:rsidR="00FB7347">
        <w:t>0.30 €/Nm</w:t>
      </w:r>
      <w:r w:rsidR="00FB7347" w:rsidRPr="005760EE">
        <w:rPr>
          <w:vertAlign w:val="superscript"/>
        </w:rPr>
        <w:t>3</w:t>
      </w:r>
      <w:r w:rsidR="00FB7347">
        <w:t xml:space="preserve"> cost </w:t>
      </w:r>
      <w:r w:rsidR="00867BE2" w:rsidRPr="00867BE2">
        <w:t xml:space="preserve">was </w:t>
      </w:r>
      <w:r w:rsidR="00FB7347">
        <w:t>adopted</w:t>
      </w:r>
      <w:r w:rsidR="00867BE2" w:rsidRPr="00867BE2">
        <w:t xml:space="preserve"> to represent the combined </w:t>
      </w:r>
      <w:r w:rsidR="00867BE2">
        <w:t xml:space="preserve">biogas production and desulfurization </w:t>
      </w:r>
      <w:r w:rsidR="00FB7347">
        <w:t>phases</w:t>
      </w:r>
      <w:r w:rsidR="00867BE2" w:rsidRPr="00867BE2">
        <w:t>.</w:t>
      </w:r>
      <w:r w:rsidR="00B47A8F" w:rsidRPr="00E50618">
        <w:t xml:space="preserve"> </w:t>
      </w:r>
      <w:r w:rsidR="00DF3900" w:rsidRPr="00E50618">
        <w:t xml:space="preserve">The environmental impacts </w:t>
      </w:r>
      <w:r w:rsidR="000C6C7A" w:rsidRPr="00E50618">
        <w:t xml:space="preserve">and economic performances </w:t>
      </w:r>
      <w:r w:rsidR="00DF3900" w:rsidRPr="00E50618">
        <w:t xml:space="preserve">of </w:t>
      </w:r>
      <w:r w:rsidR="00867BE2">
        <w:t>the plant operational phase were</w:t>
      </w:r>
      <w:r w:rsidR="00DF3900" w:rsidRPr="00E50618">
        <w:t xml:space="preserve"> assessed under two distinct electricity mix scenarios. The </w:t>
      </w:r>
      <w:r w:rsidR="006F7A00">
        <w:t>conventional system is electrically driven by</w:t>
      </w:r>
      <w:r w:rsidR="00DF3900" w:rsidRPr="00E50618">
        <w:t xml:space="preserve"> the current electricity mix in the Campania region, as reported by the Italian Transmission Operator mix comprises 8.5% hydroelectric, 44.3</w:t>
      </w:r>
      <w:r w:rsidR="00CD6DED">
        <w:t xml:space="preserve"> </w:t>
      </w:r>
      <w:r w:rsidR="00DF3900" w:rsidRPr="00E50618">
        <w:t>% natural gas-fueled conventional power plants, 36.9</w:t>
      </w:r>
      <w:r w:rsidR="00CD6DED">
        <w:t xml:space="preserve"> </w:t>
      </w:r>
      <w:r w:rsidR="00DF3900" w:rsidRPr="00E50618">
        <w:t>% wind, and 10.3</w:t>
      </w:r>
      <w:r w:rsidR="00CD6DED">
        <w:t xml:space="preserve"> </w:t>
      </w:r>
      <w:r w:rsidR="00DF3900" w:rsidRPr="00E50618">
        <w:t>% photovoltaic energy</w:t>
      </w:r>
      <w:r w:rsidR="00B03239">
        <w:t xml:space="preserve"> </w:t>
      </w:r>
      <w:r w:rsidR="00950B25">
        <w:fldChar w:fldCharType="begin" w:fldLock="1"/>
      </w:r>
      <w:r w:rsidR="00950B25">
        <w:instrText>ADDIN CSL_CITATION {"citationItems":[{"id":"ITEM-1","itemData":{"author":[{"dropping-particle":"","family":"TERNA","given":"","non-dropping-particle":"","parse-names":false,"suffix":""}],"id":"ITEM-1","issued":{"date-parts":[["2024"]]},"title":"Produzione 2023","type":"article-journal"},"uris":["http://www.mendeley.com/documents/?uuid=4ff61ba1-b428-4753-981b-c70d97ddd5cb"]}],"mendeley":{"formattedCitation":"(TERNA, 2024)","plainTextFormattedCitation":"(TERNA, 2024)","previouslyFormattedCitation":"(TERNA, 2024)"},"properties":{"noteIndex":0},"schema":"https://github.com/citation-style-language/schema/raw/master/csl-citation.json"}</w:instrText>
      </w:r>
      <w:r w:rsidR="00950B25">
        <w:fldChar w:fldCharType="separate"/>
      </w:r>
      <w:r w:rsidR="00950B25" w:rsidRPr="00950B25">
        <w:rPr>
          <w:noProof/>
        </w:rPr>
        <w:t>(TERNA, 2024)</w:t>
      </w:r>
      <w:r w:rsidR="00950B25">
        <w:fldChar w:fldCharType="end"/>
      </w:r>
      <w:r w:rsidR="00DF3900" w:rsidRPr="00E50618">
        <w:t>.</w:t>
      </w:r>
      <w:r w:rsidR="006F7A00">
        <w:t xml:space="preserve"> </w:t>
      </w:r>
      <w:r w:rsidR="00246755">
        <w:t>The</w:t>
      </w:r>
      <w:r w:rsidR="006F7A00">
        <w:t xml:space="preserve"> proposed system</w:t>
      </w:r>
      <w:r w:rsidR="00DF3900" w:rsidRPr="00E50618">
        <w:t xml:space="preserve"> </w:t>
      </w:r>
      <w:r w:rsidR="006F7A00">
        <w:t>is assumed to be</w:t>
      </w:r>
      <w:r w:rsidR="00B03239">
        <w:t xml:space="preserve"> electrically driven by </w:t>
      </w:r>
      <w:r w:rsidR="000C6C7A" w:rsidRPr="00E50618">
        <w:t>excess renewable energy. In particular</w:t>
      </w:r>
      <w:r w:rsidR="00B03239">
        <w:t>, the environmental impacts of electricity supply are derived from wind power, while for economic calculation</w:t>
      </w:r>
      <w:r w:rsidR="00246755">
        <w:t>,</w:t>
      </w:r>
      <w:r w:rsidR="006F7A00">
        <w:t xml:space="preserve"> electricity is produced</w:t>
      </w:r>
      <w:r w:rsidR="00B03239">
        <w:t xml:space="preserve"> </w:t>
      </w:r>
      <w:r w:rsidR="000C6C7A" w:rsidRPr="00E50618">
        <w:t>a</w:t>
      </w:r>
      <w:r w:rsidR="00B03239">
        <w:t>t</w:t>
      </w:r>
      <w:r w:rsidR="000C6C7A" w:rsidRPr="00E50618">
        <w:t xml:space="preserve"> zero cost.</w:t>
      </w:r>
    </w:p>
    <w:p w14:paraId="677EBFF0" w14:textId="7EA52744" w:rsidR="00600535" w:rsidRPr="00E50618" w:rsidRDefault="00EF0FB6" w:rsidP="00600535">
      <w:pPr>
        <w:pStyle w:val="CETHeading1"/>
        <w:tabs>
          <w:tab w:val="clear" w:pos="360"/>
          <w:tab w:val="right" w:pos="7100"/>
        </w:tabs>
        <w:jc w:val="both"/>
        <w:rPr>
          <w:lang w:val="en-GB"/>
        </w:rPr>
      </w:pPr>
      <w:r w:rsidRPr="00E50618">
        <w:rPr>
          <w:lang w:val="en-GB"/>
        </w:rPr>
        <w:t>Results</w:t>
      </w:r>
    </w:p>
    <w:p w14:paraId="64333A53" w14:textId="4AB252D2" w:rsidR="00435795" w:rsidRDefault="00C51B25" w:rsidP="00554636">
      <w:pPr>
        <w:pStyle w:val="CETBodytext"/>
      </w:pPr>
      <w:r w:rsidRPr="00E50618">
        <w:rPr>
          <w:lang w:val="en-GB"/>
        </w:rPr>
        <w:t xml:space="preserve">Figure </w:t>
      </w:r>
      <w:r w:rsidR="00A2166E" w:rsidRPr="00E50618">
        <w:rPr>
          <w:lang w:val="en-GB"/>
        </w:rPr>
        <w:t>4</w:t>
      </w:r>
      <w:r w:rsidRPr="00E50618">
        <w:rPr>
          <w:lang w:val="en-GB"/>
        </w:rPr>
        <w:t xml:space="preserve"> presents </w:t>
      </w:r>
      <w:r w:rsidR="006D1216" w:rsidRPr="006D1216">
        <w:rPr>
          <w:lang w:val="en-GB"/>
        </w:rPr>
        <w:t>the environmental impact assessment results for both the conventional and proposed systems. The conventional system is evaluated under two scenarios: the current energy production scenario and a wind energy production scenario</w:t>
      </w:r>
      <w:r w:rsidR="006D1216">
        <w:rPr>
          <w:lang w:val="en-GB"/>
        </w:rPr>
        <w:t xml:space="preserve">. </w:t>
      </w:r>
      <w:r w:rsidR="006D1216" w:rsidRPr="003B35A6">
        <w:t>In this context,</w:t>
      </w:r>
      <w:r w:rsidR="006D1216">
        <w:rPr>
          <w:lang w:val="en-GB"/>
        </w:rPr>
        <w:t xml:space="preserve"> </w:t>
      </w:r>
      <w:r w:rsidR="00435795" w:rsidRPr="003B35A6">
        <w:t xml:space="preserve">shifting to wind-generated electricity </w:t>
      </w:r>
      <w:r w:rsidR="006D1216">
        <w:t>notably</w:t>
      </w:r>
      <w:r w:rsidR="00435795">
        <w:t xml:space="preserve"> reduces</w:t>
      </w:r>
      <w:r w:rsidR="00435795" w:rsidRPr="003B35A6">
        <w:t xml:space="preserve"> </w:t>
      </w:r>
      <w:r w:rsidR="006D1216">
        <w:t xml:space="preserve">the </w:t>
      </w:r>
      <w:r w:rsidR="00435795" w:rsidRPr="003B35A6">
        <w:t xml:space="preserve">impacts </w:t>
      </w:r>
      <w:r w:rsidR="00435795">
        <w:t>on</w:t>
      </w:r>
      <w:r w:rsidR="00435795" w:rsidRPr="003B35A6">
        <w:t xml:space="preserve"> water consumption, mineral resource scarcity, and fossil resource scarcity, with decreases of 21%, 17%, and 13%, respectively.</w:t>
      </w:r>
      <w:r w:rsidR="00435795">
        <w:t xml:space="preserve"> </w:t>
      </w:r>
      <w:r w:rsidR="00B25A6B">
        <w:t xml:space="preserve">In </w:t>
      </w:r>
      <w:r w:rsidR="00435795">
        <w:t xml:space="preserve">the proposed scenario, </w:t>
      </w:r>
      <w:r w:rsidR="00435795">
        <w:rPr>
          <w:lang w:val="en-GB"/>
        </w:rPr>
        <w:t>t</w:t>
      </w:r>
      <w:r w:rsidR="00454E63" w:rsidRPr="00E50618">
        <w:rPr>
          <w:lang w:val="en-GB"/>
        </w:rPr>
        <w:t xml:space="preserve">he results </w:t>
      </w:r>
      <w:r w:rsidR="00A2166E" w:rsidRPr="00E50618">
        <w:rPr>
          <w:lang w:val="en-GB"/>
        </w:rPr>
        <w:t xml:space="preserve">indicate </w:t>
      </w:r>
      <w:r w:rsidR="00454E63" w:rsidRPr="00E50618">
        <w:rPr>
          <w:lang w:val="en-GB"/>
        </w:rPr>
        <w:t xml:space="preserve">that the direct methanation system exhibits </w:t>
      </w:r>
      <w:r w:rsidR="00246755">
        <w:rPr>
          <w:lang w:val="en-GB"/>
        </w:rPr>
        <w:t>lower</w:t>
      </w:r>
      <w:r w:rsidR="00246755" w:rsidRPr="00E50618">
        <w:rPr>
          <w:lang w:val="en-GB"/>
        </w:rPr>
        <w:t xml:space="preserve"> </w:t>
      </w:r>
      <w:r w:rsidR="00454E63" w:rsidRPr="00E50618">
        <w:rPr>
          <w:lang w:val="en-GB"/>
        </w:rPr>
        <w:t xml:space="preserve">environmental impacts across </w:t>
      </w:r>
      <w:r w:rsidR="00246755">
        <w:rPr>
          <w:lang w:val="en-GB"/>
        </w:rPr>
        <w:t>all</w:t>
      </w:r>
      <w:r w:rsidR="00454E63" w:rsidRPr="00E50618">
        <w:rPr>
          <w:lang w:val="en-GB"/>
        </w:rPr>
        <w:t xml:space="preserve"> categories. </w:t>
      </w:r>
      <w:r w:rsidR="0076156D">
        <w:rPr>
          <w:lang w:val="en-GB"/>
        </w:rPr>
        <w:t>Only w</w:t>
      </w:r>
      <w:r w:rsidR="002A0844" w:rsidRPr="002A0844">
        <w:rPr>
          <w:lang w:val="en-GB"/>
        </w:rPr>
        <w:t>ater consumption</w:t>
      </w:r>
      <w:r w:rsidR="00454E63" w:rsidRPr="00E50618">
        <w:rPr>
          <w:lang w:val="en-GB"/>
        </w:rPr>
        <w:t xml:space="preserve"> </w:t>
      </w:r>
      <w:r w:rsidR="0076156D">
        <w:rPr>
          <w:lang w:val="en-GB"/>
        </w:rPr>
        <w:t>impacts are</w:t>
      </w:r>
      <w:r w:rsidR="0076156D" w:rsidRPr="0076156D">
        <w:rPr>
          <w:lang w:val="en-GB"/>
        </w:rPr>
        <w:t xml:space="preserve"> similar for direct methanation and water scrubbing in the renewable scenario</w:t>
      </w:r>
      <w:r w:rsidR="0076156D">
        <w:rPr>
          <w:lang w:val="en-GB"/>
        </w:rPr>
        <w:t>, being b</w:t>
      </w:r>
      <w:r w:rsidR="0076156D" w:rsidRPr="0076156D">
        <w:rPr>
          <w:lang w:val="en-GB"/>
        </w:rPr>
        <w:t xml:space="preserve">oth </w:t>
      </w:r>
      <w:r w:rsidR="0076156D">
        <w:rPr>
          <w:lang w:val="en-GB"/>
        </w:rPr>
        <w:t>1.59</w:t>
      </w:r>
      <w:r w:rsidR="0076156D" w:rsidRPr="00E50618">
        <w:rPr>
          <w:rFonts w:eastAsia="SimSun"/>
        </w:rPr>
        <w:t>·</w:t>
      </w:r>
      <w:r w:rsidR="0076156D">
        <w:rPr>
          <w:rFonts w:eastAsia="SimSun"/>
        </w:rPr>
        <w:t>10</w:t>
      </w:r>
      <w:r w:rsidR="0076156D" w:rsidRPr="003B35A6">
        <w:rPr>
          <w:rFonts w:eastAsia="SimSun"/>
          <w:vertAlign w:val="superscript"/>
        </w:rPr>
        <w:t>-3</w:t>
      </w:r>
      <w:r w:rsidR="0076156D">
        <w:rPr>
          <w:lang w:val="en-GB"/>
        </w:rPr>
        <w:t xml:space="preserve"> m</w:t>
      </w:r>
      <w:r w:rsidR="0076156D" w:rsidRPr="003B35A6">
        <w:rPr>
          <w:vertAlign w:val="superscript"/>
          <w:lang w:val="en-GB"/>
        </w:rPr>
        <w:t>3</w:t>
      </w:r>
      <w:r w:rsidR="0076156D">
        <w:rPr>
          <w:lang w:val="en-GB"/>
        </w:rPr>
        <w:t>/Nm</w:t>
      </w:r>
      <w:r w:rsidR="0076156D" w:rsidRPr="003B35A6">
        <w:rPr>
          <w:vertAlign w:val="superscript"/>
          <w:lang w:val="en-GB"/>
        </w:rPr>
        <w:t>3</w:t>
      </w:r>
      <w:r w:rsidR="00A003D7">
        <w:rPr>
          <w:lang w:val="en-GB"/>
        </w:rPr>
        <w:t>.</w:t>
      </w:r>
      <w:r w:rsidR="005760EE">
        <w:rPr>
          <w:lang w:val="en-GB"/>
        </w:rPr>
        <w:t xml:space="preserve"> </w:t>
      </w:r>
      <w:r w:rsidR="000C49DF">
        <w:rPr>
          <w:lang w:val="en-GB"/>
        </w:rPr>
        <w:t>The</w:t>
      </w:r>
      <w:r w:rsidR="000C49DF" w:rsidRPr="00E50618">
        <w:rPr>
          <w:lang w:val="en-GB"/>
        </w:rPr>
        <w:t xml:space="preserve"> most significant improvement is </w:t>
      </w:r>
      <w:r w:rsidR="006D1216">
        <w:rPr>
          <w:lang w:val="en-GB"/>
        </w:rPr>
        <w:t xml:space="preserve">in </w:t>
      </w:r>
      <w:r w:rsidR="000C49DF" w:rsidRPr="00E50618">
        <w:rPr>
          <w:lang w:val="en-GB"/>
        </w:rPr>
        <w:t>fossil resource scarcity</w:t>
      </w:r>
      <w:r w:rsidR="000C49DF">
        <w:rPr>
          <w:lang w:val="en-GB"/>
        </w:rPr>
        <w:t xml:space="preserve">, </w:t>
      </w:r>
      <w:r w:rsidR="000C49DF" w:rsidRPr="00E50618">
        <w:rPr>
          <w:lang w:val="en-GB"/>
        </w:rPr>
        <w:t>where the proposed scenario reduces the impact by 7</w:t>
      </w:r>
      <w:r w:rsidR="000C49DF">
        <w:rPr>
          <w:lang w:val="en-GB"/>
        </w:rPr>
        <w:t>5 %</w:t>
      </w:r>
      <w:r w:rsidR="000C49DF" w:rsidRPr="00E50618">
        <w:rPr>
          <w:lang w:val="en-GB"/>
        </w:rPr>
        <w:t>.</w:t>
      </w:r>
      <w:r w:rsidR="000C49DF">
        <w:rPr>
          <w:lang w:val="en-GB"/>
        </w:rPr>
        <w:t xml:space="preserve"> G</w:t>
      </w:r>
      <w:r w:rsidR="000C49DF" w:rsidRPr="00E50618">
        <w:rPr>
          <w:lang w:val="en-GB"/>
        </w:rPr>
        <w:t xml:space="preserve">lobal warming is also </w:t>
      </w:r>
      <w:r w:rsidR="000C49DF" w:rsidRPr="000C49DF">
        <w:rPr>
          <w:lang w:val="en-GB"/>
        </w:rPr>
        <w:t>significantly reduced</w:t>
      </w:r>
      <w:r w:rsidR="000C49DF" w:rsidRPr="00E50618">
        <w:rPr>
          <w:lang w:val="en-GB"/>
        </w:rPr>
        <w:t xml:space="preserve"> in the proposed system, </w:t>
      </w:r>
      <w:r w:rsidR="000C49DF">
        <w:rPr>
          <w:lang w:val="en-GB"/>
        </w:rPr>
        <w:t>decreasing</w:t>
      </w:r>
      <w:r w:rsidR="000C49DF" w:rsidRPr="00E50618">
        <w:rPr>
          <w:lang w:val="en-GB"/>
        </w:rPr>
        <w:t xml:space="preserve"> by </w:t>
      </w:r>
      <w:r w:rsidR="000C49DF">
        <w:rPr>
          <w:lang w:val="en-GB"/>
        </w:rPr>
        <w:t xml:space="preserve">61 </w:t>
      </w:r>
      <w:r w:rsidR="000C49DF" w:rsidRPr="00E50618">
        <w:rPr>
          <w:lang w:val="en-GB"/>
        </w:rPr>
        <w:t>%, from</w:t>
      </w:r>
      <w:r w:rsidR="000C49DF">
        <w:rPr>
          <w:lang w:val="en-GB"/>
        </w:rPr>
        <w:t xml:space="preserve"> </w:t>
      </w:r>
      <w:r w:rsidR="000C49DF" w:rsidRPr="00E50618">
        <w:rPr>
          <w:lang w:val="en-GB"/>
        </w:rPr>
        <w:t>2.</w:t>
      </w:r>
      <w:r w:rsidR="000C49DF">
        <w:rPr>
          <w:lang w:val="en-GB"/>
        </w:rPr>
        <w:t>4</w:t>
      </w:r>
      <w:r w:rsidR="000C49DF" w:rsidRPr="00E50618">
        <w:rPr>
          <w:lang w:val="en-GB"/>
        </w:rPr>
        <w:t>3 kg</w:t>
      </w:r>
      <w:r w:rsidR="000C49DF" w:rsidRPr="00CD6DED">
        <w:rPr>
          <w:vertAlign w:val="subscript"/>
          <w:lang w:val="en-GB"/>
        </w:rPr>
        <w:t>CO2eq</w:t>
      </w:r>
      <w:r w:rsidR="000C49DF" w:rsidRPr="003B35A6">
        <w:rPr>
          <w:lang w:val="en-GB"/>
        </w:rPr>
        <w:t>/Nm</w:t>
      </w:r>
      <w:r w:rsidR="000C49DF" w:rsidRPr="003B35A6">
        <w:rPr>
          <w:vertAlign w:val="superscript"/>
          <w:lang w:val="en-GB"/>
        </w:rPr>
        <w:t>3</w:t>
      </w:r>
      <w:r w:rsidR="000C49DF" w:rsidRPr="003B35A6">
        <w:rPr>
          <w:lang w:val="en-GB"/>
        </w:rPr>
        <w:t xml:space="preserve"> </w:t>
      </w:r>
      <w:r w:rsidR="000C49DF" w:rsidRPr="00E50618">
        <w:rPr>
          <w:lang w:val="en-GB"/>
        </w:rPr>
        <w:t>for the conventional system</w:t>
      </w:r>
      <w:r w:rsidR="000C49DF">
        <w:rPr>
          <w:lang w:val="en-GB"/>
        </w:rPr>
        <w:t xml:space="preserve"> in the renewable scenario</w:t>
      </w:r>
      <w:r w:rsidR="000C49DF" w:rsidRPr="00E50618">
        <w:rPr>
          <w:lang w:val="en-GB"/>
        </w:rPr>
        <w:t xml:space="preserve"> to </w:t>
      </w:r>
      <w:r w:rsidR="000C49DF">
        <w:rPr>
          <w:lang w:val="en-GB"/>
        </w:rPr>
        <w:t>0.94</w:t>
      </w:r>
      <w:r w:rsidR="000C49DF" w:rsidRPr="00E50618">
        <w:rPr>
          <w:lang w:val="en-GB"/>
        </w:rPr>
        <w:t xml:space="preserve"> kg</w:t>
      </w:r>
      <w:r w:rsidR="000C49DF" w:rsidRPr="00CD6DED">
        <w:rPr>
          <w:vertAlign w:val="subscript"/>
          <w:lang w:val="en-GB"/>
        </w:rPr>
        <w:t>CO2eq</w:t>
      </w:r>
      <w:r w:rsidR="000C49DF" w:rsidRPr="00B75B79">
        <w:rPr>
          <w:lang w:val="en-GB"/>
        </w:rPr>
        <w:t>/Nm</w:t>
      </w:r>
      <w:r w:rsidR="000C49DF" w:rsidRPr="00B75B79">
        <w:rPr>
          <w:vertAlign w:val="superscript"/>
          <w:lang w:val="en-GB"/>
        </w:rPr>
        <w:t>3</w:t>
      </w:r>
      <w:r w:rsidR="000C49DF" w:rsidRPr="00E50618">
        <w:rPr>
          <w:lang w:val="en-GB"/>
        </w:rPr>
        <w:t xml:space="preserve"> for the proposed system. </w:t>
      </w:r>
      <w:r w:rsidR="007A23E9" w:rsidRPr="003B35A6">
        <w:t xml:space="preserve">For all </w:t>
      </w:r>
      <w:r w:rsidR="007A23E9" w:rsidRPr="003B35A6">
        <w:lastRenderedPageBreak/>
        <w:t xml:space="preserve">other categories, the </w:t>
      </w:r>
      <w:r w:rsidR="007A23E9">
        <w:t>impact reduction</w:t>
      </w:r>
      <w:r w:rsidR="007A23E9" w:rsidRPr="003B35A6">
        <w:t xml:space="preserve"> between the conventional system powered by wind energy and the proposed system ranges from 51% in </w:t>
      </w:r>
      <w:r w:rsidR="00C03B29">
        <w:t>o</w:t>
      </w:r>
      <w:r w:rsidR="007A23E9" w:rsidRPr="003B35A6">
        <w:t xml:space="preserve">zone </w:t>
      </w:r>
      <w:r w:rsidR="00C03B29">
        <w:t>f</w:t>
      </w:r>
      <w:r w:rsidR="007A23E9" w:rsidRPr="003B35A6">
        <w:t>ormation</w:t>
      </w:r>
      <w:r w:rsidR="00C03B29">
        <w:t>, t</w:t>
      </w:r>
      <w:r w:rsidR="007A23E9" w:rsidRPr="003B35A6">
        <w:t xml:space="preserve">errestrial </w:t>
      </w:r>
      <w:r w:rsidR="00C03B29">
        <w:t>e</w:t>
      </w:r>
      <w:r w:rsidR="007A23E9" w:rsidRPr="003B35A6">
        <w:t xml:space="preserve">cosystems to 42% in </w:t>
      </w:r>
      <w:r w:rsidR="00C03B29">
        <w:t>f</w:t>
      </w:r>
      <w:r w:rsidR="007A23E9" w:rsidRPr="003B35A6">
        <w:t xml:space="preserve">reshwater </w:t>
      </w:r>
      <w:r w:rsidR="00C03B29">
        <w:t>e</w:t>
      </w:r>
      <w:r w:rsidR="007A23E9" w:rsidRPr="003B35A6">
        <w:t>utrophication.</w:t>
      </w:r>
    </w:p>
    <w:p w14:paraId="509CF04D" w14:textId="5F89BCDA" w:rsidR="00DA6287" w:rsidRPr="003B35A6" w:rsidRDefault="00DA6287" w:rsidP="00554636">
      <w:pPr>
        <w:pStyle w:val="CETBodytext"/>
      </w:pPr>
      <w:r>
        <w:rPr>
          <w:noProof/>
        </w:rPr>
        <w:drawing>
          <wp:inline distT="0" distB="0" distL="0" distR="0" wp14:anchorId="0533D59C" wp14:editId="534FB298">
            <wp:extent cx="5369814" cy="2468880"/>
            <wp:effectExtent l="0" t="0" r="2540" b="7620"/>
            <wp:docPr id="2104624628"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24628" name="Picture 1" descr="A graph of different sizes and colors&#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2385" b="1194"/>
                    <a:stretch/>
                  </pic:blipFill>
                  <pic:spPr bwMode="auto">
                    <a:xfrm>
                      <a:off x="0" y="0"/>
                      <a:ext cx="5369814"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76724FA" w14:textId="55E6AD81" w:rsidR="00287578" w:rsidRDefault="00287578" w:rsidP="00617F3C">
      <w:pPr>
        <w:pStyle w:val="CETCaption"/>
      </w:pPr>
      <w:r w:rsidRPr="00E50618">
        <w:t xml:space="preserve">Figure </w:t>
      </w:r>
      <w:r>
        <w:t>4</w:t>
      </w:r>
      <w:r w:rsidRPr="00E50618">
        <w:t xml:space="preserve">: </w:t>
      </w:r>
      <w:r>
        <w:t>E</w:t>
      </w:r>
      <w:r w:rsidRPr="00E50618">
        <w:t xml:space="preserve">nvironmental impact </w:t>
      </w:r>
      <w:r>
        <w:t>results</w:t>
      </w:r>
      <w:r w:rsidRPr="00E50618">
        <w:t xml:space="preserve"> for the conventional </w:t>
      </w:r>
      <w:r w:rsidR="00246755">
        <w:t xml:space="preserve">system under the </w:t>
      </w:r>
      <w:r w:rsidR="00246755" w:rsidRPr="00E50618">
        <w:t>current electricity mix in the Campania region</w:t>
      </w:r>
      <w:r w:rsidR="00246755">
        <w:t xml:space="preserve"> </w:t>
      </w:r>
      <w:r w:rsidRPr="00E50618">
        <w:t xml:space="preserve">and </w:t>
      </w:r>
      <w:r w:rsidR="00246755">
        <w:t xml:space="preserve">conventional and </w:t>
      </w:r>
      <w:r w:rsidRPr="00E50618">
        <w:t>propo</w:t>
      </w:r>
      <w:r w:rsidR="00246755">
        <w:t>sed</w:t>
      </w:r>
      <w:r w:rsidRPr="00E50618">
        <w:t xml:space="preserve"> </w:t>
      </w:r>
      <w:r>
        <w:t>systems under wind-driven electricity production</w:t>
      </w:r>
      <w:r w:rsidRPr="00E50618">
        <w:t>.</w:t>
      </w:r>
    </w:p>
    <w:p w14:paraId="2B2DB2B5" w14:textId="0D9B05E8" w:rsidR="006B15DF" w:rsidRDefault="00B04BD3" w:rsidP="00CD6DED">
      <w:pPr>
        <w:pStyle w:val="CETBodytext"/>
        <w:rPr>
          <w:lang w:val="en-GB"/>
        </w:rPr>
      </w:pPr>
      <w:r w:rsidRPr="00E50618">
        <w:rPr>
          <w:lang w:val="en-GB"/>
        </w:rPr>
        <w:t xml:space="preserve">Figure 5 presents a comparative LCC analysis of conventional biogas upgrading technology versus direct methanation. The latter has the highest </w:t>
      </w:r>
      <w:r w:rsidR="00C03B29">
        <w:rPr>
          <w:lang w:val="en-GB"/>
        </w:rPr>
        <w:t>capital expenditure</w:t>
      </w:r>
      <w:r w:rsidRPr="00E50618">
        <w:rPr>
          <w:lang w:val="en-GB"/>
        </w:rPr>
        <w:t>, significantly more expensive than water scrubbing.</w:t>
      </w:r>
    </w:p>
    <w:p w14:paraId="7587F6A3" w14:textId="5E64EE27" w:rsidR="001A4258" w:rsidRDefault="0078457A" w:rsidP="006B15DF">
      <w:pPr>
        <w:pStyle w:val="CETBodytext"/>
        <w:rPr>
          <w:lang w:val="en-GB"/>
        </w:rPr>
      </w:pPr>
      <w:r>
        <w:rPr>
          <w:noProof/>
          <w:lang w:val="en-GB"/>
        </w:rPr>
        <w:drawing>
          <wp:inline distT="0" distB="0" distL="0" distR="0" wp14:anchorId="15F6C5D3" wp14:editId="4532B743">
            <wp:extent cx="3816350" cy="2018030"/>
            <wp:effectExtent l="0" t="0" r="0" b="1270"/>
            <wp:docPr id="1796199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018030"/>
                    </a:xfrm>
                    <a:prstGeom prst="rect">
                      <a:avLst/>
                    </a:prstGeom>
                    <a:noFill/>
                  </pic:spPr>
                </pic:pic>
              </a:graphicData>
            </a:graphic>
          </wp:inline>
        </w:drawing>
      </w:r>
    </w:p>
    <w:p w14:paraId="6647CC84" w14:textId="350EF03A" w:rsidR="006B15DF" w:rsidRPr="00617F3C" w:rsidRDefault="006B15DF" w:rsidP="003B35A6">
      <w:pPr>
        <w:pStyle w:val="CETCaption"/>
      </w:pPr>
      <w:r w:rsidRPr="00617F3C">
        <w:t>Figure 5: LCC results for the conventional (WS)</w:t>
      </w:r>
      <w:r w:rsidR="00D84684">
        <w:t xml:space="preserve"> proposed systems under the current energy mix and for the conventional (WS RS) proposed systems (DM RS) under the renewable energy scenario.</w:t>
      </w:r>
    </w:p>
    <w:p w14:paraId="609F4D24" w14:textId="1922ACAD" w:rsidR="006B15DF" w:rsidRPr="00E830B2" w:rsidRDefault="00C03B29" w:rsidP="00B65912">
      <w:pPr>
        <w:pStyle w:val="CETBodytext"/>
      </w:pPr>
      <w:r>
        <w:t>It</w:t>
      </w:r>
      <w:r w:rsidR="00B04BD3" w:rsidRPr="00E50618">
        <w:rPr>
          <w:lang w:val="en-GB"/>
        </w:rPr>
        <w:t xml:space="preserve"> </w:t>
      </w:r>
      <w:r w:rsidR="00287578">
        <w:rPr>
          <w:lang w:val="en-GB"/>
        </w:rPr>
        <w:t>is</w:t>
      </w:r>
      <w:r w:rsidR="00B04BD3" w:rsidRPr="00E50618">
        <w:rPr>
          <w:lang w:val="en-GB"/>
        </w:rPr>
        <w:t xml:space="preserve"> approximately </w:t>
      </w:r>
      <w:r w:rsidR="005760EE">
        <w:rPr>
          <w:lang w:val="en-GB"/>
        </w:rPr>
        <w:t xml:space="preserve">0.06 </w:t>
      </w:r>
      <w:r w:rsidR="00CD6DED" w:rsidRPr="00E50618">
        <w:rPr>
          <w:lang w:val="en-GB"/>
        </w:rPr>
        <w:t>€</w:t>
      </w:r>
      <w:r w:rsidR="00CD6DED">
        <w:rPr>
          <w:lang w:val="en-GB"/>
        </w:rPr>
        <w:t>/Nm</w:t>
      </w:r>
      <w:r w:rsidR="00CD6DED" w:rsidRPr="00CD6DED">
        <w:rPr>
          <w:vertAlign w:val="superscript"/>
          <w:lang w:val="en-GB"/>
        </w:rPr>
        <w:t>3</w:t>
      </w:r>
      <w:r w:rsidR="00B04BD3" w:rsidRPr="00E50618">
        <w:rPr>
          <w:lang w:val="en-GB"/>
        </w:rPr>
        <w:t xml:space="preserve"> for water scrubbing and 0.25 </w:t>
      </w:r>
      <w:r w:rsidR="00CD6DED" w:rsidRPr="00E50618">
        <w:rPr>
          <w:lang w:val="en-GB"/>
        </w:rPr>
        <w:t>€</w:t>
      </w:r>
      <w:r w:rsidR="00CD6DED">
        <w:rPr>
          <w:lang w:val="en-GB"/>
        </w:rPr>
        <w:t>/Nm</w:t>
      </w:r>
      <w:r w:rsidR="00CD6DED" w:rsidRPr="00CD6DED">
        <w:rPr>
          <w:vertAlign w:val="superscript"/>
          <w:lang w:val="en-GB"/>
        </w:rPr>
        <w:t>3</w:t>
      </w:r>
      <w:r w:rsidR="00CD6DED" w:rsidRPr="00CD6DED">
        <w:rPr>
          <w:lang w:val="en-GB"/>
        </w:rPr>
        <w:t xml:space="preserve"> </w:t>
      </w:r>
      <w:r w:rsidR="00B04BD3" w:rsidRPr="00E50618">
        <w:rPr>
          <w:lang w:val="en-GB"/>
        </w:rPr>
        <w:t>for direct methanation</w:t>
      </w:r>
      <w:r w:rsidR="005760EE">
        <w:rPr>
          <w:lang w:val="en-GB"/>
        </w:rPr>
        <w:t xml:space="preserve">. </w:t>
      </w:r>
      <w:r w:rsidR="00B04BD3" w:rsidRPr="00E50618">
        <w:rPr>
          <w:lang w:val="en-GB"/>
        </w:rPr>
        <w:t xml:space="preserve">Labor and maintenance costs are 0.036 </w:t>
      </w:r>
      <w:r w:rsidR="00CD6DED" w:rsidRPr="00E50618">
        <w:rPr>
          <w:lang w:val="en-GB"/>
        </w:rPr>
        <w:t>€</w:t>
      </w:r>
      <w:r w:rsidR="00CD6DED">
        <w:rPr>
          <w:lang w:val="en-GB"/>
        </w:rPr>
        <w:t>/Nm</w:t>
      </w:r>
      <w:r w:rsidR="00CD6DED" w:rsidRPr="00CD6DED">
        <w:rPr>
          <w:vertAlign w:val="superscript"/>
          <w:lang w:val="en-GB"/>
        </w:rPr>
        <w:t>3</w:t>
      </w:r>
      <w:r w:rsidR="00B04BD3" w:rsidRPr="00E50618">
        <w:rPr>
          <w:lang w:val="en-GB"/>
        </w:rPr>
        <w:t xml:space="preserve"> and 0.022 </w:t>
      </w:r>
      <w:r w:rsidR="00CD6DED" w:rsidRPr="00E50618">
        <w:rPr>
          <w:lang w:val="en-GB"/>
        </w:rPr>
        <w:t>€</w:t>
      </w:r>
      <w:r w:rsidR="00CD6DED">
        <w:rPr>
          <w:lang w:val="en-GB"/>
        </w:rPr>
        <w:t>/Nm</w:t>
      </w:r>
      <w:r w:rsidR="00CD6DED" w:rsidRPr="00CD6DED">
        <w:rPr>
          <w:vertAlign w:val="superscript"/>
          <w:lang w:val="en-GB"/>
        </w:rPr>
        <w:t>3</w:t>
      </w:r>
      <w:r w:rsidR="00B04BD3" w:rsidRPr="00E50618">
        <w:rPr>
          <w:lang w:val="en-GB"/>
        </w:rPr>
        <w:t xml:space="preserve"> for water scrubbing and 0.072 </w:t>
      </w:r>
      <w:r w:rsidR="00CD6DED" w:rsidRPr="00E50618">
        <w:rPr>
          <w:lang w:val="en-GB"/>
        </w:rPr>
        <w:t>€</w:t>
      </w:r>
      <w:r w:rsidR="00CD6DED">
        <w:rPr>
          <w:lang w:val="en-GB"/>
        </w:rPr>
        <w:t>/Nm</w:t>
      </w:r>
      <w:r w:rsidR="00CD6DED" w:rsidRPr="00CD6DED">
        <w:rPr>
          <w:vertAlign w:val="superscript"/>
          <w:lang w:val="en-GB"/>
        </w:rPr>
        <w:t>3</w:t>
      </w:r>
      <w:r w:rsidR="00CD6DED" w:rsidRPr="00CD6DED">
        <w:rPr>
          <w:lang w:val="en-GB"/>
        </w:rPr>
        <w:t xml:space="preserve"> </w:t>
      </w:r>
      <w:r w:rsidR="00B04BD3" w:rsidRPr="00E50618">
        <w:rPr>
          <w:lang w:val="en-GB"/>
        </w:rPr>
        <w:t xml:space="preserve">and 0.093 </w:t>
      </w:r>
      <w:r w:rsidR="00CD6DED" w:rsidRPr="00E50618">
        <w:rPr>
          <w:lang w:val="en-GB"/>
        </w:rPr>
        <w:t>€</w:t>
      </w:r>
      <w:r w:rsidR="00CD6DED">
        <w:rPr>
          <w:lang w:val="en-GB"/>
        </w:rPr>
        <w:t>/Nm</w:t>
      </w:r>
      <w:r w:rsidR="00CD6DED" w:rsidRPr="00CD6DED">
        <w:rPr>
          <w:vertAlign w:val="superscript"/>
          <w:lang w:val="en-GB"/>
        </w:rPr>
        <w:t>3</w:t>
      </w:r>
      <w:r w:rsidR="00B04BD3" w:rsidRPr="00E50618">
        <w:rPr>
          <w:lang w:val="en-GB"/>
        </w:rPr>
        <w:t xml:space="preserve"> for methanation, respectively. The cost of electricity is 0.05 €/Nm</w:t>
      </w:r>
      <w:r w:rsidR="00287578" w:rsidRPr="00FB7347">
        <w:rPr>
          <w:vertAlign w:val="superscript"/>
          <w:lang w:val="en-GB"/>
        </w:rPr>
        <w:t>3</w:t>
      </w:r>
      <w:r w:rsidR="00B04BD3" w:rsidRPr="00E50618">
        <w:rPr>
          <w:lang w:val="en-GB"/>
        </w:rPr>
        <w:t xml:space="preserve"> for water scrubbing </w:t>
      </w:r>
      <w:r w:rsidR="001D2077">
        <w:rPr>
          <w:lang w:val="en-GB"/>
        </w:rPr>
        <w:t xml:space="preserve">in the current energy production while for the renewable scenario under the assumption </w:t>
      </w:r>
      <w:r w:rsidR="001D2077" w:rsidRPr="001D2077">
        <w:rPr>
          <w:lang w:val="en-GB"/>
        </w:rPr>
        <w:t xml:space="preserve">made is </w:t>
      </w:r>
      <w:r w:rsidR="001D2077">
        <w:rPr>
          <w:lang w:val="en-GB"/>
        </w:rPr>
        <w:t>zero</w:t>
      </w:r>
      <w:r w:rsidR="00B04BD3" w:rsidRPr="00E50618">
        <w:rPr>
          <w:lang w:val="en-GB"/>
        </w:rPr>
        <w:t>.</w:t>
      </w:r>
      <w:r w:rsidR="00287578">
        <w:rPr>
          <w:lang w:val="en-GB"/>
        </w:rPr>
        <w:t xml:space="preserve"> </w:t>
      </w:r>
      <w:r w:rsidR="00A148B8" w:rsidRPr="00E50618">
        <w:t xml:space="preserve">The purchase of biogas represents the largest expense in water scrubbing, accounting for about </w:t>
      </w:r>
      <w:r w:rsidR="001D2077" w:rsidRPr="00E50618">
        <w:rPr>
          <w:lang w:val="en-GB"/>
        </w:rPr>
        <w:t>0.5</w:t>
      </w:r>
      <w:r w:rsidR="001D2077">
        <w:rPr>
          <w:lang w:val="en-GB"/>
        </w:rPr>
        <w:t>0</w:t>
      </w:r>
      <w:r w:rsidR="001D2077" w:rsidRPr="00E50618">
        <w:rPr>
          <w:lang w:val="en-GB"/>
        </w:rPr>
        <w:t xml:space="preserve"> €/Nm</w:t>
      </w:r>
      <w:r w:rsidR="001D2077" w:rsidRPr="00FB7347">
        <w:rPr>
          <w:vertAlign w:val="superscript"/>
          <w:lang w:val="en-GB"/>
        </w:rPr>
        <w:t>3</w:t>
      </w:r>
      <w:r w:rsidR="001D2077" w:rsidRPr="00E50618">
        <w:rPr>
          <w:lang w:val="en-GB"/>
        </w:rPr>
        <w:t xml:space="preserve"> </w:t>
      </w:r>
      <w:r w:rsidR="00A148B8" w:rsidRPr="00E50618">
        <w:t>of biomethane</w:t>
      </w:r>
      <w:r w:rsidR="005760EE">
        <w:t xml:space="preserve"> cost</w:t>
      </w:r>
      <w:r w:rsidR="00CD6DED">
        <w:t>, while</w:t>
      </w:r>
      <w:r w:rsidR="00A148B8" w:rsidRPr="00E50618">
        <w:t xml:space="preserve"> in the case of methanation</w:t>
      </w:r>
      <w:r w:rsidR="005760EE">
        <w:t>,</w:t>
      </w:r>
      <w:r w:rsidR="00CD6DED">
        <w:t xml:space="preserve"> </w:t>
      </w:r>
      <w:r w:rsidR="005760EE">
        <w:t xml:space="preserve">it </w:t>
      </w:r>
      <w:r w:rsidR="00A148B8" w:rsidRPr="00E50618">
        <w:t>affect</w:t>
      </w:r>
      <w:r w:rsidR="00CD6DED">
        <w:t>s</w:t>
      </w:r>
      <w:r w:rsidR="00A148B8" w:rsidRPr="00E50618">
        <w:t xml:space="preserve"> </w:t>
      </w:r>
      <w:r w:rsidR="00CD6DED">
        <w:t xml:space="preserve">the </w:t>
      </w:r>
      <w:r w:rsidR="00A148B8" w:rsidRPr="00E50618">
        <w:t xml:space="preserve">cost of biomethane by about </w:t>
      </w:r>
      <w:r w:rsidR="001D2077">
        <w:t>0.30</w:t>
      </w:r>
      <w:r w:rsidR="001D2077" w:rsidRPr="00E50618">
        <w:rPr>
          <w:lang w:val="en-GB"/>
        </w:rPr>
        <w:t xml:space="preserve"> €/Nm</w:t>
      </w:r>
      <w:r w:rsidR="001D2077" w:rsidRPr="00FB7347">
        <w:rPr>
          <w:vertAlign w:val="superscript"/>
          <w:lang w:val="en-GB"/>
        </w:rPr>
        <w:t>3</w:t>
      </w:r>
      <w:r w:rsidR="00A148B8" w:rsidRPr="00E50618">
        <w:t xml:space="preserve">. </w:t>
      </w:r>
      <w:r w:rsidR="00E830B2" w:rsidRPr="00E830B2">
        <w:t xml:space="preserve">This difference </w:t>
      </w:r>
      <w:r w:rsidR="00E830B2">
        <w:t xml:space="preserve">partially </w:t>
      </w:r>
      <w:r w:rsidR="00E830B2" w:rsidRPr="00E830B2">
        <w:t>arises from the fact that water scrubbing requires a biogas flow rate 1.66 times higher than that needed for methanation to achieve the same biomethane output.</w:t>
      </w:r>
      <w:r w:rsidR="00E830B2">
        <w:t xml:space="preserve"> </w:t>
      </w:r>
      <w:r w:rsidR="00A148B8" w:rsidRPr="00E50618">
        <w:t>The cost of water is negligible for both systems.</w:t>
      </w:r>
      <w:r w:rsidR="00287578">
        <w:t xml:space="preserve"> </w:t>
      </w:r>
      <w:r w:rsidR="00287578">
        <w:rPr>
          <w:lang w:val="en-GB"/>
        </w:rPr>
        <w:t xml:space="preserve">The carbon tax contributes 0.032 </w:t>
      </w:r>
      <w:r w:rsidR="00CD6DED" w:rsidRPr="00E50618">
        <w:rPr>
          <w:lang w:val="en-GB"/>
        </w:rPr>
        <w:t>€</w:t>
      </w:r>
      <w:r w:rsidR="00CD6DED">
        <w:rPr>
          <w:lang w:val="en-GB"/>
        </w:rPr>
        <w:t>/Nm</w:t>
      </w:r>
      <w:r w:rsidR="00CD6DED" w:rsidRPr="00CD6DED">
        <w:rPr>
          <w:vertAlign w:val="superscript"/>
          <w:lang w:val="en-GB"/>
        </w:rPr>
        <w:t>3</w:t>
      </w:r>
      <w:r w:rsidR="00287578">
        <w:rPr>
          <w:lang w:val="en-GB"/>
        </w:rPr>
        <w:t xml:space="preserve"> for water scrubbing</w:t>
      </w:r>
      <w:r w:rsidR="00A148B8" w:rsidRPr="00E50618">
        <w:rPr>
          <w:lang w:val="en-GB"/>
        </w:rPr>
        <w:t xml:space="preserve">, while </w:t>
      </w:r>
      <w:r w:rsidR="00287578">
        <w:rPr>
          <w:lang w:val="en-GB"/>
        </w:rPr>
        <w:t xml:space="preserve">heat credits allow a profit of 0.043 </w:t>
      </w:r>
      <w:r w:rsidR="00CD6DED" w:rsidRPr="00E50618">
        <w:rPr>
          <w:lang w:val="en-GB"/>
        </w:rPr>
        <w:t>€</w:t>
      </w:r>
      <w:r w:rsidR="00CD6DED">
        <w:rPr>
          <w:lang w:val="en-GB"/>
        </w:rPr>
        <w:t>/Nm</w:t>
      </w:r>
      <w:r w:rsidR="00CD6DED" w:rsidRPr="00CD6DED">
        <w:rPr>
          <w:vertAlign w:val="superscript"/>
          <w:lang w:val="en-GB"/>
        </w:rPr>
        <w:t>3</w:t>
      </w:r>
      <w:r w:rsidR="00287578">
        <w:rPr>
          <w:lang w:val="en-GB"/>
        </w:rPr>
        <w:t xml:space="preserve"> for direct methanation</w:t>
      </w:r>
      <w:r w:rsidR="00A148B8" w:rsidRPr="00E50618">
        <w:rPr>
          <w:lang w:val="en-GB"/>
        </w:rPr>
        <w:t xml:space="preserve">. </w:t>
      </w:r>
      <w:r w:rsidR="00CD6DED">
        <w:rPr>
          <w:lang w:val="en-GB"/>
        </w:rPr>
        <w:t>Overall, t</w:t>
      </w:r>
      <w:r w:rsidR="00287578" w:rsidRPr="00E50618">
        <w:rPr>
          <w:lang w:val="en-GB"/>
        </w:rPr>
        <w:t>he LCC analysis reveals that</w:t>
      </w:r>
      <w:r w:rsidR="001D2077">
        <w:rPr>
          <w:lang w:val="en-GB"/>
        </w:rPr>
        <w:t xml:space="preserve"> biomethane produced by </w:t>
      </w:r>
      <w:r w:rsidR="001D2077" w:rsidRPr="00E50618">
        <w:rPr>
          <w:lang w:val="en-GB"/>
        </w:rPr>
        <w:t>water scrubbing</w:t>
      </w:r>
      <w:r w:rsidR="00287578" w:rsidRPr="00E50618">
        <w:rPr>
          <w:lang w:val="en-GB"/>
        </w:rPr>
        <w:t xml:space="preserve"> </w:t>
      </w:r>
      <w:r w:rsidR="00287578">
        <w:rPr>
          <w:lang w:val="en-GB"/>
        </w:rPr>
        <w:t>costs</w:t>
      </w:r>
      <w:r w:rsidR="00287578" w:rsidRPr="00E50618">
        <w:rPr>
          <w:lang w:val="en-GB"/>
        </w:rPr>
        <w:t xml:space="preserve"> 0.708 </w:t>
      </w:r>
      <w:r w:rsidR="00CD6DED" w:rsidRPr="00E50618">
        <w:rPr>
          <w:lang w:val="en-GB"/>
        </w:rPr>
        <w:t>€</w:t>
      </w:r>
      <w:r w:rsidR="00CD6DED">
        <w:rPr>
          <w:lang w:val="en-GB"/>
        </w:rPr>
        <w:t>/Nm</w:t>
      </w:r>
      <w:r w:rsidR="00CD6DED" w:rsidRPr="00CD6DED">
        <w:rPr>
          <w:vertAlign w:val="superscript"/>
          <w:lang w:val="en-GB"/>
        </w:rPr>
        <w:t>3</w:t>
      </w:r>
      <w:r w:rsidR="00287578" w:rsidRPr="00E50618">
        <w:rPr>
          <w:lang w:val="en-GB"/>
        </w:rPr>
        <w:t xml:space="preserve"> </w:t>
      </w:r>
      <w:r w:rsidR="001D2077">
        <w:rPr>
          <w:lang w:val="en-GB"/>
        </w:rPr>
        <w:t xml:space="preserve">with the current energy production mix and </w:t>
      </w:r>
      <w:r w:rsidR="001D2077" w:rsidRPr="00E50618">
        <w:rPr>
          <w:lang w:val="en-GB"/>
        </w:rPr>
        <w:t>0.</w:t>
      </w:r>
      <w:r w:rsidR="001D2077">
        <w:rPr>
          <w:lang w:val="en-GB"/>
        </w:rPr>
        <w:t>65</w:t>
      </w:r>
      <w:r w:rsidR="001D2077" w:rsidRPr="00E50618">
        <w:rPr>
          <w:lang w:val="en-GB"/>
        </w:rPr>
        <w:t>8 €</w:t>
      </w:r>
      <w:r w:rsidR="001D2077">
        <w:rPr>
          <w:lang w:val="en-GB"/>
        </w:rPr>
        <w:t>/Nm</w:t>
      </w:r>
      <w:r w:rsidR="001D2077" w:rsidRPr="00CD6DED">
        <w:rPr>
          <w:vertAlign w:val="superscript"/>
          <w:lang w:val="en-GB"/>
        </w:rPr>
        <w:t>3</w:t>
      </w:r>
      <w:r w:rsidR="001D2077" w:rsidRPr="00E50618">
        <w:rPr>
          <w:lang w:val="en-GB"/>
        </w:rPr>
        <w:t xml:space="preserve"> </w:t>
      </w:r>
      <w:r w:rsidR="001D2077">
        <w:rPr>
          <w:lang w:val="en-GB"/>
        </w:rPr>
        <w:t>in the renewable energy scenario; while</w:t>
      </w:r>
      <w:r w:rsidR="001D2077" w:rsidRPr="00E50618">
        <w:rPr>
          <w:lang w:val="en-GB"/>
        </w:rPr>
        <w:t xml:space="preserve"> </w:t>
      </w:r>
      <w:r w:rsidR="001D2077">
        <w:rPr>
          <w:lang w:val="en-GB"/>
        </w:rPr>
        <w:t xml:space="preserve">biomethane produced via biogas </w:t>
      </w:r>
      <w:r w:rsidR="001D2077" w:rsidRPr="00E50618">
        <w:rPr>
          <w:lang w:val="en-GB"/>
        </w:rPr>
        <w:t>direct methanation</w:t>
      </w:r>
      <w:r w:rsidR="001D2077">
        <w:rPr>
          <w:lang w:val="en-GB"/>
        </w:rPr>
        <w:t xml:space="preserve"> costs 0.668</w:t>
      </w:r>
      <w:r w:rsidR="00287578" w:rsidRPr="00E50618">
        <w:rPr>
          <w:lang w:val="en-GB"/>
        </w:rPr>
        <w:t xml:space="preserve"> </w:t>
      </w:r>
      <w:r w:rsidR="00CD6DED" w:rsidRPr="00E50618">
        <w:rPr>
          <w:lang w:val="en-GB"/>
        </w:rPr>
        <w:t>€</w:t>
      </w:r>
      <w:r w:rsidR="00CD6DED">
        <w:rPr>
          <w:lang w:val="en-GB"/>
        </w:rPr>
        <w:t>/Nm</w:t>
      </w:r>
      <w:r w:rsidR="00CD6DED" w:rsidRPr="00CD6DED">
        <w:rPr>
          <w:vertAlign w:val="superscript"/>
          <w:lang w:val="en-GB"/>
        </w:rPr>
        <w:t>3</w:t>
      </w:r>
      <w:r w:rsidR="00287578" w:rsidRPr="00E50618">
        <w:rPr>
          <w:lang w:val="en-GB"/>
        </w:rPr>
        <w:t>.</w:t>
      </w:r>
      <w:r w:rsidR="00E830B2">
        <w:rPr>
          <w:lang w:val="en-GB"/>
        </w:rPr>
        <w:t xml:space="preserve"> Note that </w:t>
      </w:r>
      <w:r w:rsidR="00E830B2" w:rsidRPr="00E830B2">
        <w:t>biogas costs significantly influence the final biomethane price, representing approximately 90% of the total cost in the water scrubbing scenario.</w:t>
      </w:r>
    </w:p>
    <w:p w14:paraId="68D26B83" w14:textId="5B6584AA" w:rsidR="00600535" w:rsidRPr="00E50618" w:rsidRDefault="00600535" w:rsidP="006B15DF">
      <w:pPr>
        <w:pStyle w:val="CETHeading1"/>
      </w:pPr>
      <w:r w:rsidRPr="00E50618">
        <w:lastRenderedPageBreak/>
        <w:t>Conclusions</w:t>
      </w:r>
    </w:p>
    <w:p w14:paraId="303CC4EE" w14:textId="1280902C" w:rsidR="005C7537" w:rsidRDefault="00C03B29" w:rsidP="00C110EC">
      <w:pPr>
        <w:pStyle w:val="CETBodytext"/>
      </w:pPr>
      <w:r w:rsidRPr="001D783B">
        <w:t>T</w:t>
      </w:r>
      <w:r w:rsidR="005C7537" w:rsidRPr="001D783B">
        <w:t xml:space="preserve">he </w:t>
      </w:r>
      <w:r w:rsidR="00CD6DED" w:rsidRPr="001D783B">
        <w:t>LCA</w:t>
      </w:r>
      <w:r w:rsidR="005C7537" w:rsidRPr="001D783B">
        <w:t xml:space="preserve"> indicates that direct methanation </w:t>
      </w:r>
      <w:r w:rsidR="00CD6DED" w:rsidRPr="001D783B">
        <w:t>outperforms water scrubbing in all impact categories</w:t>
      </w:r>
      <w:r w:rsidRPr="001D783B">
        <w:t xml:space="preserve">, </w:t>
      </w:r>
      <w:r w:rsidR="001D783B" w:rsidRPr="003B35A6">
        <w:t>resulting in a reduction of CO</w:t>
      </w:r>
      <w:r w:rsidR="001D783B" w:rsidRPr="003B35A6">
        <w:rPr>
          <w:vertAlign w:val="subscript"/>
        </w:rPr>
        <w:t>2</w:t>
      </w:r>
      <w:r w:rsidR="001D783B" w:rsidRPr="003B35A6">
        <w:t>-equivalent emissions by</w:t>
      </w:r>
      <w:r w:rsidRPr="001D783B">
        <w:t xml:space="preserve"> 1.49</w:t>
      </w:r>
      <w:r w:rsidRPr="003B35A6">
        <w:t xml:space="preserve"> kg</w:t>
      </w:r>
      <w:r w:rsidRPr="003B35A6">
        <w:rPr>
          <w:vertAlign w:val="subscript"/>
        </w:rPr>
        <w:t>CO2eq</w:t>
      </w:r>
      <w:r w:rsidRPr="003B35A6">
        <w:t xml:space="preserve"> </w:t>
      </w:r>
      <w:r w:rsidR="001D783B" w:rsidRPr="001D783B">
        <w:t>per normal cubic meter of biomethane produced. From an economic perspective, assuming the electricity used is generated from surplus wind energy and available at zero cost, the cost of biomethane production via direct methanation is</w:t>
      </w:r>
      <w:r w:rsidR="005C7537" w:rsidRPr="00E50618">
        <w:t xml:space="preserve"> 0.6</w:t>
      </w:r>
      <w:r>
        <w:t>7</w:t>
      </w:r>
      <w:r w:rsidR="005C7537" w:rsidRPr="00E50618">
        <w:t xml:space="preserve"> </w:t>
      </w:r>
      <w:r w:rsidR="00CD6DED" w:rsidRPr="00E50618">
        <w:rPr>
          <w:lang w:val="en-GB"/>
        </w:rPr>
        <w:t>€</w:t>
      </w:r>
      <w:r w:rsidR="00CD6DED">
        <w:rPr>
          <w:lang w:val="en-GB"/>
        </w:rPr>
        <w:t>/Nm</w:t>
      </w:r>
      <w:r w:rsidR="00CD6DED" w:rsidRPr="00CD6DED">
        <w:rPr>
          <w:vertAlign w:val="superscript"/>
          <w:lang w:val="en-GB"/>
        </w:rPr>
        <w:t>3</w:t>
      </w:r>
      <w:r w:rsidR="005C7537" w:rsidRPr="00E50618">
        <w:t xml:space="preserve">, making it </w:t>
      </w:r>
      <w:r w:rsidR="001D783B" w:rsidRPr="003B35A6">
        <w:t>economically competitive with water scrubbing, which costs</w:t>
      </w:r>
      <w:r w:rsidR="001D783B">
        <w:t xml:space="preserve"> </w:t>
      </w:r>
      <w:r w:rsidRPr="00E50618">
        <w:t>0.6</w:t>
      </w:r>
      <w:r>
        <w:t>6</w:t>
      </w:r>
      <w:r w:rsidRPr="00E50618">
        <w:t xml:space="preserve"> </w:t>
      </w:r>
      <w:r w:rsidRPr="00E50618">
        <w:rPr>
          <w:lang w:val="en-GB"/>
        </w:rPr>
        <w:t>€</w:t>
      </w:r>
      <w:r>
        <w:rPr>
          <w:lang w:val="en-GB"/>
        </w:rPr>
        <w:t>/Nm</w:t>
      </w:r>
      <w:r w:rsidRPr="00CD6DED">
        <w:rPr>
          <w:vertAlign w:val="superscript"/>
          <w:lang w:val="en-GB"/>
        </w:rPr>
        <w:t>3</w:t>
      </w:r>
      <w:r w:rsidR="005C7537" w:rsidRPr="00E50618">
        <w:t>.</w:t>
      </w:r>
    </w:p>
    <w:p w14:paraId="0EB87FB2" w14:textId="0738B3AD" w:rsidR="00D319F0" w:rsidRPr="00E830B2" w:rsidRDefault="00D319F0" w:rsidP="00D319F0">
      <w:pPr>
        <w:pStyle w:val="CETHeadingxx"/>
        <w:rPr>
          <w:lang w:val="it-IT"/>
        </w:rPr>
      </w:pPr>
      <w:proofErr w:type="spellStart"/>
      <w:r w:rsidRPr="00E830B2">
        <w:rPr>
          <w:lang w:val="it-IT"/>
        </w:rPr>
        <w:t>Acknowledgments</w:t>
      </w:r>
      <w:proofErr w:type="spellEnd"/>
    </w:p>
    <w:p w14:paraId="642F0D77" w14:textId="0177A2AA" w:rsidR="00D319F0" w:rsidRPr="00E830B2" w:rsidRDefault="00D319F0" w:rsidP="00D319F0">
      <w:pPr>
        <w:pStyle w:val="CETBodytext"/>
        <w:rPr>
          <w:lang w:val="it-IT"/>
        </w:rPr>
      </w:pPr>
      <w:r w:rsidRPr="00E830B2">
        <w:rPr>
          <w:lang w:val="it-IT"/>
        </w:rPr>
        <w:t xml:space="preserve">The </w:t>
      </w:r>
      <w:proofErr w:type="spellStart"/>
      <w:r w:rsidRPr="00E830B2">
        <w:rPr>
          <w:lang w:val="it-IT"/>
        </w:rPr>
        <w:t>precious</w:t>
      </w:r>
      <w:proofErr w:type="spellEnd"/>
      <w:r w:rsidRPr="00E830B2">
        <w:rPr>
          <w:lang w:val="it-IT"/>
        </w:rPr>
        <w:t xml:space="preserve"> help of Dr. Roberto Chirone (</w:t>
      </w:r>
      <w:r w:rsidR="003D3CC0" w:rsidRPr="003D3CC0">
        <w:rPr>
          <w:lang w:val="it-IT"/>
        </w:rPr>
        <w:t>Istituto di Scienze e Tecnologie per l'Energia e la Mobilità Sostenibili, Consiglio Nazionale Delle Ricerche, P.le V. Tecchio 80, Napoli, Italy</w:t>
      </w:r>
      <w:r w:rsidRPr="00E830B2">
        <w:rPr>
          <w:lang w:val="it-IT"/>
        </w:rPr>
        <w:t xml:space="preserve">) in running Aspen </w:t>
      </w:r>
      <w:proofErr w:type="spellStart"/>
      <w:r w:rsidRPr="00E830B2">
        <w:rPr>
          <w:lang w:val="it-IT"/>
        </w:rPr>
        <w:t>simulations</w:t>
      </w:r>
      <w:proofErr w:type="spellEnd"/>
      <w:r w:rsidRPr="00E830B2">
        <w:rPr>
          <w:lang w:val="it-IT"/>
        </w:rPr>
        <w:t xml:space="preserve"> </w:t>
      </w:r>
      <w:proofErr w:type="spellStart"/>
      <w:r w:rsidRPr="00E830B2">
        <w:rPr>
          <w:lang w:val="it-IT"/>
        </w:rPr>
        <w:t>is</w:t>
      </w:r>
      <w:proofErr w:type="spellEnd"/>
      <w:r w:rsidRPr="00E830B2">
        <w:rPr>
          <w:lang w:val="it-IT"/>
        </w:rPr>
        <w:t xml:space="preserve"> </w:t>
      </w:r>
      <w:proofErr w:type="spellStart"/>
      <w:r w:rsidRPr="00E830B2">
        <w:rPr>
          <w:lang w:val="it-IT"/>
        </w:rPr>
        <w:t>gratefully</w:t>
      </w:r>
      <w:proofErr w:type="spellEnd"/>
      <w:r w:rsidRPr="00E830B2">
        <w:rPr>
          <w:lang w:val="it-IT"/>
        </w:rPr>
        <w:t xml:space="preserve"> </w:t>
      </w:r>
      <w:proofErr w:type="spellStart"/>
      <w:r w:rsidRPr="00E830B2">
        <w:rPr>
          <w:lang w:val="it-IT"/>
        </w:rPr>
        <w:t>acknowledged</w:t>
      </w:r>
      <w:proofErr w:type="spellEnd"/>
      <w:r w:rsidRPr="00E830B2">
        <w:rPr>
          <w:lang w:val="it-IT"/>
        </w:rPr>
        <w:t>.</w:t>
      </w:r>
    </w:p>
    <w:p w14:paraId="07A6D20F" w14:textId="180924EF" w:rsidR="00280FAF" w:rsidRPr="00E50618" w:rsidRDefault="00280FAF" w:rsidP="00280FAF">
      <w:pPr>
        <w:pStyle w:val="CETHeadingxx"/>
        <w:rPr>
          <w:lang w:val="en-GB"/>
        </w:rPr>
        <w:sectPr w:rsidR="00280FAF" w:rsidRPr="00E50618" w:rsidSect="00DC73EE">
          <w:type w:val="continuous"/>
          <w:pgSz w:w="11906" w:h="16838" w:code="9"/>
          <w:pgMar w:top="1701" w:right="1418" w:bottom="1701" w:left="1701" w:header="1701" w:footer="0" w:gutter="0"/>
          <w:cols w:space="708"/>
          <w:formProt w:val="0"/>
          <w:titlePg/>
          <w:docGrid w:linePitch="360"/>
        </w:sectPr>
      </w:pPr>
      <w:r w:rsidRPr="00E50618">
        <w:t>Nomenclature</w:t>
      </w:r>
    </w:p>
    <w:p w14:paraId="4D04A438" w14:textId="664B236F" w:rsidR="00BD1492" w:rsidRPr="00E50618" w:rsidRDefault="00BD1492" w:rsidP="00BD1492">
      <w:pPr>
        <w:pStyle w:val="CETBodytext"/>
      </w:pPr>
      <w:r w:rsidRPr="00E50618">
        <w:t>d</w:t>
      </w:r>
      <w:r w:rsidRPr="00CD6DED">
        <w:rPr>
          <w:vertAlign w:val="subscript"/>
        </w:rPr>
        <w:t>m</w:t>
      </w:r>
      <w:r w:rsidRPr="00E50618">
        <w:t xml:space="preserve"> – Diameter of reactors, m</w:t>
      </w:r>
    </w:p>
    <w:p w14:paraId="05C2B7E7" w14:textId="662AF309" w:rsidR="00BD1492" w:rsidRPr="00E50618" w:rsidRDefault="00BD1492" w:rsidP="00BD1492">
      <w:pPr>
        <w:pStyle w:val="CETBodytext"/>
        <w:rPr>
          <w:rFonts w:eastAsia="SimSun"/>
        </w:rPr>
      </w:pPr>
      <w:proofErr w:type="spellStart"/>
      <w:r w:rsidRPr="00E50618">
        <w:rPr>
          <w:rFonts w:eastAsia="SimSun"/>
        </w:rPr>
        <w:t>d</w:t>
      </w:r>
      <w:r w:rsidRPr="00CD6DED">
        <w:rPr>
          <w:rFonts w:eastAsia="SimSun"/>
          <w:vertAlign w:val="subscript"/>
        </w:rPr>
        <w:t>p</w:t>
      </w:r>
      <w:proofErr w:type="spellEnd"/>
      <w:r w:rsidRPr="00E50618">
        <w:rPr>
          <w:rFonts w:eastAsia="SimSun"/>
        </w:rPr>
        <w:t xml:space="preserve"> – Catalyst diameter, mm</w:t>
      </w:r>
    </w:p>
    <w:p w14:paraId="3CDB5A5C" w14:textId="1A15D071" w:rsidR="00BD1492" w:rsidRPr="00E50618" w:rsidRDefault="00BD1492" w:rsidP="00BD1492">
      <w:pPr>
        <w:pStyle w:val="CETBodytext"/>
        <w:rPr>
          <w:rFonts w:eastAsia="SimSun"/>
        </w:rPr>
      </w:pPr>
      <w:proofErr w:type="spellStart"/>
      <w:r w:rsidRPr="00E50618">
        <w:rPr>
          <w:rFonts w:eastAsia="SimSun"/>
        </w:rPr>
        <w:t>ɛb</w:t>
      </w:r>
      <w:proofErr w:type="spellEnd"/>
      <w:r w:rsidRPr="00E50618">
        <w:rPr>
          <w:rFonts w:eastAsia="SimSun"/>
        </w:rPr>
        <w:t xml:space="preserve"> – Bed void fraction, -</w:t>
      </w:r>
    </w:p>
    <w:p w14:paraId="4569D027" w14:textId="095256C3" w:rsidR="00BD1492" w:rsidRPr="00E50618" w:rsidRDefault="00BD1492" w:rsidP="00BD1492">
      <w:pPr>
        <w:pStyle w:val="CETBodytext"/>
        <w:jc w:val="left"/>
        <w:rPr>
          <w:rFonts w:eastAsia="SimSun"/>
        </w:rPr>
      </w:pPr>
      <w:proofErr w:type="spellStart"/>
      <w:r w:rsidRPr="00E50618">
        <w:rPr>
          <w:rFonts w:eastAsia="SimSun"/>
        </w:rPr>
        <w:t>L</w:t>
      </w:r>
      <w:r w:rsidRPr="00CD6DED">
        <w:rPr>
          <w:rFonts w:eastAsia="SimSun"/>
          <w:vertAlign w:val="subscript"/>
        </w:rPr>
        <w:t>m</w:t>
      </w:r>
      <w:proofErr w:type="spellEnd"/>
      <w:r w:rsidRPr="00E50618">
        <w:rPr>
          <w:rFonts w:eastAsia="SimSun"/>
        </w:rPr>
        <w:t xml:space="preserve"> – Length of reactors</w:t>
      </w:r>
      <w:r w:rsidR="00CD6DED" w:rsidRPr="00E50618">
        <w:t>, m</w:t>
      </w:r>
    </w:p>
    <w:p w14:paraId="3107ABA0" w14:textId="0B583A2E" w:rsidR="00BD1492" w:rsidRPr="00E50618" w:rsidRDefault="00BD1492" w:rsidP="00BD1492">
      <w:pPr>
        <w:pStyle w:val="CETBodytext"/>
        <w:jc w:val="left"/>
        <w:rPr>
          <w:rFonts w:eastAsia="SimSun"/>
        </w:rPr>
      </w:pPr>
      <w:proofErr w:type="spellStart"/>
      <w:r w:rsidRPr="00E50618">
        <w:rPr>
          <w:rFonts w:eastAsia="SimSun"/>
        </w:rPr>
        <w:t>N</w:t>
      </w:r>
      <w:r w:rsidRPr="00CD6DED">
        <w:rPr>
          <w:rFonts w:eastAsia="SimSun"/>
          <w:vertAlign w:val="subscript"/>
        </w:rPr>
        <w:t>t</w:t>
      </w:r>
      <w:proofErr w:type="spellEnd"/>
      <w:r w:rsidRPr="00E50618">
        <w:rPr>
          <w:rFonts w:eastAsia="SimSun"/>
        </w:rPr>
        <w:t xml:space="preserve"> – Number of tubes in the cooled reactor, -</w:t>
      </w:r>
    </w:p>
    <w:p w14:paraId="3DB9C069" w14:textId="3986862E" w:rsidR="00BD1492" w:rsidRPr="00E50618" w:rsidRDefault="00BD1492" w:rsidP="00BD1492">
      <w:pPr>
        <w:pStyle w:val="CETBodytext"/>
        <w:jc w:val="left"/>
        <w:rPr>
          <w:rFonts w:eastAsia="SimSun"/>
        </w:rPr>
      </w:pPr>
      <w:r w:rsidRPr="00E50618">
        <w:rPr>
          <w:rFonts w:eastAsia="SimSun"/>
        </w:rPr>
        <w:t>p – Operating pressure, bar</w:t>
      </w:r>
    </w:p>
    <w:p w14:paraId="3C00F73F" w14:textId="2931E607" w:rsidR="00BD1492" w:rsidRPr="00E50618" w:rsidRDefault="00BD1492" w:rsidP="00BD1492">
      <w:pPr>
        <w:pStyle w:val="CETBodytext"/>
        <w:jc w:val="left"/>
        <w:rPr>
          <w:rFonts w:eastAsia="SimSun"/>
        </w:rPr>
      </w:pPr>
      <w:r w:rsidRPr="00E50618">
        <w:rPr>
          <w:rFonts w:eastAsia="SimSun"/>
        </w:rPr>
        <w:t>ρ – Catalyst density, kg/m</w:t>
      </w:r>
      <w:r w:rsidRPr="00CD6DED">
        <w:rPr>
          <w:rFonts w:eastAsia="SimSun"/>
          <w:vertAlign w:val="superscript"/>
        </w:rPr>
        <w:t>3</w:t>
      </w:r>
    </w:p>
    <w:p w14:paraId="5CB5D2D8" w14:textId="3F6CB86E" w:rsidR="00BD1492" w:rsidRPr="00E50618" w:rsidRDefault="00BD1492" w:rsidP="00BD1492">
      <w:pPr>
        <w:pStyle w:val="CETBodytext"/>
        <w:jc w:val="left"/>
        <w:rPr>
          <w:rFonts w:eastAsia="SimSun"/>
        </w:rPr>
      </w:pPr>
      <w:r w:rsidRPr="00E50618">
        <w:rPr>
          <w:rFonts w:eastAsia="SimSun"/>
        </w:rPr>
        <w:t>T – Temperature, °C</w:t>
      </w:r>
    </w:p>
    <w:p w14:paraId="2985ED8C" w14:textId="09D76369" w:rsidR="00BD1492" w:rsidRPr="00E50618" w:rsidRDefault="00BD1492" w:rsidP="00BD1492">
      <w:pPr>
        <w:pStyle w:val="CETBodytext"/>
        <w:jc w:val="left"/>
        <w:rPr>
          <w:rFonts w:eastAsia="SimSun"/>
        </w:rPr>
      </w:pPr>
      <w:r w:rsidRPr="00E50618">
        <w:rPr>
          <w:rFonts w:eastAsia="SimSun"/>
        </w:rPr>
        <w:t>U – Heat transfer coefficient, W/(m</w:t>
      </w:r>
      <w:r w:rsidRPr="00CD6DED">
        <w:rPr>
          <w:rFonts w:eastAsia="SimSun"/>
          <w:vertAlign w:val="superscript"/>
        </w:rPr>
        <w:t>2</w:t>
      </w:r>
      <w:bookmarkStart w:id="2" w:name="_Hlk184759775"/>
      <w:r w:rsidRPr="00E50618">
        <w:rPr>
          <w:rFonts w:eastAsia="SimSun"/>
        </w:rPr>
        <w:t>·</w:t>
      </w:r>
      <w:bookmarkEnd w:id="2"/>
      <w:r w:rsidRPr="00E50618">
        <w:rPr>
          <w:rFonts w:eastAsia="SimSun"/>
        </w:rPr>
        <w:t>K)</w:t>
      </w:r>
    </w:p>
    <w:p w14:paraId="38BFE636" w14:textId="1F5DAEE0" w:rsidR="00280FAF" w:rsidRPr="00E50618" w:rsidRDefault="00280FAF" w:rsidP="00280FAF">
      <w:pPr>
        <w:pStyle w:val="CETBodytext"/>
        <w:jc w:val="left"/>
        <w:rPr>
          <w:rFonts w:eastAsia="SimSun"/>
        </w:rPr>
        <w:sectPr w:rsidR="00280FAF" w:rsidRPr="00E50618" w:rsidSect="00DC73EE">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F73928" w:rsidRDefault="00600535" w:rsidP="00600535">
      <w:pPr>
        <w:pStyle w:val="CETReference"/>
        <w:rPr>
          <w:lang w:val="en-US"/>
        </w:rPr>
      </w:pPr>
      <w:r w:rsidRPr="00F73928">
        <w:rPr>
          <w:lang w:val="en-US"/>
        </w:rPr>
        <w:t>References</w:t>
      </w:r>
    </w:p>
    <w:p w14:paraId="322F432D" w14:textId="031BA936" w:rsidR="005717CE" w:rsidRPr="005717CE" w:rsidRDefault="000B10FA" w:rsidP="005717CE">
      <w:pPr>
        <w:widowControl w:val="0"/>
        <w:autoSpaceDE w:val="0"/>
        <w:autoSpaceDN w:val="0"/>
        <w:adjustRightInd w:val="0"/>
        <w:spacing w:line="240" w:lineRule="auto"/>
        <w:ind w:left="480" w:hanging="480"/>
        <w:rPr>
          <w:rFonts w:ascii="Arial" w:hAnsi="Arial" w:cs="Arial"/>
          <w:noProof/>
          <w:sz w:val="18"/>
        </w:rPr>
      </w:pPr>
      <w:r>
        <w:fldChar w:fldCharType="begin" w:fldLock="1"/>
      </w:r>
      <w:r>
        <w:instrText xml:space="preserve">ADDIN Mendeley Bibliography CSL_BIBLIOGRAPHY </w:instrText>
      </w:r>
      <w:r>
        <w:fldChar w:fldCharType="separate"/>
      </w:r>
      <w:r w:rsidR="005717CE" w:rsidRPr="005717CE">
        <w:rPr>
          <w:rFonts w:ascii="Arial" w:hAnsi="Arial" w:cs="Arial"/>
          <w:noProof/>
          <w:sz w:val="18"/>
        </w:rPr>
        <w:t xml:space="preserve">Bareschino, P., Chirone, R., Paulillo, A., Tregambi, C., Urciuolo, M., Pepe, F., Mancusi, E., 2024. </w:t>
      </w:r>
      <w:r w:rsidR="005717CE" w:rsidRPr="00F73928">
        <w:rPr>
          <w:rFonts w:ascii="Arial" w:hAnsi="Arial" w:cs="Arial"/>
          <w:noProof/>
          <w:sz w:val="18"/>
          <w:lang w:val="en-US"/>
        </w:rPr>
        <w:t xml:space="preserve">Techno-Economic and Environmental Analysis of a Sewage Sludge Alternative Treatment Combining Chemical Looping Combustion and a Power-to-Methane System. </w:t>
      </w:r>
      <w:r w:rsidR="005717CE" w:rsidRPr="005717CE">
        <w:rPr>
          <w:rFonts w:ascii="Arial" w:hAnsi="Arial" w:cs="Arial"/>
          <w:noProof/>
          <w:sz w:val="18"/>
        </w:rPr>
        <w:t>Energies.</w:t>
      </w:r>
      <w:r w:rsidR="00F73928">
        <w:rPr>
          <w:rFonts w:ascii="Arial" w:hAnsi="Arial" w:cs="Arial"/>
          <w:noProof/>
          <w:sz w:val="18"/>
        </w:rPr>
        <w:t xml:space="preserve"> 17, 901</w:t>
      </w:r>
      <w:r w:rsidR="005717CE" w:rsidRPr="005717CE">
        <w:rPr>
          <w:rFonts w:ascii="Arial" w:hAnsi="Arial" w:cs="Arial"/>
          <w:noProof/>
          <w:sz w:val="18"/>
        </w:rPr>
        <w:t xml:space="preserve"> https://doi.org/10.3390/en17040901</w:t>
      </w:r>
    </w:p>
    <w:p w14:paraId="5A30F0C2"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5717CE">
        <w:rPr>
          <w:rFonts w:ascii="Arial" w:hAnsi="Arial" w:cs="Arial"/>
          <w:noProof/>
          <w:sz w:val="18"/>
        </w:rPr>
        <w:t xml:space="preserve">Bareschino, P., Mancusi, E., Urciuolo, M., Coppola, A., Solimene, R., Pepe, F., Chirone, R., Salatino, P., 2020. </w:t>
      </w:r>
      <w:r w:rsidRPr="00F73928">
        <w:rPr>
          <w:rFonts w:ascii="Arial" w:hAnsi="Arial" w:cs="Arial"/>
          <w:noProof/>
          <w:sz w:val="18"/>
          <w:lang w:val="en-US"/>
        </w:rPr>
        <w:t>Modelling of a combined biomass CLC combustion and renewable-energy-based methane production system for CO2 utilization. Powder Technol. 373, 421–432. https://doi.org/10.1016/j.powtec.2020.06.059</w:t>
      </w:r>
    </w:p>
    <w:p w14:paraId="22913365"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F73928">
        <w:rPr>
          <w:rFonts w:ascii="Arial" w:hAnsi="Arial" w:cs="Arial"/>
          <w:noProof/>
          <w:sz w:val="18"/>
          <w:lang w:val="en-US"/>
        </w:rPr>
        <w:t>Cozma, P., Wukovits, W., Mǎmǎligǎ, I., Friedl, A., Gavrilescu, M., Mămăligă, I., Friedl, A., Gavrilescu, M., 2014. Modeling and simulation of high pressure water scrubbing technology applied for biogas upgrading. Clean Technol. Environ. Policy 17, 373–391. https://doi.org/10.1007/s10098-014-0787-7</w:t>
      </w:r>
    </w:p>
    <w:p w14:paraId="376D7944" w14:textId="77777777" w:rsidR="005717CE" w:rsidRPr="005717CE" w:rsidRDefault="005717CE" w:rsidP="005717CE">
      <w:pPr>
        <w:widowControl w:val="0"/>
        <w:autoSpaceDE w:val="0"/>
        <w:autoSpaceDN w:val="0"/>
        <w:adjustRightInd w:val="0"/>
        <w:spacing w:line="240" w:lineRule="auto"/>
        <w:ind w:left="480" w:hanging="480"/>
        <w:rPr>
          <w:rFonts w:ascii="Arial" w:hAnsi="Arial" w:cs="Arial"/>
          <w:noProof/>
          <w:sz w:val="18"/>
        </w:rPr>
      </w:pPr>
      <w:r w:rsidRPr="00F73928">
        <w:rPr>
          <w:rFonts w:ascii="Arial" w:hAnsi="Arial" w:cs="Arial"/>
          <w:noProof/>
          <w:sz w:val="18"/>
          <w:lang w:val="en-US"/>
        </w:rPr>
        <w:t xml:space="preserve">Jürgensen, L., Ehimen, E.A., Born, J., Holm-Nielsen, J.B., 2015. Dynamic biogas upgrading based on the Sabatier process: Thermodynamic and dynamic process simulation. </w:t>
      </w:r>
      <w:r w:rsidRPr="005717CE">
        <w:rPr>
          <w:rFonts w:ascii="Arial" w:hAnsi="Arial" w:cs="Arial"/>
          <w:noProof/>
          <w:sz w:val="18"/>
        </w:rPr>
        <w:t>Bioresour. Technol. 178, 323–329. https://doi.org/https://doi.org/10.1016/j.biortech.2014.10.069</w:t>
      </w:r>
    </w:p>
    <w:p w14:paraId="7DD1FBCB"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5717CE">
        <w:rPr>
          <w:rFonts w:ascii="Arial" w:hAnsi="Arial" w:cs="Arial"/>
          <w:noProof/>
          <w:sz w:val="18"/>
        </w:rPr>
        <w:t xml:space="preserve">Minardi, M., Marocco, P., Gandiglio, M., 2023. </w:t>
      </w:r>
      <w:r w:rsidRPr="00F73928">
        <w:rPr>
          <w:rFonts w:ascii="Arial" w:hAnsi="Arial" w:cs="Arial"/>
          <w:noProof/>
          <w:sz w:val="18"/>
          <w:lang w:val="en-US"/>
        </w:rPr>
        <w:t>Carbon recovery from biogas through upgrading and methanation: A techno-economic and environmental assessment. J. CO2 Util. 78, 102632. https://doi.org/https://doi.org/10.1016/j.jcou.2023.102632</w:t>
      </w:r>
    </w:p>
    <w:p w14:paraId="7BB58FA2"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5717CE">
        <w:rPr>
          <w:rFonts w:ascii="Arial" w:hAnsi="Arial" w:cs="Arial"/>
          <w:noProof/>
          <w:sz w:val="18"/>
        </w:rPr>
        <w:t xml:space="preserve">Noussan, M., Negro, V., Prussi, M., Chiaramonti, D., 2024. </w:t>
      </w:r>
      <w:r w:rsidRPr="00F73928">
        <w:rPr>
          <w:rFonts w:ascii="Arial" w:hAnsi="Arial" w:cs="Arial"/>
          <w:noProof/>
          <w:sz w:val="18"/>
          <w:lang w:val="en-US"/>
        </w:rPr>
        <w:t>The potential role of biomethane for the decarbonization of transport: An analysis of 2030 scenarios in Italy. Appl. Energy 355, 122322. https://doi.org/https://doi.org/10.1016/j.apenergy.2023.122322</w:t>
      </w:r>
    </w:p>
    <w:p w14:paraId="7F542179"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5717CE">
        <w:rPr>
          <w:rFonts w:ascii="Arial" w:hAnsi="Arial" w:cs="Arial"/>
          <w:noProof/>
          <w:sz w:val="18"/>
        </w:rPr>
        <w:t xml:space="preserve">Piso, G.C., Bareschino, P., Brachi, P., Tregambi, C., Ruoppolo, G., Pepe, F., Mancusi, E., 2023. </w:t>
      </w:r>
      <w:r w:rsidRPr="00F73928">
        <w:rPr>
          <w:rFonts w:ascii="Arial" w:hAnsi="Arial" w:cs="Arial"/>
          <w:noProof/>
          <w:sz w:val="18"/>
          <w:lang w:val="en-US"/>
        </w:rPr>
        <w:t>Numerical simulation of biogas chemical looping reforming in a dual fluidized bed reactor. Renew. Energy 212, 350–358. https://doi.org/10.1016/J.RENENE.2023.05.060</w:t>
      </w:r>
    </w:p>
    <w:p w14:paraId="59952740"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de-DE"/>
        </w:rPr>
      </w:pPr>
      <w:r w:rsidRPr="00F73928">
        <w:rPr>
          <w:rFonts w:ascii="Arial" w:hAnsi="Arial" w:cs="Arial"/>
          <w:noProof/>
          <w:sz w:val="18"/>
          <w:lang w:val="en-US"/>
        </w:rPr>
        <w:t xml:space="preserve">Sánchez, M., Amores, E., Abad, D., Rodríguez, L., Clemente-Jul, C., 2020. Aspen Plus model of an alkaline electrolysis system for hydrogen production. </w:t>
      </w:r>
      <w:r w:rsidRPr="00F73928">
        <w:rPr>
          <w:rFonts w:ascii="Arial" w:hAnsi="Arial" w:cs="Arial"/>
          <w:noProof/>
          <w:sz w:val="18"/>
          <w:lang w:val="de-DE"/>
        </w:rPr>
        <w:t>Int. J. Hydrogen Energy 45, 3916–3929. https://doi.org/https://doi.org/10.1016/j.ijhydene.2019.12.027</w:t>
      </w:r>
    </w:p>
    <w:p w14:paraId="4A0FABAC"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F73928">
        <w:rPr>
          <w:rFonts w:ascii="Arial" w:hAnsi="Arial" w:cs="Arial"/>
          <w:noProof/>
          <w:sz w:val="18"/>
          <w:lang w:val="de-DE"/>
        </w:rPr>
        <w:t xml:space="preserve">Sayyah, A., Ahangari, M., Mostafaei, J., Nabavi, S.R., Niaei, A., 2023. </w:t>
      </w:r>
      <w:r w:rsidRPr="00F73928">
        <w:rPr>
          <w:rFonts w:ascii="Arial" w:hAnsi="Arial" w:cs="Arial"/>
          <w:noProof/>
          <w:sz w:val="18"/>
          <w:lang w:val="en-US"/>
        </w:rPr>
        <w:t>Machine learning-based life cycle optimization for the carbon dioxide methanation process: Achieving environmental and productivity efficiency. J. Clean. Prod. 426, 139120. https://doi.org/https://doi.org/10.1016/j.jclepro.2023.139120</w:t>
      </w:r>
    </w:p>
    <w:p w14:paraId="5639D520"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F73928">
        <w:rPr>
          <w:rFonts w:ascii="Arial" w:hAnsi="Arial" w:cs="Arial"/>
          <w:noProof/>
          <w:sz w:val="18"/>
          <w:lang w:val="en-US"/>
        </w:rPr>
        <w:t>Singhal, S., Agarwal, S., Arora, S., Sharma, P., Singhal, N., 2017. Upgrading techniques for transformation of biogas to bio-CNG: a review. Int. J. Energy Res. 41, 1657–1669. https://doi.org/https://doi.org/10.1002/er.3719</w:t>
      </w:r>
    </w:p>
    <w:p w14:paraId="03B21F32" w14:textId="07535321" w:rsidR="005717CE" w:rsidRPr="003D3CC0" w:rsidRDefault="005717CE" w:rsidP="005717CE">
      <w:pPr>
        <w:widowControl w:val="0"/>
        <w:autoSpaceDE w:val="0"/>
        <w:autoSpaceDN w:val="0"/>
        <w:adjustRightInd w:val="0"/>
        <w:spacing w:line="240" w:lineRule="auto"/>
        <w:ind w:left="480" w:hanging="480"/>
        <w:rPr>
          <w:rFonts w:ascii="Arial" w:hAnsi="Arial" w:cs="Arial"/>
          <w:noProof/>
          <w:sz w:val="18"/>
          <w:lang w:val="en-US"/>
        </w:rPr>
      </w:pPr>
      <w:r w:rsidRPr="00F73928">
        <w:rPr>
          <w:rFonts w:ascii="Arial" w:hAnsi="Arial" w:cs="Arial"/>
          <w:noProof/>
          <w:sz w:val="18"/>
          <w:lang w:val="en-US"/>
        </w:rPr>
        <w:t>TERNA, 2024. Produzione 2023.</w:t>
      </w:r>
      <w:r w:rsidR="003D3CC0" w:rsidRPr="00F73928">
        <w:rPr>
          <w:rFonts w:ascii="Arial" w:hAnsi="Arial" w:cs="Arial"/>
          <w:noProof/>
          <w:sz w:val="18"/>
          <w:lang w:val="en-US"/>
        </w:rPr>
        <w:t xml:space="preserve"> </w:t>
      </w:r>
      <w:r w:rsidR="003D3CC0" w:rsidRPr="003D3CC0">
        <w:rPr>
          <w:rFonts w:ascii="Arial" w:hAnsi="Arial" w:cs="Arial"/>
          <w:noProof/>
          <w:sz w:val="18"/>
          <w:lang w:val="en-US"/>
        </w:rPr>
        <w:t xml:space="preserve">&lt;https://download.terna.it/terna/05_PRODUZIONE_8dd07bd5bba8a9e.pdf&gt; accessed </w:t>
      </w:r>
      <w:r w:rsidR="003D3CC0">
        <w:rPr>
          <w:rFonts w:ascii="Arial" w:hAnsi="Arial" w:cs="Arial"/>
          <w:noProof/>
          <w:sz w:val="18"/>
          <w:lang w:val="en-US"/>
        </w:rPr>
        <w:t>2</w:t>
      </w:r>
      <w:r w:rsidR="003D3CC0" w:rsidRPr="003D3CC0">
        <w:rPr>
          <w:rFonts w:ascii="Arial" w:hAnsi="Arial" w:cs="Arial"/>
          <w:noProof/>
          <w:sz w:val="18"/>
          <w:lang w:val="en-US"/>
        </w:rPr>
        <w:t>.</w:t>
      </w:r>
      <w:r w:rsidR="003D3CC0">
        <w:rPr>
          <w:rFonts w:ascii="Arial" w:hAnsi="Arial" w:cs="Arial"/>
          <w:noProof/>
          <w:sz w:val="18"/>
          <w:lang w:val="en-US"/>
        </w:rPr>
        <w:t>3</w:t>
      </w:r>
      <w:r w:rsidR="003D3CC0" w:rsidRPr="003D3CC0">
        <w:rPr>
          <w:rFonts w:ascii="Arial" w:hAnsi="Arial" w:cs="Arial"/>
          <w:noProof/>
          <w:sz w:val="18"/>
          <w:lang w:val="en-US"/>
        </w:rPr>
        <w:t>.20</w:t>
      </w:r>
      <w:r w:rsidR="003D3CC0">
        <w:rPr>
          <w:rFonts w:ascii="Arial" w:hAnsi="Arial" w:cs="Arial"/>
          <w:noProof/>
          <w:sz w:val="18"/>
          <w:lang w:val="en-US"/>
        </w:rPr>
        <w:t>25</w:t>
      </w:r>
      <w:r w:rsidR="003D3CC0" w:rsidRPr="003D3CC0">
        <w:rPr>
          <w:rFonts w:ascii="Arial" w:hAnsi="Arial" w:cs="Arial"/>
          <w:noProof/>
          <w:sz w:val="18"/>
          <w:lang w:val="en-US"/>
        </w:rPr>
        <w:t>.</w:t>
      </w:r>
    </w:p>
    <w:p w14:paraId="63636A39"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de-DE"/>
        </w:rPr>
      </w:pPr>
      <w:r w:rsidRPr="005717CE">
        <w:rPr>
          <w:rFonts w:ascii="Arial" w:hAnsi="Arial" w:cs="Arial"/>
          <w:noProof/>
          <w:sz w:val="18"/>
        </w:rPr>
        <w:t xml:space="preserve">Tommasi, M., Degerli, S.N., Ramis, G., Rossetti, I., 2024. </w:t>
      </w:r>
      <w:r w:rsidRPr="00F73928">
        <w:rPr>
          <w:rFonts w:ascii="Arial" w:hAnsi="Arial" w:cs="Arial"/>
          <w:noProof/>
          <w:sz w:val="18"/>
          <w:lang w:val="en-US"/>
        </w:rPr>
        <w:t xml:space="preserve">Advancements in CO2 methanation: A comprehensive review of catalysis, reactor design and process optimization. </w:t>
      </w:r>
      <w:r w:rsidRPr="00F73928">
        <w:rPr>
          <w:rFonts w:ascii="Arial" w:hAnsi="Arial" w:cs="Arial"/>
          <w:noProof/>
          <w:sz w:val="18"/>
          <w:lang w:val="de-DE"/>
        </w:rPr>
        <w:t>Chem. Eng. Res. Des. 201, 457–482. https://doi.org/https://doi.org/10.1016/j.cherd.2023.11.060</w:t>
      </w:r>
    </w:p>
    <w:p w14:paraId="77EEFB39" w14:textId="77777777" w:rsidR="005717CE" w:rsidRPr="00F73928" w:rsidRDefault="005717CE" w:rsidP="005717CE">
      <w:pPr>
        <w:widowControl w:val="0"/>
        <w:autoSpaceDE w:val="0"/>
        <w:autoSpaceDN w:val="0"/>
        <w:adjustRightInd w:val="0"/>
        <w:spacing w:line="240" w:lineRule="auto"/>
        <w:ind w:left="480" w:hanging="480"/>
        <w:rPr>
          <w:rFonts w:ascii="Arial" w:hAnsi="Arial" w:cs="Arial"/>
          <w:noProof/>
          <w:sz w:val="18"/>
          <w:lang w:val="de-DE"/>
        </w:rPr>
      </w:pPr>
      <w:r w:rsidRPr="00F73928">
        <w:rPr>
          <w:rFonts w:ascii="Arial" w:hAnsi="Arial" w:cs="Arial"/>
          <w:noProof/>
          <w:sz w:val="18"/>
          <w:lang w:val="fr-FR"/>
        </w:rPr>
        <w:t xml:space="preserve">Xu, J., Froment, G.F., 1989. </w:t>
      </w:r>
      <w:r w:rsidRPr="00F73928">
        <w:rPr>
          <w:rFonts w:ascii="Arial" w:hAnsi="Arial" w:cs="Arial"/>
          <w:noProof/>
          <w:sz w:val="18"/>
          <w:lang w:val="en-US"/>
        </w:rPr>
        <w:t xml:space="preserve">Methane steam reforming, methanation and water-gas shift: I. Intrinsic kinetics. </w:t>
      </w:r>
      <w:r w:rsidRPr="00F73928">
        <w:rPr>
          <w:rFonts w:ascii="Arial" w:hAnsi="Arial" w:cs="Arial"/>
          <w:noProof/>
          <w:sz w:val="18"/>
          <w:lang w:val="de-DE"/>
        </w:rPr>
        <w:t>AIChE J. 35, 88–96. https://doi.org/https://doi.org/10.1002/aic.690350109</w:t>
      </w:r>
    </w:p>
    <w:p w14:paraId="2628B6D7" w14:textId="77777777" w:rsidR="005717CE" w:rsidRPr="005717CE" w:rsidRDefault="005717CE" w:rsidP="005717CE">
      <w:pPr>
        <w:widowControl w:val="0"/>
        <w:autoSpaceDE w:val="0"/>
        <w:autoSpaceDN w:val="0"/>
        <w:adjustRightInd w:val="0"/>
        <w:spacing w:line="240" w:lineRule="auto"/>
        <w:ind w:left="480" w:hanging="480"/>
        <w:rPr>
          <w:rFonts w:ascii="Arial" w:hAnsi="Arial" w:cs="Arial"/>
          <w:noProof/>
          <w:sz w:val="18"/>
        </w:rPr>
      </w:pPr>
      <w:r w:rsidRPr="00F73928">
        <w:rPr>
          <w:rFonts w:ascii="Arial" w:hAnsi="Arial" w:cs="Arial"/>
          <w:noProof/>
          <w:sz w:val="18"/>
          <w:lang w:val="de-DE"/>
        </w:rPr>
        <w:t xml:space="preserve">Zhang, X., Witte, J., Schildhauer, T., Bauer, C., 2020. </w:t>
      </w:r>
      <w:r w:rsidRPr="00F73928">
        <w:rPr>
          <w:rFonts w:ascii="Arial" w:hAnsi="Arial" w:cs="Arial"/>
          <w:noProof/>
          <w:sz w:val="18"/>
          <w:lang w:val="en-US"/>
        </w:rPr>
        <w:t xml:space="preserve">Life cycle assessment of power-to-gas with biogas as the carbon source. </w:t>
      </w:r>
      <w:r w:rsidRPr="005717CE">
        <w:rPr>
          <w:rFonts w:ascii="Arial" w:hAnsi="Arial" w:cs="Arial"/>
          <w:noProof/>
          <w:sz w:val="18"/>
        </w:rPr>
        <w:t>Sustain. Energy Fuels 4, 1427–1436. https://doi.org/10.1039/c9se00986h</w:t>
      </w:r>
    </w:p>
    <w:p w14:paraId="4F64C146" w14:textId="16405D30" w:rsidR="001D2077" w:rsidRPr="003D3CC0" w:rsidRDefault="000B10FA" w:rsidP="003D3CC0">
      <w:pPr>
        <w:pStyle w:val="CETReferencetext"/>
        <w:ind w:left="0" w:firstLine="0"/>
        <w:rPr>
          <w:lang w:val="it-IT"/>
        </w:rPr>
      </w:pPr>
      <w:r>
        <w:rPr>
          <w:lang w:val="it-IT"/>
        </w:rPr>
        <w:fldChar w:fldCharType="end"/>
      </w:r>
    </w:p>
    <w:sectPr w:rsidR="001D2077" w:rsidRPr="003D3CC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51083" w14:textId="77777777" w:rsidR="00A70D50" w:rsidRDefault="00A70D50" w:rsidP="004F5E36">
      <w:r>
        <w:separator/>
      </w:r>
    </w:p>
  </w:endnote>
  <w:endnote w:type="continuationSeparator" w:id="0">
    <w:p w14:paraId="6C0909FD" w14:textId="77777777" w:rsidR="00A70D50" w:rsidRDefault="00A70D5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2A326" w14:textId="77777777" w:rsidR="00A70D50" w:rsidRDefault="00A70D50" w:rsidP="004F5E36">
      <w:r>
        <w:separator/>
      </w:r>
    </w:p>
  </w:footnote>
  <w:footnote w:type="continuationSeparator" w:id="0">
    <w:p w14:paraId="0576B2CB" w14:textId="77777777" w:rsidR="00A70D50" w:rsidRDefault="00A70D5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42F17"/>
    <w:rsid w:val="00051566"/>
    <w:rsid w:val="000562A9"/>
    <w:rsid w:val="00062A9A"/>
    <w:rsid w:val="00064B32"/>
    <w:rsid w:val="00065058"/>
    <w:rsid w:val="00070978"/>
    <w:rsid w:val="00072D57"/>
    <w:rsid w:val="0007405F"/>
    <w:rsid w:val="00086C39"/>
    <w:rsid w:val="0009432A"/>
    <w:rsid w:val="000A03B2"/>
    <w:rsid w:val="000A7868"/>
    <w:rsid w:val="000B10FA"/>
    <w:rsid w:val="000B6ECA"/>
    <w:rsid w:val="000C49DF"/>
    <w:rsid w:val="000C6C7A"/>
    <w:rsid w:val="000D0268"/>
    <w:rsid w:val="000D34BE"/>
    <w:rsid w:val="000E0B3C"/>
    <w:rsid w:val="000E102F"/>
    <w:rsid w:val="000E36F1"/>
    <w:rsid w:val="000E3A73"/>
    <w:rsid w:val="000E414A"/>
    <w:rsid w:val="000E75FD"/>
    <w:rsid w:val="000F093C"/>
    <w:rsid w:val="000F787B"/>
    <w:rsid w:val="0010676B"/>
    <w:rsid w:val="00111E44"/>
    <w:rsid w:val="0012091F"/>
    <w:rsid w:val="00121468"/>
    <w:rsid w:val="00126BC2"/>
    <w:rsid w:val="001308B6"/>
    <w:rsid w:val="0013121F"/>
    <w:rsid w:val="00131FE6"/>
    <w:rsid w:val="0013263F"/>
    <w:rsid w:val="00132672"/>
    <w:rsid w:val="001331DF"/>
    <w:rsid w:val="00134DE4"/>
    <w:rsid w:val="0014034D"/>
    <w:rsid w:val="00140FE3"/>
    <w:rsid w:val="00144D16"/>
    <w:rsid w:val="00150E59"/>
    <w:rsid w:val="001512C2"/>
    <w:rsid w:val="00151F9E"/>
    <w:rsid w:val="00152DE3"/>
    <w:rsid w:val="0015402C"/>
    <w:rsid w:val="00164CF9"/>
    <w:rsid w:val="0016668E"/>
    <w:rsid w:val="001667A6"/>
    <w:rsid w:val="00170416"/>
    <w:rsid w:val="00176DA9"/>
    <w:rsid w:val="00176EE1"/>
    <w:rsid w:val="0018171E"/>
    <w:rsid w:val="001818E7"/>
    <w:rsid w:val="00184AD6"/>
    <w:rsid w:val="0018763C"/>
    <w:rsid w:val="001A4258"/>
    <w:rsid w:val="001A4AF7"/>
    <w:rsid w:val="001A51D6"/>
    <w:rsid w:val="001A728D"/>
    <w:rsid w:val="001A741D"/>
    <w:rsid w:val="001B0349"/>
    <w:rsid w:val="001B1E93"/>
    <w:rsid w:val="001B65C1"/>
    <w:rsid w:val="001C260F"/>
    <w:rsid w:val="001C5C3A"/>
    <w:rsid w:val="001C684B"/>
    <w:rsid w:val="001D0CFB"/>
    <w:rsid w:val="001D2077"/>
    <w:rsid w:val="001D21AF"/>
    <w:rsid w:val="001D3D32"/>
    <w:rsid w:val="001D53FC"/>
    <w:rsid w:val="001D783B"/>
    <w:rsid w:val="001F42A5"/>
    <w:rsid w:val="001F5AD2"/>
    <w:rsid w:val="001F6A00"/>
    <w:rsid w:val="001F7B9D"/>
    <w:rsid w:val="00201C93"/>
    <w:rsid w:val="00203FC9"/>
    <w:rsid w:val="00215C63"/>
    <w:rsid w:val="002224B4"/>
    <w:rsid w:val="002348B3"/>
    <w:rsid w:val="0024031A"/>
    <w:rsid w:val="002447EF"/>
    <w:rsid w:val="00246755"/>
    <w:rsid w:val="00251550"/>
    <w:rsid w:val="00263B05"/>
    <w:rsid w:val="0027221A"/>
    <w:rsid w:val="00275159"/>
    <w:rsid w:val="00275B61"/>
    <w:rsid w:val="00276061"/>
    <w:rsid w:val="00280FAF"/>
    <w:rsid w:val="00282656"/>
    <w:rsid w:val="002838B3"/>
    <w:rsid w:val="00283FDB"/>
    <w:rsid w:val="00285860"/>
    <w:rsid w:val="00287578"/>
    <w:rsid w:val="00296B83"/>
    <w:rsid w:val="002A0844"/>
    <w:rsid w:val="002A3D18"/>
    <w:rsid w:val="002A4DAC"/>
    <w:rsid w:val="002B4015"/>
    <w:rsid w:val="002B78CE"/>
    <w:rsid w:val="002C2FB6"/>
    <w:rsid w:val="002D225F"/>
    <w:rsid w:val="002D2DC8"/>
    <w:rsid w:val="002D4A4E"/>
    <w:rsid w:val="002E5FA7"/>
    <w:rsid w:val="002F3309"/>
    <w:rsid w:val="002F5B68"/>
    <w:rsid w:val="003008CE"/>
    <w:rsid w:val="003009B7"/>
    <w:rsid w:val="00300E56"/>
    <w:rsid w:val="0030152C"/>
    <w:rsid w:val="0030469C"/>
    <w:rsid w:val="00304B85"/>
    <w:rsid w:val="00304CE8"/>
    <w:rsid w:val="00321CA6"/>
    <w:rsid w:val="00323763"/>
    <w:rsid w:val="00323C5F"/>
    <w:rsid w:val="003300DC"/>
    <w:rsid w:val="00334C09"/>
    <w:rsid w:val="00341A04"/>
    <w:rsid w:val="0036030D"/>
    <w:rsid w:val="003723D4"/>
    <w:rsid w:val="003749D7"/>
    <w:rsid w:val="0038037D"/>
    <w:rsid w:val="00381905"/>
    <w:rsid w:val="00384CC8"/>
    <w:rsid w:val="003871FD"/>
    <w:rsid w:val="00392694"/>
    <w:rsid w:val="00395323"/>
    <w:rsid w:val="003A1393"/>
    <w:rsid w:val="003A1E30"/>
    <w:rsid w:val="003A271A"/>
    <w:rsid w:val="003A2829"/>
    <w:rsid w:val="003A3587"/>
    <w:rsid w:val="003A7D1C"/>
    <w:rsid w:val="003B0475"/>
    <w:rsid w:val="003B1C16"/>
    <w:rsid w:val="003B2339"/>
    <w:rsid w:val="003B304B"/>
    <w:rsid w:val="003B3146"/>
    <w:rsid w:val="003B35A6"/>
    <w:rsid w:val="003B38C0"/>
    <w:rsid w:val="003B49CD"/>
    <w:rsid w:val="003C66AF"/>
    <w:rsid w:val="003D1E02"/>
    <w:rsid w:val="003D3CC0"/>
    <w:rsid w:val="003E2113"/>
    <w:rsid w:val="003E7219"/>
    <w:rsid w:val="003F015E"/>
    <w:rsid w:val="003F6CEC"/>
    <w:rsid w:val="00400414"/>
    <w:rsid w:val="00412729"/>
    <w:rsid w:val="0041446B"/>
    <w:rsid w:val="00415A42"/>
    <w:rsid w:val="00424BEA"/>
    <w:rsid w:val="0043261B"/>
    <w:rsid w:val="00435795"/>
    <w:rsid w:val="0044071E"/>
    <w:rsid w:val="00440803"/>
    <w:rsid w:val="0044329C"/>
    <w:rsid w:val="0044354B"/>
    <w:rsid w:val="00444AC8"/>
    <w:rsid w:val="00445F35"/>
    <w:rsid w:val="00453E24"/>
    <w:rsid w:val="00454E63"/>
    <w:rsid w:val="00457456"/>
    <w:rsid w:val="004577FE"/>
    <w:rsid w:val="00457B9C"/>
    <w:rsid w:val="0046164A"/>
    <w:rsid w:val="004628D2"/>
    <w:rsid w:val="00462DCD"/>
    <w:rsid w:val="004648AD"/>
    <w:rsid w:val="004703A9"/>
    <w:rsid w:val="004760DE"/>
    <w:rsid w:val="004763D7"/>
    <w:rsid w:val="00487FE8"/>
    <w:rsid w:val="00493701"/>
    <w:rsid w:val="00493866"/>
    <w:rsid w:val="00496185"/>
    <w:rsid w:val="004A004E"/>
    <w:rsid w:val="004A24CF"/>
    <w:rsid w:val="004A51AC"/>
    <w:rsid w:val="004C3D1D"/>
    <w:rsid w:val="004C3D84"/>
    <w:rsid w:val="004C7913"/>
    <w:rsid w:val="004D2DF6"/>
    <w:rsid w:val="004D4ED8"/>
    <w:rsid w:val="004E4DD6"/>
    <w:rsid w:val="004F4ABB"/>
    <w:rsid w:val="004F5E36"/>
    <w:rsid w:val="00507B47"/>
    <w:rsid w:val="00507BEF"/>
    <w:rsid w:val="00507CC9"/>
    <w:rsid w:val="005119A5"/>
    <w:rsid w:val="005210F3"/>
    <w:rsid w:val="005278B7"/>
    <w:rsid w:val="00532016"/>
    <w:rsid w:val="005346C8"/>
    <w:rsid w:val="00543E7D"/>
    <w:rsid w:val="00547A68"/>
    <w:rsid w:val="005531C9"/>
    <w:rsid w:val="00554636"/>
    <w:rsid w:val="00554879"/>
    <w:rsid w:val="00566D0F"/>
    <w:rsid w:val="00570C43"/>
    <w:rsid w:val="005717CE"/>
    <w:rsid w:val="005760EE"/>
    <w:rsid w:val="00591832"/>
    <w:rsid w:val="00592274"/>
    <w:rsid w:val="005B0DD0"/>
    <w:rsid w:val="005B2110"/>
    <w:rsid w:val="005B350B"/>
    <w:rsid w:val="005B61E6"/>
    <w:rsid w:val="005C1024"/>
    <w:rsid w:val="005C4EEC"/>
    <w:rsid w:val="005C7537"/>
    <w:rsid w:val="005C77E1"/>
    <w:rsid w:val="005D668A"/>
    <w:rsid w:val="005D6A2F"/>
    <w:rsid w:val="005E0592"/>
    <w:rsid w:val="005E06F7"/>
    <w:rsid w:val="005E0835"/>
    <w:rsid w:val="005E1A82"/>
    <w:rsid w:val="005E794C"/>
    <w:rsid w:val="005F0A28"/>
    <w:rsid w:val="005F0E5E"/>
    <w:rsid w:val="00600535"/>
    <w:rsid w:val="00610CD6"/>
    <w:rsid w:val="00617F3C"/>
    <w:rsid w:val="00620DEE"/>
    <w:rsid w:val="00621F92"/>
    <w:rsid w:val="0062280A"/>
    <w:rsid w:val="006231E1"/>
    <w:rsid w:val="00625639"/>
    <w:rsid w:val="00626342"/>
    <w:rsid w:val="00631B33"/>
    <w:rsid w:val="00636F4F"/>
    <w:rsid w:val="0064184D"/>
    <w:rsid w:val="006422CC"/>
    <w:rsid w:val="00647411"/>
    <w:rsid w:val="00647C1F"/>
    <w:rsid w:val="00651D18"/>
    <w:rsid w:val="00660E3E"/>
    <w:rsid w:val="00662E74"/>
    <w:rsid w:val="00672EC6"/>
    <w:rsid w:val="00673042"/>
    <w:rsid w:val="00680C23"/>
    <w:rsid w:val="00683E23"/>
    <w:rsid w:val="00693766"/>
    <w:rsid w:val="006A3281"/>
    <w:rsid w:val="006A61BD"/>
    <w:rsid w:val="006A6DE5"/>
    <w:rsid w:val="006B15DF"/>
    <w:rsid w:val="006B4888"/>
    <w:rsid w:val="006B58EF"/>
    <w:rsid w:val="006C2E45"/>
    <w:rsid w:val="006C359C"/>
    <w:rsid w:val="006C5579"/>
    <w:rsid w:val="006C7703"/>
    <w:rsid w:val="006D1216"/>
    <w:rsid w:val="006D6E8B"/>
    <w:rsid w:val="006D7209"/>
    <w:rsid w:val="006E737D"/>
    <w:rsid w:val="006F7A00"/>
    <w:rsid w:val="00703C83"/>
    <w:rsid w:val="00707DD1"/>
    <w:rsid w:val="00713973"/>
    <w:rsid w:val="00720A24"/>
    <w:rsid w:val="00721949"/>
    <w:rsid w:val="00730547"/>
    <w:rsid w:val="00732386"/>
    <w:rsid w:val="0073514D"/>
    <w:rsid w:val="007447F3"/>
    <w:rsid w:val="007457DB"/>
    <w:rsid w:val="007472F0"/>
    <w:rsid w:val="0075499F"/>
    <w:rsid w:val="0076156D"/>
    <w:rsid w:val="007645F3"/>
    <w:rsid w:val="007661C8"/>
    <w:rsid w:val="0077098D"/>
    <w:rsid w:val="00773DBD"/>
    <w:rsid w:val="0078457A"/>
    <w:rsid w:val="00785BF9"/>
    <w:rsid w:val="007931FA"/>
    <w:rsid w:val="0079553C"/>
    <w:rsid w:val="007A23E9"/>
    <w:rsid w:val="007A4861"/>
    <w:rsid w:val="007A7BBA"/>
    <w:rsid w:val="007B0C50"/>
    <w:rsid w:val="007B48F9"/>
    <w:rsid w:val="007C1A43"/>
    <w:rsid w:val="007D0951"/>
    <w:rsid w:val="007D1D2B"/>
    <w:rsid w:val="007D610D"/>
    <w:rsid w:val="007E4D61"/>
    <w:rsid w:val="007F1F17"/>
    <w:rsid w:val="0080013E"/>
    <w:rsid w:val="00801759"/>
    <w:rsid w:val="00813288"/>
    <w:rsid w:val="008137BF"/>
    <w:rsid w:val="008168FC"/>
    <w:rsid w:val="00830184"/>
    <w:rsid w:val="00830996"/>
    <w:rsid w:val="008345F1"/>
    <w:rsid w:val="00851287"/>
    <w:rsid w:val="00865B07"/>
    <w:rsid w:val="008667EA"/>
    <w:rsid w:val="00867BE2"/>
    <w:rsid w:val="0087637F"/>
    <w:rsid w:val="00892AD5"/>
    <w:rsid w:val="008A1512"/>
    <w:rsid w:val="008A1A7E"/>
    <w:rsid w:val="008B5F80"/>
    <w:rsid w:val="008C483D"/>
    <w:rsid w:val="008D32B9"/>
    <w:rsid w:val="008D433B"/>
    <w:rsid w:val="008D4A16"/>
    <w:rsid w:val="008E5401"/>
    <w:rsid w:val="008E566E"/>
    <w:rsid w:val="008F38E9"/>
    <w:rsid w:val="0090161A"/>
    <w:rsid w:val="00901EB6"/>
    <w:rsid w:val="009041F8"/>
    <w:rsid w:val="00904C62"/>
    <w:rsid w:val="00922BA8"/>
    <w:rsid w:val="00924DAC"/>
    <w:rsid w:val="00927058"/>
    <w:rsid w:val="0093220D"/>
    <w:rsid w:val="00942750"/>
    <w:rsid w:val="009450CE"/>
    <w:rsid w:val="009459BB"/>
    <w:rsid w:val="00947179"/>
    <w:rsid w:val="00950B25"/>
    <w:rsid w:val="0095164B"/>
    <w:rsid w:val="00954090"/>
    <w:rsid w:val="00955CAA"/>
    <w:rsid w:val="009573E7"/>
    <w:rsid w:val="009631F4"/>
    <w:rsid w:val="00963E05"/>
    <w:rsid w:val="00964A45"/>
    <w:rsid w:val="00967843"/>
    <w:rsid w:val="00967D54"/>
    <w:rsid w:val="00971028"/>
    <w:rsid w:val="009904AA"/>
    <w:rsid w:val="00991F28"/>
    <w:rsid w:val="00993B84"/>
    <w:rsid w:val="00994C6A"/>
    <w:rsid w:val="00996483"/>
    <w:rsid w:val="00996F5A"/>
    <w:rsid w:val="009B041A"/>
    <w:rsid w:val="009B2C97"/>
    <w:rsid w:val="009B56E8"/>
    <w:rsid w:val="009B6E57"/>
    <w:rsid w:val="009C37C3"/>
    <w:rsid w:val="009C7C86"/>
    <w:rsid w:val="009D2FF7"/>
    <w:rsid w:val="009D485C"/>
    <w:rsid w:val="009D5244"/>
    <w:rsid w:val="009E7884"/>
    <w:rsid w:val="009E788A"/>
    <w:rsid w:val="009F0E08"/>
    <w:rsid w:val="00A003D7"/>
    <w:rsid w:val="00A05AC7"/>
    <w:rsid w:val="00A078AD"/>
    <w:rsid w:val="00A079AE"/>
    <w:rsid w:val="00A10BF9"/>
    <w:rsid w:val="00A148B8"/>
    <w:rsid w:val="00A1763D"/>
    <w:rsid w:val="00A17CEC"/>
    <w:rsid w:val="00A2166E"/>
    <w:rsid w:val="00A26462"/>
    <w:rsid w:val="00A264CB"/>
    <w:rsid w:val="00A27EF0"/>
    <w:rsid w:val="00A35AE1"/>
    <w:rsid w:val="00A364EA"/>
    <w:rsid w:val="00A42361"/>
    <w:rsid w:val="00A439C3"/>
    <w:rsid w:val="00A50B20"/>
    <w:rsid w:val="00A51390"/>
    <w:rsid w:val="00A51CC7"/>
    <w:rsid w:val="00A60D13"/>
    <w:rsid w:val="00A70D50"/>
    <w:rsid w:val="00A7223D"/>
    <w:rsid w:val="00A72745"/>
    <w:rsid w:val="00A74DA5"/>
    <w:rsid w:val="00A76EFC"/>
    <w:rsid w:val="00A87D50"/>
    <w:rsid w:val="00A91010"/>
    <w:rsid w:val="00A96F8B"/>
    <w:rsid w:val="00A97F29"/>
    <w:rsid w:val="00AA2418"/>
    <w:rsid w:val="00AA702E"/>
    <w:rsid w:val="00AA7D26"/>
    <w:rsid w:val="00AB0964"/>
    <w:rsid w:val="00AB5011"/>
    <w:rsid w:val="00AC0EDB"/>
    <w:rsid w:val="00AC7368"/>
    <w:rsid w:val="00AD16B9"/>
    <w:rsid w:val="00AE13E9"/>
    <w:rsid w:val="00AE377D"/>
    <w:rsid w:val="00AE7CE9"/>
    <w:rsid w:val="00AF0EBA"/>
    <w:rsid w:val="00AF2463"/>
    <w:rsid w:val="00AF792A"/>
    <w:rsid w:val="00B004F3"/>
    <w:rsid w:val="00B02C8A"/>
    <w:rsid w:val="00B03239"/>
    <w:rsid w:val="00B04BD3"/>
    <w:rsid w:val="00B17FBD"/>
    <w:rsid w:val="00B25A6B"/>
    <w:rsid w:val="00B315A6"/>
    <w:rsid w:val="00B31813"/>
    <w:rsid w:val="00B33365"/>
    <w:rsid w:val="00B407B3"/>
    <w:rsid w:val="00B47A8F"/>
    <w:rsid w:val="00B5305C"/>
    <w:rsid w:val="00B57481"/>
    <w:rsid w:val="00B57B36"/>
    <w:rsid w:val="00B57E6F"/>
    <w:rsid w:val="00B61837"/>
    <w:rsid w:val="00B635E7"/>
    <w:rsid w:val="00B65912"/>
    <w:rsid w:val="00B7373B"/>
    <w:rsid w:val="00B802B3"/>
    <w:rsid w:val="00B83FE3"/>
    <w:rsid w:val="00B8686D"/>
    <w:rsid w:val="00B93F69"/>
    <w:rsid w:val="00B96AC5"/>
    <w:rsid w:val="00B96B21"/>
    <w:rsid w:val="00BA1BB8"/>
    <w:rsid w:val="00BB1DDC"/>
    <w:rsid w:val="00BB2C2E"/>
    <w:rsid w:val="00BC1AE7"/>
    <w:rsid w:val="00BC30C9"/>
    <w:rsid w:val="00BD077D"/>
    <w:rsid w:val="00BD1492"/>
    <w:rsid w:val="00BE3E58"/>
    <w:rsid w:val="00BF13CE"/>
    <w:rsid w:val="00BF7BED"/>
    <w:rsid w:val="00C01616"/>
    <w:rsid w:val="00C0162B"/>
    <w:rsid w:val="00C03B29"/>
    <w:rsid w:val="00C057DD"/>
    <w:rsid w:val="00C068ED"/>
    <w:rsid w:val="00C06DDC"/>
    <w:rsid w:val="00C07999"/>
    <w:rsid w:val="00C110EC"/>
    <w:rsid w:val="00C13239"/>
    <w:rsid w:val="00C13A5D"/>
    <w:rsid w:val="00C22E0C"/>
    <w:rsid w:val="00C345B1"/>
    <w:rsid w:val="00C40142"/>
    <w:rsid w:val="00C51B25"/>
    <w:rsid w:val="00C52C3C"/>
    <w:rsid w:val="00C57182"/>
    <w:rsid w:val="00C57863"/>
    <w:rsid w:val="00C640AF"/>
    <w:rsid w:val="00C655FD"/>
    <w:rsid w:val="00C72FB7"/>
    <w:rsid w:val="00C75407"/>
    <w:rsid w:val="00C806F7"/>
    <w:rsid w:val="00C841C6"/>
    <w:rsid w:val="00C863C3"/>
    <w:rsid w:val="00C870A8"/>
    <w:rsid w:val="00C94434"/>
    <w:rsid w:val="00CA0D75"/>
    <w:rsid w:val="00CA1C95"/>
    <w:rsid w:val="00CA3FAC"/>
    <w:rsid w:val="00CA5A9C"/>
    <w:rsid w:val="00CB643E"/>
    <w:rsid w:val="00CC4C20"/>
    <w:rsid w:val="00CD3517"/>
    <w:rsid w:val="00CD5FE2"/>
    <w:rsid w:val="00CD6DED"/>
    <w:rsid w:val="00CE60BE"/>
    <w:rsid w:val="00CE7C68"/>
    <w:rsid w:val="00CF2FFA"/>
    <w:rsid w:val="00D00CDF"/>
    <w:rsid w:val="00D02B4C"/>
    <w:rsid w:val="00D040C4"/>
    <w:rsid w:val="00D20AD1"/>
    <w:rsid w:val="00D215AE"/>
    <w:rsid w:val="00D2582C"/>
    <w:rsid w:val="00D27FD7"/>
    <w:rsid w:val="00D319F0"/>
    <w:rsid w:val="00D46B7E"/>
    <w:rsid w:val="00D46E86"/>
    <w:rsid w:val="00D55B4C"/>
    <w:rsid w:val="00D57C84"/>
    <w:rsid w:val="00D6057D"/>
    <w:rsid w:val="00D671B0"/>
    <w:rsid w:val="00D71640"/>
    <w:rsid w:val="00D836C5"/>
    <w:rsid w:val="00D84576"/>
    <w:rsid w:val="00D84684"/>
    <w:rsid w:val="00D84F3C"/>
    <w:rsid w:val="00D86329"/>
    <w:rsid w:val="00DA1399"/>
    <w:rsid w:val="00DA24C6"/>
    <w:rsid w:val="00DA4D7B"/>
    <w:rsid w:val="00DA6287"/>
    <w:rsid w:val="00DC0E2C"/>
    <w:rsid w:val="00DC2840"/>
    <w:rsid w:val="00DC48B4"/>
    <w:rsid w:val="00DC73EE"/>
    <w:rsid w:val="00DD271C"/>
    <w:rsid w:val="00DE264A"/>
    <w:rsid w:val="00DE760E"/>
    <w:rsid w:val="00DF3900"/>
    <w:rsid w:val="00DF5072"/>
    <w:rsid w:val="00DF62BC"/>
    <w:rsid w:val="00E02D18"/>
    <w:rsid w:val="00E03AD3"/>
    <w:rsid w:val="00E041E7"/>
    <w:rsid w:val="00E04E3D"/>
    <w:rsid w:val="00E113B2"/>
    <w:rsid w:val="00E21A80"/>
    <w:rsid w:val="00E23CA1"/>
    <w:rsid w:val="00E346C0"/>
    <w:rsid w:val="00E409A8"/>
    <w:rsid w:val="00E50618"/>
    <w:rsid w:val="00E50C12"/>
    <w:rsid w:val="00E5376D"/>
    <w:rsid w:val="00E649D2"/>
    <w:rsid w:val="00E65B91"/>
    <w:rsid w:val="00E67233"/>
    <w:rsid w:val="00E7209D"/>
    <w:rsid w:val="00E72EAD"/>
    <w:rsid w:val="00E77223"/>
    <w:rsid w:val="00E830B2"/>
    <w:rsid w:val="00E8528B"/>
    <w:rsid w:val="00E85B94"/>
    <w:rsid w:val="00E965BF"/>
    <w:rsid w:val="00E978D0"/>
    <w:rsid w:val="00EA074B"/>
    <w:rsid w:val="00EA2D0C"/>
    <w:rsid w:val="00EA3969"/>
    <w:rsid w:val="00EA4613"/>
    <w:rsid w:val="00EA618A"/>
    <w:rsid w:val="00EA7F91"/>
    <w:rsid w:val="00EB1523"/>
    <w:rsid w:val="00EB4273"/>
    <w:rsid w:val="00EB4D36"/>
    <w:rsid w:val="00EC0E49"/>
    <w:rsid w:val="00EC101F"/>
    <w:rsid w:val="00EC1D9F"/>
    <w:rsid w:val="00ED0BD2"/>
    <w:rsid w:val="00EE0131"/>
    <w:rsid w:val="00EE17B0"/>
    <w:rsid w:val="00EF06D9"/>
    <w:rsid w:val="00EF0FB6"/>
    <w:rsid w:val="00F3049E"/>
    <w:rsid w:val="00F30C64"/>
    <w:rsid w:val="00F32BA2"/>
    <w:rsid w:val="00F32CDB"/>
    <w:rsid w:val="00F41EE4"/>
    <w:rsid w:val="00F434C3"/>
    <w:rsid w:val="00F565FE"/>
    <w:rsid w:val="00F60E1C"/>
    <w:rsid w:val="00F61478"/>
    <w:rsid w:val="00F63A70"/>
    <w:rsid w:val="00F63D8C"/>
    <w:rsid w:val="00F7262B"/>
    <w:rsid w:val="00F72B87"/>
    <w:rsid w:val="00F73928"/>
    <w:rsid w:val="00F7534E"/>
    <w:rsid w:val="00F93EDF"/>
    <w:rsid w:val="00F94E4F"/>
    <w:rsid w:val="00FA1802"/>
    <w:rsid w:val="00FA21D0"/>
    <w:rsid w:val="00FA5F5F"/>
    <w:rsid w:val="00FB0CAC"/>
    <w:rsid w:val="00FB1AFB"/>
    <w:rsid w:val="00FB730C"/>
    <w:rsid w:val="00FB7347"/>
    <w:rsid w:val="00FC2695"/>
    <w:rsid w:val="00FC3E03"/>
    <w:rsid w:val="00FC3FC1"/>
    <w:rsid w:val="00FD0114"/>
    <w:rsid w:val="00FD0AC8"/>
    <w:rsid w:val="00FF094E"/>
    <w:rsid w:val="00FF71A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B47A8F"/>
    <w:pPr>
      <w:tabs>
        <w:tab w:val="right" w:pos="7100"/>
      </w:tabs>
      <w:spacing w:after="0" w:line="264" w:lineRule="auto"/>
      <w:jc w:val="both"/>
    </w:p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FootnoteReference">
    <w:name w:val="footnote reference"/>
    <w:basedOn w:val="DefaultParagraphFont"/>
    <w:uiPriority w:val="99"/>
    <w:semiHidden/>
    <w:unhideWhenUsed/>
    <w:rsid w:val="008A1A7E"/>
    <w:rPr>
      <w:vertAlign w:val="superscript"/>
    </w:rPr>
  </w:style>
  <w:style w:type="paragraph" w:styleId="Revision">
    <w:name w:val="Revision"/>
    <w:hidden/>
    <w:uiPriority w:val="99"/>
    <w:semiHidden/>
    <w:rsid w:val="008137BF"/>
    <w:pPr>
      <w:spacing w:after="0" w:line="240" w:lineRule="auto"/>
    </w:pPr>
  </w:style>
  <w:style w:type="character" w:styleId="UnresolvedMention">
    <w:name w:val="Unresolved Mention"/>
    <w:basedOn w:val="DefaultParagraphFont"/>
    <w:uiPriority w:val="99"/>
    <w:semiHidden/>
    <w:unhideWhenUsed/>
    <w:rsid w:val="00B25A6B"/>
    <w:rPr>
      <w:color w:val="605E5C"/>
      <w:shd w:val="clear" w:color="auto" w:fill="E1DFDD"/>
    </w:rPr>
  </w:style>
  <w:style w:type="paragraph" w:customStyle="1" w:styleId="TCTableBody">
    <w:name w:val="TC_Table_Body"/>
    <w:basedOn w:val="Normal"/>
    <w:rsid w:val="000B10FA"/>
    <w:pPr>
      <w:tabs>
        <w:tab w:val="clear" w:pos="7100"/>
      </w:tabs>
      <w:spacing w:after="200" w:line="240" w:lineRule="auto"/>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54839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291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93954228">
      <w:bodyDiv w:val="1"/>
      <w:marLeft w:val="0"/>
      <w:marRight w:val="0"/>
      <w:marTop w:val="0"/>
      <w:marBottom w:val="0"/>
      <w:divBdr>
        <w:top w:val="none" w:sz="0" w:space="0" w:color="auto"/>
        <w:left w:val="none" w:sz="0" w:space="0" w:color="auto"/>
        <w:bottom w:val="none" w:sz="0" w:space="0" w:color="auto"/>
        <w:right w:val="none" w:sz="0" w:space="0" w:color="auto"/>
      </w:divBdr>
    </w:div>
    <w:div w:id="191092326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cetjournal.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5CBA1F-E6A9-3541-BA71-F6B88DFDFE3B}">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8866</Words>
  <Characters>50537</Characters>
  <Application>Microsoft Office Word</Application>
  <DocSecurity>0</DocSecurity>
  <Lines>421</Lines>
  <Paragraphs>118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59285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PISO giuseppe cristian</cp:lastModifiedBy>
  <cp:revision>3</cp:revision>
  <cp:lastPrinted>2024-12-12T14:13:00Z</cp:lastPrinted>
  <dcterms:created xsi:type="dcterms:W3CDTF">2025-02-03T10:02:00Z</dcterms:created>
  <dcterms:modified xsi:type="dcterms:W3CDTF">2025-02-04T10:10:00Z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d15c07c6-f13a-30d3-809b-536c0ac5dcc7</vt:lpwstr>
  </property>
  <property fmtid="{D5CDD505-2E9C-101B-9397-08002B2CF9AE}" pid="6" name="Mendeley Citation Style_1">
    <vt:lpwstr>http://www.zotero.org/styles/chemical-engineering-science</vt:lpwstr>
  </property>
  <property fmtid="{D5CDD505-2E9C-101B-9397-08002B2CF9AE}" pid="7" name="Mendeley Recent Style Id 0_1">
    <vt:lpwstr>http://www.zotero.org/styles/acs-energy-letters</vt:lpwstr>
  </property>
  <property fmtid="{D5CDD505-2E9C-101B-9397-08002B2CF9AE}" pid="8" name="Mendeley Recent Style Name 0_1">
    <vt:lpwstr>ACS Energy Letters</vt:lpwstr>
  </property>
  <property fmtid="{D5CDD505-2E9C-101B-9397-08002B2CF9AE}" pid="9" name="Mendeley Recent Style Id 1_1">
    <vt:lpwstr>http://www.zotero.org/styles/american-medical-association</vt:lpwstr>
  </property>
  <property fmtid="{D5CDD505-2E9C-101B-9397-08002B2CF9AE}" pid="10" name="Mendeley Recent Style Name 1_1">
    <vt:lpwstr>American Medical Association 11th edition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6th/7th edition</vt:lpwstr>
  </property>
  <property fmtid="{D5CDD505-2E9C-101B-9397-08002B2CF9AE}" pid="15" name="Mendeley Recent Style Id 4_1">
    <vt:lpwstr>http://www.zotero.org/styles/chemical-engineering-science</vt:lpwstr>
  </property>
  <property fmtid="{D5CDD505-2E9C-101B-9397-08002B2CF9AE}" pid="16" name="Mendeley Recent Style Name 4_1">
    <vt:lpwstr>Chemical Engineering Science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http://www.zotero.org/styles/renewable-and-sustainable-energy-reviews</vt:lpwstr>
  </property>
  <property fmtid="{D5CDD505-2E9C-101B-9397-08002B2CF9AE}" pid="26" name="Mendeley Recent Style Name 9_1">
    <vt:lpwstr>Renewable and Sustainable Energy Reviews</vt:lpwstr>
  </property>
  <property fmtid="{D5CDD505-2E9C-101B-9397-08002B2CF9AE}" pid="27" name="GrammarlyDocumentId">
    <vt:lpwstr>5141b0b25827af30f68607a812654dd6416b4a687b3d4130f3ca279391b00bfb</vt:lpwstr>
  </property>
  <property fmtid="{D5CDD505-2E9C-101B-9397-08002B2CF9AE}" pid="28" name="grammarly_documentId">
    <vt:lpwstr>documentId_7622</vt:lpwstr>
  </property>
  <property fmtid="{D5CDD505-2E9C-101B-9397-08002B2CF9AE}" pid="29" name="grammarly_documentContext">
    <vt:lpwstr>{"goals":[],"domain":"general","emotions":[],"dialect":"american"}</vt:lpwstr>
  </property>
</Properties>
</file>