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94336B" w14:paraId="2A131A54" w14:textId="77777777" w:rsidTr="001543DC">
        <w:trPr>
          <w:trHeight w:val="852"/>
          <w:jc w:val="center"/>
        </w:trPr>
        <w:tc>
          <w:tcPr>
            <w:tcW w:w="6940" w:type="dxa"/>
            <w:vMerge w:val="restart"/>
            <w:tcBorders>
              <w:right w:val="single" w:sz="4" w:space="0" w:color="auto"/>
            </w:tcBorders>
          </w:tcPr>
          <w:p w14:paraId="38C3D2BA" w14:textId="77777777" w:rsidR="000A03B2" w:rsidRPr="0094336B" w:rsidRDefault="000A03B2" w:rsidP="00DE264A">
            <w:pPr>
              <w:tabs>
                <w:tab w:val="left" w:pos="-108"/>
              </w:tabs>
              <w:ind w:left="-108"/>
              <w:jc w:val="left"/>
              <w:rPr>
                <w:rFonts w:cs="Arial"/>
                <w:b/>
                <w:bCs/>
                <w:i/>
                <w:iCs/>
                <w:color w:val="000066"/>
                <w:sz w:val="12"/>
                <w:szCs w:val="12"/>
                <w:lang w:eastAsia="it-IT"/>
              </w:rPr>
            </w:pPr>
            <w:bookmarkStart w:id="0" w:name="_Hlk145068772"/>
            <w:r w:rsidRPr="0094336B">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94336B">
              <w:rPr>
                <w:rFonts w:ascii="AdvP6960" w:hAnsi="AdvP6960" w:cs="AdvP6960"/>
                <w:color w:val="241F20"/>
                <w:szCs w:val="18"/>
                <w:lang w:eastAsia="it-IT"/>
              </w:rPr>
              <w:t xml:space="preserve"> </w:t>
            </w:r>
            <w:r w:rsidRPr="0094336B">
              <w:rPr>
                <w:rFonts w:cs="Arial"/>
                <w:b/>
                <w:bCs/>
                <w:i/>
                <w:iCs/>
                <w:color w:val="000066"/>
                <w:sz w:val="24"/>
                <w:szCs w:val="24"/>
                <w:lang w:eastAsia="it-IT"/>
              </w:rPr>
              <w:t>CHEMICAL ENGINEERING</w:t>
            </w:r>
            <w:r w:rsidRPr="0094336B">
              <w:rPr>
                <w:rFonts w:cs="Arial"/>
                <w:b/>
                <w:bCs/>
                <w:i/>
                <w:iCs/>
                <w:color w:val="0033FF"/>
                <w:sz w:val="24"/>
                <w:szCs w:val="24"/>
                <w:lang w:eastAsia="it-IT"/>
              </w:rPr>
              <w:t xml:space="preserve"> </w:t>
            </w:r>
            <w:r w:rsidRPr="0094336B">
              <w:rPr>
                <w:rFonts w:cs="Arial"/>
                <w:b/>
                <w:bCs/>
                <w:i/>
                <w:iCs/>
                <w:color w:val="666666"/>
                <w:sz w:val="24"/>
                <w:szCs w:val="24"/>
                <w:lang w:eastAsia="it-IT"/>
              </w:rPr>
              <w:t>TRANSACTIONS</w:t>
            </w:r>
            <w:r w:rsidRPr="0094336B">
              <w:rPr>
                <w:color w:val="333333"/>
                <w:sz w:val="24"/>
                <w:szCs w:val="24"/>
                <w:lang w:eastAsia="it-IT"/>
              </w:rPr>
              <w:t xml:space="preserve"> </w:t>
            </w:r>
            <w:r w:rsidRPr="0094336B">
              <w:rPr>
                <w:rFonts w:cs="Arial"/>
                <w:b/>
                <w:bCs/>
                <w:i/>
                <w:iCs/>
                <w:color w:val="000066"/>
                <w:sz w:val="27"/>
                <w:szCs w:val="27"/>
                <w:lang w:eastAsia="it-IT"/>
              </w:rPr>
              <w:br/>
            </w:r>
          </w:p>
          <w:p w14:paraId="4B780582" w14:textId="47EF826C" w:rsidR="000A03B2" w:rsidRPr="0094336B" w:rsidRDefault="00A76EFC" w:rsidP="001D21AF">
            <w:pPr>
              <w:tabs>
                <w:tab w:val="left" w:pos="-108"/>
              </w:tabs>
              <w:ind w:left="-108"/>
              <w:rPr>
                <w:rFonts w:cs="Arial"/>
                <w:b/>
                <w:bCs/>
                <w:i/>
                <w:iCs/>
                <w:color w:val="000066"/>
                <w:sz w:val="22"/>
                <w:szCs w:val="22"/>
                <w:lang w:eastAsia="it-IT"/>
              </w:rPr>
            </w:pPr>
            <w:r w:rsidRPr="0094336B">
              <w:rPr>
                <w:rFonts w:cs="Arial"/>
                <w:b/>
                <w:bCs/>
                <w:i/>
                <w:iCs/>
                <w:color w:val="000066"/>
                <w:sz w:val="22"/>
                <w:szCs w:val="22"/>
                <w:lang w:eastAsia="it-IT"/>
              </w:rPr>
              <w:t>VOL.</w:t>
            </w:r>
            <w:r w:rsidR="00785BF9" w:rsidRPr="0094336B">
              <w:rPr>
                <w:rFonts w:cs="Arial"/>
                <w:b/>
                <w:bCs/>
                <w:i/>
                <w:iCs/>
                <w:color w:val="000066"/>
                <w:sz w:val="22"/>
                <w:szCs w:val="22"/>
                <w:lang w:eastAsia="it-IT"/>
              </w:rPr>
              <w:t xml:space="preserve"> </w:t>
            </w:r>
            <w:r w:rsidR="00994C6A" w:rsidRPr="0094336B">
              <w:rPr>
                <w:rFonts w:cs="Arial"/>
                <w:b/>
                <w:bCs/>
                <w:i/>
                <w:iCs/>
                <w:color w:val="000066"/>
                <w:sz w:val="22"/>
                <w:szCs w:val="22"/>
                <w:lang w:eastAsia="it-IT"/>
              </w:rPr>
              <w:t>xxx</w:t>
            </w:r>
            <w:r w:rsidR="007B48F9" w:rsidRPr="0094336B">
              <w:rPr>
                <w:rFonts w:cs="Arial"/>
                <w:b/>
                <w:bCs/>
                <w:i/>
                <w:iCs/>
                <w:color w:val="000066"/>
                <w:sz w:val="22"/>
                <w:szCs w:val="22"/>
                <w:lang w:eastAsia="it-IT"/>
              </w:rPr>
              <w:t>,</w:t>
            </w:r>
            <w:r w:rsidR="00FA5F5F" w:rsidRPr="0094336B">
              <w:rPr>
                <w:rFonts w:cs="Arial"/>
                <w:b/>
                <w:bCs/>
                <w:i/>
                <w:iCs/>
                <w:color w:val="000066"/>
                <w:sz w:val="22"/>
                <w:szCs w:val="22"/>
                <w:lang w:eastAsia="it-IT"/>
              </w:rPr>
              <w:t xml:space="preserve"> </w:t>
            </w:r>
            <w:r w:rsidR="0030152C" w:rsidRPr="0094336B">
              <w:rPr>
                <w:rFonts w:cs="Arial"/>
                <w:b/>
                <w:bCs/>
                <w:i/>
                <w:iCs/>
                <w:color w:val="000066"/>
                <w:sz w:val="22"/>
                <w:szCs w:val="22"/>
                <w:lang w:eastAsia="it-IT"/>
              </w:rPr>
              <w:t>202</w:t>
            </w:r>
            <w:r w:rsidR="00994C6A" w:rsidRPr="0094336B">
              <w:rPr>
                <w:rFonts w:cs="Arial"/>
                <w:b/>
                <w:bCs/>
                <w:i/>
                <w:iCs/>
                <w:color w:val="000066"/>
                <w:sz w:val="22"/>
                <w:szCs w:val="22"/>
                <w:lang w:eastAsia="it-IT"/>
              </w:rPr>
              <w:t>5</w:t>
            </w:r>
          </w:p>
        </w:tc>
        <w:tc>
          <w:tcPr>
            <w:tcW w:w="1842" w:type="dxa"/>
            <w:tcBorders>
              <w:left w:val="single" w:sz="4" w:space="0" w:color="auto"/>
              <w:bottom w:val="nil"/>
              <w:right w:val="single" w:sz="4" w:space="0" w:color="auto"/>
            </w:tcBorders>
          </w:tcPr>
          <w:p w14:paraId="56782132" w14:textId="77777777" w:rsidR="000A03B2" w:rsidRPr="0094336B" w:rsidRDefault="000A03B2" w:rsidP="00CD5FE2">
            <w:pPr>
              <w:spacing w:line="140" w:lineRule="atLeast"/>
              <w:jc w:val="right"/>
              <w:rPr>
                <w:rFonts w:cs="Arial"/>
                <w:sz w:val="14"/>
                <w:szCs w:val="14"/>
              </w:rPr>
            </w:pPr>
            <w:r w:rsidRPr="0094336B">
              <w:rPr>
                <w:rFonts w:cs="Arial"/>
                <w:sz w:val="14"/>
                <w:szCs w:val="14"/>
              </w:rPr>
              <w:t>A publication of</w:t>
            </w:r>
          </w:p>
          <w:p w14:paraId="599E5441" w14:textId="77777777" w:rsidR="000A03B2" w:rsidRPr="0094336B" w:rsidRDefault="000A03B2" w:rsidP="00CD5FE2">
            <w:pPr>
              <w:jc w:val="right"/>
            </w:pPr>
            <w:r w:rsidRPr="0094336B">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94336B" w14:paraId="380FA3CD" w14:textId="77777777" w:rsidTr="001543DC">
        <w:trPr>
          <w:trHeight w:val="567"/>
          <w:jc w:val="center"/>
        </w:trPr>
        <w:tc>
          <w:tcPr>
            <w:tcW w:w="6940" w:type="dxa"/>
            <w:vMerge/>
            <w:tcBorders>
              <w:right w:val="single" w:sz="4" w:space="0" w:color="auto"/>
            </w:tcBorders>
          </w:tcPr>
          <w:p w14:paraId="39E5E4C1" w14:textId="77777777" w:rsidR="000A03B2" w:rsidRPr="0094336B" w:rsidRDefault="000A03B2" w:rsidP="00CD5FE2">
            <w:pPr>
              <w:tabs>
                <w:tab w:val="left" w:pos="-108"/>
              </w:tabs>
            </w:pPr>
          </w:p>
        </w:tc>
        <w:tc>
          <w:tcPr>
            <w:tcW w:w="1842" w:type="dxa"/>
            <w:tcBorders>
              <w:left w:val="single" w:sz="4" w:space="0" w:color="auto"/>
              <w:bottom w:val="nil"/>
              <w:right w:val="single" w:sz="4" w:space="0" w:color="auto"/>
            </w:tcBorders>
          </w:tcPr>
          <w:p w14:paraId="43858A98" w14:textId="77777777" w:rsidR="000A03B2" w:rsidRPr="0094336B" w:rsidRDefault="000A03B2" w:rsidP="00CD5FE2">
            <w:pPr>
              <w:spacing w:line="140" w:lineRule="atLeast"/>
              <w:jc w:val="right"/>
              <w:rPr>
                <w:rFonts w:cs="Arial"/>
                <w:sz w:val="14"/>
                <w:szCs w:val="14"/>
              </w:rPr>
            </w:pPr>
            <w:r w:rsidRPr="0094336B">
              <w:rPr>
                <w:rFonts w:cs="Arial"/>
                <w:sz w:val="14"/>
                <w:szCs w:val="14"/>
              </w:rPr>
              <w:t>The Italian Association</w:t>
            </w:r>
          </w:p>
          <w:p w14:paraId="7522B1D2" w14:textId="77777777" w:rsidR="000A03B2" w:rsidRPr="0094336B" w:rsidRDefault="000A03B2" w:rsidP="00CD5FE2">
            <w:pPr>
              <w:spacing w:line="140" w:lineRule="atLeast"/>
              <w:jc w:val="right"/>
              <w:rPr>
                <w:rFonts w:cs="Arial"/>
                <w:sz w:val="14"/>
                <w:szCs w:val="14"/>
              </w:rPr>
            </w:pPr>
            <w:r w:rsidRPr="0094336B">
              <w:rPr>
                <w:rFonts w:cs="Arial"/>
                <w:sz w:val="14"/>
                <w:szCs w:val="14"/>
              </w:rPr>
              <w:t>of Chemical Engineering</w:t>
            </w:r>
          </w:p>
          <w:p w14:paraId="4F0CC5DE" w14:textId="47FDB2FC" w:rsidR="000A03B2" w:rsidRPr="0094336B" w:rsidRDefault="000D0268" w:rsidP="00CD5FE2">
            <w:pPr>
              <w:spacing w:line="140" w:lineRule="atLeast"/>
              <w:jc w:val="right"/>
              <w:rPr>
                <w:rFonts w:cs="Arial"/>
                <w:sz w:val="13"/>
                <w:szCs w:val="13"/>
              </w:rPr>
            </w:pPr>
            <w:r w:rsidRPr="0094336B">
              <w:rPr>
                <w:rFonts w:cs="Arial"/>
                <w:sz w:val="13"/>
                <w:szCs w:val="13"/>
              </w:rPr>
              <w:t>Online at www.cetjournal.it</w:t>
            </w:r>
          </w:p>
        </w:tc>
      </w:tr>
      <w:tr w:rsidR="000A03B2" w:rsidRPr="0094336B" w14:paraId="2D1B7169" w14:textId="77777777" w:rsidTr="001543DC">
        <w:trPr>
          <w:trHeight w:val="68"/>
          <w:jc w:val="center"/>
        </w:trPr>
        <w:tc>
          <w:tcPr>
            <w:tcW w:w="8782" w:type="dxa"/>
            <w:gridSpan w:val="2"/>
          </w:tcPr>
          <w:p w14:paraId="1D8DD3C9" w14:textId="025D7B18" w:rsidR="00AA7D26" w:rsidRPr="0094336B" w:rsidRDefault="00AA7D26" w:rsidP="007D610D">
            <w:pPr>
              <w:ind w:left="-107"/>
              <w:outlineLvl w:val="2"/>
              <w:rPr>
                <w:rFonts w:ascii="Tahoma" w:hAnsi="Tahoma" w:cs="Tahoma"/>
                <w:color w:val="000000"/>
                <w:sz w:val="14"/>
                <w:szCs w:val="14"/>
                <w:shd w:val="clear" w:color="auto" w:fill="FFFFFF"/>
                <w:lang w:val="it-IT"/>
              </w:rPr>
            </w:pPr>
            <w:r w:rsidRPr="0094336B">
              <w:rPr>
                <w:rFonts w:ascii="Tahoma" w:hAnsi="Tahoma" w:cs="Tahoma"/>
                <w:iCs/>
                <w:color w:val="333333"/>
                <w:sz w:val="14"/>
                <w:szCs w:val="14"/>
                <w:lang w:val="it-IT" w:eastAsia="it-IT"/>
              </w:rPr>
              <w:t>Guest Editors:</w:t>
            </w:r>
            <w:r w:rsidR="007D610D" w:rsidRPr="0094336B">
              <w:rPr>
                <w:rFonts w:ascii="Aptos" w:eastAsiaTheme="minorHAnsi" w:hAnsi="Aptos" w:cs="Aptos"/>
                <w:sz w:val="22"/>
                <w:szCs w:val="22"/>
                <w:lang w:val="it-IT"/>
                <w14:ligatures w14:val="standardContextual"/>
              </w:rPr>
              <w:t xml:space="preserve"> </w:t>
            </w:r>
            <w:r w:rsidR="007D610D" w:rsidRPr="0094336B">
              <w:rPr>
                <w:rFonts w:ascii="Tahoma" w:hAnsi="Tahoma" w:cs="Tahoma"/>
                <w:color w:val="000000"/>
                <w:sz w:val="14"/>
                <w:szCs w:val="14"/>
                <w:shd w:val="clear" w:color="auto" w:fill="FFFFFF"/>
                <w:lang w:val="it-IT"/>
              </w:rPr>
              <w:t xml:space="preserve">Fabrizio Bezzo, </w:t>
            </w:r>
            <w:r w:rsidR="001D3D32" w:rsidRPr="0094336B">
              <w:rPr>
                <w:rFonts w:ascii="Tahoma" w:hAnsi="Tahoma" w:cs="Tahoma"/>
                <w:color w:val="000000"/>
                <w:sz w:val="14"/>
                <w:szCs w:val="14"/>
                <w:shd w:val="clear" w:color="auto" w:fill="FFFFFF"/>
                <w:lang w:val="it-IT"/>
              </w:rPr>
              <w:t>Flavio Manenti</w:t>
            </w:r>
            <w:r w:rsidR="00304CE8" w:rsidRPr="0094336B">
              <w:rPr>
                <w:rFonts w:ascii="Tahoma" w:hAnsi="Tahoma" w:cs="Tahoma"/>
                <w:color w:val="000000"/>
                <w:sz w:val="14"/>
                <w:szCs w:val="14"/>
                <w:shd w:val="clear" w:color="auto" w:fill="FFFFFF"/>
                <w:lang w:val="it-IT"/>
              </w:rPr>
              <w:t>,</w:t>
            </w:r>
            <w:r w:rsidR="001D3D32" w:rsidRPr="0094336B">
              <w:rPr>
                <w:rFonts w:ascii="Tahoma" w:hAnsi="Tahoma" w:cs="Tahoma"/>
                <w:color w:val="000000"/>
                <w:sz w:val="14"/>
                <w:szCs w:val="14"/>
                <w:shd w:val="clear" w:color="auto" w:fill="FFFFFF"/>
                <w:lang w:val="it-IT"/>
              </w:rPr>
              <w:t xml:space="preserve"> </w:t>
            </w:r>
            <w:r w:rsidR="007D610D" w:rsidRPr="0094336B">
              <w:rPr>
                <w:rFonts w:ascii="Tahoma" w:hAnsi="Tahoma" w:cs="Tahoma"/>
                <w:color w:val="000000"/>
                <w:sz w:val="14"/>
                <w:szCs w:val="14"/>
                <w:shd w:val="clear" w:color="auto" w:fill="FFFFFF"/>
                <w:lang w:val="it-IT"/>
              </w:rPr>
              <w:t>Gabriele Pannocchia, Almerinda di Benedetto</w:t>
            </w:r>
          </w:p>
          <w:p w14:paraId="1B0F1814" w14:textId="7C54DC3A" w:rsidR="000A03B2" w:rsidRPr="0094336B" w:rsidRDefault="00AA7D26" w:rsidP="00AA7D26">
            <w:pPr>
              <w:tabs>
                <w:tab w:val="left" w:pos="-108"/>
              </w:tabs>
              <w:spacing w:line="140" w:lineRule="atLeast"/>
              <w:ind w:left="-107"/>
              <w:jc w:val="left"/>
            </w:pPr>
            <w:r w:rsidRPr="0094336B">
              <w:rPr>
                <w:rFonts w:ascii="Tahoma" w:hAnsi="Tahoma" w:cs="Tahoma"/>
                <w:iCs/>
                <w:color w:val="333333"/>
                <w:sz w:val="14"/>
                <w:szCs w:val="14"/>
                <w:lang w:eastAsia="it-IT"/>
              </w:rPr>
              <w:t>Copyright © 202</w:t>
            </w:r>
            <w:r w:rsidR="00994C6A" w:rsidRPr="0094336B">
              <w:rPr>
                <w:rFonts w:ascii="Tahoma" w:hAnsi="Tahoma" w:cs="Tahoma"/>
                <w:iCs/>
                <w:color w:val="333333"/>
                <w:sz w:val="14"/>
                <w:szCs w:val="14"/>
                <w:lang w:eastAsia="it-IT"/>
              </w:rPr>
              <w:t>5</w:t>
            </w:r>
            <w:r w:rsidRPr="0094336B">
              <w:rPr>
                <w:rFonts w:ascii="Tahoma" w:hAnsi="Tahoma" w:cs="Tahoma"/>
                <w:iCs/>
                <w:color w:val="333333"/>
                <w:sz w:val="14"/>
                <w:szCs w:val="14"/>
                <w:lang w:eastAsia="it-IT"/>
              </w:rPr>
              <w:t xml:space="preserve">, AIDIC </w:t>
            </w:r>
            <w:proofErr w:type="spellStart"/>
            <w:r w:rsidRPr="0094336B">
              <w:rPr>
                <w:rFonts w:ascii="Tahoma" w:hAnsi="Tahoma" w:cs="Tahoma"/>
                <w:iCs/>
                <w:color w:val="333333"/>
                <w:sz w:val="14"/>
                <w:szCs w:val="14"/>
                <w:lang w:eastAsia="it-IT"/>
              </w:rPr>
              <w:t>Servizi</w:t>
            </w:r>
            <w:proofErr w:type="spellEnd"/>
            <w:r w:rsidRPr="0094336B">
              <w:rPr>
                <w:rFonts w:ascii="Tahoma" w:hAnsi="Tahoma" w:cs="Tahoma"/>
                <w:iCs/>
                <w:color w:val="333333"/>
                <w:sz w:val="14"/>
                <w:szCs w:val="14"/>
                <w:lang w:eastAsia="it-IT"/>
              </w:rPr>
              <w:t xml:space="preserve"> </w:t>
            </w:r>
            <w:proofErr w:type="spellStart"/>
            <w:r w:rsidRPr="0094336B">
              <w:rPr>
                <w:rFonts w:ascii="Tahoma" w:hAnsi="Tahoma" w:cs="Tahoma"/>
                <w:iCs/>
                <w:color w:val="333333"/>
                <w:sz w:val="14"/>
                <w:szCs w:val="14"/>
                <w:lang w:eastAsia="it-IT"/>
              </w:rPr>
              <w:t>S.r.l</w:t>
            </w:r>
            <w:proofErr w:type="spellEnd"/>
            <w:r w:rsidRPr="0094336B">
              <w:rPr>
                <w:rFonts w:ascii="Tahoma" w:hAnsi="Tahoma" w:cs="Tahoma"/>
                <w:iCs/>
                <w:color w:val="333333"/>
                <w:sz w:val="14"/>
                <w:szCs w:val="14"/>
                <w:lang w:eastAsia="it-IT"/>
              </w:rPr>
              <w:t>.</w:t>
            </w:r>
            <w:r w:rsidRPr="0094336B">
              <w:rPr>
                <w:rFonts w:ascii="Tahoma" w:hAnsi="Tahoma" w:cs="Tahoma"/>
                <w:iCs/>
                <w:color w:val="333333"/>
                <w:sz w:val="14"/>
                <w:szCs w:val="14"/>
                <w:lang w:eastAsia="it-IT"/>
              </w:rPr>
              <w:br/>
            </w:r>
            <w:r w:rsidRPr="0094336B">
              <w:rPr>
                <w:rFonts w:ascii="Tahoma" w:hAnsi="Tahoma" w:cs="Tahoma"/>
                <w:b/>
                <w:iCs/>
                <w:color w:val="000000"/>
                <w:sz w:val="14"/>
                <w:szCs w:val="14"/>
                <w:lang w:eastAsia="it-IT"/>
              </w:rPr>
              <w:t>ISBN</w:t>
            </w:r>
            <w:r w:rsidRPr="0094336B">
              <w:rPr>
                <w:rFonts w:ascii="Tahoma" w:hAnsi="Tahoma" w:cs="Tahoma"/>
                <w:iCs/>
                <w:color w:val="000000"/>
                <w:sz w:val="14"/>
                <w:szCs w:val="14"/>
                <w:lang w:eastAsia="it-IT"/>
              </w:rPr>
              <w:t xml:space="preserve"> </w:t>
            </w:r>
            <w:r w:rsidR="003B49CD" w:rsidRPr="0094336B">
              <w:rPr>
                <w:rFonts w:ascii="Tahoma" w:hAnsi="Tahoma" w:cs="Tahoma"/>
                <w:sz w:val="14"/>
                <w:szCs w:val="14"/>
              </w:rPr>
              <w:t>979-12-81206-1</w:t>
            </w:r>
            <w:r w:rsidR="00994C6A" w:rsidRPr="0094336B">
              <w:rPr>
                <w:rFonts w:ascii="Tahoma" w:hAnsi="Tahoma" w:cs="Tahoma"/>
                <w:sz w:val="14"/>
                <w:szCs w:val="14"/>
              </w:rPr>
              <w:t>7</w:t>
            </w:r>
            <w:r w:rsidR="003B49CD" w:rsidRPr="0094336B">
              <w:rPr>
                <w:rFonts w:ascii="Tahoma" w:hAnsi="Tahoma" w:cs="Tahoma"/>
                <w:sz w:val="14"/>
                <w:szCs w:val="14"/>
              </w:rPr>
              <w:t>-</w:t>
            </w:r>
            <w:r w:rsidR="00994C6A" w:rsidRPr="0094336B">
              <w:rPr>
                <w:rFonts w:ascii="Tahoma" w:hAnsi="Tahoma" w:cs="Tahoma"/>
                <w:sz w:val="14"/>
                <w:szCs w:val="14"/>
              </w:rPr>
              <w:t>5</w:t>
            </w:r>
            <w:r w:rsidRPr="0094336B">
              <w:rPr>
                <w:rFonts w:ascii="Tahoma" w:hAnsi="Tahoma" w:cs="Tahoma"/>
                <w:iCs/>
                <w:color w:val="333333"/>
                <w:sz w:val="14"/>
                <w:szCs w:val="14"/>
                <w:lang w:eastAsia="it-IT"/>
              </w:rPr>
              <w:t xml:space="preserve">; </w:t>
            </w:r>
            <w:r w:rsidRPr="0094336B">
              <w:rPr>
                <w:rFonts w:ascii="Tahoma" w:hAnsi="Tahoma" w:cs="Tahoma"/>
                <w:b/>
                <w:iCs/>
                <w:color w:val="333333"/>
                <w:sz w:val="14"/>
                <w:szCs w:val="14"/>
                <w:lang w:eastAsia="it-IT"/>
              </w:rPr>
              <w:t>ISSN</w:t>
            </w:r>
            <w:r w:rsidRPr="0094336B">
              <w:rPr>
                <w:rFonts w:ascii="Tahoma" w:hAnsi="Tahoma" w:cs="Tahoma"/>
                <w:iCs/>
                <w:color w:val="333333"/>
                <w:sz w:val="14"/>
                <w:szCs w:val="14"/>
                <w:lang w:eastAsia="it-IT"/>
              </w:rPr>
              <w:t xml:space="preserve"> 2283-9216</w:t>
            </w:r>
          </w:p>
        </w:tc>
      </w:tr>
    </w:tbl>
    <w:bookmarkEnd w:id="0"/>
    <w:p w14:paraId="2E667253" w14:textId="627C9CE0" w:rsidR="00E978D0" w:rsidRPr="0094336B" w:rsidRDefault="001543DC" w:rsidP="00E978D0">
      <w:pPr>
        <w:pStyle w:val="CETTitle"/>
      </w:pPr>
      <w:r w:rsidRPr="0094336B">
        <w:t>Volatile fatty acid recovery from simulated digestate by stripping</w:t>
      </w:r>
    </w:p>
    <w:p w14:paraId="0488FED2" w14:textId="1216EDA4" w:rsidR="00B57E6F" w:rsidRPr="0094336B" w:rsidRDefault="00D015B4" w:rsidP="00B57E6F">
      <w:pPr>
        <w:pStyle w:val="CETAuthors"/>
        <w:rPr>
          <w:lang w:val="it-IT"/>
        </w:rPr>
      </w:pPr>
      <w:r w:rsidRPr="0094336B">
        <w:rPr>
          <w:lang w:val="it-IT"/>
        </w:rPr>
        <w:t>Simeone Chianese</w:t>
      </w:r>
      <w:r w:rsidR="00B57E6F" w:rsidRPr="0094336B">
        <w:rPr>
          <w:vertAlign w:val="superscript"/>
          <w:lang w:val="it-IT"/>
        </w:rPr>
        <w:t>a</w:t>
      </w:r>
      <w:r w:rsidRPr="0094336B">
        <w:rPr>
          <w:vertAlign w:val="superscript"/>
          <w:lang w:val="it-IT"/>
        </w:rPr>
        <w:t>,</w:t>
      </w:r>
      <w:r w:rsidRPr="0094336B">
        <w:rPr>
          <w:lang w:val="it-IT"/>
        </w:rPr>
        <w:t>*</w:t>
      </w:r>
      <w:r w:rsidR="00B57E6F" w:rsidRPr="0094336B">
        <w:rPr>
          <w:lang w:val="it-IT"/>
        </w:rPr>
        <w:t xml:space="preserve">, </w:t>
      </w:r>
      <w:r w:rsidRPr="0094336B">
        <w:rPr>
          <w:lang w:val="it-IT"/>
        </w:rPr>
        <w:t>Angelo Fenti</w:t>
      </w:r>
      <w:r w:rsidRPr="0094336B">
        <w:rPr>
          <w:vertAlign w:val="superscript"/>
          <w:lang w:val="it-IT"/>
        </w:rPr>
        <w:t>a</w:t>
      </w:r>
      <w:r w:rsidRPr="0094336B">
        <w:rPr>
          <w:lang w:val="it-IT"/>
        </w:rPr>
        <w:t>, Giovanni Falco</w:t>
      </w:r>
      <w:r w:rsidR="00B57E6F" w:rsidRPr="0094336B">
        <w:rPr>
          <w:vertAlign w:val="superscript"/>
          <w:lang w:val="it-IT"/>
        </w:rPr>
        <w:t>b</w:t>
      </w:r>
      <w:r w:rsidR="00B57E6F" w:rsidRPr="0094336B">
        <w:rPr>
          <w:lang w:val="it-IT"/>
        </w:rPr>
        <w:t xml:space="preserve">, </w:t>
      </w:r>
      <w:r w:rsidR="001612E5" w:rsidRPr="0094336B">
        <w:rPr>
          <w:lang w:val="it-IT"/>
        </w:rPr>
        <w:t>Valentina Innocenzi</w:t>
      </w:r>
      <w:r w:rsidR="001612E5" w:rsidRPr="0094336B">
        <w:rPr>
          <w:vertAlign w:val="superscript"/>
          <w:lang w:val="it-IT"/>
        </w:rPr>
        <w:t>c</w:t>
      </w:r>
      <w:r w:rsidR="001612E5" w:rsidRPr="0094336B">
        <w:rPr>
          <w:lang w:val="it-IT"/>
        </w:rPr>
        <w:t xml:space="preserve">, </w:t>
      </w:r>
      <w:r w:rsidR="00B22D6D" w:rsidRPr="0094336B">
        <w:rPr>
          <w:lang w:val="it-IT"/>
        </w:rPr>
        <w:t>Marina Prisciandaro</w:t>
      </w:r>
      <w:r w:rsidR="00B22D6D" w:rsidRPr="0094336B">
        <w:rPr>
          <w:vertAlign w:val="superscript"/>
          <w:lang w:val="it-IT"/>
        </w:rPr>
        <w:t>c</w:t>
      </w:r>
      <w:r w:rsidR="00B22D6D" w:rsidRPr="0094336B">
        <w:rPr>
          <w:lang w:val="it-IT"/>
        </w:rPr>
        <w:t>, Pasquale Iovino</w:t>
      </w:r>
      <w:r w:rsidR="001612E5" w:rsidRPr="0094336B">
        <w:rPr>
          <w:vertAlign w:val="superscript"/>
          <w:lang w:val="it-IT"/>
        </w:rPr>
        <w:t>b</w:t>
      </w:r>
      <w:r w:rsidR="001612E5" w:rsidRPr="0094336B">
        <w:rPr>
          <w:lang w:val="it-IT"/>
        </w:rPr>
        <w:t xml:space="preserve">, </w:t>
      </w:r>
      <w:r w:rsidR="00B22D6D" w:rsidRPr="0094336B">
        <w:rPr>
          <w:lang w:val="it-IT"/>
        </w:rPr>
        <w:t>Dino Musmarra</w:t>
      </w:r>
      <w:r w:rsidR="00B22D6D" w:rsidRPr="0094336B">
        <w:rPr>
          <w:vertAlign w:val="superscript"/>
          <w:lang w:val="it-IT"/>
        </w:rPr>
        <w:t>a</w:t>
      </w:r>
    </w:p>
    <w:p w14:paraId="6B2D21B3" w14:textId="59610113" w:rsidR="00B57E6F" w:rsidRPr="0094336B" w:rsidRDefault="00B57E6F" w:rsidP="00B57E6F">
      <w:pPr>
        <w:pStyle w:val="CETAddress"/>
      </w:pPr>
      <w:r w:rsidRPr="0094336B">
        <w:rPr>
          <w:vertAlign w:val="superscript"/>
        </w:rPr>
        <w:t>a</w:t>
      </w:r>
      <w:r w:rsidR="00562D03" w:rsidRPr="0094336B">
        <w:t>Department of Engineering, University of Campania Luigi Vanvitelli, Via Roma 29, 81031</w:t>
      </w:r>
      <w:r w:rsidR="001012CF" w:rsidRPr="0094336B">
        <w:t xml:space="preserve"> Aversa, Italy</w:t>
      </w:r>
    </w:p>
    <w:p w14:paraId="3D72B0B0" w14:textId="13BB31FC" w:rsidR="00B57E6F" w:rsidRPr="0094336B" w:rsidRDefault="00B57E6F" w:rsidP="001012CF">
      <w:pPr>
        <w:pStyle w:val="CETAddress"/>
      </w:pPr>
      <w:r w:rsidRPr="0094336B">
        <w:rPr>
          <w:vertAlign w:val="superscript"/>
        </w:rPr>
        <w:t>b</w:t>
      </w:r>
      <w:r w:rsidR="001012CF" w:rsidRPr="0094336B">
        <w:t>Department of Environmental, Biological and Pharmaceutical Science and Technologies, University of Campania Luigi Vanvitelli, Via Vivaldi 43, 81100 Caserta, Italy</w:t>
      </w:r>
    </w:p>
    <w:p w14:paraId="0C112C91" w14:textId="6DDDC747" w:rsidR="00562D03" w:rsidRPr="0094336B" w:rsidRDefault="00562D03" w:rsidP="009033C6">
      <w:pPr>
        <w:pStyle w:val="CETAddress"/>
      </w:pPr>
      <w:r w:rsidRPr="0094336B">
        <w:rPr>
          <w:vertAlign w:val="superscript"/>
        </w:rPr>
        <w:t>c</w:t>
      </w:r>
      <w:r w:rsidR="009033C6" w:rsidRPr="0094336B">
        <w:t>Department of Industrial and Information Engineering and of Economics, University of L’Aquila, Monteluco Di Roio, 67040 L’Aquila, Italy</w:t>
      </w:r>
    </w:p>
    <w:p w14:paraId="73F1267A" w14:textId="767AC069" w:rsidR="00B57E6F" w:rsidRPr="0094336B" w:rsidRDefault="00562D03" w:rsidP="00B57E6F">
      <w:pPr>
        <w:pStyle w:val="CETemail"/>
      </w:pPr>
      <w:r w:rsidRPr="0094336B">
        <w:t>simeone.chianese@unicampania.it</w:t>
      </w:r>
      <w:r w:rsidR="00B57E6F" w:rsidRPr="0094336B">
        <w:t>]</w:t>
      </w:r>
    </w:p>
    <w:p w14:paraId="3D504CA8" w14:textId="174F28AC" w:rsidR="001C15C0" w:rsidRPr="0094336B" w:rsidRDefault="001C15C0" w:rsidP="001C15C0">
      <w:pPr>
        <w:pStyle w:val="CETBodytext"/>
        <w:rPr>
          <w:lang w:val="en-GB"/>
        </w:rPr>
      </w:pPr>
      <w:r w:rsidRPr="0094336B">
        <w:rPr>
          <w:lang w:val="en-GB"/>
        </w:rPr>
        <w:t>Volatile Fatty Acids (VFAs) are essential building block chemicals with a significantly increasing market demand. However, their production is traditionally based on non-renewable petrochemical sources, causing severe adverse health and environmental effects. The recovery of VFAs from organic substrates matches the need to approach a circular economy, which includes resource recovery, reuse and recycling. This work aimed to recover VFAs from simulated digestate by using an innovative and sustainable approach consisting of gas stripping followed by absorption. Gas stripping is based on separating volatile compounds from fermented broth or process streams through its interaction with the water-saturated gas phase. The proposed approach aims to be a breakthrough technology focused on the clean production of raw materials.</w:t>
      </w:r>
    </w:p>
    <w:p w14:paraId="38F76186" w14:textId="15090332" w:rsidR="006A6DE5" w:rsidRPr="0094336B" w:rsidRDefault="001C15C0" w:rsidP="001C15C0">
      <w:pPr>
        <w:pStyle w:val="CETBodytext"/>
        <w:rPr>
          <w:lang w:val="en-GB"/>
        </w:rPr>
      </w:pPr>
      <w:r w:rsidRPr="0094336B">
        <w:rPr>
          <w:lang w:val="en-GB"/>
        </w:rPr>
        <w:t>Experimental investigations were performed on a lab scale</w:t>
      </w:r>
      <w:r w:rsidR="00750B0E" w:rsidRPr="0094336B">
        <w:rPr>
          <w:lang w:val="en-GB"/>
        </w:rPr>
        <w:t xml:space="preserve"> </w:t>
      </w:r>
      <w:r w:rsidR="00987A7F" w:rsidRPr="0094336B">
        <w:rPr>
          <w:lang w:val="en-GB"/>
        </w:rPr>
        <w:t>to recover</w:t>
      </w:r>
      <w:r w:rsidR="00750B0E" w:rsidRPr="0094336B">
        <w:rPr>
          <w:lang w:val="en-GB"/>
        </w:rPr>
        <w:t xml:space="preserve"> </w:t>
      </w:r>
      <w:r w:rsidR="005A5B94" w:rsidRPr="0094336B">
        <w:rPr>
          <w:lang w:val="en-GB"/>
        </w:rPr>
        <w:t xml:space="preserve">VFAs from a water solution by considering a single </w:t>
      </w:r>
      <w:r w:rsidR="00BE4D2A" w:rsidRPr="0094336B">
        <w:rPr>
          <w:lang w:val="en-GB"/>
        </w:rPr>
        <w:t>acid</w:t>
      </w:r>
      <w:r w:rsidR="005A5B94" w:rsidRPr="0094336B">
        <w:rPr>
          <w:lang w:val="en-GB"/>
        </w:rPr>
        <w:t xml:space="preserve"> and a mix of </w:t>
      </w:r>
      <w:r w:rsidR="00BE4D2A" w:rsidRPr="0094336B">
        <w:rPr>
          <w:lang w:val="en-GB"/>
        </w:rPr>
        <w:t>acids</w:t>
      </w:r>
      <w:r w:rsidR="005A5B94" w:rsidRPr="0094336B">
        <w:rPr>
          <w:lang w:val="en-GB"/>
        </w:rPr>
        <w:t>. M</w:t>
      </w:r>
      <w:r w:rsidRPr="0094336B">
        <w:rPr>
          <w:lang w:val="en-GB"/>
        </w:rPr>
        <w:t>oreover, the</w:t>
      </w:r>
      <w:r w:rsidR="00355DAA" w:rsidRPr="0094336B">
        <w:rPr>
          <w:lang w:val="en-GB"/>
        </w:rPr>
        <w:t xml:space="preserve"> process</w:t>
      </w:r>
      <w:r w:rsidRPr="0094336B">
        <w:rPr>
          <w:lang w:val="en-GB"/>
        </w:rPr>
        <w:t xml:space="preserve"> simulation was</w:t>
      </w:r>
      <w:r w:rsidR="005A5B94" w:rsidRPr="0094336B">
        <w:rPr>
          <w:lang w:val="en-GB"/>
        </w:rPr>
        <w:t xml:space="preserve"> </w:t>
      </w:r>
      <w:r w:rsidRPr="0094336B">
        <w:rPr>
          <w:lang w:val="en-GB"/>
        </w:rPr>
        <w:t xml:space="preserve">carried out to </w:t>
      </w:r>
      <w:r w:rsidR="00E95A3F" w:rsidRPr="0094336B">
        <w:rPr>
          <w:lang w:val="en-GB"/>
        </w:rPr>
        <w:t xml:space="preserve">validate the </w:t>
      </w:r>
      <w:r w:rsidR="00087923" w:rsidRPr="0094336B">
        <w:rPr>
          <w:lang w:val="en-GB"/>
        </w:rPr>
        <w:t xml:space="preserve">stripping step </w:t>
      </w:r>
      <w:r w:rsidR="005C7C83" w:rsidRPr="0094336B">
        <w:rPr>
          <w:lang w:val="en-GB"/>
        </w:rPr>
        <w:t xml:space="preserve">and the </w:t>
      </w:r>
      <w:r w:rsidR="00E95A3F" w:rsidRPr="0094336B">
        <w:rPr>
          <w:lang w:val="en-GB"/>
        </w:rPr>
        <w:t xml:space="preserve">thermodynamic model </w:t>
      </w:r>
      <w:r w:rsidRPr="0094336B">
        <w:rPr>
          <w:lang w:val="en-GB"/>
        </w:rPr>
        <w:t>to scale up the technology.</w:t>
      </w:r>
    </w:p>
    <w:p w14:paraId="1729032E" w14:textId="536272E8" w:rsidR="00306858" w:rsidRPr="0094336B" w:rsidRDefault="00600535" w:rsidP="00AB442C">
      <w:pPr>
        <w:pStyle w:val="CETHeading1"/>
        <w:rPr>
          <w:lang w:val="en-GB"/>
        </w:rPr>
      </w:pPr>
      <w:r w:rsidRPr="0094336B">
        <w:rPr>
          <w:lang w:val="en-GB"/>
        </w:rPr>
        <w:t>Introduction</w:t>
      </w:r>
    </w:p>
    <w:p w14:paraId="26B8798C" w14:textId="15551EC5" w:rsidR="00522DE2" w:rsidRPr="0094336B" w:rsidRDefault="00392A7C" w:rsidP="00E538B5">
      <w:pPr>
        <w:pStyle w:val="CETBodytext"/>
        <w:rPr>
          <w:lang w:val="en-GB"/>
        </w:rPr>
      </w:pPr>
      <w:r w:rsidRPr="0094336B">
        <w:rPr>
          <w:lang w:val="en-GB"/>
        </w:rPr>
        <w:t>The expanding global population, coupled with rapid industrialization, has intensified the demand for vital resources such as food, energy, and raw materials, leading to considerable depletion of these essential assets</w:t>
      </w:r>
      <w:r w:rsidR="00FA1623" w:rsidRPr="0094336B">
        <w:rPr>
          <w:lang w:val="en-GB"/>
        </w:rPr>
        <w:t>. Achieving environmental sustainability in the 21st century requires a shift toward a circular economy that prioritizes resource recovery, reuse, and recycling. These practices help conserve raw materials and reduce waste generation (Atasoy et al., 2018). Supporting this transition, the European Commission’s 2014 and 2015 circular economy guidelines focused on reducing waste and maintaining resources to promote long-term sustainability (</w:t>
      </w:r>
      <w:proofErr w:type="spellStart"/>
      <w:r w:rsidR="00FA1623" w:rsidRPr="0094336B">
        <w:rPr>
          <w:lang w:val="en-GB"/>
        </w:rPr>
        <w:t>Viancelli</w:t>
      </w:r>
      <w:proofErr w:type="spellEnd"/>
      <w:r w:rsidR="00FA1623" w:rsidRPr="0094336B">
        <w:rPr>
          <w:lang w:val="en-GB"/>
        </w:rPr>
        <w:t xml:space="preserve"> et al., 2023)</w:t>
      </w:r>
      <w:r w:rsidR="00F84EAA" w:rsidRPr="0094336B">
        <w:rPr>
          <w:lang w:val="en-GB"/>
        </w:rPr>
        <w:t xml:space="preserve">. </w:t>
      </w:r>
      <w:r w:rsidR="00522DE2" w:rsidRPr="0094336B">
        <w:rPr>
          <w:lang w:val="en-GB"/>
        </w:rPr>
        <w:t>A sustainable solution to these environmental challenges involves converting the large amount of biodegradable organic waste produced daily, including municipal and industrial by-products such as food waste, agricultural residues, sewage sludge, microalgae, and other organic-rich waste streams, into valuable resources</w:t>
      </w:r>
      <w:r w:rsidR="00317B9F" w:rsidRPr="0094336B">
        <w:rPr>
          <w:lang w:val="en-GB"/>
        </w:rPr>
        <w:t xml:space="preserve"> (Wainaina et al., 2019; </w:t>
      </w:r>
      <w:proofErr w:type="spellStart"/>
      <w:r w:rsidR="00317B9F" w:rsidRPr="0094336B">
        <w:rPr>
          <w:lang w:val="en-GB"/>
        </w:rPr>
        <w:t>Lamolinara</w:t>
      </w:r>
      <w:proofErr w:type="spellEnd"/>
      <w:r w:rsidR="00317B9F" w:rsidRPr="0094336B">
        <w:rPr>
          <w:lang w:val="en-GB"/>
        </w:rPr>
        <w:t xml:space="preserve"> et al., 2018). </w:t>
      </w:r>
    </w:p>
    <w:p w14:paraId="65E54E6E" w14:textId="7C8D22A6" w:rsidR="008D410B" w:rsidRPr="0094336B" w:rsidRDefault="00522DE2" w:rsidP="00BE4D2A">
      <w:pPr>
        <w:pStyle w:val="CETBodytext"/>
        <w:rPr>
          <w:lang w:val="en-GB"/>
        </w:rPr>
      </w:pPr>
      <w:r w:rsidRPr="0094336B">
        <w:rPr>
          <w:lang w:val="en-GB"/>
        </w:rPr>
        <w:t>Anaerobic digestion (AD) is a well-established and efficient method for nutrient recovery and waste remediation, traditionally used for biogas and fertilizer production through microbial conversion of organic residues. AD can efficiently convert organic waste into renewable energy and digestate—a residue often used as a soil amendment—while reducing greenhouse gas emissions (GHG), water pollution, and landfill waste and contributing to the circular economy (Pervez et al., 2022</w:t>
      </w:r>
      <w:r w:rsidR="002771FA" w:rsidRPr="0094336B">
        <w:rPr>
          <w:lang w:val="en-GB"/>
        </w:rPr>
        <w:t>)</w:t>
      </w:r>
      <w:r w:rsidRPr="0094336B">
        <w:rPr>
          <w:lang w:val="en-GB"/>
        </w:rPr>
        <w:t xml:space="preserve">. </w:t>
      </w:r>
      <w:r w:rsidR="00362407" w:rsidRPr="0094336B">
        <w:rPr>
          <w:lang w:val="en-GB"/>
        </w:rPr>
        <w:t>Beyond biogas production, advancements in the AD process</w:t>
      </w:r>
      <w:r w:rsidR="00E538B5" w:rsidRPr="0094336B">
        <w:rPr>
          <w:lang w:val="en-GB"/>
        </w:rPr>
        <w:t xml:space="preserve"> </w:t>
      </w:r>
      <w:r w:rsidR="00362407" w:rsidRPr="0094336B">
        <w:rPr>
          <w:lang w:val="en-GB"/>
        </w:rPr>
        <w:t>enable the generation of value-added streams rich in volatile fatty acids (VFAs) (</w:t>
      </w:r>
      <w:r w:rsidR="00E538B5" w:rsidRPr="0094336B">
        <w:rPr>
          <w:lang w:val="en-GB"/>
        </w:rPr>
        <w:t>Valentino et al., 2021</w:t>
      </w:r>
      <w:r w:rsidR="00B85148" w:rsidRPr="0094336B">
        <w:rPr>
          <w:lang w:val="en-GB"/>
        </w:rPr>
        <w:t>)</w:t>
      </w:r>
      <w:r w:rsidR="006E5195" w:rsidRPr="0094336B">
        <w:rPr>
          <w:lang w:val="en-GB"/>
        </w:rPr>
        <w:t xml:space="preserve">. </w:t>
      </w:r>
      <w:r w:rsidR="00362407" w:rsidRPr="0094336B">
        <w:rPr>
          <w:lang w:val="en-GB"/>
        </w:rPr>
        <w:t xml:space="preserve">VFAs play a </w:t>
      </w:r>
      <w:r w:rsidR="00B85EDB" w:rsidRPr="0094336B">
        <w:rPr>
          <w:lang w:val="en-GB"/>
        </w:rPr>
        <w:t>pivota</w:t>
      </w:r>
      <w:r w:rsidR="00E538B5" w:rsidRPr="0094336B">
        <w:rPr>
          <w:lang w:val="en-GB"/>
        </w:rPr>
        <w:t>l</w:t>
      </w:r>
      <w:r w:rsidR="00362407" w:rsidRPr="0094336B">
        <w:rPr>
          <w:lang w:val="en-GB"/>
        </w:rPr>
        <w:t xml:space="preserve"> role as foundational chemicals or precursors for reduced chemicals and derivatives, including esters, ketones, aldehydes, alcohols, and alkanes, in conventional organic chemistry with a rapidly growing demand in the global market. Despite their importance, the conventional production of VFAs heavily depends on </w:t>
      </w:r>
      <w:r w:rsidR="004A168C" w:rsidRPr="0094336B">
        <w:rPr>
          <w:lang w:val="en-GB"/>
        </w:rPr>
        <w:t>non-renewable petrochemical sources that</w:t>
      </w:r>
      <w:r w:rsidR="00362407" w:rsidRPr="0094336B">
        <w:rPr>
          <w:lang w:val="en-GB"/>
        </w:rPr>
        <w:t xml:space="preserve"> contribute to significant environmental and health </w:t>
      </w:r>
      <w:r w:rsidR="00362407" w:rsidRPr="0094336B">
        <w:rPr>
          <w:lang w:val="en-GB"/>
        </w:rPr>
        <w:lastRenderedPageBreak/>
        <w:t>challenges. Petrochemical processes currently account for approximately 90% of the global VFA supply. Notably, the production of acetic acid through these</w:t>
      </w:r>
      <w:r w:rsidRPr="0094336B">
        <w:rPr>
          <w:lang w:val="en-GB"/>
        </w:rPr>
        <w:t xml:space="preserve"> methods generates considerable GHG </w:t>
      </w:r>
      <w:r w:rsidR="00362407" w:rsidRPr="0094336B">
        <w:rPr>
          <w:lang w:val="en-GB"/>
        </w:rPr>
        <w:t>emissions, estimated at 3.3 tCO</w:t>
      </w:r>
      <w:r w:rsidR="00362407" w:rsidRPr="0094336B">
        <w:rPr>
          <w:vertAlign w:val="subscript"/>
          <w:lang w:val="en-GB"/>
        </w:rPr>
        <w:t>2</w:t>
      </w:r>
      <w:r w:rsidR="00362407" w:rsidRPr="0094336B">
        <w:rPr>
          <w:lang w:val="en-GB"/>
        </w:rPr>
        <w:t>eq. per ton over its life cycle (including incineration without energy recovery) (Wang et al., 2022).</w:t>
      </w:r>
      <w:r w:rsidR="00E538B5" w:rsidRPr="0094336B">
        <w:rPr>
          <w:lang w:val="en-GB"/>
        </w:rPr>
        <w:t xml:space="preserve"> </w:t>
      </w:r>
      <w:r w:rsidR="008D410B" w:rsidRPr="0094336B">
        <w:rPr>
          <w:lang w:val="en-GB"/>
        </w:rPr>
        <w:t xml:space="preserve">For this reason, </w:t>
      </w:r>
      <w:r w:rsidR="0094336B">
        <w:rPr>
          <w:lang w:val="en-GB"/>
        </w:rPr>
        <w:t>developing</w:t>
      </w:r>
      <w:r w:rsidR="008D410B" w:rsidRPr="0094336B">
        <w:rPr>
          <w:lang w:val="en-GB"/>
        </w:rPr>
        <w:t xml:space="preserve"> alternative methods for VFA production is increasingly desirable.</w:t>
      </w:r>
    </w:p>
    <w:p w14:paraId="342B914C" w14:textId="51463116" w:rsidR="008D410B" w:rsidRPr="0094336B" w:rsidRDefault="008D410B" w:rsidP="00BE4D2A">
      <w:pPr>
        <w:pStyle w:val="CETBodytext"/>
        <w:rPr>
          <w:lang w:val="en-GB"/>
        </w:rPr>
      </w:pPr>
      <w:r w:rsidRPr="0094336B">
        <w:rPr>
          <w:lang w:val="en-GB"/>
        </w:rPr>
        <w:t xml:space="preserve">Although </w:t>
      </w:r>
      <w:r w:rsidR="006E5195" w:rsidRPr="0094336B">
        <w:rPr>
          <w:lang w:val="en-GB"/>
        </w:rPr>
        <w:t>AD process (acidogenesis and acetogenesis)</w:t>
      </w:r>
      <w:r w:rsidR="00E538B5" w:rsidRPr="0094336B">
        <w:rPr>
          <w:lang w:val="en-GB"/>
        </w:rPr>
        <w:t xml:space="preserve"> waste effluent is a viable platform for producing VFAs, it is </w:t>
      </w:r>
      <w:r w:rsidR="0094336B">
        <w:rPr>
          <w:lang w:val="en-GB"/>
        </w:rPr>
        <w:t>essential</w:t>
      </w:r>
      <w:r w:rsidR="00E538B5" w:rsidRPr="0094336B">
        <w:rPr>
          <w:lang w:val="en-GB"/>
        </w:rPr>
        <w:t xml:space="preserve"> to note that this stream is an unrefined and complex mixture containing VFAs, microorganisms, salts, proteins, lipids, solids, and more. These components limit the use of the solution as a purified VFA source. Additionally, the </w:t>
      </w:r>
      <w:r w:rsidR="0094336B" w:rsidRPr="0094336B">
        <w:rPr>
          <w:lang w:val="en-GB"/>
        </w:rPr>
        <w:t>high-water</w:t>
      </w:r>
      <w:r w:rsidR="00E538B5" w:rsidRPr="0094336B">
        <w:rPr>
          <w:lang w:val="en-GB"/>
        </w:rPr>
        <w:t xml:space="preserve"> content</w:t>
      </w:r>
      <w:r w:rsidR="00886287" w:rsidRPr="0094336B">
        <w:rPr>
          <w:lang w:val="en-GB"/>
        </w:rPr>
        <w:t>, in most cases,</w:t>
      </w:r>
      <w:r w:rsidR="00E538B5" w:rsidRPr="0094336B">
        <w:rPr>
          <w:lang w:val="en-GB"/>
        </w:rPr>
        <w:t xml:space="preserve"> leads to a diluted VFA solution (Battista et al., 2020; Da Ros et al., 2020).</w:t>
      </w:r>
      <w:r w:rsidR="00C56E63" w:rsidRPr="0094336B">
        <w:rPr>
          <w:lang w:val="en-GB"/>
        </w:rPr>
        <w:t xml:space="preserve"> </w:t>
      </w:r>
      <w:r w:rsidR="00DC532F" w:rsidRPr="0094336B">
        <w:rPr>
          <w:lang w:val="en-GB"/>
        </w:rPr>
        <w:t>VFAs are obtained as mixed products, which necessitates the separation of individual VFAs for specific applications</w:t>
      </w:r>
      <w:r w:rsidR="00B40F18" w:rsidRPr="0094336B">
        <w:rPr>
          <w:lang w:val="en-GB"/>
        </w:rPr>
        <w:t xml:space="preserve">, such as </w:t>
      </w:r>
      <w:r w:rsidR="00E95A3F" w:rsidRPr="0094336B">
        <w:rPr>
          <w:lang w:val="en-GB"/>
        </w:rPr>
        <w:t>producing</w:t>
      </w:r>
      <w:r w:rsidR="00B40F18" w:rsidRPr="0094336B">
        <w:rPr>
          <w:lang w:val="en-GB"/>
        </w:rPr>
        <w:t xml:space="preserve"> biopolymers</w:t>
      </w:r>
      <w:r w:rsidR="00463DD3" w:rsidRPr="0094336B">
        <w:rPr>
          <w:lang w:val="en-GB"/>
        </w:rPr>
        <w:t xml:space="preserve"> (Amabile et al., 2023a; Amabile et al., 2023b</w:t>
      </w:r>
      <w:r w:rsidR="00E15FAA" w:rsidRPr="0094336B">
        <w:rPr>
          <w:lang w:val="en-GB"/>
        </w:rPr>
        <w:t>; Amabile et al., 2023c</w:t>
      </w:r>
      <w:r w:rsidR="00463DD3" w:rsidRPr="0094336B">
        <w:rPr>
          <w:lang w:val="en-GB"/>
        </w:rPr>
        <w:t>)</w:t>
      </w:r>
      <w:r w:rsidR="00DC532F" w:rsidRPr="0094336B">
        <w:rPr>
          <w:lang w:val="en-GB"/>
        </w:rPr>
        <w:t xml:space="preserve">. </w:t>
      </w:r>
      <w:r w:rsidR="00E538B5" w:rsidRPr="0094336B">
        <w:rPr>
          <w:lang w:val="en-GB"/>
        </w:rPr>
        <w:t>Separating VFAs from the bulk fermentation media is challenging due to their low concentration (below 5%) (Coma et al., 2017). Concentrating the VFA stream for further value addition requires significant energy, and extracting VFAs at high rates and yields from this complex effluent is difficult. These challenges can be overcome by enhancing productivity, optimizing upstream fermentation, or utilizing effective separation and concentration techniques (Masse et al., 2008). Recently, there has been increased focus on improving downstream VFA recovery, as the design of a suitable separation and recovery process is key to the economic viability of the process. Since VFAs are low-volume fermentation products, obtaining high purity in their separation demands careful process design to reduce energy consumption and costs. Due to the energy-intensive nature of these processes, scaling them up may not always be feasible. An efficient separation process can lead to better VFA utilization and commercialization (Arias et al., 2020; Moncada et al., 2015).</w:t>
      </w:r>
    </w:p>
    <w:p w14:paraId="5F247B84" w14:textId="11D9A1B4" w:rsidR="00590189" w:rsidRPr="0094336B" w:rsidRDefault="00E538B5" w:rsidP="00BE4D2A">
      <w:pPr>
        <w:pStyle w:val="CETBodytext"/>
        <w:rPr>
          <w:lang w:val="en-GB"/>
        </w:rPr>
      </w:pPr>
      <w:r w:rsidRPr="0094336B">
        <w:rPr>
          <w:lang w:val="en-GB"/>
        </w:rPr>
        <w:t>Various techniques have been developed for VFA recovery, with membrane-based processes such as microfiltration, ultrafiltration, nanofiltration, forward osmosis, and electrodialysis commonly used to recover, purify, and concentrate VFAs from mixed solutions</w:t>
      </w:r>
      <w:r w:rsidR="00522DE2" w:rsidRPr="0094336B">
        <w:rPr>
          <w:lang w:val="en-GB"/>
        </w:rPr>
        <w:t xml:space="preserve"> (Pervez et al. 2022</w:t>
      </w:r>
      <w:r w:rsidR="004A168C" w:rsidRPr="0094336B">
        <w:rPr>
          <w:lang w:val="en-GB"/>
        </w:rPr>
        <w:t>)</w:t>
      </w:r>
      <w:r w:rsidR="008D410B" w:rsidRPr="0094336B">
        <w:rPr>
          <w:lang w:val="en-GB"/>
        </w:rPr>
        <w:t xml:space="preserve">. </w:t>
      </w:r>
      <w:r w:rsidRPr="0094336B">
        <w:rPr>
          <w:lang w:val="en-GB"/>
        </w:rPr>
        <w:t>However, one of the main challenges with membrane processes is membrane fouling and pore-wetting, where ions and impurities remain inside the pores, reducing the effectiveness of rejection rates over time (Wang et al., 2018). These issues require further investigation and validation to improve VFA separation and recovery.</w:t>
      </w:r>
      <w:r w:rsidR="008D410B" w:rsidRPr="0094336B">
        <w:rPr>
          <w:lang w:val="en-GB"/>
        </w:rPr>
        <w:t xml:space="preserve"> </w:t>
      </w:r>
      <w:r w:rsidR="00BE4D2A" w:rsidRPr="0094336B">
        <w:rPr>
          <w:lang w:val="en-GB"/>
        </w:rPr>
        <w:t xml:space="preserve">The present study aims to </w:t>
      </w:r>
      <w:r w:rsidR="00355DAA" w:rsidRPr="0094336B">
        <w:rPr>
          <w:lang w:val="en-GB"/>
        </w:rPr>
        <w:t xml:space="preserve">validate </w:t>
      </w:r>
      <w:r w:rsidR="00BE4D2A" w:rsidRPr="0094336B">
        <w:rPr>
          <w:lang w:val="en-GB"/>
        </w:rPr>
        <w:t>an innovative</w:t>
      </w:r>
      <w:r w:rsidR="00E43D7D" w:rsidRPr="0094336B">
        <w:rPr>
          <w:lang w:val="en-GB"/>
        </w:rPr>
        <w:t xml:space="preserve"> and </w:t>
      </w:r>
      <w:r w:rsidR="00BE4D2A" w:rsidRPr="0094336B">
        <w:rPr>
          <w:lang w:val="en-GB"/>
        </w:rPr>
        <w:t>sustainable</w:t>
      </w:r>
      <w:r w:rsidR="00E95A3F" w:rsidRPr="0094336B">
        <w:rPr>
          <w:lang w:val="en-GB"/>
        </w:rPr>
        <w:t xml:space="preserve"> approach for recovering VFAs from liquid digestate, which consists</w:t>
      </w:r>
      <w:r w:rsidR="00BE4D2A" w:rsidRPr="0094336B">
        <w:rPr>
          <w:lang w:val="en-GB"/>
        </w:rPr>
        <w:t xml:space="preserve"> of gas stripping with absorption</w:t>
      </w:r>
      <w:r w:rsidR="00701224" w:rsidRPr="0094336B">
        <w:rPr>
          <w:lang w:val="en-GB"/>
        </w:rPr>
        <w:t xml:space="preserve">. Experimental investigations were performed on a lab scale </w:t>
      </w:r>
      <w:r w:rsidR="00E95A3F" w:rsidRPr="0094336B">
        <w:rPr>
          <w:lang w:val="en-GB"/>
        </w:rPr>
        <w:t>to recover</w:t>
      </w:r>
      <w:r w:rsidR="00701224" w:rsidRPr="0094336B">
        <w:rPr>
          <w:lang w:val="en-GB"/>
        </w:rPr>
        <w:t xml:space="preserve"> VFAs from a water solution by considering a single acid and a mix of acids.</w:t>
      </w:r>
      <w:r w:rsidR="00E95A3F" w:rsidRPr="0094336B">
        <w:rPr>
          <w:lang w:val="en-GB"/>
        </w:rPr>
        <w:t xml:space="preserve"> Moreover, the </w:t>
      </w:r>
      <w:r w:rsidR="00355DAA" w:rsidRPr="0094336B">
        <w:rPr>
          <w:lang w:val="en-GB"/>
        </w:rPr>
        <w:t xml:space="preserve">process </w:t>
      </w:r>
      <w:r w:rsidR="00E95A3F" w:rsidRPr="0094336B">
        <w:rPr>
          <w:lang w:val="en-GB"/>
        </w:rPr>
        <w:t>simulation was carried out to validate the</w:t>
      </w:r>
      <w:r w:rsidR="00987A7F" w:rsidRPr="0094336B">
        <w:rPr>
          <w:lang w:val="en-GB"/>
        </w:rPr>
        <w:t xml:space="preserve"> </w:t>
      </w:r>
      <w:r w:rsidR="00F60EE9" w:rsidRPr="0094336B">
        <w:rPr>
          <w:lang w:val="en-GB"/>
        </w:rPr>
        <w:t>stripping schematization</w:t>
      </w:r>
      <w:r w:rsidR="00987A7F" w:rsidRPr="0094336B">
        <w:rPr>
          <w:lang w:val="en-GB"/>
        </w:rPr>
        <w:t xml:space="preserve"> and the</w:t>
      </w:r>
      <w:r w:rsidR="00E95A3F" w:rsidRPr="0094336B">
        <w:rPr>
          <w:lang w:val="en-GB"/>
        </w:rPr>
        <w:t xml:space="preserve"> thermodynamic model to scale up the technology.</w:t>
      </w:r>
    </w:p>
    <w:p w14:paraId="5741900F" w14:textId="779A8B1C" w:rsidR="00453E24" w:rsidRPr="0094336B" w:rsidRDefault="00E00811" w:rsidP="00453E24">
      <w:pPr>
        <w:pStyle w:val="CETHeading1"/>
      </w:pPr>
      <w:r w:rsidRPr="0094336B">
        <w:t>Materials and methods</w:t>
      </w:r>
    </w:p>
    <w:p w14:paraId="0636B784" w14:textId="144D2FD7" w:rsidR="00453E24" w:rsidRPr="0094336B" w:rsidRDefault="00E25BAE" w:rsidP="00453E24">
      <w:pPr>
        <w:pStyle w:val="CETheadingx"/>
      </w:pPr>
      <w:r w:rsidRPr="0094336B">
        <w:t>Experimental set-up</w:t>
      </w:r>
      <w:r w:rsidR="000301EF" w:rsidRPr="0094336B">
        <w:t xml:space="preserve"> and process simulation</w:t>
      </w:r>
    </w:p>
    <w:p w14:paraId="2C70E4FF" w14:textId="77EFA530" w:rsidR="007446AB" w:rsidRPr="0094336B" w:rsidRDefault="00ED7FFA" w:rsidP="00453E24">
      <w:pPr>
        <w:pStyle w:val="CETBodytext"/>
      </w:pPr>
      <w:r w:rsidRPr="0094336B">
        <w:t xml:space="preserve">A laboratory bench-scale extraction apparatus </w:t>
      </w:r>
      <w:r w:rsidR="00993487" w:rsidRPr="0094336B">
        <w:t>schematized in Figure 1</w:t>
      </w:r>
      <w:r w:rsidRPr="0094336B">
        <w:t xml:space="preserve"> was utilized for the </w:t>
      </w:r>
      <w:r w:rsidR="00993487" w:rsidRPr="0094336B">
        <w:t>VFA</w:t>
      </w:r>
      <w:r w:rsidRPr="0094336B">
        <w:t xml:space="preserve"> recovery experiments. The pH was adjusted to 1.7 with concentrated H</w:t>
      </w:r>
      <w:r w:rsidRPr="0094336B">
        <w:rPr>
          <w:vertAlign w:val="subscript"/>
        </w:rPr>
        <w:t>2</w:t>
      </w:r>
      <w:r w:rsidRPr="0094336B">
        <w:t>SO</w:t>
      </w:r>
      <w:r w:rsidRPr="0094336B">
        <w:rPr>
          <w:vertAlign w:val="subscript"/>
        </w:rPr>
        <w:t>4</w:t>
      </w:r>
      <w:r w:rsidRPr="0094336B">
        <w:t xml:space="preserve"> before transferring 1 L of a 10.0 g L</w:t>
      </w:r>
      <w:r w:rsidRPr="0094336B">
        <w:rPr>
          <w:vertAlign w:val="superscript"/>
        </w:rPr>
        <w:t>-1</w:t>
      </w:r>
      <w:r w:rsidRPr="0094336B">
        <w:t xml:space="preserve"> acid solution into the first 3-port round bottom flask. This flask was connected to a pump</w:t>
      </w:r>
      <w:r w:rsidR="002C63D9" w:rsidRPr="0094336B">
        <w:t>, an air flowmeter to provide a constant flow to the system,</w:t>
      </w:r>
      <w:r w:rsidRPr="0094336B">
        <w:t xml:space="preserve"> and a heater to control temperature. Downstream, the second flask contained an alkaline solution (Na</w:t>
      </w:r>
      <w:r w:rsidRPr="0094336B">
        <w:rPr>
          <w:vertAlign w:val="subscript"/>
        </w:rPr>
        <w:t>2</w:t>
      </w:r>
      <w:r w:rsidRPr="0094336B">
        <w:t>CO</w:t>
      </w:r>
      <w:r w:rsidRPr="0094336B">
        <w:rPr>
          <w:vertAlign w:val="subscript"/>
        </w:rPr>
        <w:t>3</w:t>
      </w:r>
      <w:r w:rsidR="006830BC" w:rsidRPr="0094336B">
        <w:t>, 0.05 M</w:t>
      </w:r>
      <w:r w:rsidRPr="0094336B">
        <w:t>) with a pH of about 11 to trap the volatilized acid</w:t>
      </w:r>
      <w:r w:rsidR="0032257C" w:rsidRPr="0094336B">
        <w:t>s</w:t>
      </w:r>
      <w:r w:rsidR="008801C4" w:rsidRPr="0094336B">
        <w:t xml:space="preserve"> operated as adsorption liquid</w:t>
      </w:r>
      <w:r w:rsidRPr="0094336B">
        <w:t>. The flask was immersed in a water bath to cool the solution and stabilize the temperature. An additional flask downstream (Na</w:t>
      </w:r>
      <w:r w:rsidRPr="0094336B">
        <w:rPr>
          <w:vertAlign w:val="subscript"/>
        </w:rPr>
        <w:t>2</w:t>
      </w:r>
      <w:r w:rsidRPr="0094336B">
        <w:t>CO</w:t>
      </w:r>
      <w:r w:rsidRPr="0094336B">
        <w:rPr>
          <w:vertAlign w:val="subscript"/>
        </w:rPr>
        <w:t>3</w:t>
      </w:r>
      <w:r w:rsidR="006830BC" w:rsidRPr="0094336B">
        <w:t>, 0.05 M</w:t>
      </w:r>
      <w:r w:rsidRPr="0094336B">
        <w:t>) collected any potential volatilized acid</w:t>
      </w:r>
      <w:r w:rsidR="00BD7B31" w:rsidRPr="0094336B">
        <w:t>s</w:t>
      </w:r>
      <w:r w:rsidRPr="0094336B">
        <w:t xml:space="preserve">. All connections and flask stoppers were sealed with high-temperature-resistant </w:t>
      </w:r>
      <w:r w:rsidR="002C63D9" w:rsidRPr="0094336B">
        <w:t xml:space="preserve">tape </w:t>
      </w:r>
      <w:r w:rsidRPr="0094336B">
        <w:t xml:space="preserve">to prevent gas dispersion. Experiments were carried out </w:t>
      </w:r>
      <w:r w:rsidR="002C63D9" w:rsidRPr="0094336B">
        <w:t>keeping the temperature (</w:t>
      </w:r>
      <w:r w:rsidRPr="0094336B">
        <w:t>95°C</w:t>
      </w:r>
      <w:r w:rsidR="002C63D9" w:rsidRPr="0094336B">
        <w:t xml:space="preserve">) and the </w:t>
      </w:r>
      <w:r w:rsidR="00515F7D" w:rsidRPr="0094336B">
        <w:t>airflow</w:t>
      </w:r>
      <w:r w:rsidR="002C63D9" w:rsidRPr="0094336B">
        <w:t xml:space="preserve"> rate (2 L min</w:t>
      </w:r>
      <w:r w:rsidR="002C63D9" w:rsidRPr="0094336B">
        <w:rPr>
          <w:vertAlign w:val="superscript"/>
        </w:rPr>
        <w:t>-1</w:t>
      </w:r>
      <w:r w:rsidR="002C63D9" w:rsidRPr="0094336B">
        <w:t>)</w:t>
      </w:r>
      <w:r w:rsidR="00C16964" w:rsidRPr="0094336B">
        <w:t xml:space="preserve"> constant</w:t>
      </w:r>
      <w:r w:rsidRPr="0094336B">
        <w:t xml:space="preserve">. The samples from the alkaline solution were sampled at certain times (0-240 min). </w:t>
      </w:r>
      <w:r w:rsidR="001B40E5" w:rsidRPr="0094336B">
        <w:t>Acetic Acid (AA) and Valeric Acid (VA) r</w:t>
      </w:r>
      <w:r w:rsidR="008A6051" w:rsidRPr="0094336B">
        <w:t>ecovery from s</w:t>
      </w:r>
      <w:r w:rsidR="00C16964" w:rsidRPr="0094336B">
        <w:t>ingle acid solution</w:t>
      </w:r>
      <w:r w:rsidR="00A9324E" w:rsidRPr="0094336B">
        <w:t xml:space="preserve">s and a </w:t>
      </w:r>
      <w:r w:rsidR="00C664A7" w:rsidRPr="0094336B">
        <w:t>mix of acid solution</w:t>
      </w:r>
      <w:r w:rsidR="00390D72" w:rsidRPr="0094336B">
        <w:t>s</w:t>
      </w:r>
      <w:r w:rsidR="00C16964" w:rsidRPr="0094336B">
        <w:t xml:space="preserve"> </w:t>
      </w:r>
      <w:r w:rsidR="00390D72" w:rsidRPr="0094336B">
        <w:t>was investigated.</w:t>
      </w:r>
      <w:r w:rsidR="008A6051" w:rsidRPr="0094336B">
        <w:t xml:space="preserve"> </w:t>
      </w:r>
      <w:r w:rsidR="00A04E2D" w:rsidRPr="0094336B">
        <w:t xml:space="preserve">Volatile free acid mix containing 10 mM in deionized water (Sigma Aldrich, St. Louis, MO, USA) was used as </w:t>
      </w:r>
      <w:r w:rsidR="008639C7" w:rsidRPr="0094336B">
        <w:t xml:space="preserve">an </w:t>
      </w:r>
      <w:r w:rsidR="00A04E2D" w:rsidRPr="0094336B">
        <w:t>analytical standard. Furthermore, solution</w:t>
      </w:r>
      <w:r w:rsidR="00343F81" w:rsidRPr="0094336B">
        <w:t>s</w:t>
      </w:r>
      <w:r w:rsidR="00A04E2D" w:rsidRPr="0094336B">
        <w:t xml:space="preserve"> of acetic acid (glacial, ACS reagent, ≥ 99.7%)</w:t>
      </w:r>
      <w:r w:rsidR="0032257C" w:rsidRPr="0094336B">
        <w:t>, valeric acid (ACS reagent, ≥ 99 %),</w:t>
      </w:r>
      <w:r w:rsidR="00A04E2D" w:rsidRPr="0094336B">
        <w:t xml:space="preserve"> and phosphoric acid (ACS reagent, ≥ 85 wt. %) were purchased from the same supplier. Sulfuric acid (ACS reagent 95.0-97.0 %) and sodium carbonate (ACS reagent, anhydrous, ≥99.8%) were obtained by Honeywell (</w:t>
      </w:r>
      <w:proofErr w:type="spellStart"/>
      <w:r w:rsidR="00A04E2D" w:rsidRPr="0094336B">
        <w:t>Seelze</w:t>
      </w:r>
      <w:proofErr w:type="spellEnd"/>
      <w:r w:rsidR="00A04E2D" w:rsidRPr="0094336B">
        <w:t>, Germany). A solution of sodium hydroxide (</w:t>
      </w:r>
      <w:r w:rsidR="008639C7" w:rsidRPr="0094336B">
        <w:t>J.T. Baker</w:t>
      </w:r>
      <w:r w:rsidR="00A04E2D" w:rsidRPr="0094336B">
        <w:t>) was used to adjust the solution pH if necessary. All solutions were prepared with Milli-Q water (18.2 MΩ cm</w:t>
      </w:r>
      <w:r w:rsidR="00A04E2D" w:rsidRPr="0094336B">
        <w:rPr>
          <w:vertAlign w:val="superscript"/>
        </w:rPr>
        <w:t>−1</w:t>
      </w:r>
      <w:r w:rsidR="00A04E2D" w:rsidRPr="0094336B">
        <w:t xml:space="preserve"> resistivity, 25 °C) from an Elix ® Essential 10 UV water purification system (Merck, Darmstadt, Germany). </w:t>
      </w:r>
    </w:p>
    <w:p w14:paraId="14932F2D" w14:textId="4EE72579" w:rsidR="000D2726" w:rsidRPr="0094336B" w:rsidRDefault="000D2726" w:rsidP="00453E24">
      <w:pPr>
        <w:pStyle w:val="CETBodytext"/>
      </w:pPr>
      <w:r w:rsidRPr="0094336B">
        <w:t xml:space="preserve">At regular time intervals, samples were withdrawn from the alkaline solution in the 3-port round bottom flask and subjected to analysis using high-performance liquid chromatography (HPLC) equipped with a UV diode array detector (DAD) (Shimadzu, model CBM-20A). The data was processed on the Shimadzu LabSolutions software (version 5.86). A </w:t>
      </w:r>
      <w:proofErr w:type="spellStart"/>
      <w:r w:rsidRPr="0094336B">
        <w:t>Supelcogel</w:t>
      </w:r>
      <w:proofErr w:type="spellEnd"/>
      <w:r w:rsidRPr="0094336B">
        <w:t xml:space="preserve"> H column (packing type: sulfonated polystyrene/divinylbenzene, 250 mm × 4.6 mm, 5 </w:t>
      </w:r>
      <w:proofErr w:type="spellStart"/>
      <w:r w:rsidRPr="0094336B">
        <w:t>μm</w:t>
      </w:r>
      <w:proofErr w:type="spellEnd"/>
      <w:r w:rsidRPr="0094336B">
        <w:t>) served as the stationary phase. The mobile phase consisted of 0.1% H</w:t>
      </w:r>
      <w:r w:rsidRPr="0094336B">
        <w:rPr>
          <w:vertAlign w:val="subscript"/>
        </w:rPr>
        <w:t>3</w:t>
      </w:r>
      <w:r w:rsidRPr="0094336B">
        <w:t>PO</w:t>
      </w:r>
      <w:r w:rsidRPr="0094336B">
        <w:rPr>
          <w:vertAlign w:val="subscript"/>
        </w:rPr>
        <w:t>4</w:t>
      </w:r>
      <w:r w:rsidRPr="0094336B">
        <w:t xml:space="preserve"> (v/v), with a flow rate of 0.3 mL min</w:t>
      </w:r>
      <w:r w:rsidRPr="0094336B">
        <w:rPr>
          <w:vertAlign w:val="superscript"/>
        </w:rPr>
        <w:t>−1</w:t>
      </w:r>
      <w:r w:rsidRPr="0094336B">
        <w:t xml:space="preserve"> </w:t>
      </w:r>
      <w:r w:rsidR="00147581" w:rsidRPr="0094336B">
        <w:t>(Han et al., 2019)</w:t>
      </w:r>
      <w:r w:rsidRPr="0094336B">
        <w:t xml:space="preserve">. Analyses were conducted </w:t>
      </w:r>
      <w:proofErr w:type="spellStart"/>
      <w:r w:rsidRPr="0094336B">
        <w:t>isocratically</w:t>
      </w:r>
      <w:proofErr w:type="spellEnd"/>
      <w:r w:rsidRPr="0094336B">
        <w:t xml:space="preserve"> at room temperature, with an injection volume of 20 </w:t>
      </w:r>
      <w:proofErr w:type="spellStart"/>
      <w:r w:rsidRPr="0094336B">
        <w:t>μL</w:t>
      </w:r>
      <w:proofErr w:type="spellEnd"/>
      <w:r w:rsidRPr="0094336B">
        <w:t xml:space="preserve"> and a total run time of </w:t>
      </w:r>
      <w:r w:rsidR="0032257C" w:rsidRPr="0094336B">
        <w:t>22</w:t>
      </w:r>
      <w:r w:rsidRPr="0094336B">
        <w:t xml:space="preserve">.5 min. Quantitative analysis of acids was performed using an </w:t>
      </w:r>
      <w:r w:rsidRPr="0094336B">
        <w:lastRenderedPageBreak/>
        <w:t>absorbance–concentration calibration curve at 206 nm, which exhibited linearity within the range of 0.02–10.0 g L</w:t>
      </w:r>
      <w:r w:rsidRPr="0094336B">
        <w:rPr>
          <w:vertAlign w:val="superscript"/>
        </w:rPr>
        <w:t>-1</w:t>
      </w:r>
      <w:r w:rsidRPr="0094336B">
        <w:t>. A certified standard solution of 10 mg L</w:t>
      </w:r>
      <w:r w:rsidRPr="0094336B">
        <w:rPr>
          <w:vertAlign w:val="superscript"/>
        </w:rPr>
        <w:t>-1</w:t>
      </w:r>
      <w:r w:rsidRPr="0094336B">
        <w:t xml:space="preserve"> caffeine (Shimadzu Corporation, Japan) was employed to confirm the instrument's absorbance linearity. The limit of detection (LOD) and limit of quantification (LOQ) of the method were determined based on a signal-to-noise ratio of 3:1 and 10:1, respectively. Specifically, the LOD and LOQ were </w:t>
      </w:r>
      <w:r w:rsidR="006409BA" w:rsidRPr="0094336B">
        <w:t>0.0197</w:t>
      </w:r>
      <w:r w:rsidRPr="0094336B">
        <w:t xml:space="preserve"> and </w:t>
      </w:r>
      <w:r w:rsidR="006A61D8" w:rsidRPr="0094336B">
        <w:t xml:space="preserve">0.0650 </w:t>
      </w:r>
      <w:r w:rsidRPr="0094336B">
        <w:t>g L</w:t>
      </w:r>
      <w:r w:rsidRPr="0094336B">
        <w:rPr>
          <w:vertAlign w:val="superscript"/>
        </w:rPr>
        <w:t>-1</w:t>
      </w:r>
      <w:r w:rsidRPr="0094336B">
        <w:t xml:space="preserve"> for </w:t>
      </w:r>
      <w:r w:rsidR="006A61D8" w:rsidRPr="0094336B">
        <w:t>acetic</w:t>
      </w:r>
      <w:r w:rsidRPr="0094336B">
        <w:t xml:space="preserve"> acid and 0.0227 and 0.07</w:t>
      </w:r>
      <w:r w:rsidR="00905BE9" w:rsidRPr="0094336B">
        <w:t>49</w:t>
      </w:r>
      <w:r w:rsidRPr="0094336B">
        <w:t xml:space="preserve"> g L</w:t>
      </w:r>
      <w:r w:rsidRPr="0094336B">
        <w:rPr>
          <w:vertAlign w:val="superscript"/>
        </w:rPr>
        <w:t>-1</w:t>
      </w:r>
      <w:r w:rsidRPr="0094336B">
        <w:t xml:space="preserve"> for valeric acid. </w:t>
      </w:r>
    </w:p>
    <w:p w14:paraId="7A9B0A6E" w14:textId="399D5687" w:rsidR="00870EC4" w:rsidRPr="0094336B" w:rsidRDefault="00870EC4" w:rsidP="00870EC4">
      <w:pPr>
        <w:pStyle w:val="CETBodytext"/>
        <w:rPr>
          <w:lang w:val="en-GB"/>
        </w:rPr>
      </w:pPr>
      <w:r w:rsidRPr="0094336B">
        <w:rPr>
          <w:lang w:val="en-GB"/>
        </w:rPr>
        <w:t xml:space="preserve">ASPEN Plus </w:t>
      </w:r>
      <w:r w:rsidR="004F41A9" w:rsidRPr="0094336B">
        <w:rPr>
          <w:lang w:val="en-GB"/>
        </w:rPr>
        <w:t xml:space="preserve">(V15) </w:t>
      </w:r>
      <w:r w:rsidRPr="0094336B">
        <w:rPr>
          <w:lang w:val="en-GB"/>
        </w:rPr>
        <w:t xml:space="preserve">was used for </w:t>
      </w:r>
      <w:r w:rsidR="00F60EE9" w:rsidRPr="0094336B">
        <w:rPr>
          <w:lang w:val="en-GB"/>
        </w:rPr>
        <w:t>the</w:t>
      </w:r>
      <w:r w:rsidRPr="0094336B">
        <w:rPr>
          <w:lang w:val="en-GB"/>
        </w:rPr>
        <w:t xml:space="preserve"> </w:t>
      </w:r>
      <w:r w:rsidR="00355DAA" w:rsidRPr="0094336B">
        <w:rPr>
          <w:lang w:val="en-GB"/>
        </w:rPr>
        <w:t xml:space="preserve">process </w:t>
      </w:r>
      <w:r w:rsidRPr="0094336B">
        <w:rPr>
          <w:lang w:val="en-GB"/>
        </w:rPr>
        <w:t>simulation. The validation</w:t>
      </w:r>
      <w:r w:rsidR="00966C2D" w:rsidRPr="0094336B">
        <w:rPr>
          <w:lang w:val="en-GB"/>
        </w:rPr>
        <w:t xml:space="preserve"> of the</w:t>
      </w:r>
      <w:r w:rsidR="00F60EE9" w:rsidRPr="0094336B">
        <w:rPr>
          <w:lang w:val="en-GB"/>
        </w:rPr>
        <w:t xml:space="preserve"> stripping schematization </w:t>
      </w:r>
      <w:r w:rsidR="00087923" w:rsidRPr="0094336B">
        <w:rPr>
          <w:lang w:val="en-GB"/>
        </w:rPr>
        <w:t xml:space="preserve">and </w:t>
      </w:r>
      <w:r w:rsidR="00F60EE9" w:rsidRPr="0094336B">
        <w:rPr>
          <w:lang w:val="en-GB"/>
        </w:rPr>
        <w:t>the</w:t>
      </w:r>
      <w:r w:rsidRPr="0094336B">
        <w:rPr>
          <w:lang w:val="en-GB"/>
        </w:rPr>
        <w:t xml:space="preserve"> thermodynamic model was carried out using the experimental results</w:t>
      </w:r>
      <w:r w:rsidR="00C42A2A" w:rsidRPr="0094336B">
        <w:rPr>
          <w:lang w:val="en-GB"/>
        </w:rPr>
        <w:t xml:space="preserve"> and the test conditions</w:t>
      </w:r>
      <w:r w:rsidRPr="0094336B">
        <w:rPr>
          <w:lang w:val="en-GB"/>
        </w:rPr>
        <w:t xml:space="preserve"> from acetic acid stripping.</w:t>
      </w:r>
    </w:p>
    <w:p w14:paraId="148AA5F8" w14:textId="7D366364" w:rsidR="00B45A34" w:rsidRPr="0094336B" w:rsidRDefault="00B45A34" w:rsidP="006728B4">
      <w:pPr>
        <w:pStyle w:val="CETCaption"/>
      </w:pPr>
      <w:r w:rsidRPr="0094336B">
        <w:rPr>
          <w:noProof/>
          <w:lang w:val="it-IT" w:eastAsia="it-IT"/>
        </w:rPr>
        <w:drawing>
          <wp:inline distT="0" distB="0" distL="0" distR="0" wp14:anchorId="2A8FEC0A" wp14:editId="09C1FF83">
            <wp:extent cx="3574126" cy="2855396"/>
            <wp:effectExtent l="0" t="0" r="7620" b="2540"/>
            <wp:docPr id="1407558618" name="Immagine 1" descr="Immagine che contiene testo, diagramma,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558618" name="Immagine 1" descr="Immagine che contiene testo, diagramma, schermata&#10;&#10;Descrizione generata automaticamente"/>
                    <pic:cNvPicPr/>
                  </pic:nvPicPr>
                  <pic:blipFill>
                    <a:blip r:embed="rId10"/>
                    <a:stretch>
                      <a:fillRect/>
                    </a:stretch>
                  </pic:blipFill>
                  <pic:spPr>
                    <a:xfrm>
                      <a:off x="0" y="0"/>
                      <a:ext cx="3587768" cy="2866295"/>
                    </a:xfrm>
                    <a:prstGeom prst="rect">
                      <a:avLst/>
                    </a:prstGeom>
                  </pic:spPr>
                </pic:pic>
              </a:graphicData>
            </a:graphic>
          </wp:inline>
        </w:drawing>
      </w:r>
    </w:p>
    <w:p w14:paraId="7A32150D" w14:textId="4658F5B8" w:rsidR="00B45A34" w:rsidRPr="0094336B" w:rsidRDefault="00B45A34" w:rsidP="00B45A34">
      <w:pPr>
        <w:pStyle w:val="CETCaption"/>
      </w:pPr>
      <w:r w:rsidRPr="0094336B">
        <w:rPr>
          <w:rStyle w:val="CETCaptionCarattere"/>
          <w:i/>
        </w:rPr>
        <w:t>Figure 1: schematization of the VFA recover</w:t>
      </w:r>
      <w:r w:rsidRPr="0094336B">
        <w:t>y experimental set-up.</w:t>
      </w:r>
    </w:p>
    <w:p w14:paraId="677EBFF0" w14:textId="0715F0F1" w:rsidR="00600535" w:rsidRPr="0094336B" w:rsidRDefault="006E0755" w:rsidP="00600535">
      <w:pPr>
        <w:pStyle w:val="CETHeading1"/>
        <w:tabs>
          <w:tab w:val="clear" w:pos="360"/>
          <w:tab w:val="right" w:pos="7100"/>
        </w:tabs>
        <w:jc w:val="both"/>
        <w:rPr>
          <w:lang w:val="en-GB"/>
        </w:rPr>
      </w:pPr>
      <w:r w:rsidRPr="0094336B">
        <w:rPr>
          <w:lang w:val="en-GB"/>
        </w:rPr>
        <w:t>Results and discussion</w:t>
      </w:r>
    </w:p>
    <w:p w14:paraId="04963A06" w14:textId="0B7F0F91" w:rsidR="00600535" w:rsidRPr="0094336B" w:rsidRDefault="00870EC4" w:rsidP="00FA5F5F">
      <w:pPr>
        <w:pStyle w:val="CETheadingx"/>
      </w:pPr>
      <w:r w:rsidRPr="0094336B">
        <w:t>Experimental results</w:t>
      </w:r>
    </w:p>
    <w:p w14:paraId="123CB7DF" w14:textId="669411D8" w:rsidR="00600535" w:rsidRPr="0094336B" w:rsidRDefault="00152B0F" w:rsidP="00600535">
      <w:pPr>
        <w:pStyle w:val="CETBodytext"/>
        <w:rPr>
          <w:lang w:val="en-GB"/>
        </w:rPr>
      </w:pPr>
      <w:r w:rsidRPr="0094336B">
        <w:rPr>
          <w:lang w:val="en-GB"/>
        </w:rPr>
        <w:t>The acid and water mass balances, including the average temperature of the acid solution (T</w:t>
      </w:r>
      <w:r w:rsidRPr="0094336B">
        <w:rPr>
          <w:vertAlign w:val="subscript"/>
          <w:lang w:val="en-GB"/>
        </w:rPr>
        <w:t>a</w:t>
      </w:r>
      <w:r w:rsidRPr="0094336B">
        <w:rPr>
          <w:lang w:val="en-GB"/>
        </w:rPr>
        <w:t xml:space="preserve">) and the stripping efficiency, calculated </w:t>
      </w:r>
      <w:r w:rsidR="001C042D" w:rsidRPr="0094336B">
        <w:rPr>
          <w:lang w:val="en-GB"/>
        </w:rPr>
        <w:t xml:space="preserve">according to </w:t>
      </w:r>
      <w:proofErr w:type="spellStart"/>
      <w:proofErr w:type="gramStart"/>
      <w:r w:rsidR="001C042D" w:rsidRPr="0094336B">
        <w:rPr>
          <w:lang w:val="en-GB"/>
        </w:rPr>
        <w:t>Eq</w:t>
      </w:r>
      <w:proofErr w:type="spellEnd"/>
      <w:r w:rsidR="001C042D" w:rsidRPr="0094336B">
        <w:rPr>
          <w:lang w:val="en-GB"/>
        </w:rPr>
        <w:t>(</w:t>
      </w:r>
      <w:proofErr w:type="gramEnd"/>
      <w:r w:rsidR="001C042D" w:rsidRPr="0094336B">
        <w:rPr>
          <w:lang w:val="en-GB"/>
        </w:rPr>
        <w:t>1),</w:t>
      </w:r>
      <w:r w:rsidRPr="0094336B">
        <w:rPr>
          <w:lang w:val="en-GB"/>
        </w:rPr>
        <w:t xml:space="preserve"> are reported in Tables 1 and 2, respectively.</w:t>
      </w:r>
    </w:p>
    <w:tbl>
      <w:tblPr>
        <w:tblW w:w="5000" w:type="pct"/>
        <w:tblLook w:val="04A0" w:firstRow="1" w:lastRow="0" w:firstColumn="1" w:lastColumn="0" w:noHBand="0" w:noVBand="1"/>
      </w:tblPr>
      <w:tblGrid>
        <w:gridCol w:w="7984"/>
        <w:gridCol w:w="803"/>
      </w:tblGrid>
      <w:tr w:rsidR="001C042D" w:rsidRPr="0094336B" w14:paraId="18CA2811" w14:textId="77777777" w:rsidTr="004A6BF7">
        <w:tc>
          <w:tcPr>
            <w:tcW w:w="7984" w:type="dxa"/>
            <w:shd w:val="clear" w:color="auto" w:fill="auto"/>
            <w:vAlign w:val="center"/>
          </w:tcPr>
          <w:p w14:paraId="5113EDB5" w14:textId="5578FD90" w:rsidR="001C042D" w:rsidRPr="0094336B" w:rsidRDefault="004A6BF7" w:rsidP="006D6DA0">
            <w:pPr>
              <w:pStyle w:val="CETEquation"/>
            </w:pPr>
            <m:oMathPara>
              <m:oMathParaPr>
                <m:jc m:val="left"/>
              </m:oMathParaPr>
              <m:oMath>
                <m:r>
                  <w:rPr>
                    <w:rFonts w:ascii="Cambria Math" w:hAnsi="Cambria Math"/>
                  </w:rPr>
                  <m:t>Stripping efficiency=</m:t>
                </m:r>
                <m:f>
                  <m:fPr>
                    <m:ctrlPr>
                      <w:rPr>
                        <w:rFonts w:ascii="Cambria Math" w:hAnsi="Cambria Math"/>
                        <w:i/>
                      </w:rPr>
                    </m:ctrlPr>
                  </m:fPr>
                  <m:num>
                    <m:sSub>
                      <m:sSubPr>
                        <m:ctrlPr>
                          <w:rPr>
                            <w:rFonts w:ascii="Cambria Math" w:hAnsi="Cambria Math"/>
                            <w:i/>
                          </w:rPr>
                        </m:ctrlPr>
                      </m:sSubPr>
                      <m:e>
                        <m:r>
                          <w:rPr>
                            <w:rFonts w:ascii="Cambria Math" w:hAnsi="Cambria Math"/>
                          </w:rPr>
                          <m:t>M</m:t>
                        </m:r>
                      </m:e>
                      <m:sub>
                        <m:r>
                          <w:rPr>
                            <w:rFonts w:ascii="Cambria Math" w:hAnsi="Cambria Math"/>
                          </w:rPr>
                          <m:t>S</m:t>
                        </m:r>
                      </m:sub>
                    </m:sSub>
                  </m:num>
                  <m:den>
                    <m:sSub>
                      <m:sSubPr>
                        <m:ctrlPr>
                          <w:rPr>
                            <w:rFonts w:ascii="Cambria Math" w:hAnsi="Cambria Math"/>
                            <w:i/>
                          </w:rPr>
                        </m:ctrlPr>
                      </m:sSubPr>
                      <m:e>
                        <m:r>
                          <w:rPr>
                            <w:rFonts w:ascii="Cambria Math" w:hAnsi="Cambria Math"/>
                          </w:rPr>
                          <m:t>M</m:t>
                        </m:r>
                      </m:e>
                      <m:sub>
                        <m:r>
                          <w:rPr>
                            <w:rFonts w:ascii="Cambria Math" w:hAnsi="Cambria Math"/>
                          </w:rPr>
                          <m:t>0</m:t>
                        </m:r>
                      </m:sub>
                    </m:sSub>
                  </m:den>
                </m:f>
                <m:r>
                  <w:rPr>
                    <w:rFonts w:ascii="Cambria Math" w:hAnsi="Cambria Math"/>
                  </w:rPr>
                  <m:t>x100</m:t>
                </m:r>
              </m:oMath>
            </m:oMathPara>
          </w:p>
        </w:tc>
        <w:tc>
          <w:tcPr>
            <w:tcW w:w="803" w:type="dxa"/>
            <w:shd w:val="clear" w:color="auto" w:fill="auto"/>
            <w:vAlign w:val="center"/>
          </w:tcPr>
          <w:p w14:paraId="04930F9A" w14:textId="77777777" w:rsidR="001C042D" w:rsidRPr="0094336B" w:rsidRDefault="001C042D" w:rsidP="006D6DA0">
            <w:pPr>
              <w:pStyle w:val="CETEquation"/>
              <w:jc w:val="right"/>
            </w:pPr>
            <w:r w:rsidRPr="0094336B">
              <w:t>(1)</w:t>
            </w:r>
          </w:p>
        </w:tc>
      </w:tr>
    </w:tbl>
    <w:p w14:paraId="1D7F95D1" w14:textId="42FF8FD2" w:rsidR="004A6BF7" w:rsidRPr="0094336B" w:rsidRDefault="004A6BF7" w:rsidP="004A6BF7">
      <w:pPr>
        <w:pStyle w:val="CETTabletitle"/>
      </w:pPr>
      <w:r w:rsidRPr="0094336B">
        <w:t>Table 1: Acid mass balance</w:t>
      </w:r>
    </w:p>
    <w:tbl>
      <w:tblPr>
        <w:tblW w:w="8572"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134"/>
        <w:gridCol w:w="1985"/>
        <w:gridCol w:w="1984"/>
        <w:gridCol w:w="1134"/>
        <w:gridCol w:w="1701"/>
        <w:gridCol w:w="634"/>
      </w:tblGrid>
      <w:tr w:rsidR="00283C40" w:rsidRPr="0094336B" w14:paraId="67D60B53" w14:textId="77777777" w:rsidTr="00FF6853">
        <w:tc>
          <w:tcPr>
            <w:tcW w:w="1134" w:type="dxa"/>
            <w:tcBorders>
              <w:top w:val="single" w:sz="12" w:space="0" w:color="008000"/>
              <w:bottom w:val="single" w:sz="6" w:space="0" w:color="008000"/>
            </w:tcBorders>
            <w:shd w:val="clear" w:color="auto" w:fill="FFFFFF"/>
          </w:tcPr>
          <w:p w14:paraId="42A33E74" w14:textId="5AD36216" w:rsidR="00283C40" w:rsidRPr="0094336B" w:rsidRDefault="00283C40" w:rsidP="00283C40">
            <w:pPr>
              <w:pStyle w:val="CETBodytext"/>
              <w:rPr>
                <w:lang w:val="en-GB"/>
              </w:rPr>
            </w:pPr>
            <w:r w:rsidRPr="0094336B">
              <w:rPr>
                <w:lang w:val="en-GB"/>
              </w:rPr>
              <w:t>Acid</w:t>
            </w:r>
          </w:p>
        </w:tc>
        <w:tc>
          <w:tcPr>
            <w:tcW w:w="1985" w:type="dxa"/>
            <w:tcBorders>
              <w:top w:val="single" w:sz="12" w:space="0" w:color="008000"/>
              <w:bottom w:val="single" w:sz="6" w:space="0" w:color="008000"/>
            </w:tcBorders>
            <w:shd w:val="clear" w:color="auto" w:fill="FFFFFF"/>
          </w:tcPr>
          <w:p w14:paraId="0F4E279A" w14:textId="77777777" w:rsidR="00FF6853" w:rsidRPr="0094336B" w:rsidRDefault="00283C40" w:rsidP="00283C40">
            <w:pPr>
              <w:pStyle w:val="CETBodytext"/>
              <w:jc w:val="left"/>
              <w:rPr>
                <w:lang w:val="en-GB"/>
              </w:rPr>
            </w:pPr>
            <w:r w:rsidRPr="0094336B">
              <w:rPr>
                <w:lang w:val="en-GB"/>
              </w:rPr>
              <w:t>Initial mass in the acid solution (M</w:t>
            </w:r>
            <w:r w:rsidRPr="0094336B">
              <w:rPr>
                <w:vertAlign w:val="subscript"/>
                <w:lang w:val="en-GB"/>
              </w:rPr>
              <w:t>0</w:t>
            </w:r>
            <w:r w:rsidRPr="0094336B">
              <w:rPr>
                <w:lang w:val="en-GB"/>
              </w:rPr>
              <w:t xml:space="preserve">) </w:t>
            </w:r>
          </w:p>
          <w:p w14:paraId="0B9FC594" w14:textId="15A5A8EC" w:rsidR="00283C40" w:rsidRPr="0094336B" w:rsidRDefault="00283C40" w:rsidP="00283C40">
            <w:pPr>
              <w:pStyle w:val="CETBodytext"/>
              <w:jc w:val="left"/>
              <w:rPr>
                <w:lang w:val="en-GB"/>
              </w:rPr>
            </w:pPr>
            <w:r w:rsidRPr="0094336B">
              <w:rPr>
                <w:lang w:val="en-GB"/>
              </w:rPr>
              <w:t>[g]</w:t>
            </w:r>
          </w:p>
        </w:tc>
        <w:tc>
          <w:tcPr>
            <w:tcW w:w="1984" w:type="dxa"/>
            <w:tcBorders>
              <w:top w:val="single" w:sz="12" w:space="0" w:color="008000"/>
              <w:bottom w:val="single" w:sz="6" w:space="0" w:color="008000"/>
            </w:tcBorders>
            <w:shd w:val="clear" w:color="auto" w:fill="FFFFFF"/>
          </w:tcPr>
          <w:p w14:paraId="70BCCA31" w14:textId="77777777" w:rsidR="00FF6853" w:rsidRPr="0094336B" w:rsidRDefault="00283C40" w:rsidP="00283C40">
            <w:pPr>
              <w:pStyle w:val="CETBodytext"/>
              <w:rPr>
                <w:lang w:val="en-GB"/>
              </w:rPr>
            </w:pPr>
            <w:r w:rsidRPr="0094336B">
              <w:rPr>
                <w:lang w:val="en-GB"/>
              </w:rPr>
              <w:t xml:space="preserve">Mass stripped </w:t>
            </w:r>
          </w:p>
          <w:p w14:paraId="543D3D0A" w14:textId="4C5B9700" w:rsidR="00FF6853" w:rsidRPr="0094336B" w:rsidRDefault="00283C40" w:rsidP="00283C40">
            <w:pPr>
              <w:pStyle w:val="CETBodytext"/>
              <w:rPr>
                <w:lang w:val="en-GB"/>
              </w:rPr>
            </w:pPr>
            <w:r w:rsidRPr="0094336B">
              <w:rPr>
                <w:lang w:val="en-GB"/>
              </w:rPr>
              <w:t xml:space="preserve">(Ms) </w:t>
            </w:r>
          </w:p>
          <w:p w14:paraId="0B6B85A7" w14:textId="55846C58" w:rsidR="00283C40" w:rsidRPr="0094336B" w:rsidRDefault="00283C40" w:rsidP="00283C40">
            <w:pPr>
              <w:pStyle w:val="CETBodytext"/>
              <w:rPr>
                <w:lang w:val="en-GB"/>
              </w:rPr>
            </w:pPr>
            <w:r w:rsidRPr="0094336B">
              <w:rPr>
                <w:lang w:val="en-GB"/>
              </w:rPr>
              <w:t>[g]</w:t>
            </w:r>
          </w:p>
        </w:tc>
        <w:tc>
          <w:tcPr>
            <w:tcW w:w="1134" w:type="dxa"/>
            <w:tcBorders>
              <w:top w:val="single" w:sz="12" w:space="0" w:color="008000"/>
              <w:bottom w:val="single" w:sz="6" w:space="0" w:color="008000"/>
            </w:tcBorders>
            <w:shd w:val="clear" w:color="auto" w:fill="FFFFFF"/>
          </w:tcPr>
          <w:p w14:paraId="2AFA0AFE" w14:textId="77777777" w:rsidR="00FF6853" w:rsidRPr="0094336B" w:rsidRDefault="00283C40" w:rsidP="00283C40">
            <w:pPr>
              <w:pStyle w:val="CETBodytext"/>
              <w:ind w:right="-1"/>
              <w:rPr>
                <w:rFonts w:cs="Arial"/>
                <w:szCs w:val="18"/>
                <w:lang w:val="en-GB"/>
              </w:rPr>
            </w:pPr>
            <w:r w:rsidRPr="0094336B">
              <w:rPr>
                <w:rFonts w:cs="Arial"/>
                <w:szCs w:val="18"/>
                <w:lang w:val="en-GB"/>
              </w:rPr>
              <w:t xml:space="preserve">Stripping efficiency </w:t>
            </w:r>
          </w:p>
          <w:p w14:paraId="36F304B3" w14:textId="71F04E55" w:rsidR="00283C40" w:rsidRPr="0094336B" w:rsidRDefault="00283C40" w:rsidP="00283C40">
            <w:pPr>
              <w:pStyle w:val="CETBodytext"/>
              <w:ind w:right="-1"/>
              <w:rPr>
                <w:rFonts w:cs="Arial"/>
                <w:szCs w:val="18"/>
                <w:lang w:val="en-GB"/>
              </w:rPr>
            </w:pPr>
            <w:r w:rsidRPr="0094336B">
              <w:rPr>
                <w:rFonts w:cs="Arial"/>
                <w:szCs w:val="18"/>
                <w:lang w:val="en-GB"/>
              </w:rPr>
              <w:t>[%]</w:t>
            </w:r>
          </w:p>
        </w:tc>
        <w:tc>
          <w:tcPr>
            <w:tcW w:w="1701" w:type="dxa"/>
            <w:tcBorders>
              <w:top w:val="single" w:sz="12" w:space="0" w:color="008000"/>
              <w:bottom w:val="single" w:sz="6" w:space="0" w:color="008000"/>
            </w:tcBorders>
            <w:shd w:val="clear" w:color="auto" w:fill="FFFFFF"/>
          </w:tcPr>
          <w:p w14:paraId="3709117A" w14:textId="77777777" w:rsidR="00FF6853" w:rsidRPr="0094336B" w:rsidRDefault="00283C40" w:rsidP="00283C40">
            <w:pPr>
              <w:pStyle w:val="CETBodytext"/>
              <w:ind w:right="-1"/>
            </w:pPr>
            <w:r w:rsidRPr="0094336B">
              <w:t xml:space="preserve">Mass </w:t>
            </w:r>
          </w:p>
          <w:p w14:paraId="02519282" w14:textId="0E6E42E5" w:rsidR="00FF6853" w:rsidRPr="0094336B" w:rsidRDefault="00283C40" w:rsidP="00283C40">
            <w:pPr>
              <w:pStyle w:val="CETBodytext"/>
              <w:ind w:right="-1"/>
            </w:pPr>
            <w:r w:rsidRPr="0094336B">
              <w:t xml:space="preserve">recovered </w:t>
            </w:r>
          </w:p>
          <w:p w14:paraId="759FF0BD" w14:textId="74692F89" w:rsidR="00283C40" w:rsidRPr="0094336B" w:rsidRDefault="00283C40" w:rsidP="00283C40">
            <w:pPr>
              <w:pStyle w:val="CETBodytext"/>
              <w:ind w:right="-1"/>
              <w:rPr>
                <w:rFonts w:cs="Arial"/>
                <w:szCs w:val="18"/>
                <w:lang w:val="en-GB"/>
              </w:rPr>
            </w:pPr>
            <w:r w:rsidRPr="0094336B">
              <w:t>[g]</w:t>
            </w:r>
          </w:p>
        </w:tc>
        <w:tc>
          <w:tcPr>
            <w:tcW w:w="634" w:type="dxa"/>
            <w:tcBorders>
              <w:top w:val="single" w:sz="12" w:space="0" w:color="008000"/>
              <w:bottom w:val="single" w:sz="6" w:space="0" w:color="008000"/>
            </w:tcBorders>
            <w:shd w:val="clear" w:color="auto" w:fill="FFFFFF"/>
          </w:tcPr>
          <w:p w14:paraId="2408273D" w14:textId="4B3BC88A" w:rsidR="00283C40" w:rsidRPr="0094336B" w:rsidRDefault="00283C40" w:rsidP="00283C40">
            <w:pPr>
              <w:pStyle w:val="CETBodytext"/>
              <w:ind w:right="-1"/>
              <w:rPr>
                <w:rFonts w:cs="Arial"/>
                <w:szCs w:val="18"/>
                <w:lang w:val="en-GB"/>
              </w:rPr>
            </w:pPr>
            <w:r w:rsidRPr="0094336B">
              <w:t>Mass balance [%]</w:t>
            </w:r>
          </w:p>
        </w:tc>
      </w:tr>
      <w:tr w:rsidR="001F6B57" w:rsidRPr="0094336B" w14:paraId="39F3CC3B" w14:textId="77777777" w:rsidTr="00FF6853">
        <w:tc>
          <w:tcPr>
            <w:tcW w:w="1134" w:type="dxa"/>
            <w:shd w:val="clear" w:color="auto" w:fill="FFFFFF"/>
          </w:tcPr>
          <w:p w14:paraId="3E8DD96F" w14:textId="77777777" w:rsidR="002D4304" w:rsidRPr="0094336B" w:rsidRDefault="001F6B57" w:rsidP="001F6B57">
            <w:pPr>
              <w:pStyle w:val="CETBodytext"/>
              <w:rPr>
                <w:lang w:val="en-GB"/>
              </w:rPr>
            </w:pPr>
            <w:r w:rsidRPr="0094336B">
              <w:rPr>
                <w:lang w:val="en-GB"/>
              </w:rPr>
              <w:t>A</w:t>
            </w:r>
            <w:r w:rsidR="006B50B1" w:rsidRPr="0094336B">
              <w:rPr>
                <w:lang w:val="en-GB"/>
              </w:rPr>
              <w:t xml:space="preserve">A </w:t>
            </w:r>
          </w:p>
          <w:p w14:paraId="197D69E3" w14:textId="494D8901" w:rsidR="001F6B57" w:rsidRPr="0094336B" w:rsidRDefault="006B50B1" w:rsidP="001F6B57">
            <w:pPr>
              <w:pStyle w:val="CETBodytext"/>
              <w:rPr>
                <w:lang w:val="en-GB"/>
              </w:rPr>
            </w:pPr>
            <w:r w:rsidRPr="0094336B">
              <w:rPr>
                <w:lang w:val="en-GB"/>
              </w:rPr>
              <w:t>(</w:t>
            </w:r>
            <w:r w:rsidR="002D4304" w:rsidRPr="0094336B">
              <w:rPr>
                <w:lang w:val="en-GB"/>
              </w:rPr>
              <w:t>T</w:t>
            </w:r>
            <w:r w:rsidR="002D4304" w:rsidRPr="0094336B">
              <w:rPr>
                <w:vertAlign w:val="subscript"/>
                <w:lang w:val="en-GB"/>
              </w:rPr>
              <w:t>a</w:t>
            </w:r>
            <w:r w:rsidR="002D4304" w:rsidRPr="0094336B">
              <w:rPr>
                <w:lang w:val="en-GB"/>
              </w:rPr>
              <w:t xml:space="preserve"> = 93.8°C)</w:t>
            </w:r>
          </w:p>
        </w:tc>
        <w:tc>
          <w:tcPr>
            <w:tcW w:w="1985" w:type="dxa"/>
            <w:shd w:val="clear" w:color="auto" w:fill="FFFFFF"/>
          </w:tcPr>
          <w:p w14:paraId="7B53F12B" w14:textId="5923A92E" w:rsidR="001F6B57" w:rsidRPr="0094336B" w:rsidRDefault="001F6B57" w:rsidP="001F6B57">
            <w:pPr>
              <w:pStyle w:val="CETBodytext"/>
              <w:rPr>
                <w:lang w:val="en-GB"/>
              </w:rPr>
            </w:pPr>
            <w:r w:rsidRPr="0094336B">
              <w:t>10.18</w:t>
            </w:r>
          </w:p>
        </w:tc>
        <w:tc>
          <w:tcPr>
            <w:tcW w:w="1984" w:type="dxa"/>
            <w:shd w:val="clear" w:color="auto" w:fill="FFFFFF"/>
          </w:tcPr>
          <w:p w14:paraId="5E57F84E" w14:textId="481E3861" w:rsidR="001F6B57" w:rsidRPr="0094336B" w:rsidRDefault="001F6B57" w:rsidP="001F6B57">
            <w:pPr>
              <w:pStyle w:val="CETBodytext"/>
              <w:rPr>
                <w:lang w:val="en-GB"/>
              </w:rPr>
            </w:pPr>
            <w:r w:rsidRPr="0094336B">
              <w:t>1.65</w:t>
            </w:r>
          </w:p>
        </w:tc>
        <w:tc>
          <w:tcPr>
            <w:tcW w:w="1134" w:type="dxa"/>
            <w:shd w:val="clear" w:color="auto" w:fill="FFFFFF"/>
          </w:tcPr>
          <w:p w14:paraId="6FDDA193" w14:textId="4A65C5F1" w:rsidR="001F6B57" w:rsidRPr="0094336B" w:rsidRDefault="001F6B57" w:rsidP="001F6B57">
            <w:pPr>
              <w:pStyle w:val="CETBodytext"/>
              <w:ind w:right="-1"/>
              <w:rPr>
                <w:rFonts w:cs="Arial"/>
                <w:szCs w:val="18"/>
                <w:lang w:val="en-GB"/>
              </w:rPr>
            </w:pPr>
            <w:r w:rsidRPr="0094336B">
              <w:t>16.17</w:t>
            </w:r>
          </w:p>
        </w:tc>
        <w:tc>
          <w:tcPr>
            <w:tcW w:w="1701" w:type="dxa"/>
            <w:shd w:val="clear" w:color="auto" w:fill="FFFFFF"/>
          </w:tcPr>
          <w:p w14:paraId="40DF49B3" w14:textId="3D678D30" w:rsidR="001F6B57" w:rsidRPr="0094336B" w:rsidRDefault="001F6B57" w:rsidP="001F6B57">
            <w:pPr>
              <w:pStyle w:val="CETBodytext"/>
              <w:ind w:right="-1"/>
              <w:rPr>
                <w:rFonts w:cs="Arial"/>
                <w:szCs w:val="18"/>
                <w:lang w:val="en-GB"/>
              </w:rPr>
            </w:pPr>
            <w:r w:rsidRPr="0094336B">
              <w:t>1.65</w:t>
            </w:r>
          </w:p>
        </w:tc>
        <w:tc>
          <w:tcPr>
            <w:tcW w:w="634" w:type="dxa"/>
            <w:shd w:val="clear" w:color="auto" w:fill="FFFFFF"/>
          </w:tcPr>
          <w:p w14:paraId="248C6B0E" w14:textId="48A02DB9" w:rsidR="001F6B57" w:rsidRPr="0094336B" w:rsidRDefault="001F6B57" w:rsidP="001F6B57">
            <w:pPr>
              <w:pStyle w:val="CETBodytext"/>
              <w:ind w:right="-1"/>
              <w:rPr>
                <w:rFonts w:cs="Arial"/>
                <w:szCs w:val="18"/>
                <w:lang w:val="en-GB"/>
              </w:rPr>
            </w:pPr>
            <w:r w:rsidRPr="0094336B">
              <w:t>100</w:t>
            </w:r>
          </w:p>
        </w:tc>
      </w:tr>
      <w:tr w:rsidR="00CC4FB6" w:rsidRPr="0094336B" w14:paraId="4889A7A9" w14:textId="77777777" w:rsidTr="00FF6853">
        <w:tc>
          <w:tcPr>
            <w:tcW w:w="1134" w:type="dxa"/>
            <w:shd w:val="clear" w:color="auto" w:fill="FFFFFF"/>
          </w:tcPr>
          <w:p w14:paraId="3385DD6F" w14:textId="66660ADE" w:rsidR="00CC4FB6" w:rsidRPr="0094336B" w:rsidRDefault="00CC4FB6" w:rsidP="00CC4FB6">
            <w:pPr>
              <w:pStyle w:val="CETBodytext"/>
              <w:rPr>
                <w:lang w:val="en-GB"/>
              </w:rPr>
            </w:pPr>
            <w:r w:rsidRPr="0094336B">
              <w:rPr>
                <w:lang w:val="en-GB"/>
              </w:rPr>
              <w:t xml:space="preserve">VA </w:t>
            </w:r>
          </w:p>
          <w:p w14:paraId="66FE6CC7" w14:textId="291DD5BC" w:rsidR="00CC4FB6" w:rsidRPr="0094336B" w:rsidRDefault="00CC4FB6" w:rsidP="00CC4FB6">
            <w:pPr>
              <w:pStyle w:val="CETBodytext"/>
              <w:rPr>
                <w:lang w:val="en-GB"/>
              </w:rPr>
            </w:pPr>
            <w:r w:rsidRPr="0094336B">
              <w:rPr>
                <w:lang w:val="en-GB"/>
              </w:rPr>
              <w:t>(T</w:t>
            </w:r>
            <w:r w:rsidRPr="0094336B">
              <w:rPr>
                <w:vertAlign w:val="subscript"/>
                <w:lang w:val="en-GB"/>
              </w:rPr>
              <w:t>a</w:t>
            </w:r>
            <w:r w:rsidRPr="0094336B">
              <w:rPr>
                <w:lang w:val="en-GB"/>
              </w:rPr>
              <w:t xml:space="preserve"> = 92.9°C)</w:t>
            </w:r>
          </w:p>
        </w:tc>
        <w:tc>
          <w:tcPr>
            <w:tcW w:w="1985" w:type="dxa"/>
            <w:shd w:val="clear" w:color="auto" w:fill="FFFFFF"/>
          </w:tcPr>
          <w:p w14:paraId="49A009A0" w14:textId="5882BAAD" w:rsidR="00CC4FB6" w:rsidRPr="0094336B" w:rsidRDefault="00CC4FB6" w:rsidP="00CC4FB6">
            <w:pPr>
              <w:pStyle w:val="CETBodytext"/>
              <w:rPr>
                <w:lang w:val="en-GB"/>
              </w:rPr>
            </w:pPr>
            <w:r w:rsidRPr="0094336B">
              <w:t>9.62</w:t>
            </w:r>
          </w:p>
        </w:tc>
        <w:tc>
          <w:tcPr>
            <w:tcW w:w="1984" w:type="dxa"/>
            <w:shd w:val="clear" w:color="auto" w:fill="FFFFFF"/>
          </w:tcPr>
          <w:p w14:paraId="1B9E1838" w14:textId="2A407144" w:rsidR="00CC4FB6" w:rsidRPr="0094336B" w:rsidRDefault="00CC4FB6" w:rsidP="00CC4FB6">
            <w:pPr>
              <w:pStyle w:val="CETBodytext"/>
              <w:rPr>
                <w:lang w:val="en-GB"/>
              </w:rPr>
            </w:pPr>
            <w:r w:rsidRPr="0094336B">
              <w:t>6.12</w:t>
            </w:r>
          </w:p>
        </w:tc>
        <w:tc>
          <w:tcPr>
            <w:tcW w:w="1134" w:type="dxa"/>
            <w:shd w:val="clear" w:color="auto" w:fill="FFFFFF"/>
          </w:tcPr>
          <w:p w14:paraId="1B13CEB3" w14:textId="0545FF32" w:rsidR="00CC4FB6" w:rsidRPr="0094336B" w:rsidRDefault="00CC4FB6" w:rsidP="00CC4FB6">
            <w:pPr>
              <w:pStyle w:val="CETBodytext"/>
              <w:ind w:right="-1"/>
              <w:rPr>
                <w:rFonts w:cs="Arial"/>
                <w:szCs w:val="18"/>
                <w:lang w:val="en-GB"/>
              </w:rPr>
            </w:pPr>
            <w:r w:rsidRPr="0094336B">
              <w:t>63.61</w:t>
            </w:r>
          </w:p>
        </w:tc>
        <w:tc>
          <w:tcPr>
            <w:tcW w:w="1701" w:type="dxa"/>
            <w:shd w:val="clear" w:color="auto" w:fill="FFFFFF"/>
          </w:tcPr>
          <w:p w14:paraId="61ED5EE6" w14:textId="695BCB32" w:rsidR="00CC4FB6" w:rsidRPr="0094336B" w:rsidRDefault="00CC4FB6" w:rsidP="00CC4FB6">
            <w:pPr>
              <w:pStyle w:val="CETBodytext"/>
              <w:ind w:right="-1"/>
              <w:rPr>
                <w:rFonts w:cs="Arial"/>
                <w:szCs w:val="18"/>
                <w:lang w:val="en-GB"/>
              </w:rPr>
            </w:pPr>
            <w:r w:rsidRPr="0094336B">
              <w:t>6.12</w:t>
            </w:r>
          </w:p>
        </w:tc>
        <w:tc>
          <w:tcPr>
            <w:tcW w:w="634" w:type="dxa"/>
            <w:shd w:val="clear" w:color="auto" w:fill="FFFFFF"/>
          </w:tcPr>
          <w:p w14:paraId="6A5E8E65" w14:textId="018F398D" w:rsidR="00CC4FB6" w:rsidRPr="0094336B" w:rsidRDefault="00CC4FB6" w:rsidP="00CC4FB6">
            <w:pPr>
              <w:pStyle w:val="CETBodytext"/>
              <w:ind w:right="-1"/>
              <w:rPr>
                <w:rFonts w:cs="Arial"/>
                <w:szCs w:val="18"/>
                <w:lang w:val="en-GB"/>
              </w:rPr>
            </w:pPr>
            <w:r w:rsidRPr="0094336B">
              <w:t>100</w:t>
            </w:r>
          </w:p>
        </w:tc>
      </w:tr>
      <w:tr w:rsidR="00525591" w:rsidRPr="0094336B" w14:paraId="512B0CCD" w14:textId="77777777" w:rsidTr="00FF6853">
        <w:tc>
          <w:tcPr>
            <w:tcW w:w="1134" w:type="dxa"/>
            <w:shd w:val="clear" w:color="auto" w:fill="FFFFFF"/>
          </w:tcPr>
          <w:p w14:paraId="1A0CAECB" w14:textId="77777777" w:rsidR="00525591" w:rsidRPr="0094336B" w:rsidRDefault="00B8326A" w:rsidP="006D6DA0">
            <w:pPr>
              <w:pStyle w:val="CETBodytext"/>
              <w:ind w:right="-1"/>
              <w:rPr>
                <w:rFonts w:cs="Arial"/>
                <w:szCs w:val="18"/>
                <w:lang w:val="en-GB"/>
              </w:rPr>
            </w:pPr>
            <w:r w:rsidRPr="0094336B">
              <w:rPr>
                <w:rFonts w:cs="Arial"/>
                <w:szCs w:val="18"/>
                <w:lang w:val="en-GB"/>
              </w:rPr>
              <w:t>AA/VA</w:t>
            </w:r>
          </w:p>
          <w:p w14:paraId="58EECC99" w14:textId="7A1CC11A" w:rsidR="00B8326A" w:rsidRPr="0094336B" w:rsidRDefault="00B8326A" w:rsidP="006D6DA0">
            <w:pPr>
              <w:pStyle w:val="CETBodytext"/>
              <w:ind w:right="-1"/>
              <w:rPr>
                <w:rFonts w:cs="Arial"/>
                <w:szCs w:val="18"/>
                <w:lang w:val="en-GB"/>
              </w:rPr>
            </w:pPr>
            <w:r w:rsidRPr="0094336B">
              <w:rPr>
                <w:lang w:val="en-GB"/>
              </w:rPr>
              <w:t>(T</w:t>
            </w:r>
            <w:r w:rsidRPr="0094336B">
              <w:rPr>
                <w:vertAlign w:val="subscript"/>
                <w:lang w:val="en-GB"/>
              </w:rPr>
              <w:t>a</w:t>
            </w:r>
            <w:r w:rsidRPr="0094336B">
              <w:rPr>
                <w:lang w:val="en-GB"/>
              </w:rPr>
              <w:t xml:space="preserve"> = 92.5°C)</w:t>
            </w:r>
          </w:p>
        </w:tc>
        <w:tc>
          <w:tcPr>
            <w:tcW w:w="1985" w:type="dxa"/>
            <w:shd w:val="clear" w:color="auto" w:fill="FFFFFF"/>
          </w:tcPr>
          <w:p w14:paraId="570207ED" w14:textId="77777777" w:rsidR="001E0295" w:rsidRPr="0094336B" w:rsidRDefault="001E0295" w:rsidP="001E0295">
            <w:pPr>
              <w:pStyle w:val="CETBodytext"/>
              <w:ind w:right="-1"/>
              <w:rPr>
                <w:rFonts w:cs="Arial"/>
                <w:szCs w:val="18"/>
                <w:lang w:val="en-GB"/>
              </w:rPr>
            </w:pPr>
            <w:r w:rsidRPr="0094336B">
              <w:rPr>
                <w:rFonts w:cs="Arial"/>
                <w:szCs w:val="18"/>
                <w:lang w:val="en-GB"/>
              </w:rPr>
              <w:t>AA = 10.38</w:t>
            </w:r>
          </w:p>
          <w:p w14:paraId="5C2BE944" w14:textId="03F70184" w:rsidR="00525591" w:rsidRPr="0094336B" w:rsidRDefault="001E0295" w:rsidP="001E0295">
            <w:pPr>
              <w:pStyle w:val="CETBodytext"/>
              <w:ind w:right="-1"/>
              <w:rPr>
                <w:rFonts w:cs="Arial"/>
                <w:szCs w:val="18"/>
                <w:lang w:val="en-GB"/>
              </w:rPr>
            </w:pPr>
            <w:r w:rsidRPr="0094336B">
              <w:rPr>
                <w:rFonts w:cs="Arial"/>
                <w:szCs w:val="18"/>
                <w:lang w:val="en-GB"/>
              </w:rPr>
              <w:t>VA = 10.51</w:t>
            </w:r>
          </w:p>
        </w:tc>
        <w:tc>
          <w:tcPr>
            <w:tcW w:w="1984" w:type="dxa"/>
            <w:shd w:val="clear" w:color="auto" w:fill="FFFFFF"/>
          </w:tcPr>
          <w:p w14:paraId="31B9D0D4" w14:textId="77777777" w:rsidR="0022365A" w:rsidRPr="0094336B" w:rsidRDefault="0022365A" w:rsidP="0022365A">
            <w:pPr>
              <w:pStyle w:val="CETBodytext"/>
              <w:ind w:right="-1"/>
              <w:rPr>
                <w:rFonts w:cs="Arial"/>
                <w:szCs w:val="18"/>
                <w:lang w:val="en-GB"/>
              </w:rPr>
            </w:pPr>
            <w:r w:rsidRPr="0094336B">
              <w:rPr>
                <w:rFonts w:cs="Arial"/>
                <w:szCs w:val="18"/>
                <w:lang w:val="en-GB"/>
              </w:rPr>
              <w:t>AA = 1.77</w:t>
            </w:r>
          </w:p>
          <w:p w14:paraId="1BA0ADD2" w14:textId="408D1621" w:rsidR="00525591" w:rsidRPr="0094336B" w:rsidRDefault="0022365A" w:rsidP="0022365A">
            <w:pPr>
              <w:pStyle w:val="CETBodytext"/>
              <w:ind w:right="-1"/>
              <w:rPr>
                <w:rFonts w:cs="Arial"/>
                <w:szCs w:val="18"/>
                <w:lang w:val="en-GB"/>
              </w:rPr>
            </w:pPr>
            <w:r w:rsidRPr="0094336B">
              <w:rPr>
                <w:rFonts w:cs="Arial"/>
                <w:szCs w:val="18"/>
                <w:lang w:val="en-GB"/>
              </w:rPr>
              <w:t>VA = 6.67</w:t>
            </w:r>
          </w:p>
        </w:tc>
        <w:tc>
          <w:tcPr>
            <w:tcW w:w="1134" w:type="dxa"/>
            <w:shd w:val="clear" w:color="auto" w:fill="FFFFFF"/>
          </w:tcPr>
          <w:p w14:paraId="34BD07FD" w14:textId="77777777" w:rsidR="0054257B" w:rsidRPr="0094336B" w:rsidRDefault="0054257B" w:rsidP="0054257B">
            <w:pPr>
              <w:pStyle w:val="CETBodytext"/>
              <w:ind w:right="-1"/>
              <w:rPr>
                <w:rFonts w:cs="Arial"/>
                <w:szCs w:val="18"/>
                <w:lang w:val="en-GB"/>
              </w:rPr>
            </w:pPr>
            <w:r w:rsidRPr="0094336B">
              <w:rPr>
                <w:rFonts w:cs="Arial"/>
                <w:szCs w:val="18"/>
                <w:lang w:val="en-GB"/>
              </w:rPr>
              <w:t>AA = 17.11</w:t>
            </w:r>
          </w:p>
          <w:p w14:paraId="7E391C24" w14:textId="52E849E1" w:rsidR="00525591" w:rsidRPr="0094336B" w:rsidRDefault="0054257B" w:rsidP="0054257B">
            <w:pPr>
              <w:pStyle w:val="CETBodytext"/>
              <w:ind w:right="-1"/>
              <w:rPr>
                <w:rFonts w:cs="Arial"/>
                <w:szCs w:val="18"/>
                <w:lang w:val="en-GB"/>
              </w:rPr>
            </w:pPr>
            <w:r w:rsidRPr="0094336B">
              <w:rPr>
                <w:rFonts w:cs="Arial"/>
                <w:szCs w:val="18"/>
                <w:lang w:val="en-GB"/>
              </w:rPr>
              <w:t>VA = 63.45</w:t>
            </w:r>
          </w:p>
        </w:tc>
        <w:tc>
          <w:tcPr>
            <w:tcW w:w="1701" w:type="dxa"/>
            <w:shd w:val="clear" w:color="auto" w:fill="FFFFFF"/>
          </w:tcPr>
          <w:p w14:paraId="29437BC9" w14:textId="77777777" w:rsidR="001A09B6" w:rsidRPr="0094336B" w:rsidRDefault="001A09B6" w:rsidP="001A09B6">
            <w:pPr>
              <w:pStyle w:val="CETBodytext"/>
              <w:ind w:right="-1"/>
              <w:rPr>
                <w:rFonts w:cs="Arial"/>
                <w:szCs w:val="18"/>
                <w:lang w:val="en-GB"/>
              </w:rPr>
            </w:pPr>
            <w:r w:rsidRPr="0094336B">
              <w:rPr>
                <w:rFonts w:cs="Arial"/>
                <w:szCs w:val="18"/>
                <w:lang w:val="en-GB"/>
              </w:rPr>
              <w:t>AA = 1.49</w:t>
            </w:r>
          </w:p>
          <w:p w14:paraId="5A5C0887" w14:textId="5160D2AC" w:rsidR="00525591" w:rsidRPr="0094336B" w:rsidRDefault="001A09B6" w:rsidP="001A09B6">
            <w:pPr>
              <w:pStyle w:val="CETBodytext"/>
              <w:ind w:right="-1"/>
              <w:rPr>
                <w:rFonts w:cs="Arial"/>
                <w:szCs w:val="18"/>
                <w:lang w:val="en-GB"/>
              </w:rPr>
            </w:pPr>
            <w:r w:rsidRPr="0094336B">
              <w:rPr>
                <w:rFonts w:cs="Arial"/>
                <w:szCs w:val="18"/>
                <w:lang w:val="en-GB"/>
              </w:rPr>
              <w:t>VA = 5.9</w:t>
            </w:r>
            <w:r w:rsidR="00336110" w:rsidRPr="0094336B">
              <w:rPr>
                <w:rFonts w:cs="Arial"/>
                <w:szCs w:val="18"/>
                <w:lang w:val="en-GB"/>
              </w:rPr>
              <w:t>1</w:t>
            </w:r>
          </w:p>
        </w:tc>
        <w:tc>
          <w:tcPr>
            <w:tcW w:w="634" w:type="dxa"/>
            <w:shd w:val="clear" w:color="auto" w:fill="FFFFFF"/>
          </w:tcPr>
          <w:p w14:paraId="14AA1917" w14:textId="77777777" w:rsidR="00B8326A" w:rsidRPr="0094336B" w:rsidRDefault="00B8326A" w:rsidP="00B8326A">
            <w:pPr>
              <w:pStyle w:val="CETBodytext"/>
              <w:ind w:right="-1"/>
              <w:rPr>
                <w:rFonts w:cs="Arial"/>
                <w:szCs w:val="18"/>
                <w:lang w:val="en-GB"/>
              </w:rPr>
            </w:pPr>
            <w:r w:rsidRPr="0094336B">
              <w:rPr>
                <w:rFonts w:cs="Arial"/>
                <w:szCs w:val="18"/>
                <w:lang w:val="en-GB"/>
              </w:rPr>
              <w:t>AA = 84</w:t>
            </w:r>
          </w:p>
          <w:p w14:paraId="6FF97C86" w14:textId="5C914EE9" w:rsidR="00525591" w:rsidRPr="0094336B" w:rsidRDefault="00B8326A" w:rsidP="00B8326A">
            <w:pPr>
              <w:pStyle w:val="CETBodytext"/>
              <w:ind w:right="-1"/>
              <w:rPr>
                <w:rFonts w:cs="Arial"/>
                <w:szCs w:val="18"/>
                <w:lang w:val="en-GB"/>
              </w:rPr>
            </w:pPr>
            <w:r w:rsidRPr="0094336B">
              <w:rPr>
                <w:rFonts w:cs="Arial"/>
                <w:szCs w:val="18"/>
                <w:lang w:val="en-GB"/>
              </w:rPr>
              <w:t>VA = 88</w:t>
            </w:r>
          </w:p>
        </w:tc>
      </w:tr>
    </w:tbl>
    <w:p w14:paraId="7B96F281" w14:textId="786CBC37" w:rsidR="004A6BF7" w:rsidRPr="0094336B" w:rsidRDefault="004A6BF7" w:rsidP="004A6BF7">
      <w:pPr>
        <w:pStyle w:val="CETTabletitle"/>
      </w:pPr>
      <w:r w:rsidRPr="0094336B">
        <w:t>Table 2: Water mass balance</w:t>
      </w:r>
    </w:p>
    <w:tbl>
      <w:tblPr>
        <w:tblW w:w="8505"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697"/>
        <w:gridCol w:w="1761"/>
        <w:gridCol w:w="1629"/>
        <w:gridCol w:w="1894"/>
        <w:gridCol w:w="1893"/>
        <w:gridCol w:w="631"/>
      </w:tblGrid>
      <w:tr w:rsidR="00D86A84" w:rsidRPr="0094336B" w14:paraId="05D5AE48" w14:textId="77777777" w:rsidTr="00FF6853">
        <w:tc>
          <w:tcPr>
            <w:tcW w:w="709" w:type="dxa"/>
            <w:tcBorders>
              <w:top w:val="single" w:sz="12" w:space="0" w:color="008000"/>
              <w:bottom w:val="single" w:sz="6" w:space="0" w:color="008000"/>
            </w:tcBorders>
            <w:shd w:val="clear" w:color="auto" w:fill="FFFFFF"/>
          </w:tcPr>
          <w:p w14:paraId="0E2D3E77" w14:textId="2FBC3B64" w:rsidR="00D86A84" w:rsidRPr="0094336B" w:rsidRDefault="00D86A84" w:rsidP="00D86A84">
            <w:pPr>
              <w:pStyle w:val="CETBodytext"/>
              <w:rPr>
                <w:lang w:val="en-GB"/>
              </w:rPr>
            </w:pPr>
            <w:r w:rsidRPr="0094336B">
              <w:t>Acid</w:t>
            </w:r>
          </w:p>
        </w:tc>
        <w:tc>
          <w:tcPr>
            <w:tcW w:w="1843" w:type="dxa"/>
            <w:tcBorders>
              <w:top w:val="single" w:sz="12" w:space="0" w:color="008000"/>
              <w:bottom w:val="single" w:sz="6" w:space="0" w:color="008000"/>
            </w:tcBorders>
            <w:shd w:val="clear" w:color="auto" w:fill="FFFFFF"/>
          </w:tcPr>
          <w:p w14:paraId="5B9C3213" w14:textId="77777777" w:rsidR="00FF6853" w:rsidRPr="0094336B" w:rsidRDefault="00D86A84" w:rsidP="00D86A84">
            <w:pPr>
              <w:pStyle w:val="CETBodytext"/>
              <w:jc w:val="left"/>
            </w:pPr>
            <w:r w:rsidRPr="0094336B">
              <w:t xml:space="preserve">Initial mass of the acid solution </w:t>
            </w:r>
          </w:p>
          <w:p w14:paraId="78C21CB7" w14:textId="7C296888" w:rsidR="00D86A84" w:rsidRPr="0094336B" w:rsidRDefault="00D86A84" w:rsidP="00D86A84">
            <w:pPr>
              <w:pStyle w:val="CETBodytext"/>
              <w:jc w:val="left"/>
              <w:rPr>
                <w:lang w:val="en-GB"/>
              </w:rPr>
            </w:pPr>
            <w:r w:rsidRPr="0094336B">
              <w:t>[g]</w:t>
            </w:r>
          </w:p>
        </w:tc>
        <w:tc>
          <w:tcPr>
            <w:tcW w:w="1701" w:type="dxa"/>
            <w:tcBorders>
              <w:top w:val="single" w:sz="12" w:space="0" w:color="008000"/>
              <w:bottom w:val="single" w:sz="6" w:space="0" w:color="008000"/>
            </w:tcBorders>
            <w:shd w:val="clear" w:color="auto" w:fill="FFFFFF"/>
          </w:tcPr>
          <w:p w14:paraId="18CA8BD0" w14:textId="77777777" w:rsidR="00D86A84" w:rsidRPr="0094336B" w:rsidRDefault="00D86A84" w:rsidP="00D86A84">
            <w:pPr>
              <w:pStyle w:val="CETBodytext"/>
            </w:pPr>
            <w:r w:rsidRPr="0094336B">
              <w:t xml:space="preserve">Final mass of </w:t>
            </w:r>
          </w:p>
          <w:p w14:paraId="36552997" w14:textId="77777777" w:rsidR="00FF6853" w:rsidRPr="0094336B" w:rsidRDefault="00D86A84" w:rsidP="00D86A84">
            <w:pPr>
              <w:pStyle w:val="CETBodytext"/>
            </w:pPr>
            <w:r w:rsidRPr="0094336B">
              <w:t xml:space="preserve">the acid solution </w:t>
            </w:r>
          </w:p>
          <w:p w14:paraId="49D48F3E" w14:textId="0EFDB6A9" w:rsidR="00D86A84" w:rsidRPr="0094336B" w:rsidRDefault="00D86A84" w:rsidP="00D86A84">
            <w:pPr>
              <w:pStyle w:val="CETBodytext"/>
              <w:rPr>
                <w:lang w:val="en-GB"/>
              </w:rPr>
            </w:pPr>
            <w:r w:rsidRPr="0094336B">
              <w:t>[g]</w:t>
            </w:r>
          </w:p>
        </w:tc>
        <w:tc>
          <w:tcPr>
            <w:tcW w:w="1985" w:type="dxa"/>
            <w:tcBorders>
              <w:top w:val="single" w:sz="12" w:space="0" w:color="008000"/>
              <w:bottom w:val="single" w:sz="6" w:space="0" w:color="008000"/>
            </w:tcBorders>
            <w:shd w:val="clear" w:color="auto" w:fill="FFFFFF"/>
          </w:tcPr>
          <w:p w14:paraId="348A371B" w14:textId="77777777" w:rsidR="00D86A84" w:rsidRPr="0094336B" w:rsidRDefault="00D86A84" w:rsidP="00D86A84">
            <w:pPr>
              <w:pStyle w:val="CETBodytext"/>
              <w:ind w:right="-1"/>
            </w:pPr>
            <w:r w:rsidRPr="0094336B">
              <w:t xml:space="preserve">Initial mass of </w:t>
            </w:r>
          </w:p>
          <w:p w14:paraId="5B02A195" w14:textId="77777777" w:rsidR="00FF6853" w:rsidRPr="0094336B" w:rsidRDefault="00D86A84" w:rsidP="00D86A84">
            <w:pPr>
              <w:pStyle w:val="CETBodytext"/>
              <w:ind w:right="-1"/>
            </w:pPr>
            <w:r w:rsidRPr="0094336B">
              <w:t xml:space="preserve">the alkaline solution </w:t>
            </w:r>
          </w:p>
          <w:p w14:paraId="7A88139D" w14:textId="720F9637" w:rsidR="00D86A84" w:rsidRPr="0094336B" w:rsidRDefault="00D86A84" w:rsidP="00D86A84">
            <w:pPr>
              <w:pStyle w:val="CETBodytext"/>
              <w:ind w:right="-1"/>
              <w:rPr>
                <w:rFonts w:cs="Arial"/>
                <w:szCs w:val="18"/>
                <w:lang w:val="en-GB"/>
              </w:rPr>
            </w:pPr>
            <w:r w:rsidRPr="0094336B">
              <w:t>[g]</w:t>
            </w:r>
          </w:p>
        </w:tc>
        <w:tc>
          <w:tcPr>
            <w:tcW w:w="1984" w:type="dxa"/>
            <w:tcBorders>
              <w:top w:val="single" w:sz="12" w:space="0" w:color="008000"/>
              <w:bottom w:val="single" w:sz="6" w:space="0" w:color="008000"/>
            </w:tcBorders>
            <w:shd w:val="clear" w:color="auto" w:fill="FFFFFF"/>
          </w:tcPr>
          <w:p w14:paraId="229E834E" w14:textId="77777777" w:rsidR="00FC64EE" w:rsidRPr="0094336B" w:rsidRDefault="00D86A84" w:rsidP="00D86A84">
            <w:pPr>
              <w:pStyle w:val="CETBodytext"/>
              <w:ind w:right="-1"/>
            </w:pPr>
            <w:r w:rsidRPr="0094336B">
              <w:t xml:space="preserve">Final mass of </w:t>
            </w:r>
          </w:p>
          <w:p w14:paraId="5C318030" w14:textId="77777777" w:rsidR="00FF6853" w:rsidRPr="0094336B" w:rsidRDefault="00D86A84" w:rsidP="00D86A84">
            <w:pPr>
              <w:pStyle w:val="CETBodytext"/>
              <w:ind w:right="-1"/>
            </w:pPr>
            <w:r w:rsidRPr="0094336B">
              <w:t xml:space="preserve">the alkaline solution </w:t>
            </w:r>
          </w:p>
          <w:p w14:paraId="516562EC" w14:textId="11AE0639" w:rsidR="00D86A84" w:rsidRPr="0094336B" w:rsidRDefault="00D86A84" w:rsidP="00D86A84">
            <w:pPr>
              <w:pStyle w:val="CETBodytext"/>
              <w:ind w:right="-1"/>
              <w:rPr>
                <w:rFonts w:cs="Arial"/>
                <w:szCs w:val="18"/>
                <w:lang w:val="en-GB"/>
              </w:rPr>
            </w:pPr>
            <w:r w:rsidRPr="0094336B">
              <w:t>[g]</w:t>
            </w:r>
          </w:p>
        </w:tc>
        <w:tc>
          <w:tcPr>
            <w:tcW w:w="283" w:type="dxa"/>
            <w:tcBorders>
              <w:top w:val="single" w:sz="12" w:space="0" w:color="008000"/>
              <w:bottom w:val="single" w:sz="6" w:space="0" w:color="008000"/>
            </w:tcBorders>
            <w:shd w:val="clear" w:color="auto" w:fill="FFFFFF"/>
          </w:tcPr>
          <w:p w14:paraId="3990DF5C" w14:textId="2A1B462E" w:rsidR="00D86A84" w:rsidRPr="0094336B" w:rsidRDefault="00D86A84" w:rsidP="00D86A84">
            <w:pPr>
              <w:pStyle w:val="CETBodytext"/>
              <w:ind w:right="-1"/>
              <w:rPr>
                <w:rFonts w:cs="Arial"/>
                <w:szCs w:val="18"/>
                <w:lang w:val="en-GB"/>
              </w:rPr>
            </w:pPr>
            <w:r w:rsidRPr="0094336B">
              <w:t>Water balance [%]</w:t>
            </w:r>
          </w:p>
        </w:tc>
      </w:tr>
      <w:tr w:rsidR="00E6070A" w:rsidRPr="0094336B" w14:paraId="7D6E4912" w14:textId="77777777" w:rsidTr="00FF6853">
        <w:tc>
          <w:tcPr>
            <w:tcW w:w="709" w:type="dxa"/>
            <w:shd w:val="clear" w:color="auto" w:fill="FFFFFF"/>
          </w:tcPr>
          <w:p w14:paraId="18BED0C8" w14:textId="3029066F" w:rsidR="00E6070A" w:rsidRPr="0094336B" w:rsidRDefault="00E6070A" w:rsidP="00E6070A">
            <w:pPr>
              <w:pStyle w:val="CETBodytext"/>
              <w:rPr>
                <w:lang w:val="en-GB"/>
              </w:rPr>
            </w:pPr>
            <w:r w:rsidRPr="0094336B">
              <w:rPr>
                <w:lang w:val="en-GB"/>
              </w:rPr>
              <w:t xml:space="preserve">AA </w:t>
            </w:r>
          </w:p>
        </w:tc>
        <w:tc>
          <w:tcPr>
            <w:tcW w:w="1843" w:type="dxa"/>
            <w:shd w:val="clear" w:color="auto" w:fill="FFFFFF"/>
          </w:tcPr>
          <w:p w14:paraId="6B5C589A" w14:textId="323CA88E" w:rsidR="00E6070A" w:rsidRPr="0094336B" w:rsidRDefault="00E6070A" w:rsidP="00E6070A">
            <w:pPr>
              <w:pStyle w:val="CETBodytext"/>
              <w:rPr>
                <w:lang w:val="en-GB"/>
              </w:rPr>
            </w:pPr>
            <w:r w:rsidRPr="0094336B">
              <w:t>1000</w:t>
            </w:r>
          </w:p>
        </w:tc>
        <w:tc>
          <w:tcPr>
            <w:tcW w:w="1701" w:type="dxa"/>
            <w:shd w:val="clear" w:color="auto" w:fill="FFFFFF"/>
          </w:tcPr>
          <w:p w14:paraId="50C004E1" w14:textId="5C1B2201" w:rsidR="00E6070A" w:rsidRPr="0094336B" w:rsidRDefault="00E6070A" w:rsidP="00E6070A">
            <w:pPr>
              <w:pStyle w:val="CETBodytext"/>
              <w:rPr>
                <w:lang w:val="en-GB"/>
              </w:rPr>
            </w:pPr>
            <w:r w:rsidRPr="0094336B">
              <w:t>740</w:t>
            </w:r>
          </w:p>
        </w:tc>
        <w:tc>
          <w:tcPr>
            <w:tcW w:w="1985" w:type="dxa"/>
            <w:shd w:val="clear" w:color="auto" w:fill="FFFFFF"/>
          </w:tcPr>
          <w:p w14:paraId="71880C2B" w14:textId="17F47913" w:rsidR="00E6070A" w:rsidRPr="0094336B" w:rsidRDefault="00E6070A" w:rsidP="00E6070A">
            <w:pPr>
              <w:pStyle w:val="CETBodytext"/>
              <w:ind w:right="-1"/>
              <w:rPr>
                <w:rFonts w:cs="Arial"/>
                <w:szCs w:val="18"/>
                <w:lang w:val="en-GB"/>
              </w:rPr>
            </w:pPr>
            <w:r w:rsidRPr="0094336B">
              <w:t>1000</w:t>
            </w:r>
          </w:p>
        </w:tc>
        <w:tc>
          <w:tcPr>
            <w:tcW w:w="1984" w:type="dxa"/>
            <w:shd w:val="clear" w:color="auto" w:fill="FFFFFF"/>
          </w:tcPr>
          <w:p w14:paraId="0B47C50F" w14:textId="18D59948" w:rsidR="00E6070A" w:rsidRPr="0094336B" w:rsidRDefault="00E6070A" w:rsidP="00E6070A">
            <w:pPr>
              <w:pStyle w:val="CETBodytext"/>
              <w:ind w:right="-1"/>
              <w:rPr>
                <w:rFonts w:cs="Arial"/>
                <w:szCs w:val="18"/>
                <w:lang w:val="en-GB"/>
              </w:rPr>
            </w:pPr>
            <w:r w:rsidRPr="0094336B">
              <w:t>1259</w:t>
            </w:r>
          </w:p>
        </w:tc>
        <w:tc>
          <w:tcPr>
            <w:tcW w:w="283" w:type="dxa"/>
            <w:shd w:val="clear" w:color="auto" w:fill="FFFFFF"/>
          </w:tcPr>
          <w:p w14:paraId="5B5F989B" w14:textId="55662EA7" w:rsidR="00E6070A" w:rsidRPr="0094336B" w:rsidRDefault="00E6070A" w:rsidP="00E6070A">
            <w:pPr>
              <w:pStyle w:val="CETBodytext"/>
              <w:ind w:right="-1"/>
              <w:rPr>
                <w:rFonts w:cs="Arial"/>
                <w:szCs w:val="18"/>
                <w:lang w:val="en-GB"/>
              </w:rPr>
            </w:pPr>
            <w:r w:rsidRPr="0094336B">
              <w:t>99.6</w:t>
            </w:r>
          </w:p>
        </w:tc>
      </w:tr>
      <w:tr w:rsidR="00801EFC" w:rsidRPr="0094336B" w14:paraId="79A564DB" w14:textId="77777777" w:rsidTr="00FF6853">
        <w:tc>
          <w:tcPr>
            <w:tcW w:w="709" w:type="dxa"/>
            <w:shd w:val="clear" w:color="auto" w:fill="FFFFFF"/>
          </w:tcPr>
          <w:p w14:paraId="24B96F45" w14:textId="4B9BE449" w:rsidR="00801EFC" w:rsidRPr="0094336B" w:rsidRDefault="00801EFC" w:rsidP="00801EFC">
            <w:pPr>
              <w:pStyle w:val="CETBodytext"/>
              <w:rPr>
                <w:lang w:val="en-GB"/>
              </w:rPr>
            </w:pPr>
            <w:r w:rsidRPr="0094336B">
              <w:rPr>
                <w:lang w:val="en-GB"/>
              </w:rPr>
              <w:lastRenderedPageBreak/>
              <w:t>VA</w:t>
            </w:r>
          </w:p>
        </w:tc>
        <w:tc>
          <w:tcPr>
            <w:tcW w:w="1843" w:type="dxa"/>
            <w:shd w:val="clear" w:color="auto" w:fill="FFFFFF"/>
          </w:tcPr>
          <w:p w14:paraId="78EE6FE5" w14:textId="17CD1259" w:rsidR="00801EFC" w:rsidRPr="0094336B" w:rsidRDefault="00801EFC" w:rsidP="00801EFC">
            <w:pPr>
              <w:pStyle w:val="CETBodytext"/>
              <w:rPr>
                <w:lang w:val="en-GB"/>
              </w:rPr>
            </w:pPr>
            <w:r w:rsidRPr="0094336B">
              <w:t>1000</w:t>
            </w:r>
          </w:p>
        </w:tc>
        <w:tc>
          <w:tcPr>
            <w:tcW w:w="1701" w:type="dxa"/>
            <w:shd w:val="clear" w:color="auto" w:fill="FFFFFF"/>
          </w:tcPr>
          <w:p w14:paraId="6E47AF7B" w14:textId="3145A498" w:rsidR="00801EFC" w:rsidRPr="0094336B" w:rsidRDefault="00801EFC" w:rsidP="00801EFC">
            <w:pPr>
              <w:pStyle w:val="CETBodytext"/>
              <w:rPr>
                <w:lang w:val="en-GB"/>
              </w:rPr>
            </w:pPr>
            <w:r w:rsidRPr="0094336B">
              <w:t>755</w:t>
            </w:r>
          </w:p>
        </w:tc>
        <w:tc>
          <w:tcPr>
            <w:tcW w:w="1985" w:type="dxa"/>
            <w:shd w:val="clear" w:color="auto" w:fill="FFFFFF"/>
          </w:tcPr>
          <w:p w14:paraId="4F23F54C" w14:textId="57C820E7" w:rsidR="00801EFC" w:rsidRPr="0094336B" w:rsidRDefault="00801EFC" w:rsidP="00801EFC">
            <w:pPr>
              <w:pStyle w:val="CETBodytext"/>
              <w:ind w:right="-1"/>
              <w:rPr>
                <w:rFonts w:cs="Arial"/>
                <w:szCs w:val="18"/>
                <w:lang w:val="en-GB"/>
              </w:rPr>
            </w:pPr>
            <w:r w:rsidRPr="0094336B">
              <w:t>1000</w:t>
            </w:r>
          </w:p>
        </w:tc>
        <w:tc>
          <w:tcPr>
            <w:tcW w:w="1984" w:type="dxa"/>
            <w:shd w:val="clear" w:color="auto" w:fill="FFFFFF"/>
          </w:tcPr>
          <w:p w14:paraId="318648F1" w14:textId="33A314E9" w:rsidR="00801EFC" w:rsidRPr="0094336B" w:rsidRDefault="00801EFC" w:rsidP="00801EFC">
            <w:pPr>
              <w:pStyle w:val="CETBodytext"/>
              <w:ind w:right="-1"/>
              <w:rPr>
                <w:rFonts w:cs="Arial"/>
                <w:szCs w:val="18"/>
                <w:lang w:val="en-GB"/>
              </w:rPr>
            </w:pPr>
            <w:r w:rsidRPr="0094336B">
              <w:t>1229</w:t>
            </w:r>
          </w:p>
        </w:tc>
        <w:tc>
          <w:tcPr>
            <w:tcW w:w="283" w:type="dxa"/>
            <w:shd w:val="clear" w:color="auto" w:fill="FFFFFF"/>
          </w:tcPr>
          <w:p w14:paraId="07A90159" w14:textId="12660411" w:rsidR="00801EFC" w:rsidRPr="0094336B" w:rsidRDefault="00801EFC" w:rsidP="00801EFC">
            <w:pPr>
              <w:pStyle w:val="CETBodytext"/>
              <w:ind w:right="-1"/>
              <w:rPr>
                <w:rFonts w:cs="Arial"/>
                <w:szCs w:val="18"/>
                <w:lang w:val="en-GB"/>
              </w:rPr>
            </w:pPr>
            <w:r w:rsidRPr="0094336B">
              <w:t>93.5</w:t>
            </w:r>
          </w:p>
        </w:tc>
      </w:tr>
      <w:tr w:rsidR="009E1F60" w:rsidRPr="0094336B" w14:paraId="39C39608" w14:textId="77777777" w:rsidTr="00FF6853">
        <w:tc>
          <w:tcPr>
            <w:tcW w:w="709" w:type="dxa"/>
            <w:shd w:val="clear" w:color="auto" w:fill="FFFFFF"/>
          </w:tcPr>
          <w:p w14:paraId="01E3573F" w14:textId="761B10FC" w:rsidR="009E1F60" w:rsidRPr="0094336B" w:rsidRDefault="009E1F60" w:rsidP="009E1F60">
            <w:pPr>
              <w:pStyle w:val="CETBodytext"/>
              <w:ind w:right="-1"/>
              <w:rPr>
                <w:rFonts w:cs="Arial"/>
                <w:szCs w:val="18"/>
                <w:lang w:val="en-GB"/>
              </w:rPr>
            </w:pPr>
            <w:r w:rsidRPr="0094336B">
              <w:rPr>
                <w:rFonts w:cs="Arial"/>
                <w:szCs w:val="18"/>
                <w:lang w:val="en-GB"/>
              </w:rPr>
              <w:t>AA/VA</w:t>
            </w:r>
          </w:p>
        </w:tc>
        <w:tc>
          <w:tcPr>
            <w:tcW w:w="1843" w:type="dxa"/>
            <w:shd w:val="clear" w:color="auto" w:fill="FFFFFF"/>
          </w:tcPr>
          <w:p w14:paraId="79C4A719" w14:textId="172B516F" w:rsidR="009E1F60" w:rsidRPr="0094336B" w:rsidRDefault="009E1F60" w:rsidP="009E1F60">
            <w:pPr>
              <w:pStyle w:val="CETBodytext"/>
              <w:ind w:right="-1"/>
              <w:rPr>
                <w:rFonts w:cs="Arial"/>
                <w:szCs w:val="18"/>
                <w:lang w:val="en-GB"/>
              </w:rPr>
            </w:pPr>
            <w:r w:rsidRPr="0094336B">
              <w:t>1000</w:t>
            </w:r>
          </w:p>
        </w:tc>
        <w:tc>
          <w:tcPr>
            <w:tcW w:w="1701" w:type="dxa"/>
            <w:shd w:val="clear" w:color="auto" w:fill="FFFFFF"/>
          </w:tcPr>
          <w:p w14:paraId="5163DACE" w14:textId="73DFDC33" w:rsidR="009E1F60" w:rsidRPr="0094336B" w:rsidRDefault="009E1F60" w:rsidP="009E1F60">
            <w:pPr>
              <w:pStyle w:val="CETBodytext"/>
              <w:ind w:right="-1"/>
              <w:rPr>
                <w:rFonts w:cs="Arial"/>
                <w:szCs w:val="18"/>
                <w:lang w:val="en-GB"/>
              </w:rPr>
            </w:pPr>
            <w:r w:rsidRPr="0094336B">
              <w:t>760</w:t>
            </w:r>
          </w:p>
        </w:tc>
        <w:tc>
          <w:tcPr>
            <w:tcW w:w="1985" w:type="dxa"/>
            <w:shd w:val="clear" w:color="auto" w:fill="FFFFFF"/>
          </w:tcPr>
          <w:p w14:paraId="3C5D6445" w14:textId="6E0F784D" w:rsidR="009E1F60" w:rsidRPr="0094336B" w:rsidRDefault="009E1F60" w:rsidP="009E1F60">
            <w:pPr>
              <w:pStyle w:val="CETBodytext"/>
              <w:ind w:right="-1"/>
              <w:rPr>
                <w:rFonts w:cs="Arial"/>
                <w:szCs w:val="18"/>
                <w:lang w:val="en-GB"/>
              </w:rPr>
            </w:pPr>
            <w:r w:rsidRPr="0094336B">
              <w:t>1000</w:t>
            </w:r>
          </w:p>
        </w:tc>
        <w:tc>
          <w:tcPr>
            <w:tcW w:w="1984" w:type="dxa"/>
            <w:shd w:val="clear" w:color="auto" w:fill="FFFFFF"/>
          </w:tcPr>
          <w:p w14:paraId="587EC2F8" w14:textId="628711D7" w:rsidR="009E1F60" w:rsidRPr="0094336B" w:rsidRDefault="009E1F60" w:rsidP="009E1F60">
            <w:pPr>
              <w:pStyle w:val="CETBodytext"/>
              <w:ind w:right="-1"/>
              <w:rPr>
                <w:rFonts w:cs="Arial"/>
                <w:szCs w:val="18"/>
                <w:lang w:val="en-GB"/>
              </w:rPr>
            </w:pPr>
            <w:r w:rsidRPr="0094336B">
              <w:t>1215</w:t>
            </w:r>
          </w:p>
        </w:tc>
        <w:tc>
          <w:tcPr>
            <w:tcW w:w="283" w:type="dxa"/>
            <w:shd w:val="clear" w:color="auto" w:fill="FFFFFF"/>
          </w:tcPr>
          <w:p w14:paraId="38A1FF15" w14:textId="72C44649" w:rsidR="009E1F60" w:rsidRPr="0094336B" w:rsidRDefault="009E1F60" w:rsidP="009E1F60">
            <w:pPr>
              <w:pStyle w:val="CETBodytext"/>
              <w:ind w:right="-1"/>
              <w:rPr>
                <w:rFonts w:cs="Arial"/>
                <w:szCs w:val="18"/>
                <w:lang w:val="en-GB"/>
              </w:rPr>
            </w:pPr>
            <w:r w:rsidRPr="0094336B">
              <w:t>89.6</w:t>
            </w:r>
          </w:p>
        </w:tc>
      </w:tr>
    </w:tbl>
    <w:p w14:paraId="6DA77FFB" w14:textId="77777777" w:rsidR="00C42A2A" w:rsidRPr="0094336B" w:rsidRDefault="00C42A2A" w:rsidP="00600535">
      <w:pPr>
        <w:pStyle w:val="CETBodytext"/>
        <w:rPr>
          <w:lang w:val="en-GB"/>
        </w:rPr>
      </w:pPr>
    </w:p>
    <w:p w14:paraId="459F4E82" w14:textId="640D4F49" w:rsidR="001C042D" w:rsidRPr="0094336B" w:rsidRDefault="00612950" w:rsidP="00600535">
      <w:pPr>
        <w:pStyle w:val="CETBodytext"/>
        <w:rPr>
          <w:lang w:val="en-GB"/>
        </w:rPr>
      </w:pPr>
      <w:r w:rsidRPr="0094336B">
        <w:rPr>
          <w:lang w:val="en-GB"/>
        </w:rPr>
        <w:t xml:space="preserve">The results highlight that the maximum stripping performance was achieved with a water solution made with single compounds; however, a relevant stripping efficiency was also determined with the mixing of acids. The highest stripping efficiency was achieved for the Valeric Acid in both single-compound and two mixed-compound. </w:t>
      </w:r>
      <w:r w:rsidR="00553A73" w:rsidRPr="0094336B">
        <w:rPr>
          <w:lang w:val="en-GB"/>
        </w:rPr>
        <w:t>This result can be justified considering the higher hydrophobicity of the aci</w:t>
      </w:r>
      <w:r w:rsidR="00D753BF" w:rsidRPr="0094336B">
        <w:rPr>
          <w:lang w:val="en-GB"/>
        </w:rPr>
        <w:t>ds with the higher molecular weight</w:t>
      </w:r>
      <w:r w:rsidR="008E0B7C" w:rsidRPr="0094336B">
        <w:rPr>
          <w:lang w:val="en-GB"/>
        </w:rPr>
        <w:t xml:space="preserve"> (</w:t>
      </w:r>
      <w:r w:rsidR="008E0B7C" w:rsidRPr="0094336B">
        <w:t>Ravishankar et al., 2021)</w:t>
      </w:r>
      <w:r w:rsidR="00D753BF" w:rsidRPr="0094336B">
        <w:rPr>
          <w:lang w:val="en-GB"/>
        </w:rPr>
        <w:t xml:space="preserve">. </w:t>
      </w:r>
    </w:p>
    <w:p w14:paraId="1F96CA21" w14:textId="643D0DA4" w:rsidR="00600535" w:rsidRPr="0094336B" w:rsidRDefault="00F60EE9" w:rsidP="00FA5F5F">
      <w:pPr>
        <w:pStyle w:val="CETheadingx"/>
      </w:pPr>
      <w:r w:rsidRPr="0094336B">
        <w:t>Stripping schematization a</w:t>
      </w:r>
      <w:r w:rsidR="005C7C83" w:rsidRPr="0094336B">
        <w:t>nd t</w:t>
      </w:r>
      <w:r w:rsidR="00870EC4" w:rsidRPr="0094336B">
        <w:t>hermodynamic model validation</w:t>
      </w:r>
    </w:p>
    <w:p w14:paraId="67E7D6BE" w14:textId="3A6C7359" w:rsidR="00600535" w:rsidRPr="0094336B" w:rsidRDefault="0071071D" w:rsidP="00600535">
      <w:pPr>
        <w:pStyle w:val="CETBodytext"/>
        <w:rPr>
          <w:lang w:val="en-GB"/>
        </w:rPr>
      </w:pPr>
      <w:r w:rsidRPr="0094336B">
        <w:rPr>
          <w:lang w:val="en-GB"/>
        </w:rPr>
        <w:t xml:space="preserve">The process scheme implemented in the Aspen environment is reported </w:t>
      </w:r>
      <w:r w:rsidR="006A5CB5" w:rsidRPr="0094336B">
        <w:rPr>
          <w:lang w:val="en-GB"/>
        </w:rPr>
        <w:t xml:space="preserve">in Figure 2. </w:t>
      </w:r>
      <w:r w:rsidR="00AF78D0" w:rsidRPr="0094336B">
        <w:rPr>
          <w:lang w:val="en-GB"/>
        </w:rPr>
        <w:t xml:space="preserve">The </w:t>
      </w:r>
      <w:r w:rsidR="00F03868" w:rsidRPr="0094336B">
        <w:rPr>
          <w:lang w:val="en-GB"/>
        </w:rPr>
        <w:t>details of the stripping step, consisting of a batch stripper (blue box), a heat exchange (green box) and a flash (red box), are</w:t>
      </w:r>
      <w:r w:rsidR="00547F24" w:rsidRPr="0094336B">
        <w:rPr>
          <w:lang w:val="en-GB"/>
        </w:rPr>
        <w:t xml:space="preserve"> schematized in Figure 3. The stripping step </w:t>
      </w:r>
      <w:r w:rsidR="00AF78D0" w:rsidRPr="0094336B">
        <w:rPr>
          <w:lang w:val="en-GB"/>
        </w:rPr>
        <w:t xml:space="preserve">is included in a hierarchy-block to separate the stripping and the absorption in two consecutive simulation phases. </w:t>
      </w:r>
    </w:p>
    <w:p w14:paraId="7271414E" w14:textId="00690C27" w:rsidR="006728B4" w:rsidRPr="0094336B" w:rsidRDefault="006728B4" w:rsidP="006728B4">
      <w:pPr>
        <w:pStyle w:val="CETCaption"/>
        <w:rPr>
          <w:noProof/>
          <w:lang w:val="it-IT" w:eastAsia="it-IT"/>
        </w:rPr>
      </w:pPr>
      <w:r w:rsidRPr="0094336B">
        <w:rPr>
          <w:noProof/>
          <w:lang w:val="it-IT" w:eastAsia="it-IT"/>
        </w:rPr>
        <w:drawing>
          <wp:inline distT="0" distB="0" distL="0" distR="0" wp14:anchorId="5BE74931" wp14:editId="078C7E39">
            <wp:extent cx="5132362" cy="1767385"/>
            <wp:effectExtent l="0" t="0" r="0" b="4445"/>
            <wp:docPr id="1432936101" name="Immagine 1" descr="Immagine che contiene schermata, testo, diagramma, design&#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2936101" name="Immagine 1" descr="Immagine che contiene schermata, testo, diagramma, design&#10;&#10;Descrizione generata automaticamente"/>
                    <pic:cNvPicPr/>
                  </pic:nvPicPr>
                  <pic:blipFill>
                    <a:blip r:embed="rId11"/>
                    <a:stretch>
                      <a:fillRect/>
                    </a:stretch>
                  </pic:blipFill>
                  <pic:spPr>
                    <a:xfrm>
                      <a:off x="0" y="0"/>
                      <a:ext cx="5132362" cy="1767385"/>
                    </a:xfrm>
                    <a:prstGeom prst="rect">
                      <a:avLst/>
                    </a:prstGeom>
                  </pic:spPr>
                </pic:pic>
              </a:graphicData>
            </a:graphic>
          </wp:inline>
        </w:drawing>
      </w:r>
    </w:p>
    <w:p w14:paraId="7696BAD2" w14:textId="41DEC478" w:rsidR="006728B4" w:rsidRPr="0094336B" w:rsidRDefault="006728B4" w:rsidP="006728B4">
      <w:pPr>
        <w:pStyle w:val="CETCaption"/>
      </w:pPr>
      <w:r w:rsidRPr="0094336B">
        <w:rPr>
          <w:rStyle w:val="CETCaptionCarattere"/>
          <w:i/>
        </w:rPr>
        <w:t>Figure 2: stripping and absorption step schematization</w:t>
      </w:r>
      <w:r w:rsidRPr="0094336B">
        <w:t xml:space="preserve"> </w:t>
      </w:r>
    </w:p>
    <w:p w14:paraId="187C40F6" w14:textId="77777777" w:rsidR="006728B4" w:rsidRPr="0094336B" w:rsidRDefault="006728B4" w:rsidP="006728B4">
      <w:pPr>
        <w:pStyle w:val="CETCaption"/>
      </w:pPr>
    </w:p>
    <w:p w14:paraId="1A2E8807" w14:textId="77777777" w:rsidR="006728B4" w:rsidRPr="0094336B" w:rsidRDefault="006728B4" w:rsidP="006728B4">
      <w:pPr>
        <w:pStyle w:val="CETCaption"/>
        <w:rPr>
          <w:rFonts w:eastAsia="Calibri"/>
          <w:sz w:val="24"/>
          <w:szCs w:val="24"/>
        </w:rPr>
      </w:pPr>
      <w:r w:rsidRPr="0094336B">
        <w:rPr>
          <w:noProof/>
          <w:lang w:val="it-IT" w:eastAsia="it-IT"/>
        </w:rPr>
        <w:drawing>
          <wp:inline distT="0" distB="0" distL="0" distR="0" wp14:anchorId="53D9653F" wp14:editId="59DDCBF1">
            <wp:extent cx="5204983" cy="1924334"/>
            <wp:effectExtent l="0" t="0" r="6350" b="0"/>
            <wp:docPr id="1169790000" name="Immagine 1" descr="Immagine che contiene schermata, diagramm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9790000" name="Immagine 1" descr="Immagine che contiene schermata, diagramma&#10;&#10;Descrizione generata automaticamente"/>
                    <pic:cNvPicPr/>
                  </pic:nvPicPr>
                  <pic:blipFill>
                    <a:blip r:embed="rId12"/>
                    <a:stretch>
                      <a:fillRect/>
                    </a:stretch>
                  </pic:blipFill>
                  <pic:spPr>
                    <a:xfrm>
                      <a:off x="0" y="0"/>
                      <a:ext cx="5204983" cy="1924334"/>
                    </a:xfrm>
                    <a:prstGeom prst="rect">
                      <a:avLst/>
                    </a:prstGeom>
                  </pic:spPr>
                </pic:pic>
              </a:graphicData>
            </a:graphic>
          </wp:inline>
        </w:drawing>
      </w:r>
    </w:p>
    <w:p w14:paraId="6B71C3B3" w14:textId="017CF254" w:rsidR="006728B4" w:rsidRPr="0094336B" w:rsidRDefault="006728B4" w:rsidP="006728B4">
      <w:pPr>
        <w:pStyle w:val="CETCaption"/>
      </w:pPr>
      <w:r w:rsidRPr="0094336B">
        <w:rPr>
          <w:rStyle w:val="CETCaptionCarattere"/>
          <w:i/>
        </w:rPr>
        <w:t xml:space="preserve">Figure 3: </w:t>
      </w:r>
      <w:r w:rsidR="0018062F" w:rsidRPr="0094336B">
        <w:rPr>
          <w:rStyle w:val="CETCaptionCarattere"/>
          <w:i/>
        </w:rPr>
        <w:t>s</w:t>
      </w:r>
      <w:r w:rsidRPr="0094336B">
        <w:rPr>
          <w:rStyle w:val="CETCaptionCarattere"/>
          <w:i/>
        </w:rPr>
        <w:t>tripping step schematization detail</w:t>
      </w:r>
      <w:r w:rsidRPr="0094336B">
        <w:t xml:space="preserve"> </w:t>
      </w:r>
    </w:p>
    <w:p w14:paraId="182AB06B" w14:textId="77777777" w:rsidR="00705BCF" w:rsidRPr="0094336B" w:rsidRDefault="0014279B" w:rsidP="00600535">
      <w:pPr>
        <w:pStyle w:val="CETBodytext"/>
        <w:rPr>
          <w:lang w:val="en-GB"/>
        </w:rPr>
      </w:pPr>
      <w:r w:rsidRPr="0094336B">
        <w:rPr>
          <w:lang w:val="en-GB"/>
        </w:rPr>
        <w:t xml:space="preserve">The flash allows the definition of the non-equilibrium between the gas phase and the liquid phase. The gaseous stream from the stripping step (VENT-OUT) is in equilibrium with the liquid phase (Temperature = 93.8°C). The VENT-OUT stream is sent to the flash, where a lower temperature is set than the stripper temperature; in this way, a non-equilibrium condition is implemented. The HCL-AGG stream serves to acidify the liquid fraction in the FLASH to prevent the dissociation of carboxylic acids. </w:t>
      </w:r>
      <w:r w:rsidR="000D44E0" w:rsidRPr="0094336B">
        <w:rPr>
          <w:lang w:val="en-GB"/>
        </w:rPr>
        <w:t xml:space="preserve">The function of the heater is to take back the temperature of the liquid stream from the flash at the temperature of the stripper. </w:t>
      </w:r>
    </w:p>
    <w:p w14:paraId="782AF035" w14:textId="3A0620F2" w:rsidR="00AF78D0" w:rsidRPr="0094336B" w:rsidRDefault="000A1B29" w:rsidP="00600535">
      <w:pPr>
        <w:pStyle w:val="CETBodytext"/>
        <w:rPr>
          <w:lang w:val="en-GB"/>
        </w:rPr>
      </w:pPr>
      <w:r w:rsidRPr="0094336B">
        <w:rPr>
          <w:lang w:val="en-GB"/>
        </w:rPr>
        <w:t>The thermodynamic UNIFAC-HOC model was used for all the blocks except for the absorption for which the ELECNRTL model was adopted.</w:t>
      </w:r>
    </w:p>
    <w:p w14:paraId="27A0571F" w14:textId="342E57A1" w:rsidR="00AF78D0" w:rsidRPr="0094336B" w:rsidRDefault="00D604D7" w:rsidP="00600535">
      <w:pPr>
        <w:pStyle w:val="CETBodytext"/>
        <w:rPr>
          <w:lang w:val="en-GB"/>
        </w:rPr>
      </w:pPr>
      <w:r w:rsidRPr="0094336B">
        <w:rPr>
          <w:lang w:val="en-GB"/>
        </w:rPr>
        <w:lastRenderedPageBreak/>
        <w:t>The test with the acetic acid was used to validate the process scheme and thermodynamic model</w:t>
      </w:r>
      <w:r w:rsidR="00501C1E" w:rsidRPr="0094336B">
        <w:rPr>
          <w:lang w:val="en-GB"/>
        </w:rPr>
        <w:t>. The comparison between the experimental results and the simulation results, in terms of the final mass of acetic acid and the final volume of the acid solution, is reported in Table 3.</w:t>
      </w:r>
    </w:p>
    <w:p w14:paraId="613A19FF" w14:textId="1BF88EAC" w:rsidR="00BC31BA" w:rsidRPr="0094336B" w:rsidRDefault="00BC31BA" w:rsidP="00600535">
      <w:pPr>
        <w:pStyle w:val="CETBodytext"/>
        <w:rPr>
          <w:lang w:val="en-GB"/>
        </w:rPr>
      </w:pPr>
      <w:r w:rsidRPr="0094336B">
        <w:rPr>
          <w:lang w:val="en-GB"/>
        </w:rPr>
        <w:t>The simulations were carried out considering an atmospheric pressure (</w:t>
      </w:r>
      <w:r w:rsidR="00C01377" w:rsidRPr="0094336B">
        <w:rPr>
          <w:lang w:val="en-GB"/>
        </w:rPr>
        <w:t>1.01325) for the three steps</w:t>
      </w:r>
      <w:r w:rsidR="00484CB2" w:rsidRPr="0094336B">
        <w:rPr>
          <w:lang w:val="en-GB"/>
        </w:rPr>
        <w:t xml:space="preserve"> reported in Figure 3 with the following </w:t>
      </w:r>
      <w:r w:rsidR="001E01AB" w:rsidRPr="0094336B">
        <w:rPr>
          <w:lang w:val="en-GB"/>
        </w:rPr>
        <w:t xml:space="preserve">temperature: stripping = </w:t>
      </w:r>
      <w:r w:rsidR="002503B8" w:rsidRPr="0094336B">
        <w:rPr>
          <w:lang w:val="en-GB"/>
        </w:rPr>
        <w:t>93.8</w:t>
      </w:r>
      <w:r w:rsidR="001E01AB" w:rsidRPr="0094336B">
        <w:rPr>
          <w:lang w:val="en-GB"/>
        </w:rPr>
        <w:t xml:space="preserve">°C; flash = </w:t>
      </w:r>
      <w:r w:rsidR="000C3D82" w:rsidRPr="0094336B">
        <w:rPr>
          <w:lang w:val="en-GB"/>
        </w:rPr>
        <w:t xml:space="preserve">81°C; </w:t>
      </w:r>
      <w:r w:rsidR="00C07B26" w:rsidRPr="0094336B">
        <w:rPr>
          <w:lang w:val="en-GB"/>
        </w:rPr>
        <w:t>heater = 93.8°C</w:t>
      </w:r>
      <w:r w:rsidR="00C01377" w:rsidRPr="0094336B">
        <w:rPr>
          <w:lang w:val="en-GB"/>
        </w:rPr>
        <w:t xml:space="preserve">. </w:t>
      </w:r>
    </w:p>
    <w:p w14:paraId="376EF3DF" w14:textId="60D7FC5E" w:rsidR="00501C1E" w:rsidRPr="0094336B" w:rsidRDefault="00501C1E" w:rsidP="00501C1E">
      <w:pPr>
        <w:pStyle w:val="CETTabletitle"/>
      </w:pPr>
      <w:r w:rsidRPr="0094336B">
        <w:t xml:space="preserve">Table 3: </w:t>
      </w:r>
      <w:r w:rsidR="00F03868" w:rsidRPr="0094336B">
        <w:t>stripping step and thermodynamic model validation</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977"/>
        <w:gridCol w:w="1985"/>
        <w:gridCol w:w="1701"/>
        <w:gridCol w:w="1701"/>
      </w:tblGrid>
      <w:tr w:rsidR="002543B7" w:rsidRPr="0094336B" w14:paraId="22F0CB59" w14:textId="5F4AD822" w:rsidTr="00522E5A">
        <w:tc>
          <w:tcPr>
            <w:tcW w:w="2977" w:type="dxa"/>
            <w:tcBorders>
              <w:top w:val="single" w:sz="12" w:space="0" w:color="008000"/>
              <w:bottom w:val="single" w:sz="6" w:space="0" w:color="008000"/>
            </w:tcBorders>
            <w:shd w:val="clear" w:color="auto" w:fill="FFFFFF"/>
          </w:tcPr>
          <w:p w14:paraId="368E943E" w14:textId="52386EE7" w:rsidR="002543B7" w:rsidRPr="0094336B" w:rsidRDefault="002543B7" w:rsidP="00E24002">
            <w:pPr>
              <w:pStyle w:val="CETBodytext"/>
              <w:rPr>
                <w:lang w:val="en-GB"/>
              </w:rPr>
            </w:pPr>
            <w:r w:rsidRPr="0094336B">
              <w:t>Parameter</w:t>
            </w:r>
          </w:p>
        </w:tc>
        <w:tc>
          <w:tcPr>
            <w:tcW w:w="1985" w:type="dxa"/>
            <w:tcBorders>
              <w:top w:val="single" w:sz="12" w:space="0" w:color="008000"/>
              <w:bottom w:val="single" w:sz="6" w:space="0" w:color="008000"/>
            </w:tcBorders>
            <w:shd w:val="clear" w:color="auto" w:fill="FFFFFF"/>
          </w:tcPr>
          <w:p w14:paraId="16D9ED63" w14:textId="4F90E8EB" w:rsidR="002543B7" w:rsidRPr="0094336B" w:rsidRDefault="002543B7" w:rsidP="00E24002">
            <w:pPr>
              <w:pStyle w:val="CETBodytext"/>
              <w:rPr>
                <w:lang w:val="en-GB"/>
              </w:rPr>
            </w:pPr>
            <w:r w:rsidRPr="0094336B">
              <w:t>Experimental results</w:t>
            </w:r>
          </w:p>
        </w:tc>
        <w:tc>
          <w:tcPr>
            <w:tcW w:w="1701" w:type="dxa"/>
            <w:tcBorders>
              <w:top w:val="single" w:sz="12" w:space="0" w:color="008000"/>
              <w:bottom w:val="single" w:sz="6" w:space="0" w:color="008000"/>
            </w:tcBorders>
            <w:shd w:val="clear" w:color="auto" w:fill="FFFFFF"/>
          </w:tcPr>
          <w:p w14:paraId="4174A0CB" w14:textId="28C36DF0" w:rsidR="002543B7" w:rsidRPr="0094336B" w:rsidRDefault="002543B7" w:rsidP="00E24002">
            <w:pPr>
              <w:pStyle w:val="CETBodytext"/>
              <w:rPr>
                <w:lang w:val="en-GB"/>
              </w:rPr>
            </w:pPr>
            <w:r w:rsidRPr="0094336B">
              <w:t>Simulation results</w:t>
            </w:r>
          </w:p>
        </w:tc>
        <w:tc>
          <w:tcPr>
            <w:tcW w:w="1701" w:type="dxa"/>
            <w:tcBorders>
              <w:top w:val="single" w:sz="12" w:space="0" w:color="008000"/>
              <w:bottom w:val="single" w:sz="6" w:space="0" w:color="008000"/>
            </w:tcBorders>
            <w:shd w:val="clear" w:color="auto" w:fill="FFFFFF"/>
          </w:tcPr>
          <w:p w14:paraId="555275F4" w14:textId="4B86A8C7" w:rsidR="002543B7" w:rsidRPr="0094336B" w:rsidRDefault="00DB5239" w:rsidP="00E24002">
            <w:pPr>
              <w:pStyle w:val="CETBodytext"/>
            </w:pPr>
            <w:proofErr w:type="gramStart"/>
            <w:r w:rsidRPr="0094336B">
              <w:rPr>
                <w:rFonts w:ascii="Calibri" w:hAnsi="Calibri" w:cs="Calibri"/>
              </w:rPr>
              <w:t>Δ</w:t>
            </w:r>
            <w:r w:rsidR="00D7088A" w:rsidRPr="0094336B">
              <w:rPr>
                <w:rFonts w:ascii="Calibri" w:hAnsi="Calibri" w:cs="Calibri"/>
              </w:rPr>
              <w:t>[</w:t>
            </w:r>
            <w:proofErr w:type="gramEnd"/>
            <w:r w:rsidR="00D7088A" w:rsidRPr="0094336B">
              <w:rPr>
                <w:rFonts w:ascii="Calibri" w:hAnsi="Calibri" w:cs="Calibri"/>
              </w:rPr>
              <w:t>%]</w:t>
            </w:r>
          </w:p>
        </w:tc>
      </w:tr>
      <w:tr w:rsidR="002543B7" w:rsidRPr="0094336B" w14:paraId="36829549" w14:textId="3BEFC664" w:rsidTr="00522E5A">
        <w:tc>
          <w:tcPr>
            <w:tcW w:w="2977" w:type="dxa"/>
            <w:shd w:val="clear" w:color="auto" w:fill="FFFFFF"/>
          </w:tcPr>
          <w:p w14:paraId="0AB5E1D6" w14:textId="046EAEDB" w:rsidR="002543B7" w:rsidRPr="0094336B" w:rsidRDefault="002543B7" w:rsidP="00883D56">
            <w:pPr>
              <w:pStyle w:val="CETBodytext"/>
              <w:rPr>
                <w:lang w:val="en-GB"/>
              </w:rPr>
            </w:pPr>
            <w:r w:rsidRPr="0094336B">
              <w:t>Final mass of acetic acid [g]</w:t>
            </w:r>
          </w:p>
        </w:tc>
        <w:tc>
          <w:tcPr>
            <w:tcW w:w="1985" w:type="dxa"/>
            <w:shd w:val="clear" w:color="auto" w:fill="FFFFFF"/>
          </w:tcPr>
          <w:p w14:paraId="7EA593AC" w14:textId="2536CD2B" w:rsidR="002543B7" w:rsidRPr="0094336B" w:rsidRDefault="002543B7" w:rsidP="00883D56">
            <w:pPr>
              <w:pStyle w:val="CETBodytext"/>
              <w:rPr>
                <w:lang w:val="en-GB"/>
              </w:rPr>
            </w:pPr>
            <w:r w:rsidRPr="0094336B">
              <w:t>8.53</w:t>
            </w:r>
          </w:p>
        </w:tc>
        <w:tc>
          <w:tcPr>
            <w:tcW w:w="1701" w:type="dxa"/>
            <w:shd w:val="clear" w:color="auto" w:fill="FFFFFF"/>
          </w:tcPr>
          <w:p w14:paraId="311F31E2" w14:textId="4269BAA5" w:rsidR="002543B7" w:rsidRPr="0094336B" w:rsidRDefault="002543B7" w:rsidP="00883D56">
            <w:pPr>
              <w:pStyle w:val="CETBodytext"/>
              <w:rPr>
                <w:lang w:val="en-GB"/>
              </w:rPr>
            </w:pPr>
            <w:r w:rsidRPr="0094336B">
              <w:t>8.59</w:t>
            </w:r>
          </w:p>
        </w:tc>
        <w:tc>
          <w:tcPr>
            <w:tcW w:w="1701" w:type="dxa"/>
            <w:shd w:val="clear" w:color="auto" w:fill="FFFFFF"/>
          </w:tcPr>
          <w:p w14:paraId="789ACCB5" w14:textId="4E892272" w:rsidR="002543B7" w:rsidRPr="0094336B" w:rsidRDefault="00DB5239" w:rsidP="00883D56">
            <w:pPr>
              <w:pStyle w:val="CETBodytext"/>
            </w:pPr>
            <w:r w:rsidRPr="0094336B">
              <w:t>+0.7</w:t>
            </w:r>
            <w:r w:rsidR="00D7088A" w:rsidRPr="0094336B">
              <w:t>%</w:t>
            </w:r>
          </w:p>
        </w:tc>
      </w:tr>
      <w:tr w:rsidR="002543B7" w:rsidRPr="0094336B" w14:paraId="4EC01171" w14:textId="45E15F8E" w:rsidTr="00522E5A">
        <w:tc>
          <w:tcPr>
            <w:tcW w:w="2977" w:type="dxa"/>
            <w:shd w:val="clear" w:color="auto" w:fill="FFFFFF"/>
          </w:tcPr>
          <w:p w14:paraId="782695DC" w14:textId="6D2A257A" w:rsidR="002543B7" w:rsidRPr="0094336B" w:rsidRDefault="002543B7" w:rsidP="00883D56">
            <w:pPr>
              <w:pStyle w:val="CETBodytext"/>
              <w:rPr>
                <w:lang w:val="en-GB"/>
              </w:rPr>
            </w:pPr>
            <w:r w:rsidRPr="0094336B">
              <w:t>Final volume of acid solution [ml]</w:t>
            </w:r>
          </w:p>
        </w:tc>
        <w:tc>
          <w:tcPr>
            <w:tcW w:w="1985" w:type="dxa"/>
            <w:shd w:val="clear" w:color="auto" w:fill="FFFFFF"/>
          </w:tcPr>
          <w:p w14:paraId="7B5011EE" w14:textId="04ECBBD9" w:rsidR="002543B7" w:rsidRPr="0094336B" w:rsidRDefault="002543B7" w:rsidP="00883D56">
            <w:pPr>
              <w:pStyle w:val="CETBodytext"/>
              <w:rPr>
                <w:lang w:val="en-GB"/>
              </w:rPr>
            </w:pPr>
            <w:r w:rsidRPr="0094336B">
              <w:t>740</w:t>
            </w:r>
          </w:p>
        </w:tc>
        <w:tc>
          <w:tcPr>
            <w:tcW w:w="1701" w:type="dxa"/>
            <w:shd w:val="clear" w:color="auto" w:fill="FFFFFF"/>
          </w:tcPr>
          <w:p w14:paraId="49CCBEC9" w14:textId="08EF377F" w:rsidR="002543B7" w:rsidRPr="0094336B" w:rsidRDefault="002543B7" w:rsidP="00883D56">
            <w:pPr>
              <w:pStyle w:val="CETBodytext"/>
              <w:rPr>
                <w:lang w:val="en-GB"/>
              </w:rPr>
            </w:pPr>
            <w:r w:rsidRPr="0094336B">
              <w:t>715</w:t>
            </w:r>
          </w:p>
        </w:tc>
        <w:tc>
          <w:tcPr>
            <w:tcW w:w="1701" w:type="dxa"/>
            <w:shd w:val="clear" w:color="auto" w:fill="FFFFFF"/>
          </w:tcPr>
          <w:p w14:paraId="721BAADE" w14:textId="3EE479A4" w:rsidR="002543B7" w:rsidRPr="0094336B" w:rsidRDefault="00D7088A" w:rsidP="00883D56">
            <w:pPr>
              <w:pStyle w:val="CETBodytext"/>
            </w:pPr>
            <w:r w:rsidRPr="0094336B">
              <w:t>-3.4%</w:t>
            </w:r>
          </w:p>
        </w:tc>
      </w:tr>
      <w:tr w:rsidR="002543B7" w:rsidRPr="0094336B" w14:paraId="087CA3FC" w14:textId="66A68B2A" w:rsidTr="00522E5A">
        <w:tc>
          <w:tcPr>
            <w:tcW w:w="2977" w:type="dxa"/>
            <w:shd w:val="clear" w:color="auto" w:fill="FFFFFF"/>
          </w:tcPr>
          <w:p w14:paraId="4AA5D840" w14:textId="5C30B76F" w:rsidR="002543B7" w:rsidRPr="0094336B" w:rsidRDefault="002543B7" w:rsidP="00883D56">
            <w:pPr>
              <w:pStyle w:val="CETBodytext"/>
              <w:ind w:right="-1"/>
              <w:rPr>
                <w:rFonts w:cs="Arial"/>
                <w:szCs w:val="18"/>
                <w:lang w:val="en-GB"/>
              </w:rPr>
            </w:pPr>
            <w:r w:rsidRPr="0094336B">
              <w:t>Mass stripped of acetic acid [g]</w:t>
            </w:r>
          </w:p>
        </w:tc>
        <w:tc>
          <w:tcPr>
            <w:tcW w:w="1985" w:type="dxa"/>
            <w:shd w:val="clear" w:color="auto" w:fill="FFFFFF"/>
          </w:tcPr>
          <w:p w14:paraId="5765FB12" w14:textId="53FA1549" w:rsidR="002543B7" w:rsidRPr="0094336B" w:rsidRDefault="002543B7" w:rsidP="00883D56">
            <w:pPr>
              <w:pStyle w:val="CETBodytext"/>
              <w:ind w:right="-1"/>
              <w:rPr>
                <w:rFonts w:cs="Arial"/>
                <w:szCs w:val="18"/>
                <w:lang w:val="en-GB"/>
              </w:rPr>
            </w:pPr>
            <w:r w:rsidRPr="0094336B">
              <w:t>1.65</w:t>
            </w:r>
          </w:p>
        </w:tc>
        <w:tc>
          <w:tcPr>
            <w:tcW w:w="1701" w:type="dxa"/>
            <w:shd w:val="clear" w:color="auto" w:fill="FFFFFF"/>
          </w:tcPr>
          <w:p w14:paraId="7E5DC9FC" w14:textId="3C0F63F1" w:rsidR="002543B7" w:rsidRPr="0094336B" w:rsidRDefault="002543B7" w:rsidP="00883D56">
            <w:pPr>
              <w:pStyle w:val="CETBodytext"/>
              <w:ind w:right="-1"/>
              <w:rPr>
                <w:rFonts w:cs="Arial"/>
                <w:szCs w:val="18"/>
                <w:lang w:val="en-GB"/>
              </w:rPr>
            </w:pPr>
            <w:r w:rsidRPr="0094336B">
              <w:t>1.61</w:t>
            </w:r>
          </w:p>
        </w:tc>
        <w:tc>
          <w:tcPr>
            <w:tcW w:w="1701" w:type="dxa"/>
            <w:shd w:val="clear" w:color="auto" w:fill="FFFFFF"/>
          </w:tcPr>
          <w:p w14:paraId="1E35C06C" w14:textId="66041ACD" w:rsidR="002543B7" w:rsidRPr="0094336B" w:rsidRDefault="00DA0E08" w:rsidP="00883D56">
            <w:pPr>
              <w:pStyle w:val="CETBodytext"/>
              <w:ind w:right="-1"/>
            </w:pPr>
            <w:r w:rsidRPr="0094336B">
              <w:t>-2.4%</w:t>
            </w:r>
          </w:p>
        </w:tc>
      </w:tr>
    </w:tbl>
    <w:p w14:paraId="6CA4E8CD" w14:textId="77777777" w:rsidR="00AF78D0" w:rsidRPr="0094336B" w:rsidRDefault="00AF78D0" w:rsidP="00600535">
      <w:pPr>
        <w:pStyle w:val="CETBodytext"/>
        <w:rPr>
          <w:lang w:val="en-GB"/>
        </w:rPr>
      </w:pPr>
    </w:p>
    <w:p w14:paraId="1EABA6EA" w14:textId="6C423A1E" w:rsidR="002F2287" w:rsidRPr="0094336B" w:rsidRDefault="00D068D2" w:rsidP="00600535">
      <w:pPr>
        <w:pStyle w:val="CETBodytext"/>
        <w:rPr>
          <w:lang w:val="en-GB"/>
        </w:rPr>
      </w:pPr>
      <w:r w:rsidRPr="0094336B">
        <w:rPr>
          <w:noProof/>
          <w:lang w:val="it-IT" w:eastAsia="it-IT"/>
        </w:rPr>
        <w:drawing>
          <wp:inline distT="0" distB="0" distL="0" distR="0" wp14:anchorId="43BC70F5" wp14:editId="3F991CBD">
            <wp:extent cx="5313946" cy="3541594"/>
            <wp:effectExtent l="0" t="0" r="1270" b="1905"/>
            <wp:docPr id="1407580329" name="Grafico 1">
              <a:extLst xmlns:a="http://schemas.openxmlformats.org/drawingml/2006/main">
                <a:ext uri="{FF2B5EF4-FFF2-40B4-BE49-F238E27FC236}">
                  <a16:creationId xmlns:a16="http://schemas.microsoft.com/office/drawing/2014/main" id="{00000000-0008-0000-14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A64F8E6" w14:textId="7E7549F0" w:rsidR="00A03019" w:rsidRPr="0094336B" w:rsidRDefault="00A03019" w:rsidP="00A03019">
      <w:pPr>
        <w:pStyle w:val="CETCaption"/>
      </w:pPr>
      <w:r w:rsidRPr="0094336B">
        <w:rPr>
          <w:rStyle w:val="CETCaptionCarattere"/>
          <w:i/>
        </w:rPr>
        <w:t xml:space="preserve">Figure 4: model validation: dots = experimental; continuous = </w:t>
      </w:r>
      <w:r w:rsidR="00885766" w:rsidRPr="0094336B">
        <w:rPr>
          <w:rStyle w:val="CETCaptionCarattere"/>
          <w:i/>
        </w:rPr>
        <w:t>model – acetic acid stripping test</w:t>
      </w:r>
      <w:r w:rsidR="007B60D9" w:rsidRPr="0094336B">
        <w:rPr>
          <w:rStyle w:val="CETCaptionCarattere"/>
          <w:i/>
        </w:rPr>
        <w:t>.</w:t>
      </w:r>
    </w:p>
    <w:p w14:paraId="181E4C6F" w14:textId="13D2C191" w:rsidR="00AF78D0" w:rsidRPr="0094336B" w:rsidRDefault="002543B7" w:rsidP="00600535">
      <w:pPr>
        <w:pStyle w:val="CETBodytext"/>
        <w:rPr>
          <w:lang w:val="en-GB"/>
        </w:rPr>
      </w:pPr>
      <w:r w:rsidRPr="0094336B">
        <w:rPr>
          <w:lang w:val="en-GB"/>
        </w:rPr>
        <w:t>The comparison highlights a</w:t>
      </w:r>
      <w:r w:rsidR="00DA0E08" w:rsidRPr="0094336B">
        <w:rPr>
          <w:lang w:val="en-GB"/>
        </w:rPr>
        <w:t xml:space="preserve">n excellent </w:t>
      </w:r>
      <w:r w:rsidRPr="0094336B">
        <w:rPr>
          <w:lang w:val="en-GB"/>
        </w:rPr>
        <w:t xml:space="preserve">agreement between the experimental and the simulation results, validating the </w:t>
      </w:r>
      <w:r w:rsidR="00DA0E08" w:rsidRPr="0094336B">
        <w:rPr>
          <w:lang w:val="en-GB"/>
        </w:rPr>
        <w:t>stripping step</w:t>
      </w:r>
      <w:r w:rsidRPr="0094336B">
        <w:rPr>
          <w:lang w:val="en-GB"/>
        </w:rPr>
        <w:t xml:space="preserve"> and the thermodynamic model proposed.</w:t>
      </w:r>
    </w:p>
    <w:p w14:paraId="68D26B83" w14:textId="77777777" w:rsidR="00600535" w:rsidRPr="0094336B" w:rsidRDefault="00600535" w:rsidP="00600535">
      <w:pPr>
        <w:pStyle w:val="CETHeading1"/>
        <w:rPr>
          <w:lang w:val="en-GB"/>
        </w:rPr>
      </w:pPr>
      <w:r w:rsidRPr="0094336B">
        <w:rPr>
          <w:lang w:val="en-GB"/>
        </w:rPr>
        <w:t>Conclusions</w:t>
      </w:r>
    </w:p>
    <w:p w14:paraId="596F3ACA" w14:textId="77777777" w:rsidR="00BB07F2" w:rsidRPr="0094336B" w:rsidRDefault="005B1EE2" w:rsidP="00600535">
      <w:pPr>
        <w:pStyle w:val="CETBodytext"/>
        <w:rPr>
          <w:lang w:val="en-GB"/>
        </w:rPr>
      </w:pPr>
      <w:r w:rsidRPr="0094336B">
        <w:rPr>
          <w:lang w:val="en-GB"/>
        </w:rPr>
        <w:t xml:space="preserve">The present study aimed to validate and </w:t>
      </w:r>
      <w:r w:rsidR="00BB07F2" w:rsidRPr="0094336B">
        <w:rPr>
          <w:lang w:val="en-GB"/>
        </w:rPr>
        <w:t>test</w:t>
      </w:r>
      <w:r w:rsidRPr="0094336B">
        <w:rPr>
          <w:lang w:val="en-GB"/>
        </w:rPr>
        <w:t xml:space="preserve"> an innovative and sustainable approach for recovering VFAs from liquid digestate, consist</w:t>
      </w:r>
      <w:r w:rsidR="006D77C9" w:rsidRPr="0094336B">
        <w:rPr>
          <w:lang w:val="en-GB"/>
        </w:rPr>
        <w:t xml:space="preserve">ing </w:t>
      </w:r>
      <w:r w:rsidRPr="0094336B">
        <w:rPr>
          <w:lang w:val="en-GB"/>
        </w:rPr>
        <w:t xml:space="preserve">of gas stripping </w:t>
      </w:r>
      <w:r w:rsidR="006D77C9" w:rsidRPr="0094336B">
        <w:rPr>
          <w:lang w:val="en-GB"/>
        </w:rPr>
        <w:t>followed by</w:t>
      </w:r>
      <w:r w:rsidRPr="0094336B">
        <w:rPr>
          <w:lang w:val="en-GB"/>
        </w:rPr>
        <w:t xml:space="preserve"> absorption. </w:t>
      </w:r>
    </w:p>
    <w:p w14:paraId="52DAFDE0" w14:textId="5BEA8ACD" w:rsidR="001D0CFB" w:rsidRPr="0094336B" w:rsidRDefault="005B1EE2" w:rsidP="00600535">
      <w:pPr>
        <w:pStyle w:val="CETBodytext"/>
        <w:rPr>
          <w:lang w:val="en-GB"/>
        </w:rPr>
      </w:pPr>
      <w:r w:rsidRPr="0094336B">
        <w:rPr>
          <w:lang w:val="en-GB"/>
        </w:rPr>
        <w:t>Experimental investigations were performed on a lab scale to recover VFAs from a water solution by considering single acid</w:t>
      </w:r>
      <w:r w:rsidR="00BB07F2" w:rsidRPr="0094336B">
        <w:rPr>
          <w:lang w:val="en-GB"/>
        </w:rPr>
        <w:t>s</w:t>
      </w:r>
      <w:r w:rsidRPr="0094336B">
        <w:rPr>
          <w:lang w:val="en-GB"/>
        </w:rPr>
        <w:t xml:space="preserve"> and a mix of acids. Moreover, the process simulation was carried out </w:t>
      </w:r>
      <w:r w:rsidR="00AE3786" w:rsidRPr="0094336B">
        <w:rPr>
          <w:lang w:val="en-GB"/>
        </w:rPr>
        <w:t>to validate the stripping schematization and the thermodynamic model, which are essential for the scale-up of</w:t>
      </w:r>
      <w:r w:rsidRPr="0094336B">
        <w:rPr>
          <w:lang w:val="en-GB"/>
        </w:rPr>
        <w:t xml:space="preserve"> the technology.</w:t>
      </w:r>
    </w:p>
    <w:p w14:paraId="1D9BE7D6" w14:textId="77777777" w:rsidR="00C950E5" w:rsidRPr="0094336B" w:rsidRDefault="00951D84" w:rsidP="0015536D">
      <w:pPr>
        <w:pStyle w:val="CETBodytext"/>
        <w:rPr>
          <w:lang w:val="en-GB"/>
        </w:rPr>
      </w:pPr>
      <w:r w:rsidRPr="0094336B">
        <w:rPr>
          <w:lang w:val="en-GB"/>
        </w:rPr>
        <w:t>Experimental findings highlighted that t</w:t>
      </w:r>
      <w:r w:rsidR="0015536D" w:rsidRPr="0094336B">
        <w:rPr>
          <w:lang w:val="en-GB"/>
        </w:rPr>
        <w:t xml:space="preserve">he </w:t>
      </w:r>
      <w:r w:rsidR="008B2A4F" w:rsidRPr="0094336B">
        <w:rPr>
          <w:lang w:val="en-GB"/>
        </w:rPr>
        <w:t xml:space="preserve">stripping of acids as a single solution </w:t>
      </w:r>
      <w:r w:rsidR="0015536D" w:rsidRPr="0094336B">
        <w:rPr>
          <w:lang w:val="en-GB"/>
        </w:rPr>
        <w:t xml:space="preserve">and a mixture was carried out, </w:t>
      </w:r>
      <w:r w:rsidR="006E5514" w:rsidRPr="0094336B">
        <w:rPr>
          <w:lang w:val="en-GB"/>
        </w:rPr>
        <w:t xml:space="preserve">validating the approach proposed. </w:t>
      </w:r>
    </w:p>
    <w:p w14:paraId="3BD60179" w14:textId="55EB3394" w:rsidR="00AE3786" w:rsidRPr="0094336B" w:rsidRDefault="0015536D" w:rsidP="0015536D">
      <w:pPr>
        <w:pStyle w:val="CETBodytext"/>
        <w:rPr>
          <w:lang w:val="en-GB"/>
        </w:rPr>
      </w:pPr>
      <w:r w:rsidRPr="0094336B">
        <w:rPr>
          <w:lang w:val="en-GB"/>
        </w:rPr>
        <w:t xml:space="preserve">The process scheme </w:t>
      </w:r>
      <w:r w:rsidR="009873F8" w:rsidRPr="0094336B">
        <w:rPr>
          <w:lang w:val="en-GB"/>
        </w:rPr>
        <w:t>was implemented</w:t>
      </w:r>
      <w:r w:rsidR="00C950E5" w:rsidRPr="0094336B">
        <w:rPr>
          <w:lang w:val="en-GB"/>
        </w:rPr>
        <w:t>, and the stripping step and the thermodynamic model were successfully</w:t>
      </w:r>
      <w:r w:rsidRPr="0094336B">
        <w:rPr>
          <w:lang w:val="en-GB"/>
        </w:rPr>
        <w:t xml:space="preserve"> validated.</w:t>
      </w:r>
      <w:r w:rsidR="00AE3786" w:rsidRPr="0094336B">
        <w:rPr>
          <w:lang w:val="en-GB"/>
        </w:rPr>
        <w:t xml:space="preserve"> </w:t>
      </w:r>
    </w:p>
    <w:p w14:paraId="2B01CB7A" w14:textId="4451E575" w:rsidR="004B2CE7" w:rsidRPr="0094336B" w:rsidRDefault="004B2CE7" w:rsidP="0015536D">
      <w:pPr>
        <w:pStyle w:val="CETBodytext"/>
        <w:rPr>
          <w:lang w:val="en-GB"/>
        </w:rPr>
      </w:pPr>
      <w:r w:rsidRPr="0094336B">
        <w:rPr>
          <w:lang w:val="en-GB"/>
        </w:rPr>
        <w:t>Further investigations are required to optimize the process in terms of variation of the operative conditions and</w:t>
      </w:r>
      <w:r w:rsidR="00C55EDE" w:rsidRPr="0094336B">
        <w:rPr>
          <w:lang w:val="en-GB"/>
        </w:rPr>
        <w:t xml:space="preserve"> </w:t>
      </w:r>
      <w:r w:rsidR="00DB14DC" w:rsidRPr="0094336B">
        <w:rPr>
          <w:lang w:val="en-GB"/>
        </w:rPr>
        <w:t xml:space="preserve">scale-up of the </w:t>
      </w:r>
      <w:r w:rsidR="00692CC2" w:rsidRPr="0094336B">
        <w:rPr>
          <w:lang w:val="en-GB"/>
        </w:rPr>
        <w:t>technology</w:t>
      </w:r>
      <w:r w:rsidR="00DB14DC" w:rsidRPr="0094336B">
        <w:rPr>
          <w:lang w:val="en-GB"/>
        </w:rPr>
        <w:t>.</w:t>
      </w:r>
    </w:p>
    <w:p w14:paraId="459D05E6" w14:textId="77777777" w:rsidR="00600535" w:rsidRPr="0094336B" w:rsidRDefault="00600535" w:rsidP="00600535">
      <w:pPr>
        <w:pStyle w:val="CETAcknowledgementstitle"/>
      </w:pPr>
      <w:r w:rsidRPr="0094336B">
        <w:t>Acknowledgments</w:t>
      </w:r>
    </w:p>
    <w:p w14:paraId="33F8138F" w14:textId="32FB1D7F" w:rsidR="00600535" w:rsidRPr="0094336B" w:rsidRDefault="006256EE" w:rsidP="0087517B">
      <w:pPr>
        <w:pStyle w:val="CETBodytext"/>
        <w:rPr>
          <w:lang w:val="en-GB"/>
        </w:rPr>
      </w:pPr>
      <w:r w:rsidRPr="0094336B">
        <w:rPr>
          <w:lang w:val="en-GB"/>
        </w:rPr>
        <w:lastRenderedPageBreak/>
        <w:t xml:space="preserve">Authors would like to thank the Italian Fund PRIN: PROGETTI DI RICERCA DI RILEVANTE INTERESSE NAZIONALE – Bando 2022 PNRR – MISSION 4 EDUCATION RESEARCH – Funded by the European Union </w:t>
      </w:r>
      <w:proofErr w:type="spellStart"/>
      <w:r w:rsidRPr="0094336B">
        <w:rPr>
          <w:lang w:val="en-GB"/>
        </w:rPr>
        <w:t>NextGenerationEU</w:t>
      </w:r>
      <w:proofErr w:type="spellEnd"/>
      <w:r w:rsidRPr="0094336B">
        <w:rPr>
          <w:lang w:val="en-GB"/>
        </w:rPr>
        <w:t xml:space="preserve"> - Project: Recovery of bio-based volatile fatty acids from digestates (RECREATE) – ID project: P2022ZTAKR</w:t>
      </w:r>
      <w:r w:rsidR="0087517B">
        <w:rPr>
          <w:lang w:val="en-GB"/>
        </w:rPr>
        <w:t xml:space="preserve"> - </w:t>
      </w:r>
      <w:proofErr w:type="spellStart"/>
      <w:r w:rsidR="0087517B" w:rsidRPr="0087517B">
        <w:rPr>
          <w:lang w:val="en-GB"/>
        </w:rPr>
        <w:t>Finanziato</w:t>
      </w:r>
      <w:proofErr w:type="spellEnd"/>
      <w:r w:rsidR="0087517B" w:rsidRPr="0087517B">
        <w:rPr>
          <w:lang w:val="en-GB"/>
        </w:rPr>
        <w:t xml:space="preserve"> </w:t>
      </w:r>
      <w:proofErr w:type="spellStart"/>
      <w:r w:rsidR="0087517B" w:rsidRPr="0087517B">
        <w:rPr>
          <w:lang w:val="en-GB"/>
        </w:rPr>
        <w:t>dall’Unione</w:t>
      </w:r>
      <w:proofErr w:type="spellEnd"/>
      <w:r w:rsidR="0087517B" w:rsidRPr="0087517B">
        <w:rPr>
          <w:lang w:val="en-GB"/>
        </w:rPr>
        <w:t xml:space="preserve"> </w:t>
      </w:r>
      <w:proofErr w:type="spellStart"/>
      <w:r w:rsidR="0087517B" w:rsidRPr="0087517B">
        <w:rPr>
          <w:lang w:val="en-GB"/>
        </w:rPr>
        <w:t>europea</w:t>
      </w:r>
      <w:proofErr w:type="spellEnd"/>
      <w:r w:rsidR="0087517B" w:rsidRPr="0087517B">
        <w:rPr>
          <w:lang w:val="en-GB"/>
        </w:rPr>
        <w:t xml:space="preserve">- Next Generation EU, </w:t>
      </w:r>
      <w:proofErr w:type="spellStart"/>
      <w:r w:rsidR="0087517B" w:rsidRPr="0087517B">
        <w:rPr>
          <w:lang w:val="en-GB"/>
        </w:rPr>
        <w:t>Missione</w:t>
      </w:r>
      <w:proofErr w:type="spellEnd"/>
      <w:r w:rsidR="0087517B" w:rsidRPr="0087517B">
        <w:rPr>
          <w:lang w:val="en-GB"/>
        </w:rPr>
        <w:t xml:space="preserve"> 4 </w:t>
      </w:r>
      <w:proofErr w:type="spellStart"/>
      <w:r w:rsidR="0087517B" w:rsidRPr="0087517B">
        <w:rPr>
          <w:lang w:val="en-GB"/>
        </w:rPr>
        <w:t>Componente</w:t>
      </w:r>
      <w:proofErr w:type="spellEnd"/>
      <w:r w:rsidR="0087517B" w:rsidRPr="0087517B">
        <w:rPr>
          <w:lang w:val="en-GB"/>
        </w:rPr>
        <w:t xml:space="preserve"> 1</w:t>
      </w:r>
      <w:r w:rsidR="0087517B">
        <w:rPr>
          <w:lang w:val="en-GB"/>
        </w:rPr>
        <w:t xml:space="preserve"> </w:t>
      </w:r>
      <w:r w:rsidR="0087517B" w:rsidRPr="0087517B">
        <w:rPr>
          <w:lang w:val="en-GB"/>
        </w:rPr>
        <w:t>CUP</w:t>
      </w:r>
      <w:r w:rsidR="001F79DE">
        <w:rPr>
          <w:lang w:val="en-GB"/>
        </w:rPr>
        <w:t xml:space="preserve"> </w:t>
      </w:r>
      <w:r w:rsidR="001F79DE" w:rsidRPr="001F79DE">
        <w:rPr>
          <w:lang w:val="en-GB"/>
        </w:rPr>
        <w:t>B53D23027420001</w:t>
      </w:r>
      <w:r w:rsidRPr="0094336B">
        <w:rPr>
          <w:lang w:val="en-GB"/>
        </w:rPr>
        <w:t>.</w:t>
      </w:r>
    </w:p>
    <w:p w14:paraId="4F1327F8" w14:textId="77777777" w:rsidR="00600535" w:rsidRPr="0094336B" w:rsidRDefault="00600535" w:rsidP="00600535">
      <w:pPr>
        <w:pStyle w:val="CETReference"/>
      </w:pPr>
      <w:r w:rsidRPr="0094336B">
        <w:t>References</w:t>
      </w:r>
    </w:p>
    <w:p w14:paraId="0EB1C259" w14:textId="0F4794BF" w:rsidR="004D635D" w:rsidRPr="0094336B" w:rsidRDefault="004D635D" w:rsidP="004D635D">
      <w:pPr>
        <w:pStyle w:val="CETReferencetext"/>
      </w:pPr>
      <w:r w:rsidRPr="0094336B">
        <w:t xml:space="preserve">Amabile C., Abate T., Chianese S., </w:t>
      </w:r>
      <w:proofErr w:type="spellStart"/>
      <w:r w:rsidRPr="0094336B">
        <w:t>Musmarra</w:t>
      </w:r>
      <w:proofErr w:type="spellEnd"/>
      <w:r w:rsidRPr="0094336B">
        <w:t xml:space="preserve"> D., Muñoz R., 2023a, Assessing the performance of synthetic co-cultures during the conversion of methane into Poly(3-hydroxybutyrate), Chemical Engineering Journal, 476, 146646.</w:t>
      </w:r>
    </w:p>
    <w:p w14:paraId="531DE977" w14:textId="771715B9" w:rsidR="004D635D" w:rsidRPr="0094336B" w:rsidRDefault="00942674" w:rsidP="00942674">
      <w:pPr>
        <w:pStyle w:val="CETReferencetext"/>
      </w:pPr>
      <w:r w:rsidRPr="0094336B">
        <w:t xml:space="preserve">Amabile C., Abate T., De Crescenzo C., Migliaccio A., Capece G., Ciampa R., Muñoz R., Chianese S., </w:t>
      </w:r>
      <w:proofErr w:type="spellStart"/>
      <w:r w:rsidRPr="0094336B">
        <w:t>Musmarra</w:t>
      </w:r>
      <w:proofErr w:type="spellEnd"/>
      <w:r w:rsidRPr="0094336B">
        <w:t xml:space="preserve"> D.</w:t>
      </w:r>
      <w:r w:rsidR="00D6666E" w:rsidRPr="0094336B">
        <w:t xml:space="preserve">, 2023b, </w:t>
      </w:r>
      <w:r w:rsidRPr="0094336B">
        <w:t>A Simulation Approach for Investigating the Effect of Valeric Acid Concentration on Poly(3-hydroxybutyrate-co-3-hydroxyvalerate) Generation in Presence of Methane</w:t>
      </w:r>
      <w:r w:rsidR="00D6666E" w:rsidRPr="0094336B">
        <w:t xml:space="preserve">, </w:t>
      </w:r>
      <w:r w:rsidRPr="0094336B">
        <w:t xml:space="preserve">Chemical Engineering Transactions, 98, </w:t>
      </w:r>
      <w:r w:rsidR="00D6666E" w:rsidRPr="0094336B">
        <w:t>1</w:t>
      </w:r>
      <w:r w:rsidRPr="0094336B">
        <w:t>77</w:t>
      </w:r>
      <w:r w:rsidR="00D6666E" w:rsidRPr="0094336B">
        <w:t>–</w:t>
      </w:r>
      <w:r w:rsidRPr="0094336B">
        <w:t>182.</w:t>
      </w:r>
    </w:p>
    <w:p w14:paraId="62433DA4" w14:textId="448BBD97" w:rsidR="00814287" w:rsidRPr="0094336B" w:rsidRDefault="00814287" w:rsidP="00814287">
      <w:pPr>
        <w:pStyle w:val="CETReferencetext"/>
      </w:pPr>
      <w:r w:rsidRPr="0094336B">
        <w:t xml:space="preserve">Amabile C., Abate T., De Crescenzo C., Muñoz R., Chianese S., </w:t>
      </w:r>
      <w:proofErr w:type="spellStart"/>
      <w:r w:rsidRPr="0094336B">
        <w:t>Musmarra</w:t>
      </w:r>
      <w:proofErr w:type="spellEnd"/>
      <w:r w:rsidRPr="0094336B">
        <w:t xml:space="preserve"> D.</w:t>
      </w:r>
      <w:r w:rsidR="00731EC5" w:rsidRPr="0094336B">
        <w:t xml:space="preserve">, 2023c, </w:t>
      </w:r>
      <w:proofErr w:type="gramStart"/>
      <w:r w:rsidRPr="0094336B">
        <w:t>An</w:t>
      </w:r>
      <w:proofErr w:type="gramEnd"/>
      <w:r w:rsidRPr="0094336B">
        <w:t xml:space="preserve"> innovative and sustainable process for producing poly(3-hydroxybutyrate-co-3-hydroxyvalerate): simulating volatile fatty acid role and biodegradability</w:t>
      </w:r>
      <w:r w:rsidR="00B604D6" w:rsidRPr="0094336B">
        <w:t xml:space="preserve">, </w:t>
      </w:r>
      <w:r w:rsidRPr="0094336B">
        <w:t>Chemical Engineering Journal, 473, 145193</w:t>
      </w:r>
      <w:r w:rsidR="00B604D6" w:rsidRPr="0094336B">
        <w:t>.</w:t>
      </w:r>
    </w:p>
    <w:p w14:paraId="5A9832A2" w14:textId="77777777" w:rsidR="00CD028C" w:rsidRPr="0094336B" w:rsidRDefault="00CD028C" w:rsidP="00CD028C">
      <w:pPr>
        <w:pStyle w:val="CETReferencetext"/>
      </w:pPr>
      <w:r w:rsidRPr="0094336B">
        <w:t>Arias A., González-García S., González-Rodríguez S., Feijoo G., Moreira M.T., 2020, Cradle-to-gate Life Cycle Assessment of bio-adhesives for the wood panel industry. A comparison with petrochemical alternatives, Science of the Total Environment, 738, 140357.</w:t>
      </w:r>
    </w:p>
    <w:p w14:paraId="5A32C942" w14:textId="7950F899" w:rsidR="009922B7" w:rsidRPr="0094336B" w:rsidRDefault="009922B7" w:rsidP="009922B7">
      <w:pPr>
        <w:pStyle w:val="CETReferencetext"/>
      </w:pPr>
      <w:r w:rsidRPr="0094336B">
        <w:t xml:space="preserve">Atasoy M., Owusu-Agyeman I., Plaza E., </w:t>
      </w:r>
      <w:proofErr w:type="spellStart"/>
      <w:r w:rsidRPr="0094336B">
        <w:t>Cetecioglu</w:t>
      </w:r>
      <w:proofErr w:type="spellEnd"/>
      <w:r w:rsidRPr="0094336B">
        <w:t xml:space="preserve"> Z., 2013, Bio-based volatile fatty acid production and recovery from waste streams: </w:t>
      </w:r>
      <w:proofErr w:type="gramStart"/>
      <w:r w:rsidRPr="0094336B">
        <w:t>Current status</w:t>
      </w:r>
      <w:proofErr w:type="gramEnd"/>
      <w:r w:rsidRPr="0094336B">
        <w:t xml:space="preserve"> and future challenges</w:t>
      </w:r>
      <w:r w:rsidR="00C665D8" w:rsidRPr="0094336B">
        <w:t xml:space="preserve">, </w:t>
      </w:r>
      <w:r w:rsidRPr="0094336B">
        <w:t>Bioresource Technology</w:t>
      </w:r>
      <w:r w:rsidR="00C665D8" w:rsidRPr="0094336B">
        <w:t>, 268, 773–786.</w:t>
      </w:r>
    </w:p>
    <w:p w14:paraId="5B79A320" w14:textId="224529B9" w:rsidR="00AD0905" w:rsidRPr="0094336B" w:rsidRDefault="00AD0905" w:rsidP="00AD0905">
      <w:pPr>
        <w:pStyle w:val="CETReferencetext"/>
      </w:pPr>
      <w:r w:rsidRPr="0094336B">
        <w:t xml:space="preserve">Battista F., </w:t>
      </w:r>
      <w:proofErr w:type="spellStart"/>
      <w:r w:rsidRPr="0094336B">
        <w:t>Remelli</w:t>
      </w:r>
      <w:proofErr w:type="spellEnd"/>
      <w:r w:rsidRPr="0094336B">
        <w:t xml:space="preserve"> G., </w:t>
      </w:r>
      <w:proofErr w:type="spellStart"/>
      <w:r w:rsidRPr="0094336B">
        <w:t>Zanzoni</w:t>
      </w:r>
      <w:proofErr w:type="spellEnd"/>
      <w:r w:rsidRPr="0094336B">
        <w:t xml:space="preserve"> S., </w:t>
      </w:r>
      <w:proofErr w:type="spellStart"/>
      <w:r w:rsidRPr="0094336B">
        <w:t>Bolzonella</w:t>
      </w:r>
      <w:proofErr w:type="spellEnd"/>
      <w:r w:rsidRPr="0094336B">
        <w:t xml:space="preserve"> D., 2020, </w:t>
      </w:r>
      <w:proofErr w:type="spellStart"/>
      <w:r w:rsidRPr="0094336B">
        <w:t>Valorization</w:t>
      </w:r>
      <w:proofErr w:type="spellEnd"/>
      <w:r w:rsidRPr="0094336B">
        <w:t xml:space="preserve"> of Residual Orange Peels: Limonene Recovery, Volatile Fatty Acids, and Biogas Production, ACS Sustainable Chemistry and Engineering, 8, 6834</w:t>
      </w:r>
      <w:r w:rsidR="00FF3C75" w:rsidRPr="0094336B">
        <w:t>–</w:t>
      </w:r>
      <w:r w:rsidRPr="0094336B">
        <w:t>6843.</w:t>
      </w:r>
    </w:p>
    <w:p w14:paraId="2D9A8EA4" w14:textId="6A005525" w:rsidR="00DE2456" w:rsidRPr="0094336B" w:rsidRDefault="00DE2456" w:rsidP="00137409">
      <w:pPr>
        <w:pStyle w:val="CETReferencetext"/>
      </w:pPr>
      <w:r w:rsidRPr="0094336B">
        <w:t xml:space="preserve">Coma M., Martinez-Hernandez E., Abeln F., </w:t>
      </w:r>
      <w:proofErr w:type="spellStart"/>
      <w:r w:rsidRPr="0094336B">
        <w:t>Raikova</w:t>
      </w:r>
      <w:proofErr w:type="spellEnd"/>
      <w:r w:rsidRPr="0094336B">
        <w:t xml:space="preserve"> S., Donnelly J., Arnot T.C., Allen M.J., Hong D.D., Chuck C.J.</w:t>
      </w:r>
      <w:r w:rsidR="00137409" w:rsidRPr="0094336B">
        <w:t xml:space="preserve">, 2017, </w:t>
      </w:r>
      <w:r w:rsidRPr="0094336B">
        <w:t>Organic waste as a sustainable feedstock for platform chemicals</w:t>
      </w:r>
      <w:r w:rsidR="00137409" w:rsidRPr="0094336B">
        <w:t>,</w:t>
      </w:r>
      <w:r w:rsidRPr="0094336B">
        <w:t xml:space="preserve"> Faraday Discussions, 202, 175</w:t>
      </w:r>
      <w:r w:rsidR="00137409" w:rsidRPr="0094336B">
        <w:t>–</w:t>
      </w:r>
      <w:r w:rsidRPr="0094336B">
        <w:t>195</w:t>
      </w:r>
      <w:r w:rsidR="00137409" w:rsidRPr="0094336B">
        <w:t>.</w:t>
      </w:r>
    </w:p>
    <w:p w14:paraId="6D6B6288" w14:textId="7F6F771B" w:rsidR="004D635D" w:rsidRPr="0094336B" w:rsidRDefault="00331000" w:rsidP="00331000">
      <w:pPr>
        <w:pStyle w:val="CETReferencetext"/>
      </w:pPr>
      <w:r w:rsidRPr="0094336B">
        <w:t>Da Ros C., Conca V., Eusebi A.L., Frison N., Fatone F., 2020, Sieving of municipal wastewater and recovery of bio-based volatile fatty acids at pilot scale, Water Research, 174, 115633.</w:t>
      </w:r>
    </w:p>
    <w:p w14:paraId="3CAF6AD0" w14:textId="2A5BF618" w:rsidR="00147581" w:rsidRPr="0094336B" w:rsidRDefault="00147581" w:rsidP="00147581">
      <w:pPr>
        <w:pStyle w:val="CETReferencetext"/>
      </w:pPr>
      <w:r w:rsidRPr="0094336B">
        <w:t>Han Y., Du J., Li J., Li M., 2019, Quantification of the organic acids in hawthorn wine: A comparison of two HPLC methods, Molecules, 24, 2150.</w:t>
      </w:r>
    </w:p>
    <w:p w14:paraId="1D8562E8" w14:textId="0BC1CEE6" w:rsidR="00A00452" w:rsidRPr="0094336B" w:rsidRDefault="005D5292" w:rsidP="005D5292">
      <w:pPr>
        <w:pStyle w:val="CETReferencetext"/>
      </w:pPr>
      <w:proofErr w:type="spellStart"/>
      <w:r w:rsidRPr="0094336B">
        <w:t>Lamolinara</w:t>
      </w:r>
      <w:proofErr w:type="spellEnd"/>
      <w:r w:rsidRPr="0094336B">
        <w:t xml:space="preserve"> B., Pérez-Martínez A., Guardado-Yordi E., Guillén Fiallos C., </w:t>
      </w:r>
      <w:proofErr w:type="spellStart"/>
      <w:r w:rsidRPr="0094336B">
        <w:t>Diéguez</w:t>
      </w:r>
      <w:proofErr w:type="spellEnd"/>
      <w:r w:rsidRPr="0094336B">
        <w:t>-Santana K., Ruiz-Mercado G.J., 2022, Anaerobic digestate management, environmental impacts, and techno-economic challenges, Waste Management, 140, 14 – 30.</w:t>
      </w:r>
    </w:p>
    <w:p w14:paraId="5303D0F8" w14:textId="21302D55" w:rsidR="000F2AC9" w:rsidRPr="0094336B" w:rsidRDefault="000F2AC9" w:rsidP="00184299">
      <w:pPr>
        <w:pStyle w:val="CETReferencetext"/>
      </w:pPr>
      <w:r w:rsidRPr="0094336B">
        <w:t>Masse L., Massé D.I., Pellerin Y.</w:t>
      </w:r>
      <w:r w:rsidR="00184299" w:rsidRPr="0094336B">
        <w:t xml:space="preserve">, 2008, </w:t>
      </w:r>
      <w:r w:rsidRPr="0094336B">
        <w:t>The effect of pH on the separation of manure nutrients with reverse osmosis membranes</w:t>
      </w:r>
      <w:r w:rsidR="00184299" w:rsidRPr="0094336B">
        <w:t>,</w:t>
      </w:r>
      <w:r w:rsidRPr="0094336B">
        <w:t xml:space="preserve"> Journal of Membrane Science, 325</w:t>
      </w:r>
      <w:r w:rsidR="00184299" w:rsidRPr="0094336B">
        <w:t xml:space="preserve">, </w:t>
      </w:r>
      <w:r w:rsidRPr="0094336B">
        <w:t>914</w:t>
      </w:r>
      <w:r w:rsidR="00184299" w:rsidRPr="0094336B">
        <w:t>–</w:t>
      </w:r>
      <w:r w:rsidRPr="0094336B">
        <w:t>919.</w:t>
      </w:r>
    </w:p>
    <w:p w14:paraId="7251B402" w14:textId="37792349" w:rsidR="00F64E0F" w:rsidRPr="0094336B" w:rsidRDefault="00F64E0F" w:rsidP="00F64E0F">
      <w:pPr>
        <w:pStyle w:val="CETReferencetext"/>
      </w:pPr>
      <w:r w:rsidRPr="0094336B">
        <w:t>Moncada J., Posada J.A., Ramírez A., 2015, Early sustainability assessment for potential configurations of integrated biorefineries. Screening of bio-based derivatives from platform chemicals</w:t>
      </w:r>
      <w:r w:rsidR="00E14E14" w:rsidRPr="0094336B">
        <w:t xml:space="preserve">, </w:t>
      </w:r>
      <w:r w:rsidRPr="0094336B">
        <w:t>Biofuels, Bioproducts and Biorefining, 9</w:t>
      </w:r>
      <w:r w:rsidR="00E14E14" w:rsidRPr="0094336B">
        <w:t xml:space="preserve">, </w:t>
      </w:r>
      <w:r w:rsidRPr="0094336B">
        <w:t>722</w:t>
      </w:r>
      <w:r w:rsidR="00E14E14" w:rsidRPr="0094336B">
        <w:t>–</w:t>
      </w:r>
      <w:r w:rsidRPr="0094336B">
        <w:t>748.</w:t>
      </w:r>
    </w:p>
    <w:p w14:paraId="4F87479B" w14:textId="08E4AE95" w:rsidR="00222EF1" w:rsidRPr="0094336B" w:rsidRDefault="00222EF1" w:rsidP="00222EF1">
      <w:pPr>
        <w:pStyle w:val="CETReferencetext"/>
      </w:pPr>
      <w:r w:rsidRPr="0094336B">
        <w:t xml:space="preserve">Pervez M.N., Mahboubi A., </w:t>
      </w:r>
      <w:proofErr w:type="spellStart"/>
      <w:r w:rsidRPr="0094336B">
        <w:t>Uwineza</w:t>
      </w:r>
      <w:proofErr w:type="spellEnd"/>
      <w:r w:rsidRPr="0094336B">
        <w:t xml:space="preserve"> C., Zarra T., </w:t>
      </w:r>
      <w:proofErr w:type="spellStart"/>
      <w:r w:rsidRPr="0094336B">
        <w:t>Belgiorno</w:t>
      </w:r>
      <w:proofErr w:type="spellEnd"/>
      <w:r w:rsidRPr="0094336B">
        <w:t xml:space="preserve"> V., Naddeo V., </w:t>
      </w:r>
      <w:proofErr w:type="spellStart"/>
      <w:r w:rsidRPr="0094336B">
        <w:t>Taherzadeh</w:t>
      </w:r>
      <w:proofErr w:type="spellEnd"/>
      <w:r w:rsidRPr="0094336B">
        <w:t xml:space="preserve"> M.J., 2022, Factors influencing pressure-driven membrane-assisted volatile fatty acids recovery and purification-A review, Science of the Total Environment, 817, 152993.</w:t>
      </w:r>
    </w:p>
    <w:p w14:paraId="0B81D772" w14:textId="13D2D975" w:rsidR="00324BBA" w:rsidRPr="0094336B" w:rsidRDefault="00324BBA" w:rsidP="00324BBA">
      <w:pPr>
        <w:pStyle w:val="CETReferencetext"/>
      </w:pPr>
      <w:r w:rsidRPr="0094336B">
        <w:t xml:space="preserve">Ravishankar H., </w:t>
      </w:r>
      <w:proofErr w:type="spellStart"/>
      <w:r w:rsidRPr="0094336B">
        <w:t>Dessì</w:t>
      </w:r>
      <w:proofErr w:type="spellEnd"/>
      <w:r w:rsidRPr="0094336B">
        <w:t xml:space="preserve"> P., Trudu S., </w:t>
      </w:r>
      <w:proofErr w:type="spellStart"/>
      <w:r w:rsidRPr="0094336B">
        <w:t>Asunis</w:t>
      </w:r>
      <w:proofErr w:type="spellEnd"/>
      <w:r w:rsidRPr="0094336B">
        <w:t xml:space="preserve"> F., Lens P.N.L., 2021, Silicone membrane contactor for selective volatile fatty acid and alcohol separation, Process Safety and Environmental Protection, 148, 125–136.</w:t>
      </w:r>
    </w:p>
    <w:p w14:paraId="1D62E084" w14:textId="07FD8C00" w:rsidR="00BA12CD" w:rsidRPr="0094336B" w:rsidRDefault="00BA12CD" w:rsidP="00BA12CD">
      <w:pPr>
        <w:pStyle w:val="CETReferencetext"/>
      </w:pPr>
      <w:r w:rsidRPr="0094336B">
        <w:t xml:space="preserve">Valentino F., </w:t>
      </w:r>
      <w:proofErr w:type="spellStart"/>
      <w:r w:rsidRPr="0094336B">
        <w:t>Munarin</w:t>
      </w:r>
      <w:proofErr w:type="spellEnd"/>
      <w:r w:rsidRPr="0094336B">
        <w:t xml:space="preserve"> G., </w:t>
      </w:r>
      <w:proofErr w:type="spellStart"/>
      <w:r w:rsidRPr="0094336B">
        <w:t>Biasiolo</w:t>
      </w:r>
      <w:proofErr w:type="spellEnd"/>
      <w:r w:rsidRPr="0094336B">
        <w:t xml:space="preserve"> M., Cavinato C., </w:t>
      </w:r>
      <w:proofErr w:type="spellStart"/>
      <w:r w:rsidRPr="0094336B">
        <w:t>Bolzonella</w:t>
      </w:r>
      <w:proofErr w:type="spellEnd"/>
      <w:r w:rsidRPr="0094336B">
        <w:t xml:space="preserve"> D., Pavan P., 2021, Enhancing volatile fatty acids (VFA) production from food waste in a two-phases pilot-scale anaerobic digestion process, Journal of Environmental Chemical Engineering, 9 (5), 106062.</w:t>
      </w:r>
    </w:p>
    <w:p w14:paraId="63758FE5" w14:textId="2A8C5D16" w:rsidR="001C381B" w:rsidRPr="0094336B" w:rsidRDefault="001C381B" w:rsidP="001C381B">
      <w:pPr>
        <w:pStyle w:val="CETReferencetext"/>
      </w:pPr>
      <w:proofErr w:type="spellStart"/>
      <w:r w:rsidRPr="0094336B">
        <w:t>Viancelli</w:t>
      </w:r>
      <w:proofErr w:type="spellEnd"/>
      <w:r w:rsidRPr="0094336B">
        <w:t xml:space="preserve"> A., Schneider T.M., </w:t>
      </w:r>
      <w:proofErr w:type="spellStart"/>
      <w:r w:rsidRPr="0094336B">
        <w:t>Demczuk</w:t>
      </w:r>
      <w:proofErr w:type="spellEnd"/>
      <w:r w:rsidRPr="0094336B">
        <w:t xml:space="preserve"> T., Delmoral A.P.G., Petry B., </w:t>
      </w:r>
      <w:proofErr w:type="spellStart"/>
      <w:r w:rsidRPr="0094336B">
        <w:t>Collato</w:t>
      </w:r>
      <w:proofErr w:type="spellEnd"/>
      <w:r w:rsidRPr="0094336B">
        <w:t xml:space="preserve"> M.M., Michelon W., </w:t>
      </w:r>
      <w:r w:rsidR="00F84EAA" w:rsidRPr="0094336B">
        <w:t xml:space="preserve">2023, </w:t>
      </w:r>
      <w:r w:rsidRPr="0094336B">
        <w:t>Unlocking the value of biomass: Exploring microbial strategies for biogas and volatile fatty acids generation</w:t>
      </w:r>
      <w:r w:rsidR="00F84EAA" w:rsidRPr="0094336B">
        <w:t>,</w:t>
      </w:r>
      <w:r w:rsidRPr="0094336B">
        <w:t xml:space="preserve"> Bioresource Technology Reports, 23, 101552</w:t>
      </w:r>
      <w:r w:rsidR="00F84EAA" w:rsidRPr="0094336B">
        <w:t>.</w:t>
      </w:r>
    </w:p>
    <w:p w14:paraId="36D63E21" w14:textId="301E1FFB" w:rsidR="004D635D" w:rsidRPr="0094336B" w:rsidRDefault="00903912" w:rsidP="00903912">
      <w:pPr>
        <w:pStyle w:val="CETReferencetext"/>
      </w:pPr>
      <w:r w:rsidRPr="0094336B">
        <w:t xml:space="preserve">Wainaina S., </w:t>
      </w:r>
      <w:proofErr w:type="spellStart"/>
      <w:r w:rsidRPr="0094336B">
        <w:t>Parchami</w:t>
      </w:r>
      <w:proofErr w:type="spellEnd"/>
      <w:r w:rsidRPr="0094336B">
        <w:t xml:space="preserve"> M., Mahboubi A., Horváth I.S., </w:t>
      </w:r>
      <w:proofErr w:type="spellStart"/>
      <w:r w:rsidRPr="0094336B">
        <w:t>Taherzadeh</w:t>
      </w:r>
      <w:proofErr w:type="spellEnd"/>
      <w:r w:rsidRPr="0094336B">
        <w:t xml:space="preserve"> M.J., 2019, Food waste-derived volatile fatty acids platform using an immersed membrane bioreactor, Bioresource Technology, 274, 329–334.</w:t>
      </w:r>
    </w:p>
    <w:p w14:paraId="465704B8" w14:textId="77777777" w:rsidR="00B954FE" w:rsidRDefault="00B954FE" w:rsidP="00B954FE">
      <w:pPr>
        <w:pStyle w:val="CETReferencetext"/>
      </w:pPr>
      <w:r w:rsidRPr="0094336B">
        <w:t xml:space="preserve">Wang Z., He P., Zhang H., Zhang N., </w:t>
      </w:r>
      <w:proofErr w:type="spellStart"/>
      <w:r w:rsidRPr="0094336B">
        <w:t>Lü</w:t>
      </w:r>
      <w:proofErr w:type="spellEnd"/>
      <w:r w:rsidRPr="0094336B">
        <w:t xml:space="preserve"> F., 2022, Desalination, nutrients recovery, or products extraction: Is electrodialysis an effective way to achieve high-value utilization of liquid </w:t>
      </w:r>
      <w:proofErr w:type="gramStart"/>
      <w:r w:rsidRPr="0094336B">
        <w:t>digestate?,</w:t>
      </w:r>
      <w:proofErr w:type="gramEnd"/>
      <w:r w:rsidRPr="0094336B">
        <w:t xml:space="preserve"> Chemical Engineering Journal, 446, 136996.</w:t>
      </w:r>
    </w:p>
    <w:p w14:paraId="753DE0B2" w14:textId="1FCEE7C3" w:rsidR="00F028A1" w:rsidRPr="0094336B" w:rsidRDefault="00F028A1" w:rsidP="00F028A1">
      <w:pPr>
        <w:pStyle w:val="CETReferencetext"/>
      </w:pPr>
      <w:r w:rsidRPr="0094336B">
        <w:t xml:space="preserve">Wang Z., Chen Y., Sun X., </w:t>
      </w:r>
      <w:proofErr w:type="spellStart"/>
      <w:r w:rsidRPr="0094336B">
        <w:t>Duddu</w:t>
      </w:r>
      <w:proofErr w:type="spellEnd"/>
      <w:r w:rsidRPr="0094336B">
        <w:t xml:space="preserve"> R., Lin S., 2018, Mechanism of pore wetting in membrane distillation with alcohol vs. surfactant, Journal of Membrane Science, 559, 183–195.</w:t>
      </w:r>
    </w:p>
    <w:sectPr w:rsidR="00F028A1" w:rsidRPr="0094336B" w:rsidSect="00DC73EE">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475ED" w14:textId="77777777" w:rsidR="0047729F" w:rsidRDefault="0047729F" w:rsidP="004F5E36">
      <w:r>
        <w:separator/>
      </w:r>
    </w:p>
  </w:endnote>
  <w:endnote w:type="continuationSeparator" w:id="0">
    <w:p w14:paraId="46800A47" w14:textId="77777777" w:rsidR="0047729F" w:rsidRDefault="0047729F"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312F52" w14:textId="77777777" w:rsidR="0047729F" w:rsidRDefault="0047729F" w:rsidP="004F5E36">
      <w:r>
        <w:separator/>
      </w:r>
    </w:p>
  </w:footnote>
  <w:footnote w:type="continuationSeparator" w:id="0">
    <w:p w14:paraId="1F14A3D2" w14:textId="77777777" w:rsidR="0047729F" w:rsidRDefault="0047729F"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2266B64"/>
    <w:multiLevelType w:val="hybridMultilevel"/>
    <w:tmpl w:val="059214A0"/>
    <w:lvl w:ilvl="0" w:tplc="04100003">
      <w:start w:val="1"/>
      <w:numFmt w:val="bullet"/>
      <w:lvlText w:val="o"/>
      <w:lvlJc w:val="left"/>
      <w:pPr>
        <w:tabs>
          <w:tab w:val="num" w:pos="1080"/>
        </w:tabs>
        <w:ind w:left="1080" w:hanging="360"/>
      </w:pPr>
      <w:rPr>
        <w:rFonts w:ascii="Courier New" w:hAnsi="Courier New" w:cs="Courier New" w:hint="default"/>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98727295">
    <w:abstractNumId w:val="11"/>
  </w:num>
  <w:num w:numId="2" w16cid:durableId="191185115">
    <w:abstractNumId w:val="8"/>
  </w:num>
  <w:num w:numId="3" w16cid:durableId="1301494357">
    <w:abstractNumId w:val="3"/>
  </w:num>
  <w:num w:numId="4" w16cid:durableId="460391698">
    <w:abstractNumId w:val="2"/>
  </w:num>
  <w:num w:numId="5" w16cid:durableId="912466421">
    <w:abstractNumId w:val="1"/>
  </w:num>
  <w:num w:numId="6" w16cid:durableId="941954508">
    <w:abstractNumId w:val="0"/>
  </w:num>
  <w:num w:numId="7" w16cid:durableId="1059473019">
    <w:abstractNumId w:val="9"/>
  </w:num>
  <w:num w:numId="8" w16cid:durableId="2074962075">
    <w:abstractNumId w:val="7"/>
  </w:num>
  <w:num w:numId="9" w16cid:durableId="199250868">
    <w:abstractNumId w:val="6"/>
  </w:num>
  <w:num w:numId="10" w16cid:durableId="616834383">
    <w:abstractNumId w:val="5"/>
  </w:num>
  <w:num w:numId="11" w16cid:durableId="1932659485">
    <w:abstractNumId w:val="4"/>
  </w:num>
  <w:num w:numId="12" w16cid:durableId="1281647374">
    <w:abstractNumId w:val="18"/>
  </w:num>
  <w:num w:numId="13" w16cid:durableId="2015260413">
    <w:abstractNumId w:val="13"/>
  </w:num>
  <w:num w:numId="14" w16cid:durableId="1778941340">
    <w:abstractNumId w:val="19"/>
  </w:num>
  <w:num w:numId="15" w16cid:durableId="1704211587">
    <w:abstractNumId w:val="21"/>
  </w:num>
  <w:num w:numId="16" w16cid:durableId="1863323929">
    <w:abstractNumId w:val="20"/>
  </w:num>
  <w:num w:numId="17" w16cid:durableId="1107165698">
    <w:abstractNumId w:val="12"/>
  </w:num>
  <w:num w:numId="18" w16cid:durableId="47654991">
    <w:abstractNumId w:val="13"/>
    <w:lvlOverride w:ilvl="0">
      <w:startOverride w:val="1"/>
    </w:lvlOverride>
  </w:num>
  <w:num w:numId="19" w16cid:durableId="1089078050">
    <w:abstractNumId w:val="17"/>
  </w:num>
  <w:num w:numId="20" w16cid:durableId="1839154158">
    <w:abstractNumId w:val="16"/>
  </w:num>
  <w:num w:numId="21" w16cid:durableId="1686976407">
    <w:abstractNumId w:val="15"/>
  </w:num>
  <w:num w:numId="22" w16cid:durableId="1487167228">
    <w:abstractNumId w:val="14"/>
  </w:num>
  <w:num w:numId="23" w16cid:durableId="86791177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kwtKwFACPUJ00tAAAA"/>
  </w:docVars>
  <w:rsids>
    <w:rsidRoot w:val="000E414A"/>
    <w:rsid w:val="000027C0"/>
    <w:rsid w:val="000052FB"/>
    <w:rsid w:val="00005A19"/>
    <w:rsid w:val="000117CB"/>
    <w:rsid w:val="00020F9C"/>
    <w:rsid w:val="000301EF"/>
    <w:rsid w:val="0003148D"/>
    <w:rsid w:val="00031EEC"/>
    <w:rsid w:val="00051566"/>
    <w:rsid w:val="000528FA"/>
    <w:rsid w:val="000562A9"/>
    <w:rsid w:val="00062A9A"/>
    <w:rsid w:val="00065058"/>
    <w:rsid w:val="0006595F"/>
    <w:rsid w:val="0007561D"/>
    <w:rsid w:val="00086C39"/>
    <w:rsid w:val="00087923"/>
    <w:rsid w:val="000A03B2"/>
    <w:rsid w:val="000A1B29"/>
    <w:rsid w:val="000C3D82"/>
    <w:rsid w:val="000C6FA8"/>
    <w:rsid w:val="000D0268"/>
    <w:rsid w:val="000D2726"/>
    <w:rsid w:val="000D34BE"/>
    <w:rsid w:val="000D44E0"/>
    <w:rsid w:val="000D5495"/>
    <w:rsid w:val="000E0B3C"/>
    <w:rsid w:val="000E102F"/>
    <w:rsid w:val="000E10A2"/>
    <w:rsid w:val="000E36F1"/>
    <w:rsid w:val="000E3A73"/>
    <w:rsid w:val="000E414A"/>
    <w:rsid w:val="000E5317"/>
    <w:rsid w:val="000E6322"/>
    <w:rsid w:val="000E75FD"/>
    <w:rsid w:val="000F093C"/>
    <w:rsid w:val="000F0DC9"/>
    <w:rsid w:val="000F273E"/>
    <w:rsid w:val="000F2AC9"/>
    <w:rsid w:val="000F787B"/>
    <w:rsid w:val="001012CF"/>
    <w:rsid w:val="00105268"/>
    <w:rsid w:val="0012091F"/>
    <w:rsid w:val="00126BC2"/>
    <w:rsid w:val="001308B6"/>
    <w:rsid w:val="0013121F"/>
    <w:rsid w:val="00131FE6"/>
    <w:rsid w:val="0013263F"/>
    <w:rsid w:val="001331DF"/>
    <w:rsid w:val="00134DE4"/>
    <w:rsid w:val="00137409"/>
    <w:rsid w:val="0013773D"/>
    <w:rsid w:val="0014034D"/>
    <w:rsid w:val="00140FE3"/>
    <w:rsid w:val="0014279B"/>
    <w:rsid w:val="00144D16"/>
    <w:rsid w:val="00147581"/>
    <w:rsid w:val="00150E59"/>
    <w:rsid w:val="00152B0F"/>
    <w:rsid w:val="00152DE3"/>
    <w:rsid w:val="001543DC"/>
    <w:rsid w:val="0015536D"/>
    <w:rsid w:val="001612E5"/>
    <w:rsid w:val="00164CF9"/>
    <w:rsid w:val="0016668E"/>
    <w:rsid w:val="001667A6"/>
    <w:rsid w:val="00167BE4"/>
    <w:rsid w:val="0018062F"/>
    <w:rsid w:val="0018171E"/>
    <w:rsid w:val="00184299"/>
    <w:rsid w:val="00184AD6"/>
    <w:rsid w:val="00192E2E"/>
    <w:rsid w:val="001A09B6"/>
    <w:rsid w:val="001A4AF7"/>
    <w:rsid w:val="001B0349"/>
    <w:rsid w:val="001B1E93"/>
    <w:rsid w:val="001B40E5"/>
    <w:rsid w:val="001B65C1"/>
    <w:rsid w:val="001C042D"/>
    <w:rsid w:val="001C15C0"/>
    <w:rsid w:val="001C260F"/>
    <w:rsid w:val="001C381B"/>
    <w:rsid w:val="001C5C3A"/>
    <w:rsid w:val="001C684B"/>
    <w:rsid w:val="001D0CFB"/>
    <w:rsid w:val="001D21AF"/>
    <w:rsid w:val="001D3D32"/>
    <w:rsid w:val="001D53FC"/>
    <w:rsid w:val="001E01AB"/>
    <w:rsid w:val="001E0295"/>
    <w:rsid w:val="001F42A5"/>
    <w:rsid w:val="001F48A0"/>
    <w:rsid w:val="001F6B57"/>
    <w:rsid w:val="001F79DE"/>
    <w:rsid w:val="001F7B9D"/>
    <w:rsid w:val="00201215"/>
    <w:rsid w:val="00201C93"/>
    <w:rsid w:val="002224B4"/>
    <w:rsid w:val="00222EF1"/>
    <w:rsid w:val="0022365A"/>
    <w:rsid w:val="002447EF"/>
    <w:rsid w:val="002503B8"/>
    <w:rsid w:val="00251550"/>
    <w:rsid w:val="002543B7"/>
    <w:rsid w:val="00260865"/>
    <w:rsid w:val="0026330C"/>
    <w:rsid w:val="00263B05"/>
    <w:rsid w:val="002718F3"/>
    <w:rsid w:val="0027221A"/>
    <w:rsid w:val="00272741"/>
    <w:rsid w:val="00275B61"/>
    <w:rsid w:val="002771FA"/>
    <w:rsid w:val="00280FAF"/>
    <w:rsid w:val="0028229A"/>
    <w:rsid w:val="00282656"/>
    <w:rsid w:val="00283C40"/>
    <w:rsid w:val="00284632"/>
    <w:rsid w:val="00296B83"/>
    <w:rsid w:val="002B1B72"/>
    <w:rsid w:val="002B4015"/>
    <w:rsid w:val="002B78CE"/>
    <w:rsid w:val="002C2FB6"/>
    <w:rsid w:val="002C63D9"/>
    <w:rsid w:val="002D4304"/>
    <w:rsid w:val="002E57D9"/>
    <w:rsid w:val="002E5FA7"/>
    <w:rsid w:val="002E6446"/>
    <w:rsid w:val="002F2287"/>
    <w:rsid w:val="002F3309"/>
    <w:rsid w:val="003008CE"/>
    <w:rsid w:val="003009B7"/>
    <w:rsid w:val="00300E56"/>
    <w:rsid w:val="0030152C"/>
    <w:rsid w:val="0030469C"/>
    <w:rsid w:val="00304CE8"/>
    <w:rsid w:val="00306858"/>
    <w:rsid w:val="00317B9F"/>
    <w:rsid w:val="00321CA6"/>
    <w:rsid w:val="0032257C"/>
    <w:rsid w:val="00323763"/>
    <w:rsid w:val="00323C5F"/>
    <w:rsid w:val="00324BBA"/>
    <w:rsid w:val="00331000"/>
    <w:rsid w:val="00334C09"/>
    <w:rsid w:val="00336110"/>
    <w:rsid w:val="00343F81"/>
    <w:rsid w:val="00345098"/>
    <w:rsid w:val="003453E6"/>
    <w:rsid w:val="003479F4"/>
    <w:rsid w:val="00355DAA"/>
    <w:rsid w:val="00362407"/>
    <w:rsid w:val="003723D4"/>
    <w:rsid w:val="00381905"/>
    <w:rsid w:val="00384CC8"/>
    <w:rsid w:val="003871FD"/>
    <w:rsid w:val="00390D72"/>
    <w:rsid w:val="00392A7C"/>
    <w:rsid w:val="003A1E30"/>
    <w:rsid w:val="003A2829"/>
    <w:rsid w:val="003A513A"/>
    <w:rsid w:val="003A7D1C"/>
    <w:rsid w:val="003B304B"/>
    <w:rsid w:val="003B3146"/>
    <w:rsid w:val="003B49CD"/>
    <w:rsid w:val="003C5F02"/>
    <w:rsid w:val="003D1E02"/>
    <w:rsid w:val="003D2998"/>
    <w:rsid w:val="003F015E"/>
    <w:rsid w:val="00400414"/>
    <w:rsid w:val="0041446B"/>
    <w:rsid w:val="0044071E"/>
    <w:rsid w:val="0044329C"/>
    <w:rsid w:val="00445627"/>
    <w:rsid w:val="00453E24"/>
    <w:rsid w:val="00457456"/>
    <w:rsid w:val="004577FE"/>
    <w:rsid w:val="00457B9C"/>
    <w:rsid w:val="0046164A"/>
    <w:rsid w:val="004628D2"/>
    <w:rsid w:val="00462DCD"/>
    <w:rsid w:val="00463DD3"/>
    <w:rsid w:val="004648AD"/>
    <w:rsid w:val="004703A9"/>
    <w:rsid w:val="00472347"/>
    <w:rsid w:val="004760DE"/>
    <w:rsid w:val="004763D7"/>
    <w:rsid w:val="0047729F"/>
    <w:rsid w:val="00484CB2"/>
    <w:rsid w:val="00486966"/>
    <w:rsid w:val="00490ADE"/>
    <w:rsid w:val="004A004E"/>
    <w:rsid w:val="004A168C"/>
    <w:rsid w:val="004A24CF"/>
    <w:rsid w:val="004A6BF7"/>
    <w:rsid w:val="004B2CE7"/>
    <w:rsid w:val="004C3D1D"/>
    <w:rsid w:val="004C3D84"/>
    <w:rsid w:val="004C7913"/>
    <w:rsid w:val="004D635D"/>
    <w:rsid w:val="004E1185"/>
    <w:rsid w:val="004E4DD6"/>
    <w:rsid w:val="004E58E1"/>
    <w:rsid w:val="004E5F92"/>
    <w:rsid w:val="004F41A9"/>
    <w:rsid w:val="004F5E36"/>
    <w:rsid w:val="00501C1E"/>
    <w:rsid w:val="00507B47"/>
    <w:rsid w:val="00507BEF"/>
    <w:rsid w:val="00507CC9"/>
    <w:rsid w:val="005119A5"/>
    <w:rsid w:val="00515F7D"/>
    <w:rsid w:val="00522DE2"/>
    <w:rsid w:val="00525591"/>
    <w:rsid w:val="005278B7"/>
    <w:rsid w:val="00532016"/>
    <w:rsid w:val="005346C8"/>
    <w:rsid w:val="0054257B"/>
    <w:rsid w:val="00543E7D"/>
    <w:rsid w:val="00547A68"/>
    <w:rsid w:val="00547F24"/>
    <w:rsid w:val="005531C9"/>
    <w:rsid w:val="00553A73"/>
    <w:rsid w:val="00554879"/>
    <w:rsid w:val="00562D03"/>
    <w:rsid w:val="005661E0"/>
    <w:rsid w:val="00570C43"/>
    <w:rsid w:val="005717DE"/>
    <w:rsid w:val="00590189"/>
    <w:rsid w:val="00592274"/>
    <w:rsid w:val="005A5B94"/>
    <w:rsid w:val="005A7D0E"/>
    <w:rsid w:val="005B1EE2"/>
    <w:rsid w:val="005B2110"/>
    <w:rsid w:val="005B350B"/>
    <w:rsid w:val="005B61E6"/>
    <w:rsid w:val="005C19B4"/>
    <w:rsid w:val="005C4A8B"/>
    <w:rsid w:val="005C77E1"/>
    <w:rsid w:val="005C7C83"/>
    <w:rsid w:val="005D5292"/>
    <w:rsid w:val="005D668A"/>
    <w:rsid w:val="005D6A2F"/>
    <w:rsid w:val="005E0592"/>
    <w:rsid w:val="005E1A82"/>
    <w:rsid w:val="005E2BFA"/>
    <w:rsid w:val="005E794C"/>
    <w:rsid w:val="005F0A28"/>
    <w:rsid w:val="005F0E5E"/>
    <w:rsid w:val="005F2DF0"/>
    <w:rsid w:val="005F7373"/>
    <w:rsid w:val="00600535"/>
    <w:rsid w:val="006014D3"/>
    <w:rsid w:val="00610CD6"/>
    <w:rsid w:val="00612950"/>
    <w:rsid w:val="00620763"/>
    <w:rsid w:val="00620DEE"/>
    <w:rsid w:val="00621F92"/>
    <w:rsid w:val="0062280A"/>
    <w:rsid w:val="006231E1"/>
    <w:rsid w:val="00625639"/>
    <w:rsid w:val="006256EE"/>
    <w:rsid w:val="00626342"/>
    <w:rsid w:val="00631B33"/>
    <w:rsid w:val="006409BA"/>
    <w:rsid w:val="0064184D"/>
    <w:rsid w:val="006422CC"/>
    <w:rsid w:val="00651D18"/>
    <w:rsid w:val="00660E3E"/>
    <w:rsid w:val="00662E74"/>
    <w:rsid w:val="006728B4"/>
    <w:rsid w:val="00680C23"/>
    <w:rsid w:val="006830BC"/>
    <w:rsid w:val="00683E23"/>
    <w:rsid w:val="00692CC2"/>
    <w:rsid w:val="00693766"/>
    <w:rsid w:val="00696E02"/>
    <w:rsid w:val="006A3281"/>
    <w:rsid w:val="006A5CB5"/>
    <w:rsid w:val="006A61D8"/>
    <w:rsid w:val="006A6DE5"/>
    <w:rsid w:val="006B4888"/>
    <w:rsid w:val="006B50B1"/>
    <w:rsid w:val="006C2E45"/>
    <w:rsid w:val="006C359C"/>
    <w:rsid w:val="006C5579"/>
    <w:rsid w:val="006D6E8B"/>
    <w:rsid w:val="006D7209"/>
    <w:rsid w:val="006D77C9"/>
    <w:rsid w:val="006E0755"/>
    <w:rsid w:val="006E5195"/>
    <w:rsid w:val="006E5514"/>
    <w:rsid w:val="006E737D"/>
    <w:rsid w:val="006F39DC"/>
    <w:rsid w:val="00701224"/>
    <w:rsid w:val="00701B8D"/>
    <w:rsid w:val="00705BCF"/>
    <w:rsid w:val="007069A7"/>
    <w:rsid w:val="00707DD1"/>
    <w:rsid w:val="0071071D"/>
    <w:rsid w:val="00713973"/>
    <w:rsid w:val="00720A24"/>
    <w:rsid w:val="00731EC5"/>
    <w:rsid w:val="00732386"/>
    <w:rsid w:val="00734FF3"/>
    <w:rsid w:val="0073514D"/>
    <w:rsid w:val="00742F28"/>
    <w:rsid w:val="007446AB"/>
    <w:rsid w:val="007447F3"/>
    <w:rsid w:val="00750B0E"/>
    <w:rsid w:val="0075499F"/>
    <w:rsid w:val="007661C8"/>
    <w:rsid w:val="0077098D"/>
    <w:rsid w:val="007721D4"/>
    <w:rsid w:val="00785BF9"/>
    <w:rsid w:val="007931FA"/>
    <w:rsid w:val="007A3167"/>
    <w:rsid w:val="007A4861"/>
    <w:rsid w:val="007A7BBA"/>
    <w:rsid w:val="007B0C50"/>
    <w:rsid w:val="007B48F9"/>
    <w:rsid w:val="007B5EA9"/>
    <w:rsid w:val="007B60D9"/>
    <w:rsid w:val="007C1A43"/>
    <w:rsid w:val="007C7D43"/>
    <w:rsid w:val="007D0951"/>
    <w:rsid w:val="007D610D"/>
    <w:rsid w:val="007E06CE"/>
    <w:rsid w:val="007E4C4E"/>
    <w:rsid w:val="007F7791"/>
    <w:rsid w:val="0080013E"/>
    <w:rsid w:val="00801759"/>
    <w:rsid w:val="00801EFC"/>
    <w:rsid w:val="0080527F"/>
    <w:rsid w:val="00813288"/>
    <w:rsid w:val="00814287"/>
    <w:rsid w:val="008168FC"/>
    <w:rsid w:val="00830996"/>
    <w:rsid w:val="008345F1"/>
    <w:rsid w:val="008639C7"/>
    <w:rsid w:val="00865B07"/>
    <w:rsid w:val="008667EA"/>
    <w:rsid w:val="008676F1"/>
    <w:rsid w:val="00870EC4"/>
    <w:rsid w:val="0087517B"/>
    <w:rsid w:val="0087637F"/>
    <w:rsid w:val="00876DA4"/>
    <w:rsid w:val="008801C4"/>
    <w:rsid w:val="00883D56"/>
    <w:rsid w:val="00885766"/>
    <w:rsid w:val="00886287"/>
    <w:rsid w:val="00892AD5"/>
    <w:rsid w:val="008A1512"/>
    <w:rsid w:val="008A6051"/>
    <w:rsid w:val="008B21CF"/>
    <w:rsid w:val="008B2A4F"/>
    <w:rsid w:val="008C3D53"/>
    <w:rsid w:val="008D32B9"/>
    <w:rsid w:val="008D410B"/>
    <w:rsid w:val="008D433B"/>
    <w:rsid w:val="008D4A16"/>
    <w:rsid w:val="008E0B7C"/>
    <w:rsid w:val="008E5401"/>
    <w:rsid w:val="008E566E"/>
    <w:rsid w:val="0090161A"/>
    <w:rsid w:val="00901EB6"/>
    <w:rsid w:val="009033C6"/>
    <w:rsid w:val="00903912"/>
    <w:rsid w:val="009041F8"/>
    <w:rsid w:val="00904C62"/>
    <w:rsid w:val="00905BE9"/>
    <w:rsid w:val="0090766B"/>
    <w:rsid w:val="009109B0"/>
    <w:rsid w:val="00922BA8"/>
    <w:rsid w:val="00924DAC"/>
    <w:rsid w:val="00927058"/>
    <w:rsid w:val="00927609"/>
    <w:rsid w:val="0093292F"/>
    <w:rsid w:val="00934DD0"/>
    <w:rsid w:val="00936883"/>
    <w:rsid w:val="00942674"/>
    <w:rsid w:val="00942750"/>
    <w:rsid w:val="0094336B"/>
    <w:rsid w:val="009450CE"/>
    <w:rsid w:val="009459BB"/>
    <w:rsid w:val="00947179"/>
    <w:rsid w:val="0095164B"/>
    <w:rsid w:val="00951D84"/>
    <w:rsid w:val="00954090"/>
    <w:rsid w:val="00954315"/>
    <w:rsid w:val="009573E7"/>
    <w:rsid w:val="00963E05"/>
    <w:rsid w:val="00964A45"/>
    <w:rsid w:val="00966C2D"/>
    <w:rsid w:val="00967843"/>
    <w:rsid w:val="00967D54"/>
    <w:rsid w:val="00971028"/>
    <w:rsid w:val="009873F8"/>
    <w:rsid w:val="00987A7F"/>
    <w:rsid w:val="009922B7"/>
    <w:rsid w:val="00993487"/>
    <w:rsid w:val="00993B84"/>
    <w:rsid w:val="00994C6A"/>
    <w:rsid w:val="00996483"/>
    <w:rsid w:val="00996F5A"/>
    <w:rsid w:val="009A401A"/>
    <w:rsid w:val="009B041A"/>
    <w:rsid w:val="009B6E57"/>
    <w:rsid w:val="009C0E1C"/>
    <w:rsid w:val="009C37C3"/>
    <w:rsid w:val="009C7C86"/>
    <w:rsid w:val="009D2FF7"/>
    <w:rsid w:val="009E0532"/>
    <w:rsid w:val="009E1F60"/>
    <w:rsid w:val="009E7884"/>
    <w:rsid w:val="009E788A"/>
    <w:rsid w:val="009F0E08"/>
    <w:rsid w:val="009F73AD"/>
    <w:rsid w:val="00A00452"/>
    <w:rsid w:val="00A03019"/>
    <w:rsid w:val="00A04E2D"/>
    <w:rsid w:val="00A079AE"/>
    <w:rsid w:val="00A1763D"/>
    <w:rsid w:val="00A17CEC"/>
    <w:rsid w:val="00A27EF0"/>
    <w:rsid w:val="00A414F5"/>
    <w:rsid w:val="00A42361"/>
    <w:rsid w:val="00A44774"/>
    <w:rsid w:val="00A50B20"/>
    <w:rsid w:val="00A51390"/>
    <w:rsid w:val="00A56B82"/>
    <w:rsid w:val="00A60D13"/>
    <w:rsid w:val="00A7223D"/>
    <w:rsid w:val="00A72745"/>
    <w:rsid w:val="00A76EFC"/>
    <w:rsid w:val="00A819CB"/>
    <w:rsid w:val="00A87D50"/>
    <w:rsid w:val="00A91010"/>
    <w:rsid w:val="00A91ACC"/>
    <w:rsid w:val="00A9324E"/>
    <w:rsid w:val="00A97F29"/>
    <w:rsid w:val="00AA702E"/>
    <w:rsid w:val="00AA7D26"/>
    <w:rsid w:val="00AB0964"/>
    <w:rsid w:val="00AB442C"/>
    <w:rsid w:val="00AB5011"/>
    <w:rsid w:val="00AC7368"/>
    <w:rsid w:val="00AD0905"/>
    <w:rsid w:val="00AD16B9"/>
    <w:rsid w:val="00AE377D"/>
    <w:rsid w:val="00AE3786"/>
    <w:rsid w:val="00AF0724"/>
    <w:rsid w:val="00AF0EBA"/>
    <w:rsid w:val="00AF2463"/>
    <w:rsid w:val="00AF78D0"/>
    <w:rsid w:val="00B02C8A"/>
    <w:rsid w:val="00B17FBD"/>
    <w:rsid w:val="00B2092A"/>
    <w:rsid w:val="00B22D6D"/>
    <w:rsid w:val="00B241C2"/>
    <w:rsid w:val="00B315A6"/>
    <w:rsid w:val="00B31813"/>
    <w:rsid w:val="00B33365"/>
    <w:rsid w:val="00B40F18"/>
    <w:rsid w:val="00B45A34"/>
    <w:rsid w:val="00B53A33"/>
    <w:rsid w:val="00B57B36"/>
    <w:rsid w:val="00B57E6F"/>
    <w:rsid w:val="00B604D6"/>
    <w:rsid w:val="00B77A4B"/>
    <w:rsid w:val="00B82A7C"/>
    <w:rsid w:val="00B8326A"/>
    <w:rsid w:val="00B85148"/>
    <w:rsid w:val="00B85EDB"/>
    <w:rsid w:val="00B8686D"/>
    <w:rsid w:val="00B93F69"/>
    <w:rsid w:val="00B954FE"/>
    <w:rsid w:val="00B975FB"/>
    <w:rsid w:val="00BA12CD"/>
    <w:rsid w:val="00BA1A44"/>
    <w:rsid w:val="00BB07F2"/>
    <w:rsid w:val="00BB1DDC"/>
    <w:rsid w:val="00BB726D"/>
    <w:rsid w:val="00BC0625"/>
    <w:rsid w:val="00BC30C9"/>
    <w:rsid w:val="00BC31BA"/>
    <w:rsid w:val="00BD077D"/>
    <w:rsid w:val="00BD1B63"/>
    <w:rsid w:val="00BD7B31"/>
    <w:rsid w:val="00BE3E58"/>
    <w:rsid w:val="00BE4D2A"/>
    <w:rsid w:val="00BE7525"/>
    <w:rsid w:val="00BF13CE"/>
    <w:rsid w:val="00C01377"/>
    <w:rsid w:val="00C01616"/>
    <w:rsid w:val="00C0162B"/>
    <w:rsid w:val="00C068ED"/>
    <w:rsid w:val="00C07B26"/>
    <w:rsid w:val="00C16964"/>
    <w:rsid w:val="00C22E0C"/>
    <w:rsid w:val="00C345B1"/>
    <w:rsid w:val="00C40142"/>
    <w:rsid w:val="00C40D8F"/>
    <w:rsid w:val="00C42A2A"/>
    <w:rsid w:val="00C52C3C"/>
    <w:rsid w:val="00C55EDE"/>
    <w:rsid w:val="00C56E63"/>
    <w:rsid w:val="00C57182"/>
    <w:rsid w:val="00C57863"/>
    <w:rsid w:val="00C640AF"/>
    <w:rsid w:val="00C64787"/>
    <w:rsid w:val="00C655FD"/>
    <w:rsid w:val="00C664A7"/>
    <w:rsid w:val="00C665D8"/>
    <w:rsid w:val="00C7516D"/>
    <w:rsid w:val="00C75407"/>
    <w:rsid w:val="00C841C6"/>
    <w:rsid w:val="00C870A8"/>
    <w:rsid w:val="00C94434"/>
    <w:rsid w:val="00C950E5"/>
    <w:rsid w:val="00CA0D75"/>
    <w:rsid w:val="00CA1C95"/>
    <w:rsid w:val="00CA4BCD"/>
    <w:rsid w:val="00CA5A9C"/>
    <w:rsid w:val="00CA77C3"/>
    <w:rsid w:val="00CC4C20"/>
    <w:rsid w:val="00CC4FB6"/>
    <w:rsid w:val="00CD028C"/>
    <w:rsid w:val="00CD2E4B"/>
    <w:rsid w:val="00CD3517"/>
    <w:rsid w:val="00CD4C9B"/>
    <w:rsid w:val="00CD5FE2"/>
    <w:rsid w:val="00CE7C68"/>
    <w:rsid w:val="00CE7CEF"/>
    <w:rsid w:val="00D015B4"/>
    <w:rsid w:val="00D02B4C"/>
    <w:rsid w:val="00D040C4"/>
    <w:rsid w:val="00D068D2"/>
    <w:rsid w:val="00D1381E"/>
    <w:rsid w:val="00D20AD1"/>
    <w:rsid w:val="00D2582C"/>
    <w:rsid w:val="00D40129"/>
    <w:rsid w:val="00D46B7E"/>
    <w:rsid w:val="00D522B2"/>
    <w:rsid w:val="00D57C84"/>
    <w:rsid w:val="00D604D7"/>
    <w:rsid w:val="00D6057D"/>
    <w:rsid w:val="00D6666E"/>
    <w:rsid w:val="00D7088A"/>
    <w:rsid w:val="00D71640"/>
    <w:rsid w:val="00D753BF"/>
    <w:rsid w:val="00D836C5"/>
    <w:rsid w:val="00D84576"/>
    <w:rsid w:val="00D84600"/>
    <w:rsid w:val="00D86769"/>
    <w:rsid w:val="00D86A84"/>
    <w:rsid w:val="00DA0E08"/>
    <w:rsid w:val="00DA1399"/>
    <w:rsid w:val="00DA24C6"/>
    <w:rsid w:val="00DA4D7B"/>
    <w:rsid w:val="00DB14DC"/>
    <w:rsid w:val="00DB5239"/>
    <w:rsid w:val="00DC1E38"/>
    <w:rsid w:val="00DC2840"/>
    <w:rsid w:val="00DC532F"/>
    <w:rsid w:val="00DC73EE"/>
    <w:rsid w:val="00DD10FF"/>
    <w:rsid w:val="00DD271C"/>
    <w:rsid w:val="00DE2456"/>
    <w:rsid w:val="00DE264A"/>
    <w:rsid w:val="00DF5072"/>
    <w:rsid w:val="00E00811"/>
    <w:rsid w:val="00E02D18"/>
    <w:rsid w:val="00E041E7"/>
    <w:rsid w:val="00E14E14"/>
    <w:rsid w:val="00E15FAA"/>
    <w:rsid w:val="00E23CA1"/>
    <w:rsid w:val="00E24002"/>
    <w:rsid w:val="00E25BAE"/>
    <w:rsid w:val="00E350B3"/>
    <w:rsid w:val="00E409A8"/>
    <w:rsid w:val="00E43D7D"/>
    <w:rsid w:val="00E50C12"/>
    <w:rsid w:val="00E538B5"/>
    <w:rsid w:val="00E6070A"/>
    <w:rsid w:val="00E65B91"/>
    <w:rsid w:val="00E7209D"/>
    <w:rsid w:val="00E72EAD"/>
    <w:rsid w:val="00E77223"/>
    <w:rsid w:val="00E8249C"/>
    <w:rsid w:val="00E8528B"/>
    <w:rsid w:val="00E85B94"/>
    <w:rsid w:val="00E95A3F"/>
    <w:rsid w:val="00E978D0"/>
    <w:rsid w:val="00EA4613"/>
    <w:rsid w:val="00EA7F91"/>
    <w:rsid w:val="00EB1523"/>
    <w:rsid w:val="00EB1C1A"/>
    <w:rsid w:val="00EB5AF0"/>
    <w:rsid w:val="00EC0E49"/>
    <w:rsid w:val="00EC101F"/>
    <w:rsid w:val="00EC1D9F"/>
    <w:rsid w:val="00EC3954"/>
    <w:rsid w:val="00ED7FFA"/>
    <w:rsid w:val="00EE0131"/>
    <w:rsid w:val="00EE17B0"/>
    <w:rsid w:val="00EE23C3"/>
    <w:rsid w:val="00EF06D9"/>
    <w:rsid w:val="00EF14E4"/>
    <w:rsid w:val="00EF33EF"/>
    <w:rsid w:val="00F028A1"/>
    <w:rsid w:val="00F03868"/>
    <w:rsid w:val="00F303F1"/>
    <w:rsid w:val="00F3049E"/>
    <w:rsid w:val="00F30C64"/>
    <w:rsid w:val="00F32BA2"/>
    <w:rsid w:val="00F32CDB"/>
    <w:rsid w:val="00F41EE4"/>
    <w:rsid w:val="00F565FE"/>
    <w:rsid w:val="00F60EE9"/>
    <w:rsid w:val="00F61006"/>
    <w:rsid w:val="00F63A70"/>
    <w:rsid w:val="00F63D8C"/>
    <w:rsid w:val="00F64E0F"/>
    <w:rsid w:val="00F7534E"/>
    <w:rsid w:val="00F84EAA"/>
    <w:rsid w:val="00F93EDF"/>
    <w:rsid w:val="00F97332"/>
    <w:rsid w:val="00FA1623"/>
    <w:rsid w:val="00FA1802"/>
    <w:rsid w:val="00FA21D0"/>
    <w:rsid w:val="00FA31F1"/>
    <w:rsid w:val="00FA5F5F"/>
    <w:rsid w:val="00FB730C"/>
    <w:rsid w:val="00FC25A1"/>
    <w:rsid w:val="00FC2695"/>
    <w:rsid w:val="00FC3E03"/>
    <w:rsid w:val="00FC3FC1"/>
    <w:rsid w:val="00FC64EE"/>
    <w:rsid w:val="00FD2E4F"/>
    <w:rsid w:val="00FF3C75"/>
    <w:rsid w:val="00FF6853"/>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AE0CC22"/>
  <w14:defaultImageDpi w14:val="330"/>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rsid w:val="00280FAF"/>
    <w:pPr>
      <w:ind w:left="720"/>
      <w:contextualSpacing/>
    </w:pPr>
  </w:style>
  <w:style w:type="character" w:customStyle="1" w:styleId="gmail-apple-converted-space">
    <w:name w:val="gmail-apple-converted-space"/>
    <w:basedOn w:val="Carpredefinitoparagrafo"/>
    <w:rsid w:val="00005A19"/>
  </w:style>
  <w:style w:type="paragraph" w:styleId="Revisione">
    <w:name w:val="Revision"/>
    <w:hidden/>
    <w:uiPriority w:val="99"/>
    <w:semiHidden/>
    <w:rsid w:val="000528FA"/>
    <w:pPr>
      <w:spacing w:after="0" w:line="240" w:lineRule="auto"/>
    </w:pPr>
    <w:rPr>
      <w:rFonts w:ascii="Arial" w:eastAsia="Times New Roman" w:hAnsi="Arial" w:cs="Times New Roman"/>
      <w:sz w:val="18"/>
      <w:szCs w:val="20"/>
      <w:lang w:val="en-GB"/>
    </w:rPr>
  </w:style>
  <w:style w:type="character" w:styleId="Collegamentovisitato">
    <w:name w:val="FollowedHyperlink"/>
    <w:basedOn w:val="Carpredefinitoparagrafo"/>
    <w:uiPriority w:val="99"/>
    <w:semiHidden/>
    <w:unhideWhenUsed/>
    <w:rsid w:val="0044562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6446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491600">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https://univaq-my.sharepoint.com/personal/giuseppealessandro_cantalini_student_univaq_it/Documents/tesi/excel/Estrazione%20VFA_II_rendicontazion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it-IT"/>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662099805441525"/>
          <c:y val="4.7207486229570272E-2"/>
          <c:w val="0.84232503396207548"/>
          <c:h val="0.8344656600408632"/>
        </c:manualLayout>
      </c:layout>
      <c:scatterChart>
        <c:scatterStyle val="smoothMarker"/>
        <c:varyColors val="0"/>
        <c:ser>
          <c:idx val="2"/>
          <c:order val="0"/>
          <c:tx>
            <c:v>ACE-SPERIMENTALE</c:v>
          </c:tx>
          <c:spPr>
            <a:ln w="19050" cap="rnd">
              <a:noFill/>
              <a:round/>
            </a:ln>
            <a:effectLst/>
          </c:spPr>
          <c:marker>
            <c:symbol val="circle"/>
            <c:size val="5"/>
            <c:spPr>
              <a:solidFill>
                <a:schemeClr val="accent3"/>
              </a:solidFill>
              <a:ln w="9525">
                <a:solidFill>
                  <a:schemeClr val="accent3"/>
                </a:solidFill>
              </a:ln>
              <a:effectLst/>
            </c:spPr>
          </c:marker>
          <c:trendline>
            <c:spPr>
              <a:ln w="19050" cap="rnd">
                <a:solidFill>
                  <a:schemeClr val="accent3"/>
                </a:solidFill>
                <a:prstDash val="sysDot"/>
              </a:ln>
              <a:effectLst/>
            </c:spPr>
            <c:trendlineType val="log"/>
            <c:dispRSqr val="1"/>
            <c:dispEq val="1"/>
            <c:trendlineLbl>
              <c:layout>
                <c:manualLayout>
                  <c:x val="5.9324252573323397E-2"/>
                  <c:y val="0.16852105083500946"/>
                </c:manualLayout>
              </c:layout>
              <c:numFmt formatCode="General" sourceLinked="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trendlineLbl>
          </c:trendline>
          <c:xVal>
            <c:numRef>
              <c:f>'[Estrazione VFA_II_rendicontazione.xlsx]Acetic Acid 95°C_Na2CO3 0.05M'!$B$4:$B$12</c:f>
              <c:numCache>
                <c:formatCode>General</c:formatCode>
                <c:ptCount val="9"/>
                <c:pt idx="0">
                  <c:v>0</c:v>
                </c:pt>
                <c:pt idx="1">
                  <c:v>10</c:v>
                </c:pt>
                <c:pt idx="2">
                  <c:v>15</c:v>
                </c:pt>
                <c:pt idx="3">
                  <c:v>30</c:v>
                </c:pt>
                <c:pt idx="4">
                  <c:v>60</c:v>
                </c:pt>
                <c:pt idx="5">
                  <c:v>90</c:v>
                </c:pt>
                <c:pt idx="6">
                  <c:v>120</c:v>
                </c:pt>
                <c:pt idx="7">
                  <c:v>180</c:v>
                </c:pt>
                <c:pt idx="8">
                  <c:v>240</c:v>
                </c:pt>
              </c:numCache>
            </c:numRef>
          </c:xVal>
          <c:yVal>
            <c:numRef>
              <c:f>'[Estrazione VFA_II_rendicontazione.xlsx]Acetic Acid 95°C_Na2CO3 0.05M'!$G$4:$G$12</c:f>
              <c:numCache>
                <c:formatCode>General</c:formatCode>
                <c:ptCount val="9"/>
                <c:pt idx="0">
                  <c:v>0</c:v>
                </c:pt>
                <c:pt idx="1">
                  <c:v>55.235911817488798</c:v>
                </c:pt>
                <c:pt idx="2">
                  <c:v>73.04456038953866</c:v>
                </c:pt>
                <c:pt idx="3">
                  <c:v>136.21395273197382</c:v>
                </c:pt>
                <c:pt idx="4">
                  <c:v>305.84313553311057</c:v>
                </c:pt>
                <c:pt idx="5">
                  <c:v>497.21422979769864</c:v>
                </c:pt>
                <c:pt idx="6">
                  <c:v>695.87507631473068</c:v>
                </c:pt>
                <c:pt idx="7">
                  <c:v>937.7965632848543</c:v>
                </c:pt>
                <c:pt idx="8">
                  <c:v>1356.3822947207975</c:v>
                </c:pt>
              </c:numCache>
            </c:numRef>
          </c:yVal>
          <c:smooth val="1"/>
          <c:extLst>
            <c:ext xmlns:c16="http://schemas.microsoft.com/office/drawing/2014/chart" uri="{C3380CC4-5D6E-409C-BE32-E72D297353CC}">
              <c16:uniqueId val="{00000001-7236-40D3-A9B9-6D8F0A721D0C}"/>
            </c:ext>
          </c:extLst>
        </c:ser>
        <c:ser>
          <c:idx val="0"/>
          <c:order val="1"/>
          <c:tx>
            <c:v>ACE-SIMULATIVA</c:v>
          </c:tx>
          <c:spPr>
            <a:ln w="19050" cap="rnd">
              <a:solidFill>
                <a:schemeClr val="accent1"/>
              </a:solidFill>
              <a:round/>
            </a:ln>
            <a:effectLst/>
          </c:spPr>
          <c:marker>
            <c:symbol val="none"/>
          </c:marker>
          <c:xVal>
            <c:numRef>
              <c:f>'[Estrazione VFA_II_rendicontazione.xlsx]Acetic Acid 95°C_Na2CO3 0.05M'!$J$35:$J$60</c:f>
              <c:numCache>
                <c:formatCode>0.000</c:formatCode>
                <c:ptCount val="26"/>
                <c:pt idx="0">
                  <c:v>0</c:v>
                </c:pt>
                <c:pt idx="1">
                  <c:v>2.1281623026535983</c:v>
                </c:pt>
                <c:pt idx="2">
                  <c:v>10.00000000000002</c:v>
                </c:pt>
                <c:pt idx="3">
                  <c:v>19.999999999999979</c:v>
                </c:pt>
                <c:pt idx="4">
                  <c:v>30</c:v>
                </c:pt>
                <c:pt idx="5">
                  <c:v>40.000000000000014</c:v>
                </c:pt>
                <c:pt idx="6">
                  <c:v>49.999999999999986</c:v>
                </c:pt>
                <c:pt idx="7">
                  <c:v>60</c:v>
                </c:pt>
                <c:pt idx="8">
                  <c:v>70.000000000000199</c:v>
                </c:pt>
                <c:pt idx="9">
                  <c:v>79.999999999999801</c:v>
                </c:pt>
                <c:pt idx="10">
                  <c:v>90</c:v>
                </c:pt>
                <c:pt idx="11">
                  <c:v>100.0000000000002</c:v>
                </c:pt>
                <c:pt idx="12">
                  <c:v>109.9999999999998</c:v>
                </c:pt>
                <c:pt idx="13">
                  <c:v>120</c:v>
                </c:pt>
                <c:pt idx="14">
                  <c:v>130.0000000000002</c:v>
                </c:pt>
                <c:pt idx="15">
                  <c:v>139.9999999999998</c:v>
                </c:pt>
                <c:pt idx="16">
                  <c:v>150</c:v>
                </c:pt>
                <c:pt idx="17">
                  <c:v>160.0000000000002</c:v>
                </c:pt>
                <c:pt idx="18">
                  <c:v>169.9999999999998</c:v>
                </c:pt>
                <c:pt idx="19">
                  <c:v>180</c:v>
                </c:pt>
                <c:pt idx="20">
                  <c:v>190.0000000000002</c:v>
                </c:pt>
                <c:pt idx="21">
                  <c:v>199.9999999999998</c:v>
                </c:pt>
                <c:pt idx="22">
                  <c:v>210</c:v>
                </c:pt>
                <c:pt idx="23">
                  <c:v>220.0000000000002</c:v>
                </c:pt>
                <c:pt idx="24">
                  <c:v>229.9999999999998</c:v>
                </c:pt>
                <c:pt idx="25">
                  <c:v>241.99999999999977</c:v>
                </c:pt>
              </c:numCache>
            </c:numRef>
          </c:xVal>
          <c:yVal>
            <c:numRef>
              <c:f>'[Estrazione VFA_II_rendicontazione.xlsx]Acetic Acid 95°C_Na2CO3 0.05M'!$M$35:$M$60</c:f>
              <c:numCache>
                <c:formatCode>General</c:formatCode>
                <c:ptCount val="26"/>
                <c:pt idx="0">
                  <c:v>0</c:v>
                </c:pt>
                <c:pt idx="1">
                  <c:v>14.5265093791953</c:v>
                </c:pt>
                <c:pt idx="2">
                  <c:v>67.529902770063288</c:v>
                </c:pt>
                <c:pt idx="3">
                  <c:v>135.514439774858</c:v>
                </c:pt>
                <c:pt idx="4">
                  <c:v>202.278089574115</c:v>
                </c:pt>
                <c:pt idx="5">
                  <c:v>267.79379277425801</c:v>
                </c:pt>
                <c:pt idx="6">
                  <c:v>332.12194644501199</c:v>
                </c:pt>
                <c:pt idx="7">
                  <c:v>395.33289259771595</c:v>
                </c:pt>
                <c:pt idx="8">
                  <c:v>457.44612698305599</c:v>
                </c:pt>
                <c:pt idx="9">
                  <c:v>518.53410685286906</c:v>
                </c:pt>
                <c:pt idx="10">
                  <c:v>578.61019661746002</c:v>
                </c:pt>
                <c:pt idx="11">
                  <c:v>637.73023035420192</c:v>
                </c:pt>
                <c:pt idx="12">
                  <c:v>695.9376735642569</c:v>
                </c:pt>
                <c:pt idx="13">
                  <c:v>753.26771615661903</c:v>
                </c:pt>
                <c:pt idx="14">
                  <c:v>809.75408161177802</c:v>
                </c:pt>
                <c:pt idx="15">
                  <c:v>865.43429874350397</c:v>
                </c:pt>
                <c:pt idx="16">
                  <c:v>920.33989654554205</c:v>
                </c:pt>
                <c:pt idx="17">
                  <c:v>974.50640564659</c:v>
                </c:pt>
                <c:pt idx="18">
                  <c:v>1027.9628906595299</c:v>
                </c:pt>
                <c:pt idx="19">
                  <c:v>1080.7430440027099</c:v>
                </c:pt>
                <c:pt idx="20">
                  <c:v>1132.8738068056</c:v>
                </c:pt>
                <c:pt idx="21">
                  <c:v>1184.3873461919302</c:v>
                </c:pt>
                <c:pt idx="22">
                  <c:v>1235.3086747008599</c:v>
                </c:pt>
                <c:pt idx="23">
                  <c:v>1285.66870508989</c:v>
                </c:pt>
                <c:pt idx="24">
                  <c:v>1335.49078134406</c:v>
                </c:pt>
                <c:pt idx="25">
                  <c:v>1394.5876982413602</c:v>
                </c:pt>
              </c:numCache>
            </c:numRef>
          </c:yVal>
          <c:smooth val="1"/>
          <c:extLst>
            <c:ext xmlns:c16="http://schemas.microsoft.com/office/drawing/2014/chart" uri="{C3380CC4-5D6E-409C-BE32-E72D297353CC}">
              <c16:uniqueId val="{00000002-7236-40D3-A9B9-6D8F0A721D0C}"/>
            </c:ext>
          </c:extLst>
        </c:ser>
        <c:ser>
          <c:idx val="1"/>
          <c:order val="2"/>
          <c:tx>
            <c:v>Chiusura bilancio al 103%</c:v>
          </c:tx>
          <c:spPr>
            <a:ln w="25400" cap="rnd">
              <a:noFill/>
              <a:round/>
            </a:ln>
            <a:effectLst/>
          </c:spPr>
          <c:marker>
            <c:symbol val="none"/>
          </c:marker>
          <c:yVal>
            <c:numLit>
              <c:formatCode>General</c:formatCode>
              <c:ptCount val="1"/>
              <c:pt idx="0">
                <c:v>1</c:v>
              </c:pt>
            </c:numLit>
          </c:yVal>
          <c:smooth val="1"/>
          <c:extLst>
            <c:ext xmlns:c16="http://schemas.microsoft.com/office/drawing/2014/chart" uri="{C3380CC4-5D6E-409C-BE32-E72D297353CC}">
              <c16:uniqueId val="{00000003-7236-40D3-A9B9-6D8F0A721D0C}"/>
            </c:ext>
          </c:extLst>
        </c:ser>
        <c:dLbls>
          <c:showLegendKey val="0"/>
          <c:showVal val="0"/>
          <c:showCatName val="0"/>
          <c:showSerName val="0"/>
          <c:showPercent val="0"/>
          <c:showBubbleSize val="0"/>
        </c:dLbls>
        <c:axId val="193494671"/>
        <c:axId val="193492175"/>
      </c:scatterChart>
      <c:valAx>
        <c:axId val="193494671"/>
        <c:scaling>
          <c:orientation val="minMax"/>
          <c:max val="250"/>
          <c:min val="0"/>
        </c:scaling>
        <c:delete val="0"/>
        <c:axPos val="b"/>
        <c:title>
          <c:tx>
            <c:rich>
              <a:bodyPr rot="0" spcFirstLastPara="1" vertOverflow="ellipsis" vert="horz" wrap="square" anchor="ctr" anchorCtr="1"/>
              <a:lstStyle/>
              <a:p>
                <a:pPr>
                  <a:defRPr lang="en-US" sz="900" b="0" i="0" u="none" strike="noStrike" kern="1200" baseline="0">
                    <a:solidFill>
                      <a:schemeClr val="tx1"/>
                    </a:solidFill>
                    <a:latin typeface="Arial" panose="020B0604020202020204" pitchFamily="34" charset="0"/>
                    <a:ea typeface="+mn-ea"/>
                    <a:cs typeface="Arial" panose="020B0604020202020204" pitchFamily="34" charset="0"/>
                  </a:defRPr>
                </a:pPr>
                <a:r>
                  <a:rPr lang="en-US"/>
                  <a:t>Time (min)</a:t>
                </a:r>
              </a:p>
            </c:rich>
          </c:tx>
          <c:layout>
            <c:manualLayout>
              <c:xMode val="edge"/>
              <c:yMode val="edge"/>
              <c:x val="0.46817158557285476"/>
              <c:y val="0.93876185303967008"/>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title>
        <c:numFmt formatCode="General" sourceLinked="1"/>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crossAx val="193492175"/>
        <c:crosses val="autoZero"/>
        <c:crossBetween val="midCat"/>
      </c:valAx>
      <c:valAx>
        <c:axId val="193492175"/>
        <c:scaling>
          <c:orientation val="minMax"/>
        </c:scaling>
        <c:delete val="0"/>
        <c:axPos val="l"/>
        <c:title>
          <c:tx>
            <c:rich>
              <a:bodyPr rot="-5400000" spcFirstLastPara="1" vertOverflow="ellipsis" vert="horz" wrap="square" anchor="ctr" anchorCtr="1"/>
              <a:lstStyle/>
              <a:p>
                <a:pPr>
                  <a:defRPr lang="en-US" sz="900" b="0" i="0" u="none" strike="noStrike" kern="1200" baseline="0">
                    <a:solidFill>
                      <a:schemeClr val="tx1"/>
                    </a:solidFill>
                    <a:latin typeface="Arial" panose="020B0604020202020204" pitchFamily="34" charset="0"/>
                    <a:ea typeface="+mn-ea"/>
                    <a:cs typeface="Arial" panose="020B0604020202020204" pitchFamily="34" charset="0"/>
                  </a:defRPr>
                </a:pPr>
                <a:r>
                  <a:rPr lang="en-US"/>
                  <a:t>Concentration in the adsorption solution</a:t>
                </a:r>
                <a:r>
                  <a:rPr lang="en-US" baseline="0"/>
                  <a:t> </a:t>
                </a:r>
                <a:r>
                  <a:rPr lang="en-US"/>
                  <a:t>(g/L)</a:t>
                </a:r>
              </a:p>
            </c:rich>
          </c:tx>
          <c:layout>
            <c:manualLayout>
              <c:xMode val="edge"/>
              <c:yMode val="edge"/>
              <c:x val="1.7027040724649032E-3"/>
              <c:y val="0.14562933364672703"/>
            </c:manualLayout>
          </c:layout>
          <c:overlay val="0"/>
          <c:spPr>
            <a:noFill/>
            <a:ln>
              <a:noFill/>
            </a:ln>
            <a:effectLst/>
          </c:spPr>
          <c:txPr>
            <a:bodyPr rot="-5400000" spcFirstLastPara="1" vertOverflow="ellipsis" vert="horz" wrap="square" anchor="ctr" anchorCtr="1"/>
            <a:lstStyle/>
            <a:p>
              <a:pPr>
                <a:defRPr lang="en-US"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title>
        <c:numFmt formatCode="0" sourceLinked="0"/>
        <c:majorTickMark val="none"/>
        <c:minorTickMark val="none"/>
        <c:tickLblPos val="nextTo"/>
        <c:spPr>
          <a:noFill/>
          <a:ln w="9525" cap="flat" cmpd="sng" algn="ctr">
            <a:solidFill>
              <a:schemeClr val="tx1"/>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crossAx val="193494671"/>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en-US" sz="900" b="0" i="0" u="none" strike="noStrike" kern="1200" baseline="0">
          <a:solidFill>
            <a:schemeClr val="tx1"/>
          </a:solidFill>
          <a:latin typeface="Arial" panose="020B0604020202020204" pitchFamily="34" charset="0"/>
          <a:ea typeface="+mn-ea"/>
          <a:cs typeface="Arial" panose="020B0604020202020204" pitchFamily="34" charset="0"/>
        </a:defRPr>
      </a:pPr>
      <a:endParaRPr lang="it-IT"/>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6B514F-34A2-4ACB-949D-AFC1FF5B2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267</TotalTime>
  <Pages>6</Pages>
  <Words>2979</Words>
  <Characters>17445</Characters>
  <Application>Microsoft Office Word</Application>
  <DocSecurity>0</DocSecurity>
  <Lines>329</Lines>
  <Paragraphs>185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20239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Simeone Chianese</cp:lastModifiedBy>
  <cp:revision>283</cp:revision>
  <cp:lastPrinted>2015-05-12T18:31:00Z</cp:lastPrinted>
  <dcterms:created xsi:type="dcterms:W3CDTF">2024-02-20T10:29:00Z</dcterms:created>
  <dcterms:modified xsi:type="dcterms:W3CDTF">2025-01-23T09:54:00Z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