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11997" w14:paraId="2A131A54" w14:textId="77777777" w:rsidTr="003F0CE0">
        <w:trPr>
          <w:trHeight w:val="852"/>
          <w:jc w:val="center"/>
        </w:trPr>
        <w:tc>
          <w:tcPr>
            <w:tcW w:w="6940" w:type="dxa"/>
            <w:vMerge w:val="restart"/>
            <w:tcBorders>
              <w:right w:val="single" w:sz="4" w:space="0" w:color="auto"/>
            </w:tcBorders>
          </w:tcPr>
          <w:p w14:paraId="38C3D2BA" w14:textId="77777777" w:rsidR="000A03B2" w:rsidRPr="00111997" w:rsidRDefault="000A03B2" w:rsidP="00C3162D">
            <w:pPr>
              <w:widowControl w:val="0"/>
              <w:tabs>
                <w:tab w:val="left" w:pos="-108"/>
              </w:tabs>
              <w:spacing w:line="240" w:lineRule="auto"/>
              <w:ind w:left="-108"/>
              <w:jc w:val="left"/>
              <w:rPr>
                <w:rFonts w:cs="Arial"/>
                <w:b/>
                <w:bCs/>
                <w:i/>
                <w:iCs/>
                <w:color w:val="000066"/>
                <w:sz w:val="12"/>
                <w:szCs w:val="12"/>
                <w:lang w:val="en-US" w:eastAsia="it-IT"/>
              </w:rPr>
            </w:pPr>
            <w:bookmarkStart w:id="0" w:name="_Hlk145068772"/>
            <w:r w:rsidRPr="00111997">
              <w:rPr>
                <w:rFonts w:ascii="AdvP6960" w:hAnsi="AdvP6960" w:cs="AdvP6960"/>
                <w:noProof/>
                <w:color w:val="241F20"/>
                <w:szCs w:val="18"/>
                <w:lang w:val="en-US"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11997">
              <w:rPr>
                <w:rFonts w:ascii="AdvP6960" w:hAnsi="AdvP6960" w:cs="AdvP6960"/>
                <w:color w:val="241F20"/>
                <w:szCs w:val="18"/>
                <w:lang w:val="en-US" w:eastAsia="it-IT"/>
              </w:rPr>
              <w:t xml:space="preserve"> </w:t>
            </w:r>
            <w:r w:rsidRPr="00111997">
              <w:rPr>
                <w:rFonts w:cs="Arial"/>
                <w:b/>
                <w:bCs/>
                <w:i/>
                <w:iCs/>
                <w:color w:val="000066"/>
                <w:sz w:val="24"/>
                <w:szCs w:val="24"/>
                <w:lang w:val="en-US" w:eastAsia="it-IT"/>
              </w:rPr>
              <w:t>CHEMICAL ENGINEERING</w:t>
            </w:r>
            <w:r w:rsidRPr="00111997">
              <w:rPr>
                <w:rFonts w:cs="Arial"/>
                <w:b/>
                <w:bCs/>
                <w:i/>
                <w:iCs/>
                <w:color w:val="0033FF"/>
                <w:sz w:val="24"/>
                <w:szCs w:val="24"/>
                <w:lang w:val="en-US" w:eastAsia="it-IT"/>
              </w:rPr>
              <w:t xml:space="preserve"> </w:t>
            </w:r>
            <w:r w:rsidRPr="00111997">
              <w:rPr>
                <w:rFonts w:cs="Arial"/>
                <w:b/>
                <w:bCs/>
                <w:i/>
                <w:iCs/>
                <w:color w:val="666666"/>
                <w:sz w:val="24"/>
                <w:szCs w:val="24"/>
                <w:lang w:val="en-US" w:eastAsia="it-IT"/>
              </w:rPr>
              <w:t>TRANSACTIONS</w:t>
            </w:r>
            <w:r w:rsidRPr="00111997">
              <w:rPr>
                <w:color w:val="333333"/>
                <w:sz w:val="24"/>
                <w:szCs w:val="24"/>
                <w:lang w:val="en-US" w:eastAsia="it-IT"/>
              </w:rPr>
              <w:t xml:space="preserve"> </w:t>
            </w:r>
            <w:r w:rsidRPr="00111997">
              <w:rPr>
                <w:rFonts w:cs="Arial"/>
                <w:b/>
                <w:bCs/>
                <w:i/>
                <w:iCs/>
                <w:color w:val="000066"/>
                <w:sz w:val="27"/>
                <w:szCs w:val="27"/>
                <w:lang w:val="en-US" w:eastAsia="it-IT"/>
              </w:rPr>
              <w:br/>
            </w:r>
          </w:p>
          <w:p w14:paraId="4B780582" w14:textId="47EF826C" w:rsidR="000A03B2" w:rsidRPr="00111997" w:rsidRDefault="00A76EFC" w:rsidP="00C3162D">
            <w:pPr>
              <w:widowControl w:val="0"/>
              <w:tabs>
                <w:tab w:val="left" w:pos="-108"/>
              </w:tabs>
              <w:spacing w:line="240" w:lineRule="auto"/>
              <w:ind w:left="-108"/>
              <w:rPr>
                <w:rFonts w:cs="Arial"/>
                <w:b/>
                <w:bCs/>
                <w:i/>
                <w:iCs/>
                <w:color w:val="000066"/>
                <w:sz w:val="22"/>
                <w:szCs w:val="22"/>
                <w:lang w:val="en-US" w:eastAsia="it-IT"/>
              </w:rPr>
            </w:pPr>
            <w:r w:rsidRPr="00111997">
              <w:rPr>
                <w:rFonts w:cs="Arial"/>
                <w:b/>
                <w:bCs/>
                <w:i/>
                <w:iCs/>
                <w:color w:val="000066"/>
                <w:sz w:val="22"/>
                <w:szCs w:val="22"/>
                <w:lang w:val="en-US" w:eastAsia="it-IT"/>
              </w:rPr>
              <w:t>VOL.</w:t>
            </w:r>
            <w:r w:rsidR="00785BF9" w:rsidRPr="00111997">
              <w:rPr>
                <w:rFonts w:cs="Arial"/>
                <w:b/>
                <w:bCs/>
                <w:i/>
                <w:iCs/>
                <w:color w:val="000066"/>
                <w:sz w:val="22"/>
                <w:szCs w:val="22"/>
                <w:lang w:val="en-US" w:eastAsia="it-IT"/>
              </w:rPr>
              <w:t xml:space="preserve"> </w:t>
            </w:r>
            <w:r w:rsidR="00994C6A" w:rsidRPr="00111997">
              <w:rPr>
                <w:rFonts w:cs="Arial"/>
                <w:b/>
                <w:bCs/>
                <w:i/>
                <w:iCs/>
                <w:color w:val="000066"/>
                <w:sz w:val="22"/>
                <w:szCs w:val="22"/>
                <w:lang w:val="en-US" w:eastAsia="it-IT"/>
              </w:rPr>
              <w:t>xxx</w:t>
            </w:r>
            <w:r w:rsidR="007B48F9" w:rsidRPr="00111997">
              <w:rPr>
                <w:rFonts w:cs="Arial"/>
                <w:b/>
                <w:bCs/>
                <w:i/>
                <w:iCs/>
                <w:color w:val="000066"/>
                <w:sz w:val="22"/>
                <w:szCs w:val="22"/>
                <w:lang w:val="en-US" w:eastAsia="it-IT"/>
              </w:rPr>
              <w:t>,</w:t>
            </w:r>
            <w:r w:rsidR="00FA5F5F" w:rsidRPr="00111997">
              <w:rPr>
                <w:rFonts w:cs="Arial"/>
                <w:b/>
                <w:bCs/>
                <w:i/>
                <w:iCs/>
                <w:color w:val="000066"/>
                <w:sz w:val="22"/>
                <w:szCs w:val="22"/>
                <w:lang w:val="en-US" w:eastAsia="it-IT"/>
              </w:rPr>
              <w:t xml:space="preserve"> </w:t>
            </w:r>
            <w:r w:rsidR="0030152C" w:rsidRPr="00111997">
              <w:rPr>
                <w:rFonts w:cs="Arial"/>
                <w:b/>
                <w:bCs/>
                <w:i/>
                <w:iCs/>
                <w:color w:val="000066"/>
                <w:sz w:val="22"/>
                <w:szCs w:val="22"/>
                <w:lang w:val="en-US" w:eastAsia="it-IT"/>
              </w:rPr>
              <w:t>202</w:t>
            </w:r>
            <w:r w:rsidR="00994C6A" w:rsidRPr="00111997">
              <w:rPr>
                <w:rFonts w:cs="Arial"/>
                <w:b/>
                <w:bCs/>
                <w:i/>
                <w:iCs/>
                <w:color w:val="000066"/>
                <w:sz w:val="22"/>
                <w:szCs w:val="22"/>
                <w:lang w:val="en-US" w:eastAsia="it-IT"/>
              </w:rPr>
              <w:t>5</w:t>
            </w:r>
          </w:p>
        </w:tc>
        <w:tc>
          <w:tcPr>
            <w:tcW w:w="1842" w:type="dxa"/>
            <w:tcBorders>
              <w:left w:val="single" w:sz="4" w:space="0" w:color="auto"/>
              <w:bottom w:val="nil"/>
              <w:right w:val="single" w:sz="4" w:space="0" w:color="auto"/>
            </w:tcBorders>
          </w:tcPr>
          <w:p w14:paraId="56782132" w14:textId="77777777" w:rsidR="000A03B2" w:rsidRPr="00111997" w:rsidRDefault="000A03B2" w:rsidP="00C3162D">
            <w:pPr>
              <w:widowControl w:val="0"/>
              <w:spacing w:line="240" w:lineRule="auto"/>
              <w:jc w:val="right"/>
              <w:rPr>
                <w:rFonts w:cs="Arial"/>
                <w:sz w:val="14"/>
                <w:szCs w:val="14"/>
                <w:lang w:val="en-US"/>
              </w:rPr>
            </w:pPr>
            <w:r w:rsidRPr="00111997">
              <w:rPr>
                <w:rFonts w:cs="Arial"/>
                <w:sz w:val="14"/>
                <w:szCs w:val="14"/>
                <w:lang w:val="en-US"/>
              </w:rPr>
              <w:t>A publication of</w:t>
            </w:r>
          </w:p>
          <w:p w14:paraId="599E5441" w14:textId="77777777" w:rsidR="000A03B2" w:rsidRPr="00111997" w:rsidRDefault="000A03B2" w:rsidP="00C3162D">
            <w:pPr>
              <w:widowControl w:val="0"/>
              <w:spacing w:line="240" w:lineRule="auto"/>
              <w:jc w:val="right"/>
              <w:rPr>
                <w:lang w:val="en-US"/>
              </w:rPr>
            </w:pPr>
            <w:r w:rsidRPr="00111997">
              <w:rPr>
                <w:noProof/>
                <w:lang w:val="en-US"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11997" w14:paraId="380FA3CD" w14:textId="77777777" w:rsidTr="003F0CE0">
        <w:trPr>
          <w:trHeight w:val="567"/>
          <w:jc w:val="center"/>
        </w:trPr>
        <w:tc>
          <w:tcPr>
            <w:tcW w:w="6940" w:type="dxa"/>
            <w:vMerge/>
            <w:tcBorders>
              <w:right w:val="single" w:sz="4" w:space="0" w:color="auto"/>
            </w:tcBorders>
          </w:tcPr>
          <w:p w14:paraId="39E5E4C1" w14:textId="77777777" w:rsidR="000A03B2" w:rsidRPr="00111997" w:rsidRDefault="000A03B2" w:rsidP="00C3162D">
            <w:pPr>
              <w:widowControl w:val="0"/>
              <w:tabs>
                <w:tab w:val="left" w:pos="-108"/>
              </w:tabs>
              <w:spacing w:line="240" w:lineRule="auto"/>
              <w:rPr>
                <w:lang w:val="en-US"/>
              </w:rPr>
            </w:pPr>
          </w:p>
        </w:tc>
        <w:tc>
          <w:tcPr>
            <w:tcW w:w="1842" w:type="dxa"/>
            <w:tcBorders>
              <w:left w:val="single" w:sz="4" w:space="0" w:color="auto"/>
              <w:bottom w:val="nil"/>
              <w:right w:val="single" w:sz="4" w:space="0" w:color="auto"/>
            </w:tcBorders>
          </w:tcPr>
          <w:p w14:paraId="43858A98" w14:textId="77777777" w:rsidR="000A03B2" w:rsidRPr="00111997" w:rsidRDefault="000A03B2" w:rsidP="00C3162D">
            <w:pPr>
              <w:widowControl w:val="0"/>
              <w:spacing w:line="240" w:lineRule="auto"/>
              <w:jc w:val="right"/>
              <w:rPr>
                <w:rFonts w:cs="Arial"/>
                <w:sz w:val="14"/>
                <w:szCs w:val="14"/>
                <w:lang w:val="en-US"/>
              </w:rPr>
            </w:pPr>
            <w:r w:rsidRPr="00111997">
              <w:rPr>
                <w:rFonts w:cs="Arial"/>
                <w:sz w:val="14"/>
                <w:szCs w:val="14"/>
                <w:lang w:val="en-US"/>
              </w:rPr>
              <w:t>The Italian Association</w:t>
            </w:r>
          </w:p>
          <w:p w14:paraId="7522B1D2" w14:textId="77777777" w:rsidR="000A03B2" w:rsidRPr="00111997" w:rsidRDefault="000A03B2" w:rsidP="00C3162D">
            <w:pPr>
              <w:widowControl w:val="0"/>
              <w:spacing w:line="240" w:lineRule="auto"/>
              <w:jc w:val="right"/>
              <w:rPr>
                <w:rFonts w:cs="Arial"/>
                <w:sz w:val="14"/>
                <w:szCs w:val="14"/>
                <w:lang w:val="en-US"/>
              </w:rPr>
            </w:pPr>
            <w:r w:rsidRPr="00111997">
              <w:rPr>
                <w:rFonts w:cs="Arial"/>
                <w:sz w:val="14"/>
                <w:szCs w:val="14"/>
                <w:lang w:val="en-US"/>
              </w:rPr>
              <w:t>of Chemical Engineering</w:t>
            </w:r>
          </w:p>
          <w:p w14:paraId="4F0CC5DE" w14:textId="47FDB2FC" w:rsidR="000A03B2" w:rsidRPr="00111997" w:rsidRDefault="000D0268" w:rsidP="00C3162D">
            <w:pPr>
              <w:widowControl w:val="0"/>
              <w:spacing w:line="240" w:lineRule="auto"/>
              <w:jc w:val="right"/>
              <w:rPr>
                <w:rFonts w:cs="Arial"/>
                <w:sz w:val="13"/>
                <w:szCs w:val="13"/>
                <w:lang w:val="en-US"/>
              </w:rPr>
            </w:pPr>
            <w:r w:rsidRPr="00111997">
              <w:rPr>
                <w:rFonts w:cs="Arial"/>
                <w:sz w:val="13"/>
                <w:szCs w:val="13"/>
                <w:lang w:val="en-US"/>
              </w:rPr>
              <w:t>Online at www.cetjournal.it</w:t>
            </w:r>
          </w:p>
        </w:tc>
      </w:tr>
      <w:tr w:rsidR="000A03B2" w:rsidRPr="00111997" w14:paraId="2D1B7169" w14:textId="77777777" w:rsidTr="003F0CE0">
        <w:trPr>
          <w:trHeight w:val="68"/>
          <w:jc w:val="center"/>
        </w:trPr>
        <w:tc>
          <w:tcPr>
            <w:tcW w:w="8782" w:type="dxa"/>
            <w:gridSpan w:val="2"/>
          </w:tcPr>
          <w:p w14:paraId="1D8DD3C9" w14:textId="025D7B18" w:rsidR="00AA7D26" w:rsidRPr="000325D6" w:rsidRDefault="00AA7D26" w:rsidP="00C3162D">
            <w:pPr>
              <w:widowControl w:val="0"/>
              <w:spacing w:line="240" w:lineRule="auto"/>
              <w:ind w:left="-107"/>
              <w:outlineLvl w:val="2"/>
              <w:rPr>
                <w:rFonts w:ascii="Tahoma" w:hAnsi="Tahoma" w:cs="Tahoma"/>
                <w:color w:val="000000"/>
                <w:sz w:val="14"/>
                <w:szCs w:val="14"/>
                <w:shd w:val="clear" w:color="auto" w:fill="FFFFFF"/>
                <w:lang w:val="it-IT"/>
              </w:rPr>
            </w:pPr>
            <w:r w:rsidRPr="000325D6">
              <w:rPr>
                <w:rFonts w:ascii="Tahoma" w:hAnsi="Tahoma" w:cs="Tahoma"/>
                <w:iCs/>
                <w:color w:val="333333"/>
                <w:sz w:val="14"/>
                <w:szCs w:val="14"/>
                <w:lang w:val="it-IT" w:eastAsia="it-IT"/>
              </w:rPr>
              <w:t>Guest Editors:</w:t>
            </w:r>
            <w:r w:rsidR="007D610D" w:rsidRPr="000325D6">
              <w:rPr>
                <w:rFonts w:ascii="Aptos" w:eastAsiaTheme="minorHAnsi" w:hAnsi="Aptos" w:cs="Aptos"/>
                <w:sz w:val="22"/>
                <w:szCs w:val="22"/>
                <w:lang w:val="it-IT"/>
                <w14:ligatures w14:val="standardContextual"/>
              </w:rPr>
              <w:t xml:space="preserve"> </w:t>
            </w:r>
            <w:r w:rsidR="007D610D" w:rsidRPr="000325D6">
              <w:rPr>
                <w:rFonts w:ascii="Tahoma" w:hAnsi="Tahoma" w:cs="Tahoma"/>
                <w:color w:val="000000"/>
                <w:sz w:val="14"/>
                <w:szCs w:val="14"/>
                <w:shd w:val="clear" w:color="auto" w:fill="FFFFFF"/>
                <w:lang w:val="it-IT"/>
              </w:rPr>
              <w:t xml:space="preserve">Fabrizio Bezzo, </w:t>
            </w:r>
            <w:r w:rsidR="001D3D32" w:rsidRPr="000325D6">
              <w:rPr>
                <w:rFonts w:ascii="Tahoma" w:hAnsi="Tahoma" w:cs="Tahoma"/>
                <w:color w:val="000000"/>
                <w:sz w:val="14"/>
                <w:szCs w:val="14"/>
                <w:shd w:val="clear" w:color="auto" w:fill="FFFFFF"/>
                <w:lang w:val="it-IT"/>
              </w:rPr>
              <w:t>Flavio Manenti</w:t>
            </w:r>
            <w:r w:rsidR="00304CE8" w:rsidRPr="000325D6">
              <w:rPr>
                <w:rFonts w:ascii="Tahoma" w:hAnsi="Tahoma" w:cs="Tahoma"/>
                <w:color w:val="000000"/>
                <w:sz w:val="14"/>
                <w:szCs w:val="14"/>
                <w:shd w:val="clear" w:color="auto" w:fill="FFFFFF"/>
                <w:lang w:val="it-IT"/>
              </w:rPr>
              <w:t>,</w:t>
            </w:r>
            <w:r w:rsidR="001D3D32" w:rsidRPr="000325D6">
              <w:rPr>
                <w:rFonts w:ascii="Tahoma" w:hAnsi="Tahoma" w:cs="Tahoma"/>
                <w:color w:val="000000"/>
                <w:sz w:val="14"/>
                <w:szCs w:val="14"/>
                <w:shd w:val="clear" w:color="auto" w:fill="FFFFFF"/>
                <w:lang w:val="it-IT"/>
              </w:rPr>
              <w:t xml:space="preserve"> </w:t>
            </w:r>
            <w:r w:rsidR="007D610D" w:rsidRPr="000325D6">
              <w:rPr>
                <w:rFonts w:ascii="Tahoma" w:hAnsi="Tahoma" w:cs="Tahoma"/>
                <w:color w:val="000000"/>
                <w:sz w:val="14"/>
                <w:szCs w:val="14"/>
                <w:shd w:val="clear" w:color="auto" w:fill="FFFFFF"/>
                <w:lang w:val="it-IT"/>
              </w:rPr>
              <w:t>Gabriele Pannocchia, Almerinda di Benedetto</w:t>
            </w:r>
          </w:p>
          <w:p w14:paraId="1B0F1814" w14:textId="7C54DC3A" w:rsidR="000A03B2" w:rsidRPr="00111997" w:rsidRDefault="00AA7D26" w:rsidP="00C3162D">
            <w:pPr>
              <w:widowControl w:val="0"/>
              <w:tabs>
                <w:tab w:val="left" w:pos="-108"/>
              </w:tabs>
              <w:spacing w:line="240" w:lineRule="auto"/>
              <w:ind w:left="-107"/>
              <w:jc w:val="left"/>
              <w:rPr>
                <w:lang w:val="en-US"/>
              </w:rPr>
            </w:pPr>
            <w:r w:rsidRPr="00111997">
              <w:rPr>
                <w:rFonts w:ascii="Tahoma" w:hAnsi="Tahoma" w:cs="Tahoma"/>
                <w:iCs/>
                <w:color w:val="333333"/>
                <w:sz w:val="14"/>
                <w:szCs w:val="14"/>
                <w:lang w:val="en-US" w:eastAsia="it-IT"/>
              </w:rPr>
              <w:t>Copyright © 202</w:t>
            </w:r>
            <w:r w:rsidR="00994C6A" w:rsidRPr="00111997">
              <w:rPr>
                <w:rFonts w:ascii="Tahoma" w:hAnsi="Tahoma" w:cs="Tahoma"/>
                <w:iCs/>
                <w:color w:val="333333"/>
                <w:sz w:val="14"/>
                <w:szCs w:val="14"/>
                <w:lang w:val="en-US" w:eastAsia="it-IT"/>
              </w:rPr>
              <w:t>5</w:t>
            </w:r>
            <w:r w:rsidRPr="00111997">
              <w:rPr>
                <w:rFonts w:ascii="Tahoma" w:hAnsi="Tahoma" w:cs="Tahoma"/>
                <w:iCs/>
                <w:color w:val="333333"/>
                <w:sz w:val="14"/>
                <w:szCs w:val="14"/>
                <w:lang w:val="en-US" w:eastAsia="it-IT"/>
              </w:rPr>
              <w:t xml:space="preserve">, AIDIC </w:t>
            </w:r>
            <w:proofErr w:type="spellStart"/>
            <w:r w:rsidRPr="00111997">
              <w:rPr>
                <w:rFonts w:ascii="Tahoma" w:hAnsi="Tahoma" w:cs="Tahoma"/>
                <w:iCs/>
                <w:color w:val="333333"/>
                <w:sz w:val="14"/>
                <w:szCs w:val="14"/>
                <w:lang w:val="en-US" w:eastAsia="it-IT"/>
              </w:rPr>
              <w:t>Servizi</w:t>
            </w:r>
            <w:proofErr w:type="spellEnd"/>
            <w:r w:rsidRPr="00111997">
              <w:rPr>
                <w:rFonts w:ascii="Tahoma" w:hAnsi="Tahoma" w:cs="Tahoma"/>
                <w:iCs/>
                <w:color w:val="333333"/>
                <w:sz w:val="14"/>
                <w:szCs w:val="14"/>
                <w:lang w:val="en-US" w:eastAsia="it-IT"/>
              </w:rPr>
              <w:t xml:space="preserve"> </w:t>
            </w:r>
            <w:proofErr w:type="spellStart"/>
            <w:r w:rsidRPr="00111997">
              <w:rPr>
                <w:rFonts w:ascii="Tahoma" w:hAnsi="Tahoma" w:cs="Tahoma"/>
                <w:iCs/>
                <w:color w:val="333333"/>
                <w:sz w:val="14"/>
                <w:szCs w:val="14"/>
                <w:lang w:val="en-US" w:eastAsia="it-IT"/>
              </w:rPr>
              <w:t>S.r.l</w:t>
            </w:r>
            <w:proofErr w:type="spellEnd"/>
            <w:r w:rsidRPr="00111997">
              <w:rPr>
                <w:rFonts w:ascii="Tahoma" w:hAnsi="Tahoma" w:cs="Tahoma"/>
                <w:iCs/>
                <w:color w:val="333333"/>
                <w:sz w:val="14"/>
                <w:szCs w:val="14"/>
                <w:lang w:val="en-US" w:eastAsia="it-IT"/>
              </w:rPr>
              <w:t>.</w:t>
            </w:r>
            <w:r w:rsidRPr="00111997">
              <w:rPr>
                <w:rFonts w:ascii="Tahoma" w:hAnsi="Tahoma" w:cs="Tahoma"/>
                <w:iCs/>
                <w:color w:val="333333"/>
                <w:sz w:val="14"/>
                <w:szCs w:val="14"/>
                <w:lang w:val="en-US" w:eastAsia="it-IT"/>
              </w:rPr>
              <w:br/>
            </w:r>
            <w:r w:rsidRPr="00111997">
              <w:rPr>
                <w:rFonts w:ascii="Tahoma" w:hAnsi="Tahoma" w:cs="Tahoma"/>
                <w:b/>
                <w:iCs/>
                <w:color w:val="000000"/>
                <w:sz w:val="14"/>
                <w:szCs w:val="14"/>
                <w:lang w:val="en-US" w:eastAsia="it-IT"/>
              </w:rPr>
              <w:t>ISBN</w:t>
            </w:r>
            <w:r w:rsidRPr="00111997">
              <w:rPr>
                <w:rFonts w:ascii="Tahoma" w:hAnsi="Tahoma" w:cs="Tahoma"/>
                <w:iCs/>
                <w:color w:val="000000"/>
                <w:sz w:val="14"/>
                <w:szCs w:val="14"/>
                <w:lang w:val="en-US" w:eastAsia="it-IT"/>
              </w:rPr>
              <w:t xml:space="preserve"> </w:t>
            </w:r>
            <w:r w:rsidR="003B49CD" w:rsidRPr="00111997">
              <w:rPr>
                <w:rFonts w:ascii="Tahoma" w:hAnsi="Tahoma" w:cs="Tahoma"/>
                <w:sz w:val="14"/>
                <w:szCs w:val="14"/>
                <w:lang w:val="en-US"/>
              </w:rPr>
              <w:t>979-12-81206-1</w:t>
            </w:r>
            <w:r w:rsidR="00994C6A" w:rsidRPr="00111997">
              <w:rPr>
                <w:rFonts w:ascii="Tahoma" w:hAnsi="Tahoma" w:cs="Tahoma"/>
                <w:sz w:val="14"/>
                <w:szCs w:val="14"/>
                <w:lang w:val="en-US"/>
              </w:rPr>
              <w:t>7</w:t>
            </w:r>
            <w:r w:rsidR="003B49CD" w:rsidRPr="00111997">
              <w:rPr>
                <w:rFonts w:ascii="Tahoma" w:hAnsi="Tahoma" w:cs="Tahoma"/>
                <w:sz w:val="14"/>
                <w:szCs w:val="14"/>
                <w:lang w:val="en-US"/>
              </w:rPr>
              <w:t>-</w:t>
            </w:r>
            <w:r w:rsidR="00994C6A" w:rsidRPr="00111997">
              <w:rPr>
                <w:rFonts w:ascii="Tahoma" w:hAnsi="Tahoma" w:cs="Tahoma"/>
                <w:sz w:val="14"/>
                <w:szCs w:val="14"/>
                <w:lang w:val="en-US"/>
              </w:rPr>
              <w:t>5</w:t>
            </w:r>
            <w:r w:rsidRPr="00111997">
              <w:rPr>
                <w:rFonts w:ascii="Tahoma" w:hAnsi="Tahoma" w:cs="Tahoma"/>
                <w:iCs/>
                <w:color w:val="333333"/>
                <w:sz w:val="14"/>
                <w:szCs w:val="14"/>
                <w:lang w:val="en-US" w:eastAsia="it-IT"/>
              </w:rPr>
              <w:t xml:space="preserve">; </w:t>
            </w:r>
            <w:r w:rsidRPr="00111997">
              <w:rPr>
                <w:rFonts w:ascii="Tahoma" w:hAnsi="Tahoma" w:cs="Tahoma"/>
                <w:b/>
                <w:iCs/>
                <w:color w:val="333333"/>
                <w:sz w:val="14"/>
                <w:szCs w:val="14"/>
                <w:lang w:val="en-US" w:eastAsia="it-IT"/>
              </w:rPr>
              <w:t>ISSN</w:t>
            </w:r>
            <w:r w:rsidRPr="00111997">
              <w:rPr>
                <w:rFonts w:ascii="Tahoma" w:hAnsi="Tahoma" w:cs="Tahoma"/>
                <w:iCs/>
                <w:color w:val="333333"/>
                <w:sz w:val="14"/>
                <w:szCs w:val="14"/>
                <w:lang w:val="en-US" w:eastAsia="it-IT"/>
              </w:rPr>
              <w:t xml:space="preserve"> 2283-9216</w:t>
            </w:r>
          </w:p>
        </w:tc>
      </w:tr>
    </w:tbl>
    <w:bookmarkEnd w:id="0"/>
    <w:p w14:paraId="2E667253" w14:textId="3D3B8F08" w:rsidR="00E978D0" w:rsidRPr="00111997" w:rsidRDefault="003F0CE0" w:rsidP="00C3162D">
      <w:pPr>
        <w:pStyle w:val="CETTitle"/>
        <w:widowControl w:val="0"/>
        <w:spacing w:line="240" w:lineRule="auto"/>
        <w:rPr>
          <w:lang w:val="en-US"/>
        </w:rPr>
      </w:pPr>
      <w:r w:rsidRPr="00111997">
        <w:rPr>
          <w:lang w:val="en-US"/>
        </w:rPr>
        <w:t xml:space="preserve"> </w:t>
      </w:r>
      <w:r w:rsidR="003D1EA3" w:rsidRPr="00111997">
        <w:rPr>
          <w:lang w:val="en-US"/>
        </w:rPr>
        <w:t>Enhancing Torrefaction Process Modeling with Data Augmentation: A Study on Agri-Food Residues</w:t>
      </w:r>
    </w:p>
    <w:p w14:paraId="739DD537" w14:textId="4047E1E6" w:rsidR="003D1EA3" w:rsidRPr="0023130C" w:rsidRDefault="003D1EA3" w:rsidP="00C3162D">
      <w:pPr>
        <w:pStyle w:val="CETAuthors"/>
        <w:keepNext w:val="0"/>
        <w:spacing w:line="240" w:lineRule="auto"/>
        <w:rPr>
          <w:noProof w:val="0"/>
          <w:szCs w:val="24"/>
          <w:lang w:val="it-IT"/>
        </w:rPr>
      </w:pPr>
      <w:r w:rsidRPr="0023130C">
        <w:rPr>
          <w:rFonts w:cs="Arial"/>
          <w:noProof w:val="0"/>
          <w:color w:val="000000"/>
          <w:szCs w:val="24"/>
          <w:lang w:val="it-IT"/>
        </w:rPr>
        <w:t>Bartolomeo Cosenza</w:t>
      </w:r>
      <w:r w:rsidRPr="0023130C">
        <w:rPr>
          <w:noProof w:val="0"/>
          <w:vertAlign w:val="superscript"/>
          <w:lang w:val="it-IT"/>
        </w:rPr>
        <w:t>a</w:t>
      </w:r>
      <w:r w:rsidRPr="0023130C">
        <w:rPr>
          <w:noProof w:val="0"/>
          <w:lang w:val="it-IT"/>
        </w:rPr>
        <w:t>, Michele Miccio</w:t>
      </w:r>
      <w:r w:rsidRPr="0023130C">
        <w:rPr>
          <w:noProof w:val="0"/>
          <w:vertAlign w:val="superscript"/>
          <w:lang w:val="it-IT"/>
        </w:rPr>
        <w:t>b</w:t>
      </w:r>
      <w:r w:rsidRPr="0023130C">
        <w:rPr>
          <w:noProof w:val="0"/>
          <w:lang w:val="it-IT"/>
        </w:rPr>
        <w:t xml:space="preserve">, </w:t>
      </w:r>
      <w:r w:rsidRPr="0023130C">
        <w:rPr>
          <w:noProof w:val="0"/>
          <w:szCs w:val="24"/>
          <w:lang w:val="it-IT"/>
        </w:rPr>
        <w:t>Ahmad Adee</w:t>
      </w:r>
      <w:r w:rsidR="00736DCB" w:rsidRPr="0023130C">
        <w:rPr>
          <w:noProof w:val="0"/>
          <w:szCs w:val="24"/>
          <w:lang w:val="it-IT"/>
        </w:rPr>
        <w:t>l</w:t>
      </w:r>
      <w:r w:rsidRPr="0023130C">
        <w:rPr>
          <w:noProof w:val="0"/>
          <w:szCs w:val="24"/>
          <w:lang w:val="it-IT"/>
        </w:rPr>
        <w:t xml:space="preserve"> </w:t>
      </w:r>
      <w:proofErr w:type="gramStart"/>
      <w:r w:rsidRPr="0023130C">
        <w:rPr>
          <w:noProof w:val="0"/>
          <w:szCs w:val="24"/>
          <w:lang w:val="it-IT"/>
        </w:rPr>
        <w:t>Arshad</w:t>
      </w:r>
      <w:r w:rsidRPr="0023130C">
        <w:rPr>
          <w:noProof w:val="0"/>
          <w:szCs w:val="24"/>
          <w:vertAlign w:val="superscript"/>
          <w:lang w:val="it-IT"/>
        </w:rPr>
        <w:t>b</w:t>
      </w:r>
      <w:r w:rsidR="00736DCB" w:rsidRPr="0023130C">
        <w:rPr>
          <w:noProof w:val="0"/>
          <w:szCs w:val="24"/>
          <w:vertAlign w:val="superscript"/>
          <w:lang w:val="it-IT"/>
        </w:rPr>
        <w:t>,c</w:t>
      </w:r>
      <w:proofErr w:type="gramEnd"/>
    </w:p>
    <w:p w14:paraId="09099FA3" w14:textId="66E54CA2" w:rsidR="003D1EA3" w:rsidRPr="000325D6" w:rsidRDefault="003D1EA3" w:rsidP="00C3162D">
      <w:pPr>
        <w:pStyle w:val="NormaleWeb"/>
        <w:widowControl w:val="0"/>
        <w:spacing w:line="240" w:lineRule="auto"/>
        <w:rPr>
          <w:rFonts w:cs="Arial"/>
          <w:sz w:val="16"/>
          <w:szCs w:val="16"/>
          <w:lang w:val="it-IT"/>
        </w:rPr>
      </w:pPr>
      <w:r w:rsidRPr="000325D6">
        <w:rPr>
          <w:rFonts w:cs="Arial"/>
          <w:sz w:val="16"/>
          <w:szCs w:val="16"/>
          <w:vertAlign w:val="superscript"/>
          <w:lang w:val="it-IT"/>
        </w:rPr>
        <w:t>a</w:t>
      </w:r>
      <w:r w:rsidRPr="000325D6">
        <w:rPr>
          <w:rFonts w:cs="Arial"/>
          <w:sz w:val="16"/>
          <w:szCs w:val="16"/>
          <w:lang w:val="it-IT"/>
        </w:rPr>
        <w:t xml:space="preserve"> Dipartimento di Ingegneria Civile e Industriale, Università di Pisa, Largo Lucio Lazzarino, 56122 Pisa (PI), </w:t>
      </w:r>
      <w:proofErr w:type="spellStart"/>
      <w:r w:rsidRPr="000325D6">
        <w:rPr>
          <w:rFonts w:cs="Arial"/>
          <w:sz w:val="16"/>
          <w:szCs w:val="16"/>
          <w:lang w:val="it-IT"/>
        </w:rPr>
        <w:t>Italy</w:t>
      </w:r>
      <w:proofErr w:type="spellEnd"/>
      <w:r w:rsidRPr="000325D6">
        <w:rPr>
          <w:rFonts w:cs="Arial"/>
          <w:sz w:val="16"/>
          <w:szCs w:val="16"/>
          <w:lang w:val="it-IT"/>
        </w:rPr>
        <w:t xml:space="preserve">, </w:t>
      </w:r>
      <w:hyperlink r:id="rId10" w:history="1">
        <w:r w:rsidR="00FD3F14" w:rsidRPr="000325D6">
          <w:rPr>
            <w:rStyle w:val="Collegamentoipertestuale"/>
            <w:rFonts w:cs="Arial"/>
            <w:sz w:val="16"/>
            <w:szCs w:val="16"/>
            <w:lang w:val="it-IT"/>
          </w:rPr>
          <w:t>bartolomeo.cosenza@unipi.it</w:t>
        </w:r>
      </w:hyperlink>
      <w:r w:rsidR="00FD3F14" w:rsidRPr="000325D6">
        <w:rPr>
          <w:rFonts w:cs="Arial"/>
          <w:sz w:val="16"/>
          <w:szCs w:val="16"/>
          <w:lang w:val="it-IT"/>
        </w:rPr>
        <w:t xml:space="preserve"> </w:t>
      </w:r>
    </w:p>
    <w:p w14:paraId="41316904" w14:textId="32CFE707" w:rsidR="003D1EA3" w:rsidRPr="000325D6" w:rsidRDefault="003D1EA3" w:rsidP="00C3162D">
      <w:pPr>
        <w:pStyle w:val="NormaleWeb"/>
        <w:widowControl w:val="0"/>
        <w:spacing w:line="240" w:lineRule="auto"/>
        <w:rPr>
          <w:rFonts w:cs="Arial"/>
          <w:sz w:val="16"/>
          <w:szCs w:val="16"/>
          <w:lang w:val="it-IT"/>
        </w:rPr>
      </w:pPr>
      <w:r w:rsidRPr="000325D6">
        <w:rPr>
          <w:rFonts w:cs="Arial"/>
          <w:sz w:val="16"/>
          <w:szCs w:val="16"/>
          <w:vertAlign w:val="superscript"/>
          <w:lang w:val="it-IT"/>
        </w:rPr>
        <w:t>b</w:t>
      </w:r>
      <w:r w:rsidRPr="000325D6">
        <w:rPr>
          <w:rFonts w:cs="Arial"/>
          <w:sz w:val="16"/>
          <w:szCs w:val="16"/>
          <w:lang w:val="it-IT"/>
        </w:rPr>
        <w:t xml:space="preserve"> Dipartimento di Ingegneria Industriale (</w:t>
      </w:r>
      <w:proofErr w:type="spellStart"/>
      <w:r w:rsidRPr="000325D6">
        <w:rPr>
          <w:rFonts w:cs="Arial"/>
          <w:sz w:val="16"/>
          <w:szCs w:val="16"/>
          <w:lang w:val="it-IT"/>
        </w:rPr>
        <w:t>DIIn</w:t>
      </w:r>
      <w:proofErr w:type="spellEnd"/>
      <w:r w:rsidRPr="000325D6">
        <w:rPr>
          <w:rFonts w:cs="Arial"/>
          <w:sz w:val="16"/>
          <w:szCs w:val="16"/>
          <w:lang w:val="it-IT"/>
        </w:rPr>
        <w:t xml:space="preserve">), Università degli Studi di Salerno, via Giovanni Paolo II 132, 84084 Fisciano (SA), </w:t>
      </w:r>
      <w:proofErr w:type="spellStart"/>
      <w:r w:rsidRPr="000325D6">
        <w:rPr>
          <w:rFonts w:cs="Arial"/>
          <w:sz w:val="16"/>
          <w:szCs w:val="16"/>
          <w:lang w:val="it-IT"/>
        </w:rPr>
        <w:t>Italy</w:t>
      </w:r>
      <w:proofErr w:type="spellEnd"/>
      <w:r w:rsidRPr="000325D6">
        <w:rPr>
          <w:rFonts w:cs="Arial"/>
          <w:sz w:val="16"/>
          <w:szCs w:val="16"/>
          <w:lang w:val="it-IT"/>
        </w:rPr>
        <w:t xml:space="preserve">, </w:t>
      </w:r>
      <w:hyperlink r:id="rId11" w:history="1">
        <w:r w:rsidR="001B579C" w:rsidRPr="000325D6">
          <w:rPr>
            <w:rStyle w:val="Collegamentoipertestuale"/>
            <w:rFonts w:cs="Arial"/>
            <w:sz w:val="16"/>
            <w:szCs w:val="16"/>
            <w:lang w:val="it-IT"/>
          </w:rPr>
          <w:t>mmiccio@unisa.it</w:t>
        </w:r>
      </w:hyperlink>
      <w:r w:rsidR="001B579C" w:rsidRPr="000325D6">
        <w:rPr>
          <w:rFonts w:cs="Arial"/>
          <w:sz w:val="16"/>
          <w:szCs w:val="16"/>
          <w:lang w:val="it-IT"/>
        </w:rPr>
        <w:t xml:space="preserve"> </w:t>
      </w:r>
    </w:p>
    <w:p w14:paraId="6FB0CD48" w14:textId="36DA537C" w:rsidR="00736DCB" w:rsidRPr="00111997" w:rsidRDefault="004E5BDB" w:rsidP="00F223BD">
      <w:pPr>
        <w:pStyle w:val="NormaleWeb"/>
        <w:widowControl w:val="0"/>
        <w:spacing w:line="240" w:lineRule="auto"/>
        <w:rPr>
          <w:rFonts w:cs="Arial"/>
          <w:sz w:val="16"/>
          <w:szCs w:val="16"/>
          <w:lang w:val="en-US"/>
        </w:rPr>
      </w:pPr>
      <w:r w:rsidRPr="00111997">
        <w:rPr>
          <w:rFonts w:cs="Arial"/>
          <w:sz w:val="16"/>
          <w:szCs w:val="16"/>
          <w:vertAlign w:val="superscript"/>
          <w:lang w:val="en-US"/>
        </w:rPr>
        <w:t>c</w:t>
      </w:r>
      <w:r w:rsidRPr="00111997">
        <w:rPr>
          <w:rFonts w:cs="Arial"/>
          <w:sz w:val="16"/>
          <w:szCs w:val="16"/>
          <w:lang w:val="en-US"/>
        </w:rPr>
        <w:t xml:space="preserve"> Department of Science, Technology and Society, University School for Advanced Studies IUSS Pavia,</w:t>
      </w:r>
      <w:r w:rsidRPr="00111997">
        <w:rPr>
          <w:lang w:val="en-US"/>
        </w:rPr>
        <w:t xml:space="preserve"> </w:t>
      </w:r>
      <w:r w:rsidR="00F223BD" w:rsidRPr="00111997">
        <w:rPr>
          <w:rFonts w:cs="Arial"/>
          <w:sz w:val="16"/>
          <w:szCs w:val="16"/>
          <w:lang w:val="en-US"/>
        </w:rPr>
        <w:t xml:space="preserve">Palazzo del </w:t>
      </w:r>
      <w:proofErr w:type="spellStart"/>
      <w:r w:rsidR="00F223BD" w:rsidRPr="00111997">
        <w:rPr>
          <w:rFonts w:cs="Arial"/>
          <w:sz w:val="16"/>
          <w:szCs w:val="16"/>
          <w:lang w:val="en-US"/>
        </w:rPr>
        <w:t>Broletto</w:t>
      </w:r>
      <w:proofErr w:type="spellEnd"/>
      <w:r w:rsidR="001B579C" w:rsidRPr="00111997">
        <w:rPr>
          <w:rFonts w:cs="Arial"/>
          <w:sz w:val="16"/>
          <w:szCs w:val="16"/>
          <w:lang w:val="en-US"/>
        </w:rPr>
        <w:t xml:space="preserve">, </w:t>
      </w:r>
      <w:r w:rsidR="00F223BD" w:rsidRPr="00111997">
        <w:rPr>
          <w:rFonts w:cs="Arial"/>
          <w:sz w:val="16"/>
          <w:szCs w:val="16"/>
          <w:lang w:val="en-US"/>
        </w:rPr>
        <w:t xml:space="preserve">Piazza </w:t>
      </w:r>
      <w:proofErr w:type="spellStart"/>
      <w:r w:rsidR="00F223BD" w:rsidRPr="00111997">
        <w:rPr>
          <w:rFonts w:cs="Arial"/>
          <w:sz w:val="16"/>
          <w:szCs w:val="16"/>
          <w:lang w:val="en-US"/>
        </w:rPr>
        <w:t>della</w:t>
      </w:r>
      <w:proofErr w:type="spellEnd"/>
      <w:r w:rsidR="00F223BD" w:rsidRPr="00111997">
        <w:rPr>
          <w:rFonts w:cs="Arial"/>
          <w:sz w:val="16"/>
          <w:szCs w:val="16"/>
          <w:lang w:val="en-US"/>
        </w:rPr>
        <w:t xml:space="preserve"> Vittoria</w:t>
      </w:r>
      <w:r w:rsidR="001B579C" w:rsidRPr="00111997">
        <w:rPr>
          <w:rFonts w:cs="Arial"/>
          <w:sz w:val="16"/>
          <w:szCs w:val="16"/>
          <w:lang w:val="en-US"/>
        </w:rPr>
        <w:t xml:space="preserve"> </w:t>
      </w:r>
      <w:r w:rsidR="00F223BD" w:rsidRPr="00111997">
        <w:rPr>
          <w:rFonts w:cs="Arial"/>
          <w:sz w:val="16"/>
          <w:szCs w:val="16"/>
          <w:lang w:val="en-US"/>
        </w:rPr>
        <w:t>15, 27100 Pavia (PV),</w:t>
      </w:r>
      <w:r w:rsidRPr="00111997">
        <w:rPr>
          <w:rFonts w:cs="Arial"/>
          <w:sz w:val="16"/>
          <w:szCs w:val="16"/>
          <w:lang w:val="en-US"/>
        </w:rPr>
        <w:t xml:space="preserve"> Italy</w:t>
      </w:r>
      <w:r w:rsidR="00736DCB" w:rsidRPr="00111997">
        <w:rPr>
          <w:rFonts w:cs="Arial"/>
          <w:sz w:val="16"/>
          <w:szCs w:val="16"/>
          <w:lang w:val="en-US"/>
        </w:rPr>
        <w:t xml:space="preserve">, </w:t>
      </w:r>
      <w:hyperlink r:id="rId12" w:history="1">
        <w:r w:rsidR="001B579C" w:rsidRPr="00111997">
          <w:rPr>
            <w:rStyle w:val="Collegamentoipertestuale"/>
            <w:rFonts w:cs="Arial"/>
            <w:sz w:val="16"/>
            <w:szCs w:val="16"/>
            <w:lang w:val="en-US"/>
          </w:rPr>
          <w:t>arshad.ahmad@iusspavia.it</w:t>
        </w:r>
      </w:hyperlink>
      <w:r w:rsidR="001B579C" w:rsidRPr="00111997">
        <w:rPr>
          <w:rFonts w:cs="Arial"/>
          <w:sz w:val="16"/>
          <w:szCs w:val="16"/>
          <w:lang w:val="en-US"/>
        </w:rPr>
        <w:t xml:space="preserve"> </w:t>
      </w:r>
    </w:p>
    <w:p w14:paraId="25336B0A" w14:textId="77777777" w:rsidR="00D4646B" w:rsidRPr="00111997" w:rsidRDefault="00D4646B" w:rsidP="00C3162D">
      <w:pPr>
        <w:pStyle w:val="NormaleWeb"/>
        <w:widowControl w:val="0"/>
        <w:spacing w:line="240" w:lineRule="auto"/>
        <w:rPr>
          <w:rFonts w:cs="Arial"/>
          <w:sz w:val="16"/>
          <w:szCs w:val="16"/>
          <w:lang w:val="en-US"/>
        </w:rPr>
      </w:pPr>
    </w:p>
    <w:p w14:paraId="1765DE5B" w14:textId="15694321" w:rsidR="00D4646B" w:rsidRPr="00111997" w:rsidRDefault="00D4646B" w:rsidP="00C3162D">
      <w:pPr>
        <w:pStyle w:val="CETBodytext"/>
        <w:spacing w:line="240" w:lineRule="auto"/>
      </w:pPr>
      <w:r w:rsidRPr="00111997">
        <w:t>Agri</w:t>
      </w:r>
      <w:r w:rsidR="00572F38" w:rsidRPr="00111997">
        <w:t>-Food</w:t>
      </w:r>
      <w:r w:rsidRPr="00111997">
        <w:t xml:space="preserve"> residues can pose environmental challenges, but through proper valorization, they can support circular economy principles by providing alternatives to fossil fuels. This study focuses on modeling the torrefaction process of </w:t>
      </w:r>
      <w:r w:rsidR="00572F38" w:rsidRPr="00111997">
        <w:t xml:space="preserve">an </w:t>
      </w:r>
      <w:r w:rsidR="006751D1" w:rsidRPr="00111997">
        <w:t xml:space="preserve">industrial </w:t>
      </w:r>
      <w:r w:rsidRPr="00111997">
        <w:t>hazelnut processing waste (</w:t>
      </w:r>
      <w:r w:rsidR="00572F38" w:rsidRPr="00111997">
        <w:t>i.e.,</w:t>
      </w:r>
      <w:r w:rsidRPr="00111997">
        <w:t xml:space="preserve"> </w:t>
      </w:r>
      <w:r w:rsidR="006751D1" w:rsidRPr="00111997">
        <w:t>r</w:t>
      </w:r>
      <w:r w:rsidRPr="00111997">
        <w:t xml:space="preserve">oasted cuticles) to </w:t>
      </w:r>
      <w:r w:rsidR="00572F38" w:rsidRPr="00111997">
        <w:t>produce</w:t>
      </w:r>
      <w:r w:rsidRPr="00111997">
        <w:t xml:space="preserve"> high-density </w:t>
      </w:r>
      <w:r w:rsidR="00572F38" w:rsidRPr="00111997">
        <w:t>solid biofuels</w:t>
      </w:r>
      <w:r w:rsidRPr="00111997">
        <w:t>.</w:t>
      </w:r>
      <w:r w:rsidR="00572F38" w:rsidRPr="00111997">
        <w:t xml:space="preserve"> </w:t>
      </w:r>
      <w:r w:rsidR="00736DCB" w:rsidRPr="00111997">
        <w:t>A</w:t>
      </w:r>
      <w:r w:rsidR="00FC5B4B" w:rsidRPr="00111997">
        <w:t>n Artificial</w:t>
      </w:r>
      <w:r w:rsidR="00572F38" w:rsidRPr="00111997">
        <w:t xml:space="preserve"> N</w:t>
      </w:r>
      <w:r w:rsidR="0044243F" w:rsidRPr="00111997">
        <w:t xml:space="preserve">eural </w:t>
      </w:r>
      <w:r w:rsidR="00572F38" w:rsidRPr="00111997">
        <w:t>N</w:t>
      </w:r>
      <w:r w:rsidR="0044243F" w:rsidRPr="00111997">
        <w:t>etwork</w:t>
      </w:r>
      <w:r w:rsidR="00572F38" w:rsidRPr="00111997">
        <w:t xml:space="preserve"> </w:t>
      </w:r>
      <w:r w:rsidR="00FC5B4B" w:rsidRPr="00111997">
        <w:t xml:space="preserve">(ANN) </w:t>
      </w:r>
      <w:r w:rsidR="00572F38" w:rsidRPr="00111997">
        <w:t>model is proposed.</w:t>
      </w:r>
      <w:r w:rsidRPr="00111997">
        <w:t xml:space="preserve"> The </w:t>
      </w:r>
      <w:r w:rsidR="00572F38" w:rsidRPr="00111997">
        <w:t>work leverages</w:t>
      </w:r>
      <w:r w:rsidRPr="00111997">
        <w:t xml:space="preserve"> </w:t>
      </w:r>
      <w:r w:rsidR="00572F38" w:rsidRPr="00111997">
        <w:t>the</w:t>
      </w:r>
      <w:r w:rsidRPr="00111997">
        <w:t xml:space="preserve"> innovative approach </w:t>
      </w:r>
      <w:r w:rsidR="00572F38" w:rsidRPr="00111997">
        <w:t>of</w:t>
      </w:r>
      <w:r w:rsidRPr="00111997">
        <w:t xml:space="preserve"> data augmentation through Gaussian noise addition to </w:t>
      </w:r>
      <w:r w:rsidR="00572F38" w:rsidRPr="00111997">
        <w:t xml:space="preserve">a relatively scarce </w:t>
      </w:r>
      <w:r w:rsidRPr="00111997">
        <w:t>experimental data</w:t>
      </w:r>
      <w:r w:rsidR="00572F38" w:rsidRPr="00111997">
        <w:t>set</w:t>
      </w:r>
      <w:r w:rsidRPr="00111997">
        <w:t>. Th</w:t>
      </w:r>
      <w:r w:rsidR="00572F38" w:rsidRPr="00111997">
        <w:t>e</w:t>
      </w:r>
      <w:r w:rsidRPr="00111997">
        <w:t xml:space="preserve"> expanded dataset</w:t>
      </w:r>
      <w:r w:rsidR="00572F38" w:rsidRPr="00111997">
        <w:t xml:space="preserve"> greatly </w:t>
      </w:r>
      <w:r w:rsidRPr="00111997">
        <w:t>improved</w:t>
      </w:r>
      <w:r w:rsidR="00572F38" w:rsidRPr="00111997">
        <w:t xml:space="preserve"> the</w:t>
      </w:r>
      <w:r w:rsidRPr="00111997">
        <w:t xml:space="preserve"> </w:t>
      </w:r>
      <w:r w:rsidR="0044243F" w:rsidRPr="00111997">
        <w:t xml:space="preserve">Neural Network </w:t>
      </w:r>
      <w:r w:rsidR="00572F38" w:rsidRPr="00111997">
        <w:t>prediction</w:t>
      </w:r>
      <w:r w:rsidRPr="00111997">
        <w:t xml:space="preserve"> performance</w:t>
      </w:r>
      <w:r w:rsidR="00572F38" w:rsidRPr="00111997">
        <w:t>:</w:t>
      </w:r>
      <w:r w:rsidRPr="00111997">
        <w:t xml:space="preserve"> </w:t>
      </w:r>
      <w:r w:rsidR="00572F38" w:rsidRPr="00111997">
        <w:t>t</w:t>
      </w:r>
      <w:r w:rsidRPr="00111997">
        <w:t xml:space="preserve">he method achieved </w:t>
      </w:r>
      <w:r w:rsidR="00470CC1" w:rsidRPr="00111997">
        <w:rPr>
          <w:color w:val="000000" w:themeColor="text1"/>
        </w:rPr>
        <w:t>considerably</w:t>
      </w:r>
      <w:r w:rsidRPr="00111997">
        <w:rPr>
          <w:color w:val="000000" w:themeColor="text1"/>
        </w:rPr>
        <w:t xml:space="preserve"> lower mean square error compared to </w:t>
      </w:r>
      <w:r w:rsidR="00572F38" w:rsidRPr="00111997">
        <w:rPr>
          <w:color w:val="000000" w:themeColor="text1"/>
        </w:rPr>
        <w:t xml:space="preserve">the </w:t>
      </w:r>
      <w:r w:rsidRPr="00111997">
        <w:rPr>
          <w:color w:val="000000" w:themeColor="text1"/>
        </w:rPr>
        <w:t>model</w:t>
      </w:r>
      <w:r w:rsidR="00572F38" w:rsidRPr="00111997">
        <w:rPr>
          <w:color w:val="000000" w:themeColor="text1"/>
        </w:rPr>
        <w:t xml:space="preserve"> output based</w:t>
      </w:r>
      <w:r w:rsidRPr="00111997">
        <w:rPr>
          <w:color w:val="000000" w:themeColor="text1"/>
        </w:rPr>
        <w:t xml:space="preserve"> on experimental data</w:t>
      </w:r>
      <w:r w:rsidR="00572F38" w:rsidRPr="00111997">
        <w:rPr>
          <w:color w:val="000000" w:themeColor="text1"/>
        </w:rPr>
        <w:t xml:space="preserve"> only.</w:t>
      </w:r>
      <w:r w:rsidRPr="00111997">
        <w:rPr>
          <w:color w:val="000000" w:themeColor="text1"/>
        </w:rPr>
        <w:t xml:space="preserve"> This </w:t>
      </w:r>
      <w:r w:rsidRPr="00111997">
        <w:t xml:space="preserve">approach offers </w:t>
      </w:r>
      <w:r w:rsidR="00572F38" w:rsidRPr="00111997">
        <w:t>several</w:t>
      </w:r>
      <w:r w:rsidRPr="00111997">
        <w:t xml:space="preserve"> benefits: it enables accurate modeling with limited experimental data, </w:t>
      </w:r>
      <w:r w:rsidR="00572F38" w:rsidRPr="00111997">
        <w:t>reduces the need for extensive experimental work, lowers</w:t>
      </w:r>
      <w:r w:rsidRPr="00111997">
        <w:t xml:space="preserve"> costs, and improves process optimization capabilities</w:t>
      </w:r>
      <w:r w:rsidR="00572F38" w:rsidRPr="00111997">
        <w:t>,</w:t>
      </w:r>
      <w:r w:rsidRPr="00111997">
        <w:t xml:space="preserve"> </w:t>
      </w:r>
      <w:r w:rsidR="00572F38" w:rsidRPr="00111997">
        <w:t>presently in torrefaction processing and, more in general,</w:t>
      </w:r>
      <w:r w:rsidRPr="00111997">
        <w:t xml:space="preserve"> in resource utilization and waste management.</w:t>
      </w:r>
    </w:p>
    <w:p w14:paraId="476B2F2E" w14:textId="52B36035" w:rsidR="00600535" w:rsidRPr="00111997" w:rsidRDefault="00600535" w:rsidP="00C3162D">
      <w:pPr>
        <w:pStyle w:val="CETHeading1"/>
        <w:keepNext w:val="0"/>
        <w:widowControl w:val="0"/>
      </w:pPr>
      <w:r w:rsidRPr="00111997">
        <w:t>Introduction</w:t>
      </w:r>
    </w:p>
    <w:p w14:paraId="483633D3" w14:textId="52614FE3" w:rsidR="00D4646B" w:rsidRPr="00111997" w:rsidRDefault="00A13A3F" w:rsidP="00C3162D">
      <w:pPr>
        <w:pStyle w:val="CETBodytext"/>
        <w:spacing w:line="240" w:lineRule="auto"/>
      </w:pPr>
      <w:r w:rsidRPr="00111997">
        <w:t>Torrefaction is a thermal process that heats organic material to temperatures between 200</w:t>
      </w:r>
      <w:r w:rsidR="00637CE6">
        <w:t xml:space="preserve"> and </w:t>
      </w:r>
      <w:r w:rsidRPr="00111997">
        <w:t xml:space="preserve">300°C in an oxygen-free or low-oxygen environment (Panwar and </w:t>
      </w:r>
      <w:proofErr w:type="spellStart"/>
      <w:r w:rsidRPr="00111997">
        <w:t>Divyangkumar</w:t>
      </w:r>
      <w:proofErr w:type="spellEnd"/>
      <w:r w:rsidRPr="00111997">
        <w:t xml:space="preserve">, 2024). This process </w:t>
      </w:r>
      <w:r w:rsidR="00637CE6">
        <w:t xml:space="preserve">usually </w:t>
      </w:r>
      <w:r w:rsidR="00463619" w:rsidRPr="00111997">
        <w:t xml:space="preserve">produces a </w:t>
      </w:r>
      <w:r w:rsidR="007B201B" w:rsidRPr="00111997">
        <w:t xml:space="preserve">commodity </w:t>
      </w:r>
      <w:r w:rsidR="00463619" w:rsidRPr="00111997">
        <w:t>solid fuel from biomass feedstocks</w:t>
      </w:r>
      <w:r w:rsidRPr="00111997">
        <w:t xml:space="preserve"> </w:t>
      </w:r>
      <w:r w:rsidR="00E865BA">
        <w:t>by</w:t>
      </w:r>
      <w:r w:rsidRPr="00111997">
        <w:t xml:space="preserve"> increasing its energy density and modifying its chemical and physical properties </w:t>
      </w:r>
      <w:r w:rsidR="00463619" w:rsidRPr="00111997">
        <w:t>or</w:t>
      </w:r>
      <w:r w:rsidR="00D21D59">
        <w:t>,</w:t>
      </w:r>
      <w:r w:rsidR="00463619" w:rsidRPr="00111997">
        <w:t xml:space="preserve"> </w:t>
      </w:r>
      <w:r w:rsidR="00637CE6">
        <w:t>alternatively</w:t>
      </w:r>
      <w:r w:rsidR="00D21D59">
        <w:t>,</w:t>
      </w:r>
      <w:r w:rsidR="00637CE6">
        <w:t xml:space="preserve"> </w:t>
      </w:r>
      <w:r w:rsidR="00D21D59">
        <w:t>new</w:t>
      </w:r>
      <w:r w:rsidR="00463619" w:rsidRPr="00111997">
        <w:t xml:space="preserve"> industrial raw materials. </w:t>
      </w:r>
      <w:r w:rsidRPr="00111997">
        <w:t xml:space="preserve">The industrial process </w:t>
      </w:r>
      <w:r w:rsidR="00D21D59">
        <w:t>occurs</w:t>
      </w:r>
      <w:r w:rsidRPr="00111997">
        <w:t xml:space="preserve"> in </w:t>
      </w:r>
      <w:r w:rsidR="00463619" w:rsidRPr="00111997">
        <w:t xml:space="preserve">batch or continuous </w:t>
      </w:r>
      <w:r w:rsidRPr="00111997">
        <w:t xml:space="preserve">reactors, with </w:t>
      </w:r>
      <w:r w:rsidR="00463619" w:rsidRPr="00111997">
        <w:t xml:space="preserve">the </w:t>
      </w:r>
      <w:r w:rsidRPr="00111997">
        <w:t xml:space="preserve">fluidized bed reactor being </w:t>
      </w:r>
      <w:r w:rsidR="00463619" w:rsidRPr="00111997">
        <w:t>a convenient option</w:t>
      </w:r>
      <w:r w:rsidRPr="00111997">
        <w:t xml:space="preserve"> (Miccio et al., 2023). In </w:t>
      </w:r>
      <w:r w:rsidR="007B201B" w:rsidRPr="00111997">
        <w:t>this latter</w:t>
      </w:r>
      <w:r w:rsidRPr="00111997">
        <w:t xml:space="preserve">, the continuous movement of </w:t>
      </w:r>
      <w:r w:rsidR="007B201B" w:rsidRPr="00111997">
        <w:t xml:space="preserve">inert </w:t>
      </w:r>
      <w:r w:rsidRPr="00111997">
        <w:t xml:space="preserve">particles </w:t>
      </w:r>
      <w:r w:rsidR="007B201B" w:rsidRPr="00111997">
        <w:t xml:space="preserve">fluidized by an inert gas or steam ensures homogeneity of the reacting system and </w:t>
      </w:r>
      <w:r w:rsidRPr="00111997">
        <w:t xml:space="preserve">enhances heat </w:t>
      </w:r>
      <w:r w:rsidR="007B201B" w:rsidRPr="00111997">
        <w:t xml:space="preserve">and mass </w:t>
      </w:r>
      <w:r w:rsidRPr="00111997">
        <w:t xml:space="preserve">transfer </w:t>
      </w:r>
      <w:r w:rsidR="007B201B" w:rsidRPr="00111997">
        <w:t>to the biomass particles</w:t>
      </w:r>
      <w:r w:rsidRPr="00111997">
        <w:t xml:space="preserve">. During </w:t>
      </w:r>
      <w:r w:rsidR="007B201B" w:rsidRPr="00111997">
        <w:t>torrefaction</w:t>
      </w:r>
      <w:r w:rsidRPr="00111997">
        <w:t xml:space="preserve">, a series of chemical reactions occur, including thermal </w:t>
      </w:r>
      <w:r w:rsidR="001339FB" w:rsidRPr="00111997">
        <w:t>decomposition of hemicellulose and, partly, cellulose (</w:t>
      </w:r>
      <w:proofErr w:type="spellStart"/>
      <w:r w:rsidR="001339FB" w:rsidRPr="00111997">
        <w:t>Brachi</w:t>
      </w:r>
      <w:proofErr w:type="spellEnd"/>
      <w:r w:rsidR="001339FB" w:rsidRPr="00111997">
        <w:t xml:space="preserve"> et al., 2016). </w:t>
      </w:r>
      <w:r w:rsidR="00A230A5" w:rsidRPr="00111997">
        <w:t xml:space="preserve">They release </w:t>
      </w:r>
      <w:r w:rsidRPr="00111997">
        <w:t>volatile substances</w:t>
      </w:r>
      <w:r w:rsidR="00A230A5" w:rsidRPr="00111997">
        <w:t xml:space="preserve"> such</w:t>
      </w:r>
      <w:r w:rsidRPr="00111997">
        <w:t xml:space="preserve"> as </w:t>
      </w:r>
      <w:r w:rsidR="00A230A5" w:rsidRPr="00111997">
        <w:t xml:space="preserve">carbon dioxide, carbon monoxide, </w:t>
      </w:r>
      <w:r w:rsidRPr="00111997">
        <w:t>methane, hydrogen, and other light gases</w:t>
      </w:r>
      <w:r w:rsidR="00A230A5" w:rsidRPr="00111997">
        <w:t>, apart from water vapor. These latter are generally produced to a limited extent, with carbon dioxide being the prevailing one; therefore, they</w:t>
      </w:r>
      <w:r w:rsidRPr="00111997">
        <w:t xml:space="preserve"> can be </w:t>
      </w:r>
      <w:r w:rsidR="00A230A5" w:rsidRPr="00111997">
        <w:t>hardly</w:t>
      </w:r>
      <w:r w:rsidRPr="00111997">
        <w:t xml:space="preserve"> used </w:t>
      </w:r>
      <w:r w:rsidR="00483602" w:rsidRPr="00111997">
        <w:t xml:space="preserve">directly </w:t>
      </w:r>
      <w:r w:rsidRPr="00111997">
        <w:t>as fuels (</w:t>
      </w:r>
      <w:proofErr w:type="spellStart"/>
      <w:r w:rsidR="00847FF6" w:rsidRPr="00847FF6">
        <w:t>Thengane</w:t>
      </w:r>
      <w:proofErr w:type="spellEnd"/>
      <w:r w:rsidR="00847FF6" w:rsidRPr="00111997">
        <w:t xml:space="preserve"> </w:t>
      </w:r>
      <w:r w:rsidRPr="00111997">
        <w:t>et al., 202</w:t>
      </w:r>
      <w:r w:rsidR="00847FF6">
        <w:t>2</w:t>
      </w:r>
      <w:r w:rsidRPr="00111997">
        <w:t xml:space="preserve">). The solid </w:t>
      </w:r>
      <w:r w:rsidR="00A230A5" w:rsidRPr="00111997">
        <w:t xml:space="preserve">product </w:t>
      </w:r>
      <w:r w:rsidRPr="00111997">
        <w:t xml:space="preserve">of </w:t>
      </w:r>
      <w:r w:rsidR="00A230A5" w:rsidRPr="00111997">
        <w:t>torrefaction</w:t>
      </w:r>
      <w:r w:rsidRPr="00111997">
        <w:t xml:space="preserve">, </w:t>
      </w:r>
      <w:r w:rsidR="00A230A5" w:rsidRPr="00111997">
        <w:t xml:space="preserve">frequently referred to as </w:t>
      </w:r>
      <w:r w:rsidRPr="00111997">
        <w:t>biochar (Khairy et al., 2024), becomes enriched with carbon, acquiring a higher calorific value compared to the starting material. Thanks to its porous structure, biochar finds use not only as a fuel but also as a fertilizer and soil amendment, as it can retain moisture and nutrients, improving soil quality and water retention capacity (Hu et al., 2022). Its absorptive properties also make it useful in applications such as water purification or the removal of air contaminants (Lin et al., 2023).</w:t>
      </w:r>
      <w:r w:rsidR="00F55F5D" w:rsidRPr="00111997">
        <w:t xml:space="preserve"> </w:t>
      </w:r>
      <w:r w:rsidRPr="00111997">
        <w:t xml:space="preserve">Recently, the torrefaction process has been increasingly applied in the management of agricultural and food waste. Materials such as fruit shells, straw, </w:t>
      </w:r>
      <w:proofErr w:type="spellStart"/>
      <w:r w:rsidRPr="00111997">
        <w:t>prunings</w:t>
      </w:r>
      <w:proofErr w:type="spellEnd"/>
      <w:r w:rsidRPr="00111997">
        <w:t xml:space="preserve">, or plant fibers, which often represent a large quantity of difficult-to-manage waste, are particularly suitable for this treatment due to their </w:t>
      </w:r>
      <w:r w:rsidR="00C803E8" w:rsidRPr="00111997">
        <w:t>hemi</w:t>
      </w:r>
      <w:r w:rsidRPr="00111997">
        <w:t xml:space="preserve">cellulose and </w:t>
      </w:r>
      <w:r w:rsidR="00C803E8" w:rsidRPr="00111997">
        <w:t xml:space="preserve">cellulose </w:t>
      </w:r>
      <w:r w:rsidRPr="00111997">
        <w:t>content, which during torrefaction transform into high-calorific-value biochar (Chen et al., 2023). Similarly,</w:t>
      </w:r>
      <w:r w:rsidR="0078722F" w:rsidRPr="00111997">
        <w:t xml:space="preserve"> relatively dry</w:t>
      </w:r>
      <w:r w:rsidRPr="00111997">
        <w:t xml:space="preserve"> food waste such as fruit </w:t>
      </w:r>
      <w:r w:rsidR="0078722F" w:rsidRPr="00111997">
        <w:t>or</w:t>
      </w:r>
      <w:r w:rsidRPr="00111997">
        <w:t xml:space="preserve"> vegetable scraps and expired products can be processed</w:t>
      </w:r>
      <w:r w:rsidR="00486B63">
        <w:t xml:space="preserve"> </w:t>
      </w:r>
      <w:r w:rsidR="00486B63" w:rsidRPr="00111997">
        <w:t>(Miccio et al., 2024)</w:t>
      </w:r>
      <w:r w:rsidR="000A57DD" w:rsidRPr="00111997">
        <w:t>,</w:t>
      </w:r>
      <w:r w:rsidRPr="00111997">
        <w:t xml:space="preserve"> </w:t>
      </w:r>
      <w:r w:rsidR="00C803E8" w:rsidRPr="00111997">
        <w:t xml:space="preserve">thus </w:t>
      </w:r>
      <w:r w:rsidRPr="00111997">
        <w:t xml:space="preserve">reducing their volume </w:t>
      </w:r>
      <w:r w:rsidR="00024EAF" w:rsidRPr="00111997">
        <w:t xml:space="preserve">and preventing </w:t>
      </w:r>
      <w:r w:rsidR="00D21D59">
        <w:t xml:space="preserve">the </w:t>
      </w:r>
      <w:r w:rsidR="00024EAF" w:rsidRPr="00111997">
        <w:t>release of unpleasant odors</w:t>
      </w:r>
      <w:r w:rsidR="00024EAF">
        <w:t>.</w:t>
      </w:r>
      <w:r w:rsidR="00024EAF" w:rsidRPr="00111997">
        <w:t xml:space="preserve"> </w:t>
      </w:r>
      <w:r w:rsidR="001A692E" w:rsidRPr="00111997">
        <w:t>All in all, torrefaction</w:t>
      </w:r>
      <w:r w:rsidRPr="00111997">
        <w:t xml:space="preserve"> addresses sustainable waste management and energy recovery, reducing the need for landfills and minimizing greenhouse gas emissions from the anaerobic decomposition of these materials.</w:t>
      </w:r>
    </w:p>
    <w:p w14:paraId="54D21B94" w14:textId="53610582" w:rsidR="000A57DD" w:rsidRPr="00111997" w:rsidRDefault="000A57DD" w:rsidP="00C3162D">
      <w:pPr>
        <w:pStyle w:val="CETBodytext"/>
        <w:spacing w:line="240" w:lineRule="auto"/>
      </w:pPr>
      <w:r w:rsidRPr="00111997">
        <w:t xml:space="preserve">The torrefaction process is not easily described by traditional mathematical models, as it involves </w:t>
      </w:r>
      <w:r w:rsidR="00D21D59">
        <w:t>several</w:t>
      </w:r>
      <w:r w:rsidRPr="00111997">
        <w:t xml:space="preserve"> complex </w:t>
      </w:r>
      <w:proofErr w:type="gramStart"/>
      <w:r w:rsidRPr="00111997">
        <w:t>and also</w:t>
      </w:r>
      <w:proofErr w:type="gramEnd"/>
      <w:r w:rsidRPr="00111997">
        <w:t xml:space="preserve"> nonlinear phenomena such as a series-parallel network of organic degradation reactions and changes in the physical properties of the solid material. In addition, the composition of the feedstock (moisture, proximate and elemental analysis), the highly variable size distribution and shape of the biomass particles, and </w:t>
      </w:r>
      <w:r w:rsidRPr="00111997">
        <w:lastRenderedPageBreak/>
        <w:t xml:space="preserve">the process variables (temperature, </w:t>
      </w:r>
      <w:r w:rsidR="0078722F" w:rsidRPr="00111997">
        <w:t xml:space="preserve">heating rate, </w:t>
      </w:r>
      <w:r w:rsidRPr="00111997">
        <w:t>inert gas flow rate, particle residence time, etc.) play an important role and interact each other in ways that are difficult to predict using deterministic models. Given these fundamental challenges in developing accurate first-principles models, researchers have explored alternative methods to better understand and predict torrefaction behavior.</w:t>
      </w:r>
    </w:p>
    <w:p w14:paraId="2200F795" w14:textId="4DC9FA38" w:rsidR="00347DBA" w:rsidRPr="00111997" w:rsidRDefault="00347DBA" w:rsidP="00C3162D">
      <w:pPr>
        <w:pStyle w:val="CETHeading1"/>
        <w:keepNext w:val="0"/>
        <w:widowControl w:val="0"/>
      </w:pPr>
      <w:r w:rsidRPr="00111997">
        <w:t xml:space="preserve">Torrefaction modeling by </w:t>
      </w:r>
      <w:r w:rsidR="00544012" w:rsidRPr="00111997">
        <w:t>M</w:t>
      </w:r>
      <w:r w:rsidRPr="00111997">
        <w:t xml:space="preserve">achine </w:t>
      </w:r>
      <w:r w:rsidR="00FC0AD2" w:rsidRPr="00111997">
        <w:t>L</w:t>
      </w:r>
      <w:r w:rsidRPr="00111997">
        <w:t>earning</w:t>
      </w:r>
    </w:p>
    <w:p w14:paraId="05381904" w14:textId="39B93AB8" w:rsidR="00D63456" w:rsidRPr="00111997" w:rsidRDefault="00E012E7" w:rsidP="00C3162D">
      <w:pPr>
        <w:pStyle w:val="CETBodytext"/>
        <w:spacing w:line="240" w:lineRule="auto"/>
      </w:pPr>
      <w:r w:rsidRPr="00111997">
        <w:t xml:space="preserve">Machine </w:t>
      </w:r>
      <w:r w:rsidR="00544012" w:rsidRPr="00111997">
        <w:t>l</w:t>
      </w:r>
      <w:r w:rsidRPr="00111997">
        <w:t>earning (ML) has emerged as a promising tool in this context, offering a data-driven approach to understand</w:t>
      </w:r>
      <w:r w:rsidR="00D21D59">
        <w:t>ing</w:t>
      </w:r>
      <w:r w:rsidRPr="00111997">
        <w:t xml:space="preserve"> and predict</w:t>
      </w:r>
      <w:r w:rsidR="00D21D59">
        <w:t>ing</w:t>
      </w:r>
      <w:r w:rsidRPr="00111997">
        <w:t xml:space="preserve"> torrefaction behavior. Unlike traditional methods, ML can capture complex relationships between variables without requiring explicit mathematical formulations of the underlying physical and chemical phenomena</w:t>
      </w:r>
      <w:r w:rsidR="002F4014" w:rsidRPr="00111997">
        <w:t xml:space="preserve">, </w:t>
      </w:r>
      <w:r w:rsidRPr="00111997">
        <w:t>learn</w:t>
      </w:r>
      <w:r w:rsidR="002F4014" w:rsidRPr="00111997">
        <w:t>ing</w:t>
      </w:r>
      <w:r w:rsidRPr="00111997">
        <w:t xml:space="preserve"> directly from experimental data to identify patterns and correlations that might be overlooked by conventional approaches. For </w:t>
      </w:r>
      <w:r w:rsidR="00C66D01" w:rsidRPr="00111997">
        <w:t>instance,</w:t>
      </w:r>
      <w:r w:rsidR="005A6498" w:rsidRPr="00111997">
        <w:t xml:space="preserve"> </w:t>
      </w:r>
      <w:r w:rsidR="00347DBA" w:rsidRPr="00111997">
        <w:t xml:space="preserve">Su and Jiang (2024) developed </w:t>
      </w:r>
      <w:r w:rsidR="00544012" w:rsidRPr="00111997">
        <w:t xml:space="preserve">ML </w:t>
      </w:r>
      <w:r w:rsidR="00347DBA" w:rsidRPr="00111997">
        <w:t xml:space="preserve">models specifically designed to predict biochar properties derived from lignocellulosic biomass torrefaction. Oladosu et al. (2024) integrated experimental optimization with </w:t>
      </w:r>
      <w:r w:rsidR="00544012" w:rsidRPr="00111997">
        <w:t>ML</w:t>
      </w:r>
      <w:r w:rsidR="00347DBA" w:rsidRPr="00111997">
        <w:t xml:space="preserve"> techniques to predict energy conversion efficiency in the torrefaction of Bambara Groundnut Shells. Furthermore, Naveed et al. (2024) contributed valuable insights into the prediction and optimization of torrefied biomass quality using various </w:t>
      </w:r>
      <w:r w:rsidR="00544012" w:rsidRPr="00111997">
        <w:t>ML</w:t>
      </w:r>
      <w:r w:rsidR="00347DBA" w:rsidRPr="00111997">
        <w:t xml:space="preserve"> algorithms.</w:t>
      </w:r>
    </w:p>
    <w:p w14:paraId="239BF7BD" w14:textId="262CE9B3" w:rsidR="00D63456" w:rsidRPr="00111997" w:rsidRDefault="00F43A2F" w:rsidP="00C3162D">
      <w:pPr>
        <w:pStyle w:val="CETBodytext"/>
        <w:spacing w:line="240" w:lineRule="auto"/>
      </w:pPr>
      <w:r w:rsidRPr="00111997">
        <w:t xml:space="preserve">However, </w:t>
      </w:r>
      <w:r w:rsidR="00544012" w:rsidRPr="00111997">
        <w:t>ML</w:t>
      </w:r>
      <w:r w:rsidR="00255D5C" w:rsidRPr="00111997">
        <w:t xml:space="preserve"> </w:t>
      </w:r>
      <w:r w:rsidRPr="00111997">
        <w:t xml:space="preserve">application </w:t>
      </w:r>
      <w:r w:rsidR="003430FB" w:rsidRPr="00111997">
        <w:t>is not free from critical problems</w:t>
      </w:r>
      <w:r w:rsidR="00255D5C" w:rsidRPr="00111997">
        <w:t>. Limited data availability represents one of the main challenges</w:t>
      </w:r>
      <w:r w:rsidR="00F07E2A" w:rsidRPr="00111997">
        <w:t xml:space="preserve"> (Nijman et al., 2022)</w:t>
      </w:r>
      <w:r w:rsidR="00255D5C" w:rsidRPr="00111997">
        <w:t xml:space="preserve">. </w:t>
      </w:r>
      <w:r w:rsidR="00CF379D" w:rsidRPr="00111997">
        <w:t>As mentioned</w:t>
      </w:r>
      <w:r w:rsidR="00E53307" w:rsidRPr="00111997">
        <w:t>,</w:t>
      </w:r>
      <w:r w:rsidR="00294CD9" w:rsidRPr="00111997">
        <w:t xml:space="preserve"> </w:t>
      </w:r>
      <w:r w:rsidR="0018154D" w:rsidRPr="00111997">
        <w:t>t</w:t>
      </w:r>
      <w:r w:rsidR="00255D5C" w:rsidRPr="00111997">
        <w:t>he torrefaction process depends on multiple variables</w:t>
      </w:r>
      <w:r w:rsidR="00294CD9" w:rsidRPr="00111997">
        <w:t xml:space="preserve"> and</w:t>
      </w:r>
      <w:r w:rsidR="00CF379D" w:rsidRPr="00111997">
        <w:t xml:space="preserve">, in </w:t>
      </w:r>
      <w:r w:rsidR="00D21D59">
        <w:t xml:space="preserve">the </w:t>
      </w:r>
      <w:r w:rsidR="00CF379D" w:rsidRPr="00111997">
        <w:t>case of</w:t>
      </w:r>
      <w:r w:rsidR="00255D5C" w:rsidRPr="00111997">
        <w:t xml:space="preserve"> </w:t>
      </w:r>
      <w:r w:rsidR="00D21D59">
        <w:t xml:space="preserve">a </w:t>
      </w:r>
      <w:r w:rsidR="00255D5C" w:rsidRPr="00111997">
        <w:t>small dataset, the model's ability to generalize and make accurate predictions is severely compromised.</w:t>
      </w:r>
      <w:r w:rsidR="0018154D" w:rsidRPr="00111997">
        <w:t xml:space="preserve"> </w:t>
      </w:r>
      <w:r w:rsidR="00255D5C" w:rsidRPr="00111997">
        <w:t xml:space="preserve">Traditional </w:t>
      </w:r>
      <w:r w:rsidR="00544012" w:rsidRPr="00111997">
        <w:t>ML</w:t>
      </w:r>
      <w:r w:rsidR="00255D5C" w:rsidRPr="00111997">
        <w:t xml:space="preserve"> models, especially neural networks, require large and diverse datasets to effectively learn patterns and relationships between input variables and outcomes. Data scarcity</w:t>
      </w:r>
      <w:r w:rsidR="00D30D66" w:rsidRPr="00111997">
        <w:t>, e.g., when they are costly to collect,</w:t>
      </w:r>
      <w:r w:rsidR="00255D5C" w:rsidRPr="00111997">
        <w:t xml:space="preserve"> can cause the model to not adequately capture these relationships, causing overfitting </w:t>
      </w:r>
      <w:r w:rsidR="00D30D66" w:rsidRPr="00111997">
        <w:t xml:space="preserve">or </w:t>
      </w:r>
      <w:r w:rsidR="00255D5C" w:rsidRPr="00111997">
        <w:t>poor performance on new and unseen scenarios.</w:t>
      </w:r>
      <w:r w:rsidR="00552360" w:rsidRPr="00111997">
        <w:t xml:space="preserve"> </w:t>
      </w:r>
      <w:r w:rsidR="00255D5C" w:rsidRPr="00111997">
        <w:t xml:space="preserve">Additionally, if the data is not representative or contains noise, the results may be inaccurate. </w:t>
      </w:r>
      <w:r w:rsidR="00347DBA" w:rsidRPr="00111997">
        <w:t xml:space="preserve">To address the challenge of limited data, data augmentation techniques can be employed to artificially expand the dataset. </w:t>
      </w:r>
      <w:r w:rsidR="00451475" w:rsidRPr="00111997">
        <w:t>This involves generating modified versions of the existing data, e.g., by adding Gaussian noise (</w:t>
      </w:r>
      <w:r w:rsidR="00451475" w:rsidRPr="00111997">
        <w:rPr>
          <w:rFonts w:eastAsia="Calibri"/>
        </w:rPr>
        <w:t xml:space="preserve">Dong et al., 2023; </w:t>
      </w:r>
      <w:r w:rsidR="00451475" w:rsidRPr="00111997">
        <w:t>Dou et al., 2022; Valenti et al., 2016). This approach introduces slight variations to the original data, mimicking real-world uncertainties and measurement errors. By exposing the neural network to a wider variety of scenarios, data augmentation improves its ability to generalize, enabling better performance when the model encounters new, unseen data (</w:t>
      </w:r>
      <w:proofErr w:type="spellStart"/>
      <w:r w:rsidR="00451475" w:rsidRPr="00111997">
        <w:t>Rebuffi</w:t>
      </w:r>
      <w:proofErr w:type="spellEnd"/>
      <w:r w:rsidR="00451475" w:rsidRPr="00111997">
        <w:t xml:space="preserve"> et al., 2021).</w:t>
      </w:r>
    </w:p>
    <w:p w14:paraId="43C87B83" w14:textId="3E1B59F9" w:rsidR="00D63456" w:rsidRPr="00111997" w:rsidRDefault="003A4146" w:rsidP="00C3162D">
      <w:pPr>
        <w:pStyle w:val="CETBodytext"/>
        <w:spacing w:line="240" w:lineRule="auto"/>
      </w:pPr>
      <w:r w:rsidRPr="00111997">
        <w:t>While data augmentation has been widely used in image processing and signal analysis, its application to chemical process data is relatively recent. Zhang et al. (2021) investigated data augmentation and transfer learning strategies for reaction prediction in low chemical data regimes. In bioprocess applications, Wei et al. (2022) applied data augmentation techniques combined with machine learning for control strategy development in bio-polymerization processes. More recently, Balhorn et al. (2023) extended data augmentation methods to chemical process flowsheet</w:t>
      </w:r>
      <w:r w:rsidR="00202133" w:rsidRPr="00111997">
        <w:t>ing</w:t>
      </w:r>
      <w:r w:rsidRPr="00111997">
        <w:t>, presenting a systematic framework for machine learning applications.</w:t>
      </w:r>
    </w:p>
    <w:p w14:paraId="548BCAC2" w14:textId="4CB0B3B8" w:rsidR="00354558" w:rsidRPr="00111997" w:rsidRDefault="006934E8" w:rsidP="00C3162D">
      <w:pPr>
        <w:pStyle w:val="CETHeading1"/>
        <w:keepNext w:val="0"/>
        <w:widowControl w:val="0"/>
      </w:pPr>
      <w:r w:rsidRPr="00111997">
        <w:t>Discussion</w:t>
      </w:r>
    </w:p>
    <w:p w14:paraId="556B41B0" w14:textId="1F2A4193" w:rsidR="001E20C2" w:rsidRPr="00111997" w:rsidRDefault="00CF379D" w:rsidP="00C3162D">
      <w:pPr>
        <w:pStyle w:val="CETheadingx"/>
        <w:keepNext w:val="0"/>
        <w:widowControl w:val="0"/>
      </w:pPr>
      <w:r w:rsidRPr="00111997">
        <w:t>Experimental</w:t>
      </w:r>
    </w:p>
    <w:p w14:paraId="465E0F19" w14:textId="74F1DF6C" w:rsidR="00254723" w:rsidRPr="00111997" w:rsidRDefault="005E6B60" w:rsidP="00C3162D">
      <w:pPr>
        <w:pStyle w:val="CETBodytext"/>
        <w:spacing w:line="240" w:lineRule="auto"/>
      </w:pPr>
      <w:r w:rsidRPr="00111997">
        <w:t>A bench-scale, specially instrumented, batch</w:t>
      </w:r>
      <w:r w:rsidR="00D21D59">
        <w:t>-</w:t>
      </w:r>
      <w:r w:rsidRPr="00111997">
        <w:t>operated torrefaction reactor (Figure 1A) enabled the collection of experimental data needed for subsequent ML application</w:t>
      </w:r>
      <w:r w:rsidR="00D21D59">
        <w:t>s</w:t>
      </w:r>
      <w:r w:rsidRPr="00111997">
        <w:t xml:space="preserve">. The </w:t>
      </w:r>
      <w:r w:rsidR="00EC4650">
        <w:t xml:space="preserve">experimental </w:t>
      </w:r>
      <w:r w:rsidRPr="00111997">
        <w:t xml:space="preserve">apparatus and the test procedure are described in detail elsewhere (Miccio et al., 2024). </w:t>
      </w:r>
    </w:p>
    <w:p w14:paraId="49C9EA31" w14:textId="77777777" w:rsidR="002F6F0E" w:rsidRPr="00111997" w:rsidRDefault="002F6F0E" w:rsidP="00C3162D">
      <w:pPr>
        <w:pStyle w:val="CETBodytext"/>
        <w:spacing w:line="240" w:lineRule="auto"/>
      </w:pPr>
    </w:p>
    <w:p w14:paraId="5823037E" w14:textId="77777777" w:rsidR="002F6F0E" w:rsidRPr="00111997" w:rsidRDefault="002F6F0E" w:rsidP="002F6F0E">
      <w:pPr>
        <w:pStyle w:val="CETBodytext"/>
        <w:spacing w:line="240" w:lineRule="auto"/>
      </w:pPr>
      <w:r w:rsidRPr="00111997">
        <w:rPr>
          <w:rFonts w:asciiTheme="minorHAnsi" w:hAnsiTheme="minorHAnsi" w:cstheme="minorHAnsi"/>
          <w:noProof/>
          <w:sz w:val="22"/>
          <w:szCs w:val="22"/>
        </w:rPr>
        <w:drawing>
          <wp:inline distT="0" distB="0" distL="0" distR="0" wp14:anchorId="1B49B89D" wp14:editId="2C3A7D88">
            <wp:extent cx="2031812" cy="1987826"/>
            <wp:effectExtent l="0" t="0" r="635" b="0"/>
            <wp:docPr id="1358824639" name="Immagine 1" descr="Immagine che contiene testo,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24639" name="Immagine 1" descr="Immagine che contiene testo, diagramma, design&#10;&#10;Descrizione generata automaticamente"/>
                    <pic:cNvPicPr/>
                  </pic:nvPicPr>
                  <pic:blipFill rotWithShape="1">
                    <a:blip r:embed="rId13"/>
                    <a:srcRect r="30264"/>
                    <a:stretch/>
                  </pic:blipFill>
                  <pic:spPr bwMode="auto">
                    <a:xfrm>
                      <a:off x="0" y="0"/>
                      <a:ext cx="2125817" cy="2079796"/>
                    </a:xfrm>
                    <a:prstGeom prst="rect">
                      <a:avLst/>
                    </a:prstGeom>
                    <a:ln>
                      <a:noFill/>
                    </a:ln>
                    <a:extLst>
                      <a:ext uri="{53640926-AAD7-44D8-BBD7-CCE9431645EC}">
                        <a14:shadowObscured xmlns:a14="http://schemas.microsoft.com/office/drawing/2010/main"/>
                      </a:ext>
                    </a:extLst>
                  </pic:spPr>
                </pic:pic>
              </a:graphicData>
            </a:graphic>
          </wp:inline>
        </w:drawing>
      </w:r>
      <w:r w:rsidRPr="00111997">
        <w:t xml:space="preserve">  </w:t>
      </w:r>
      <w:r w:rsidRPr="00111997">
        <w:rPr>
          <w:noProof/>
        </w:rPr>
        <w:drawing>
          <wp:inline distT="0" distB="0" distL="0" distR="0" wp14:anchorId="7CC6CFEC" wp14:editId="3668A282">
            <wp:extent cx="3469354" cy="1892411"/>
            <wp:effectExtent l="0" t="0" r="0" b="0"/>
            <wp:docPr id="373986704" name="Immagine 1" descr="Immagine che contiene verd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6704" name="Immagine 1" descr="Immagine che contiene verdura&#10;&#10;Descrizione generata automaticamente"/>
                    <pic:cNvPicPr/>
                  </pic:nvPicPr>
                  <pic:blipFill>
                    <a:blip r:embed="rId14"/>
                    <a:stretch>
                      <a:fillRect/>
                    </a:stretch>
                  </pic:blipFill>
                  <pic:spPr>
                    <a:xfrm>
                      <a:off x="0" y="0"/>
                      <a:ext cx="3624323" cy="1976941"/>
                    </a:xfrm>
                    <a:prstGeom prst="rect">
                      <a:avLst/>
                    </a:prstGeom>
                  </pic:spPr>
                </pic:pic>
              </a:graphicData>
            </a:graphic>
          </wp:inline>
        </w:drawing>
      </w:r>
    </w:p>
    <w:p w14:paraId="5249E15F" w14:textId="77777777" w:rsidR="002F6F0E" w:rsidRPr="00111997" w:rsidRDefault="002F6F0E" w:rsidP="002F6F0E">
      <w:pPr>
        <w:pStyle w:val="CETBodytext"/>
        <w:spacing w:line="240" w:lineRule="auto"/>
        <w:rPr>
          <w:i/>
          <w:iCs/>
        </w:rPr>
      </w:pPr>
      <w:r w:rsidRPr="00111997">
        <w:rPr>
          <w:i/>
          <w:iCs/>
        </w:rPr>
        <w:t xml:space="preserve">                                 A)                                                                                    B)</w:t>
      </w:r>
    </w:p>
    <w:p w14:paraId="7757E93A" w14:textId="6DA6F166" w:rsidR="002F6F0E" w:rsidRPr="00111997" w:rsidRDefault="002F6F0E" w:rsidP="002F6F0E">
      <w:pPr>
        <w:pStyle w:val="CETBodytext"/>
        <w:spacing w:line="240" w:lineRule="auto"/>
        <w:rPr>
          <w:i/>
          <w:iCs/>
        </w:rPr>
      </w:pPr>
      <w:r w:rsidRPr="00111997">
        <w:rPr>
          <w:i/>
          <w:iCs/>
        </w:rPr>
        <w:t xml:space="preserve">Figure 1: The lab-scale torrefaction experiments: A) fluidized bed reactor; B) </w:t>
      </w:r>
      <w:r w:rsidR="002E4ED3" w:rsidRPr="00111997">
        <w:rPr>
          <w:i/>
          <w:iCs/>
        </w:rPr>
        <w:t xml:space="preserve">hazelnut </w:t>
      </w:r>
      <w:r w:rsidRPr="00111997">
        <w:rPr>
          <w:i/>
          <w:iCs/>
        </w:rPr>
        <w:t>cuticles before and after torrefaction.</w:t>
      </w:r>
    </w:p>
    <w:p w14:paraId="029B4F9C" w14:textId="77777777" w:rsidR="002F6F0E" w:rsidRPr="00111997" w:rsidRDefault="002F6F0E" w:rsidP="002F6F0E">
      <w:pPr>
        <w:pStyle w:val="CETBodytext"/>
        <w:spacing w:line="240" w:lineRule="auto"/>
        <w:rPr>
          <w:i/>
          <w:iCs/>
        </w:rPr>
      </w:pPr>
    </w:p>
    <w:p w14:paraId="7C67845C" w14:textId="667322C1" w:rsidR="005E6B60" w:rsidRPr="00111997" w:rsidRDefault="005E6B60" w:rsidP="00C3162D">
      <w:pPr>
        <w:pStyle w:val="CETBodytext"/>
        <w:spacing w:line="240" w:lineRule="auto"/>
      </w:pPr>
      <w:r w:rsidRPr="00111997">
        <w:t xml:space="preserve">The selected Agri-Food </w:t>
      </w:r>
      <w:r w:rsidR="00EC4650">
        <w:t>r</w:t>
      </w:r>
      <w:r w:rsidRPr="00111997">
        <w:t xml:space="preserve">esidues have been cuticles generated as a waste of industrial roasting of three different </w:t>
      </w:r>
      <w:r w:rsidR="007E0FD5" w:rsidRPr="00111997">
        <w:t xml:space="preserve">hazelnut </w:t>
      </w:r>
      <w:r w:rsidRPr="00111997">
        <w:t xml:space="preserve">feedstocks, i.e., </w:t>
      </w:r>
      <w:proofErr w:type="spellStart"/>
      <w:r w:rsidRPr="00111997">
        <w:t>Mortarella</w:t>
      </w:r>
      <w:proofErr w:type="spellEnd"/>
      <w:r w:rsidRPr="00111997">
        <w:t xml:space="preserve">, Grimaldi and </w:t>
      </w:r>
      <w:proofErr w:type="spellStart"/>
      <w:r w:rsidRPr="00111997">
        <w:t>Prodal</w:t>
      </w:r>
      <w:proofErr w:type="spellEnd"/>
      <w:r w:rsidRPr="00111997">
        <w:t xml:space="preserve">. As an example, they are shown in Figure 1B before and after the torrefaction test #17 with 2-4 mm Grimaldi particles at the temperature of 300 °C. </w:t>
      </w:r>
    </w:p>
    <w:p w14:paraId="5012B473" w14:textId="0CA53B08" w:rsidR="00E816E6" w:rsidRPr="00111997" w:rsidRDefault="005E6B60" w:rsidP="00C3162D">
      <w:pPr>
        <w:pStyle w:val="CETBodytext"/>
        <w:spacing w:line="240" w:lineRule="auto"/>
      </w:pPr>
      <w:r w:rsidRPr="00111997">
        <w:t xml:space="preserve">The experimental campaign included 29 tests. </w:t>
      </w:r>
      <w:r w:rsidR="00254723" w:rsidRPr="00111997">
        <w:t xml:space="preserve">The residence time of the biomass batch in the fluidized bed has always been 5 min. </w:t>
      </w:r>
      <w:r w:rsidR="00E816E6" w:rsidRPr="00111997">
        <w:t xml:space="preserve">The biomass particle size has always been </w:t>
      </w:r>
      <w:r w:rsidR="005F626A" w:rsidRPr="00111997">
        <w:t xml:space="preserve">2-4 </w:t>
      </w:r>
      <w:r w:rsidR="00E816E6" w:rsidRPr="00111997">
        <w:t xml:space="preserve">mm. </w:t>
      </w:r>
    </w:p>
    <w:p w14:paraId="5469E8AE" w14:textId="7E153B33" w:rsidR="008241AE" w:rsidRPr="00111997" w:rsidRDefault="005E6B60" w:rsidP="00C3162D">
      <w:pPr>
        <w:pStyle w:val="CETBodytext"/>
        <w:spacing w:line="240" w:lineRule="auto"/>
      </w:pPr>
      <w:r w:rsidRPr="00111997">
        <w:t xml:space="preserve">The main torrefaction process variables have been: 1. temperature (at three levels, i.e., 200°C, 250°C, 300°C); 2. sample mass loaded into the batch reactor (1.5, 2.5, 3.0 and 4.3 g). The other test parameters have been those related to the selected biomass composition: </w:t>
      </w:r>
      <w:r w:rsidR="00254723" w:rsidRPr="00111997">
        <w:t>3</w:t>
      </w:r>
      <w:r w:rsidRPr="00111997">
        <w:t xml:space="preserve">. moisture content (varying from 0 to 11.6 % </w:t>
      </w:r>
      <w:proofErr w:type="spellStart"/>
      <w:r w:rsidRPr="00111997">
        <w:t>wt</w:t>
      </w:r>
      <w:proofErr w:type="spellEnd"/>
      <w:r w:rsidRPr="00111997">
        <w:t xml:space="preserve">); </w:t>
      </w:r>
      <w:r w:rsidR="00254723" w:rsidRPr="00111997">
        <w:t>4</w:t>
      </w:r>
      <w:r w:rsidRPr="00111997">
        <w:t>. Fixed Carbon</w:t>
      </w:r>
      <w:r w:rsidR="00254723" w:rsidRPr="00111997">
        <w:t>,</w:t>
      </w:r>
      <w:r w:rsidRPr="00111997">
        <w:t xml:space="preserve"> </w:t>
      </w:r>
      <w:r w:rsidR="00254723" w:rsidRPr="00111997">
        <w:t>5</w:t>
      </w:r>
      <w:r w:rsidRPr="00111997">
        <w:t>. Volatile Matter</w:t>
      </w:r>
      <w:r w:rsidR="00254723" w:rsidRPr="00111997">
        <w:t xml:space="preserve"> and</w:t>
      </w:r>
      <w:r w:rsidRPr="00111997">
        <w:t xml:space="preserve"> </w:t>
      </w:r>
      <w:r w:rsidR="00254723" w:rsidRPr="00111997">
        <w:t>6</w:t>
      </w:r>
      <w:r w:rsidRPr="00111997">
        <w:t xml:space="preserve">. Ash (as provided by Proximate Analysis of the raw feedstock); </w:t>
      </w:r>
      <w:r w:rsidR="00254723" w:rsidRPr="00111997">
        <w:t>7</w:t>
      </w:r>
      <w:r w:rsidRPr="00111997">
        <w:t>. Carbon</w:t>
      </w:r>
      <w:r w:rsidR="00254723" w:rsidRPr="00111997">
        <w:t>,</w:t>
      </w:r>
      <w:r w:rsidRPr="00111997">
        <w:t xml:space="preserve"> </w:t>
      </w:r>
      <w:r w:rsidR="00254723" w:rsidRPr="00111997">
        <w:t>8</w:t>
      </w:r>
      <w:r w:rsidRPr="00111997">
        <w:t>. Hydrogen</w:t>
      </w:r>
      <w:r w:rsidR="00254723" w:rsidRPr="00111997">
        <w:t>,</w:t>
      </w:r>
      <w:r w:rsidRPr="00111997">
        <w:t xml:space="preserve"> </w:t>
      </w:r>
      <w:r w:rsidR="00254723" w:rsidRPr="00111997">
        <w:t>9</w:t>
      </w:r>
      <w:r w:rsidRPr="00111997">
        <w:t>. Nitrogen</w:t>
      </w:r>
      <w:r w:rsidR="00254723" w:rsidRPr="00111997">
        <w:t xml:space="preserve"> and</w:t>
      </w:r>
      <w:r w:rsidRPr="00111997">
        <w:t xml:space="preserve"> 1</w:t>
      </w:r>
      <w:r w:rsidR="00254723" w:rsidRPr="00111997">
        <w:t>0</w:t>
      </w:r>
      <w:r w:rsidRPr="00111997">
        <w:t>. Oxygen (as provided by Ultimate Analysis of the raw feedstock).</w:t>
      </w:r>
      <w:r w:rsidR="0075690B" w:rsidRPr="00111997">
        <w:t xml:space="preserve"> </w:t>
      </w:r>
      <w:r w:rsidR="008241AE" w:rsidRPr="00111997">
        <w:t>The experimental results provided the observed data for subsequent ML application</w:t>
      </w:r>
      <w:r w:rsidR="00D21D59">
        <w:t>s</w:t>
      </w:r>
      <w:r w:rsidR="008241AE" w:rsidRPr="00111997">
        <w:t xml:space="preserve">. The first one is: 1. the mass yield </w:t>
      </w:r>
      <w:r w:rsidR="00345873" w:rsidRPr="00111997">
        <w:t xml:space="preserve">(on a dry basis) </w:t>
      </w:r>
      <w:r w:rsidR="008241AE" w:rsidRPr="00111997">
        <w:t>as defined by the equation (Miccio et al., 2024):</w:t>
      </w:r>
    </w:p>
    <w:p w14:paraId="7E102F6D" w14:textId="77777777" w:rsidR="008241AE" w:rsidRPr="00111997" w:rsidRDefault="008241AE" w:rsidP="00C3162D">
      <w:pPr>
        <w:pStyle w:val="CETEquation"/>
        <w:spacing w:line="240" w:lineRule="auto"/>
        <w:rPr>
          <w:lang w:val="en-US"/>
        </w:rPr>
      </w:pPr>
      <w:r w:rsidRPr="00111997">
        <w:rPr>
          <w:lang w:val="en-US"/>
        </w:rPr>
        <w:t xml:space="preserve">MY (%, </w:t>
      </w:r>
      <w:proofErr w:type="spellStart"/>
      <w:r w:rsidRPr="00111997">
        <w:rPr>
          <w:lang w:val="en-US"/>
        </w:rPr>
        <w:t>db</w:t>
      </w:r>
      <w:proofErr w:type="spellEnd"/>
      <w:r w:rsidRPr="00111997">
        <w:rPr>
          <w:lang w:val="en-US"/>
        </w:rPr>
        <w:t>) = (mass of torrefied solids)</w:t>
      </w:r>
      <w:proofErr w:type="gramStart"/>
      <w:r w:rsidRPr="00111997">
        <w:rPr>
          <w:lang w:val="en-US"/>
        </w:rPr>
        <w:t>/(</w:t>
      </w:r>
      <w:proofErr w:type="gramEnd"/>
      <w:r w:rsidRPr="00111997">
        <w:rPr>
          <w:lang w:val="en-US"/>
        </w:rPr>
        <w:t xml:space="preserve">mass of dry sample) </w:t>
      </w:r>
      <m:oMath>
        <m:r>
          <m:rPr>
            <m:sty m:val="p"/>
          </m:rPr>
          <w:rPr>
            <w:rFonts w:ascii="Cambria Math" w:hAnsi="Cambria Math"/>
            <w:lang w:val="en-US"/>
          </w:rPr>
          <m:t>·</m:t>
        </m:r>
      </m:oMath>
      <w:r w:rsidRPr="00111997">
        <w:rPr>
          <w:lang w:val="en-US"/>
        </w:rPr>
        <w:t xml:space="preserve"> 100</w:t>
      </w:r>
      <w:r w:rsidRPr="00111997">
        <w:rPr>
          <w:lang w:val="en-US"/>
        </w:rPr>
        <w:tab/>
        <w:t>(1)</w:t>
      </w:r>
    </w:p>
    <w:p w14:paraId="13E41AD5" w14:textId="32EA7D34" w:rsidR="008241AE" w:rsidRPr="00111997" w:rsidRDefault="008241AE" w:rsidP="00C3162D">
      <w:pPr>
        <w:pStyle w:val="CETBodytext"/>
        <w:spacing w:line="240" w:lineRule="auto"/>
      </w:pPr>
      <w:r w:rsidRPr="00111997">
        <w:t>The other ones are those characterizing the composition of torrefied solids: 2. Fixed Carbon</w:t>
      </w:r>
      <w:r w:rsidR="00B755B4" w:rsidRPr="00111997">
        <w:t>,</w:t>
      </w:r>
      <w:r w:rsidRPr="00111997">
        <w:t xml:space="preserve"> 3. Volatile Matter</w:t>
      </w:r>
      <w:r w:rsidR="00B755B4" w:rsidRPr="00111997">
        <w:t xml:space="preserve"> and</w:t>
      </w:r>
      <w:r w:rsidRPr="00111997">
        <w:t xml:space="preserve"> 4. Ash (as provided by Proximate Analysis of the torrefied solids); 5. Carbon</w:t>
      </w:r>
      <w:r w:rsidR="00B755B4" w:rsidRPr="00111997">
        <w:t>,</w:t>
      </w:r>
      <w:r w:rsidRPr="00111997">
        <w:t xml:space="preserve"> 6. Hydrogen</w:t>
      </w:r>
      <w:r w:rsidR="00B755B4" w:rsidRPr="00111997">
        <w:t>,</w:t>
      </w:r>
      <w:r w:rsidRPr="00111997">
        <w:t xml:space="preserve"> 7. Nitrogen</w:t>
      </w:r>
      <w:r w:rsidR="00B755B4" w:rsidRPr="00111997">
        <w:t xml:space="preserve"> and</w:t>
      </w:r>
      <w:r w:rsidRPr="00111997">
        <w:t xml:space="preserve"> 8. Oxygen (as provided by Ultimate Analysis of the torrefied solids). </w:t>
      </w:r>
    </w:p>
    <w:p w14:paraId="2F1B6A1A" w14:textId="1F26F5E8" w:rsidR="00122A01" w:rsidRPr="00111997" w:rsidRDefault="00122A01" w:rsidP="00C3162D">
      <w:pPr>
        <w:pStyle w:val="CETBodytext"/>
        <w:spacing w:line="240" w:lineRule="auto"/>
      </w:pPr>
      <w:r w:rsidRPr="00111997">
        <w:t xml:space="preserve">The experimental plan was structured to systematically investigate the influence of </w:t>
      </w:r>
      <w:r w:rsidR="007E0FD5" w:rsidRPr="00111997">
        <w:t xml:space="preserve">the </w:t>
      </w:r>
      <w:r w:rsidRPr="00111997">
        <w:t xml:space="preserve">key process </w:t>
      </w:r>
      <w:r w:rsidR="007E0FD5" w:rsidRPr="00111997">
        <w:t xml:space="preserve">variables (Negi et al., 2020) </w:t>
      </w:r>
      <w:r w:rsidRPr="00111997">
        <w:t>on the torrefaction of different hazelnut cuticle</w:t>
      </w:r>
      <w:r w:rsidR="007E0FD5" w:rsidRPr="00111997">
        <w:t>s</w:t>
      </w:r>
      <w:r w:rsidRPr="00111997">
        <w:t>. Temperature levels (200°C, 250°C, 300°C) were selected to cover the typical torrefaction range, while sample mass variations (1.5</w:t>
      </w:r>
      <w:r w:rsidR="00C66D01">
        <w:t xml:space="preserve"> </w:t>
      </w:r>
      <w:r w:rsidRPr="00111997">
        <w:t>-</w:t>
      </w:r>
      <w:r w:rsidR="00C66D01">
        <w:t xml:space="preserve"> </w:t>
      </w:r>
      <w:r w:rsidRPr="00111997">
        <w:t xml:space="preserve">4.3 g) allowed investigation of potential mass transfer effects. Three different hazelnut </w:t>
      </w:r>
      <w:r w:rsidR="004A0319" w:rsidRPr="00111997">
        <w:t xml:space="preserve">cultivars </w:t>
      </w:r>
      <w:r w:rsidRPr="00111997">
        <w:t>(</w:t>
      </w:r>
      <w:proofErr w:type="spellStart"/>
      <w:r w:rsidRPr="00111997">
        <w:t>Mortarella</w:t>
      </w:r>
      <w:proofErr w:type="spellEnd"/>
      <w:r w:rsidRPr="00111997">
        <w:t>, PRODAL, Grimaldi) with their inherent variations in moisture content (0</w:t>
      </w:r>
      <w:r w:rsidR="00EC4650">
        <w:t> </w:t>
      </w:r>
      <w:r w:rsidRPr="00111997">
        <w:t>-</w:t>
      </w:r>
      <w:r w:rsidR="00EC4650">
        <w:t> </w:t>
      </w:r>
      <w:r w:rsidRPr="00111997">
        <w:t xml:space="preserve">11.6% </w:t>
      </w:r>
      <w:proofErr w:type="spellStart"/>
      <w:r w:rsidRPr="00111997">
        <w:t>wt</w:t>
      </w:r>
      <w:proofErr w:type="spellEnd"/>
      <w:r w:rsidRPr="00111997">
        <w:t>) and compositional characteristics were tested to account for feedstock variability in industrial applications.</w:t>
      </w:r>
    </w:p>
    <w:p w14:paraId="46766F62" w14:textId="77777777" w:rsidR="00CF379D" w:rsidRPr="00111997" w:rsidRDefault="00CF379D" w:rsidP="00C3162D">
      <w:pPr>
        <w:pStyle w:val="CETheadingx"/>
        <w:keepNext w:val="0"/>
        <w:widowControl w:val="0"/>
      </w:pPr>
      <w:r w:rsidRPr="00111997">
        <w:t>Methodological Approach</w:t>
      </w:r>
    </w:p>
    <w:p w14:paraId="20171043" w14:textId="0F8D153B" w:rsidR="00D25765" w:rsidRPr="00111997" w:rsidRDefault="00D25765" w:rsidP="00C3162D">
      <w:pPr>
        <w:pStyle w:val="CETBodytext"/>
        <w:spacing w:line="240" w:lineRule="auto"/>
      </w:pPr>
      <w:r w:rsidRPr="00111997">
        <w:t>The Artificial Neural Network (ANN) consists of an input layer followed by two hidden layers with 8 and 5 neurons respectively (Figure 2). The number of neurons in the input (10) and output (8) layers was determined by the process variables and target parameters</w:t>
      </w:r>
      <w:r w:rsidR="005A7354" w:rsidRPr="00111997">
        <w:t>,</w:t>
      </w:r>
      <w:r w:rsidRPr="00111997">
        <w:t xml:space="preserve"> respectively. The two hidden layers architecture with 8 and 5 neurons provides sufficient model capacity for</w:t>
      </w:r>
      <w:r w:rsidR="005A7354" w:rsidRPr="00111997">
        <w:t xml:space="preserve"> the complexity of the torrefaction process modeling</w:t>
      </w:r>
      <w:r w:rsidRPr="00111997">
        <w:t>. The hidden layers use hyperbolic tangent (</w:t>
      </w:r>
      <w:proofErr w:type="spellStart"/>
      <w:r w:rsidRPr="00111997">
        <w:t>tansig</w:t>
      </w:r>
      <w:proofErr w:type="spellEnd"/>
      <w:r w:rsidRPr="00111997">
        <w:t>) activation functions while the output layer employs a linear function (</w:t>
      </w:r>
      <w:proofErr w:type="spellStart"/>
      <w:r w:rsidRPr="00111997">
        <w:t>purelin</w:t>
      </w:r>
      <w:proofErr w:type="spellEnd"/>
      <w:r w:rsidRPr="00111997">
        <w:t>). The optimization algorithm employs the Levenberg-Marquardt backpropagation (</w:t>
      </w:r>
      <w:proofErr w:type="spellStart"/>
      <w:r w:rsidRPr="00111997">
        <w:t>trainlm</w:t>
      </w:r>
      <w:proofErr w:type="spellEnd"/>
      <w:r w:rsidRPr="00111997">
        <w:t xml:space="preserve">) for training. The entire neural network was implemented in MATLAB (2023b), using its Deep Learning Toolbox™. This architecture, while not necessarily </w:t>
      </w:r>
      <w:r w:rsidR="000544E1" w:rsidRPr="00111997">
        <w:t xml:space="preserve">the </w:t>
      </w:r>
      <w:r w:rsidRPr="00111997">
        <w:t>optimal</w:t>
      </w:r>
      <w:r w:rsidR="000544E1" w:rsidRPr="00111997">
        <w:t xml:space="preserve"> one</w:t>
      </w:r>
      <w:r w:rsidRPr="00111997">
        <w:t xml:space="preserve">, represents a practical compromise between different requirements: model capacity to capture the non-linear relationships in the torrefaction process, computational efficiency in the training phase, </w:t>
      </w:r>
      <w:r w:rsidR="00E6283C" w:rsidRPr="00111997">
        <w:t xml:space="preserve">negligible overfitting </w:t>
      </w:r>
      <w:r w:rsidR="00111997" w:rsidRPr="00111997">
        <w:t>despite</w:t>
      </w:r>
      <w:r w:rsidR="00E6283C" w:rsidRPr="00111997">
        <w:t xml:space="preserve"> the limited size of the original experimental dataset </w:t>
      </w:r>
      <w:r w:rsidRPr="00111997">
        <w:t xml:space="preserve">and need </w:t>
      </w:r>
      <w:r w:rsidR="00323F39">
        <w:t>of</w:t>
      </w:r>
      <w:r w:rsidRPr="00111997">
        <w:t xml:space="preserve"> maintain</w:t>
      </w:r>
      <w:r w:rsidR="00323F39">
        <w:t>ing a</w:t>
      </w:r>
      <w:r w:rsidRPr="00111997">
        <w:t xml:space="preserve"> good generalization ability.</w:t>
      </w:r>
    </w:p>
    <w:p w14:paraId="32C73B0F" w14:textId="77777777" w:rsidR="0029266E" w:rsidRPr="00111997" w:rsidRDefault="0029266E" w:rsidP="00C3162D">
      <w:pPr>
        <w:pStyle w:val="CETBodytext"/>
        <w:spacing w:line="240" w:lineRule="auto"/>
      </w:pPr>
    </w:p>
    <w:p w14:paraId="185EC587" w14:textId="62E62931" w:rsidR="005B545D" w:rsidRPr="00111997" w:rsidRDefault="0029266E" w:rsidP="00C3162D">
      <w:pPr>
        <w:pStyle w:val="CETBodytext"/>
        <w:spacing w:line="240" w:lineRule="auto"/>
      </w:pPr>
      <w:r w:rsidRPr="00111997">
        <w:rPr>
          <w:noProof/>
        </w:rPr>
        <w:drawing>
          <wp:inline distT="0" distB="0" distL="0" distR="0" wp14:anchorId="21210667" wp14:editId="3A938A13">
            <wp:extent cx="3854426" cy="2806811"/>
            <wp:effectExtent l="0" t="0" r="0" b="0"/>
            <wp:docPr id="19577057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768" cy="2889347"/>
                    </a:xfrm>
                    <a:prstGeom prst="rect">
                      <a:avLst/>
                    </a:prstGeom>
                    <a:noFill/>
                    <a:ln>
                      <a:noFill/>
                    </a:ln>
                  </pic:spPr>
                </pic:pic>
              </a:graphicData>
            </a:graphic>
          </wp:inline>
        </w:drawing>
      </w:r>
    </w:p>
    <w:p w14:paraId="06CC94F4" w14:textId="30945754" w:rsidR="005B545D" w:rsidRPr="00111997" w:rsidRDefault="005B545D" w:rsidP="00C3162D">
      <w:pPr>
        <w:pStyle w:val="CETBodytext"/>
        <w:spacing w:line="240" w:lineRule="auto"/>
        <w:rPr>
          <w:i/>
          <w:iCs/>
        </w:rPr>
      </w:pPr>
      <w:r w:rsidRPr="00111997">
        <w:rPr>
          <w:i/>
          <w:iCs/>
        </w:rPr>
        <w:t>Figure</w:t>
      </w:r>
      <w:r w:rsidR="00EE14EA" w:rsidRPr="00111997">
        <w:rPr>
          <w:i/>
          <w:iCs/>
        </w:rPr>
        <w:t xml:space="preserve"> </w:t>
      </w:r>
      <w:r w:rsidRPr="00111997">
        <w:rPr>
          <w:i/>
          <w:iCs/>
        </w:rPr>
        <w:t>2</w:t>
      </w:r>
      <w:r w:rsidR="00B755B4" w:rsidRPr="00111997">
        <w:rPr>
          <w:i/>
          <w:iCs/>
        </w:rPr>
        <w:t>:</w:t>
      </w:r>
      <w:r w:rsidRPr="00111997">
        <w:rPr>
          <w:i/>
          <w:iCs/>
        </w:rPr>
        <w:t xml:space="preserve"> </w:t>
      </w:r>
      <w:r w:rsidR="00B755B4" w:rsidRPr="00111997">
        <w:rPr>
          <w:i/>
          <w:iCs/>
        </w:rPr>
        <w:t xml:space="preserve">The </w:t>
      </w:r>
      <w:r w:rsidR="005B0D80" w:rsidRPr="00111997">
        <w:rPr>
          <w:i/>
          <w:iCs/>
        </w:rPr>
        <w:t xml:space="preserve">Artificial Neural Network (ANN) </w:t>
      </w:r>
      <w:r w:rsidRPr="00111997">
        <w:rPr>
          <w:i/>
          <w:iCs/>
        </w:rPr>
        <w:t>structure.</w:t>
      </w:r>
    </w:p>
    <w:p w14:paraId="4B626237" w14:textId="77777777" w:rsidR="005B545D" w:rsidRPr="00111997" w:rsidRDefault="005B545D" w:rsidP="00C3162D">
      <w:pPr>
        <w:pStyle w:val="CETBodytext"/>
        <w:spacing w:line="240" w:lineRule="auto"/>
      </w:pPr>
    </w:p>
    <w:p w14:paraId="43851142" w14:textId="12B66434" w:rsidR="00363527" w:rsidRPr="00111997" w:rsidRDefault="00EE14EA" w:rsidP="0075690B">
      <w:pPr>
        <w:pStyle w:val="CETBodytext"/>
        <w:spacing w:line="240" w:lineRule="auto"/>
      </w:pPr>
      <w:r w:rsidRPr="00111997">
        <w:t>The original dataset consisted of 29 samples as obtained from the 29 experimental tests.</w:t>
      </w:r>
      <w:r w:rsidR="005B545D" w:rsidRPr="00111997">
        <w:t xml:space="preserve"> </w:t>
      </w:r>
      <w:r w:rsidR="003579BF" w:rsidRPr="00111997">
        <w:t>S</w:t>
      </w:r>
      <w:r w:rsidR="00122AC0" w:rsidRPr="00111997">
        <w:t xml:space="preserve">tarting from this, the authors </w:t>
      </w:r>
      <w:r w:rsidR="003579BF" w:rsidRPr="00111997">
        <w:t>exploited the</w:t>
      </w:r>
      <w:r w:rsidR="00122AC0" w:rsidRPr="00111997">
        <w:t xml:space="preserve"> modeling approach </w:t>
      </w:r>
      <w:r w:rsidR="003579BF" w:rsidRPr="00111997">
        <w:t>by adopting</w:t>
      </w:r>
      <w:r w:rsidR="00122AC0" w:rsidRPr="00111997">
        <w:t xml:space="preserve"> data augmentation techniques. </w:t>
      </w:r>
      <w:r w:rsidR="00363527" w:rsidRPr="00111997">
        <w:t xml:space="preserve">Adding Gaussian noise to the original data, both input and output, </w:t>
      </w:r>
      <w:r w:rsidR="00533EF8" w:rsidRPr="00111997">
        <w:t>substantially</w:t>
      </w:r>
      <w:r w:rsidR="00363527" w:rsidRPr="00111997">
        <w:t xml:space="preserve"> expanded the available dataset while maintaining the fundamental physical </w:t>
      </w:r>
      <w:r w:rsidR="00556C25" w:rsidRPr="00111997">
        <w:t>relationships among</w:t>
      </w:r>
      <w:r w:rsidR="00D21D59">
        <w:t xml:space="preserve"> </w:t>
      </w:r>
      <w:r w:rsidR="00363527" w:rsidRPr="00111997">
        <w:t xml:space="preserve">measured experimental points. The slight variations introduced by noise addition can prevent overfitting to the experimental values, although it's important to note that any improved performance metrics should be interpreted primarily as an indication of better generalization within the bounds of experimental conditions, rather than as evidence of the model capturing new physical </w:t>
      </w:r>
      <w:r w:rsidR="00190296" w:rsidRPr="00111997">
        <w:t>relationships. The</w:t>
      </w:r>
      <w:r w:rsidR="00363527" w:rsidRPr="00111997">
        <w:t xml:space="preserve"> augmentation procedure was applied to the </w:t>
      </w:r>
      <w:r w:rsidR="00A05043" w:rsidRPr="00111997">
        <w:t xml:space="preserve">original </w:t>
      </w:r>
      <w:r w:rsidR="00363527" w:rsidRPr="00111997">
        <w:t xml:space="preserve">dataset </w:t>
      </w:r>
      <w:r w:rsidR="00A05043" w:rsidRPr="00111997">
        <w:t xml:space="preserve">(29 samples) </w:t>
      </w:r>
      <w:r w:rsidR="00363527" w:rsidRPr="00111997">
        <w:t xml:space="preserve">before any data splitting. </w:t>
      </w:r>
      <w:r w:rsidR="00FB7335">
        <w:t>Both</w:t>
      </w:r>
      <w:r w:rsidR="00363527" w:rsidRPr="00111997">
        <w:t xml:space="preserve"> </w:t>
      </w:r>
      <w:r w:rsidR="00FB7335" w:rsidRPr="00111997">
        <w:t>dataset</w:t>
      </w:r>
      <w:r w:rsidR="00FB7335">
        <w:t>s, i.e., the original and the</w:t>
      </w:r>
      <w:r w:rsidR="00FB7335" w:rsidRPr="00111997">
        <w:t xml:space="preserve"> </w:t>
      </w:r>
      <w:r w:rsidR="00363527" w:rsidRPr="00111997">
        <w:t>augmented</w:t>
      </w:r>
      <w:r w:rsidR="00FB7335">
        <w:t xml:space="preserve"> one</w:t>
      </w:r>
      <w:r w:rsidR="00363527" w:rsidRPr="00111997">
        <w:t>, w</w:t>
      </w:r>
      <w:r w:rsidR="00FB7335">
        <w:t>ere</w:t>
      </w:r>
      <w:r w:rsidR="00363527" w:rsidRPr="00111997">
        <w:t xml:space="preserve"> divided into training (70%), validation (15%), and test </w:t>
      </w:r>
      <w:r w:rsidR="00FB7335">
        <w:t>sub</w:t>
      </w:r>
      <w:r w:rsidR="00363527" w:rsidRPr="00111997">
        <w:t>sets (15%). This approach ensure</w:t>
      </w:r>
      <w:r w:rsidR="00FB7335">
        <w:t>d</w:t>
      </w:r>
      <w:r w:rsidR="00363527" w:rsidRPr="00111997">
        <w:t xml:space="preserve"> consistent representation of both experimental and augmented data across all </w:t>
      </w:r>
      <w:r w:rsidR="00A05043" w:rsidRPr="00111997">
        <w:t>sub</w:t>
      </w:r>
      <w:r w:rsidR="00363527" w:rsidRPr="00111997">
        <w:t xml:space="preserve">sets </w:t>
      </w:r>
      <w:r w:rsidR="00A05043" w:rsidRPr="00111997">
        <w:t xml:space="preserve">while </w:t>
      </w:r>
      <w:r w:rsidR="00363527" w:rsidRPr="00111997">
        <w:t xml:space="preserve">maintaining </w:t>
      </w:r>
      <w:r w:rsidR="00A05043" w:rsidRPr="00111997">
        <w:t xml:space="preserve">the integrity of the </w:t>
      </w:r>
      <w:r w:rsidR="00FB7335">
        <w:t xml:space="preserve">following </w:t>
      </w:r>
      <w:r w:rsidR="00A05043" w:rsidRPr="00111997">
        <w:t xml:space="preserve">cross-validation process and </w:t>
      </w:r>
      <w:r w:rsidR="00363527" w:rsidRPr="00111997">
        <w:t>the reliability of the model evaluation process.</w:t>
      </w:r>
    </w:p>
    <w:p w14:paraId="29026A1D" w14:textId="35DEC2F0" w:rsidR="00726F8F" w:rsidRPr="00111997" w:rsidRDefault="00F924F9" w:rsidP="00C3162D">
      <w:pPr>
        <w:pStyle w:val="CETBodytext"/>
        <w:spacing w:line="240" w:lineRule="auto"/>
      </w:pPr>
      <w:r w:rsidRPr="00111997">
        <w:t xml:space="preserve">The </w:t>
      </w:r>
      <w:r w:rsidR="00125678" w:rsidRPr="00111997">
        <w:t>a</w:t>
      </w:r>
      <w:r w:rsidR="00EE14EA" w:rsidRPr="00111997">
        <w:t xml:space="preserve">uthors </w:t>
      </w:r>
      <w:r w:rsidR="00BB7483" w:rsidRPr="00111997">
        <w:t xml:space="preserve">decided to generate an augmented dataset that should have been </w:t>
      </w:r>
      <w:r w:rsidR="00EE14EA" w:rsidRPr="00111997">
        <w:t xml:space="preserve">more than one order of magnitude larger </w:t>
      </w:r>
      <w:r w:rsidR="00BB7483" w:rsidRPr="00111997">
        <w:t xml:space="preserve">than the original one. Therefore, </w:t>
      </w:r>
      <w:r w:rsidRPr="00111997">
        <w:t xml:space="preserve">the number of original samples </w:t>
      </w:r>
      <w:r w:rsidR="00AE779D" w:rsidRPr="00111997">
        <w:t xml:space="preserve">was expanded 20 times </w:t>
      </w:r>
      <w:r w:rsidRPr="00111997">
        <w:t xml:space="preserve">by adding Gaussian noise to the original data, </w:t>
      </w:r>
      <w:r w:rsidR="00BB7483" w:rsidRPr="00111997">
        <w:t xml:space="preserve">while </w:t>
      </w:r>
      <w:r w:rsidRPr="00111997">
        <w:t xml:space="preserve">maintaining specific noise parameters for each type of variable to ensure physical consistency. In total, therefore, 580 (=29×20) new samples were generated. These new samples were concatenated with the original 29 </w:t>
      </w:r>
      <w:r w:rsidR="00EF30E7">
        <w:t>ones</w:t>
      </w:r>
      <w:r w:rsidRPr="00111997">
        <w:t xml:space="preserve">, bringing the total </w:t>
      </w:r>
      <w:r w:rsidR="00755DCB" w:rsidRPr="00111997">
        <w:t xml:space="preserve">augmented </w:t>
      </w:r>
      <w:r w:rsidRPr="00111997">
        <w:t xml:space="preserve">dataset to 609 samples. The noise parameters </w:t>
      </w:r>
      <w:r w:rsidR="00726F8F" w:rsidRPr="00111997">
        <w:t>were selected based on measurement uncertainties of laboratory equipment (</w:t>
      </w:r>
      <w:r w:rsidR="00EF30E7">
        <w:t xml:space="preserve">e.g., </w:t>
      </w:r>
      <w:r w:rsidR="00726F8F" w:rsidRPr="00111997">
        <w:t>±0.05 g for cuticle sample mass)</w:t>
      </w:r>
      <w:r w:rsidRPr="00111997">
        <w:t xml:space="preserve">, </w:t>
      </w:r>
      <w:r w:rsidR="00726F8F" w:rsidRPr="00111997">
        <w:t>and typical analytical errors in lab analysis</w:t>
      </w:r>
      <w:r w:rsidR="0092568A" w:rsidRPr="00111997">
        <w:t xml:space="preserve"> equipment</w:t>
      </w:r>
      <w:r w:rsidR="00726F8F" w:rsidRPr="00111997">
        <w:t xml:space="preserve">, i.e., </w:t>
      </w:r>
      <w:r w:rsidRPr="00111997">
        <w:t>1.75</w:t>
      </w:r>
      <w:r w:rsidR="00DC2FFB" w:rsidRPr="00111997">
        <w:t>%</w:t>
      </w:r>
      <w:r w:rsidRPr="00111997">
        <w:t xml:space="preserve"> for moisture content, [1, 1, 0.25</w:t>
      </w:r>
      <w:r w:rsidR="00DC2FFB" w:rsidRPr="00111997">
        <w:t xml:space="preserve"> %</w:t>
      </w:r>
      <w:r w:rsidRPr="00111997">
        <w:t>] for proximate analysis (FC, VM, ASH), and [1, 0.5, 0.1, 1</w:t>
      </w:r>
      <w:r w:rsidR="00DC2FFB" w:rsidRPr="00111997">
        <w:t xml:space="preserve"> %</w:t>
      </w:r>
      <w:r w:rsidRPr="00111997">
        <w:t xml:space="preserve">] for ultimate analysis (C, H, N, O). Notably, </w:t>
      </w:r>
      <w:r w:rsidR="00726F8F" w:rsidRPr="00111997">
        <w:t xml:space="preserve">a </w:t>
      </w:r>
      <w:r w:rsidRPr="00111997">
        <w:t xml:space="preserve">constrained noise was applied to compositional data to preserve the congruence </w:t>
      </w:r>
      <w:r w:rsidR="0092568A" w:rsidRPr="00111997">
        <w:t>check</w:t>
      </w:r>
      <w:r w:rsidRPr="00111997">
        <w:t xml:space="preserve"> (100% sum) in both proximate and ultimate analyses, </w:t>
      </w:r>
      <w:r w:rsidR="0092568A" w:rsidRPr="00111997">
        <w:t xml:space="preserve">thus </w:t>
      </w:r>
      <w:r w:rsidRPr="00111997">
        <w:t xml:space="preserve">reflecting the physical reality. </w:t>
      </w:r>
      <w:r w:rsidR="00726F8F" w:rsidRPr="00111997">
        <w:t xml:space="preserve">For proximate analysis, the perturbed values were rescaled to sum to 100%. For ultimate analysis, the components were adjusted while conserving the </w:t>
      </w:r>
      <w:r w:rsidR="0069387C">
        <w:t xml:space="preserve">value of the </w:t>
      </w:r>
      <w:r w:rsidR="00726F8F" w:rsidRPr="00111997">
        <w:t xml:space="preserve">perturbed ash content from proximate analysis, thus </w:t>
      </w:r>
      <w:r w:rsidR="00EF30E7" w:rsidRPr="00111997">
        <w:t>guaranteeing</w:t>
      </w:r>
      <w:r w:rsidR="00726F8F" w:rsidRPr="00111997">
        <w:t xml:space="preserve"> the sum to 100%. </w:t>
      </w:r>
    </w:p>
    <w:p w14:paraId="72F9AB78" w14:textId="7A2ECAF2" w:rsidR="0035222D" w:rsidRPr="00111997" w:rsidRDefault="00BB7483" w:rsidP="0075690B">
      <w:pPr>
        <w:pStyle w:val="CETBodytext"/>
      </w:pPr>
      <w:r w:rsidRPr="00111997">
        <w:t>To ensure a fair comparison, the Neural Network architecture for the augmented dataset was identical to that previously adopted for the original 29 samples (see Figure 2).</w:t>
      </w:r>
      <w:r w:rsidR="00F5743C" w:rsidRPr="00111997">
        <w:t xml:space="preserve"> </w:t>
      </w:r>
      <w:r w:rsidR="0035222D" w:rsidRPr="00111997">
        <w:t xml:space="preserve">The </w:t>
      </w:r>
      <w:r w:rsidR="00EF30E7">
        <w:t xml:space="preserve">ANN </w:t>
      </w:r>
      <w:r w:rsidR="0035222D" w:rsidRPr="00111997">
        <w:t>model performance was evaluated using a 5-fold cross-validation approach. For each fold, the data were normalized using z-score standardization and split into training (70%), validation (15%), and testing (15%) subsets. This cross-validation strategy was applied to both the original dataset (29 samples) and the augmented one (609 samples) to assess the model performance across different data partitions.</w:t>
      </w:r>
    </w:p>
    <w:p w14:paraId="716D1FDD" w14:textId="68DB3461" w:rsidR="00BB7483" w:rsidRDefault="00F5743C" w:rsidP="00C3162D">
      <w:pPr>
        <w:pStyle w:val="CETBodytext"/>
        <w:spacing w:line="240" w:lineRule="auto"/>
      </w:pPr>
      <w:r w:rsidRPr="00111997">
        <w:t>Limitations of th</w:t>
      </w:r>
      <w:r w:rsidR="0035222D" w:rsidRPr="00111997">
        <w:t>e Authors’</w:t>
      </w:r>
      <w:r w:rsidRPr="00111997">
        <w:t xml:space="preserve"> approach </w:t>
      </w:r>
      <w:proofErr w:type="gramStart"/>
      <w:r w:rsidR="00013917" w:rsidRPr="00111997">
        <w:t>include:</w:t>
      </w:r>
      <w:proofErr w:type="gramEnd"/>
      <w:r w:rsidRPr="00111997">
        <w:t xml:space="preserve"> potential amplification of systematic measurement errors in proximate and ultimate analyses, assumption of Gaussian error distribution for process variables </w:t>
      </w:r>
      <w:r w:rsidR="004723E9" w:rsidRPr="00111997">
        <w:t xml:space="preserve">that </w:t>
      </w:r>
      <w:r w:rsidRPr="00111997">
        <w:t xml:space="preserve">might not fully reflect real process variations, and inability to introduce new physical relationships beyond those captured in the original 29 experimental tests. Nevertheless, the augmented dataset maintains the fundamental characteristics and physical constraints of torrefaction measurements, particularly the compositional sum constraints and the </w:t>
      </w:r>
      <w:r w:rsidR="004723E9" w:rsidRPr="00111997">
        <w:t>conservation of the</w:t>
      </w:r>
      <w:r w:rsidRPr="00111997">
        <w:t xml:space="preserve"> ash content </w:t>
      </w:r>
      <w:r w:rsidR="004723E9" w:rsidRPr="00111997">
        <w:t xml:space="preserve">between </w:t>
      </w:r>
      <w:r w:rsidRPr="00111997">
        <w:t>proximate and ultimate analyses.</w:t>
      </w:r>
    </w:p>
    <w:p w14:paraId="55B4410E" w14:textId="77777777" w:rsidR="00DB095D" w:rsidRDefault="00DB095D" w:rsidP="00C3162D">
      <w:pPr>
        <w:pStyle w:val="CETBodytext"/>
        <w:spacing w:line="240" w:lineRule="auto"/>
      </w:pPr>
    </w:p>
    <w:p w14:paraId="1BC770C3" w14:textId="22417205" w:rsidR="004610D7" w:rsidRPr="00111997" w:rsidRDefault="00E21DE9" w:rsidP="00E21DE9">
      <w:pPr>
        <w:pStyle w:val="CETBodytext"/>
        <w:spacing w:line="240" w:lineRule="auto"/>
        <w:jc w:val="left"/>
      </w:pPr>
      <w:r w:rsidRPr="00111997">
        <w:rPr>
          <w:noProof/>
        </w:rPr>
        <w:drawing>
          <wp:inline distT="0" distB="0" distL="0" distR="0" wp14:anchorId="43BFECBA" wp14:editId="290C80CE">
            <wp:extent cx="5547600" cy="4039200"/>
            <wp:effectExtent l="0" t="0" r="2540" b="0"/>
            <wp:docPr id="59754569" name="Immagine 2" descr="Immagine che contiene testo, diagramma,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54569" name="Immagine 2" descr="Immagine che contiene testo, diagramma, Diagramma, Carattere&#10;&#10;Descrizione generat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7600" cy="4039200"/>
                    </a:xfrm>
                    <a:prstGeom prst="rect">
                      <a:avLst/>
                    </a:prstGeom>
                    <a:noFill/>
                    <a:ln>
                      <a:noFill/>
                    </a:ln>
                  </pic:spPr>
                </pic:pic>
              </a:graphicData>
            </a:graphic>
          </wp:inline>
        </w:drawing>
      </w:r>
    </w:p>
    <w:p w14:paraId="1A58D4D4" w14:textId="7A989D9F" w:rsidR="00E35534" w:rsidRDefault="00E35534" w:rsidP="00C3162D">
      <w:pPr>
        <w:pStyle w:val="CETCaption"/>
        <w:widowControl w:val="0"/>
        <w:spacing w:before="0" w:after="0" w:line="240" w:lineRule="auto"/>
        <w:rPr>
          <w:lang w:val="en-US"/>
        </w:rPr>
      </w:pPr>
      <w:r w:rsidRPr="00111997">
        <w:rPr>
          <w:lang w:val="en-US"/>
        </w:rPr>
        <w:t>Figure</w:t>
      </w:r>
      <w:r w:rsidR="00BB7483" w:rsidRPr="00111997">
        <w:rPr>
          <w:lang w:val="en-US"/>
        </w:rPr>
        <w:t xml:space="preserve"> </w:t>
      </w:r>
      <w:r w:rsidR="00FB286D" w:rsidRPr="00111997">
        <w:rPr>
          <w:lang w:val="en-US"/>
        </w:rPr>
        <w:t>3</w:t>
      </w:r>
      <w:r w:rsidR="00FB4EAD" w:rsidRPr="00111997">
        <w:rPr>
          <w:lang w:val="en-US"/>
        </w:rPr>
        <w:t>:</w:t>
      </w:r>
      <w:r w:rsidRPr="00111997">
        <w:rPr>
          <w:lang w:val="en-US"/>
        </w:rPr>
        <w:t xml:space="preserve"> Comparison of </w:t>
      </w:r>
      <w:r w:rsidR="002E4191" w:rsidRPr="00111997">
        <w:rPr>
          <w:lang w:val="en-US"/>
        </w:rPr>
        <w:t xml:space="preserve">predictions </w:t>
      </w:r>
      <w:r w:rsidRPr="00111997">
        <w:rPr>
          <w:lang w:val="en-US"/>
        </w:rPr>
        <w:t xml:space="preserve">vs. </w:t>
      </w:r>
      <w:r w:rsidR="002E4191" w:rsidRPr="00111997">
        <w:rPr>
          <w:lang w:val="en-US"/>
        </w:rPr>
        <w:t>real values</w:t>
      </w:r>
      <w:r w:rsidRPr="00111997">
        <w:rPr>
          <w:lang w:val="en-US"/>
        </w:rPr>
        <w:t xml:space="preserve">: Original </w:t>
      </w:r>
      <w:r w:rsidR="00494607" w:rsidRPr="00111997">
        <w:rPr>
          <w:lang w:val="en-US"/>
        </w:rPr>
        <w:t xml:space="preserve">dataset </w:t>
      </w:r>
      <w:r w:rsidRPr="00111997">
        <w:rPr>
          <w:lang w:val="en-US"/>
        </w:rPr>
        <w:t xml:space="preserve">vs. Augmented </w:t>
      </w:r>
      <w:r w:rsidR="00494607" w:rsidRPr="00111997">
        <w:rPr>
          <w:lang w:val="en-US"/>
        </w:rPr>
        <w:t xml:space="preserve">dataset in </w:t>
      </w:r>
      <w:r w:rsidR="00FC5B4B" w:rsidRPr="00111997">
        <w:rPr>
          <w:lang w:val="en-US"/>
        </w:rPr>
        <w:t>ANN</w:t>
      </w:r>
      <w:r w:rsidR="00494607" w:rsidRPr="00111997">
        <w:rPr>
          <w:lang w:val="en-US"/>
        </w:rPr>
        <w:t xml:space="preserve"> m</w:t>
      </w:r>
      <w:r w:rsidRPr="00111997">
        <w:rPr>
          <w:lang w:val="en-US"/>
        </w:rPr>
        <w:t>odel</w:t>
      </w:r>
      <w:r w:rsidR="00494607" w:rsidRPr="00111997">
        <w:rPr>
          <w:lang w:val="en-US"/>
        </w:rPr>
        <w:t>ing</w:t>
      </w:r>
      <w:r w:rsidR="00901742" w:rsidRPr="00111997">
        <w:rPr>
          <w:lang w:val="en-US"/>
        </w:rPr>
        <w:t>.</w:t>
      </w:r>
    </w:p>
    <w:p w14:paraId="662BBF47" w14:textId="77777777" w:rsidR="00716029" w:rsidRPr="00716029" w:rsidRDefault="00716029" w:rsidP="00716029">
      <w:pPr>
        <w:pStyle w:val="CETBodytextItalic"/>
        <w:rPr>
          <w:i w:val="0"/>
          <w:iCs/>
        </w:rPr>
      </w:pPr>
    </w:p>
    <w:p w14:paraId="639370C4" w14:textId="77777777" w:rsidR="00DB095D" w:rsidRPr="00111997" w:rsidRDefault="00DB095D" w:rsidP="00DB095D">
      <w:pPr>
        <w:pStyle w:val="CETheadingx"/>
        <w:keepNext w:val="0"/>
        <w:widowControl w:val="0"/>
        <w:rPr>
          <w:rStyle w:val="CETBodytextCarattere"/>
        </w:rPr>
      </w:pPr>
      <w:r w:rsidRPr="00111997">
        <w:t>Results</w:t>
      </w:r>
    </w:p>
    <w:p w14:paraId="6603CCDA" w14:textId="2F3A510E" w:rsidR="00DB095D" w:rsidRPr="0078722F" w:rsidRDefault="00DB095D" w:rsidP="001A3315">
      <w:pPr>
        <w:pStyle w:val="CETBodytext"/>
        <w:spacing w:line="240" w:lineRule="auto"/>
      </w:pPr>
      <w:r w:rsidRPr="00AC3A1C">
        <w:rPr>
          <w:lang w:val="en-GB"/>
        </w:rPr>
        <w:t xml:space="preserve">The performance comparison between the original and augmented ANN models is carried out through the coefficient of determination R², which indicates how well the predicted values align with the actual </w:t>
      </w:r>
      <w:r w:rsidRPr="00DB095D">
        <w:rPr>
          <w:lang w:val="en-GB"/>
        </w:rPr>
        <w:t xml:space="preserve">values on the parity line (y=x). Figure 3 shows the results from the 5-fold cross-validation procedure, comparing ANN predictions versus real values for both </w:t>
      </w:r>
      <w:r w:rsidR="00135BF6" w:rsidRPr="00AC3A1C">
        <w:rPr>
          <w:lang w:val="en-GB"/>
        </w:rPr>
        <w:t>the original and augmented</w:t>
      </w:r>
      <w:r w:rsidR="00135BF6">
        <w:rPr>
          <w:lang w:val="en-GB"/>
        </w:rPr>
        <w:t xml:space="preserve"> datasets</w:t>
      </w:r>
      <w:r w:rsidRPr="00DB095D">
        <w:rPr>
          <w:lang w:val="en-GB"/>
        </w:rPr>
        <w:t>. Each point represents a prediction made when that sample was used in the test set during cross-validation, thus including predictions for all samples from both the original dataset (29 samples) as blue dots and the augmented one (609 samples) as red crosses. The Neural Network model applied to the original dataset reveals poor predictive capability, with points scattered far from the parity</w:t>
      </w:r>
      <w:r w:rsidRPr="00AC3A1C">
        <w:rPr>
          <w:lang w:val="en-GB"/>
        </w:rPr>
        <w:t xml:space="preserve"> line and most output variables exhibiting negative R² values. Only Nitrogen and Carbon show positive R² values, with Nitrogen reaching a moderately positive value (0.49) and Carbon showing a marginal positive value (0.03).</w:t>
      </w:r>
      <w:r>
        <w:t xml:space="preserve"> All in all, </w:t>
      </w:r>
      <w:r w:rsidRPr="0078722F">
        <w:t xml:space="preserve">substantial improvements in </w:t>
      </w:r>
      <w:r>
        <w:t xml:space="preserve">modeling </w:t>
      </w:r>
      <w:r w:rsidRPr="0078722F">
        <w:t xml:space="preserve">accuracy </w:t>
      </w:r>
      <w:r>
        <w:t>are disclosed by</w:t>
      </w:r>
      <w:r w:rsidRPr="0078722F">
        <w:t xml:space="preserve"> data augmentation techniques</w:t>
      </w:r>
      <w:r>
        <w:t xml:space="preserve">, with the </w:t>
      </w:r>
      <w:r w:rsidRPr="0078722F">
        <w:t>prediction</w:t>
      </w:r>
      <w:r>
        <w:t>s from</w:t>
      </w:r>
      <w:r w:rsidRPr="0078722F">
        <w:t xml:space="preserve"> the Neural Network model applied to the augmented dataset exhibiting consistently positive R² values. The Mass Yield, for instance, improved dramatically from R² = -2.60 to 0.52 (indicating that about 52% of the points align well with the ideal prediction line), while Fixed Carbon (FC) shifted from -1.33 to 0.39. This systematic improvement across all outputs demonstrates that the augmented model better captures the underlying relationships in the torrefaction process.</w:t>
      </w:r>
    </w:p>
    <w:p w14:paraId="3AD6BE55" w14:textId="37553599" w:rsidR="00DB095D" w:rsidRPr="0078722F" w:rsidRDefault="00DB095D" w:rsidP="005C48F8">
      <w:pPr>
        <w:pStyle w:val="CETBodytext"/>
        <w:spacing w:line="240" w:lineRule="auto"/>
      </w:pPr>
      <w:r w:rsidRPr="0078722F">
        <w:t xml:space="preserve">The analysis of the individual prediction Mean Squared Errors (MSE) </w:t>
      </w:r>
      <w:r w:rsidR="002D7518" w:rsidRPr="0078722F">
        <w:t xml:space="preserve">in Figure 4a </w:t>
      </w:r>
      <w:r w:rsidRPr="0078722F">
        <w:t xml:space="preserve">provides further evidence of the augmentation strategy's effectiveness. Here the MSE was first calculated between the </w:t>
      </w:r>
      <w:r>
        <w:t>ANN</w:t>
      </w:r>
      <w:r w:rsidRPr="0078722F">
        <w:t xml:space="preserve"> model predictions and the experimental data using the original dataset only; then, the MSE was computed for the predictions using the augmented dataset. The most striking improvements are observed in Mass Yield and VM, where the original model predictions showed extremely high errors (335.12 and 246.76, respectively).</w:t>
      </w:r>
      <w:r>
        <w:t xml:space="preserve"> </w:t>
      </w:r>
      <w:r w:rsidRPr="0078722F">
        <w:t xml:space="preserve">The augmented model reduced these values by approximately 77% for Mass Yield (to 78.52) and 71% for VM (to 72.51). Similar substantial improvements are seen in </w:t>
      </w:r>
      <w:r w:rsidR="00D21D59">
        <w:t xml:space="preserve">the </w:t>
      </w:r>
      <w:r w:rsidRPr="0078722F">
        <w:t>prediction of Carbon, where MSE decreased from 36.70 to 16.10, and Oxygen, dropp</w:t>
      </w:r>
      <w:r w:rsidR="00D21D59">
        <w:t>ed</w:t>
      </w:r>
      <w:r w:rsidRPr="0078722F">
        <w:t xml:space="preserve"> from 60.52 to 19.17. The ASH prediction showed particularly notable improvement, with MSE reducing from 45.86 to 4.61, representing a remarkable 90% improvement.</w:t>
      </w:r>
    </w:p>
    <w:p w14:paraId="400CCBDB" w14:textId="77777777" w:rsidR="00716029" w:rsidRDefault="00716029" w:rsidP="00716029">
      <w:pPr>
        <w:pStyle w:val="CETBodytext"/>
        <w:spacing w:line="240" w:lineRule="auto"/>
      </w:pPr>
      <w:r w:rsidRPr="00111997">
        <w:t xml:space="preserve">The overall MSE comparison in Figure 4b provides compelling evidence of the global improvement achieved through data augmentation. The total MSE for the original model was 869.82, while the augmented model achieved a total MSE of 259.42, representing an overall improvement of 70.18%. </w:t>
      </w:r>
    </w:p>
    <w:p w14:paraId="3CE2DF68" w14:textId="77777777" w:rsidR="00716029" w:rsidRPr="00111997" w:rsidRDefault="00716029" w:rsidP="00D131D0">
      <w:pPr>
        <w:pStyle w:val="CETBodytext"/>
        <w:spacing w:line="240" w:lineRule="auto"/>
      </w:pPr>
    </w:p>
    <w:p w14:paraId="2836C3B5" w14:textId="77777777" w:rsidR="002D7518" w:rsidRDefault="009144DB" w:rsidP="00C3162D">
      <w:pPr>
        <w:pStyle w:val="CETBodytext"/>
        <w:spacing w:line="240" w:lineRule="auto"/>
        <w:rPr>
          <w:rStyle w:val="CETCaptionCarattere"/>
          <w:lang w:val="en-US"/>
        </w:rPr>
      </w:pPr>
      <w:r w:rsidRPr="00111997">
        <w:rPr>
          <w:noProof/>
        </w:rPr>
        <w:drawing>
          <wp:inline distT="0" distB="0" distL="0" distR="0" wp14:anchorId="546E0793" wp14:editId="752B0758">
            <wp:extent cx="3067050" cy="1613109"/>
            <wp:effectExtent l="0" t="0" r="0" b="6350"/>
            <wp:docPr id="1106396359" name="Immagine 4"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96359" name="Immagine 4" descr="Immagine che contiene testo, schermata, diagramma, Diagramma&#10;&#10;Descrizione generata automaticamente"/>
                    <pic:cNvPicPr/>
                  </pic:nvPicPr>
                  <pic:blipFill rotWithShape="1">
                    <a:blip r:embed="rId17"/>
                    <a:srcRect l="4945"/>
                    <a:stretch/>
                  </pic:blipFill>
                  <pic:spPr bwMode="auto">
                    <a:xfrm>
                      <a:off x="0" y="0"/>
                      <a:ext cx="3152798" cy="1658208"/>
                    </a:xfrm>
                    <a:prstGeom prst="rect">
                      <a:avLst/>
                    </a:prstGeom>
                    <a:ln>
                      <a:noFill/>
                    </a:ln>
                    <a:extLst>
                      <a:ext uri="{53640926-AAD7-44D8-BBD7-CCE9431645EC}">
                        <a14:shadowObscured xmlns:a14="http://schemas.microsoft.com/office/drawing/2010/main"/>
                      </a:ext>
                    </a:extLst>
                  </pic:spPr>
                </pic:pic>
              </a:graphicData>
            </a:graphic>
          </wp:inline>
        </w:drawing>
      </w:r>
      <w:r w:rsidR="00F67FB8" w:rsidRPr="00111997">
        <w:rPr>
          <w:noProof/>
        </w:rPr>
        <w:drawing>
          <wp:inline distT="0" distB="0" distL="0" distR="0" wp14:anchorId="7402B686" wp14:editId="3639E1CC">
            <wp:extent cx="2457450" cy="1638300"/>
            <wp:effectExtent l="0" t="0" r="0" b="0"/>
            <wp:docPr id="1839614873" name="Immagine 11"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14873" name="Immagine 11" descr="Immagine che contiene testo, schermata, Diagramma, diagramma&#10;&#10;Descrizione generata automaticamente"/>
                    <pic:cNvPicPr/>
                  </pic:nvPicPr>
                  <pic:blipFill>
                    <a:blip r:embed="rId18"/>
                    <a:stretch>
                      <a:fillRect/>
                    </a:stretch>
                  </pic:blipFill>
                  <pic:spPr>
                    <a:xfrm>
                      <a:off x="0" y="0"/>
                      <a:ext cx="2494739" cy="1663159"/>
                    </a:xfrm>
                    <a:prstGeom prst="rect">
                      <a:avLst/>
                    </a:prstGeom>
                  </pic:spPr>
                </pic:pic>
              </a:graphicData>
            </a:graphic>
          </wp:inline>
        </w:drawing>
      </w:r>
    </w:p>
    <w:p w14:paraId="143CF89F" w14:textId="793C4B33" w:rsidR="002D7518" w:rsidRPr="00111997" w:rsidRDefault="002D7518" w:rsidP="002D7518">
      <w:pPr>
        <w:pStyle w:val="CETBodytext"/>
        <w:spacing w:line="240" w:lineRule="auto"/>
        <w:rPr>
          <w:i/>
          <w:iCs/>
        </w:rPr>
      </w:pPr>
      <w:r w:rsidRPr="00111997">
        <w:rPr>
          <w:i/>
          <w:iCs/>
        </w:rPr>
        <w:t xml:space="preserve">                                 </w:t>
      </w:r>
      <w:r>
        <w:rPr>
          <w:i/>
          <w:iCs/>
        </w:rPr>
        <w:t xml:space="preserve">              </w:t>
      </w:r>
      <w:r w:rsidRPr="00111997">
        <w:rPr>
          <w:i/>
          <w:iCs/>
        </w:rPr>
        <w:t>a)                                                                                    b)</w:t>
      </w:r>
    </w:p>
    <w:p w14:paraId="5C0B6219" w14:textId="1786C4C0" w:rsidR="00122AC0" w:rsidRPr="00111997" w:rsidRDefault="004921B6" w:rsidP="00C3162D">
      <w:pPr>
        <w:pStyle w:val="CETBodytext"/>
        <w:spacing w:line="240" w:lineRule="auto"/>
        <w:rPr>
          <w:rStyle w:val="CETCaptionCarattere"/>
          <w:lang w:val="en-US"/>
        </w:rPr>
      </w:pPr>
      <w:r w:rsidRPr="00111997">
        <w:rPr>
          <w:rStyle w:val="CETCaptionCarattere"/>
          <w:lang w:val="en-US"/>
        </w:rPr>
        <w:t>Figure</w:t>
      </w:r>
      <w:r w:rsidR="00BB7483" w:rsidRPr="00111997">
        <w:rPr>
          <w:rStyle w:val="CETCaptionCarattere"/>
          <w:lang w:val="en-US"/>
        </w:rPr>
        <w:t xml:space="preserve"> </w:t>
      </w:r>
      <w:r w:rsidR="00FB286D" w:rsidRPr="00111997">
        <w:rPr>
          <w:rStyle w:val="CETCaptionCarattere"/>
          <w:lang w:val="en-US"/>
        </w:rPr>
        <w:t>4</w:t>
      </w:r>
      <w:r w:rsidR="00467546" w:rsidRPr="00111997">
        <w:rPr>
          <w:rStyle w:val="CETCaptionCarattere"/>
          <w:lang w:val="en-US"/>
        </w:rPr>
        <w:t>:</w:t>
      </w:r>
      <w:r w:rsidRPr="00111997">
        <w:rPr>
          <w:rStyle w:val="CETCaptionCarattere"/>
          <w:lang w:val="en-US"/>
        </w:rPr>
        <w:t xml:space="preserve"> </w:t>
      </w:r>
      <w:r w:rsidR="006A1478" w:rsidRPr="00111997">
        <w:rPr>
          <w:rStyle w:val="CETCaptionCarattere"/>
          <w:lang w:val="en-US"/>
        </w:rPr>
        <w:t xml:space="preserve">Bar chart </w:t>
      </w:r>
      <w:r w:rsidR="006A1478">
        <w:rPr>
          <w:rStyle w:val="CETCaptionCarattere"/>
          <w:lang w:val="en-US"/>
        </w:rPr>
        <w:t>c</w:t>
      </w:r>
      <w:r w:rsidR="00467546" w:rsidRPr="00111997">
        <w:rPr>
          <w:rStyle w:val="CETCaptionCarattere"/>
          <w:lang w:val="en-US"/>
        </w:rPr>
        <w:t xml:space="preserve">omparison of the Mean Squared Error (MSE) between </w:t>
      </w:r>
      <w:r w:rsidR="00FC5B4B" w:rsidRPr="00111997">
        <w:rPr>
          <w:rStyle w:val="CETCaptionCarattere"/>
          <w:lang w:val="en-US"/>
        </w:rPr>
        <w:t>ANN</w:t>
      </w:r>
      <w:r w:rsidR="00467546" w:rsidRPr="00111997">
        <w:rPr>
          <w:rStyle w:val="CETCaptionCarattere"/>
          <w:lang w:val="en-US"/>
        </w:rPr>
        <w:t xml:space="preserve"> predictions and experimental data; </w:t>
      </w:r>
      <w:r w:rsidR="00A11126" w:rsidRPr="00111997">
        <w:rPr>
          <w:rStyle w:val="CETCaptionCarattere"/>
          <w:lang w:val="en-US"/>
        </w:rPr>
        <w:t xml:space="preserve">a) </w:t>
      </w:r>
      <w:r w:rsidRPr="00111997">
        <w:rPr>
          <w:rStyle w:val="CETCaptionCarattere"/>
          <w:lang w:val="en-US"/>
        </w:rPr>
        <w:t xml:space="preserve">individual MSE for each output variable </w:t>
      </w:r>
      <w:r w:rsidR="00467546" w:rsidRPr="00111997">
        <w:rPr>
          <w:rStyle w:val="CETCaptionCarattere"/>
          <w:lang w:val="en-US"/>
        </w:rPr>
        <w:t xml:space="preserve">with </w:t>
      </w:r>
      <w:r w:rsidRPr="00111997">
        <w:rPr>
          <w:rStyle w:val="CETCaptionCarattere"/>
          <w:lang w:val="en-US"/>
        </w:rPr>
        <w:t xml:space="preserve">the original and </w:t>
      </w:r>
      <w:r w:rsidR="00467546" w:rsidRPr="00111997">
        <w:rPr>
          <w:rStyle w:val="CETCaptionCarattere"/>
          <w:lang w:val="en-US"/>
        </w:rPr>
        <w:t xml:space="preserve">the </w:t>
      </w:r>
      <w:r w:rsidRPr="00111997">
        <w:rPr>
          <w:rStyle w:val="CETCaptionCarattere"/>
          <w:lang w:val="en-US"/>
        </w:rPr>
        <w:t xml:space="preserve">augmented </w:t>
      </w:r>
      <w:r w:rsidR="00467546" w:rsidRPr="00111997">
        <w:rPr>
          <w:rStyle w:val="CETCaptionCarattere"/>
          <w:lang w:val="en-US"/>
        </w:rPr>
        <w:t>dataset</w:t>
      </w:r>
      <w:r w:rsidRPr="00111997">
        <w:rPr>
          <w:rStyle w:val="CETCaptionCarattere"/>
          <w:lang w:val="en-US"/>
        </w:rPr>
        <w:t xml:space="preserve">. </w:t>
      </w:r>
      <w:r w:rsidR="00A11126" w:rsidRPr="00111997">
        <w:rPr>
          <w:rStyle w:val="CETCaptionCarattere"/>
          <w:lang w:val="en-US"/>
        </w:rPr>
        <w:t>b)</w:t>
      </w:r>
      <w:r w:rsidR="00AA57E0" w:rsidRPr="00111997">
        <w:rPr>
          <w:rStyle w:val="CETCaptionCarattere"/>
          <w:lang w:val="en-US"/>
        </w:rPr>
        <w:t xml:space="preserve"> </w:t>
      </w:r>
      <w:r w:rsidR="00467546" w:rsidRPr="00111997">
        <w:rPr>
          <w:rStyle w:val="CETCaptionCarattere"/>
          <w:lang w:val="en-US"/>
        </w:rPr>
        <w:t>overall MSE</w:t>
      </w:r>
      <w:r w:rsidR="0081327F" w:rsidRPr="00111997">
        <w:rPr>
          <w:rStyle w:val="CETCaptionCarattere"/>
          <w:lang w:val="en-US"/>
        </w:rPr>
        <w:t xml:space="preserve">. </w:t>
      </w:r>
    </w:p>
    <w:p w14:paraId="4359E93D" w14:textId="070DB80C" w:rsidR="00E35534" w:rsidRPr="00111997" w:rsidRDefault="00E35534" w:rsidP="000325D6">
      <w:pPr>
        <w:pStyle w:val="CETHeading1"/>
      </w:pPr>
      <w:r w:rsidRPr="00111997">
        <w:t>Conclusions</w:t>
      </w:r>
    </w:p>
    <w:p w14:paraId="5899568D" w14:textId="7F6F17AC" w:rsidR="00B9130E" w:rsidRPr="00111997" w:rsidRDefault="004B1F15" w:rsidP="00C3162D">
      <w:pPr>
        <w:pStyle w:val="CETBodytext"/>
        <w:spacing w:line="240" w:lineRule="auto"/>
      </w:pPr>
      <w:r w:rsidRPr="00111997">
        <w:t xml:space="preserve">The </w:t>
      </w:r>
      <w:r w:rsidR="006927C3">
        <w:t>availability</w:t>
      </w:r>
      <w:r w:rsidRPr="00111997">
        <w:t xml:space="preserve"> of an augmented neural network model represents a significative step forward in the field of biomass torrefaction, where multiple physical and chemical transformations take place simultaneously. </w:t>
      </w:r>
      <w:r w:rsidR="004D52C1" w:rsidRPr="00111997">
        <w:t xml:space="preserve">The collection of experimental data, including key process parameters and detailed compositional analyses, provided the initial basis for the modeling approach. </w:t>
      </w:r>
      <w:r w:rsidR="00BA5BD4" w:rsidRPr="00111997">
        <w:t xml:space="preserve">In general, the results validate the effectiveness of the chosen augmentation approach in addressing the limitations of the original dataset while maintaining physical consistency in the predictions. </w:t>
      </w:r>
      <w:r w:rsidR="00A11126" w:rsidRPr="00111997">
        <w:t xml:space="preserve">The data augmentation strategy, carefully designed to preserve physical constraints and relationships within the experimental measurements, demonstrates how limited datasets from complex thermochemical processes can be effectively expanded while maintaining their fundamental characteristics. </w:t>
      </w:r>
      <w:r w:rsidR="004D52C1" w:rsidRPr="00111997">
        <w:t>This methodological approach proves particularly valuable for torrefaction, where extensive experimental campaigns are both costly and time-consuming due to the complexity of the process</w:t>
      </w:r>
      <w:r w:rsidR="006927C3">
        <w:t>, the variability in the feedstocks</w:t>
      </w:r>
      <w:r w:rsidR="004D52C1" w:rsidRPr="00111997">
        <w:t xml:space="preserve"> and the sophisticated analytical techniques required.  </w:t>
      </w:r>
    </w:p>
    <w:p w14:paraId="45E00521" w14:textId="04C2F2FE" w:rsidR="00C61431" w:rsidRPr="00111997" w:rsidRDefault="00B9130E" w:rsidP="00C3162D">
      <w:pPr>
        <w:pStyle w:val="CETBodytext"/>
        <w:spacing w:line="240" w:lineRule="auto"/>
      </w:pPr>
      <w:r w:rsidRPr="00111997">
        <w:t xml:space="preserve">While </w:t>
      </w:r>
      <w:r w:rsidR="009A5D3A" w:rsidRPr="00111997">
        <w:t xml:space="preserve">the Authors’ approach </w:t>
      </w:r>
      <w:r w:rsidR="008C1AFB">
        <w:t>to</w:t>
      </w:r>
      <w:r w:rsidR="009A5D3A" w:rsidRPr="00111997">
        <w:t xml:space="preserve"> </w:t>
      </w:r>
      <w:r w:rsidRPr="00111997">
        <w:t xml:space="preserve">data augmentation shows promising results, future work should explore complementary techniques like transfer learning, especially for industrial scale-up where process conditions may </w:t>
      </w:r>
      <w:r w:rsidR="00632517" w:rsidRPr="00111997">
        <w:t>considerably</w:t>
      </w:r>
      <w:r w:rsidRPr="00111997">
        <w:t xml:space="preserve"> differ from laboratory settings. The effectiveness </w:t>
      </w:r>
      <w:r w:rsidR="009A5D3A" w:rsidRPr="00111997">
        <w:t xml:space="preserve">of the Authors’ </w:t>
      </w:r>
      <w:r w:rsidR="00337B75">
        <w:t>ANN model</w:t>
      </w:r>
      <w:r w:rsidR="009A5D3A" w:rsidRPr="00111997">
        <w:t xml:space="preserve"> </w:t>
      </w:r>
      <w:r w:rsidRPr="00111997">
        <w:t xml:space="preserve">might be </w:t>
      </w:r>
      <w:r w:rsidR="009A5D3A" w:rsidRPr="00111997">
        <w:t>reduced</w:t>
      </w:r>
      <w:r w:rsidRPr="00111997">
        <w:t xml:space="preserve"> when dealing with substantially different feedstocks or operating conditions outside the experimental range. Integration with physics-based models could potentially address some of these limitations. </w:t>
      </w:r>
    </w:p>
    <w:p w14:paraId="3C606790" w14:textId="167A10A8" w:rsidR="00A11126" w:rsidRPr="00111997" w:rsidRDefault="009A5D3A" w:rsidP="00C3162D">
      <w:pPr>
        <w:pStyle w:val="CETBodytext"/>
        <w:spacing w:line="240" w:lineRule="auto"/>
      </w:pPr>
      <w:r w:rsidRPr="00111997">
        <w:t xml:space="preserve">A possible industrial applicability </w:t>
      </w:r>
      <w:r w:rsidR="00337B75" w:rsidRPr="00111997">
        <w:t xml:space="preserve">of the Authors’ ANN model </w:t>
      </w:r>
      <w:r w:rsidRPr="00111997">
        <w:t xml:space="preserve">will require large-scale data collection/analysis and further </w:t>
      </w:r>
      <w:r w:rsidR="00337B75">
        <w:t>testing/</w:t>
      </w:r>
      <w:r w:rsidRPr="00111997">
        <w:t xml:space="preserve">validation under </w:t>
      </w:r>
      <w:r w:rsidR="00337B75">
        <w:t>actual</w:t>
      </w:r>
      <w:r w:rsidRPr="00111997">
        <w:t xml:space="preserve"> </w:t>
      </w:r>
      <w:r w:rsidR="00337B75" w:rsidRPr="00111997">
        <w:t xml:space="preserve">industrial </w:t>
      </w:r>
      <w:r w:rsidRPr="00111997">
        <w:t>operating conditions</w:t>
      </w:r>
      <w:r w:rsidR="00337B75">
        <w:t>.</w:t>
      </w:r>
      <w:r w:rsidRPr="00111997">
        <w:t xml:space="preserve"> </w:t>
      </w:r>
      <w:r w:rsidR="00337B75">
        <w:t>This is</w:t>
      </w:r>
      <w:r w:rsidR="004D52C1" w:rsidRPr="00111997">
        <w:t xml:space="preserve"> </w:t>
      </w:r>
      <w:r w:rsidRPr="00111997">
        <w:t>strongly welcome</w:t>
      </w:r>
      <w:r w:rsidR="004D52C1" w:rsidRPr="00111997">
        <w:t xml:space="preserve"> in the broader context of sustainable </w:t>
      </w:r>
      <w:r w:rsidR="00F23486">
        <w:t xml:space="preserve">process </w:t>
      </w:r>
      <w:r w:rsidR="006927C3">
        <w:t>industr</w:t>
      </w:r>
      <w:r w:rsidR="00F23486">
        <w:t>y</w:t>
      </w:r>
      <w:r w:rsidR="006927C3">
        <w:t xml:space="preserve"> </w:t>
      </w:r>
      <w:r w:rsidR="00F23486">
        <w:t>operation</w:t>
      </w:r>
      <w:r w:rsidR="004D52C1" w:rsidRPr="00111997">
        <w:t xml:space="preserve"> and renewable energy production, where torrefied biomass plays an increasingly important role as a high-quality renewable solid fuel.</w:t>
      </w:r>
    </w:p>
    <w:p w14:paraId="0F22DD18" w14:textId="77777777" w:rsidR="00AE6D06" w:rsidRPr="00111997" w:rsidRDefault="00AE6D06" w:rsidP="00C3162D">
      <w:pPr>
        <w:pStyle w:val="CETAcknowledgementstitle"/>
        <w:widowControl w:val="0"/>
        <w:spacing w:line="240" w:lineRule="auto"/>
        <w:rPr>
          <w:lang w:val="en-US"/>
        </w:rPr>
      </w:pPr>
      <w:r w:rsidRPr="00111997">
        <w:rPr>
          <w:lang w:val="en-US"/>
        </w:rPr>
        <w:t>Acknowledgments</w:t>
      </w:r>
    </w:p>
    <w:p w14:paraId="4788974B" w14:textId="0CE4781E" w:rsidR="00AE6D06" w:rsidRPr="00111997" w:rsidRDefault="00AE6D06" w:rsidP="00C3162D">
      <w:pPr>
        <w:widowControl w:val="0"/>
        <w:spacing w:line="240" w:lineRule="auto"/>
        <w:rPr>
          <w:rFonts w:cs="Arial"/>
          <w:szCs w:val="18"/>
          <w:shd w:val="clear" w:color="auto" w:fill="FFFFFF"/>
          <w:lang w:val="en-US"/>
        </w:rPr>
      </w:pPr>
      <w:r w:rsidRPr="00111997">
        <w:rPr>
          <w:rFonts w:cs="Arial"/>
          <w:szCs w:val="18"/>
          <w:shd w:val="clear" w:color="auto" w:fill="FFFFFF"/>
          <w:lang w:val="en-US"/>
        </w:rPr>
        <w:t>National Recovery and Resilience Plan (NRRP), Mission 4 Component 2 Investment 1.3</w:t>
      </w:r>
      <w:r w:rsidR="00E823A5">
        <w:rPr>
          <w:rFonts w:cs="Arial"/>
          <w:szCs w:val="18"/>
          <w:shd w:val="clear" w:color="auto" w:fill="FFFFFF"/>
          <w:lang w:val="en-US"/>
        </w:rPr>
        <w:t>,</w:t>
      </w:r>
      <w:r w:rsidRPr="00111997">
        <w:rPr>
          <w:rFonts w:cs="Arial"/>
          <w:szCs w:val="18"/>
          <w:shd w:val="clear" w:color="auto" w:fill="FFFFFF"/>
          <w:lang w:val="en-US"/>
        </w:rPr>
        <w:t xml:space="preserve"> Call for tender No.1561</w:t>
      </w:r>
      <w:r w:rsidR="0041466D">
        <w:rPr>
          <w:rFonts w:cs="Arial"/>
          <w:szCs w:val="18"/>
          <w:shd w:val="clear" w:color="auto" w:fill="FFFFFF"/>
          <w:lang w:val="en-US"/>
        </w:rPr>
        <w:t xml:space="preserve"> of</w:t>
      </w:r>
      <w:r w:rsidRPr="00111997">
        <w:rPr>
          <w:rFonts w:cs="Arial"/>
          <w:szCs w:val="18"/>
          <w:shd w:val="clear" w:color="auto" w:fill="FFFFFF"/>
          <w:lang w:val="en-US"/>
        </w:rPr>
        <w:t xml:space="preserve"> 11.10.2022 </w:t>
      </w:r>
      <w:r w:rsidR="0041466D">
        <w:rPr>
          <w:rFonts w:cs="Arial"/>
          <w:szCs w:val="18"/>
          <w:shd w:val="clear" w:color="auto" w:fill="FFFFFF"/>
          <w:lang w:val="en-US"/>
        </w:rPr>
        <w:t>by</w:t>
      </w:r>
      <w:r w:rsidRPr="00111997">
        <w:rPr>
          <w:rFonts w:cs="Arial"/>
          <w:szCs w:val="18"/>
          <w:shd w:val="clear" w:color="auto" w:fill="FFFFFF"/>
          <w:lang w:val="en-US"/>
        </w:rPr>
        <w:t xml:space="preserve"> </w:t>
      </w:r>
      <w:proofErr w:type="spellStart"/>
      <w:r w:rsidRPr="00111997">
        <w:rPr>
          <w:rFonts w:cs="Arial"/>
          <w:szCs w:val="18"/>
          <w:shd w:val="clear" w:color="auto" w:fill="FFFFFF"/>
          <w:lang w:val="en-US"/>
        </w:rPr>
        <w:t>Ministero</w:t>
      </w:r>
      <w:proofErr w:type="spellEnd"/>
      <w:r w:rsidRPr="00111997">
        <w:rPr>
          <w:rFonts w:cs="Arial"/>
          <w:szCs w:val="18"/>
          <w:shd w:val="clear" w:color="auto" w:fill="FFFFFF"/>
          <w:lang w:val="en-US"/>
        </w:rPr>
        <w:t xml:space="preserve"> Università e </w:t>
      </w:r>
      <w:proofErr w:type="spellStart"/>
      <w:r w:rsidRPr="00111997">
        <w:rPr>
          <w:rFonts w:cs="Arial"/>
          <w:szCs w:val="18"/>
          <w:shd w:val="clear" w:color="auto" w:fill="FFFFFF"/>
          <w:lang w:val="en-US"/>
        </w:rPr>
        <w:t>Ricerca</w:t>
      </w:r>
      <w:proofErr w:type="spellEnd"/>
      <w:r w:rsidRPr="00111997">
        <w:rPr>
          <w:rFonts w:cs="Arial"/>
          <w:szCs w:val="18"/>
          <w:shd w:val="clear" w:color="auto" w:fill="FFFFFF"/>
          <w:lang w:val="en-US"/>
        </w:rPr>
        <w:t xml:space="preserve"> (MUR); funded by the European Union</w:t>
      </w:r>
      <w:r w:rsidR="00E823A5">
        <w:rPr>
          <w:rFonts w:cs="Arial"/>
          <w:szCs w:val="18"/>
          <w:shd w:val="clear" w:color="auto" w:fill="FFFFFF"/>
          <w:lang w:val="en-US"/>
        </w:rPr>
        <w:t>,</w:t>
      </w:r>
      <w:r w:rsidRPr="00111997">
        <w:rPr>
          <w:rFonts w:cs="Arial"/>
          <w:szCs w:val="18"/>
          <w:shd w:val="clear" w:color="auto" w:fill="FFFFFF"/>
          <w:lang w:val="en-US"/>
        </w:rPr>
        <w:t xml:space="preserve"> </w:t>
      </w:r>
      <w:proofErr w:type="spellStart"/>
      <w:r w:rsidRPr="00111997">
        <w:rPr>
          <w:rFonts w:cs="Arial"/>
          <w:szCs w:val="18"/>
          <w:shd w:val="clear" w:color="auto" w:fill="FFFFFF"/>
          <w:lang w:val="en-US"/>
        </w:rPr>
        <w:t>NextGenerationEU</w:t>
      </w:r>
      <w:proofErr w:type="spellEnd"/>
      <w:r w:rsidRPr="00111997">
        <w:rPr>
          <w:rFonts w:cs="Arial"/>
          <w:szCs w:val="18"/>
          <w:shd w:val="clear" w:color="auto" w:fill="FFFFFF"/>
          <w:lang w:val="en-US"/>
        </w:rPr>
        <w:t xml:space="preserve">:  Award </w:t>
      </w:r>
      <w:r w:rsidR="00E823A5">
        <w:rPr>
          <w:rFonts w:cs="Arial"/>
          <w:szCs w:val="18"/>
          <w:shd w:val="clear" w:color="auto" w:fill="FFFFFF"/>
          <w:lang w:val="en-US"/>
        </w:rPr>
        <w:t>No.</w:t>
      </w:r>
      <w:r w:rsidRPr="00111997">
        <w:rPr>
          <w:rFonts w:cs="Arial"/>
          <w:szCs w:val="18"/>
          <w:shd w:val="clear" w:color="auto" w:fill="FFFFFF"/>
          <w:lang w:val="en-US"/>
        </w:rPr>
        <w:t xml:space="preserve">: Project code PE0000021, Concession Decree by </w:t>
      </w:r>
      <w:proofErr w:type="spellStart"/>
      <w:r w:rsidRPr="00111997">
        <w:rPr>
          <w:rFonts w:cs="Arial"/>
          <w:szCs w:val="18"/>
          <w:shd w:val="clear" w:color="auto" w:fill="FFFFFF"/>
          <w:lang w:val="en-US"/>
        </w:rPr>
        <w:t>Ministero</w:t>
      </w:r>
      <w:proofErr w:type="spellEnd"/>
      <w:r w:rsidRPr="00111997">
        <w:rPr>
          <w:rFonts w:cs="Arial"/>
          <w:szCs w:val="18"/>
          <w:shd w:val="clear" w:color="auto" w:fill="FFFFFF"/>
          <w:lang w:val="en-US"/>
        </w:rPr>
        <w:t xml:space="preserve"> Università e </w:t>
      </w:r>
      <w:proofErr w:type="spellStart"/>
      <w:r w:rsidRPr="00111997">
        <w:rPr>
          <w:rFonts w:cs="Arial"/>
          <w:szCs w:val="18"/>
          <w:shd w:val="clear" w:color="auto" w:fill="FFFFFF"/>
          <w:lang w:val="en-US"/>
        </w:rPr>
        <w:t>Ricerca</w:t>
      </w:r>
      <w:proofErr w:type="spellEnd"/>
      <w:r w:rsidRPr="00111997">
        <w:rPr>
          <w:rFonts w:cs="Arial"/>
          <w:szCs w:val="18"/>
          <w:shd w:val="clear" w:color="auto" w:fill="FFFFFF"/>
          <w:lang w:val="en-US"/>
        </w:rPr>
        <w:t>, CUP</w:t>
      </w:r>
      <w:r w:rsidR="00E823A5">
        <w:rPr>
          <w:rFonts w:cs="Arial"/>
          <w:szCs w:val="18"/>
          <w:shd w:val="clear" w:color="auto" w:fill="FFFFFF"/>
          <w:lang w:val="en-US"/>
        </w:rPr>
        <w:t xml:space="preserve">: </w:t>
      </w:r>
      <w:r w:rsidRPr="00111997">
        <w:rPr>
          <w:rFonts w:cs="Arial"/>
          <w:szCs w:val="18"/>
          <w:shd w:val="clear" w:color="auto" w:fill="FFFFFF"/>
          <w:lang w:val="en-US"/>
        </w:rPr>
        <w:t>I53C22001450006, Project title “Network 4 Energy Sustainable Transition – NEST”</w:t>
      </w:r>
      <w:r w:rsidR="0041466D">
        <w:rPr>
          <w:rFonts w:cs="Arial"/>
          <w:szCs w:val="18"/>
          <w:shd w:val="clear" w:color="auto" w:fill="FFFFFF"/>
          <w:lang w:val="en-US"/>
        </w:rPr>
        <w:t>.</w:t>
      </w:r>
    </w:p>
    <w:p w14:paraId="4F1327F8" w14:textId="1DB6BD85" w:rsidR="00600535" w:rsidRPr="00111997" w:rsidRDefault="00600535" w:rsidP="00C3162D">
      <w:pPr>
        <w:pStyle w:val="CETReference"/>
        <w:widowControl w:val="0"/>
        <w:rPr>
          <w:lang w:val="en-US"/>
        </w:rPr>
      </w:pPr>
      <w:r w:rsidRPr="00111997">
        <w:rPr>
          <w:lang w:val="en-US"/>
        </w:rPr>
        <w:t>References</w:t>
      </w:r>
    </w:p>
    <w:p w14:paraId="2128427A" w14:textId="77777777" w:rsidR="003C6146" w:rsidRPr="00131D38" w:rsidRDefault="003C6146" w:rsidP="00C3162D">
      <w:pPr>
        <w:pStyle w:val="CETReferencetext"/>
        <w:widowControl w:val="0"/>
        <w:spacing w:line="240" w:lineRule="auto"/>
        <w:rPr>
          <w:lang w:val="en-US"/>
        </w:rPr>
      </w:pPr>
      <w:r w:rsidRPr="00131D38">
        <w:rPr>
          <w:lang w:val="en-US"/>
        </w:rPr>
        <w:t xml:space="preserve">Balhorn, L. S., </w:t>
      </w:r>
      <w:proofErr w:type="spellStart"/>
      <w:r w:rsidRPr="00131D38">
        <w:rPr>
          <w:lang w:val="en-US"/>
        </w:rPr>
        <w:t>Hirtreiter</w:t>
      </w:r>
      <w:proofErr w:type="spellEnd"/>
      <w:r w:rsidRPr="00131D38">
        <w:rPr>
          <w:lang w:val="en-US"/>
        </w:rPr>
        <w:t xml:space="preserve">, E., </w:t>
      </w:r>
      <w:proofErr w:type="spellStart"/>
      <w:r w:rsidRPr="00131D38">
        <w:rPr>
          <w:lang w:val="en-US"/>
        </w:rPr>
        <w:t>Luderer</w:t>
      </w:r>
      <w:proofErr w:type="spellEnd"/>
      <w:r w:rsidRPr="00131D38">
        <w:rPr>
          <w:lang w:val="en-US"/>
        </w:rPr>
        <w:t xml:space="preserve">, L., &amp; </w:t>
      </w:r>
      <w:proofErr w:type="spellStart"/>
      <w:r w:rsidRPr="00131D38">
        <w:rPr>
          <w:lang w:val="en-US"/>
        </w:rPr>
        <w:t>Schweidtmann</w:t>
      </w:r>
      <w:proofErr w:type="spellEnd"/>
      <w:r w:rsidRPr="00131D38">
        <w:rPr>
          <w:lang w:val="en-US"/>
        </w:rPr>
        <w:t>, A. M. (2023). Data augmentation for machine learning of chemical process flowsheets. In Computer Aided Chemical Engineering 52, 2011-2016).</w:t>
      </w:r>
    </w:p>
    <w:p w14:paraId="208AF4E6" w14:textId="77777777" w:rsidR="003C6146" w:rsidRPr="00131D38" w:rsidRDefault="003C6146" w:rsidP="00C3162D">
      <w:pPr>
        <w:pStyle w:val="CETReferencetext"/>
        <w:widowControl w:val="0"/>
        <w:spacing w:line="240" w:lineRule="auto"/>
        <w:rPr>
          <w:lang w:val="en-US"/>
        </w:rPr>
      </w:pPr>
      <w:r w:rsidRPr="000325D6">
        <w:rPr>
          <w:lang w:val="it-IT"/>
        </w:rPr>
        <w:t xml:space="preserve">Brachi, P., Miccio, F., Miccio, M., &amp; Ruoppolo, G. (2016). </w:t>
      </w:r>
      <w:r w:rsidRPr="00131D38">
        <w:rPr>
          <w:lang w:val="en-US"/>
        </w:rPr>
        <w:t xml:space="preserve">Torrefaction of Tomato Peel Residues in a Fluidized Bed of Inert Particles and a Fixed-Bed Reactor. Energy and Fuels, 30(6), 4858–4868. </w:t>
      </w:r>
    </w:p>
    <w:p w14:paraId="0DE1E656" w14:textId="77777777" w:rsidR="003C6146" w:rsidRPr="00131D38" w:rsidRDefault="003C6146" w:rsidP="00C3162D">
      <w:pPr>
        <w:pStyle w:val="CETReferencetext"/>
        <w:widowControl w:val="0"/>
        <w:spacing w:line="240" w:lineRule="auto"/>
        <w:rPr>
          <w:lang w:val="en-US"/>
        </w:rPr>
      </w:pPr>
      <w:r w:rsidRPr="00131D38">
        <w:rPr>
          <w:lang w:val="en-US"/>
        </w:rPr>
        <w:t>Chen, J., Lu, Z., Jian, J., Bao, Z., Cai, J., &amp; Yao, S. (2023). Effect of torrefaction on yield, reactivity and physicochemical properties of pyrolyzed char from three major biomass constituents. Journal of Analytical and Applied Pyrolysis, 173, 106104.</w:t>
      </w:r>
    </w:p>
    <w:p w14:paraId="2E4E2F5C" w14:textId="77777777" w:rsidR="003C6146" w:rsidRPr="00131D38" w:rsidRDefault="003C6146" w:rsidP="00C3162D">
      <w:pPr>
        <w:pStyle w:val="CETReferencetext"/>
        <w:widowControl w:val="0"/>
        <w:spacing w:line="240" w:lineRule="auto"/>
        <w:rPr>
          <w:rFonts w:eastAsia="Calibri"/>
          <w:lang w:val="en-US"/>
        </w:rPr>
      </w:pPr>
      <w:r w:rsidRPr="00131D38">
        <w:rPr>
          <w:rFonts w:eastAsia="Calibri"/>
          <w:lang w:val="en-US"/>
        </w:rPr>
        <w:t xml:space="preserve">Dong, H., Wang, J., Wu, X., Zhou, M., &amp; </w:t>
      </w:r>
      <w:proofErr w:type="spellStart"/>
      <w:r w:rsidRPr="00131D38">
        <w:rPr>
          <w:rFonts w:eastAsia="Calibri"/>
          <w:lang w:val="en-US"/>
        </w:rPr>
        <w:t>Lü</w:t>
      </w:r>
      <w:proofErr w:type="spellEnd"/>
      <w:r w:rsidRPr="00131D38">
        <w:rPr>
          <w:rFonts w:eastAsia="Calibri"/>
          <w:lang w:val="en-US"/>
        </w:rPr>
        <w:t>, J. (2023). Gaussian noise data augmentation-based delay prediction for high-speed railways. IEEE Intelligent Transportation Systems Magazine, 15(6), 8-18.</w:t>
      </w:r>
    </w:p>
    <w:p w14:paraId="087BA628" w14:textId="77777777" w:rsidR="003C6146" w:rsidRPr="00131D38" w:rsidRDefault="003C6146" w:rsidP="00C3162D">
      <w:pPr>
        <w:pStyle w:val="CETReferencetext"/>
        <w:widowControl w:val="0"/>
        <w:spacing w:line="240" w:lineRule="auto"/>
        <w:rPr>
          <w:lang w:val="en-US"/>
        </w:rPr>
      </w:pPr>
      <w:r w:rsidRPr="00131D38">
        <w:rPr>
          <w:lang w:val="en-US"/>
        </w:rPr>
        <w:t xml:space="preserve">Dou, H. X., Lu, X. S., Wang, C., Shen, H. Z., Zhuo, Y. W., &amp; Deng, L. J. (2022). </w:t>
      </w:r>
      <w:proofErr w:type="spellStart"/>
      <w:r w:rsidRPr="00131D38">
        <w:rPr>
          <w:lang w:val="en-US"/>
        </w:rPr>
        <w:t>PatchMask</w:t>
      </w:r>
      <w:proofErr w:type="spellEnd"/>
      <w:r w:rsidRPr="00131D38">
        <w:rPr>
          <w:lang w:val="en-US"/>
        </w:rPr>
        <w:t>: A data augmentation strategy with Gaussian noise in hyperspectral images. Remote Sensing, 14(24), 6308.</w:t>
      </w:r>
    </w:p>
    <w:p w14:paraId="0AA1F5D2" w14:textId="77777777" w:rsidR="003C6146" w:rsidRPr="00131D38" w:rsidRDefault="003C6146" w:rsidP="00C3162D">
      <w:pPr>
        <w:pStyle w:val="CETReferencetext"/>
        <w:widowControl w:val="0"/>
        <w:spacing w:line="240" w:lineRule="auto"/>
        <w:rPr>
          <w:lang w:val="en-US"/>
        </w:rPr>
      </w:pPr>
      <w:proofErr w:type="spellStart"/>
      <w:r w:rsidRPr="00131D38">
        <w:rPr>
          <w:lang w:val="en-US"/>
        </w:rPr>
        <w:t>Głód</w:t>
      </w:r>
      <w:proofErr w:type="spellEnd"/>
      <w:r w:rsidRPr="00131D38">
        <w:rPr>
          <w:lang w:val="en-US"/>
        </w:rPr>
        <w:t xml:space="preserve">, K., Lasek, J. A., </w:t>
      </w:r>
      <w:proofErr w:type="spellStart"/>
      <w:r w:rsidRPr="00131D38">
        <w:rPr>
          <w:lang w:val="en-US"/>
        </w:rPr>
        <w:t>Supernok</w:t>
      </w:r>
      <w:proofErr w:type="spellEnd"/>
      <w:r w:rsidRPr="00131D38">
        <w:rPr>
          <w:lang w:val="en-US"/>
        </w:rPr>
        <w:t xml:space="preserve">, K., Pawłowski, P., </w:t>
      </w:r>
      <w:proofErr w:type="spellStart"/>
      <w:r w:rsidRPr="00131D38">
        <w:rPr>
          <w:lang w:val="en-US"/>
        </w:rPr>
        <w:t>Fryza</w:t>
      </w:r>
      <w:proofErr w:type="spellEnd"/>
      <w:r w:rsidRPr="00131D38">
        <w:rPr>
          <w:lang w:val="en-US"/>
        </w:rPr>
        <w:t xml:space="preserve">, R., &amp; </w:t>
      </w:r>
      <w:proofErr w:type="spellStart"/>
      <w:r w:rsidRPr="00131D38">
        <w:rPr>
          <w:lang w:val="en-US"/>
        </w:rPr>
        <w:t>Zuwała</w:t>
      </w:r>
      <w:proofErr w:type="spellEnd"/>
      <w:r w:rsidRPr="00131D38">
        <w:rPr>
          <w:lang w:val="en-US"/>
        </w:rPr>
        <w:t xml:space="preserve">, J. (2023). Torrefaction </w:t>
      </w:r>
      <w:proofErr w:type="gramStart"/>
      <w:r w:rsidRPr="00131D38">
        <w:rPr>
          <w:lang w:val="en-US"/>
        </w:rPr>
        <w:t>as a way to</w:t>
      </w:r>
      <w:proofErr w:type="gramEnd"/>
      <w:r w:rsidRPr="00131D38">
        <w:rPr>
          <w:lang w:val="en-US"/>
        </w:rPr>
        <w:t xml:space="preserve"> increase </w:t>
      </w:r>
      <w:proofErr w:type="gramStart"/>
      <w:r w:rsidRPr="00131D38">
        <w:rPr>
          <w:lang w:val="en-US"/>
        </w:rPr>
        <w:t>the waste</w:t>
      </w:r>
      <w:proofErr w:type="gramEnd"/>
      <w:r w:rsidRPr="00131D38">
        <w:rPr>
          <w:lang w:val="en-US"/>
        </w:rPr>
        <w:t xml:space="preserve"> energy potential. Energy, 285, 128606.</w:t>
      </w:r>
    </w:p>
    <w:p w14:paraId="02602FFE" w14:textId="77777777" w:rsidR="003C6146" w:rsidRPr="00131D38" w:rsidRDefault="003C6146" w:rsidP="00C3162D">
      <w:pPr>
        <w:pStyle w:val="CETReferencetext"/>
        <w:widowControl w:val="0"/>
        <w:spacing w:line="240" w:lineRule="auto"/>
        <w:rPr>
          <w:lang w:val="en-US"/>
        </w:rPr>
      </w:pPr>
      <w:r w:rsidRPr="00131D38">
        <w:rPr>
          <w:lang w:val="en-US"/>
        </w:rPr>
        <w:t>Hu, H., Zhang, J., Wang, T., &amp; Wang, P. (2022). Adsorption of toxic metal ion in agricultural wastewater by torrefaction biochar from bamboo shoot shell. Journal of Cleaner Production, 338, 130558.</w:t>
      </w:r>
    </w:p>
    <w:p w14:paraId="3F1DC750" w14:textId="77777777" w:rsidR="003C6146" w:rsidRPr="00131D38" w:rsidRDefault="003C6146" w:rsidP="00C3162D">
      <w:pPr>
        <w:pStyle w:val="CETReferencetext"/>
        <w:widowControl w:val="0"/>
        <w:spacing w:line="240" w:lineRule="auto"/>
        <w:rPr>
          <w:lang w:val="en-US"/>
        </w:rPr>
      </w:pPr>
      <w:r w:rsidRPr="00131D38">
        <w:rPr>
          <w:lang w:val="en-US"/>
        </w:rPr>
        <w:t xml:space="preserve">Khairy, M., Amer, M., Ibrahim, M., </w:t>
      </w:r>
      <w:proofErr w:type="spellStart"/>
      <w:r w:rsidRPr="00131D38">
        <w:rPr>
          <w:lang w:val="en-US"/>
        </w:rPr>
        <w:t>Ookawara</w:t>
      </w:r>
      <w:proofErr w:type="spellEnd"/>
      <w:r w:rsidRPr="00131D38">
        <w:rPr>
          <w:lang w:val="en-US"/>
        </w:rPr>
        <w:t xml:space="preserve">, S., Sekiguchi, H., &amp; </w:t>
      </w:r>
      <w:proofErr w:type="spellStart"/>
      <w:r w:rsidRPr="00131D38">
        <w:rPr>
          <w:lang w:val="en-US"/>
        </w:rPr>
        <w:t>Elwardany</w:t>
      </w:r>
      <w:proofErr w:type="spellEnd"/>
      <w:r w:rsidRPr="00131D38">
        <w:rPr>
          <w:lang w:val="en-US"/>
        </w:rPr>
        <w:t>, A. (2024). The influence of torrefaction on the biochar characteristics produced from sesame stalks and bean husk. Biomass Conversion and Biorefinery, 14(15), 17127-17148.</w:t>
      </w:r>
    </w:p>
    <w:p w14:paraId="74743010" w14:textId="77777777" w:rsidR="003C6146" w:rsidRPr="000325D6" w:rsidRDefault="003C6146" w:rsidP="00C3162D">
      <w:pPr>
        <w:pStyle w:val="CETReferencetext"/>
        <w:widowControl w:val="0"/>
        <w:spacing w:line="240" w:lineRule="auto"/>
        <w:rPr>
          <w:lang w:val="it-IT"/>
        </w:rPr>
      </w:pPr>
      <w:r w:rsidRPr="00131D38">
        <w:rPr>
          <w:lang w:val="en-US"/>
        </w:rPr>
        <w:t>Lin, S. L., Zhang, H., Chen, W. H., Song, M., &amp; Kwon, E. E. (2023). Low-temperature biochar production from torrefaction for wastewater treatment: a review. </w:t>
      </w:r>
      <w:proofErr w:type="spellStart"/>
      <w:r w:rsidRPr="000325D6">
        <w:rPr>
          <w:lang w:val="it-IT"/>
        </w:rPr>
        <w:t>Bioresource</w:t>
      </w:r>
      <w:proofErr w:type="spellEnd"/>
      <w:r w:rsidRPr="000325D6">
        <w:rPr>
          <w:lang w:val="it-IT"/>
        </w:rPr>
        <w:t xml:space="preserve"> </w:t>
      </w:r>
      <w:proofErr w:type="spellStart"/>
      <w:r w:rsidRPr="000325D6">
        <w:rPr>
          <w:lang w:val="it-IT"/>
        </w:rPr>
        <w:t>technology</w:t>
      </w:r>
      <w:proofErr w:type="spellEnd"/>
      <w:r w:rsidRPr="000325D6">
        <w:rPr>
          <w:lang w:val="it-IT"/>
        </w:rPr>
        <w:t>, 129588.</w:t>
      </w:r>
    </w:p>
    <w:p w14:paraId="2864CB27" w14:textId="77777777" w:rsidR="003C6146" w:rsidRPr="00131D38" w:rsidRDefault="003C6146" w:rsidP="00C3162D">
      <w:pPr>
        <w:pStyle w:val="CETReferencetext"/>
        <w:widowControl w:val="0"/>
        <w:spacing w:line="240" w:lineRule="auto"/>
        <w:rPr>
          <w:lang w:val="en-US"/>
        </w:rPr>
      </w:pPr>
      <w:r w:rsidRPr="000325D6">
        <w:rPr>
          <w:lang w:val="it-IT"/>
        </w:rPr>
        <w:t xml:space="preserve">Miccio, M., Brachi, P., Ruoppolo, G., Miccio, F., Chirone, R., &amp; </w:t>
      </w:r>
      <w:proofErr w:type="spellStart"/>
      <w:r w:rsidRPr="000325D6">
        <w:rPr>
          <w:lang w:val="it-IT"/>
        </w:rPr>
        <w:t>Tauleigne</w:t>
      </w:r>
      <w:proofErr w:type="spellEnd"/>
      <w:r w:rsidRPr="000325D6">
        <w:rPr>
          <w:lang w:val="it-IT"/>
        </w:rPr>
        <w:t xml:space="preserve">, B. (2023). </w:t>
      </w:r>
      <w:r w:rsidRPr="00131D38">
        <w:rPr>
          <w:lang w:val="en-US"/>
        </w:rPr>
        <w:t>Fluidized Bed Design and Process Calculations for the Continuous Torrefaction of Tomato Peels with Solid Product Separation. Chemical Engineering Transactions, 99, 49-54.</w:t>
      </w:r>
    </w:p>
    <w:p w14:paraId="3DD25BE1" w14:textId="77777777" w:rsidR="003C6146" w:rsidRPr="00131D38" w:rsidRDefault="003C6146" w:rsidP="00C3162D">
      <w:pPr>
        <w:pStyle w:val="CETReferencetext"/>
        <w:widowControl w:val="0"/>
        <w:spacing w:line="240" w:lineRule="auto"/>
        <w:rPr>
          <w:lang w:val="en-US"/>
        </w:rPr>
      </w:pPr>
      <w:r w:rsidRPr="00131D38">
        <w:rPr>
          <w:lang w:val="en-US"/>
        </w:rPr>
        <w:t xml:space="preserve">Miccio, M., </w:t>
      </w:r>
      <w:proofErr w:type="spellStart"/>
      <w:r w:rsidRPr="00131D38">
        <w:rPr>
          <w:lang w:val="en-US"/>
        </w:rPr>
        <w:t>Fraganza</w:t>
      </w:r>
      <w:proofErr w:type="spellEnd"/>
      <w:r w:rsidRPr="00131D38">
        <w:rPr>
          <w:lang w:val="en-US"/>
        </w:rPr>
        <w:t xml:space="preserve">, M., Cascone, G., </w:t>
      </w:r>
      <w:proofErr w:type="spellStart"/>
      <w:r w:rsidRPr="00131D38">
        <w:rPr>
          <w:lang w:val="en-US"/>
        </w:rPr>
        <w:t>Pataro</w:t>
      </w:r>
      <w:proofErr w:type="spellEnd"/>
      <w:r w:rsidRPr="00131D38">
        <w:rPr>
          <w:lang w:val="en-US"/>
        </w:rPr>
        <w:t xml:space="preserve">, G., </w:t>
      </w:r>
      <w:proofErr w:type="spellStart"/>
      <w:r w:rsidRPr="00131D38">
        <w:rPr>
          <w:lang w:val="en-US"/>
        </w:rPr>
        <w:t>Rrucaj</w:t>
      </w:r>
      <w:proofErr w:type="spellEnd"/>
      <w:r w:rsidRPr="00131D38">
        <w:rPr>
          <w:lang w:val="en-US"/>
        </w:rPr>
        <w:t xml:space="preserve">, E., Ferrari, G., </w:t>
      </w:r>
      <w:proofErr w:type="spellStart"/>
      <w:r w:rsidRPr="00131D38">
        <w:rPr>
          <w:lang w:val="en-US"/>
        </w:rPr>
        <w:t>Brachi</w:t>
      </w:r>
      <w:proofErr w:type="spellEnd"/>
      <w:r w:rsidRPr="00131D38">
        <w:rPr>
          <w:lang w:val="en-US"/>
        </w:rPr>
        <w:t xml:space="preserve">, P., Migliaccio, R., </w:t>
      </w:r>
      <w:proofErr w:type="spellStart"/>
      <w:r w:rsidRPr="00131D38">
        <w:rPr>
          <w:lang w:val="en-US"/>
        </w:rPr>
        <w:t>Favot</w:t>
      </w:r>
      <w:proofErr w:type="spellEnd"/>
      <w:r w:rsidRPr="00131D38">
        <w:rPr>
          <w:lang w:val="en-US"/>
        </w:rPr>
        <w:t xml:space="preserve">, M., Marchi, F., Le </w:t>
      </w:r>
      <w:proofErr w:type="spellStart"/>
      <w:r w:rsidRPr="00131D38">
        <w:rPr>
          <w:lang w:val="en-US"/>
        </w:rPr>
        <w:t>Nouaille</w:t>
      </w:r>
      <w:proofErr w:type="spellEnd"/>
      <w:r w:rsidRPr="00131D38">
        <w:rPr>
          <w:lang w:val="en-US"/>
        </w:rPr>
        <w:t>, E., 2024, Final Upcycling of Post-treatment Agri-food Residues by Torrefaction, Chemical Engineering Transactions, 109, 373-378.</w:t>
      </w:r>
    </w:p>
    <w:p w14:paraId="4A1B8FDE" w14:textId="77777777" w:rsidR="003C6146" w:rsidRPr="00131D38" w:rsidRDefault="003C6146" w:rsidP="00C3162D">
      <w:pPr>
        <w:pStyle w:val="CETReferencetext"/>
        <w:widowControl w:val="0"/>
        <w:spacing w:line="240" w:lineRule="auto"/>
        <w:rPr>
          <w:lang w:val="en-US"/>
        </w:rPr>
      </w:pPr>
      <w:r w:rsidRPr="00131D38">
        <w:rPr>
          <w:lang w:val="en-US"/>
        </w:rPr>
        <w:t xml:space="preserve">Naveed, M. H., Gul, J., Khan, M. N. A., Naqvi, S. R., </w:t>
      </w:r>
      <w:proofErr w:type="spellStart"/>
      <w:r w:rsidRPr="00131D38">
        <w:rPr>
          <w:lang w:val="en-US"/>
        </w:rPr>
        <w:t>Štěpanec</w:t>
      </w:r>
      <w:proofErr w:type="spellEnd"/>
      <w:r w:rsidRPr="00131D38">
        <w:rPr>
          <w:lang w:val="en-US"/>
        </w:rPr>
        <w:t>, L., &amp; Ali, I. (2024). Torrefied biomass quality prediction and optimization using machine learning algorithms. Chem. Eng. Journal Advances, 19, 100620.</w:t>
      </w:r>
    </w:p>
    <w:p w14:paraId="1E6B1C48" w14:textId="42CE3EE9" w:rsidR="003C6146" w:rsidRPr="00131D38" w:rsidRDefault="003C6146" w:rsidP="00C3162D">
      <w:pPr>
        <w:pStyle w:val="CETReferencetext"/>
        <w:widowControl w:val="0"/>
        <w:spacing w:line="240" w:lineRule="auto"/>
        <w:rPr>
          <w:lang w:val="en-US"/>
        </w:rPr>
      </w:pPr>
      <w:r w:rsidRPr="00131D38">
        <w:rPr>
          <w:lang w:val="en-US"/>
        </w:rPr>
        <w:t xml:space="preserve">Nijman, S. W. J., </w:t>
      </w:r>
      <w:proofErr w:type="spellStart"/>
      <w:r w:rsidRPr="00131D38">
        <w:rPr>
          <w:lang w:val="en-US"/>
        </w:rPr>
        <w:t>Leeuwenberg</w:t>
      </w:r>
      <w:proofErr w:type="spellEnd"/>
      <w:r w:rsidRPr="00131D38">
        <w:rPr>
          <w:lang w:val="en-US"/>
        </w:rPr>
        <w:t xml:space="preserve">, A. M., </w:t>
      </w:r>
      <w:proofErr w:type="spellStart"/>
      <w:r w:rsidRPr="00131D38">
        <w:rPr>
          <w:lang w:val="en-US"/>
        </w:rPr>
        <w:t>Beekers</w:t>
      </w:r>
      <w:proofErr w:type="spellEnd"/>
      <w:r w:rsidRPr="00131D38">
        <w:rPr>
          <w:lang w:val="en-US"/>
        </w:rPr>
        <w:t xml:space="preserve">, I., </w:t>
      </w:r>
      <w:proofErr w:type="spellStart"/>
      <w:r w:rsidRPr="00131D38">
        <w:rPr>
          <w:lang w:val="en-US"/>
        </w:rPr>
        <w:t>Verkouter</w:t>
      </w:r>
      <w:proofErr w:type="spellEnd"/>
      <w:r w:rsidRPr="00131D38">
        <w:rPr>
          <w:lang w:val="en-US"/>
        </w:rPr>
        <w:t xml:space="preserve">, I., Jacobs, J. J. L., Bots, M. L., &amp; Debray, T. P. A. (2022). Missing data is poorly handled and reported in prediction model studies using machine learning: a literature review. Journal of </w:t>
      </w:r>
      <w:r w:rsidR="008C1AFB" w:rsidRPr="00131D38">
        <w:rPr>
          <w:lang w:val="en-US"/>
        </w:rPr>
        <w:t>Clinical E</w:t>
      </w:r>
      <w:r w:rsidRPr="00131D38">
        <w:rPr>
          <w:lang w:val="en-US"/>
        </w:rPr>
        <w:t>pidemiology, 142, 218-229.</w:t>
      </w:r>
    </w:p>
    <w:p w14:paraId="0E28A776" w14:textId="77777777" w:rsidR="003C6146" w:rsidRPr="00131D38" w:rsidRDefault="003C6146" w:rsidP="00C3162D">
      <w:pPr>
        <w:pStyle w:val="CETReferencetext"/>
        <w:widowControl w:val="0"/>
        <w:spacing w:line="240" w:lineRule="auto"/>
        <w:rPr>
          <w:lang w:val="en-US"/>
        </w:rPr>
      </w:pPr>
      <w:r w:rsidRPr="00131D38">
        <w:rPr>
          <w:lang w:val="en-US"/>
        </w:rPr>
        <w:t xml:space="preserve">Oladosu, K. O., Babalola, S. A., Ajao, R. K., &amp; </w:t>
      </w:r>
      <w:proofErr w:type="spellStart"/>
      <w:r w:rsidRPr="00131D38">
        <w:rPr>
          <w:lang w:val="en-US"/>
        </w:rPr>
        <w:t>Erinosho</w:t>
      </w:r>
      <w:proofErr w:type="spellEnd"/>
      <w:r w:rsidRPr="00131D38">
        <w:rPr>
          <w:lang w:val="en-US"/>
        </w:rPr>
        <w:t>, M. F. (2024). Torrefaction of Bambara Groundnut Shell: experimental optimization and prediction of the energy conversion efficiency using statistical and machine learning approaches. International Journal of Ambient Energy, 45(1), 2277309.</w:t>
      </w:r>
    </w:p>
    <w:p w14:paraId="48AD2146" w14:textId="77777777" w:rsidR="003C6146" w:rsidRPr="00131D38" w:rsidRDefault="003C6146" w:rsidP="0078722F">
      <w:pPr>
        <w:pStyle w:val="CETReferencetext"/>
        <w:widowControl w:val="0"/>
        <w:spacing w:line="240" w:lineRule="auto"/>
        <w:rPr>
          <w:lang w:val="en-US"/>
        </w:rPr>
      </w:pPr>
      <w:r w:rsidRPr="00131D38">
        <w:rPr>
          <w:lang w:val="en-US"/>
        </w:rPr>
        <w:t xml:space="preserve">Panwar, N. L., &amp; </w:t>
      </w:r>
      <w:proofErr w:type="spellStart"/>
      <w:r w:rsidRPr="00131D38">
        <w:rPr>
          <w:lang w:val="en-US"/>
        </w:rPr>
        <w:t>Divyangkumar</w:t>
      </w:r>
      <w:proofErr w:type="spellEnd"/>
      <w:r w:rsidRPr="00131D38">
        <w:rPr>
          <w:lang w:val="en-US"/>
        </w:rPr>
        <w:t>, N. (2024). An overview of recent advancements in biomass torrefaction. Environment, Development and Sustainability, 1-48.</w:t>
      </w:r>
    </w:p>
    <w:p w14:paraId="34E2583E" w14:textId="77777777" w:rsidR="003C6146" w:rsidRPr="00131D38" w:rsidRDefault="003C6146" w:rsidP="00C3162D">
      <w:pPr>
        <w:pStyle w:val="CETReferencetext"/>
        <w:widowControl w:val="0"/>
        <w:spacing w:line="240" w:lineRule="auto"/>
        <w:rPr>
          <w:lang w:val="en-US"/>
        </w:rPr>
      </w:pPr>
      <w:proofErr w:type="spellStart"/>
      <w:r w:rsidRPr="00131D38">
        <w:rPr>
          <w:lang w:val="en-US"/>
        </w:rPr>
        <w:t>Rebuffi</w:t>
      </w:r>
      <w:proofErr w:type="spellEnd"/>
      <w:r w:rsidRPr="00131D38">
        <w:rPr>
          <w:lang w:val="en-US"/>
        </w:rPr>
        <w:t xml:space="preserve">, S. A., </w:t>
      </w:r>
      <w:proofErr w:type="spellStart"/>
      <w:r w:rsidRPr="00131D38">
        <w:rPr>
          <w:lang w:val="en-US"/>
        </w:rPr>
        <w:t>Gowal</w:t>
      </w:r>
      <w:proofErr w:type="spellEnd"/>
      <w:r w:rsidRPr="00131D38">
        <w:rPr>
          <w:lang w:val="en-US"/>
        </w:rPr>
        <w:t xml:space="preserve">, S., Calian, D. A., </w:t>
      </w:r>
      <w:proofErr w:type="spellStart"/>
      <w:r w:rsidRPr="00131D38">
        <w:rPr>
          <w:lang w:val="en-US"/>
        </w:rPr>
        <w:t>Stimberg</w:t>
      </w:r>
      <w:proofErr w:type="spellEnd"/>
      <w:r w:rsidRPr="00131D38">
        <w:rPr>
          <w:lang w:val="en-US"/>
        </w:rPr>
        <w:t>, F., Wiles, O., &amp; Mann, T. A. (2021). Data augmentation can improve robustness. Advances in Neural Information Processing Systems, 34, 29935-29948.</w:t>
      </w:r>
    </w:p>
    <w:p w14:paraId="6A6005E2" w14:textId="77777777" w:rsidR="003C6146" w:rsidRPr="00131D38" w:rsidRDefault="003C6146" w:rsidP="00C3162D">
      <w:pPr>
        <w:pStyle w:val="CETReferencetext"/>
        <w:widowControl w:val="0"/>
        <w:spacing w:line="240" w:lineRule="auto"/>
        <w:rPr>
          <w:lang w:val="en-US"/>
        </w:rPr>
      </w:pPr>
      <w:r w:rsidRPr="00131D38">
        <w:rPr>
          <w:lang w:val="en-US"/>
        </w:rPr>
        <w:t>Su, G., &amp; Jiang, P. (2024). Machine learning models for predicting biochar properties from lignocellulosic biomass torrefaction. Bioresource Technology, 399, 130519.</w:t>
      </w:r>
    </w:p>
    <w:p w14:paraId="6F0AA0E1" w14:textId="77777777" w:rsidR="00847FF6" w:rsidRPr="00131D38" w:rsidRDefault="00847FF6" w:rsidP="00847FF6">
      <w:pPr>
        <w:pStyle w:val="CETReferencetext"/>
        <w:widowControl w:val="0"/>
        <w:spacing w:line="240" w:lineRule="auto"/>
        <w:rPr>
          <w:lang w:val="en-US"/>
        </w:rPr>
      </w:pPr>
      <w:proofErr w:type="spellStart"/>
      <w:r w:rsidRPr="00131D38">
        <w:rPr>
          <w:lang w:val="en-US"/>
        </w:rPr>
        <w:t>Thengane</w:t>
      </w:r>
      <w:proofErr w:type="spellEnd"/>
      <w:r w:rsidRPr="00131D38">
        <w:rPr>
          <w:lang w:val="en-US"/>
        </w:rPr>
        <w:t xml:space="preserve">, S. K., Kung, K. S., Gomez-Barea, A., &amp; </w:t>
      </w:r>
      <w:proofErr w:type="spellStart"/>
      <w:r w:rsidRPr="00131D38">
        <w:rPr>
          <w:lang w:val="en-US"/>
        </w:rPr>
        <w:t>Ghoniem</w:t>
      </w:r>
      <w:proofErr w:type="spellEnd"/>
      <w:r w:rsidRPr="00131D38">
        <w:rPr>
          <w:lang w:val="en-US"/>
        </w:rPr>
        <w:t>, A. F. (2022). Advances in biomass torrefaction: Parameters, models, reactors, applications, deployment, and market. Progress in Energy and Combustion Science, 93. https://doi.org/10.1016/J.PECS.2022.101040.</w:t>
      </w:r>
    </w:p>
    <w:p w14:paraId="00CE9442" w14:textId="423D3E44" w:rsidR="003C6146" w:rsidRPr="00131D38" w:rsidRDefault="003C6146" w:rsidP="00C3162D">
      <w:pPr>
        <w:pStyle w:val="CETReferencetext"/>
        <w:widowControl w:val="0"/>
        <w:spacing w:line="240" w:lineRule="auto"/>
        <w:rPr>
          <w:lang w:val="en-US"/>
        </w:rPr>
      </w:pPr>
      <w:r w:rsidRPr="000325D6">
        <w:rPr>
          <w:lang w:val="it-IT"/>
        </w:rPr>
        <w:t xml:space="preserve">Valenti, D., Denaro, G., Conversano, F., Brunet, C., Bonanno, A., Basilone, G., Mazzola S., &amp; Spagnolo, B.  </w:t>
      </w:r>
      <w:r w:rsidRPr="00131D38">
        <w:rPr>
          <w:lang w:val="en-US"/>
        </w:rPr>
        <w:t>(2016). The role of noise on the steady</w:t>
      </w:r>
      <w:r w:rsidR="008C1AFB" w:rsidRPr="00131D38">
        <w:rPr>
          <w:lang w:val="en-US"/>
        </w:rPr>
        <w:t>-</w:t>
      </w:r>
      <w:r w:rsidRPr="00131D38">
        <w:rPr>
          <w:lang w:val="en-US"/>
        </w:rPr>
        <w:t>state distributions of phytoplankton populations.  Journal of Statistical Mechanics, 2016, 054044.</w:t>
      </w:r>
    </w:p>
    <w:p w14:paraId="101A63B3" w14:textId="77777777" w:rsidR="003C6146" w:rsidRPr="00131D38" w:rsidRDefault="003C6146" w:rsidP="00C3162D">
      <w:pPr>
        <w:pStyle w:val="CETReferencetext"/>
        <w:widowControl w:val="0"/>
        <w:spacing w:line="240" w:lineRule="auto"/>
        <w:rPr>
          <w:lang w:val="en-US"/>
        </w:rPr>
      </w:pPr>
      <w:r w:rsidRPr="00131D38">
        <w:rPr>
          <w:lang w:val="en-US"/>
        </w:rPr>
        <w:t xml:space="preserve">Wei, S., Chen, Z., </w:t>
      </w:r>
      <w:proofErr w:type="spellStart"/>
      <w:r w:rsidRPr="00131D38">
        <w:rPr>
          <w:lang w:val="en-US"/>
        </w:rPr>
        <w:t>Arumugasamy</w:t>
      </w:r>
      <w:proofErr w:type="spellEnd"/>
      <w:r w:rsidRPr="00131D38">
        <w:rPr>
          <w:lang w:val="en-US"/>
        </w:rPr>
        <w:t>, S. K., &amp; Chew, I. M. L. (2022). Data augmentation and machine learning techniques for control strategy development in bio-polymerization process. Environmental Science and Ecotechnology, 11, 100172.</w:t>
      </w:r>
    </w:p>
    <w:p w14:paraId="5F6F7496" w14:textId="77777777" w:rsidR="003C6146" w:rsidRPr="00131D38" w:rsidRDefault="003C6146" w:rsidP="00C3162D">
      <w:pPr>
        <w:pStyle w:val="CETReferencetext"/>
        <w:widowControl w:val="0"/>
        <w:spacing w:line="240" w:lineRule="auto"/>
        <w:rPr>
          <w:lang w:val="en-US"/>
        </w:rPr>
      </w:pPr>
      <w:r w:rsidRPr="00131D38">
        <w:rPr>
          <w:lang w:val="en-US"/>
        </w:rPr>
        <w:t>Zhang, Y., Wang, L., Wang, X., Zhang, C., Ge, J., Tang, J. &amp; Duan, H. (2021). Data augmentation and transfer learning strategies for reaction prediction in low chemical data regimes. Organic Chemistry Frontiers, 8(7), 1415-1423.</w:t>
      </w:r>
    </w:p>
    <w:sectPr w:rsidR="003C6146" w:rsidRPr="00131D38"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E8FAE" w14:textId="77777777" w:rsidR="00F21F23" w:rsidRDefault="00F21F23" w:rsidP="004F5E36">
      <w:r>
        <w:separator/>
      </w:r>
    </w:p>
  </w:endnote>
  <w:endnote w:type="continuationSeparator" w:id="0">
    <w:p w14:paraId="1613085A" w14:textId="77777777" w:rsidR="00F21F23" w:rsidRDefault="00F21F23"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0A5DF" w14:textId="77777777" w:rsidR="00F21F23" w:rsidRDefault="00F21F23" w:rsidP="004F5E36">
      <w:r>
        <w:separator/>
      </w:r>
    </w:p>
  </w:footnote>
  <w:footnote w:type="continuationSeparator" w:id="0">
    <w:p w14:paraId="67E8438E" w14:textId="77777777" w:rsidR="00F21F23" w:rsidRDefault="00F21F23"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5603C69"/>
    <w:multiLevelType w:val="hybridMultilevel"/>
    <w:tmpl w:val="7012CD3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1005BA0"/>
    <w:multiLevelType w:val="multilevel"/>
    <w:tmpl w:val="C25CC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236A45"/>
    <w:multiLevelType w:val="hybridMultilevel"/>
    <w:tmpl w:val="E4DED91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720517693">
    <w:abstractNumId w:val="24"/>
  </w:num>
  <w:num w:numId="25" w16cid:durableId="1569456405">
    <w:abstractNumId w:val="23"/>
  </w:num>
  <w:num w:numId="26" w16cid:durableId="4785454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22C"/>
    <w:rsid w:val="000052FB"/>
    <w:rsid w:val="00005A19"/>
    <w:rsid w:val="000117CB"/>
    <w:rsid w:val="00013917"/>
    <w:rsid w:val="00017246"/>
    <w:rsid w:val="00021B00"/>
    <w:rsid w:val="00024EAF"/>
    <w:rsid w:val="0003148D"/>
    <w:rsid w:val="00031EEC"/>
    <w:rsid w:val="000325D6"/>
    <w:rsid w:val="0003360F"/>
    <w:rsid w:val="00036620"/>
    <w:rsid w:val="00037642"/>
    <w:rsid w:val="00051566"/>
    <w:rsid w:val="000544E1"/>
    <w:rsid w:val="000562A9"/>
    <w:rsid w:val="00062A9A"/>
    <w:rsid w:val="00065058"/>
    <w:rsid w:val="00070118"/>
    <w:rsid w:val="00076DFE"/>
    <w:rsid w:val="00076EC8"/>
    <w:rsid w:val="000818BA"/>
    <w:rsid w:val="00086C39"/>
    <w:rsid w:val="000A03B2"/>
    <w:rsid w:val="000A2284"/>
    <w:rsid w:val="000A506E"/>
    <w:rsid w:val="000A57DD"/>
    <w:rsid w:val="000B02DC"/>
    <w:rsid w:val="000B38B6"/>
    <w:rsid w:val="000C323A"/>
    <w:rsid w:val="000D0268"/>
    <w:rsid w:val="000D34BE"/>
    <w:rsid w:val="000E0B3C"/>
    <w:rsid w:val="000E102F"/>
    <w:rsid w:val="000E36F1"/>
    <w:rsid w:val="000E3A73"/>
    <w:rsid w:val="000E414A"/>
    <w:rsid w:val="000E75FD"/>
    <w:rsid w:val="000F093C"/>
    <w:rsid w:val="000F1776"/>
    <w:rsid w:val="000F5A92"/>
    <w:rsid w:val="000F5B4F"/>
    <w:rsid w:val="000F787B"/>
    <w:rsid w:val="0010170B"/>
    <w:rsid w:val="00101778"/>
    <w:rsid w:val="00110C8E"/>
    <w:rsid w:val="00111997"/>
    <w:rsid w:val="0012091F"/>
    <w:rsid w:val="00122A01"/>
    <w:rsid w:val="00122AC0"/>
    <w:rsid w:val="00125678"/>
    <w:rsid w:val="00126BC2"/>
    <w:rsid w:val="001308B6"/>
    <w:rsid w:val="0013121F"/>
    <w:rsid w:val="00131D38"/>
    <w:rsid w:val="00131FE6"/>
    <w:rsid w:val="0013263F"/>
    <w:rsid w:val="001331DF"/>
    <w:rsid w:val="001339FB"/>
    <w:rsid w:val="00134DE4"/>
    <w:rsid w:val="00135BF6"/>
    <w:rsid w:val="0014034D"/>
    <w:rsid w:val="00140FE3"/>
    <w:rsid w:val="00141D7F"/>
    <w:rsid w:val="00144D16"/>
    <w:rsid w:val="00150E59"/>
    <w:rsid w:val="00152DE3"/>
    <w:rsid w:val="001629CA"/>
    <w:rsid w:val="00164CF9"/>
    <w:rsid w:val="0016668E"/>
    <w:rsid w:val="001667A6"/>
    <w:rsid w:val="00171D4D"/>
    <w:rsid w:val="00174E6B"/>
    <w:rsid w:val="0018154D"/>
    <w:rsid w:val="0018171E"/>
    <w:rsid w:val="00184AD6"/>
    <w:rsid w:val="00190296"/>
    <w:rsid w:val="001930FC"/>
    <w:rsid w:val="001A3315"/>
    <w:rsid w:val="001A4AF7"/>
    <w:rsid w:val="001A692E"/>
    <w:rsid w:val="001B0349"/>
    <w:rsid w:val="001B1E93"/>
    <w:rsid w:val="001B579C"/>
    <w:rsid w:val="001B65C1"/>
    <w:rsid w:val="001C260F"/>
    <w:rsid w:val="001C5C3A"/>
    <w:rsid w:val="001C684B"/>
    <w:rsid w:val="001D0CFB"/>
    <w:rsid w:val="001D21AF"/>
    <w:rsid w:val="001D3D32"/>
    <w:rsid w:val="001D53FC"/>
    <w:rsid w:val="001E20C2"/>
    <w:rsid w:val="001F42A5"/>
    <w:rsid w:val="001F77B8"/>
    <w:rsid w:val="001F7B9D"/>
    <w:rsid w:val="00201C37"/>
    <w:rsid w:val="00201C93"/>
    <w:rsid w:val="00202133"/>
    <w:rsid w:val="00205168"/>
    <w:rsid w:val="002224B4"/>
    <w:rsid w:val="0023130C"/>
    <w:rsid w:val="002447EF"/>
    <w:rsid w:val="002511AF"/>
    <w:rsid w:val="00251550"/>
    <w:rsid w:val="0025316E"/>
    <w:rsid w:val="0025363C"/>
    <w:rsid w:val="00254723"/>
    <w:rsid w:val="0025477B"/>
    <w:rsid w:val="00255314"/>
    <w:rsid w:val="00255D5C"/>
    <w:rsid w:val="00263B05"/>
    <w:rsid w:val="002665F8"/>
    <w:rsid w:val="0027221A"/>
    <w:rsid w:val="00275B61"/>
    <w:rsid w:val="0027770E"/>
    <w:rsid w:val="00280FAF"/>
    <w:rsid w:val="00282656"/>
    <w:rsid w:val="002839BA"/>
    <w:rsid w:val="0029266E"/>
    <w:rsid w:val="00294CD9"/>
    <w:rsid w:val="00296B83"/>
    <w:rsid w:val="002A136D"/>
    <w:rsid w:val="002A564F"/>
    <w:rsid w:val="002B4015"/>
    <w:rsid w:val="002B78CE"/>
    <w:rsid w:val="002C2FB6"/>
    <w:rsid w:val="002C7C82"/>
    <w:rsid w:val="002D7518"/>
    <w:rsid w:val="002E4191"/>
    <w:rsid w:val="002E4ED3"/>
    <w:rsid w:val="002E5FA7"/>
    <w:rsid w:val="002F3309"/>
    <w:rsid w:val="002F4014"/>
    <w:rsid w:val="002F6F0E"/>
    <w:rsid w:val="002F76F7"/>
    <w:rsid w:val="003008CE"/>
    <w:rsid w:val="003009B7"/>
    <w:rsid w:val="00300E56"/>
    <w:rsid w:val="0030152C"/>
    <w:rsid w:val="00303356"/>
    <w:rsid w:val="0030469C"/>
    <w:rsid w:val="00304CE8"/>
    <w:rsid w:val="00321CA6"/>
    <w:rsid w:val="0032231A"/>
    <w:rsid w:val="00323763"/>
    <w:rsid w:val="00323C5F"/>
    <w:rsid w:val="00323F39"/>
    <w:rsid w:val="00327B72"/>
    <w:rsid w:val="00334C09"/>
    <w:rsid w:val="00337B75"/>
    <w:rsid w:val="003430FB"/>
    <w:rsid w:val="00345873"/>
    <w:rsid w:val="00346529"/>
    <w:rsid w:val="00347DBA"/>
    <w:rsid w:val="0035222D"/>
    <w:rsid w:val="00353660"/>
    <w:rsid w:val="00354558"/>
    <w:rsid w:val="003579BF"/>
    <w:rsid w:val="003605EA"/>
    <w:rsid w:val="00363527"/>
    <w:rsid w:val="003719CF"/>
    <w:rsid w:val="003723D4"/>
    <w:rsid w:val="003747D7"/>
    <w:rsid w:val="00381905"/>
    <w:rsid w:val="00384CC8"/>
    <w:rsid w:val="003871FD"/>
    <w:rsid w:val="003A007E"/>
    <w:rsid w:val="003A1E30"/>
    <w:rsid w:val="003A2829"/>
    <w:rsid w:val="003A4146"/>
    <w:rsid w:val="003A795F"/>
    <w:rsid w:val="003A7D1C"/>
    <w:rsid w:val="003B304B"/>
    <w:rsid w:val="003B3146"/>
    <w:rsid w:val="003B49CD"/>
    <w:rsid w:val="003B7193"/>
    <w:rsid w:val="003C6146"/>
    <w:rsid w:val="003D1C75"/>
    <w:rsid w:val="003D1E02"/>
    <w:rsid w:val="003D1EA3"/>
    <w:rsid w:val="003D1EFB"/>
    <w:rsid w:val="003D359A"/>
    <w:rsid w:val="003E038C"/>
    <w:rsid w:val="003F015E"/>
    <w:rsid w:val="003F044D"/>
    <w:rsid w:val="003F0CE0"/>
    <w:rsid w:val="003F2AD9"/>
    <w:rsid w:val="00400414"/>
    <w:rsid w:val="00401107"/>
    <w:rsid w:val="00404554"/>
    <w:rsid w:val="0041446B"/>
    <w:rsid w:val="0041466D"/>
    <w:rsid w:val="00424B93"/>
    <w:rsid w:val="0044071E"/>
    <w:rsid w:val="0044243F"/>
    <w:rsid w:val="0044329C"/>
    <w:rsid w:val="0044372E"/>
    <w:rsid w:val="00443D56"/>
    <w:rsid w:val="00451475"/>
    <w:rsid w:val="00453E24"/>
    <w:rsid w:val="00457456"/>
    <w:rsid w:val="004577FE"/>
    <w:rsid w:val="00457B9C"/>
    <w:rsid w:val="004610D7"/>
    <w:rsid w:val="0046164A"/>
    <w:rsid w:val="004628D2"/>
    <w:rsid w:val="00462DCD"/>
    <w:rsid w:val="00463619"/>
    <w:rsid w:val="004648AD"/>
    <w:rsid w:val="00467546"/>
    <w:rsid w:val="004703A9"/>
    <w:rsid w:val="00470CC1"/>
    <w:rsid w:val="00471B08"/>
    <w:rsid w:val="004723E9"/>
    <w:rsid w:val="00475EB4"/>
    <w:rsid w:val="004760DE"/>
    <w:rsid w:val="0047628E"/>
    <w:rsid w:val="004763D7"/>
    <w:rsid w:val="004834A9"/>
    <w:rsid w:val="00483602"/>
    <w:rsid w:val="00486B63"/>
    <w:rsid w:val="004921B6"/>
    <w:rsid w:val="00494607"/>
    <w:rsid w:val="004A004E"/>
    <w:rsid w:val="004A0319"/>
    <w:rsid w:val="004A24CF"/>
    <w:rsid w:val="004A4AB7"/>
    <w:rsid w:val="004B1F15"/>
    <w:rsid w:val="004B328C"/>
    <w:rsid w:val="004B36C8"/>
    <w:rsid w:val="004C3D1D"/>
    <w:rsid w:val="004C3D84"/>
    <w:rsid w:val="004C4F71"/>
    <w:rsid w:val="004C7913"/>
    <w:rsid w:val="004D3B6D"/>
    <w:rsid w:val="004D52C1"/>
    <w:rsid w:val="004D7677"/>
    <w:rsid w:val="004E4DD6"/>
    <w:rsid w:val="004E5BDB"/>
    <w:rsid w:val="004F5E36"/>
    <w:rsid w:val="00507B47"/>
    <w:rsid w:val="00507BEF"/>
    <w:rsid w:val="00507CC9"/>
    <w:rsid w:val="0051012D"/>
    <w:rsid w:val="005119A5"/>
    <w:rsid w:val="00512939"/>
    <w:rsid w:val="005278B7"/>
    <w:rsid w:val="00532016"/>
    <w:rsid w:val="00533EF8"/>
    <w:rsid w:val="005346C8"/>
    <w:rsid w:val="00543E7D"/>
    <w:rsid w:val="00544012"/>
    <w:rsid w:val="00547A68"/>
    <w:rsid w:val="00552360"/>
    <w:rsid w:val="005531C9"/>
    <w:rsid w:val="00554879"/>
    <w:rsid w:val="00554BE8"/>
    <w:rsid w:val="00556C25"/>
    <w:rsid w:val="00570C43"/>
    <w:rsid w:val="00570E68"/>
    <w:rsid w:val="005719FF"/>
    <w:rsid w:val="00572D9B"/>
    <w:rsid w:val="00572F38"/>
    <w:rsid w:val="00592274"/>
    <w:rsid w:val="005A1C4A"/>
    <w:rsid w:val="005A61AC"/>
    <w:rsid w:val="005A6498"/>
    <w:rsid w:val="005A7354"/>
    <w:rsid w:val="005B0D80"/>
    <w:rsid w:val="005B2110"/>
    <w:rsid w:val="005B2F22"/>
    <w:rsid w:val="005B350B"/>
    <w:rsid w:val="005B545D"/>
    <w:rsid w:val="005B5980"/>
    <w:rsid w:val="005B61E6"/>
    <w:rsid w:val="005C3A91"/>
    <w:rsid w:val="005C3C0B"/>
    <w:rsid w:val="005C48F8"/>
    <w:rsid w:val="005C77E1"/>
    <w:rsid w:val="005D439A"/>
    <w:rsid w:val="005D5696"/>
    <w:rsid w:val="005D668A"/>
    <w:rsid w:val="005D6A2F"/>
    <w:rsid w:val="005E0592"/>
    <w:rsid w:val="005E1A82"/>
    <w:rsid w:val="005E6B60"/>
    <w:rsid w:val="005E794C"/>
    <w:rsid w:val="005F0A28"/>
    <w:rsid w:val="005F0E5E"/>
    <w:rsid w:val="005F316D"/>
    <w:rsid w:val="005F4C43"/>
    <w:rsid w:val="005F626A"/>
    <w:rsid w:val="00600535"/>
    <w:rsid w:val="00602BB3"/>
    <w:rsid w:val="006035A0"/>
    <w:rsid w:val="00610CD6"/>
    <w:rsid w:val="0062057D"/>
    <w:rsid w:val="00620DEE"/>
    <w:rsid w:val="00621F92"/>
    <w:rsid w:val="0062280A"/>
    <w:rsid w:val="006231E1"/>
    <w:rsid w:val="006250C7"/>
    <w:rsid w:val="00625639"/>
    <w:rsid w:val="00626342"/>
    <w:rsid w:val="00631B33"/>
    <w:rsid w:val="00632517"/>
    <w:rsid w:val="00637CE6"/>
    <w:rsid w:val="0064184D"/>
    <w:rsid w:val="006422CC"/>
    <w:rsid w:val="00647F7C"/>
    <w:rsid w:val="00651D18"/>
    <w:rsid w:val="00653B47"/>
    <w:rsid w:val="00660E3E"/>
    <w:rsid w:val="00662E74"/>
    <w:rsid w:val="0067391C"/>
    <w:rsid w:val="00674BF9"/>
    <w:rsid w:val="006751D1"/>
    <w:rsid w:val="00680C23"/>
    <w:rsid w:val="00683E23"/>
    <w:rsid w:val="006927C3"/>
    <w:rsid w:val="006934E8"/>
    <w:rsid w:val="00693766"/>
    <w:rsid w:val="0069387C"/>
    <w:rsid w:val="006A1478"/>
    <w:rsid w:val="006A3281"/>
    <w:rsid w:val="006A6DE5"/>
    <w:rsid w:val="006B4888"/>
    <w:rsid w:val="006C209D"/>
    <w:rsid w:val="006C2E45"/>
    <w:rsid w:val="006C359C"/>
    <w:rsid w:val="006C3876"/>
    <w:rsid w:val="006C5579"/>
    <w:rsid w:val="006D6E8B"/>
    <w:rsid w:val="006D7209"/>
    <w:rsid w:val="006E737D"/>
    <w:rsid w:val="00704493"/>
    <w:rsid w:val="00707DD1"/>
    <w:rsid w:val="00713973"/>
    <w:rsid w:val="007152FA"/>
    <w:rsid w:val="00716029"/>
    <w:rsid w:val="00720A24"/>
    <w:rsid w:val="00726F8F"/>
    <w:rsid w:val="00727B0E"/>
    <w:rsid w:val="00732386"/>
    <w:rsid w:val="0073514D"/>
    <w:rsid w:val="007361B3"/>
    <w:rsid w:val="00736DCB"/>
    <w:rsid w:val="007447F3"/>
    <w:rsid w:val="00753013"/>
    <w:rsid w:val="0075499F"/>
    <w:rsid w:val="00755DCB"/>
    <w:rsid w:val="0075690B"/>
    <w:rsid w:val="00761554"/>
    <w:rsid w:val="00765F42"/>
    <w:rsid w:val="007661C8"/>
    <w:rsid w:val="0077098D"/>
    <w:rsid w:val="00781160"/>
    <w:rsid w:val="00785BF9"/>
    <w:rsid w:val="0078722F"/>
    <w:rsid w:val="007931FA"/>
    <w:rsid w:val="00793854"/>
    <w:rsid w:val="007A4861"/>
    <w:rsid w:val="007A7BBA"/>
    <w:rsid w:val="007B0C50"/>
    <w:rsid w:val="007B201B"/>
    <w:rsid w:val="007B48F9"/>
    <w:rsid w:val="007B5489"/>
    <w:rsid w:val="007C1A43"/>
    <w:rsid w:val="007D0951"/>
    <w:rsid w:val="007D12A6"/>
    <w:rsid w:val="007D132E"/>
    <w:rsid w:val="007D573C"/>
    <w:rsid w:val="007D610D"/>
    <w:rsid w:val="007E0FD5"/>
    <w:rsid w:val="007F2A62"/>
    <w:rsid w:val="0080013E"/>
    <w:rsid w:val="00801759"/>
    <w:rsid w:val="00811A64"/>
    <w:rsid w:val="0081327F"/>
    <w:rsid w:val="00813288"/>
    <w:rsid w:val="008168FC"/>
    <w:rsid w:val="008241AE"/>
    <w:rsid w:val="00830996"/>
    <w:rsid w:val="008345F1"/>
    <w:rsid w:val="00840D1F"/>
    <w:rsid w:val="00844A2C"/>
    <w:rsid w:val="00845EF9"/>
    <w:rsid w:val="00847FF6"/>
    <w:rsid w:val="00852F37"/>
    <w:rsid w:val="00864AAC"/>
    <w:rsid w:val="008653BF"/>
    <w:rsid w:val="00865B07"/>
    <w:rsid w:val="008667EA"/>
    <w:rsid w:val="0087637F"/>
    <w:rsid w:val="00884F97"/>
    <w:rsid w:val="0088524E"/>
    <w:rsid w:val="008871BA"/>
    <w:rsid w:val="00892AD5"/>
    <w:rsid w:val="00895BA6"/>
    <w:rsid w:val="008A1512"/>
    <w:rsid w:val="008A528F"/>
    <w:rsid w:val="008A64B0"/>
    <w:rsid w:val="008C1AFB"/>
    <w:rsid w:val="008D32B9"/>
    <w:rsid w:val="008D433B"/>
    <w:rsid w:val="008D4A16"/>
    <w:rsid w:val="008D7022"/>
    <w:rsid w:val="008E00FC"/>
    <w:rsid w:val="008E5401"/>
    <w:rsid w:val="008E566E"/>
    <w:rsid w:val="008F6B43"/>
    <w:rsid w:val="0090161A"/>
    <w:rsid w:val="00901742"/>
    <w:rsid w:val="00901EB6"/>
    <w:rsid w:val="009041F8"/>
    <w:rsid w:val="00904C62"/>
    <w:rsid w:val="00907683"/>
    <w:rsid w:val="009144DB"/>
    <w:rsid w:val="00922BA8"/>
    <w:rsid w:val="00924DAC"/>
    <w:rsid w:val="009253E2"/>
    <w:rsid w:val="0092568A"/>
    <w:rsid w:val="00927058"/>
    <w:rsid w:val="00934A35"/>
    <w:rsid w:val="00936E4E"/>
    <w:rsid w:val="00942750"/>
    <w:rsid w:val="009450CE"/>
    <w:rsid w:val="009459BB"/>
    <w:rsid w:val="00947179"/>
    <w:rsid w:val="0095164B"/>
    <w:rsid w:val="00954090"/>
    <w:rsid w:val="009573E7"/>
    <w:rsid w:val="009611AE"/>
    <w:rsid w:val="00963E05"/>
    <w:rsid w:val="00964A45"/>
    <w:rsid w:val="00967512"/>
    <w:rsid w:val="00967843"/>
    <w:rsid w:val="00967D54"/>
    <w:rsid w:val="00971028"/>
    <w:rsid w:val="0097224E"/>
    <w:rsid w:val="00975606"/>
    <w:rsid w:val="00980B53"/>
    <w:rsid w:val="00983F1B"/>
    <w:rsid w:val="00992AC5"/>
    <w:rsid w:val="00993B84"/>
    <w:rsid w:val="00994C6A"/>
    <w:rsid w:val="00996483"/>
    <w:rsid w:val="00996F5A"/>
    <w:rsid w:val="009A0306"/>
    <w:rsid w:val="009A46F6"/>
    <w:rsid w:val="009A5D3A"/>
    <w:rsid w:val="009B041A"/>
    <w:rsid w:val="009B14F3"/>
    <w:rsid w:val="009B22D8"/>
    <w:rsid w:val="009B5F5C"/>
    <w:rsid w:val="009B6E57"/>
    <w:rsid w:val="009C10AC"/>
    <w:rsid w:val="009C37C3"/>
    <w:rsid w:val="009C7C86"/>
    <w:rsid w:val="009D2FF7"/>
    <w:rsid w:val="009E7884"/>
    <w:rsid w:val="009E788A"/>
    <w:rsid w:val="009F0E08"/>
    <w:rsid w:val="009F2575"/>
    <w:rsid w:val="009F583E"/>
    <w:rsid w:val="009F5AED"/>
    <w:rsid w:val="00A05043"/>
    <w:rsid w:val="00A079AE"/>
    <w:rsid w:val="00A11126"/>
    <w:rsid w:val="00A11D39"/>
    <w:rsid w:val="00A13A3F"/>
    <w:rsid w:val="00A1591A"/>
    <w:rsid w:val="00A1763D"/>
    <w:rsid w:val="00A17CEC"/>
    <w:rsid w:val="00A230A5"/>
    <w:rsid w:val="00A27EF0"/>
    <w:rsid w:val="00A42361"/>
    <w:rsid w:val="00A4792A"/>
    <w:rsid w:val="00A50B20"/>
    <w:rsid w:val="00A51390"/>
    <w:rsid w:val="00A60D13"/>
    <w:rsid w:val="00A64A42"/>
    <w:rsid w:val="00A7223D"/>
    <w:rsid w:val="00A72745"/>
    <w:rsid w:val="00A76EFC"/>
    <w:rsid w:val="00A87D50"/>
    <w:rsid w:val="00A91010"/>
    <w:rsid w:val="00A97F29"/>
    <w:rsid w:val="00AA2A0F"/>
    <w:rsid w:val="00AA460E"/>
    <w:rsid w:val="00AA57E0"/>
    <w:rsid w:val="00AA702E"/>
    <w:rsid w:val="00AA7D26"/>
    <w:rsid w:val="00AB0964"/>
    <w:rsid w:val="00AB5011"/>
    <w:rsid w:val="00AB70D6"/>
    <w:rsid w:val="00AC3A1C"/>
    <w:rsid w:val="00AC7368"/>
    <w:rsid w:val="00AD16B9"/>
    <w:rsid w:val="00AE377D"/>
    <w:rsid w:val="00AE6D06"/>
    <w:rsid w:val="00AE779D"/>
    <w:rsid w:val="00AF0EBA"/>
    <w:rsid w:val="00AF2463"/>
    <w:rsid w:val="00B02C8A"/>
    <w:rsid w:val="00B07E80"/>
    <w:rsid w:val="00B108C1"/>
    <w:rsid w:val="00B17FBD"/>
    <w:rsid w:val="00B31227"/>
    <w:rsid w:val="00B315A6"/>
    <w:rsid w:val="00B31813"/>
    <w:rsid w:val="00B33365"/>
    <w:rsid w:val="00B365DB"/>
    <w:rsid w:val="00B45895"/>
    <w:rsid w:val="00B52374"/>
    <w:rsid w:val="00B578FD"/>
    <w:rsid w:val="00B57B36"/>
    <w:rsid w:val="00B57E6F"/>
    <w:rsid w:val="00B74B55"/>
    <w:rsid w:val="00B755B4"/>
    <w:rsid w:val="00B77B49"/>
    <w:rsid w:val="00B85397"/>
    <w:rsid w:val="00B8686D"/>
    <w:rsid w:val="00B9130E"/>
    <w:rsid w:val="00B93F69"/>
    <w:rsid w:val="00B95B76"/>
    <w:rsid w:val="00BA5B1F"/>
    <w:rsid w:val="00BA5BD4"/>
    <w:rsid w:val="00BB1DDC"/>
    <w:rsid w:val="00BB7483"/>
    <w:rsid w:val="00BB7E27"/>
    <w:rsid w:val="00BC30C9"/>
    <w:rsid w:val="00BC6859"/>
    <w:rsid w:val="00BD077D"/>
    <w:rsid w:val="00BD65B5"/>
    <w:rsid w:val="00BE0BB5"/>
    <w:rsid w:val="00BE3E58"/>
    <w:rsid w:val="00BF13CE"/>
    <w:rsid w:val="00BF397E"/>
    <w:rsid w:val="00C01616"/>
    <w:rsid w:val="00C0162B"/>
    <w:rsid w:val="00C068ED"/>
    <w:rsid w:val="00C1677A"/>
    <w:rsid w:val="00C22E0C"/>
    <w:rsid w:val="00C3162D"/>
    <w:rsid w:val="00C345B1"/>
    <w:rsid w:val="00C36AA8"/>
    <w:rsid w:val="00C40142"/>
    <w:rsid w:val="00C511B4"/>
    <w:rsid w:val="00C52C3C"/>
    <w:rsid w:val="00C57182"/>
    <w:rsid w:val="00C57863"/>
    <w:rsid w:val="00C61431"/>
    <w:rsid w:val="00C640AF"/>
    <w:rsid w:val="00C655FD"/>
    <w:rsid w:val="00C661EC"/>
    <w:rsid w:val="00C66D01"/>
    <w:rsid w:val="00C75407"/>
    <w:rsid w:val="00C7644F"/>
    <w:rsid w:val="00C803E8"/>
    <w:rsid w:val="00C841C6"/>
    <w:rsid w:val="00C8505A"/>
    <w:rsid w:val="00C870A8"/>
    <w:rsid w:val="00C873E3"/>
    <w:rsid w:val="00C90285"/>
    <w:rsid w:val="00C94434"/>
    <w:rsid w:val="00CA0336"/>
    <w:rsid w:val="00CA0D75"/>
    <w:rsid w:val="00CA1C95"/>
    <w:rsid w:val="00CA5A9C"/>
    <w:rsid w:val="00CA6B5E"/>
    <w:rsid w:val="00CC4C20"/>
    <w:rsid w:val="00CD12C7"/>
    <w:rsid w:val="00CD3517"/>
    <w:rsid w:val="00CD447F"/>
    <w:rsid w:val="00CD5FE2"/>
    <w:rsid w:val="00CD739F"/>
    <w:rsid w:val="00CE73C7"/>
    <w:rsid w:val="00CE7C68"/>
    <w:rsid w:val="00CF379D"/>
    <w:rsid w:val="00D02B4C"/>
    <w:rsid w:val="00D040C4"/>
    <w:rsid w:val="00D06BAD"/>
    <w:rsid w:val="00D131D0"/>
    <w:rsid w:val="00D16EF0"/>
    <w:rsid w:val="00D20AD1"/>
    <w:rsid w:val="00D21D59"/>
    <w:rsid w:val="00D22BD9"/>
    <w:rsid w:val="00D25765"/>
    <w:rsid w:val="00D2582C"/>
    <w:rsid w:val="00D30D66"/>
    <w:rsid w:val="00D31DCB"/>
    <w:rsid w:val="00D4646B"/>
    <w:rsid w:val="00D46B7E"/>
    <w:rsid w:val="00D503DF"/>
    <w:rsid w:val="00D57C84"/>
    <w:rsid w:val="00D6057D"/>
    <w:rsid w:val="00D63456"/>
    <w:rsid w:val="00D66AE6"/>
    <w:rsid w:val="00D71640"/>
    <w:rsid w:val="00D804A7"/>
    <w:rsid w:val="00D836C5"/>
    <w:rsid w:val="00D84576"/>
    <w:rsid w:val="00DA1399"/>
    <w:rsid w:val="00DA1D23"/>
    <w:rsid w:val="00DA24C6"/>
    <w:rsid w:val="00DA4D7B"/>
    <w:rsid w:val="00DA5F98"/>
    <w:rsid w:val="00DB095D"/>
    <w:rsid w:val="00DB1B33"/>
    <w:rsid w:val="00DB6CB2"/>
    <w:rsid w:val="00DC0E70"/>
    <w:rsid w:val="00DC2840"/>
    <w:rsid w:val="00DC2FFB"/>
    <w:rsid w:val="00DC73EE"/>
    <w:rsid w:val="00DD271C"/>
    <w:rsid w:val="00DD6F06"/>
    <w:rsid w:val="00DE264A"/>
    <w:rsid w:val="00DF2194"/>
    <w:rsid w:val="00DF5072"/>
    <w:rsid w:val="00E012E7"/>
    <w:rsid w:val="00E02D18"/>
    <w:rsid w:val="00E041E7"/>
    <w:rsid w:val="00E11C0D"/>
    <w:rsid w:val="00E11D42"/>
    <w:rsid w:val="00E21DE9"/>
    <w:rsid w:val="00E23CA1"/>
    <w:rsid w:val="00E34E73"/>
    <w:rsid w:val="00E35534"/>
    <w:rsid w:val="00E409A8"/>
    <w:rsid w:val="00E50C12"/>
    <w:rsid w:val="00E53307"/>
    <w:rsid w:val="00E6283C"/>
    <w:rsid w:val="00E64366"/>
    <w:rsid w:val="00E64CA1"/>
    <w:rsid w:val="00E65B91"/>
    <w:rsid w:val="00E7209D"/>
    <w:rsid w:val="00E72EAD"/>
    <w:rsid w:val="00E77223"/>
    <w:rsid w:val="00E816E6"/>
    <w:rsid w:val="00E823A5"/>
    <w:rsid w:val="00E8528B"/>
    <w:rsid w:val="00E85B94"/>
    <w:rsid w:val="00E865BA"/>
    <w:rsid w:val="00E934C1"/>
    <w:rsid w:val="00E978D0"/>
    <w:rsid w:val="00EA4613"/>
    <w:rsid w:val="00EA4C00"/>
    <w:rsid w:val="00EA7F91"/>
    <w:rsid w:val="00EB1523"/>
    <w:rsid w:val="00EB73AD"/>
    <w:rsid w:val="00EC0E49"/>
    <w:rsid w:val="00EC101F"/>
    <w:rsid w:val="00EC1D9F"/>
    <w:rsid w:val="00EC4650"/>
    <w:rsid w:val="00ED226E"/>
    <w:rsid w:val="00ED464E"/>
    <w:rsid w:val="00EE0131"/>
    <w:rsid w:val="00EE14EA"/>
    <w:rsid w:val="00EE17B0"/>
    <w:rsid w:val="00EF06D9"/>
    <w:rsid w:val="00EF30E7"/>
    <w:rsid w:val="00F018A1"/>
    <w:rsid w:val="00F03A58"/>
    <w:rsid w:val="00F07E2A"/>
    <w:rsid w:val="00F10640"/>
    <w:rsid w:val="00F16EB2"/>
    <w:rsid w:val="00F21F23"/>
    <w:rsid w:val="00F223BD"/>
    <w:rsid w:val="00F22BBF"/>
    <w:rsid w:val="00F23486"/>
    <w:rsid w:val="00F27AC5"/>
    <w:rsid w:val="00F3049E"/>
    <w:rsid w:val="00F30C64"/>
    <w:rsid w:val="00F32BA2"/>
    <w:rsid w:val="00F32CDB"/>
    <w:rsid w:val="00F36868"/>
    <w:rsid w:val="00F41EE4"/>
    <w:rsid w:val="00F43A2F"/>
    <w:rsid w:val="00F55F5D"/>
    <w:rsid w:val="00F565FE"/>
    <w:rsid w:val="00F5743C"/>
    <w:rsid w:val="00F63A70"/>
    <w:rsid w:val="00F63D8C"/>
    <w:rsid w:val="00F654B8"/>
    <w:rsid w:val="00F67FB8"/>
    <w:rsid w:val="00F73685"/>
    <w:rsid w:val="00F7534E"/>
    <w:rsid w:val="00F769B3"/>
    <w:rsid w:val="00F924F9"/>
    <w:rsid w:val="00F93EDF"/>
    <w:rsid w:val="00FA1802"/>
    <w:rsid w:val="00FA21D0"/>
    <w:rsid w:val="00FA5F5F"/>
    <w:rsid w:val="00FB0016"/>
    <w:rsid w:val="00FB286D"/>
    <w:rsid w:val="00FB4EAD"/>
    <w:rsid w:val="00FB730C"/>
    <w:rsid w:val="00FB7335"/>
    <w:rsid w:val="00FC0AD2"/>
    <w:rsid w:val="00FC2695"/>
    <w:rsid w:val="00FC3E03"/>
    <w:rsid w:val="00FC3FC1"/>
    <w:rsid w:val="00FC5B4B"/>
    <w:rsid w:val="00FD3F14"/>
    <w:rsid w:val="00FE0655"/>
    <w:rsid w:val="00FF3A6D"/>
    <w:rsid w:val="00FF625C"/>
    <w:rsid w:val="00FF7AA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C3162D"/>
    <w:pPr>
      <w:widowControl w:val="0"/>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C3162D"/>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paragraph" w:customStyle="1" w:styleId="whitespace-pre-wrap">
    <w:name w:val="whitespace-pre-wrap"/>
    <w:basedOn w:val="Normale"/>
    <w:rsid w:val="00D4646B"/>
    <w:pPr>
      <w:tabs>
        <w:tab w:val="clear" w:pos="7100"/>
      </w:tabs>
      <w:spacing w:before="100" w:beforeAutospacing="1" w:after="100" w:afterAutospacing="1" w:line="240" w:lineRule="auto"/>
      <w:jc w:val="left"/>
    </w:pPr>
    <w:rPr>
      <w:rFonts w:ascii="Times New Roman" w:hAnsi="Times New Roman"/>
      <w:sz w:val="24"/>
      <w:szCs w:val="24"/>
      <w:lang w:val="it-IT" w:eastAsia="it-IT"/>
    </w:rPr>
  </w:style>
  <w:style w:type="character" w:styleId="Rimandonotaapidipagina">
    <w:name w:val="footnote reference"/>
    <w:basedOn w:val="Carpredefinitoparagrafo"/>
    <w:uiPriority w:val="99"/>
    <w:semiHidden/>
    <w:unhideWhenUsed/>
    <w:rsid w:val="00A11126"/>
    <w:rPr>
      <w:vertAlign w:val="superscript"/>
    </w:rPr>
  </w:style>
  <w:style w:type="paragraph" w:styleId="Revisione">
    <w:name w:val="Revision"/>
    <w:hidden/>
    <w:uiPriority w:val="99"/>
    <w:semiHidden/>
    <w:rsid w:val="00463619"/>
    <w:pPr>
      <w:spacing w:after="0" w:line="240" w:lineRule="auto"/>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FD3F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03194">
      <w:bodyDiv w:val="1"/>
      <w:marLeft w:val="0"/>
      <w:marRight w:val="0"/>
      <w:marTop w:val="0"/>
      <w:marBottom w:val="0"/>
      <w:divBdr>
        <w:top w:val="none" w:sz="0" w:space="0" w:color="auto"/>
        <w:left w:val="none" w:sz="0" w:space="0" w:color="auto"/>
        <w:bottom w:val="none" w:sz="0" w:space="0" w:color="auto"/>
        <w:right w:val="none" w:sz="0" w:space="0" w:color="auto"/>
      </w:divBdr>
    </w:div>
    <w:div w:id="233323441">
      <w:bodyDiv w:val="1"/>
      <w:marLeft w:val="0"/>
      <w:marRight w:val="0"/>
      <w:marTop w:val="0"/>
      <w:marBottom w:val="0"/>
      <w:divBdr>
        <w:top w:val="none" w:sz="0" w:space="0" w:color="auto"/>
        <w:left w:val="none" w:sz="0" w:space="0" w:color="auto"/>
        <w:bottom w:val="none" w:sz="0" w:space="0" w:color="auto"/>
        <w:right w:val="none" w:sz="0" w:space="0" w:color="auto"/>
      </w:divBdr>
    </w:div>
    <w:div w:id="264315762">
      <w:bodyDiv w:val="1"/>
      <w:marLeft w:val="0"/>
      <w:marRight w:val="0"/>
      <w:marTop w:val="0"/>
      <w:marBottom w:val="0"/>
      <w:divBdr>
        <w:top w:val="none" w:sz="0" w:space="0" w:color="auto"/>
        <w:left w:val="none" w:sz="0" w:space="0" w:color="auto"/>
        <w:bottom w:val="none" w:sz="0" w:space="0" w:color="auto"/>
        <w:right w:val="none" w:sz="0" w:space="0" w:color="auto"/>
      </w:divBdr>
    </w:div>
    <w:div w:id="272176800">
      <w:bodyDiv w:val="1"/>
      <w:marLeft w:val="0"/>
      <w:marRight w:val="0"/>
      <w:marTop w:val="0"/>
      <w:marBottom w:val="0"/>
      <w:divBdr>
        <w:top w:val="none" w:sz="0" w:space="0" w:color="auto"/>
        <w:left w:val="none" w:sz="0" w:space="0" w:color="auto"/>
        <w:bottom w:val="none" w:sz="0" w:space="0" w:color="auto"/>
        <w:right w:val="none" w:sz="0" w:space="0" w:color="auto"/>
      </w:divBdr>
    </w:div>
    <w:div w:id="434054684">
      <w:bodyDiv w:val="1"/>
      <w:marLeft w:val="0"/>
      <w:marRight w:val="0"/>
      <w:marTop w:val="0"/>
      <w:marBottom w:val="0"/>
      <w:divBdr>
        <w:top w:val="none" w:sz="0" w:space="0" w:color="auto"/>
        <w:left w:val="none" w:sz="0" w:space="0" w:color="auto"/>
        <w:bottom w:val="none" w:sz="0" w:space="0" w:color="auto"/>
        <w:right w:val="none" w:sz="0" w:space="0" w:color="auto"/>
      </w:divBdr>
    </w:div>
    <w:div w:id="467550800">
      <w:bodyDiv w:val="1"/>
      <w:marLeft w:val="0"/>
      <w:marRight w:val="0"/>
      <w:marTop w:val="0"/>
      <w:marBottom w:val="0"/>
      <w:divBdr>
        <w:top w:val="none" w:sz="0" w:space="0" w:color="auto"/>
        <w:left w:val="none" w:sz="0" w:space="0" w:color="auto"/>
        <w:bottom w:val="none" w:sz="0" w:space="0" w:color="auto"/>
        <w:right w:val="none" w:sz="0" w:space="0" w:color="auto"/>
      </w:divBdr>
    </w:div>
    <w:div w:id="479271111">
      <w:bodyDiv w:val="1"/>
      <w:marLeft w:val="0"/>
      <w:marRight w:val="0"/>
      <w:marTop w:val="0"/>
      <w:marBottom w:val="0"/>
      <w:divBdr>
        <w:top w:val="none" w:sz="0" w:space="0" w:color="auto"/>
        <w:left w:val="none" w:sz="0" w:space="0" w:color="auto"/>
        <w:bottom w:val="none" w:sz="0" w:space="0" w:color="auto"/>
        <w:right w:val="none" w:sz="0" w:space="0" w:color="auto"/>
      </w:divBdr>
    </w:div>
    <w:div w:id="513955022">
      <w:bodyDiv w:val="1"/>
      <w:marLeft w:val="0"/>
      <w:marRight w:val="0"/>
      <w:marTop w:val="0"/>
      <w:marBottom w:val="0"/>
      <w:divBdr>
        <w:top w:val="none" w:sz="0" w:space="0" w:color="auto"/>
        <w:left w:val="none" w:sz="0" w:space="0" w:color="auto"/>
        <w:bottom w:val="none" w:sz="0" w:space="0" w:color="auto"/>
        <w:right w:val="none" w:sz="0" w:space="0" w:color="auto"/>
      </w:divBdr>
    </w:div>
    <w:div w:id="615060173">
      <w:bodyDiv w:val="1"/>
      <w:marLeft w:val="0"/>
      <w:marRight w:val="0"/>
      <w:marTop w:val="0"/>
      <w:marBottom w:val="0"/>
      <w:divBdr>
        <w:top w:val="none" w:sz="0" w:space="0" w:color="auto"/>
        <w:left w:val="none" w:sz="0" w:space="0" w:color="auto"/>
        <w:bottom w:val="none" w:sz="0" w:space="0" w:color="auto"/>
        <w:right w:val="none" w:sz="0" w:space="0" w:color="auto"/>
      </w:divBdr>
    </w:div>
    <w:div w:id="758599686">
      <w:bodyDiv w:val="1"/>
      <w:marLeft w:val="0"/>
      <w:marRight w:val="0"/>
      <w:marTop w:val="0"/>
      <w:marBottom w:val="0"/>
      <w:divBdr>
        <w:top w:val="none" w:sz="0" w:space="0" w:color="auto"/>
        <w:left w:val="none" w:sz="0" w:space="0" w:color="auto"/>
        <w:bottom w:val="none" w:sz="0" w:space="0" w:color="auto"/>
        <w:right w:val="none" w:sz="0" w:space="0" w:color="auto"/>
      </w:divBdr>
    </w:div>
    <w:div w:id="767625109">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220853">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6894">
      <w:bodyDiv w:val="1"/>
      <w:marLeft w:val="0"/>
      <w:marRight w:val="0"/>
      <w:marTop w:val="0"/>
      <w:marBottom w:val="0"/>
      <w:divBdr>
        <w:top w:val="none" w:sz="0" w:space="0" w:color="auto"/>
        <w:left w:val="none" w:sz="0" w:space="0" w:color="auto"/>
        <w:bottom w:val="none" w:sz="0" w:space="0" w:color="auto"/>
        <w:right w:val="none" w:sz="0" w:space="0" w:color="auto"/>
      </w:divBdr>
    </w:div>
    <w:div w:id="1104110535">
      <w:bodyDiv w:val="1"/>
      <w:marLeft w:val="0"/>
      <w:marRight w:val="0"/>
      <w:marTop w:val="0"/>
      <w:marBottom w:val="0"/>
      <w:divBdr>
        <w:top w:val="none" w:sz="0" w:space="0" w:color="auto"/>
        <w:left w:val="none" w:sz="0" w:space="0" w:color="auto"/>
        <w:bottom w:val="none" w:sz="0" w:space="0" w:color="auto"/>
        <w:right w:val="none" w:sz="0" w:space="0" w:color="auto"/>
      </w:divBdr>
    </w:div>
    <w:div w:id="1106970563">
      <w:bodyDiv w:val="1"/>
      <w:marLeft w:val="0"/>
      <w:marRight w:val="0"/>
      <w:marTop w:val="0"/>
      <w:marBottom w:val="0"/>
      <w:divBdr>
        <w:top w:val="none" w:sz="0" w:space="0" w:color="auto"/>
        <w:left w:val="none" w:sz="0" w:space="0" w:color="auto"/>
        <w:bottom w:val="none" w:sz="0" w:space="0" w:color="auto"/>
        <w:right w:val="none" w:sz="0" w:space="0" w:color="auto"/>
      </w:divBdr>
    </w:div>
    <w:div w:id="1119644525">
      <w:bodyDiv w:val="1"/>
      <w:marLeft w:val="0"/>
      <w:marRight w:val="0"/>
      <w:marTop w:val="0"/>
      <w:marBottom w:val="0"/>
      <w:divBdr>
        <w:top w:val="none" w:sz="0" w:space="0" w:color="auto"/>
        <w:left w:val="none" w:sz="0" w:space="0" w:color="auto"/>
        <w:bottom w:val="none" w:sz="0" w:space="0" w:color="auto"/>
        <w:right w:val="none" w:sz="0" w:space="0" w:color="auto"/>
      </w:divBdr>
    </w:div>
    <w:div w:id="1141583051">
      <w:bodyDiv w:val="1"/>
      <w:marLeft w:val="0"/>
      <w:marRight w:val="0"/>
      <w:marTop w:val="0"/>
      <w:marBottom w:val="0"/>
      <w:divBdr>
        <w:top w:val="none" w:sz="0" w:space="0" w:color="auto"/>
        <w:left w:val="none" w:sz="0" w:space="0" w:color="auto"/>
        <w:bottom w:val="none" w:sz="0" w:space="0" w:color="auto"/>
        <w:right w:val="none" w:sz="0" w:space="0" w:color="auto"/>
      </w:divBdr>
    </w:div>
    <w:div w:id="1154026447">
      <w:bodyDiv w:val="1"/>
      <w:marLeft w:val="0"/>
      <w:marRight w:val="0"/>
      <w:marTop w:val="0"/>
      <w:marBottom w:val="0"/>
      <w:divBdr>
        <w:top w:val="none" w:sz="0" w:space="0" w:color="auto"/>
        <w:left w:val="none" w:sz="0" w:space="0" w:color="auto"/>
        <w:bottom w:val="none" w:sz="0" w:space="0" w:color="auto"/>
        <w:right w:val="none" w:sz="0" w:space="0" w:color="auto"/>
      </w:divBdr>
    </w:div>
    <w:div w:id="1248465377">
      <w:bodyDiv w:val="1"/>
      <w:marLeft w:val="0"/>
      <w:marRight w:val="0"/>
      <w:marTop w:val="0"/>
      <w:marBottom w:val="0"/>
      <w:divBdr>
        <w:top w:val="none" w:sz="0" w:space="0" w:color="auto"/>
        <w:left w:val="none" w:sz="0" w:space="0" w:color="auto"/>
        <w:bottom w:val="none" w:sz="0" w:space="0" w:color="auto"/>
        <w:right w:val="none" w:sz="0" w:space="0" w:color="auto"/>
      </w:divBdr>
    </w:div>
    <w:div w:id="1259830150">
      <w:bodyDiv w:val="1"/>
      <w:marLeft w:val="0"/>
      <w:marRight w:val="0"/>
      <w:marTop w:val="0"/>
      <w:marBottom w:val="0"/>
      <w:divBdr>
        <w:top w:val="none" w:sz="0" w:space="0" w:color="auto"/>
        <w:left w:val="none" w:sz="0" w:space="0" w:color="auto"/>
        <w:bottom w:val="none" w:sz="0" w:space="0" w:color="auto"/>
        <w:right w:val="none" w:sz="0" w:space="0" w:color="auto"/>
      </w:divBdr>
    </w:div>
    <w:div w:id="136748570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4876763">
      <w:bodyDiv w:val="1"/>
      <w:marLeft w:val="0"/>
      <w:marRight w:val="0"/>
      <w:marTop w:val="0"/>
      <w:marBottom w:val="0"/>
      <w:divBdr>
        <w:top w:val="none" w:sz="0" w:space="0" w:color="auto"/>
        <w:left w:val="none" w:sz="0" w:space="0" w:color="auto"/>
        <w:bottom w:val="none" w:sz="0" w:space="0" w:color="auto"/>
        <w:right w:val="none" w:sz="0" w:space="0" w:color="auto"/>
      </w:divBdr>
    </w:div>
    <w:div w:id="1545023463">
      <w:bodyDiv w:val="1"/>
      <w:marLeft w:val="0"/>
      <w:marRight w:val="0"/>
      <w:marTop w:val="0"/>
      <w:marBottom w:val="0"/>
      <w:divBdr>
        <w:top w:val="none" w:sz="0" w:space="0" w:color="auto"/>
        <w:left w:val="none" w:sz="0" w:space="0" w:color="auto"/>
        <w:bottom w:val="none" w:sz="0" w:space="0" w:color="auto"/>
        <w:right w:val="none" w:sz="0" w:space="0" w:color="auto"/>
      </w:divBdr>
      <w:divsChild>
        <w:div w:id="1540510104">
          <w:marLeft w:val="0"/>
          <w:marRight w:val="0"/>
          <w:marTop w:val="0"/>
          <w:marBottom w:val="0"/>
          <w:divBdr>
            <w:top w:val="none" w:sz="0" w:space="0" w:color="auto"/>
            <w:left w:val="none" w:sz="0" w:space="0" w:color="auto"/>
            <w:bottom w:val="none" w:sz="0" w:space="0" w:color="auto"/>
            <w:right w:val="none" w:sz="0" w:space="0" w:color="auto"/>
          </w:divBdr>
          <w:divsChild>
            <w:div w:id="4681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1854">
      <w:bodyDiv w:val="1"/>
      <w:marLeft w:val="0"/>
      <w:marRight w:val="0"/>
      <w:marTop w:val="0"/>
      <w:marBottom w:val="0"/>
      <w:divBdr>
        <w:top w:val="none" w:sz="0" w:space="0" w:color="auto"/>
        <w:left w:val="none" w:sz="0" w:space="0" w:color="auto"/>
        <w:bottom w:val="none" w:sz="0" w:space="0" w:color="auto"/>
        <w:right w:val="none" w:sz="0" w:space="0" w:color="auto"/>
      </w:divBdr>
    </w:div>
    <w:div w:id="1671981874">
      <w:bodyDiv w:val="1"/>
      <w:marLeft w:val="0"/>
      <w:marRight w:val="0"/>
      <w:marTop w:val="0"/>
      <w:marBottom w:val="0"/>
      <w:divBdr>
        <w:top w:val="none" w:sz="0" w:space="0" w:color="auto"/>
        <w:left w:val="none" w:sz="0" w:space="0" w:color="auto"/>
        <w:bottom w:val="none" w:sz="0" w:space="0" w:color="auto"/>
        <w:right w:val="none" w:sz="0" w:space="0" w:color="auto"/>
      </w:divBdr>
      <w:divsChild>
        <w:div w:id="1542090919">
          <w:marLeft w:val="0"/>
          <w:marRight w:val="0"/>
          <w:marTop w:val="0"/>
          <w:marBottom w:val="0"/>
          <w:divBdr>
            <w:top w:val="none" w:sz="0" w:space="0" w:color="auto"/>
            <w:left w:val="none" w:sz="0" w:space="0" w:color="auto"/>
            <w:bottom w:val="none" w:sz="0" w:space="0" w:color="auto"/>
            <w:right w:val="none" w:sz="0" w:space="0" w:color="auto"/>
          </w:divBdr>
          <w:divsChild>
            <w:div w:id="6098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823083765">
      <w:bodyDiv w:val="1"/>
      <w:marLeft w:val="0"/>
      <w:marRight w:val="0"/>
      <w:marTop w:val="0"/>
      <w:marBottom w:val="0"/>
      <w:divBdr>
        <w:top w:val="none" w:sz="0" w:space="0" w:color="auto"/>
        <w:left w:val="none" w:sz="0" w:space="0" w:color="auto"/>
        <w:bottom w:val="none" w:sz="0" w:space="0" w:color="auto"/>
        <w:right w:val="none" w:sz="0" w:space="0" w:color="auto"/>
      </w:divBdr>
    </w:div>
    <w:div w:id="1825005570">
      <w:bodyDiv w:val="1"/>
      <w:marLeft w:val="0"/>
      <w:marRight w:val="0"/>
      <w:marTop w:val="0"/>
      <w:marBottom w:val="0"/>
      <w:divBdr>
        <w:top w:val="none" w:sz="0" w:space="0" w:color="auto"/>
        <w:left w:val="none" w:sz="0" w:space="0" w:color="auto"/>
        <w:bottom w:val="none" w:sz="0" w:space="0" w:color="auto"/>
        <w:right w:val="none" w:sz="0" w:space="0" w:color="auto"/>
      </w:divBdr>
    </w:div>
    <w:div w:id="1893155943">
      <w:bodyDiv w:val="1"/>
      <w:marLeft w:val="0"/>
      <w:marRight w:val="0"/>
      <w:marTop w:val="0"/>
      <w:marBottom w:val="0"/>
      <w:divBdr>
        <w:top w:val="none" w:sz="0" w:space="0" w:color="auto"/>
        <w:left w:val="none" w:sz="0" w:space="0" w:color="auto"/>
        <w:bottom w:val="none" w:sz="0" w:space="0" w:color="auto"/>
        <w:right w:val="none" w:sz="0" w:space="0" w:color="auto"/>
      </w:divBdr>
    </w:div>
    <w:div w:id="1899053049">
      <w:bodyDiv w:val="1"/>
      <w:marLeft w:val="0"/>
      <w:marRight w:val="0"/>
      <w:marTop w:val="0"/>
      <w:marBottom w:val="0"/>
      <w:divBdr>
        <w:top w:val="none" w:sz="0" w:space="0" w:color="auto"/>
        <w:left w:val="none" w:sz="0" w:space="0" w:color="auto"/>
        <w:bottom w:val="none" w:sz="0" w:space="0" w:color="auto"/>
        <w:right w:val="none" w:sz="0" w:space="0" w:color="auto"/>
      </w:divBdr>
    </w:div>
    <w:div w:id="1915580337">
      <w:bodyDiv w:val="1"/>
      <w:marLeft w:val="0"/>
      <w:marRight w:val="0"/>
      <w:marTop w:val="0"/>
      <w:marBottom w:val="0"/>
      <w:divBdr>
        <w:top w:val="none" w:sz="0" w:space="0" w:color="auto"/>
        <w:left w:val="none" w:sz="0" w:space="0" w:color="auto"/>
        <w:bottom w:val="none" w:sz="0" w:space="0" w:color="auto"/>
        <w:right w:val="none" w:sz="0" w:space="0" w:color="auto"/>
      </w:divBdr>
    </w:div>
    <w:div w:id="2027055007">
      <w:bodyDiv w:val="1"/>
      <w:marLeft w:val="0"/>
      <w:marRight w:val="0"/>
      <w:marTop w:val="0"/>
      <w:marBottom w:val="0"/>
      <w:divBdr>
        <w:top w:val="none" w:sz="0" w:space="0" w:color="auto"/>
        <w:left w:val="none" w:sz="0" w:space="0" w:color="auto"/>
        <w:bottom w:val="none" w:sz="0" w:space="0" w:color="auto"/>
        <w:right w:val="none" w:sz="0" w:space="0" w:color="auto"/>
      </w:divBdr>
    </w:div>
    <w:div w:id="2042826908">
      <w:bodyDiv w:val="1"/>
      <w:marLeft w:val="0"/>
      <w:marRight w:val="0"/>
      <w:marTop w:val="0"/>
      <w:marBottom w:val="0"/>
      <w:divBdr>
        <w:top w:val="none" w:sz="0" w:space="0" w:color="auto"/>
        <w:left w:val="none" w:sz="0" w:space="0" w:color="auto"/>
        <w:bottom w:val="none" w:sz="0" w:space="0" w:color="auto"/>
        <w:right w:val="none" w:sz="0" w:space="0" w:color="auto"/>
      </w:divBdr>
    </w:div>
    <w:div w:id="2060204963">
      <w:bodyDiv w:val="1"/>
      <w:marLeft w:val="0"/>
      <w:marRight w:val="0"/>
      <w:marTop w:val="0"/>
      <w:marBottom w:val="0"/>
      <w:divBdr>
        <w:top w:val="none" w:sz="0" w:space="0" w:color="auto"/>
        <w:left w:val="none" w:sz="0" w:space="0" w:color="auto"/>
        <w:bottom w:val="none" w:sz="0" w:space="0" w:color="auto"/>
        <w:right w:val="none" w:sz="0" w:space="0" w:color="auto"/>
      </w:divBdr>
    </w:div>
    <w:div w:id="209139115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shad.ahmad@iusspavia.i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iccio@unisa.i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bartolomeo.cosenza@unipi.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4022</Words>
  <Characters>22931</Characters>
  <Application>Microsoft Office Word</Application>
  <DocSecurity>0</DocSecurity>
  <Lines>191</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bartolomeo cosenza</cp:lastModifiedBy>
  <cp:revision>2</cp:revision>
  <cp:lastPrinted>2015-05-12T18:31:00Z</cp:lastPrinted>
  <dcterms:created xsi:type="dcterms:W3CDTF">2025-04-25T10:38:00Z</dcterms:created>
  <dcterms:modified xsi:type="dcterms:W3CDTF">2025-04-25T10:38:00Z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