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A14FC2" w14:paraId="2A131A54" w14:textId="77777777" w:rsidTr="00077945">
        <w:trPr>
          <w:trHeight w:val="852"/>
          <w:jc w:val="center"/>
        </w:trPr>
        <w:tc>
          <w:tcPr>
            <w:tcW w:w="6940" w:type="dxa"/>
            <w:vMerge w:val="restart"/>
            <w:tcBorders>
              <w:right w:val="single" w:sz="4" w:space="0" w:color="auto"/>
            </w:tcBorders>
          </w:tcPr>
          <w:p w14:paraId="38C3D2BA" w14:textId="77777777" w:rsidR="000A03B2" w:rsidRPr="00A14FC2" w:rsidRDefault="000A03B2" w:rsidP="00DE264A">
            <w:pPr>
              <w:tabs>
                <w:tab w:val="left" w:pos="-108"/>
              </w:tabs>
              <w:ind w:left="-108"/>
              <w:jc w:val="left"/>
              <w:rPr>
                <w:rFonts w:cs="Arial"/>
                <w:b/>
                <w:bCs/>
                <w:i/>
                <w:iCs/>
                <w:color w:val="000066"/>
                <w:sz w:val="12"/>
                <w:szCs w:val="12"/>
                <w:lang w:val="en-US" w:eastAsia="it-IT"/>
              </w:rPr>
            </w:pPr>
            <w:bookmarkStart w:id="0" w:name="_Hlk145068772"/>
            <w:r w:rsidRPr="00A14FC2">
              <w:rPr>
                <w:rFonts w:ascii="AdvP6960" w:hAnsi="AdvP6960" w:cs="AdvP6960"/>
                <w:noProof/>
                <w:color w:val="241F20"/>
                <w:szCs w:val="18"/>
                <w:lang w:val="en-US"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A14FC2">
              <w:rPr>
                <w:rFonts w:ascii="AdvP6960" w:hAnsi="AdvP6960" w:cs="AdvP6960"/>
                <w:color w:val="241F20"/>
                <w:szCs w:val="18"/>
                <w:lang w:val="en-US" w:eastAsia="it-IT"/>
              </w:rPr>
              <w:t xml:space="preserve"> </w:t>
            </w:r>
            <w:r w:rsidRPr="00A14FC2">
              <w:rPr>
                <w:rFonts w:cs="Arial"/>
                <w:b/>
                <w:bCs/>
                <w:i/>
                <w:iCs/>
                <w:color w:val="000066"/>
                <w:sz w:val="24"/>
                <w:szCs w:val="24"/>
                <w:lang w:val="en-US" w:eastAsia="it-IT"/>
              </w:rPr>
              <w:t>CHEMICAL ENGINEERING</w:t>
            </w:r>
            <w:r w:rsidRPr="00A14FC2">
              <w:rPr>
                <w:rFonts w:cs="Arial"/>
                <w:b/>
                <w:bCs/>
                <w:i/>
                <w:iCs/>
                <w:color w:val="0033FF"/>
                <w:sz w:val="24"/>
                <w:szCs w:val="24"/>
                <w:lang w:val="en-US" w:eastAsia="it-IT"/>
              </w:rPr>
              <w:t xml:space="preserve"> </w:t>
            </w:r>
            <w:r w:rsidRPr="00A14FC2">
              <w:rPr>
                <w:rFonts w:cs="Arial"/>
                <w:b/>
                <w:bCs/>
                <w:i/>
                <w:iCs/>
                <w:color w:val="666666"/>
                <w:sz w:val="24"/>
                <w:szCs w:val="24"/>
                <w:lang w:val="en-US" w:eastAsia="it-IT"/>
              </w:rPr>
              <w:t>TRANSACTIONS</w:t>
            </w:r>
            <w:r w:rsidRPr="00A14FC2">
              <w:rPr>
                <w:color w:val="333333"/>
                <w:sz w:val="24"/>
                <w:szCs w:val="24"/>
                <w:lang w:val="en-US" w:eastAsia="it-IT"/>
              </w:rPr>
              <w:t xml:space="preserve"> </w:t>
            </w:r>
            <w:r w:rsidRPr="00A14FC2">
              <w:rPr>
                <w:rFonts w:cs="Arial"/>
                <w:b/>
                <w:bCs/>
                <w:i/>
                <w:iCs/>
                <w:color w:val="000066"/>
                <w:sz w:val="27"/>
                <w:szCs w:val="27"/>
                <w:lang w:val="en-US" w:eastAsia="it-IT"/>
              </w:rPr>
              <w:br/>
            </w:r>
          </w:p>
          <w:p w14:paraId="4B780582" w14:textId="47EF826C" w:rsidR="000A03B2" w:rsidRPr="00A14FC2" w:rsidRDefault="00A76EFC" w:rsidP="001D21AF">
            <w:pPr>
              <w:tabs>
                <w:tab w:val="left" w:pos="-108"/>
              </w:tabs>
              <w:ind w:left="-108"/>
              <w:rPr>
                <w:rFonts w:cs="Arial"/>
                <w:b/>
                <w:bCs/>
                <w:i/>
                <w:iCs/>
                <w:color w:val="000066"/>
                <w:sz w:val="22"/>
                <w:szCs w:val="22"/>
                <w:lang w:val="en-US" w:eastAsia="it-IT"/>
              </w:rPr>
            </w:pPr>
            <w:r w:rsidRPr="00A14FC2">
              <w:rPr>
                <w:rFonts w:cs="Arial"/>
                <w:b/>
                <w:bCs/>
                <w:i/>
                <w:iCs/>
                <w:color w:val="000066"/>
                <w:sz w:val="22"/>
                <w:szCs w:val="22"/>
                <w:lang w:val="en-US" w:eastAsia="it-IT"/>
              </w:rPr>
              <w:t>VOL.</w:t>
            </w:r>
            <w:r w:rsidR="00785BF9" w:rsidRPr="00A14FC2">
              <w:rPr>
                <w:rFonts w:cs="Arial"/>
                <w:b/>
                <w:bCs/>
                <w:i/>
                <w:iCs/>
                <w:color w:val="000066"/>
                <w:sz w:val="22"/>
                <w:szCs w:val="22"/>
                <w:lang w:val="en-US" w:eastAsia="it-IT"/>
              </w:rPr>
              <w:t xml:space="preserve"> </w:t>
            </w:r>
            <w:r w:rsidR="00994C6A" w:rsidRPr="00A14FC2">
              <w:rPr>
                <w:rFonts w:cs="Arial"/>
                <w:b/>
                <w:bCs/>
                <w:i/>
                <w:iCs/>
                <w:color w:val="000066"/>
                <w:sz w:val="22"/>
                <w:szCs w:val="22"/>
                <w:lang w:val="en-US" w:eastAsia="it-IT"/>
              </w:rPr>
              <w:t>xxx</w:t>
            </w:r>
            <w:r w:rsidR="007B48F9" w:rsidRPr="00A14FC2">
              <w:rPr>
                <w:rFonts w:cs="Arial"/>
                <w:b/>
                <w:bCs/>
                <w:i/>
                <w:iCs/>
                <w:color w:val="000066"/>
                <w:sz w:val="22"/>
                <w:szCs w:val="22"/>
                <w:lang w:val="en-US" w:eastAsia="it-IT"/>
              </w:rPr>
              <w:t>,</w:t>
            </w:r>
            <w:r w:rsidR="00FA5F5F" w:rsidRPr="00A14FC2">
              <w:rPr>
                <w:rFonts w:cs="Arial"/>
                <w:b/>
                <w:bCs/>
                <w:i/>
                <w:iCs/>
                <w:color w:val="000066"/>
                <w:sz w:val="22"/>
                <w:szCs w:val="22"/>
                <w:lang w:val="en-US" w:eastAsia="it-IT"/>
              </w:rPr>
              <w:t xml:space="preserve"> </w:t>
            </w:r>
            <w:r w:rsidR="0030152C" w:rsidRPr="00A14FC2">
              <w:rPr>
                <w:rFonts w:cs="Arial"/>
                <w:b/>
                <w:bCs/>
                <w:i/>
                <w:iCs/>
                <w:color w:val="000066"/>
                <w:sz w:val="22"/>
                <w:szCs w:val="22"/>
                <w:lang w:val="en-US" w:eastAsia="it-IT"/>
              </w:rPr>
              <w:t>202</w:t>
            </w:r>
            <w:r w:rsidR="00994C6A" w:rsidRPr="00A14FC2">
              <w:rPr>
                <w:rFonts w:cs="Arial"/>
                <w:b/>
                <w:bCs/>
                <w:i/>
                <w:iCs/>
                <w:color w:val="000066"/>
                <w:sz w:val="22"/>
                <w:szCs w:val="22"/>
                <w:lang w:val="en-US" w:eastAsia="it-IT"/>
              </w:rPr>
              <w:t>5</w:t>
            </w:r>
          </w:p>
        </w:tc>
        <w:tc>
          <w:tcPr>
            <w:tcW w:w="1842" w:type="dxa"/>
            <w:tcBorders>
              <w:left w:val="single" w:sz="4" w:space="0" w:color="auto"/>
              <w:bottom w:val="nil"/>
              <w:right w:val="single" w:sz="4" w:space="0" w:color="auto"/>
            </w:tcBorders>
          </w:tcPr>
          <w:p w14:paraId="56782132" w14:textId="77777777" w:rsidR="000A03B2" w:rsidRPr="00A14FC2" w:rsidRDefault="000A03B2" w:rsidP="00CD5FE2">
            <w:pPr>
              <w:spacing w:line="140" w:lineRule="atLeast"/>
              <w:jc w:val="right"/>
              <w:rPr>
                <w:rFonts w:cs="Arial"/>
                <w:sz w:val="14"/>
                <w:szCs w:val="14"/>
                <w:lang w:val="en-US"/>
              </w:rPr>
            </w:pPr>
            <w:r w:rsidRPr="00A14FC2">
              <w:rPr>
                <w:rFonts w:cs="Arial"/>
                <w:sz w:val="14"/>
                <w:szCs w:val="14"/>
                <w:lang w:val="en-US"/>
              </w:rPr>
              <w:t>A publication of</w:t>
            </w:r>
          </w:p>
          <w:p w14:paraId="599E5441" w14:textId="77777777" w:rsidR="000A03B2" w:rsidRPr="00A14FC2" w:rsidRDefault="000A03B2" w:rsidP="00CD5FE2">
            <w:pPr>
              <w:jc w:val="right"/>
              <w:rPr>
                <w:lang w:val="en-US"/>
              </w:rPr>
            </w:pPr>
            <w:r w:rsidRPr="00A14FC2">
              <w:rPr>
                <w:noProof/>
                <w:lang w:val="en-US"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A14FC2" w14:paraId="380FA3CD" w14:textId="77777777" w:rsidTr="00077945">
        <w:trPr>
          <w:trHeight w:val="567"/>
          <w:jc w:val="center"/>
        </w:trPr>
        <w:tc>
          <w:tcPr>
            <w:tcW w:w="6940" w:type="dxa"/>
            <w:vMerge/>
            <w:tcBorders>
              <w:right w:val="single" w:sz="4" w:space="0" w:color="auto"/>
            </w:tcBorders>
          </w:tcPr>
          <w:p w14:paraId="39E5E4C1" w14:textId="77777777" w:rsidR="000A03B2" w:rsidRPr="00A14FC2" w:rsidRDefault="000A03B2" w:rsidP="00CD5FE2">
            <w:pPr>
              <w:tabs>
                <w:tab w:val="left" w:pos="-108"/>
              </w:tabs>
              <w:rPr>
                <w:lang w:val="en-US"/>
              </w:rPr>
            </w:pPr>
          </w:p>
        </w:tc>
        <w:tc>
          <w:tcPr>
            <w:tcW w:w="1842" w:type="dxa"/>
            <w:tcBorders>
              <w:left w:val="single" w:sz="4" w:space="0" w:color="auto"/>
              <w:bottom w:val="nil"/>
              <w:right w:val="single" w:sz="4" w:space="0" w:color="auto"/>
            </w:tcBorders>
          </w:tcPr>
          <w:p w14:paraId="43858A98" w14:textId="77777777" w:rsidR="000A03B2" w:rsidRPr="00A14FC2" w:rsidRDefault="000A03B2" w:rsidP="00CD5FE2">
            <w:pPr>
              <w:spacing w:line="140" w:lineRule="atLeast"/>
              <w:jc w:val="right"/>
              <w:rPr>
                <w:rFonts w:cs="Arial"/>
                <w:sz w:val="14"/>
                <w:szCs w:val="14"/>
                <w:lang w:val="en-US"/>
              </w:rPr>
            </w:pPr>
            <w:r w:rsidRPr="00A14FC2">
              <w:rPr>
                <w:rFonts w:cs="Arial"/>
                <w:sz w:val="14"/>
                <w:szCs w:val="14"/>
                <w:lang w:val="en-US"/>
              </w:rPr>
              <w:t>The Italian Association</w:t>
            </w:r>
          </w:p>
          <w:p w14:paraId="7522B1D2" w14:textId="77777777" w:rsidR="000A03B2" w:rsidRPr="00A14FC2" w:rsidRDefault="000A03B2" w:rsidP="00CD5FE2">
            <w:pPr>
              <w:spacing w:line="140" w:lineRule="atLeast"/>
              <w:jc w:val="right"/>
              <w:rPr>
                <w:rFonts w:cs="Arial"/>
                <w:sz w:val="14"/>
                <w:szCs w:val="14"/>
                <w:lang w:val="en-US"/>
              </w:rPr>
            </w:pPr>
            <w:r w:rsidRPr="00A14FC2">
              <w:rPr>
                <w:rFonts w:cs="Arial"/>
                <w:sz w:val="14"/>
                <w:szCs w:val="14"/>
                <w:lang w:val="en-US"/>
              </w:rPr>
              <w:t>of Chemical Engineering</w:t>
            </w:r>
          </w:p>
          <w:p w14:paraId="4F0CC5DE" w14:textId="47FDB2FC" w:rsidR="000A03B2" w:rsidRPr="00A14FC2" w:rsidRDefault="000D0268" w:rsidP="00CD5FE2">
            <w:pPr>
              <w:spacing w:line="140" w:lineRule="atLeast"/>
              <w:jc w:val="right"/>
              <w:rPr>
                <w:rFonts w:cs="Arial"/>
                <w:sz w:val="13"/>
                <w:szCs w:val="13"/>
                <w:lang w:val="en-US"/>
              </w:rPr>
            </w:pPr>
            <w:r w:rsidRPr="00A14FC2">
              <w:rPr>
                <w:rFonts w:cs="Arial"/>
                <w:sz w:val="13"/>
                <w:szCs w:val="13"/>
                <w:lang w:val="en-US"/>
              </w:rPr>
              <w:t>Online at www.cetjournal.it</w:t>
            </w:r>
          </w:p>
        </w:tc>
      </w:tr>
      <w:tr w:rsidR="000A03B2" w:rsidRPr="00A14FC2" w14:paraId="2D1B7169" w14:textId="77777777" w:rsidTr="00077945">
        <w:trPr>
          <w:trHeight w:val="68"/>
          <w:jc w:val="center"/>
        </w:trPr>
        <w:tc>
          <w:tcPr>
            <w:tcW w:w="8782" w:type="dxa"/>
            <w:gridSpan w:val="2"/>
          </w:tcPr>
          <w:p w14:paraId="1D8DD3C9" w14:textId="025D7B18" w:rsidR="00AA7D26" w:rsidRPr="00A14FC2" w:rsidRDefault="00AA7D26" w:rsidP="007D610D">
            <w:pPr>
              <w:ind w:left="-107"/>
              <w:outlineLvl w:val="2"/>
              <w:rPr>
                <w:rFonts w:ascii="Tahoma" w:hAnsi="Tahoma" w:cs="Tahoma"/>
                <w:color w:val="000000"/>
                <w:sz w:val="14"/>
                <w:szCs w:val="14"/>
                <w:shd w:val="clear" w:color="auto" w:fill="FFFFFF"/>
                <w:lang w:val="it-IT"/>
              </w:rPr>
            </w:pPr>
            <w:r w:rsidRPr="00A14FC2">
              <w:rPr>
                <w:rFonts w:ascii="Tahoma" w:hAnsi="Tahoma" w:cs="Tahoma"/>
                <w:iCs/>
                <w:color w:val="333333"/>
                <w:sz w:val="14"/>
                <w:szCs w:val="14"/>
                <w:lang w:val="it-IT" w:eastAsia="it-IT"/>
              </w:rPr>
              <w:t>Guest Editors:</w:t>
            </w:r>
            <w:r w:rsidR="007D610D" w:rsidRPr="00A14FC2">
              <w:rPr>
                <w:rFonts w:ascii="Aptos" w:eastAsiaTheme="minorHAnsi" w:hAnsi="Aptos" w:cs="Aptos"/>
                <w:sz w:val="22"/>
                <w:szCs w:val="22"/>
                <w:lang w:val="it-IT"/>
                <w14:ligatures w14:val="standardContextual"/>
              </w:rPr>
              <w:t xml:space="preserve"> </w:t>
            </w:r>
            <w:r w:rsidR="007D610D" w:rsidRPr="00A14FC2">
              <w:rPr>
                <w:rFonts w:ascii="Tahoma" w:hAnsi="Tahoma" w:cs="Tahoma"/>
                <w:color w:val="000000"/>
                <w:sz w:val="14"/>
                <w:szCs w:val="14"/>
                <w:shd w:val="clear" w:color="auto" w:fill="FFFFFF"/>
                <w:lang w:val="it-IT"/>
              </w:rPr>
              <w:t xml:space="preserve">Fabrizio Bezzo, </w:t>
            </w:r>
            <w:r w:rsidR="001D3D32" w:rsidRPr="00A14FC2">
              <w:rPr>
                <w:rFonts w:ascii="Tahoma" w:hAnsi="Tahoma" w:cs="Tahoma"/>
                <w:color w:val="000000"/>
                <w:sz w:val="14"/>
                <w:szCs w:val="14"/>
                <w:shd w:val="clear" w:color="auto" w:fill="FFFFFF"/>
                <w:lang w:val="it-IT"/>
              </w:rPr>
              <w:t>Flavio Manenti</w:t>
            </w:r>
            <w:r w:rsidR="00304CE8" w:rsidRPr="00A14FC2">
              <w:rPr>
                <w:rFonts w:ascii="Tahoma" w:hAnsi="Tahoma" w:cs="Tahoma"/>
                <w:color w:val="000000"/>
                <w:sz w:val="14"/>
                <w:szCs w:val="14"/>
                <w:shd w:val="clear" w:color="auto" w:fill="FFFFFF"/>
                <w:lang w:val="it-IT"/>
              </w:rPr>
              <w:t>,</w:t>
            </w:r>
            <w:r w:rsidR="001D3D32" w:rsidRPr="00A14FC2">
              <w:rPr>
                <w:rFonts w:ascii="Tahoma" w:hAnsi="Tahoma" w:cs="Tahoma"/>
                <w:color w:val="000000"/>
                <w:sz w:val="14"/>
                <w:szCs w:val="14"/>
                <w:shd w:val="clear" w:color="auto" w:fill="FFFFFF"/>
                <w:lang w:val="it-IT"/>
              </w:rPr>
              <w:t xml:space="preserve"> </w:t>
            </w:r>
            <w:r w:rsidR="007D610D" w:rsidRPr="00A14FC2">
              <w:rPr>
                <w:rFonts w:ascii="Tahoma" w:hAnsi="Tahoma" w:cs="Tahoma"/>
                <w:color w:val="000000"/>
                <w:sz w:val="14"/>
                <w:szCs w:val="14"/>
                <w:shd w:val="clear" w:color="auto" w:fill="FFFFFF"/>
                <w:lang w:val="it-IT"/>
              </w:rPr>
              <w:t>Gabriele Pannocchia, Almerinda di Benedetto</w:t>
            </w:r>
          </w:p>
          <w:p w14:paraId="1B0F1814" w14:textId="7C54DC3A" w:rsidR="000A03B2" w:rsidRPr="00A14FC2" w:rsidRDefault="00AA7D26" w:rsidP="00AA7D26">
            <w:pPr>
              <w:tabs>
                <w:tab w:val="left" w:pos="-108"/>
              </w:tabs>
              <w:spacing w:line="140" w:lineRule="atLeast"/>
              <w:ind w:left="-107"/>
              <w:jc w:val="left"/>
              <w:rPr>
                <w:lang w:val="en-US"/>
              </w:rPr>
            </w:pPr>
            <w:r w:rsidRPr="00A14FC2">
              <w:rPr>
                <w:rFonts w:ascii="Tahoma" w:hAnsi="Tahoma" w:cs="Tahoma"/>
                <w:iCs/>
                <w:color w:val="333333"/>
                <w:sz w:val="14"/>
                <w:szCs w:val="14"/>
                <w:lang w:val="en-US" w:eastAsia="it-IT"/>
              </w:rPr>
              <w:t>Copyright © 202</w:t>
            </w:r>
            <w:r w:rsidR="00994C6A" w:rsidRPr="00A14FC2">
              <w:rPr>
                <w:rFonts w:ascii="Tahoma" w:hAnsi="Tahoma" w:cs="Tahoma"/>
                <w:iCs/>
                <w:color w:val="333333"/>
                <w:sz w:val="14"/>
                <w:szCs w:val="14"/>
                <w:lang w:val="en-US" w:eastAsia="it-IT"/>
              </w:rPr>
              <w:t>5</w:t>
            </w:r>
            <w:r w:rsidRPr="00A14FC2">
              <w:rPr>
                <w:rFonts w:ascii="Tahoma" w:hAnsi="Tahoma" w:cs="Tahoma"/>
                <w:iCs/>
                <w:color w:val="333333"/>
                <w:sz w:val="14"/>
                <w:szCs w:val="14"/>
                <w:lang w:val="en-US" w:eastAsia="it-IT"/>
              </w:rPr>
              <w:t xml:space="preserve">, AIDIC </w:t>
            </w:r>
            <w:proofErr w:type="spellStart"/>
            <w:r w:rsidRPr="00A14FC2">
              <w:rPr>
                <w:rFonts w:ascii="Tahoma" w:hAnsi="Tahoma" w:cs="Tahoma"/>
                <w:iCs/>
                <w:color w:val="333333"/>
                <w:sz w:val="14"/>
                <w:szCs w:val="14"/>
                <w:lang w:val="en-US" w:eastAsia="it-IT"/>
              </w:rPr>
              <w:t>Servizi</w:t>
            </w:r>
            <w:proofErr w:type="spellEnd"/>
            <w:r w:rsidRPr="00A14FC2">
              <w:rPr>
                <w:rFonts w:ascii="Tahoma" w:hAnsi="Tahoma" w:cs="Tahoma"/>
                <w:iCs/>
                <w:color w:val="333333"/>
                <w:sz w:val="14"/>
                <w:szCs w:val="14"/>
                <w:lang w:val="en-US" w:eastAsia="it-IT"/>
              </w:rPr>
              <w:t xml:space="preserve"> </w:t>
            </w:r>
            <w:proofErr w:type="spellStart"/>
            <w:r w:rsidRPr="00A14FC2">
              <w:rPr>
                <w:rFonts w:ascii="Tahoma" w:hAnsi="Tahoma" w:cs="Tahoma"/>
                <w:iCs/>
                <w:color w:val="333333"/>
                <w:sz w:val="14"/>
                <w:szCs w:val="14"/>
                <w:lang w:val="en-US" w:eastAsia="it-IT"/>
              </w:rPr>
              <w:t>S.r.l</w:t>
            </w:r>
            <w:proofErr w:type="spellEnd"/>
            <w:r w:rsidRPr="00A14FC2">
              <w:rPr>
                <w:rFonts w:ascii="Tahoma" w:hAnsi="Tahoma" w:cs="Tahoma"/>
                <w:iCs/>
                <w:color w:val="333333"/>
                <w:sz w:val="14"/>
                <w:szCs w:val="14"/>
                <w:lang w:val="en-US" w:eastAsia="it-IT"/>
              </w:rPr>
              <w:t>.</w:t>
            </w:r>
            <w:r w:rsidRPr="00A14FC2">
              <w:rPr>
                <w:rFonts w:ascii="Tahoma" w:hAnsi="Tahoma" w:cs="Tahoma"/>
                <w:iCs/>
                <w:color w:val="333333"/>
                <w:sz w:val="14"/>
                <w:szCs w:val="14"/>
                <w:lang w:val="en-US" w:eastAsia="it-IT"/>
              </w:rPr>
              <w:br/>
            </w:r>
            <w:r w:rsidRPr="00A14FC2">
              <w:rPr>
                <w:rFonts w:ascii="Tahoma" w:hAnsi="Tahoma" w:cs="Tahoma"/>
                <w:b/>
                <w:iCs/>
                <w:color w:val="000000"/>
                <w:sz w:val="14"/>
                <w:szCs w:val="14"/>
                <w:lang w:val="en-US" w:eastAsia="it-IT"/>
              </w:rPr>
              <w:t>ISBN</w:t>
            </w:r>
            <w:r w:rsidRPr="00A14FC2">
              <w:rPr>
                <w:rFonts w:ascii="Tahoma" w:hAnsi="Tahoma" w:cs="Tahoma"/>
                <w:iCs/>
                <w:color w:val="000000"/>
                <w:sz w:val="14"/>
                <w:szCs w:val="14"/>
                <w:lang w:val="en-US" w:eastAsia="it-IT"/>
              </w:rPr>
              <w:t xml:space="preserve"> </w:t>
            </w:r>
            <w:r w:rsidR="003B49CD" w:rsidRPr="00A14FC2">
              <w:rPr>
                <w:rFonts w:ascii="Tahoma" w:hAnsi="Tahoma" w:cs="Tahoma"/>
                <w:sz w:val="14"/>
                <w:szCs w:val="14"/>
                <w:lang w:val="en-US"/>
              </w:rPr>
              <w:t>979-12-81206-1</w:t>
            </w:r>
            <w:r w:rsidR="00994C6A" w:rsidRPr="00A14FC2">
              <w:rPr>
                <w:rFonts w:ascii="Tahoma" w:hAnsi="Tahoma" w:cs="Tahoma"/>
                <w:sz w:val="14"/>
                <w:szCs w:val="14"/>
                <w:lang w:val="en-US"/>
              </w:rPr>
              <w:t>7</w:t>
            </w:r>
            <w:r w:rsidR="003B49CD" w:rsidRPr="00A14FC2">
              <w:rPr>
                <w:rFonts w:ascii="Tahoma" w:hAnsi="Tahoma" w:cs="Tahoma"/>
                <w:sz w:val="14"/>
                <w:szCs w:val="14"/>
                <w:lang w:val="en-US"/>
              </w:rPr>
              <w:t>-</w:t>
            </w:r>
            <w:r w:rsidR="00994C6A" w:rsidRPr="00A14FC2">
              <w:rPr>
                <w:rFonts w:ascii="Tahoma" w:hAnsi="Tahoma" w:cs="Tahoma"/>
                <w:sz w:val="14"/>
                <w:szCs w:val="14"/>
                <w:lang w:val="en-US"/>
              </w:rPr>
              <w:t>5</w:t>
            </w:r>
            <w:r w:rsidRPr="00A14FC2">
              <w:rPr>
                <w:rFonts w:ascii="Tahoma" w:hAnsi="Tahoma" w:cs="Tahoma"/>
                <w:iCs/>
                <w:color w:val="333333"/>
                <w:sz w:val="14"/>
                <w:szCs w:val="14"/>
                <w:lang w:val="en-US" w:eastAsia="it-IT"/>
              </w:rPr>
              <w:t xml:space="preserve">; </w:t>
            </w:r>
            <w:r w:rsidRPr="00A14FC2">
              <w:rPr>
                <w:rFonts w:ascii="Tahoma" w:hAnsi="Tahoma" w:cs="Tahoma"/>
                <w:b/>
                <w:iCs/>
                <w:color w:val="333333"/>
                <w:sz w:val="14"/>
                <w:szCs w:val="14"/>
                <w:lang w:val="en-US" w:eastAsia="it-IT"/>
              </w:rPr>
              <w:t>ISSN</w:t>
            </w:r>
            <w:r w:rsidRPr="00A14FC2">
              <w:rPr>
                <w:rFonts w:ascii="Tahoma" w:hAnsi="Tahoma" w:cs="Tahoma"/>
                <w:iCs/>
                <w:color w:val="333333"/>
                <w:sz w:val="14"/>
                <w:szCs w:val="14"/>
                <w:lang w:val="en-US" w:eastAsia="it-IT"/>
              </w:rPr>
              <w:t xml:space="preserve"> 2283-9216</w:t>
            </w:r>
          </w:p>
        </w:tc>
      </w:tr>
    </w:tbl>
    <w:bookmarkEnd w:id="0"/>
    <w:p w14:paraId="2E667253" w14:textId="3D34623F" w:rsidR="00E978D0" w:rsidRPr="00A14FC2" w:rsidRDefault="00E574CE" w:rsidP="00E978D0">
      <w:pPr>
        <w:pStyle w:val="CETTitle"/>
        <w:rPr>
          <w:lang w:val="en-US"/>
        </w:rPr>
      </w:pPr>
      <w:r w:rsidRPr="00A14FC2">
        <w:rPr>
          <w:lang w:val="en-US"/>
        </w:rPr>
        <w:t xml:space="preserve">Analysis of mass transfer efficiency in a Compact </w:t>
      </w:r>
      <w:r w:rsidR="00CB2502" w:rsidRPr="00A14FC2">
        <w:rPr>
          <w:lang w:val="en-US"/>
        </w:rPr>
        <w:t xml:space="preserve">Wet </w:t>
      </w:r>
      <w:r w:rsidRPr="00A14FC2">
        <w:rPr>
          <w:lang w:val="en-US"/>
        </w:rPr>
        <w:t>Scrubber</w:t>
      </w:r>
    </w:p>
    <w:p w14:paraId="0488FED2" w14:textId="62752B93" w:rsidR="00B57E6F" w:rsidRPr="00A14FC2" w:rsidRDefault="007A7369" w:rsidP="00B57E6F">
      <w:pPr>
        <w:pStyle w:val="CETAuthors"/>
        <w:rPr>
          <w:lang w:val="it-IT"/>
        </w:rPr>
      </w:pPr>
      <w:r w:rsidRPr="00A14FC2">
        <w:rPr>
          <w:lang w:val="it-IT"/>
        </w:rPr>
        <w:t>Pietro Giustacori</w:t>
      </w:r>
      <w:r w:rsidR="00B57E6F" w:rsidRPr="00A14FC2">
        <w:rPr>
          <w:lang w:val="it-IT"/>
        </w:rPr>
        <w:t xml:space="preserve">, </w:t>
      </w:r>
      <w:r w:rsidRPr="00A14FC2">
        <w:rPr>
          <w:lang w:val="it-IT"/>
        </w:rPr>
        <w:t>Elisabetta Brunazzi</w:t>
      </w:r>
      <w:r w:rsidR="00B57E6F" w:rsidRPr="00A14FC2">
        <w:rPr>
          <w:lang w:val="it-IT"/>
        </w:rPr>
        <w:t>*</w:t>
      </w:r>
    </w:p>
    <w:p w14:paraId="738348F6" w14:textId="1D728AA4" w:rsidR="007A7369" w:rsidRPr="00A14FC2" w:rsidRDefault="007A7369" w:rsidP="007A7369">
      <w:pPr>
        <w:pStyle w:val="CETAddress"/>
        <w:rPr>
          <w:noProof w:val="0"/>
          <w:lang w:val="it-IT"/>
        </w:rPr>
      </w:pPr>
      <w:r w:rsidRPr="00A14FC2">
        <w:rPr>
          <w:noProof w:val="0"/>
          <w:lang w:val="it-IT"/>
        </w:rPr>
        <w:t xml:space="preserve">Dipartimento di Ingegneria Civile e Industriale, Università di Pisa, Largo Lucio Lazzarino 2, Pisa, 56122, </w:t>
      </w:r>
      <w:proofErr w:type="spellStart"/>
      <w:r w:rsidRPr="00A14FC2">
        <w:rPr>
          <w:noProof w:val="0"/>
          <w:lang w:val="it-IT"/>
        </w:rPr>
        <w:t>Italy</w:t>
      </w:r>
      <w:proofErr w:type="spellEnd"/>
    </w:p>
    <w:p w14:paraId="73F1267A" w14:textId="5F78BD5F" w:rsidR="00B57E6F" w:rsidRPr="00A14FC2" w:rsidRDefault="007A7369" w:rsidP="00B57E6F">
      <w:pPr>
        <w:pStyle w:val="CETemail"/>
        <w:rPr>
          <w:lang w:val="en-US"/>
        </w:rPr>
      </w:pPr>
      <w:r w:rsidRPr="00A14FC2">
        <w:rPr>
          <w:lang w:val="en-US"/>
        </w:rPr>
        <w:t>*elisabetta.brunazzi@unipi.it</w:t>
      </w:r>
    </w:p>
    <w:p w14:paraId="04B319EE" w14:textId="77815904" w:rsidR="00600535" w:rsidRPr="00A14FC2" w:rsidRDefault="00325B34" w:rsidP="0004596A">
      <w:pPr>
        <w:pStyle w:val="CETBodytext"/>
      </w:pPr>
      <w:bookmarkStart w:id="1" w:name="_Hlk495475023"/>
      <w:r w:rsidRPr="00A14FC2">
        <w:t xml:space="preserve">This study investigates a compact </w:t>
      </w:r>
      <w:r w:rsidR="00CB2502" w:rsidRPr="00A14FC2">
        <w:t xml:space="preserve">wet </w:t>
      </w:r>
      <w:r w:rsidRPr="00A14FC2">
        <w:t xml:space="preserve">scrubber, a versatile pollution control device designed to efficiently remove particulates and contaminant gases from industrial gas streams. The system features a nozzle integrated into a vertical channel as its core element. The nozzle allows the scrubbing liquid to be injected </w:t>
      </w:r>
      <w:proofErr w:type="spellStart"/>
      <w:r w:rsidRPr="00A14FC2">
        <w:t>countercurrent</w:t>
      </w:r>
      <w:r w:rsidR="00315D8E" w:rsidRPr="00A14FC2">
        <w:t>ly</w:t>
      </w:r>
      <w:proofErr w:type="spellEnd"/>
      <w:r w:rsidRPr="00A14FC2">
        <w:t xml:space="preserve"> to the descending gas </w:t>
      </w:r>
      <w:r w:rsidR="00315D8E" w:rsidRPr="00A14FC2">
        <w:t>flow</w:t>
      </w:r>
      <w:r w:rsidRPr="00A14FC2">
        <w:t xml:space="preserve">. </w:t>
      </w:r>
      <w:r w:rsidR="00644002" w:rsidRPr="00A14FC2">
        <w:t xml:space="preserve">This configuration </w:t>
      </w:r>
      <w:r w:rsidR="00315D8E" w:rsidRPr="00A14FC2">
        <w:t>is intended</w:t>
      </w:r>
      <w:r w:rsidR="00644002" w:rsidRPr="00A14FC2">
        <w:t xml:space="preserve"> to create a highly turbulent foam zone</w:t>
      </w:r>
      <w:r w:rsidR="00315D8E" w:rsidRPr="00A14FC2">
        <w:t>,</w:t>
      </w:r>
      <w:r w:rsidR="00644002" w:rsidRPr="00A14FC2">
        <w:t xml:space="preserve"> that can significantly </w:t>
      </w:r>
      <w:r w:rsidR="00315D8E" w:rsidRPr="00A14FC2">
        <w:t>enhance</w:t>
      </w:r>
      <w:r w:rsidR="00644002" w:rsidRPr="00A14FC2">
        <w:t xml:space="preserve"> mass transfer efficiency.</w:t>
      </w:r>
      <w:r w:rsidRPr="00A14FC2">
        <w:t xml:space="preserve"> </w:t>
      </w:r>
      <w:r w:rsidR="00644002" w:rsidRPr="00A14FC2">
        <w:t xml:space="preserve">The </w:t>
      </w:r>
      <w:r w:rsidR="00315D8E" w:rsidRPr="00A14FC2">
        <w:t>lack</w:t>
      </w:r>
      <w:r w:rsidR="00644002" w:rsidRPr="00A14FC2">
        <w:t xml:space="preserve"> of internal</w:t>
      </w:r>
      <w:r w:rsidR="00315D8E" w:rsidRPr="00A14FC2">
        <w:t xml:space="preserve"> components</w:t>
      </w:r>
      <w:r w:rsidR="00644002" w:rsidRPr="00A14FC2">
        <w:t xml:space="preserve"> </w:t>
      </w:r>
      <w:r w:rsidR="00315D8E" w:rsidRPr="00A14FC2">
        <w:t>provides</w:t>
      </w:r>
      <w:r w:rsidR="00DD416B" w:rsidRPr="00A14FC2">
        <w:t xml:space="preserve"> </w:t>
      </w:r>
      <w:r w:rsidRPr="00A14FC2">
        <w:t>flexibility in handling high-flow gas streams with varying particulate concentrations, making it</w:t>
      </w:r>
      <w:r w:rsidR="00677693" w:rsidRPr="00A14FC2">
        <w:t xml:space="preserve"> potentially</w:t>
      </w:r>
      <w:r w:rsidRPr="00A14FC2">
        <w:t xml:space="preserve"> suitable for a variety of industrial applications. Despite the growing interest in </w:t>
      </w:r>
      <w:r w:rsidR="00DD416B" w:rsidRPr="00A14FC2">
        <w:t xml:space="preserve">this type of </w:t>
      </w:r>
      <w:r w:rsidRPr="00A14FC2">
        <w:t xml:space="preserve">compact scrubber for </w:t>
      </w:r>
      <w:r w:rsidR="00AC2842" w:rsidRPr="00A14FC2">
        <w:t>specific industrial sectors</w:t>
      </w:r>
      <w:r w:rsidRPr="00A14FC2">
        <w:t xml:space="preserve">, </w:t>
      </w:r>
      <w:r w:rsidR="00315D8E" w:rsidRPr="00A14FC2">
        <w:t xml:space="preserve">there is limited </w:t>
      </w:r>
      <w:r w:rsidRPr="00A14FC2">
        <w:t xml:space="preserve">knowledge </w:t>
      </w:r>
      <w:r w:rsidR="00315D8E" w:rsidRPr="00A14FC2">
        <w:t xml:space="preserve">about </w:t>
      </w:r>
      <w:r w:rsidR="00DD416B" w:rsidRPr="00A14FC2">
        <w:t xml:space="preserve">its </w:t>
      </w:r>
      <w:r w:rsidRPr="00A14FC2">
        <w:t xml:space="preserve">design and performance. To address this gap, </w:t>
      </w:r>
      <w:r w:rsidR="00315D8E" w:rsidRPr="00A14FC2">
        <w:t xml:space="preserve">the present </w:t>
      </w:r>
      <w:r w:rsidRPr="00A14FC2">
        <w:t xml:space="preserve">study </w:t>
      </w:r>
      <w:r w:rsidR="00315D8E" w:rsidRPr="00A14FC2">
        <w:t xml:space="preserve">introduces </w:t>
      </w:r>
      <w:r w:rsidRPr="00A14FC2">
        <w:t xml:space="preserve">an experimental setup for characterizing the performance of the compact scrubber. Gas pressure drop measurements across the liquid jet were used as a </w:t>
      </w:r>
      <w:r w:rsidR="00315D8E" w:rsidRPr="00A14FC2">
        <w:t xml:space="preserve">key </w:t>
      </w:r>
      <w:r w:rsidRPr="00A14FC2">
        <w:t xml:space="preserve">tool to identify </w:t>
      </w:r>
      <w:r w:rsidR="00DD416B" w:rsidRPr="00A14FC2">
        <w:t xml:space="preserve">the </w:t>
      </w:r>
      <w:r w:rsidR="00AC2842" w:rsidRPr="00A14FC2">
        <w:t>scrubber</w:t>
      </w:r>
      <w:r w:rsidR="00315D8E" w:rsidRPr="00A14FC2">
        <w:t>’s</w:t>
      </w:r>
      <w:r w:rsidRPr="00A14FC2">
        <w:t xml:space="preserve"> operating window. </w:t>
      </w:r>
      <w:r w:rsidR="00315D8E" w:rsidRPr="00A14FC2">
        <w:t>A</w:t>
      </w:r>
      <w:r w:rsidRPr="00A14FC2">
        <w:t>ddition</w:t>
      </w:r>
      <w:r w:rsidR="00315D8E" w:rsidRPr="00A14FC2">
        <w:t>ally</w:t>
      </w:r>
      <w:r w:rsidRPr="00A14FC2">
        <w:t xml:space="preserve">, absorption tests </w:t>
      </w:r>
      <w:r w:rsidR="00CD3D9E" w:rsidRPr="00A14FC2">
        <w:t>of</w:t>
      </w:r>
      <w:r w:rsidRPr="00A14FC2">
        <w:t xml:space="preserve"> volatile organic compound</w:t>
      </w:r>
      <w:r w:rsidR="00C75A2A" w:rsidRPr="00A14FC2">
        <w:t>s</w:t>
      </w:r>
      <w:r w:rsidRPr="00A14FC2">
        <w:t xml:space="preserve"> </w:t>
      </w:r>
      <w:r w:rsidR="00315D8E" w:rsidRPr="00A14FC2">
        <w:t>with</w:t>
      </w:r>
      <w:r w:rsidR="00C75A2A" w:rsidRPr="00A14FC2">
        <w:t xml:space="preserve"> different solubilities were</w:t>
      </w:r>
      <w:r w:rsidRPr="00A14FC2">
        <w:t xml:space="preserve"> </w:t>
      </w:r>
      <w:r w:rsidR="00315D8E" w:rsidRPr="00A14FC2">
        <w:t xml:space="preserve">conducted </w:t>
      </w:r>
      <w:r w:rsidRPr="00A14FC2">
        <w:t xml:space="preserve">to </w:t>
      </w:r>
      <w:r w:rsidR="00315D8E" w:rsidRPr="00A14FC2">
        <w:t>assess</w:t>
      </w:r>
      <w:r w:rsidRPr="00A14FC2">
        <w:t xml:space="preserve"> mass transfer performance. Key parameters, including overall mass transfer coefficient and absorption efficiency, were determined for various gas and liquid flow rates. The results showed remarkable absorption efficiencies of up to 90%</w:t>
      </w:r>
      <w:r w:rsidR="00315D8E" w:rsidRPr="00A14FC2">
        <w:t>,</w:t>
      </w:r>
      <w:r w:rsidRPr="00A14FC2">
        <w:t xml:space="preserve"> with gas-liquid contact times of less than 1 second.</w:t>
      </w:r>
    </w:p>
    <w:bookmarkEnd w:id="1"/>
    <w:p w14:paraId="476B2F2E" w14:textId="380D6559" w:rsidR="00600535" w:rsidRPr="00A14FC2" w:rsidRDefault="00600535" w:rsidP="00600535">
      <w:pPr>
        <w:pStyle w:val="CETHeading1"/>
      </w:pPr>
      <w:r w:rsidRPr="00A14FC2">
        <w:t>Introduction</w:t>
      </w:r>
    </w:p>
    <w:p w14:paraId="3D05E571" w14:textId="24B8BC49" w:rsidR="003E7E61" w:rsidRPr="00A14FC2" w:rsidRDefault="003E7E61" w:rsidP="0077213B">
      <w:pPr>
        <w:pStyle w:val="CETBodytext"/>
      </w:pPr>
      <w:r w:rsidRPr="00A14FC2">
        <w:t>Stringent environmental regulations require refineries, cement kilns, power plants,</w:t>
      </w:r>
      <w:r w:rsidR="00DD6652" w:rsidRPr="00A14FC2">
        <w:t xml:space="preserve"> tanneries,</w:t>
      </w:r>
      <w:r w:rsidRPr="00A14FC2">
        <w:t xml:space="preserve"> chemical manufacturers</w:t>
      </w:r>
      <w:r w:rsidR="00315D8E" w:rsidRPr="00A14FC2">
        <w:t>,</w:t>
      </w:r>
      <w:r w:rsidR="00DD6652" w:rsidRPr="00A14FC2">
        <w:t xml:space="preserve"> and many other industrial </w:t>
      </w:r>
      <w:r w:rsidR="00315D8E" w:rsidRPr="00A14FC2">
        <w:t>facilities</w:t>
      </w:r>
      <w:r w:rsidRPr="00A14FC2">
        <w:t xml:space="preserve"> to remove pollutants and particulates from flue gases before releasing them into the atmosphere. Meeting the </w:t>
      </w:r>
      <w:r w:rsidR="00677693" w:rsidRPr="00A14FC2">
        <w:t xml:space="preserve">increasingly </w:t>
      </w:r>
      <w:r w:rsidRPr="00A14FC2">
        <w:t xml:space="preserve">stringent concentration </w:t>
      </w:r>
      <w:r w:rsidR="00895641" w:rsidRPr="00A14FC2">
        <w:t xml:space="preserve">limits set </w:t>
      </w:r>
      <w:r w:rsidRPr="00A14FC2">
        <w:t>by these regulations often results in significant energy-related operating costs, driving ongoing efforts to develop more efficient pollution control technologies (EEA, 202</w:t>
      </w:r>
      <w:r w:rsidR="00B35A4A">
        <w:t>4</w:t>
      </w:r>
      <w:r w:rsidRPr="00A14FC2">
        <w:t>). A wet scrubber is a versatile system that uses a liquid medium to remove particulates and gaseous pollutants from gas streams. Particulates are primarily captured by mechanisms such as inertial impaction, diffusion, and interception, while gaseous pollutants are absorbed into the liquid phase (</w:t>
      </w:r>
      <w:proofErr w:type="spellStart"/>
      <w:r w:rsidRPr="00A14FC2">
        <w:t>Danzomo</w:t>
      </w:r>
      <w:proofErr w:type="spellEnd"/>
      <w:r w:rsidRPr="00A14FC2">
        <w:t xml:space="preserve">, 2012). Particulate removal is aided by high gas pressure drop and small droplet size, while control of the gas-liquid ratio is critical for pollutant absorption (Park, 2006). Over time, various types of wet scrubbers have been </w:t>
      </w:r>
      <w:r w:rsidR="00895641" w:rsidRPr="00A14FC2">
        <w:t xml:space="preserve">developed </w:t>
      </w:r>
      <w:r w:rsidRPr="00A14FC2">
        <w:t>to effectively control both particulate and gaseous emissions. These include spray towers, packed or plate towers, ejector or jet scrubbers, cyclone or vortex scrubbers, venturi scrubbers, and others</w:t>
      </w:r>
      <w:r w:rsidR="009D61EC" w:rsidRPr="00A14FC2">
        <w:t>.</w:t>
      </w:r>
    </w:p>
    <w:p w14:paraId="140406EC" w14:textId="4954557B" w:rsidR="00B25B72" w:rsidRPr="00A14FC2" w:rsidRDefault="00AF347D" w:rsidP="00BD30C2">
      <w:pPr>
        <w:pStyle w:val="CETBodytext"/>
      </w:pPr>
      <w:r w:rsidRPr="00A14FC2">
        <w:t>When space constraints become critical, not all conventional solutions remain viable. This is particularly true</w:t>
      </w:r>
      <w:r w:rsidR="00895641" w:rsidRPr="00A14FC2">
        <w:t xml:space="preserve"> for instance</w:t>
      </w:r>
      <w:r w:rsidRPr="00A14FC2">
        <w:t xml:space="preserve"> in the marine and offshore sectors, where space is at a premium, necessitating the development of compact scrubber systems</w:t>
      </w:r>
      <w:r w:rsidR="00B62B88" w:rsidRPr="00A14FC2">
        <w:t xml:space="preserve"> (</w:t>
      </w:r>
      <w:r w:rsidR="001E68D8" w:rsidRPr="00A14FC2">
        <w:t>Long</w:t>
      </w:r>
      <w:r w:rsidR="00B62B88" w:rsidRPr="00A14FC2">
        <w:t xml:space="preserve">, </w:t>
      </w:r>
      <w:r w:rsidR="001E68D8" w:rsidRPr="00A14FC2">
        <w:t>2025</w:t>
      </w:r>
      <w:r w:rsidR="00B62B88" w:rsidRPr="00A14FC2">
        <w:t>)</w:t>
      </w:r>
      <w:r w:rsidR="00552D06" w:rsidRPr="00A14FC2">
        <w:t>.</w:t>
      </w:r>
      <w:r w:rsidR="00800C65" w:rsidRPr="00A14FC2">
        <w:t xml:space="preserve"> In these applications, chemical </w:t>
      </w:r>
      <w:r w:rsidR="00DF563B" w:rsidRPr="00A14FC2">
        <w:t>a</w:t>
      </w:r>
      <w:r w:rsidR="00DF563B">
        <w:t>b</w:t>
      </w:r>
      <w:r w:rsidR="00DF563B" w:rsidRPr="00A14FC2">
        <w:t xml:space="preserve">sorption </w:t>
      </w:r>
      <w:r w:rsidR="00800C65" w:rsidRPr="00A14FC2">
        <w:t>processes with fast reaction kinetics are often preferred</w:t>
      </w:r>
      <w:r w:rsidR="00CF33EA" w:rsidRPr="00A14FC2">
        <w:t xml:space="preserve"> (Yao, 2014)</w:t>
      </w:r>
      <w:r w:rsidR="00800C65" w:rsidRPr="00A14FC2">
        <w:t xml:space="preserve">, reducing the </w:t>
      </w:r>
      <w:r w:rsidR="002D6715" w:rsidRPr="00A14FC2">
        <w:t>demand</w:t>
      </w:r>
      <w:r w:rsidR="00800C65" w:rsidRPr="00A14FC2">
        <w:t xml:space="preserve"> </w:t>
      </w:r>
      <w:r w:rsidR="00895641" w:rsidRPr="00A14FC2">
        <w:t xml:space="preserve">for </w:t>
      </w:r>
      <w:r w:rsidR="00B30B42" w:rsidRPr="00A14FC2">
        <w:t xml:space="preserve">benefits </w:t>
      </w:r>
      <w:r w:rsidR="002D6715" w:rsidRPr="00A14FC2">
        <w:t>typically</w:t>
      </w:r>
      <w:r w:rsidR="00B30B42" w:rsidRPr="00A14FC2">
        <w:t xml:space="preserve"> associated </w:t>
      </w:r>
      <w:r w:rsidR="002D6715" w:rsidRPr="00A14FC2">
        <w:t xml:space="preserve">with conventional </w:t>
      </w:r>
      <w:r w:rsidR="00800C65" w:rsidRPr="00A14FC2">
        <w:t>packed bed scrubbers</w:t>
      </w:r>
      <w:r w:rsidR="00B66904" w:rsidRPr="00A14FC2">
        <w:t xml:space="preserve"> (</w:t>
      </w:r>
      <w:r w:rsidR="00B62B88" w:rsidRPr="00A14FC2">
        <w:t>Brunazzi, 2001</w:t>
      </w:r>
      <w:r w:rsidR="00B66904" w:rsidRPr="00A14FC2">
        <w:t>)</w:t>
      </w:r>
      <w:r w:rsidR="00C036BD" w:rsidRPr="00A14FC2">
        <w:t xml:space="preserve">. </w:t>
      </w:r>
      <w:r w:rsidR="0077213B" w:rsidRPr="00A14FC2">
        <w:t xml:space="preserve">For such scenarios, co-current scrubbing emerges as the preferred solution, often implemented with static mixers to </w:t>
      </w:r>
      <w:r w:rsidR="00AC7AE5" w:rsidRPr="00A14FC2">
        <w:t>ensure</w:t>
      </w:r>
      <w:r w:rsidR="0077213B" w:rsidRPr="00A14FC2">
        <w:t xml:space="preserve"> efficient operation</w:t>
      </w:r>
      <w:r w:rsidR="00054056" w:rsidRPr="00A14FC2">
        <w:t xml:space="preserve"> (</w:t>
      </w:r>
      <w:proofErr w:type="spellStart"/>
      <w:r w:rsidR="00054056" w:rsidRPr="00A14FC2">
        <w:t>Couvert</w:t>
      </w:r>
      <w:proofErr w:type="spellEnd"/>
      <w:r w:rsidR="00054056" w:rsidRPr="00A14FC2">
        <w:t>, 2008)</w:t>
      </w:r>
      <w:r w:rsidR="0077213B" w:rsidRPr="00A14FC2">
        <w:t>. However, alternatives to co</w:t>
      </w:r>
      <w:r w:rsidR="002D7E5F" w:rsidRPr="00A14FC2">
        <w:t>-</w:t>
      </w:r>
      <w:r w:rsidR="0077213B" w:rsidRPr="00A14FC2">
        <w:t>current scrubbing are gaining traction, particularly in specialized applications where effective gas-liquid contact is essential</w:t>
      </w:r>
      <w:r w:rsidR="00AC7AE5" w:rsidRPr="00A14FC2">
        <w:t xml:space="preserve">, </w:t>
      </w:r>
      <w:r w:rsidR="004504A6" w:rsidRPr="00A14FC2">
        <w:t xml:space="preserve">pressure drops </w:t>
      </w:r>
      <w:r w:rsidR="0082077F" w:rsidRPr="00A14FC2">
        <w:t>must</w:t>
      </w:r>
      <w:r w:rsidR="00AC7AE5" w:rsidRPr="00A14FC2">
        <w:t xml:space="preserve"> </w:t>
      </w:r>
      <w:r w:rsidR="00895641" w:rsidRPr="00A14FC2">
        <w:t xml:space="preserve">remain </w:t>
      </w:r>
      <w:r w:rsidR="00CE1655" w:rsidRPr="00A14FC2">
        <w:t>low</w:t>
      </w:r>
      <w:r w:rsidR="00895641" w:rsidRPr="00A14FC2">
        <w:t>,</w:t>
      </w:r>
      <w:r w:rsidR="00CE1655" w:rsidRPr="00A14FC2">
        <w:t xml:space="preserve"> </w:t>
      </w:r>
      <w:r w:rsidR="00AC7AE5" w:rsidRPr="00A14FC2">
        <w:rPr>
          <w:lang w:val="en-GB"/>
        </w:rPr>
        <w:t>and gas quenching is necessary</w:t>
      </w:r>
      <w:r w:rsidR="0077213B" w:rsidRPr="00A14FC2">
        <w:t>. These alternatives are particularly advantageous when gas streams to be treated are loaded with particulate matter</w:t>
      </w:r>
      <w:r w:rsidR="000074E3" w:rsidRPr="00A14FC2">
        <w:t xml:space="preserve">, </w:t>
      </w:r>
      <w:r w:rsidR="0077213B" w:rsidRPr="00A14FC2">
        <w:t>which can lead to clogging in static mixers.</w:t>
      </w:r>
    </w:p>
    <w:p w14:paraId="6D77FF38" w14:textId="58F659C3" w:rsidR="000C1498" w:rsidRPr="00A14FC2" w:rsidRDefault="0077213B" w:rsidP="00BD30C2">
      <w:pPr>
        <w:pStyle w:val="CETBodytext"/>
      </w:pPr>
      <w:r w:rsidRPr="00A14FC2">
        <w:lastRenderedPageBreak/>
        <w:t>The objective of this study is to</w:t>
      </w:r>
      <w:r w:rsidR="000074E3" w:rsidRPr="00A14FC2">
        <w:t xml:space="preserve"> optimize the</w:t>
      </w:r>
      <w:r w:rsidRPr="00A14FC2">
        <w:t xml:space="preserve"> </w:t>
      </w:r>
      <w:r w:rsidR="000074E3" w:rsidRPr="00A14FC2">
        <w:t>design of</w:t>
      </w:r>
      <w:r w:rsidRPr="00A14FC2">
        <w:t xml:space="preserve"> an alternative scrubbing system capable of efficiently treating </w:t>
      </w:r>
      <w:r w:rsidR="00C66763" w:rsidRPr="00A14FC2">
        <w:t xml:space="preserve">gaseous pollutants and </w:t>
      </w:r>
      <w:r w:rsidRPr="00A14FC2">
        <w:t>highly dust-laden gas streams</w:t>
      </w:r>
      <w:r w:rsidR="00CE1655" w:rsidRPr="00A14FC2">
        <w:t xml:space="preserve">. </w:t>
      </w:r>
      <w:r w:rsidR="00BD30C2" w:rsidRPr="00A14FC2">
        <w:t xml:space="preserve">The compact scrubber investigated in this study performs its scrubbing operation by directing the scrubbing liquid </w:t>
      </w:r>
      <w:proofErr w:type="spellStart"/>
      <w:r w:rsidR="00BD30C2" w:rsidRPr="00A14FC2">
        <w:t>countercurrent</w:t>
      </w:r>
      <w:r w:rsidR="00C66763" w:rsidRPr="00A14FC2">
        <w:t>ly</w:t>
      </w:r>
      <w:proofErr w:type="spellEnd"/>
      <w:r w:rsidR="00BD30C2" w:rsidRPr="00A14FC2">
        <w:t xml:space="preserve"> to the gas flow within the scrubbing chamber, which is designed as an open channel. </w:t>
      </w:r>
      <w:r w:rsidR="00F70E63" w:rsidRPr="00A14FC2">
        <w:t>The gas then reverses the liquid jet</w:t>
      </w:r>
      <w:r w:rsidR="00C66763" w:rsidRPr="00A14FC2">
        <w:t>,</w:t>
      </w:r>
      <w:r w:rsidR="00F70E63" w:rsidRPr="00A14FC2">
        <w:t xml:space="preserve"> and scrubbing continues in co</w:t>
      </w:r>
      <w:r w:rsidR="00C66763" w:rsidRPr="00A14FC2">
        <w:t>-</w:t>
      </w:r>
      <w:r w:rsidR="00F70E63" w:rsidRPr="00A14FC2">
        <w:t>current</w:t>
      </w:r>
      <w:r w:rsidR="00C75A2A" w:rsidRPr="00A14FC2">
        <w:t xml:space="preserve"> mode</w:t>
      </w:r>
      <w:r w:rsidR="00F70E63" w:rsidRPr="00A14FC2">
        <w:t xml:space="preserve">. </w:t>
      </w:r>
      <w:r w:rsidR="00BD30C2" w:rsidRPr="00A14FC2">
        <w:t>The liquid is sprayed using a full-cone nozzle to ensure complete coverage of the gas passage</w:t>
      </w:r>
      <w:r w:rsidR="00C66763" w:rsidRPr="00A14FC2">
        <w:t>,</w:t>
      </w:r>
      <w:r w:rsidR="00BD30C2" w:rsidRPr="00A14FC2">
        <w:t xml:space="preserve"> </w:t>
      </w:r>
      <w:r w:rsidR="00C66763" w:rsidRPr="00A14FC2">
        <w:t>p</w:t>
      </w:r>
      <w:r w:rsidR="00BD30C2" w:rsidRPr="00A14FC2">
        <w:t>revent</w:t>
      </w:r>
      <w:r w:rsidR="00C66763" w:rsidRPr="00A14FC2">
        <w:t>ing</w:t>
      </w:r>
      <w:r w:rsidR="00BD30C2" w:rsidRPr="00A14FC2">
        <w:t xml:space="preserve"> potential bypasses. </w:t>
      </w:r>
      <w:r w:rsidR="00F82DE7">
        <w:t>H</w:t>
      </w:r>
      <w:r w:rsidR="00BD30C2" w:rsidRPr="00A14FC2">
        <w:t xml:space="preserve">igh velocity </w:t>
      </w:r>
      <w:r w:rsidR="00F82DE7">
        <w:t xml:space="preserve">spraying </w:t>
      </w:r>
      <w:r w:rsidR="00BC57C2" w:rsidRPr="00A14FC2">
        <w:t>facilitates</w:t>
      </w:r>
      <w:r w:rsidR="00BD30C2" w:rsidRPr="00A14FC2">
        <w:t xml:space="preserve"> effective interaction between the liquid and the gas, promoting efficient mass transfer. This arrangement ensures intimate contact between the two phases, significantly </w:t>
      </w:r>
      <w:r w:rsidR="00D47CDC" w:rsidRPr="00A14FC2">
        <w:t>enhancing</w:t>
      </w:r>
      <w:r w:rsidR="00BD30C2" w:rsidRPr="00A14FC2">
        <w:t xml:space="preserve"> contaminant removal</w:t>
      </w:r>
      <w:r w:rsidR="00D47CDC" w:rsidRPr="00A14FC2">
        <w:t xml:space="preserve"> efficiency</w:t>
      </w:r>
      <w:r w:rsidR="00BD30C2" w:rsidRPr="00A14FC2">
        <w:t>. In addition, gas flow through the open channel design minimizes pressure drop and prevents blockage, improving overall system performance.</w:t>
      </w:r>
      <w:r w:rsidR="002D6715" w:rsidRPr="00A14FC2">
        <w:t xml:space="preserve"> </w:t>
      </w:r>
      <w:r w:rsidR="00BD30C2" w:rsidRPr="00A14FC2">
        <w:t xml:space="preserve">After the contact section, a calming section is incorporated to separate most of the entrained liquid. Before exiting the calming section, the gas passes through a demister that removes any remaining fine liquid droplets. </w:t>
      </w:r>
      <w:r w:rsidR="00CE1655" w:rsidRPr="00A14FC2">
        <w:t xml:space="preserve">The </w:t>
      </w:r>
      <w:r w:rsidR="00BD30C2" w:rsidRPr="00A14FC2">
        <w:t>calming tank often serves as a reservoir for liquid accumulation. A centrifugal pump is typically installed to recirculate the liquid back to the nozzle</w:t>
      </w:r>
      <w:r w:rsidR="000621F4" w:rsidRPr="00A14FC2">
        <w:t>,</w:t>
      </w:r>
      <w:r w:rsidR="00BD30C2" w:rsidRPr="00A14FC2">
        <w:t xml:space="preserve"> ensur</w:t>
      </w:r>
      <w:r w:rsidR="000621F4" w:rsidRPr="00A14FC2">
        <w:t>ing</w:t>
      </w:r>
      <w:r w:rsidR="00BD30C2" w:rsidRPr="00A14FC2">
        <w:t xml:space="preserve"> continuous operation.</w:t>
      </w:r>
    </w:p>
    <w:p w14:paraId="550FBD54" w14:textId="4EC442D9" w:rsidR="00AD7F8D" w:rsidRPr="00A14FC2" w:rsidRDefault="00F021F0" w:rsidP="00B91F28">
      <w:pPr>
        <w:pStyle w:val="CETBodytext"/>
      </w:pPr>
      <w:r w:rsidRPr="00A14FC2">
        <w:t>To</w:t>
      </w:r>
      <w:r w:rsidR="00BD30C2" w:rsidRPr="00A14FC2">
        <w:t xml:space="preserve"> optimize the design of the compact scrubber</w:t>
      </w:r>
      <w:r w:rsidR="00AD2FEE" w:rsidRPr="00A14FC2">
        <w:t>,</w:t>
      </w:r>
      <w:r w:rsidR="00BD30C2" w:rsidRPr="00A14FC2">
        <w:t xml:space="preserve"> </w:t>
      </w:r>
      <w:r w:rsidRPr="00A14FC2">
        <w:t xml:space="preserve">an experimental setup was designed and constructed. The fluid dynamics were analyzed </w:t>
      </w:r>
      <w:r w:rsidR="00AD2FEE" w:rsidRPr="00A14FC2">
        <w:t xml:space="preserve">through </w:t>
      </w:r>
      <w:r w:rsidR="00707DD8" w:rsidRPr="00A14FC2">
        <w:rPr>
          <w:lang w:val="en-GB"/>
        </w:rPr>
        <w:t>visual inspection of the jet during operation and by</w:t>
      </w:r>
      <w:r w:rsidRPr="00A14FC2">
        <w:t xml:space="preserve"> measuring the gas pressure drop across the liquid jet</w:t>
      </w:r>
      <w:r w:rsidR="000607E8" w:rsidRPr="00A14FC2">
        <w:t xml:space="preserve">. </w:t>
      </w:r>
      <w:r w:rsidR="00885E32" w:rsidRPr="00A14FC2">
        <w:t>A</w:t>
      </w:r>
      <w:r w:rsidRPr="00A14FC2">
        <w:t>bsorption tests with two volatile organic compound</w:t>
      </w:r>
      <w:r w:rsidR="00C75A2A" w:rsidRPr="00A14FC2">
        <w:t>s</w:t>
      </w:r>
      <w:r w:rsidRPr="00A14FC2">
        <w:t xml:space="preserve"> (VOC</w:t>
      </w:r>
      <w:r w:rsidR="00225D7F" w:rsidRPr="00A14FC2">
        <w:t>s</w:t>
      </w:r>
      <w:r w:rsidRPr="00A14FC2">
        <w:t xml:space="preserve">) </w:t>
      </w:r>
      <w:r w:rsidR="00F70E63" w:rsidRPr="00A14FC2">
        <w:t xml:space="preserve">were </w:t>
      </w:r>
      <w:r w:rsidRPr="00A14FC2">
        <w:t>performed to evaluate mass transfer efficiency. These experimental data are essential for develop</w:t>
      </w:r>
      <w:r w:rsidR="00225D7F" w:rsidRPr="00A14FC2">
        <w:t>ing</w:t>
      </w:r>
      <w:r w:rsidRPr="00A14FC2">
        <w:t xml:space="preserve"> comprehensive design criteria that will </w:t>
      </w:r>
      <w:r w:rsidR="00225D7F" w:rsidRPr="00A14FC2">
        <w:t xml:space="preserve">enable </w:t>
      </w:r>
      <w:r w:rsidRPr="00A14FC2">
        <w:t>the formulation of correlations and the development or validation of mechanistic models for fluid dynamics and mass transfer in the compact scrubber.</w:t>
      </w:r>
    </w:p>
    <w:p w14:paraId="246F9558" w14:textId="4C3D8325" w:rsidR="007D0CA3" w:rsidRPr="00A14FC2" w:rsidRDefault="007D0CA3" w:rsidP="007D0CA3">
      <w:pPr>
        <w:pStyle w:val="CETHeading1"/>
      </w:pPr>
      <w:r w:rsidRPr="00A14FC2">
        <w:t>Experimental</w:t>
      </w:r>
    </w:p>
    <w:p w14:paraId="1C08CB30" w14:textId="0700469C" w:rsidR="0022131B" w:rsidRPr="00A14FC2" w:rsidRDefault="00A00FD6" w:rsidP="00A00FD6">
      <w:pPr>
        <w:pStyle w:val="CETBodytext"/>
      </w:pPr>
      <w:r w:rsidRPr="00A14FC2">
        <w:t>Figure 1 (left) shows a schematic of the experimental setup. Ambient air enters the system and first passes through the gas-liquid contact section (C)</w:t>
      </w:r>
      <w:r w:rsidR="00C1213F" w:rsidRPr="00A14FC2">
        <w:t xml:space="preserve"> where the scrubbing operation </w:t>
      </w:r>
      <w:r w:rsidR="00F75AAA" w:rsidRPr="00A14FC2">
        <w:t>takes</w:t>
      </w:r>
      <w:r w:rsidR="00C1213F" w:rsidRPr="00A14FC2">
        <w:t xml:space="preserve"> place, after the gas </w:t>
      </w:r>
      <w:r w:rsidR="00F75AAA" w:rsidRPr="00A14FC2">
        <w:t>enters</w:t>
      </w:r>
      <w:r w:rsidR="00C1213F" w:rsidRPr="00A14FC2">
        <w:t xml:space="preserve"> the </w:t>
      </w:r>
      <w:r w:rsidRPr="00A14FC2">
        <w:t>separation vessel (D).</w:t>
      </w:r>
      <w:r w:rsidR="003F53CA" w:rsidRPr="00A14FC2">
        <w:t xml:space="preserve"> </w:t>
      </w:r>
      <w:r w:rsidR="008617B9" w:rsidRPr="00A14FC2">
        <w:t xml:space="preserve">The liquid is </w:t>
      </w:r>
      <w:r w:rsidR="00225D7F" w:rsidRPr="00A14FC2">
        <w:t xml:space="preserve">introduced </w:t>
      </w:r>
      <w:r w:rsidR="008617B9" w:rsidRPr="00A14FC2">
        <w:t>into the contact section through a solid cone nozzle</w:t>
      </w:r>
      <w:r w:rsidR="00BC57C2">
        <w:t xml:space="preserve"> (N)</w:t>
      </w:r>
      <w:r w:rsidR="00225D7F" w:rsidRPr="00A14FC2">
        <w:t>,</w:t>
      </w:r>
      <w:r w:rsidR="008617B9" w:rsidRPr="00A14FC2">
        <w:t xml:space="preserve"> sprayed upward into the gas flow, which moves in the opposite direction. After reaching a maximum distance from the inlet, the liquid reverses direction and returns to the tank, dragged by the opposing gas stream. The contact section </w:t>
      </w:r>
      <w:r w:rsidR="00E7244A" w:rsidRPr="00A14FC2">
        <w:t>has a diameter of 300</w:t>
      </w:r>
      <w:r w:rsidR="00CB0FCA" w:rsidRPr="00A14FC2">
        <w:t xml:space="preserve"> </w:t>
      </w:r>
      <w:r w:rsidR="00E7244A" w:rsidRPr="00A14FC2">
        <w:t xml:space="preserve">mm and </w:t>
      </w:r>
      <w:r w:rsidR="008617B9" w:rsidRPr="00A14FC2">
        <w:t xml:space="preserve">is equipped with three observation windows to allow visual monitoring of the liquid jet dynamics. </w:t>
      </w:r>
      <w:r w:rsidR="003F53CA" w:rsidRPr="00A14FC2">
        <w:t xml:space="preserve">The airflow is driven by a centrifugal fan, </w:t>
      </w:r>
      <w:r w:rsidR="00225D7F" w:rsidRPr="00A14FC2">
        <w:t xml:space="preserve">with the </w:t>
      </w:r>
      <w:r w:rsidR="00D91FB6" w:rsidRPr="00A14FC2">
        <w:t>gas</w:t>
      </w:r>
      <w:r w:rsidR="003F53CA" w:rsidRPr="00A14FC2">
        <w:t xml:space="preserve"> flow rate measured by a pitot tube and regulated by adjustments to the fan motor inverter.</w:t>
      </w:r>
      <w:r w:rsidR="008617B9" w:rsidRPr="00A14FC2">
        <w:t xml:space="preserve"> Before </w:t>
      </w:r>
      <w:r w:rsidR="00225D7F" w:rsidRPr="00A14FC2">
        <w:t xml:space="preserve">exiting </w:t>
      </w:r>
      <w:r w:rsidR="008617B9" w:rsidRPr="00A14FC2">
        <w:t>the separation tank, the gas stream passes through a chevron-type demister to remove entrained liquid droplets.</w:t>
      </w:r>
      <w:r w:rsidRPr="00A14FC2">
        <w:t xml:space="preserve"> The liquid is circulated in a closed loop by a centrifugal pump (G)</w:t>
      </w:r>
      <w:r w:rsidR="00FD2500" w:rsidRPr="00A14FC2">
        <w:t xml:space="preserve">, </w:t>
      </w:r>
      <w:r w:rsidRPr="00A14FC2">
        <w:t xml:space="preserve">the flow rate </w:t>
      </w:r>
      <w:r w:rsidR="00FD2500" w:rsidRPr="00A14FC2">
        <w:t xml:space="preserve">is </w:t>
      </w:r>
      <w:r w:rsidRPr="00A14FC2">
        <w:t xml:space="preserve">regulated by a control valve and monitored </w:t>
      </w:r>
      <w:r w:rsidR="00FD2500" w:rsidRPr="00A14FC2">
        <w:t>with</w:t>
      </w:r>
      <w:r w:rsidRPr="00A14FC2">
        <w:t xml:space="preserve"> a flow meter.</w:t>
      </w:r>
      <w:r w:rsidR="00BE52EE" w:rsidRPr="00A14FC2">
        <w:t xml:space="preserve"> </w:t>
      </w:r>
      <w:r w:rsidRPr="00A14FC2">
        <w:t>Figure 1 (right) presents pictures of the experimental setup, showing the separation tank with the liquid reservoir and the contact section with its three observation windows.</w:t>
      </w:r>
    </w:p>
    <w:p w14:paraId="17D76D1A" w14:textId="77777777" w:rsidR="00A00FD6" w:rsidRPr="00A14FC2" w:rsidRDefault="00A00FD6" w:rsidP="00A00FD6">
      <w:pPr>
        <w:pStyle w:val="CETBodytext"/>
      </w:pPr>
    </w:p>
    <w:p w14:paraId="40FEFCF2" w14:textId="77777777" w:rsidR="00061F55" w:rsidRPr="00A14FC2" w:rsidRDefault="00061F55" w:rsidP="000B0BAC">
      <w:pPr>
        <w:pStyle w:val="CETBodytext"/>
        <w:keepNext/>
        <w:jc w:val="left"/>
      </w:pPr>
      <w:r w:rsidRPr="00A14FC2">
        <w:rPr>
          <w:noProof/>
        </w:rPr>
        <w:drawing>
          <wp:inline distT="0" distB="0" distL="0" distR="0" wp14:anchorId="241CA7BB" wp14:editId="0CD148D6">
            <wp:extent cx="5399327" cy="2893889"/>
            <wp:effectExtent l="0" t="0" r="0" b="0"/>
            <wp:docPr id="14530819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81985" name="Picture 5"/>
                    <pic:cNvPicPr/>
                  </pic:nvPicPr>
                  <pic:blipFill>
                    <a:blip r:embed="rId10"/>
                    <a:stretch>
                      <a:fillRect/>
                    </a:stretch>
                  </pic:blipFill>
                  <pic:spPr>
                    <a:xfrm>
                      <a:off x="0" y="0"/>
                      <a:ext cx="5399327" cy="2893889"/>
                    </a:xfrm>
                    <a:prstGeom prst="rect">
                      <a:avLst/>
                    </a:prstGeom>
                  </pic:spPr>
                </pic:pic>
              </a:graphicData>
            </a:graphic>
          </wp:inline>
        </w:drawing>
      </w:r>
    </w:p>
    <w:p w14:paraId="5F242A58" w14:textId="128C8AFD" w:rsidR="0022131B" w:rsidRPr="00A14FC2" w:rsidRDefault="00061F55" w:rsidP="002C21E9">
      <w:pPr>
        <w:pStyle w:val="Caption"/>
        <w:jc w:val="left"/>
        <w:rPr>
          <w:b w:val="0"/>
          <w:bCs w:val="0"/>
          <w:i/>
          <w:iCs/>
          <w:color w:val="auto"/>
        </w:rPr>
      </w:pPr>
      <w:r w:rsidRPr="00A14FC2">
        <w:rPr>
          <w:b w:val="0"/>
          <w:bCs w:val="0"/>
          <w:i/>
          <w:iCs/>
          <w:color w:val="auto"/>
        </w:rPr>
        <w:t xml:space="preserve">Figure </w:t>
      </w:r>
      <w:r w:rsidRPr="00A14FC2">
        <w:rPr>
          <w:b w:val="0"/>
          <w:bCs w:val="0"/>
          <w:i/>
          <w:iCs/>
          <w:color w:val="auto"/>
        </w:rPr>
        <w:fldChar w:fldCharType="begin"/>
      </w:r>
      <w:r w:rsidRPr="00A14FC2">
        <w:rPr>
          <w:b w:val="0"/>
          <w:bCs w:val="0"/>
          <w:i/>
          <w:iCs/>
          <w:color w:val="auto"/>
        </w:rPr>
        <w:instrText xml:space="preserve"> SEQ Figure \* ARABIC </w:instrText>
      </w:r>
      <w:r w:rsidRPr="00A14FC2">
        <w:rPr>
          <w:b w:val="0"/>
          <w:bCs w:val="0"/>
          <w:i/>
          <w:iCs/>
          <w:color w:val="auto"/>
        </w:rPr>
        <w:fldChar w:fldCharType="separate"/>
      </w:r>
      <w:r w:rsidR="00CB0E05" w:rsidRPr="00A14FC2">
        <w:rPr>
          <w:b w:val="0"/>
          <w:bCs w:val="0"/>
          <w:i/>
          <w:iCs/>
          <w:noProof/>
          <w:color w:val="auto"/>
        </w:rPr>
        <w:t>1</w:t>
      </w:r>
      <w:r w:rsidRPr="00A14FC2">
        <w:rPr>
          <w:b w:val="0"/>
          <w:bCs w:val="0"/>
          <w:i/>
          <w:iCs/>
          <w:color w:val="auto"/>
        </w:rPr>
        <w:fldChar w:fldCharType="end"/>
      </w:r>
      <w:r w:rsidRPr="00A14FC2">
        <w:rPr>
          <w:b w:val="0"/>
          <w:bCs w:val="0"/>
          <w:i/>
          <w:iCs/>
          <w:color w:val="auto"/>
        </w:rPr>
        <w:t xml:space="preserve">: </w:t>
      </w:r>
      <w:r w:rsidR="002C21E9" w:rsidRPr="00A14FC2">
        <w:rPr>
          <w:b w:val="0"/>
          <w:bCs w:val="0"/>
          <w:i/>
          <w:iCs/>
          <w:color w:val="auto"/>
        </w:rPr>
        <w:t xml:space="preserve">Experimental test rig details (left: </w:t>
      </w:r>
      <w:r w:rsidR="00C75A2A" w:rsidRPr="00A14FC2">
        <w:rPr>
          <w:b w:val="0"/>
          <w:bCs w:val="0"/>
          <w:i/>
          <w:iCs/>
          <w:color w:val="auto"/>
        </w:rPr>
        <w:t xml:space="preserve">schematic </w:t>
      </w:r>
      <w:r w:rsidR="002C21E9" w:rsidRPr="00A14FC2">
        <w:rPr>
          <w:b w:val="0"/>
          <w:bCs w:val="0"/>
          <w:i/>
          <w:iCs/>
          <w:color w:val="auto"/>
        </w:rPr>
        <w:t xml:space="preserve">of the test rig, right: test rig). </w:t>
      </w:r>
    </w:p>
    <w:p w14:paraId="64331DB5" w14:textId="77777777" w:rsidR="00DB45AB" w:rsidRPr="00A14FC2" w:rsidRDefault="00DB45AB" w:rsidP="007D59E6">
      <w:pPr>
        <w:pStyle w:val="CETBodytext"/>
      </w:pPr>
    </w:p>
    <w:p w14:paraId="1AB2E8D6" w14:textId="15F571F6" w:rsidR="00F41423" w:rsidRPr="00A14FC2" w:rsidRDefault="00A3201A" w:rsidP="00D10498">
      <w:pPr>
        <w:pStyle w:val="CETBodytext"/>
      </w:pPr>
      <w:r w:rsidRPr="00A14FC2">
        <w:lastRenderedPageBreak/>
        <w:t>A</w:t>
      </w:r>
      <w:r w:rsidR="00DF1A7E" w:rsidRPr="00A14FC2">
        <w:t xml:space="preserve">ir-water system was used for fluid dynamic characterization. Gas pressure drops across the liquid jet were </w:t>
      </w:r>
      <w:r w:rsidR="003877DB" w:rsidRPr="00A14FC2">
        <w:t>measured</w:t>
      </w:r>
      <w:r w:rsidR="00DF1A7E" w:rsidRPr="00A14FC2">
        <w:t xml:space="preserve"> using a differential pressure transmitter</w:t>
      </w:r>
      <w:r w:rsidR="00225D7F" w:rsidRPr="00A14FC2">
        <w:t>,</w:t>
      </w:r>
      <w:r w:rsidR="00DF1A7E" w:rsidRPr="00A14FC2">
        <w:t xml:space="preserve"> with sensor</w:t>
      </w:r>
      <w:r w:rsidR="00A17B27" w:rsidRPr="00A14FC2">
        <w:t xml:space="preserve"> port</w:t>
      </w:r>
      <w:r w:rsidR="00816346" w:rsidRPr="00A14FC2">
        <w:t>s</w:t>
      </w:r>
      <w:r w:rsidR="00DF1A7E" w:rsidRPr="00A14FC2">
        <w:t xml:space="preserve"> </w:t>
      </w:r>
      <w:r w:rsidR="00A17B27" w:rsidRPr="00A14FC2">
        <w:t>placed</w:t>
      </w:r>
      <w:r w:rsidR="00DF1A7E" w:rsidRPr="00A14FC2">
        <w:t xml:space="preserve"> upstream and downstream of the jet. </w:t>
      </w:r>
    </w:p>
    <w:p w14:paraId="3DF953DC" w14:textId="42DF9F48" w:rsidR="005E4075" w:rsidRPr="00A14FC2" w:rsidRDefault="00DF1A7E" w:rsidP="00D10498">
      <w:pPr>
        <w:pStyle w:val="CETBodytext"/>
      </w:pPr>
      <w:r w:rsidRPr="00A14FC2">
        <w:t xml:space="preserve">To evaluate the mass transfer </w:t>
      </w:r>
      <w:r w:rsidR="00F41423" w:rsidRPr="00A14FC2">
        <w:t>performance</w:t>
      </w:r>
      <w:r w:rsidRPr="00A14FC2">
        <w:t xml:space="preserve"> of </w:t>
      </w:r>
      <w:r w:rsidR="002C0FCA" w:rsidRPr="00A14FC2">
        <w:t xml:space="preserve">the </w:t>
      </w:r>
      <w:r w:rsidR="00F41423" w:rsidRPr="00A14FC2">
        <w:t>compact scrubber</w:t>
      </w:r>
      <w:r w:rsidRPr="00A14FC2">
        <w:t>, absorption tests were performed using two VOC</w:t>
      </w:r>
      <w:r w:rsidR="00C75A2A" w:rsidRPr="00A14FC2">
        <w:t>s</w:t>
      </w:r>
      <w:r w:rsidR="0055218D" w:rsidRPr="00A14FC2">
        <w:t xml:space="preserve"> </w:t>
      </w:r>
      <w:r w:rsidRPr="00A14FC2">
        <w:t xml:space="preserve">with </w:t>
      </w:r>
      <w:r w:rsidR="00AA4518" w:rsidRPr="00A14FC2">
        <w:t>distinct</w:t>
      </w:r>
      <w:r w:rsidRPr="00A14FC2">
        <w:t xml:space="preserve"> water solubilities. Isopropanol (IPA), selected for its </w:t>
      </w:r>
      <w:proofErr w:type="gramStart"/>
      <w:r w:rsidR="00283A04" w:rsidRPr="00A14FC2">
        <w:t>high</w:t>
      </w:r>
      <w:r w:rsidR="00225D7F" w:rsidRPr="00A14FC2">
        <w:t xml:space="preserve"> </w:t>
      </w:r>
      <w:r w:rsidR="00283A04" w:rsidRPr="00A14FC2">
        <w:t>water</w:t>
      </w:r>
      <w:proofErr w:type="gramEnd"/>
      <w:r w:rsidRPr="00A14FC2">
        <w:t xml:space="preserve"> solubility and low toxicity under the </w:t>
      </w:r>
      <w:r w:rsidR="00225D7F" w:rsidRPr="00A14FC2">
        <w:t xml:space="preserve">tested </w:t>
      </w:r>
      <w:r w:rsidRPr="00A14FC2">
        <w:t xml:space="preserve">conditions, served as </w:t>
      </w:r>
      <w:r w:rsidR="00225D7F" w:rsidRPr="00A14FC2">
        <w:t xml:space="preserve">the </w:t>
      </w:r>
      <w:r w:rsidR="00356BDE" w:rsidRPr="00A14FC2">
        <w:t xml:space="preserve">high </w:t>
      </w:r>
      <w:r w:rsidR="002E1ED1" w:rsidRPr="00A14FC2">
        <w:t>water-soluble</w:t>
      </w:r>
      <w:r w:rsidR="00356BDE" w:rsidRPr="00A14FC2">
        <w:t xml:space="preserve"> </w:t>
      </w:r>
      <w:r w:rsidRPr="00A14FC2">
        <w:t xml:space="preserve">model compound. In contrast, </w:t>
      </w:r>
      <w:r w:rsidR="00816346" w:rsidRPr="00A14FC2">
        <w:t>B</w:t>
      </w:r>
      <w:r w:rsidRPr="00A14FC2">
        <w:t xml:space="preserve">utyl acetate (BA) was chosen to represent </w:t>
      </w:r>
      <w:r w:rsidR="00816346" w:rsidRPr="00A14FC2">
        <w:t xml:space="preserve">a </w:t>
      </w:r>
      <w:r w:rsidRPr="00A14FC2">
        <w:t>VOC with poor water solubility</w:t>
      </w:r>
      <w:r w:rsidR="00225D7F" w:rsidRPr="00A14FC2">
        <w:t>,</w:t>
      </w:r>
      <w:r w:rsidRPr="00A14FC2">
        <w:t xml:space="preserve"> due to </w:t>
      </w:r>
      <w:r w:rsidR="0016431B" w:rsidRPr="00A14FC2">
        <w:t xml:space="preserve">its </w:t>
      </w:r>
      <w:r w:rsidRPr="00A14FC2">
        <w:t xml:space="preserve">limited solubility in water and </w:t>
      </w:r>
      <w:r w:rsidR="00225D7F" w:rsidRPr="00A14FC2">
        <w:t xml:space="preserve">its </w:t>
      </w:r>
      <w:r w:rsidRPr="00A14FC2">
        <w:t xml:space="preserve">low environmental risk </w:t>
      </w:r>
      <w:r w:rsidR="00225D7F" w:rsidRPr="00A14FC2">
        <w:t xml:space="preserve">at </w:t>
      </w:r>
      <w:r w:rsidR="008A2375" w:rsidRPr="00A14FC2">
        <w:t xml:space="preserve">the </w:t>
      </w:r>
      <w:r w:rsidRPr="00A14FC2">
        <w:t>concentrations</w:t>
      </w:r>
      <w:r w:rsidR="00DD3A2A" w:rsidRPr="00A14FC2">
        <w:t xml:space="preserve"> used</w:t>
      </w:r>
      <w:r w:rsidR="008B73C2" w:rsidRPr="00A14FC2">
        <w:t xml:space="preserve"> (Lamprecht and Burger, 2018</w:t>
      </w:r>
      <w:r w:rsidR="002865C2" w:rsidRPr="00A14FC2">
        <w:t>;</w:t>
      </w:r>
      <w:r w:rsidR="006635E4" w:rsidRPr="00A14FC2">
        <w:t xml:space="preserve"> Marchini, 2021</w:t>
      </w:r>
      <w:r w:rsidR="008B73C2" w:rsidRPr="00A14FC2">
        <w:t xml:space="preserve">). </w:t>
      </w:r>
      <w:r w:rsidRPr="00A14FC2">
        <w:t>VOC concentrations were measured upstream and downstream of the jet using two</w:t>
      </w:r>
      <w:r w:rsidR="00071FE6" w:rsidRPr="00A14FC2">
        <w:t xml:space="preserve"> multi-gas sensors equipped with</w:t>
      </w:r>
      <w:r w:rsidRPr="00A14FC2">
        <w:t xml:space="preserve"> photon ionization detector</w:t>
      </w:r>
      <w:r w:rsidR="00225D7F" w:rsidRPr="00A14FC2">
        <w:t>s</w:t>
      </w:r>
      <w:r w:rsidR="00F13A3B" w:rsidRPr="00A14FC2">
        <w:t>.</w:t>
      </w:r>
      <w:r w:rsidR="0028594F" w:rsidRPr="00A14FC2">
        <w:t xml:space="preserve"> </w:t>
      </w:r>
      <w:r w:rsidR="00816346" w:rsidRPr="00A14FC2">
        <w:t xml:space="preserve">The </w:t>
      </w:r>
      <w:r w:rsidR="0028594F" w:rsidRPr="00A14FC2">
        <w:t>VOC</w:t>
      </w:r>
      <w:r w:rsidR="00816346" w:rsidRPr="00A14FC2">
        <w:t>s</w:t>
      </w:r>
      <w:r w:rsidR="00225D7F" w:rsidRPr="00A14FC2">
        <w:t xml:space="preserve"> were</w:t>
      </w:r>
      <w:r w:rsidR="00816346" w:rsidRPr="00A14FC2">
        <w:t xml:space="preserve"> </w:t>
      </w:r>
      <w:r w:rsidR="0028594F" w:rsidRPr="00A14FC2">
        <w:t xml:space="preserve">introduced into the gas line using a diaphragm pump designed to provide a steady and consistent flow into the system. VOC delivery </w:t>
      </w:r>
      <w:r w:rsidR="00EC7BF8" w:rsidRPr="00A14FC2">
        <w:t>was facilitated</w:t>
      </w:r>
      <w:r w:rsidR="0028594F" w:rsidRPr="00A14FC2">
        <w:t xml:space="preserve"> by a dual-fluid nozzle that </w:t>
      </w:r>
      <w:r w:rsidR="00EC7BF8" w:rsidRPr="00A14FC2">
        <w:t xml:space="preserve">produced </w:t>
      </w:r>
      <w:r w:rsidR="0028594F" w:rsidRPr="00A14FC2">
        <w:t xml:space="preserve">a fine mist, ensuring uniform dispersion within the gas stream and promoting efficient vaporization. In the gas stream, VOC concentrations range from a maximum of 600 </w:t>
      </w:r>
      <w:proofErr w:type="spellStart"/>
      <w:r w:rsidR="0028594F" w:rsidRPr="00A14FC2">
        <w:t>ppm</w:t>
      </w:r>
      <w:r w:rsidR="0028594F" w:rsidRPr="00A14FC2">
        <w:rPr>
          <w:vertAlign w:val="subscript"/>
        </w:rPr>
        <w:t>v</w:t>
      </w:r>
      <w:proofErr w:type="spellEnd"/>
      <w:r w:rsidR="0028594F" w:rsidRPr="00A14FC2">
        <w:t xml:space="preserve"> at the inlet to a minimum of 50 </w:t>
      </w:r>
      <w:proofErr w:type="spellStart"/>
      <w:r w:rsidR="0028594F" w:rsidRPr="00A14FC2">
        <w:t>ppm</w:t>
      </w:r>
      <w:r w:rsidR="0028594F" w:rsidRPr="00A14FC2">
        <w:rPr>
          <w:vertAlign w:val="subscript"/>
        </w:rPr>
        <w:t>v</w:t>
      </w:r>
      <w:proofErr w:type="spellEnd"/>
      <w:r w:rsidR="0028594F" w:rsidRPr="00A14FC2">
        <w:t xml:space="preserve"> downstream of the liquid jet.</w:t>
      </w:r>
      <w:r w:rsidR="00591F2A" w:rsidRPr="00A14FC2">
        <w:t xml:space="preserve"> </w:t>
      </w:r>
      <w:r w:rsidR="00EC7BF8" w:rsidRPr="00A14FC2">
        <w:t>G</w:t>
      </w:r>
      <w:r w:rsidR="00591F2A" w:rsidRPr="00A14FC2">
        <w:t>as and liquid temperatures were monitored during the experiments.</w:t>
      </w:r>
    </w:p>
    <w:p w14:paraId="1D8C7402" w14:textId="696CDB79" w:rsidR="00C54F62" w:rsidRPr="00A14FC2" w:rsidRDefault="00944875" w:rsidP="00C54F62">
      <w:pPr>
        <w:pStyle w:val="CETBodytext"/>
      </w:pPr>
      <w:r w:rsidRPr="00A14FC2">
        <w:t xml:space="preserve">The experimental setup was designed to provide </w:t>
      </w:r>
      <w:r w:rsidR="00EC7BF8" w:rsidRPr="00A14FC2">
        <w:t>appropriate liquid-to-</w:t>
      </w:r>
      <w:r w:rsidRPr="00A14FC2">
        <w:t xml:space="preserve">gas ratios and gas surface velocities greater than the flooding velocity. Flooding velocity is defined as the minimum gas velocity sufficient to </w:t>
      </w:r>
      <w:r w:rsidR="004F64E6" w:rsidRPr="00A14FC2">
        <w:t>retain</w:t>
      </w:r>
      <w:r w:rsidRPr="00A14FC2">
        <w:t xml:space="preserve"> liquid flow in an open tube</w:t>
      </w:r>
      <w:r w:rsidR="0013759F" w:rsidRPr="00A14FC2">
        <w:t xml:space="preserve"> (Roy 1962)</w:t>
      </w:r>
      <w:r w:rsidRPr="00A14FC2">
        <w:t xml:space="preserve">. The compact scrubber can be </w:t>
      </w:r>
      <w:r w:rsidR="00EC7BF8" w:rsidRPr="00A14FC2">
        <w:t xml:space="preserve">considered </w:t>
      </w:r>
      <w:r w:rsidRPr="00A14FC2">
        <w:t xml:space="preserve">as an </w:t>
      </w:r>
      <w:r w:rsidR="00F10D89" w:rsidRPr="00A14FC2">
        <w:t>upside-down</w:t>
      </w:r>
      <w:r w:rsidRPr="00A14FC2">
        <w:t xml:space="preserve"> distillation tray, </w:t>
      </w:r>
      <w:r w:rsidR="00EC7BF8" w:rsidRPr="00A14FC2">
        <w:t xml:space="preserve">allowing the </w:t>
      </w:r>
      <w:r w:rsidRPr="00A14FC2">
        <w:t xml:space="preserve">flooding velocity </w:t>
      </w:r>
      <w:r w:rsidR="00EC7BF8" w:rsidRPr="00A14FC2">
        <w:t xml:space="preserve">to </w:t>
      </w:r>
      <w:r w:rsidRPr="00A14FC2">
        <w:t xml:space="preserve">be estimated by considering the total entrainment of the tray </w:t>
      </w:r>
      <w:r w:rsidR="00C54F62" w:rsidRPr="00A14FC2">
        <w:t xml:space="preserve">(Green, 2008). Based on </w:t>
      </w:r>
      <w:r w:rsidR="00EC7BF8" w:rsidRPr="00A14FC2">
        <w:t xml:space="preserve">an </w:t>
      </w:r>
      <w:r w:rsidR="00502FD2" w:rsidRPr="00A14FC2">
        <w:t>estimation</w:t>
      </w:r>
      <w:r w:rsidR="00C54F62" w:rsidRPr="00A14FC2">
        <w:t xml:space="preserve"> of</w:t>
      </w:r>
      <w:r w:rsidR="006D13CB" w:rsidRPr="00A14FC2">
        <w:t xml:space="preserve"> </w:t>
      </w:r>
      <w:r w:rsidR="00C54F62" w:rsidRPr="00A14FC2">
        <w:t xml:space="preserve">the average </w:t>
      </w:r>
      <w:r w:rsidR="00EC7BF8" w:rsidRPr="00A14FC2">
        <w:t xml:space="preserve">droplet </w:t>
      </w:r>
      <w:r w:rsidR="00C54F62" w:rsidRPr="00A14FC2">
        <w:t>diameter, the entrainment (</w:t>
      </w:r>
      <w:r w:rsidR="00C54F62" w:rsidRPr="00A14FC2">
        <w:rPr>
          <w:rFonts w:ascii="Cambria Math" w:hAnsi="Cambria Math" w:cs="Cambria Math"/>
        </w:rPr>
        <w:t>𝐸</w:t>
      </w:r>
      <w:r w:rsidR="00C54F62" w:rsidRPr="00A14FC2">
        <w:t>) can</w:t>
      </w:r>
      <w:r w:rsidR="006D13CB" w:rsidRPr="00A14FC2">
        <w:t xml:space="preserve"> </w:t>
      </w:r>
      <w:r w:rsidR="00C54F62" w:rsidRPr="00A14FC2">
        <w:t>be expressed as follows:</w:t>
      </w:r>
    </w:p>
    <w:p w14:paraId="761804A8" w14:textId="77777777" w:rsidR="006D13CB" w:rsidRPr="00A14FC2" w:rsidRDefault="006D13CB" w:rsidP="00C54F62">
      <w:pPr>
        <w:pStyle w:val="CETBodytext"/>
      </w:pPr>
    </w:p>
    <w:p w14:paraId="47D9D028" w14:textId="05A1BC00" w:rsidR="000D3B71" w:rsidRPr="00A14FC2" w:rsidRDefault="00000000" w:rsidP="00C54F62">
      <w:pPr>
        <w:pStyle w:val="CETBodytext"/>
      </w:pPr>
      <m:oMathPara>
        <m:oMath>
          <m:eqArr>
            <m:eqArrPr>
              <m:maxDist m:val="1"/>
              <m:ctrlPr>
                <w:rPr>
                  <w:rFonts w:ascii="Cambria Math" w:hAnsi="Cambria Math"/>
                  <w:i/>
                </w:rPr>
              </m:ctrlPr>
            </m:eqArrPr>
            <m:e>
              <m:r>
                <w:rPr>
                  <w:rFonts w:ascii="Cambria Math" w:hAnsi="Cambria Math"/>
                </w:rPr>
                <m:t>E=</m:t>
              </m:r>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u</m:t>
                          </m:r>
                        </m:e>
                        <m:sub>
                          <m:r>
                            <w:rPr>
                              <w:rFonts w:ascii="Cambria Math" w:hAnsi="Cambria Math"/>
                            </w:rPr>
                            <m:t>s,G</m:t>
                          </m:r>
                        </m:sub>
                        <m:sup>
                          <m:r>
                            <w:rPr>
                              <w:rFonts w:ascii="Cambria Math" w:hAnsi="Cambria Math"/>
                            </w:rPr>
                            <m:t>8</m:t>
                          </m:r>
                        </m:sup>
                      </m:sSubSup>
                      <m:sSubSup>
                        <m:sSubSupPr>
                          <m:ctrlPr>
                            <w:rPr>
                              <w:rFonts w:ascii="Cambria Math" w:hAnsi="Cambria Math"/>
                              <w:i/>
                            </w:rPr>
                          </m:ctrlPr>
                        </m:sSubSupPr>
                        <m:e>
                          <m:r>
                            <w:rPr>
                              <w:rFonts w:ascii="Cambria Math" w:hAnsi="Cambria Math"/>
                            </w:rPr>
                            <m:t>ρ</m:t>
                          </m:r>
                        </m:e>
                        <m:sub>
                          <m:r>
                            <w:rPr>
                              <w:rFonts w:ascii="Cambria Math" w:hAnsi="Cambria Math"/>
                            </w:rPr>
                            <m:t>G</m:t>
                          </m:r>
                        </m:sub>
                        <m:sup>
                          <m:r>
                            <w:rPr>
                              <w:rFonts w:ascii="Cambria Math" w:hAnsi="Cambria Math"/>
                            </w:rPr>
                            <m:t>4</m:t>
                          </m:r>
                        </m:sup>
                      </m:sSubSup>
                    </m:num>
                    <m:den>
                      <m:sSup>
                        <m:sSupPr>
                          <m:ctrlPr>
                            <w:rPr>
                              <w:rFonts w:ascii="Cambria Math" w:hAnsi="Cambria Math"/>
                              <w:i/>
                            </w:rPr>
                          </m:ctrlPr>
                        </m:sSupPr>
                        <m:e>
                          <m:d>
                            <m:dPr>
                              <m:begChr m:val="["/>
                              <m:endChr m:val="]"/>
                              <m:ctrlPr>
                                <w:rPr>
                                  <w:rFonts w:ascii="Cambria Math" w:hAnsi="Cambria Math"/>
                                  <w:i/>
                                </w:rPr>
                              </m:ctrlPr>
                            </m:dPr>
                            <m:e>
                              <m:r>
                                <w:rPr>
                                  <w:rFonts w:ascii="Cambria Math" w:hAnsi="Cambria Math"/>
                                </w:rPr>
                                <m:t>g</m:t>
                              </m:r>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G</m:t>
                                      </m:r>
                                    </m:sub>
                                  </m:sSub>
                                </m:e>
                              </m:d>
                            </m:e>
                          </m:d>
                        </m:e>
                        <m:sup>
                          <m:r>
                            <w:rPr>
                              <w:rFonts w:ascii="Cambria Math" w:hAnsi="Cambria Math"/>
                            </w:rPr>
                            <m:t>2.5</m:t>
                          </m:r>
                        </m:sup>
                      </m:sSup>
                      <m:sSup>
                        <m:sSupPr>
                          <m:ctrlPr>
                            <w:rPr>
                              <w:rFonts w:ascii="Cambria Math" w:hAnsi="Cambria Math"/>
                              <w:i/>
                            </w:rPr>
                          </m:ctrlPr>
                        </m:sSupPr>
                        <m:e>
                          <m:r>
                            <w:rPr>
                              <w:rFonts w:ascii="Cambria Math" w:hAnsi="Cambria Math"/>
                            </w:rPr>
                            <m:t>σ</m:t>
                          </m:r>
                        </m:e>
                        <m:sup>
                          <m:r>
                            <w:rPr>
                              <w:rFonts w:ascii="Cambria Math" w:hAnsi="Cambria Math"/>
                            </w:rPr>
                            <m:t>1.5</m:t>
                          </m:r>
                        </m:sup>
                      </m:sSup>
                    </m:den>
                  </m:f>
                </m:e>
              </m:d>
              <m:r>
                <w:rPr>
                  <w:rFonts w:ascii="Cambria Math" w:hAnsi="Cambria Math"/>
                </w:rPr>
                <m:t>#</m:t>
              </m:r>
              <m:d>
                <m:dPr>
                  <m:ctrlPr>
                    <w:rPr>
                      <w:rFonts w:ascii="Cambria Math" w:hAnsi="Cambria Math"/>
                      <w:i/>
                    </w:rPr>
                  </m:ctrlPr>
                </m:dPr>
                <m:e>
                  <m:r>
                    <w:rPr>
                      <w:rFonts w:ascii="Cambria Math" w:hAnsi="Cambria Math"/>
                    </w:rPr>
                    <m:t>1</m:t>
                  </m:r>
                </m:e>
              </m:d>
            </m:e>
          </m:eqArr>
        </m:oMath>
      </m:oMathPara>
    </w:p>
    <w:p w14:paraId="6707407B" w14:textId="77777777" w:rsidR="006D13CB" w:rsidRPr="00A14FC2" w:rsidRDefault="006D13CB" w:rsidP="00C54F62">
      <w:pPr>
        <w:pStyle w:val="CETBodytext"/>
      </w:pPr>
    </w:p>
    <w:p w14:paraId="51E60074" w14:textId="706E2D42" w:rsidR="00C54F62" w:rsidRPr="00A14FC2" w:rsidRDefault="00C54F62" w:rsidP="006D13CB">
      <w:pPr>
        <w:pStyle w:val="CETBodytext"/>
      </w:pPr>
      <w:r w:rsidRPr="00A14FC2">
        <w:t>Where</w:t>
      </w:r>
      <w:r w:rsidR="000D3B71" w:rsidRPr="00A14FC2">
        <w:t xml:space="preserve"> </w:t>
      </w:r>
      <m:oMath>
        <m:sSub>
          <m:sSubPr>
            <m:ctrlPr>
              <w:rPr>
                <w:rFonts w:ascii="Cambria Math" w:hAnsi="Cambria Math"/>
                <w:i/>
              </w:rPr>
            </m:ctrlPr>
          </m:sSubPr>
          <m:e>
            <m:r>
              <w:rPr>
                <w:rFonts w:ascii="Cambria Math" w:hAnsi="Cambria Math"/>
              </w:rPr>
              <m:t>u</m:t>
            </m:r>
          </m:e>
          <m:sub>
            <m:r>
              <w:rPr>
                <w:rFonts w:ascii="Cambria Math" w:hAnsi="Cambria Math"/>
              </w:rPr>
              <m:t>s,G</m:t>
            </m:r>
          </m:sub>
        </m:sSub>
      </m:oMath>
      <w:r w:rsidR="000D3B71" w:rsidRPr="00A14FC2">
        <w:t xml:space="preserve"> i</w:t>
      </w:r>
      <w:r w:rsidRPr="00A14FC2">
        <w:t xml:space="preserve">s the gas superficial velocity, </w:t>
      </w:r>
      <m:oMath>
        <m:sSub>
          <m:sSubPr>
            <m:ctrlPr>
              <w:rPr>
                <w:rFonts w:ascii="Cambria Math" w:hAnsi="Cambria Math"/>
                <w:i/>
              </w:rPr>
            </m:ctrlPr>
          </m:sSubPr>
          <m:e>
            <m:r>
              <w:rPr>
                <w:rFonts w:ascii="Cambria Math" w:hAnsi="Cambria Math"/>
              </w:rPr>
              <m:t>ρ</m:t>
            </m:r>
          </m:e>
          <m:sub>
            <m:r>
              <w:rPr>
                <w:rFonts w:ascii="Cambria Math" w:hAnsi="Cambria Math"/>
              </w:rPr>
              <m:t>G</m:t>
            </m:r>
          </m:sub>
        </m:sSub>
      </m:oMath>
      <w:r w:rsidR="004E7A30" w:rsidRPr="00A14FC2">
        <w:t xml:space="preserve"> a</w:t>
      </w:r>
      <w:r w:rsidRPr="00A14FC2">
        <w:t xml:space="preserve">nd </w:t>
      </w:r>
      <m:oMath>
        <m:sSub>
          <m:sSubPr>
            <m:ctrlPr>
              <w:rPr>
                <w:rFonts w:ascii="Cambria Math" w:hAnsi="Cambria Math"/>
                <w:i/>
              </w:rPr>
            </m:ctrlPr>
          </m:sSubPr>
          <m:e>
            <m:r>
              <w:rPr>
                <w:rFonts w:ascii="Cambria Math" w:hAnsi="Cambria Math"/>
              </w:rPr>
              <m:t>ρ</m:t>
            </m:r>
          </m:e>
          <m:sub>
            <m:r>
              <w:rPr>
                <w:rFonts w:ascii="Cambria Math" w:hAnsi="Cambria Math"/>
              </w:rPr>
              <m:t>L</m:t>
            </m:r>
          </m:sub>
        </m:sSub>
      </m:oMath>
      <w:r w:rsidRPr="00A14FC2">
        <w:t xml:space="preserve"> are the</w:t>
      </w:r>
      <w:r w:rsidR="006D13CB" w:rsidRPr="00A14FC2">
        <w:t xml:space="preserve"> </w:t>
      </w:r>
      <w:r w:rsidRPr="00A14FC2">
        <w:t xml:space="preserve">gas and liquid densities, </w:t>
      </w:r>
      <w:r w:rsidRPr="00A14FC2">
        <w:rPr>
          <w:rFonts w:ascii="Cambria Math" w:hAnsi="Cambria Math" w:cs="Cambria Math"/>
        </w:rPr>
        <w:t>𝑔</w:t>
      </w:r>
      <w:r w:rsidRPr="00A14FC2">
        <w:t xml:space="preserve"> is the gravitational acceleration</w:t>
      </w:r>
      <w:r w:rsidR="006D13CB" w:rsidRPr="00A14FC2">
        <w:t xml:space="preserve"> </w:t>
      </w:r>
      <w:r w:rsidRPr="00A14FC2">
        <w:t xml:space="preserve">and </w:t>
      </w:r>
      <m:oMath>
        <m:r>
          <w:rPr>
            <w:rFonts w:ascii="Cambria Math" w:hAnsi="Cambria Math"/>
          </w:rPr>
          <m:t>σ</m:t>
        </m:r>
      </m:oMath>
      <w:r w:rsidRPr="00A14FC2">
        <w:t xml:space="preserve"> is the surface tension.</w:t>
      </w:r>
      <w:r w:rsidR="00502FD2" w:rsidRPr="00A14FC2">
        <w:t xml:space="preserve"> </w:t>
      </w:r>
      <w:r w:rsidR="00B37FED" w:rsidRPr="00A14FC2">
        <w:t>C</w:t>
      </w:r>
      <w:r w:rsidR="00502FD2" w:rsidRPr="00A14FC2">
        <w:t>onsequently, flooding conditions occur when the entrainment value is 1. Considering this condition, the value of the flooding velocity is determined</w:t>
      </w:r>
      <w:r w:rsidR="00B37FED" w:rsidRPr="00A14FC2">
        <w:t xml:space="preserve"> </w:t>
      </w:r>
      <w:r w:rsidRPr="00A14FC2">
        <w:t>(Steinmeyer, 1995)</w:t>
      </w:r>
      <w:r w:rsidR="004E7A30" w:rsidRPr="00A14FC2">
        <w:t>.</w:t>
      </w:r>
    </w:p>
    <w:p w14:paraId="351A8554" w14:textId="77777777" w:rsidR="004E7A30" w:rsidRPr="00A14FC2" w:rsidRDefault="004E7A30" w:rsidP="006D13CB">
      <w:pPr>
        <w:pStyle w:val="CETBodytext"/>
      </w:pPr>
    </w:p>
    <w:p w14:paraId="3B157091" w14:textId="15BB5DB3" w:rsidR="004E7A30" w:rsidRPr="00A14FC2" w:rsidRDefault="00000000" w:rsidP="006D13CB">
      <w:pPr>
        <w:pStyle w:val="CETBodytext"/>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U</m:t>
                  </m:r>
                </m:e>
                <m:sub>
                  <m:r>
                    <w:rPr>
                      <w:rFonts w:ascii="Cambria Math" w:hAnsi="Cambria Math"/>
                    </w:rPr>
                    <m:t>Flood</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r>
                                    <w:rPr>
                                      <w:rFonts w:ascii="Cambria Math" w:hAnsi="Cambria Math"/>
                                    </w:rPr>
                                    <m:t>g</m:t>
                                  </m:r>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G</m:t>
                                          </m:r>
                                        </m:sub>
                                      </m:sSub>
                                    </m:e>
                                  </m:d>
                                </m:e>
                              </m:d>
                            </m:e>
                            <m:sup>
                              <m:r>
                                <w:rPr>
                                  <w:rFonts w:ascii="Cambria Math" w:hAnsi="Cambria Math"/>
                                </w:rPr>
                                <m:t>2.5</m:t>
                              </m:r>
                            </m:sup>
                          </m:sSup>
                          <m:sSup>
                            <m:sSupPr>
                              <m:ctrlPr>
                                <w:rPr>
                                  <w:rFonts w:ascii="Cambria Math" w:hAnsi="Cambria Math"/>
                                  <w:i/>
                                </w:rPr>
                              </m:ctrlPr>
                            </m:sSupPr>
                            <m:e>
                              <m:r>
                                <w:rPr>
                                  <w:rFonts w:ascii="Cambria Math" w:hAnsi="Cambria Math"/>
                                </w:rPr>
                                <m:t>σ</m:t>
                              </m:r>
                            </m:e>
                            <m:sup>
                              <m:r>
                                <w:rPr>
                                  <w:rFonts w:ascii="Cambria Math" w:hAnsi="Cambria Math"/>
                                </w:rPr>
                                <m:t>1.5</m:t>
                              </m:r>
                            </m:sup>
                          </m:sSup>
                        </m:num>
                        <m:den>
                          <m:sSubSup>
                            <m:sSubSupPr>
                              <m:ctrlPr>
                                <w:rPr>
                                  <w:rFonts w:ascii="Cambria Math" w:hAnsi="Cambria Math"/>
                                  <w:i/>
                                </w:rPr>
                              </m:ctrlPr>
                            </m:sSubSupPr>
                            <m:e>
                              <m:r>
                                <w:rPr>
                                  <w:rFonts w:ascii="Cambria Math" w:hAnsi="Cambria Math"/>
                                </w:rPr>
                                <m:t>ρ</m:t>
                              </m:r>
                            </m:e>
                            <m:sub>
                              <m:r>
                                <w:rPr>
                                  <w:rFonts w:ascii="Cambria Math" w:hAnsi="Cambria Math"/>
                                </w:rPr>
                                <m:t>G</m:t>
                              </m:r>
                            </m:sub>
                            <m:sup>
                              <m:r>
                                <w:rPr>
                                  <w:rFonts w:ascii="Cambria Math" w:hAnsi="Cambria Math"/>
                                </w:rPr>
                                <m:t>4</m:t>
                              </m:r>
                            </m:sup>
                          </m:sSubSup>
                        </m:den>
                      </m:f>
                    </m:e>
                  </m:d>
                </m:e>
                <m:sup>
                  <m:f>
                    <m:fPr>
                      <m:ctrlPr>
                        <w:rPr>
                          <w:rFonts w:ascii="Cambria Math" w:hAnsi="Cambria Math"/>
                          <w:i/>
                        </w:rPr>
                      </m:ctrlPr>
                    </m:fPr>
                    <m:num>
                      <m:r>
                        <w:rPr>
                          <w:rFonts w:ascii="Cambria Math" w:hAnsi="Cambria Math"/>
                        </w:rPr>
                        <m:t>1</m:t>
                      </m:r>
                    </m:num>
                    <m:den>
                      <m:r>
                        <w:rPr>
                          <w:rFonts w:ascii="Cambria Math" w:hAnsi="Cambria Math"/>
                        </w:rPr>
                        <m:t>8</m:t>
                      </m:r>
                    </m:den>
                  </m:f>
                </m:sup>
              </m:sSup>
              <m:r>
                <w:rPr>
                  <w:rFonts w:ascii="Cambria Math" w:hAnsi="Cambria Math"/>
                </w:rPr>
                <m:t>#</m:t>
              </m:r>
              <m:d>
                <m:dPr>
                  <m:ctrlPr>
                    <w:rPr>
                      <w:rFonts w:ascii="Cambria Math" w:hAnsi="Cambria Math"/>
                      <w:i/>
                    </w:rPr>
                  </m:ctrlPr>
                </m:dPr>
                <m:e>
                  <m:r>
                    <w:rPr>
                      <w:rFonts w:ascii="Cambria Math" w:hAnsi="Cambria Math"/>
                    </w:rPr>
                    <m:t>2</m:t>
                  </m:r>
                </m:e>
              </m:d>
            </m:e>
          </m:eqArr>
        </m:oMath>
      </m:oMathPara>
    </w:p>
    <w:p w14:paraId="454A783E" w14:textId="77777777" w:rsidR="002A4E03" w:rsidRPr="00A14FC2" w:rsidRDefault="002A4E03" w:rsidP="00C54F62">
      <w:pPr>
        <w:pStyle w:val="CETBodytext"/>
      </w:pPr>
    </w:p>
    <w:p w14:paraId="5EE61DFC" w14:textId="503147A2" w:rsidR="0066303E" w:rsidRDefault="00C54F62" w:rsidP="00C54F62">
      <w:pPr>
        <w:pStyle w:val="CETBodytext"/>
      </w:pPr>
      <w:r w:rsidRPr="00A14FC2">
        <w:t>According to the Equation (2), assuming the liquid phase is</w:t>
      </w:r>
      <w:r w:rsidR="00E7244A" w:rsidRPr="00A14FC2">
        <w:t xml:space="preserve"> </w:t>
      </w:r>
      <w:r w:rsidRPr="00A14FC2">
        <w:t>pure water, and the gas is air, the flooding velocity is</w:t>
      </w:r>
      <w:r w:rsidR="00E7244A" w:rsidRPr="00A14FC2">
        <w:t xml:space="preserve"> </w:t>
      </w:r>
      <w:r w:rsidRPr="00A14FC2">
        <w:t xml:space="preserve">estimated to be about 4 m/s. </w:t>
      </w:r>
      <w:r w:rsidR="005F6AF7" w:rsidRPr="00A14FC2">
        <w:t>With reference to the diameter of the contact section, the operating flow ranges of the compact scrubber were then determined. L</w:t>
      </w:r>
      <w:r w:rsidRPr="00A14FC2">
        <w:t>iquid</w:t>
      </w:r>
      <w:r w:rsidR="00E7244A" w:rsidRPr="00A14FC2">
        <w:t xml:space="preserve"> </w:t>
      </w:r>
      <w:r w:rsidRPr="00A14FC2">
        <w:t>flow rates (</w:t>
      </w:r>
      <m:oMath>
        <m:sSub>
          <m:sSubPr>
            <m:ctrlPr>
              <w:rPr>
                <w:rFonts w:ascii="Cambria Math" w:hAnsi="Cambria Math"/>
                <w:i/>
              </w:rPr>
            </m:ctrlPr>
          </m:sSubPr>
          <m:e>
            <m:r>
              <w:rPr>
                <w:rFonts w:ascii="Cambria Math" w:hAnsi="Cambria Math"/>
              </w:rPr>
              <m:t>L</m:t>
            </m:r>
          </m:e>
          <m:sub>
            <m:r>
              <w:rPr>
                <w:rFonts w:ascii="Cambria Math" w:hAnsi="Cambria Math"/>
              </w:rPr>
              <m:t>V</m:t>
            </m:r>
          </m:sub>
        </m:sSub>
      </m:oMath>
      <w:r w:rsidRPr="00A14FC2">
        <w:t>)</w:t>
      </w:r>
      <w:r w:rsidR="005F6AF7" w:rsidRPr="00A14FC2">
        <w:t xml:space="preserve"> vary</w:t>
      </w:r>
      <w:r w:rsidRPr="00A14FC2">
        <w:t xml:space="preserve"> between 15 and 4</w:t>
      </w:r>
      <w:r w:rsidR="006B6B6D" w:rsidRPr="00A14FC2">
        <w:t>5</w:t>
      </w:r>
      <w:r w:rsidRPr="00A14FC2">
        <w:t xml:space="preserve"> m</w:t>
      </w:r>
      <w:r w:rsidRPr="00A14FC2">
        <w:rPr>
          <w:vertAlign w:val="superscript"/>
        </w:rPr>
        <w:t>3</w:t>
      </w:r>
      <w:r w:rsidRPr="00A14FC2">
        <w:t>/h, and gas flow rates</w:t>
      </w:r>
      <w:r w:rsidR="00E7244A" w:rsidRPr="00A14FC2">
        <w:t xml:space="preserve"> </w:t>
      </w:r>
      <w:r w:rsidRPr="00A14FC2">
        <w:t>(</w:t>
      </w:r>
      <m:oMath>
        <m:sSub>
          <m:sSubPr>
            <m:ctrlPr>
              <w:rPr>
                <w:rFonts w:ascii="Cambria Math" w:hAnsi="Cambria Math"/>
                <w:i/>
              </w:rPr>
            </m:ctrlPr>
          </m:sSubPr>
          <m:e>
            <m:r>
              <w:rPr>
                <w:rFonts w:ascii="Cambria Math" w:hAnsi="Cambria Math"/>
              </w:rPr>
              <m:t>G</m:t>
            </m:r>
          </m:e>
          <m:sub>
            <m:r>
              <w:rPr>
                <w:rFonts w:ascii="Cambria Math" w:hAnsi="Cambria Math"/>
              </w:rPr>
              <m:t>V</m:t>
            </m:r>
          </m:sub>
        </m:sSub>
      </m:oMath>
      <w:r w:rsidRPr="00A14FC2">
        <w:t>) between 500 and 3</w:t>
      </w:r>
      <w:r w:rsidR="006B6B6D" w:rsidRPr="00A14FC2">
        <w:t>5</w:t>
      </w:r>
      <w:r w:rsidRPr="00A14FC2">
        <w:t>00 m</w:t>
      </w:r>
      <w:r w:rsidRPr="00A14FC2">
        <w:rPr>
          <w:vertAlign w:val="superscript"/>
        </w:rPr>
        <w:t>3</w:t>
      </w:r>
      <w:r w:rsidRPr="00A14FC2">
        <w:t>/h</w:t>
      </w:r>
      <w:r w:rsidR="003D563E" w:rsidRPr="00A14FC2">
        <w:t>.</w:t>
      </w:r>
      <w:r w:rsidRPr="00A14FC2">
        <w:t xml:space="preserve"> </w:t>
      </w:r>
      <w:r w:rsidR="0066303E" w:rsidRPr="0066303E">
        <w:t>For a detailed description of the experimental setup, the reader is referred to Giustacori and Brunazzi 2025.</w:t>
      </w:r>
    </w:p>
    <w:p w14:paraId="7ED9E957" w14:textId="2378A263" w:rsidR="007D0CA3" w:rsidRPr="00A14FC2" w:rsidRDefault="007D0CA3" w:rsidP="007D0CA3">
      <w:pPr>
        <w:pStyle w:val="CETHeading1"/>
      </w:pPr>
      <w:r w:rsidRPr="00A14FC2">
        <w:t>Results and discussion</w:t>
      </w:r>
    </w:p>
    <w:p w14:paraId="7696E02A" w14:textId="49CF89BE" w:rsidR="00AD7F35" w:rsidRPr="00A14FC2" w:rsidRDefault="005F039D" w:rsidP="004E388C">
      <w:pPr>
        <w:pStyle w:val="CETBodytext"/>
        <w:tabs>
          <w:tab w:val="clear" w:pos="7100"/>
          <w:tab w:val="left" w:pos="850"/>
        </w:tabs>
      </w:pPr>
      <w:r w:rsidRPr="00A14FC2">
        <w:t xml:space="preserve">The VOC concentration in the gas phase is measured across the liquid jet. These measurements allow </w:t>
      </w:r>
      <w:r w:rsidR="00005543" w:rsidRPr="00A14FC2">
        <w:t xml:space="preserve">for the </w:t>
      </w:r>
      <w:r w:rsidRPr="00A14FC2">
        <w:t xml:space="preserve">quantification of the instantaneous </w:t>
      </w:r>
      <w:r w:rsidR="008E099A" w:rsidRPr="00A14FC2">
        <w:t>absorption</w:t>
      </w:r>
      <w:r w:rsidRPr="00A14FC2">
        <w:t xml:space="preserve"> of the tracer. The liquid is assumed to be homogeneously mixed within the tank</w:t>
      </w:r>
      <w:r w:rsidR="00005543" w:rsidRPr="00A14FC2">
        <w:t>,</w:t>
      </w:r>
      <w:r w:rsidRPr="00A14FC2">
        <w:t xml:space="preserve"> based on the liquid flow rate relative to the tank volume and recirculation loop, </w:t>
      </w:r>
      <w:r w:rsidR="00005543" w:rsidRPr="00A14FC2">
        <w:t xml:space="preserve">as well as </w:t>
      </w:r>
      <w:r w:rsidRPr="00A14FC2">
        <w:t xml:space="preserve">the location of the liquid suction point relative to the tank return. Given the selected operating conditions and the short duration of the experiment, the liquid phase can be approximated as a dilute solution. The behavior of the jet, which initially sprays upward before reversing direction to fall back into the tank, along with the intense turbulence, supports the use of a fully mixed model for the liquid in the contact section. In addition, </w:t>
      </w:r>
      <w:r w:rsidR="002C0FCA" w:rsidRPr="00A14FC2">
        <w:t xml:space="preserve">since the gas phase is </w:t>
      </w:r>
      <w:r w:rsidR="005B31A6" w:rsidRPr="00A14FC2">
        <w:t>diluted</w:t>
      </w:r>
      <w:r w:rsidR="002C0FCA" w:rsidRPr="00A14FC2">
        <w:t xml:space="preserve">, </w:t>
      </w:r>
      <w:r w:rsidRPr="00A14FC2">
        <w:t>VOC transfer within this section</w:t>
      </w:r>
      <w:r w:rsidR="00005543" w:rsidRPr="00A14FC2">
        <w:t xml:space="preserve"> is minimal,</w:t>
      </w:r>
      <w:r w:rsidRPr="00A14FC2">
        <w:t xml:space="preserve"> </w:t>
      </w:r>
      <w:r w:rsidR="00005543" w:rsidRPr="00A14FC2">
        <w:t>resulting in</w:t>
      </w:r>
      <w:r w:rsidRPr="00A14FC2">
        <w:t xml:space="preserve"> negligible changes in both gas and liquid molar flow rates and an almost imperceptible change in liquid temperature. Therefore, the absorption efficiency (</w:t>
      </w:r>
      <m:oMath>
        <m:sSub>
          <m:sSubPr>
            <m:ctrlPr>
              <w:rPr>
                <w:rFonts w:ascii="Cambria Math" w:hAnsi="Cambria Math"/>
                <w:i/>
              </w:rPr>
            </m:ctrlPr>
          </m:sSubPr>
          <m:e>
            <m:r>
              <w:rPr>
                <w:rFonts w:ascii="Cambria Math" w:hAnsi="Cambria Math"/>
              </w:rPr>
              <m:t>E</m:t>
            </m:r>
          </m:e>
          <m:sub>
            <m:r>
              <w:rPr>
                <w:rFonts w:ascii="Cambria Math" w:hAnsi="Cambria Math"/>
              </w:rPr>
              <m:t>Y</m:t>
            </m:r>
          </m:sub>
        </m:sSub>
      </m:oMath>
      <w:r w:rsidRPr="00A14FC2">
        <w:t>) is determined as follows.</w:t>
      </w:r>
    </w:p>
    <w:p w14:paraId="78C95273" w14:textId="58A52D53" w:rsidR="00FA76B8" w:rsidRPr="00A14FC2" w:rsidRDefault="00000000" w:rsidP="004E388C">
      <w:pPr>
        <w:pStyle w:val="CETBodytext"/>
        <w:tabs>
          <w:tab w:val="clear" w:pos="7100"/>
          <w:tab w:val="left" w:pos="850"/>
        </w:tabs>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E</m:t>
                  </m:r>
                </m:e>
                <m:sub>
                  <m:r>
                    <w:rPr>
                      <w:rFonts w:ascii="Cambria Math" w:hAnsi="Cambria Math"/>
                    </w:rPr>
                    <m:t>Y</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IN</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OUT</m:t>
                      </m:r>
                    </m:sub>
                  </m:sSub>
                </m:num>
                <m:den>
                  <m:sSub>
                    <m:sSubPr>
                      <m:ctrlPr>
                        <w:rPr>
                          <w:rFonts w:ascii="Cambria Math" w:hAnsi="Cambria Math"/>
                          <w:i/>
                        </w:rPr>
                      </m:ctrlPr>
                    </m:sSubPr>
                    <m:e>
                      <m:r>
                        <w:rPr>
                          <w:rFonts w:ascii="Cambria Math" w:hAnsi="Cambria Math"/>
                        </w:rPr>
                        <m:t>y</m:t>
                      </m:r>
                    </m:e>
                    <m:sub>
                      <m:r>
                        <w:rPr>
                          <w:rFonts w:ascii="Cambria Math" w:hAnsi="Cambria Math"/>
                        </w:rPr>
                        <m:t>IN</m:t>
                      </m:r>
                    </m:sub>
                  </m:sSub>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OUT</m:t>
                      </m:r>
                    </m:sub>
                    <m:sup>
                      <m:r>
                        <w:rPr>
                          <w:rFonts w:ascii="Cambria Math" w:hAnsi="Cambria Math"/>
                        </w:rPr>
                        <m:t>*</m:t>
                      </m:r>
                    </m:sup>
                  </m:sSubSup>
                </m:den>
              </m:f>
              <m:r>
                <w:rPr>
                  <w:rFonts w:ascii="Cambria Math" w:hAnsi="Cambria Math"/>
                </w:rPr>
                <m:t>#</m:t>
              </m:r>
              <m:d>
                <m:dPr>
                  <m:ctrlPr>
                    <w:rPr>
                      <w:rFonts w:ascii="Cambria Math" w:hAnsi="Cambria Math"/>
                      <w:i/>
                    </w:rPr>
                  </m:ctrlPr>
                </m:dPr>
                <m:e>
                  <m:r>
                    <w:rPr>
                      <w:rFonts w:ascii="Cambria Math" w:hAnsi="Cambria Math"/>
                    </w:rPr>
                    <m:t>3</m:t>
                  </m:r>
                </m:e>
              </m:d>
            </m:e>
          </m:eqArr>
        </m:oMath>
      </m:oMathPara>
    </w:p>
    <w:p w14:paraId="1DF51216" w14:textId="77777777" w:rsidR="000F6018" w:rsidRPr="00A14FC2" w:rsidRDefault="000F6018" w:rsidP="004E388C">
      <w:pPr>
        <w:pStyle w:val="CETBodytext"/>
        <w:tabs>
          <w:tab w:val="clear" w:pos="7100"/>
          <w:tab w:val="left" w:pos="850"/>
        </w:tabs>
      </w:pPr>
    </w:p>
    <w:p w14:paraId="2FAB6F3B" w14:textId="7D14F9F8" w:rsidR="009C1885" w:rsidRPr="00A14FC2" w:rsidRDefault="007E5EE8" w:rsidP="009C1885">
      <w:pPr>
        <w:pStyle w:val="CETBodytext"/>
        <w:tabs>
          <w:tab w:val="clear" w:pos="7100"/>
          <w:tab w:val="left" w:pos="850"/>
        </w:tabs>
      </w:pPr>
      <w:r w:rsidRPr="00A14FC2">
        <w:t>Here</w:t>
      </w:r>
      <w:r w:rsidR="00CE0A5F" w:rsidRPr="00A14FC2">
        <w:t xml:space="preserve">, </w:t>
      </w:r>
      <m:oMath>
        <m:sSub>
          <m:sSubPr>
            <m:ctrlPr>
              <w:rPr>
                <w:rFonts w:ascii="Cambria Math" w:hAnsi="Cambria Math"/>
                <w:i/>
              </w:rPr>
            </m:ctrlPr>
          </m:sSubPr>
          <m:e>
            <m:r>
              <w:rPr>
                <w:rFonts w:ascii="Cambria Math" w:hAnsi="Cambria Math"/>
              </w:rPr>
              <m:t>y</m:t>
            </m:r>
          </m:e>
          <m:sub>
            <m:r>
              <w:rPr>
                <w:rFonts w:ascii="Cambria Math" w:hAnsi="Cambria Math"/>
              </w:rPr>
              <m:t>IN</m:t>
            </m:r>
          </m:sub>
        </m:sSub>
        <m:r>
          <w:rPr>
            <w:rFonts w:ascii="Cambria Math" w:hAnsi="Cambria Math"/>
          </w:rPr>
          <m:t xml:space="preserve"> </m:t>
        </m:r>
      </m:oMath>
      <w:r w:rsidRPr="00A14FC2">
        <w:t xml:space="preserve">represents the molar fraction of VOCs in the gas phase entering the liquid jet zone, while </w:t>
      </w:r>
      <m:oMath>
        <m:sSub>
          <m:sSubPr>
            <m:ctrlPr>
              <w:rPr>
                <w:rFonts w:ascii="Cambria Math" w:hAnsi="Cambria Math"/>
                <w:i/>
              </w:rPr>
            </m:ctrlPr>
          </m:sSubPr>
          <m:e>
            <m:r>
              <w:rPr>
                <w:rFonts w:ascii="Cambria Math" w:hAnsi="Cambria Math"/>
              </w:rPr>
              <m:t>y</m:t>
            </m:r>
          </m:e>
          <m:sub>
            <m:r>
              <w:rPr>
                <w:rFonts w:ascii="Cambria Math" w:hAnsi="Cambria Math"/>
              </w:rPr>
              <m:t>OUT</m:t>
            </m:r>
          </m:sub>
        </m:sSub>
      </m:oMath>
      <w:r w:rsidRPr="00A14FC2">
        <w:t xml:space="preserve"> is the VOC molar fraction in the gas phase after passing through the jet. The term </w:t>
      </w:r>
      <m:oMath>
        <m:sSubSup>
          <m:sSubSupPr>
            <m:ctrlPr>
              <w:rPr>
                <w:rFonts w:ascii="Cambria Math" w:hAnsi="Cambria Math"/>
                <w:i/>
              </w:rPr>
            </m:ctrlPr>
          </m:sSubSupPr>
          <m:e>
            <m:r>
              <w:rPr>
                <w:rFonts w:ascii="Cambria Math" w:hAnsi="Cambria Math"/>
              </w:rPr>
              <m:t>y</m:t>
            </m:r>
          </m:e>
          <m:sub>
            <m:r>
              <w:rPr>
                <w:rFonts w:ascii="Cambria Math" w:hAnsi="Cambria Math"/>
              </w:rPr>
              <m:t>OUT</m:t>
            </m:r>
          </m:sub>
          <m:sup>
            <m:r>
              <w:rPr>
                <w:rFonts w:ascii="Cambria Math" w:hAnsi="Cambria Math"/>
              </w:rPr>
              <m:t>*</m:t>
            </m:r>
          </m:sup>
        </m:sSubSup>
      </m:oMath>
      <w:r w:rsidR="00CE0A5F" w:rsidRPr="00A14FC2">
        <w:t xml:space="preserve"> </w:t>
      </w:r>
      <w:r w:rsidRPr="00A14FC2">
        <w:t>refers to the equilibrium VOC molar fraction in the gas phase, corresponding to the liquid phase composition exiting the jet zone. This formulation accounts for both the actual VOC removal and the theoretical equilibrium limit, providing a measure of the jet's absorption efficiency relative to the maximum possible absorption.</w:t>
      </w:r>
      <w:r w:rsidR="00340F99" w:rsidRPr="00A14FC2">
        <w:t xml:space="preserve"> </w:t>
      </w:r>
      <w:r w:rsidR="009C1885" w:rsidRPr="00A14FC2">
        <w:t>Under the assumption of dilute mixture, the VOC water solubility can be described by Henry's law</w:t>
      </w:r>
      <w:r w:rsidR="00417D7E">
        <w:t xml:space="preserve">. </w:t>
      </w:r>
      <w:r w:rsidR="00417D7E" w:rsidRPr="00417D7E">
        <w:t>The Henry constant was calculated considering for the IPA H</w:t>
      </w:r>
      <w:r w:rsidR="00417D7E" w:rsidRPr="009B3163">
        <w:rPr>
          <w:vertAlign w:val="subscript"/>
        </w:rPr>
        <w:t>0</w:t>
      </w:r>
      <w:r w:rsidR="00417D7E" w:rsidRPr="00417D7E">
        <w:t xml:space="preserve"> = 130 </w:t>
      </w:r>
      <w:bookmarkStart w:id="2" w:name="_Hlk190094387"/>
      <w:r w:rsidR="00417D7E" w:rsidRPr="00417D7E">
        <w:t>mol/(kg</w:t>
      </w:r>
      <w:r w:rsidR="00417D7E">
        <w:t xml:space="preserve"> </w:t>
      </w:r>
      <w:r w:rsidR="00417D7E" w:rsidRPr="00417D7E">
        <w:t>bar)</w:t>
      </w:r>
      <w:bookmarkEnd w:id="2"/>
      <w:r w:rsidR="00417D7E" w:rsidRPr="00417D7E">
        <w:t xml:space="preserve"> at 25 °C and a temperature dependence d(ln(H))/d(1/T) = 7500; </w:t>
      </w:r>
      <w:r w:rsidR="00417D7E" w:rsidRPr="00417D7E">
        <w:lastRenderedPageBreak/>
        <w:t>instead for the BA H</w:t>
      </w:r>
      <w:r w:rsidR="00417D7E" w:rsidRPr="009B3163">
        <w:rPr>
          <w:vertAlign w:val="subscript"/>
        </w:rPr>
        <w:t>0</w:t>
      </w:r>
      <w:r w:rsidR="00417D7E" w:rsidRPr="00417D7E">
        <w:t xml:space="preserve"> = 3.6 mol/(kg</w:t>
      </w:r>
      <w:r w:rsidR="00417D7E">
        <w:t xml:space="preserve"> </w:t>
      </w:r>
      <w:r w:rsidR="00417D7E" w:rsidRPr="00417D7E">
        <w:t>bar) at 25 °C and a temperature dependence d(ln(H))/d(1/T) = 6000</w:t>
      </w:r>
      <w:r w:rsidR="00B35A4A">
        <w:t xml:space="preserve"> (NIST, 2024)</w:t>
      </w:r>
      <w:r w:rsidR="008D5664">
        <w:t>.</w:t>
      </w:r>
    </w:p>
    <w:p w14:paraId="2A94BAAF" w14:textId="39B9CB75" w:rsidR="00EC0427" w:rsidRPr="00A14FC2" w:rsidRDefault="000D7719" w:rsidP="005A448A">
      <w:pPr>
        <w:pStyle w:val="CETBodytext"/>
        <w:tabs>
          <w:tab w:val="clear" w:pos="7100"/>
          <w:tab w:val="left" w:pos="850"/>
        </w:tabs>
      </w:pPr>
      <w:r w:rsidRPr="00A14FC2">
        <w:t>Figure 2 (left) shows the trend of absorption efficiency as a function of the F-factor (</w:t>
      </w:r>
      <w:r w:rsidR="00B366F6" w:rsidRPr="00A14FC2">
        <w:t xml:space="preserve">defined as the product between the gas superficial velocity and the square root of the gas density, </w:t>
      </w:r>
      <m:oMath>
        <m:sSub>
          <m:sSubPr>
            <m:ctrlPr>
              <w:rPr>
                <w:rFonts w:ascii="Cambria Math" w:hAnsi="Cambria Math"/>
                <w:i/>
              </w:rPr>
            </m:ctrlPr>
          </m:sSubPr>
          <m:e>
            <m:r>
              <w:rPr>
                <w:rFonts w:ascii="Cambria Math" w:hAnsi="Cambria Math"/>
              </w:rPr>
              <m:t>F</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s,G</m:t>
            </m:r>
          </m:sub>
        </m:sSub>
        <m:rad>
          <m:radPr>
            <m:degHide m:val="1"/>
            <m:ctrlPr>
              <w:rPr>
                <w:rFonts w:ascii="Cambria Math" w:hAnsi="Cambria Math"/>
                <w:i/>
              </w:rPr>
            </m:ctrlPr>
          </m:radPr>
          <m:deg/>
          <m:e>
            <m:sSub>
              <m:sSubPr>
                <m:ctrlPr>
                  <w:rPr>
                    <w:rFonts w:ascii="Cambria Math" w:hAnsi="Cambria Math"/>
                    <w:i/>
                  </w:rPr>
                </m:ctrlPr>
              </m:sSubPr>
              <m:e>
                <m:r>
                  <w:rPr>
                    <w:rFonts w:ascii="Cambria Math" w:hAnsi="Cambria Math"/>
                  </w:rPr>
                  <m:t>ρ</m:t>
                </m:r>
              </m:e>
              <m:sub>
                <m:r>
                  <w:rPr>
                    <w:rFonts w:ascii="Cambria Math" w:hAnsi="Cambria Math"/>
                  </w:rPr>
                  <m:t>G</m:t>
                </m:r>
              </m:sub>
            </m:sSub>
          </m:e>
        </m:rad>
      </m:oMath>
      <w:r w:rsidRPr="00A14FC2">
        <w:t>) for various liquid flow rates. As the gas flow rate increases, corresponding to a larger F-factor, the absorption efficiency decreases. A high gas flow rate causes the liquid jet to compress into a region of reduced height, which results in a significant reduction in the contact time between the gas and liquid phases.</w:t>
      </w:r>
      <w:r w:rsidR="00EC0427" w:rsidRPr="00A14FC2">
        <w:t xml:space="preserve"> </w:t>
      </w:r>
      <w:r w:rsidR="00473D54" w:rsidRPr="00A14FC2">
        <w:t>Varying</w:t>
      </w:r>
      <w:r w:rsidR="00EC0427" w:rsidRPr="00A14FC2">
        <w:t xml:space="preserve"> the liquid flow rate, on the other hand, has different effects. </w:t>
      </w:r>
      <w:r w:rsidR="00982069" w:rsidRPr="00A14FC2">
        <w:t xml:space="preserve">Increased </w:t>
      </w:r>
      <w:r w:rsidR="00EC0427" w:rsidRPr="00A14FC2">
        <w:t xml:space="preserve">liquid flow </w:t>
      </w:r>
      <w:r w:rsidR="00982069" w:rsidRPr="00A14FC2">
        <w:t xml:space="preserve">enhances </w:t>
      </w:r>
      <w:r w:rsidR="00EC0427" w:rsidRPr="00A14FC2">
        <w:t xml:space="preserve">jet turbulence, which promotes better mixing and a larger interfacial area for mass transfer. This, combined with increased phase contact time due to the more vigorous jet behavior and the extension of the jet over a larger zone, </w:t>
      </w:r>
      <w:r w:rsidR="00982069" w:rsidRPr="00A14FC2">
        <w:t>leads to</w:t>
      </w:r>
      <w:r w:rsidR="00EC0427" w:rsidRPr="00A14FC2">
        <w:t xml:space="preserve"> improved absorption efficiencies. Efficiency trends are similar for both VOCs; however, it is noteworthy that the removal efficiencies of BA are consistently lower than those of IPA under the same liquid flow rate and </w:t>
      </w:r>
      <w:r w:rsidR="0053462B" w:rsidRPr="00A14FC2">
        <w:t>F-factor conditions</w:t>
      </w:r>
      <w:r w:rsidR="00EC0427" w:rsidRPr="00A14FC2">
        <w:t>.</w:t>
      </w:r>
    </w:p>
    <w:p w14:paraId="5D309C19" w14:textId="09E409A3" w:rsidR="00CA01B4" w:rsidRPr="00A14FC2" w:rsidRDefault="005A448A" w:rsidP="005A448A">
      <w:pPr>
        <w:pStyle w:val="CETBodytext"/>
        <w:tabs>
          <w:tab w:val="clear" w:pos="7100"/>
          <w:tab w:val="left" w:pos="850"/>
        </w:tabs>
      </w:pPr>
      <w:r w:rsidRPr="00A14FC2">
        <w:t xml:space="preserve">The gas phase was selected as the reference phase for the mass transfer modeling. </w:t>
      </w:r>
      <w:r w:rsidR="009C1885" w:rsidRPr="00A14FC2">
        <w:t>The molar flux of VOC transferred between the two phases</w:t>
      </w:r>
      <w:r w:rsidR="00CA01B4" w:rsidRPr="00A14FC2">
        <w:t xml:space="preserve"> </w:t>
      </w:r>
      <w:r w:rsidR="009C1885" w:rsidRPr="00A14FC2">
        <w:t>(</w:t>
      </w:r>
      <m:oMath>
        <m:sSub>
          <m:sSubPr>
            <m:ctrlPr>
              <w:rPr>
                <w:rFonts w:ascii="Cambria Math" w:hAnsi="Cambria Math"/>
                <w:i/>
              </w:rPr>
            </m:ctrlPr>
          </m:sSubPr>
          <m:e>
            <m:r>
              <w:rPr>
                <w:rFonts w:ascii="Cambria Math" w:hAnsi="Cambria Math"/>
              </w:rPr>
              <m:t>N</m:t>
            </m:r>
          </m:e>
          <m:sub>
            <m:r>
              <w:rPr>
                <w:rFonts w:ascii="Cambria Math" w:hAnsi="Cambria Math"/>
              </w:rPr>
              <m:t>VOC</m:t>
            </m:r>
          </m:sub>
        </m:sSub>
      </m:oMath>
      <w:r w:rsidR="009C1885" w:rsidRPr="00A14FC2">
        <w:t>) was modeled</w:t>
      </w:r>
      <w:r w:rsidR="00FA76B8" w:rsidRPr="00A14FC2">
        <w:t xml:space="preserve"> </w:t>
      </w:r>
      <w:r w:rsidR="009C1885" w:rsidRPr="00A14FC2">
        <w:t>as the product of the overall gas side mass</w:t>
      </w:r>
      <w:r w:rsidR="00CA01B4" w:rsidRPr="00A14FC2">
        <w:t xml:space="preserve"> </w:t>
      </w:r>
      <w:r w:rsidR="009C1885" w:rsidRPr="00A14FC2">
        <w:t>transfer coefficient (</w:t>
      </w:r>
      <m:oMath>
        <m:sSub>
          <m:sSubPr>
            <m:ctrlPr>
              <w:rPr>
                <w:rFonts w:ascii="Cambria Math" w:hAnsi="Cambria Math"/>
                <w:i/>
              </w:rPr>
            </m:ctrlPr>
          </m:sSubPr>
          <m:e>
            <m:r>
              <w:rPr>
                <w:rFonts w:ascii="Cambria Math" w:hAnsi="Cambria Math"/>
              </w:rPr>
              <m:t>K</m:t>
            </m:r>
          </m:e>
          <m:sub>
            <m:r>
              <w:rPr>
                <w:rFonts w:ascii="Cambria Math" w:hAnsi="Cambria Math"/>
              </w:rPr>
              <m:t>OY</m:t>
            </m:r>
          </m:sub>
        </m:sSub>
      </m:oMath>
      <w:r w:rsidR="009C1885" w:rsidRPr="00A14FC2">
        <w:t>), contact area (</w:t>
      </w:r>
      <m:oMath>
        <m:r>
          <w:rPr>
            <w:rFonts w:ascii="Cambria Math" w:hAnsi="Cambria Math"/>
          </w:rPr>
          <m:t>A</m:t>
        </m:r>
      </m:oMath>
      <w:r w:rsidR="009C1885" w:rsidRPr="00A14FC2">
        <w:t>) and a driving force</w:t>
      </w:r>
      <w:r w:rsidR="00FA76B8" w:rsidRPr="00A14FC2">
        <w:t>. E</w:t>
      </w:r>
      <w:r w:rsidR="009C1885" w:rsidRPr="00A14FC2">
        <w:t xml:space="preserve">quating </w:t>
      </w:r>
      <w:r w:rsidR="00982069" w:rsidRPr="00A14FC2">
        <w:t xml:space="preserve">this </w:t>
      </w:r>
      <w:r w:rsidR="009C1885" w:rsidRPr="00A14FC2">
        <w:t xml:space="preserve">to the </w:t>
      </w:r>
      <w:r w:rsidR="00FA76B8" w:rsidRPr="00A14FC2">
        <w:t xml:space="preserve">molar </w:t>
      </w:r>
      <w:r w:rsidR="009C1885" w:rsidRPr="00A14FC2">
        <w:t>flux expressed in terms of gas</w:t>
      </w:r>
      <w:r w:rsidR="00CA01B4" w:rsidRPr="00A14FC2">
        <w:t xml:space="preserve"> </w:t>
      </w:r>
      <w:r w:rsidR="009C1885" w:rsidRPr="00A14FC2">
        <w:t xml:space="preserve">concentration drop across the jet, an analytical expression </w:t>
      </w:r>
      <w:r w:rsidR="00982069" w:rsidRPr="00A14FC2">
        <w:t xml:space="preserve">for </w:t>
      </w:r>
      <w:r w:rsidR="009C1885" w:rsidRPr="00A14FC2">
        <w:t xml:space="preserve">the product </w:t>
      </w:r>
      <w:r w:rsidR="00982069" w:rsidRPr="00A14FC2">
        <w:t xml:space="preserve">of the </w:t>
      </w:r>
      <w:r w:rsidR="009C1885" w:rsidRPr="00A14FC2">
        <w:t>mass transfer coefficient and the</w:t>
      </w:r>
      <w:r w:rsidR="00CA01B4" w:rsidRPr="00A14FC2">
        <w:t xml:space="preserve"> </w:t>
      </w:r>
      <w:r w:rsidR="009C1885" w:rsidRPr="00A14FC2">
        <w:t xml:space="preserve">interfacial area </w:t>
      </w:r>
      <w:r w:rsidR="00B22888" w:rsidRPr="00A14FC2">
        <w:t>is</w:t>
      </w:r>
      <w:r w:rsidR="009C1885" w:rsidRPr="00A14FC2">
        <w:t xml:space="preserve"> derived (Green, 2008).</w:t>
      </w:r>
    </w:p>
    <w:p w14:paraId="415143D6" w14:textId="77777777" w:rsidR="00305525" w:rsidRPr="00A14FC2" w:rsidRDefault="00305525" w:rsidP="005A448A">
      <w:pPr>
        <w:pStyle w:val="CETBodytext"/>
        <w:tabs>
          <w:tab w:val="clear" w:pos="7100"/>
          <w:tab w:val="left" w:pos="850"/>
        </w:tabs>
      </w:pPr>
    </w:p>
    <w:p w14:paraId="6B8C696D" w14:textId="5643B7DD" w:rsidR="00305525" w:rsidRPr="00A14FC2" w:rsidRDefault="00000000" w:rsidP="005A448A">
      <w:pPr>
        <w:pStyle w:val="CETBodytext"/>
        <w:tabs>
          <w:tab w:val="clear" w:pos="7100"/>
          <w:tab w:val="left" w:pos="850"/>
        </w:tabs>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N</m:t>
                  </m:r>
                </m:e>
                <m:sub>
                  <m:r>
                    <w:rPr>
                      <w:rFonts w:ascii="Cambria Math" w:hAnsi="Cambria Math"/>
                    </w:rPr>
                    <m:t>VOC</m:t>
                  </m:r>
                </m:sub>
              </m:sSub>
              <m:r>
                <w:rPr>
                  <w:rFonts w:ascii="Cambria Math" w:hAnsi="Cambria Math"/>
                </w:rPr>
                <m:t>=G</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IN</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OUT</m:t>
                      </m:r>
                    </m:sub>
                  </m:sSub>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OY</m:t>
                  </m:r>
                </m:sub>
              </m:sSub>
              <m:r>
                <w:rPr>
                  <w:rFonts w:ascii="Cambria Math" w:hAnsi="Cambria Math"/>
                </w:rPr>
                <m:t>A</m:t>
              </m:r>
              <m:r>
                <m:rPr>
                  <m:sty m:val="p"/>
                </m:rPr>
                <w:rPr>
                  <w:rFonts w:ascii="Cambria Math" w:hAnsi="Cambria Math"/>
                </w:rPr>
                <m:t>Δ</m:t>
              </m:r>
              <m:sSub>
                <m:sSubPr>
                  <m:ctrlPr>
                    <w:rPr>
                      <w:rFonts w:ascii="Cambria Math" w:hAnsi="Cambria Math"/>
                      <w:i/>
                    </w:rPr>
                  </m:ctrlPr>
                </m:sSubPr>
                <m:e>
                  <m:r>
                    <w:rPr>
                      <w:rFonts w:ascii="Cambria Math" w:hAnsi="Cambria Math"/>
                    </w:rPr>
                    <m:t>y</m:t>
                  </m:r>
                </m:e>
                <m:sub>
                  <m:r>
                    <w:rPr>
                      <w:rFonts w:ascii="Cambria Math" w:hAnsi="Cambria Math"/>
                    </w:rPr>
                    <m:t>LM</m:t>
                  </m:r>
                </m:sub>
              </m:sSub>
              <m:r>
                <w:rPr>
                  <w:rFonts w:ascii="Cambria Math" w:hAnsi="Cambria Math"/>
                </w:rPr>
                <m:t>#</m:t>
              </m:r>
              <m:d>
                <m:dPr>
                  <m:ctrlPr>
                    <w:rPr>
                      <w:rFonts w:ascii="Cambria Math" w:hAnsi="Cambria Math"/>
                      <w:i/>
                    </w:rPr>
                  </m:ctrlPr>
                </m:dPr>
                <m:e>
                  <m:r>
                    <w:rPr>
                      <w:rFonts w:ascii="Cambria Math" w:hAnsi="Cambria Math"/>
                    </w:rPr>
                    <m:t>4</m:t>
                  </m:r>
                </m:e>
              </m:d>
            </m:e>
          </m:eqArr>
        </m:oMath>
      </m:oMathPara>
    </w:p>
    <w:p w14:paraId="4A18EDB9" w14:textId="77777777" w:rsidR="00305525" w:rsidRPr="00A14FC2" w:rsidRDefault="00305525" w:rsidP="005A448A">
      <w:pPr>
        <w:pStyle w:val="CETBodytext"/>
        <w:tabs>
          <w:tab w:val="clear" w:pos="7100"/>
          <w:tab w:val="left" w:pos="850"/>
        </w:tabs>
      </w:pPr>
    </w:p>
    <w:p w14:paraId="6537A4E5" w14:textId="0FF44323" w:rsidR="00305525" w:rsidRPr="00A14FC2" w:rsidRDefault="00000000" w:rsidP="005A448A">
      <w:pPr>
        <w:pStyle w:val="CETBodytext"/>
        <w:tabs>
          <w:tab w:val="clear" w:pos="7100"/>
          <w:tab w:val="left" w:pos="850"/>
        </w:tabs>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K</m:t>
                  </m:r>
                </m:e>
                <m:sub>
                  <m:r>
                    <w:rPr>
                      <w:rFonts w:ascii="Cambria Math" w:hAnsi="Cambria Math"/>
                    </w:rPr>
                    <m:t>OY</m:t>
                  </m:r>
                </m:sub>
              </m:sSub>
              <m:r>
                <w:rPr>
                  <w:rFonts w:ascii="Cambria Math" w:hAnsi="Cambria Math"/>
                </w:rPr>
                <m:t>A=G</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IN</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OUT</m:t>
                      </m:r>
                    </m:sub>
                  </m:sSub>
                </m:num>
                <m:den>
                  <m:r>
                    <m:rPr>
                      <m:sty m:val="p"/>
                    </m:rPr>
                    <w:rPr>
                      <w:rFonts w:ascii="Cambria Math" w:hAnsi="Cambria Math"/>
                    </w:rPr>
                    <m:t>Δ</m:t>
                  </m:r>
                  <m:sSub>
                    <m:sSubPr>
                      <m:ctrlPr>
                        <w:rPr>
                          <w:rFonts w:ascii="Cambria Math" w:hAnsi="Cambria Math"/>
                          <w:i/>
                        </w:rPr>
                      </m:ctrlPr>
                    </m:sSubPr>
                    <m:e>
                      <m:r>
                        <w:rPr>
                          <w:rFonts w:ascii="Cambria Math" w:hAnsi="Cambria Math"/>
                        </w:rPr>
                        <m:t>y</m:t>
                      </m:r>
                    </m:e>
                    <m:sub>
                      <m:r>
                        <w:rPr>
                          <w:rFonts w:ascii="Cambria Math" w:hAnsi="Cambria Math"/>
                        </w:rPr>
                        <m:t>LM</m:t>
                      </m:r>
                    </m:sub>
                  </m:sSub>
                </m:den>
              </m:f>
              <m:r>
                <w:rPr>
                  <w:rFonts w:ascii="Cambria Math" w:hAnsi="Cambria Math"/>
                </w:rPr>
                <m:t>#</m:t>
              </m:r>
              <m:d>
                <m:dPr>
                  <m:ctrlPr>
                    <w:rPr>
                      <w:rFonts w:ascii="Cambria Math" w:hAnsi="Cambria Math"/>
                      <w:i/>
                    </w:rPr>
                  </m:ctrlPr>
                </m:dPr>
                <m:e>
                  <m:r>
                    <w:rPr>
                      <w:rFonts w:ascii="Cambria Math" w:hAnsi="Cambria Math"/>
                    </w:rPr>
                    <m:t>5</m:t>
                  </m:r>
                </m:e>
              </m:d>
            </m:e>
          </m:eqArr>
        </m:oMath>
      </m:oMathPara>
    </w:p>
    <w:p w14:paraId="2D323024" w14:textId="77777777" w:rsidR="00F12E48" w:rsidRPr="00A14FC2" w:rsidRDefault="00F12E48" w:rsidP="005A448A">
      <w:pPr>
        <w:pStyle w:val="CETBodytext"/>
        <w:tabs>
          <w:tab w:val="clear" w:pos="7100"/>
          <w:tab w:val="left" w:pos="850"/>
        </w:tabs>
      </w:pPr>
    </w:p>
    <w:p w14:paraId="3ADE07AF" w14:textId="1AE85E43" w:rsidR="00CB5688" w:rsidRPr="00A14FC2" w:rsidRDefault="009C1885" w:rsidP="009C1885">
      <w:pPr>
        <w:pStyle w:val="CETBodytext"/>
        <w:tabs>
          <w:tab w:val="clear" w:pos="7100"/>
          <w:tab w:val="left" w:pos="850"/>
        </w:tabs>
      </w:pPr>
      <w:r w:rsidRPr="00A14FC2">
        <w:t>Where</w:t>
      </w:r>
      <w:r w:rsidR="00CB5688" w:rsidRPr="00A14FC2">
        <w:t xml:space="preserve"> </w:t>
      </w:r>
      <m:oMath>
        <m:r>
          <w:rPr>
            <w:rFonts w:ascii="Cambria Math" w:hAnsi="Cambria Math"/>
          </w:rPr>
          <m:t xml:space="preserve">G </m:t>
        </m:r>
      </m:oMath>
      <w:r w:rsidRPr="00A14FC2">
        <w:t xml:space="preserve">is the molar gas flow rate and </w:t>
      </w:r>
      <m:oMath>
        <m:r>
          <m:rPr>
            <m:sty m:val="p"/>
          </m:rPr>
          <w:rPr>
            <w:rFonts w:ascii="Cambria Math" w:hAnsi="Cambria Math"/>
          </w:rPr>
          <m:t>Δ</m:t>
        </m:r>
        <m:sSub>
          <m:sSubPr>
            <m:ctrlPr>
              <w:rPr>
                <w:rFonts w:ascii="Cambria Math" w:hAnsi="Cambria Math"/>
                <w:i/>
              </w:rPr>
            </m:ctrlPr>
          </m:sSubPr>
          <m:e>
            <m:r>
              <w:rPr>
                <w:rFonts w:ascii="Cambria Math" w:hAnsi="Cambria Math"/>
              </w:rPr>
              <m:t>y</m:t>
            </m:r>
          </m:e>
          <m:sub>
            <m:r>
              <w:rPr>
                <w:rFonts w:ascii="Cambria Math" w:hAnsi="Cambria Math"/>
              </w:rPr>
              <m:t>LM</m:t>
            </m:r>
          </m:sub>
        </m:sSub>
      </m:oMath>
      <w:r w:rsidR="00CB5688" w:rsidRPr="00A14FC2">
        <w:t xml:space="preserve"> </w:t>
      </w:r>
      <w:r w:rsidRPr="00A14FC2">
        <w:t>the</w:t>
      </w:r>
      <w:r w:rsidR="00CA01B4" w:rsidRPr="00A14FC2">
        <w:t xml:space="preserve"> </w:t>
      </w:r>
      <w:r w:rsidRPr="00A14FC2">
        <w:t xml:space="preserve">logarithmic mean driving force. </w:t>
      </w:r>
      <w:r w:rsidR="00B256EB" w:rsidRPr="00A14FC2">
        <w:t>Consistent with the absorption efficiency analysis</w:t>
      </w:r>
      <w:r w:rsidR="00982069" w:rsidRPr="00A14FC2">
        <w:t>,</w:t>
      </w:r>
      <w:r w:rsidR="00B256EB" w:rsidRPr="00A14FC2">
        <w:t xml:space="preserve"> a</w:t>
      </w:r>
      <w:r w:rsidR="00CB5688" w:rsidRPr="00A14FC2">
        <w:t xml:space="preserve"> completely mixed model is used to describe the liquid in the contact section</w:t>
      </w:r>
      <w:r w:rsidR="00982069" w:rsidRPr="00A14FC2">
        <w:t>,</w:t>
      </w:r>
      <w:r w:rsidR="00214EAD" w:rsidRPr="00A14FC2">
        <w:t xml:space="preserve"> </w:t>
      </w:r>
      <w:r w:rsidR="00B256EB" w:rsidRPr="00A14FC2">
        <w:t>and</w:t>
      </w:r>
      <w:r w:rsidRPr="00A14FC2">
        <w:t xml:space="preserve"> liquid in the</w:t>
      </w:r>
      <w:r w:rsidR="00CA01B4" w:rsidRPr="00A14FC2">
        <w:t xml:space="preserve"> </w:t>
      </w:r>
      <w:r w:rsidRPr="00A14FC2">
        <w:t xml:space="preserve">tank is considered </w:t>
      </w:r>
      <w:r w:rsidR="00086CC1" w:rsidRPr="00A14FC2">
        <w:t>well</w:t>
      </w:r>
      <w:r w:rsidRPr="00A14FC2">
        <w:t xml:space="preserve"> mixed.</w:t>
      </w:r>
    </w:p>
    <w:p w14:paraId="091442BE" w14:textId="629AF208" w:rsidR="009C1885" w:rsidRPr="00A14FC2" w:rsidRDefault="00982069" w:rsidP="009C1885">
      <w:pPr>
        <w:pStyle w:val="CETBodytext"/>
        <w:tabs>
          <w:tab w:val="clear" w:pos="7100"/>
          <w:tab w:val="left" w:pos="850"/>
        </w:tabs>
      </w:pPr>
      <w:r w:rsidRPr="00A14FC2">
        <w:t xml:space="preserve">The </w:t>
      </w:r>
      <w:r w:rsidR="00E32EBE" w:rsidRPr="00A14FC2">
        <w:t>trends</w:t>
      </w:r>
      <w:r w:rsidRPr="00A14FC2">
        <w:t xml:space="preserve"> of</w:t>
      </w:r>
      <w:r w:rsidR="00E32EBE" w:rsidRPr="00A14FC2">
        <w:t xml:space="preserve"> </w:t>
      </w:r>
      <m:oMath>
        <m:sSub>
          <m:sSubPr>
            <m:ctrlPr>
              <w:rPr>
                <w:rFonts w:ascii="Cambria Math" w:hAnsi="Cambria Math"/>
                <w:i/>
              </w:rPr>
            </m:ctrlPr>
          </m:sSubPr>
          <m:e>
            <m:r>
              <w:rPr>
                <w:rFonts w:ascii="Cambria Math" w:hAnsi="Cambria Math"/>
              </w:rPr>
              <m:t>K</m:t>
            </m:r>
          </m:e>
          <m:sub>
            <m:r>
              <w:rPr>
                <w:rFonts w:ascii="Cambria Math" w:hAnsi="Cambria Math"/>
              </w:rPr>
              <m:t>OY</m:t>
            </m:r>
          </m:sub>
        </m:sSub>
        <m:r>
          <w:rPr>
            <w:rFonts w:ascii="Cambria Math" w:hAnsi="Cambria Math"/>
          </w:rPr>
          <m:t xml:space="preserve">A </m:t>
        </m:r>
      </m:oMath>
      <w:r w:rsidR="009C1885" w:rsidRPr="00A14FC2">
        <w:t xml:space="preserve">as a function of the </w:t>
      </w:r>
      <w:r w:rsidR="00E1388B" w:rsidRPr="00A14FC2">
        <w:t xml:space="preserve">F-factor </w:t>
      </w:r>
      <w:r w:rsidR="009C1885" w:rsidRPr="00A14FC2">
        <w:t>for different liquid flow rates are shown</w:t>
      </w:r>
      <w:r w:rsidR="00E1388B" w:rsidRPr="00A14FC2">
        <w:t xml:space="preserve"> in</w:t>
      </w:r>
      <w:r w:rsidR="009C1885" w:rsidRPr="00A14FC2">
        <w:t xml:space="preserve"> Figure </w:t>
      </w:r>
      <w:r w:rsidR="00E32EBE" w:rsidRPr="00A14FC2">
        <w:t>2 (right)</w:t>
      </w:r>
      <w:r w:rsidR="009C1885" w:rsidRPr="00A14FC2">
        <w:t>.</w:t>
      </w:r>
      <w:r w:rsidR="004E572E" w:rsidRPr="00A14FC2">
        <w:t xml:space="preserve"> </w:t>
      </w:r>
      <w:r w:rsidR="009C1885" w:rsidRPr="00A14FC2">
        <w:t>The results show that</w:t>
      </w:r>
      <w:r w:rsidR="00184492" w:rsidRPr="00A14FC2">
        <w:t xml:space="preserve"> </w:t>
      </w:r>
      <m:oMath>
        <m:sSub>
          <m:sSubPr>
            <m:ctrlPr>
              <w:rPr>
                <w:rFonts w:ascii="Cambria Math" w:hAnsi="Cambria Math"/>
                <w:i/>
              </w:rPr>
            </m:ctrlPr>
          </m:sSubPr>
          <m:e>
            <m:r>
              <w:rPr>
                <w:rFonts w:ascii="Cambria Math" w:hAnsi="Cambria Math"/>
              </w:rPr>
              <m:t>K</m:t>
            </m:r>
          </m:e>
          <m:sub>
            <m:r>
              <w:rPr>
                <w:rFonts w:ascii="Cambria Math" w:hAnsi="Cambria Math"/>
              </w:rPr>
              <m:t>OY</m:t>
            </m:r>
          </m:sub>
        </m:sSub>
        <m:r>
          <w:rPr>
            <w:rFonts w:ascii="Cambria Math" w:hAnsi="Cambria Math"/>
          </w:rPr>
          <m:t>A</m:t>
        </m:r>
      </m:oMath>
      <w:r w:rsidR="009C1885" w:rsidRPr="00A14FC2">
        <w:t xml:space="preserve"> experiences a significant</w:t>
      </w:r>
      <w:r w:rsidR="004E572E" w:rsidRPr="00A14FC2">
        <w:t xml:space="preserve"> </w:t>
      </w:r>
      <w:r w:rsidR="009C1885" w:rsidRPr="00A14FC2">
        <w:t xml:space="preserve">increase with </w:t>
      </w:r>
      <w:r w:rsidRPr="00A14FC2">
        <w:t xml:space="preserve">higher </w:t>
      </w:r>
      <w:r w:rsidR="009C1885" w:rsidRPr="00A14FC2">
        <w:t>liquid flow rates, indicating the degree of</w:t>
      </w:r>
      <w:r w:rsidR="004E572E" w:rsidRPr="00A14FC2">
        <w:t xml:space="preserve"> </w:t>
      </w:r>
      <w:r w:rsidR="009C1885" w:rsidRPr="00A14FC2">
        <w:t>increase in absorption surface area</w:t>
      </w:r>
      <w:r w:rsidR="00D252D4" w:rsidRPr="00A14FC2">
        <w:t xml:space="preserve"> in the contact zone</w:t>
      </w:r>
      <w:r w:rsidR="005615EE" w:rsidRPr="00A14FC2">
        <w:t xml:space="preserve">. </w:t>
      </w:r>
      <w:r w:rsidR="00184492" w:rsidRPr="00A14FC2">
        <w:t xml:space="preserve">The </w:t>
      </w:r>
      <m:oMath>
        <m:sSub>
          <m:sSubPr>
            <m:ctrlPr>
              <w:rPr>
                <w:rFonts w:ascii="Cambria Math" w:hAnsi="Cambria Math"/>
                <w:i/>
              </w:rPr>
            </m:ctrlPr>
          </m:sSubPr>
          <m:e>
            <m:r>
              <w:rPr>
                <w:rFonts w:ascii="Cambria Math" w:hAnsi="Cambria Math"/>
              </w:rPr>
              <m:t>K</m:t>
            </m:r>
          </m:e>
          <m:sub>
            <m:r>
              <w:rPr>
                <w:rFonts w:ascii="Cambria Math" w:hAnsi="Cambria Math"/>
              </w:rPr>
              <m:t>OY</m:t>
            </m:r>
          </m:sub>
        </m:sSub>
        <m:r>
          <w:rPr>
            <w:rFonts w:ascii="Cambria Math" w:hAnsi="Cambria Math"/>
          </w:rPr>
          <m:t>A</m:t>
        </m:r>
      </m:oMath>
      <w:r w:rsidR="00184492" w:rsidRPr="00A14FC2">
        <w:t xml:space="preserve"> values for butyl acetate were significantly lower than those for isopropanol under comparable operating conditions. This result is consistent with expectations and is primarily attributable to the lower water solubility of BA. The lower solubility </w:t>
      </w:r>
      <w:r w:rsidRPr="00A14FC2">
        <w:t>leads to</w:t>
      </w:r>
      <w:r w:rsidR="00184492" w:rsidRPr="00A14FC2">
        <w:t xml:space="preserve"> a decrease in the overall mass transfer coefficient, which includes mass transfer resistances in both the liquid and gas phases. Specifically, the lower solubility of BA in water limits its diffusion and subsequent transfer across phase boundaries.</w:t>
      </w:r>
    </w:p>
    <w:p w14:paraId="5DEE095B" w14:textId="77777777" w:rsidR="00E61EDC" w:rsidRPr="00A14FC2" w:rsidRDefault="00E61EDC" w:rsidP="00E61EDC">
      <w:pPr>
        <w:pStyle w:val="CETBodytext"/>
        <w:tabs>
          <w:tab w:val="clear" w:pos="7100"/>
          <w:tab w:val="left" w:pos="850"/>
        </w:tabs>
      </w:pPr>
    </w:p>
    <w:p w14:paraId="7949AC3F" w14:textId="0CF9E192" w:rsidR="00A52FFF" w:rsidRPr="00A14FC2" w:rsidRDefault="00DA7596" w:rsidP="00DA7596">
      <w:pPr>
        <w:pStyle w:val="CETBodytext"/>
        <w:tabs>
          <w:tab w:val="clear" w:pos="7100"/>
          <w:tab w:val="left" w:pos="850"/>
        </w:tabs>
      </w:pPr>
      <w:r w:rsidRPr="00A14FC2">
        <w:rPr>
          <w:noProof/>
        </w:rPr>
        <w:drawing>
          <wp:inline distT="0" distB="0" distL="0" distR="0" wp14:anchorId="7881B5D9" wp14:editId="4006C4D2">
            <wp:extent cx="5400000" cy="2096825"/>
            <wp:effectExtent l="0" t="0" r="0" b="0"/>
            <wp:docPr id="435779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0" cy="2096825"/>
                    </a:xfrm>
                    <a:prstGeom prst="rect">
                      <a:avLst/>
                    </a:prstGeom>
                    <a:noFill/>
                    <a:ln>
                      <a:noFill/>
                    </a:ln>
                  </pic:spPr>
                </pic:pic>
              </a:graphicData>
            </a:graphic>
          </wp:inline>
        </w:drawing>
      </w:r>
    </w:p>
    <w:p w14:paraId="1AE9A725" w14:textId="4FD736DF" w:rsidR="00CA7D8C" w:rsidRPr="00A14FC2" w:rsidRDefault="00A52FFF" w:rsidP="00A52FFF">
      <w:pPr>
        <w:pStyle w:val="Caption"/>
        <w:rPr>
          <w:b w:val="0"/>
          <w:bCs w:val="0"/>
          <w:i/>
          <w:iCs/>
          <w:color w:val="auto"/>
        </w:rPr>
      </w:pPr>
      <w:r w:rsidRPr="00A14FC2">
        <w:rPr>
          <w:b w:val="0"/>
          <w:bCs w:val="0"/>
          <w:i/>
          <w:iCs/>
          <w:color w:val="auto"/>
        </w:rPr>
        <w:t xml:space="preserve">Figure </w:t>
      </w:r>
      <w:r w:rsidRPr="00A14FC2">
        <w:rPr>
          <w:b w:val="0"/>
          <w:bCs w:val="0"/>
          <w:i/>
          <w:iCs/>
          <w:color w:val="auto"/>
        </w:rPr>
        <w:fldChar w:fldCharType="begin"/>
      </w:r>
      <w:r w:rsidRPr="00A14FC2">
        <w:rPr>
          <w:b w:val="0"/>
          <w:bCs w:val="0"/>
          <w:i/>
          <w:iCs/>
          <w:color w:val="auto"/>
        </w:rPr>
        <w:instrText xml:space="preserve"> SEQ Figure \* ARABIC </w:instrText>
      </w:r>
      <w:r w:rsidRPr="00A14FC2">
        <w:rPr>
          <w:b w:val="0"/>
          <w:bCs w:val="0"/>
          <w:i/>
          <w:iCs/>
          <w:color w:val="auto"/>
        </w:rPr>
        <w:fldChar w:fldCharType="separate"/>
      </w:r>
      <w:r w:rsidR="00CB0E05" w:rsidRPr="00A14FC2">
        <w:rPr>
          <w:b w:val="0"/>
          <w:bCs w:val="0"/>
          <w:i/>
          <w:iCs/>
          <w:noProof/>
          <w:color w:val="auto"/>
        </w:rPr>
        <w:t>2</w:t>
      </w:r>
      <w:r w:rsidRPr="00A14FC2">
        <w:rPr>
          <w:b w:val="0"/>
          <w:bCs w:val="0"/>
          <w:i/>
          <w:iCs/>
          <w:color w:val="auto"/>
        </w:rPr>
        <w:fldChar w:fldCharType="end"/>
      </w:r>
      <w:r w:rsidRPr="00A14FC2">
        <w:rPr>
          <w:b w:val="0"/>
          <w:bCs w:val="0"/>
          <w:i/>
          <w:iCs/>
          <w:color w:val="auto"/>
        </w:rPr>
        <w:t xml:space="preserve">: </w:t>
      </w:r>
      <w:r w:rsidR="00DB48EB" w:rsidRPr="00A14FC2">
        <w:rPr>
          <w:b w:val="0"/>
          <w:bCs w:val="0"/>
          <w:i/>
          <w:iCs/>
          <w:color w:val="auto"/>
        </w:rPr>
        <w:t>Mass transfer performance results (left: absorption efficiency, right: mass transfer coefficient).</w:t>
      </w:r>
    </w:p>
    <w:p w14:paraId="6ED44B65" w14:textId="77777777" w:rsidR="003341D7" w:rsidRPr="00A14FC2" w:rsidRDefault="003341D7" w:rsidP="003341D7"/>
    <w:p w14:paraId="0E103F34" w14:textId="5060806E" w:rsidR="00DF2BDE" w:rsidRPr="00A14FC2" w:rsidRDefault="006B4921" w:rsidP="00060440">
      <w:pPr>
        <w:pStyle w:val="CETBodytext"/>
        <w:tabs>
          <w:tab w:val="left" w:pos="850"/>
        </w:tabs>
      </w:pPr>
      <w:r w:rsidRPr="00A14FC2">
        <w:t xml:space="preserve">The measurement </w:t>
      </w:r>
      <w:r w:rsidR="003A5BFC" w:rsidRPr="00A14FC2">
        <w:t xml:space="preserve">of the gas pressure drop allowed </w:t>
      </w:r>
      <w:r w:rsidRPr="00A14FC2">
        <w:t xml:space="preserve">for </w:t>
      </w:r>
      <w:r w:rsidR="003A5BFC" w:rsidRPr="00A14FC2">
        <w:t>the definition of the scrubber operating window; results are shown in Figure 3</w:t>
      </w:r>
      <w:r w:rsidR="00575B3F" w:rsidRPr="00A14FC2">
        <w:t xml:space="preserve"> (left)</w:t>
      </w:r>
      <w:r w:rsidR="003A5BFC" w:rsidRPr="00A14FC2">
        <w:t xml:space="preserve">. Values are shown as </w:t>
      </w:r>
      <w:r w:rsidR="00575B3F" w:rsidRPr="00A14FC2">
        <w:t>a function</w:t>
      </w:r>
      <w:r w:rsidR="003A5BFC" w:rsidRPr="00A14FC2">
        <w:t xml:space="preserve"> of the F-</w:t>
      </w:r>
      <w:r w:rsidR="00394352" w:rsidRPr="00A14FC2">
        <w:t>factor</w:t>
      </w:r>
      <w:r w:rsidR="003A5BFC" w:rsidRPr="00A14FC2">
        <w:t xml:space="preserve"> and for different liquid flow rates. As expected, the pressure drops increase with the liquid flow rate. While for the same value of liquid flow rate, higher </w:t>
      </w:r>
      <w:r w:rsidR="00575B3F" w:rsidRPr="00A14FC2">
        <w:t>F-factors</w:t>
      </w:r>
      <w:r w:rsidR="003A5BFC" w:rsidRPr="00A14FC2">
        <w:t xml:space="preserve">, corresponding to </w:t>
      </w:r>
      <w:r w:rsidR="00575B3F" w:rsidRPr="00A14FC2">
        <w:t>higher</w:t>
      </w:r>
      <w:r w:rsidR="003A5BFC" w:rsidRPr="00A14FC2">
        <w:t xml:space="preserve"> gas flow rates</w:t>
      </w:r>
      <w:r w:rsidR="00F05323" w:rsidRPr="00A14FC2">
        <w:t xml:space="preserve"> result in greater pressure drops</w:t>
      </w:r>
      <w:r w:rsidR="003A5BFC" w:rsidRPr="00A14FC2">
        <w:t>.</w:t>
      </w:r>
      <w:r w:rsidR="00DF2BDE" w:rsidRPr="00A14FC2">
        <w:t xml:space="preserve"> Interestingly, the proposed compact scrubber shows lower pressure drops compared to static mixer solutions commonly used in industrial applications (</w:t>
      </w:r>
      <w:proofErr w:type="spellStart"/>
      <w:r w:rsidR="00DF2BDE" w:rsidRPr="00A14FC2">
        <w:t>Couvert</w:t>
      </w:r>
      <w:proofErr w:type="spellEnd"/>
      <w:r w:rsidR="00DF2BDE" w:rsidRPr="00A14FC2">
        <w:t xml:space="preserve">, 2008). </w:t>
      </w:r>
      <w:r w:rsidR="00060440" w:rsidRPr="00A14FC2">
        <w:t xml:space="preserve">The major contribution to pressure drop is from the liquid jet. However, </w:t>
      </w:r>
      <w:r w:rsidR="00060440" w:rsidRPr="00A14FC2">
        <w:lastRenderedPageBreak/>
        <w:t xml:space="preserve">given the limited size of the contact zone, the pressure drops are limited. </w:t>
      </w:r>
      <w:r w:rsidR="00143E74" w:rsidRPr="00A14FC2">
        <w:t>This</w:t>
      </w:r>
      <w:r w:rsidR="00DF2BDE" w:rsidRPr="00A14FC2">
        <w:t xml:space="preserve"> difference is mainly due to the main feature of the scrubber, since there is no impeding</w:t>
      </w:r>
      <w:r w:rsidR="00B23415" w:rsidRPr="00A14FC2">
        <w:t xml:space="preserve"> to</w:t>
      </w:r>
      <w:r w:rsidR="00DF2BDE" w:rsidRPr="00A14FC2">
        <w:t xml:space="preserve"> the gas flow except crossing the liquid jet.</w:t>
      </w:r>
    </w:p>
    <w:p w14:paraId="533725E8" w14:textId="48869A6B" w:rsidR="003341D7" w:rsidRPr="00A14FC2" w:rsidRDefault="003A5BFC" w:rsidP="00ED64AA">
      <w:pPr>
        <w:pStyle w:val="CETBodytext"/>
        <w:tabs>
          <w:tab w:val="clear" w:pos="7100"/>
          <w:tab w:val="left" w:pos="850"/>
        </w:tabs>
      </w:pPr>
      <w:r w:rsidRPr="00A14FC2">
        <w:t xml:space="preserve">During pressure drop tests, it was found that </w:t>
      </w:r>
      <w:r w:rsidR="00ED64AA" w:rsidRPr="00A14FC2">
        <w:t xml:space="preserve">for high </w:t>
      </w:r>
      <w:r w:rsidRPr="00A14FC2">
        <w:t xml:space="preserve">liquid flow </w:t>
      </w:r>
      <w:r w:rsidR="00ED64AA" w:rsidRPr="00A14FC2">
        <w:t xml:space="preserve">rates </w:t>
      </w:r>
      <w:r w:rsidRPr="00A14FC2">
        <w:t xml:space="preserve">and </w:t>
      </w:r>
      <w:r w:rsidR="00ED64AA" w:rsidRPr="00A14FC2">
        <w:t xml:space="preserve">reduced </w:t>
      </w:r>
      <w:r w:rsidRPr="00A14FC2">
        <w:t>gas flow rate</w:t>
      </w:r>
      <w:r w:rsidR="00ED64AA" w:rsidRPr="00A14FC2">
        <w:t>s</w:t>
      </w:r>
      <w:r w:rsidRPr="00A14FC2">
        <w:t xml:space="preserve">, the system enters a pulsed operating </w:t>
      </w:r>
      <w:r w:rsidR="00AA181A">
        <w:t>mode</w:t>
      </w:r>
      <w:r w:rsidRPr="00A14FC2">
        <w:t xml:space="preserve">. In this regime the liquid tends to accumulate at the top of the jet and, when critical condition is reached, the liquid piston is discharged. This condition happens cyclically and can cause mechanical </w:t>
      </w:r>
      <w:r w:rsidR="00F02882" w:rsidRPr="00A14FC2">
        <w:t xml:space="preserve">problems. </w:t>
      </w:r>
    </w:p>
    <w:p w14:paraId="32AD0538" w14:textId="77777777" w:rsidR="00644179" w:rsidRPr="00A14FC2" w:rsidRDefault="00644179" w:rsidP="00ED64AA">
      <w:pPr>
        <w:pStyle w:val="CETBodytext"/>
        <w:tabs>
          <w:tab w:val="clear" w:pos="7100"/>
          <w:tab w:val="left" w:pos="850"/>
        </w:tabs>
      </w:pPr>
    </w:p>
    <w:p w14:paraId="38B8953A" w14:textId="63DB91B7" w:rsidR="00A52FFF" w:rsidRPr="00A14FC2" w:rsidRDefault="00644179" w:rsidP="00CF4696">
      <w:pPr>
        <w:pStyle w:val="CETBodytext"/>
        <w:tabs>
          <w:tab w:val="clear" w:pos="7100"/>
          <w:tab w:val="left" w:pos="850"/>
        </w:tabs>
      </w:pPr>
      <w:r w:rsidRPr="00A14FC2">
        <w:rPr>
          <w:noProof/>
        </w:rPr>
        <w:drawing>
          <wp:inline distT="0" distB="0" distL="0" distR="0" wp14:anchorId="62D7ED22" wp14:editId="1638FADC">
            <wp:extent cx="5579745" cy="2176780"/>
            <wp:effectExtent l="0" t="0" r="1905" b="0"/>
            <wp:docPr id="1606608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9745" cy="2176780"/>
                    </a:xfrm>
                    <a:prstGeom prst="rect">
                      <a:avLst/>
                    </a:prstGeom>
                    <a:noFill/>
                    <a:ln>
                      <a:noFill/>
                    </a:ln>
                  </pic:spPr>
                </pic:pic>
              </a:graphicData>
            </a:graphic>
          </wp:inline>
        </w:drawing>
      </w:r>
    </w:p>
    <w:p w14:paraId="61A174A7" w14:textId="5F5E9FEC" w:rsidR="00CA7D8C" w:rsidRPr="00A14FC2" w:rsidRDefault="00A52FFF" w:rsidP="00A52FFF">
      <w:pPr>
        <w:pStyle w:val="Caption"/>
        <w:rPr>
          <w:b w:val="0"/>
          <w:bCs w:val="0"/>
          <w:i/>
          <w:iCs/>
          <w:color w:val="auto"/>
        </w:rPr>
      </w:pPr>
      <w:r w:rsidRPr="00A14FC2">
        <w:rPr>
          <w:b w:val="0"/>
          <w:bCs w:val="0"/>
          <w:i/>
          <w:iCs/>
          <w:color w:val="auto"/>
        </w:rPr>
        <w:t xml:space="preserve">Figure </w:t>
      </w:r>
      <w:r w:rsidRPr="00A14FC2">
        <w:rPr>
          <w:b w:val="0"/>
          <w:bCs w:val="0"/>
          <w:i/>
          <w:iCs/>
          <w:color w:val="auto"/>
        </w:rPr>
        <w:fldChar w:fldCharType="begin"/>
      </w:r>
      <w:r w:rsidRPr="00A14FC2">
        <w:rPr>
          <w:b w:val="0"/>
          <w:bCs w:val="0"/>
          <w:i/>
          <w:iCs/>
          <w:color w:val="auto"/>
        </w:rPr>
        <w:instrText xml:space="preserve"> SEQ Figure \* ARABIC </w:instrText>
      </w:r>
      <w:r w:rsidRPr="00A14FC2">
        <w:rPr>
          <w:b w:val="0"/>
          <w:bCs w:val="0"/>
          <w:i/>
          <w:iCs/>
          <w:color w:val="auto"/>
        </w:rPr>
        <w:fldChar w:fldCharType="separate"/>
      </w:r>
      <w:r w:rsidR="00CB0E05" w:rsidRPr="00A14FC2">
        <w:rPr>
          <w:b w:val="0"/>
          <w:bCs w:val="0"/>
          <w:i/>
          <w:iCs/>
          <w:noProof/>
          <w:color w:val="auto"/>
        </w:rPr>
        <w:t>3</w:t>
      </w:r>
      <w:r w:rsidRPr="00A14FC2">
        <w:rPr>
          <w:b w:val="0"/>
          <w:bCs w:val="0"/>
          <w:i/>
          <w:iCs/>
          <w:color w:val="auto"/>
        </w:rPr>
        <w:fldChar w:fldCharType="end"/>
      </w:r>
      <w:r w:rsidRPr="00A14FC2">
        <w:rPr>
          <w:b w:val="0"/>
          <w:bCs w:val="0"/>
          <w:i/>
          <w:iCs/>
          <w:color w:val="auto"/>
        </w:rPr>
        <w:t>:</w:t>
      </w:r>
      <w:r w:rsidR="007F1CB2" w:rsidRPr="00A14FC2">
        <w:rPr>
          <w:b w:val="0"/>
          <w:bCs w:val="0"/>
          <w:i/>
          <w:iCs/>
          <w:color w:val="auto"/>
        </w:rPr>
        <w:t xml:space="preserve"> Pressure drops test results (left: pressure drops, right: ratio between absorption efficiency and gas power loss)</w:t>
      </w:r>
    </w:p>
    <w:p w14:paraId="5540F592" w14:textId="77777777" w:rsidR="007F1CB2" w:rsidRPr="00A14FC2" w:rsidRDefault="007F1CB2" w:rsidP="007F1CB2"/>
    <w:p w14:paraId="1AEC07B7" w14:textId="411AAB09" w:rsidR="00DC7FC2" w:rsidRPr="00A14FC2" w:rsidRDefault="00DC7FC2" w:rsidP="00DC7FC2">
      <w:r w:rsidRPr="00A14FC2">
        <w:t>The power dissipated by the gas in passing through the liquid jet can be expressed as the product between the gas volumetric flow rate and the pressure drop experienced by the gas passing through the liquid jet</w:t>
      </w:r>
      <w:r w:rsidR="00B37357" w:rsidRPr="00A14FC2">
        <w:t xml:space="preserve"> (</w:t>
      </w:r>
      <m:oMath>
        <m:r>
          <m:rPr>
            <m:sty m:val="p"/>
          </m:rPr>
          <w:rPr>
            <w:rFonts w:ascii="Cambria Math" w:hAnsi="Cambria Math"/>
          </w:rPr>
          <m:t>Δ</m:t>
        </m:r>
        <m:r>
          <w:rPr>
            <w:rFonts w:ascii="Cambria Math" w:hAnsi="Cambria Math"/>
          </w:rPr>
          <m:t>p</m:t>
        </m:r>
      </m:oMath>
      <w:r w:rsidR="00B37357" w:rsidRPr="00A14FC2">
        <w:t>)</w:t>
      </w:r>
      <w:r w:rsidR="00A40775" w:rsidRPr="00A14FC2">
        <w:t>.</w:t>
      </w:r>
    </w:p>
    <w:p w14:paraId="77BFDE78" w14:textId="77777777" w:rsidR="00015765" w:rsidRPr="00A14FC2" w:rsidRDefault="00015765" w:rsidP="00DC7FC2"/>
    <w:p w14:paraId="5C98E819" w14:textId="2213B411" w:rsidR="00015765" w:rsidRPr="00A14FC2" w:rsidRDefault="00000000" w:rsidP="00DC7FC2">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P</m:t>
                  </m:r>
                </m:e>
                <m:sub>
                  <m:r>
                    <w:rPr>
                      <w:rFonts w:ascii="Cambria Math" w:hAnsi="Cambria Math"/>
                    </w:rPr>
                    <m:t>gas</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V</m:t>
                  </m:r>
                </m:sub>
              </m:sSub>
              <m:r>
                <w:rPr>
                  <w:rFonts w:ascii="Cambria Math" w:hAnsi="Cambria Math"/>
                </w:rPr>
                <m:t>⋅</m:t>
              </m:r>
              <m:r>
                <m:rPr>
                  <m:sty m:val="p"/>
                </m:rPr>
                <w:rPr>
                  <w:rFonts w:ascii="Cambria Math" w:hAnsi="Cambria Math"/>
                </w:rPr>
                <m:t>Δ</m:t>
              </m:r>
              <m:r>
                <w:rPr>
                  <w:rFonts w:ascii="Cambria Math" w:hAnsi="Cambria Math"/>
                </w:rPr>
                <m:t>p#</m:t>
              </m:r>
              <m:d>
                <m:dPr>
                  <m:ctrlPr>
                    <w:rPr>
                      <w:rFonts w:ascii="Cambria Math" w:hAnsi="Cambria Math"/>
                      <w:i/>
                    </w:rPr>
                  </m:ctrlPr>
                </m:dPr>
                <m:e>
                  <m:r>
                    <w:rPr>
                      <w:rFonts w:ascii="Cambria Math" w:hAnsi="Cambria Math"/>
                    </w:rPr>
                    <m:t>6</m:t>
                  </m:r>
                </m:e>
              </m:d>
            </m:e>
          </m:eqArr>
        </m:oMath>
      </m:oMathPara>
    </w:p>
    <w:p w14:paraId="172EA320" w14:textId="77777777" w:rsidR="00015765" w:rsidRPr="00A14FC2" w:rsidRDefault="00015765" w:rsidP="00DC7FC2"/>
    <w:p w14:paraId="78C2583E" w14:textId="1451FC4E" w:rsidR="00C30ECE" w:rsidRPr="00A14FC2" w:rsidRDefault="00875C89" w:rsidP="00C30ECE">
      <w:r w:rsidRPr="00A14FC2">
        <w:t>As expressed in equation (6), the power dissipated in the system is directly proportional to the gas flow rate and the pressure drop, which in turn is affected by both the gas and liquid flow rates. Figure 3 (right) illustrates the relationship between scrubbing efficiency per unit of power and the F-factor. Notably, the data for both test systems converge on a single curve under all experimental conditions. This convergence demonstrates that the absorption efficiency per unit power has a consistent proportional dependence on the gas flow rate, regardless of the specific system configuration or test conditions. This observation suggests a fundamental principle governing scrubber operation, with significant implications for design optimization. By integrating this trend with additional data on pressure drop and operating gas flow rates, a more complete understanding of scrubber performance can be achieved. This insight facilitates the development of advanced design and operation strategies aimed at maximizing the efficiency of compact scrubbers for enhanced removal of gaseous pollutants.</w:t>
      </w:r>
    </w:p>
    <w:p w14:paraId="68D26B83" w14:textId="77777777" w:rsidR="00600535" w:rsidRPr="00A14FC2" w:rsidRDefault="00600535" w:rsidP="00600535">
      <w:pPr>
        <w:pStyle w:val="CETHeading1"/>
      </w:pPr>
      <w:r w:rsidRPr="00A14FC2">
        <w:t>Conclusions</w:t>
      </w:r>
    </w:p>
    <w:p w14:paraId="7438743C" w14:textId="34FA2C49" w:rsidR="00675F80" w:rsidRPr="00A14FC2" w:rsidRDefault="00D76A9D" w:rsidP="00675F80">
      <w:pPr>
        <w:pStyle w:val="CETBodytext"/>
      </w:pPr>
      <w:r w:rsidRPr="00A14FC2">
        <w:t xml:space="preserve">This study investigates a compact scrubber with the goal of establishing optimized design criteria for this technology, focusing on pollutant removal performance. In order to define the operating ranges of the equipment and to improve the mass transfer efficiency, an experimental setup was designed and constructed. </w:t>
      </w:r>
      <w:r w:rsidR="00675F80" w:rsidRPr="00A14FC2">
        <w:t>Fluid dynamic characterization was performed by measuring the gas pressure drop across the liquid jet</w:t>
      </w:r>
      <w:r w:rsidR="000E2989" w:rsidRPr="00A14FC2">
        <w:t xml:space="preserve"> </w:t>
      </w:r>
      <w:r w:rsidR="000E2989" w:rsidRPr="00A14FC2">
        <w:rPr>
          <w:lang w:val="en-GB"/>
        </w:rPr>
        <w:t>and by visual inspection of the jet</w:t>
      </w:r>
      <w:r w:rsidR="00675F80" w:rsidRPr="00A14FC2">
        <w:t xml:space="preserve">. The experimental results showed that the pressure drops increased with higher gas and liquid flow rates. </w:t>
      </w:r>
      <w:r w:rsidR="007725A1" w:rsidRPr="00A14FC2">
        <w:t xml:space="preserve">Pulsation in the system </w:t>
      </w:r>
      <w:r w:rsidR="00675F80" w:rsidRPr="00A14FC2">
        <w:t xml:space="preserve">was observed when the scrubber was operated at high liquid flow rates and low gas flow rates, which was attributed to </w:t>
      </w:r>
      <w:r w:rsidR="007725A1" w:rsidRPr="00A14FC2">
        <w:t>cyclic jet behavior</w:t>
      </w:r>
      <w:r w:rsidR="00675F80" w:rsidRPr="00A14FC2">
        <w:t>. Mass transfer tests were conducted using two different test systems to evaluate the absorption efficiencie</w:t>
      </w:r>
      <w:r w:rsidR="00F849BF" w:rsidRPr="00A14FC2">
        <w:t>s</w:t>
      </w:r>
      <w:r w:rsidR="00675F80" w:rsidRPr="00A14FC2">
        <w:t>. The experiments demonstrated high absorption efficiencies, with values up to 90% for highly soluble VOCs. The mass transfer within the jet was modeled, and the total mass transfer coefficients of the compact scrubber were determined. The results showed that the product of the total mass transfer coefficient and the interfacial area (</w:t>
      </w:r>
      <m:oMath>
        <m:sSub>
          <m:sSubPr>
            <m:ctrlPr>
              <w:rPr>
                <w:rFonts w:ascii="Cambria Math" w:hAnsi="Cambria Math"/>
                <w:i/>
              </w:rPr>
            </m:ctrlPr>
          </m:sSubPr>
          <m:e>
            <m:r>
              <w:rPr>
                <w:rFonts w:ascii="Cambria Math" w:hAnsi="Cambria Math"/>
              </w:rPr>
              <m:t>K</m:t>
            </m:r>
          </m:e>
          <m:sub>
            <m:r>
              <w:rPr>
                <w:rFonts w:ascii="Cambria Math" w:hAnsi="Cambria Math"/>
              </w:rPr>
              <m:t>OY</m:t>
            </m:r>
          </m:sub>
        </m:sSub>
        <m:r>
          <w:rPr>
            <w:rFonts w:ascii="Cambria Math" w:hAnsi="Cambria Math"/>
          </w:rPr>
          <m:t>A</m:t>
        </m:r>
      </m:oMath>
      <w:r w:rsidR="00675F80" w:rsidRPr="00A14FC2">
        <w:t xml:space="preserve">) increased with liquid </w:t>
      </w:r>
      <w:r w:rsidR="000978B0" w:rsidRPr="00A14FC2">
        <w:t xml:space="preserve">and </w:t>
      </w:r>
      <w:r w:rsidR="00675F80" w:rsidRPr="00A14FC2">
        <w:t>gas flow rate</w:t>
      </w:r>
      <w:r w:rsidR="000978B0" w:rsidRPr="00A14FC2">
        <w:t>s</w:t>
      </w:r>
      <w:r w:rsidR="00675F80" w:rsidRPr="00A14FC2">
        <w:t>.</w:t>
      </w:r>
    </w:p>
    <w:p w14:paraId="044505A6" w14:textId="02374F28" w:rsidR="00402D80" w:rsidRDefault="00F12E48" w:rsidP="00675F80">
      <w:pPr>
        <w:pStyle w:val="CETBodytext"/>
      </w:pPr>
      <w:r w:rsidRPr="00A14FC2">
        <w:t>This study highlight</w:t>
      </w:r>
      <w:r w:rsidR="00B23415" w:rsidRPr="00A14FC2">
        <w:t>s</w:t>
      </w:r>
      <w:r w:rsidRPr="00A14FC2">
        <w:t xml:space="preserve"> critical relationships that govern the performance of compact scrubbers. As shown by the data in Figure 3, the absorption efficiency per unit power exhibits a consistent proportional dependence on gas flow rate, regardless of system configuration or test conditions. This trend underscores a fundamental principle of scrubber operation with significant implications for design optimization. The critical role of gas pressure </w:t>
      </w:r>
      <w:r w:rsidR="002D5A28" w:rsidRPr="00A14FC2">
        <w:t>drops</w:t>
      </w:r>
      <w:r w:rsidRPr="00A14FC2">
        <w:t xml:space="preserve"> </w:t>
      </w:r>
      <w:r w:rsidRPr="00A14FC2">
        <w:lastRenderedPageBreak/>
        <w:t xml:space="preserve">across the liquid jet in influencing scrubbing efficiency further emphasizes the importance of optimizing the relationship between absorption efficiency per unit power and volumetric gas flow. </w:t>
      </w:r>
      <w:r w:rsidR="00875B14" w:rsidRPr="00875B14">
        <w:t>These findings not only provide a basis for mass transfer characterization, but also lead the way to the development of advanced design strategies. By integrating the observed trends with further studies of mass transfer mechanisms, compact scrubbers can be better designed</w:t>
      </w:r>
      <w:r w:rsidR="00293E57">
        <w:t xml:space="preserve"> </w:t>
      </w:r>
      <w:r w:rsidR="001571A9" w:rsidRPr="001571A9">
        <w:rPr>
          <w:lang w:val="en-GB"/>
        </w:rPr>
        <w:t>to maximize pollutant removal while minimizing energy consumption. This has direct implications for industrial applications, where enhanced scrubber efficiency can lead to lower operational costs, reduced environmental impact, and improved compliance with air quality regulations. Future research could focus on refining design parameters and exploring alternative liquid-gas configurations to further enhance performance and adaptability in diverse industrial settings</w:t>
      </w:r>
      <w:r w:rsidR="001571A9">
        <w:t>.</w:t>
      </w:r>
    </w:p>
    <w:p w14:paraId="07A6D20F" w14:textId="0ECF229E" w:rsidR="00280FAF" w:rsidRPr="00A14FC2" w:rsidRDefault="00280FAF" w:rsidP="00280FAF">
      <w:pPr>
        <w:pStyle w:val="CETHeadingxx"/>
        <w:sectPr w:rsidR="00280FAF" w:rsidRPr="00A14FC2" w:rsidSect="00DC73EE">
          <w:type w:val="continuous"/>
          <w:pgSz w:w="11906" w:h="16838" w:code="9"/>
          <w:pgMar w:top="1701" w:right="1418" w:bottom="1701" w:left="1701" w:header="1701" w:footer="0" w:gutter="0"/>
          <w:cols w:space="708"/>
          <w:formProt w:val="0"/>
          <w:titlePg/>
          <w:docGrid w:linePitch="360"/>
        </w:sectPr>
      </w:pPr>
      <w:r w:rsidRPr="00A14FC2">
        <w:t>Nomenclature</w:t>
      </w:r>
    </w:p>
    <w:p w14:paraId="25D52BD8" w14:textId="14898180" w:rsidR="00280FAF" w:rsidRPr="00A14FC2" w:rsidRDefault="003B36EE" w:rsidP="00280FAF">
      <w:pPr>
        <w:pStyle w:val="CETBodytext"/>
        <w:jc w:val="left"/>
        <w:rPr>
          <w:rFonts w:eastAsia="SimSun"/>
          <w:vertAlign w:val="superscript"/>
        </w:rPr>
      </w:pPr>
      <m:oMath>
        <m:r>
          <w:rPr>
            <w:rFonts w:ascii="Cambria Math" w:eastAsia="SimSun" w:hAnsi="Cambria Math"/>
          </w:rPr>
          <m:t>A</m:t>
        </m:r>
      </m:oMath>
      <w:r w:rsidR="00280FAF" w:rsidRPr="00A14FC2">
        <w:rPr>
          <w:rFonts w:eastAsia="SimSun"/>
        </w:rPr>
        <w:t xml:space="preserve"> –</w:t>
      </w:r>
      <w:r w:rsidRPr="00A14FC2">
        <w:rPr>
          <w:rFonts w:eastAsia="SimSun"/>
        </w:rPr>
        <w:t xml:space="preserve"> interfacial area</w:t>
      </w:r>
      <w:r w:rsidR="00280FAF" w:rsidRPr="00A14FC2">
        <w:rPr>
          <w:rFonts w:eastAsia="SimSun"/>
        </w:rPr>
        <w:t>, m</w:t>
      </w:r>
      <w:r w:rsidRPr="00A14FC2">
        <w:rPr>
          <w:rFonts w:eastAsia="SimSun"/>
          <w:vertAlign w:val="superscript"/>
        </w:rPr>
        <w:t>2</w:t>
      </w:r>
    </w:p>
    <w:p w14:paraId="0388641C" w14:textId="48113AC6" w:rsidR="00A61A04" w:rsidRPr="00A14FC2" w:rsidRDefault="00A61A04" w:rsidP="00280FAF">
      <w:pPr>
        <w:pStyle w:val="CETBodytext"/>
        <w:jc w:val="left"/>
        <w:rPr>
          <w:rFonts w:eastAsia="SimSun"/>
        </w:rPr>
      </w:pPr>
      <m:oMath>
        <m:r>
          <w:rPr>
            <w:rFonts w:ascii="Cambria Math" w:eastAsia="SimSun" w:hAnsi="Cambria Math"/>
          </w:rPr>
          <m:t>E</m:t>
        </m:r>
      </m:oMath>
      <w:r w:rsidRPr="00A14FC2">
        <w:rPr>
          <w:rFonts w:eastAsia="SimSun"/>
        </w:rPr>
        <w:t xml:space="preserve"> – entrainment, -</w:t>
      </w:r>
    </w:p>
    <w:p w14:paraId="0896F76E" w14:textId="229EEFE9" w:rsidR="00A61A04" w:rsidRPr="00A14FC2" w:rsidRDefault="00000000" w:rsidP="00280FAF">
      <w:pPr>
        <w:pStyle w:val="CETBodytext"/>
        <w:jc w:val="left"/>
        <w:rPr>
          <w:rFonts w:eastAsia="SimSun"/>
        </w:rPr>
      </w:pPr>
      <m:oMath>
        <m:sSub>
          <m:sSubPr>
            <m:ctrlPr>
              <w:rPr>
                <w:rFonts w:ascii="Cambria Math" w:eastAsia="SimSun" w:hAnsi="Cambria Math"/>
                <w:i/>
              </w:rPr>
            </m:ctrlPr>
          </m:sSubPr>
          <m:e>
            <m:r>
              <w:rPr>
                <w:rFonts w:ascii="Cambria Math" w:eastAsia="SimSun" w:hAnsi="Cambria Math"/>
              </w:rPr>
              <m:t>E</m:t>
            </m:r>
          </m:e>
          <m:sub>
            <m:r>
              <w:rPr>
                <w:rFonts w:ascii="Cambria Math" w:eastAsia="SimSun" w:hAnsi="Cambria Math"/>
              </w:rPr>
              <m:t>Y</m:t>
            </m:r>
          </m:sub>
        </m:sSub>
      </m:oMath>
      <w:r w:rsidR="00A61A04" w:rsidRPr="00A14FC2">
        <w:rPr>
          <w:rFonts w:eastAsia="SimSun"/>
        </w:rPr>
        <w:t xml:space="preserve"> – absorption efficiency, -</w:t>
      </w:r>
    </w:p>
    <w:p w14:paraId="250FD2C2" w14:textId="63764348" w:rsidR="00A61A04" w:rsidRPr="00A14FC2" w:rsidRDefault="00000000" w:rsidP="00280FAF">
      <w:pPr>
        <w:pStyle w:val="CETBodytext"/>
        <w:jc w:val="left"/>
        <w:rPr>
          <w:rFonts w:eastAsia="SimSun"/>
        </w:rPr>
      </w:pPr>
      <m:oMath>
        <m:sSub>
          <m:sSubPr>
            <m:ctrlPr>
              <w:rPr>
                <w:rFonts w:ascii="Cambria Math" w:eastAsia="SimSun" w:hAnsi="Cambria Math"/>
                <w:i/>
              </w:rPr>
            </m:ctrlPr>
          </m:sSubPr>
          <m:e>
            <m:r>
              <w:rPr>
                <w:rFonts w:ascii="Cambria Math" w:eastAsia="SimSun" w:hAnsi="Cambria Math"/>
              </w:rPr>
              <m:t>F</m:t>
            </m:r>
          </m:e>
          <m:sub>
            <m:r>
              <w:rPr>
                <w:rFonts w:ascii="Cambria Math" w:eastAsia="SimSun" w:hAnsi="Cambria Math"/>
              </w:rPr>
              <m:t>F</m:t>
            </m:r>
          </m:sub>
        </m:sSub>
      </m:oMath>
      <w:r w:rsidR="00A61A04" w:rsidRPr="00A14FC2">
        <w:rPr>
          <w:rFonts w:eastAsia="SimSun"/>
        </w:rPr>
        <w:t xml:space="preserve"> – F-factor, Pa</w:t>
      </w:r>
      <w:r w:rsidR="00A61A04" w:rsidRPr="00A14FC2">
        <w:rPr>
          <w:rFonts w:eastAsia="SimSun"/>
          <w:vertAlign w:val="superscript"/>
        </w:rPr>
        <w:t>0.5</w:t>
      </w:r>
    </w:p>
    <w:p w14:paraId="629A7748" w14:textId="040EA18F" w:rsidR="00A61A04" w:rsidRPr="00A14FC2" w:rsidRDefault="00A61A04" w:rsidP="00280FAF">
      <w:pPr>
        <w:pStyle w:val="CETBodytext"/>
        <w:jc w:val="left"/>
        <w:rPr>
          <w:rFonts w:eastAsia="SimSun"/>
        </w:rPr>
      </w:pPr>
      <m:oMath>
        <m:r>
          <w:rPr>
            <w:rFonts w:ascii="Cambria Math" w:eastAsia="SimSun" w:hAnsi="Cambria Math"/>
          </w:rPr>
          <m:t>g</m:t>
        </m:r>
      </m:oMath>
      <w:r w:rsidRPr="00A14FC2">
        <w:rPr>
          <w:rFonts w:eastAsia="SimSun"/>
        </w:rPr>
        <w:t xml:space="preserve"> – gravity acceleration, m/s</w:t>
      </w:r>
      <w:r w:rsidRPr="00A14FC2">
        <w:rPr>
          <w:rFonts w:eastAsia="SimSun"/>
          <w:vertAlign w:val="superscript"/>
        </w:rPr>
        <w:t>2</w:t>
      </w:r>
    </w:p>
    <w:p w14:paraId="50EDB875" w14:textId="77777777" w:rsidR="00A61A04" w:rsidRPr="00A14FC2" w:rsidRDefault="003B36EE" w:rsidP="00280FAF">
      <w:pPr>
        <w:pStyle w:val="CETBodytext"/>
        <w:jc w:val="left"/>
        <w:rPr>
          <w:rFonts w:eastAsia="SimSun"/>
        </w:rPr>
      </w:pPr>
      <m:oMath>
        <m:r>
          <w:rPr>
            <w:rFonts w:ascii="Cambria Math" w:eastAsia="SimSun" w:hAnsi="Cambria Math"/>
          </w:rPr>
          <m:t>G</m:t>
        </m:r>
      </m:oMath>
      <w:r w:rsidR="00280FAF" w:rsidRPr="00A14FC2">
        <w:rPr>
          <w:rFonts w:eastAsia="SimSun"/>
        </w:rPr>
        <w:t xml:space="preserve"> – </w:t>
      </w:r>
      <w:r w:rsidRPr="00A14FC2">
        <w:rPr>
          <w:rFonts w:eastAsia="SimSun"/>
        </w:rPr>
        <w:t>gas molar flowrate</w:t>
      </w:r>
      <w:r w:rsidR="00280FAF" w:rsidRPr="00A14FC2">
        <w:rPr>
          <w:rFonts w:eastAsia="SimSun"/>
        </w:rPr>
        <w:t xml:space="preserve">, </w:t>
      </w:r>
      <w:proofErr w:type="spellStart"/>
      <w:r w:rsidRPr="00A14FC2">
        <w:rPr>
          <w:rFonts w:eastAsia="SimSun"/>
        </w:rPr>
        <w:t>kmol</w:t>
      </w:r>
      <w:proofErr w:type="spellEnd"/>
      <w:r w:rsidRPr="00A14FC2">
        <w:rPr>
          <w:rFonts w:eastAsia="SimSun"/>
        </w:rPr>
        <w:t>/s</w:t>
      </w:r>
    </w:p>
    <w:p w14:paraId="77F39E7D" w14:textId="42B3EBE8" w:rsidR="00A61A04" w:rsidRDefault="00000000" w:rsidP="00280FAF">
      <w:pPr>
        <w:pStyle w:val="CETBodytext"/>
        <w:jc w:val="left"/>
        <w:rPr>
          <w:rFonts w:eastAsia="SimSun"/>
        </w:rPr>
      </w:pPr>
      <m:oMath>
        <m:sSub>
          <m:sSubPr>
            <m:ctrlPr>
              <w:rPr>
                <w:rFonts w:ascii="Cambria Math" w:eastAsia="SimSun" w:hAnsi="Cambria Math"/>
                <w:i/>
              </w:rPr>
            </m:ctrlPr>
          </m:sSubPr>
          <m:e>
            <m:r>
              <w:rPr>
                <w:rFonts w:ascii="Cambria Math" w:eastAsia="SimSun" w:hAnsi="Cambria Math"/>
              </w:rPr>
              <m:t>G</m:t>
            </m:r>
          </m:e>
          <m:sub>
            <m:r>
              <w:rPr>
                <w:rFonts w:ascii="Cambria Math" w:eastAsia="SimSun" w:hAnsi="Cambria Math"/>
              </w:rPr>
              <m:t>V</m:t>
            </m:r>
          </m:sub>
        </m:sSub>
      </m:oMath>
      <w:r w:rsidR="00A61A04" w:rsidRPr="00A14FC2">
        <w:rPr>
          <w:rFonts w:eastAsia="SimSun"/>
        </w:rPr>
        <w:t xml:space="preserve"> – gas volumetric flowrate, m</w:t>
      </w:r>
      <w:r w:rsidR="00A61A04" w:rsidRPr="00A14FC2">
        <w:rPr>
          <w:rFonts w:eastAsia="SimSun"/>
          <w:vertAlign w:val="superscript"/>
        </w:rPr>
        <w:t>3</w:t>
      </w:r>
      <w:r w:rsidR="00A61A04" w:rsidRPr="00A14FC2">
        <w:rPr>
          <w:rFonts w:eastAsia="SimSun"/>
        </w:rPr>
        <w:t>/s</w:t>
      </w:r>
    </w:p>
    <w:p w14:paraId="0B6DF448" w14:textId="0E0C849F" w:rsidR="00DB42B9" w:rsidRPr="00A14FC2" w:rsidRDefault="006B5F2C" w:rsidP="00280FAF">
      <w:pPr>
        <w:pStyle w:val="CETBodytext"/>
        <w:jc w:val="left"/>
        <w:rPr>
          <w:rFonts w:eastAsia="SimSun"/>
        </w:rPr>
      </w:pPr>
      <w:r w:rsidRPr="009B3163">
        <w:rPr>
          <w:rFonts w:eastAsia="SimSun"/>
          <w:i/>
        </w:rPr>
        <w:t>H</w:t>
      </w:r>
      <w:r>
        <w:rPr>
          <w:rFonts w:eastAsia="SimSun"/>
        </w:rPr>
        <w:t xml:space="preserve"> – Henry constant, </w:t>
      </w:r>
      <w:r w:rsidRPr="006B5F2C">
        <w:rPr>
          <w:rFonts w:eastAsia="SimSun"/>
        </w:rPr>
        <w:t>mol</w:t>
      </w:r>
      <w:proofErr w:type="gramStart"/>
      <w:r w:rsidRPr="006B5F2C">
        <w:rPr>
          <w:rFonts w:eastAsia="SimSun"/>
        </w:rPr>
        <w:t>/(</w:t>
      </w:r>
      <w:proofErr w:type="gramEnd"/>
      <w:r w:rsidRPr="006B5F2C">
        <w:rPr>
          <w:rFonts w:eastAsia="SimSun"/>
        </w:rPr>
        <w:t>kg bar)</w:t>
      </w:r>
    </w:p>
    <w:p w14:paraId="5B65C1EC" w14:textId="26072BC6" w:rsidR="00A61A04" w:rsidRPr="00A14FC2" w:rsidRDefault="00000000" w:rsidP="00280FAF">
      <w:pPr>
        <w:pStyle w:val="CETBodytext"/>
        <w:jc w:val="left"/>
        <w:rPr>
          <w:rFonts w:eastAsia="SimSun"/>
        </w:rPr>
      </w:pPr>
      <m:oMath>
        <m:sSub>
          <m:sSubPr>
            <m:ctrlPr>
              <w:rPr>
                <w:rFonts w:ascii="Cambria Math" w:eastAsia="SimSun" w:hAnsi="Cambria Math"/>
                <w:i/>
              </w:rPr>
            </m:ctrlPr>
          </m:sSubPr>
          <m:e>
            <m:r>
              <w:rPr>
                <w:rFonts w:ascii="Cambria Math" w:eastAsia="SimSun" w:hAnsi="Cambria Math"/>
              </w:rPr>
              <m:t>K</m:t>
            </m:r>
          </m:e>
          <m:sub>
            <m:r>
              <w:rPr>
                <w:rFonts w:ascii="Cambria Math" w:eastAsia="SimSun" w:hAnsi="Cambria Math"/>
              </w:rPr>
              <m:t>OY</m:t>
            </m:r>
          </m:sub>
        </m:sSub>
      </m:oMath>
      <w:r w:rsidR="00A61A04" w:rsidRPr="00A14FC2">
        <w:rPr>
          <w:rFonts w:eastAsia="SimSun"/>
        </w:rPr>
        <w:t xml:space="preserve"> – overall mass transfer coefficient, kmol/m</w:t>
      </w:r>
      <w:r w:rsidR="00A61A04" w:rsidRPr="00A14FC2">
        <w:rPr>
          <w:rFonts w:eastAsia="SimSun"/>
          <w:vertAlign w:val="superscript"/>
        </w:rPr>
        <w:t>2</w:t>
      </w:r>
      <w:r w:rsidR="00A61A04" w:rsidRPr="00A14FC2">
        <w:rPr>
          <w:rFonts w:eastAsia="SimSun"/>
        </w:rPr>
        <w:t>s</w:t>
      </w:r>
    </w:p>
    <w:p w14:paraId="029563F2" w14:textId="6979F1F0" w:rsidR="00A61A04" w:rsidRPr="00A14FC2" w:rsidRDefault="00000000" w:rsidP="00280FAF">
      <w:pPr>
        <w:pStyle w:val="CETBodytext"/>
        <w:jc w:val="left"/>
        <w:rPr>
          <w:rFonts w:eastAsia="SimSun"/>
        </w:rPr>
      </w:pPr>
      <m:oMath>
        <m:sSub>
          <m:sSubPr>
            <m:ctrlPr>
              <w:rPr>
                <w:rFonts w:ascii="Cambria Math" w:eastAsia="SimSun" w:hAnsi="Cambria Math"/>
                <w:i/>
              </w:rPr>
            </m:ctrlPr>
          </m:sSubPr>
          <m:e>
            <m:r>
              <w:rPr>
                <w:rFonts w:ascii="Cambria Math" w:eastAsia="SimSun" w:hAnsi="Cambria Math"/>
              </w:rPr>
              <m:t>L</m:t>
            </m:r>
          </m:e>
          <m:sub>
            <m:r>
              <w:rPr>
                <w:rFonts w:ascii="Cambria Math" w:eastAsia="SimSun" w:hAnsi="Cambria Math"/>
              </w:rPr>
              <m:t>V</m:t>
            </m:r>
          </m:sub>
        </m:sSub>
      </m:oMath>
      <w:r w:rsidR="00A61A04" w:rsidRPr="00A14FC2">
        <w:rPr>
          <w:rFonts w:eastAsia="SimSun"/>
        </w:rPr>
        <w:t xml:space="preserve"> – gas volumetric flowrate, m</w:t>
      </w:r>
      <w:r w:rsidR="00A61A04" w:rsidRPr="00A14FC2">
        <w:rPr>
          <w:rFonts w:eastAsia="SimSun"/>
          <w:vertAlign w:val="superscript"/>
        </w:rPr>
        <w:t>3</w:t>
      </w:r>
      <w:r w:rsidR="00A61A04" w:rsidRPr="00A14FC2">
        <w:rPr>
          <w:rFonts w:eastAsia="SimSun"/>
        </w:rPr>
        <w:t>/s</w:t>
      </w:r>
    </w:p>
    <w:p w14:paraId="5E5D3FFB" w14:textId="61BA187A" w:rsidR="00A61A04" w:rsidRPr="00A14FC2" w:rsidRDefault="00000000" w:rsidP="00280FAF">
      <w:pPr>
        <w:pStyle w:val="CETBodytext"/>
        <w:jc w:val="left"/>
        <w:rPr>
          <w:rFonts w:eastAsia="SimSun"/>
        </w:rPr>
      </w:pP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VOC</m:t>
            </m:r>
          </m:sub>
        </m:sSub>
      </m:oMath>
      <w:r w:rsidR="00A61A04" w:rsidRPr="00A14FC2">
        <w:rPr>
          <w:rFonts w:eastAsia="SimSun"/>
        </w:rPr>
        <w:t xml:space="preserve"> – molar flux, kmol/s</w:t>
      </w:r>
    </w:p>
    <w:p w14:paraId="611EABB2" w14:textId="4DA9CB8F" w:rsidR="006B5F2C" w:rsidRPr="00A14FC2" w:rsidRDefault="00000000" w:rsidP="006B5F2C">
      <w:pPr>
        <w:pStyle w:val="CETBodytext"/>
        <w:jc w:val="left"/>
        <w:rPr>
          <w:rFonts w:eastAsia="SimSun"/>
        </w:rPr>
      </w:pPr>
      <m:oMath>
        <m:sSub>
          <m:sSubPr>
            <m:ctrlPr>
              <w:rPr>
                <w:rFonts w:ascii="Cambria Math" w:eastAsia="SimSun" w:hAnsi="Cambria Math"/>
                <w:i/>
              </w:rPr>
            </m:ctrlPr>
          </m:sSubPr>
          <m:e>
            <m:r>
              <w:rPr>
                <w:rFonts w:ascii="Cambria Math" w:eastAsia="SimSun" w:hAnsi="Cambria Math"/>
              </w:rPr>
              <m:t>P</m:t>
            </m:r>
          </m:e>
          <m:sub>
            <m:r>
              <w:rPr>
                <w:rFonts w:ascii="Cambria Math" w:eastAsia="SimSun" w:hAnsi="Cambria Math"/>
              </w:rPr>
              <m:t>gas</m:t>
            </m:r>
          </m:sub>
        </m:sSub>
      </m:oMath>
      <w:r w:rsidR="006B5F2C" w:rsidRPr="00A14FC2">
        <w:rPr>
          <w:rFonts w:eastAsia="SimSun"/>
        </w:rPr>
        <w:t xml:space="preserve"> – gas power dissipation, kW</w:t>
      </w:r>
    </w:p>
    <w:p w14:paraId="6108CEB5" w14:textId="4EC3C3DD" w:rsidR="006B5F2C" w:rsidRPr="00A14FC2" w:rsidRDefault="00000000" w:rsidP="00280FAF">
      <w:pPr>
        <w:pStyle w:val="CETBodytext"/>
        <w:jc w:val="left"/>
        <w:rPr>
          <w:rFonts w:eastAsia="SimSun"/>
        </w:rPr>
      </w:pPr>
      <m:oMath>
        <m:sSub>
          <m:sSubPr>
            <m:ctrlPr>
              <w:rPr>
                <w:rFonts w:ascii="Cambria Math" w:eastAsia="SimSun" w:hAnsi="Cambria Math"/>
                <w:i/>
              </w:rPr>
            </m:ctrlPr>
          </m:sSubPr>
          <m:e>
            <m:r>
              <w:rPr>
                <w:rFonts w:ascii="Cambria Math" w:eastAsia="SimSun" w:hAnsi="Cambria Math"/>
              </w:rPr>
              <m:t>u</m:t>
            </m:r>
          </m:e>
          <m:sub>
            <m:r>
              <w:rPr>
                <w:rFonts w:ascii="Cambria Math" w:eastAsia="SimSun" w:hAnsi="Cambria Math"/>
              </w:rPr>
              <m:t>s,G</m:t>
            </m:r>
          </m:sub>
        </m:sSub>
      </m:oMath>
      <w:r w:rsidR="006B5F2C" w:rsidRPr="00A14FC2">
        <w:rPr>
          <w:rFonts w:eastAsia="SimSun"/>
        </w:rPr>
        <w:t xml:space="preserve"> – gas superficial velocity, m/s</w:t>
      </w:r>
    </w:p>
    <w:p w14:paraId="2D37F3A6" w14:textId="18F95CCD" w:rsidR="009E1346" w:rsidRPr="00A14FC2" w:rsidRDefault="00000000" w:rsidP="00280FAF">
      <w:pPr>
        <w:pStyle w:val="CETBodytext"/>
        <w:jc w:val="left"/>
        <w:rPr>
          <w:rFonts w:eastAsia="SimSun"/>
        </w:rPr>
      </w:pPr>
      <m:oMath>
        <m:sSub>
          <m:sSubPr>
            <m:ctrlPr>
              <w:rPr>
                <w:rFonts w:ascii="Cambria Math" w:eastAsia="SimSun" w:hAnsi="Cambria Math"/>
                <w:i/>
              </w:rPr>
            </m:ctrlPr>
          </m:sSubPr>
          <m:e>
            <m:r>
              <w:rPr>
                <w:rFonts w:ascii="Cambria Math" w:eastAsia="SimSun" w:hAnsi="Cambria Math"/>
              </w:rPr>
              <m:t>U</m:t>
            </m:r>
          </m:e>
          <m:sub>
            <m:r>
              <w:rPr>
                <w:rFonts w:ascii="Cambria Math" w:eastAsia="SimSun" w:hAnsi="Cambria Math"/>
              </w:rPr>
              <m:t>Flood</m:t>
            </m:r>
          </m:sub>
        </m:sSub>
      </m:oMath>
      <w:r w:rsidR="009E1346" w:rsidRPr="00A14FC2">
        <w:rPr>
          <w:rFonts w:eastAsia="SimSun"/>
        </w:rPr>
        <w:t xml:space="preserve"> – flooding velocity, m/s</w:t>
      </w:r>
    </w:p>
    <w:p w14:paraId="45D04877" w14:textId="5A74B17F" w:rsidR="009E1346" w:rsidRPr="00A14FC2" w:rsidRDefault="00000000" w:rsidP="00280FAF">
      <w:pPr>
        <w:pStyle w:val="CETBodytext"/>
        <w:jc w:val="left"/>
        <w:rPr>
          <w:rFonts w:eastAsia="SimSun"/>
        </w:rPr>
      </w:pPr>
      <m:oMath>
        <m:sSub>
          <m:sSubPr>
            <m:ctrlPr>
              <w:rPr>
                <w:rFonts w:ascii="Cambria Math" w:eastAsia="SimSun" w:hAnsi="Cambria Math"/>
                <w:i/>
              </w:rPr>
            </m:ctrlPr>
          </m:sSubPr>
          <m:e>
            <m:r>
              <w:rPr>
                <w:rFonts w:ascii="Cambria Math" w:eastAsia="SimSun" w:hAnsi="Cambria Math"/>
              </w:rPr>
              <m:t>y</m:t>
            </m:r>
          </m:e>
          <m:sub>
            <m:r>
              <w:rPr>
                <w:rFonts w:ascii="Cambria Math" w:eastAsia="SimSun" w:hAnsi="Cambria Math"/>
              </w:rPr>
              <m:t>IN</m:t>
            </m:r>
          </m:sub>
        </m:sSub>
      </m:oMath>
      <w:r w:rsidR="009E1346" w:rsidRPr="00A14FC2">
        <w:rPr>
          <w:rFonts w:eastAsia="SimSun"/>
        </w:rPr>
        <w:t xml:space="preserve"> – gas inlet molar fraction, -</w:t>
      </w:r>
    </w:p>
    <w:p w14:paraId="6F58DD62" w14:textId="6CBF95F1" w:rsidR="009E1346" w:rsidRPr="00A14FC2" w:rsidRDefault="00000000" w:rsidP="00280FAF">
      <w:pPr>
        <w:pStyle w:val="CETBodytext"/>
        <w:jc w:val="left"/>
        <w:rPr>
          <w:rFonts w:eastAsia="SimSun"/>
        </w:rPr>
      </w:pPr>
      <m:oMath>
        <m:sSub>
          <m:sSubPr>
            <m:ctrlPr>
              <w:rPr>
                <w:rFonts w:ascii="Cambria Math" w:eastAsia="SimSun" w:hAnsi="Cambria Math"/>
                <w:i/>
              </w:rPr>
            </m:ctrlPr>
          </m:sSubPr>
          <m:e>
            <m:r>
              <w:rPr>
                <w:rFonts w:ascii="Cambria Math" w:eastAsia="SimSun" w:hAnsi="Cambria Math"/>
              </w:rPr>
              <m:t>y</m:t>
            </m:r>
          </m:e>
          <m:sub>
            <m:r>
              <w:rPr>
                <w:rFonts w:ascii="Cambria Math" w:eastAsia="SimSun" w:hAnsi="Cambria Math"/>
              </w:rPr>
              <m:t>OUT</m:t>
            </m:r>
          </m:sub>
        </m:sSub>
      </m:oMath>
      <w:r w:rsidR="009E1346" w:rsidRPr="00A14FC2">
        <w:rPr>
          <w:rFonts w:eastAsia="SimSun"/>
        </w:rPr>
        <w:t xml:space="preserve"> – gas outlet molar fraction, -</w:t>
      </w:r>
    </w:p>
    <w:p w14:paraId="41C56601" w14:textId="2BABA6FD" w:rsidR="009E1346" w:rsidRPr="00A14FC2" w:rsidRDefault="00000000" w:rsidP="00280FAF">
      <w:pPr>
        <w:pStyle w:val="CETBodytext"/>
        <w:jc w:val="left"/>
        <w:rPr>
          <w:rFonts w:eastAsia="SimSun"/>
        </w:rPr>
      </w:pPr>
      <m:oMath>
        <m:sSubSup>
          <m:sSubSupPr>
            <m:ctrlPr>
              <w:rPr>
                <w:rFonts w:ascii="Cambria Math" w:eastAsia="SimSun" w:hAnsi="Cambria Math"/>
                <w:i/>
              </w:rPr>
            </m:ctrlPr>
          </m:sSubSupPr>
          <m:e>
            <m:r>
              <w:rPr>
                <w:rFonts w:ascii="Cambria Math" w:eastAsia="SimSun" w:hAnsi="Cambria Math"/>
              </w:rPr>
              <m:t>y</m:t>
            </m:r>
          </m:e>
          <m:sub>
            <m:r>
              <w:rPr>
                <w:rFonts w:ascii="Cambria Math" w:eastAsia="SimSun" w:hAnsi="Cambria Math"/>
              </w:rPr>
              <m:t>OUT</m:t>
            </m:r>
          </m:sub>
          <m:sup>
            <m:r>
              <w:rPr>
                <w:rFonts w:ascii="Cambria Math" w:eastAsia="SimSun" w:hAnsi="Cambria Math"/>
              </w:rPr>
              <m:t>*</m:t>
            </m:r>
          </m:sup>
        </m:sSubSup>
      </m:oMath>
      <w:r w:rsidR="009E1346" w:rsidRPr="00A14FC2">
        <w:rPr>
          <w:rFonts w:eastAsia="SimSun"/>
        </w:rPr>
        <w:t xml:space="preserve"> - gas outlet equilibrium molar fraction, -</w:t>
      </w:r>
    </w:p>
    <w:p w14:paraId="5F228F7C" w14:textId="4E48DA27" w:rsidR="009E1346" w:rsidRPr="00A14FC2" w:rsidRDefault="009E1346" w:rsidP="00280FAF">
      <w:pPr>
        <w:pStyle w:val="CETBodytext"/>
        <w:jc w:val="left"/>
        <w:rPr>
          <w:rFonts w:eastAsia="SimSun"/>
        </w:rPr>
      </w:pPr>
      <m:oMath>
        <m:r>
          <m:rPr>
            <m:sty m:val="p"/>
          </m:rPr>
          <w:rPr>
            <w:rFonts w:ascii="Cambria Math" w:eastAsia="SimSun" w:hAnsi="Cambria Math"/>
          </w:rPr>
          <m:t>Δ</m:t>
        </m:r>
        <m:r>
          <w:rPr>
            <w:rFonts w:ascii="Cambria Math" w:eastAsia="SimSun" w:hAnsi="Cambria Math"/>
          </w:rPr>
          <m:t>p</m:t>
        </m:r>
      </m:oMath>
      <w:r w:rsidRPr="00A14FC2">
        <w:rPr>
          <w:rFonts w:eastAsia="SimSun"/>
        </w:rPr>
        <w:t xml:space="preserve"> – gas pressure drops, Pa</w:t>
      </w:r>
    </w:p>
    <w:p w14:paraId="2073EF5A" w14:textId="3ECC1A15" w:rsidR="009E1346" w:rsidRPr="00A14FC2" w:rsidRDefault="009E1346" w:rsidP="00280FAF">
      <w:pPr>
        <w:pStyle w:val="CETBodytext"/>
        <w:jc w:val="left"/>
        <w:rPr>
          <w:rFonts w:eastAsia="SimSun"/>
        </w:rPr>
      </w:pPr>
      <m:oMath>
        <m:r>
          <m:rPr>
            <m:sty m:val="p"/>
          </m:rPr>
          <w:rPr>
            <w:rFonts w:ascii="Cambria Math" w:eastAsia="SimSun" w:hAnsi="Cambria Math"/>
          </w:rPr>
          <m:t>Δ</m:t>
        </m:r>
        <m:sSub>
          <m:sSubPr>
            <m:ctrlPr>
              <w:rPr>
                <w:rFonts w:ascii="Cambria Math" w:eastAsia="SimSun" w:hAnsi="Cambria Math"/>
                <w:i/>
              </w:rPr>
            </m:ctrlPr>
          </m:sSubPr>
          <m:e>
            <m:r>
              <w:rPr>
                <w:rFonts w:ascii="Cambria Math" w:eastAsia="SimSun" w:hAnsi="Cambria Math"/>
              </w:rPr>
              <m:t>y</m:t>
            </m:r>
          </m:e>
          <m:sub>
            <m:r>
              <w:rPr>
                <w:rFonts w:ascii="Cambria Math" w:eastAsia="SimSun" w:hAnsi="Cambria Math"/>
              </w:rPr>
              <m:t>LM</m:t>
            </m:r>
          </m:sub>
        </m:sSub>
      </m:oMath>
      <w:r w:rsidRPr="00A14FC2">
        <w:rPr>
          <w:rFonts w:eastAsia="SimSun"/>
        </w:rPr>
        <w:t xml:space="preserve"> – logarithmic mean driving force, -</w:t>
      </w:r>
    </w:p>
    <w:p w14:paraId="322126F1" w14:textId="70FD1E96" w:rsidR="009E1346" w:rsidRPr="00A14FC2" w:rsidRDefault="00000000" w:rsidP="00280FAF">
      <w:pPr>
        <w:pStyle w:val="CETBodytext"/>
        <w:jc w:val="left"/>
        <w:rPr>
          <w:rFonts w:eastAsia="SimSun"/>
          <w:vertAlign w:val="superscript"/>
        </w:rPr>
      </w:pPr>
      <m:oMath>
        <m:sSub>
          <m:sSubPr>
            <m:ctrlPr>
              <w:rPr>
                <w:rFonts w:ascii="Cambria Math" w:eastAsia="SimSun" w:hAnsi="Cambria Math"/>
                <w:i/>
              </w:rPr>
            </m:ctrlPr>
          </m:sSubPr>
          <m:e>
            <m:r>
              <w:rPr>
                <w:rFonts w:ascii="Cambria Math" w:eastAsia="SimSun" w:hAnsi="Cambria Math"/>
              </w:rPr>
              <m:t>ρ</m:t>
            </m:r>
          </m:e>
          <m:sub>
            <m:r>
              <w:rPr>
                <w:rFonts w:ascii="Cambria Math" w:eastAsia="SimSun" w:hAnsi="Cambria Math"/>
              </w:rPr>
              <m:t>G</m:t>
            </m:r>
          </m:sub>
        </m:sSub>
      </m:oMath>
      <w:r w:rsidR="009E1346" w:rsidRPr="00A14FC2">
        <w:rPr>
          <w:rFonts w:eastAsia="SimSun"/>
        </w:rPr>
        <w:t xml:space="preserve"> – gas density, kg/m</w:t>
      </w:r>
      <w:r w:rsidR="009E1346" w:rsidRPr="00A14FC2">
        <w:rPr>
          <w:rFonts w:eastAsia="SimSun"/>
          <w:vertAlign w:val="superscript"/>
        </w:rPr>
        <w:t>3</w:t>
      </w:r>
    </w:p>
    <w:p w14:paraId="325CE62C" w14:textId="6B05BD61" w:rsidR="009E1346" w:rsidRPr="00A14FC2" w:rsidRDefault="00000000" w:rsidP="00280FAF">
      <w:pPr>
        <w:pStyle w:val="CETBodytext"/>
        <w:jc w:val="left"/>
        <w:rPr>
          <w:rFonts w:eastAsia="SimSun"/>
          <w:vertAlign w:val="superscript"/>
        </w:rPr>
      </w:pPr>
      <m:oMath>
        <m:sSub>
          <m:sSubPr>
            <m:ctrlPr>
              <w:rPr>
                <w:rFonts w:ascii="Cambria Math" w:eastAsia="SimSun" w:hAnsi="Cambria Math"/>
                <w:i/>
              </w:rPr>
            </m:ctrlPr>
          </m:sSubPr>
          <m:e>
            <m:r>
              <w:rPr>
                <w:rFonts w:ascii="Cambria Math" w:eastAsia="SimSun" w:hAnsi="Cambria Math"/>
              </w:rPr>
              <m:t>ρ</m:t>
            </m:r>
          </m:e>
          <m:sub>
            <m:r>
              <w:rPr>
                <w:rFonts w:ascii="Cambria Math" w:eastAsia="SimSun" w:hAnsi="Cambria Math"/>
              </w:rPr>
              <m:t>L</m:t>
            </m:r>
          </m:sub>
        </m:sSub>
      </m:oMath>
      <w:r w:rsidR="009E1346" w:rsidRPr="00A14FC2">
        <w:rPr>
          <w:rFonts w:eastAsia="SimSun"/>
        </w:rPr>
        <w:t xml:space="preserve"> – liquid density, kg/m</w:t>
      </w:r>
      <w:r w:rsidR="009E1346" w:rsidRPr="00A14FC2">
        <w:rPr>
          <w:rFonts w:eastAsia="SimSun"/>
          <w:vertAlign w:val="superscript"/>
        </w:rPr>
        <w:t>3</w:t>
      </w:r>
    </w:p>
    <w:p w14:paraId="1F14F5A8" w14:textId="596DB1F7" w:rsidR="00D85F5A" w:rsidRPr="00A14FC2" w:rsidRDefault="000F4546" w:rsidP="00280FAF">
      <w:pPr>
        <w:pStyle w:val="CETBodytext"/>
        <w:jc w:val="left"/>
        <w:rPr>
          <w:rFonts w:eastAsia="SimSun"/>
        </w:rPr>
      </w:pPr>
      <m:oMath>
        <m:r>
          <w:rPr>
            <w:rFonts w:ascii="Cambria Math" w:eastAsia="SimSun" w:hAnsi="Cambria Math"/>
          </w:rPr>
          <m:t>σ</m:t>
        </m:r>
      </m:oMath>
      <w:r w:rsidRPr="00A14FC2">
        <w:rPr>
          <w:rFonts w:eastAsia="SimSun"/>
        </w:rPr>
        <w:t xml:space="preserve"> – surface tension, N/m</w:t>
      </w:r>
    </w:p>
    <w:p w14:paraId="38BFE636" w14:textId="14243AC6" w:rsidR="00D85F5A" w:rsidRPr="00A14FC2" w:rsidRDefault="00D85F5A" w:rsidP="00280FAF">
      <w:pPr>
        <w:pStyle w:val="CETBodytext"/>
        <w:jc w:val="left"/>
        <w:rPr>
          <w:rFonts w:eastAsia="SimSun"/>
        </w:rPr>
        <w:sectPr w:rsidR="00D85F5A" w:rsidRPr="00A14FC2" w:rsidSect="00DC73EE">
          <w:type w:val="continuous"/>
          <w:pgSz w:w="11906" w:h="16838" w:code="9"/>
          <w:pgMar w:top="1701" w:right="1418" w:bottom="1701" w:left="1701" w:header="1701" w:footer="0" w:gutter="0"/>
          <w:cols w:num="2" w:space="708"/>
          <w:formProt w:val="0"/>
          <w:titlePg/>
          <w:docGrid w:linePitch="360"/>
        </w:sectPr>
      </w:pPr>
    </w:p>
    <w:p w14:paraId="567732FC" w14:textId="77777777" w:rsidR="007E74E8" w:rsidRPr="00B57B36" w:rsidRDefault="007E74E8" w:rsidP="007E74E8">
      <w:pPr>
        <w:pStyle w:val="CETAcknowledgementstitle"/>
      </w:pPr>
      <w:r w:rsidRPr="00B57B36">
        <w:t>Acknowledgments</w:t>
      </w:r>
    </w:p>
    <w:p w14:paraId="2584106F" w14:textId="42D68DCA" w:rsidR="007E74E8" w:rsidRPr="007E74E8" w:rsidRDefault="007E74E8" w:rsidP="007E74E8">
      <w:pPr>
        <w:pStyle w:val="CETBodytext"/>
        <w:rPr>
          <w:lang w:val="en-GB"/>
        </w:rPr>
      </w:pPr>
      <w:r w:rsidRPr="007F218C">
        <w:rPr>
          <w:lang w:val="en-GB"/>
        </w:rPr>
        <w:t xml:space="preserve">The authors acknowledge the financial support of the </w:t>
      </w:r>
      <w:proofErr w:type="spellStart"/>
      <w:r w:rsidRPr="007F218C">
        <w:rPr>
          <w:lang w:val="en-GB"/>
        </w:rPr>
        <w:t>Regione</w:t>
      </w:r>
      <w:proofErr w:type="spellEnd"/>
      <w:r w:rsidRPr="007F218C">
        <w:rPr>
          <w:lang w:val="en-GB"/>
        </w:rPr>
        <w:t xml:space="preserve"> Toscana for the TRAFUCER project (Innovative process for treating gaseous effluents from ceramics production) through the fund PR FESR TOSCANA 2021-27, AZ 1.1.4 (Bando 2) (CUP: 7717.29122023.043000343).</w:t>
      </w:r>
    </w:p>
    <w:p w14:paraId="4F1327F8" w14:textId="039FD391" w:rsidR="00600535" w:rsidRPr="00A14FC2" w:rsidRDefault="00600535" w:rsidP="00600535">
      <w:pPr>
        <w:pStyle w:val="CETReference"/>
        <w:rPr>
          <w:lang w:val="en-US"/>
        </w:rPr>
      </w:pPr>
      <w:r w:rsidRPr="00A14FC2">
        <w:rPr>
          <w:lang w:val="en-US"/>
        </w:rPr>
        <w:t>References</w:t>
      </w:r>
    </w:p>
    <w:p w14:paraId="3D2F3BA8" w14:textId="74D2E5E0" w:rsidR="00506075" w:rsidRPr="00A14FC2" w:rsidRDefault="00506075" w:rsidP="00B62B88">
      <w:pPr>
        <w:pStyle w:val="CETReferencetext"/>
        <w:rPr>
          <w:lang w:val="en-US"/>
        </w:rPr>
      </w:pPr>
      <w:r w:rsidRPr="00A14FC2">
        <w:rPr>
          <w:lang w:val="en-US"/>
        </w:rPr>
        <w:t xml:space="preserve">Brunazzi E., </w:t>
      </w:r>
      <w:proofErr w:type="spellStart"/>
      <w:r w:rsidRPr="00A14FC2">
        <w:rPr>
          <w:lang w:val="en-US"/>
        </w:rPr>
        <w:t>Paglianti</w:t>
      </w:r>
      <w:proofErr w:type="spellEnd"/>
      <w:r w:rsidRPr="00A14FC2">
        <w:rPr>
          <w:lang w:val="en-US"/>
        </w:rPr>
        <w:t xml:space="preserve"> A., Pintus S.,</w:t>
      </w:r>
      <w:r w:rsidR="004B691C">
        <w:rPr>
          <w:lang w:val="en-US"/>
        </w:rPr>
        <w:t xml:space="preserve"> 2001,</w:t>
      </w:r>
      <w:r w:rsidRPr="00A14FC2">
        <w:rPr>
          <w:lang w:val="en-US"/>
        </w:rPr>
        <w:t xml:space="preserve"> A capacitance probe and a new model to identify and predict the capacity of columns equipped with structured packings, 40 (4), 1205-1212</w:t>
      </w:r>
    </w:p>
    <w:p w14:paraId="4C649D5D" w14:textId="59C9B1B8" w:rsidR="00CF33EA" w:rsidRPr="00A14FC2" w:rsidRDefault="00217FAF" w:rsidP="00CF33EA">
      <w:pPr>
        <w:pStyle w:val="CETReferencetext"/>
        <w:rPr>
          <w:lang w:val="en-US"/>
        </w:rPr>
      </w:pPr>
      <w:proofErr w:type="spellStart"/>
      <w:r w:rsidRPr="00A14FC2">
        <w:rPr>
          <w:lang w:val="en-US"/>
        </w:rPr>
        <w:t>Couvert</w:t>
      </w:r>
      <w:proofErr w:type="spellEnd"/>
      <w:r w:rsidRPr="00A14FC2">
        <w:rPr>
          <w:lang w:val="en-US"/>
        </w:rPr>
        <w:t xml:space="preserve"> A., Sanchez C., Laplanche A., Renner C., Levasseur J.-P.,</w:t>
      </w:r>
      <w:r w:rsidR="004B691C">
        <w:rPr>
          <w:lang w:val="en-US"/>
        </w:rPr>
        <w:t xml:space="preserve"> 2008,</w:t>
      </w:r>
      <w:r w:rsidRPr="00A14FC2">
        <w:rPr>
          <w:lang w:val="en-US"/>
        </w:rPr>
        <w:t xml:space="preserve"> Design of a new compact scrubber for </w:t>
      </w:r>
      <w:proofErr w:type="spellStart"/>
      <w:r w:rsidRPr="00A14FC2">
        <w:rPr>
          <w:lang w:val="en-US"/>
        </w:rPr>
        <w:t>deodorisation</w:t>
      </w:r>
      <w:proofErr w:type="spellEnd"/>
      <w:r w:rsidRPr="00A14FC2">
        <w:rPr>
          <w:lang w:val="en-US"/>
        </w:rPr>
        <w:t>, Chemical Engineering and Processing: Process Intensification, 47 (9-10), 1793-1798</w:t>
      </w:r>
    </w:p>
    <w:p w14:paraId="32F8D2BE" w14:textId="29B3B6B0" w:rsidR="00063EB5" w:rsidRPr="00A14FC2" w:rsidRDefault="00063EB5" w:rsidP="00CF33EA">
      <w:pPr>
        <w:pStyle w:val="CETReferencetext"/>
        <w:rPr>
          <w:lang w:val="en-US"/>
        </w:rPr>
      </w:pPr>
      <w:proofErr w:type="spellStart"/>
      <w:r w:rsidRPr="00A14FC2">
        <w:rPr>
          <w:lang w:val="en-US"/>
        </w:rPr>
        <w:t>Danzomo</w:t>
      </w:r>
      <w:proofErr w:type="spellEnd"/>
      <w:r w:rsidRPr="00A14FC2">
        <w:rPr>
          <w:lang w:val="en-US"/>
        </w:rPr>
        <w:t xml:space="preserve"> B. A., Salami M. J. E., </w:t>
      </w:r>
      <w:proofErr w:type="spellStart"/>
      <w:r w:rsidRPr="00A14FC2">
        <w:rPr>
          <w:lang w:val="en-US"/>
        </w:rPr>
        <w:t>Jabirin</w:t>
      </w:r>
      <w:proofErr w:type="spellEnd"/>
      <w:r w:rsidRPr="00A14FC2">
        <w:rPr>
          <w:lang w:val="en-US"/>
        </w:rPr>
        <w:t xml:space="preserve"> S., Khan M. R., Nor I. M.,</w:t>
      </w:r>
      <w:r w:rsidR="004B691C">
        <w:rPr>
          <w:lang w:val="en-US"/>
        </w:rPr>
        <w:t xml:space="preserve"> </w:t>
      </w:r>
      <w:r w:rsidR="004B691C" w:rsidRPr="00A14FC2">
        <w:rPr>
          <w:lang w:val="en-US"/>
        </w:rPr>
        <w:t>2012,</w:t>
      </w:r>
      <w:r w:rsidRPr="00A14FC2">
        <w:rPr>
          <w:lang w:val="en-US"/>
        </w:rPr>
        <w:t xml:space="preserve"> Performance evaluation of wet scrubber system for industrial air pollution control, Engineering Environmental Science, 1669–1677</w:t>
      </w:r>
    </w:p>
    <w:p w14:paraId="4D6A3ED4" w14:textId="298F213A" w:rsidR="00402D80" w:rsidRDefault="00402D80" w:rsidP="00402D80">
      <w:pPr>
        <w:pStyle w:val="CETReferencetext"/>
      </w:pPr>
      <w:r w:rsidRPr="00A14FC2">
        <w:rPr>
          <w:lang w:val="en-US"/>
        </w:rPr>
        <w:t>EEA, Air pollution, European Environment Agency</w:t>
      </w:r>
      <w:r w:rsidR="009765C1">
        <w:rPr>
          <w:lang w:val="en-US"/>
        </w:rPr>
        <w:t>,</w:t>
      </w:r>
      <w:r w:rsidRPr="00A14FC2">
        <w:rPr>
          <w:lang w:val="en-US"/>
        </w:rPr>
        <w:t xml:space="preserve"> &lt;https://www.eea.europa.eu/en/topics/in-depth/air-pollution&gt;</w:t>
      </w:r>
      <w:r w:rsidR="009765C1">
        <w:rPr>
          <w:lang w:val="en-US"/>
        </w:rPr>
        <w:t>,</w:t>
      </w:r>
      <w:r w:rsidRPr="00A14FC2">
        <w:rPr>
          <w:lang w:val="en-US"/>
        </w:rPr>
        <w:t xml:space="preserve"> </w:t>
      </w:r>
      <w:r w:rsidRPr="00A14FC2">
        <w:t>accessed 13.12.2024</w:t>
      </w:r>
    </w:p>
    <w:p w14:paraId="1D107A25" w14:textId="77777777" w:rsidR="004022A4" w:rsidRPr="004022A4" w:rsidRDefault="004022A4" w:rsidP="004022A4">
      <w:pPr>
        <w:pStyle w:val="CETReferencetext"/>
        <w:rPr>
          <w:color w:val="000000"/>
          <w:lang w:val="en-US"/>
        </w:rPr>
      </w:pPr>
      <w:r w:rsidRPr="004022A4">
        <w:rPr>
          <w:color w:val="000000"/>
          <w:lang w:val="en-US"/>
        </w:rPr>
        <w:t>Giustacori P., Brunazzi E., Characterization of a Reverse Jet Scrubber for gas/liquid absorption, 2025 Chemical Engineering Science, 308, 121391.</w:t>
      </w:r>
    </w:p>
    <w:p w14:paraId="77A52AC4" w14:textId="1DC28B4D" w:rsidR="001733D7" w:rsidRPr="00A14FC2" w:rsidRDefault="001733D7" w:rsidP="001733D7">
      <w:pPr>
        <w:pStyle w:val="CETReferencetext"/>
        <w:rPr>
          <w:lang w:val="en-US"/>
        </w:rPr>
      </w:pPr>
      <w:r w:rsidRPr="00A14FC2">
        <w:rPr>
          <w:lang w:val="en-US"/>
        </w:rPr>
        <w:t>Green, D.W., Perry R.H., Perry’s Chemical Engineers’ Handbook, Eighth Edition McGraw Hill professional, McGraw-Hill Education, 2008</w:t>
      </w:r>
    </w:p>
    <w:p w14:paraId="1A7BD307" w14:textId="6E74456B" w:rsidR="002E4EC7" w:rsidRPr="00A14FC2" w:rsidRDefault="002E4EC7" w:rsidP="002E4EC7">
      <w:pPr>
        <w:pStyle w:val="CETReferencetext"/>
        <w:rPr>
          <w:lang w:val="en-US"/>
        </w:rPr>
      </w:pPr>
      <w:r w:rsidRPr="00A14FC2">
        <w:rPr>
          <w:lang w:val="en-US"/>
        </w:rPr>
        <w:t>Lamprecht H., Burger A.,</w:t>
      </w:r>
      <w:r w:rsidR="005B50D8">
        <w:rPr>
          <w:lang w:val="en-US"/>
        </w:rPr>
        <w:t xml:space="preserve"> </w:t>
      </w:r>
      <w:r w:rsidR="005B50D8" w:rsidRPr="00A14FC2">
        <w:rPr>
          <w:lang w:val="en-US"/>
        </w:rPr>
        <w:t>2018,</w:t>
      </w:r>
      <w:r w:rsidRPr="00A14FC2">
        <w:rPr>
          <w:lang w:val="en-US"/>
        </w:rPr>
        <w:t xml:space="preserve"> Desorption of Isobutyl Acetate into Air as a Low-Cost Alternative System for the Measurement of Liquid Phase Mass Transfer Coefficients, Chemical Engineering Transactions, 69, 7-12</w:t>
      </w:r>
    </w:p>
    <w:p w14:paraId="4DA10105" w14:textId="7D97FEA5" w:rsidR="001E68D8" w:rsidRPr="00A14FC2" w:rsidRDefault="001E68D8" w:rsidP="002E4EC7">
      <w:pPr>
        <w:pStyle w:val="CETReferencetext"/>
        <w:rPr>
          <w:lang w:val="en-US"/>
        </w:rPr>
      </w:pPr>
      <w:r w:rsidRPr="00A14FC2">
        <w:rPr>
          <w:lang w:val="en-US"/>
        </w:rPr>
        <w:t>Long N.V.D., Lee D.Y., Kwag C., Lee Y.M., Lee S.W., Lewis D., Rebrov E., Hessel V., Lee M.,</w:t>
      </w:r>
      <w:r w:rsidR="005B50D8">
        <w:rPr>
          <w:lang w:val="en-US"/>
        </w:rPr>
        <w:t xml:space="preserve"> </w:t>
      </w:r>
      <w:r w:rsidR="005B50D8" w:rsidRPr="00A14FC2">
        <w:rPr>
          <w:lang w:val="en-US"/>
        </w:rPr>
        <w:t>2025,</w:t>
      </w:r>
      <w:r w:rsidRPr="00A14FC2">
        <w:rPr>
          <w:lang w:val="en-US"/>
        </w:rPr>
        <w:t xml:space="preserve"> Removal of marine NOx, </w:t>
      </w:r>
      <w:proofErr w:type="spellStart"/>
      <w:r w:rsidRPr="00A14FC2">
        <w:rPr>
          <w:lang w:val="en-US"/>
        </w:rPr>
        <w:t>SOx</w:t>
      </w:r>
      <w:proofErr w:type="spellEnd"/>
      <w:r w:rsidRPr="00A14FC2">
        <w:rPr>
          <w:lang w:val="en-US"/>
        </w:rPr>
        <w:t>, and CO2 from flue gas: Simulation and experiment on a pilot plant, Separation and Purification Technology, 359</w:t>
      </w:r>
    </w:p>
    <w:p w14:paraId="59D9FAEA" w14:textId="4B110BFB" w:rsidR="002E4EC7" w:rsidRDefault="002E4EC7" w:rsidP="00EB012F">
      <w:pPr>
        <w:pStyle w:val="CETReferencetext"/>
        <w:rPr>
          <w:lang w:val="en-US"/>
        </w:rPr>
      </w:pPr>
      <w:r w:rsidRPr="00A14FC2">
        <w:rPr>
          <w:lang w:val="en-US"/>
        </w:rPr>
        <w:t xml:space="preserve">Marchini S., Vishwakarma V., Schubert M., Brunazzi E., Hampel U., </w:t>
      </w:r>
      <w:r w:rsidR="00B77C30" w:rsidRPr="00A14FC2">
        <w:rPr>
          <w:lang w:val="en-US"/>
        </w:rPr>
        <w:t xml:space="preserve">2021, </w:t>
      </w:r>
      <w:r w:rsidRPr="00A14FC2">
        <w:rPr>
          <w:lang w:val="en-US"/>
        </w:rPr>
        <w:t>Direct Tray and Point Efficiency Measurements Including Weeping Effects through a Convenient Add-On for Air-Water Simulators, Industrial &amp; Engineering Chemistry Research, 60 (6), 2600–2612</w:t>
      </w:r>
    </w:p>
    <w:p w14:paraId="40984750" w14:textId="53915B80" w:rsidR="009765C1" w:rsidRPr="00A14FC2" w:rsidRDefault="009765C1" w:rsidP="00EB012F">
      <w:pPr>
        <w:pStyle w:val="CETReferencetext"/>
        <w:rPr>
          <w:lang w:val="en-US"/>
        </w:rPr>
      </w:pPr>
      <w:r>
        <w:rPr>
          <w:lang w:val="en-US"/>
        </w:rPr>
        <w:t xml:space="preserve">NIST, NIST Chemistry </w:t>
      </w:r>
      <w:proofErr w:type="spellStart"/>
      <w:r>
        <w:rPr>
          <w:lang w:val="en-US"/>
        </w:rPr>
        <w:t>WebBook</w:t>
      </w:r>
      <w:proofErr w:type="spellEnd"/>
      <w:r>
        <w:rPr>
          <w:lang w:val="en-US"/>
        </w:rPr>
        <w:t>, &lt;</w:t>
      </w:r>
      <w:r w:rsidRPr="009765C1">
        <w:rPr>
          <w:lang w:val="en-US"/>
        </w:rPr>
        <w:t>https://webbook.nist.gov/chemistry/</w:t>
      </w:r>
      <w:r>
        <w:rPr>
          <w:lang w:val="en-US"/>
        </w:rPr>
        <w:t>&gt;,</w:t>
      </w:r>
      <w:r w:rsidRPr="00A14FC2">
        <w:rPr>
          <w:lang w:val="en-US"/>
        </w:rPr>
        <w:t xml:space="preserve"> </w:t>
      </w:r>
      <w:r w:rsidRPr="00A14FC2">
        <w:t>accessed 13.12.2024</w:t>
      </w:r>
    </w:p>
    <w:p w14:paraId="0F510B85" w14:textId="680588C1" w:rsidR="00A56D9F" w:rsidRPr="00A14FC2" w:rsidRDefault="00A56D9F" w:rsidP="00EB012F">
      <w:pPr>
        <w:pStyle w:val="CETReferencetext"/>
        <w:rPr>
          <w:lang w:val="en-US"/>
        </w:rPr>
      </w:pPr>
      <w:r w:rsidRPr="00A14FC2">
        <w:rPr>
          <w:lang w:val="en-US"/>
        </w:rPr>
        <w:t xml:space="preserve">Park, K. L., </w:t>
      </w:r>
      <w:r w:rsidR="003D75DB" w:rsidRPr="00A14FC2">
        <w:rPr>
          <w:lang w:val="en-US"/>
        </w:rPr>
        <w:t>2006,</w:t>
      </w:r>
      <w:r w:rsidR="003D75DB">
        <w:rPr>
          <w:lang w:val="en-US"/>
        </w:rPr>
        <w:t xml:space="preserve"> </w:t>
      </w:r>
      <w:r w:rsidRPr="00A14FC2">
        <w:rPr>
          <w:lang w:val="en-US"/>
        </w:rPr>
        <w:t>Prediction for particle removal efficiency of a reverse jet scrubber. Journal of Aerosol Science, 1826-1839</w:t>
      </w:r>
    </w:p>
    <w:p w14:paraId="35DAC60B" w14:textId="375C3585" w:rsidR="00EB012F" w:rsidRPr="00A14FC2" w:rsidRDefault="00EB012F" w:rsidP="00756240">
      <w:pPr>
        <w:pStyle w:val="CETBodytext"/>
      </w:pPr>
      <w:r w:rsidRPr="00A14FC2">
        <w:t>Roy D. H.,</w:t>
      </w:r>
      <w:r w:rsidR="0043384E">
        <w:t xml:space="preserve"> 1962,</w:t>
      </w:r>
      <w:r w:rsidRPr="00A14FC2">
        <w:t xml:space="preserve"> Method for contacting fluids in countercurrent, Domtar Inc, U.S. Patent 3,350,075.</w:t>
      </w:r>
    </w:p>
    <w:p w14:paraId="7A98BCB0" w14:textId="677E0E40" w:rsidR="00823E50" w:rsidRPr="00A14FC2" w:rsidRDefault="00823E50" w:rsidP="00D85F5A">
      <w:pPr>
        <w:pStyle w:val="CETReferencetext"/>
        <w:rPr>
          <w:lang w:val="en-US"/>
        </w:rPr>
      </w:pPr>
      <w:r w:rsidRPr="00A14FC2">
        <w:rPr>
          <w:lang w:val="en-US"/>
        </w:rPr>
        <w:t xml:space="preserve">Steinmeyer D., </w:t>
      </w:r>
      <w:r w:rsidR="0043384E" w:rsidRPr="00A14FC2">
        <w:rPr>
          <w:lang w:val="en-US"/>
        </w:rPr>
        <w:t>1995,</w:t>
      </w:r>
      <w:r w:rsidR="00AA181A">
        <w:rPr>
          <w:lang w:val="en-US"/>
        </w:rPr>
        <w:t xml:space="preserve"> </w:t>
      </w:r>
      <w:r w:rsidRPr="00A14FC2">
        <w:rPr>
          <w:lang w:val="en-US"/>
        </w:rPr>
        <w:t>Use power/mass to estimate drop size in gas/liquid contactors, Chemical engineering progress, 91, 72–80</w:t>
      </w:r>
    </w:p>
    <w:p w14:paraId="5F742F86" w14:textId="69F58C68" w:rsidR="00CF33EA" w:rsidRPr="0031633F" w:rsidRDefault="00CF33EA" w:rsidP="00CF33EA">
      <w:pPr>
        <w:pStyle w:val="CETReferencetext"/>
        <w:rPr>
          <w:lang w:val="en-US"/>
        </w:rPr>
      </w:pPr>
      <w:r w:rsidRPr="00A14FC2">
        <w:rPr>
          <w:lang w:val="en-US"/>
        </w:rPr>
        <w:t>Yao H., Hansen M.J., Feilberg A.,</w:t>
      </w:r>
      <w:r w:rsidR="0048766A">
        <w:rPr>
          <w:lang w:val="en-US"/>
        </w:rPr>
        <w:t xml:space="preserve"> </w:t>
      </w:r>
      <w:r w:rsidR="0048766A" w:rsidRPr="00A14FC2">
        <w:rPr>
          <w:lang w:val="en-US"/>
        </w:rPr>
        <w:t>2014</w:t>
      </w:r>
      <w:r w:rsidR="0048766A">
        <w:rPr>
          <w:lang w:val="en-US"/>
        </w:rPr>
        <w:t>,</w:t>
      </w:r>
      <w:r w:rsidRPr="00A14FC2">
        <w:rPr>
          <w:lang w:val="en-US"/>
        </w:rPr>
        <w:t xml:space="preserve"> DMS removal in a bubble reactor by using </w:t>
      </w:r>
      <w:proofErr w:type="spellStart"/>
      <w:r w:rsidRPr="00A14FC2">
        <w:rPr>
          <w:lang w:val="en-US"/>
        </w:rPr>
        <w:t>peroxone</w:t>
      </w:r>
      <w:proofErr w:type="spellEnd"/>
      <w:r w:rsidRPr="00A14FC2">
        <w:rPr>
          <w:lang w:val="en-US"/>
        </w:rPr>
        <w:t xml:space="preserve"> (O3/H2O2) reactions, Chemical Engineering Transactions, 40 (Special Issue), 229-234</w:t>
      </w:r>
    </w:p>
    <w:sectPr w:rsidR="00CF33EA" w:rsidRPr="0031633F"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B76026" w14:textId="77777777" w:rsidR="000F0D68" w:rsidRDefault="000F0D68" w:rsidP="004F5E36">
      <w:r>
        <w:separator/>
      </w:r>
    </w:p>
  </w:endnote>
  <w:endnote w:type="continuationSeparator" w:id="0">
    <w:p w14:paraId="3A648160" w14:textId="77777777" w:rsidR="000F0D68" w:rsidRDefault="000F0D68"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F5BB7B" w14:textId="77777777" w:rsidR="000F0D68" w:rsidRDefault="000F0D68" w:rsidP="004F5E36">
      <w:r>
        <w:separator/>
      </w:r>
    </w:p>
  </w:footnote>
  <w:footnote w:type="continuationSeparator" w:id="0">
    <w:p w14:paraId="67EBC962" w14:textId="77777777" w:rsidR="000F0D68" w:rsidRDefault="000F0D68"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627469408">
    <w:abstractNumId w:val="11"/>
  </w:num>
  <w:num w:numId="2" w16cid:durableId="1311908354">
    <w:abstractNumId w:val="8"/>
  </w:num>
  <w:num w:numId="3" w16cid:durableId="1379668492">
    <w:abstractNumId w:val="3"/>
  </w:num>
  <w:num w:numId="4" w16cid:durableId="1776554724">
    <w:abstractNumId w:val="2"/>
  </w:num>
  <w:num w:numId="5" w16cid:durableId="278027753">
    <w:abstractNumId w:val="1"/>
  </w:num>
  <w:num w:numId="6" w16cid:durableId="1428499887">
    <w:abstractNumId w:val="0"/>
  </w:num>
  <w:num w:numId="7" w16cid:durableId="513619819">
    <w:abstractNumId w:val="9"/>
  </w:num>
  <w:num w:numId="8" w16cid:durableId="1303079287">
    <w:abstractNumId w:val="7"/>
  </w:num>
  <w:num w:numId="9" w16cid:durableId="1591155787">
    <w:abstractNumId w:val="6"/>
  </w:num>
  <w:num w:numId="10" w16cid:durableId="1606644855">
    <w:abstractNumId w:val="5"/>
  </w:num>
  <w:num w:numId="11" w16cid:durableId="1246496962">
    <w:abstractNumId w:val="4"/>
  </w:num>
  <w:num w:numId="12" w16cid:durableId="529414706">
    <w:abstractNumId w:val="18"/>
  </w:num>
  <w:num w:numId="13" w16cid:durableId="1042631117">
    <w:abstractNumId w:val="13"/>
  </w:num>
  <w:num w:numId="14" w16cid:durableId="1305114236">
    <w:abstractNumId w:val="19"/>
  </w:num>
  <w:num w:numId="15" w16cid:durableId="1014187658">
    <w:abstractNumId w:val="21"/>
  </w:num>
  <w:num w:numId="16" w16cid:durableId="88280163">
    <w:abstractNumId w:val="20"/>
  </w:num>
  <w:num w:numId="17" w16cid:durableId="179859187">
    <w:abstractNumId w:val="12"/>
  </w:num>
  <w:num w:numId="18" w16cid:durableId="815028018">
    <w:abstractNumId w:val="13"/>
    <w:lvlOverride w:ilvl="0">
      <w:startOverride w:val="1"/>
    </w:lvlOverride>
  </w:num>
  <w:num w:numId="19" w16cid:durableId="156725218">
    <w:abstractNumId w:val="17"/>
  </w:num>
  <w:num w:numId="20" w16cid:durableId="267197033">
    <w:abstractNumId w:val="16"/>
  </w:num>
  <w:num w:numId="21" w16cid:durableId="177736263">
    <w:abstractNumId w:val="15"/>
  </w:num>
  <w:num w:numId="22" w16cid:durableId="987781429">
    <w:abstractNumId w:val="14"/>
  </w:num>
  <w:num w:numId="23" w16cid:durableId="10402051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543"/>
    <w:rsid w:val="00005A19"/>
    <w:rsid w:val="000074E3"/>
    <w:rsid w:val="00007EDE"/>
    <w:rsid w:val="000117CB"/>
    <w:rsid w:val="00015765"/>
    <w:rsid w:val="0003148D"/>
    <w:rsid w:val="00031EEC"/>
    <w:rsid w:val="000326CD"/>
    <w:rsid w:val="00044DA3"/>
    <w:rsid w:val="0004596A"/>
    <w:rsid w:val="00051566"/>
    <w:rsid w:val="00051BB6"/>
    <w:rsid w:val="00054056"/>
    <w:rsid w:val="000562A9"/>
    <w:rsid w:val="00060440"/>
    <w:rsid w:val="000607E8"/>
    <w:rsid w:val="00061F55"/>
    <w:rsid w:val="000621F4"/>
    <w:rsid w:val="00062A9A"/>
    <w:rsid w:val="00063EB5"/>
    <w:rsid w:val="00064873"/>
    <w:rsid w:val="00065058"/>
    <w:rsid w:val="00067CBE"/>
    <w:rsid w:val="00071FE6"/>
    <w:rsid w:val="00073546"/>
    <w:rsid w:val="000744C2"/>
    <w:rsid w:val="00077945"/>
    <w:rsid w:val="00086A8F"/>
    <w:rsid w:val="00086C39"/>
    <w:rsid w:val="00086CC1"/>
    <w:rsid w:val="000978B0"/>
    <w:rsid w:val="000A03B2"/>
    <w:rsid w:val="000A1472"/>
    <w:rsid w:val="000A34AF"/>
    <w:rsid w:val="000A38B6"/>
    <w:rsid w:val="000A5CC9"/>
    <w:rsid w:val="000B0BAC"/>
    <w:rsid w:val="000C1498"/>
    <w:rsid w:val="000D0268"/>
    <w:rsid w:val="000D149C"/>
    <w:rsid w:val="000D34BE"/>
    <w:rsid w:val="000D3B71"/>
    <w:rsid w:val="000D7719"/>
    <w:rsid w:val="000E0B3C"/>
    <w:rsid w:val="000E102F"/>
    <w:rsid w:val="000E2989"/>
    <w:rsid w:val="000E36F1"/>
    <w:rsid w:val="000E3A73"/>
    <w:rsid w:val="000E414A"/>
    <w:rsid w:val="000E75FD"/>
    <w:rsid w:val="000F093C"/>
    <w:rsid w:val="000F0D68"/>
    <w:rsid w:val="000F4546"/>
    <w:rsid w:val="000F6018"/>
    <w:rsid w:val="000F787B"/>
    <w:rsid w:val="00101068"/>
    <w:rsid w:val="00101325"/>
    <w:rsid w:val="0011606A"/>
    <w:rsid w:val="0012091F"/>
    <w:rsid w:val="00122C8A"/>
    <w:rsid w:val="00126BA6"/>
    <w:rsid w:val="00126BC2"/>
    <w:rsid w:val="001308B6"/>
    <w:rsid w:val="0013121F"/>
    <w:rsid w:val="00131FE6"/>
    <w:rsid w:val="0013243F"/>
    <w:rsid w:val="0013263F"/>
    <w:rsid w:val="001331DF"/>
    <w:rsid w:val="00134DE4"/>
    <w:rsid w:val="0013759F"/>
    <w:rsid w:val="0013762C"/>
    <w:rsid w:val="0014034D"/>
    <w:rsid w:val="00140FE3"/>
    <w:rsid w:val="00143271"/>
    <w:rsid w:val="00143E74"/>
    <w:rsid w:val="00144D16"/>
    <w:rsid w:val="00150E59"/>
    <w:rsid w:val="00152DE3"/>
    <w:rsid w:val="001571A9"/>
    <w:rsid w:val="001572A9"/>
    <w:rsid w:val="0016431B"/>
    <w:rsid w:val="00164CF9"/>
    <w:rsid w:val="0016588D"/>
    <w:rsid w:val="0016668E"/>
    <w:rsid w:val="001667A6"/>
    <w:rsid w:val="001733D7"/>
    <w:rsid w:val="00174C02"/>
    <w:rsid w:val="0018171E"/>
    <w:rsid w:val="00184492"/>
    <w:rsid w:val="00184AD6"/>
    <w:rsid w:val="00185331"/>
    <w:rsid w:val="001A045D"/>
    <w:rsid w:val="001A4AF7"/>
    <w:rsid w:val="001B0349"/>
    <w:rsid w:val="001B1E93"/>
    <w:rsid w:val="001B65C1"/>
    <w:rsid w:val="001C173F"/>
    <w:rsid w:val="001C260F"/>
    <w:rsid w:val="001C5C3A"/>
    <w:rsid w:val="001C684B"/>
    <w:rsid w:val="001D0CFB"/>
    <w:rsid w:val="001D21AF"/>
    <w:rsid w:val="001D3D32"/>
    <w:rsid w:val="001D53FC"/>
    <w:rsid w:val="001E4110"/>
    <w:rsid w:val="001E68D8"/>
    <w:rsid w:val="001F42A5"/>
    <w:rsid w:val="001F7B9D"/>
    <w:rsid w:val="00200CA4"/>
    <w:rsid w:val="00201C93"/>
    <w:rsid w:val="00214EAD"/>
    <w:rsid w:val="00217FAF"/>
    <w:rsid w:val="002212A0"/>
    <w:rsid w:val="0022131B"/>
    <w:rsid w:val="002224B4"/>
    <w:rsid w:val="002255D6"/>
    <w:rsid w:val="00225603"/>
    <w:rsid w:val="00225D7F"/>
    <w:rsid w:val="002429A1"/>
    <w:rsid w:val="002447EF"/>
    <w:rsid w:val="00247869"/>
    <w:rsid w:val="00251550"/>
    <w:rsid w:val="002528BA"/>
    <w:rsid w:val="00257C4F"/>
    <w:rsid w:val="00260205"/>
    <w:rsid w:val="00263B05"/>
    <w:rsid w:val="0027221A"/>
    <w:rsid w:val="00275B61"/>
    <w:rsid w:val="00280FAF"/>
    <w:rsid w:val="00282656"/>
    <w:rsid w:val="00283839"/>
    <w:rsid w:val="00283A04"/>
    <w:rsid w:val="0028594F"/>
    <w:rsid w:val="002865C2"/>
    <w:rsid w:val="00293E57"/>
    <w:rsid w:val="00296B83"/>
    <w:rsid w:val="00296FD0"/>
    <w:rsid w:val="002A4E03"/>
    <w:rsid w:val="002A773F"/>
    <w:rsid w:val="002B255F"/>
    <w:rsid w:val="002B349E"/>
    <w:rsid w:val="002B4015"/>
    <w:rsid w:val="002B78CE"/>
    <w:rsid w:val="002C0FCA"/>
    <w:rsid w:val="002C21E9"/>
    <w:rsid w:val="002C2FB6"/>
    <w:rsid w:val="002C36AE"/>
    <w:rsid w:val="002D2EAC"/>
    <w:rsid w:val="002D3624"/>
    <w:rsid w:val="002D5A28"/>
    <w:rsid w:val="002D6715"/>
    <w:rsid w:val="002D7E5F"/>
    <w:rsid w:val="002E1ED1"/>
    <w:rsid w:val="002E4EC7"/>
    <w:rsid w:val="002E5FA7"/>
    <w:rsid w:val="002E7816"/>
    <w:rsid w:val="002F1987"/>
    <w:rsid w:val="002F3309"/>
    <w:rsid w:val="003008CE"/>
    <w:rsid w:val="003009B7"/>
    <w:rsid w:val="00300E56"/>
    <w:rsid w:val="0030152C"/>
    <w:rsid w:val="0030469C"/>
    <w:rsid w:val="00304CE8"/>
    <w:rsid w:val="00305525"/>
    <w:rsid w:val="00315D8E"/>
    <w:rsid w:val="0031633F"/>
    <w:rsid w:val="00321CA6"/>
    <w:rsid w:val="00323763"/>
    <w:rsid w:val="00323A5D"/>
    <w:rsid w:val="00323C5F"/>
    <w:rsid w:val="00325B34"/>
    <w:rsid w:val="0032667F"/>
    <w:rsid w:val="003341D7"/>
    <w:rsid w:val="00334C09"/>
    <w:rsid w:val="00340F99"/>
    <w:rsid w:val="00344BE3"/>
    <w:rsid w:val="0035322A"/>
    <w:rsid w:val="00356BDE"/>
    <w:rsid w:val="003613BE"/>
    <w:rsid w:val="0036283D"/>
    <w:rsid w:val="0037214A"/>
    <w:rsid w:val="003723D4"/>
    <w:rsid w:val="00374E2A"/>
    <w:rsid w:val="003776AB"/>
    <w:rsid w:val="00381905"/>
    <w:rsid w:val="00384CC8"/>
    <w:rsid w:val="003871FD"/>
    <w:rsid w:val="003877DB"/>
    <w:rsid w:val="00391F0F"/>
    <w:rsid w:val="003925ED"/>
    <w:rsid w:val="003939D1"/>
    <w:rsid w:val="00394352"/>
    <w:rsid w:val="003A1E30"/>
    <w:rsid w:val="003A2829"/>
    <w:rsid w:val="003A40E8"/>
    <w:rsid w:val="003A45CE"/>
    <w:rsid w:val="003A5BFC"/>
    <w:rsid w:val="003A7D1C"/>
    <w:rsid w:val="003B304B"/>
    <w:rsid w:val="003B3146"/>
    <w:rsid w:val="003B36EE"/>
    <w:rsid w:val="003B49CD"/>
    <w:rsid w:val="003B4CC2"/>
    <w:rsid w:val="003D1E02"/>
    <w:rsid w:val="003D23AA"/>
    <w:rsid w:val="003D563E"/>
    <w:rsid w:val="003D7564"/>
    <w:rsid w:val="003D75DB"/>
    <w:rsid w:val="003E38B8"/>
    <w:rsid w:val="003E44E9"/>
    <w:rsid w:val="003E46C2"/>
    <w:rsid w:val="003E7E61"/>
    <w:rsid w:val="003F015E"/>
    <w:rsid w:val="003F1AF3"/>
    <w:rsid w:val="003F53CA"/>
    <w:rsid w:val="003F6659"/>
    <w:rsid w:val="00400414"/>
    <w:rsid w:val="00401156"/>
    <w:rsid w:val="004022A4"/>
    <w:rsid w:val="00402D80"/>
    <w:rsid w:val="00402DB7"/>
    <w:rsid w:val="0041370F"/>
    <w:rsid w:val="0041446B"/>
    <w:rsid w:val="00417D7E"/>
    <w:rsid w:val="004251E7"/>
    <w:rsid w:val="0043384E"/>
    <w:rsid w:val="004348C4"/>
    <w:rsid w:val="00436FF2"/>
    <w:rsid w:val="004373C3"/>
    <w:rsid w:val="0044071E"/>
    <w:rsid w:val="004411F8"/>
    <w:rsid w:val="0044329C"/>
    <w:rsid w:val="004504A6"/>
    <w:rsid w:val="00453E24"/>
    <w:rsid w:val="00457456"/>
    <w:rsid w:val="004577FE"/>
    <w:rsid w:val="00457B9C"/>
    <w:rsid w:val="0046164A"/>
    <w:rsid w:val="004628D2"/>
    <w:rsid w:val="00462DCD"/>
    <w:rsid w:val="004648AD"/>
    <w:rsid w:val="00465C32"/>
    <w:rsid w:val="004703A9"/>
    <w:rsid w:val="00472CBF"/>
    <w:rsid w:val="00473D54"/>
    <w:rsid w:val="004760DE"/>
    <w:rsid w:val="004763D7"/>
    <w:rsid w:val="0048766A"/>
    <w:rsid w:val="0049021D"/>
    <w:rsid w:val="004A004E"/>
    <w:rsid w:val="004A0AD9"/>
    <w:rsid w:val="004A24CF"/>
    <w:rsid w:val="004A713C"/>
    <w:rsid w:val="004B506E"/>
    <w:rsid w:val="004B691C"/>
    <w:rsid w:val="004C3B32"/>
    <w:rsid w:val="004C3D1D"/>
    <w:rsid w:val="004C3D84"/>
    <w:rsid w:val="004C7913"/>
    <w:rsid w:val="004C7C09"/>
    <w:rsid w:val="004D2B2D"/>
    <w:rsid w:val="004D4861"/>
    <w:rsid w:val="004E388C"/>
    <w:rsid w:val="004E4DD6"/>
    <w:rsid w:val="004E572E"/>
    <w:rsid w:val="004E7A30"/>
    <w:rsid w:val="004F5E36"/>
    <w:rsid w:val="004F60A8"/>
    <w:rsid w:val="004F64E6"/>
    <w:rsid w:val="005009DD"/>
    <w:rsid w:val="00500A8B"/>
    <w:rsid w:val="00502FD2"/>
    <w:rsid w:val="005040C5"/>
    <w:rsid w:val="00506075"/>
    <w:rsid w:val="00507B47"/>
    <w:rsid w:val="00507BEF"/>
    <w:rsid w:val="00507CC9"/>
    <w:rsid w:val="005119A5"/>
    <w:rsid w:val="005278B7"/>
    <w:rsid w:val="00532016"/>
    <w:rsid w:val="0053462B"/>
    <w:rsid w:val="005346C8"/>
    <w:rsid w:val="00536B0F"/>
    <w:rsid w:val="00543084"/>
    <w:rsid w:val="00543E7D"/>
    <w:rsid w:val="0054431E"/>
    <w:rsid w:val="00544BDE"/>
    <w:rsid w:val="00547A68"/>
    <w:rsid w:val="0055218D"/>
    <w:rsid w:val="00552D06"/>
    <w:rsid w:val="005531C9"/>
    <w:rsid w:val="00554879"/>
    <w:rsid w:val="005615EE"/>
    <w:rsid w:val="005637DA"/>
    <w:rsid w:val="00565C07"/>
    <w:rsid w:val="00570C43"/>
    <w:rsid w:val="00575B3F"/>
    <w:rsid w:val="005771C5"/>
    <w:rsid w:val="00583005"/>
    <w:rsid w:val="00590D55"/>
    <w:rsid w:val="00591F2A"/>
    <w:rsid w:val="00592094"/>
    <w:rsid w:val="00592274"/>
    <w:rsid w:val="00593D01"/>
    <w:rsid w:val="005956B3"/>
    <w:rsid w:val="005964BC"/>
    <w:rsid w:val="00596818"/>
    <w:rsid w:val="00596CE4"/>
    <w:rsid w:val="005A448A"/>
    <w:rsid w:val="005B2110"/>
    <w:rsid w:val="005B2837"/>
    <w:rsid w:val="005B31A6"/>
    <w:rsid w:val="005B350B"/>
    <w:rsid w:val="005B50D8"/>
    <w:rsid w:val="005B61E6"/>
    <w:rsid w:val="005B6CB1"/>
    <w:rsid w:val="005C77E1"/>
    <w:rsid w:val="005D3AD8"/>
    <w:rsid w:val="005D668A"/>
    <w:rsid w:val="005D6A2F"/>
    <w:rsid w:val="005E0592"/>
    <w:rsid w:val="005E1A82"/>
    <w:rsid w:val="005E2ACD"/>
    <w:rsid w:val="005E4075"/>
    <w:rsid w:val="005E61EC"/>
    <w:rsid w:val="005E73FC"/>
    <w:rsid w:val="005E794C"/>
    <w:rsid w:val="005F039D"/>
    <w:rsid w:val="005F0A28"/>
    <w:rsid w:val="005F0E5E"/>
    <w:rsid w:val="005F1246"/>
    <w:rsid w:val="005F6AF7"/>
    <w:rsid w:val="005F73A7"/>
    <w:rsid w:val="005F7B5B"/>
    <w:rsid w:val="00600535"/>
    <w:rsid w:val="00610CD6"/>
    <w:rsid w:val="006115F7"/>
    <w:rsid w:val="00620DEE"/>
    <w:rsid w:val="00621F92"/>
    <w:rsid w:val="006222D4"/>
    <w:rsid w:val="0062280A"/>
    <w:rsid w:val="006231E1"/>
    <w:rsid w:val="00625639"/>
    <w:rsid w:val="00626342"/>
    <w:rsid w:val="00626415"/>
    <w:rsid w:val="00631676"/>
    <w:rsid w:val="00631B33"/>
    <w:rsid w:val="00640BB7"/>
    <w:rsid w:val="00640C3F"/>
    <w:rsid w:val="0064184D"/>
    <w:rsid w:val="006422CC"/>
    <w:rsid w:val="00644002"/>
    <w:rsid w:val="00644179"/>
    <w:rsid w:val="00646543"/>
    <w:rsid w:val="00646E58"/>
    <w:rsid w:val="00651285"/>
    <w:rsid w:val="00651D18"/>
    <w:rsid w:val="00654C8F"/>
    <w:rsid w:val="0065712D"/>
    <w:rsid w:val="00660E3E"/>
    <w:rsid w:val="00662E74"/>
    <w:rsid w:val="0066303E"/>
    <w:rsid w:val="006635E4"/>
    <w:rsid w:val="006673B4"/>
    <w:rsid w:val="00675F80"/>
    <w:rsid w:val="00677693"/>
    <w:rsid w:val="00680C23"/>
    <w:rsid w:val="00682DD9"/>
    <w:rsid w:val="00683E23"/>
    <w:rsid w:val="00693766"/>
    <w:rsid w:val="00695AFE"/>
    <w:rsid w:val="006A3281"/>
    <w:rsid w:val="006A6DE5"/>
    <w:rsid w:val="006B4888"/>
    <w:rsid w:val="006B4921"/>
    <w:rsid w:val="006B5F2C"/>
    <w:rsid w:val="006B6B6D"/>
    <w:rsid w:val="006C2E45"/>
    <w:rsid w:val="006C359C"/>
    <w:rsid w:val="006C5579"/>
    <w:rsid w:val="006D13CB"/>
    <w:rsid w:val="006D2464"/>
    <w:rsid w:val="006D6E8B"/>
    <w:rsid w:val="006D7209"/>
    <w:rsid w:val="006E1249"/>
    <w:rsid w:val="006E4039"/>
    <w:rsid w:val="006E5F4F"/>
    <w:rsid w:val="006E737D"/>
    <w:rsid w:val="006F7621"/>
    <w:rsid w:val="00707DD1"/>
    <w:rsid w:val="00707DD8"/>
    <w:rsid w:val="007111B4"/>
    <w:rsid w:val="00713973"/>
    <w:rsid w:val="00720A24"/>
    <w:rsid w:val="00732386"/>
    <w:rsid w:val="00733126"/>
    <w:rsid w:val="0073514D"/>
    <w:rsid w:val="00737634"/>
    <w:rsid w:val="00737EDC"/>
    <w:rsid w:val="007447F3"/>
    <w:rsid w:val="0075499F"/>
    <w:rsid w:val="00756240"/>
    <w:rsid w:val="00765EBD"/>
    <w:rsid w:val="007661C8"/>
    <w:rsid w:val="0077098D"/>
    <w:rsid w:val="0077213B"/>
    <w:rsid w:val="007725A1"/>
    <w:rsid w:val="00772ECE"/>
    <w:rsid w:val="007853C1"/>
    <w:rsid w:val="00785BF9"/>
    <w:rsid w:val="007931FA"/>
    <w:rsid w:val="00793401"/>
    <w:rsid w:val="007942A6"/>
    <w:rsid w:val="007A4861"/>
    <w:rsid w:val="007A7369"/>
    <w:rsid w:val="007A7BBA"/>
    <w:rsid w:val="007B0C50"/>
    <w:rsid w:val="007B11B8"/>
    <w:rsid w:val="007B48F9"/>
    <w:rsid w:val="007B7F6A"/>
    <w:rsid w:val="007C1A43"/>
    <w:rsid w:val="007D0951"/>
    <w:rsid w:val="007D0CA3"/>
    <w:rsid w:val="007D226C"/>
    <w:rsid w:val="007D59E6"/>
    <w:rsid w:val="007D610D"/>
    <w:rsid w:val="007D7AE7"/>
    <w:rsid w:val="007E28CA"/>
    <w:rsid w:val="007E5EE8"/>
    <w:rsid w:val="007E74E8"/>
    <w:rsid w:val="007F1CB2"/>
    <w:rsid w:val="007F218C"/>
    <w:rsid w:val="0080013E"/>
    <w:rsid w:val="00800C65"/>
    <w:rsid w:val="00801759"/>
    <w:rsid w:val="00813288"/>
    <w:rsid w:val="0081587D"/>
    <w:rsid w:val="00815D69"/>
    <w:rsid w:val="00816346"/>
    <w:rsid w:val="008168FC"/>
    <w:rsid w:val="0082077F"/>
    <w:rsid w:val="00822175"/>
    <w:rsid w:val="00823E50"/>
    <w:rsid w:val="00824E65"/>
    <w:rsid w:val="00827079"/>
    <w:rsid w:val="00830996"/>
    <w:rsid w:val="008345F1"/>
    <w:rsid w:val="008564FA"/>
    <w:rsid w:val="008617B9"/>
    <w:rsid w:val="00865B07"/>
    <w:rsid w:val="008667EA"/>
    <w:rsid w:val="00875B14"/>
    <w:rsid w:val="00875C89"/>
    <w:rsid w:val="0087637F"/>
    <w:rsid w:val="00885E32"/>
    <w:rsid w:val="008870B6"/>
    <w:rsid w:val="00892AD5"/>
    <w:rsid w:val="00893DC4"/>
    <w:rsid w:val="00895641"/>
    <w:rsid w:val="008A1512"/>
    <w:rsid w:val="008A2375"/>
    <w:rsid w:val="008A538D"/>
    <w:rsid w:val="008B421D"/>
    <w:rsid w:val="008B73C2"/>
    <w:rsid w:val="008C3E0B"/>
    <w:rsid w:val="008D32B9"/>
    <w:rsid w:val="008D433B"/>
    <w:rsid w:val="008D4A16"/>
    <w:rsid w:val="008D5664"/>
    <w:rsid w:val="008E099A"/>
    <w:rsid w:val="008E5401"/>
    <w:rsid w:val="008E566E"/>
    <w:rsid w:val="008F4486"/>
    <w:rsid w:val="008F5C44"/>
    <w:rsid w:val="0090161A"/>
    <w:rsid w:val="00901EB6"/>
    <w:rsid w:val="009041F8"/>
    <w:rsid w:val="00904C62"/>
    <w:rsid w:val="00907ADD"/>
    <w:rsid w:val="00916E47"/>
    <w:rsid w:val="00921924"/>
    <w:rsid w:val="00922BA8"/>
    <w:rsid w:val="00924DAC"/>
    <w:rsid w:val="00927058"/>
    <w:rsid w:val="009305EB"/>
    <w:rsid w:val="00942750"/>
    <w:rsid w:val="00944875"/>
    <w:rsid w:val="009450CE"/>
    <w:rsid w:val="009459BB"/>
    <w:rsid w:val="00947179"/>
    <w:rsid w:val="0095164B"/>
    <w:rsid w:val="00954090"/>
    <w:rsid w:val="00956D3C"/>
    <w:rsid w:val="009573E7"/>
    <w:rsid w:val="00963E05"/>
    <w:rsid w:val="00964A45"/>
    <w:rsid w:val="00967843"/>
    <w:rsid w:val="00967D54"/>
    <w:rsid w:val="00970F1E"/>
    <w:rsid w:val="00971028"/>
    <w:rsid w:val="00971C44"/>
    <w:rsid w:val="009765C1"/>
    <w:rsid w:val="00982069"/>
    <w:rsid w:val="0098236C"/>
    <w:rsid w:val="00983B40"/>
    <w:rsid w:val="00993B84"/>
    <w:rsid w:val="00994C6A"/>
    <w:rsid w:val="00996483"/>
    <w:rsid w:val="00996F5A"/>
    <w:rsid w:val="009A189B"/>
    <w:rsid w:val="009A309B"/>
    <w:rsid w:val="009B041A"/>
    <w:rsid w:val="009B3163"/>
    <w:rsid w:val="009B4944"/>
    <w:rsid w:val="009B6E57"/>
    <w:rsid w:val="009B7131"/>
    <w:rsid w:val="009C0D24"/>
    <w:rsid w:val="009C1885"/>
    <w:rsid w:val="009C37C3"/>
    <w:rsid w:val="009C444B"/>
    <w:rsid w:val="009C7C86"/>
    <w:rsid w:val="009D2FF7"/>
    <w:rsid w:val="009D61EC"/>
    <w:rsid w:val="009E1346"/>
    <w:rsid w:val="009E382C"/>
    <w:rsid w:val="009E7884"/>
    <w:rsid w:val="009E788A"/>
    <w:rsid w:val="009F0E08"/>
    <w:rsid w:val="009F2491"/>
    <w:rsid w:val="009F3900"/>
    <w:rsid w:val="00A0087B"/>
    <w:rsid w:val="00A00FD6"/>
    <w:rsid w:val="00A079AE"/>
    <w:rsid w:val="00A14FC2"/>
    <w:rsid w:val="00A1763D"/>
    <w:rsid w:val="00A17B27"/>
    <w:rsid w:val="00A17BE8"/>
    <w:rsid w:val="00A17CEC"/>
    <w:rsid w:val="00A20576"/>
    <w:rsid w:val="00A20A4D"/>
    <w:rsid w:val="00A27EF0"/>
    <w:rsid w:val="00A3201A"/>
    <w:rsid w:val="00A37DBC"/>
    <w:rsid w:val="00A40775"/>
    <w:rsid w:val="00A42361"/>
    <w:rsid w:val="00A43111"/>
    <w:rsid w:val="00A47A1E"/>
    <w:rsid w:val="00A50B20"/>
    <w:rsid w:val="00A51390"/>
    <w:rsid w:val="00A52FFF"/>
    <w:rsid w:val="00A56D9F"/>
    <w:rsid w:val="00A60D13"/>
    <w:rsid w:val="00A61A04"/>
    <w:rsid w:val="00A6384E"/>
    <w:rsid w:val="00A7223D"/>
    <w:rsid w:val="00A72745"/>
    <w:rsid w:val="00A76EFC"/>
    <w:rsid w:val="00A87765"/>
    <w:rsid w:val="00A87BBB"/>
    <w:rsid w:val="00A87D50"/>
    <w:rsid w:val="00A91010"/>
    <w:rsid w:val="00A97F29"/>
    <w:rsid w:val="00AA181A"/>
    <w:rsid w:val="00AA4518"/>
    <w:rsid w:val="00AA702E"/>
    <w:rsid w:val="00AA730A"/>
    <w:rsid w:val="00AA7D19"/>
    <w:rsid w:val="00AA7D26"/>
    <w:rsid w:val="00AB0964"/>
    <w:rsid w:val="00AB09E1"/>
    <w:rsid w:val="00AB0EC4"/>
    <w:rsid w:val="00AB5011"/>
    <w:rsid w:val="00AB64B6"/>
    <w:rsid w:val="00AC2842"/>
    <w:rsid w:val="00AC7368"/>
    <w:rsid w:val="00AC73A4"/>
    <w:rsid w:val="00AC7AE5"/>
    <w:rsid w:val="00AD16B9"/>
    <w:rsid w:val="00AD1C3E"/>
    <w:rsid w:val="00AD2FEE"/>
    <w:rsid w:val="00AD31E3"/>
    <w:rsid w:val="00AD7F35"/>
    <w:rsid w:val="00AD7F8D"/>
    <w:rsid w:val="00AE2B27"/>
    <w:rsid w:val="00AE377D"/>
    <w:rsid w:val="00AE53B9"/>
    <w:rsid w:val="00AF0EBA"/>
    <w:rsid w:val="00AF2463"/>
    <w:rsid w:val="00AF347D"/>
    <w:rsid w:val="00AF6772"/>
    <w:rsid w:val="00B02C8A"/>
    <w:rsid w:val="00B05560"/>
    <w:rsid w:val="00B14F1B"/>
    <w:rsid w:val="00B17FBD"/>
    <w:rsid w:val="00B2224A"/>
    <w:rsid w:val="00B225E2"/>
    <w:rsid w:val="00B22888"/>
    <w:rsid w:val="00B23415"/>
    <w:rsid w:val="00B256EB"/>
    <w:rsid w:val="00B25760"/>
    <w:rsid w:val="00B25B72"/>
    <w:rsid w:val="00B30B42"/>
    <w:rsid w:val="00B315A6"/>
    <w:rsid w:val="00B31813"/>
    <w:rsid w:val="00B33365"/>
    <w:rsid w:val="00B35A4A"/>
    <w:rsid w:val="00B366F6"/>
    <w:rsid w:val="00B37357"/>
    <w:rsid w:val="00B37CFE"/>
    <w:rsid w:val="00B37FED"/>
    <w:rsid w:val="00B426E1"/>
    <w:rsid w:val="00B55E29"/>
    <w:rsid w:val="00B56CEF"/>
    <w:rsid w:val="00B57B36"/>
    <w:rsid w:val="00B57E6F"/>
    <w:rsid w:val="00B62B88"/>
    <w:rsid w:val="00B66904"/>
    <w:rsid w:val="00B769CF"/>
    <w:rsid w:val="00B77C30"/>
    <w:rsid w:val="00B80D63"/>
    <w:rsid w:val="00B8686D"/>
    <w:rsid w:val="00B910E8"/>
    <w:rsid w:val="00B91F28"/>
    <w:rsid w:val="00B91FDB"/>
    <w:rsid w:val="00B93F69"/>
    <w:rsid w:val="00B953F6"/>
    <w:rsid w:val="00BB1DDC"/>
    <w:rsid w:val="00BB32ED"/>
    <w:rsid w:val="00BC30C9"/>
    <w:rsid w:val="00BC57C2"/>
    <w:rsid w:val="00BD077D"/>
    <w:rsid w:val="00BD30C2"/>
    <w:rsid w:val="00BD789D"/>
    <w:rsid w:val="00BE19A3"/>
    <w:rsid w:val="00BE2A45"/>
    <w:rsid w:val="00BE3E58"/>
    <w:rsid w:val="00BE52EE"/>
    <w:rsid w:val="00BF13CE"/>
    <w:rsid w:val="00C01616"/>
    <w:rsid w:val="00C0162B"/>
    <w:rsid w:val="00C036BD"/>
    <w:rsid w:val="00C05217"/>
    <w:rsid w:val="00C068ED"/>
    <w:rsid w:val="00C1213F"/>
    <w:rsid w:val="00C1606F"/>
    <w:rsid w:val="00C22E0C"/>
    <w:rsid w:val="00C23F2B"/>
    <w:rsid w:val="00C30ECE"/>
    <w:rsid w:val="00C31866"/>
    <w:rsid w:val="00C32FB9"/>
    <w:rsid w:val="00C34482"/>
    <w:rsid w:val="00C345B1"/>
    <w:rsid w:val="00C37C5C"/>
    <w:rsid w:val="00C40142"/>
    <w:rsid w:val="00C402A1"/>
    <w:rsid w:val="00C43DD3"/>
    <w:rsid w:val="00C44135"/>
    <w:rsid w:val="00C52C3C"/>
    <w:rsid w:val="00C54F62"/>
    <w:rsid w:val="00C54FA6"/>
    <w:rsid w:val="00C55904"/>
    <w:rsid w:val="00C57182"/>
    <w:rsid w:val="00C57863"/>
    <w:rsid w:val="00C640AF"/>
    <w:rsid w:val="00C655FD"/>
    <w:rsid w:val="00C66763"/>
    <w:rsid w:val="00C75407"/>
    <w:rsid w:val="00C75A2A"/>
    <w:rsid w:val="00C81FA7"/>
    <w:rsid w:val="00C841C6"/>
    <w:rsid w:val="00C850E1"/>
    <w:rsid w:val="00C85C35"/>
    <w:rsid w:val="00C870A8"/>
    <w:rsid w:val="00C94434"/>
    <w:rsid w:val="00CA01B4"/>
    <w:rsid w:val="00CA0D75"/>
    <w:rsid w:val="00CA1C95"/>
    <w:rsid w:val="00CA530A"/>
    <w:rsid w:val="00CA5A9C"/>
    <w:rsid w:val="00CA6DA4"/>
    <w:rsid w:val="00CA7D8C"/>
    <w:rsid w:val="00CB0E05"/>
    <w:rsid w:val="00CB0FCA"/>
    <w:rsid w:val="00CB2502"/>
    <w:rsid w:val="00CB5688"/>
    <w:rsid w:val="00CC4C20"/>
    <w:rsid w:val="00CC6C91"/>
    <w:rsid w:val="00CD3517"/>
    <w:rsid w:val="00CD3D9E"/>
    <w:rsid w:val="00CD41C3"/>
    <w:rsid w:val="00CD4B44"/>
    <w:rsid w:val="00CD5FE2"/>
    <w:rsid w:val="00CE0A5F"/>
    <w:rsid w:val="00CE1655"/>
    <w:rsid w:val="00CE284F"/>
    <w:rsid w:val="00CE693F"/>
    <w:rsid w:val="00CE7C68"/>
    <w:rsid w:val="00CE7C7C"/>
    <w:rsid w:val="00CF33EA"/>
    <w:rsid w:val="00CF4696"/>
    <w:rsid w:val="00D02B4C"/>
    <w:rsid w:val="00D040C4"/>
    <w:rsid w:val="00D10498"/>
    <w:rsid w:val="00D146B6"/>
    <w:rsid w:val="00D20AD1"/>
    <w:rsid w:val="00D22086"/>
    <w:rsid w:val="00D252D4"/>
    <w:rsid w:val="00D2582C"/>
    <w:rsid w:val="00D41895"/>
    <w:rsid w:val="00D43E17"/>
    <w:rsid w:val="00D44902"/>
    <w:rsid w:val="00D46B7E"/>
    <w:rsid w:val="00D47CDC"/>
    <w:rsid w:val="00D57C84"/>
    <w:rsid w:val="00D6057D"/>
    <w:rsid w:val="00D71640"/>
    <w:rsid w:val="00D73A9E"/>
    <w:rsid w:val="00D76A9D"/>
    <w:rsid w:val="00D8361B"/>
    <w:rsid w:val="00D836C5"/>
    <w:rsid w:val="00D84576"/>
    <w:rsid w:val="00D85F5A"/>
    <w:rsid w:val="00D91FB6"/>
    <w:rsid w:val="00D92EA6"/>
    <w:rsid w:val="00DA1399"/>
    <w:rsid w:val="00DA24C6"/>
    <w:rsid w:val="00DA4D7B"/>
    <w:rsid w:val="00DA7596"/>
    <w:rsid w:val="00DB42B9"/>
    <w:rsid w:val="00DB45AB"/>
    <w:rsid w:val="00DB48EB"/>
    <w:rsid w:val="00DC2840"/>
    <w:rsid w:val="00DC73EE"/>
    <w:rsid w:val="00DC7FC2"/>
    <w:rsid w:val="00DD271C"/>
    <w:rsid w:val="00DD3A2A"/>
    <w:rsid w:val="00DD416B"/>
    <w:rsid w:val="00DD6652"/>
    <w:rsid w:val="00DE264A"/>
    <w:rsid w:val="00DE34A7"/>
    <w:rsid w:val="00DF1A7E"/>
    <w:rsid w:val="00DF2BDE"/>
    <w:rsid w:val="00DF5072"/>
    <w:rsid w:val="00DF5125"/>
    <w:rsid w:val="00DF53D0"/>
    <w:rsid w:val="00DF563B"/>
    <w:rsid w:val="00DF6052"/>
    <w:rsid w:val="00E02D18"/>
    <w:rsid w:val="00E041E7"/>
    <w:rsid w:val="00E063AC"/>
    <w:rsid w:val="00E1388B"/>
    <w:rsid w:val="00E2200F"/>
    <w:rsid w:val="00E22CB0"/>
    <w:rsid w:val="00E23CA1"/>
    <w:rsid w:val="00E31556"/>
    <w:rsid w:val="00E32EBE"/>
    <w:rsid w:val="00E3586B"/>
    <w:rsid w:val="00E409A8"/>
    <w:rsid w:val="00E41873"/>
    <w:rsid w:val="00E458D8"/>
    <w:rsid w:val="00E45D3D"/>
    <w:rsid w:val="00E50C12"/>
    <w:rsid w:val="00E55DBB"/>
    <w:rsid w:val="00E574CE"/>
    <w:rsid w:val="00E61EDC"/>
    <w:rsid w:val="00E65B91"/>
    <w:rsid w:val="00E7209D"/>
    <w:rsid w:val="00E7244A"/>
    <w:rsid w:val="00E72EAD"/>
    <w:rsid w:val="00E77223"/>
    <w:rsid w:val="00E818A3"/>
    <w:rsid w:val="00E8528B"/>
    <w:rsid w:val="00E85B94"/>
    <w:rsid w:val="00E867F2"/>
    <w:rsid w:val="00E978D0"/>
    <w:rsid w:val="00EA4613"/>
    <w:rsid w:val="00EA7F37"/>
    <w:rsid w:val="00EA7F91"/>
    <w:rsid w:val="00EB012F"/>
    <w:rsid w:val="00EB1523"/>
    <w:rsid w:val="00EC0427"/>
    <w:rsid w:val="00EC0E49"/>
    <w:rsid w:val="00EC101F"/>
    <w:rsid w:val="00EC1D9F"/>
    <w:rsid w:val="00EC277E"/>
    <w:rsid w:val="00EC7BF8"/>
    <w:rsid w:val="00ED64AA"/>
    <w:rsid w:val="00EE0131"/>
    <w:rsid w:val="00EE17B0"/>
    <w:rsid w:val="00EF06D9"/>
    <w:rsid w:val="00EF4681"/>
    <w:rsid w:val="00EF7444"/>
    <w:rsid w:val="00F021F0"/>
    <w:rsid w:val="00F02882"/>
    <w:rsid w:val="00F046E5"/>
    <w:rsid w:val="00F05323"/>
    <w:rsid w:val="00F06F5D"/>
    <w:rsid w:val="00F10D89"/>
    <w:rsid w:val="00F12E48"/>
    <w:rsid w:val="00F13A3B"/>
    <w:rsid w:val="00F17169"/>
    <w:rsid w:val="00F235A2"/>
    <w:rsid w:val="00F24106"/>
    <w:rsid w:val="00F24DB5"/>
    <w:rsid w:val="00F3049E"/>
    <w:rsid w:val="00F30C64"/>
    <w:rsid w:val="00F31173"/>
    <w:rsid w:val="00F32BA2"/>
    <w:rsid w:val="00F32CDB"/>
    <w:rsid w:val="00F35476"/>
    <w:rsid w:val="00F375DA"/>
    <w:rsid w:val="00F41423"/>
    <w:rsid w:val="00F41EE4"/>
    <w:rsid w:val="00F445E6"/>
    <w:rsid w:val="00F44722"/>
    <w:rsid w:val="00F46ECB"/>
    <w:rsid w:val="00F565FE"/>
    <w:rsid w:val="00F571B2"/>
    <w:rsid w:val="00F63A70"/>
    <w:rsid w:val="00F63D8C"/>
    <w:rsid w:val="00F70E63"/>
    <w:rsid w:val="00F71118"/>
    <w:rsid w:val="00F7534E"/>
    <w:rsid w:val="00F75AAA"/>
    <w:rsid w:val="00F77D5A"/>
    <w:rsid w:val="00F80DA8"/>
    <w:rsid w:val="00F82DE7"/>
    <w:rsid w:val="00F849BF"/>
    <w:rsid w:val="00F854AD"/>
    <w:rsid w:val="00F93EDF"/>
    <w:rsid w:val="00F967A4"/>
    <w:rsid w:val="00F973B3"/>
    <w:rsid w:val="00FA1802"/>
    <w:rsid w:val="00FA21D0"/>
    <w:rsid w:val="00FA4F5D"/>
    <w:rsid w:val="00FA5F5F"/>
    <w:rsid w:val="00FA6FF6"/>
    <w:rsid w:val="00FA76B8"/>
    <w:rsid w:val="00FB1B3E"/>
    <w:rsid w:val="00FB730C"/>
    <w:rsid w:val="00FC2695"/>
    <w:rsid w:val="00FC3E03"/>
    <w:rsid w:val="00FC3FC1"/>
    <w:rsid w:val="00FD2500"/>
    <w:rsid w:val="00FF3B31"/>
    <w:rsid w:val="00FF6D05"/>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2365253E-5F18-41B3-9088-91F40276B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styleId="PlaceholderText">
    <w:name w:val="Placeholder Text"/>
    <w:basedOn w:val="DefaultParagraphFont"/>
    <w:uiPriority w:val="99"/>
    <w:semiHidden/>
    <w:rsid w:val="00EF4681"/>
    <w:rPr>
      <w:color w:val="666666"/>
    </w:rPr>
  </w:style>
  <w:style w:type="character" w:styleId="UnresolvedMention">
    <w:name w:val="Unresolved Mention"/>
    <w:basedOn w:val="DefaultParagraphFont"/>
    <w:uiPriority w:val="99"/>
    <w:semiHidden/>
    <w:unhideWhenUsed/>
    <w:rsid w:val="00402D80"/>
    <w:rPr>
      <w:color w:val="605E5C"/>
      <w:shd w:val="clear" w:color="auto" w:fill="E1DFDD"/>
    </w:rPr>
  </w:style>
  <w:style w:type="paragraph" w:styleId="Revision">
    <w:name w:val="Revision"/>
    <w:hidden/>
    <w:uiPriority w:val="99"/>
    <w:semiHidden/>
    <w:rsid w:val="00CB0E05"/>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442931">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9124691">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887170">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59826957">
      <w:bodyDiv w:val="1"/>
      <w:marLeft w:val="0"/>
      <w:marRight w:val="0"/>
      <w:marTop w:val="0"/>
      <w:marBottom w:val="0"/>
      <w:divBdr>
        <w:top w:val="none" w:sz="0" w:space="0" w:color="auto"/>
        <w:left w:val="none" w:sz="0" w:space="0" w:color="auto"/>
        <w:bottom w:val="none" w:sz="0" w:space="0" w:color="auto"/>
        <w:right w:val="none" w:sz="0" w:space="0" w:color="auto"/>
      </w:divBdr>
    </w:div>
    <w:div w:id="1612471718">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E75F5A-0AA1-4027-8DE7-84C307FDA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6</Pages>
  <Words>3662</Words>
  <Characters>20875</Characters>
  <Application>Microsoft Office Word</Application>
  <DocSecurity>0</DocSecurity>
  <Lines>173</Lines>
  <Paragraphs>48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Pietro Giustacori</cp:lastModifiedBy>
  <cp:revision>13</cp:revision>
  <cp:lastPrinted>2024-12-13T16:31:00Z</cp:lastPrinted>
  <dcterms:created xsi:type="dcterms:W3CDTF">2025-02-10T14:44:00Z</dcterms:created>
  <dcterms:modified xsi:type="dcterms:W3CDTF">2025-02-20T07:56:00Z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e66c7977e569973fec10ef7ca1cf07aa5be6ffc00523a232d96f9c3ff318c8d6</vt:lpwstr>
  </property>
</Properties>
</file>