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2414A5" w14:paraId="2A131A54" w14:textId="77777777" w:rsidTr="00647275">
        <w:trPr>
          <w:trHeight w:val="852"/>
          <w:jc w:val="center"/>
        </w:trPr>
        <w:tc>
          <w:tcPr>
            <w:tcW w:w="6940" w:type="dxa"/>
            <w:vMerge w:val="restart"/>
            <w:tcBorders>
              <w:right w:val="single" w:sz="4" w:space="0" w:color="auto"/>
            </w:tcBorders>
          </w:tcPr>
          <w:p w14:paraId="38C3D2BA" w14:textId="77777777" w:rsidR="000A03B2" w:rsidRPr="002414A5" w:rsidRDefault="000A03B2" w:rsidP="00DE264A">
            <w:pPr>
              <w:tabs>
                <w:tab w:val="left" w:pos="-108"/>
              </w:tabs>
              <w:ind w:left="-108"/>
              <w:jc w:val="left"/>
              <w:rPr>
                <w:rFonts w:cs="Arial"/>
                <w:b/>
                <w:bCs/>
                <w:i/>
                <w:iCs/>
                <w:color w:val="000066"/>
                <w:sz w:val="12"/>
                <w:szCs w:val="12"/>
                <w:lang w:val="en-US" w:eastAsia="it-IT"/>
              </w:rPr>
            </w:pPr>
            <w:bookmarkStart w:id="0" w:name="_Hlk189820249"/>
            <w:bookmarkStart w:id="1" w:name="_Hlk145068772"/>
            <w:bookmarkEnd w:id="0"/>
            <w:r w:rsidRPr="002414A5">
              <w:rPr>
                <w:rFonts w:ascii="AdvP6960" w:hAnsi="AdvP6960" w:cs="AdvP6960"/>
                <w:noProof/>
                <w:color w:val="241F20"/>
                <w:szCs w:val="18"/>
                <w:lang w:val="en-US"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2414A5">
              <w:rPr>
                <w:rFonts w:ascii="AdvP6960" w:hAnsi="AdvP6960" w:cs="AdvP6960"/>
                <w:color w:val="241F20"/>
                <w:szCs w:val="18"/>
                <w:lang w:val="en-US" w:eastAsia="it-IT"/>
              </w:rPr>
              <w:t xml:space="preserve"> </w:t>
            </w:r>
            <w:r w:rsidRPr="002414A5">
              <w:rPr>
                <w:rFonts w:cs="Arial"/>
                <w:b/>
                <w:bCs/>
                <w:i/>
                <w:iCs/>
                <w:color w:val="000066"/>
                <w:sz w:val="24"/>
                <w:szCs w:val="24"/>
                <w:lang w:val="en-US" w:eastAsia="it-IT"/>
              </w:rPr>
              <w:t>CHEMICAL ENGINEERING</w:t>
            </w:r>
            <w:r w:rsidRPr="002414A5">
              <w:rPr>
                <w:rFonts w:cs="Arial"/>
                <w:b/>
                <w:bCs/>
                <w:i/>
                <w:iCs/>
                <w:color w:val="0033FF"/>
                <w:sz w:val="24"/>
                <w:szCs w:val="24"/>
                <w:lang w:val="en-US" w:eastAsia="it-IT"/>
              </w:rPr>
              <w:t xml:space="preserve"> </w:t>
            </w:r>
            <w:r w:rsidRPr="002414A5">
              <w:rPr>
                <w:rFonts w:cs="Arial"/>
                <w:b/>
                <w:bCs/>
                <w:i/>
                <w:iCs/>
                <w:color w:val="666666"/>
                <w:sz w:val="24"/>
                <w:szCs w:val="24"/>
                <w:lang w:val="en-US" w:eastAsia="it-IT"/>
              </w:rPr>
              <w:t>TRANSACTIONS</w:t>
            </w:r>
            <w:r w:rsidRPr="002414A5">
              <w:rPr>
                <w:color w:val="333333"/>
                <w:sz w:val="24"/>
                <w:szCs w:val="24"/>
                <w:lang w:val="en-US" w:eastAsia="it-IT"/>
              </w:rPr>
              <w:t xml:space="preserve"> </w:t>
            </w:r>
            <w:r w:rsidRPr="002414A5">
              <w:rPr>
                <w:rFonts w:cs="Arial"/>
                <w:b/>
                <w:bCs/>
                <w:i/>
                <w:iCs/>
                <w:color w:val="000066"/>
                <w:sz w:val="27"/>
                <w:szCs w:val="27"/>
                <w:lang w:val="en-US" w:eastAsia="it-IT"/>
              </w:rPr>
              <w:br/>
            </w:r>
          </w:p>
          <w:p w14:paraId="4B780582" w14:textId="47EF826C" w:rsidR="000A03B2" w:rsidRPr="002414A5" w:rsidRDefault="00A76EFC" w:rsidP="001D21AF">
            <w:pPr>
              <w:tabs>
                <w:tab w:val="left" w:pos="-108"/>
              </w:tabs>
              <w:ind w:left="-108"/>
              <w:rPr>
                <w:rFonts w:cs="Arial"/>
                <w:b/>
                <w:bCs/>
                <w:i/>
                <w:iCs/>
                <w:color w:val="000066"/>
                <w:sz w:val="22"/>
                <w:szCs w:val="22"/>
                <w:lang w:val="en-US" w:eastAsia="it-IT"/>
              </w:rPr>
            </w:pPr>
            <w:r w:rsidRPr="002414A5">
              <w:rPr>
                <w:rFonts w:cs="Arial"/>
                <w:b/>
                <w:bCs/>
                <w:i/>
                <w:iCs/>
                <w:color w:val="000066"/>
                <w:sz w:val="22"/>
                <w:szCs w:val="22"/>
                <w:lang w:val="en-US" w:eastAsia="it-IT"/>
              </w:rPr>
              <w:t>VOL.</w:t>
            </w:r>
            <w:r w:rsidR="00785BF9" w:rsidRPr="002414A5">
              <w:rPr>
                <w:rFonts w:cs="Arial"/>
                <w:b/>
                <w:bCs/>
                <w:i/>
                <w:iCs/>
                <w:color w:val="000066"/>
                <w:sz w:val="22"/>
                <w:szCs w:val="22"/>
                <w:lang w:val="en-US" w:eastAsia="it-IT"/>
              </w:rPr>
              <w:t xml:space="preserve"> </w:t>
            </w:r>
            <w:r w:rsidR="00994C6A" w:rsidRPr="002414A5">
              <w:rPr>
                <w:rFonts w:cs="Arial"/>
                <w:b/>
                <w:bCs/>
                <w:i/>
                <w:iCs/>
                <w:color w:val="000066"/>
                <w:sz w:val="22"/>
                <w:szCs w:val="22"/>
                <w:lang w:val="en-US" w:eastAsia="it-IT"/>
              </w:rPr>
              <w:t>xxx</w:t>
            </w:r>
            <w:r w:rsidR="007B48F9" w:rsidRPr="002414A5">
              <w:rPr>
                <w:rFonts w:cs="Arial"/>
                <w:b/>
                <w:bCs/>
                <w:i/>
                <w:iCs/>
                <w:color w:val="000066"/>
                <w:sz w:val="22"/>
                <w:szCs w:val="22"/>
                <w:lang w:val="en-US" w:eastAsia="it-IT"/>
              </w:rPr>
              <w:t>,</w:t>
            </w:r>
            <w:r w:rsidR="00FA5F5F" w:rsidRPr="002414A5">
              <w:rPr>
                <w:rFonts w:cs="Arial"/>
                <w:b/>
                <w:bCs/>
                <w:i/>
                <w:iCs/>
                <w:color w:val="000066"/>
                <w:sz w:val="22"/>
                <w:szCs w:val="22"/>
                <w:lang w:val="en-US" w:eastAsia="it-IT"/>
              </w:rPr>
              <w:t xml:space="preserve"> </w:t>
            </w:r>
            <w:r w:rsidR="0030152C" w:rsidRPr="002414A5">
              <w:rPr>
                <w:rFonts w:cs="Arial"/>
                <w:b/>
                <w:bCs/>
                <w:i/>
                <w:iCs/>
                <w:color w:val="000066"/>
                <w:sz w:val="22"/>
                <w:szCs w:val="22"/>
                <w:lang w:val="en-US" w:eastAsia="it-IT"/>
              </w:rPr>
              <w:t>202</w:t>
            </w:r>
            <w:r w:rsidR="00994C6A" w:rsidRPr="002414A5">
              <w:rPr>
                <w:rFonts w:cs="Arial"/>
                <w:b/>
                <w:bCs/>
                <w:i/>
                <w:iCs/>
                <w:color w:val="000066"/>
                <w:sz w:val="22"/>
                <w:szCs w:val="22"/>
                <w:lang w:val="en-US" w:eastAsia="it-IT"/>
              </w:rPr>
              <w:t>5</w:t>
            </w:r>
          </w:p>
        </w:tc>
        <w:tc>
          <w:tcPr>
            <w:tcW w:w="1842" w:type="dxa"/>
            <w:tcBorders>
              <w:left w:val="single" w:sz="4" w:space="0" w:color="auto"/>
              <w:bottom w:val="nil"/>
              <w:right w:val="single" w:sz="4" w:space="0" w:color="auto"/>
            </w:tcBorders>
          </w:tcPr>
          <w:p w14:paraId="56782132" w14:textId="77777777" w:rsidR="000A03B2" w:rsidRPr="002414A5" w:rsidRDefault="000A03B2" w:rsidP="00CD5FE2">
            <w:pPr>
              <w:spacing w:line="140" w:lineRule="atLeast"/>
              <w:jc w:val="right"/>
              <w:rPr>
                <w:rFonts w:cs="Arial"/>
                <w:sz w:val="14"/>
                <w:szCs w:val="14"/>
                <w:lang w:val="en-US"/>
              </w:rPr>
            </w:pPr>
            <w:r w:rsidRPr="002414A5">
              <w:rPr>
                <w:rFonts w:cs="Arial"/>
                <w:sz w:val="14"/>
                <w:szCs w:val="14"/>
                <w:lang w:val="en-US"/>
              </w:rPr>
              <w:t>A publication of</w:t>
            </w:r>
          </w:p>
          <w:p w14:paraId="599E5441" w14:textId="77777777" w:rsidR="000A03B2" w:rsidRPr="002414A5" w:rsidRDefault="000A03B2" w:rsidP="00CD5FE2">
            <w:pPr>
              <w:jc w:val="right"/>
              <w:rPr>
                <w:lang w:val="en-US"/>
              </w:rPr>
            </w:pPr>
            <w:r w:rsidRPr="002414A5">
              <w:rPr>
                <w:noProof/>
                <w:lang w:val="en-US"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2414A5" w14:paraId="380FA3CD" w14:textId="77777777" w:rsidTr="00647275">
        <w:trPr>
          <w:trHeight w:val="567"/>
          <w:jc w:val="center"/>
        </w:trPr>
        <w:tc>
          <w:tcPr>
            <w:tcW w:w="6940" w:type="dxa"/>
            <w:vMerge/>
            <w:tcBorders>
              <w:right w:val="single" w:sz="4" w:space="0" w:color="auto"/>
            </w:tcBorders>
          </w:tcPr>
          <w:p w14:paraId="39E5E4C1" w14:textId="77777777" w:rsidR="000A03B2" w:rsidRPr="002414A5" w:rsidRDefault="000A03B2" w:rsidP="00CD5FE2">
            <w:pPr>
              <w:tabs>
                <w:tab w:val="left" w:pos="-108"/>
              </w:tabs>
              <w:rPr>
                <w:lang w:val="en-US"/>
              </w:rPr>
            </w:pPr>
          </w:p>
        </w:tc>
        <w:tc>
          <w:tcPr>
            <w:tcW w:w="1842" w:type="dxa"/>
            <w:tcBorders>
              <w:left w:val="single" w:sz="4" w:space="0" w:color="auto"/>
              <w:bottom w:val="nil"/>
              <w:right w:val="single" w:sz="4" w:space="0" w:color="auto"/>
            </w:tcBorders>
          </w:tcPr>
          <w:p w14:paraId="43858A98" w14:textId="77777777" w:rsidR="000A03B2" w:rsidRPr="002414A5" w:rsidRDefault="000A03B2" w:rsidP="00CD5FE2">
            <w:pPr>
              <w:spacing w:line="140" w:lineRule="atLeast"/>
              <w:jc w:val="right"/>
              <w:rPr>
                <w:rFonts w:cs="Arial"/>
                <w:sz w:val="14"/>
                <w:szCs w:val="14"/>
                <w:lang w:val="en-US"/>
              </w:rPr>
            </w:pPr>
            <w:r w:rsidRPr="002414A5">
              <w:rPr>
                <w:rFonts w:cs="Arial"/>
                <w:sz w:val="14"/>
                <w:szCs w:val="14"/>
                <w:lang w:val="en-US"/>
              </w:rPr>
              <w:t>The Italian Association</w:t>
            </w:r>
          </w:p>
          <w:p w14:paraId="7522B1D2" w14:textId="77777777" w:rsidR="000A03B2" w:rsidRPr="002414A5" w:rsidRDefault="000A03B2" w:rsidP="00CD5FE2">
            <w:pPr>
              <w:spacing w:line="140" w:lineRule="atLeast"/>
              <w:jc w:val="right"/>
              <w:rPr>
                <w:rFonts w:cs="Arial"/>
                <w:sz w:val="14"/>
                <w:szCs w:val="14"/>
                <w:lang w:val="en-US"/>
              </w:rPr>
            </w:pPr>
            <w:r w:rsidRPr="002414A5">
              <w:rPr>
                <w:rFonts w:cs="Arial"/>
                <w:sz w:val="14"/>
                <w:szCs w:val="14"/>
                <w:lang w:val="en-US"/>
              </w:rPr>
              <w:t>of Chemical Engineering</w:t>
            </w:r>
          </w:p>
          <w:p w14:paraId="4F0CC5DE" w14:textId="47FDB2FC" w:rsidR="000A03B2" w:rsidRPr="002414A5" w:rsidRDefault="000D0268" w:rsidP="00CD5FE2">
            <w:pPr>
              <w:spacing w:line="140" w:lineRule="atLeast"/>
              <w:jc w:val="right"/>
              <w:rPr>
                <w:rFonts w:cs="Arial"/>
                <w:sz w:val="13"/>
                <w:szCs w:val="13"/>
                <w:lang w:val="en-US"/>
              </w:rPr>
            </w:pPr>
            <w:r w:rsidRPr="002414A5">
              <w:rPr>
                <w:rFonts w:cs="Arial"/>
                <w:sz w:val="13"/>
                <w:szCs w:val="13"/>
                <w:lang w:val="en-US"/>
              </w:rPr>
              <w:t>Online at www.cetjournal.it</w:t>
            </w:r>
          </w:p>
        </w:tc>
      </w:tr>
      <w:tr w:rsidR="000A03B2" w:rsidRPr="002414A5" w14:paraId="2D1B7169" w14:textId="77777777" w:rsidTr="00647275">
        <w:trPr>
          <w:trHeight w:val="68"/>
          <w:jc w:val="center"/>
        </w:trPr>
        <w:tc>
          <w:tcPr>
            <w:tcW w:w="8782" w:type="dxa"/>
            <w:gridSpan w:val="2"/>
          </w:tcPr>
          <w:p w14:paraId="1D8DD3C9" w14:textId="025D7B18" w:rsidR="00AA7D26" w:rsidRPr="00B34906" w:rsidRDefault="00AA7D26" w:rsidP="007D610D">
            <w:pPr>
              <w:ind w:left="-107"/>
              <w:outlineLvl w:val="2"/>
              <w:rPr>
                <w:rFonts w:ascii="Tahoma" w:hAnsi="Tahoma" w:cs="Tahoma"/>
                <w:color w:val="000000"/>
                <w:sz w:val="14"/>
                <w:szCs w:val="14"/>
                <w:shd w:val="clear" w:color="auto" w:fill="FFFFFF"/>
                <w:lang w:val="it-IT"/>
              </w:rPr>
            </w:pPr>
            <w:r w:rsidRPr="00B34906">
              <w:rPr>
                <w:rFonts w:ascii="Tahoma" w:hAnsi="Tahoma" w:cs="Tahoma"/>
                <w:iCs/>
                <w:color w:val="333333"/>
                <w:sz w:val="14"/>
                <w:szCs w:val="14"/>
                <w:lang w:val="it-IT" w:eastAsia="it-IT"/>
              </w:rPr>
              <w:t>Guest Editors:</w:t>
            </w:r>
            <w:r w:rsidR="007D610D" w:rsidRPr="00B34906">
              <w:rPr>
                <w:rFonts w:ascii="Aptos" w:eastAsiaTheme="minorHAnsi" w:hAnsi="Aptos" w:cs="Aptos"/>
                <w:sz w:val="22"/>
                <w:szCs w:val="22"/>
                <w:lang w:val="it-IT"/>
                <w14:ligatures w14:val="standardContextual"/>
              </w:rPr>
              <w:t xml:space="preserve"> </w:t>
            </w:r>
            <w:r w:rsidR="007D610D" w:rsidRPr="00B34906">
              <w:rPr>
                <w:rFonts w:ascii="Tahoma" w:hAnsi="Tahoma" w:cs="Tahoma"/>
                <w:color w:val="000000"/>
                <w:sz w:val="14"/>
                <w:szCs w:val="14"/>
                <w:shd w:val="clear" w:color="auto" w:fill="FFFFFF"/>
                <w:lang w:val="it-IT"/>
              </w:rPr>
              <w:t xml:space="preserve">Fabrizio Bezzo, </w:t>
            </w:r>
            <w:r w:rsidR="001D3D32" w:rsidRPr="00B34906">
              <w:rPr>
                <w:rFonts w:ascii="Tahoma" w:hAnsi="Tahoma" w:cs="Tahoma"/>
                <w:color w:val="000000"/>
                <w:sz w:val="14"/>
                <w:szCs w:val="14"/>
                <w:shd w:val="clear" w:color="auto" w:fill="FFFFFF"/>
                <w:lang w:val="it-IT"/>
              </w:rPr>
              <w:t>Flavio Manenti</w:t>
            </w:r>
            <w:r w:rsidR="00304CE8" w:rsidRPr="00B34906">
              <w:rPr>
                <w:rFonts w:ascii="Tahoma" w:hAnsi="Tahoma" w:cs="Tahoma"/>
                <w:color w:val="000000"/>
                <w:sz w:val="14"/>
                <w:szCs w:val="14"/>
                <w:shd w:val="clear" w:color="auto" w:fill="FFFFFF"/>
                <w:lang w:val="it-IT"/>
              </w:rPr>
              <w:t>,</w:t>
            </w:r>
            <w:r w:rsidR="001D3D32" w:rsidRPr="00B34906">
              <w:rPr>
                <w:rFonts w:ascii="Tahoma" w:hAnsi="Tahoma" w:cs="Tahoma"/>
                <w:color w:val="000000"/>
                <w:sz w:val="14"/>
                <w:szCs w:val="14"/>
                <w:shd w:val="clear" w:color="auto" w:fill="FFFFFF"/>
                <w:lang w:val="it-IT"/>
              </w:rPr>
              <w:t xml:space="preserve"> </w:t>
            </w:r>
            <w:r w:rsidR="007D610D" w:rsidRPr="00B34906">
              <w:rPr>
                <w:rFonts w:ascii="Tahoma" w:hAnsi="Tahoma" w:cs="Tahoma"/>
                <w:color w:val="000000"/>
                <w:sz w:val="14"/>
                <w:szCs w:val="14"/>
                <w:shd w:val="clear" w:color="auto" w:fill="FFFFFF"/>
                <w:lang w:val="it-IT"/>
              </w:rPr>
              <w:t>Gabriele Pannocchia, Almerinda di Benedetto</w:t>
            </w:r>
          </w:p>
          <w:p w14:paraId="1B0F1814" w14:textId="7C54DC3A" w:rsidR="000A03B2" w:rsidRPr="002414A5" w:rsidRDefault="00AA7D26" w:rsidP="00AA7D26">
            <w:pPr>
              <w:tabs>
                <w:tab w:val="left" w:pos="-108"/>
              </w:tabs>
              <w:spacing w:line="140" w:lineRule="atLeast"/>
              <w:ind w:left="-107"/>
              <w:jc w:val="left"/>
              <w:rPr>
                <w:lang w:val="en-US"/>
              </w:rPr>
            </w:pPr>
            <w:r w:rsidRPr="002414A5">
              <w:rPr>
                <w:rFonts w:ascii="Tahoma" w:hAnsi="Tahoma" w:cs="Tahoma"/>
                <w:iCs/>
                <w:color w:val="333333"/>
                <w:sz w:val="14"/>
                <w:szCs w:val="14"/>
                <w:lang w:val="en-US" w:eastAsia="it-IT"/>
              </w:rPr>
              <w:t>Copyright © 202</w:t>
            </w:r>
            <w:r w:rsidR="00994C6A" w:rsidRPr="002414A5">
              <w:rPr>
                <w:rFonts w:ascii="Tahoma" w:hAnsi="Tahoma" w:cs="Tahoma"/>
                <w:iCs/>
                <w:color w:val="333333"/>
                <w:sz w:val="14"/>
                <w:szCs w:val="14"/>
                <w:lang w:val="en-US" w:eastAsia="it-IT"/>
              </w:rPr>
              <w:t>5</w:t>
            </w:r>
            <w:r w:rsidRPr="002414A5">
              <w:rPr>
                <w:rFonts w:ascii="Tahoma" w:hAnsi="Tahoma" w:cs="Tahoma"/>
                <w:iCs/>
                <w:color w:val="333333"/>
                <w:sz w:val="14"/>
                <w:szCs w:val="14"/>
                <w:lang w:val="en-US" w:eastAsia="it-IT"/>
              </w:rPr>
              <w:t xml:space="preserve">, AIDIC </w:t>
            </w:r>
            <w:proofErr w:type="spellStart"/>
            <w:r w:rsidRPr="002414A5">
              <w:rPr>
                <w:rFonts w:ascii="Tahoma" w:hAnsi="Tahoma" w:cs="Tahoma"/>
                <w:iCs/>
                <w:color w:val="333333"/>
                <w:sz w:val="14"/>
                <w:szCs w:val="14"/>
                <w:lang w:val="en-US" w:eastAsia="it-IT"/>
              </w:rPr>
              <w:t>Servizi</w:t>
            </w:r>
            <w:proofErr w:type="spellEnd"/>
            <w:r w:rsidRPr="002414A5">
              <w:rPr>
                <w:rFonts w:ascii="Tahoma" w:hAnsi="Tahoma" w:cs="Tahoma"/>
                <w:iCs/>
                <w:color w:val="333333"/>
                <w:sz w:val="14"/>
                <w:szCs w:val="14"/>
                <w:lang w:val="en-US" w:eastAsia="it-IT"/>
              </w:rPr>
              <w:t xml:space="preserve"> </w:t>
            </w:r>
            <w:proofErr w:type="spellStart"/>
            <w:r w:rsidRPr="002414A5">
              <w:rPr>
                <w:rFonts w:ascii="Tahoma" w:hAnsi="Tahoma" w:cs="Tahoma"/>
                <w:iCs/>
                <w:color w:val="333333"/>
                <w:sz w:val="14"/>
                <w:szCs w:val="14"/>
                <w:lang w:val="en-US" w:eastAsia="it-IT"/>
              </w:rPr>
              <w:t>S.r.l</w:t>
            </w:r>
            <w:proofErr w:type="spellEnd"/>
            <w:r w:rsidRPr="002414A5">
              <w:rPr>
                <w:rFonts w:ascii="Tahoma" w:hAnsi="Tahoma" w:cs="Tahoma"/>
                <w:iCs/>
                <w:color w:val="333333"/>
                <w:sz w:val="14"/>
                <w:szCs w:val="14"/>
                <w:lang w:val="en-US" w:eastAsia="it-IT"/>
              </w:rPr>
              <w:t>.</w:t>
            </w:r>
            <w:r w:rsidRPr="002414A5">
              <w:rPr>
                <w:rFonts w:ascii="Tahoma" w:hAnsi="Tahoma" w:cs="Tahoma"/>
                <w:iCs/>
                <w:color w:val="333333"/>
                <w:sz w:val="14"/>
                <w:szCs w:val="14"/>
                <w:lang w:val="en-US" w:eastAsia="it-IT"/>
              </w:rPr>
              <w:br/>
            </w:r>
            <w:r w:rsidRPr="002414A5">
              <w:rPr>
                <w:rFonts w:ascii="Tahoma" w:hAnsi="Tahoma" w:cs="Tahoma"/>
                <w:b/>
                <w:iCs/>
                <w:color w:val="000000"/>
                <w:sz w:val="14"/>
                <w:szCs w:val="14"/>
                <w:lang w:val="en-US" w:eastAsia="it-IT"/>
              </w:rPr>
              <w:t>ISBN</w:t>
            </w:r>
            <w:r w:rsidRPr="002414A5">
              <w:rPr>
                <w:rFonts w:ascii="Tahoma" w:hAnsi="Tahoma" w:cs="Tahoma"/>
                <w:iCs/>
                <w:color w:val="000000"/>
                <w:sz w:val="14"/>
                <w:szCs w:val="14"/>
                <w:lang w:val="en-US" w:eastAsia="it-IT"/>
              </w:rPr>
              <w:t xml:space="preserve"> </w:t>
            </w:r>
            <w:r w:rsidR="003B49CD" w:rsidRPr="002414A5">
              <w:rPr>
                <w:rFonts w:ascii="Tahoma" w:hAnsi="Tahoma" w:cs="Tahoma"/>
                <w:sz w:val="14"/>
                <w:szCs w:val="14"/>
                <w:lang w:val="en-US"/>
              </w:rPr>
              <w:t>979-12-81206-1</w:t>
            </w:r>
            <w:r w:rsidR="00994C6A" w:rsidRPr="002414A5">
              <w:rPr>
                <w:rFonts w:ascii="Tahoma" w:hAnsi="Tahoma" w:cs="Tahoma"/>
                <w:sz w:val="14"/>
                <w:szCs w:val="14"/>
                <w:lang w:val="en-US"/>
              </w:rPr>
              <w:t>7</w:t>
            </w:r>
            <w:r w:rsidR="003B49CD" w:rsidRPr="002414A5">
              <w:rPr>
                <w:rFonts w:ascii="Tahoma" w:hAnsi="Tahoma" w:cs="Tahoma"/>
                <w:sz w:val="14"/>
                <w:szCs w:val="14"/>
                <w:lang w:val="en-US"/>
              </w:rPr>
              <w:t>-</w:t>
            </w:r>
            <w:r w:rsidR="00994C6A" w:rsidRPr="002414A5">
              <w:rPr>
                <w:rFonts w:ascii="Tahoma" w:hAnsi="Tahoma" w:cs="Tahoma"/>
                <w:sz w:val="14"/>
                <w:szCs w:val="14"/>
                <w:lang w:val="en-US"/>
              </w:rPr>
              <w:t>5</w:t>
            </w:r>
            <w:r w:rsidRPr="002414A5">
              <w:rPr>
                <w:rFonts w:ascii="Tahoma" w:hAnsi="Tahoma" w:cs="Tahoma"/>
                <w:iCs/>
                <w:color w:val="333333"/>
                <w:sz w:val="14"/>
                <w:szCs w:val="14"/>
                <w:lang w:val="en-US" w:eastAsia="it-IT"/>
              </w:rPr>
              <w:t xml:space="preserve">; </w:t>
            </w:r>
            <w:r w:rsidRPr="002414A5">
              <w:rPr>
                <w:rFonts w:ascii="Tahoma" w:hAnsi="Tahoma" w:cs="Tahoma"/>
                <w:b/>
                <w:iCs/>
                <w:color w:val="333333"/>
                <w:sz w:val="14"/>
                <w:szCs w:val="14"/>
                <w:lang w:val="en-US" w:eastAsia="it-IT"/>
              </w:rPr>
              <w:t>ISSN</w:t>
            </w:r>
            <w:r w:rsidRPr="002414A5">
              <w:rPr>
                <w:rFonts w:ascii="Tahoma" w:hAnsi="Tahoma" w:cs="Tahoma"/>
                <w:iCs/>
                <w:color w:val="333333"/>
                <w:sz w:val="14"/>
                <w:szCs w:val="14"/>
                <w:lang w:val="en-US" w:eastAsia="it-IT"/>
              </w:rPr>
              <w:t xml:space="preserve"> 2283-9216</w:t>
            </w:r>
          </w:p>
        </w:tc>
      </w:tr>
    </w:tbl>
    <w:bookmarkEnd w:id="1"/>
    <w:p w14:paraId="2E667253" w14:textId="618E776F" w:rsidR="00E978D0" w:rsidRPr="002414A5" w:rsidRDefault="00647275" w:rsidP="00E978D0">
      <w:pPr>
        <w:pStyle w:val="CETTitle"/>
        <w:rPr>
          <w:lang w:val="en-US"/>
        </w:rPr>
      </w:pPr>
      <w:r w:rsidRPr="002414A5">
        <w:rPr>
          <w:lang w:val="en-US"/>
        </w:rPr>
        <w:t>Frequency and Time-Frequency-based analysis of pressure drop signals in structured packed columns</w:t>
      </w:r>
    </w:p>
    <w:p w14:paraId="6B2D21B3" w14:textId="78CEBF44" w:rsidR="00B57E6F" w:rsidRPr="00B34906" w:rsidRDefault="004E3A12" w:rsidP="004E3A12">
      <w:pPr>
        <w:pStyle w:val="CETAuthors"/>
        <w:rPr>
          <w:lang w:val="it-IT"/>
        </w:rPr>
      </w:pPr>
      <w:r w:rsidRPr="00B34906">
        <w:rPr>
          <w:lang w:val="it-IT"/>
        </w:rPr>
        <w:t>Pietro Giustacori, Leonardo Zandò, Riccardo Bacci di Capaci, Elisabetta Brunazzi*</w:t>
      </w:r>
    </w:p>
    <w:p w14:paraId="45136844" w14:textId="77777777" w:rsidR="004D6B0D" w:rsidRPr="00B34906" w:rsidRDefault="004D6B0D" w:rsidP="004D6B0D">
      <w:pPr>
        <w:keepNext/>
        <w:pBdr>
          <w:top w:val="nil"/>
          <w:left w:val="nil"/>
          <w:bottom w:val="nil"/>
          <w:right w:val="nil"/>
          <w:between w:val="nil"/>
        </w:pBdr>
        <w:spacing w:line="276" w:lineRule="auto"/>
        <w:jc w:val="left"/>
        <w:rPr>
          <w:color w:val="000000"/>
          <w:sz w:val="16"/>
          <w:szCs w:val="16"/>
          <w:lang w:val="it-IT"/>
        </w:rPr>
      </w:pPr>
      <w:r w:rsidRPr="00B34906">
        <w:rPr>
          <w:color w:val="000000"/>
          <w:sz w:val="16"/>
          <w:szCs w:val="16"/>
          <w:lang w:val="it-IT"/>
        </w:rPr>
        <w:t xml:space="preserve">Dipartimento di Ingegneria Civile e Industriale, Università di Pisa, Largo Lucio Lazzarino 2, Pisa, 56122, </w:t>
      </w:r>
      <w:proofErr w:type="spellStart"/>
      <w:r w:rsidRPr="00B34906">
        <w:rPr>
          <w:color w:val="000000"/>
          <w:sz w:val="16"/>
          <w:szCs w:val="16"/>
          <w:lang w:val="it-IT"/>
        </w:rPr>
        <w:t>Italy</w:t>
      </w:r>
      <w:proofErr w:type="spellEnd"/>
    </w:p>
    <w:p w14:paraId="1493E415" w14:textId="77777777" w:rsidR="004D6B0D" w:rsidRPr="002414A5" w:rsidRDefault="004D6B0D" w:rsidP="004D6B0D">
      <w:pPr>
        <w:pBdr>
          <w:top w:val="nil"/>
          <w:left w:val="nil"/>
          <w:bottom w:val="nil"/>
          <w:right w:val="nil"/>
          <w:between w:val="nil"/>
        </w:pBdr>
        <w:spacing w:after="240" w:line="276" w:lineRule="auto"/>
        <w:jc w:val="left"/>
        <w:rPr>
          <w:color w:val="000000"/>
          <w:sz w:val="16"/>
          <w:szCs w:val="16"/>
          <w:lang w:val="en-US"/>
        </w:rPr>
      </w:pPr>
      <w:r w:rsidRPr="002414A5">
        <w:rPr>
          <w:color w:val="000000"/>
          <w:sz w:val="16"/>
          <w:szCs w:val="16"/>
          <w:lang w:val="en-US"/>
        </w:rPr>
        <w:t>*elisabetta.brunazzi@unipi.it</w:t>
      </w:r>
    </w:p>
    <w:p w14:paraId="6908ADC6" w14:textId="0766A1A3" w:rsidR="000A3041" w:rsidRPr="002414A5" w:rsidRDefault="000A3041" w:rsidP="000A3041">
      <w:pPr>
        <w:pBdr>
          <w:top w:val="nil"/>
          <w:left w:val="nil"/>
          <w:bottom w:val="nil"/>
          <w:right w:val="nil"/>
          <w:between w:val="nil"/>
        </w:pBdr>
        <w:rPr>
          <w:rFonts w:eastAsia="Arial" w:cs="Arial"/>
          <w:color w:val="000000"/>
          <w:szCs w:val="18"/>
          <w:lang w:val="en-US"/>
        </w:rPr>
      </w:pPr>
      <w:r w:rsidRPr="002414A5">
        <w:rPr>
          <w:rFonts w:eastAsia="Arial" w:cs="Arial"/>
          <w:color w:val="000000"/>
          <w:szCs w:val="18"/>
          <w:lang w:val="en-US"/>
        </w:rPr>
        <w:t xml:space="preserve">This study </w:t>
      </w:r>
      <w:r w:rsidR="00BB46A7">
        <w:rPr>
          <w:rFonts w:eastAsia="Arial" w:cs="Arial"/>
          <w:color w:val="000000"/>
          <w:szCs w:val="18"/>
          <w:lang w:val="en-US"/>
        </w:rPr>
        <w:t>introduces</w:t>
      </w:r>
      <w:r w:rsidR="00BB46A7" w:rsidRPr="002414A5">
        <w:rPr>
          <w:rFonts w:eastAsia="Arial" w:cs="Arial"/>
          <w:color w:val="000000"/>
          <w:szCs w:val="18"/>
          <w:lang w:val="en-US"/>
        </w:rPr>
        <w:t xml:space="preserve"> </w:t>
      </w:r>
      <w:r w:rsidRPr="002414A5">
        <w:rPr>
          <w:rFonts w:eastAsia="Arial" w:cs="Arial"/>
          <w:color w:val="000000"/>
          <w:szCs w:val="18"/>
          <w:lang w:val="en-US"/>
        </w:rPr>
        <w:t>a</w:t>
      </w:r>
      <w:r w:rsidR="00BB46A7">
        <w:rPr>
          <w:rFonts w:eastAsia="Arial" w:cs="Arial"/>
          <w:color w:val="000000"/>
          <w:szCs w:val="18"/>
          <w:lang w:val="en-US"/>
        </w:rPr>
        <w:t xml:space="preserve"> </w:t>
      </w:r>
      <w:r w:rsidR="004E34AC">
        <w:rPr>
          <w:rFonts w:eastAsia="Arial" w:cs="Arial"/>
          <w:color w:val="000000"/>
          <w:szCs w:val="18"/>
          <w:lang w:val="en-US"/>
        </w:rPr>
        <w:t>comprehensive novel</w:t>
      </w:r>
      <w:r w:rsidR="00E95E5B">
        <w:rPr>
          <w:rFonts w:eastAsia="Arial" w:cs="Arial"/>
          <w:color w:val="000000"/>
          <w:szCs w:val="18"/>
          <w:lang w:val="en-US"/>
        </w:rPr>
        <w:t xml:space="preserve"> </w:t>
      </w:r>
      <w:r w:rsidRPr="002414A5">
        <w:rPr>
          <w:rFonts w:eastAsia="Arial" w:cs="Arial"/>
          <w:color w:val="000000"/>
          <w:szCs w:val="18"/>
          <w:lang w:val="en-US"/>
        </w:rPr>
        <w:t xml:space="preserve">analysis of pressure drop signals in both flooded and partially flooded packed beds. Pressure measurements were taken during column operation at various liquid loads and gas superficial velocities. Different liquid loads were investigated to enable a detailed study of the dynamic behavior of the structured packing during the onset of flooding. </w:t>
      </w:r>
      <w:r w:rsidR="00BB5242">
        <w:rPr>
          <w:rFonts w:eastAsia="Arial" w:cs="Arial"/>
          <w:color w:val="000000"/>
          <w:szCs w:val="18"/>
          <w:lang w:val="en-US"/>
        </w:rPr>
        <w:t xml:space="preserve">Two complementary methods were used for data analysis, </w:t>
      </w:r>
      <w:r w:rsidRPr="002414A5">
        <w:rPr>
          <w:rFonts w:eastAsia="Arial" w:cs="Arial"/>
          <w:color w:val="000000"/>
          <w:szCs w:val="18"/>
          <w:lang w:val="en-US"/>
        </w:rPr>
        <w:t xml:space="preserve">a Fast Fourier Transform (FFT) was used to identify the dominant frequencies associated with the flooded </w:t>
      </w:r>
      <w:r w:rsidR="00E95E5B">
        <w:rPr>
          <w:rFonts w:eastAsia="Arial" w:cs="Arial"/>
          <w:color w:val="000000"/>
          <w:szCs w:val="18"/>
          <w:lang w:val="en-US"/>
        </w:rPr>
        <w:t xml:space="preserve">stationary </w:t>
      </w:r>
      <w:r w:rsidRPr="002414A5">
        <w:rPr>
          <w:rFonts w:eastAsia="Arial" w:cs="Arial"/>
          <w:color w:val="000000"/>
          <w:szCs w:val="18"/>
          <w:lang w:val="en-US"/>
        </w:rPr>
        <w:t xml:space="preserve">state. Then, a wavelet transform-based analysis </w:t>
      </w:r>
      <w:r w:rsidR="00BB46A7" w:rsidRPr="00BB46A7">
        <w:rPr>
          <w:rFonts w:eastAsia="Arial" w:cs="Arial"/>
          <w:color w:val="000000"/>
          <w:szCs w:val="18"/>
        </w:rPr>
        <w:t>enabled a</w:t>
      </w:r>
      <w:r w:rsidR="00427681">
        <w:rPr>
          <w:rFonts w:eastAsia="Arial" w:cs="Arial"/>
          <w:color w:val="000000"/>
          <w:szCs w:val="18"/>
        </w:rPr>
        <w:t xml:space="preserve"> novel</w:t>
      </w:r>
      <w:r w:rsidR="00BB46A7" w:rsidRPr="00BB46A7">
        <w:rPr>
          <w:rFonts w:eastAsia="Arial" w:cs="Arial"/>
          <w:color w:val="000000"/>
          <w:szCs w:val="18"/>
        </w:rPr>
        <w:t xml:space="preserve"> high-resolution time-frequency representation, revealing the precise temporal evolution of flooding dynamics. </w:t>
      </w:r>
      <w:r w:rsidRPr="002414A5">
        <w:rPr>
          <w:rFonts w:eastAsia="Arial" w:cs="Arial"/>
          <w:color w:val="000000"/>
          <w:szCs w:val="18"/>
          <w:lang w:val="en-US"/>
        </w:rPr>
        <w:t>This</w:t>
      </w:r>
      <w:r w:rsidR="00BB46A7">
        <w:rPr>
          <w:rFonts w:eastAsia="Arial" w:cs="Arial"/>
          <w:color w:val="000000"/>
          <w:szCs w:val="18"/>
          <w:lang w:val="en-US"/>
        </w:rPr>
        <w:t xml:space="preserve"> </w:t>
      </w:r>
      <w:r w:rsidR="00A22A39">
        <w:rPr>
          <w:rFonts w:eastAsia="Arial" w:cs="Arial"/>
          <w:color w:val="000000"/>
          <w:szCs w:val="18"/>
          <w:lang w:val="en-US"/>
        </w:rPr>
        <w:t xml:space="preserve">new </w:t>
      </w:r>
      <w:r w:rsidR="00BB46A7">
        <w:rPr>
          <w:rFonts w:eastAsia="Arial" w:cs="Arial"/>
          <w:color w:val="000000"/>
          <w:szCs w:val="18"/>
          <w:lang w:val="en-US"/>
        </w:rPr>
        <w:t>method</w:t>
      </w:r>
      <w:r w:rsidRPr="002414A5">
        <w:rPr>
          <w:rFonts w:eastAsia="Arial" w:cs="Arial"/>
          <w:color w:val="000000"/>
          <w:szCs w:val="18"/>
          <w:lang w:val="en-US"/>
        </w:rPr>
        <w:t xml:space="preserve"> facilitate</w:t>
      </w:r>
      <w:r w:rsidR="00A22A39">
        <w:rPr>
          <w:rFonts w:eastAsia="Arial" w:cs="Arial"/>
          <w:color w:val="000000"/>
          <w:szCs w:val="18"/>
          <w:lang w:val="en-US"/>
        </w:rPr>
        <w:t>s</w:t>
      </w:r>
      <w:r w:rsidRPr="002414A5">
        <w:rPr>
          <w:rFonts w:eastAsia="Arial" w:cs="Arial"/>
          <w:color w:val="000000"/>
          <w:szCs w:val="18"/>
          <w:lang w:val="en-US"/>
        </w:rPr>
        <w:t xml:space="preserve"> the characterization of the transition from incipient flooding to fully developed flooding</w:t>
      </w:r>
      <w:r w:rsidR="00BB46A7">
        <w:rPr>
          <w:rFonts w:eastAsia="Arial" w:cs="Arial"/>
          <w:color w:val="000000"/>
          <w:szCs w:val="18"/>
          <w:lang w:val="en-US"/>
        </w:rPr>
        <w:t xml:space="preserve">, and its rapid propagation </w:t>
      </w:r>
      <w:r w:rsidR="00E95E5B">
        <w:rPr>
          <w:rFonts w:eastAsia="Arial" w:cs="Arial"/>
          <w:color w:val="000000"/>
          <w:szCs w:val="18"/>
          <w:lang w:val="en-US"/>
        </w:rPr>
        <w:t xml:space="preserve">from </w:t>
      </w:r>
      <w:r w:rsidR="00BB46A7">
        <w:rPr>
          <w:rFonts w:eastAsia="Arial" w:cs="Arial"/>
          <w:color w:val="000000"/>
          <w:szCs w:val="18"/>
          <w:lang w:val="en-US"/>
        </w:rPr>
        <w:t>the inter</w:t>
      </w:r>
      <w:r w:rsidR="00E95E5B">
        <w:rPr>
          <w:rFonts w:eastAsia="Arial" w:cs="Arial"/>
          <w:color w:val="000000"/>
          <w:szCs w:val="18"/>
          <w:lang w:val="en-US"/>
        </w:rPr>
        <w:t>-</w:t>
      </w:r>
      <w:r w:rsidR="00BB46A7">
        <w:rPr>
          <w:rFonts w:eastAsia="Arial" w:cs="Arial"/>
          <w:color w:val="000000"/>
          <w:szCs w:val="18"/>
          <w:lang w:val="en-US"/>
        </w:rPr>
        <w:t xml:space="preserve">packing zone. </w:t>
      </w:r>
      <w:r w:rsidRPr="002414A5">
        <w:rPr>
          <w:rFonts w:eastAsia="Arial" w:cs="Arial"/>
          <w:color w:val="000000"/>
          <w:szCs w:val="18"/>
          <w:lang w:val="en-US"/>
        </w:rPr>
        <w:t xml:space="preserve">Understanding this dynamic behavior is </w:t>
      </w:r>
      <w:r w:rsidR="00F670AF" w:rsidRPr="002414A5">
        <w:rPr>
          <w:rFonts w:eastAsia="Arial" w:cs="Arial"/>
          <w:color w:val="000000"/>
          <w:szCs w:val="18"/>
          <w:lang w:val="en-US"/>
        </w:rPr>
        <w:t>cr</w:t>
      </w:r>
      <w:r w:rsidR="00F670AF">
        <w:rPr>
          <w:rFonts w:eastAsia="Arial" w:cs="Arial"/>
          <w:color w:val="000000"/>
          <w:szCs w:val="18"/>
          <w:lang w:val="en-US"/>
        </w:rPr>
        <w:t>ucial</w:t>
      </w:r>
      <w:r w:rsidR="00F670AF" w:rsidRPr="002414A5">
        <w:rPr>
          <w:rFonts w:eastAsia="Arial" w:cs="Arial"/>
          <w:color w:val="000000"/>
          <w:szCs w:val="18"/>
          <w:lang w:val="en-US"/>
        </w:rPr>
        <w:t xml:space="preserve"> </w:t>
      </w:r>
      <w:r w:rsidRPr="002414A5">
        <w:rPr>
          <w:rFonts w:eastAsia="Arial" w:cs="Arial"/>
          <w:color w:val="000000"/>
          <w:szCs w:val="18"/>
          <w:lang w:val="en-US"/>
        </w:rPr>
        <w:t xml:space="preserve">for online monitoring, prediction, and </w:t>
      </w:r>
      <w:r w:rsidR="009F26BD">
        <w:rPr>
          <w:rFonts w:eastAsia="Arial" w:cs="Arial"/>
          <w:color w:val="000000"/>
          <w:szCs w:val="18"/>
          <w:lang w:val="en-US"/>
        </w:rPr>
        <w:t>anticipation</w:t>
      </w:r>
      <w:r w:rsidRPr="002414A5">
        <w:rPr>
          <w:rFonts w:eastAsia="Arial" w:cs="Arial"/>
          <w:color w:val="000000"/>
          <w:szCs w:val="18"/>
          <w:lang w:val="en-US"/>
        </w:rPr>
        <w:t xml:space="preserve"> of flooding events, </w:t>
      </w:r>
      <w:r w:rsidR="00F670AF" w:rsidRPr="002414A5">
        <w:rPr>
          <w:rFonts w:eastAsia="Arial" w:cs="Arial"/>
          <w:color w:val="000000"/>
          <w:szCs w:val="18"/>
          <w:lang w:val="en-US"/>
        </w:rPr>
        <w:t>th</w:t>
      </w:r>
      <w:r w:rsidR="00F670AF">
        <w:rPr>
          <w:rFonts w:eastAsia="Arial" w:cs="Arial"/>
          <w:color w:val="000000"/>
          <w:szCs w:val="18"/>
          <w:lang w:val="en-US"/>
        </w:rPr>
        <w:t>ereby</w:t>
      </w:r>
      <w:r w:rsidR="00F670AF" w:rsidRPr="002414A5">
        <w:rPr>
          <w:rFonts w:eastAsia="Arial" w:cs="Arial"/>
          <w:color w:val="000000"/>
          <w:szCs w:val="18"/>
          <w:lang w:val="en-US"/>
        </w:rPr>
        <w:t xml:space="preserve"> </w:t>
      </w:r>
      <w:r w:rsidR="00F670AF">
        <w:rPr>
          <w:rFonts w:eastAsia="Arial" w:cs="Arial"/>
          <w:color w:val="000000"/>
          <w:szCs w:val="18"/>
          <w:lang w:val="en-US"/>
        </w:rPr>
        <w:t>enhancing</w:t>
      </w:r>
      <w:r w:rsidR="00F670AF" w:rsidRPr="002414A5">
        <w:rPr>
          <w:rFonts w:eastAsia="Arial" w:cs="Arial"/>
          <w:color w:val="000000"/>
          <w:szCs w:val="18"/>
          <w:lang w:val="en-US"/>
        </w:rPr>
        <w:t xml:space="preserve"> </w:t>
      </w:r>
      <w:r w:rsidRPr="002414A5">
        <w:rPr>
          <w:rFonts w:eastAsia="Arial" w:cs="Arial"/>
          <w:color w:val="000000"/>
          <w:szCs w:val="18"/>
          <w:lang w:val="en-US"/>
        </w:rPr>
        <w:t>operational control and efficiency of structured packed column systems.</w:t>
      </w:r>
    </w:p>
    <w:p w14:paraId="476B2F2E" w14:textId="52B36035" w:rsidR="00600535" w:rsidRPr="002414A5" w:rsidRDefault="00600535" w:rsidP="00600535">
      <w:pPr>
        <w:pStyle w:val="CETHeading1"/>
      </w:pPr>
      <w:r w:rsidRPr="002414A5">
        <w:t>Introduction</w:t>
      </w:r>
    </w:p>
    <w:p w14:paraId="4B6FE642" w14:textId="1F8899D0" w:rsidR="00695974" w:rsidRPr="002414A5" w:rsidRDefault="00695974" w:rsidP="00695974">
      <w:pPr>
        <w:pStyle w:val="CETBodytext"/>
        <w:rPr>
          <w:rFonts w:eastAsia="Arial" w:cs="Arial"/>
          <w:color w:val="000000"/>
          <w:szCs w:val="18"/>
        </w:rPr>
      </w:pPr>
      <w:r w:rsidRPr="002414A5">
        <w:rPr>
          <w:rFonts w:eastAsia="Arial" w:cs="Arial"/>
          <w:color w:val="000000"/>
          <w:szCs w:val="18"/>
        </w:rPr>
        <w:t>Thermal separation processes are the cornerstone of the chemical industry, serving as the primary method for separating and purifying mixtures. These processes are typically carried out in columns where liquid and gas phases flow counter-currently and interact, facilitated by internal elements that enhance phase contact. In recent years, structured packing has emerged as a key technological advancement, finding widespread application in newly constructed columns as well as in the retrofitting of tray and random dumped packed columns. The primary advantage of structured packings lies in their ability to provide large contact surfaces while maintaining low pressure drops, making them</w:t>
      </w:r>
      <w:r w:rsidR="00F716DE">
        <w:rPr>
          <w:rFonts w:eastAsia="Arial" w:cs="Arial"/>
          <w:color w:val="000000"/>
          <w:szCs w:val="18"/>
        </w:rPr>
        <w:t>,</w:t>
      </w:r>
      <w:r w:rsidR="009B171B">
        <w:rPr>
          <w:rFonts w:eastAsia="Arial" w:cs="Arial"/>
          <w:color w:val="000000"/>
          <w:szCs w:val="18"/>
        </w:rPr>
        <w:t xml:space="preserve"> for instance</w:t>
      </w:r>
      <w:r w:rsidR="00F716DE">
        <w:rPr>
          <w:rFonts w:eastAsia="Arial" w:cs="Arial"/>
          <w:color w:val="000000"/>
          <w:szCs w:val="18"/>
        </w:rPr>
        <w:t>,</w:t>
      </w:r>
      <w:r w:rsidRPr="002414A5">
        <w:rPr>
          <w:rFonts w:eastAsia="Arial" w:cs="Arial"/>
          <w:color w:val="000000"/>
          <w:szCs w:val="18"/>
        </w:rPr>
        <w:t xml:space="preserve"> </w:t>
      </w:r>
      <w:r w:rsidR="00F716DE">
        <w:rPr>
          <w:rFonts w:eastAsia="Arial" w:cs="Arial"/>
          <w:color w:val="000000"/>
          <w:szCs w:val="18"/>
        </w:rPr>
        <w:t>especially well-suited</w:t>
      </w:r>
      <w:r w:rsidRPr="002414A5">
        <w:rPr>
          <w:rFonts w:eastAsia="Arial" w:cs="Arial"/>
          <w:color w:val="000000"/>
          <w:szCs w:val="18"/>
        </w:rPr>
        <w:t xml:space="preserve"> for vacuum operations where pressure drop constraints are critical (Brunazzi and </w:t>
      </w:r>
      <w:proofErr w:type="spellStart"/>
      <w:r w:rsidRPr="002414A5">
        <w:rPr>
          <w:rFonts w:eastAsia="Arial" w:cs="Arial"/>
          <w:color w:val="000000"/>
          <w:szCs w:val="18"/>
        </w:rPr>
        <w:t>Paglianti</w:t>
      </w:r>
      <w:proofErr w:type="spellEnd"/>
      <w:r w:rsidRPr="002414A5">
        <w:rPr>
          <w:rFonts w:eastAsia="Arial" w:cs="Arial"/>
          <w:color w:val="000000"/>
          <w:szCs w:val="18"/>
        </w:rPr>
        <w:t>, 1997).</w:t>
      </w:r>
    </w:p>
    <w:p w14:paraId="1EE14BD1" w14:textId="039624A2" w:rsidR="00695974" w:rsidRPr="002414A5" w:rsidRDefault="00695974" w:rsidP="00695974">
      <w:pPr>
        <w:pBdr>
          <w:top w:val="nil"/>
          <w:left w:val="nil"/>
          <w:bottom w:val="nil"/>
          <w:right w:val="nil"/>
          <w:between w:val="nil"/>
        </w:pBdr>
        <w:rPr>
          <w:rFonts w:eastAsia="Arial" w:cs="Arial"/>
          <w:color w:val="000000"/>
          <w:szCs w:val="18"/>
          <w:lang w:val="en-US"/>
        </w:rPr>
      </w:pPr>
      <w:r w:rsidRPr="002414A5">
        <w:rPr>
          <w:rFonts w:eastAsia="Arial" w:cs="Arial"/>
          <w:color w:val="000000"/>
          <w:szCs w:val="18"/>
          <w:lang w:val="en-US"/>
        </w:rPr>
        <w:t>For common processes packed columns are operated between the loading and flooding points (Riese and Gruenewald, 2018</w:t>
      </w:r>
      <w:r w:rsidR="00320412">
        <w:rPr>
          <w:rFonts w:eastAsia="Arial" w:cs="Arial"/>
          <w:color w:val="000000"/>
          <w:szCs w:val="18"/>
          <w:lang w:val="en-US"/>
        </w:rPr>
        <w:t xml:space="preserve">, </w:t>
      </w:r>
      <w:r w:rsidR="00320412" w:rsidRPr="002414A5">
        <w:t>Haushofer et al</w:t>
      </w:r>
      <w:r w:rsidR="00320412">
        <w:t>, 2023</w:t>
      </w:r>
      <w:r w:rsidRPr="002414A5">
        <w:rPr>
          <w:rFonts w:eastAsia="Arial" w:cs="Arial"/>
          <w:color w:val="000000"/>
          <w:szCs w:val="18"/>
          <w:lang w:val="en-US"/>
        </w:rPr>
        <w:t>). These flow regimes require accurate methods for their detection and characterization. Pressure drops, a key parameter affected by these hydrodynamic transitions, provides a valuable diagnostic tool (Brunazzi et al., 2001</w:t>
      </w:r>
      <w:r w:rsidR="00427681">
        <w:rPr>
          <w:rFonts w:eastAsia="Arial" w:cs="Arial"/>
          <w:color w:val="000000"/>
          <w:szCs w:val="18"/>
          <w:lang w:val="en-US"/>
        </w:rPr>
        <w:t xml:space="preserve">, </w:t>
      </w:r>
      <w:r w:rsidR="00427681" w:rsidRPr="00427681">
        <w:rPr>
          <w:color w:val="000000"/>
          <w:lang w:val="en-US"/>
        </w:rPr>
        <w:t>Flechsig</w:t>
      </w:r>
      <w:r w:rsidR="00427681">
        <w:rPr>
          <w:color w:val="000000"/>
          <w:lang w:val="en-US"/>
        </w:rPr>
        <w:t xml:space="preserve"> et al., 2022</w:t>
      </w:r>
      <w:r w:rsidRPr="002414A5">
        <w:rPr>
          <w:rFonts w:eastAsia="Arial" w:cs="Arial"/>
          <w:color w:val="000000"/>
          <w:szCs w:val="18"/>
          <w:lang w:val="en-US"/>
        </w:rPr>
        <w:t>). However, conventional time-domain analyses often fail to capture the complex dynamics underlying these phenomena due to the detrimental effects of field noise and external disturbances (</w:t>
      </w:r>
      <w:proofErr w:type="spellStart"/>
      <w:r w:rsidRPr="002414A5">
        <w:rPr>
          <w:color w:val="000000"/>
          <w:lang w:val="en-US"/>
        </w:rPr>
        <w:t>Agachi</w:t>
      </w:r>
      <w:proofErr w:type="spellEnd"/>
      <w:r w:rsidRPr="002414A5">
        <w:rPr>
          <w:color w:val="000000"/>
          <w:lang w:val="en-US"/>
        </w:rPr>
        <w:t xml:space="preserve"> P.S., 2024; </w:t>
      </w:r>
      <w:proofErr w:type="spellStart"/>
      <w:r w:rsidRPr="002414A5">
        <w:rPr>
          <w:color w:val="000000"/>
          <w:lang w:val="en-US"/>
        </w:rPr>
        <w:t>Eyng</w:t>
      </w:r>
      <w:proofErr w:type="spellEnd"/>
      <w:r w:rsidRPr="002414A5">
        <w:rPr>
          <w:color w:val="000000"/>
          <w:lang w:val="en-US"/>
        </w:rPr>
        <w:t xml:space="preserve"> E. 2010</w:t>
      </w:r>
      <w:r w:rsidRPr="002414A5">
        <w:rPr>
          <w:rFonts w:eastAsia="Arial" w:cs="Arial"/>
          <w:color w:val="000000"/>
          <w:szCs w:val="18"/>
          <w:lang w:val="en-US"/>
        </w:rPr>
        <w:t>).</w:t>
      </w:r>
    </w:p>
    <w:p w14:paraId="6469D727" w14:textId="1AAAE5A6" w:rsidR="00695974" w:rsidRPr="002414A5" w:rsidRDefault="00695974" w:rsidP="003A2BDD">
      <w:pPr>
        <w:pBdr>
          <w:top w:val="nil"/>
          <w:left w:val="nil"/>
          <w:bottom w:val="nil"/>
          <w:right w:val="nil"/>
          <w:between w:val="nil"/>
        </w:pBdr>
        <w:rPr>
          <w:rFonts w:eastAsia="Arial" w:cs="Arial"/>
          <w:color w:val="000000"/>
          <w:szCs w:val="18"/>
          <w:lang w:val="en-US"/>
        </w:rPr>
      </w:pPr>
      <w:r w:rsidRPr="002414A5">
        <w:rPr>
          <w:rFonts w:eastAsia="Arial" w:cs="Arial"/>
          <w:color w:val="000000"/>
          <w:szCs w:val="18"/>
          <w:lang w:val="en-US"/>
        </w:rPr>
        <w:t xml:space="preserve">To address these limitations, the present study examines the application of frequency-based and time-frequency-based analysis techniques to pressure-drop signals. Fast Fourier Transform (FFT) based frequency analysis provides insight into the dominant frequencies associated with </w:t>
      </w:r>
      <w:proofErr w:type="gramStart"/>
      <w:r w:rsidR="00E95E5B">
        <w:rPr>
          <w:rFonts w:eastAsia="Arial" w:cs="Arial"/>
          <w:color w:val="000000"/>
          <w:szCs w:val="18"/>
          <w:lang w:val="en-US"/>
        </w:rPr>
        <w:t>stationary</w:t>
      </w:r>
      <w:proofErr w:type="gramEnd"/>
      <w:r w:rsidR="00E95E5B">
        <w:rPr>
          <w:rFonts w:eastAsia="Arial" w:cs="Arial"/>
          <w:color w:val="000000"/>
          <w:szCs w:val="18"/>
          <w:lang w:val="en-US"/>
        </w:rPr>
        <w:t xml:space="preserve"> and </w:t>
      </w:r>
      <w:r w:rsidRPr="002414A5">
        <w:rPr>
          <w:rFonts w:eastAsia="Arial" w:cs="Arial"/>
          <w:color w:val="000000"/>
          <w:szCs w:val="18"/>
          <w:lang w:val="en-US"/>
        </w:rPr>
        <w:t>periodic hydrodynamic phenomena, while a time-frequency approach via wavelet transform enables a detailed examination of transient dynamics and regime shifts by combining both time and frequency resolution.</w:t>
      </w:r>
      <w:r w:rsidR="00075F93" w:rsidRPr="00075F93">
        <w:t xml:space="preserve"> </w:t>
      </w:r>
      <w:r w:rsidR="00075F93" w:rsidRPr="00075F93">
        <w:rPr>
          <w:rFonts w:eastAsia="Arial" w:cs="Arial"/>
          <w:color w:val="000000"/>
          <w:szCs w:val="18"/>
          <w:lang w:val="en-US"/>
        </w:rPr>
        <w:t>To the best of the authors' knowledge, this is the first time a wavelet transform-based analysis has been applied to packed bed columns</w:t>
      </w:r>
      <w:r w:rsidR="00075F93">
        <w:rPr>
          <w:rFonts w:eastAsia="Arial" w:cs="Arial"/>
          <w:color w:val="000000"/>
          <w:szCs w:val="18"/>
          <w:lang w:val="en-US"/>
        </w:rPr>
        <w:t>.</w:t>
      </w:r>
      <w:r w:rsidRPr="002414A5">
        <w:rPr>
          <w:rFonts w:eastAsia="Arial" w:cs="Arial"/>
          <w:color w:val="000000"/>
          <w:szCs w:val="18"/>
          <w:lang w:val="en-US"/>
        </w:rPr>
        <w:t xml:space="preserve"> Together, these </w:t>
      </w:r>
      <w:r w:rsidR="00075F93">
        <w:rPr>
          <w:rFonts w:eastAsia="Arial" w:cs="Arial"/>
          <w:color w:val="000000"/>
          <w:szCs w:val="18"/>
          <w:lang w:val="en-US"/>
        </w:rPr>
        <w:t xml:space="preserve">two </w:t>
      </w:r>
      <w:r w:rsidRPr="002414A5">
        <w:rPr>
          <w:rFonts w:eastAsia="Arial" w:cs="Arial"/>
          <w:color w:val="000000"/>
          <w:szCs w:val="18"/>
          <w:lang w:val="en-US"/>
        </w:rPr>
        <w:t>methods provide a comprehensive framework for identifying and understanding the flooding dynamics in structured packed columns.</w:t>
      </w:r>
      <w:r w:rsidR="008A630A">
        <w:rPr>
          <w:rFonts w:eastAsia="Arial" w:cs="Arial"/>
          <w:color w:val="000000"/>
          <w:szCs w:val="18"/>
          <w:lang w:val="en-US"/>
        </w:rPr>
        <w:t xml:space="preserve"> </w:t>
      </w:r>
      <w:r w:rsidRPr="002414A5">
        <w:rPr>
          <w:rFonts w:eastAsia="Arial" w:cs="Arial"/>
          <w:color w:val="000000"/>
          <w:szCs w:val="18"/>
          <w:lang w:val="en-US"/>
        </w:rPr>
        <w:t>In addition to advancing the understanding of pressure drop behavior, this</w:t>
      </w:r>
      <w:r w:rsidR="002372A0">
        <w:rPr>
          <w:rFonts w:eastAsia="Arial" w:cs="Arial"/>
          <w:color w:val="000000"/>
          <w:szCs w:val="18"/>
          <w:lang w:val="en-US"/>
        </w:rPr>
        <w:t xml:space="preserve"> combined</w:t>
      </w:r>
      <w:r w:rsidRPr="002414A5">
        <w:rPr>
          <w:rFonts w:eastAsia="Arial" w:cs="Arial"/>
          <w:color w:val="000000"/>
          <w:szCs w:val="18"/>
          <w:lang w:val="en-US"/>
        </w:rPr>
        <w:t xml:space="preserve"> methodology offers significant potential for practical applications. By employing FFT and wavelet analysis, it becomes possible to </w:t>
      </w:r>
      <w:r w:rsidR="00D200FD">
        <w:rPr>
          <w:rFonts w:eastAsia="Arial" w:cs="Arial"/>
          <w:color w:val="000000"/>
          <w:szCs w:val="18"/>
          <w:lang w:val="en-US"/>
        </w:rPr>
        <w:t>detect</w:t>
      </w:r>
      <w:r w:rsidR="00D200FD" w:rsidRPr="002414A5">
        <w:rPr>
          <w:rFonts w:eastAsia="Arial" w:cs="Arial"/>
          <w:color w:val="000000"/>
          <w:szCs w:val="18"/>
          <w:lang w:val="en-US"/>
        </w:rPr>
        <w:t xml:space="preserve"> </w:t>
      </w:r>
      <w:r w:rsidRPr="002414A5">
        <w:rPr>
          <w:rFonts w:eastAsia="Arial" w:cs="Arial"/>
          <w:color w:val="000000"/>
          <w:szCs w:val="18"/>
          <w:lang w:val="en-US"/>
        </w:rPr>
        <w:t xml:space="preserve">the onset of flooding in real time, enabling the development of an early warning system for column operation. Such a system could form the basis of an advanced control strategy, </w:t>
      </w:r>
      <w:r w:rsidRPr="002414A5">
        <w:rPr>
          <w:rFonts w:eastAsia="Arial" w:cs="Arial"/>
          <w:color w:val="000000"/>
          <w:szCs w:val="18"/>
          <w:lang w:val="en-US"/>
        </w:rPr>
        <w:lastRenderedPageBreak/>
        <w:t xml:space="preserve">where pressure </w:t>
      </w:r>
      <w:proofErr w:type="gramStart"/>
      <w:r w:rsidRPr="002414A5">
        <w:rPr>
          <w:rFonts w:eastAsia="Arial" w:cs="Arial"/>
          <w:color w:val="000000"/>
          <w:szCs w:val="18"/>
          <w:lang w:val="en-US"/>
        </w:rPr>
        <w:t>drop</w:t>
      </w:r>
      <w:proofErr w:type="gramEnd"/>
      <w:r w:rsidRPr="002414A5">
        <w:rPr>
          <w:rFonts w:eastAsia="Arial" w:cs="Arial"/>
          <w:color w:val="000000"/>
          <w:szCs w:val="18"/>
          <w:lang w:val="en-US"/>
        </w:rPr>
        <w:t xml:space="preserve"> signals are continuously analyzed to </w:t>
      </w:r>
      <w:r w:rsidR="00D200FD">
        <w:rPr>
          <w:rFonts w:eastAsia="Arial" w:cs="Arial"/>
          <w:color w:val="000000"/>
          <w:szCs w:val="18"/>
          <w:lang w:val="en-US"/>
        </w:rPr>
        <w:t>identify</w:t>
      </w:r>
      <w:r w:rsidR="00D200FD" w:rsidRPr="002414A5">
        <w:rPr>
          <w:rFonts w:eastAsia="Arial" w:cs="Arial"/>
          <w:color w:val="000000"/>
          <w:szCs w:val="18"/>
          <w:lang w:val="en-US"/>
        </w:rPr>
        <w:t xml:space="preserve"> </w:t>
      </w:r>
      <w:r w:rsidRPr="002414A5">
        <w:rPr>
          <w:rFonts w:eastAsia="Arial" w:cs="Arial"/>
          <w:color w:val="000000"/>
          <w:szCs w:val="18"/>
          <w:lang w:val="en-US"/>
        </w:rPr>
        <w:t xml:space="preserve">hydrodynamic transitions. This information could then be used to dynamically adjust operating parameters and </w:t>
      </w:r>
      <w:proofErr w:type="gramStart"/>
      <w:r w:rsidRPr="002414A5">
        <w:rPr>
          <w:rFonts w:eastAsia="Arial" w:cs="Arial"/>
          <w:color w:val="000000"/>
          <w:szCs w:val="18"/>
          <w:lang w:val="en-US"/>
        </w:rPr>
        <w:t>manipulated</w:t>
      </w:r>
      <w:proofErr w:type="gramEnd"/>
      <w:r w:rsidRPr="002414A5">
        <w:rPr>
          <w:rFonts w:eastAsia="Arial" w:cs="Arial"/>
          <w:color w:val="000000"/>
          <w:szCs w:val="18"/>
          <w:lang w:val="en-US"/>
        </w:rPr>
        <w:t xml:space="preserve"> variables, such as liquid and/or gas flow rates, to ensure stable and efficient column performance. By serving as a key component in a broader control framework, this approach holds promise for improving the reliability and automation of industrial separation processes.</w:t>
      </w:r>
    </w:p>
    <w:p w14:paraId="04373275" w14:textId="77777777" w:rsidR="003A2BDD" w:rsidRPr="002414A5" w:rsidRDefault="003A2BDD" w:rsidP="003A2BDD">
      <w:pPr>
        <w:pStyle w:val="CETHeading1"/>
      </w:pPr>
      <w:r w:rsidRPr="002414A5">
        <w:t>Material and methods</w:t>
      </w:r>
    </w:p>
    <w:p w14:paraId="5741900F" w14:textId="63A0C731" w:rsidR="00453E24" w:rsidRPr="002414A5" w:rsidRDefault="00D46C4C" w:rsidP="00D46C4C">
      <w:pPr>
        <w:pStyle w:val="CETheadingx"/>
      </w:pPr>
      <w:r w:rsidRPr="002414A5">
        <w:t>Experimental setup</w:t>
      </w:r>
    </w:p>
    <w:p w14:paraId="724D8F65" w14:textId="4F256C2C" w:rsidR="00052E63" w:rsidRPr="002414A5" w:rsidRDefault="00052E63" w:rsidP="00453E24">
      <w:pPr>
        <w:pStyle w:val="CETBodytext"/>
      </w:pPr>
      <w:r w:rsidRPr="002414A5">
        <w:t xml:space="preserve">Figure 1 shows a simplified schematic of the experimental setup employed in this study. The main column (C) is made of transparent polymethyl methacrylate (PMMA) to allow visual inspection and has a diameter of 100 mm. It contains seven elements of </w:t>
      </w:r>
      <w:proofErr w:type="spellStart"/>
      <w:r w:rsidRPr="002414A5">
        <w:t>Mellapak</w:t>
      </w:r>
      <w:proofErr w:type="spellEnd"/>
      <w:r w:rsidRPr="002414A5">
        <w:t xml:space="preserve"> 252.Y structured packing made of AISI 316 stainless steel. Each packing element has a height of 220 mm, resulting in a total packing bed height of approximately 1500 mm. An orifice ladder liquid distributor, located approximately 50 mm above the packing bed, ensures uniform liquid distribution. The water used in the experiments is stored in tank D2 and recirculated in a closed loop by a centrifugal </w:t>
      </w:r>
      <w:r w:rsidRPr="00023F04">
        <w:t xml:space="preserve">pump (G). Tank D2 has an inlet for liquid replenishment and an outlet for flushing. The gas flow is supplied by a rotary compressor (P) which compresses ambient air to approximately 7 </w:t>
      </w:r>
      <w:proofErr w:type="gramStart"/>
      <w:r w:rsidRPr="00023F04">
        <w:t>bar</w:t>
      </w:r>
      <w:proofErr w:type="gramEnd"/>
      <w:r w:rsidRPr="00023F04">
        <w:t xml:space="preserve"> and stores</w:t>
      </w:r>
      <w:r w:rsidRPr="002414A5">
        <w:t xml:space="preserve"> it in tank D1. A </w:t>
      </w:r>
      <w:r w:rsidR="00A66903" w:rsidRPr="002414A5">
        <w:t>pressure-reduced</w:t>
      </w:r>
      <w:r w:rsidRPr="002414A5">
        <w:t xml:space="preserve"> valve between D1 and the column reduces the gas pressure to 2 </w:t>
      </w:r>
      <w:proofErr w:type="gramStart"/>
      <w:r w:rsidRPr="002414A5">
        <w:t>bar</w:t>
      </w:r>
      <w:proofErr w:type="gramEnd"/>
      <w:r w:rsidRPr="002414A5">
        <w:t>. After the valve, an in-line rotameter measures the volumetric gas flow. The gas flow rate is adjusted by acting on a</w:t>
      </w:r>
      <w:r w:rsidR="00D200FD">
        <w:t>nother</w:t>
      </w:r>
      <w:r w:rsidRPr="002414A5">
        <w:t xml:space="preserve"> valve downstream of the rotameter to limit pressure fluctuations that could distort the reading. The setup allows the study of liquid flow rates up to 600 L/h and gas flow rates up to the point of total flooding of the column. Pressure drops across the packed bed are measured by a differential pressure transmitter through sampling points strategically located within the bed to eliminate end-effects. These sampling points include two symmetrically positioned sample plugs along the column diameter to average the pressure over the horizontal cross section and mitigate the effects of any liquid maldistribution within the packing on the pressure readings. The differential pressure transmitter uses a deformable diaphragm with a strain gauge bridge that converts pressure changes into resistance changes and then into an electrical signal. A photo of the test setup with the differential pressure sensor is shown in Figure 1 (right).</w:t>
      </w:r>
    </w:p>
    <w:p w14:paraId="1F31D8CA" w14:textId="77777777" w:rsidR="0041314A" w:rsidRPr="002414A5" w:rsidRDefault="0041314A" w:rsidP="00453E24">
      <w:pPr>
        <w:pStyle w:val="CETBodytext"/>
      </w:pPr>
    </w:p>
    <w:p w14:paraId="4781B5A3" w14:textId="77777777" w:rsidR="00E42200" w:rsidRPr="002414A5" w:rsidRDefault="0041314A" w:rsidP="00E42200">
      <w:pPr>
        <w:pStyle w:val="CETBodytext"/>
        <w:keepNext/>
      </w:pPr>
      <w:r w:rsidRPr="002414A5">
        <w:rPr>
          <w:noProof/>
        </w:rPr>
        <w:drawing>
          <wp:inline distT="0" distB="0" distL="0" distR="0" wp14:anchorId="40DABE9F" wp14:editId="27910630">
            <wp:extent cx="4102879" cy="2460643"/>
            <wp:effectExtent l="0" t="0" r="0" b="0"/>
            <wp:docPr id="1081150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50949" name="Picture 1"/>
                    <pic:cNvPicPr>
                      <a:picLocks noChangeAspect="1" noChangeArrowheads="1"/>
                    </pic:cNvPicPr>
                  </pic:nvPicPr>
                  <pic:blipFill>
                    <a:blip r:embed="rId10">
                      <a:extLst>
                        <a:ext uri="{96DAC541-7B7A-43D3-8B79-37D633B846F1}">
                          <asvg:svgBlip xmlns:asvg="http://schemas.microsoft.com/office/drawing/2016/SVG/main" r:embed="rId11"/>
                        </a:ext>
                      </a:extLst>
                    </a:blip>
                    <a:stretch>
                      <a:fillRect/>
                    </a:stretch>
                  </pic:blipFill>
                  <pic:spPr bwMode="auto">
                    <a:xfrm>
                      <a:off x="0" y="0"/>
                      <a:ext cx="4102879" cy="2460643"/>
                    </a:xfrm>
                    <a:prstGeom prst="rect">
                      <a:avLst/>
                    </a:prstGeom>
                  </pic:spPr>
                </pic:pic>
              </a:graphicData>
            </a:graphic>
          </wp:inline>
        </w:drawing>
      </w:r>
    </w:p>
    <w:p w14:paraId="3045F874" w14:textId="77777777" w:rsidR="00E42200" w:rsidRPr="002414A5" w:rsidRDefault="00E42200" w:rsidP="00E42200">
      <w:pPr>
        <w:pStyle w:val="CETBodytext"/>
        <w:keepNext/>
      </w:pPr>
    </w:p>
    <w:p w14:paraId="4F8D3E90" w14:textId="1372E052" w:rsidR="0041314A" w:rsidRPr="002414A5" w:rsidRDefault="00E42200" w:rsidP="00E42200">
      <w:pPr>
        <w:pStyle w:val="Caption"/>
        <w:rPr>
          <w:b w:val="0"/>
          <w:bCs w:val="0"/>
          <w:i/>
          <w:iCs/>
          <w:color w:val="auto"/>
          <w:lang w:val="en-US"/>
        </w:rPr>
      </w:pPr>
      <w:r w:rsidRPr="002414A5">
        <w:rPr>
          <w:b w:val="0"/>
          <w:bCs w:val="0"/>
          <w:i/>
          <w:iCs/>
          <w:color w:val="auto"/>
          <w:lang w:val="en-US"/>
        </w:rPr>
        <w:t xml:space="preserve">Figure </w:t>
      </w:r>
      <w:r w:rsidRPr="002414A5">
        <w:rPr>
          <w:b w:val="0"/>
          <w:bCs w:val="0"/>
          <w:i/>
          <w:iCs/>
          <w:color w:val="auto"/>
          <w:lang w:val="en-US"/>
        </w:rPr>
        <w:fldChar w:fldCharType="begin"/>
      </w:r>
      <w:r w:rsidRPr="002414A5">
        <w:rPr>
          <w:b w:val="0"/>
          <w:bCs w:val="0"/>
          <w:i/>
          <w:iCs/>
          <w:color w:val="auto"/>
          <w:lang w:val="en-US"/>
        </w:rPr>
        <w:instrText xml:space="preserve"> SEQ Figure \* ARABIC </w:instrText>
      </w:r>
      <w:r w:rsidRPr="002414A5">
        <w:rPr>
          <w:b w:val="0"/>
          <w:bCs w:val="0"/>
          <w:i/>
          <w:iCs/>
          <w:color w:val="auto"/>
          <w:lang w:val="en-US"/>
        </w:rPr>
        <w:fldChar w:fldCharType="separate"/>
      </w:r>
      <w:r w:rsidR="005008FF" w:rsidRPr="002414A5">
        <w:rPr>
          <w:b w:val="0"/>
          <w:bCs w:val="0"/>
          <w:i/>
          <w:iCs/>
          <w:noProof/>
          <w:color w:val="auto"/>
          <w:lang w:val="en-US"/>
        </w:rPr>
        <w:t>1</w:t>
      </w:r>
      <w:r w:rsidRPr="002414A5">
        <w:rPr>
          <w:b w:val="0"/>
          <w:bCs w:val="0"/>
          <w:i/>
          <w:iCs/>
          <w:color w:val="auto"/>
          <w:lang w:val="en-US"/>
        </w:rPr>
        <w:fldChar w:fldCharType="end"/>
      </w:r>
      <w:r w:rsidRPr="002414A5">
        <w:rPr>
          <w:b w:val="0"/>
          <w:bCs w:val="0"/>
          <w:i/>
          <w:iCs/>
          <w:color w:val="auto"/>
          <w:lang w:val="en-US"/>
        </w:rPr>
        <w:t>: Experimental setup (</w:t>
      </w:r>
      <w:proofErr w:type="gramStart"/>
      <w:r w:rsidRPr="002414A5">
        <w:rPr>
          <w:b w:val="0"/>
          <w:bCs w:val="0"/>
          <w:i/>
          <w:iCs/>
          <w:color w:val="auto"/>
          <w:lang w:val="en-US"/>
        </w:rPr>
        <w:t>left:</w:t>
      </w:r>
      <w:proofErr w:type="gramEnd"/>
      <w:r w:rsidRPr="002414A5">
        <w:rPr>
          <w:b w:val="0"/>
          <w:bCs w:val="0"/>
          <w:i/>
          <w:iCs/>
          <w:color w:val="auto"/>
          <w:lang w:val="en-US"/>
        </w:rPr>
        <w:t xml:space="preserve"> schematic of the setup, right: picture of the setup)</w:t>
      </w:r>
    </w:p>
    <w:p w14:paraId="0636B784" w14:textId="10F05A45" w:rsidR="00453E24" w:rsidRPr="002414A5" w:rsidRDefault="00B0091C" w:rsidP="00B0091C">
      <w:pPr>
        <w:pStyle w:val="CETheadingx"/>
      </w:pPr>
      <w:r w:rsidRPr="002414A5">
        <w:t>Fast Fourier Transform, Wavelets transform and application on pressure signals</w:t>
      </w:r>
    </w:p>
    <w:p w14:paraId="4D10D089" w14:textId="77777777" w:rsidR="00B0091C" w:rsidRPr="002414A5" w:rsidRDefault="00B0091C" w:rsidP="00B0091C">
      <w:pPr>
        <w:pStyle w:val="CETBodytext"/>
      </w:pPr>
      <w:r w:rsidRPr="002414A5">
        <w:t xml:space="preserve">Fast Fourier Transform (FFT) analysis was selected as the primary tool for examining fluctuations in the pressure drop signals because of its efficiency in decomposing signals into their component frequencies. FFT is particularly well suited for analyzing stationary signals where the average of the signal does not vary with time. Steady-state pressure-drop signals from the column were sampled at a constant rate to ensure adequate resolution for frequency-domain analysis. The data were then processed by a custom Python script with the </w:t>
      </w:r>
      <w:proofErr w:type="spellStart"/>
      <w:r w:rsidRPr="002414A5">
        <w:t>numpy.fft</w:t>
      </w:r>
      <w:proofErr w:type="spellEnd"/>
      <w:r w:rsidRPr="002414A5">
        <w:t xml:space="preserve"> module, which provides robust and efficient algorithms for performing FFT calculations (Lee, 2019).</w:t>
      </w:r>
    </w:p>
    <w:p w14:paraId="600A7A3D" w14:textId="23E144D3" w:rsidR="00B0091C" w:rsidRPr="002414A5" w:rsidRDefault="00B0091C" w:rsidP="00453E24">
      <w:pPr>
        <w:pStyle w:val="CETBodytext"/>
      </w:pPr>
      <w:r w:rsidRPr="002414A5">
        <w:t xml:space="preserve">Continuous Wavelet Analysis was used to analyze non-stationary pressure signals where the </w:t>
      </w:r>
      <w:proofErr w:type="gramStart"/>
      <w:r w:rsidRPr="002414A5">
        <w:t>mean</w:t>
      </w:r>
      <w:proofErr w:type="gramEnd"/>
      <w:r w:rsidRPr="002414A5">
        <w:t xml:space="preserve"> of the signal changes over time. This method enables simultaneous time-frequency localization, making it ideal for characterizing transient phenomena in pressure signals (Brusco, 2022). It was used to study the evolution and </w:t>
      </w:r>
      <w:r w:rsidRPr="002414A5">
        <w:lastRenderedPageBreak/>
        <w:t>dynamics of column flooding in response to a stepwise perturbation in the gas flow rate. The pressure data were processed using a</w:t>
      </w:r>
      <w:r w:rsidR="00552C6F">
        <w:t>nother</w:t>
      </w:r>
      <w:r w:rsidRPr="002414A5">
        <w:t xml:space="preserve"> custom Python script with the </w:t>
      </w:r>
      <w:proofErr w:type="spellStart"/>
      <w:r w:rsidRPr="002414A5">
        <w:t>pywavelets</w:t>
      </w:r>
      <w:proofErr w:type="spellEnd"/>
      <w:r w:rsidRPr="002414A5">
        <w:t xml:space="preserve"> package (Harris, 2020). Wavelet spectrograms were then used to examine the fluctuations by capturing local changes in frequency and amplitude over time. The choice of wavelet function and scale resolution was optimized to ensure an accurate representation of the signal characteristics.</w:t>
      </w:r>
    </w:p>
    <w:p w14:paraId="677EBFF0" w14:textId="69BDE4A6" w:rsidR="00600535" w:rsidRPr="002414A5" w:rsidRDefault="00AA0592" w:rsidP="00600535">
      <w:pPr>
        <w:pStyle w:val="CETHeading1"/>
        <w:tabs>
          <w:tab w:val="clear" w:pos="360"/>
          <w:tab w:val="right" w:pos="7100"/>
        </w:tabs>
        <w:jc w:val="both"/>
      </w:pPr>
      <w:r w:rsidRPr="002414A5">
        <w:t>Results</w:t>
      </w:r>
    </w:p>
    <w:p w14:paraId="0C8FEA52" w14:textId="0E9D2C19" w:rsidR="001718FD" w:rsidRPr="002414A5" w:rsidRDefault="00E37354" w:rsidP="001718FD">
      <w:pPr>
        <w:pStyle w:val="CETBodytext"/>
      </w:pPr>
      <w:r w:rsidRPr="002414A5">
        <w:t>The obtained pressure drops</w:t>
      </w:r>
      <w:r w:rsidR="004C6E7E">
        <w:t xml:space="preserve"> per unit height of packed bed</w:t>
      </w:r>
      <w:r w:rsidRPr="002414A5">
        <w:t xml:space="preserve"> are shown in Figure 2 (left) as a function of the F-factor (defined as the product between the gas superficial velocity and the square root of the gas density, </w:t>
      </w:r>
      <m:oMath>
        <m:sSub>
          <m:sSubPr>
            <m:ctrlPr>
              <w:rPr>
                <w:rFonts w:ascii="Cambria Math" w:hAnsi="Cambria Math"/>
                <w:i/>
              </w:rPr>
            </m:ctrlPr>
          </m:sSubPr>
          <m:e>
            <m:r>
              <w:rPr>
                <w:rFonts w:ascii="Cambria Math" w:hAnsi="Cambria Math"/>
              </w:rPr>
              <m:t>F</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s,G</m:t>
            </m:r>
          </m:sub>
        </m:sSub>
        <m:rad>
          <m:radPr>
            <m:degHide m:val="1"/>
            <m:ctrlPr>
              <w:rPr>
                <w:rFonts w:ascii="Cambria Math" w:hAnsi="Cambria Math"/>
                <w:i/>
              </w:rPr>
            </m:ctrlPr>
          </m:radPr>
          <m:deg/>
          <m:e>
            <m:sSub>
              <m:sSubPr>
                <m:ctrlPr>
                  <w:rPr>
                    <w:rFonts w:ascii="Cambria Math" w:hAnsi="Cambria Math"/>
                    <w:i/>
                  </w:rPr>
                </m:ctrlPr>
              </m:sSubPr>
              <m:e>
                <m:r>
                  <w:rPr>
                    <w:rFonts w:ascii="Cambria Math" w:hAnsi="Cambria Math"/>
                  </w:rPr>
                  <m:t>ρ</m:t>
                </m:r>
              </m:e>
              <m:sub>
                <m:r>
                  <w:rPr>
                    <w:rFonts w:ascii="Cambria Math" w:hAnsi="Cambria Math"/>
                  </w:rPr>
                  <m:t>G</m:t>
                </m:r>
              </m:sub>
            </m:sSub>
          </m:e>
        </m:rad>
      </m:oMath>
      <w:r w:rsidR="00B34906">
        <w:t>)</w:t>
      </w:r>
      <w:r w:rsidR="009A77DB">
        <w:t xml:space="preserve">. </w:t>
      </w:r>
      <w:r w:rsidRPr="002414A5">
        <w:t>Three different liquid flow rates (</w:t>
      </w:r>
      <m:oMath>
        <m:sSub>
          <m:sSubPr>
            <m:ctrlPr>
              <w:rPr>
                <w:rFonts w:ascii="Cambria Math" w:hAnsi="Cambria Math"/>
                <w:i/>
              </w:rPr>
            </m:ctrlPr>
          </m:sSubPr>
          <m:e>
            <m:r>
              <w:rPr>
                <w:rFonts w:ascii="Cambria Math" w:hAnsi="Cambria Math"/>
              </w:rPr>
              <m:t>L</m:t>
            </m:r>
          </m:e>
          <m:sub>
            <m:r>
              <w:rPr>
                <w:rFonts w:ascii="Cambria Math" w:hAnsi="Cambria Math"/>
              </w:rPr>
              <m:t>V</m:t>
            </m:r>
          </m:sub>
        </m:sSub>
      </m:oMath>
      <w:r w:rsidRPr="002414A5">
        <w:t>) were tested 100, 200, 400 L/h; corresponding to column liquid loads (B) of 12.7, 25.5 and 51.0 m</w:t>
      </w:r>
      <w:r w:rsidRPr="00023F04">
        <w:rPr>
          <w:vertAlign w:val="superscript"/>
        </w:rPr>
        <w:t>3</w:t>
      </w:r>
      <w:r w:rsidRPr="002414A5">
        <w:t>/(m</w:t>
      </w:r>
      <w:r w:rsidRPr="00023F04">
        <w:rPr>
          <w:vertAlign w:val="superscript"/>
        </w:rPr>
        <w:t>2</w:t>
      </w:r>
      <w:r w:rsidRPr="002414A5">
        <w:t>h), respectively.</w:t>
      </w:r>
    </w:p>
    <w:p w14:paraId="4B31173E" w14:textId="77777777" w:rsidR="00F81465" w:rsidRPr="002414A5" w:rsidRDefault="00F81465" w:rsidP="001718FD">
      <w:pPr>
        <w:pStyle w:val="CETBodytext"/>
      </w:pPr>
    </w:p>
    <w:p w14:paraId="7AABD49E" w14:textId="77777777" w:rsidR="007B023F" w:rsidRPr="002414A5" w:rsidRDefault="00F81465" w:rsidP="007B023F">
      <w:pPr>
        <w:pStyle w:val="CETBodytext"/>
        <w:keepNext/>
      </w:pPr>
      <w:r w:rsidRPr="002414A5">
        <w:rPr>
          <w:noProof/>
        </w:rPr>
        <w:drawing>
          <wp:inline distT="0" distB="0" distL="0" distR="0" wp14:anchorId="55E46E4C" wp14:editId="5E6E848A">
            <wp:extent cx="5579745" cy="1980565"/>
            <wp:effectExtent l="0" t="0" r="1905" b="635"/>
            <wp:docPr id="3734684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9745" cy="1980565"/>
                    </a:xfrm>
                    <a:prstGeom prst="rect">
                      <a:avLst/>
                    </a:prstGeom>
                    <a:noFill/>
                    <a:ln>
                      <a:noFill/>
                    </a:ln>
                  </pic:spPr>
                </pic:pic>
              </a:graphicData>
            </a:graphic>
          </wp:inline>
        </w:drawing>
      </w:r>
    </w:p>
    <w:p w14:paraId="2CF279B9" w14:textId="3FA9E0F4" w:rsidR="00F81465" w:rsidRPr="002414A5" w:rsidRDefault="007B023F" w:rsidP="007B023F">
      <w:pPr>
        <w:pStyle w:val="Caption"/>
        <w:rPr>
          <w:b w:val="0"/>
          <w:bCs w:val="0"/>
          <w:i/>
          <w:iCs/>
          <w:color w:val="auto"/>
          <w:lang w:val="en-US"/>
        </w:rPr>
      </w:pPr>
      <w:r w:rsidRPr="002414A5">
        <w:rPr>
          <w:b w:val="0"/>
          <w:bCs w:val="0"/>
          <w:i/>
          <w:iCs/>
          <w:color w:val="auto"/>
          <w:lang w:val="en-US"/>
        </w:rPr>
        <w:t xml:space="preserve">Figure </w:t>
      </w:r>
      <w:r w:rsidRPr="002414A5">
        <w:rPr>
          <w:b w:val="0"/>
          <w:bCs w:val="0"/>
          <w:i/>
          <w:iCs/>
          <w:color w:val="auto"/>
          <w:lang w:val="en-US"/>
        </w:rPr>
        <w:fldChar w:fldCharType="begin"/>
      </w:r>
      <w:r w:rsidRPr="002414A5">
        <w:rPr>
          <w:b w:val="0"/>
          <w:bCs w:val="0"/>
          <w:i/>
          <w:iCs/>
          <w:color w:val="auto"/>
          <w:lang w:val="en-US"/>
        </w:rPr>
        <w:instrText xml:space="preserve"> SEQ Figure \* ARABIC </w:instrText>
      </w:r>
      <w:r w:rsidRPr="002414A5">
        <w:rPr>
          <w:b w:val="0"/>
          <w:bCs w:val="0"/>
          <w:i/>
          <w:iCs/>
          <w:color w:val="auto"/>
          <w:lang w:val="en-US"/>
        </w:rPr>
        <w:fldChar w:fldCharType="separate"/>
      </w:r>
      <w:r w:rsidR="005008FF" w:rsidRPr="002414A5">
        <w:rPr>
          <w:b w:val="0"/>
          <w:bCs w:val="0"/>
          <w:i/>
          <w:iCs/>
          <w:noProof/>
          <w:color w:val="auto"/>
          <w:lang w:val="en-US"/>
        </w:rPr>
        <w:t>2</w:t>
      </w:r>
      <w:r w:rsidRPr="002414A5">
        <w:rPr>
          <w:b w:val="0"/>
          <w:bCs w:val="0"/>
          <w:i/>
          <w:iCs/>
          <w:color w:val="auto"/>
          <w:lang w:val="en-US"/>
        </w:rPr>
        <w:fldChar w:fldCharType="end"/>
      </w:r>
      <w:r w:rsidRPr="002414A5">
        <w:rPr>
          <w:b w:val="0"/>
          <w:bCs w:val="0"/>
          <w:i/>
          <w:iCs/>
          <w:color w:val="auto"/>
          <w:lang w:val="en-US"/>
        </w:rPr>
        <w:t>: Pressure drop for different operating conditions (</w:t>
      </w:r>
      <w:proofErr w:type="gramStart"/>
      <w:r w:rsidRPr="002414A5">
        <w:rPr>
          <w:b w:val="0"/>
          <w:bCs w:val="0"/>
          <w:i/>
          <w:iCs/>
          <w:color w:val="auto"/>
          <w:lang w:val="en-US"/>
        </w:rPr>
        <w:t>left:</w:t>
      </w:r>
      <w:proofErr w:type="gramEnd"/>
      <w:r w:rsidRPr="002414A5">
        <w:rPr>
          <w:b w:val="0"/>
          <w:bCs w:val="0"/>
          <w:i/>
          <w:iCs/>
          <w:color w:val="auto"/>
          <w:lang w:val="en-US"/>
        </w:rPr>
        <w:t xml:space="preserve"> pressure drop curve vs F-factor for three liquid loads, right: temporal trends of pressure drop fluctuations [PL: Pre-Loading, L: Loading, F: Flooding])</w:t>
      </w:r>
    </w:p>
    <w:p w14:paraId="64F4BC29" w14:textId="77777777" w:rsidR="007B023F" w:rsidRPr="002414A5" w:rsidRDefault="007B023F" w:rsidP="007B023F">
      <w:pPr>
        <w:rPr>
          <w:lang w:val="en-US"/>
        </w:rPr>
      </w:pPr>
    </w:p>
    <w:p w14:paraId="4B7AA738" w14:textId="12E86780" w:rsidR="007B023F" w:rsidRPr="002414A5" w:rsidRDefault="007B023F" w:rsidP="00A24B09">
      <w:pPr>
        <w:pBdr>
          <w:top w:val="nil"/>
          <w:left w:val="nil"/>
          <w:bottom w:val="nil"/>
          <w:right w:val="nil"/>
          <w:between w:val="nil"/>
        </w:pBdr>
        <w:rPr>
          <w:rFonts w:eastAsia="Arial" w:cs="Arial"/>
          <w:color w:val="000000"/>
          <w:szCs w:val="18"/>
          <w:lang w:val="en-US"/>
        </w:rPr>
      </w:pPr>
      <w:r w:rsidRPr="002414A5">
        <w:rPr>
          <w:rFonts w:eastAsia="Arial" w:cs="Arial"/>
          <w:color w:val="000000"/>
          <w:szCs w:val="18"/>
          <w:lang w:val="en-US"/>
        </w:rPr>
        <w:t>The loading and flooding points identified for different liquid loads are summarized in Table 1. Interestingly, the distance between the loading and flooding conditions, expressed as the ratio of the F-factors at the respective conditions (</w:t>
      </w:r>
      <m:oMath>
        <m:sSub>
          <m:sSubPr>
            <m:ctrlPr>
              <w:rPr>
                <w:rFonts w:ascii="Cambria Math" w:eastAsia="Cambria Math" w:hAnsi="Cambria Math" w:cs="Cambria Math"/>
                <w:color w:val="000000"/>
                <w:szCs w:val="18"/>
                <w:lang w:val="en-US"/>
              </w:rPr>
            </m:ctrlPr>
          </m:sSubPr>
          <m:e>
            <m:r>
              <w:rPr>
                <w:rFonts w:ascii="Cambria Math" w:eastAsia="Cambria Math" w:hAnsi="Cambria Math" w:cs="Cambria Math"/>
                <w:color w:val="000000"/>
                <w:szCs w:val="18"/>
                <w:lang w:val="en-US"/>
              </w:rPr>
              <m:t>F</m:t>
            </m:r>
          </m:e>
          <m:sub>
            <m:r>
              <w:rPr>
                <w:rFonts w:ascii="Cambria Math" w:eastAsia="Cambria Math" w:hAnsi="Cambria Math" w:cs="Cambria Math"/>
                <w:color w:val="000000"/>
                <w:szCs w:val="18"/>
                <w:lang w:val="en-US"/>
              </w:rPr>
              <m:t>V,L</m:t>
            </m:r>
          </m:sub>
        </m:sSub>
        <m:r>
          <w:rPr>
            <w:rFonts w:ascii="Cambria Math" w:eastAsia="Cambria Math" w:hAnsi="Cambria Math" w:cs="Cambria Math"/>
            <w:color w:val="000000"/>
            <w:szCs w:val="18"/>
            <w:lang w:val="en-US"/>
          </w:rPr>
          <m:t>/</m:t>
        </m:r>
        <m:sSub>
          <m:sSubPr>
            <m:ctrlPr>
              <w:rPr>
                <w:rFonts w:ascii="Cambria Math" w:eastAsia="Cambria Math" w:hAnsi="Cambria Math" w:cs="Cambria Math"/>
                <w:color w:val="000000"/>
                <w:szCs w:val="18"/>
                <w:lang w:val="en-US"/>
              </w:rPr>
            </m:ctrlPr>
          </m:sSubPr>
          <m:e>
            <m:r>
              <w:rPr>
                <w:rFonts w:ascii="Cambria Math" w:eastAsia="Cambria Math" w:hAnsi="Cambria Math" w:cs="Cambria Math"/>
                <w:color w:val="000000"/>
                <w:szCs w:val="18"/>
                <w:lang w:val="en-US"/>
              </w:rPr>
              <m:t>F</m:t>
            </m:r>
          </m:e>
          <m:sub>
            <m:r>
              <w:rPr>
                <w:rFonts w:ascii="Cambria Math" w:eastAsia="Cambria Math" w:hAnsi="Cambria Math" w:cs="Cambria Math"/>
                <w:color w:val="000000"/>
                <w:szCs w:val="18"/>
                <w:lang w:val="en-US"/>
              </w:rPr>
              <m:t>V,F</m:t>
            </m:r>
          </m:sub>
        </m:sSub>
      </m:oMath>
      <w:r w:rsidRPr="002414A5">
        <w:rPr>
          <w:rFonts w:eastAsia="Arial" w:cs="Arial"/>
          <w:color w:val="000000"/>
          <w:szCs w:val="18"/>
          <w:lang w:val="en-US"/>
        </w:rPr>
        <w:t>), decreases as the liquid load increases, indicating a less sensitive behavior of the system as the amount of liquid in the column increases.</w:t>
      </w:r>
    </w:p>
    <w:p w14:paraId="62943A61" w14:textId="77777777" w:rsidR="00A24B09" w:rsidRPr="002414A5" w:rsidRDefault="00A24B09" w:rsidP="00A24B09">
      <w:pPr>
        <w:pBdr>
          <w:top w:val="nil"/>
          <w:left w:val="nil"/>
          <w:bottom w:val="nil"/>
          <w:right w:val="nil"/>
          <w:between w:val="nil"/>
        </w:pBdr>
        <w:rPr>
          <w:rFonts w:eastAsia="Arial" w:cs="Arial"/>
          <w:color w:val="000000"/>
          <w:szCs w:val="18"/>
          <w:lang w:val="en-US"/>
        </w:rPr>
      </w:pPr>
    </w:p>
    <w:p w14:paraId="6B90912C" w14:textId="77777777" w:rsidR="00A24B09" w:rsidRPr="002414A5" w:rsidRDefault="00000000" w:rsidP="00A24B09">
      <w:pPr>
        <w:pBdr>
          <w:top w:val="nil"/>
          <w:left w:val="nil"/>
          <w:bottom w:val="nil"/>
          <w:right w:val="nil"/>
          <w:between w:val="nil"/>
        </w:pBdr>
        <w:rPr>
          <w:i/>
          <w:color w:val="000000"/>
          <w:lang w:val="en-US"/>
        </w:rPr>
      </w:pPr>
      <w:sdt>
        <w:sdtPr>
          <w:rPr>
            <w:lang w:val="en-US"/>
          </w:rPr>
          <w:tag w:val="goog_rdk_0"/>
          <w:id w:val="781002446"/>
        </w:sdtPr>
        <w:sdtContent/>
      </w:sdt>
      <w:r w:rsidR="00A24B09" w:rsidRPr="002414A5">
        <w:rPr>
          <w:i/>
          <w:color w:val="000000"/>
          <w:lang w:val="en-US"/>
        </w:rPr>
        <w:t>Table 1: F-factors (Pa</w:t>
      </w:r>
      <w:r w:rsidR="00A24B09" w:rsidRPr="002414A5">
        <w:rPr>
          <w:i/>
          <w:color w:val="000000"/>
          <w:vertAlign w:val="superscript"/>
          <w:lang w:val="en-US"/>
        </w:rPr>
        <w:t>0.5</w:t>
      </w:r>
      <w:r w:rsidR="00A24B09" w:rsidRPr="002414A5">
        <w:rPr>
          <w:i/>
          <w:color w:val="000000"/>
          <w:lang w:val="en-US"/>
        </w:rPr>
        <w:t>) for different operating points (LP: loading point, FP: flooding point)</w:t>
      </w:r>
    </w:p>
    <w:tbl>
      <w:tblPr>
        <w:tblW w:w="8645" w:type="dxa"/>
        <w:tblBorders>
          <w:top w:val="single" w:sz="12" w:space="0" w:color="008000"/>
          <w:bottom w:val="single" w:sz="12" w:space="0" w:color="008000"/>
        </w:tblBorders>
        <w:tblLayout w:type="fixed"/>
        <w:tblLook w:val="0000" w:firstRow="0" w:lastRow="0" w:firstColumn="0" w:lastColumn="0" w:noHBand="0" w:noVBand="0"/>
      </w:tblPr>
      <w:tblGrid>
        <w:gridCol w:w="1560"/>
        <w:gridCol w:w="3117"/>
        <w:gridCol w:w="1984"/>
        <w:gridCol w:w="1984"/>
      </w:tblGrid>
      <w:tr w:rsidR="00A24B09" w:rsidRPr="002414A5" w14:paraId="40C35AA3" w14:textId="77777777" w:rsidTr="00263583">
        <w:tc>
          <w:tcPr>
            <w:tcW w:w="1560" w:type="dxa"/>
            <w:tcBorders>
              <w:top w:val="single" w:sz="12" w:space="0" w:color="008000"/>
              <w:bottom w:val="single" w:sz="6" w:space="0" w:color="008000"/>
            </w:tcBorders>
            <w:shd w:val="clear" w:color="auto" w:fill="FFFFFF"/>
          </w:tcPr>
          <w:p w14:paraId="241E4171" w14:textId="77777777" w:rsidR="00A24B09" w:rsidRPr="002414A5" w:rsidRDefault="00A24B09" w:rsidP="00263583">
            <w:pPr>
              <w:pBdr>
                <w:top w:val="nil"/>
                <w:left w:val="nil"/>
                <w:bottom w:val="nil"/>
                <w:right w:val="nil"/>
                <w:between w:val="nil"/>
              </w:pBdr>
              <w:jc w:val="left"/>
              <w:rPr>
                <w:color w:val="000000"/>
                <w:lang w:val="en-US"/>
              </w:rPr>
            </w:pPr>
            <m:oMath>
              <m:r>
                <w:rPr>
                  <w:rFonts w:ascii="Cambria Math" w:eastAsia="Cambria Math" w:hAnsi="Cambria Math" w:cs="Cambria Math"/>
                  <w:color w:val="000000"/>
                  <w:lang w:val="en-US"/>
                </w:rPr>
                <m:t>B</m:t>
              </m:r>
            </m:oMath>
            <w:r w:rsidRPr="002414A5">
              <w:rPr>
                <w:color w:val="000000"/>
                <w:lang w:val="en-US"/>
              </w:rPr>
              <w:t xml:space="preserve"> (</w:t>
            </w:r>
            <w:proofErr w:type="gramStart"/>
            <w:r w:rsidRPr="002414A5">
              <w:rPr>
                <w:color w:val="000000"/>
                <w:lang w:val="en-US"/>
              </w:rPr>
              <w:t>m</w:t>
            </w:r>
            <w:r w:rsidRPr="002414A5">
              <w:rPr>
                <w:color w:val="000000"/>
                <w:vertAlign w:val="superscript"/>
                <w:lang w:val="en-US"/>
              </w:rPr>
              <w:t>3</w:t>
            </w:r>
            <w:r w:rsidRPr="002414A5">
              <w:rPr>
                <w:color w:val="000000"/>
                <w:lang w:val="en-US"/>
              </w:rPr>
              <w:t>/(</w:t>
            </w:r>
            <w:proofErr w:type="gramEnd"/>
            <w:r w:rsidRPr="002414A5">
              <w:rPr>
                <w:color w:val="000000"/>
                <w:lang w:val="en-US"/>
              </w:rPr>
              <w:t>m</w:t>
            </w:r>
            <w:r w:rsidRPr="002414A5">
              <w:rPr>
                <w:color w:val="000000"/>
                <w:vertAlign w:val="superscript"/>
                <w:lang w:val="en-US"/>
              </w:rPr>
              <w:t>2</w:t>
            </w:r>
            <w:r w:rsidRPr="002414A5">
              <w:rPr>
                <w:color w:val="000000"/>
                <w:lang w:val="en-US"/>
              </w:rPr>
              <w:t>/h)</w:t>
            </w:r>
          </w:p>
        </w:tc>
        <w:tc>
          <w:tcPr>
            <w:tcW w:w="3117" w:type="dxa"/>
            <w:tcBorders>
              <w:top w:val="single" w:sz="12" w:space="0" w:color="008000"/>
              <w:bottom w:val="single" w:sz="6" w:space="0" w:color="008000"/>
            </w:tcBorders>
            <w:shd w:val="clear" w:color="auto" w:fill="FFFFFF"/>
          </w:tcPr>
          <w:p w14:paraId="37C15AA7" w14:textId="77777777" w:rsidR="00A24B09" w:rsidRPr="002414A5" w:rsidRDefault="00A24B09" w:rsidP="00263583">
            <w:pPr>
              <w:pBdr>
                <w:top w:val="nil"/>
                <w:left w:val="nil"/>
                <w:bottom w:val="nil"/>
                <w:right w:val="nil"/>
                <w:between w:val="nil"/>
              </w:pBdr>
              <w:jc w:val="center"/>
              <w:rPr>
                <w:color w:val="000000"/>
                <w:lang w:val="en-US"/>
              </w:rPr>
            </w:pPr>
            <w:r w:rsidRPr="002414A5">
              <w:rPr>
                <w:color w:val="000000"/>
                <w:lang w:val="en-US"/>
              </w:rPr>
              <w:t>LP</w:t>
            </w:r>
          </w:p>
        </w:tc>
        <w:tc>
          <w:tcPr>
            <w:tcW w:w="1984" w:type="dxa"/>
            <w:tcBorders>
              <w:top w:val="single" w:sz="12" w:space="0" w:color="008000"/>
              <w:bottom w:val="single" w:sz="6" w:space="0" w:color="008000"/>
            </w:tcBorders>
            <w:shd w:val="clear" w:color="auto" w:fill="FFFFFF"/>
          </w:tcPr>
          <w:p w14:paraId="0FBF80E7" w14:textId="77777777" w:rsidR="00A24B09" w:rsidRPr="002414A5" w:rsidRDefault="00A24B09" w:rsidP="00263583">
            <w:pPr>
              <w:pBdr>
                <w:top w:val="nil"/>
                <w:left w:val="nil"/>
                <w:bottom w:val="nil"/>
                <w:right w:val="nil"/>
                <w:between w:val="nil"/>
              </w:pBdr>
              <w:jc w:val="center"/>
              <w:rPr>
                <w:color w:val="000000"/>
                <w:lang w:val="en-US"/>
              </w:rPr>
            </w:pPr>
            <w:r w:rsidRPr="002414A5">
              <w:rPr>
                <w:color w:val="000000"/>
                <w:lang w:val="en-US"/>
              </w:rPr>
              <w:t>FP</w:t>
            </w:r>
          </w:p>
        </w:tc>
        <w:tc>
          <w:tcPr>
            <w:tcW w:w="1984" w:type="dxa"/>
            <w:tcBorders>
              <w:top w:val="single" w:sz="12" w:space="0" w:color="008000"/>
              <w:bottom w:val="single" w:sz="6" w:space="0" w:color="008000"/>
            </w:tcBorders>
            <w:shd w:val="clear" w:color="auto" w:fill="FFFFFF"/>
          </w:tcPr>
          <w:p w14:paraId="40C0D54A" w14:textId="77777777" w:rsidR="00A24B09" w:rsidRPr="002414A5" w:rsidRDefault="00000000" w:rsidP="00263583">
            <w:pPr>
              <w:pBdr>
                <w:top w:val="nil"/>
                <w:left w:val="nil"/>
                <w:bottom w:val="nil"/>
                <w:right w:val="nil"/>
                <w:between w:val="nil"/>
              </w:pBdr>
              <w:jc w:val="center"/>
              <w:rPr>
                <w:color w:val="000000"/>
                <w:lang w:val="en-US"/>
              </w:rPr>
            </w:pPr>
            <m:oMath>
              <m:sSub>
                <m:sSubPr>
                  <m:ctrlPr>
                    <w:rPr>
                      <w:rFonts w:ascii="Cambria Math" w:eastAsia="Cambria Math" w:hAnsi="Cambria Math" w:cs="Cambria Math"/>
                      <w:color w:val="000000"/>
                      <w:lang w:val="en-US"/>
                    </w:rPr>
                  </m:ctrlPr>
                </m:sSubPr>
                <m:e>
                  <m:r>
                    <w:rPr>
                      <w:rFonts w:ascii="Cambria Math" w:eastAsia="Cambria Math" w:hAnsi="Cambria Math" w:cs="Cambria Math"/>
                      <w:color w:val="000000"/>
                      <w:lang w:val="en-US"/>
                    </w:rPr>
                    <m:t>F</m:t>
                  </m:r>
                </m:e>
                <m:sub>
                  <m:r>
                    <w:rPr>
                      <w:rFonts w:ascii="Cambria Math" w:eastAsia="Cambria Math" w:hAnsi="Cambria Math" w:cs="Cambria Math"/>
                      <w:color w:val="000000"/>
                      <w:lang w:val="en-US"/>
                    </w:rPr>
                    <m:t>V,L</m:t>
                  </m:r>
                </m:sub>
              </m:sSub>
              <m:r>
                <w:rPr>
                  <w:rFonts w:ascii="Cambria Math" w:eastAsia="Cambria Math" w:hAnsi="Cambria Math" w:cs="Cambria Math"/>
                  <w:color w:val="000000"/>
                  <w:lang w:val="en-US"/>
                </w:rPr>
                <m:t>/</m:t>
              </m:r>
              <m:sSub>
                <m:sSubPr>
                  <m:ctrlPr>
                    <w:rPr>
                      <w:rFonts w:ascii="Cambria Math" w:eastAsia="Cambria Math" w:hAnsi="Cambria Math" w:cs="Cambria Math"/>
                      <w:color w:val="000000"/>
                      <w:lang w:val="en-US"/>
                    </w:rPr>
                  </m:ctrlPr>
                </m:sSubPr>
                <m:e>
                  <m:r>
                    <w:rPr>
                      <w:rFonts w:ascii="Cambria Math" w:eastAsia="Cambria Math" w:hAnsi="Cambria Math" w:cs="Cambria Math"/>
                      <w:color w:val="000000"/>
                      <w:lang w:val="en-US"/>
                    </w:rPr>
                    <m:t>F</m:t>
                  </m:r>
                </m:e>
                <m:sub>
                  <m:r>
                    <w:rPr>
                      <w:rFonts w:ascii="Cambria Math" w:eastAsia="Cambria Math" w:hAnsi="Cambria Math" w:cs="Cambria Math"/>
                      <w:color w:val="000000"/>
                      <w:lang w:val="en-US"/>
                    </w:rPr>
                    <m:t>V,F</m:t>
                  </m:r>
                </m:sub>
              </m:sSub>
            </m:oMath>
            <w:r w:rsidR="00A24B09" w:rsidRPr="002414A5">
              <w:rPr>
                <w:color w:val="000000"/>
                <w:lang w:val="en-US"/>
              </w:rPr>
              <w:t xml:space="preserve"> (-)</w:t>
            </w:r>
          </w:p>
        </w:tc>
      </w:tr>
      <w:tr w:rsidR="00A24B09" w:rsidRPr="002414A5" w14:paraId="6E799323" w14:textId="77777777" w:rsidTr="00263583">
        <w:tc>
          <w:tcPr>
            <w:tcW w:w="1560" w:type="dxa"/>
            <w:shd w:val="clear" w:color="auto" w:fill="FFFFFF"/>
          </w:tcPr>
          <w:p w14:paraId="2179087E" w14:textId="77777777" w:rsidR="00A24B09" w:rsidRPr="002414A5" w:rsidRDefault="00A24B09" w:rsidP="00263583">
            <w:pPr>
              <w:pBdr>
                <w:top w:val="nil"/>
                <w:left w:val="nil"/>
                <w:bottom w:val="nil"/>
                <w:right w:val="nil"/>
                <w:between w:val="nil"/>
              </w:pBdr>
              <w:jc w:val="left"/>
              <w:rPr>
                <w:color w:val="000000"/>
                <w:lang w:val="en-US"/>
              </w:rPr>
            </w:pPr>
            <w:r w:rsidRPr="002414A5">
              <w:rPr>
                <w:color w:val="000000"/>
                <w:lang w:val="en-US"/>
              </w:rPr>
              <w:t>12.7</w:t>
            </w:r>
          </w:p>
        </w:tc>
        <w:tc>
          <w:tcPr>
            <w:tcW w:w="3117" w:type="dxa"/>
            <w:shd w:val="clear" w:color="auto" w:fill="FFFFFF"/>
          </w:tcPr>
          <w:p w14:paraId="3B47851E" w14:textId="77777777" w:rsidR="00A24B09" w:rsidRPr="002414A5" w:rsidRDefault="00A24B09" w:rsidP="00263583">
            <w:pPr>
              <w:pBdr>
                <w:top w:val="nil"/>
                <w:left w:val="nil"/>
                <w:bottom w:val="nil"/>
                <w:right w:val="nil"/>
                <w:between w:val="nil"/>
              </w:pBdr>
              <w:jc w:val="center"/>
              <w:rPr>
                <w:color w:val="000000"/>
                <w:lang w:val="en-US"/>
              </w:rPr>
            </w:pPr>
            <w:r w:rsidRPr="002414A5">
              <w:rPr>
                <w:color w:val="000000"/>
                <w:lang w:val="en-US"/>
              </w:rPr>
              <w:t>4.1</w:t>
            </w:r>
          </w:p>
        </w:tc>
        <w:tc>
          <w:tcPr>
            <w:tcW w:w="1984" w:type="dxa"/>
            <w:shd w:val="clear" w:color="auto" w:fill="FFFFFF"/>
          </w:tcPr>
          <w:p w14:paraId="41CAA458" w14:textId="77777777" w:rsidR="00A24B09" w:rsidRPr="002414A5" w:rsidRDefault="00A24B09" w:rsidP="00263583">
            <w:pPr>
              <w:pBdr>
                <w:top w:val="nil"/>
                <w:left w:val="nil"/>
                <w:bottom w:val="nil"/>
                <w:right w:val="nil"/>
                <w:between w:val="nil"/>
              </w:pBdr>
              <w:jc w:val="center"/>
              <w:rPr>
                <w:color w:val="000000"/>
                <w:lang w:val="en-US"/>
              </w:rPr>
            </w:pPr>
            <w:r w:rsidRPr="002414A5">
              <w:rPr>
                <w:color w:val="000000"/>
                <w:lang w:val="en-US"/>
              </w:rPr>
              <w:t>4.6</w:t>
            </w:r>
          </w:p>
        </w:tc>
        <w:tc>
          <w:tcPr>
            <w:tcW w:w="1984" w:type="dxa"/>
            <w:shd w:val="clear" w:color="auto" w:fill="FFFFFF"/>
          </w:tcPr>
          <w:p w14:paraId="160F92A5" w14:textId="77777777" w:rsidR="00A24B09" w:rsidRPr="002414A5" w:rsidRDefault="00A24B09" w:rsidP="00263583">
            <w:pPr>
              <w:pBdr>
                <w:top w:val="nil"/>
                <w:left w:val="nil"/>
                <w:bottom w:val="nil"/>
                <w:right w:val="nil"/>
                <w:between w:val="nil"/>
              </w:pBdr>
              <w:jc w:val="center"/>
              <w:rPr>
                <w:color w:val="000000"/>
                <w:lang w:val="en-US"/>
              </w:rPr>
            </w:pPr>
            <w:r w:rsidRPr="002414A5">
              <w:rPr>
                <w:color w:val="000000"/>
                <w:lang w:val="en-US"/>
              </w:rPr>
              <w:t>0.89</w:t>
            </w:r>
          </w:p>
        </w:tc>
      </w:tr>
      <w:tr w:rsidR="00A24B09" w:rsidRPr="002414A5" w14:paraId="5108CA72" w14:textId="77777777" w:rsidTr="00263583">
        <w:tc>
          <w:tcPr>
            <w:tcW w:w="1560" w:type="dxa"/>
            <w:shd w:val="clear" w:color="auto" w:fill="FFFFFF"/>
          </w:tcPr>
          <w:p w14:paraId="490EA5B1" w14:textId="77777777" w:rsidR="00A24B09" w:rsidRPr="002414A5" w:rsidRDefault="00A24B09" w:rsidP="00263583">
            <w:pPr>
              <w:pBdr>
                <w:top w:val="nil"/>
                <w:left w:val="nil"/>
                <w:bottom w:val="nil"/>
                <w:right w:val="nil"/>
                <w:between w:val="nil"/>
              </w:pBdr>
              <w:jc w:val="left"/>
              <w:rPr>
                <w:color w:val="000000"/>
                <w:lang w:val="en-US"/>
              </w:rPr>
            </w:pPr>
            <w:r w:rsidRPr="002414A5">
              <w:rPr>
                <w:color w:val="000000"/>
                <w:lang w:val="en-US"/>
              </w:rPr>
              <w:t>25.5</w:t>
            </w:r>
          </w:p>
        </w:tc>
        <w:tc>
          <w:tcPr>
            <w:tcW w:w="3117" w:type="dxa"/>
            <w:shd w:val="clear" w:color="auto" w:fill="FFFFFF"/>
          </w:tcPr>
          <w:p w14:paraId="51F75A6E" w14:textId="77777777" w:rsidR="00A24B09" w:rsidRPr="002414A5" w:rsidRDefault="00A24B09" w:rsidP="00263583">
            <w:pPr>
              <w:pBdr>
                <w:top w:val="nil"/>
                <w:left w:val="nil"/>
                <w:bottom w:val="nil"/>
                <w:right w:val="nil"/>
                <w:between w:val="nil"/>
              </w:pBdr>
              <w:jc w:val="center"/>
              <w:rPr>
                <w:color w:val="000000"/>
                <w:lang w:val="en-US"/>
              </w:rPr>
            </w:pPr>
            <w:r w:rsidRPr="002414A5">
              <w:rPr>
                <w:color w:val="000000"/>
                <w:lang w:val="en-US"/>
              </w:rPr>
              <w:t>3.2</w:t>
            </w:r>
          </w:p>
        </w:tc>
        <w:tc>
          <w:tcPr>
            <w:tcW w:w="1984" w:type="dxa"/>
            <w:shd w:val="clear" w:color="auto" w:fill="FFFFFF"/>
          </w:tcPr>
          <w:p w14:paraId="195513B7" w14:textId="77777777" w:rsidR="00A24B09" w:rsidRPr="002414A5" w:rsidRDefault="00A24B09" w:rsidP="00263583">
            <w:pPr>
              <w:pBdr>
                <w:top w:val="nil"/>
                <w:left w:val="nil"/>
                <w:bottom w:val="nil"/>
                <w:right w:val="nil"/>
                <w:between w:val="nil"/>
              </w:pBdr>
              <w:jc w:val="center"/>
              <w:rPr>
                <w:color w:val="000000"/>
                <w:lang w:val="en-US"/>
              </w:rPr>
            </w:pPr>
            <w:r w:rsidRPr="002414A5">
              <w:rPr>
                <w:color w:val="000000"/>
                <w:lang w:val="en-US"/>
              </w:rPr>
              <w:t>3.7</w:t>
            </w:r>
          </w:p>
        </w:tc>
        <w:tc>
          <w:tcPr>
            <w:tcW w:w="1984" w:type="dxa"/>
            <w:shd w:val="clear" w:color="auto" w:fill="FFFFFF"/>
          </w:tcPr>
          <w:p w14:paraId="6FE22094" w14:textId="77777777" w:rsidR="00A24B09" w:rsidRPr="002414A5" w:rsidRDefault="00A24B09" w:rsidP="00263583">
            <w:pPr>
              <w:pBdr>
                <w:top w:val="nil"/>
                <w:left w:val="nil"/>
                <w:bottom w:val="nil"/>
                <w:right w:val="nil"/>
                <w:between w:val="nil"/>
              </w:pBdr>
              <w:jc w:val="center"/>
              <w:rPr>
                <w:color w:val="000000"/>
                <w:lang w:val="en-US"/>
              </w:rPr>
            </w:pPr>
            <w:r w:rsidRPr="002414A5">
              <w:rPr>
                <w:color w:val="000000"/>
                <w:lang w:val="en-US"/>
              </w:rPr>
              <w:t>0.87</w:t>
            </w:r>
          </w:p>
        </w:tc>
      </w:tr>
      <w:tr w:rsidR="00A24B09" w:rsidRPr="002414A5" w14:paraId="058E7B00" w14:textId="77777777" w:rsidTr="00263583">
        <w:tc>
          <w:tcPr>
            <w:tcW w:w="1560" w:type="dxa"/>
            <w:shd w:val="clear" w:color="auto" w:fill="FFFFFF"/>
          </w:tcPr>
          <w:p w14:paraId="594B5AD8" w14:textId="77777777" w:rsidR="00A24B09" w:rsidRPr="002414A5" w:rsidRDefault="00A24B09" w:rsidP="00263583">
            <w:pPr>
              <w:pBdr>
                <w:top w:val="nil"/>
                <w:left w:val="nil"/>
                <w:bottom w:val="nil"/>
                <w:right w:val="nil"/>
                <w:between w:val="nil"/>
              </w:pBdr>
              <w:jc w:val="left"/>
              <w:rPr>
                <w:color w:val="000000"/>
                <w:lang w:val="en-US"/>
              </w:rPr>
            </w:pPr>
            <w:r w:rsidRPr="002414A5">
              <w:rPr>
                <w:color w:val="000000"/>
                <w:lang w:val="en-US"/>
              </w:rPr>
              <w:t>51.0</w:t>
            </w:r>
          </w:p>
        </w:tc>
        <w:tc>
          <w:tcPr>
            <w:tcW w:w="3117" w:type="dxa"/>
            <w:shd w:val="clear" w:color="auto" w:fill="FFFFFF"/>
          </w:tcPr>
          <w:p w14:paraId="3AE8EBBB" w14:textId="77777777" w:rsidR="00A24B09" w:rsidRPr="002414A5" w:rsidRDefault="00A24B09" w:rsidP="00263583">
            <w:pPr>
              <w:pBdr>
                <w:top w:val="nil"/>
                <w:left w:val="nil"/>
                <w:bottom w:val="nil"/>
                <w:right w:val="nil"/>
                <w:between w:val="nil"/>
              </w:pBdr>
              <w:jc w:val="center"/>
              <w:rPr>
                <w:color w:val="000000"/>
                <w:lang w:val="en-US"/>
              </w:rPr>
            </w:pPr>
            <w:r w:rsidRPr="002414A5">
              <w:rPr>
                <w:color w:val="000000"/>
                <w:lang w:val="en-US"/>
              </w:rPr>
              <w:t>2.1</w:t>
            </w:r>
          </w:p>
        </w:tc>
        <w:tc>
          <w:tcPr>
            <w:tcW w:w="1984" w:type="dxa"/>
            <w:shd w:val="clear" w:color="auto" w:fill="FFFFFF"/>
          </w:tcPr>
          <w:p w14:paraId="14A847EB" w14:textId="77777777" w:rsidR="00A24B09" w:rsidRPr="002414A5" w:rsidRDefault="00A24B09" w:rsidP="00263583">
            <w:pPr>
              <w:pBdr>
                <w:top w:val="nil"/>
                <w:left w:val="nil"/>
                <w:bottom w:val="nil"/>
                <w:right w:val="nil"/>
                <w:between w:val="nil"/>
              </w:pBdr>
              <w:jc w:val="center"/>
              <w:rPr>
                <w:color w:val="000000"/>
                <w:lang w:val="en-US"/>
              </w:rPr>
            </w:pPr>
            <w:r w:rsidRPr="002414A5">
              <w:rPr>
                <w:color w:val="000000"/>
                <w:lang w:val="en-US"/>
              </w:rPr>
              <w:t>2.8</w:t>
            </w:r>
          </w:p>
        </w:tc>
        <w:tc>
          <w:tcPr>
            <w:tcW w:w="1984" w:type="dxa"/>
            <w:shd w:val="clear" w:color="auto" w:fill="FFFFFF"/>
          </w:tcPr>
          <w:p w14:paraId="16DBB3D4" w14:textId="77777777" w:rsidR="00A24B09" w:rsidRPr="002414A5" w:rsidRDefault="00A24B09" w:rsidP="00263583">
            <w:pPr>
              <w:pBdr>
                <w:top w:val="nil"/>
                <w:left w:val="nil"/>
                <w:bottom w:val="nil"/>
                <w:right w:val="nil"/>
                <w:between w:val="nil"/>
              </w:pBdr>
              <w:jc w:val="center"/>
              <w:rPr>
                <w:color w:val="000000"/>
                <w:lang w:val="en-US"/>
              </w:rPr>
            </w:pPr>
            <w:r w:rsidRPr="002414A5">
              <w:rPr>
                <w:color w:val="000000"/>
                <w:lang w:val="en-US"/>
              </w:rPr>
              <w:t>0.76</w:t>
            </w:r>
          </w:p>
        </w:tc>
      </w:tr>
    </w:tbl>
    <w:p w14:paraId="46115E34" w14:textId="77777777" w:rsidR="00A24B09" w:rsidRPr="002414A5" w:rsidRDefault="00A24B09" w:rsidP="00A24B09">
      <w:pPr>
        <w:pBdr>
          <w:top w:val="nil"/>
          <w:left w:val="nil"/>
          <w:bottom w:val="nil"/>
          <w:right w:val="nil"/>
          <w:between w:val="nil"/>
        </w:pBdr>
        <w:rPr>
          <w:rFonts w:eastAsia="Arial" w:cs="Arial"/>
          <w:color w:val="000000"/>
          <w:szCs w:val="18"/>
          <w:lang w:val="en-US"/>
        </w:rPr>
      </w:pPr>
    </w:p>
    <w:p w14:paraId="2357DB5E" w14:textId="5E0A5287" w:rsidR="00A24B09" w:rsidRPr="002414A5" w:rsidRDefault="00A24B09" w:rsidP="00A24B09">
      <w:pPr>
        <w:pBdr>
          <w:top w:val="nil"/>
          <w:left w:val="nil"/>
          <w:bottom w:val="nil"/>
          <w:right w:val="nil"/>
          <w:between w:val="nil"/>
        </w:pBdr>
        <w:rPr>
          <w:rFonts w:eastAsia="Arial" w:cs="Arial"/>
          <w:color w:val="000000"/>
          <w:szCs w:val="18"/>
          <w:lang w:val="en-US"/>
        </w:rPr>
      </w:pPr>
      <w:r w:rsidRPr="002414A5">
        <w:rPr>
          <w:rFonts w:eastAsia="Arial" w:cs="Arial"/>
          <w:color w:val="000000"/>
          <w:szCs w:val="18"/>
          <w:lang w:val="en-US"/>
        </w:rPr>
        <w:t xml:space="preserve">Following the analysis of Haushofer et al. (2023), the time signals obtained from the pressure drop measurements were first centered by subtracting their mean values, thus obtaining the temporal fluctuations of the centered pressure drop, denoted by </w:t>
      </w:r>
      <m:oMath>
        <m:r>
          <m:rPr>
            <m:sty m:val="p"/>
          </m:rPr>
          <w:rPr>
            <w:rFonts w:ascii="Cambria Math" w:eastAsia="Arial" w:hAnsi="Cambria Math" w:cs="Arial"/>
            <w:color w:val="000000"/>
            <w:szCs w:val="18"/>
            <w:lang w:val="en-US"/>
          </w:rPr>
          <m:t>Δ</m:t>
        </m:r>
        <m:sSup>
          <m:sSupPr>
            <m:ctrlPr>
              <w:rPr>
                <w:rFonts w:ascii="Cambria Math" w:eastAsia="Arial" w:hAnsi="Cambria Math" w:cs="Arial"/>
                <w:i/>
                <w:color w:val="000000"/>
                <w:szCs w:val="18"/>
                <w:lang w:val="en-US"/>
              </w:rPr>
            </m:ctrlPr>
          </m:sSupPr>
          <m:e>
            <m:r>
              <w:rPr>
                <w:rFonts w:ascii="Cambria Math" w:eastAsia="Arial" w:hAnsi="Cambria Math" w:cs="Arial"/>
                <w:color w:val="000000"/>
                <w:szCs w:val="18"/>
                <w:lang w:val="en-US"/>
              </w:rPr>
              <m:t>p</m:t>
            </m:r>
          </m:e>
          <m:sup>
            <m:r>
              <w:rPr>
                <w:rFonts w:ascii="Cambria Math" w:eastAsia="Arial" w:hAnsi="Cambria Math" w:cs="Arial"/>
                <w:color w:val="000000"/>
                <w:szCs w:val="18"/>
                <w:lang w:val="en-US"/>
              </w:rPr>
              <m:t>'</m:t>
            </m:r>
          </m:sup>
        </m:sSup>
      </m:oMath>
      <w:r w:rsidRPr="002414A5">
        <w:rPr>
          <w:rFonts w:eastAsia="Arial" w:cs="Arial"/>
          <w:color w:val="000000"/>
          <w:szCs w:val="18"/>
          <w:lang w:val="en-US"/>
        </w:rPr>
        <w:t xml:space="preserve"> in Figure 2 (right). This preprocessing step was essential to allow a meaningful comparison of the oscillatory behavior of the different signals, independent of baseline shifts. Figure 2 (right) shows the time evolution of the centered pressure drop for three acquisitions corresponding to the three </w:t>
      </w:r>
      <w:r w:rsidR="009A77DB">
        <w:rPr>
          <w:rFonts w:eastAsia="Arial" w:cs="Arial"/>
          <w:color w:val="000000"/>
          <w:szCs w:val="18"/>
          <w:lang w:val="en-US"/>
        </w:rPr>
        <w:t xml:space="preserve">different </w:t>
      </w:r>
      <w:r w:rsidRPr="002414A5">
        <w:rPr>
          <w:rFonts w:eastAsia="Arial" w:cs="Arial"/>
          <w:color w:val="000000"/>
          <w:szCs w:val="18"/>
          <w:lang w:val="en-US"/>
        </w:rPr>
        <w:t xml:space="preserve">operating conditions of interest. The </w:t>
      </w:r>
      <w:proofErr w:type="gramStart"/>
      <w:r w:rsidRPr="002414A5">
        <w:rPr>
          <w:rFonts w:eastAsia="Arial" w:cs="Arial"/>
          <w:color w:val="000000"/>
          <w:szCs w:val="18"/>
          <w:lang w:val="en-US"/>
        </w:rPr>
        <w:t>analyzed data</w:t>
      </w:r>
      <w:r w:rsidR="00494D89">
        <w:rPr>
          <w:rFonts w:eastAsia="Arial" w:cs="Arial"/>
          <w:color w:val="000000"/>
          <w:szCs w:val="18"/>
          <w:lang w:val="en-US"/>
        </w:rPr>
        <w:t>-</w:t>
      </w:r>
      <w:r w:rsidRPr="002414A5">
        <w:rPr>
          <w:rFonts w:eastAsia="Arial" w:cs="Arial"/>
          <w:color w:val="000000"/>
          <w:szCs w:val="18"/>
          <w:lang w:val="en-US"/>
        </w:rPr>
        <w:t>points</w:t>
      </w:r>
      <w:proofErr w:type="gramEnd"/>
      <w:r w:rsidRPr="002414A5">
        <w:rPr>
          <w:rFonts w:eastAsia="Arial" w:cs="Arial"/>
          <w:color w:val="000000"/>
          <w:szCs w:val="18"/>
          <w:lang w:val="en-US"/>
        </w:rPr>
        <w:t xml:space="preserve"> are marked with different colors in Figure 2 (left) for clarity. These three conditions are defined by different F-factor values at a fixed liquid flow rate (corresponding to B = 25.5 m</w:t>
      </w:r>
      <w:r w:rsidRPr="002414A5">
        <w:rPr>
          <w:rFonts w:eastAsia="Arial" w:cs="Arial"/>
          <w:color w:val="000000"/>
          <w:szCs w:val="18"/>
          <w:vertAlign w:val="superscript"/>
          <w:lang w:val="en-US"/>
        </w:rPr>
        <w:t>3</w:t>
      </w:r>
      <w:r w:rsidRPr="002414A5">
        <w:rPr>
          <w:rFonts w:eastAsia="Arial" w:cs="Arial"/>
          <w:color w:val="000000"/>
          <w:szCs w:val="18"/>
          <w:lang w:val="en-US"/>
        </w:rPr>
        <w:t>/(m</w:t>
      </w:r>
      <w:r w:rsidRPr="002414A5">
        <w:rPr>
          <w:rFonts w:eastAsia="Arial" w:cs="Arial"/>
          <w:color w:val="000000"/>
          <w:szCs w:val="18"/>
          <w:vertAlign w:val="superscript"/>
          <w:lang w:val="en-US"/>
        </w:rPr>
        <w:t>2</w:t>
      </w:r>
      <w:r w:rsidRPr="002414A5">
        <w:rPr>
          <w:rFonts w:eastAsia="Arial" w:cs="Arial"/>
          <w:color w:val="000000"/>
          <w:szCs w:val="18"/>
          <w:lang w:val="en-US"/>
        </w:rPr>
        <w:t>h)): the minimum gas flow rate representing the preload condition (PL), an intermediate gas flow rate corresponding to the load condition (L), and the gas flow rate associated with the flooding of the packed bed (F).</w:t>
      </w:r>
    </w:p>
    <w:p w14:paraId="055685CC" w14:textId="359A2447" w:rsidR="00015C33" w:rsidRPr="002414A5" w:rsidRDefault="00015C33" w:rsidP="00015C33">
      <w:pPr>
        <w:pBdr>
          <w:top w:val="nil"/>
          <w:left w:val="nil"/>
          <w:bottom w:val="nil"/>
          <w:right w:val="nil"/>
          <w:between w:val="nil"/>
        </w:pBdr>
        <w:rPr>
          <w:rFonts w:eastAsia="Arial" w:cs="Arial"/>
          <w:color w:val="000000"/>
          <w:szCs w:val="18"/>
          <w:lang w:val="en-US"/>
        </w:rPr>
      </w:pPr>
      <w:r w:rsidRPr="002414A5">
        <w:rPr>
          <w:rFonts w:eastAsia="Arial" w:cs="Arial"/>
          <w:color w:val="000000"/>
          <w:szCs w:val="18"/>
          <w:lang w:val="en-US"/>
        </w:rPr>
        <w:t xml:space="preserve">Once centered, the pressure signals were processed to extract their frequency spectra. The data were acquired at a sampling rate of 50 </w:t>
      </w:r>
      <w:proofErr w:type="spellStart"/>
      <w:r w:rsidRPr="002414A5">
        <w:rPr>
          <w:rFonts w:eastAsia="Arial" w:cs="Arial"/>
          <w:color w:val="000000"/>
          <w:szCs w:val="18"/>
          <w:lang w:val="en-US"/>
        </w:rPr>
        <w:t>ms</w:t>
      </w:r>
      <w:proofErr w:type="spellEnd"/>
      <w:r w:rsidRPr="002414A5">
        <w:rPr>
          <w:rFonts w:eastAsia="Arial" w:cs="Arial"/>
          <w:color w:val="000000"/>
          <w:szCs w:val="18"/>
          <w:lang w:val="en-US"/>
        </w:rPr>
        <w:t xml:space="preserve"> (i.e., 20 Hz), resulting in a maximum resolvable frequency of 10 Hz for the one-sided Fourier spectrum. Figure 3 shows the calculated frequency spectra for the three liquid loads tested. While the spectra were computed for the full frequency range (0 to 10 Hz), only the results up to 1 Hz are shown because frequencies beyond this range ha</w:t>
      </w:r>
      <w:r w:rsidR="009A77DB">
        <w:rPr>
          <w:rFonts w:eastAsia="Arial" w:cs="Arial"/>
          <w:color w:val="000000"/>
          <w:szCs w:val="18"/>
          <w:lang w:val="en-US"/>
        </w:rPr>
        <w:t>ve</w:t>
      </w:r>
      <w:r w:rsidRPr="002414A5">
        <w:rPr>
          <w:rFonts w:eastAsia="Arial" w:cs="Arial"/>
          <w:color w:val="000000"/>
          <w:szCs w:val="18"/>
          <w:lang w:val="en-US"/>
        </w:rPr>
        <w:t xml:space="preserve"> negligible amplitudes. The analyzed frequency spectra </w:t>
      </w:r>
      <w:proofErr w:type="gramStart"/>
      <w:r w:rsidRPr="002414A5">
        <w:rPr>
          <w:rFonts w:eastAsia="Arial" w:cs="Arial"/>
          <w:color w:val="000000"/>
          <w:szCs w:val="18"/>
          <w:lang w:val="en-US"/>
        </w:rPr>
        <w:t>show</w:t>
      </w:r>
      <w:proofErr w:type="gramEnd"/>
      <w:r w:rsidRPr="002414A5">
        <w:rPr>
          <w:rFonts w:eastAsia="Arial" w:cs="Arial"/>
          <w:color w:val="000000"/>
          <w:szCs w:val="18"/>
          <w:lang w:val="en-US"/>
        </w:rPr>
        <w:t xml:space="preserve"> that all signals </w:t>
      </w:r>
      <w:r w:rsidR="004C6E7E">
        <w:rPr>
          <w:rFonts w:eastAsia="Arial" w:cs="Arial"/>
          <w:color w:val="000000"/>
          <w:szCs w:val="18"/>
          <w:lang w:val="en-US"/>
        </w:rPr>
        <w:t>display</w:t>
      </w:r>
      <w:r w:rsidR="004C6E7E" w:rsidRPr="002414A5">
        <w:rPr>
          <w:rFonts w:eastAsia="Arial" w:cs="Arial"/>
          <w:color w:val="000000"/>
          <w:szCs w:val="18"/>
          <w:lang w:val="en-US"/>
        </w:rPr>
        <w:t xml:space="preserve"> </w:t>
      </w:r>
      <w:r w:rsidRPr="002414A5">
        <w:rPr>
          <w:rFonts w:eastAsia="Arial" w:cs="Arial"/>
          <w:color w:val="000000"/>
          <w:szCs w:val="18"/>
          <w:lang w:val="en-US"/>
        </w:rPr>
        <w:t>a hyperbolic trend with a prominent</w:t>
      </w:r>
      <w:r w:rsidR="005C6F00">
        <w:rPr>
          <w:rFonts w:eastAsia="Arial" w:cs="Arial"/>
          <w:color w:val="000000"/>
          <w:szCs w:val="18"/>
          <w:lang w:val="en-US"/>
        </w:rPr>
        <w:t xml:space="preserve"> local</w:t>
      </w:r>
      <w:r w:rsidRPr="002414A5">
        <w:rPr>
          <w:rFonts w:eastAsia="Arial" w:cs="Arial"/>
          <w:color w:val="000000"/>
          <w:szCs w:val="18"/>
          <w:lang w:val="en-US"/>
        </w:rPr>
        <w:t xml:space="preserve"> maximum in the 0-0.25 Hz range</w:t>
      </w:r>
      <w:r w:rsidR="00BF5487">
        <w:rPr>
          <w:rFonts w:eastAsia="Arial" w:cs="Arial"/>
          <w:color w:val="000000"/>
          <w:szCs w:val="18"/>
          <w:lang w:val="en-US"/>
        </w:rPr>
        <w:t xml:space="preserve">, </w:t>
      </w:r>
      <w:r w:rsidR="004C6E7E">
        <w:rPr>
          <w:rFonts w:eastAsia="Arial" w:cs="Arial"/>
          <w:color w:val="000000"/>
          <w:szCs w:val="18"/>
          <w:lang w:val="en-US"/>
        </w:rPr>
        <w:t xml:space="preserve">typically </w:t>
      </w:r>
      <w:r w:rsidR="005C6F00">
        <w:rPr>
          <w:rFonts w:eastAsia="Arial" w:cs="Arial"/>
          <w:color w:val="000000"/>
          <w:szCs w:val="18"/>
          <w:lang w:val="en-US"/>
        </w:rPr>
        <w:t xml:space="preserve">located </w:t>
      </w:r>
      <w:r w:rsidR="006B63CD">
        <w:rPr>
          <w:rFonts w:eastAsia="Arial" w:cs="Arial"/>
          <w:color w:val="000000"/>
          <w:szCs w:val="18"/>
          <w:lang w:val="en-US"/>
        </w:rPr>
        <w:t xml:space="preserve">near </w:t>
      </w:r>
      <w:r w:rsidR="005C6F00">
        <w:rPr>
          <w:rFonts w:eastAsia="Arial" w:cs="Arial"/>
          <w:color w:val="000000"/>
          <w:szCs w:val="18"/>
          <w:lang w:val="en-US"/>
        </w:rPr>
        <w:t xml:space="preserve">0 Hz </w:t>
      </w:r>
      <w:r w:rsidR="004C6E7E">
        <w:rPr>
          <w:rFonts w:eastAsia="Arial" w:cs="Arial"/>
          <w:color w:val="000000"/>
          <w:szCs w:val="18"/>
          <w:lang w:val="en-US"/>
        </w:rPr>
        <w:t xml:space="preserve">at </w:t>
      </w:r>
      <w:r w:rsidR="005C6F00">
        <w:rPr>
          <w:rFonts w:eastAsia="Arial" w:cs="Arial"/>
          <w:color w:val="000000"/>
          <w:szCs w:val="18"/>
          <w:lang w:val="en-US"/>
        </w:rPr>
        <w:t>low liquid load</w:t>
      </w:r>
      <w:r w:rsidR="004C6E7E">
        <w:rPr>
          <w:rFonts w:eastAsia="Arial" w:cs="Arial"/>
          <w:color w:val="000000"/>
          <w:szCs w:val="18"/>
          <w:lang w:val="en-US"/>
        </w:rPr>
        <w:t>s</w:t>
      </w:r>
      <w:r w:rsidR="005C6F00">
        <w:rPr>
          <w:rFonts w:eastAsia="Arial" w:cs="Arial"/>
          <w:color w:val="000000"/>
          <w:szCs w:val="18"/>
          <w:lang w:val="en-US"/>
        </w:rPr>
        <w:t xml:space="preserve">, and </w:t>
      </w:r>
      <w:r w:rsidR="004C6E7E">
        <w:rPr>
          <w:rFonts w:eastAsia="Arial" w:cs="Arial"/>
          <w:color w:val="000000"/>
          <w:szCs w:val="18"/>
          <w:lang w:val="en-US"/>
        </w:rPr>
        <w:t xml:space="preserve">shifting </w:t>
      </w:r>
      <w:r w:rsidR="005C6F00">
        <w:rPr>
          <w:rFonts w:eastAsia="Arial" w:cs="Arial"/>
          <w:color w:val="000000"/>
          <w:szCs w:val="18"/>
          <w:lang w:val="en-US"/>
        </w:rPr>
        <w:t xml:space="preserve">to 0.25 Hz </w:t>
      </w:r>
      <w:r w:rsidR="00606E89">
        <w:rPr>
          <w:rFonts w:eastAsia="Arial" w:cs="Arial"/>
          <w:color w:val="000000"/>
          <w:szCs w:val="18"/>
          <w:lang w:val="en-US"/>
        </w:rPr>
        <w:t>as the liquid load increases</w:t>
      </w:r>
      <w:r w:rsidR="005C6F00">
        <w:rPr>
          <w:rFonts w:eastAsia="Arial" w:cs="Arial"/>
          <w:color w:val="000000"/>
          <w:szCs w:val="18"/>
          <w:lang w:val="en-US"/>
        </w:rPr>
        <w:t>.</w:t>
      </w:r>
      <w:r w:rsidRPr="002414A5">
        <w:rPr>
          <w:rFonts w:eastAsia="Arial" w:cs="Arial"/>
          <w:color w:val="000000"/>
          <w:szCs w:val="18"/>
          <w:lang w:val="en-US"/>
        </w:rPr>
        <w:t xml:space="preserve"> The transition between the PL and L conditions, and then between the L and F conditions, is characterized by a significant increase in the </w:t>
      </w:r>
      <w:r w:rsidRPr="002414A5">
        <w:rPr>
          <w:rFonts w:eastAsia="Arial" w:cs="Arial"/>
          <w:color w:val="000000"/>
          <w:szCs w:val="18"/>
          <w:lang w:val="en-US"/>
        </w:rPr>
        <w:lastRenderedPageBreak/>
        <w:t>amplitude of the oscillations. Under low liquid loading conditions, as shown in Figure 3 (left), the oscillations exhibit the highest amplitudes, probably due to the huge gas flow rates required to induce flooding under these conditions.</w:t>
      </w:r>
      <w:r w:rsidR="005C6F00">
        <w:rPr>
          <w:rFonts w:eastAsia="Arial" w:cs="Arial"/>
          <w:color w:val="000000"/>
          <w:szCs w:val="18"/>
          <w:lang w:val="en-US"/>
        </w:rPr>
        <w:t xml:space="preserve"> </w:t>
      </w:r>
      <w:r w:rsidRPr="002414A5">
        <w:rPr>
          <w:rFonts w:eastAsia="Arial" w:cs="Arial"/>
          <w:color w:val="000000"/>
          <w:szCs w:val="18"/>
          <w:lang w:val="en-US"/>
        </w:rPr>
        <w:t>As the liquid load increases, a noticeable damping effect is observe</w:t>
      </w:r>
      <w:r w:rsidR="00776750">
        <w:rPr>
          <w:rFonts w:eastAsia="Arial" w:cs="Arial"/>
          <w:color w:val="000000"/>
          <w:szCs w:val="18"/>
          <w:lang w:val="en-US"/>
        </w:rPr>
        <w:t>d</w:t>
      </w:r>
      <w:r w:rsidR="009A77DB">
        <w:rPr>
          <w:rFonts w:eastAsia="Arial" w:cs="Arial"/>
          <w:color w:val="000000"/>
          <w:szCs w:val="18"/>
          <w:lang w:val="en-US"/>
        </w:rPr>
        <w:t>: t</w:t>
      </w:r>
      <w:r w:rsidRPr="002414A5">
        <w:rPr>
          <w:rFonts w:eastAsia="Arial" w:cs="Arial"/>
          <w:color w:val="000000"/>
          <w:szCs w:val="18"/>
          <w:lang w:val="en-US"/>
        </w:rPr>
        <w:t>his effect is evident from the reduced differences in oscillation amplitudes between the different conditions (and F-factors)</w:t>
      </w:r>
      <w:r w:rsidR="009A77DB">
        <w:rPr>
          <w:rFonts w:eastAsia="Arial" w:cs="Arial"/>
          <w:color w:val="000000"/>
          <w:szCs w:val="18"/>
          <w:lang w:val="en-US"/>
        </w:rPr>
        <w:t xml:space="preserve">. </w:t>
      </w:r>
      <w:r w:rsidRPr="002414A5">
        <w:rPr>
          <w:rFonts w:eastAsia="Arial" w:cs="Arial"/>
          <w:color w:val="000000"/>
          <w:szCs w:val="18"/>
          <w:lang w:val="en-US"/>
        </w:rPr>
        <w:t>This phenomenon can be attributed to the increased liquid hold-up in the packed column, which acts as a damping medium. The increased liquid mass attenuates the propagation of pressure waves through the system, thereby reducing the amplitude of the oscillations. This damping effect highlights the interplay between liquid loading and gas flow rates in influencing the dynamics of pressure drop within packed bed systems.</w:t>
      </w:r>
    </w:p>
    <w:p w14:paraId="657C09E3" w14:textId="77777777" w:rsidR="00A24B09" w:rsidRPr="002414A5" w:rsidRDefault="00A24B09" w:rsidP="001718FD">
      <w:pPr>
        <w:pStyle w:val="CETBodytext"/>
      </w:pPr>
    </w:p>
    <w:p w14:paraId="1A82D67F" w14:textId="77777777" w:rsidR="004F49AC" w:rsidRPr="002414A5" w:rsidRDefault="004F49AC" w:rsidP="004F49AC">
      <w:pPr>
        <w:pStyle w:val="CETBodytext"/>
        <w:keepNext/>
      </w:pPr>
      <w:r w:rsidRPr="002414A5">
        <w:rPr>
          <w:noProof/>
        </w:rPr>
        <w:drawing>
          <wp:inline distT="0" distB="0" distL="0" distR="0" wp14:anchorId="466B464D" wp14:editId="66EEDA57">
            <wp:extent cx="5339861" cy="1735455"/>
            <wp:effectExtent l="0" t="0" r="5715" b="9525"/>
            <wp:docPr id="14651183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18377" name="Picture 3"/>
                    <pic:cNvPicPr>
                      <a:picLocks noChangeAspect="1" noChangeArrowheads="1"/>
                    </pic:cNvPicPr>
                  </pic:nvPicPr>
                  <pic:blipFill>
                    <a:blip r:embed="rId13">
                      <a:extLst>
                        <a:ext uri="{96DAC541-7B7A-43D3-8B79-37D633B846F1}">
                          <asvg:svgBlip xmlns:asvg="http://schemas.microsoft.com/office/drawing/2016/SVG/main" r:embed="rId14"/>
                        </a:ext>
                      </a:extLst>
                    </a:blip>
                    <a:stretch>
                      <a:fillRect/>
                    </a:stretch>
                  </pic:blipFill>
                  <pic:spPr bwMode="auto">
                    <a:xfrm>
                      <a:off x="0" y="0"/>
                      <a:ext cx="5339861" cy="1735455"/>
                    </a:xfrm>
                    <a:prstGeom prst="rect">
                      <a:avLst/>
                    </a:prstGeom>
                  </pic:spPr>
                </pic:pic>
              </a:graphicData>
            </a:graphic>
          </wp:inline>
        </w:drawing>
      </w:r>
    </w:p>
    <w:p w14:paraId="04211E7A" w14:textId="3AE814D3" w:rsidR="004F49AC" w:rsidRPr="002414A5" w:rsidRDefault="004F49AC" w:rsidP="004F49AC">
      <w:pPr>
        <w:pStyle w:val="Caption"/>
        <w:rPr>
          <w:b w:val="0"/>
          <w:bCs w:val="0"/>
          <w:i/>
          <w:iCs/>
          <w:color w:val="auto"/>
          <w:lang w:val="en-US"/>
        </w:rPr>
      </w:pPr>
      <w:r w:rsidRPr="002414A5">
        <w:rPr>
          <w:b w:val="0"/>
          <w:bCs w:val="0"/>
          <w:i/>
          <w:iCs/>
          <w:color w:val="auto"/>
          <w:lang w:val="en-US"/>
        </w:rPr>
        <w:t xml:space="preserve">Figure </w:t>
      </w:r>
      <w:r w:rsidRPr="002414A5">
        <w:rPr>
          <w:b w:val="0"/>
          <w:bCs w:val="0"/>
          <w:i/>
          <w:iCs/>
          <w:color w:val="auto"/>
          <w:lang w:val="en-US"/>
        </w:rPr>
        <w:fldChar w:fldCharType="begin"/>
      </w:r>
      <w:r w:rsidRPr="002414A5">
        <w:rPr>
          <w:b w:val="0"/>
          <w:bCs w:val="0"/>
          <w:i/>
          <w:iCs/>
          <w:color w:val="auto"/>
          <w:lang w:val="en-US"/>
        </w:rPr>
        <w:instrText xml:space="preserve"> SEQ Figure \* ARABIC </w:instrText>
      </w:r>
      <w:r w:rsidRPr="002414A5">
        <w:rPr>
          <w:b w:val="0"/>
          <w:bCs w:val="0"/>
          <w:i/>
          <w:iCs/>
          <w:color w:val="auto"/>
          <w:lang w:val="en-US"/>
        </w:rPr>
        <w:fldChar w:fldCharType="separate"/>
      </w:r>
      <w:r w:rsidR="005008FF" w:rsidRPr="002414A5">
        <w:rPr>
          <w:b w:val="0"/>
          <w:bCs w:val="0"/>
          <w:i/>
          <w:iCs/>
          <w:noProof/>
          <w:color w:val="auto"/>
          <w:lang w:val="en-US"/>
        </w:rPr>
        <w:t>3</w:t>
      </w:r>
      <w:r w:rsidRPr="002414A5">
        <w:rPr>
          <w:b w:val="0"/>
          <w:bCs w:val="0"/>
          <w:i/>
          <w:iCs/>
          <w:color w:val="auto"/>
          <w:lang w:val="en-US"/>
        </w:rPr>
        <w:fldChar w:fldCharType="end"/>
      </w:r>
      <w:r w:rsidRPr="002414A5">
        <w:rPr>
          <w:b w:val="0"/>
          <w:bCs w:val="0"/>
          <w:i/>
          <w:iCs/>
          <w:color w:val="auto"/>
          <w:lang w:val="en-US"/>
        </w:rPr>
        <w:t>: Frequency spectra at different column operating conditions. (left: B=12.7 m</w:t>
      </w:r>
      <w:r w:rsidRPr="003419E6">
        <w:rPr>
          <w:b w:val="0"/>
          <w:bCs w:val="0"/>
          <w:i/>
          <w:iCs/>
          <w:color w:val="auto"/>
          <w:vertAlign w:val="superscript"/>
          <w:lang w:val="en-US"/>
        </w:rPr>
        <w:t>3</w:t>
      </w:r>
      <w:r w:rsidRPr="002414A5">
        <w:rPr>
          <w:b w:val="0"/>
          <w:bCs w:val="0"/>
          <w:i/>
          <w:iCs/>
          <w:color w:val="auto"/>
          <w:lang w:val="en-US"/>
        </w:rPr>
        <w:t>/(m</w:t>
      </w:r>
      <w:r w:rsidRPr="003419E6">
        <w:rPr>
          <w:b w:val="0"/>
          <w:bCs w:val="0"/>
          <w:i/>
          <w:iCs/>
          <w:color w:val="auto"/>
          <w:vertAlign w:val="superscript"/>
          <w:lang w:val="en-US"/>
        </w:rPr>
        <w:t>2</w:t>
      </w:r>
      <w:r w:rsidRPr="002414A5">
        <w:rPr>
          <w:b w:val="0"/>
          <w:bCs w:val="0"/>
          <w:i/>
          <w:iCs/>
          <w:color w:val="auto"/>
          <w:lang w:val="en-US"/>
        </w:rPr>
        <w:t>h), center: B=25.5 m</w:t>
      </w:r>
      <w:r w:rsidRPr="003419E6">
        <w:rPr>
          <w:b w:val="0"/>
          <w:bCs w:val="0"/>
          <w:i/>
          <w:iCs/>
          <w:color w:val="auto"/>
          <w:vertAlign w:val="superscript"/>
          <w:lang w:val="en-US"/>
        </w:rPr>
        <w:t>3</w:t>
      </w:r>
      <w:r w:rsidRPr="002414A5">
        <w:rPr>
          <w:b w:val="0"/>
          <w:bCs w:val="0"/>
          <w:i/>
          <w:iCs/>
          <w:color w:val="auto"/>
          <w:lang w:val="en-US"/>
        </w:rPr>
        <w:t>/(m</w:t>
      </w:r>
      <w:r w:rsidRPr="003419E6">
        <w:rPr>
          <w:b w:val="0"/>
          <w:bCs w:val="0"/>
          <w:i/>
          <w:iCs/>
          <w:color w:val="auto"/>
          <w:vertAlign w:val="superscript"/>
          <w:lang w:val="en-US"/>
        </w:rPr>
        <w:t>2</w:t>
      </w:r>
      <w:r w:rsidRPr="002414A5">
        <w:rPr>
          <w:b w:val="0"/>
          <w:bCs w:val="0"/>
          <w:i/>
          <w:iCs/>
          <w:color w:val="auto"/>
          <w:lang w:val="en-US"/>
        </w:rPr>
        <w:t>h), right: B=51.0 m</w:t>
      </w:r>
      <w:r w:rsidRPr="003419E6">
        <w:rPr>
          <w:b w:val="0"/>
          <w:bCs w:val="0"/>
          <w:i/>
          <w:iCs/>
          <w:color w:val="auto"/>
          <w:vertAlign w:val="superscript"/>
          <w:lang w:val="en-US"/>
        </w:rPr>
        <w:t>3</w:t>
      </w:r>
      <w:r w:rsidRPr="002414A5">
        <w:rPr>
          <w:b w:val="0"/>
          <w:bCs w:val="0"/>
          <w:i/>
          <w:iCs/>
          <w:color w:val="auto"/>
          <w:lang w:val="en-US"/>
        </w:rPr>
        <w:t>/(m</w:t>
      </w:r>
      <w:r w:rsidRPr="003419E6">
        <w:rPr>
          <w:b w:val="0"/>
          <w:bCs w:val="0"/>
          <w:i/>
          <w:iCs/>
          <w:color w:val="auto"/>
          <w:vertAlign w:val="superscript"/>
          <w:lang w:val="en-US"/>
        </w:rPr>
        <w:t>2</w:t>
      </w:r>
      <w:r w:rsidRPr="002414A5">
        <w:rPr>
          <w:b w:val="0"/>
          <w:bCs w:val="0"/>
          <w:i/>
          <w:iCs/>
          <w:color w:val="auto"/>
          <w:lang w:val="en-US"/>
        </w:rPr>
        <w:t>h))</w:t>
      </w:r>
    </w:p>
    <w:p w14:paraId="3EDEA754" w14:textId="77777777" w:rsidR="00591FB1" w:rsidRDefault="00591FB1" w:rsidP="00591FB1">
      <w:pPr>
        <w:rPr>
          <w:lang w:val="en-US"/>
        </w:rPr>
      </w:pPr>
    </w:p>
    <w:p w14:paraId="00B11253" w14:textId="71A5495B" w:rsidR="00591FB1" w:rsidRPr="002414A5" w:rsidRDefault="003419E6" w:rsidP="003419E6">
      <w:pPr>
        <w:pBdr>
          <w:top w:val="nil"/>
          <w:left w:val="nil"/>
          <w:bottom w:val="nil"/>
          <w:right w:val="nil"/>
          <w:between w:val="nil"/>
        </w:pBdr>
        <w:rPr>
          <w:rFonts w:eastAsia="Arial" w:cs="Arial"/>
          <w:iCs/>
          <w:strike/>
          <w:color w:val="000000"/>
          <w:szCs w:val="18"/>
          <w:lang w:val="en-US"/>
        </w:rPr>
      </w:pPr>
      <w:r w:rsidRPr="003419E6">
        <w:rPr>
          <w:rFonts w:eastAsia="Arial" w:cs="Arial"/>
          <w:color w:val="000000"/>
          <w:szCs w:val="18"/>
          <w:lang w:val="en-US"/>
        </w:rPr>
        <w:t xml:space="preserve">Hyperbolic profiles are </w:t>
      </w:r>
      <w:r w:rsidR="001562EC">
        <w:rPr>
          <w:rFonts w:eastAsia="Arial" w:cs="Arial"/>
          <w:color w:val="000000"/>
          <w:szCs w:val="18"/>
          <w:lang w:val="en-US"/>
        </w:rPr>
        <w:t>commonly observed</w:t>
      </w:r>
      <w:r w:rsidR="001562EC" w:rsidRPr="003419E6">
        <w:rPr>
          <w:rFonts w:eastAsia="Arial" w:cs="Arial"/>
          <w:color w:val="000000"/>
          <w:szCs w:val="18"/>
          <w:lang w:val="en-US"/>
        </w:rPr>
        <w:t xml:space="preserve"> </w:t>
      </w:r>
      <w:r w:rsidR="001562EC">
        <w:rPr>
          <w:rFonts w:eastAsia="Arial" w:cs="Arial"/>
          <w:color w:val="000000"/>
          <w:szCs w:val="18"/>
          <w:lang w:val="en-US"/>
        </w:rPr>
        <w:t>in</w:t>
      </w:r>
      <w:r w:rsidR="001562EC" w:rsidRPr="003419E6">
        <w:rPr>
          <w:rFonts w:eastAsia="Arial" w:cs="Arial"/>
          <w:color w:val="000000"/>
          <w:szCs w:val="18"/>
          <w:lang w:val="en-US"/>
        </w:rPr>
        <w:t xml:space="preserve"> </w:t>
      </w:r>
      <w:r w:rsidRPr="003419E6">
        <w:rPr>
          <w:rFonts w:eastAsia="Arial" w:cs="Arial"/>
          <w:color w:val="000000"/>
          <w:szCs w:val="18"/>
          <w:lang w:val="en-US"/>
        </w:rPr>
        <w:t>pressure drop signals from gas-liquid systems</w:t>
      </w:r>
      <w:r w:rsidR="001562EC">
        <w:rPr>
          <w:rFonts w:eastAsia="Arial" w:cs="Arial"/>
          <w:color w:val="000000"/>
          <w:szCs w:val="18"/>
          <w:lang w:val="en-US"/>
        </w:rPr>
        <w:t>, such as in trickle beds</w:t>
      </w:r>
      <w:r w:rsidRPr="003419E6">
        <w:rPr>
          <w:rFonts w:eastAsia="Arial" w:cs="Arial"/>
          <w:color w:val="000000"/>
          <w:szCs w:val="18"/>
          <w:lang w:val="en-US"/>
        </w:rPr>
        <w:t xml:space="preserve"> </w:t>
      </w:r>
      <w:r w:rsidR="00602711">
        <w:rPr>
          <w:rFonts w:eastAsia="Arial" w:cs="Arial"/>
          <w:color w:val="000000"/>
          <w:szCs w:val="18"/>
          <w:lang w:val="en-US"/>
        </w:rPr>
        <w:t>(</w:t>
      </w:r>
      <w:r w:rsidR="00602711" w:rsidRPr="007A2902">
        <w:rPr>
          <w:rFonts w:eastAsia="Arial" w:cs="Arial"/>
          <w:color w:val="000000"/>
          <w:szCs w:val="18"/>
          <w:lang w:val="en-US"/>
        </w:rPr>
        <w:t>Prashant</w:t>
      </w:r>
      <w:r w:rsidR="00602711">
        <w:rPr>
          <w:rFonts w:eastAsia="Arial" w:cs="Arial"/>
          <w:color w:val="000000"/>
          <w:szCs w:val="18"/>
          <w:lang w:val="en-US"/>
        </w:rPr>
        <w:t>, 2005)</w:t>
      </w:r>
      <w:r w:rsidRPr="003419E6">
        <w:rPr>
          <w:rFonts w:eastAsia="Arial" w:cs="Arial"/>
          <w:color w:val="000000"/>
          <w:szCs w:val="18"/>
          <w:lang w:val="en-US"/>
        </w:rPr>
        <w:t>. Such profiles are consistent with typical patterns obtained from purely stochastic phenomena such as pink noise (1/f) and Brownian motion (1/f2) (</w:t>
      </w:r>
      <w:r w:rsidR="00A75D37" w:rsidRPr="003419E6">
        <w:rPr>
          <w:rFonts w:eastAsia="Arial" w:cs="Arial"/>
          <w:color w:val="000000"/>
          <w:szCs w:val="18"/>
          <w:lang w:val="en-US"/>
        </w:rPr>
        <w:t>Bak,</w:t>
      </w:r>
      <w:r w:rsidRPr="003419E6">
        <w:rPr>
          <w:rFonts w:eastAsia="Arial" w:cs="Arial"/>
          <w:color w:val="000000"/>
          <w:szCs w:val="18"/>
          <w:lang w:val="en-US"/>
        </w:rPr>
        <w:t xml:space="preserve"> 1987). Therefore, for these systems, the </w:t>
      </w:r>
      <w:r w:rsidRPr="00141385">
        <w:rPr>
          <w:rFonts w:eastAsia="Arial" w:cs="Arial"/>
          <w:color w:val="000000"/>
          <w:szCs w:val="18"/>
          <w:lang w:val="en-US"/>
        </w:rPr>
        <w:t xml:space="preserve">FFT analysis does not allow a robust diagnosis of the different regimes, as is obtained with similar analyses on other separation devices, such as reverse jet scrubbers, where the different regimes have truly distinct patterns </w:t>
      </w:r>
      <w:r w:rsidRPr="00A91EC1">
        <w:rPr>
          <w:rFonts w:eastAsia="Arial" w:cs="Arial"/>
          <w:color w:val="000000"/>
          <w:szCs w:val="18"/>
          <w:lang w:val="en-US"/>
        </w:rPr>
        <w:t>(Giustacori and Brunazzi, 2025),</w:t>
      </w:r>
      <w:r w:rsidRPr="00141385">
        <w:rPr>
          <w:rFonts w:eastAsia="Arial" w:cs="Arial"/>
          <w:color w:val="000000"/>
          <w:szCs w:val="18"/>
          <w:lang w:val="en-US"/>
        </w:rPr>
        <w:t xml:space="preserve"> justifying</w:t>
      </w:r>
      <w:r w:rsidRPr="003419E6">
        <w:rPr>
          <w:rFonts w:eastAsia="Arial" w:cs="Arial"/>
          <w:color w:val="000000"/>
          <w:szCs w:val="18"/>
          <w:lang w:val="en-US"/>
        </w:rPr>
        <w:t xml:space="preserve"> a more detailed analysis with the wavelet </w:t>
      </w:r>
      <w:proofErr w:type="gramStart"/>
      <w:r w:rsidRPr="003419E6">
        <w:rPr>
          <w:rFonts w:eastAsia="Arial" w:cs="Arial"/>
          <w:color w:val="000000"/>
          <w:szCs w:val="18"/>
          <w:lang w:val="en-US"/>
        </w:rPr>
        <w:t>transform</w:t>
      </w:r>
      <w:proofErr w:type="gramEnd"/>
      <w:r w:rsidRPr="003419E6">
        <w:rPr>
          <w:rFonts w:eastAsia="Arial" w:cs="Arial"/>
          <w:color w:val="000000"/>
          <w:szCs w:val="18"/>
          <w:lang w:val="en-US"/>
        </w:rPr>
        <w:t xml:space="preserve">, as will be shown later. </w:t>
      </w:r>
      <w:r w:rsidR="00D700AF">
        <w:rPr>
          <w:rFonts w:eastAsia="Arial" w:cs="Arial"/>
          <w:color w:val="000000"/>
          <w:szCs w:val="18"/>
          <w:lang w:val="en-US"/>
        </w:rPr>
        <w:t xml:space="preserve">As further </w:t>
      </w:r>
      <w:r w:rsidR="009B0A23">
        <w:rPr>
          <w:rFonts w:eastAsia="Arial" w:cs="Arial"/>
          <w:color w:val="000000"/>
          <w:szCs w:val="18"/>
          <w:lang w:val="en-US"/>
        </w:rPr>
        <w:t>frequency-based</w:t>
      </w:r>
      <w:r w:rsidR="00506933">
        <w:rPr>
          <w:rFonts w:eastAsia="Arial" w:cs="Arial"/>
          <w:color w:val="000000"/>
          <w:szCs w:val="18"/>
          <w:lang w:val="en-US"/>
        </w:rPr>
        <w:t xml:space="preserve"> </w:t>
      </w:r>
      <w:r w:rsidR="00D700AF">
        <w:rPr>
          <w:rFonts w:eastAsia="Arial" w:cs="Arial"/>
          <w:color w:val="000000"/>
          <w:szCs w:val="18"/>
          <w:lang w:val="en-US"/>
        </w:rPr>
        <w:t xml:space="preserve">analysis, </w:t>
      </w:r>
      <w:r w:rsidR="00D700AF">
        <w:rPr>
          <w:rFonts w:eastAsia="Arial" w:cs="Arial"/>
          <w:iCs/>
          <w:color w:val="000000"/>
          <w:szCs w:val="18"/>
          <w:lang w:val="en-US"/>
        </w:rPr>
        <w:t>t</w:t>
      </w:r>
      <w:r w:rsidR="00591FB1" w:rsidRPr="002414A5">
        <w:rPr>
          <w:rFonts w:eastAsia="Arial" w:cs="Arial"/>
          <w:iCs/>
          <w:color w:val="000000"/>
          <w:szCs w:val="18"/>
          <w:lang w:val="en-US"/>
        </w:rPr>
        <w:t>he total signal power (</w:t>
      </w:r>
      <w:proofErr w:type="spellStart"/>
      <w:r w:rsidR="00591FB1" w:rsidRPr="002414A5">
        <w:rPr>
          <w:rFonts w:eastAsia="Arial" w:cs="Arial"/>
          <w:iCs/>
          <w:color w:val="000000"/>
          <w:szCs w:val="18"/>
          <w:lang w:val="en-US"/>
        </w:rPr>
        <w:t>P</w:t>
      </w:r>
      <w:r w:rsidR="00591FB1" w:rsidRPr="002414A5">
        <w:rPr>
          <w:rFonts w:eastAsia="Arial" w:cs="Arial"/>
          <w:iCs/>
          <w:color w:val="000000"/>
          <w:szCs w:val="18"/>
          <w:vertAlign w:val="subscript"/>
          <w:lang w:val="en-US"/>
        </w:rPr>
        <w:t>tot</w:t>
      </w:r>
      <w:proofErr w:type="spellEnd"/>
      <w:r w:rsidR="00591FB1" w:rsidRPr="002414A5">
        <w:rPr>
          <w:rFonts w:eastAsia="Arial" w:cs="Arial"/>
          <w:iCs/>
          <w:color w:val="000000"/>
          <w:szCs w:val="18"/>
          <w:lang w:val="en-US"/>
        </w:rPr>
        <w:t>) was computed as follows:</w:t>
      </w:r>
    </w:p>
    <w:p w14:paraId="2418B01A" w14:textId="77777777" w:rsidR="00591FB1" w:rsidRPr="002414A5" w:rsidRDefault="00591FB1" w:rsidP="00591FB1">
      <w:pPr>
        <w:pBdr>
          <w:top w:val="nil"/>
          <w:left w:val="nil"/>
          <w:bottom w:val="nil"/>
          <w:right w:val="nil"/>
          <w:between w:val="nil"/>
        </w:pBdr>
        <w:spacing w:line="240" w:lineRule="auto"/>
        <w:rPr>
          <w:rFonts w:eastAsia="Arial" w:cs="Arial"/>
          <w:iCs/>
          <w:color w:val="000000"/>
          <w:szCs w:val="18"/>
          <w:lang w:val="en-US"/>
        </w:rPr>
      </w:pPr>
    </w:p>
    <w:p w14:paraId="6228A6E4" w14:textId="77777777" w:rsidR="00591FB1" w:rsidRPr="002414A5" w:rsidRDefault="00000000" w:rsidP="00591FB1">
      <w:pPr>
        <w:pBdr>
          <w:top w:val="nil"/>
          <w:left w:val="nil"/>
          <w:bottom w:val="nil"/>
          <w:right w:val="nil"/>
          <w:between w:val="nil"/>
        </w:pBdr>
        <w:spacing w:line="240" w:lineRule="auto"/>
        <w:rPr>
          <w:rFonts w:eastAsia="Arial" w:cs="Arial"/>
          <w:iCs/>
          <w:color w:val="000000"/>
          <w:szCs w:val="18"/>
          <w:lang w:val="en-US"/>
        </w:rPr>
      </w:pPr>
      <m:oMathPara>
        <m:oMath>
          <m:sSub>
            <m:sSubPr>
              <m:ctrlPr>
                <w:rPr>
                  <w:rFonts w:ascii="Cambria Math" w:eastAsia="Arial" w:hAnsi="Cambria Math" w:cs="Arial"/>
                  <w:i/>
                  <w:color w:val="000000"/>
                  <w:szCs w:val="18"/>
                  <w:lang w:val="en-US"/>
                </w:rPr>
              </m:ctrlPr>
            </m:sSubPr>
            <m:e>
              <m:r>
                <w:rPr>
                  <w:rFonts w:ascii="Cambria Math" w:eastAsia="Arial" w:hAnsi="Cambria Math" w:cs="Arial"/>
                  <w:color w:val="000000"/>
                  <w:szCs w:val="18"/>
                  <w:lang w:val="en-US"/>
                </w:rPr>
                <m:t>P</m:t>
              </m:r>
            </m:e>
            <m:sub>
              <m:r>
                <w:rPr>
                  <w:rFonts w:ascii="Cambria Math" w:eastAsia="Arial" w:hAnsi="Cambria Math" w:cs="Arial"/>
                  <w:color w:val="000000"/>
                  <w:szCs w:val="18"/>
                  <w:lang w:val="en-US"/>
                </w:rPr>
                <m:t>tot</m:t>
              </m:r>
            </m:sub>
          </m:sSub>
          <m:r>
            <w:rPr>
              <w:rFonts w:ascii="Cambria Math" w:eastAsia="Arial" w:hAnsi="Cambria Math" w:cs="Arial"/>
              <w:color w:val="000000"/>
              <w:szCs w:val="18"/>
              <w:lang w:val="en-US"/>
            </w:rPr>
            <m:t>=</m:t>
          </m:r>
          <m:f>
            <m:fPr>
              <m:ctrlPr>
                <w:rPr>
                  <w:rFonts w:ascii="Cambria Math" w:eastAsia="Arial" w:hAnsi="Cambria Math" w:cs="Arial"/>
                  <w:i/>
                  <w:iCs/>
                  <w:color w:val="000000"/>
                  <w:szCs w:val="18"/>
                  <w:lang w:val="en-US"/>
                </w:rPr>
              </m:ctrlPr>
            </m:fPr>
            <m:num>
              <m:r>
                <w:rPr>
                  <w:rFonts w:ascii="Cambria Math" w:eastAsia="Arial" w:hAnsi="Cambria Math" w:cs="Arial"/>
                  <w:color w:val="000000"/>
                  <w:szCs w:val="18"/>
                  <w:lang w:val="en-US"/>
                </w:rPr>
                <m:t>1</m:t>
              </m:r>
            </m:num>
            <m:den>
              <m:r>
                <w:rPr>
                  <w:rFonts w:ascii="Cambria Math" w:eastAsia="Arial" w:hAnsi="Cambria Math" w:cs="Arial"/>
                  <w:color w:val="000000"/>
                  <w:szCs w:val="18"/>
                  <w:lang w:val="en-US"/>
                </w:rPr>
                <m:t>N</m:t>
              </m:r>
            </m:den>
          </m:f>
          <m:nary>
            <m:naryPr>
              <m:chr m:val="∑"/>
              <m:limLoc m:val="undOvr"/>
              <m:ctrlPr>
                <w:rPr>
                  <w:rFonts w:ascii="Cambria Math" w:eastAsia="Arial" w:hAnsi="Cambria Math" w:cs="Arial"/>
                  <w:i/>
                  <w:iCs/>
                  <w:color w:val="000000"/>
                  <w:szCs w:val="18"/>
                  <w:lang w:val="en-US"/>
                </w:rPr>
              </m:ctrlPr>
            </m:naryPr>
            <m:sub>
              <m:r>
                <w:rPr>
                  <w:rFonts w:ascii="Cambria Math" w:eastAsia="Arial" w:hAnsi="Cambria Math" w:cs="Arial"/>
                  <w:color w:val="000000"/>
                  <w:szCs w:val="18"/>
                  <w:lang w:val="en-US"/>
                </w:rPr>
                <m:t>i=0</m:t>
              </m:r>
            </m:sub>
            <m:sup>
              <m:r>
                <w:rPr>
                  <w:rFonts w:ascii="Cambria Math" w:eastAsia="Arial" w:hAnsi="Cambria Math" w:cs="Arial"/>
                  <w:color w:val="000000"/>
                  <w:szCs w:val="18"/>
                  <w:lang w:val="en-US"/>
                </w:rPr>
                <m:t>N</m:t>
              </m:r>
            </m:sup>
            <m:e>
              <m:sSubSup>
                <m:sSubSupPr>
                  <m:ctrlPr>
                    <w:rPr>
                      <w:rFonts w:ascii="Cambria Math" w:eastAsia="Arial" w:hAnsi="Cambria Math" w:cs="Arial"/>
                      <w:i/>
                      <w:iCs/>
                      <w:color w:val="000000"/>
                      <w:szCs w:val="18"/>
                      <w:lang w:val="en-US"/>
                    </w:rPr>
                  </m:ctrlPr>
                </m:sSubSupPr>
                <m:e>
                  <m:r>
                    <w:rPr>
                      <w:rFonts w:ascii="Cambria Math" w:eastAsia="Arial" w:hAnsi="Cambria Math" w:cs="Arial"/>
                      <w:color w:val="000000"/>
                      <w:szCs w:val="18"/>
                      <w:lang w:val="en-US"/>
                    </w:rPr>
                    <m:t>A</m:t>
                  </m:r>
                </m:e>
                <m:sub>
                  <m:r>
                    <w:rPr>
                      <w:rFonts w:ascii="Cambria Math" w:eastAsia="Arial" w:hAnsi="Cambria Math" w:cs="Arial"/>
                      <w:color w:val="000000"/>
                      <w:szCs w:val="18"/>
                      <w:lang w:val="en-US"/>
                    </w:rPr>
                    <m:t>i</m:t>
                  </m:r>
                </m:sub>
                <m:sup>
                  <m:r>
                    <w:rPr>
                      <w:rFonts w:ascii="Cambria Math" w:eastAsia="Arial" w:hAnsi="Cambria Math" w:cs="Arial"/>
                      <w:color w:val="000000"/>
                      <w:szCs w:val="18"/>
                      <w:lang w:val="en-US"/>
                    </w:rPr>
                    <m:t>2</m:t>
                  </m:r>
                </m:sup>
              </m:sSubSup>
            </m:e>
          </m:nary>
          <m:r>
            <w:rPr>
              <w:rFonts w:ascii="Cambria Math" w:eastAsia="Arial" w:hAnsi="Cambria Math" w:cs="Arial"/>
              <w:color w:val="000000"/>
              <w:szCs w:val="18"/>
              <w:lang w:val="en-US"/>
            </w:rPr>
            <m:t xml:space="preserve"> </m:t>
          </m:r>
        </m:oMath>
      </m:oMathPara>
    </w:p>
    <w:p w14:paraId="4C976F2D" w14:textId="77777777" w:rsidR="00591FB1" w:rsidRPr="002414A5" w:rsidRDefault="00591FB1" w:rsidP="00591FB1">
      <w:pPr>
        <w:pBdr>
          <w:top w:val="nil"/>
          <w:left w:val="nil"/>
          <w:bottom w:val="nil"/>
          <w:right w:val="nil"/>
          <w:between w:val="nil"/>
        </w:pBdr>
        <w:spacing w:line="240" w:lineRule="auto"/>
        <w:rPr>
          <w:rFonts w:eastAsia="Arial" w:cs="Arial"/>
          <w:iCs/>
          <w:color w:val="000000"/>
          <w:szCs w:val="18"/>
          <w:lang w:val="en-US"/>
        </w:rPr>
      </w:pPr>
    </w:p>
    <w:p w14:paraId="114AE147" w14:textId="4190B450" w:rsidR="00591FB1" w:rsidRDefault="00591FB1" w:rsidP="00DD1E8C">
      <w:pPr>
        <w:pBdr>
          <w:top w:val="nil"/>
          <w:left w:val="nil"/>
          <w:bottom w:val="nil"/>
          <w:right w:val="nil"/>
          <w:between w:val="nil"/>
        </w:pBdr>
        <w:rPr>
          <w:rFonts w:eastAsia="Arial" w:cs="Arial"/>
          <w:iCs/>
          <w:color w:val="000000"/>
          <w:szCs w:val="18"/>
          <w:lang w:val="en-US"/>
        </w:rPr>
      </w:pPr>
      <w:r w:rsidRPr="002414A5">
        <w:rPr>
          <w:rFonts w:eastAsia="Arial" w:cs="Arial"/>
          <w:iCs/>
          <w:color w:val="000000"/>
          <w:szCs w:val="18"/>
          <w:lang w:val="en-US"/>
        </w:rPr>
        <w:t xml:space="preserve">where Ai is the </w:t>
      </w:r>
      <w:proofErr w:type="spellStart"/>
      <w:r w:rsidRPr="002414A5">
        <w:rPr>
          <w:rFonts w:eastAsia="Arial" w:cs="Arial"/>
          <w:iCs/>
          <w:color w:val="000000"/>
          <w:szCs w:val="18"/>
          <w:lang w:val="en-US"/>
        </w:rPr>
        <w:t>i-th</w:t>
      </w:r>
      <w:proofErr w:type="spellEnd"/>
      <w:r w:rsidRPr="002414A5">
        <w:rPr>
          <w:rFonts w:eastAsia="Arial" w:cs="Arial"/>
          <w:iCs/>
          <w:color w:val="000000"/>
          <w:szCs w:val="18"/>
          <w:lang w:val="en-US"/>
        </w:rPr>
        <w:t xml:space="preserve"> local amplitude and N is the number of frequencies. This parameter serves as a quantitative metric to distinguish between different column operating regimes. Figure 5 illustrates the total spectral power under the different conditions tested. </w:t>
      </w:r>
      <w:proofErr w:type="gramStart"/>
      <w:r w:rsidR="00D90EA3">
        <w:rPr>
          <w:rFonts w:eastAsia="Arial" w:cs="Arial"/>
          <w:iCs/>
          <w:color w:val="000000"/>
          <w:szCs w:val="18"/>
          <w:lang w:val="en-US"/>
        </w:rPr>
        <w:t xml:space="preserve">It is clear that </w:t>
      </w:r>
      <w:r w:rsidR="00D90EA3" w:rsidRPr="002414A5">
        <w:rPr>
          <w:rFonts w:eastAsia="Arial" w:cs="Arial"/>
          <w:iCs/>
          <w:color w:val="000000"/>
          <w:szCs w:val="18"/>
          <w:lang w:val="en-US"/>
        </w:rPr>
        <w:t>operating</w:t>
      </w:r>
      <w:proofErr w:type="gramEnd"/>
      <w:r w:rsidR="00D90EA3" w:rsidRPr="002414A5">
        <w:rPr>
          <w:rFonts w:eastAsia="Arial" w:cs="Arial"/>
          <w:iCs/>
          <w:color w:val="000000"/>
          <w:szCs w:val="18"/>
          <w:lang w:val="en-US"/>
        </w:rPr>
        <w:t xml:space="preserve"> regions </w:t>
      </w:r>
      <w:r w:rsidR="00FA0E76">
        <w:t>can be more effectively identified based on their total signal power rather than their frequency spectra.</w:t>
      </w:r>
      <w:r w:rsidR="00D90EA3">
        <w:rPr>
          <w:rFonts w:eastAsia="Arial" w:cs="Arial"/>
          <w:iCs/>
          <w:color w:val="000000"/>
          <w:szCs w:val="18"/>
          <w:lang w:val="en-US"/>
        </w:rPr>
        <w:t xml:space="preserve"> </w:t>
      </w:r>
      <w:r w:rsidRPr="002414A5">
        <w:rPr>
          <w:rFonts w:eastAsia="Arial" w:cs="Arial"/>
          <w:iCs/>
          <w:color w:val="000000"/>
          <w:szCs w:val="18"/>
          <w:lang w:val="en-US"/>
        </w:rPr>
        <w:t xml:space="preserve">Under preload conditions, the signal power remains low, reflecting the small amplitudes observed in the corresponding frequency spectra. However, at the loading point, the signal power begins to increase for all tested fluid loads and becomes significantly higher than in the preload region. As the loading region progresses, the signal power continues to increase and peaks at the flooding point. In summary, the signal power calculation </w:t>
      </w:r>
      <w:r w:rsidR="001562EC">
        <w:rPr>
          <w:rFonts w:eastAsia="Arial" w:cs="Arial"/>
          <w:iCs/>
          <w:color w:val="000000"/>
          <w:szCs w:val="18"/>
          <w:lang w:val="en-US"/>
        </w:rPr>
        <w:t>effectively</w:t>
      </w:r>
      <w:r w:rsidR="001562EC" w:rsidRPr="002414A5">
        <w:rPr>
          <w:rFonts w:eastAsia="Arial" w:cs="Arial"/>
          <w:iCs/>
          <w:color w:val="000000"/>
          <w:szCs w:val="18"/>
          <w:lang w:val="en-US"/>
        </w:rPr>
        <w:t xml:space="preserve"> </w:t>
      </w:r>
      <w:r w:rsidRPr="002414A5">
        <w:rPr>
          <w:rFonts w:eastAsia="Arial" w:cs="Arial"/>
          <w:iCs/>
          <w:color w:val="000000"/>
          <w:szCs w:val="18"/>
          <w:lang w:val="en-US"/>
        </w:rPr>
        <w:t xml:space="preserve">distinguishes between </w:t>
      </w:r>
      <w:r w:rsidR="001562EC">
        <w:rPr>
          <w:rFonts w:eastAsia="Arial" w:cs="Arial"/>
          <w:iCs/>
          <w:color w:val="000000"/>
          <w:szCs w:val="18"/>
          <w:lang w:val="en-US"/>
        </w:rPr>
        <w:t xml:space="preserve">different </w:t>
      </w:r>
      <w:r w:rsidRPr="002414A5">
        <w:rPr>
          <w:rFonts w:eastAsia="Arial" w:cs="Arial"/>
          <w:iCs/>
          <w:color w:val="000000"/>
          <w:szCs w:val="18"/>
          <w:lang w:val="en-US"/>
        </w:rPr>
        <w:t>operating regions.</w:t>
      </w:r>
    </w:p>
    <w:p w14:paraId="7BC07264" w14:textId="77777777" w:rsidR="005F187A" w:rsidRDefault="005F187A" w:rsidP="00DD1E8C">
      <w:pPr>
        <w:pBdr>
          <w:top w:val="nil"/>
          <w:left w:val="nil"/>
          <w:bottom w:val="nil"/>
          <w:right w:val="nil"/>
          <w:between w:val="nil"/>
        </w:pBdr>
        <w:rPr>
          <w:rFonts w:eastAsia="Arial" w:cs="Arial"/>
          <w:iCs/>
          <w:color w:val="000000"/>
          <w:szCs w:val="18"/>
          <w:lang w:val="en-US"/>
        </w:rPr>
      </w:pPr>
    </w:p>
    <w:p w14:paraId="45722187" w14:textId="77777777" w:rsidR="00960263" w:rsidRPr="002414A5" w:rsidRDefault="00595ED9" w:rsidP="00960263">
      <w:pPr>
        <w:keepNext/>
        <w:rPr>
          <w:lang w:val="en-US"/>
        </w:rPr>
      </w:pPr>
      <w:r w:rsidRPr="002414A5">
        <w:rPr>
          <w:noProof/>
          <w:lang w:val="en-US"/>
        </w:rPr>
        <w:drawing>
          <wp:inline distT="0" distB="0" distL="0" distR="0" wp14:anchorId="652264D4" wp14:editId="519A96CA">
            <wp:extent cx="3893898" cy="1656000"/>
            <wp:effectExtent l="0" t="0" r="0" b="1905"/>
            <wp:docPr id="2118007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07124" name="Picture 4"/>
                    <pic:cNvPicPr>
                      <a:picLocks noChangeAspect="1" noChangeArrowheads="1"/>
                    </pic:cNvPicPr>
                  </pic:nvPicPr>
                  <pic:blipFill>
                    <a:blip r:embed="rId15"/>
                    <a:stretch>
                      <a:fillRect/>
                    </a:stretch>
                  </pic:blipFill>
                  <pic:spPr bwMode="auto">
                    <a:xfrm>
                      <a:off x="0" y="0"/>
                      <a:ext cx="3893898" cy="1656000"/>
                    </a:xfrm>
                    <a:prstGeom prst="rect">
                      <a:avLst/>
                    </a:prstGeom>
                    <a:noFill/>
                    <a:ln>
                      <a:noFill/>
                    </a:ln>
                  </pic:spPr>
                </pic:pic>
              </a:graphicData>
            </a:graphic>
          </wp:inline>
        </w:drawing>
      </w:r>
    </w:p>
    <w:p w14:paraId="4F4C4595" w14:textId="4B02D92A" w:rsidR="00595ED9" w:rsidRPr="002414A5" w:rsidRDefault="00960263" w:rsidP="00960263">
      <w:pPr>
        <w:pStyle w:val="Caption"/>
        <w:rPr>
          <w:b w:val="0"/>
          <w:bCs w:val="0"/>
          <w:i/>
          <w:iCs/>
          <w:color w:val="auto"/>
          <w:lang w:val="en-US"/>
        </w:rPr>
      </w:pPr>
      <w:r w:rsidRPr="002414A5">
        <w:rPr>
          <w:b w:val="0"/>
          <w:bCs w:val="0"/>
          <w:i/>
          <w:iCs/>
          <w:color w:val="auto"/>
          <w:lang w:val="en-US"/>
        </w:rPr>
        <w:t xml:space="preserve">Figure </w:t>
      </w:r>
      <w:r w:rsidRPr="002414A5">
        <w:rPr>
          <w:b w:val="0"/>
          <w:bCs w:val="0"/>
          <w:i/>
          <w:iCs/>
          <w:color w:val="auto"/>
          <w:lang w:val="en-US"/>
        </w:rPr>
        <w:fldChar w:fldCharType="begin"/>
      </w:r>
      <w:r w:rsidRPr="002414A5">
        <w:rPr>
          <w:b w:val="0"/>
          <w:bCs w:val="0"/>
          <w:i/>
          <w:iCs/>
          <w:color w:val="auto"/>
          <w:lang w:val="en-US"/>
        </w:rPr>
        <w:instrText xml:space="preserve"> SEQ Figure \* ARABIC </w:instrText>
      </w:r>
      <w:r w:rsidRPr="002414A5">
        <w:rPr>
          <w:b w:val="0"/>
          <w:bCs w:val="0"/>
          <w:i/>
          <w:iCs/>
          <w:color w:val="auto"/>
          <w:lang w:val="en-US"/>
        </w:rPr>
        <w:fldChar w:fldCharType="separate"/>
      </w:r>
      <w:r w:rsidR="005008FF" w:rsidRPr="002414A5">
        <w:rPr>
          <w:b w:val="0"/>
          <w:bCs w:val="0"/>
          <w:i/>
          <w:iCs/>
          <w:noProof/>
          <w:color w:val="auto"/>
          <w:lang w:val="en-US"/>
        </w:rPr>
        <w:t>4</w:t>
      </w:r>
      <w:r w:rsidRPr="002414A5">
        <w:rPr>
          <w:b w:val="0"/>
          <w:bCs w:val="0"/>
          <w:i/>
          <w:iCs/>
          <w:color w:val="auto"/>
          <w:lang w:val="en-US"/>
        </w:rPr>
        <w:fldChar w:fldCharType="end"/>
      </w:r>
      <w:r w:rsidRPr="002414A5">
        <w:rPr>
          <w:b w:val="0"/>
          <w:bCs w:val="0"/>
          <w:i/>
          <w:iCs/>
          <w:color w:val="auto"/>
          <w:lang w:val="en-US"/>
        </w:rPr>
        <w:t>: Total signal power histograms for different liquid loads (left: 12.7 m</w:t>
      </w:r>
      <w:r w:rsidRPr="003419E6">
        <w:rPr>
          <w:b w:val="0"/>
          <w:bCs w:val="0"/>
          <w:i/>
          <w:iCs/>
          <w:color w:val="auto"/>
          <w:vertAlign w:val="superscript"/>
          <w:lang w:val="en-US"/>
        </w:rPr>
        <w:t>3</w:t>
      </w:r>
      <w:r w:rsidRPr="002414A5">
        <w:rPr>
          <w:b w:val="0"/>
          <w:bCs w:val="0"/>
          <w:i/>
          <w:iCs/>
          <w:color w:val="auto"/>
          <w:lang w:val="en-US"/>
        </w:rPr>
        <w:t>/(m</w:t>
      </w:r>
      <w:r w:rsidRPr="003419E6">
        <w:rPr>
          <w:b w:val="0"/>
          <w:bCs w:val="0"/>
          <w:i/>
          <w:iCs/>
          <w:color w:val="auto"/>
          <w:vertAlign w:val="superscript"/>
          <w:lang w:val="en-US"/>
        </w:rPr>
        <w:t>2</w:t>
      </w:r>
      <w:r w:rsidRPr="002414A5">
        <w:rPr>
          <w:b w:val="0"/>
          <w:bCs w:val="0"/>
          <w:i/>
          <w:iCs/>
          <w:color w:val="auto"/>
          <w:lang w:val="en-US"/>
        </w:rPr>
        <w:t>h), center: 25.5 m</w:t>
      </w:r>
      <w:r w:rsidRPr="003419E6">
        <w:rPr>
          <w:b w:val="0"/>
          <w:bCs w:val="0"/>
          <w:i/>
          <w:iCs/>
          <w:color w:val="auto"/>
          <w:vertAlign w:val="superscript"/>
          <w:lang w:val="en-US"/>
        </w:rPr>
        <w:t>3</w:t>
      </w:r>
      <w:r w:rsidRPr="002414A5">
        <w:rPr>
          <w:b w:val="0"/>
          <w:bCs w:val="0"/>
          <w:i/>
          <w:iCs/>
          <w:color w:val="auto"/>
          <w:lang w:val="en-US"/>
        </w:rPr>
        <w:t>/(m</w:t>
      </w:r>
      <w:r w:rsidRPr="003419E6">
        <w:rPr>
          <w:b w:val="0"/>
          <w:bCs w:val="0"/>
          <w:i/>
          <w:iCs/>
          <w:color w:val="auto"/>
          <w:vertAlign w:val="superscript"/>
          <w:lang w:val="en-US"/>
        </w:rPr>
        <w:t>2</w:t>
      </w:r>
      <w:r w:rsidRPr="002414A5">
        <w:rPr>
          <w:b w:val="0"/>
          <w:bCs w:val="0"/>
          <w:i/>
          <w:iCs/>
          <w:color w:val="auto"/>
          <w:lang w:val="en-US"/>
        </w:rPr>
        <w:t>h), right: 51.0 m</w:t>
      </w:r>
      <w:r w:rsidRPr="003419E6">
        <w:rPr>
          <w:b w:val="0"/>
          <w:bCs w:val="0"/>
          <w:i/>
          <w:iCs/>
          <w:color w:val="auto"/>
          <w:vertAlign w:val="superscript"/>
          <w:lang w:val="en-US"/>
        </w:rPr>
        <w:t>3</w:t>
      </w:r>
      <w:r w:rsidRPr="002414A5">
        <w:rPr>
          <w:b w:val="0"/>
          <w:bCs w:val="0"/>
          <w:i/>
          <w:iCs/>
          <w:color w:val="auto"/>
          <w:lang w:val="en-US"/>
        </w:rPr>
        <w:t>/(m</w:t>
      </w:r>
      <w:r w:rsidRPr="003419E6">
        <w:rPr>
          <w:b w:val="0"/>
          <w:bCs w:val="0"/>
          <w:i/>
          <w:iCs/>
          <w:color w:val="auto"/>
          <w:vertAlign w:val="superscript"/>
          <w:lang w:val="en-US"/>
        </w:rPr>
        <w:t>2</w:t>
      </w:r>
      <w:r w:rsidRPr="002414A5">
        <w:rPr>
          <w:b w:val="0"/>
          <w:bCs w:val="0"/>
          <w:i/>
          <w:iCs/>
          <w:color w:val="auto"/>
          <w:lang w:val="en-US"/>
        </w:rPr>
        <w:t>h))</w:t>
      </w:r>
    </w:p>
    <w:p w14:paraId="0A107B17" w14:textId="2A2A174C" w:rsidR="00FF711D" w:rsidRPr="002414A5" w:rsidRDefault="00FF711D" w:rsidP="00FF711D">
      <w:pPr>
        <w:pBdr>
          <w:top w:val="nil"/>
          <w:left w:val="nil"/>
          <w:bottom w:val="nil"/>
          <w:right w:val="nil"/>
          <w:between w:val="nil"/>
        </w:pBdr>
        <w:rPr>
          <w:rFonts w:eastAsia="Arial" w:cs="Arial"/>
          <w:color w:val="000000"/>
          <w:szCs w:val="18"/>
          <w:lang w:val="en-US"/>
        </w:rPr>
      </w:pPr>
      <w:r w:rsidRPr="002414A5">
        <w:rPr>
          <w:rFonts w:eastAsia="Arial" w:cs="Arial"/>
          <w:color w:val="000000"/>
          <w:szCs w:val="18"/>
          <w:lang w:val="en-US"/>
        </w:rPr>
        <w:lastRenderedPageBreak/>
        <w:t>To analyze the dynamics of packed bed flooding</w:t>
      </w:r>
      <w:r w:rsidR="00506933">
        <w:rPr>
          <w:rFonts w:eastAsia="Arial" w:cs="Arial"/>
          <w:color w:val="000000"/>
          <w:szCs w:val="18"/>
          <w:lang w:val="en-US"/>
        </w:rPr>
        <w:t xml:space="preserve"> and investigate characteristic frequencies not resolved by FFT</w:t>
      </w:r>
      <w:r w:rsidR="00D90EA3">
        <w:rPr>
          <w:rFonts w:eastAsia="Arial" w:cs="Arial"/>
          <w:color w:val="000000"/>
          <w:szCs w:val="18"/>
          <w:lang w:val="en-US"/>
        </w:rPr>
        <w:t xml:space="preserve">, </w:t>
      </w:r>
      <w:r w:rsidRPr="002414A5">
        <w:rPr>
          <w:rFonts w:eastAsia="Arial" w:cs="Arial"/>
          <w:color w:val="000000"/>
          <w:szCs w:val="18"/>
          <w:lang w:val="en-US"/>
        </w:rPr>
        <w:t>the wavelet transform was applied to pressure drop</w:t>
      </w:r>
      <w:r w:rsidR="00D90EA3">
        <w:rPr>
          <w:rFonts w:eastAsia="Arial" w:cs="Arial"/>
          <w:color w:val="000000"/>
          <w:szCs w:val="18"/>
          <w:lang w:val="en-US"/>
        </w:rPr>
        <w:t xml:space="preserve">. The </w:t>
      </w:r>
      <w:r w:rsidRPr="002414A5">
        <w:rPr>
          <w:rFonts w:eastAsia="Arial" w:cs="Arial"/>
          <w:color w:val="000000"/>
          <w:szCs w:val="18"/>
          <w:lang w:val="en-US"/>
        </w:rPr>
        <w:t xml:space="preserve">signals </w:t>
      </w:r>
      <w:r w:rsidR="00D90EA3">
        <w:rPr>
          <w:rFonts w:eastAsia="Arial" w:cs="Arial"/>
          <w:color w:val="000000"/>
          <w:szCs w:val="18"/>
          <w:lang w:val="en-US"/>
        </w:rPr>
        <w:t xml:space="preserve">were </w:t>
      </w:r>
      <w:r w:rsidRPr="002414A5">
        <w:rPr>
          <w:rFonts w:eastAsia="Arial" w:cs="Arial"/>
          <w:color w:val="000000"/>
          <w:szCs w:val="18"/>
          <w:lang w:val="en-US"/>
        </w:rPr>
        <w:t xml:space="preserve">recorded under step changes in </w:t>
      </w:r>
      <w:proofErr w:type="gramStart"/>
      <w:r w:rsidRPr="002414A5">
        <w:rPr>
          <w:rFonts w:eastAsia="Arial" w:cs="Arial"/>
          <w:color w:val="000000"/>
          <w:szCs w:val="18"/>
          <w:lang w:val="en-US"/>
        </w:rPr>
        <w:t>gas</w:t>
      </w:r>
      <w:proofErr w:type="gramEnd"/>
      <w:r w:rsidRPr="002414A5">
        <w:rPr>
          <w:rFonts w:eastAsia="Arial" w:cs="Arial"/>
          <w:color w:val="000000"/>
          <w:szCs w:val="18"/>
          <w:lang w:val="en-US"/>
        </w:rPr>
        <w:t xml:space="preserve"> flow rate obtained by opening the control valve shown in Figure 1. Figure </w:t>
      </w:r>
      <w:r w:rsidR="005A39AE">
        <w:rPr>
          <w:rFonts w:eastAsia="Arial" w:cs="Arial"/>
          <w:color w:val="000000"/>
          <w:szCs w:val="18"/>
          <w:lang w:val="en-US"/>
        </w:rPr>
        <w:t>5</w:t>
      </w:r>
      <w:r w:rsidRPr="002414A5">
        <w:rPr>
          <w:rFonts w:eastAsia="Arial" w:cs="Arial"/>
          <w:color w:val="000000"/>
          <w:szCs w:val="18"/>
          <w:lang w:val="en-US"/>
        </w:rPr>
        <w:t xml:space="preserve"> (left) shows two example signals obtained at a liquid load of 12.7 </w:t>
      </w:r>
      <w:proofErr w:type="gramStart"/>
      <w:r w:rsidRPr="002414A5">
        <w:rPr>
          <w:rFonts w:eastAsia="Arial" w:cs="Arial"/>
          <w:color w:val="000000"/>
          <w:szCs w:val="18"/>
          <w:lang w:val="en-US"/>
        </w:rPr>
        <w:t>m</w:t>
      </w:r>
      <w:r w:rsidRPr="002414A5">
        <w:rPr>
          <w:rFonts w:eastAsia="Arial" w:cs="Arial"/>
          <w:color w:val="000000"/>
          <w:szCs w:val="18"/>
          <w:vertAlign w:val="superscript"/>
          <w:lang w:val="en-US"/>
        </w:rPr>
        <w:t>3</w:t>
      </w:r>
      <w:r w:rsidRPr="002414A5">
        <w:rPr>
          <w:rFonts w:eastAsia="Arial" w:cs="Arial"/>
          <w:color w:val="000000"/>
          <w:szCs w:val="18"/>
          <w:lang w:val="en-US"/>
        </w:rPr>
        <w:t>/(</w:t>
      </w:r>
      <w:proofErr w:type="gramEnd"/>
      <w:r w:rsidRPr="002414A5">
        <w:rPr>
          <w:rFonts w:eastAsia="Arial" w:cs="Arial"/>
          <w:color w:val="000000"/>
          <w:szCs w:val="18"/>
          <w:lang w:val="en-US"/>
        </w:rPr>
        <w:t>m</w:t>
      </w:r>
      <w:r w:rsidRPr="002414A5">
        <w:rPr>
          <w:rFonts w:eastAsia="Arial" w:cs="Arial"/>
          <w:color w:val="000000"/>
          <w:szCs w:val="18"/>
          <w:vertAlign w:val="superscript"/>
          <w:lang w:val="en-US"/>
        </w:rPr>
        <w:t>2</w:t>
      </w:r>
      <w:r w:rsidRPr="002414A5">
        <w:rPr>
          <w:rFonts w:eastAsia="Arial" w:cs="Arial"/>
          <w:color w:val="000000"/>
          <w:szCs w:val="18"/>
          <w:lang w:val="en-US"/>
        </w:rPr>
        <w:t xml:space="preserve">h) with two different gas flow rates varying from an initial F-factor of 4.1 (Data 1) and 4.4 (Data 2), respectively, to the same flooding condition (F-factor of 4.6). It is worth noting how the transient dynamics are highly dependent on the input variation; the settling time to reach the new steady state condition is higher as the initial distance to the flooding itself is smaller: 350 seconds for a </w:t>
      </w:r>
      <w:r w:rsidR="00D90EA3">
        <w:rPr>
          <w:rFonts w:eastAsia="Arial" w:cs="Arial"/>
          <w:color w:val="000000"/>
          <w:szCs w:val="18"/>
          <w:lang w:val="en-US"/>
        </w:rPr>
        <w:t xml:space="preserve">90% </w:t>
      </w:r>
      <w:r w:rsidRPr="002414A5">
        <w:rPr>
          <w:rFonts w:eastAsia="Arial" w:cs="Arial"/>
          <w:color w:val="000000"/>
          <w:szCs w:val="18"/>
          <w:lang w:val="en-US"/>
        </w:rPr>
        <w:t>distance and 450 seconds for a 95%</w:t>
      </w:r>
      <w:r w:rsidR="00D90EA3">
        <w:rPr>
          <w:rFonts w:eastAsia="Arial" w:cs="Arial"/>
          <w:color w:val="000000"/>
          <w:szCs w:val="18"/>
          <w:lang w:val="en-US"/>
        </w:rPr>
        <w:t xml:space="preserve"> distance</w:t>
      </w:r>
      <w:r w:rsidRPr="002414A5">
        <w:rPr>
          <w:rFonts w:eastAsia="Arial" w:cs="Arial"/>
          <w:color w:val="000000"/>
          <w:szCs w:val="18"/>
          <w:lang w:val="en-US"/>
        </w:rPr>
        <w:t xml:space="preserve">, distances expressed as a percentage of the flooding F-factor. The registered signal was processed to compute the wavelet spectrogram, with the results presented in Figure </w:t>
      </w:r>
      <w:r w:rsidR="005A39AE">
        <w:rPr>
          <w:rFonts w:eastAsia="Arial" w:cs="Arial"/>
          <w:color w:val="000000"/>
          <w:szCs w:val="18"/>
          <w:lang w:val="en-US"/>
        </w:rPr>
        <w:t>5</w:t>
      </w:r>
      <w:r w:rsidRPr="002414A5">
        <w:rPr>
          <w:rFonts w:eastAsia="Arial" w:cs="Arial"/>
          <w:color w:val="000000"/>
          <w:szCs w:val="18"/>
          <w:lang w:val="en-US"/>
        </w:rPr>
        <w:t xml:space="preserve"> (right) for the transient period between 50 and 500 seconds for both datasets. </w:t>
      </w:r>
    </w:p>
    <w:p w14:paraId="79F5FA0C" w14:textId="77777777" w:rsidR="00B0024B" w:rsidRPr="002414A5" w:rsidRDefault="00B0024B" w:rsidP="00FF711D">
      <w:pPr>
        <w:pBdr>
          <w:top w:val="nil"/>
          <w:left w:val="nil"/>
          <w:bottom w:val="nil"/>
          <w:right w:val="nil"/>
          <w:between w:val="nil"/>
        </w:pBdr>
        <w:rPr>
          <w:rFonts w:eastAsia="Arial" w:cs="Arial"/>
          <w:color w:val="000000"/>
          <w:szCs w:val="18"/>
          <w:lang w:val="en-US"/>
        </w:rPr>
      </w:pPr>
    </w:p>
    <w:p w14:paraId="0859237C" w14:textId="77777777" w:rsidR="005008FF" w:rsidRPr="002414A5" w:rsidRDefault="00B0024B" w:rsidP="005008FF">
      <w:pPr>
        <w:keepNext/>
        <w:pBdr>
          <w:top w:val="nil"/>
          <w:left w:val="nil"/>
          <w:bottom w:val="nil"/>
          <w:right w:val="nil"/>
          <w:between w:val="nil"/>
        </w:pBdr>
        <w:rPr>
          <w:lang w:val="en-US"/>
        </w:rPr>
      </w:pPr>
      <w:r w:rsidRPr="002414A5">
        <w:rPr>
          <w:rFonts w:eastAsia="Arial"/>
          <w:noProof/>
          <w:lang w:val="en-US"/>
        </w:rPr>
        <w:drawing>
          <wp:inline distT="0" distB="0" distL="0" distR="0" wp14:anchorId="58A62698" wp14:editId="0627F5C5">
            <wp:extent cx="5579745" cy="1859280"/>
            <wp:effectExtent l="0" t="0" r="1905" b="7620"/>
            <wp:docPr id="16973470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9745" cy="1859280"/>
                    </a:xfrm>
                    <a:prstGeom prst="rect">
                      <a:avLst/>
                    </a:prstGeom>
                    <a:noFill/>
                    <a:ln>
                      <a:noFill/>
                    </a:ln>
                  </pic:spPr>
                </pic:pic>
              </a:graphicData>
            </a:graphic>
          </wp:inline>
        </w:drawing>
      </w:r>
    </w:p>
    <w:p w14:paraId="0552570F" w14:textId="7F901C64" w:rsidR="00B0024B" w:rsidRPr="002414A5" w:rsidRDefault="005008FF" w:rsidP="005008FF">
      <w:pPr>
        <w:pStyle w:val="Caption"/>
        <w:rPr>
          <w:rFonts w:eastAsia="Arial" w:cs="Arial"/>
          <w:b w:val="0"/>
          <w:bCs w:val="0"/>
          <w:i/>
          <w:iCs/>
          <w:color w:val="auto"/>
          <w:lang w:val="en-US"/>
        </w:rPr>
      </w:pPr>
      <w:r w:rsidRPr="002414A5">
        <w:rPr>
          <w:b w:val="0"/>
          <w:bCs w:val="0"/>
          <w:i/>
          <w:iCs/>
          <w:color w:val="auto"/>
          <w:lang w:val="en-US"/>
        </w:rPr>
        <w:t xml:space="preserve">Figure </w:t>
      </w:r>
      <w:r w:rsidRPr="002414A5">
        <w:rPr>
          <w:b w:val="0"/>
          <w:bCs w:val="0"/>
          <w:i/>
          <w:iCs/>
          <w:color w:val="auto"/>
          <w:lang w:val="en-US"/>
        </w:rPr>
        <w:fldChar w:fldCharType="begin"/>
      </w:r>
      <w:r w:rsidRPr="002414A5">
        <w:rPr>
          <w:b w:val="0"/>
          <w:bCs w:val="0"/>
          <w:i/>
          <w:iCs/>
          <w:color w:val="auto"/>
          <w:lang w:val="en-US"/>
        </w:rPr>
        <w:instrText xml:space="preserve"> SEQ Figure \* ARABIC </w:instrText>
      </w:r>
      <w:r w:rsidRPr="002414A5">
        <w:rPr>
          <w:b w:val="0"/>
          <w:bCs w:val="0"/>
          <w:i/>
          <w:iCs/>
          <w:color w:val="auto"/>
          <w:lang w:val="en-US"/>
        </w:rPr>
        <w:fldChar w:fldCharType="separate"/>
      </w:r>
      <w:r w:rsidRPr="002414A5">
        <w:rPr>
          <w:b w:val="0"/>
          <w:bCs w:val="0"/>
          <w:i/>
          <w:iCs/>
          <w:noProof/>
          <w:color w:val="auto"/>
          <w:lang w:val="en-US"/>
        </w:rPr>
        <w:t>5</w:t>
      </w:r>
      <w:r w:rsidRPr="002414A5">
        <w:rPr>
          <w:b w:val="0"/>
          <w:bCs w:val="0"/>
          <w:i/>
          <w:iCs/>
          <w:color w:val="auto"/>
          <w:lang w:val="en-US"/>
        </w:rPr>
        <w:fldChar w:fldCharType="end"/>
      </w:r>
      <w:r w:rsidRPr="002414A5">
        <w:rPr>
          <w:b w:val="0"/>
          <w:bCs w:val="0"/>
          <w:i/>
          <w:iCs/>
          <w:color w:val="auto"/>
          <w:lang w:val="en-US"/>
        </w:rPr>
        <w:t>: Wavelet analysis of pressure signal (</w:t>
      </w:r>
      <w:proofErr w:type="gramStart"/>
      <w:r w:rsidRPr="002414A5">
        <w:rPr>
          <w:b w:val="0"/>
          <w:bCs w:val="0"/>
          <w:i/>
          <w:iCs/>
          <w:color w:val="auto"/>
          <w:lang w:val="en-US"/>
        </w:rPr>
        <w:t>left:</w:t>
      </w:r>
      <w:proofErr w:type="gramEnd"/>
      <w:r w:rsidRPr="002414A5">
        <w:rPr>
          <w:b w:val="0"/>
          <w:bCs w:val="0"/>
          <w:i/>
          <w:iCs/>
          <w:color w:val="auto"/>
          <w:lang w:val="en-US"/>
        </w:rPr>
        <w:t xml:space="preserve"> analyzed stepwise signals, right: wavelet spectrograms)</w:t>
      </w:r>
    </w:p>
    <w:p w14:paraId="31F91902" w14:textId="77777777" w:rsidR="00B0024B" w:rsidRPr="002414A5" w:rsidRDefault="00B0024B" w:rsidP="00FF711D">
      <w:pPr>
        <w:pBdr>
          <w:top w:val="nil"/>
          <w:left w:val="nil"/>
          <w:bottom w:val="nil"/>
          <w:right w:val="nil"/>
          <w:between w:val="nil"/>
        </w:pBdr>
        <w:rPr>
          <w:rFonts w:eastAsia="Arial" w:cs="Arial"/>
          <w:color w:val="000000"/>
          <w:szCs w:val="18"/>
          <w:lang w:val="en-US"/>
        </w:rPr>
      </w:pPr>
    </w:p>
    <w:p w14:paraId="509BC685" w14:textId="649B0E28" w:rsidR="009509F7" w:rsidRDefault="00FF711D" w:rsidP="005A39AE">
      <w:pPr>
        <w:pStyle w:val="CETBodytext"/>
        <w:rPr>
          <w:rFonts w:eastAsia="Arial" w:cs="Arial"/>
          <w:color w:val="000000"/>
          <w:szCs w:val="18"/>
        </w:rPr>
      </w:pPr>
      <w:r w:rsidRPr="002414A5">
        <w:rPr>
          <w:rFonts w:eastAsia="Arial" w:cs="Arial"/>
          <w:color w:val="000000"/>
          <w:szCs w:val="18"/>
        </w:rPr>
        <w:t xml:space="preserve">The wavelet method proves to capture typical features in the pressure drop signal during incipient flooding events that are otherwise hidden in time-based or frequency-based analyses. This time-frequency analysis shows that the flooding transient is characterized by a dominant frequency of about 0.2 Hz that persists throughout the </w:t>
      </w:r>
      <w:r w:rsidR="00D90EA3">
        <w:rPr>
          <w:rFonts w:eastAsia="Arial" w:cs="Arial"/>
          <w:color w:val="000000"/>
          <w:szCs w:val="18"/>
        </w:rPr>
        <w:t xml:space="preserve">whole </w:t>
      </w:r>
      <w:r w:rsidRPr="002414A5">
        <w:rPr>
          <w:rFonts w:eastAsia="Arial" w:cs="Arial"/>
          <w:color w:val="000000"/>
          <w:szCs w:val="18"/>
        </w:rPr>
        <w:t xml:space="preserve">domain, as shown in both wavelet spectrograms in Figure </w:t>
      </w:r>
      <w:r w:rsidR="005A39AE">
        <w:rPr>
          <w:rFonts w:eastAsia="Arial" w:cs="Arial"/>
          <w:color w:val="000000"/>
          <w:szCs w:val="18"/>
        </w:rPr>
        <w:t>5</w:t>
      </w:r>
      <w:r w:rsidRPr="002414A5">
        <w:rPr>
          <w:rFonts w:eastAsia="Arial" w:cs="Arial"/>
          <w:color w:val="000000"/>
          <w:szCs w:val="18"/>
        </w:rPr>
        <w:t xml:space="preserve"> (right). </w:t>
      </w:r>
      <w:r w:rsidR="000954EB" w:rsidRPr="000954EB">
        <w:rPr>
          <w:rFonts w:eastAsia="Arial" w:cs="Arial"/>
          <w:color w:val="000000"/>
          <w:szCs w:val="18"/>
        </w:rPr>
        <w:t xml:space="preserve">Also, before the steady state, at around 300-350 seconds, a second higher frequency of about 0.5 Hz is visible on the spectrograms, indicating that the flooding condition is close to </w:t>
      </w:r>
      <w:r w:rsidR="00205202">
        <w:rPr>
          <w:rFonts w:eastAsia="Arial" w:cs="Arial"/>
          <w:color w:val="000000"/>
          <w:szCs w:val="18"/>
        </w:rPr>
        <w:t>occur</w:t>
      </w:r>
      <w:r w:rsidRPr="002414A5">
        <w:rPr>
          <w:rFonts w:eastAsia="Arial" w:cs="Arial"/>
          <w:color w:val="000000"/>
          <w:szCs w:val="18"/>
        </w:rPr>
        <w:t>.</w:t>
      </w:r>
      <w:r w:rsidR="009509F7">
        <w:rPr>
          <w:rFonts w:eastAsia="Arial" w:cs="Arial"/>
          <w:color w:val="000000"/>
          <w:szCs w:val="18"/>
        </w:rPr>
        <w:t xml:space="preserve"> </w:t>
      </w:r>
      <w:r w:rsidR="00D90EA3">
        <w:rPr>
          <w:rFonts w:eastAsia="Arial" w:cs="Arial"/>
          <w:color w:val="000000"/>
          <w:szCs w:val="18"/>
        </w:rPr>
        <w:t xml:space="preserve">It is important to note </w:t>
      </w:r>
      <w:r w:rsidR="009509F7">
        <w:rPr>
          <w:rFonts w:eastAsia="Arial" w:cs="Arial"/>
          <w:color w:val="000000"/>
          <w:szCs w:val="18"/>
        </w:rPr>
        <w:t xml:space="preserve">that these characteristic frequencies were </w:t>
      </w:r>
      <w:r w:rsidR="00F629F8">
        <w:rPr>
          <w:rFonts w:eastAsia="Arial" w:cs="Arial"/>
          <w:color w:val="000000"/>
          <w:szCs w:val="18"/>
        </w:rPr>
        <w:t xml:space="preserve">not </w:t>
      </w:r>
      <w:r w:rsidR="009509F7">
        <w:rPr>
          <w:rFonts w:eastAsia="Arial" w:cs="Arial"/>
          <w:color w:val="000000"/>
          <w:szCs w:val="18"/>
        </w:rPr>
        <w:t>visible in the Fourier spectra, as show</w:t>
      </w:r>
      <w:r w:rsidR="009B0A23">
        <w:rPr>
          <w:rFonts w:eastAsia="Arial" w:cs="Arial"/>
          <w:color w:val="000000"/>
          <w:szCs w:val="18"/>
        </w:rPr>
        <w:t>n</w:t>
      </w:r>
      <w:r w:rsidR="009509F7">
        <w:rPr>
          <w:rFonts w:eastAsia="Arial" w:cs="Arial"/>
          <w:color w:val="000000"/>
          <w:szCs w:val="18"/>
        </w:rPr>
        <w:t xml:space="preserve"> in Figure 3.</w:t>
      </w:r>
    </w:p>
    <w:p w14:paraId="75B2F7C5" w14:textId="15AD4EC0" w:rsidR="00531B45" w:rsidRDefault="009509F7" w:rsidP="005A39AE">
      <w:pPr>
        <w:pStyle w:val="CETBodytext"/>
        <w:rPr>
          <w:rFonts w:eastAsia="Arial" w:cs="Arial"/>
          <w:color w:val="000000"/>
          <w:szCs w:val="18"/>
        </w:rPr>
      </w:pPr>
      <w:r>
        <w:rPr>
          <w:rFonts w:eastAsia="Arial" w:cs="Arial"/>
          <w:color w:val="000000"/>
          <w:szCs w:val="18"/>
        </w:rPr>
        <w:t>As a matter of</w:t>
      </w:r>
      <w:r w:rsidR="00A66903">
        <w:rPr>
          <w:rFonts w:eastAsia="Arial" w:cs="Arial"/>
          <w:color w:val="000000"/>
          <w:szCs w:val="18"/>
        </w:rPr>
        <w:t xml:space="preserve"> </w:t>
      </w:r>
      <w:r w:rsidR="00FF711D" w:rsidRPr="002414A5">
        <w:rPr>
          <w:rFonts w:eastAsia="Arial" w:cs="Arial"/>
          <w:color w:val="000000"/>
          <w:szCs w:val="18"/>
        </w:rPr>
        <w:t xml:space="preserve">fact, the wavelet method can be successfully used in an online monitoring </w:t>
      </w:r>
      <w:r w:rsidR="00D90EA3">
        <w:rPr>
          <w:rFonts w:eastAsia="Arial" w:cs="Arial"/>
          <w:color w:val="000000"/>
          <w:szCs w:val="18"/>
        </w:rPr>
        <w:t>routine</w:t>
      </w:r>
      <w:r w:rsidR="00D90EA3" w:rsidRPr="002414A5">
        <w:rPr>
          <w:rFonts w:eastAsia="Arial" w:cs="Arial"/>
          <w:color w:val="000000"/>
          <w:szCs w:val="18"/>
        </w:rPr>
        <w:t xml:space="preserve"> </w:t>
      </w:r>
      <w:r w:rsidR="00FF711D" w:rsidRPr="002414A5">
        <w:rPr>
          <w:rFonts w:eastAsia="Arial" w:cs="Arial"/>
          <w:color w:val="000000"/>
          <w:szCs w:val="18"/>
        </w:rPr>
        <w:t xml:space="preserve">to </w:t>
      </w:r>
      <w:r w:rsidR="00350FD6">
        <w:rPr>
          <w:rFonts w:eastAsia="Arial" w:cs="Arial"/>
          <w:color w:val="000000"/>
          <w:szCs w:val="18"/>
        </w:rPr>
        <w:t>anticipate the onset of</w:t>
      </w:r>
      <w:r w:rsidR="00FF711D" w:rsidRPr="002414A5">
        <w:rPr>
          <w:rFonts w:eastAsia="Arial" w:cs="Arial"/>
          <w:color w:val="000000"/>
          <w:szCs w:val="18"/>
        </w:rPr>
        <w:t xml:space="preserve"> flooding events. When these typical frequencies of incipient flooding are registered, automatic control strategies are applied by varying the available manipulated variables, such as for instance the liquid flow rate, thus avoiding inefficient operation under flooding conditions and returning the packed column to a safer scenario.</w:t>
      </w:r>
    </w:p>
    <w:p w14:paraId="6AC51B8D" w14:textId="1DEBAF5B" w:rsidR="005A39AE" w:rsidRPr="002414A5" w:rsidRDefault="000954EB" w:rsidP="005A39AE">
      <w:pPr>
        <w:pStyle w:val="CETBodytext"/>
      </w:pPr>
      <w:r>
        <w:t>To sum up, t</w:t>
      </w:r>
      <w:r w:rsidR="005A39AE" w:rsidRPr="002414A5">
        <w:t>he FFT analysis identified high amplitude pressure oscillations at very low frequencies, corresponding to a period of about 50 seconds. These dynamics, which were not resolved in previous studies such as that of Haushofer et al</w:t>
      </w:r>
      <w:r w:rsidR="00662C7A">
        <w:t>, (2023)</w:t>
      </w:r>
      <w:r w:rsidR="005A39AE" w:rsidRPr="002414A5">
        <w:t xml:space="preserve"> can be attributed to the limited sample length used in their analysis (approximately 102 seconds). The results underscore the need to analyze signals with more samples to accurately capture these slow, large-scale fluctuations. Wavelet transform analysis enabled the identification of localized, transient features in the dynamic signals resulting from stepwise gas flow rate variations. </w:t>
      </w:r>
      <w:proofErr w:type="gramStart"/>
      <w:r w:rsidR="005A39AE" w:rsidRPr="002414A5">
        <w:t>In particular, a</w:t>
      </w:r>
      <w:proofErr w:type="gramEnd"/>
      <w:r w:rsidR="005A39AE" w:rsidRPr="002414A5">
        <w:t xml:space="preserve"> characteristic frequency was observed at approximately 0.5 Hz, marking the onset of flooding conditions within the column. This frequency, which is consistent across multiple experiments, suggests the existence of hydrodynamic behavior that serves as an indicator of the transition to flooding. Such an observation represents a significant advance over conventional steady-state approaches, providing real-time insight into the dynamics leading to inefficiencies.</w:t>
      </w:r>
    </w:p>
    <w:p w14:paraId="68D26B83" w14:textId="77777777" w:rsidR="00600535" w:rsidRPr="002414A5" w:rsidRDefault="00600535" w:rsidP="00600535">
      <w:pPr>
        <w:pStyle w:val="CETHeading1"/>
      </w:pPr>
      <w:r w:rsidRPr="002414A5">
        <w:t>Conclusions</w:t>
      </w:r>
    </w:p>
    <w:p w14:paraId="26438436" w14:textId="3D155541" w:rsidR="000E319B" w:rsidRPr="002414A5" w:rsidRDefault="00BF13E2" w:rsidP="00BF13E2">
      <w:pPr>
        <w:pStyle w:val="CETBodytext"/>
      </w:pPr>
      <w:r w:rsidRPr="002414A5">
        <w:t>In this study, frequency domain (FFT) and time-frequency (wavelet transform) analyses were used to investigate the dynamic behavior of pressure drop signals in a structured packed column under various operating conditions. The experimental setup allowed for a detailed characterization of the structured packing, providing insight into its dynamic response to changes in gas flow rates.</w:t>
      </w:r>
    </w:p>
    <w:p w14:paraId="3F1D7B5D" w14:textId="5E249392" w:rsidR="00D80905" w:rsidRPr="002414A5" w:rsidRDefault="00BF13E2" w:rsidP="00BF13E2">
      <w:pPr>
        <w:pStyle w:val="CETBodytext"/>
      </w:pPr>
      <w:r w:rsidRPr="002414A5">
        <w:t xml:space="preserve">The results of this study have practical implications for the operation of packed columns. The identification of these characteristic frequencies paves the way for the development of advanced monitoring and control strategies. In particular, the 0.5 Hz marker could be incorporated into automated systems to predict and mitigate </w:t>
      </w:r>
      <w:r w:rsidRPr="002414A5">
        <w:lastRenderedPageBreak/>
        <w:t xml:space="preserve">flooding, thereby reducing the duration of inefficient operation and improving column performance. Overall, this work highlights the utility of combining FFT and wavelet transform analyses for dynamic characterization of structured packings, providing both macroscopic and localized insights into system behavior. Future research will aim to expand the experimental data set and validate these methods under a broader range of operating conditions, with the </w:t>
      </w:r>
      <w:proofErr w:type="gramStart"/>
      <w:r w:rsidRPr="002414A5">
        <w:t>ultimate goal</w:t>
      </w:r>
      <w:proofErr w:type="gramEnd"/>
      <w:r w:rsidRPr="002414A5">
        <w:t xml:space="preserve"> of implementing adaptive control strategies in industrial-scale packed columns.</w:t>
      </w:r>
    </w:p>
    <w:p w14:paraId="07A6D20F" w14:textId="0ECF229E" w:rsidR="00280FAF" w:rsidRPr="002414A5" w:rsidRDefault="00280FAF" w:rsidP="00280FAF">
      <w:pPr>
        <w:pStyle w:val="CETHeadingxx"/>
        <w:sectPr w:rsidR="00280FAF" w:rsidRPr="002414A5" w:rsidSect="003419E6">
          <w:type w:val="continuous"/>
          <w:pgSz w:w="11906" w:h="16838" w:code="9"/>
          <w:pgMar w:top="1701" w:right="1418" w:bottom="1701" w:left="1701" w:header="1701" w:footer="0" w:gutter="0"/>
          <w:cols w:space="708"/>
          <w:formProt w:val="0"/>
          <w:titlePg/>
          <w:docGrid w:linePitch="360"/>
        </w:sectPr>
      </w:pPr>
      <w:r w:rsidRPr="002414A5">
        <w:t>Nomenclature</w:t>
      </w:r>
    </w:p>
    <w:p w14:paraId="06AF7916" w14:textId="77777777" w:rsidR="0028767D" w:rsidRPr="002414A5" w:rsidRDefault="0028767D" w:rsidP="0028767D">
      <w:pPr>
        <w:pBdr>
          <w:top w:val="nil"/>
          <w:left w:val="nil"/>
          <w:bottom w:val="nil"/>
          <w:right w:val="nil"/>
          <w:between w:val="nil"/>
        </w:pBdr>
        <w:jc w:val="left"/>
        <w:rPr>
          <w:rFonts w:eastAsia="Arial" w:cs="Arial"/>
          <w:color w:val="000000"/>
          <w:szCs w:val="18"/>
          <w:lang w:val="en-US"/>
        </w:rPr>
      </w:pPr>
      <m:oMath>
        <m:r>
          <w:rPr>
            <w:rFonts w:ascii="Cambria Math" w:eastAsia="Arial" w:hAnsi="Cambria Math" w:cs="Arial"/>
            <w:color w:val="000000"/>
            <w:szCs w:val="18"/>
            <w:lang w:val="en-US"/>
          </w:rPr>
          <m:t>A</m:t>
        </m:r>
      </m:oMath>
      <w:r w:rsidRPr="002414A5">
        <w:rPr>
          <w:rFonts w:eastAsia="Arial" w:cs="Arial"/>
          <w:color w:val="000000"/>
          <w:szCs w:val="18"/>
          <w:lang w:val="en-US"/>
        </w:rPr>
        <w:t xml:space="preserve"> – pressure signal amplitude, Pa/m</w:t>
      </w:r>
    </w:p>
    <w:p w14:paraId="14C4FEE3" w14:textId="77777777" w:rsidR="0028767D" w:rsidRPr="002414A5" w:rsidRDefault="0028767D" w:rsidP="0028767D">
      <w:pPr>
        <w:pBdr>
          <w:top w:val="nil"/>
          <w:left w:val="nil"/>
          <w:bottom w:val="nil"/>
          <w:right w:val="nil"/>
          <w:between w:val="nil"/>
        </w:pBdr>
        <w:jc w:val="left"/>
        <w:rPr>
          <w:rFonts w:eastAsia="Arial" w:cs="Arial"/>
          <w:color w:val="000000"/>
          <w:szCs w:val="18"/>
          <w:lang w:val="en-US"/>
        </w:rPr>
      </w:pPr>
      <m:oMath>
        <m:r>
          <w:rPr>
            <w:rFonts w:ascii="Cambria Math" w:eastAsia="Arial" w:hAnsi="Cambria Math" w:cs="Arial"/>
            <w:color w:val="000000"/>
            <w:szCs w:val="18"/>
            <w:lang w:val="en-US"/>
          </w:rPr>
          <m:t>B</m:t>
        </m:r>
      </m:oMath>
      <w:r w:rsidRPr="002414A5">
        <w:rPr>
          <w:rFonts w:eastAsia="Arial" w:cs="Arial"/>
          <w:color w:val="000000"/>
          <w:szCs w:val="18"/>
          <w:lang w:val="en-US"/>
        </w:rPr>
        <w:t xml:space="preserve"> – liquid load, m</w:t>
      </w:r>
      <w:r w:rsidRPr="002414A5">
        <w:rPr>
          <w:rFonts w:eastAsia="Arial" w:cs="Arial"/>
          <w:color w:val="000000"/>
          <w:szCs w:val="18"/>
          <w:vertAlign w:val="superscript"/>
          <w:lang w:val="en-US"/>
        </w:rPr>
        <w:t>3</w:t>
      </w:r>
      <w:r w:rsidRPr="002414A5">
        <w:rPr>
          <w:rFonts w:eastAsia="Arial" w:cs="Arial"/>
          <w:color w:val="000000"/>
          <w:szCs w:val="18"/>
          <w:lang w:val="en-US"/>
        </w:rPr>
        <w:t>/(m</w:t>
      </w:r>
      <w:r w:rsidRPr="002414A5">
        <w:rPr>
          <w:rFonts w:eastAsia="Arial" w:cs="Arial"/>
          <w:color w:val="000000"/>
          <w:szCs w:val="18"/>
          <w:vertAlign w:val="superscript"/>
          <w:lang w:val="en-US"/>
        </w:rPr>
        <w:t>2</w:t>
      </w:r>
      <w:r w:rsidRPr="002414A5">
        <w:rPr>
          <w:rFonts w:eastAsia="Arial" w:cs="Arial"/>
          <w:color w:val="000000"/>
          <w:szCs w:val="18"/>
          <w:lang w:val="en-US"/>
        </w:rPr>
        <w:t>h)</w:t>
      </w:r>
    </w:p>
    <w:p w14:paraId="6472FF4A" w14:textId="77777777" w:rsidR="0028767D" w:rsidRPr="002414A5" w:rsidRDefault="0028767D" w:rsidP="0028767D">
      <w:pPr>
        <w:pBdr>
          <w:top w:val="nil"/>
          <w:left w:val="nil"/>
          <w:bottom w:val="nil"/>
          <w:right w:val="nil"/>
          <w:between w:val="nil"/>
        </w:pBdr>
        <w:jc w:val="left"/>
        <w:rPr>
          <w:rFonts w:eastAsia="Arial" w:cs="Arial"/>
          <w:color w:val="000000"/>
          <w:szCs w:val="18"/>
          <w:lang w:val="en-US"/>
        </w:rPr>
      </w:pPr>
      <m:oMath>
        <m:r>
          <w:rPr>
            <w:rFonts w:ascii="Cambria Math" w:eastAsia="Arial" w:hAnsi="Cambria Math" w:cs="Arial"/>
            <w:color w:val="000000"/>
            <w:szCs w:val="18"/>
            <w:lang w:val="en-US"/>
          </w:rPr>
          <m:t>f</m:t>
        </m:r>
      </m:oMath>
      <w:r w:rsidRPr="002414A5">
        <w:rPr>
          <w:rFonts w:eastAsia="Arial" w:cs="Arial"/>
          <w:color w:val="000000"/>
          <w:szCs w:val="18"/>
          <w:lang w:val="en-US"/>
        </w:rPr>
        <w:t xml:space="preserve"> – frequency, Hz</w:t>
      </w:r>
    </w:p>
    <w:p w14:paraId="2AB895E5" w14:textId="77777777" w:rsidR="0028767D" w:rsidRPr="002414A5" w:rsidRDefault="00000000" w:rsidP="0028767D">
      <w:pPr>
        <w:pBdr>
          <w:top w:val="nil"/>
          <w:left w:val="nil"/>
          <w:bottom w:val="nil"/>
          <w:right w:val="nil"/>
          <w:between w:val="nil"/>
        </w:pBdr>
        <w:jc w:val="left"/>
        <w:rPr>
          <w:rFonts w:eastAsia="Arial" w:cs="Arial"/>
          <w:color w:val="000000"/>
          <w:szCs w:val="18"/>
          <w:vertAlign w:val="superscript"/>
          <w:lang w:val="en-US"/>
        </w:rPr>
      </w:pPr>
      <m:oMath>
        <m:sSub>
          <m:sSubPr>
            <m:ctrlPr>
              <w:rPr>
                <w:rFonts w:ascii="Cambria Math" w:eastAsia="Arial" w:hAnsi="Cambria Math" w:cs="Arial"/>
                <w:i/>
                <w:color w:val="000000"/>
                <w:szCs w:val="18"/>
                <w:lang w:val="en-US"/>
              </w:rPr>
            </m:ctrlPr>
          </m:sSubPr>
          <m:e>
            <m:r>
              <w:rPr>
                <w:rFonts w:ascii="Cambria Math" w:eastAsia="Arial" w:hAnsi="Cambria Math" w:cs="Arial"/>
                <w:color w:val="000000"/>
                <w:szCs w:val="18"/>
                <w:lang w:val="en-US"/>
              </w:rPr>
              <m:t>F</m:t>
            </m:r>
          </m:e>
          <m:sub>
            <m:r>
              <w:rPr>
                <w:rFonts w:ascii="Cambria Math" w:eastAsia="Arial" w:hAnsi="Cambria Math" w:cs="Arial"/>
                <w:color w:val="000000"/>
                <w:szCs w:val="18"/>
                <w:lang w:val="en-US"/>
              </w:rPr>
              <m:t>V</m:t>
            </m:r>
          </m:sub>
        </m:sSub>
      </m:oMath>
      <w:r w:rsidR="0028767D" w:rsidRPr="002414A5">
        <w:rPr>
          <w:rFonts w:eastAsia="Arial" w:cs="Arial"/>
          <w:color w:val="000000"/>
          <w:szCs w:val="18"/>
          <w:lang w:val="en-US"/>
        </w:rPr>
        <w:t xml:space="preserve"> – F-factor, Pa</w:t>
      </w:r>
      <w:r w:rsidR="0028767D" w:rsidRPr="002414A5">
        <w:rPr>
          <w:rFonts w:eastAsia="Arial" w:cs="Arial"/>
          <w:color w:val="000000"/>
          <w:szCs w:val="18"/>
          <w:vertAlign w:val="superscript"/>
          <w:lang w:val="en-US"/>
        </w:rPr>
        <w:t>0.5</w:t>
      </w:r>
    </w:p>
    <w:p w14:paraId="065B4E22" w14:textId="77777777" w:rsidR="0028767D" w:rsidRPr="002414A5" w:rsidRDefault="0028767D" w:rsidP="0028767D">
      <w:pPr>
        <w:pBdr>
          <w:top w:val="nil"/>
          <w:left w:val="nil"/>
          <w:bottom w:val="nil"/>
          <w:right w:val="nil"/>
          <w:between w:val="nil"/>
        </w:pBdr>
        <w:jc w:val="left"/>
        <w:rPr>
          <w:rFonts w:eastAsia="Arial" w:cs="Arial"/>
          <w:color w:val="000000"/>
          <w:szCs w:val="18"/>
          <w:lang w:val="en-US"/>
        </w:rPr>
      </w:pPr>
      <m:oMath>
        <m:r>
          <w:rPr>
            <w:rFonts w:ascii="Cambria Math" w:eastAsia="Arial" w:hAnsi="Cambria Math" w:cs="Arial"/>
            <w:color w:val="000000"/>
            <w:szCs w:val="18"/>
            <w:lang w:val="en-US"/>
          </w:rPr>
          <m:t>N</m:t>
        </m:r>
      </m:oMath>
      <w:r w:rsidRPr="002414A5">
        <w:rPr>
          <w:rFonts w:eastAsia="Arial" w:cs="Arial"/>
          <w:color w:val="000000"/>
          <w:szCs w:val="18"/>
          <w:lang w:val="en-US"/>
        </w:rPr>
        <w:t xml:space="preserve"> – number of frequencies, -</w:t>
      </w:r>
    </w:p>
    <w:p w14:paraId="77D11CF4" w14:textId="77777777" w:rsidR="0028767D" w:rsidRPr="002414A5" w:rsidRDefault="00000000" w:rsidP="0028767D">
      <w:pPr>
        <w:pBdr>
          <w:top w:val="nil"/>
          <w:left w:val="nil"/>
          <w:bottom w:val="nil"/>
          <w:right w:val="nil"/>
          <w:between w:val="nil"/>
        </w:pBdr>
        <w:jc w:val="left"/>
        <w:rPr>
          <w:rFonts w:eastAsia="Arial" w:cs="Arial"/>
          <w:color w:val="000000"/>
          <w:szCs w:val="18"/>
          <w:vertAlign w:val="superscript"/>
          <w:lang w:val="en-US"/>
        </w:rPr>
      </w:pPr>
      <m:oMath>
        <m:sSub>
          <m:sSubPr>
            <m:ctrlPr>
              <w:rPr>
                <w:rFonts w:ascii="Cambria Math" w:eastAsia="Arial" w:hAnsi="Cambria Math" w:cs="Arial"/>
                <w:i/>
                <w:color w:val="000000"/>
                <w:szCs w:val="18"/>
                <w:lang w:val="en-US"/>
              </w:rPr>
            </m:ctrlPr>
          </m:sSubPr>
          <m:e>
            <m:r>
              <w:rPr>
                <w:rFonts w:ascii="Cambria Math" w:eastAsia="Arial" w:hAnsi="Cambria Math" w:cs="Arial"/>
                <w:color w:val="000000"/>
                <w:szCs w:val="18"/>
                <w:lang w:val="en-US"/>
              </w:rPr>
              <m:t>P</m:t>
            </m:r>
          </m:e>
          <m:sub>
            <m:r>
              <w:rPr>
                <w:rFonts w:ascii="Cambria Math" w:eastAsia="Arial" w:hAnsi="Cambria Math" w:cs="Arial"/>
                <w:color w:val="000000"/>
                <w:szCs w:val="18"/>
                <w:lang w:val="en-US"/>
              </w:rPr>
              <m:t>tot</m:t>
            </m:r>
          </m:sub>
        </m:sSub>
      </m:oMath>
      <w:r w:rsidR="0028767D" w:rsidRPr="002414A5">
        <w:rPr>
          <w:rFonts w:eastAsia="Arial" w:cs="Arial"/>
          <w:color w:val="000000"/>
          <w:szCs w:val="18"/>
          <w:lang w:val="en-US"/>
        </w:rPr>
        <w:t xml:space="preserve"> – total signal power, Pa</w:t>
      </w:r>
      <w:r w:rsidR="0028767D" w:rsidRPr="002414A5">
        <w:rPr>
          <w:rFonts w:eastAsia="Arial" w:cs="Arial"/>
          <w:color w:val="000000"/>
          <w:szCs w:val="18"/>
          <w:vertAlign w:val="superscript"/>
          <w:lang w:val="en-US"/>
        </w:rPr>
        <w:t>2</w:t>
      </w:r>
      <w:r w:rsidR="0028767D" w:rsidRPr="002414A5">
        <w:rPr>
          <w:rFonts w:eastAsia="Arial" w:cs="Arial"/>
          <w:color w:val="000000"/>
          <w:szCs w:val="18"/>
          <w:lang w:val="en-US"/>
        </w:rPr>
        <w:t>/m</w:t>
      </w:r>
      <w:r w:rsidR="0028767D" w:rsidRPr="002414A5">
        <w:rPr>
          <w:rFonts w:eastAsia="Arial" w:cs="Arial"/>
          <w:color w:val="000000"/>
          <w:szCs w:val="18"/>
          <w:vertAlign w:val="superscript"/>
          <w:lang w:val="en-US"/>
        </w:rPr>
        <w:t>2</w:t>
      </w:r>
    </w:p>
    <w:p w14:paraId="2C50BC18" w14:textId="77777777" w:rsidR="0028767D" w:rsidRPr="002414A5" w:rsidRDefault="00000000" w:rsidP="0028767D">
      <w:pPr>
        <w:pBdr>
          <w:top w:val="nil"/>
          <w:left w:val="nil"/>
          <w:bottom w:val="nil"/>
          <w:right w:val="nil"/>
          <w:between w:val="nil"/>
        </w:pBdr>
        <w:jc w:val="left"/>
        <w:rPr>
          <w:rFonts w:eastAsia="Arial" w:cs="Arial"/>
          <w:color w:val="000000"/>
          <w:szCs w:val="18"/>
          <w:lang w:val="en-US"/>
        </w:rPr>
      </w:pPr>
      <m:oMath>
        <m:sSub>
          <m:sSubPr>
            <m:ctrlPr>
              <w:rPr>
                <w:rFonts w:ascii="Cambria Math" w:eastAsia="Arial" w:hAnsi="Cambria Math" w:cs="Arial"/>
                <w:i/>
                <w:color w:val="000000"/>
                <w:szCs w:val="18"/>
                <w:lang w:val="en-US"/>
              </w:rPr>
            </m:ctrlPr>
          </m:sSubPr>
          <m:e>
            <m:r>
              <w:rPr>
                <w:rFonts w:ascii="Cambria Math" w:eastAsia="Arial" w:hAnsi="Cambria Math" w:cs="Arial"/>
                <w:color w:val="000000"/>
                <w:szCs w:val="18"/>
                <w:lang w:val="en-US"/>
              </w:rPr>
              <m:t>u</m:t>
            </m:r>
          </m:e>
          <m:sub>
            <m:r>
              <w:rPr>
                <w:rFonts w:ascii="Cambria Math" w:eastAsia="Arial" w:hAnsi="Cambria Math" w:cs="Arial"/>
                <w:color w:val="000000"/>
                <w:szCs w:val="18"/>
                <w:lang w:val="en-US"/>
              </w:rPr>
              <m:t>s,G</m:t>
            </m:r>
          </m:sub>
        </m:sSub>
      </m:oMath>
      <w:r w:rsidR="0028767D" w:rsidRPr="002414A5">
        <w:rPr>
          <w:rFonts w:eastAsia="Arial" w:cs="Arial"/>
          <w:color w:val="000000"/>
          <w:szCs w:val="18"/>
          <w:lang w:val="en-US"/>
        </w:rPr>
        <w:t>- gas superficial velocity, m/s</w:t>
      </w:r>
    </w:p>
    <w:p w14:paraId="304CBD83" w14:textId="77777777" w:rsidR="0028767D" w:rsidRPr="002414A5" w:rsidRDefault="0028767D" w:rsidP="0028767D">
      <w:pPr>
        <w:pBdr>
          <w:top w:val="nil"/>
          <w:left w:val="nil"/>
          <w:bottom w:val="nil"/>
          <w:right w:val="nil"/>
          <w:between w:val="nil"/>
        </w:pBdr>
        <w:jc w:val="left"/>
        <w:rPr>
          <w:rFonts w:eastAsia="Arial" w:cs="Arial"/>
          <w:color w:val="000000"/>
          <w:szCs w:val="18"/>
          <w:lang w:val="en-US"/>
        </w:rPr>
      </w:pPr>
      <m:oMath>
        <m:r>
          <m:rPr>
            <m:sty m:val="p"/>
          </m:rPr>
          <w:rPr>
            <w:rFonts w:ascii="Cambria Math" w:eastAsia="Arial" w:hAnsi="Cambria Math" w:cs="Arial"/>
            <w:color w:val="000000"/>
            <w:szCs w:val="18"/>
            <w:lang w:val="en-US"/>
          </w:rPr>
          <m:t>Δ</m:t>
        </m:r>
        <m:r>
          <w:rPr>
            <w:rFonts w:ascii="Cambria Math" w:eastAsia="Arial" w:hAnsi="Cambria Math" w:cs="Arial"/>
            <w:color w:val="000000"/>
            <w:szCs w:val="18"/>
            <w:lang w:val="en-US"/>
          </w:rPr>
          <m:t>p</m:t>
        </m:r>
      </m:oMath>
      <w:r w:rsidRPr="002414A5">
        <w:rPr>
          <w:rFonts w:eastAsia="Arial" w:cs="Arial"/>
          <w:color w:val="000000"/>
          <w:szCs w:val="18"/>
          <w:lang w:val="en-US"/>
        </w:rPr>
        <w:t xml:space="preserve"> – pressure drops, Pa/m</w:t>
      </w:r>
    </w:p>
    <w:p w14:paraId="0B0F076F" w14:textId="77777777" w:rsidR="0028767D" w:rsidRPr="002414A5" w:rsidRDefault="0028767D" w:rsidP="0028767D">
      <w:pPr>
        <w:pBdr>
          <w:top w:val="nil"/>
          <w:left w:val="nil"/>
          <w:bottom w:val="nil"/>
          <w:right w:val="nil"/>
          <w:between w:val="nil"/>
        </w:pBdr>
        <w:jc w:val="left"/>
        <w:rPr>
          <w:rFonts w:eastAsia="Arial" w:cs="Arial"/>
          <w:color w:val="000000"/>
          <w:szCs w:val="18"/>
          <w:lang w:val="en-US"/>
        </w:rPr>
      </w:pPr>
      <m:oMath>
        <m:r>
          <m:rPr>
            <m:sty m:val="p"/>
          </m:rPr>
          <w:rPr>
            <w:rFonts w:ascii="Cambria Math" w:eastAsia="Arial" w:hAnsi="Cambria Math" w:cs="Arial"/>
            <w:color w:val="000000"/>
            <w:szCs w:val="18"/>
            <w:lang w:val="en-US"/>
          </w:rPr>
          <m:t>Δ</m:t>
        </m:r>
        <m:r>
          <w:rPr>
            <w:rFonts w:ascii="Cambria Math" w:eastAsia="Arial" w:hAnsi="Cambria Math" w:cs="Arial"/>
            <w:color w:val="000000"/>
            <w:szCs w:val="18"/>
            <w:lang w:val="en-US"/>
          </w:rPr>
          <m:t>p'</m:t>
        </m:r>
      </m:oMath>
      <w:r w:rsidRPr="002414A5">
        <w:rPr>
          <w:rFonts w:eastAsia="Arial" w:cs="Arial"/>
          <w:color w:val="000000"/>
          <w:szCs w:val="18"/>
          <w:lang w:val="en-US"/>
        </w:rPr>
        <w:t xml:space="preserve"> - centered pressure drops, Pa/m </w:t>
      </w:r>
    </w:p>
    <w:p w14:paraId="5A9CF3AE" w14:textId="77777777" w:rsidR="0028767D" w:rsidRPr="002414A5" w:rsidRDefault="00000000" w:rsidP="0028767D">
      <w:pPr>
        <w:pBdr>
          <w:top w:val="nil"/>
          <w:left w:val="nil"/>
          <w:bottom w:val="nil"/>
          <w:right w:val="nil"/>
          <w:between w:val="nil"/>
        </w:pBdr>
        <w:jc w:val="left"/>
        <w:rPr>
          <w:rFonts w:eastAsia="Arial" w:cs="Arial"/>
          <w:color w:val="000000"/>
          <w:szCs w:val="18"/>
          <w:lang w:val="en-US"/>
        </w:rPr>
      </w:pPr>
      <m:oMath>
        <m:sSub>
          <m:sSubPr>
            <m:ctrlPr>
              <w:rPr>
                <w:rFonts w:ascii="Cambria Math" w:eastAsia="Arial" w:hAnsi="Cambria Math" w:cs="Arial"/>
                <w:i/>
                <w:color w:val="000000"/>
                <w:szCs w:val="18"/>
                <w:lang w:val="en-US"/>
              </w:rPr>
            </m:ctrlPr>
          </m:sSubPr>
          <m:e>
            <m:r>
              <w:rPr>
                <w:rFonts w:ascii="Cambria Math" w:eastAsia="Arial" w:hAnsi="Cambria Math" w:cs="Arial"/>
                <w:color w:val="000000"/>
                <w:szCs w:val="18"/>
                <w:lang w:val="en-US"/>
              </w:rPr>
              <m:t>ρ</m:t>
            </m:r>
          </m:e>
          <m:sub>
            <m:r>
              <w:rPr>
                <w:rFonts w:ascii="Cambria Math" w:eastAsia="Arial" w:hAnsi="Cambria Math" w:cs="Arial"/>
                <w:color w:val="000000"/>
                <w:szCs w:val="18"/>
                <w:lang w:val="en-US"/>
              </w:rPr>
              <m:t>G</m:t>
            </m:r>
          </m:sub>
        </m:sSub>
      </m:oMath>
      <w:r w:rsidR="0028767D" w:rsidRPr="002414A5">
        <w:rPr>
          <w:rFonts w:eastAsia="Arial" w:cs="Arial"/>
          <w:color w:val="000000"/>
          <w:szCs w:val="18"/>
          <w:lang w:val="en-US"/>
        </w:rPr>
        <w:t xml:space="preserve"> – liquid mass density, kg/m3</w:t>
      </w:r>
    </w:p>
    <w:p w14:paraId="38BFE636" w14:textId="063A53DA" w:rsidR="00280FAF" w:rsidRPr="002414A5" w:rsidRDefault="00280FAF" w:rsidP="00280FAF">
      <w:pPr>
        <w:pStyle w:val="CETBodytext"/>
        <w:jc w:val="left"/>
        <w:rPr>
          <w:rFonts w:eastAsia="SimSun"/>
        </w:rPr>
        <w:sectPr w:rsidR="00280FAF" w:rsidRPr="002414A5" w:rsidSect="00DC73EE">
          <w:type w:val="continuous"/>
          <w:pgSz w:w="11906" w:h="16838" w:code="9"/>
          <w:pgMar w:top="1701" w:right="1418" w:bottom="1701" w:left="1701" w:header="1701" w:footer="0" w:gutter="0"/>
          <w:cols w:num="2" w:space="708"/>
          <w:formProt w:val="0"/>
          <w:titlePg/>
          <w:docGrid w:linePitch="360"/>
        </w:sectPr>
      </w:pPr>
    </w:p>
    <w:p w14:paraId="2B8D6671" w14:textId="77777777" w:rsidR="00D02E25" w:rsidRPr="00D02E25" w:rsidRDefault="00D02E25" w:rsidP="00D02E25">
      <w:pPr>
        <w:pStyle w:val="CETReference"/>
      </w:pPr>
      <w:r w:rsidRPr="00D02E25">
        <w:t>Acknowledgments</w:t>
      </w:r>
    </w:p>
    <w:p w14:paraId="6A9FC3C8" w14:textId="77777777" w:rsidR="00D02E25" w:rsidRPr="00D02E25" w:rsidRDefault="00D02E25" w:rsidP="001E03C4">
      <w:pPr>
        <w:pStyle w:val="CETReference"/>
        <w:jc w:val="both"/>
        <w:rPr>
          <w:b w:val="0"/>
          <w:bCs/>
        </w:rPr>
      </w:pPr>
      <w:r w:rsidRPr="00D02E25">
        <w:rPr>
          <w:b w:val="0"/>
          <w:bCs/>
        </w:rPr>
        <w:t xml:space="preserve">The authors acknowledge the financial support of the </w:t>
      </w:r>
      <w:proofErr w:type="spellStart"/>
      <w:r w:rsidRPr="00D02E25">
        <w:rPr>
          <w:b w:val="0"/>
          <w:bCs/>
        </w:rPr>
        <w:t>Regione</w:t>
      </w:r>
      <w:proofErr w:type="spellEnd"/>
      <w:r w:rsidRPr="00D02E25">
        <w:rPr>
          <w:b w:val="0"/>
          <w:bCs/>
        </w:rPr>
        <w:t xml:space="preserve"> Toscana for the TRAFUCER project (Innovative process for treating gaseous effluents from ceramics production) through the fund PR FESR TOSCANA 2021-27, AZ 1.1.4 (Bando 2) (CUP: 7717.29122023.043000343).</w:t>
      </w:r>
    </w:p>
    <w:p w14:paraId="60570C5F" w14:textId="11B32ED0" w:rsidR="00F6330E" w:rsidRPr="002414A5" w:rsidRDefault="00600535" w:rsidP="00F6330E">
      <w:pPr>
        <w:pStyle w:val="CETReference"/>
        <w:rPr>
          <w:lang w:val="en-US"/>
        </w:rPr>
      </w:pPr>
      <w:r w:rsidRPr="002414A5">
        <w:rPr>
          <w:lang w:val="en-US"/>
        </w:rPr>
        <w:t>References</w:t>
      </w:r>
    </w:p>
    <w:p w14:paraId="09196A64" w14:textId="685F281C" w:rsidR="00F6330E" w:rsidRDefault="00F6330E" w:rsidP="00F6330E">
      <w:pPr>
        <w:pBdr>
          <w:top w:val="nil"/>
          <w:left w:val="nil"/>
          <w:bottom w:val="nil"/>
          <w:right w:val="nil"/>
          <w:between w:val="nil"/>
        </w:pBdr>
        <w:ind w:left="284" w:hanging="284"/>
        <w:rPr>
          <w:color w:val="000000"/>
          <w:lang w:val="en-US"/>
        </w:rPr>
      </w:pPr>
      <w:proofErr w:type="spellStart"/>
      <w:r w:rsidRPr="002414A5">
        <w:rPr>
          <w:color w:val="000000"/>
          <w:lang w:val="en-US"/>
        </w:rPr>
        <w:t>Agachi</w:t>
      </w:r>
      <w:proofErr w:type="spellEnd"/>
      <w:r w:rsidRPr="002414A5">
        <w:rPr>
          <w:color w:val="000000"/>
          <w:lang w:val="en-US"/>
        </w:rPr>
        <w:t xml:space="preserve"> P.S., Cristea M.V., </w:t>
      </w:r>
      <w:proofErr w:type="spellStart"/>
      <w:r w:rsidRPr="002414A5">
        <w:rPr>
          <w:color w:val="000000"/>
          <w:lang w:val="en-US"/>
        </w:rPr>
        <w:t>Csavdari</w:t>
      </w:r>
      <w:proofErr w:type="spellEnd"/>
      <w:r w:rsidRPr="002414A5">
        <w:rPr>
          <w:color w:val="000000"/>
          <w:lang w:val="en-US"/>
        </w:rPr>
        <w:t xml:space="preserve"> A.A, Szilagyi B.,</w:t>
      </w:r>
      <w:r w:rsidR="003120AC">
        <w:rPr>
          <w:color w:val="000000"/>
          <w:lang w:val="en-US"/>
        </w:rPr>
        <w:t xml:space="preserve"> 2024,</w:t>
      </w:r>
      <w:r w:rsidRPr="002414A5">
        <w:rPr>
          <w:color w:val="000000"/>
          <w:lang w:val="en-US"/>
        </w:rPr>
        <w:t xml:space="preserve"> 10 Control of absorption processes, Advanced Process Engineering Control, De Gruyter, 268-276.</w:t>
      </w:r>
    </w:p>
    <w:p w14:paraId="2A2B0364" w14:textId="3D04E821" w:rsidR="00AB0F3D" w:rsidRPr="002414A5" w:rsidRDefault="00AB0F3D" w:rsidP="00F6330E">
      <w:pPr>
        <w:pBdr>
          <w:top w:val="nil"/>
          <w:left w:val="nil"/>
          <w:bottom w:val="nil"/>
          <w:right w:val="nil"/>
          <w:between w:val="nil"/>
        </w:pBdr>
        <w:ind w:left="284" w:hanging="284"/>
        <w:rPr>
          <w:color w:val="000000"/>
          <w:lang w:val="en-US"/>
        </w:rPr>
      </w:pPr>
      <w:r w:rsidRPr="00AB0F3D">
        <w:rPr>
          <w:color w:val="000000"/>
          <w:lang w:val="en-US"/>
        </w:rPr>
        <w:t>Bak</w:t>
      </w:r>
      <w:r>
        <w:rPr>
          <w:color w:val="000000"/>
          <w:lang w:val="en-US"/>
        </w:rPr>
        <w:t xml:space="preserve"> P.</w:t>
      </w:r>
      <w:r w:rsidRPr="00AB0F3D">
        <w:rPr>
          <w:color w:val="000000"/>
          <w:lang w:val="en-US"/>
        </w:rPr>
        <w:t xml:space="preserve"> Tang </w:t>
      </w:r>
      <w:r>
        <w:rPr>
          <w:color w:val="000000"/>
          <w:lang w:val="en-US"/>
        </w:rPr>
        <w:t xml:space="preserve">C., </w:t>
      </w:r>
      <w:r w:rsidRPr="00AB0F3D">
        <w:rPr>
          <w:color w:val="000000"/>
          <w:lang w:val="en-US"/>
        </w:rPr>
        <w:t>Wiesenfeld</w:t>
      </w:r>
      <w:r>
        <w:rPr>
          <w:color w:val="000000"/>
          <w:lang w:val="en-US"/>
        </w:rPr>
        <w:t xml:space="preserve"> K., 1987, </w:t>
      </w:r>
      <w:r w:rsidRPr="00AB0F3D">
        <w:rPr>
          <w:color w:val="000000"/>
          <w:lang w:val="en-US"/>
        </w:rPr>
        <w:t>Self-organized criticality: An explanation of the 1/f noise</w:t>
      </w:r>
      <w:r>
        <w:rPr>
          <w:color w:val="000000"/>
          <w:lang w:val="en-US"/>
        </w:rPr>
        <w:t xml:space="preserve">, </w:t>
      </w:r>
      <w:r w:rsidRPr="00AB0F3D">
        <w:rPr>
          <w:color w:val="000000"/>
          <w:lang w:val="en-US"/>
        </w:rPr>
        <w:t>Physical Review Letters</w:t>
      </w:r>
      <w:r>
        <w:rPr>
          <w:color w:val="000000"/>
          <w:lang w:val="en-US"/>
        </w:rPr>
        <w:t>, 59(4), 381-384.</w:t>
      </w:r>
    </w:p>
    <w:p w14:paraId="2F1335B4" w14:textId="2592ACD0" w:rsidR="00F6330E" w:rsidRPr="002414A5" w:rsidRDefault="00F6330E" w:rsidP="00F6330E">
      <w:pPr>
        <w:pBdr>
          <w:top w:val="nil"/>
          <w:left w:val="nil"/>
          <w:bottom w:val="nil"/>
          <w:right w:val="nil"/>
          <w:between w:val="nil"/>
        </w:pBdr>
        <w:ind w:left="284" w:hanging="284"/>
        <w:rPr>
          <w:rFonts w:eastAsia="Arial" w:cs="Arial"/>
          <w:color w:val="000000"/>
          <w:szCs w:val="18"/>
          <w:lang w:val="en-US"/>
        </w:rPr>
      </w:pPr>
      <w:r w:rsidRPr="002414A5">
        <w:rPr>
          <w:rFonts w:eastAsia="Arial" w:cs="Arial"/>
          <w:color w:val="000000"/>
          <w:szCs w:val="18"/>
          <w:lang w:val="en-US"/>
        </w:rPr>
        <w:t xml:space="preserve">Brunazzi E., </w:t>
      </w:r>
      <w:proofErr w:type="spellStart"/>
      <w:r w:rsidRPr="002414A5">
        <w:rPr>
          <w:rFonts w:eastAsia="Arial" w:cs="Arial"/>
          <w:color w:val="000000"/>
          <w:szCs w:val="18"/>
          <w:lang w:val="en-US"/>
        </w:rPr>
        <w:t>Paglianti</w:t>
      </w:r>
      <w:proofErr w:type="spellEnd"/>
      <w:r w:rsidRPr="002414A5">
        <w:rPr>
          <w:rFonts w:eastAsia="Arial" w:cs="Arial"/>
          <w:color w:val="000000"/>
          <w:szCs w:val="18"/>
          <w:lang w:val="en-US"/>
        </w:rPr>
        <w:t xml:space="preserve"> A.,</w:t>
      </w:r>
      <w:r w:rsidR="003120AC">
        <w:rPr>
          <w:rFonts w:eastAsia="Arial" w:cs="Arial"/>
          <w:color w:val="000000"/>
          <w:szCs w:val="18"/>
          <w:lang w:val="en-US"/>
        </w:rPr>
        <w:t xml:space="preserve"> 1997,</w:t>
      </w:r>
      <w:r w:rsidRPr="002414A5">
        <w:rPr>
          <w:rFonts w:eastAsia="Arial" w:cs="Arial"/>
          <w:color w:val="000000"/>
          <w:szCs w:val="18"/>
          <w:lang w:val="en-US"/>
        </w:rPr>
        <w:t xml:space="preserve"> Mechanistic pressure drop model for columns containing structured packing, AIChE J., 43(2), 317-327.</w:t>
      </w:r>
    </w:p>
    <w:p w14:paraId="0EFFF6C9" w14:textId="4157A5F3" w:rsidR="00F6330E" w:rsidRPr="002414A5" w:rsidRDefault="00F6330E" w:rsidP="00F6330E">
      <w:pPr>
        <w:pBdr>
          <w:top w:val="nil"/>
          <w:left w:val="nil"/>
          <w:bottom w:val="nil"/>
          <w:right w:val="nil"/>
          <w:between w:val="nil"/>
        </w:pBdr>
        <w:ind w:left="284" w:hanging="284"/>
        <w:rPr>
          <w:rFonts w:eastAsia="Arial" w:cs="Arial"/>
          <w:color w:val="000000"/>
          <w:szCs w:val="18"/>
          <w:lang w:val="en-US"/>
        </w:rPr>
      </w:pPr>
      <w:r w:rsidRPr="002414A5">
        <w:rPr>
          <w:rFonts w:eastAsia="Arial" w:cs="Arial"/>
          <w:color w:val="000000"/>
          <w:szCs w:val="18"/>
          <w:lang w:val="en-US"/>
        </w:rPr>
        <w:t xml:space="preserve">Brunazzi E., </w:t>
      </w:r>
      <w:proofErr w:type="spellStart"/>
      <w:r w:rsidRPr="002414A5">
        <w:rPr>
          <w:rFonts w:eastAsia="Arial" w:cs="Arial"/>
          <w:color w:val="000000"/>
          <w:szCs w:val="18"/>
          <w:lang w:val="en-US"/>
        </w:rPr>
        <w:t>Paglianti</w:t>
      </w:r>
      <w:proofErr w:type="spellEnd"/>
      <w:r w:rsidRPr="002414A5">
        <w:rPr>
          <w:rFonts w:eastAsia="Arial" w:cs="Arial"/>
          <w:color w:val="000000"/>
          <w:szCs w:val="18"/>
          <w:lang w:val="en-US"/>
        </w:rPr>
        <w:t xml:space="preserve"> A., Pintus S.,</w:t>
      </w:r>
      <w:r w:rsidR="003120AC">
        <w:rPr>
          <w:rFonts w:eastAsia="Arial" w:cs="Arial"/>
          <w:color w:val="000000"/>
          <w:szCs w:val="18"/>
          <w:lang w:val="en-US"/>
        </w:rPr>
        <w:t xml:space="preserve"> 2001,</w:t>
      </w:r>
      <w:r w:rsidRPr="002414A5">
        <w:rPr>
          <w:rFonts w:eastAsia="Arial" w:cs="Arial"/>
          <w:color w:val="000000"/>
          <w:szCs w:val="18"/>
          <w:lang w:val="en-US"/>
        </w:rPr>
        <w:t xml:space="preserve"> A capacitance probe and a new model to identify and predict the capacity of columns equipped with structured packings, Industrial &amp; Engineering Chemistry </w:t>
      </w:r>
      <w:r w:rsidR="00BB7F0B" w:rsidRPr="002414A5">
        <w:rPr>
          <w:rFonts w:eastAsia="Arial" w:cs="Arial"/>
          <w:color w:val="000000"/>
          <w:szCs w:val="18"/>
          <w:lang w:val="en-US"/>
        </w:rPr>
        <w:t>Research,</w:t>
      </w:r>
      <w:r w:rsidR="00BB7F0B">
        <w:rPr>
          <w:rFonts w:eastAsia="Arial" w:cs="Arial"/>
          <w:color w:val="000000"/>
          <w:szCs w:val="18"/>
          <w:lang w:val="en-US"/>
        </w:rPr>
        <w:t xml:space="preserve"> </w:t>
      </w:r>
      <w:r w:rsidR="00BB7F0B" w:rsidRPr="002414A5">
        <w:rPr>
          <w:rFonts w:eastAsia="Arial" w:cs="Arial"/>
          <w:color w:val="000000"/>
          <w:szCs w:val="18"/>
          <w:lang w:val="en-US"/>
        </w:rPr>
        <w:t>40</w:t>
      </w:r>
      <w:r w:rsidRPr="002414A5">
        <w:rPr>
          <w:rFonts w:eastAsia="Arial" w:cs="Arial"/>
          <w:color w:val="000000"/>
          <w:szCs w:val="18"/>
          <w:lang w:val="en-US"/>
        </w:rPr>
        <w:t>, 1205-1212.</w:t>
      </w:r>
    </w:p>
    <w:p w14:paraId="0CAB3FEF" w14:textId="084220D4" w:rsidR="00F6330E" w:rsidRPr="002414A5" w:rsidRDefault="00F6330E" w:rsidP="00F6330E">
      <w:pPr>
        <w:pBdr>
          <w:top w:val="nil"/>
          <w:left w:val="nil"/>
          <w:bottom w:val="nil"/>
          <w:right w:val="nil"/>
          <w:between w:val="nil"/>
        </w:pBdr>
        <w:ind w:left="284" w:hanging="284"/>
        <w:rPr>
          <w:rFonts w:eastAsia="Arial" w:cs="Arial"/>
          <w:color w:val="000000"/>
          <w:szCs w:val="18"/>
          <w:lang w:val="en-US"/>
        </w:rPr>
      </w:pPr>
      <w:r w:rsidRPr="002414A5">
        <w:rPr>
          <w:rFonts w:eastAsia="Arial" w:cs="Arial"/>
          <w:color w:val="000000"/>
          <w:szCs w:val="18"/>
          <w:lang w:val="en-US"/>
        </w:rPr>
        <w:t xml:space="preserve">Brusco S., </w:t>
      </w:r>
      <w:proofErr w:type="spellStart"/>
      <w:r w:rsidRPr="002414A5">
        <w:rPr>
          <w:rFonts w:eastAsia="Arial" w:cs="Arial"/>
          <w:color w:val="000000"/>
          <w:szCs w:val="18"/>
          <w:lang w:val="en-US"/>
        </w:rPr>
        <w:t>Buresti</w:t>
      </w:r>
      <w:proofErr w:type="spellEnd"/>
      <w:r w:rsidRPr="002414A5">
        <w:rPr>
          <w:rFonts w:eastAsia="Arial" w:cs="Arial"/>
          <w:color w:val="000000"/>
          <w:szCs w:val="18"/>
          <w:lang w:val="en-US"/>
        </w:rPr>
        <w:t xml:space="preserve"> G., Lo Y., </w:t>
      </w:r>
      <w:proofErr w:type="spellStart"/>
      <w:r w:rsidRPr="002414A5">
        <w:rPr>
          <w:rFonts w:eastAsia="Arial" w:cs="Arial"/>
          <w:color w:val="000000"/>
          <w:szCs w:val="18"/>
          <w:lang w:val="en-US"/>
        </w:rPr>
        <w:t>Piccardo</w:t>
      </w:r>
      <w:proofErr w:type="spellEnd"/>
      <w:r w:rsidRPr="002414A5">
        <w:rPr>
          <w:rFonts w:eastAsia="Arial" w:cs="Arial"/>
          <w:color w:val="000000"/>
          <w:szCs w:val="18"/>
          <w:lang w:val="en-US"/>
        </w:rPr>
        <w:t xml:space="preserve"> G, </w:t>
      </w:r>
      <w:r w:rsidR="003120AC">
        <w:rPr>
          <w:rFonts w:eastAsia="Arial" w:cs="Arial"/>
          <w:color w:val="000000"/>
          <w:szCs w:val="18"/>
          <w:lang w:val="en-US"/>
        </w:rPr>
        <w:t xml:space="preserve">2022, </w:t>
      </w:r>
      <w:r w:rsidRPr="002414A5">
        <w:rPr>
          <w:rFonts w:eastAsia="Arial" w:cs="Arial"/>
          <w:color w:val="000000"/>
          <w:szCs w:val="18"/>
          <w:lang w:val="en-US"/>
        </w:rPr>
        <w:t>Constant-frequency time cells in the vortex-shedding from a square cylinder in accelerating flows, Journal of Wind Engineering and Industrial Aerodynamics, 230, 105-182.</w:t>
      </w:r>
    </w:p>
    <w:p w14:paraId="20C06F2B" w14:textId="60E3423E" w:rsidR="00F6330E" w:rsidRDefault="00F6330E" w:rsidP="00F6330E">
      <w:pPr>
        <w:pBdr>
          <w:top w:val="nil"/>
          <w:left w:val="nil"/>
          <w:bottom w:val="nil"/>
          <w:right w:val="nil"/>
          <w:between w:val="nil"/>
        </w:pBdr>
        <w:ind w:left="284" w:hanging="284"/>
        <w:rPr>
          <w:color w:val="000000"/>
          <w:lang w:val="en-US"/>
        </w:rPr>
      </w:pPr>
      <w:proofErr w:type="spellStart"/>
      <w:r w:rsidRPr="002414A5">
        <w:rPr>
          <w:color w:val="000000"/>
          <w:lang w:val="en-US"/>
        </w:rPr>
        <w:t>Eyng</w:t>
      </w:r>
      <w:proofErr w:type="spellEnd"/>
      <w:r w:rsidRPr="002414A5">
        <w:rPr>
          <w:color w:val="000000"/>
          <w:lang w:val="en-US"/>
        </w:rPr>
        <w:t xml:space="preserve"> E., Fileti Ana M.</w:t>
      </w:r>
      <w:r w:rsidR="001277A3">
        <w:rPr>
          <w:color w:val="000000"/>
          <w:lang w:val="en-US"/>
        </w:rPr>
        <w:t xml:space="preserve"> </w:t>
      </w:r>
      <w:r w:rsidRPr="002414A5">
        <w:rPr>
          <w:color w:val="000000"/>
          <w:lang w:val="en-US"/>
        </w:rPr>
        <w:t>F</w:t>
      </w:r>
      <w:r w:rsidR="001277A3">
        <w:rPr>
          <w:color w:val="000000"/>
          <w:lang w:val="en-US"/>
        </w:rPr>
        <w:t>.</w:t>
      </w:r>
      <w:r w:rsidRPr="002414A5">
        <w:rPr>
          <w:color w:val="000000"/>
          <w:lang w:val="en-US"/>
        </w:rPr>
        <w:t>,</w:t>
      </w:r>
      <w:r w:rsidR="003120AC">
        <w:rPr>
          <w:color w:val="000000"/>
          <w:lang w:val="en-US"/>
        </w:rPr>
        <w:t xml:space="preserve"> 2010,</w:t>
      </w:r>
      <w:r w:rsidRPr="002414A5">
        <w:rPr>
          <w:color w:val="000000"/>
          <w:lang w:val="en-US"/>
        </w:rPr>
        <w:t xml:space="preserve"> Control of absorption columns in the bioethanol process: Influence of measurement uncertainties, Engineering Applications of Artificial </w:t>
      </w:r>
      <w:r w:rsidR="00BB7F0B" w:rsidRPr="002414A5">
        <w:rPr>
          <w:color w:val="000000"/>
          <w:lang w:val="en-US"/>
        </w:rPr>
        <w:t>Intelligence, 3</w:t>
      </w:r>
      <w:r w:rsidRPr="002414A5">
        <w:rPr>
          <w:color w:val="000000"/>
          <w:lang w:val="en-US"/>
        </w:rPr>
        <w:t>(2), 271-282.</w:t>
      </w:r>
    </w:p>
    <w:p w14:paraId="2E0D8253" w14:textId="7DD55006" w:rsidR="00427681" w:rsidRDefault="00427681" w:rsidP="00F6330E">
      <w:pPr>
        <w:pBdr>
          <w:top w:val="nil"/>
          <w:left w:val="nil"/>
          <w:bottom w:val="nil"/>
          <w:right w:val="nil"/>
          <w:between w:val="nil"/>
        </w:pBdr>
        <w:ind w:left="284" w:hanging="284"/>
        <w:rPr>
          <w:color w:val="000000"/>
          <w:lang w:val="en-US"/>
        </w:rPr>
      </w:pPr>
      <w:r w:rsidRPr="00427681">
        <w:rPr>
          <w:color w:val="000000"/>
          <w:lang w:val="en-US"/>
        </w:rPr>
        <w:t xml:space="preserve">Flechsig S., </w:t>
      </w:r>
      <w:proofErr w:type="spellStart"/>
      <w:r w:rsidRPr="00427681">
        <w:rPr>
          <w:color w:val="000000"/>
          <w:lang w:val="en-US"/>
        </w:rPr>
        <w:t>Sohr</w:t>
      </w:r>
      <w:proofErr w:type="spellEnd"/>
      <w:r w:rsidRPr="00427681">
        <w:rPr>
          <w:color w:val="000000"/>
          <w:lang w:val="en-US"/>
        </w:rPr>
        <w:t xml:space="preserve"> J., Schubert M., Hampel U., Kenig E.Y.</w:t>
      </w:r>
      <w:r>
        <w:rPr>
          <w:color w:val="000000"/>
          <w:lang w:val="en-US"/>
        </w:rPr>
        <w:t xml:space="preserve">, 2022, </w:t>
      </w:r>
      <w:r w:rsidRPr="00427681">
        <w:rPr>
          <w:color w:val="000000"/>
          <w:lang w:val="en-US"/>
        </w:rPr>
        <w:t>A new tomography-based approach for the fluid dynamic description of conventional structured packings and sandwich packings</w:t>
      </w:r>
      <w:r>
        <w:rPr>
          <w:color w:val="000000"/>
          <w:lang w:val="en-US"/>
        </w:rPr>
        <w:t xml:space="preserve">, </w:t>
      </w:r>
      <w:r w:rsidRPr="00427681">
        <w:rPr>
          <w:color w:val="000000"/>
          <w:lang w:val="en-US"/>
        </w:rPr>
        <w:t>Chemical Engineering and Processing - Process Intensification,</w:t>
      </w:r>
      <w:r>
        <w:rPr>
          <w:color w:val="000000"/>
          <w:lang w:val="en-US"/>
        </w:rPr>
        <w:t xml:space="preserve"> 171.</w:t>
      </w:r>
    </w:p>
    <w:p w14:paraId="547B22C2" w14:textId="77777777" w:rsidR="00A91EC1" w:rsidRDefault="00D14A94" w:rsidP="00F6330E">
      <w:pPr>
        <w:pBdr>
          <w:top w:val="nil"/>
          <w:left w:val="nil"/>
          <w:bottom w:val="nil"/>
          <w:right w:val="nil"/>
          <w:between w:val="nil"/>
        </w:pBdr>
        <w:ind w:left="284" w:hanging="284"/>
        <w:rPr>
          <w:color w:val="000000"/>
          <w:lang w:val="en-US"/>
        </w:rPr>
      </w:pPr>
      <w:r w:rsidRPr="00A91EC1">
        <w:rPr>
          <w:color w:val="000000"/>
          <w:lang w:val="en-US"/>
        </w:rPr>
        <w:t>Giustacori</w:t>
      </w:r>
      <w:r>
        <w:rPr>
          <w:color w:val="000000"/>
          <w:lang w:val="en-US"/>
        </w:rPr>
        <w:t xml:space="preserve"> P.</w:t>
      </w:r>
      <w:r w:rsidRPr="00A91EC1">
        <w:rPr>
          <w:color w:val="000000"/>
          <w:lang w:val="en-US"/>
        </w:rPr>
        <w:t>, Brunazzi</w:t>
      </w:r>
      <w:r>
        <w:rPr>
          <w:color w:val="000000"/>
          <w:lang w:val="en-US"/>
        </w:rPr>
        <w:t xml:space="preserve"> E</w:t>
      </w:r>
      <w:r w:rsidR="001277A3">
        <w:rPr>
          <w:color w:val="000000"/>
          <w:lang w:val="en-US"/>
        </w:rPr>
        <w:t>.</w:t>
      </w:r>
      <w:r w:rsidRPr="00A91EC1">
        <w:rPr>
          <w:color w:val="000000"/>
          <w:lang w:val="en-US"/>
        </w:rPr>
        <w:t>,</w:t>
      </w:r>
      <w:r>
        <w:rPr>
          <w:color w:val="000000"/>
          <w:lang w:val="en-US"/>
        </w:rPr>
        <w:t xml:space="preserve"> </w:t>
      </w:r>
      <w:r w:rsidRPr="00A91EC1">
        <w:rPr>
          <w:color w:val="000000"/>
          <w:lang w:val="en-US"/>
        </w:rPr>
        <w:t>Characterization of a Reverse Jet Scrubber for gas/liquid absorption,</w:t>
      </w:r>
      <w:r>
        <w:rPr>
          <w:color w:val="000000"/>
          <w:lang w:val="en-US"/>
        </w:rPr>
        <w:t xml:space="preserve"> 2025 </w:t>
      </w:r>
      <w:r w:rsidRPr="00A91EC1">
        <w:rPr>
          <w:color w:val="000000"/>
          <w:lang w:val="en-US"/>
        </w:rPr>
        <w:t>Chemical Engineering Science</w:t>
      </w:r>
      <w:r w:rsidR="001277A3">
        <w:rPr>
          <w:color w:val="000000"/>
          <w:lang w:val="en-US"/>
        </w:rPr>
        <w:t xml:space="preserve">, 308, </w:t>
      </w:r>
      <w:r w:rsidR="001277A3" w:rsidRPr="001277A3">
        <w:rPr>
          <w:color w:val="000000"/>
          <w:lang w:val="en-US"/>
        </w:rPr>
        <w:t>121391</w:t>
      </w:r>
      <w:r w:rsidR="001277A3">
        <w:rPr>
          <w:color w:val="000000"/>
          <w:lang w:val="en-US"/>
        </w:rPr>
        <w:t>.</w:t>
      </w:r>
    </w:p>
    <w:p w14:paraId="11759912" w14:textId="2F83204E" w:rsidR="00F6330E" w:rsidRDefault="00F6330E" w:rsidP="00F6330E">
      <w:pPr>
        <w:pBdr>
          <w:top w:val="nil"/>
          <w:left w:val="nil"/>
          <w:bottom w:val="nil"/>
          <w:right w:val="nil"/>
          <w:between w:val="nil"/>
        </w:pBdr>
        <w:ind w:left="284" w:hanging="284"/>
        <w:rPr>
          <w:rFonts w:eastAsia="Arial" w:cs="Arial"/>
          <w:color w:val="000000"/>
          <w:szCs w:val="18"/>
          <w:lang w:val="en-US"/>
        </w:rPr>
      </w:pPr>
      <w:r w:rsidRPr="002414A5">
        <w:rPr>
          <w:rFonts w:eastAsia="Arial" w:cs="Arial"/>
          <w:color w:val="000000"/>
          <w:szCs w:val="18"/>
          <w:lang w:val="en-US"/>
        </w:rPr>
        <w:t>Harris C.R., Millman, K.J., van der Walt, S.J. et al.</w:t>
      </w:r>
      <w:r w:rsidR="003120AC">
        <w:rPr>
          <w:rFonts w:eastAsia="Arial" w:cs="Arial"/>
          <w:color w:val="000000"/>
          <w:szCs w:val="18"/>
          <w:lang w:val="en-US"/>
        </w:rPr>
        <w:t>, 2020,</w:t>
      </w:r>
      <w:r w:rsidRPr="002414A5">
        <w:rPr>
          <w:rFonts w:eastAsia="Arial" w:cs="Arial"/>
          <w:color w:val="000000"/>
          <w:szCs w:val="18"/>
          <w:lang w:val="en-US"/>
        </w:rPr>
        <w:t xml:space="preserve"> Array programming with NumPy, </w:t>
      </w:r>
      <w:r w:rsidR="00BB7F0B" w:rsidRPr="002414A5">
        <w:rPr>
          <w:rFonts w:eastAsia="Arial" w:cs="Arial"/>
          <w:color w:val="000000"/>
          <w:szCs w:val="18"/>
          <w:lang w:val="en-US"/>
        </w:rPr>
        <w:t>Nature, 585</w:t>
      </w:r>
      <w:r w:rsidRPr="002414A5">
        <w:rPr>
          <w:rFonts w:eastAsia="Arial" w:cs="Arial"/>
          <w:color w:val="000000"/>
          <w:szCs w:val="18"/>
          <w:lang w:val="en-US"/>
        </w:rPr>
        <w:t>, 357–362.</w:t>
      </w:r>
    </w:p>
    <w:p w14:paraId="378B1ABE" w14:textId="77777777" w:rsidR="007A2902" w:rsidRDefault="007A2902" w:rsidP="007A2902">
      <w:pPr>
        <w:pBdr>
          <w:top w:val="nil"/>
          <w:left w:val="nil"/>
          <w:bottom w:val="nil"/>
          <w:right w:val="nil"/>
          <w:between w:val="nil"/>
        </w:pBdr>
        <w:ind w:left="284" w:hanging="284"/>
        <w:rPr>
          <w:rFonts w:eastAsia="Arial" w:cs="Arial"/>
          <w:color w:val="000000"/>
          <w:szCs w:val="18"/>
          <w:lang w:val="en-US"/>
        </w:rPr>
      </w:pPr>
      <w:r w:rsidRPr="002414A5">
        <w:rPr>
          <w:rFonts w:eastAsia="Arial" w:cs="Arial"/>
          <w:color w:val="000000"/>
          <w:szCs w:val="18"/>
          <w:lang w:val="en-US"/>
        </w:rPr>
        <w:t>Haushofer G., Schlager M., Wolf-</w:t>
      </w:r>
      <w:proofErr w:type="spellStart"/>
      <w:r w:rsidRPr="002414A5">
        <w:rPr>
          <w:rFonts w:eastAsia="Arial" w:cs="Arial"/>
          <w:color w:val="000000"/>
          <w:szCs w:val="18"/>
          <w:lang w:val="en-US"/>
        </w:rPr>
        <w:t>Zöllner</w:t>
      </w:r>
      <w:proofErr w:type="spellEnd"/>
      <w:r w:rsidRPr="002414A5">
        <w:rPr>
          <w:rFonts w:eastAsia="Arial" w:cs="Arial"/>
          <w:color w:val="000000"/>
          <w:szCs w:val="18"/>
          <w:lang w:val="en-US"/>
        </w:rPr>
        <w:t xml:space="preserve"> V., Lehner M.,</w:t>
      </w:r>
      <w:r>
        <w:rPr>
          <w:rFonts w:eastAsia="Arial" w:cs="Arial"/>
          <w:color w:val="000000"/>
          <w:szCs w:val="18"/>
          <w:lang w:val="en-US"/>
        </w:rPr>
        <w:t xml:space="preserve"> 2023,</w:t>
      </w:r>
      <w:r w:rsidRPr="002414A5">
        <w:rPr>
          <w:rFonts w:eastAsia="Arial" w:cs="Arial"/>
          <w:color w:val="000000"/>
          <w:szCs w:val="18"/>
          <w:lang w:val="en-US"/>
        </w:rPr>
        <w:t xml:space="preserve"> Automated detection of loading and flooding points in packed columns, Chemical Engineering Research and Design, 196, 61-70</w:t>
      </w:r>
    </w:p>
    <w:p w14:paraId="677DEFD9" w14:textId="25926F49" w:rsidR="00F6330E" w:rsidRPr="002414A5" w:rsidRDefault="00F6330E" w:rsidP="00F6330E">
      <w:pPr>
        <w:pBdr>
          <w:top w:val="nil"/>
          <w:left w:val="nil"/>
          <w:bottom w:val="nil"/>
          <w:right w:val="nil"/>
          <w:between w:val="nil"/>
        </w:pBdr>
        <w:ind w:left="284" w:hanging="284"/>
        <w:rPr>
          <w:rFonts w:eastAsia="Arial" w:cs="Arial"/>
          <w:color w:val="000000"/>
          <w:szCs w:val="18"/>
          <w:lang w:val="en-US"/>
        </w:rPr>
      </w:pPr>
      <w:r w:rsidRPr="002414A5">
        <w:rPr>
          <w:rFonts w:eastAsia="Arial" w:cs="Arial"/>
          <w:color w:val="000000"/>
          <w:szCs w:val="18"/>
          <w:lang w:val="en-US"/>
        </w:rPr>
        <w:t xml:space="preserve">Lee G. R., </w:t>
      </w:r>
      <w:proofErr w:type="spellStart"/>
      <w:r w:rsidRPr="002414A5">
        <w:rPr>
          <w:rFonts w:eastAsia="Arial" w:cs="Arial"/>
          <w:color w:val="000000"/>
          <w:szCs w:val="18"/>
          <w:lang w:val="en-US"/>
        </w:rPr>
        <w:t>Gommers</w:t>
      </w:r>
      <w:proofErr w:type="spellEnd"/>
      <w:r w:rsidRPr="002414A5">
        <w:rPr>
          <w:rFonts w:eastAsia="Arial" w:cs="Arial"/>
          <w:color w:val="000000"/>
          <w:szCs w:val="18"/>
          <w:lang w:val="en-US"/>
        </w:rPr>
        <w:t xml:space="preserve"> R., Wasilewski F., Wohlfahrt K., O’Leary A.,</w:t>
      </w:r>
      <w:r w:rsidR="003120AC">
        <w:rPr>
          <w:rFonts w:eastAsia="Arial" w:cs="Arial"/>
          <w:color w:val="000000"/>
          <w:szCs w:val="18"/>
          <w:lang w:val="en-US"/>
        </w:rPr>
        <w:t xml:space="preserve"> 2019,</w:t>
      </w:r>
      <w:r w:rsidRPr="002414A5">
        <w:rPr>
          <w:rFonts w:eastAsia="Arial" w:cs="Arial"/>
          <w:color w:val="000000"/>
          <w:szCs w:val="18"/>
          <w:lang w:val="en-US"/>
        </w:rPr>
        <w:t xml:space="preserve"> </w:t>
      </w:r>
      <w:proofErr w:type="spellStart"/>
      <w:r w:rsidRPr="002414A5">
        <w:rPr>
          <w:rFonts w:eastAsia="Arial" w:cs="Arial"/>
          <w:color w:val="000000"/>
          <w:szCs w:val="18"/>
          <w:lang w:val="en-US"/>
        </w:rPr>
        <w:t>PyWavelets</w:t>
      </w:r>
      <w:proofErr w:type="spellEnd"/>
      <w:r w:rsidRPr="002414A5">
        <w:rPr>
          <w:rFonts w:eastAsia="Arial" w:cs="Arial"/>
          <w:color w:val="000000"/>
          <w:szCs w:val="18"/>
          <w:lang w:val="en-US"/>
        </w:rPr>
        <w:t xml:space="preserve">: A Python package for wavelet analysis, Journal of </w:t>
      </w:r>
      <w:proofErr w:type="gramStart"/>
      <w:r w:rsidR="00BB7F0B" w:rsidRPr="002414A5">
        <w:rPr>
          <w:rFonts w:eastAsia="Arial" w:cs="Arial"/>
          <w:color w:val="000000"/>
          <w:szCs w:val="18"/>
          <w:lang w:val="en-US"/>
        </w:rPr>
        <w:t>Open</w:t>
      </w:r>
      <w:r w:rsidR="00BB7F0B">
        <w:rPr>
          <w:rFonts w:eastAsia="Arial" w:cs="Arial"/>
          <w:color w:val="000000"/>
          <w:szCs w:val="18"/>
          <w:lang w:val="en-US"/>
        </w:rPr>
        <w:t xml:space="preserve"> </w:t>
      </w:r>
      <w:r w:rsidR="00BB7F0B" w:rsidRPr="002414A5">
        <w:rPr>
          <w:rFonts w:eastAsia="Arial" w:cs="Arial"/>
          <w:color w:val="000000"/>
          <w:szCs w:val="18"/>
          <w:lang w:val="en-US"/>
        </w:rPr>
        <w:t>Source</w:t>
      </w:r>
      <w:proofErr w:type="gramEnd"/>
      <w:r w:rsidRPr="002414A5">
        <w:rPr>
          <w:rFonts w:eastAsia="Arial" w:cs="Arial"/>
          <w:color w:val="000000"/>
          <w:szCs w:val="18"/>
          <w:lang w:val="en-US"/>
        </w:rPr>
        <w:t xml:space="preserve"> Software, 4(36), 1237.</w:t>
      </w:r>
    </w:p>
    <w:p w14:paraId="59CC9625" w14:textId="1A8F92B6" w:rsidR="007A2902" w:rsidRPr="002414A5" w:rsidRDefault="007A2902" w:rsidP="007A2902">
      <w:pPr>
        <w:pBdr>
          <w:top w:val="nil"/>
          <w:left w:val="nil"/>
          <w:bottom w:val="nil"/>
          <w:right w:val="nil"/>
          <w:between w:val="nil"/>
        </w:pBdr>
        <w:ind w:left="284" w:hanging="284"/>
        <w:rPr>
          <w:rFonts w:eastAsia="Arial" w:cs="Arial"/>
          <w:color w:val="000000"/>
          <w:szCs w:val="18"/>
          <w:lang w:val="en-US"/>
        </w:rPr>
      </w:pPr>
      <w:r w:rsidRPr="007A2902">
        <w:rPr>
          <w:rFonts w:eastAsia="Arial" w:cs="Arial"/>
          <w:color w:val="000000"/>
          <w:szCs w:val="18"/>
          <w:lang w:val="en-US"/>
        </w:rPr>
        <w:t xml:space="preserve">Prashant R. </w:t>
      </w:r>
      <w:proofErr w:type="spellStart"/>
      <w:r w:rsidRPr="007A2902">
        <w:rPr>
          <w:rFonts w:eastAsia="Arial" w:cs="Arial"/>
          <w:color w:val="000000"/>
          <w:szCs w:val="18"/>
          <w:lang w:val="en-US"/>
        </w:rPr>
        <w:t>Gunjal</w:t>
      </w:r>
      <w:proofErr w:type="spellEnd"/>
      <w:r w:rsidRPr="007A2902">
        <w:rPr>
          <w:rFonts w:eastAsia="Arial" w:cs="Arial"/>
          <w:color w:val="000000"/>
          <w:szCs w:val="18"/>
          <w:lang w:val="en-US"/>
        </w:rPr>
        <w:t xml:space="preserve">, </w:t>
      </w:r>
      <w:proofErr w:type="spellStart"/>
      <w:r w:rsidRPr="007A2902">
        <w:rPr>
          <w:rFonts w:eastAsia="Arial" w:cs="Arial"/>
          <w:color w:val="000000"/>
          <w:szCs w:val="18"/>
          <w:lang w:val="en-US"/>
        </w:rPr>
        <w:t>Madhavanand</w:t>
      </w:r>
      <w:proofErr w:type="spellEnd"/>
      <w:r w:rsidRPr="007A2902">
        <w:rPr>
          <w:rFonts w:eastAsia="Arial" w:cs="Arial"/>
          <w:color w:val="000000"/>
          <w:szCs w:val="18"/>
          <w:lang w:val="en-US"/>
        </w:rPr>
        <w:t xml:space="preserve"> N. </w:t>
      </w:r>
      <w:proofErr w:type="spellStart"/>
      <w:r w:rsidRPr="007A2902">
        <w:rPr>
          <w:rFonts w:eastAsia="Arial" w:cs="Arial"/>
          <w:color w:val="000000"/>
          <w:szCs w:val="18"/>
          <w:lang w:val="en-US"/>
        </w:rPr>
        <w:t>Kashid</w:t>
      </w:r>
      <w:proofErr w:type="spellEnd"/>
      <w:r w:rsidRPr="007A2902">
        <w:rPr>
          <w:rFonts w:eastAsia="Arial" w:cs="Arial"/>
          <w:color w:val="000000"/>
          <w:szCs w:val="18"/>
          <w:lang w:val="en-US"/>
        </w:rPr>
        <w:t>, Vivek V. Ranade, and Raghunath V. Chaudhari</w:t>
      </w:r>
      <w:r>
        <w:rPr>
          <w:rFonts w:eastAsia="Arial" w:cs="Arial"/>
          <w:color w:val="000000"/>
          <w:szCs w:val="18"/>
          <w:lang w:val="en-US"/>
        </w:rPr>
        <w:t xml:space="preserve">, 2005, </w:t>
      </w:r>
      <w:r w:rsidRPr="007A2902">
        <w:rPr>
          <w:rFonts w:eastAsia="Arial" w:cs="Arial"/>
          <w:color w:val="000000"/>
          <w:szCs w:val="18"/>
          <w:lang w:val="en-US"/>
        </w:rPr>
        <w:t>Industrial &amp; Engineering Chemistry Research</w:t>
      </w:r>
      <w:r>
        <w:rPr>
          <w:rFonts w:eastAsia="Arial" w:cs="Arial"/>
          <w:color w:val="000000"/>
          <w:szCs w:val="18"/>
          <w:lang w:val="en-US"/>
        </w:rPr>
        <w:t xml:space="preserve">, </w:t>
      </w:r>
      <w:r w:rsidRPr="007A2902">
        <w:rPr>
          <w:rFonts w:eastAsia="Arial" w:cs="Arial"/>
          <w:color w:val="000000"/>
          <w:szCs w:val="18"/>
          <w:lang w:val="en-US"/>
        </w:rPr>
        <w:t>44</w:t>
      </w:r>
      <w:r>
        <w:rPr>
          <w:rFonts w:eastAsia="Arial" w:cs="Arial"/>
          <w:color w:val="000000"/>
          <w:szCs w:val="18"/>
          <w:lang w:val="en-US"/>
        </w:rPr>
        <w:t>(</w:t>
      </w:r>
      <w:r w:rsidRPr="007A2902">
        <w:rPr>
          <w:rFonts w:eastAsia="Arial" w:cs="Arial"/>
          <w:color w:val="000000"/>
          <w:szCs w:val="18"/>
          <w:lang w:val="en-US"/>
        </w:rPr>
        <w:t>16), 6278-6294</w:t>
      </w:r>
    </w:p>
    <w:p w14:paraId="4710F54E" w14:textId="7D7027AC" w:rsidR="00F6330E" w:rsidRPr="002414A5" w:rsidRDefault="00F6330E" w:rsidP="00F6330E">
      <w:pPr>
        <w:pBdr>
          <w:top w:val="nil"/>
          <w:left w:val="nil"/>
          <w:bottom w:val="nil"/>
          <w:right w:val="nil"/>
          <w:between w:val="nil"/>
        </w:pBdr>
        <w:ind w:left="284" w:hanging="284"/>
        <w:rPr>
          <w:color w:val="000000"/>
          <w:lang w:val="en-US"/>
        </w:rPr>
      </w:pPr>
      <w:r w:rsidRPr="002414A5">
        <w:rPr>
          <w:color w:val="000000"/>
          <w:lang w:val="en-US"/>
        </w:rPr>
        <w:t>Riese J., Gruenewald M,</w:t>
      </w:r>
      <w:r w:rsidR="003120AC">
        <w:rPr>
          <w:color w:val="000000"/>
          <w:lang w:val="en-US"/>
        </w:rPr>
        <w:t xml:space="preserve"> 2018,</w:t>
      </w:r>
      <w:r w:rsidRPr="002414A5">
        <w:rPr>
          <w:color w:val="000000"/>
          <w:lang w:val="en-US"/>
        </w:rPr>
        <w:t xml:space="preserve"> Flexibility for absorption and distillation columns, Chemical Engineering Transactions, 69, 787-792.</w:t>
      </w:r>
    </w:p>
    <w:sectPr w:rsidR="00F6330E" w:rsidRPr="002414A5"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24318" w14:textId="77777777" w:rsidR="007F6B00" w:rsidRDefault="007F6B00" w:rsidP="004F5E36">
      <w:r>
        <w:separator/>
      </w:r>
    </w:p>
  </w:endnote>
  <w:endnote w:type="continuationSeparator" w:id="0">
    <w:p w14:paraId="53A08E31" w14:textId="77777777" w:rsidR="007F6B00" w:rsidRDefault="007F6B0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6F46F" w14:textId="77777777" w:rsidR="007F6B00" w:rsidRDefault="007F6B00" w:rsidP="004F5E36">
      <w:r>
        <w:separator/>
      </w:r>
    </w:p>
  </w:footnote>
  <w:footnote w:type="continuationSeparator" w:id="0">
    <w:p w14:paraId="06F682E2" w14:textId="77777777" w:rsidR="007F6B00" w:rsidRDefault="007F6B0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03229072">
    <w:abstractNumId w:val="11"/>
  </w:num>
  <w:num w:numId="2" w16cid:durableId="652490679">
    <w:abstractNumId w:val="8"/>
  </w:num>
  <w:num w:numId="3" w16cid:durableId="428963091">
    <w:abstractNumId w:val="3"/>
  </w:num>
  <w:num w:numId="4" w16cid:durableId="1957591393">
    <w:abstractNumId w:val="2"/>
  </w:num>
  <w:num w:numId="5" w16cid:durableId="1685937134">
    <w:abstractNumId w:val="1"/>
  </w:num>
  <w:num w:numId="6" w16cid:durableId="213732766">
    <w:abstractNumId w:val="0"/>
  </w:num>
  <w:num w:numId="7" w16cid:durableId="454326086">
    <w:abstractNumId w:val="9"/>
  </w:num>
  <w:num w:numId="8" w16cid:durableId="1314719817">
    <w:abstractNumId w:val="7"/>
  </w:num>
  <w:num w:numId="9" w16cid:durableId="1752044770">
    <w:abstractNumId w:val="6"/>
  </w:num>
  <w:num w:numId="10" w16cid:durableId="73821637">
    <w:abstractNumId w:val="5"/>
  </w:num>
  <w:num w:numId="11" w16cid:durableId="1207987650">
    <w:abstractNumId w:val="4"/>
  </w:num>
  <w:num w:numId="12" w16cid:durableId="1337922777">
    <w:abstractNumId w:val="18"/>
  </w:num>
  <w:num w:numId="13" w16cid:durableId="234972889">
    <w:abstractNumId w:val="13"/>
  </w:num>
  <w:num w:numId="14" w16cid:durableId="1265067224">
    <w:abstractNumId w:val="19"/>
  </w:num>
  <w:num w:numId="15" w16cid:durableId="918252721">
    <w:abstractNumId w:val="21"/>
  </w:num>
  <w:num w:numId="16" w16cid:durableId="859007001">
    <w:abstractNumId w:val="20"/>
  </w:num>
  <w:num w:numId="17" w16cid:durableId="958757156">
    <w:abstractNumId w:val="12"/>
  </w:num>
  <w:num w:numId="18" w16cid:durableId="785781271">
    <w:abstractNumId w:val="13"/>
    <w:lvlOverride w:ilvl="0">
      <w:startOverride w:val="1"/>
    </w:lvlOverride>
  </w:num>
  <w:num w:numId="19" w16cid:durableId="1330061648">
    <w:abstractNumId w:val="17"/>
  </w:num>
  <w:num w:numId="20" w16cid:durableId="848301177">
    <w:abstractNumId w:val="16"/>
  </w:num>
  <w:num w:numId="21" w16cid:durableId="453059907">
    <w:abstractNumId w:val="15"/>
  </w:num>
  <w:num w:numId="22" w16cid:durableId="668944147">
    <w:abstractNumId w:val="14"/>
  </w:num>
  <w:num w:numId="23" w16cid:durableId="20725808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90C"/>
    <w:rsid w:val="000052FB"/>
    <w:rsid w:val="00005A19"/>
    <w:rsid w:val="000117CB"/>
    <w:rsid w:val="00015C33"/>
    <w:rsid w:val="00021CBE"/>
    <w:rsid w:val="00023F04"/>
    <w:rsid w:val="0003148D"/>
    <w:rsid w:val="00031EEC"/>
    <w:rsid w:val="00032AC9"/>
    <w:rsid w:val="00051566"/>
    <w:rsid w:val="00052E63"/>
    <w:rsid w:val="000562A9"/>
    <w:rsid w:val="00062A9A"/>
    <w:rsid w:val="00065058"/>
    <w:rsid w:val="00075F93"/>
    <w:rsid w:val="00083E64"/>
    <w:rsid w:val="00086C39"/>
    <w:rsid w:val="000900A8"/>
    <w:rsid w:val="000954EB"/>
    <w:rsid w:val="000A03B2"/>
    <w:rsid w:val="000A3041"/>
    <w:rsid w:val="000D0268"/>
    <w:rsid w:val="000D34BE"/>
    <w:rsid w:val="000E0B3C"/>
    <w:rsid w:val="000E102F"/>
    <w:rsid w:val="000E319B"/>
    <w:rsid w:val="000E36F1"/>
    <w:rsid w:val="000E3A73"/>
    <w:rsid w:val="000E414A"/>
    <w:rsid w:val="000E75FD"/>
    <w:rsid w:val="000F093C"/>
    <w:rsid w:val="000F3F4C"/>
    <w:rsid w:val="000F787B"/>
    <w:rsid w:val="0012091F"/>
    <w:rsid w:val="00126BC2"/>
    <w:rsid w:val="001277A3"/>
    <w:rsid w:val="001308B6"/>
    <w:rsid w:val="0013121F"/>
    <w:rsid w:val="00131FE6"/>
    <w:rsid w:val="0013263F"/>
    <w:rsid w:val="001331DF"/>
    <w:rsid w:val="00134DE4"/>
    <w:rsid w:val="0014034D"/>
    <w:rsid w:val="00140FE3"/>
    <w:rsid w:val="00141385"/>
    <w:rsid w:val="00143E28"/>
    <w:rsid w:val="00144D16"/>
    <w:rsid w:val="00150E59"/>
    <w:rsid w:val="00152DE3"/>
    <w:rsid w:val="001562EC"/>
    <w:rsid w:val="00164CF9"/>
    <w:rsid w:val="0016668E"/>
    <w:rsid w:val="001667A6"/>
    <w:rsid w:val="001718FD"/>
    <w:rsid w:val="00181079"/>
    <w:rsid w:val="0018171E"/>
    <w:rsid w:val="00184AD6"/>
    <w:rsid w:val="001A4AF7"/>
    <w:rsid w:val="001B0349"/>
    <w:rsid w:val="001B1E93"/>
    <w:rsid w:val="001B4D23"/>
    <w:rsid w:val="001B65C1"/>
    <w:rsid w:val="001C260F"/>
    <w:rsid w:val="001C5C3A"/>
    <w:rsid w:val="001C684B"/>
    <w:rsid w:val="001D0CFB"/>
    <w:rsid w:val="001D21AF"/>
    <w:rsid w:val="001D3D32"/>
    <w:rsid w:val="001D53FC"/>
    <w:rsid w:val="001E03C4"/>
    <w:rsid w:val="001F42A5"/>
    <w:rsid w:val="001F79EC"/>
    <w:rsid w:val="001F7B9D"/>
    <w:rsid w:val="00201C93"/>
    <w:rsid w:val="00205202"/>
    <w:rsid w:val="002224B4"/>
    <w:rsid w:val="002372A0"/>
    <w:rsid w:val="002414A5"/>
    <w:rsid w:val="002447EF"/>
    <w:rsid w:val="00251550"/>
    <w:rsid w:val="002522BE"/>
    <w:rsid w:val="00263B05"/>
    <w:rsid w:val="0027221A"/>
    <w:rsid w:val="00275B61"/>
    <w:rsid w:val="00280FAF"/>
    <w:rsid w:val="00282656"/>
    <w:rsid w:val="0028767D"/>
    <w:rsid w:val="00296B83"/>
    <w:rsid w:val="002B4015"/>
    <w:rsid w:val="002B78CE"/>
    <w:rsid w:val="002C2FB6"/>
    <w:rsid w:val="002C3226"/>
    <w:rsid w:val="002D63AE"/>
    <w:rsid w:val="002E5FA7"/>
    <w:rsid w:val="002F1FD4"/>
    <w:rsid w:val="002F3309"/>
    <w:rsid w:val="003008CE"/>
    <w:rsid w:val="003009B7"/>
    <w:rsid w:val="00300E56"/>
    <w:rsid w:val="0030152C"/>
    <w:rsid w:val="0030469C"/>
    <w:rsid w:val="00304CE8"/>
    <w:rsid w:val="003120AC"/>
    <w:rsid w:val="00320412"/>
    <w:rsid w:val="00321CA6"/>
    <w:rsid w:val="00323763"/>
    <w:rsid w:val="00323C5F"/>
    <w:rsid w:val="00334C09"/>
    <w:rsid w:val="003419E6"/>
    <w:rsid w:val="00350FD6"/>
    <w:rsid w:val="003723D4"/>
    <w:rsid w:val="00381905"/>
    <w:rsid w:val="00384CC8"/>
    <w:rsid w:val="003871FD"/>
    <w:rsid w:val="003A1E30"/>
    <w:rsid w:val="003A2829"/>
    <w:rsid w:val="003A2BDD"/>
    <w:rsid w:val="003A72A3"/>
    <w:rsid w:val="003A7D1C"/>
    <w:rsid w:val="003B304B"/>
    <w:rsid w:val="003B3146"/>
    <w:rsid w:val="003B3229"/>
    <w:rsid w:val="003B49CD"/>
    <w:rsid w:val="003D1E02"/>
    <w:rsid w:val="003F015E"/>
    <w:rsid w:val="00400414"/>
    <w:rsid w:val="0041314A"/>
    <w:rsid w:val="0041446B"/>
    <w:rsid w:val="00427681"/>
    <w:rsid w:val="0044071E"/>
    <w:rsid w:val="0044329C"/>
    <w:rsid w:val="00453E24"/>
    <w:rsid w:val="0045721E"/>
    <w:rsid w:val="00457456"/>
    <w:rsid w:val="004577FE"/>
    <w:rsid w:val="00457B9C"/>
    <w:rsid w:val="0046164A"/>
    <w:rsid w:val="004628D2"/>
    <w:rsid w:val="00462DCD"/>
    <w:rsid w:val="004648AD"/>
    <w:rsid w:val="004703A9"/>
    <w:rsid w:val="00474492"/>
    <w:rsid w:val="004760DE"/>
    <w:rsid w:val="004763D7"/>
    <w:rsid w:val="004940B7"/>
    <w:rsid w:val="00494D89"/>
    <w:rsid w:val="004A004E"/>
    <w:rsid w:val="004A24CF"/>
    <w:rsid w:val="004C3D1D"/>
    <w:rsid w:val="004C3D84"/>
    <w:rsid w:val="004C6E7E"/>
    <w:rsid w:val="004C7560"/>
    <w:rsid w:val="004C7913"/>
    <w:rsid w:val="004D6B0D"/>
    <w:rsid w:val="004E34AC"/>
    <w:rsid w:val="004E3A12"/>
    <w:rsid w:val="004E4DD6"/>
    <w:rsid w:val="004F49AC"/>
    <w:rsid w:val="004F5E36"/>
    <w:rsid w:val="004F778D"/>
    <w:rsid w:val="005008FF"/>
    <w:rsid w:val="005009DD"/>
    <w:rsid w:val="00506933"/>
    <w:rsid w:val="00507B47"/>
    <w:rsid w:val="00507BEF"/>
    <w:rsid w:val="00507CC9"/>
    <w:rsid w:val="005119A5"/>
    <w:rsid w:val="00514F91"/>
    <w:rsid w:val="005278B7"/>
    <w:rsid w:val="00531B45"/>
    <w:rsid w:val="00532016"/>
    <w:rsid w:val="005346C8"/>
    <w:rsid w:val="00543E7D"/>
    <w:rsid w:val="00547A68"/>
    <w:rsid w:val="00552C6F"/>
    <w:rsid w:val="005531C9"/>
    <w:rsid w:val="00554879"/>
    <w:rsid w:val="00570C43"/>
    <w:rsid w:val="0059130D"/>
    <w:rsid w:val="00591FB1"/>
    <w:rsid w:val="00592274"/>
    <w:rsid w:val="00595ED9"/>
    <w:rsid w:val="005A39AE"/>
    <w:rsid w:val="005B2110"/>
    <w:rsid w:val="005B350B"/>
    <w:rsid w:val="005B61E6"/>
    <w:rsid w:val="005C6F00"/>
    <w:rsid w:val="005C77E1"/>
    <w:rsid w:val="005D668A"/>
    <w:rsid w:val="005D68B6"/>
    <w:rsid w:val="005D6A2F"/>
    <w:rsid w:val="005E0592"/>
    <w:rsid w:val="005E1A82"/>
    <w:rsid w:val="005E5BE9"/>
    <w:rsid w:val="005E794C"/>
    <w:rsid w:val="005F0A28"/>
    <w:rsid w:val="005F0E5E"/>
    <w:rsid w:val="005F187A"/>
    <w:rsid w:val="005F2F70"/>
    <w:rsid w:val="00600535"/>
    <w:rsid w:val="00602711"/>
    <w:rsid w:val="00606E89"/>
    <w:rsid w:val="006109AE"/>
    <w:rsid w:val="00610CD6"/>
    <w:rsid w:val="00620DEE"/>
    <w:rsid w:val="00621F92"/>
    <w:rsid w:val="0062280A"/>
    <w:rsid w:val="006231E1"/>
    <w:rsid w:val="00625639"/>
    <w:rsid w:val="00626342"/>
    <w:rsid w:val="00631B33"/>
    <w:rsid w:val="0064184D"/>
    <w:rsid w:val="006422CC"/>
    <w:rsid w:val="00647275"/>
    <w:rsid w:val="00651D18"/>
    <w:rsid w:val="00660E3E"/>
    <w:rsid w:val="00662C7A"/>
    <w:rsid w:val="00662E74"/>
    <w:rsid w:val="00663912"/>
    <w:rsid w:val="00680C23"/>
    <w:rsid w:val="00683E23"/>
    <w:rsid w:val="00693766"/>
    <w:rsid w:val="00695974"/>
    <w:rsid w:val="006A3281"/>
    <w:rsid w:val="006A6DE5"/>
    <w:rsid w:val="006B4888"/>
    <w:rsid w:val="006B5471"/>
    <w:rsid w:val="006B63CD"/>
    <w:rsid w:val="006C2C3A"/>
    <w:rsid w:val="006C2E45"/>
    <w:rsid w:val="006C314E"/>
    <w:rsid w:val="006C359C"/>
    <w:rsid w:val="006C46CF"/>
    <w:rsid w:val="006C5579"/>
    <w:rsid w:val="006D6E8B"/>
    <w:rsid w:val="006D7209"/>
    <w:rsid w:val="006E347F"/>
    <w:rsid w:val="006E737D"/>
    <w:rsid w:val="00700F91"/>
    <w:rsid w:val="00707DD1"/>
    <w:rsid w:val="00713973"/>
    <w:rsid w:val="00716FD1"/>
    <w:rsid w:val="00717FA0"/>
    <w:rsid w:val="00720A24"/>
    <w:rsid w:val="00722A55"/>
    <w:rsid w:val="00732386"/>
    <w:rsid w:val="0073514D"/>
    <w:rsid w:val="007447F3"/>
    <w:rsid w:val="00754158"/>
    <w:rsid w:val="0075499F"/>
    <w:rsid w:val="007661C8"/>
    <w:rsid w:val="0077098D"/>
    <w:rsid w:val="00774421"/>
    <w:rsid w:val="00776750"/>
    <w:rsid w:val="007822EC"/>
    <w:rsid w:val="00785BF9"/>
    <w:rsid w:val="007931FA"/>
    <w:rsid w:val="007A2902"/>
    <w:rsid w:val="007A4861"/>
    <w:rsid w:val="007A7BBA"/>
    <w:rsid w:val="007B0208"/>
    <w:rsid w:val="007B023F"/>
    <w:rsid w:val="007B0C50"/>
    <w:rsid w:val="007B48F9"/>
    <w:rsid w:val="007C1A43"/>
    <w:rsid w:val="007C2FB0"/>
    <w:rsid w:val="007D0951"/>
    <w:rsid w:val="007D610D"/>
    <w:rsid w:val="007F0180"/>
    <w:rsid w:val="007F6B00"/>
    <w:rsid w:val="0080013E"/>
    <w:rsid w:val="00801759"/>
    <w:rsid w:val="00810E74"/>
    <w:rsid w:val="00812CA5"/>
    <w:rsid w:val="00813288"/>
    <w:rsid w:val="008168FC"/>
    <w:rsid w:val="00817362"/>
    <w:rsid w:val="00820609"/>
    <w:rsid w:val="00830996"/>
    <w:rsid w:val="008345F1"/>
    <w:rsid w:val="008458E4"/>
    <w:rsid w:val="00865B07"/>
    <w:rsid w:val="008667EA"/>
    <w:rsid w:val="0087637F"/>
    <w:rsid w:val="00882DEB"/>
    <w:rsid w:val="00892AD5"/>
    <w:rsid w:val="008A0A58"/>
    <w:rsid w:val="008A1512"/>
    <w:rsid w:val="008A630A"/>
    <w:rsid w:val="008D32B9"/>
    <w:rsid w:val="008D433B"/>
    <w:rsid w:val="008D4A16"/>
    <w:rsid w:val="008E5401"/>
    <w:rsid w:val="008E566E"/>
    <w:rsid w:val="0090161A"/>
    <w:rsid w:val="00901EB6"/>
    <w:rsid w:val="009041F8"/>
    <w:rsid w:val="00904C62"/>
    <w:rsid w:val="00906AE9"/>
    <w:rsid w:val="00913DCB"/>
    <w:rsid w:val="00914996"/>
    <w:rsid w:val="00922BA8"/>
    <w:rsid w:val="00924DAC"/>
    <w:rsid w:val="00927058"/>
    <w:rsid w:val="00942750"/>
    <w:rsid w:val="009450CE"/>
    <w:rsid w:val="009459BB"/>
    <w:rsid w:val="00947179"/>
    <w:rsid w:val="009509F7"/>
    <w:rsid w:val="0095164B"/>
    <w:rsid w:val="00954090"/>
    <w:rsid w:val="009573E7"/>
    <w:rsid w:val="00960263"/>
    <w:rsid w:val="00963E05"/>
    <w:rsid w:val="00964A45"/>
    <w:rsid w:val="00967843"/>
    <w:rsid w:val="00967D54"/>
    <w:rsid w:val="00971028"/>
    <w:rsid w:val="00993B84"/>
    <w:rsid w:val="00994C6A"/>
    <w:rsid w:val="009962A6"/>
    <w:rsid w:val="00996483"/>
    <w:rsid w:val="00996F5A"/>
    <w:rsid w:val="009A77DB"/>
    <w:rsid w:val="009B041A"/>
    <w:rsid w:val="009B0A23"/>
    <w:rsid w:val="009B171B"/>
    <w:rsid w:val="009B6E57"/>
    <w:rsid w:val="009C37C3"/>
    <w:rsid w:val="009C7C86"/>
    <w:rsid w:val="009D2FF7"/>
    <w:rsid w:val="009E7884"/>
    <w:rsid w:val="009E788A"/>
    <w:rsid w:val="009F0E08"/>
    <w:rsid w:val="009F26BD"/>
    <w:rsid w:val="00A079AE"/>
    <w:rsid w:val="00A14248"/>
    <w:rsid w:val="00A17077"/>
    <w:rsid w:val="00A1763D"/>
    <w:rsid w:val="00A17CEC"/>
    <w:rsid w:val="00A22A39"/>
    <w:rsid w:val="00A24B09"/>
    <w:rsid w:val="00A27EF0"/>
    <w:rsid w:val="00A42361"/>
    <w:rsid w:val="00A50B20"/>
    <w:rsid w:val="00A51390"/>
    <w:rsid w:val="00A60D13"/>
    <w:rsid w:val="00A66903"/>
    <w:rsid w:val="00A7223D"/>
    <w:rsid w:val="00A72745"/>
    <w:rsid w:val="00A75D37"/>
    <w:rsid w:val="00A76EFC"/>
    <w:rsid w:val="00A87D50"/>
    <w:rsid w:val="00A91010"/>
    <w:rsid w:val="00A91EC1"/>
    <w:rsid w:val="00A9606A"/>
    <w:rsid w:val="00A97F29"/>
    <w:rsid w:val="00AA0592"/>
    <w:rsid w:val="00AA2DB2"/>
    <w:rsid w:val="00AA702E"/>
    <w:rsid w:val="00AA7D26"/>
    <w:rsid w:val="00AB0357"/>
    <w:rsid w:val="00AB0964"/>
    <w:rsid w:val="00AB0F3D"/>
    <w:rsid w:val="00AB5011"/>
    <w:rsid w:val="00AC7368"/>
    <w:rsid w:val="00AD16B9"/>
    <w:rsid w:val="00AE377D"/>
    <w:rsid w:val="00AE7313"/>
    <w:rsid w:val="00AF0EBA"/>
    <w:rsid w:val="00AF2463"/>
    <w:rsid w:val="00B0024B"/>
    <w:rsid w:val="00B0091C"/>
    <w:rsid w:val="00B02C8A"/>
    <w:rsid w:val="00B13718"/>
    <w:rsid w:val="00B17FBD"/>
    <w:rsid w:val="00B315A6"/>
    <w:rsid w:val="00B31813"/>
    <w:rsid w:val="00B33365"/>
    <w:rsid w:val="00B335B8"/>
    <w:rsid w:val="00B34906"/>
    <w:rsid w:val="00B57B36"/>
    <w:rsid w:val="00B57E6F"/>
    <w:rsid w:val="00B8648E"/>
    <w:rsid w:val="00B8686D"/>
    <w:rsid w:val="00B93F69"/>
    <w:rsid w:val="00BA51C8"/>
    <w:rsid w:val="00BA74E7"/>
    <w:rsid w:val="00BB1DDC"/>
    <w:rsid w:val="00BB46A7"/>
    <w:rsid w:val="00BB5242"/>
    <w:rsid w:val="00BB7F0B"/>
    <w:rsid w:val="00BC30C9"/>
    <w:rsid w:val="00BD077D"/>
    <w:rsid w:val="00BE3E58"/>
    <w:rsid w:val="00BF13CE"/>
    <w:rsid w:val="00BF13E2"/>
    <w:rsid w:val="00BF5487"/>
    <w:rsid w:val="00C01616"/>
    <w:rsid w:val="00C0162B"/>
    <w:rsid w:val="00C068ED"/>
    <w:rsid w:val="00C22E0C"/>
    <w:rsid w:val="00C345B1"/>
    <w:rsid w:val="00C40142"/>
    <w:rsid w:val="00C51BB5"/>
    <w:rsid w:val="00C52C3C"/>
    <w:rsid w:val="00C57182"/>
    <w:rsid w:val="00C57863"/>
    <w:rsid w:val="00C615EA"/>
    <w:rsid w:val="00C640AF"/>
    <w:rsid w:val="00C655FD"/>
    <w:rsid w:val="00C729D4"/>
    <w:rsid w:val="00C75407"/>
    <w:rsid w:val="00C83594"/>
    <w:rsid w:val="00C841C6"/>
    <w:rsid w:val="00C870A8"/>
    <w:rsid w:val="00C94434"/>
    <w:rsid w:val="00CA0D75"/>
    <w:rsid w:val="00CA1C95"/>
    <w:rsid w:val="00CA3BC2"/>
    <w:rsid w:val="00CA5A9C"/>
    <w:rsid w:val="00CC4C20"/>
    <w:rsid w:val="00CD3517"/>
    <w:rsid w:val="00CD5FE2"/>
    <w:rsid w:val="00CE7C68"/>
    <w:rsid w:val="00CF76FE"/>
    <w:rsid w:val="00D02B4C"/>
    <w:rsid w:val="00D02E25"/>
    <w:rsid w:val="00D040C4"/>
    <w:rsid w:val="00D14A94"/>
    <w:rsid w:val="00D200FD"/>
    <w:rsid w:val="00D20AD1"/>
    <w:rsid w:val="00D2582C"/>
    <w:rsid w:val="00D46B7E"/>
    <w:rsid w:val="00D46C4C"/>
    <w:rsid w:val="00D57C84"/>
    <w:rsid w:val="00D6057D"/>
    <w:rsid w:val="00D700AF"/>
    <w:rsid w:val="00D71640"/>
    <w:rsid w:val="00D80905"/>
    <w:rsid w:val="00D819E2"/>
    <w:rsid w:val="00D81D49"/>
    <w:rsid w:val="00D836C5"/>
    <w:rsid w:val="00D84576"/>
    <w:rsid w:val="00D90EA3"/>
    <w:rsid w:val="00D970F3"/>
    <w:rsid w:val="00DA1399"/>
    <w:rsid w:val="00DA24C6"/>
    <w:rsid w:val="00DA4D7B"/>
    <w:rsid w:val="00DB57AF"/>
    <w:rsid w:val="00DC2840"/>
    <w:rsid w:val="00DC73EE"/>
    <w:rsid w:val="00DD1E8C"/>
    <w:rsid w:val="00DD271C"/>
    <w:rsid w:val="00DE264A"/>
    <w:rsid w:val="00DF5072"/>
    <w:rsid w:val="00E02D18"/>
    <w:rsid w:val="00E041E7"/>
    <w:rsid w:val="00E0731C"/>
    <w:rsid w:val="00E14C45"/>
    <w:rsid w:val="00E23CA1"/>
    <w:rsid w:val="00E37354"/>
    <w:rsid w:val="00E409A8"/>
    <w:rsid w:val="00E42200"/>
    <w:rsid w:val="00E50C12"/>
    <w:rsid w:val="00E65B91"/>
    <w:rsid w:val="00E66F53"/>
    <w:rsid w:val="00E7209D"/>
    <w:rsid w:val="00E72EAD"/>
    <w:rsid w:val="00E73BA7"/>
    <w:rsid w:val="00E77223"/>
    <w:rsid w:val="00E8528B"/>
    <w:rsid w:val="00E85B94"/>
    <w:rsid w:val="00E93BB4"/>
    <w:rsid w:val="00E95E5B"/>
    <w:rsid w:val="00E978D0"/>
    <w:rsid w:val="00EA4613"/>
    <w:rsid w:val="00EA59B0"/>
    <w:rsid w:val="00EA7F91"/>
    <w:rsid w:val="00EB1523"/>
    <w:rsid w:val="00EC0E49"/>
    <w:rsid w:val="00EC101F"/>
    <w:rsid w:val="00EC1D9F"/>
    <w:rsid w:val="00EE0131"/>
    <w:rsid w:val="00EE17B0"/>
    <w:rsid w:val="00EE4E86"/>
    <w:rsid w:val="00EF06D9"/>
    <w:rsid w:val="00EF7030"/>
    <w:rsid w:val="00F3049E"/>
    <w:rsid w:val="00F30C64"/>
    <w:rsid w:val="00F32BA2"/>
    <w:rsid w:val="00F32CDB"/>
    <w:rsid w:val="00F41EE4"/>
    <w:rsid w:val="00F565FE"/>
    <w:rsid w:val="00F629F8"/>
    <w:rsid w:val="00F6330E"/>
    <w:rsid w:val="00F63A70"/>
    <w:rsid w:val="00F63D8C"/>
    <w:rsid w:val="00F670AF"/>
    <w:rsid w:val="00F67599"/>
    <w:rsid w:val="00F716DE"/>
    <w:rsid w:val="00F7534E"/>
    <w:rsid w:val="00F81465"/>
    <w:rsid w:val="00F86B06"/>
    <w:rsid w:val="00F93EDF"/>
    <w:rsid w:val="00FA0E76"/>
    <w:rsid w:val="00FA1802"/>
    <w:rsid w:val="00FA21D0"/>
    <w:rsid w:val="00FA5F5F"/>
    <w:rsid w:val="00FB730C"/>
    <w:rsid w:val="00FC2695"/>
    <w:rsid w:val="00FC3E03"/>
    <w:rsid w:val="00FC3FC1"/>
    <w:rsid w:val="00FE539C"/>
    <w:rsid w:val="00FF711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paragraph" w:styleId="Revision">
    <w:name w:val="Revision"/>
    <w:hidden/>
    <w:uiPriority w:val="99"/>
    <w:semiHidden/>
    <w:rsid w:val="00B34906"/>
    <w:pPr>
      <w:spacing w:after="0" w:line="240" w:lineRule="auto"/>
    </w:pPr>
    <w:rPr>
      <w:rFonts w:ascii="Arial" w:eastAsia="Times New Roman" w:hAnsi="Arial" w:cs="Times New Roman"/>
      <w:sz w:val="18"/>
      <w:szCs w:val="20"/>
      <w:lang w:val="en-GB"/>
    </w:rPr>
  </w:style>
  <w:style w:type="character" w:styleId="PlaceholderText">
    <w:name w:val="Placeholder Text"/>
    <w:basedOn w:val="DefaultParagraphFont"/>
    <w:uiPriority w:val="99"/>
    <w:semiHidden/>
    <w:rsid w:val="00B34906"/>
    <w:rPr>
      <w:color w:val="666666"/>
    </w:rPr>
  </w:style>
  <w:style w:type="character" w:styleId="LineNumber">
    <w:name w:val="line number"/>
    <w:basedOn w:val="DefaultParagraphFont"/>
    <w:uiPriority w:val="99"/>
    <w:semiHidden/>
    <w:unhideWhenUsed/>
    <w:rsid w:val="00F86B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100646">
      <w:bodyDiv w:val="1"/>
      <w:marLeft w:val="0"/>
      <w:marRight w:val="0"/>
      <w:marTop w:val="0"/>
      <w:marBottom w:val="0"/>
      <w:divBdr>
        <w:top w:val="none" w:sz="0" w:space="0" w:color="auto"/>
        <w:left w:val="none" w:sz="0" w:space="0" w:color="auto"/>
        <w:bottom w:val="none" w:sz="0" w:space="0" w:color="auto"/>
        <w:right w:val="none" w:sz="0" w:space="0" w:color="auto"/>
      </w:divBdr>
      <w:divsChild>
        <w:div w:id="504714557">
          <w:marLeft w:val="0"/>
          <w:marRight w:val="0"/>
          <w:marTop w:val="0"/>
          <w:marBottom w:val="0"/>
          <w:divBdr>
            <w:top w:val="none" w:sz="0" w:space="0" w:color="auto"/>
            <w:left w:val="none" w:sz="0" w:space="0" w:color="auto"/>
            <w:bottom w:val="none" w:sz="0" w:space="0" w:color="auto"/>
            <w:right w:val="none" w:sz="0" w:space="0" w:color="auto"/>
          </w:divBdr>
        </w:div>
        <w:div w:id="751967992">
          <w:marLeft w:val="0"/>
          <w:marRight w:val="0"/>
          <w:marTop w:val="0"/>
          <w:marBottom w:val="0"/>
          <w:divBdr>
            <w:top w:val="none" w:sz="0" w:space="0" w:color="auto"/>
            <w:left w:val="none" w:sz="0" w:space="0" w:color="auto"/>
            <w:bottom w:val="none" w:sz="0" w:space="0" w:color="auto"/>
            <w:right w:val="none" w:sz="0" w:space="0" w:color="auto"/>
          </w:divBdr>
        </w:div>
      </w:divsChild>
    </w:div>
    <w:div w:id="441850500">
      <w:bodyDiv w:val="1"/>
      <w:marLeft w:val="0"/>
      <w:marRight w:val="0"/>
      <w:marTop w:val="0"/>
      <w:marBottom w:val="0"/>
      <w:divBdr>
        <w:top w:val="none" w:sz="0" w:space="0" w:color="auto"/>
        <w:left w:val="none" w:sz="0" w:space="0" w:color="auto"/>
        <w:bottom w:val="none" w:sz="0" w:space="0" w:color="auto"/>
        <w:right w:val="none" w:sz="0" w:space="0" w:color="auto"/>
      </w:divBdr>
      <w:divsChild>
        <w:div w:id="1911573806">
          <w:marLeft w:val="0"/>
          <w:marRight w:val="0"/>
          <w:marTop w:val="0"/>
          <w:marBottom w:val="0"/>
          <w:divBdr>
            <w:top w:val="none" w:sz="0" w:space="0" w:color="auto"/>
            <w:left w:val="none" w:sz="0" w:space="0" w:color="auto"/>
            <w:bottom w:val="none" w:sz="0" w:space="0" w:color="auto"/>
            <w:right w:val="none" w:sz="0" w:space="0" w:color="auto"/>
          </w:divBdr>
        </w:div>
        <w:div w:id="12847979">
          <w:marLeft w:val="0"/>
          <w:marRight w:val="0"/>
          <w:marTop w:val="0"/>
          <w:marBottom w:val="0"/>
          <w:divBdr>
            <w:top w:val="none" w:sz="0" w:space="0" w:color="auto"/>
            <w:left w:val="none" w:sz="0" w:space="0" w:color="auto"/>
            <w:bottom w:val="none" w:sz="0" w:space="0" w:color="auto"/>
            <w:right w:val="none" w:sz="0" w:space="0" w:color="auto"/>
          </w:divBdr>
        </w:div>
      </w:divsChild>
    </w:div>
    <w:div w:id="758596436">
      <w:bodyDiv w:val="1"/>
      <w:marLeft w:val="0"/>
      <w:marRight w:val="0"/>
      <w:marTop w:val="0"/>
      <w:marBottom w:val="0"/>
      <w:divBdr>
        <w:top w:val="none" w:sz="0" w:space="0" w:color="auto"/>
        <w:left w:val="none" w:sz="0" w:space="0" w:color="auto"/>
        <w:bottom w:val="none" w:sz="0" w:space="0" w:color="auto"/>
        <w:right w:val="none" w:sz="0" w:space="0" w:color="auto"/>
      </w:divBdr>
      <w:divsChild>
        <w:div w:id="445580515">
          <w:marLeft w:val="0"/>
          <w:marRight w:val="0"/>
          <w:marTop w:val="0"/>
          <w:marBottom w:val="0"/>
          <w:divBdr>
            <w:top w:val="none" w:sz="0" w:space="0" w:color="auto"/>
            <w:left w:val="none" w:sz="0" w:space="0" w:color="auto"/>
            <w:bottom w:val="none" w:sz="0" w:space="0" w:color="auto"/>
            <w:right w:val="none" w:sz="0" w:space="0" w:color="auto"/>
          </w:divBdr>
        </w:div>
        <w:div w:id="1919098249">
          <w:marLeft w:val="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47207">
      <w:bodyDiv w:val="1"/>
      <w:marLeft w:val="0"/>
      <w:marRight w:val="0"/>
      <w:marTop w:val="0"/>
      <w:marBottom w:val="0"/>
      <w:divBdr>
        <w:top w:val="none" w:sz="0" w:space="0" w:color="auto"/>
        <w:left w:val="none" w:sz="0" w:space="0" w:color="auto"/>
        <w:bottom w:val="none" w:sz="0" w:space="0" w:color="auto"/>
        <w:right w:val="none" w:sz="0" w:space="0" w:color="auto"/>
      </w:divBdr>
      <w:divsChild>
        <w:div w:id="475684214">
          <w:marLeft w:val="0"/>
          <w:marRight w:val="0"/>
          <w:marTop w:val="0"/>
          <w:marBottom w:val="0"/>
          <w:divBdr>
            <w:top w:val="none" w:sz="0" w:space="0" w:color="auto"/>
            <w:left w:val="none" w:sz="0" w:space="0" w:color="auto"/>
            <w:bottom w:val="none" w:sz="0" w:space="0" w:color="auto"/>
            <w:right w:val="none" w:sz="0" w:space="0" w:color="auto"/>
          </w:divBdr>
        </w:div>
        <w:div w:id="194850331">
          <w:marLeft w:val="0"/>
          <w:marRight w:val="0"/>
          <w:marTop w:val="0"/>
          <w:marBottom w:val="0"/>
          <w:divBdr>
            <w:top w:val="none" w:sz="0" w:space="0" w:color="auto"/>
            <w:left w:val="none" w:sz="0" w:space="0" w:color="auto"/>
            <w:bottom w:val="none" w:sz="0" w:space="0" w:color="auto"/>
            <w:right w:val="none" w:sz="0" w:space="0" w:color="auto"/>
          </w:divBdr>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34757651">
      <w:bodyDiv w:val="1"/>
      <w:marLeft w:val="0"/>
      <w:marRight w:val="0"/>
      <w:marTop w:val="0"/>
      <w:marBottom w:val="0"/>
      <w:divBdr>
        <w:top w:val="none" w:sz="0" w:space="0" w:color="auto"/>
        <w:left w:val="none" w:sz="0" w:space="0" w:color="auto"/>
        <w:bottom w:val="none" w:sz="0" w:space="0" w:color="auto"/>
        <w:right w:val="none" w:sz="0" w:space="0" w:color="auto"/>
      </w:divBdr>
    </w:div>
    <w:div w:id="211478356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sv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C4CAC-8967-4501-9BA7-717025371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6</Pages>
  <Words>3325</Words>
  <Characters>18957</Characters>
  <Application>Microsoft Office Word</Application>
  <DocSecurity>0</DocSecurity>
  <Lines>157</Lines>
  <Paragraphs>44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Pietro Giustacori</cp:lastModifiedBy>
  <cp:revision>16</cp:revision>
  <cp:lastPrinted>2015-05-12T18:31:00Z</cp:lastPrinted>
  <dcterms:created xsi:type="dcterms:W3CDTF">2025-02-10T15:19:00Z</dcterms:created>
  <dcterms:modified xsi:type="dcterms:W3CDTF">2025-02-20T07:08:00Z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e136779884ce8044b178d51ae194cd4d0af8ab936255413b9a6fe71aea3fd5bd</vt:lpwstr>
  </property>
</Properties>
</file>