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962A7" w14:paraId="2A131A54" w14:textId="77777777" w:rsidTr="002D71DB">
        <w:trPr>
          <w:trHeight w:val="852"/>
          <w:jc w:val="center"/>
        </w:trPr>
        <w:tc>
          <w:tcPr>
            <w:tcW w:w="6940" w:type="dxa"/>
            <w:vMerge w:val="restart"/>
            <w:tcBorders>
              <w:right w:val="single" w:sz="4" w:space="0" w:color="auto"/>
            </w:tcBorders>
          </w:tcPr>
          <w:p w14:paraId="38C3D2BA" w14:textId="77777777" w:rsidR="000A03B2" w:rsidRPr="00E962A7" w:rsidRDefault="000A03B2" w:rsidP="00DE264A">
            <w:pPr>
              <w:tabs>
                <w:tab w:val="left" w:pos="-108"/>
              </w:tabs>
              <w:ind w:left="-108"/>
              <w:jc w:val="left"/>
              <w:rPr>
                <w:rFonts w:cs="Arial"/>
                <w:b/>
                <w:bCs/>
                <w:i/>
                <w:iCs/>
                <w:color w:val="000066"/>
                <w:sz w:val="12"/>
                <w:szCs w:val="12"/>
                <w:lang w:eastAsia="it-IT"/>
              </w:rPr>
            </w:pPr>
            <w:bookmarkStart w:id="0" w:name="_Hlk145068772"/>
            <w:r w:rsidRPr="00E962A7">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962A7">
              <w:rPr>
                <w:rFonts w:ascii="AdvP6960" w:hAnsi="AdvP6960" w:cs="AdvP6960"/>
                <w:color w:val="241F20"/>
                <w:szCs w:val="18"/>
                <w:lang w:eastAsia="it-IT"/>
              </w:rPr>
              <w:t xml:space="preserve"> </w:t>
            </w:r>
            <w:r w:rsidRPr="00E962A7">
              <w:rPr>
                <w:rFonts w:cs="Arial"/>
                <w:b/>
                <w:bCs/>
                <w:i/>
                <w:iCs/>
                <w:color w:val="000066"/>
                <w:sz w:val="24"/>
                <w:szCs w:val="24"/>
                <w:lang w:eastAsia="it-IT"/>
              </w:rPr>
              <w:t>CHEMICAL ENGINEERING</w:t>
            </w:r>
            <w:r w:rsidRPr="00E962A7">
              <w:rPr>
                <w:rFonts w:cs="Arial"/>
                <w:b/>
                <w:bCs/>
                <w:i/>
                <w:iCs/>
                <w:color w:val="0033FF"/>
                <w:sz w:val="24"/>
                <w:szCs w:val="24"/>
                <w:lang w:eastAsia="it-IT"/>
              </w:rPr>
              <w:t xml:space="preserve"> </w:t>
            </w:r>
            <w:r w:rsidRPr="00E962A7">
              <w:rPr>
                <w:rFonts w:cs="Arial"/>
                <w:b/>
                <w:bCs/>
                <w:i/>
                <w:iCs/>
                <w:color w:val="666666"/>
                <w:sz w:val="24"/>
                <w:szCs w:val="24"/>
                <w:lang w:eastAsia="it-IT"/>
              </w:rPr>
              <w:t>TRANSACTIONS</w:t>
            </w:r>
            <w:r w:rsidRPr="00E962A7">
              <w:rPr>
                <w:color w:val="333333"/>
                <w:sz w:val="24"/>
                <w:szCs w:val="24"/>
                <w:lang w:eastAsia="it-IT"/>
              </w:rPr>
              <w:t xml:space="preserve"> </w:t>
            </w:r>
            <w:r w:rsidRPr="00E962A7">
              <w:rPr>
                <w:rFonts w:cs="Arial"/>
                <w:b/>
                <w:bCs/>
                <w:i/>
                <w:iCs/>
                <w:color w:val="000066"/>
                <w:sz w:val="27"/>
                <w:szCs w:val="27"/>
                <w:lang w:eastAsia="it-IT"/>
              </w:rPr>
              <w:br/>
            </w:r>
          </w:p>
          <w:p w14:paraId="4B780582" w14:textId="47EF826C" w:rsidR="000A03B2" w:rsidRPr="00E962A7" w:rsidRDefault="00A76EFC" w:rsidP="001D21AF">
            <w:pPr>
              <w:tabs>
                <w:tab w:val="left" w:pos="-108"/>
              </w:tabs>
              <w:ind w:left="-108"/>
              <w:rPr>
                <w:rFonts w:cs="Arial"/>
                <w:b/>
                <w:bCs/>
                <w:i/>
                <w:iCs/>
                <w:color w:val="000066"/>
                <w:sz w:val="22"/>
                <w:szCs w:val="22"/>
                <w:lang w:eastAsia="it-IT"/>
              </w:rPr>
            </w:pPr>
            <w:r w:rsidRPr="00E962A7">
              <w:rPr>
                <w:rFonts w:cs="Arial"/>
                <w:b/>
                <w:bCs/>
                <w:i/>
                <w:iCs/>
                <w:color w:val="000066"/>
                <w:sz w:val="22"/>
                <w:szCs w:val="22"/>
                <w:lang w:eastAsia="it-IT"/>
              </w:rPr>
              <w:t>VOL.</w:t>
            </w:r>
            <w:r w:rsidR="00785BF9" w:rsidRPr="00E962A7">
              <w:rPr>
                <w:rFonts w:cs="Arial"/>
                <w:b/>
                <w:bCs/>
                <w:i/>
                <w:iCs/>
                <w:color w:val="000066"/>
                <w:sz w:val="22"/>
                <w:szCs w:val="22"/>
                <w:lang w:eastAsia="it-IT"/>
              </w:rPr>
              <w:t xml:space="preserve"> </w:t>
            </w:r>
            <w:r w:rsidR="00994C6A" w:rsidRPr="00E962A7">
              <w:rPr>
                <w:rFonts w:cs="Arial"/>
                <w:b/>
                <w:bCs/>
                <w:i/>
                <w:iCs/>
                <w:color w:val="000066"/>
                <w:sz w:val="22"/>
                <w:szCs w:val="22"/>
                <w:lang w:eastAsia="it-IT"/>
              </w:rPr>
              <w:t>xxx</w:t>
            </w:r>
            <w:r w:rsidR="007B48F9" w:rsidRPr="00E962A7">
              <w:rPr>
                <w:rFonts w:cs="Arial"/>
                <w:b/>
                <w:bCs/>
                <w:i/>
                <w:iCs/>
                <w:color w:val="000066"/>
                <w:sz w:val="22"/>
                <w:szCs w:val="22"/>
                <w:lang w:eastAsia="it-IT"/>
              </w:rPr>
              <w:t>,</w:t>
            </w:r>
            <w:r w:rsidR="00FA5F5F" w:rsidRPr="00E962A7">
              <w:rPr>
                <w:rFonts w:cs="Arial"/>
                <w:b/>
                <w:bCs/>
                <w:i/>
                <w:iCs/>
                <w:color w:val="000066"/>
                <w:sz w:val="22"/>
                <w:szCs w:val="22"/>
                <w:lang w:eastAsia="it-IT"/>
              </w:rPr>
              <w:t xml:space="preserve"> </w:t>
            </w:r>
            <w:r w:rsidR="0030152C" w:rsidRPr="00E962A7">
              <w:rPr>
                <w:rFonts w:cs="Arial"/>
                <w:b/>
                <w:bCs/>
                <w:i/>
                <w:iCs/>
                <w:color w:val="000066"/>
                <w:sz w:val="22"/>
                <w:szCs w:val="22"/>
                <w:lang w:eastAsia="it-IT"/>
              </w:rPr>
              <w:t>202</w:t>
            </w:r>
            <w:r w:rsidR="00994C6A" w:rsidRPr="00E962A7">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E962A7" w:rsidRDefault="000A03B2" w:rsidP="00CD5FE2">
            <w:pPr>
              <w:spacing w:line="140" w:lineRule="atLeast"/>
              <w:jc w:val="right"/>
              <w:rPr>
                <w:rFonts w:cs="Arial"/>
                <w:sz w:val="14"/>
                <w:szCs w:val="14"/>
              </w:rPr>
            </w:pPr>
            <w:r w:rsidRPr="00E962A7">
              <w:rPr>
                <w:rFonts w:cs="Arial"/>
                <w:sz w:val="14"/>
                <w:szCs w:val="14"/>
              </w:rPr>
              <w:t>A publication of</w:t>
            </w:r>
          </w:p>
          <w:p w14:paraId="599E5441" w14:textId="77777777" w:rsidR="000A03B2" w:rsidRPr="00E962A7" w:rsidRDefault="000A03B2" w:rsidP="00CD5FE2">
            <w:pPr>
              <w:jc w:val="right"/>
            </w:pPr>
            <w:r w:rsidRPr="00E962A7">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962A7" w14:paraId="380FA3CD" w14:textId="77777777" w:rsidTr="002D71DB">
        <w:trPr>
          <w:trHeight w:val="567"/>
          <w:jc w:val="center"/>
        </w:trPr>
        <w:tc>
          <w:tcPr>
            <w:tcW w:w="6940" w:type="dxa"/>
            <w:vMerge/>
            <w:tcBorders>
              <w:right w:val="single" w:sz="4" w:space="0" w:color="auto"/>
            </w:tcBorders>
          </w:tcPr>
          <w:p w14:paraId="39E5E4C1" w14:textId="77777777" w:rsidR="000A03B2" w:rsidRPr="00E962A7"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E962A7" w:rsidRDefault="000A03B2" w:rsidP="00CD5FE2">
            <w:pPr>
              <w:spacing w:line="140" w:lineRule="atLeast"/>
              <w:jc w:val="right"/>
              <w:rPr>
                <w:rFonts w:cs="Arial"/>
                <w:sz w:val="14"/>
                <w:szCs w:val="14"/>
              </w:rPr>
            </w:pPr>
            <w:r w:rsidRPr="00E962A7">
              <w:rPr>
                <w:rFonts w:cs="Arial"/>
                <w:sz w:val="14"/>
                <w:szCs w:val="14"/>
              </w:rPr>
              <w:t>The Italian Association</w:t>
            </w:r>
          </w:p>
          <w:p w14:paraId="7522B1D2" w14:textId="77777777" w:rsidR="000A03B2" w:rsidRPr="00E962A7" w:rsidRDefault="000A03B2" w:rsidP="00CD5FE2">
            <w:pPr>
              <w:spacing w:line="140" w:lineRule="atLeast"/>
              <w:jc w:val="right"/>
              <w:rPr>
                <w:rFonts w:cs="Arial"/>
                <w:sz w:val="14"/>
                <w:szCs w:val="14"/>
              </w:rPr>
            </w:pPr>
            <w:r w:rsidRPr="00E962A7">
              <w:rPr>
                <w:rFonts w:cs="Arial"/>
                <w:sz w:val="14"/>
                <w:szCs w:val="14"/>
              </w:rPr>
              <w:t>of Chemical Engineering</w:t>
            </w:r>
          </w:p>
          <w:p w14:paraId="4F0CC5DE" w14:textId="47FDB2FC" w:rsidR="000A03B2" w:rsidRPr="00E962A7" w:rsidRDefault="000D0268" w:rsidP="00CD5FE2">
            <w:pPr>
              <w:spacing w:line="140" w:lineRule="atLeast"/>
              <w:jc w:val="right"/>
              <w:rPr>
                <w:rFonts w:cs="Arial"/>
                <w:sz w:val="13"/>
                <w:szCs w:val="13"/>
              </w:rPr>
            </w:pPr>
            <w:r w:rsidRPr="00E962A7">
              <w:rPr>
                <w:rFonts w:cs="Arial"/>
                <w:sz w:val="13"/>
                <w:szCs w:val="13"/>
              </w:rPr>
              <w:t>Online at www.cetjournal.it</w:t>
            </w:r>
          </w:p>
        </w:tc>
      </w:tr>
      <w:tr w:rsidR="000A03B2" w:rsidRPr="00E962A7" w14:paraId="2D1B7169" w14:textId="77777777" w:rsidTr="002D71DB">
        <w:trPr>
          <w:trHeight w:val="68"/>
          <w:jc w:val="center"/>
        </w:trPr>
        <w:tc>
          <w:tcPr>
            <w:tcW w:w="8782" w:type="dxa"/>
            <w:gridSpan w:val="2"/>
          </w:tcPr>
          <w:p w14:paraId="1D8DD3C9" w14:textId="025D7B18" w:rsidR="00AA7D26" w:rsidRPr="00701A38" w:rsidRDefault="00AA7D26" w:rsidP="007D610D">
            <w:pPr>
              <w:ind w:left="-107"/>
              <w:outlineLvl w:val="2"/>
              <w:rPr>
                <w:rFonts w:ascii="Tahoma" w:hAnsi="Tahoma" w:cs="Tahoma"/>
                <w:color w:val="000000"/>
                <w:sz w:val="14"/>
                <w:szCs w:val="14"/>
                <w:shd w:val="clear" w:color="auto" w:fill="FFFFFF"/>
                <w:lang w:val="it-IT"/>
              </w:rPr>
            </w:pPr>
            <w:r w:rsidRPr="00701A38">
              <w:rPr>
                <w:rFonts w:ascii="Tahoma" w:hAnsi="Tahoma" w:cs="Tahoma"/>
                <w:iCs/>
                <w:color w:val="333333"/>
                <w:sz w:val="14"/>
                <w:szCs w:val="14"/>
                <w:lang w:val="it-IT" w:eastAsia="it-IT"/>
              </w:rPr>
              <w:t>Guest Editors:</w:t>
            </w:r>
            <w:r w:rsidR="007D610D" w:rsidRPr="00701A38">
              <w:rPr>
                <w:rFonts w:ascii="Aptos" w:eastAsiaTheme="minorHAnsi" w:hAnsi="Aptos" w:cs="Aptos"/>
                <w:sz w:val="22"/>
                <w:szCs w:val="22"/>
                <w:lang w:val="it-IT"/>
                <w14:ligatures w14:val="standardContextual"/>
              </w:rPr>
              <w:t xml:space="preserve"> </w:t>
            </w:r>
            <w:r w:rsidR="007D610D" w:rsidRPr="00701A38">
              <w:rPr>
                <w:rFonts w:ascii="Tahoma" w:hAnsi="Tahoma" w:cs="Tahoma"/>
                <w:color w:val="000000"/>
                <w:sz w:val="14"/>
                <w:szCs w:val="14"/>
                <w:shd w:val="clear" w:color="auto" w:fill="FFFFFF"/>
                <w:lang w:val="it-IT"/>
              </w:rPr>
              <w:t xml:space="preserve">Fabrizio Bezzo, </w:t>
            </w:r>
            <w:r w:rsidR="001D3D32" w:rsidRPr="00701A38">
              <w:rPr>
                <w:rFonts w:ascii="Tahoma" w:hAnsi="Tahoma" w:cs="Tahoma"/>
                <w:color w:val="000000"/>
                <w:sz w:val="14"/>
                <w:szCs w:val="14"/>
                <w:shd w:val="clear" w:color="auto" w:fill="FFFFFF"/>
                <w:lang w:val="it-IT"/>
              </w:rPr>
              <w:t>Flavio Manenti</w:t>
            </w:r>
            <w:r w:rsidR="00304CE8" w:rsidRPr="00701A38">
              <w:rPr>
                <w:rFonts w:ascii="Tahoma" w:hAnsi="Tahoma" w:cs="Tahoma"/>
                <w:color w:val="000000"/>
                <w:sz w:val="14"/>
                <w:szCs w:val="14"/>
                <w:shd w:val="clear" w:color="auto" w:fill="FFFFFF"/>
                <w:lang w:val="it-IT"/>
              </w:rPr>
              <w:t>,</w:t>
            </w:r>
            <w:r w:rsidR="001D3D32" w:rsidRPr="00701A38">
              <w:rPr>
                <w:rFonts w:ascii="Tahoma" w:hAnsi="Tahoma" w:cs="Tahoma"/>
                <w:color w:val="000000"/>
                <w:sz w:val="14"/>
                <w:szCs w:val="14"/>
                <w:shd w:val="clear" w:color="auto" w:fill="FFFFFF"/>
                <w:lang w:val="it-IT"/>
              </w:rPr>
              <w:t xml:space="preserve"> </w:t>
            </w:r>
            <w:r w:rsidR="007D610D" w:rsidRPr="00701A38">
              <w:rPr>
                <w:rFonts w:ascii="Tahoma" w:hAnsi="Tahoma" w:cs="Tahoma"/>
                <w:color w:val="000000"/>
                <w:sz w:val="14"/>
                <w:szCs w:val="14"/>
                <w:shd w:val="clear" w:color="auto" w:fill="FFFFFF"/>
                <w:lang w:val="it-IT"/>
              </w:rPr>
              <w:t>Gabriele Pannocchia, Almerinda di Benedetto</w:t>
            </w:r>
          </w:p>
          <w:p w14:paraId="1B0F1814" w14:textId="7C54DC3A" w:rsidR="000A03B2" w:rsidRPr="00E962A7" w:rsidRDefault="00AA7D26" w:rsidP="00AA7D26">
            <w:pPr>
              <w:tabs>
                <w:tab w:val="left" w:pos="-108"/>
              </w:tabs>
              <w:spacing w:line="140" w:lineRule="atLeast"/>
              <w:ind w:left="-107"/>
              <w:jc w:val="left"/>
            </w:pPr>
            <w:r w:rsidRPr="00E962A7">
              <w:rPr>
                <w:rFonts w:ascii="Tahoma" w:hAnsi="Tahoma" w:cs="Tahoma"/>
                <w:iCs/>
                <w:color w:val="333333"/>
                <w:sz w:val="14"/>
                <w:szCs w:val="14"/>
                <w:lang w:eastAsia="it-IT"/>
              </w:rPr>
              <w:t>Copyright © 202</w:t>
            </w:r>
            <w:r w:rsidR="00994C6A" w:rsidRPr="00E962A7">
              <w:rPr>
                <w:rFonts w:ascii="Tahoma" w:hAnsi="Tahoma" w:cs="Tahoma"/>
                <w:iCs/>
                <w:color w:val="333333"/>
                <w:sz w:val="14"/>
                <w:szCs w:val="14"/>
                <w:lang w:eastAsia="it-IT"/>
              </w:rPr>
              <w:t>5</w:t>
            </w:r>
            <w:r w:rsidRPr="00E962A7">
              <w:rPr>
                <w:rFonts w:ascii="Tahoma" w:hAnsi="Tahoma" w:cs="Tahoma"/>
                <w:iCs/>
                <w:color w:val="333333"/>
                <w:sz w:val="14"/>
                <w:szCs w:val="14"/>
                <w:lang w:eastAsia="it-IT"/>
              </w:rPr>
              <w:t>, AIDIC Servizi S.r.l.</w:t>
            </w:r>
            <w:r w:rsidRPr="00E962A7">
              <w:rPr>
                <w:rFonts w:ascii="Tahoma" w:hAnsi="Tahoma" w:cs="Tahoma"/>
                <w:iCs/>
                <w:color w:val="333333"/>
                <w:sz w:val="14"/>
                <w:szCs w:val="14"/>
                <w:lang w:eastAsia="it-IT"/>
              </w:rPr>
              <w:br/>
            </w:r>
            <w:r w:rsidRPr="00E962A7">
              <w:rPr>
                <w:rFonts w:ascii="Tahoma" w:hAnsi="Tahoma" w:cs="Tahoma"/>
                <w:b/>
                <w:iCs/>
                <w:color w:val="000000"/>
                <w:sz w:val="14"/>
                <w:szCs w:val="14"/>
                <w:lang w:eastAsia="it-IT"/>
              </w:rPr>
              <w:t>ISBN</w:t>
            </w:r>
            <w:r w:rsidRPr="00E962A7">
              <w:rPr>
                <w:rFonts w:ascii="Tahoma" w:hAnsi="Tahoma" w:cs="Tahoma"/>
                <w:iCs/>
                <w:color w:val="000000"/>
                <w:sz w:val="14"/>
                <w:szCs w:val="14"/>
                <w:lang w:eastAsia="it-IT"/>
              </w:rPr>
              <w:t xml:space="preserve"> </w:t>
            </w:r>
            <w:r w:rsidR="003B49CD" w:rsidRPr="00E962A7">
              <w:rPr>
                <w:rFonts w:ascii="Tahoma" w:hAnsi="Tahoma" w:cs="Tahoma"/>
                <w:sz w:val="14"/>
                <w:szCs w:val="14"/>
              </w:rPr>
              <w:t>979-12-81206-1</w:t>
            </w:r>
            <w:r w:rsidR="00994C6A" w:rsidRPr="00E962A7">
              <w:rPr>
                <w:rFonts w:ascii="Tahoma" w:hAnsi="Tahoma" w:cs="Tahoma"/>
                <w:sz w:val="14"/>
                <w:szCs w:val="14"/>
              </w:rPr>
              <w:t>7</w:t>
            </w:r>
            <w:r w:rsidR="003B49CD" w:rsidRPr="00E962A7">
              <w:rPr>
                <w:rFonts w:ascii="Tahoma" w:hAnsi="Tahoma" w:cs="Tahoma"/>
                <w:sz w:val="14"/>
                <w:szCs w:val="14"/>
              </w:rPr>
              <w:t>-</w:t>
            </w:r>
            <w:r w:rsidR="00994C6A" w:rsidRPr="00E962A7">
              <w:rPr>
                <w:rFonts w:ascii="Tahoma" w:hAnsi="Tahoma" w:cs="Tahoma"/>
                <w:sz w:val="14"/>
                <w:szCs w:val="14"/>
              </w:rPr>
              <w:t>5</w:t>
            </w:r>
            <w:r w:rsidRPr="00E962A7">
              <w:rPr>
                <w:rFonts w:ascii="Tahoma" w:hAnsi="Tahoma" w:cs="Tahoma"/>
                <w:iCs/>
                <w:color w:val="333333"/>
                <w:sz w:val="14"/>
                <w:szCs w:val="14"/>
                <w:lang w:eastAsia="it-IT"/>
              </w:rPr>
              <w:t xml:space="preserve">; </w:t>
            </w:r>
            <w:r w:rsidRPr="00E962A7">
              <w:rPr>
                <w:rFonts w:ascii="Tahoma" w:hAnsi="Tahoma" w:cs="Tahoma"/>
                <w:b/>
                <w:iCs/>
                <w:color w:val="333333"/>
                <w:sz w:val="14"/>
                <w:szCs w:val="14"/>
                <w:lang w:eastAsia="it-IT"/>
              </w:rPr>
              <w:t>ISSN</w:t>
            </w:r>
            <w:r w:rsidRPr="00E962A7">
              <w:rPr>
                <w:rFonts w:ascii="Tahoma" w:hAnsi="Tahoma" w:cs="Tahoma"/>
                <w:iCs/>
                <w:color w:val="333333"/>
                <w:sz w:val="14"/>
                <w:szCs w:val="14"/>
                <w:lang w:eastAsia="it-IT"/>
              </w:rPr>
              <w:t xml:space="preserve"> 2283-9216</w:t>
            </w:r>
          </w:p>
        </w:tc>
      </w:tr>
    </w:tbl>
    <w:bookmarkEnd w:id="0"/>
    <w:p w14:paraId="2E667253" w14:textId="60B3AF18" w:rsidR="00E978D0" w:rsidRPr="00E962A7" w:rsidRDefault="002D71DB" w:rsidP="00E978D0">
      <w:pPr>
        <w:pStyle w:val="CETTitle"/>
        <w:rPr>
          <w:lang w:val="en-US"/>
        </w:rPr>
      </w:pPr>
      <w:r w:rsidRPr="00E962A7">
        <w:rPr>
          <w:lang w:val="en-US"/>
        </w:rPr>
        <w:t>Impact of hydrophobic surface</w:t>
      </w:r>
      <w:r w:rsidR="0030529D">
        <w:rPr>
          <w:lang w:val="en-US"/>
        </w:rPr>
        <w:t>s</w:t>
      </w:r>
      <w:r w:rsidRPr="00E962A7">
        <w:rPr>
          <w:lang w:val="en-US"/>
        </w:rPr>
        <w:t xml:space="preserve"> on mass transfer in structured packings</w:t>
      </w:r>
    </w:p>
    <w:p w14:paraId="0488FED2" w14:textId="1ACA532E" w:rsidR="00B57E6F" w:rsidRPr="00701A38" w:rsidRDefault="002D71DB" w:rsidP="00B57E6F">
      <w:pPr>
        <w:pStyle w:val="CETAuthors"/>
        <w:rPr>
          <w:noProof w:val="0"/>
          <w:lang w:val="it-IT"/>
        </w:rPr>
      </w:pPr>
      <w:r w:rsidRPr="00701A38">
        <w:rPr>
          <w:noProof w:val="0"/>
          <w:lang w:val="it-IT"/>
        </w:rPr>
        <w:t>Pietro Giustacori</w:t>
      </w:r>
      <w:r w:rsidR="00F9647C" w:rsidRPr="00701A38">
        <w:rPr>
          <w:noProof w:val="0"/>
          <w:vertAlign w:val="superscript"/>
          <w:lang w:val="it-IT"/>
        </w:rPr>
        <w:t>a</w:t>
      </w:r>
      <w:r w:rsidR="00F9647C" w:rsidRPr="00701A38">
        <w:rPr>
          <w:noProof w:val="0"/>
          <w:lang w:val="it-IT"/>
        </w:rPr>
        <w:t>, Sara Marchini</w:t>
      </w:r>
      <w:r w:rsidR="00F9647C" w:rsidRPr="00701A38">
        <w:rPr>
          <w:noProof w:val="0"/>
          <w:vertAlign w:val="superscript"/>
          <w:lang w:val="it-IT"/>
        </w:rPr>
        <w:t>b</w:t>
      </w:r>
      <w:r w:rsidR="00F9647C" w:rsidRPr="00701A38">
        <w:rPr>
          <w:noProof w:val="0"/>
          <w:lang w:val="it-IT"/>
        </w:rPr>
        <w:t>, Elisabetta Brunazzi</w:t>
      </w:r>
      <w:r w:rsidR="00F9647C" w:rsidRPr="00701A38">
        <w:rPr>
          <w:noProof w:val="0"/>
          <w:vertAlign w:val="superscript"/>
          <w:lang w:val="it-IT"/>
        </w:rPr>
        <w:t>a</w:t>
      </w:r>
      <w:r w:rsidR="00F52E6B" w:rsidRPr="00701A38">
        <w:rPr>
          <w:noProof w:val="0"/>
          <w:vertAlign w:val="superscript"/>
          <w:lang w:val="it-IT"/>
        </w:rPr>
        <w:t>,</w:t>
      </w:r>
      <w:r w:rsidR="005427BB" w:rsidRPr="00701A38">
        <w:rPr>
          <w:noProof w:val="0"/>
          <w:vertAlign w:val="superscript"/>
          <w:lang w:val="it-IT"/>
        </w:rPr>
        <w:t xml:space="preserve"> </w:t>
      </w:r>
      <w:r w:rsidR="00F52E6B" w:rsidRPr="00701A38">
        <w:rPr>
          <w:noProof w:val="0"/>
          <w:lang w:val="it-IT"/>
        </w:rPr>
        <w:t>*</w:t>
      </w:r>
      <w:r w:rsidR="00F9647C" w:rsidRPr="00701A38">
        <w:rPr>
          <w:noProof w:val="0"/>
          <w:lang w:val="it-IT"/>
        </w:rPr>
        <w:t>, Uwe Hampel</w:t>
      </w:r>
      <w:r w:rsidR="00F9647C" w:rsidRPr="00701A38">
        <w:rPr>
          <w:noProof w:val="0"/>
          <w:vertAlign w:val="superscript"/>
          <w:lang w:val="it-IT"/>
        </w:rPr>
        <w:t>c, d</w:t>
      </w:r>
      <w:r w:rsidR="00F9647C" w:rsidRPr="00701A38">
        <w:rPr>
          <w:noProof w:val="0"/>
          <w:lang w:val="it-IT"/>
        </w:rPr>
        <w:t>, Markus Schubert</w:t>
      </w:r>
      <w:r w:rsidR="005427BB" w:rsidRPr="00701A38">
        <w:rPr>
          <w:noProof w:val="0"/>
          <w:vertAlign w:val="superscript"/>
          <w:lang w:val="it-IT"/>
        </w:rPr>
        <w:t>b</w:t>
      </w:r>
      <w:r w:rsidR="00F9647C" w:rsidRPr="00701A38">
        <w:rPr>
          <w:noProof w:val="0"/>
          <w:lang w:val="it-IT"/>
        </w:rPr>
        <w:t xml:space="preserve"> </w:t>
      </w:r>
    </w:p>
    <w:p w14:paraId="6B2D21B3" w14:textId="16FDFE12" w:rsidR="00B57E6F" w:rsidRPr="00701A38" w:rsidRDefault="00F9647C" w:rsidP="00FF34A8">
      <w:pPr>
        <w:pStyle w:val="CETAddress"/>
        <w:rPr>
          <w:noProof w:val="0"/>
          <w:lang w:val="it-IT"/>
        </w:rPr>
      </w:pPr>
      <w:r w:rsidRPr="00701A38">
        <w:rPr>
          <w:noProof w:val="0"/>
          <w:vertAlign w:val="superscript"/>
          <w:lang w:val="it-IT"/>
        </w:rPr>
        <w:t>a</w:t>
      </w:r>
      <w:r w:rsidR="00FF34A8" w:rsidRPr="00701A38">
        <w:rPr>
          <w:noProof w:val="0"/>
          <w:lang w:val="it-IT"/>
        </w:rPr>
        <w:t>Dipartimento di Ingegneria Civile e Industriale, Universit</w:t>
      </w:r>
      <w:r w:rsidR="0020121E" w:rsidRPr="00701A38">
        <w:rPr>
          <w:noProof w:val="0"/>
          <w:lang w:val="it-IT"/>
        </w:rPr>
        <w:t>à</w:t>
      </w:r>
      <w:r w:rsidR="00FF34A8" w:rsidRPr="00701A38">
        <w:rPr>
          <w:noProof w:val="0"/>
          <w:lang w:val="it-IT"/>
        </w:rPr>
        <w:t xml:space="preserve"> di Pisa, Largo Lucio</w:t>
      </w:r>
      <w:r w:rsidR="0020121E" w:rsidRPr="00701A38">
        <w:rPr>
          <w:noProof w:val="0"/>
          <w:lang w:val="it-IT"/>
        </w:rPr>
        <w:t xml:space="preserve"> </w:t>
      </w:r>
      <w:r w:rsidR="00FF34A8" w:rsidRPr="00701A38">
        <w:rPr>
          <w:noProof w:val="0"/>
          <w:lang w:val="it-IT"/>
        </w:rPr>
        <w:t>Lazzarino 2, Pisa, 56122, Italy</w:t>
      </w:r>
    </w:p>
    <w:p w14:paraId="2D5270C3" w14:textId="73CC90D6" w:rsidR="00F9647C" w:rsidRPr="00E962A7" w:rsidRDefault="00F9647C" w:rsidP="00F9647C">
      <w:pPr>
        <w:pStyle w:val="CETAddress"/>
        <w:rPr>
          <w:noProof w:val="0"/>
          <w:lang w:val="en-US"/>
        </w:rPr>
      </w:pPr>
      <w:r w:rsidRPr="00E962A7">
        <w:rPr>
          <w:noProof w:val="0"/>
          <w:vertAlign w:val="superscript"/>
          <w:lang w:val="en-US"/>
        </w:rPr>
        <w:t>b</w:t>
      </w:r>
      <w:r w:rsidRPr="00E962A7">
        <w:rPr>
          <w:noProof w:val="0"/>
          <w:lang w:val="en-US"/>
        </w:rPr>
        <w:t>Chair of Chemical Process Engineering, Technische Universität Dresden, Dresden, 01062, Germany</w:t>
      </w:r>
    </w:p>
    <w:p w14:paraId="7CF2BD7A" w14:textId="044364F2" w:rsidR="00F9647C" w:rsidRPr="00E962A7" w:rsidRDefault="00F9647C" w:rsidP="00F9647C">
      <w:pPr>
        <w:pStyle w:val="CETAddress"/>
        <w:rPr>
          <w:noProof w:val="0"/>
          <w:lang w:val="en-US"/>
        </w:rPr>
      </w:pPr>
      <w:r w:rsidRPr="00E962A7">
        <w:rPr>
          <w:noProof w:val="0"/>
          <w:vertAlign w:val="superscript"/>
          <w:lang w:val="en-US"/>
        </w:rPr>
        <w:t>c</w:t>
      </w:r>
      <w:r w:rsidRPr="00E962A7">
        <w:rPr>
          <w:noProof w:val="0"/>
          <w:lang w:val="en-US"/>
        </w:rPr>
        <w:t>Chair of Imaging Techniques in Energy and Process Engineering, Technische Universität Dresden, Dresden, 01062, Germany</w:t>
      </w:r>
    </w:p>
    <w:p w14:paraId="7424B57D" w14:textId="2CE6EB0E" w:rsidR="00F9647C" w:rsidRPr="00E962A7" w:rsidRDefault="00F9647C" w:rsidP="00F9647C">
      <w:pPr>
        <w:pStyle w:val="CETAddress"/>
        <w:rPr>
          <w:noProof w:val="0"/>
          <w:lang w:val="en-US"/>
        </w:rPr>
      </w:pPr>
      <w:r w:rsidRPr="00E962A7">
        <w:rPr>
          <w:noProof w:val="0"/>
          <w:vertAlign w:val="superscript"/>
          <w:lang w:val="en-US"/>
        </w:rPr>
        <w:t>d</w:t>
      </w:r>
      <w:r w:rsidRPr="00E962A7">
        <w:rPr>
          <w:noProof w:val="0"/>
          <w:lang w:val="en-US"/>
        </w:rPr>
        <w:t>Institute of Fluid Dynamics, Helmholtz-Zentrum Dresden-Rossendorf, Dresden, 01328, Germany</w:t>
      </w:r>
    </w:p>
    <w:p w14:paraId="73F1267A" w14:textId="697F08AF" w:rsidR="00B57E6F" w:rsidRPr="00E962A7" w:rsidRDefault="00F9647C" w:rsidP="00F9647C">
      <w:pPr>
        <w:pStyle w:val="CETemail"/>
        <w:rPr>
          <w:noProof w:val="0"/>
          <w:lang w:val="en-US"/>
        </w:rPr>
      </w:pPr>
      <w:r w:rsidRPr="00E962A7">
        <w:rPr>
          <w:noProof w:val="0"/>
          <w:lang w:val="en-US"/>
        </w:rPr>
        <w:t>*elisabetta.brunazzi@</w:t>
      </w:r>
      <w:r w:rsidR="00FF34A8" w:rsidRPr="00E962A7">
        <w:rPr>
          <w:noProof w:val="0"/>
          <w:lang w:val="en-US"/>
        </w:rPr>
        <w:t>unipi.it</w:t>
      </w:r>
    </w:p>
    <w:p w14:paraId="686F92E0" w14:textId="095D49E6" w:rsidR="004D5781" w:rsidRPr="00E962A7" w:rsidRDefault="004D5781" w:rsidP="00600535">
      <w:pPr>
        <w:pStyle w:val="CETBodytext"/>
      </w:pPr>
      <w:r w:rsidRPr="004D5781">
        <w:t>This study investigates a potential alternative to traditional film flow in structured packings operating at low liquid loads, aiming to improve mass transfer performance by increasing the gas-liquid interfacial area. The potential of small droplet flow, which theoretically offers a significantly higher interfacial area compared to film flow, was investigated. The water affinity of the structured packing surface was modified by applying self-assembled monolayer (SAM) coatings. Contact angles, droplet behavior and coalescence tendencies were investigated on smooth, corrugated and embossed metal sheets to identify the best combination of SAM system and coating process. The mass transfer performance of SAM-coated packings was compared to standard packings by stripping isobutyl acetate with air. These tests showed that the SAM coated packings tested had lower liquid holdup and therefore lower mass transfer efficiency compared to uncoated packings. However, the study provides a valuable methodology and framework for evaluating the performance of other structured packing surface treatments.</w:t>
      </w:r>
    </w:p>
    <w:p w14:paraId="476B2F2E" w14:textId="52B36035" w:rsidR="00600535" w:rsidRPr="00E962A7" w:rsidRDefault="00600535" w:rsidP="00600535">
      <w:pPr>
        <w:pStyle w:val="CETHeading1"/>
      </w:pPr>
      <w:r w:rsidRPr="00E962A7">
        <w:t>Introduction</w:t>
      </w:r>
    </w:p>
    <w:p w14:paraId="09A9A7A2" w14:textId="3B44B8B7" w:rsidR="006D35FC" w:rsidRDefault="00B60874" w:rsidP="00CF563A">
      <w:pPr>
        <w:pStyle w:val="CETBodytext"/>
      </w:pPr>
      <w:r w:rsidRPr="00E962A7">
        <w:t>Thermal separations are the most widely used processes for separating and purifying mixtures in the chemical industry. These operations are usually carried out in columns where the liquid and gas phases are brought into contact. Inside the column</w:t>
      </w:r>
      <w:r w:rsidR="00C616AD" w:rsidRPr="00E962A7">
        <w:t>,</w:t>
      </w:r>
      <w:r w:rsidRPr="00E962A7">
        <w:t xml:space="preserve"> </w:t>
      </w:r>
      <w:r w:rsidR="0019198A" w:rsidRPr="00E962A7">
        <w:t xml:space="preserve">various </w:t>
      </w:r>
      <w:r w:rsidRPr="00E962A7">
        <w:t xml:space="preserve">elements promote </w:t>
      </w:r>
      <w:r w:rsidR="00B24D53" w:rsidRPr="00E962A7">
        <w:t xml:space="preserve">the </w:t>
      </w:r>
      <w:r w:rsidRPr="00E962A7">
        <w:t xml:space="preserve">contact between the two phases. In recent years there has been </w:t>
      </w:r>
      <w:r w:rsidR="00344F06" w:rsidRPr="00E962A7">
        <w:t xml:space="preserve">significant </w:t>
      </w:r>
      <w:r w:rsidRPr="00E962A7">
        <w:t>development of structured packings</w:t>
      </w:r>
      <w:r w:rsidR="00344F06" w:rsidRPr="00E962A7">
        <w:t>,</w:t>
      </w:r>
      <w:r w:rsidRPr="00E962A7">
        <w:t xml:space="preserve"> and many of the newly built columns now use this technology (Spiegel and Meier, 2003). In addition, structured packings have been used extensively </w:t>
      </w:r>
      <w:r w:rsidR="003D60F6" w:rsidRPr="00E962A7">
        <w:t xml:space="preserve">to </w:t>
      </w:r>
      <w:r w:rsidRPr="00E962A7">
        <w:t xml:space="preserve">revamp random packed and tray columns (Shiveler et al., 2007). The purpose of structured packings is to provide a large contact area while minimizing pressure drop. For this reason, they are </w:t>
      </w:r>
      <w:r w:rsidR="00C616AD" w:rsidRPr="00E962A7">
        <w:t xml:space="preserve">also </w:t>
      </w:r>
      <w:r w:rsidR="00344F06" w:rsidRPr="00E962A7">
        <w:t xml:space="preserve">widely </w:t>
      </w:r>
      <w:r w:rsidRPr="00E962A7">
        <w:t xml:space="preserve">used in vacuum operations where pressure drop must be </w:t>
      </w:r>
      <w:r w:rsidR="00344F06" w:rsidRPr="00E962A7">
        <w:t>minimized</w:t>
      </w:r>
      <w:r w:rsidRPr="00E962A7">
        <w:t>. Typically, structured packings operate in film flow, where the liquid</w:t>
      </w:r>
      <w:r w:rsidR="00684BA2">
        <w:t>, at best,</w:t>
      </w:r>
      <w:r w:rsidRPr="00E962A7">
        <w:t xml:space="preserve"> covers the entire surface of the element to utilize </w:t>
      </w:r>
      <w:r w:rsidR="00081885" w:rsidRPr="00E962A7">
        <w:t xml:space="preserve">all the </w:t>
      </w:r>
      <w:r w:rsidRPr="00E962A7">
        <w:t xml:space="preserve">available geometric area (Szulczewska et al., 2003). However, maldistribution within the packing and preferential paths usually </w:t>
      </w:r>
      <w:r w:rsidR="0064382C" w:rsidRPr="00E962A7">
        <w:t>prevents</w:t>
      </w:r>
      <w:r w:rsidRPr="00E962A7">
        <w:t xml:space="preserve"> perfect wetting (Fitz et al., 1999). </w:t>
      </w:r>
      <w:r w:rsidR="00344F06" w:rsidRPr="00E962A7">
        <w:t>Furthermore</w:t>
      </w:r>
      <w:r w:rsidRPr="00E962A7">
        <w:t>, in the case of film flow, the interfacial area cannot exceed the geometric area provided by the packing.</w:t>
      </w:r>
    </w:p>
    <w:p w14:paraId="0E52CABC" w14:textId="6A0C9A8C" w:rsidR="00B60874" w:rsidRPr="00E962A7" w:rsidRDefault="00436836" w:rsidP="00CF563A">
      <w:pPr>
        <w:pStyle w:val="CETBodytext"/>
      </w:pPr>
      <w:r>
        <w:t>F</w:t>
      </w:r>
      <w:r w:rsidR="00B60874" w:rsidRPr="00E962A7">
        <w:t>low regimes other than film flow could potentially increase the interfacial area available for mass transfer</w:t>
      </w:r>
      <w:r w:rsidR="006C649A" w:rsidRPr="00E962A7">
        <w:t>, an even more important aspect for applications that require low liquid loadings where film flow</w:t>
      </w:r>
      <w:r w:rsidR="00794F09" w:rsidRPr="00E962A7">
        <w:t xml:space="preserve"> and </w:t>
      </w:r>
      <w:r w:rsidR="00931E8D" w:rsidRPr="00E962A7">
        <w:t xml:space="preserve">full </w:t>
      </w:r>
      <w:r w:rsidR="00794F09" w:rsidRPr="00E962A7">
        <w:t>wetting</w:t>
      </w:r>
      <w:r w:rsidR="006C649A" w:rsidRPr="00E962A7">
        <w:t xml:space="preserve"> is also difficult to establish. </w:t>
      </w:r>
      <w:r w:rsidR="00B60874" w:rsidRPr="00E962A7">
        <w:t xml:space="preserve">Droplet flow is one </w:t>
      </w:r>
      <w:r w:rsidR="00344F06" w:rsidRPr="00E962A7">
        <w:t>such regime</w:t>
      </w:r>
      <w:r w:rsidR="00B60874" w:rsidRPr="00E962A7">
        <w:t xml:space="preserve"> </w:t>
      </w:r>
      <w:r w:rsidR="00344F06" w:rsidRPr="00E962A7">
        <w:t xml:space="preserve">that could </w:t>
      </w:r>
      <w:r w:rsidR="00B60874" w:rsidRPr="00E962A7">
        <w:t xml:space="preserve">achieve this goal. </w:t>
      </w:r>
      <w:r w:rsidR="00344F06" w:rsidRPr="00E962A7">
        <w:t xml:space="preserve">In </w:t>
      </w:r>
      <w:r w:rsidR="00061329" w:rsidRPr="00E962A7">
        <w:t>the extreme case of a spherical droplet contacting the packing at a single point</w:t>
      </w:r>
      <w:r w:rsidR="0053261C" w:rsidRPr="00E962A7">
        <w:t xml:space="preserve">, the interfacial area is nearly five times greater than for film flow, </w:t>
      </w:r>
      <w:r w:rsidR="00911920" w:rsidRPr="00E962A7">
        <w:t xml:space="preserve">considering </w:t>
      </w:r>
      <w:r w:rsidR="0053261C" w:rsidRPr="00E962A7">
        <w:t xml:space="preserve">the same </w:t>
      </w:r>
      <w:r w:rsidR="00911920" w:rsidRPr="00E962A7">
        <w:t xml:space="preserve">liquid </w:t>
      </w:r>
      <w:r w:rsidR="0053261C" w:rsidRPr="00E962A7">
        <w:t>volume</w:t>
      </w:r>
      <w:r w:rsidR="00061329" w:rsidRPr="00E962A7">
        <w:t>.</w:t>
      </w:r>
    </w:p>
    <w:p w14:paraId="697E3983" w14:textId="4A20EE04" w:rsidR="0056308B" w:rsidRPr="00E962A7" w:rsidRDefault="006D35FC" w:rsidP="00CF563A">
      <w:pPr>
        <w:pStyle w:val="CETBodytext"/>
      </w:pPr>
      <w:r w:rsidRPr="006D35FC">
        <w:t xml:space="preserve">The possibility of increasing the mass transfer performance of structured packings </w:t>
      </w:r>
      <w:r w:rsidR="00A81679" w:rsidRPr="006D35FC">
        <w:t>using</w:t>
      </w:r>
      <w:r w:rsidRPr="006D35FC">
        <w:t xml:space="preserve"> hydrophobic coatings was investigated in this study.</w:t>
      </w:r>
      <w:r w:rsidR="009B54CE">
        <w:t xml:space="preserve"> </w:t>
      </w:r>
      <w:r w:rsidR="00C7444D" w:rsidRPr="00E962A7">
        <w:t xml:space="preserve">To </w:t>
      </w:r>
      <w:r w:rsidR="00AC047E" w:rsidRPr="00E962A7">
        <w:t xml:space="preserve">induce </w:t>
      </w:r>
      <w:r w:rsidR="00C7444D" w:rsidRPr="00E962A7">
        <w:t xml:space="preserve">changes in flow regimes, the surface of the packing elements was systematically modified to alter </w:t>
      </w:r>
      <w:r w:rsidR="00AC047E" w:rsidRPr="00E962A7">
        <w:t xml:space="preserve">their </w:t>
      </w:r>
      <w:r w:rsidR="00C7444D" w:rsidRPr="00E962A7">
        <w:t xml:space="preserve">interaction with </w:t>
      </w:r>
      <w:r w:rsidR="00AC047E" w:rsidRPr="00E962A7">
        <w:t xml:space="preserve">the </w:t>
      </w:r>
      <w:r w:rsidR="00C7444D" w:rsidRPr="00E962A7">
        <w:t xml:space="preserve">liquid phase. Specifically, these modifications were </w:t>
      </w:r>
      <w:r w:rsidR="00C7444D" w:rsidRPr="00E962A7">
        <w:lastRenderedPageBreak/>
        <w:t xml:space="preserve">designed to increase the liquid contact angle on the surface, </w:t>
      </w:r>
      <w:r w:rsidR="00AC047E" w:rsidRPr="00E962A7">
        <w:t xml:space="preserve">thereby </w:t>
      </w:r>
      <w:r w:rsidR="00C7444D" w:rsidRPr="00E962A7">
        <w:t xml:space="preserve">enhancing the hydrophobic properties of the material. By increasing surface hydrophobicity, the modifications promote film instability </w:t>
      </w:r>
      <w:r w:rsidR="00AC047E" w:rsidRPr="00E962A7">
        <w:t xml:space="preserve">and </w:t>
      </w:r>
      <w:r w:rsidR="00C7444D" w:rsidRPr="00E962A7">
        <w:t xml:space="preserve">the formation of discrete droplets on the surface. Self-assembled monolayers (SAMs) were </w:t>
      </w:r>
      <w:r w:rsidR="00AC047E" w:rsidRPr="00E962A7">
        <w:t xml:space="preserve">selected </w:t>
      </w:r>
      <w:r w:rsidR="00A20B00" w:rsidRPr="00E962A7">
        <w:t xml:space="preserve">for </w:t>
      </w:r>
      <w:r w:rsidR="00C7444D" w:rsidRPr="00E962A7">
        <w:t xml:space="preserve">the surface </w:t>
      </w:r>
      <w:r w:rsidR="00304694" w:rsidRPr="00E962A7">
        <w:t xml:space="preserve">modification </w:t>
      </w:r>
      <w:r w:rsidR="00C7444D" w:rsidRPr="00E962A7">
        <w:t xml:space="preserve">to implement these </w:t>
      </w:r>
      <w:r w:rsidR="00304694" w:rsidRPr="00E962A7">
        <w:t xml:space="preserve">flow </w:t>
      </w:r>
      <w:r w:rsidR="00D802F3" w:rsidRPr="00E962A7">
        <w:t>destabilizations</w:t>
      </w:r>
      <w:r w:rsidR="00C7444D" w:rsidRPr="00E962A7">
        <w:t>. SAMs offer a simple, yet highly effective method of tailoring surface properties, providing robust means of achieving desired contact angle</w:t>
      </w:r>
      <w:r w:rsidR="00D802F3" w:rsidRPr="00E962A7">
        <w:t>s</w:t>
      </w:r>
      <w:r w:rsidR="00C7444D" w:rsidRPr="00E962A7">
        <w:t xml:space="preserve">. Their ease of application, combined with their ability to produce uniform and reproducible hydrophobic coatings, makes them an ideal </w:t>
      </w:r>
      <w:r w:rsidR="00407C2B" w:rsidRPr="00E962A7">
        <w:t xml:space="preserve">approach </w:t>
      </w:r>
      <w:r w:rsidR="00C7444D" w:rsidRPr="00E962A7">
        <w:t>for this study (Harm et al., 2002</w:t>
      </w:r>
      <w:r w:rsidR="00E276A3" w:rsidRPr="00E962A7">
        <w:t>).</w:t>
      </w:r>
    </w:p>
    <w:p w14:paraId="771FED51" w14:textId="6FFFCA79" w:rsidR="00DE3D9D" w:rsidRDefault="00DE3D9D" w:rsidP="00453E24">
      <w:pPr>
        <w:pStyle w:val="CETHeading1"/>
      </w:pPr>
      <w:r>
        <w:t xml:space="preserve"> Materials and methods</w:t>
      </w:r>
    </w:p>
    <w:p w14:paraId="18BAFA6F" w14:textId="00671DE0" w:rsidR="00453E24" w:rsidRPr="00E962A7" w:rsidRDefault="0019764E" w:rsidP="00453E24">
      <w:pPr>
        <w:pStyle w:val="CETheadingx"/>
      </w:pPr>
      <w:r w:rsidRPr="00E962A7">
        <w:t>Surface wettability modification</w:t>
      </w:r>
    </w:p>
    <w:p w14:paraId="0E79F1AD" w14:textId="173826ED" w:rsidR="006F7692" w:rsidRPr="00E962A7" w:rsidRDefault="006F7692" w:rsidP="00A54032">
      <w:pPr>
        <w:pStyle w:val="CETBodytext"/>
      </w:pPr>
      <w:r w:rsidRPr="00E962A7">
        <w:t xml:space="preserve">Samples were obtained from AISI 316 steel sheets </w:t>
      </w:r>
      <w:r w:rsidR="006543B0" w:rsidRPr="00E962A7">
        <w:t>(0.1 mm thick)</w:t>
      </w:r>
      <w:r w:rsidR="006543B0">
        <w:t xml:space="preserve"> </w:t>
      </w:r>
      <w:r w:rsidRPr="00E962A7">
        <w:t xml:space="preserve">used in the construction of </w:t>
      </w:r>
      <w:r w:rsidR="0023324F">
        <w:t xml:space="preserve">Montz </w:t>
      </w:r>
      <w:r w:rsidRPr="00E962A7">
        <w:t xml:space="preserve">structured packings. The samples were first cleaned with deionized water and degreased with ethanol, dried with compressed air and then immersed in a chemical etching bath for half an hour. To enhance the effect of the chemical bath and to homogenize the concentration, the etching was performed in an ultrasonic cleaner. After the chemical bath, the samples were rinsed with deionized water and dried with compressed air. The samples were then immersed in </w:t>
      </w:r>
      <w:r w:rsidR="004C7F72" w:rsidRPr="00E962A7">
        <w:t>a</w:t>
      </w:r>
      <w:r w:rsidRPr="00E962A7">
        <w:t xml:space="preserve"> solution containing 1 mmol of SAM molecules for about 5 minutes at 60 °C. After this last immersion, the samples were rinsed with deionized water, dried with compressed air and stored in a closed container to avoid contact with dust and to allow self-organization of the SAM molecules</w:t>
      </w:r>
      <w:r w:rsidR="00752755">
        <w:t xml:space="preserve">. </w:t>
      </w:r>
      <w:r w:rsidR="00A54032" w:rsidRPr="00A54032">
        <w:t>Self-organization consists of the reorganization of molecules adsorbed on the surface to maximize interactions with the substrate and to align their functional groups to interact with the substrate while their tail groups extend outward, imparting hydrophobic properties.</w:t>
      </w:r>
      <w:r w:rsidRPr="00E962A7">
        <w:t xml:space="preserve"> A detailed description of the coating process can be found in Harm et al.</w:t>
      </w:r>
      <w:r w:rsidR="00F610DA" w:rsidRPr="00E962A7">
        <w:t xml:space="preserve"> (</w:t>
      </w:r>
      <w:r w:rsidRPr="00E962A7">
        <w:t>2002</w:t>
      </w:r>
      <w:r w:rsidR="00F610DA" w:rsidRPr="00E962A7">
        <w:t>)</w:t>
      </w:r>
      <w:r w:rsidRPr="00E962A7">
        <w:t>.</w:t>
      </w:r>
    </w:p>
    <w:p w14:paraId="59089681" w14:textId="77777777" w:rsidR="007061BA" w:rsidRDefault="006F7692" w:rsidP="008F09BD">
      <w:pPr>
        <w:pStyle w:val="CETBodytext"/>
      </w:pPr>
      <w:r w:rsidRPr="00E962A7">
        <w:t xml:space="preserve">The wettability characterization of the surfaces was performed by determining the contact angles of ultrapure water droplets on the different surfaces analyzed. This analysis was performed using </w:t>
      </w:r>
      <w:r w:rsidR="00A4678B" w:rsidRPr="00E962A7">
        <w:t xml:space="preserve">a </w:t>
      </w:r>
      <w:r w:rsidRPr="00E962A7">
        <w:t>Krüss DSA100S goniometer. The procedure for measuring contact angles using the goniometer sessile drop technique was the same as that typically used in the literature (e.g., Kwok et al.</w:t>
      </w:r>
      <w:r w:rsidR="000F7874" w:rsidRPr="00E962A7">
        <w:t>,</w:t>
      </w:r>
      <w:r w:rsidRPr="00E962A7">
        <w:t xml:space="preserve"> 1997). Static contact angle (CA) values were extracted using the ADVANCE software associated with the </w:t>
      </w:r>
      <w:r w:rsidR="003502FB" w:rsidRPr="00E962A7">
        <w:t>goniometer;</w:t>
      </w:r>
      <w:r w:rsidRPr="00E962A7">
        <w:t xml:space="preserve"> while advancing and receding contact angles (ACA and RCA) were extracted from the video by the goniometer software and using a custom Python script.</w:t>
      </w:r>
      <w:r w:rsidR="007061BA">
        <w:t xml:space="preserve"> </w:t>
      </w:r>
    </w:p>
    <w:p w14:paraId="035CCC63" w14:textId="2896E869" w:rsidR="00484959" w:rsidRDefault="000F7874" w:rsidP="008F09BD">
      <w:pPr>
        <w:pStyle w:val="CETBodytext"/>
      </w:pPr>
      <w:r w:rsidRPr="00E962A7">
        <w:t>T</w:t>
      </w:r>
      <w:r w:rsidR="004743DD" w:rsidRPr="00E962A7">
        <w:t xml:space="preserve">wo different molecules were considered for the coating of steel samples: n-dodecylphosphonic acid (DPA) and heptadecafluorodecylphosphonic acid (17FPA). </w:t>
      </w:r>
      <w:r w:rsidR="00F54603" w:rsidRPr="00E962A7">
        <w:t>T</w:t>
      </w:r>
      <w:r w:rsidR="00244F2F" w:rsidRPr="00E962A7">
        <w:t>he t</w:t>
      </w:r>
      <w:r w:rsidR="004743DD" w:rsidRPr="00E962A7">
        <w:t>ested</w:t>
      </w:r>
      <w:r w:rsidR="00F54603" w:rsidRPr="00E962A7">
        <w:t xml:space="preserve"> systems</w:t>
      </w:r>
      <w:r w:rsidR="004743DD" w:rsidRPr="00E962A7">
        <w:t xml:space="preserve"> have the advantage of forming SAMs at low concentrations and do not require complicated coating procedures. In addition, at the</w:t>
      </w:r>
      <w:r w:rsidR="006F7692" w:rsidRPr="00E962A7">
        <w:t xml:space="preserve"> used</w:t>
      </w:r>
      <w:r w:rsidR="004743DD" w:rsidRPr="00E962A7">
        <w:t xml:space="preserve"> concentrations, SAMs solutions are not classified as toxic or carcinogenic. Chemical etching of surfaces can be performed with different solutions</w:t>
      </w:r>
      <w:r w:rsidR="00A1664B" w:rsidRPr="00E962A7">
        <w:t xml:space="preserve">. In </w:t>
      </w:r>
      <w:r w:rsidR="004743DD" w:rsidRPr="00E962A7">
        <w:t xml:space="preserve">the </w:t>
      </w:r>
      <w:r w:rsidR="00795402">
        <w:t>present</w:t>
      </w:r>
      <w:r w:rsidR="00795402" w:rsidRPr="00E962A7">
        <w:t xml:space="preserve"> </w:t>
      </w:r>
      <w:r w:rsidR="004743DD" w:rsidRPr="00E962A7">
        <w:t>study</w:t>
      </w:r>
      <w:r w:rsidR="00795402">
        <w:t>,</w:t>
      </w:r>
      <w:r w:rsidR="004743DD" w:rsidRPr="00E962A7">
        <w:t xml:space="preserve"> two different etching temperatures </w:t>
      </w:r>
      <w:r w:rsidR="0053261C" w:rsidRPr="00E962A7">
        <w:t xml:space="preserve">and </w:t>
      </w:r>
      <w:r w:rsidR="004743DD" w:rsidRPr="00E962A7">
        <w:t>etching solution</w:t>
      </w:r>
      <w:r w:rsidR="00795402">
        <w:t>s</w:t>
      </w:r>
      <w:r w:rsidR="004743DD" w:rsidRPr="00E962A7">
        <w:t xml:space="preserve"> containing </w:t>
      </w:r>
      <w:r w:rsidR="00DD2F8B">
        <w:t xml:space="preserve">10 % of </w:t>
      </w:r>
      <w:r w:rsidR="004743DD" w:rsidRPr="00E962A7">
        <w:t>nitric acid (HNO</w:t>
      </w:r>
      <w:r w:rsidR="004743DD" w:rsidRPr="00E962A7">
        <w:rPr>
          <w:vertAlign w:val="subscript"/>
        </w:rPr>
        <w:t>3</w:t>
      </w:r>
      <w:r w:rsidR="004743DD" w:rsidRPr="00E962A7">
        <w:t>)</w:t>
      </w:r>
      <w:r w:rsidR="00795402">
        <w:t xml:space="preserve"> </w:t>
      </w:r>
      <w:r w:rsidR="00DD2F8B">
        <w:t xml:space="preserve">in water </w:t>
      </w:r>
      <w:r w:rsidR="00795402">
        <w:t>alone or in mixtures with</w:t>
      </w:r>
      <w:r w:rsidR="004743DD" w:rsidRPr="00E962A7">
        <w:t xml:space="preserve"> </w:t>
      </w:r>
      <w:r w:rsidR="00A61E67">
        <w:t xml:space="preserve">10 % of </w:t>
      </w:r>
      <w:r w:rsidR="004743DD" w:rsidRPr="00E962A7">
        <w:t>ferric chloride (FeCl</w:t>
      </w:r>
      <w:r w:rsidR="004743DD" w:rsidRPr="00E962A7">
        <w:rPr>
          <w:vertAlign w:val="subscript"/>
        </w:rPr>
        <w:t>3</w:t>
      </w:r>
      <w:r w:rsidR="004743DD" w:rsidRPr="00E962A7">
        <w:t xml:space="preserve">) </w:t>
      </w:r>
      <w:r w:rsidR="00795402">
        <w:t>or</w:t>
      </w:r>
      <w:r w:rsidR="00795402" w:rsidRPr="00E962A7">
        <w:t xml:space="preserve"> </w:t>
      </w:r>
      <w:r w:rsidR="00A61E67">
        <w:t xml:space="preserve">10 % </w:t>
      </w:r>
      <w:r w:rsidR="004743DD" w:rsidRPr="00E962A7">
        <w:t>hydrogen peroxide (H</w:t>
      </w:r>
      <w:r w:rsidR="004743DD" w:rsidRPr="00E962A7">
        <w:rPr>
          <w:vertAlign w:val="subscript"/>
        </w:rPr>
        <w:t>2</w:t>
      </w:r>
      <w:r w:rsidR="004743DD" w:rsidRPr="00E962A7">
        <w:t>O</w:t>
      </w:r>
      <w:r w:rsidR="004743DD" w:rsidRPr="00E962A7">
        <w:rPr>
          <w:vertAlign w:val="subscript"/>
        </w:rPr>
        <w:t>2</w:t>
      </w:r>
      <w:r w:rsidR="004743DD" w:rsidRPr="00E962A7">
        <w:t>) were considered</w:t>
      </w:r>
      <w:r w:rsidR="00EA4A99">
        <w:t xml:space="preserve"> (</w:t>
      </w:r>
      <w:r w:rsidR="002630B2" w:rsidRPr="002630B2">
        <w:t>all percentages are by weight</w:t>
      </w:r>
      <w:r w:rsidR="00EA4A99">
        <w:t>)</w:t>
      </w:r>
      <w:r w:rsidR="004743DD" w:rsidRPr="00E962A7">
        <w:t xml:space="preserve">. The following </w:t>
      </w:r>
      <w:r w:rsidR="00484959">
        <w:t>procedure</w:t>
      </w:r>
      <w:r w:rsidR="00484959" w:rsidRPr="00E962A7">
        <w:t xml:space="preserve"> </w:t>
      </w:r>
      <w:r w:rsidR="004743DD" w:rsidRPr="00E962A7">
        <w:t xml:space="preserve">was chosen as </w:t>
      </w:r>
      <w:r w:rsidR="00795402">
        <w:t>the</w:t>
      </w:r>
      <w:r w:rsidR="00795402" w:rsidRPr="00E962A7">
        <w:t xml:space="preserve"> </w:t>
      </w:r>
      <w:r w:rsidR="004743DD" w:rsidRPr="00E962A7">
        <w:t>reference case: surface etching with HNO</w:t>
      </w:r>
      <w:r w:rsidR="004743DD" w:rsidRPr="00E962A7">
        <w:rPr>
          <w:vertAlign w:val="subscript"/>
        </w:rPr>
        <w:t>3</w:t>
      </w:r>
      <w:r w:rsidR="004743DD" w:rsidRPr="00E962A7">
        <w:t xml:space="preserve"> solution for 5 minutes at room temperature, followed by coating with DPA for 2 minutes at 40 °C</w:t>
      </w:r>
      <w:r w:rsidR="00DB5A5F" w:rsidRPr="00E962A7">
        <w:t>. A</w:t>
      </w:r>
      <w:r w:rsidR="004743DD" w:rsidRPr="00E962A7">
        <w:t xml:space="preserve">ll tests were compared with this </w:t>
      </w:r>
      <w:commentRangeStart w:id="1"/>
      <w:r w:rsidR="004743DD" w:rsidRPr="00E962A7">
        <w:t>system</w:t>
      </w:r>
      <w:commentRangeEnd w:id="1"/>
      <w:r w:rsidR="00F44585">
        <w:rPr>
          <w:rStyle w:val="CommentReference"/>
        </w:rPr>
        <w:commentReference w:id="1"/>
      </w:r>
      <w:r w:rsidR="004743DD" w:rsidRPr="00E962A7">
        <w:t>.</w:t>
      </w:r>
    </w:p>
    <w:p w14:paraId="1679C0BC" w14:textId="77777777" w:rsidR="007061BA" w:rsidRDefault="007061BA" w:rsidP="007061BA">
      <w:pPr>
        <w:pStyle w:val="CETheadingx"/>
      </w:pPr>
      <w:r w:rsidRPr="00E962A7">
        <w:t>Fluid dynamic characterization</w:t>
      </w:r>
    </w:p>
    <w:p w14:paraId="29769DA9" w14:textId="55ECC68E" w:rsidR="007061BA" w:rsidRPr="00E962A7" w:rsidRDefault="007061BA" w:rsidP="00797254">
      <w:pPr>
        <w:pStyle w:val="CETBodytext"/>
      </w:pPr>
      <w:r w:rsidRPr="00E962A7">
        <w:t>The dynamic of the liquid flow</w:t>
      </w:r>
      <w:r w:rsidR="005D1D92">
        <w:t>s</w:t>
      </w:r>
      <w:r w:rsidRPr="00E962A7">
        <w:t xml:space="preserve"> on the coated metal surfaces was investigated with a particular focus on droplet stability. An inclined plate with variable inclination was constructed to support the samples and to test typical contact angles of commercially available structured packings. Flat, embossed, and corrugated embossed sheets were used for these experiments. The sheets were placed on the inclined stand and liquid was supplied from above through three needles of approximately 1.8 mm OD. The supply system consists of a reservoir, a pump, and a valve to control the flow rate. A camera was used to capture the liquid patterns on the sheets for different flow rates. To obtain clearer and more distinct images of the liquid flow patterns on the sheets, a dye was used. Specifically, an aqueous solution of 0.02 g/L methylene blue was used. The physical properties of the dyed solution (i.e., viscosity, surface tension, density, etc.) remained identical to those of pure water.</w:t>
      </w:r>
    </w:p>
    <w:p w14:paraId="232F2327" w14:textId="1D8CB379" w:rsidR="007061BA" w:rsidRDefault="00984BDD" w:rsidP="0059046B">
      <w:pPr>
        <w:pStyle w:val="CETheadingx"/>
      </w:pPr>
      <w:r>
        <w:t>Structured packing characterization</w:t>
      </w:r>
    </w:p>
    <w:p w14:paraId="22771732" w14:textId="77777777" w:rsidR="00950A9C" w:rsidRDefault="00887FA6" w:rsidP="00887FA6">
      <w:pPr>
        <w:pStyle w:val="CETBodytext"/>
      </w:pPr>
      <w:r w:rsidRPr="00E962A7">
        <w:t xml:space="preserve">The performance of coated and uncoated packing elements was compared. A packed column with three Montz B1-500 structured packing elements (i.e. consisting of corrugated embossed metal sheets placed side by side) was used. The aim of these experiments was to explore the main differences between coated and uncoated packings, particularly in terms of holdup and mass transfer performance. </w:t>
      </w:r>
    </w:p>
    <w:p w14:paraId="39A16D0F" w14:textId="42738275" w:rsidR="004841D6" w:rsidRDefault="00950A9C" w:rsidP="004841D6">
      <w:pPr>
        <w:pStyle w:val="CETBodytext"/>
      </w:pPr>
      <w:r w:rsidRPr="00E962A7">
        <w:t xml:space="preserve">The experimental setup consists mainly of a DN 100 column with gas and liquid auxiliary circuits. The column is composed of several PMMA tube segments screwed together with PMMA flanges. The lower section is a bubble column that allows partial pre-saturation of the pressurized dry air entering the system; to prevent liquid entrainment, a demister is placed above this section. The upper part of the column is the actual test apparatus, </w:t>
      </w:r>
      <w:r w:rsidRPr="00E962A7">
        <w:lastRenderedPageBreak/>
        <w:t xml:space="preserve">and this section is equipped with three 100 mm high structured packing elements. The overlapping elements are rotated 90° with respect to each other to allow liquid and vapor redistribution at the interfaces between the elements. A liquid distributor consisting of </w:t>
      </w:r>
      <w:r>
        <w:t xml:space="preserve">36 </w:t>
      </w:r>
      <w:r w:rsidRPr="00E962A7">
        <w:t>1.8 mm OD needles is located at the top of the column. The number of irrigation points per square meter is close to the guidelines for ideal packing wetting (Green and Perry, 2007). In the system, the liquid is delivered at volumetric flow rates ranging from 0.25 to 2.0 L/min, corresponding to liquid loads (</w:t>
      </w:r>
      <m:oMath>
        <m:r>
          <w:rPr>
            <w:rFonts w:ascii="Cambria Math" w:hAnsi="Cambria Math"/>
          </w:rPr>
          <m:t>B</m:t>
        </m:r>
      </m:oMath>
      <w:r w:rsidRPr="00E962A7">
        <w:t>) of 2 to 15 m</w:t>
      </w:r>
      <w:r w:rsidRPr="00E962A7">
        <w:rPr>
          <w:vertAlign w:val="superscript"/>
        </w:rPr>
        <w:t>3</w:t>
      </w:r>
      <w:r w:rsidRPr="00E962A7">
        <w:t>/m</w:t>
      </w:r>
      <w:r w:rsidRPr="00E962A7">
        <w:rPr>
          <w:vertAlign w:val="superscript"/>
        </w:rPr>
        <w:t>2</w:t>
      </w:r>
      <w:r w:rsidRPr="00E962A7">
        <w:t>h. In this work, a single gas flow rate of 200 SLPM was chosen, which corresponds to a gas superficial velocity (</w:t>
      </w:r>
      <m:oMath>
        <m:sSub>
          <m:sSubPr>
            <m:ctrlPr>
              <w:rPr>
                <w:rFonts w:ascii="Cambria Math" w:hAnsi="Cambria Math"/>
                <w:i/>
              </w:rPr>
            </m:ctrlPr>
          </m:sSubPr>
          <m:e>
            <m:r>
              <w:rPr>
                <w:rFonts w:ascii="Cambria Math" w:hAnsi="Cambria Math"/>
              </w:rPr>
              <m:t>u</m:t>
            </m:r>
          </m:e>
          <m:sub>
            <m:r>
              <w:rPr>
                <w:rFonts w:ascii="Cambria Math" w:hAnsi="Cambria Math"/>
              </w:rPr>
              <m:t>s,G</m:t>
            </m:r>
          </m:sub>
        </m:sSub>
      </m:oMath>
      <w:r w:rsidRPr="00E962A7">
        <w:t>) of 0.45 m/s, ensuring operation below the gas loading point. The focus was on understanding how the coating affects the behavior of the liquid phase.</w:t>
      </w:r>
      <w:r w:rsidR="001D72C0">
        <w:t xml:space="preserve"> </w:t>
      </w:r>
      <w:r w:rsidR="004841D6" w:rsidRPr="00E962A7">
        <w:t xml:space="preserve">Figure </w:t>
      </w:r>
      <w:r w:rsidR="00B661B7">
        <w:t>1</w:t>
      </w:r>
      <w:r w:rsidR="004841D6" w:rsidRPr="00E962A7">
        <w:t xml:space="preserve"> shows the process diagram of the mini-plant (left) and a picture of the setup (right); a more detailed description </w:t>
      </w:r>
      <w:r w:rsidR="00474032">
        <w:t xml:space="preserve">of experimental procedures </w:t>
      </w:r>
      <w:r w:rsidR="004841D6" w:rsidRPr="00E962A7">
        <w:t>follows.</w:t>
      </w:r>
    </w:p>
    <w:p w14:paraId="4428D077" w14:textId="77777777" w:rsidR="00D03636" w:rsidRDefault="00D03636" w:rsidP="004841D6">
      <w:pPr>
        <w:pStyle w:val="CETBodytext"/>
      </w:pPr>
    </w:p>
    <w:p w14:paraId="4C0A31A8" w14:textId="77777777" w:rsidR="004841D6" w:rsidRPr="00E962A7" w:rsidRDefault="004841D6" w:rsidP="004841D6">
      <w:pPr>
        <w:pStyle w:val="CETBodytext"/>
        <w:jc w:val="left"/>
      </w:pPr>
      <w:r w:rsidRPr="00E962A7">
        <w:rPr>
          <w:noProof/>
        </w:rPr>
        <w:drawing>
          <wp:inline distT="0" distB="0" distL="0" distR="0" wp14:anchorId="6512EF10" wp14:editId="226A2396">
            <wp:extent cx="5400000" cy="2640740"/>
            <wp:effectExtent l="0" t="0" r="0" b="7620"/>
            <wp:docPr id="183461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1351"/>
                    <a:stretch/>
                  </pic:blipFill>
                  <pic:spPr bwMode="auto">
                    <a:xfrm>
                      <a:off x="0" y="0"/>
                      <a:ext cx="5400000" cy="2640740"/>
                    </a:xfrm>
                    <a:prstGeom prst="rect">
                      <a:avLst/>
                    </a:prstGeom>
                    <a:noFill/>
                    <a:ln>
                      <a:noFill/>
                    </a:ln>
                    <a:extLst>
                      <a:ext uri="{53640926-AAD7-44D8-BBD7-CCE9431645EC}">
                        <a14:shadowObscured xmlns:a14="http://schemas.microsoft.com/office/drawing/2010/main"/>
                      </a:ext>
                    </a:extLst>
                  </pic:spPr>
                </pic:pic>
              </a:graphicData>
            </a:graphic>
          </wp:inline>
        </w:drawing>
      </w:r>
    </w:p>
    <w:p w14:paraId="3E1FCD47" w14:textId="12C15E14" w:rsidR="004841D6" w:rsidRDefault="004841D6" w:rsidP="004841D6">
      <w:pPr>
        <w:pStyle w:val="Caption"/>
        <w:jc w:val="left"/>
        <w:rPr>
          <w:b w:val="0"/>
          <w:bCs w:val="0"/>
          <w:i/>
          <w:iCs/>
          <w:color w:val="auto"/>
        </w:rPr>
      </w:pPr>
      <w:r w:rsidRPr="00E962A7">
        <w:rPr>
          <w:b w:val="0"/>
          <w:bCs w:val="0"/>
          <w:i/>
          <w:iCs/>
          <w:color w:val="auto"/>
        </w:rPr>
        <w:t xml:space="preserve">Figure </w:t>
      </w:r>
      <w:r w:rsidRPr="00E962A7">
        <w:rPr>
          <w:b w:val="0"/>
          <w:bCs w:val="0"/>
          <w:i/>
          <w:iCs/>
          <w:color w:val="auto"/>
        </w:rPr>
        <w:fldChar w:fldCharType="begin"/>
      </w:r>
      <w:r w:rsidRPr="00E962A7">
        <w:rPr>
          <w:b w:val="0"/>
          <w:bCs w:val="0"/>
          <w:i/>
          <w:iCs/>
          <w:color w:val="auto"/>
        </w:rPr>
        <w:instrText xml:space="preserve"> SEQ Figure \* ARABIC </w:instrText>
      </w:r>
      <w:r w:rsidRPr="00E962A7">
        <w:rPr>
          <w:b w:val="0"/>
          <w:bCs w:val="0"/>
          <w:i/>
          <w:iCs/>
          <w:color w:val="auto"/>
        </w:rPr>
        <w:fldChar w:fldCharType="separate"/>
      </w:r>
      <w:r w:rsidR="00660BE4">
        <w:rPr>
          <w:b w:val="0"/>
          <w:bCs w:val="0"/>
          <w:i/>
          <w:iCs/>
          <w:noProof/>
          <w:color w:val="auto"/>
        </w:rPr>
        <w:t>1</w:t>
      </w:r>
      <w:r w:rsidRPr="00E962A7">
        <w:rPr>
          <w:b w:val="0"/>
          <w:bCs w:val="0"/>
          <w:i/>
          <w:iCs/>
          <w:color w:val="auto"/>
        </w:rPr>
        <w:fldChar w:fldCharType="end"/>
      </w:r>
      <w:r w:rsidRPr="00E962A7">
        <w:rPr>
          <w:b w:val="0"/>
          <w:bCs w:val="0"/>
          <w:i/>
          <w:iCs/>
          <w:color w:val="auto"/>
        </w:rPr>
        <w:t xml:space="preserve">: Experimental test rig details (left: PFD of the test rig, right: test rig). </w:t>
      </w:r>
    </w:p>
    <w:p w14:paraId="64AFA4AD" w14:textId="77777777" w:rsidR="007977F8" w:rsidRDefault="007977F8" w:rsidP="00950A9C">
      <w:pPr>
        <w:pStyle w:val="CETBodytext"/>
      </w:pPr>
    </w:p>
    <w:p w14:paraId="2081442C" w14:textId="4B5706E0" w:rsidR="00950A9C" w:rsidRPr="00E962A7" w:rsidRDefault="00950A9C" w:rsidP="00950A9C">
      <w:pPr>
        <w:pStyle w:val="CETBodytext"/>
      </w:pPr>
      <w:r w:rsidRPr="00E962A7">
        <w:t xml:space="preserve">The liquid circuit is operated by a centrifugal pump (G) which pumps the liquid from a buffer tank (D1) to the liquid distributor. The liquid leaving the packed bed is collected by a chimney tray element and sent to the outlet tank (D2), the outlet line is equipped with a sampling point (SP). The gas supply is provided by a compressed air line. The gas flow is controlled by a mass flow controller with a range of up to 250 SLPM with an accuracy of 0.8%. Air is introduced at the bottom of the pre-saturation section and, after bubbling through a batch of water, enters directly into the stripping section. After passing through the column, the gas is vented to the atmosphere at top of the column. An </w:t>
      </w:r>
      <w:r w:rsidRPr="00ED1A8A">
        <w:t>exhaust hood</w:t>
      </w:r>
      <w:r w:rsidRPr="00E962A7">
        <w:t xml:space="preserve"> is placed above the column to collect gaseous emissions.</w:t>
      </w:r>
    </w:p>
    <w:p w14:paraId="1A210741" w14:textId="71847AE0" w:rsidR="00950A9C" w:rsidRPr="00E962A7" w:rsidRDefault="00950A9C" w:rsidP="00950A9C">
      <w:pPr>
        <w:pStyle w:val="CETBodytext"/>
      </w:pPr>
      <w:r w:rsidRPr="00E962A7">
        <w:t>For mass transfer experiments, a</w:t>
      </w:r>
      <w:r>
        <w:t xml:space="preserve"> 1000 ppm</w:t>
      </w:r>
      <w:r w:rsidRPr="00A81679">
        <w:rPr>
          <w:vertAlign w:val="subscript"/>
        </w:rPr>
        <w:t>v</w:t>
      </w:r>
      <w:r w:rsidRPr="00E962A7">
        <w:t xml:space="preserve"> volatile organic compound (VOC) </w:t>
      </w:r>
      <w:r>
        <w:t xml:space="preserve">water </w:t>
      </w:r>
      <w:r w:rsidRPr="00E962A7">
        <w:t>solution must be prepared. To prepare the solution, the pump is used as a mixing device. Two valves allow switching between preparation and experimental modes. Pure VOC is injected at the pump inlet via the injection point (IP), and the liquid circulates to and from the tank.</w:t>
      </w:r>
      <w:r w:rsidR="00074DBE">
        <w:t xml:space="preserve"> Liquid exact concentration was checked offline by UV spectroscopy.</w:t>
      </w:r>
      <w:r w:rsidRPr="00E962A7">
        <w:t xml:space="preserve"> During the experiments, the gas and liquid temperatures above the packed bed and the gas humidity after the bubble column were measured at regular </w:t>
      </w:r>
      <w:commentRangeStart w:id="2"/>
      <w:r w:rsidRPr="00E962A7">
        <w:t>intervals</w:t>
      </w:r>
      <w:commentRangeEnd w:id="2"/>
      <w:r w:rsidR="00BA1022">
        <w:rPr>
          <w:rStyle w:val="CommentReference"/>
        </w:rPr>
        <w:commentReference w:id="2"/>
      </w:r>
      <w:r w:rsidRPr="00E962A7">
        <w:t>.</w:t>
      </w:r>
    </w:p>
    <w:p w14:paraId="62553EA6" w14:textId="77777777" w:rsidR="00B06AA0" w:rsidRPr="00E962A7" w:rsidRDefault="00B06AA0" w:rsidP="00B06AA0">
      <w:pPr>
        <w:pStyle w:val="CETHeadingxx"/>
      </w:pPr>
      <w:r w:rsidRPr="00E962A7">
        <w:t>Holdup measurement</w:t>
      </w:r>
    </w:p>
    <w:p w14:paraId="7B51416A" w14:textId="77777777" w:rsidR="00B06AA0" w:rsidRPr="00E962A7" w:rsidRDefault="00B06AA0" w:rsidP="00B06AA0">
      <w:pPr>
        <w:pStyle w:val="CETBodytext"/>
      </w:pPr>
      <w:r w:rsidRPr="00E962A7">
        <w:t xml:space="preserve">For the sake of simplicity, the holdup determination in the present work was made by measuring the amount of liquid collected at the bottom of the column when the liquid inlet and outlet were closed, as used by Aferka et al. (2011). Liquid level changes were measured as pressure changes using a differential pressure sensor. The acquired pressure signals were then converted first to water column heights and then to liquid volumes by knowing the area of the liquid collection section. Dividing the collected water by the volume occupied by the packing elements, the holdup was derived. First, the packing was pre-wetted; after reaching a steady state at a given flow rate, the liquid inlet and outlet valves were closed simultaneously and the liquid was allowed to drain. The drain time was ten minutes for each test, a compromise between collecting most of the liquid from the packing and keeping the test times short. After the valves were closed, the water supply was immediately shut off due to the design of the distributor. </w:t>
      </w:r>
      <w:r>
        <w:t>A</w:t>
      </w:r>
      <w:r w:rsidRPr="00E962A7">
        <w:t xml:space="preserve">t normal operating conditions of the specific experimental setup, the gas superficial velocity does not exceed 1 m/s. At this low superficial velocity, the column always operates in the preloading regime. In this regime, holdup is essentially independent from the gas velocity but is a strong </w:t>
      </w:r>
      <w:r w:rsidRPr="00E962A7">
        <w:lastRenderedPageBreak/>
        <w:t>function of liquid flow rate and packing size. Therefore, for simplicity, it was decided to perform holdup measurements in the absence of countercurrent gas flow, as the effects were considered negligible.</w:t>
      </w:r>
    </w:p>
    <w:p w14:paraId="77477AE9" w14:textId="77777777" w:rsidR="00B06AA0" w:rsidRPr="00E962A7" w:rsidRDefault="00B06AA0" w:rsidP="00B06AA0">
      <w:pPr>
        <w:pStyle w:val="CETHeadingxx"/>
      </w:pPr>
      <w:r w:rsidRPr="00E962A7">
        <w:t>Mass transfer tests</w:t>
      </w:r>
    </w:p>
    <w:p w14:paraId="0C434325" w14:textId="4786448D" w:rsidR="00B06AA0" w:rsidRPr="00E962A7" w:rsidRDefault="00B06AA0" w:rsidP="00B06AA0">
      <w:pPr>
        <w:pStyle w:val="CETBodytext"/>
      </w:pPr>
      <w:r w:rsidRPr="00E962A7">
        <w:t>The present work uses air-led stripping of isobutyl acetate from an aqueous solution to measure the mass transfer performance of the structured packings. Isobutyl acetate is a colorless liquid with a fruity odor and moderate solubility in water. This test system has recently been used to measure liquid-side mass transfer coefficients in randomly packed columns by Lamprecht and Burger (2018), and to measure tray and point efficiencies in distillation columns by Marchini et al. (2021</w:t>
      </w:r>
      <w:r w:rsidR="00AF38D1">
        <w:t>, 2023</w:t>
      </w:r>
      <w:r w:rsidRPr="00E962A7">
        <w:t>). This work represents the first application of this system for the determination of mass transfer parameters on structured packings.</w:t>
      </w:r>
    </w:p>
    <w:p w14:paraId="0B7397B8" w14:textId="77777777" w:rsidR="00B06AA0" w:rsidRPr="00E962A7" w:rsidRDefault="00B06AA0" w:rsidP="00B06AA0">
      <w:pPr>
        <w:pStyle w:val="CETBodytext"/>
      </w:pPr>
      <w:r w:rsidRPr="00E962A7">
        <w:t xml:space="preserve">An initial concentration of 1000 ppm isobutyl acetate in the liquid batch was selected based on preliminary tests. The physical properties of the resulting batch (i.e., viscosity, surface tension, density, etc.) remained identical to those of pure water. An offline UV spectrometer was used for sample analysis and data acquisition. During the experiments, solution samples were taken from the sampling point (SP) visible in Figure 2 (left). At first, mass transfer resistances were estimated for the considered physical system using the model of Brunazzi et al. (1995). It turns out that the resistance in the liquid phase is much higher than in the gas phase, so that the experimentally determined mass transfer coefficient corresponds to the liquid-side mass transfer coefficient. From the concentration values across the packed bed, the </w:t>
      </w:r>
      <m:oMath>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a</m:t>
        </m:r>
      </m:oMath>
      <w:r w:rsidRPr="00E962A7">
        <w:t xml:space="preserve"> values are derived as follows.</w:t>
      </w:r>
    </w:p>
    <w:p w14:paraId="6C9026F0" w14:textId="77777777" w:rsidR="00B06AA0" w:rsidRPr="00E962A7" w:rsidRDefault="00B06AA0" w:rsidP="00B06AA0">
      <w:pPr>
        <w:pStyle w:val="CETBodytex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88"/>
        <w:gridCol w:w="4389"/>
      </w:tblGrid>
      <w:tr w:rsidR="00B06AA0" w:rsidRPr="00E962A7" w14:paraId="54FA515B" w14:textId="77777777" w:rsidTr="00D16244">
        <w:tc>
          <w:tcPr>
            <w:tcW w:w="4388" w:type="dxa"/>
            <w:tcBorders>
              <w:top w:val="nil"/>
              <w:left w:val="nil"/>
              <w:bottom w:val="nil"/>
              <w:right w:val="nil"/>
            </w:tcBorders>
          </w:tcPr>
          <w:p w14:paraId="7132AEC2" w14:textId="77777777" w:rsidR="00B06AA0" w:rsidRPr="00E962A7" w:rsidRDefault="00B06AA0" w:rsidP="00D16244">
            <w:pPr>
              <w:pStyle w:val="CETBodytext"/>
              <w:tabs>
                <w:tab w:val="clear" w:pos="7100"/>
                <w:tab w:val="left" w:pos="3348"/>
              </w:tabs>
              <w:jc w:val="left"/>
            </w:pPr>
            <m:oMath>
              <m:r>
                <w:rPr>
                  <w:rFonts w:ascii="Cambria Math" w:hAnsi="Cambria Math"/>
                </w:rPr>
                <m:t>N=L</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OUT</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OX</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H</m:t>
              </m:r>
              <m:r>
                <m:rPr>
                  <m:sty m:val="p"/>
                </m:rPr>
                <w:rPr>
                  <w:rFonts w:ascii="Cambria Math" w:hAnsi="Cambria Math"/>
                </w:rPr>
                <m:t>Δ</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LM</m:t>
                  </m:r>
                </m:sub>
              </m:sSub>
            </m:oMath>
            <w:r w:rsidRPr="00E962A7">
              <w:t xml:space="preserve"> </w:t>
            </w:r>
          </w:p>
        </w:tc>
        <w:tc>
          <w:tcPr>
            <w:tcW w:w="4389" w:type="dxa"/>
            <w:tcBorders>
              <w:left w:val="nil"/>
              <w:bottom w:val="nil"/>
            </w:tcBorders>
          </w:tcPr>
          <w:p w14:paraId="40674622" w14:textId="77777777" w:rsidR="00B06AA0" w:rsidRPr="00E962A7" w:rsidRDefault="00B06AA0" w:rsidP="00D16244">
            <w:pPr>
              <w:pStyle w:val="CETBodytext"/>
              <w:jc w:val="right"/>
            </w:pPr>
            <w:r w:rsidRPr="00E962A7">
              <w:t>(1)</w:t>
            </w:r>
          </w:p>
        </w:tc>
      </w:tr>
    </w:tbl>
    <w:p w14:paraId="220FE315" w14:textId="77777777" w:rsidR="00B06AA0" w:rsidRPr="00E962A7" w:rsidRDefault="00B06AA0" w:rsidP="00B06AA0">
      <w:pPr>
        <w:pStyle w:val="CETBodytext"/>
      </w:pPr>
    </w:p>
    <w:p w14:paraId="568759FE" w14:textId="77777777" w:rsidR="00B06AA0" w:rsidRPr="00E962A7" w:rsidRDefault="00B06AA0" w:rsidP="00B06AA0">
      <w:pPr>
        <w:pStyle w:val="CETBodytext"/>
      </w:pPr>
      <w:r w:rsidRPr="00E962A7">
        <w:t>As noted above, the gas phase resistance was considered negligible, so the total liquid-side coefficient is equal to the single liquid phase coefficient.</w:t>
      </w:r>
    </w:p>
    <w:p w14:paraId="21945C69" w14:textId="77777777" w:rsidR="00B06AA0" w:rsidRPr="00E962A7" w:rsidRDefault="00B06AA0" w:rsidP="00B06AA0">
      <w:pPr>
        <w:pStyle w:val="CETBodytex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88"/>
        <w:gridCol w:w="4389"/>
      </w:tblGrid>
      <w:tr w:rsidR="00B06AA0" w:rsidRPr="00E962A7" w14:paraId="39D69E73" w14:textId="77777777" w:rsidTr="00D16244">
        <w:tc>
          <w:tcPr>
            <w:tcW w:w="4388" w:type="dxa"/>
          </w:tcPr>
          <w:p w14:paraId="53A9FAA4" w14:textId="77777777" w:rsidR="00B06AA0" w:rsidRPr="00E962A7" w:rsidRDefault="00000000" w:rsidP="00D16244">
            <w:pPr>
              <w:pStyle w:val="CETBodytext"/>
              <w:tabs>
                <w:tab w:val="clear" w:pos="7100"/>
                <w:tab w:val="left" w:pos="3348"/>
              </w:tabs>
              <w:jc w:val="left"/>
              <w:rPr>
                <w:rFonts w:ascii="Cambria Math" w:hAnsi="Cambria Math"/>
                <w:i/>
              </w:rPr>
            </w:pPr>
            <m:oMath>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 xml:space="preserve">a=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OX</m:t>
                      </m:r>
                    </m:sub>
                  </m:sSub>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/MM</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L</m:t>
                      </m:r>
                    </m:sub>
                  </m:sSub>
                  <m:r>
                    <m:rPr>
                      <m:lit/>
                    </m:rPr>
                    <w:rPr>
                      <w:rFonts w:ascii="Cambria Math" w:hAnsi="Cambria Math"/>
                    </w:rPr>
                    <m:t>/</m:t>
                  </m:r>
                  <m:r>
                    <w:rPr>
                      <w:rFonts w:ascii="Cambria Math" w:hAnsi="Cambria Math"/>
                    </w:rPr>
                    <m:t>MM</m:t>
                  </m:r>
                </m:den>
              </m:f>
              <m:d>
                <m:dPr>
                  <m:ctrlPr>
                    <w:rPr>
                      <w:rFonts w:ascii="Cambria Math" w:hAnsi="Cambria Math"/>
                      <w:i/>
                    </w:rPr>
                  </m:ctrlPr>
                </m:dPr>
                <m:e>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H</m:t>
                      </m:r>
                    </m:den>
                  </m:f>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OUT</m:t>
                              </m:r>
                            </m:sub>
                          </m:sSub>
                        </m:e>
                      </m:d>
                    </m:num>
                    <m:den>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LM</m:t>
                          </m:r>
                        </m:sub>
                      </m:sSub>
                    </m:den>
                  </m:f>
                </m:e>
              </m:d>
            </m:oMath>
            <w:r w:rsidR="00B06AA0" w:rsidRPr="00E962A7">
              <w:rPr>
                <w:rFonts w:ascii="Cambria Math" w:hAnsi="Cambria Math"/>
                <w:i/>
              </w:rPr>
              <w:t xml:space="preserve"> </w:t>
            </w:r>
          </w:p>
        </w:tc>
        <w:tc>
          <w:tcPr>
            <w:tcW w:w="4389" w:type="dxa"/>
          </w:tcPr>
          <w:p w14:paraId="3B013EE5" w14:textId="77777777" w:rsidR="00B06AA0" w:rsidRPr="00E962A7" w:rsidRDefault="00B06AA0" w:rsidP="00D16244">
            <w:pPr>
              <w:pStyle w:val="CETBodytext"/>
              <w:jc w:val="right"/>
            </w:pPr>
            <w:r w:rsidRPr="00E962A7">
              <w:t>(2)</w:t>
            </w:r>
          </w:p>
        </w:tc>
      </w:tr>
    </w:tbl>
    <w:p w14:paraId="6CC7F284" w14:textId="49F04E79" w:rsidR="007061BA" w:rsidRDefault="00950A9C" w:rsidP="00950A9C">
      <w:pPr>
        <w:pStyle w:val="CETHeading1"/>
      </w:pPr>
      <w:r>
        <w:t>Results and discussion</w:t>
      </w:r>
    </w:p>
    <w:p w14:paraId="547CB9FA" w14:textId="79DD3D46" w:rsidR="00EA63A5" w:rsidRPr="00EA63A5" w:rsidRDefault="00EA63A5" w:rsidP="00EA63A5">
      <w:pPr>
        <w:pStyle w:val="CETheadingx"/>
      </w:pPr>
      <w:r>
        <w:t>Surface wettability modification</w:t>
      </w:r>
    </w:p>
    <w:p w14:paraId="01F9E87F" w14:textId="38F830B2" w:rsidR="004743DD" w:rsidRPr="00E962A7" w:rsidRDefault="004743DD" w:rsidP="008F09BD">
      <w:pPr>
        <w:pStyle w:val="CETBodytext"/>
      </w:pPr>
      <w:r w:rsidRPr="00E962A7">
        <w:t>Depending on the SAM system, the etching solution giving the best results was determined. For DPA, higher contact angle</w:t>
      </w:r>
      <w:r w:rsidR="00D77A96" w:rsidRPr="00E962A7">
        <w:t>s</w:t>
      </w:r>
      <w:r w:rsidRPr="00E962A7">
        <w:t xml:space="preserve"> </w:t>
      </w:r>
      <w:r w:rsidR="007C63A7" w:rsidRPr="00E962A7">
        <w:t>were</w:t>
      </w:r>
      <w:r w:rsidRPr="00E962A7">
        <w:t xml:space="preserve"> obtained us</w:t>
      </w:r>
      <w:r w:rsidR="00D77A96" w:rsidRPr="00E962A7">
        <w:t>ing</w:t>
      </w:r>
      <w:r w:rsidRPr="00E962A7">
        <w:t xml:space="preserve"> HNO</w:t>
      </w:r>
      <w:r w:rsidRPr="00E962A7">
        <w:rPr>
          <w:vertAlign w:val="subscript"/>
        </w:rPr>
        <w:t>3</w:t>
      </w:r>
      <w:r w:rsidRPr="00E962A7">
        <w:t xml:space="preserve"> + FeCl</w:t>
      </w:r>
      <w:r w:rsidRPr="00E962A7">
        <w:rPr>
          <w:vertAlign w:val="subscript"/>
        </w:rPr>
        <w:t xml:space="preserve">3 </w:t>
      </w:r>
      <w:r w:rsidRPr="00E962A7">
        <w:t xml:space="preserve">solution, while for 17FPA </w:t>
      </w:r>
      <w:r w:rsidR="004B7209">
        <w:t>greater</w:t>
      </w:r>
      <w:r w:rsidR="00836AA2" w:rsidRPr="00E962A7">
        <w:t xml:space="preserve"> contact angles </w:t>
      </w:r>
      <w:r w:rsidR="00120EA9" w:rsidRPr="00E962A7">
        <w:t>were</w:t>
      </w:r>
      <w:r w:rsidRPr="00E962A7">
        <w:t xml:space="preserve"> obtained </w:t>
      </w:r>
      <w:r w:rsidR="00206E11" w:rsidRPr="00E962A7">
        <w:t xml:space="preserve">using </w:t>
      </w:r>
      <w:r w:rsidRPr="00E962A7">
        <w:t>HNO</w:t>
      </w:r>
      <w:r w:rsidRPr="00E962A7">
        <w:rPr>
          <w:vertAlign w:val="subscript"/>
        </w:rPr>
        <w:t>3</w:t>
      </w:r>
      <w:r w:rsidRPr="00E962A7">
        <w:t xml:space="preserve"> + H</w:t>
      </w:r>
      <w:r w:rsidRPr="00E962A7">
        <w:rPr>
          <w:vertAlign w:val="subscript"/>
        </w:rPr>
        <w:t>2</w:t>
      </w:r>
      <w:r w:rsidRPr="00E962A7">
        <w:t>O</w:t>
      </w:r>
      <w:r w:rsidRPr="00E962A7">
        <w:rPr>
          <w:vertAlign w:val="subscript"/>
        </w:rPr>
        <w:t>2</w:t>
      </w:r>
      <w:r w:rsidRPr="00E962A7">
        <w:t xml:space="preserve"> solution. The effect of the temperature of the etching bath was also studied. Two cases were considered: no heating and heating at 60°C. For the DPA-based system, the combination of HNO</w:t>
      </w:r>
      <w:r w:rsidRPr="00E962A7">
        <w:rPr>
          <w:vertAlign w:val="subscript"/>
        </w:rPr>
        <w:t>3</w:t>
      </w:r>
      <w:r w:rsidRPr="00E962A7">
        <w:t xml:space="preserve"> + FeCl</w:t>
      </w:r>
      <w:r w:rsidRPr="00E962A7">
        <w:rPr>
          <w:vertAlign w:val="subscript"/>
        </w:rPr>
        <w:t>3</w:t>
      </w:r>
      <w:r w:rsidRPr="00E962A7">
        <w:t xml:space="preserve"> and heating at 60°</w:t>
      </w:r>
      <w:r w:rsidR="0030529D">
        <w:t>C</w:t>
      </w:r>
      <w:r w:rsidR="00F70587" w:rsidRPr="00E962A7">
        <w:t xml:space="preserve"> gave the</w:t>
      </w:r>
      <w:r w:rsidRPr="00E962A7">
        <w:t xml:space="preserve"> best results, while for 17FPA, heating at 60°C did not have a significant effect on the contact angle. The contact angle results are presented in Table 1. The degradation of the contact angle by immersion in water was</w:t>
      </w:r>
      <w:r w:rsidR="000B1D16" w:rsidRPr="00E962A7">
        <w:t xml:space="preserve"> also</w:t>
      </w:r>
      <w:r w:rsidRPr="00E962A7">
        <w:t xml:space="preserve"> analyzed. Contact angles were compared before and after immersion in water for 72 hours. The degradation of contact angles under these conditions </w:t>
      </w:r>
      <w:r w:rsidR="00843F26" w:rsidRPr="00E962A7">
        <w:t xml:space="preserve">is </w:t>
      </w:r>
      <w:r w:rsidRPr="00E962A7">
        <w:t xml:space="preserve">less than 5% for both systems. </w:t>
      </w:r>
    </w:p>
    <w:p w14:paraId="66771A67" w14:textId="7D9DFF60" w:rsidR="00FF74E2" w:rsidRPr="00E962A7" w:rsidRDefault="005F27C5" w:rsidP="00FF74E2">
      <w:pPr>
        <w:pStyle w:val="CETBodytext"/>
      </w:pPr>
      <w:r w:rsidRPr="00E962A7">
        <w:t xml:space="preserve">This feasibility study showed that 17FPA gave the best results in terms of contact angle and hysteresis between ACA and RCA. Therefore, it was decided to use the system consisting of 17FPA with a pre-etch treatment at room temperature with nitric acid and hydrogen peroxide solution for the subsequent coatings. Figure </w:t>
      </w:r>
      <w:r w:rsidR="00FC0FF7">
        <w:t>2</w:t>
      </w:r>
      <w:r w:rsidR="00A972E4" w:rsidRPr="00E962A7">
        <w:t xml:space="preserve"> (left)</w:t>
      </w:r>
      <w:r w:rsidRPr="00E962A7">
        <w:t xml:space="preserve"> shows the contact angle obtained for the chosen combination of SAM</w:t>
      </w:r>
      <w:r w:rsidR="00B273E1" w:rsidRPr="00E962A7">
        <w:t>s</w:t>
      </w:r>
      <w:r w:rsidRPr="00E962A7">
        <w:t xml:space="preserve"> and etching solution.</w:t>
      </w:r>
    </w:p>
    <w:p w14:paraId="709D90FD" w14:textId="77777777" w:rsidR="00FF74E2" w:rsidRPr="00E962A7" w:rsidRDefault="00FF74E2" w:rsidP="00FF74E2">
      <w:pPr>
        <w:pStyle w:val="CETBodytext"/>
      </w:pPr>
    </w:p>
    <w:p w14:paraId="1B4E7E6D" w14:textId="023CC6A6" w:rsidR="00826BB5" w:rsidRPr="00E962A7" w:rsidRDefault="00826BB5" w:rsidP="00FF74E2">
      <w:pPr>
        <w:pStyle w:val="CETBodytext"/>
        <w:rPr>
          <w:i/>
          <w:iCs/>
        </w:rPr>
      </w:pPr>
      <w:r w:rsidRPr="00E962A7">
        <w:rPr>
          <w:i/>
          <w:iCs/>
        </w:rPr>
        <w:t xml:space="preserve">Table </w:t>
      </w:r>
      <w:r w:rsidR="003C358B" w:rsidRPr="00E962A7">
        <w:rPr>
          <w:i/>
          <w:iCs/>
        </w:rPr>
        <w:t>1: Static</w:t>
      </w:r>
      <w:r w:rsidR="00253E00" w:rsidRPr="00E962A7">
        <w:rPr>
          <w:i/>
          <w:iCs/>
        </w:rPr>
        <w:t xml:space="preserve"> contact angles for different surface treatment combinations</w:t>
      </w:r>
      <w:r w:rsidR="002264A5" w:rsidRPr="00E962A7">
        <w:rPr>
          <w:i/>
          <w:iCs/>
        </w:rPr>
        <w:t xml:space="preserve"> (RT: room temperature)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4"/>
        <w:gridCol w:w="1984"/>
      </w:tblGrid>
      <w:tr w:rsidR="00FE194D" w:rsidRPr="00E962A7" w14:paraId="3CD3FD73" w14:textId="77777777" w:rsidTr="002264A5">
        <w:tc>
          <w:tcPr>
            <w:tcW w:w="2694" w:type="dxa"/>
            <w:tcBorders>
              <w:top w:val="single" w:sz="12" w:space="0" w:color="008000"/>
              <w:bottom w:val="single" w:sz="6" w:space="0" w:color="008000"/>
            </w:tcBorders>
            <w:shd w:val="clear" w:color="auto" w:fill="FFFFFF"/>
          </w:tcPr>
          <w:p w14:paraId="2D54D332" w14:textId="7146A47F" w:rsidR="00FE194D" w:rsidRPr="00E962A7" w:rsidRDefault="00174D3C" w:rsidP="007024DA">
            <w:pPr>
              <w:pStyle w:val="CETBodytext"/>
            </w:pPr>
            <w:r w:rsidRPr="00E962A7">
              <w:t>Surface treatment combination</w:t>
            </w:r>
          </w:p>
        </w:tc>
        <w:tc>
          <w:tcPr>
            <w:tcW w:w="1984" w:type="dxa"/>
            <w:tcBorders>
              <w:top w:val="single" w:sz="12" w:space="0" w:color="008000"/>
              <w:bottom w:val="single" w:sz="6" w:space="0" w:color="008000"/>
            </w:tcBorders>
            <w:shd w:val="clear" w:color="auto" w:fill="FFFFFF"/>
          </w:tcPr>
          <w:p w14:paraId="62504781" w14:textId="64968905" w:rsidR="00FE194D" w:rsidRPr="00E962A7" w:rsidRDefault="00174D3C" w:rsidP="003C358B">
            <w:pPr>
              <w:pStyle w:val="CETBodytext"/>
              <w:ind w:right="-1"/>
              <w:jc w:val="center"/>
              <w:rPr>
                <w:rFonts w:cs="Arial"/>
                <w:szCs w:val="18"/>
              </w:rPr>
            </w:pPr>
            <w:r w:rsidRPr="00E962A7">
              <w:rPr>
                <w:rFonts w:cs="Arial"/>
                <w:szCs w:val="18"/>
              </w:rPr>
              <w:t>Average CA (°)</w:t>
            </w:r>
          </w:p>
        </w:tc>
      </w:tr>
      <w:tr w:rsidR="00FE194D" w:rsidRPr="00E962A7" w14:paraId="68870653" w14:textId="77777777" w:rsidTr="002264A5">
        <w:tc>
          <w:tcPr>
            <w:tcW w:w="2694" w:type="dxa"/>
            <w:shd w:val="clear" w:color="auto" w:fill="FFFFFF"/>
          </w:tcPr>
          <w:p w14:paraId="2BAEF999" w14:textId="34CA8423" w:rsidR="00FE194D" w:rsidRPr="00E962A7" w:rsidRDefault="00174D3C" w:rsidP="007024DA">
            <w:pPr>
              <w:pStyle w:val="CETBodytext"/>
            </w:pPr>
            <w:r w:rsidRPr="00E962A7">
              <w:t>Non coated</w:t>
            </w:r>
          </w:p>
        </w:tc>
        <w:tc>
          <w:tcPr>
            <w:tcW w:w="1984" w:type="dxa"/>
            <w:shd w:val="clear" w:color="auto" w:fill="FFFFFF"/>
          </w:tcPr>
          <w:p w14:paraId="695121B5" w14:textId="4C0A4326" w:rsidR="00FE194D" w:rsidRPr="00E962A7" w:rsidRDefault="00174D3C" w:rsidP="003C358B">
            <w:pPr>
              <w:pStyle w:val="CETBodytext"/>
              <w:ind w:right="-1"/>
              <w:jc w:val="center"/>
              <w:rPr>
                <w:rFonts w:cs="Arial"/>
                <w:szCs w:val="18"/>
              </w:rPr>
            </w:pPr>
            <w:r w:rsidRPr="00E962A7">
              <w:rPr>
                <w:rFonts w:cs="Arial"/>
                <w:szCs w:val="18"/>
              </w:rPr>
              <w:t>80.3</w:t>
            </w:r>
          </w:p>
        </w:tc>
      </w:tr>
      <w:tr w:rsidR="00FE194D" w:rsidRPr="00E962A7" w14:paraId="19E7114F" w14:textId="77777777" w:rsidTr="002264A5">
        <w:tc>
          <w:tcPr>
            <w:tcW w:w="2694" w:type="dxa"/>
            <w:shd w:val="clear" w:color="auto" w:fill="FFFFFF"/>
          </w:tcPr>
          <w:p w14:paraId="1F0A9BBC" w14:textId="2037C254" w:rsidR="00FE194D" w:rsidRPr="00E962A7" w:rsidRDefault="00174D3C" w:rsidP="007024DA">
            <w:pPr>
              <w:pStyle w:val="CETBodytext"/>
              <w:ind w:right="-1"/>
              <w:rPr>
                <w:rFonts w:cs="Arial"/>
                <w:szCs w:val="18"/>
              </w:rPr>
            </w:pPr>
            <w:r w:rsidRPr="00E962A7">
              <w:rPr>
                <w:rFonts w:cs="Arial"/>
                <w:szCs w:val="18"/>
              </w:rPr>
              <w:t>DPA/HNO</w:t>
            </w:r>
            <w:r w:rsidRPr="00E962A7">
              <w:rPr>
                <w:rFonts w:cs="Arial"/>
                <w:szCs w:val="18"/>
                <w:vertAlign w:val="subscript"/>
              </w:rPr>
              <w:t>3</w:t>
            </w:r>
            <w:r w:rsidRPr="00E962A7">
              <w:rPr>
                <w:rFonts w:cs="Arial"/>
                <w:szCs w:val="18"/>
              </w:rPr>
              <w:t xml:space="preserve"> @RT</w:t>
            </w:r>
          </w:p>
        </w:tc>
        <w:tc>
          <w:tcPr>
            <w:tcW w:w="1984" w:type="dxa"/>
            <w:shd w:val="clear" w:color="auto" w:fill="FFFFFF"/>
          </w:tcPr>
          <w:p w14:paraId="569E81D1" w14:textId="772ED86B" w:rsidR="00FE194D" w:rsidRPr="00E962A7" w:rsidRDefault="00174D3C" w:rsidP="003C358B">
            <w:pPr>
              <w:pStyle w:val="CETBodytext"/>
              <w:ind w:right="-1"/>
              <w:jc w:val="center"/>
              <w:rPr>
                <w:rFonts w:cs="Arial"/>
                <w:szCs w:val="18"/>
              </w:rPr>
            </w:pPr>
            <w:r w:rsidRPr="00E962A7">
              <w:rPr>
                <w:rFonts w:cs="Arial"/>
                <w:szCs w:val="18"/>
              </w:rPr>
              <w:t>93</w:t>
            </w:r>
          </w:p>
        </w:tc>
      </w:tr>
      <w:tr w:rsidR="00174D3C" w:rsidRPr="00E962A7" w14:paraId="5FE71A51" w14:textId="77777777" w:rsidTr="002264A5">
        <w:tc>
          <w:tcPr>
            <w:tcW w:w="2694" w:type="dxa"/>
            <w:shd w:val="clear" w:color="auto" w:fill="FFFFFF"/>
          </w:tcPr>
          <w:p w14:paraId="0C9469EB" w14:textId="20199A90" w:rsidR="00174D3C" w:rsidRPr="00E962A7" w:rsidRDefault="00174D3C" w:rsidP="007024DA">
            <w:pPr>
              <w:pStyle w:val="CETBodytext"/>
              <w:ind w:right="-1"/>
              <w:rPr>
                <w:rFonts w:cs="Arial"/>
                <w:szCs w:val="18"/>
              </w:rPr>
            </w:pPr>
            <w:r w:rsidRPr="00E962A7">
              <w:rPr>
                <w:rFonts w:cs="Arial"/>
                <w:szCs w:val="18"/>
              </w:rPr>
              <w:t>DPA/(HNO</w:t>
            </w:r>
            <w:r w:rsidRPr="00E962A7">
              <w:rPr>
                <w:rFonts w:cs="Arial"/>
                <w:szCs w:val="18"/>
                <w:vertAlign w:val="subscript"/>
              </w:rPr>
              <w:t>3</w:t>
            </w:r>
            <w:r w:rsidRPr="00E962A7">
              <w:rPr>
                <w:rFonts w:cs="Arial"/>
                <w:szCs w:val="18"/>
              </w:rPr>
              <w:t xml:space="preserve"> + FeCl</w:t>
            </w:r>
            <w:r w:rsidRPr="00E962A7">
              <w:rPr>
                <w:rFonts w:cs="Arial"/>
                <w:szCs w:val="18"/>
                <w:vertAlign w:val="subscript"/>
              </w:rPr>
              <w:t>3</w:t>
            </w:r>
            <w:r w:rsidRPr="00E962A7">
              <w:rPr>
                <w:rFonts w:cs="Arial"/>
                <w:szCs w:val="18"/>
              </w:rPr>
              <w:t>) @</w:t>
            </w:r>
            <w:r w:rsidR="003D6ED8" w:rsidRPr="00E962A7">
              <w:rPr>
                <w:rFonts w:cs="Arial"/>
                <w:szCs w:val="18"/>
              </w:rPr>
              <w:t xml:space="preserve"> </w:t>
            </w:r>
            <w:r w:rsidRPr="00E962A7">
              <w:rPr>
                <w:rFonts w:cs="Arial"/>
                <w:szCs w:val="18"/>
              </w:rPr>
              <w:t>RT</w:t>
            </w:r>
          </w:p>
        </w:tc>
        <w:tc>
          <w:tcPr>
            <w:tcW w:w="1984" w:type="dxa"/>
            <w:shd w:val="clear" w:color="auto" w:fill="FFFFFF"/>
          </w:tcPr>
          <w:p w14:paraId="34B0061B" w14:textId="337DCA0F" w:rsidR="00174D3C" w:rsidRPr="00E962A7" w:rsidRDefault="00253E00" w:rsidP="003C358B">
            <w:pPr>
              <w:pStyle w:val="CETBodytext"/>
              <w:ind w:right="-1"/>
              <w:jc w:val="center"/>
              <w:rPr>
                <w:rFonts w:cs="Arial"/>
                <w:szCs w:val="18"/>
              </w:rPr>
            </w:pPr>
            <w:r w:rsidRPr="00E962A7">
              <w:rPr>
                <w:rFonts w:cs="Arial"/>
                <w:szCs w:val="18"/>
              </w:rPr>
              <w:t>101.5</w:t>
            </w:r>
          </w:p>
        </w:tc>
      </w:tr>
      <w:tr w:rsidR="00174D3C" w:rsidRPr="00E962A7" w14:paraId="051B303B" w14:textId="77777777" w:rsidTr="002264A5">
        <w:tc>
          <w:tcPr>
            <w:tcW w:w="2694" w:type="dxa"/>
            <w:shd w:val="clear" w:color="auto" w:fill="FFFFFF"/>
          </w:tcPr>
          <w:p w14:paraId="5C642FE3" w14:textId="3FA78B10" w:rsidR="00174D3C" w:rsidRPr="00E962A7" w:rsidRDefault="00174D3C" w:rsidP="007024DA">
            <w:pPr>
              <w:pStyle w:val="CETBodytext"/>
              <w:ind w:right="-1"/>
              <w:rPr>
                <w:rFonts w:cs="Arial"/>
                <w:szCs w:val="18"/>
              </w:rPr>
            </w:pPr>
            <w:r w:rsidRPr="00E962A7">
              <w:rPr>
                <w:rFonts w:cs="Arial"/>
                <w:szCs w:val="18"/>
              </w:rPr>
              <w:t>DPA/(HNO</w:t>
            </w:r>
            <w:r w:rsidRPr="00E962A7">
              <w:rPr>
                <w:rFonts w:cs="Arial"/>
                <w:szCs w:val="18"/>
                <w:vertAlign w:val="subscript"/>
              </w:rPr>
              <w:t>3</w:t>
            </w:r>
            <w:r w:rsidRPr="00E962A7">
              <w:rPr>
                <w:rFonts w:cs="Arial"/>
                <w:szCs w:val="18"/>
              </w:rPr>
              <w:t xml:space="preserve"> + H</w:t>
            </w:r>
            <w:r w:rsidRPr="00E962A7">
              <w:rPr>
                <w:rFonts w:cs="Arial"/>
                <w:szCs w:val="18"/>
                <w:vertAlign w:val="subscript"/>
              </w:rPr>
              <w:t>2</w:t>
            </w:r>
            <w:r w:rsidRPr="00E962A7">
              <w:rPr>
                <w:rFonts w:cs="Arial"/>
                <w:szCs w:val="18"/>
              </w:rPr>
              <w:t>O</w:t>
            </w:r>
            <w:r w:rsidRPr="00E962A7">
              <w:rPr>
                <w:rFonts w:cs="Arial"/>
                <w:szCs w:val="18"/>
                <w:vertAlign w:val="subscript"/>
              </w:rPr>
              <w:t>2</w:t>
            </w:r>
            <w:r w:rsidRPr="00E962A7">
              <w:rPr>
                <w:rFonts w:cs="Arial"/>
                <w:szCs w:val="18"/>
              </w:rPr>
              <w:t>) @</w:t>
            </w:r>
            <w:r w:rsidR="003D6ED8" w:rsidRPr="00E962A7">
              <w:rPr>
                <w:rFonts w:cs="Arial"/>
                <w:szCs w:val="18"/>
              </w:rPr>
              <w:t xml:space="preserve"> </w:t>
            </w:r>
            <w:r w:rsidRPr="00E962A7">
              <w:rPr>
                <w:rFonts w:cs="Arial"/>
                <w:szCs w:val="18"/>
              </w:rPr>
              <w:t>RT</w:t>
            </w:r>
          </w:p>
        </w:tc>
        <w:tc>
          <w:tcPr>
            <w:tcW w:w="1984" w:type="dxa"/>
            <w:shd w:val="clear" w:color="auto" w:fill="FFFFFF"/>
          </w:tcPr>
          <w:p w14:paraId="0A8E0324" w14:textId="27220079" w:rsidR="00174D3C" w:rsidRPr="00E962A7" w:rsidRDefault="00253E00" w:rsidP="003C358B">
            <w:pPr>
              <w:pStyle w:val="CETBodytext"/>
              <w:ind w:right="-1"/>
              <w:jc w:val="center"/>
              <w:rPr>
                <w:rFonts w:cs="Arial"/>
                <w:szCs w:val="18"/>
              </w:rPr>
            </w:pPr>
            <w:r w:rsidRPr="00E962A7">
              <w:rPr>
                <w:rFonts w:cs="Arial"/>
                <w:szCs w:val="18"/>
              </w:rPr>
              <w:t>95.9</w:t>
            </w:r>
          </w:p>
        </w:tc>
      </w:tr>
      <w:tr w:rsidR="00174D3C" w:rsidRPr="00E962A7" w14:paraId="571C7167" w14:textId="77777777" w:rsidTr="002264A5">
        <w:tc>
          <w:tcPr>
            <w:tcW w:w="2694" w:type="dxa"/>
            <w:shd w:val="clear" w:color="auto" w:fill="FFFFFF"/>
          </w:tcPr>
          <w:p w14:paraId="2494EB5A" w14:textId="55F0B233" w:rsidR="00174D3C" w:rsidRPr="00E962A7" w:rsidRDefault="00174D3C" w:rsidP="007024DA">
            <w:pPr>
              <w:pStyle w:val="CETBodytext"/>
              <w:ind w:right="-1"/>
              <w:rPr>
                <w:rFonts w:cs="Arial"/>
                <w:szCs w:val="18"/>
              </w:rPr>
            </w:pPr>
            <w:r w:rsidRPr="00E962A7">
              <w:rPr>
                <w:rFonts w:cs="Arial"/>
                <w:szCs w:val="18"/>
              </w:rPr>
              <w:t>17FPA/HNO</w:t>
            </w:r>
            <w:r w:rsidRPr="00E962A7">
              <w:rPr>
                <w:rFonts w:cs="Arial"/>
                <w:szCs w:val="18"/>
                <w:vertAlign w:val="subscript"/>
              </w:rPr>
              <w:t xml:space="preserve">3 </w:t>
            </w:r>
            <w:r w:rsidRPr="00E962A7">
              <w:rPr>
                <w:rFonts w:cs="Arial"/>
                <w:szCs w:val="18"/>
              </w:rPr>
              <w:t>@</w:t>
            </w:r>
            <w:r w:rsidR="003D6ED8" w:rsidRPr="00E962A7">
              <w:rPr>
                <w:rFonts w:cs="Arial"/>
                <w:szCs w:val="18"/>
              </w:rPr>
              <w:t xml:space="preserve"> </w:t>
            </w:r>
            <w:r w:rsidRPr="00E962A7">
              <w:rPr>
                <w:rFonts w:cs="Arial"/>
                <w:szCs w:val="18"/>
              </w:rPr>
              <w:t>RT</w:t>
            </w:r>
          </w:p>
        </w:tc>
        <w:tc>
          <w:tcPr>
            <w:tcW w:w="1984" w:type="dxa"/>
            <w:shd w:val="clear" w:color="auto" w:fill="FFFFFF"/>
          </w:tcPr>
          <w:p w14:paraId="001595B2" w14:textId="15324738" w:rsidR="00174D3C" w:rsidRPr="00E962A7" w:rsidRDefault="00253E00" w:rsidP="003C358B">
            <w:pPr>
              <w:pStyle w:val="CETBodytext"/>
              <w:ind w:right="-1"/>
              <w:jc w:val="center"/>
              <w:rPr>
                <w:rFonts w:cs="Arial"/>
                <w:szCs w:val="18"/>
              </w:rPr>
            </w:pPr>
            <w:r w:rsidRPr="00E962A7">
              <w:rPr>
                <w:rFonts w:cs="Arial"/>
                <w:szCs w:val="18"/>
              </w:rPr>
              <w:t>109</w:t>
            </w:r>
          </w:p>
        </w:tc>
      </w:tr>
      <w:tr w:rsidR="00174D3C" w:rsidRPr="00E962A7" w14:paraId="68815268" w14:textId="77777777" w:rsidTr="002264A5">
        <w:tc>
          <w:tcPr>
            <w:tcW w:w="2694" w:type="dxa"/>
            <w:shd w:val="clear" w:color="auto" w:fill="FFFFFF"/>
          </w:tcPr>
          <w:p w14:paraId="4B83A59B" w14:textId="727CE13B" w:rsidR="00174D3C" w:rsidRPr="00E962A7" w:rsidRDefault="00174D3C" w:rsidP="007024DA">
            <w:pPr>
              <w:pStyle w:val="CETBodytext"/>
              <w:ind w:right="-1"/>
              <w:rPr>
                <w:rFonts w:cs="Arial"/>
                <w:szCs w:val="18"/>
              </w:rPr>
            </w:pPr>
            <w:r w:rsidRPr="00E962A7">
              <w:rPr>
                <w:rFonts w:cs="Arial"/>
                <w:szCs w:val="18"/>
              </w:rPr>
              <w:t>17FPA/(HNO</w:t>
            </w:r>
            <w:r w:rsidRPr="00E962A7">
              <w:rPr>
                <w:rFonts w:cs="Arial"/>
                <w:szCs w:val="18"/>
                <w:vertAlign w:val="subscript"/>
              </w:rPr>
              <w:t>3</w:t>
            </w:r>
            <w:r w:rsidRPr="00E962A7">
              <w:rPr>
                <w:rFonts w:cs="Arial"/>
                <w:szCs w:val="18"/>
              </w:rPr>
              <w:t xml:space="preserve"> + FeCl</w:t>
            </w:r>
            <w:r w:rsidRPr="00E962A7">
              <w:rPr>
                <w:rFonts w:cs="Arial"/>
                <w:szCs w:val="18"/>
                <w:vertAlign w:val="subscript"/>
              </w:rPr>
              <w:t>3</w:t>
            </w:r>
            <w:r w:rsidRPr="00E962A7">
              <w:rPr>
                <w:rFonts w:cs="Arial"/>
                <w:szCs w:val="18"/>
              </w:rPr>
              <w:t>) @</w:t>
            </w:r>
            <w:r w:rsidR="003D6ED8" w:rsidRPr="00E962A7">
              <w:rPr>
                <w:rFonts w:cs="Arial"/>
                <w:szCs w:val="18"/>
              </w:rPr>
              <w:t xml:space="preserve"> </w:t>
            </w:r>
            <w:r w:rsidRPr="00E962A7">
              <w:rPr>
                <w:rFonts w:cs="Arial"/>
                <w:szCs w:val="18"/>
              </w:rPr>
              <w:t>RT</w:t>
            </w:r>
          </w:p>
        </w:tc>
        <w:tc>
          <w:tcPr>
            <w:tcW w:w="1984" w:type="dxa"/>
            <w:shd w:val="clear" w:color="auto" w:fill="FFFFFF"/>
          </w:tcPr>
          <w:p w14:paraId="14750659" w14:textId="48E8A921" w:rsidR="00174D3C" w:rsidRPr="00E962A7" w:rsidRDefault="00253E00" w:rsidP="003C358B">
            <w:pPr>
              <w:pStyle w:val="CETBodytext"/>
              <w:ind w:right="-1"/>
              <w:jc w:val="center"/>
              <w:rPr>
                <w:rFonts w:cs="Arial"/>
                <w:szCs w:val="18"/>
              </w:rPr>
            </w:pPr>
            <w:r w:rsidRPr="00E962A7">
              <w:rPr>
                <w:rFonts w:cs="Arial"/>
                <w:szCs w:val="18"/>
              </w:rPr>
              <w:t>114.7</w:t>
            </w:r>
          </w:p>
        </w:tc>
      </w:tr>
      <w:tr w:rsidR="00174D3C" w:rsidRPr="00E962A7" w14:paraId="65796B6D" w14:textId="77777777" w:rsidTr="002264A5">
        <w:tc>
          <w:tcPr>
            <w:tcW w:w="2694" w:type="dxa"/>
            <w:shd w:val="clear" w:color="auto" w:fill="FFFFFF"/>
          </w:tcPr>
          <w:p w14:paraId="1ABD42A1" w14:textId="3ACB1A9E" w:rsidR="00174D3C" w:rsidRPr="00E962A7" w:rsidRDefault="00174D3C" w:rsidP="007024DA">
            <w:pPr>
              <w:pStyle w:val="CETBodytext"/>
              <w:ind w:right="-1"/>
              <w:rPr>
                <w:rFonts w:cs="Arial"/>
                <w:szCs w:val="18"/>
              </w:rPr>
            </w:pPr>
            <w:r w:rsidRPr="00E962A7">
              <w:rPr>
                <w:rFonts w:cs="Arial"/>
                <w:szCs w:val="18"/>
              </w:rPr>
              <w:t>17FPA/(HNO</w:t>
            </w:r>
            <w:r w:rsidRPr="00E962A7">
              <w:rPr>
                <w:rFonts w:cs="Arial"/>
                <w:szCs w:val="18"/>
                <w:vertAlign w:val="subscript"/>
              </w:rPr>
              <w:t>3</w:t>
            </w:r>
            <w:r w:rsidRPr="00E962A7">
              <w:rPr>
                <w:rFonts w:cs="Arial"/>
                <w:szCs w:val="18"/>
              </w:rPr>
              <w:t xml:space="preserve"> + H</w:t>
            </w:r>
            <w:r w:rsidRPr="00E962A7">
              <w:rPr>
                <w:rFonts w:cs="Arial"/>
                <w:szCs w:val="18"/>
                <w:vertAlign w:val="subscript"/>
              </w:rPr>
              <w:t>2</w:t>
            </w:r>
            <w:r w:rsidRPr="00E962A7">
              <w:rPr>
                <w:rFonts w:cs="Arial"/>
                <w:szCs w:val="18"/>
              </w:rPr>
              <w:t>O</w:t>
            </w:r>
            <w:r w:rsidRPr="00E962A7">
              <w:rPr>
                <w:rFonts w:cs="Arial"/>
                <w:szCs w:val="18"/>
                <w:vertAlign w:val="subscript"/>
              </w:rPr>
              <w:t>2</w:t>
            </w:r>
            <w:r w:rsidRPr="00E962A7">
              <w:rPr>
                <w:rFonts w:cs="Arial"/>
                <w:szCs w:val="18"/>
              </w:rPr>
              <w:t>) @</w:t>
            </w:r>
            <w:r w:rsidR="003D6ED8" w:rsidRPr="00E962A7">
              <w:rPr>
                <w:rFonts w:cs="Arial"/>
                <w:szCs w:val="18"/>
              </w:rPr>
              <w:t xml:space="preserve"> </w:t>
            </w:r>
            <w:r w:rsidRPr="00E962A7">
              <w:rPr>
                <w:rFonts w:cs="Arial"/>
                <w:szCs w:val="18"/>
              </w:rPr>
              <w:t>RT</w:t>
            </w:r>
          </w:p>
        </w:tc>
        <w:tc>
          <w:tcPr>
            <w:tcW w:w="1984" w:type="dxa"/>
            <w:shd w:val="clear" w:color="auto" w:fill="FFFFFF"/>
          </w:tcPr>
          <w:p w14:paraId="69B1CFAF" w14:textId="40E8B01E" w:rsidR="00174D3C" w:rsidRPr="00E962A7" w:rsidRDefault="00253E00" w:rsidP="003C358B">
            <w:pPr>
              <w:pStyle w:val="CETBodytext"/>
              <w:ind w:right="-1"/>
              <w:jc w:val="center"/>
              <w:rPr>
                <w:rFonts w:cs="Arial"/>
                <w:szCs w:val="18"/>
              </w:rPr>
            </w:pPr>
            <w:r w:rsidRPr="00E962A7">
              <w:rPr>
                <w:rFonts w:cs="Arial"/>
                <w:szCs w:val="18"/>
              </w:rPr>
              <w:t>121.9</w:t>
            </w:r>
          </w:p>
        </w:tc>
      </w:tr>
      <w:tr w:rsidR="00F27AFE" w:rsidRPr="00E962A7" w14:paraId="479539A2" w14:textId="77777777" w:rsidTr="002264A5">
        <w:tc>
          <w:tcPr>
            <w:tcW w:w="2694" w:type="dxa"/>
            <w:shd w:val="clear" w:color="auto" w:fill="FFFFFF"/>
          </w:tcPr>
          <w:p w14:paraId="4BA40990" w14:textId="5F768B02" w:rsidR="00F27AFE" w:rsidRPr="00E962A7" w:rsidRDefault="00F27AFE" w:rsidP="00F27AFE">
            <w:pPr>
              <w:pStyle w:val="CETBodytext"/>
              <w:ind w:right="-1"/>
              <w:rPr>
                <w:rFonts w:cs="Arial"/>
                <w:szCs w:val="18"/>
              </w:rPr>
            </w:pPr>
            <w:r w:rsidRPr="00E962A7">
              <w:rPr>
                <w:rFonts w:cs="Arial"/>
                <w:szCs w:val="18"/>
              </w:rPr>
              <w:t>DPA/(HNO</w:t>
            </w:r>
            <w:r w:rsidRPr="00E962A7">
              <w:rPr>
                <w:rFonts w:cs="Arial"/>
                <w:szCs w:val="18"/>
                <w:vertAlign w:val="subscript"/>
              </w:rPr>
              <w:t>3</w:t>
            </w:r>
            <w:r w:rsidRPr="00E962A7">
              <w:rPr>
                <w:rFonts w:cs="Arial"/>
                <w:szCs w:val="18"/>
              </w:rPr>
              <w:t xml:space="preserve"> + FeCl</w:t>
            </w:r>
            <w:r w:rsidRPr="00E962A7">
              <w:rPr>
                <w:rFonts w:cs="Arial"/>
                <w:szCs w:val="18"/>
                <w:vertAlign w:val="subscript"/>
              </w:rPr>
              <w:t>3</w:t>
            </w:r>
            <w:r w:rsidRPr="00E962A7">
              <w:rPr>
                <w:rFonts w:cs="Arial"/>
                <w:szCs w:val="18"/>
              </w:rPr>
              <w:t>) @</w:t>
            </w:r>
            <w:r w:rsidR="003D6ED8" w:rsidRPr="00E962A7">
              <w:rPr>
                <w:rFonts w:cs="Arial"/>
                <w:szCs w:val="18"/>
              </w:rPr>
              <w:t xml:space="preserve"> </w:t>
            </w:r>
            <w:r w:rsidRPr="00E962A7">
              <w:rPr>
                <w:rFonts w:cs="Arial"/>
                <w:szCs w:val="18"/>
              </w:rPr>
              <w:t>60°C</w:t>
            </w:r>
          </w:p>
        </w:tc>
        <w:tc>
          <w:tcPr>
            <w:tcW w:w="1984" w:type="dxa"/>
            <w:shd w:val="clear" w:color="auto" w:fill="FFFFFF"/>
          </w:tcPr>
          <w:p w14:paraId="6F0FAE0E" w14:textId="67F50C36" w:rsidR="00F27AFE" w:rsidRPr="00E962A7" w:rsidRDefault="00B14332" w:rsidP="003C358B">
            <w:pPr>
              <w:pStyle w:val="CETBodytext"/>
              <w:ind w:right="-1"/>
              <w:jc w:val="center"/>
              <w:rPr>
                <w:rFonts w:cs="Arial"/>
                <w:szCs w:val="18"/>
              </w:rPr>
            </w:pPr>
            <w:r w:rsidRPr="00E962A7">
              <w:rPr>
                <w:rFonts w:cs="Arial"/>
                <w:szCs w:val="18"/>
              </w:rPr>
              <w:t>106.2</w:t>
            </w:r>
          </w:p>
        </w:tc>
      </w:tr>
      <w:tr w:rsidR="00F27AFE" w:rsidRPr="00E962A7" w14:paraId="48ECDB4A" w14:textId="77777777" w:rsidTr="002264A5">
        <w:tc>
          <w:tcPr>
            <w:tcW w:w="2694" w:type="dxa"/>
            <w:shd w:val="clear" w:color="auto" w:fill="FFFFFF"/>
          </w:tcPr>
          <w:p w14:paraId="576DE13A" w14:textId="61BFBF91" w:rsidR="00F27AFE" w:rsidRPr="00E962A7" w:rsidRDefault="00F27AFE" w:rsidP="00F27AFE">
            <w:pPr>
              <w:pStyle w:val="CETBodytext"/>
              <w:ind w:right="-1"/>
              <w:rPr>
                <w:rFonts w:cs="Arial"/>
                <w:szCs w:val="18"/>
              </w:rPr>
            </w:pPr>
            <w:r w:rsidRPr="00E962A7">
              <w:rPr>
                <w:rFonts w:cs="Arial"/>
                <w:szCs w:val="18"/>
              </w:rPr>
              <w:t>17FPA/(HNO</w:t>
            </w:r>
            <w:r w:rsidRPr="00E962A7">
              <w:rPr>
                <w:rFonts w:cs="Arial"/>
                <w:szCs w:val="18"/>
                <w:vertAlign w:val="subscript"/>
              </w:rPr>
              <w:t>3</w:t>
            </w:r>
            <w:r w:rsidRPr="00E962A7">
              <w:rPr>
                <w:rFonts w:cs="Arial"/>
                <w:szCs w:val="18"/>
              </w:rPr>
              <w:t xml:space="preserve"> + H</w:t>
            </w:r>
            <w:r w:rsidRPr="00E962A7">
              <w:rPr>
                <w:rFonts w:cs="Arial"/>
                <w:szCs w:val="18"/>
                <w:vertAlign w:val="subscript"/>
              </w:rPr>
              <w:t>2</w:t>
            </w:r>
            <w:r w:rsidRPr="00E962A7">
              <w:rPr>
                <w:rFonts w:cs="Arial"/>
                <w:szCs w:val="18"/>
              </w:rPr>
              <w:t>O</w:t>
            </w:r>
            <w:r w:rsidRPr="00E962A7">
              <w:rPr>
                <w:rFonts w:cs="Arial"/>
                <w:szCs w:val="18"/>
                <w:vertAlign w:val="subscript"/>
              </w:rPr>
              <w:t>2</w:t>
            </w:r>
            <w:r w:rsidRPr="00E962A7">
              <w:rPr>
                <w:rFonts w:cs="Arial"/>
                <w:szCs w:val="18"/>
              </w:rPr>
              <w:t>) @</w:t>
            </w:r>
            <w:r w:rsidR="003D6ED8" w:rsidRPr="00E962A7">
              <w:rPr>
                <w:rFonts w:cs="Arial"/>
                <w:szCs w:val="18"/>
              </w:rPr>
              <w:t xml:space="preserve"> </w:t>
            </w:r>
            <w:r w:rsidRPr="00E962A7">
              <w:rPr>
                <w:rFonts w:cs="Arial"/>
                <w:szCs w:val="18"/>
              </w:rPr>
              <w:t>60°C</w:t>
            </w:r>
          </w:p>
        </w:tc>
        <w:tc>
          <w:tcPr>
            <w:tcW w:w="1984" w:type="dxa"/>
            <w:shd w:val="clear" w:color="auto" w:fill="FFFFFF"/>
          </w:tcPr>
          <w:p w14:paraId="2D664EE1" w14:textId="1AFB1998" w:rsidR="00F27AFE" w:rsidRPr="00E962A7" w:rsidRDefault="00B14332" w:rsidP="003C358B">
            <w:pPr>
              <w:pStyle w:val="CETBodytext"/>
              <w:ind w:right="-1"/>
              <w:jc w:val="center"/>
              <w:rPr>
                <w:rFonts w:cs="Arial"/>
                <w:szCs w:val="18"/>
              </w:rPr>
            </w:pPr>
            <w:r w:rsidRPr="00E962A7">
              <w:rPr>
                <w:rFonts w:cs="Arial"/>
                <w:szCs w:val="18"/>
              </w:rPr>
              <w:t>117.3</w:t>
            </w:r>
          </w:p>
        </w:tc>
      </w:tr>
    </w:tbl>
    <w:p w14:paraId="4204E279" w14:textId="55B8A723" w:rsidR="0070058E" w:rsidRPr="00E962A7" w:rsidRDefault="0070058E" w:rsidP="0070058E">
      <w:pPr>
        <w:pStyle w:val="CETheadingx"/>
      </w:pPr>
      <w:r w:rsidRPr="00E962A7">
        <w:t>Fluid dynamic characterization</w:t>
      </w:r>
    </w:p>
    <w:p w14:paraId="2C79D3FD" w14:textId="2E6277B1" w:rsidR="00724BF4" w:rsidRPr="00E962A7" w:rsidRDefault="00FB2B33" w:rsidP="00221991">
      <w:pPr>
        <w:pStyle w:val="CETBodytext"/>
      </w:pPr>
      <w:r w:rsidRPr="00E962A7">
        <w:t xml:space="preserve">The </w:t>
      </w:r>
      <w:r w:rsidR="00B45150" w:rsidRPr="00E962A7">
        <w:t xml:space="preserve">most significant </w:t>
      </w:r>
      <w:r w:rsidRPr="00E962A7">
        <w:t xml:space="preserve">effect of </w:t>
      </w:r>
      <w:r w:rsidR="008E4FBA" w:rsidRPr="00E962A7">
        <w:t xml:space="preserve">the </w:t>
      </w:r>
      <w:r w:rsidRPr="00E962A7">
        <w:t>coating on wettability occurs on smooth surfaces</w:t>
      </w:r>
      <w:r w:rsidR="00B45150" w:rsidRPr="00E962A7">
        <w:t>,</w:t>
      </w:r>
      <w:r w:rsidRPr="00E962A7">
        <w:t xml:space="preserve"> where the rivulet is unstable and tends to break into droplets even at high flow rates. Embossed surfaces are more wettable, but droplets can still form at lower flow rates. As the flow rate increases, the embossing provides more stability to the </w:t>
      </w:r>
      <w:r w:rsidR="00C16E6E" w:rsidRPr="00E962A7">
        <w:t>rivulets</w:t>
      </w:r>
      <w:r w:rsidR="00394751" w:rsidRPr="00E962A7">
        <w:t xml:space="preserve"> </w:t>
      </w:r>
      <w:r w:rsidR="00394751" w:rsidRPr="00E962A7">
        <w:lastRenderedPageBreak/>
        <w:t xml:space="preserve">that are </w:t>
      </w:r>
      <w:r w:rsidRPr="00E962A7">
        <w:t xml:space="preserve">much narrower and </w:t>
      </w:r>
      <w:r w:rsidR="00B45150" w:rsidRPr="00E962A7">
        <w:t xml:space="preserve">taller </w:t>
      </w:r>
      <w:r w:rsidRPr="00E962A7">
        <w:t xml:space="preserve">on the coated surface </w:t>
      </w:r>
      <w:r w:rsidR="00B45150" w:rsidRPr="00E962A7">
        <w:t>compared to</w:t>
      </w:r>
      <w:r w:rsidRPr="00E962A7">
        <w:t xml:space="preserve"> the uncoated </w:t>
      </w:r>
      <w:r w:rsidR="00C16E6E" w:rsidRPr="00E962A7">
        <w:t>one</w:t>
      </w:r>
      <w:r w:rsidRPr="00E962A7">
        <w:t xml:space="preserve">. Figure </w:t>
      </w:r>
      <w:r w:rsidR="00C0121B">
        <w:t>2</w:t>
      </w:r>
      <w:r w:rsidR="00A972E4" w:rsidRPr="00E962A7">
        <w:t xml:space="preserve"> (right)</w:t>
      </w:r>
      <w:r w:rsidR="005D0C8F" w:rsidRPr="00E962A7">
        <w:t xml:space="preserve"> </w:t>
      </w:r>
      <w:r w:rsidRPr="00E962A7">
        <w:t xml:space="preserve">shows the effect of coating on the behavior of the liquid flowing over the embossed sheet. It can be seen how the coating promotes droplet formation and </w:t>
      </w:r>
      <w:r w:rsidR="00B45150" w:rsidRPr="00E962A7">
        <w:t>enhances</w:t>
      </w:r>
      <w:r w:rsidR="00F70587" w:rsidRPr="00E962A7">
        <w:t xml:space="preserve"> droplets</w:t>
      </w:r>
      <w:r w:rsidR="00B45150" w:rsidRPr="00E962A7">
        <w:t xml:space="preserve"> </w:t>
      </w:r>
      <w:r w:rsidRPr="00E962A7">
        <w:t>stability.</w:t>
      </w:r>
    </w:p>
    <w:p w14:paraId="739C6544" w14:textId="4A5BD9E5" w:rsidR="006571DD" w:rsidRPr="00E962A7" w:rsidRDefault="006571DD" w:rsidP="00221991">
      <w:pPr>
        <w:pStyle w:val="CETBodytext"/>
      </w:pPr>
    </w:p>
    <w:p w14:paraId="7D7EEAC6" w14:textId="554405EB" w:rsidR="006A5471" w:rsidRPr="00E962A7" w:rsidRDefault="00101A37" w:rsidP="00E962A7">
      <w:pPr>
        <w:pStyle w:val="CETBodytext"/>
      </w:pPr>
      <w:r w:rsidRPr="00E962A7">
        <w:rPr>
          <w:noProof/>
        </w:rPr>
        <w:drawing>
          <wp:inline distT="0" distB="0" distL="0" distR="0" wp14:anchorId="5F6B58CA" wp14:editId="3F68457C">
            <wp:extent cx="5400000" cy="1165705"/>
            <wp:effectExtent l="0" t="0" r="0" b="0"/>
            <wp:docPr id="80087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73806" name="Picture 1"/>
                    <pic:cNvPicPr>
                      <a:picLocks noChangeAspect="1" noChangeArrowheads="1"/>
                    </pic:cNvPicPr>
                  </pic:nvPicPr>
                  <pic:blipFill>
                    <a:blip r:embed="rId14">
                      <a:extLst>
                        <a:ext uri="{96DAC541-7B7A-43D3-8B79-37D633B846F1}">
                          <asvg:svgBlip xmlns:asvg="http://schemas.microsoft.com/office/drawing/2016/SVG/main" r:embed="rId15"/>
                        </a:ext>
                      </a:extLst>
                    </a:blip>
                    <a:srcRect t="1255" b="1255"/>
                    <a:stretch>
                      <a:fillRect/>
                    </a:stretch>
                  </pic:blipFill>
                  <pic:spPr bwMode="auto">
                    <a:xfrm>
                      <a:off x="0" y="0"/>
                      <a:ext cx="5400000" cy="1165705"/>
                    </a:xfrm>
                    <a:prstGeom prst="rect">
                      <a:avLst/>
                    </a:prstGeom>
                    <a:extLst>
                      <a:ext uri="{53640926-AAD7-44D8-BBD7-CCE9431645EC}">
                        <a14:shadowObscured xmlns:a14="http://schemas.microsoft.com/office/drawing/2010/main"/>
                      </a:ext>
                    </a:extLst>
                  </pic:spPr>
                </pic:pic>
              </a:graphicData>
            </a:graphic>
          </wp:inline>
        </w:drawing>
      </w:r>
    </w:p>
    <w:p w14:paraId="79003B47" w14:textId="260BAE93" w:rsidR="00866B8D" w:rsidRPr="00F9498A" w:rsidRDefault="006A5471" w:rsidP="00F9498A">
      <w:pPr>
        <w:pStyle w:val="CETCaption"/>
        <w:spacing w:before="0" w:after="0"/>
        <w:rPr>
          <w:lang w:val="en-US"/>
        </w:rPr>
      </w:pPr>
      <w:r w:rsidRPr="00E962A7">
        <w:rPr>
          <w:lang w:val="en-US"/>
        </w:rPr>
        <w:t xml:space="preserve">Figure </w:t>
      </w:r>
      <w:r w:rsidRPr="00E962A7">
        <w:rPr>
          <w:lang w:val="en-US"/>
        </w:rPr>
        <w:fldChar w:fldCharType="begin"/>
      </w:r>
      <w:r w:rsidRPr="00E962A7">
        <w:rPr>
          <w:lang w:val="en-US"/>
        </w:rPr>
        <w:instrText xml:space="preserve"> SEQ Figure \* ARABIC </w:instrText>
      </w:r>
      <w:r w:rsidRPr="00E962A7">
        <w:rPr>
          <w:lang w:val="en-US"/>
        </w:rPr>
        <w:fldChar w:fldCharType="separate"/>
      </w:r>
      <w:r w:rsidR="00660BE4">
        <w:rPr>
          <w:noProof/>
          <w:lang w:val="en-US"/>
        </w:rPr>
        <w:t>2</w:t>
      </w:r>
      <w:r w:rsidRPr="00E962A7">
        <w:rPr>
          <w:lang w:val="en-US"/>
        </w:rPr>
        <w:fldChar w:fldCharType="end"/>
      </w:r>
      <w:r w:rsidRPr="00E962A7">
        <w:rPr>
          <w:lang w:val="en-US"/>
        </w:rPr>
        <w:t>: Feasibility study results</w:t>
      </w:r>
      <w:r w:rsidR="006E370C" w:rsidRPr="00E962A7">
        <w:rPr>
          <w:lang w:val="en-US"/>
        </w:rPr>
        <w:t xml:space="preserve"> (</w:t>
      </w:r>
      <w:r w:rsidR="00521C02" w:rsidRPr="00E962A7">
        <w:rPr>
          <w:lang w:val="en-US"/>
        </w:rPr>
        <w:t xml:space="preserve">left: static contact angle measurement; right: Liquid </w:t>
      </w:r>
      <w:r w:rsidR="00E962A7" w:rsidRPr="00E962A7">
        <w:rPr>
          <w:lang w:val="en-US"/>
        </w:rPr>
        <w:t>behavior</w:t>
      </w:r>
      <w:r w:rsidR="00521C02" w:rsidRPr="00E962A7">
        <w:rPr>
          <w:lang w:val="en-US"/>
        </w:rPr>
        <w:t xml:space="preserve"> on </w:t>
      </w:r>
      <w:r w:rsidR="000B0E86" w:rsidRPr="00E962A7">
        <w:rPr>
          <w:lang w:val="en-US"/>
        </w:rPr>
        <w:t>embossed metal surface, top uncoated, bottom - coated</w:t>
      </w:r>
      <w:r w:rsidR="006E370C" w:rsidRPr="00E962A7">
        <w:rPr>
          <w:lang w:val="en-US"/>
        </w:rPr>
        <w:t>)</w:t>
      </w:r>
      <w:r w:rsidR="000B0E86" w:rsidRPr="00E962A7">
        <w:rPr>
          <w:lang w:val="en-US"/>
        </w:rPr>
        <w:t>.</w:t>
      </w:r>
    </w:p>
    <w:p w14:paraId="74AE2ECE" w14:textId="2AE998E9" w:rsidR="002C5533" w:rsidRDefault="00B06AA0" w:rsidP="00B06AA0">
      <w:pPr>
        <w:pStyle w:val="CETheadingx"/>
      </w:pPr>
      <w:r>
        <w:t>Packing performance comparison</w:t>
      </w:r>
    </w:p>
    <w:p w14:paraId="37DE0870" w14:textId="77777777" w:rsidR="00660BE4" w:rsidRDefault="00F86122" w:rsidP="00660BE4">
      <w:pPr>
        <w:pStyle w:val="CETBodytext"/>
        <w:keepNext/>
        <w:jc w:val="left"/>
      </w:pPr>
      <w:r w:rsidRPr="00E962A7">
        <w:rPr>
          <w:noProof/>
        </w:rPr>
        <w:drawing>
          <wp:inline distT="0" distB="0" distL="0" distR="0" wp14:anchorId="1AB9FC9B" wp14:editId="6C1C7EE1">
            <wp:extent cx="5399220" cy="1662236"/>
            <wp:effectExtent l="0" t="0" r="0" b="0"/>
            <wp:docPr id="1798523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10689"/>
                    <a:stretch/>
                  </pic:blipFill>
                  <pic:spPr bwMode="auto">
                    <a:xfrm>
                      <a:off x="0" y="0"/>
                      <a:ext cx="5400000" cy="1662476"/>
                    </a:xfrm>
                    <a:prstGeom prst="rect">
                      <a:avLst/>
                    </a:prstGeom>
                    <a:noFill/>
                    <a:ln>
                      <a:noFill/>
                    </a:ln>
                    <a:extLst>
                      <a:ext uri="{53640926-AAD7-44D8-BBD7-CCE9431645EC}">
                        <a14:shadowObscured xmlns:a14="http://schemas.microsoft.com/office/drawing/2010/main"/>
                      </a:ext>
                    </a:extLst>
                  </pic:spPr>
                </pic:pic>
              </a:graphicData>
            </a:graphic>
          </wp:inline>
        </w:drawing>
      </w:r>
    </w:p>
    <w:p w14:paraId="45484FA0" w14:textId="12D62E74" w:rsidR="00F86122" w:rsidRPr="00660BE4" w:rsidRDefault="00660BE4" w:rsidP="00660BE4">
      <w:pPr>
        <w:pStyle w:val="Caption"/>
        <w:jc w:val="left"/>
        <w:rPr>
          <w:b w:val="0"/>
          <w:bCs w:val="0"/>
          <w:i/>
          <w:iCs/>
          <w:color w:val="000000" w:themeColor="text1"/>
        </w:rPr>
      </w:pPr>
      <w:r w:rsidRPr="00660BE4">
        <w:rPr>
          <w:b w:val="0"/>
          <w:bCs w:val="0"/>
          <w:i/>
          <w:iCs/>
          <w:color w:val="000000" w:themeColor="text1"/>
        </w:rPr>
        <w:t xml:space="preserve">Figure </w:t>
      </w:r>
      <w:r w:rsidRPr="00660BE4">
        <w:rPr>
          <w:b w:val="0"/>
          <w:bCs w:val="0"/>
          <w:i/>
          <w:iCs/>
          <w:color w:val="000000" w:themeColor="text1"/>
        </w:rPr>
        <w:fldChar w:fldCharType="begin"/>
      </w:r>
      <w:r w:rsidRPr="00660BE4">
        <w:rPr>
          <w:b w:val="0"/>
          <w:bCs w:val="0"/>
          <w:i/>
          <w:iCs/>
          <w:color w:val="000000" w:themeColor="text1"/>
        </w:rPr>
        <w:instrText xml:space="preserve"> SEQ Figure \* ARABIC </w:instrText>
      </w:r>
      <w:r w:rsidRPr="00660BE4">
        <w:rPr>
          <w:b w:val="0"/>
          <w:bCs w:val="0"/>
          <w:i/>
          <w:iCs/>
          <w:color w:val="000000" w:themeColor="text1"/>
        </w:rPr>
        <w:fldChar w:fldCharType="separate"/>
      </w:r>
      <w:r w:rsidRPr="00660BE4">
        <w:rPr>
          <w:b w:val="0"/>
          <w:bCs w:val="0"/>
          <w:i/>
          <w:iCs/>
          <w:noProof/>
          <w:color w:val="000000" w:themeColor="text1"/>
        </w:rPr>
        <w:t>3</w:t>
      </w:r>
      <w:r w:rsidRPr="00660BE4">
        <w:rPr>
          <w:b w:val="0"/>
          <w:bCs w:val="0"/>
          <w:i/>
          <w:iCs/>
          <w:color w:val="000000" w:themeColor="text1"/>
        </w:rPr>
        <w:fldChar w:fldCharType="end"/>
      </w:r>
      <w:r w:rsidRPr="00660BE4">
        <w:rPr>
          <w:b w:val="0"/>
          <w:bCs w:val="0"/>
          <w:i/>
          <w:iCs/>
          <w:color w:val="000000" w:themeColor="text1"/>
        </w:rPr>
        <w:t>: Comparison of experimental results for uncoated and coated structured packings (left: holdup; right: mass transfer coefficient).</w:t>
      </w:r>
    </w:p>
    <w:p w14:paraId="3DEE91C4" w14:textId="41A050FB" w:rsidR="00D87812" w:rsidRPr="00E962A7" w:rsidRDefault="00D87812" w:rsidP="00C207D0">
      <w:pPr>
        <w:pStyle w:val="CETHeadingxx"/>
      </w:pPr>
      <w:r w:rsidRPr="00E962A7">
        <w:t xml:space="preserve">Holdup </w:t>
      </w:r>
      <w:r w:rsidR="00157856" w:rsidRPr="00E962A7">
        <w:t xml:space="preserve">results </w:t>
      </w:r>
    </w:p>
    <w:p w14:paraId="660A65BA" w14:textId="107B66B7" w:rsidR="00D87812" w:rsidRPr="00E962A7" w:rsidRDefault="004E7660" w:rsidP="004E7660">
      <w:pPr>
        <w:pStyle w:val="CETBodytext"/>
      </w:pPr>
      <w:r w:rsidRPr="00E962A7">
        <w:t>Figure 3</w:t>
      </w:r>
      <w:r w:rsidR="001C7BB9" w:rsidRPr="00E962A7">
        <w:t xml:space="preserve"> (</w:t>
      </w:r>
      <w:r w:rsidR="003F27C7">
        <w:t>left</w:t>
      </w:r>
      <w:r w:rsidR="001C7BB9" w:rsidRPr="00E962A7">
        <w:t>)</w:t>
      </w:r>
      <w:r w:rsidRPr="00E962A7">
        <w:t xml:space="preserve"> shows the holdup results for coated and uncoated packings. The coating significantly reduces the amount of liquid retained in the column during operation, this effect is most noticeable at high liquid flow rates. The coating reduces the wettability of the surfaces, causing the liquid to flow more rapidly through the packing, thereby reducing the amount of liquid instantly present in the packing</w:t>
      </w:r>
      <w:r w:rsidR="00AB541F" w:rsidRPr="00E962A7">
        <w:t xml:space="preserve">. </w:t>
      </w:r>
      <w:r w:rsidRPr="00E962A7">
        <w:t xml:space="preserve">Over the range of liquid loads tested, </w:t>
      </w:r>
      <w:r w:rsidR="00603E8F" w:rsidRPr="00E962A7">
        <w:t>the coating results in a macroscopic reduction of the holdup value by a factor of 2 to 3.</w:t>
      </w:r>
    </w:p>
    <w:p w14:paraId="2F9FA26A" w14:textId="5CCC5AD9" w:rsidR="00D80E0C" w:rsidRPr="00A2519F" w:rsidRDefault="00D80E0C" w:rsidP="00C207D0">
      <w:pPr>
        <w:pStyle w:val="CETHeadingxx"/>
      </w:pPr>
      <w:r w:rsidRPr="00A2519F">
        <w:t>Mas</w:t>
      </w:r>
      <w:r w:rsidR="00A07B19" w:rsidRPr="00A2519F">
        <w:t>s</w:t>
      </w:r>
      <w:r w:rsidRPr="00A2519F">
        <w:t xml:space="preserve"> transfer </w:t>
      </w:r>
      <w:r w:rsidR="00157856" w:rsidRPr="00A2519F">
        <w:t>results</w:t>
      </w:r>
    </w:p>
    <w:p w14:paraId="014CDFE4" w14:textId="4D88119D" w:rsidR="00754870" w:rsidRDefault="00866792" w:rsidP="000B387C">
      <w:pPr>
        <w:pStyle w:val="CETBodytext"/>
        <w:rPr>
          <w:noProof/>
        </w:rPr>
      </w:pPr>
      <w:r w:rsidRPr="00A2519F">
        <w:t xml:space="preserve">The product of the mass transfer coefficient and the </w:t>
      </w:r>
      <w:r w:rsidR="004E0BD4" w:rsidRPr="00A2519F">
        <w:t xml:space="preserve">specific </w:t>
      </w:r>
      <w:r w:rsidR="00927EFA" w:rsidRPr="00A2519F">
        <w:t xml:space="preserve">interfacial </w:t>
      </w:r>
      <w:r w:rsidRPr="00A2519F">
        <w:t>area obtained during the experimental campaign is shown in Figure 3</w:t>
      </w:r>
      <w:r w:rsidR="003D2BB2" w:rsidRPr="00A2519F">
        <w:t xml:space="preserve"> (</w:t>
      </w:r>
      <w:r w:rsidR="003F27C7">
        <w:t>right</w:t>
      </w:r>
      <w:r w:rsidR="003D2BB2" w:rsidRPr="00A2519F">
        <w:t>)</w:t>
      </w:r>
      <w:r w:rsidRPr="00A2519F">
        <w:t xml:space="preserve">. </w:t>
      </w:r>
      <w:r w:rsidR="00081305" w:rsidRPr="00A2519F">
        <w:t xml:space="preserve">The results show that the mass transfer performance is degraded by the surface coating and may be partially due to the reduction in holdup. It is not yet clear whether the degradation is due to a reduction in the mass transfer coefficient or the specific interfacial area, or both. Further experiments to determine the interfacial area alone would be necessary to distinguish the effects. </w:t>
      </w:r>
      <w:r w:rsidRPr="00A2519F">
        <w:t xml:space="preserve">It should be noted that the </w:t>
      </w:r>
      <w:r w:rsidR="00B9612C" w:rsidRPr="00A2519F">
        <w:t xml:space="preserve">applied </w:t>
      </w:r>
      <w:r w:rsidRPr="00A2519F">
        <w:t xml:space="preserve">liquid loading values were </w:t>
      </w:r>
      <w:r w:rsidR="007C26A2" w:rsidRPr="00A2519F">
        <w:t xml:space="preserve">intentionally </w:t>
      </w:r>
      <w:r w:rsidRPr="00A2519F">
        <w:t>limited to study the effect of the hydrophobic coating at</w:t>
      </w:r>
      <w:r w:rsidR="00F0586A" w:rsidRPr="00A2519F">
        <w:t xml:space="preserve"> low liquid flow rates</w:t>
      </w:r>
      <w:r w:rsidRPr="00A2519F">
        <w:t xml:space="preserve">, where the packings operate </w:t>
      </w:r>
      <w:r w:rsidR="007C26A2" w:rsidRPr="00A2519F">
        <w:t xml:space="preserve">at the lower limit of </w:t>
      </w:r>
      <w:r w:rsidRPr="00A2519F">
        <w:t>the</w:t>
      </w:r>
      <w:r w:rsidR="00384B74" w:rsidRPr="00A2519F">
        <w:t xml:space="preserve"> nominal</w:t>
      </w:r>
      <w:r w:rsidRPr="00A2519F">
        <w:t xml:space="preserve"> wetting rate.</w:t>
      </w:r>
      <w:r w:rsidR="00754870" w:rsidRPr="00754870">
        <w:rPr>
          <w:noProof/>
        </w:rPr>
        <w:t xml:space="preserve"> </w:t>
      </w:r>
    </w:p>
    <w:p w14:paraId="68D26B83" w14:textId="77777777" w:rsidR="00600535" w:rsidRPr="00E962A7" w:rsidRDefault="00600535" w:rsidP="00600535">
      <w:pPr>
        <w:pStyle w:val="CETHeading1"/>
      </w:pPr>
      <w:r w:rsidRPr="00E962A7">
        <w:t>Conclusions</w:t>
      </w:r>
    </w:p>
    <w:p w14:paraId="50BFA9B2" w14:textId="77777777" w:rsidR="00D26FBC" w:rsidRDefault="00D26FBC" w:rsidP="00D26FBC">
      <w:pPr>
        <w:pStyle w:val="CETBodytext"/>
      </w:pPr>
      <w:r>
        <w:t xml:space="preserve">The effects of hydrophobic coatings on liquid holdup and mass transfer in structured packings were systematically investigated. Self-assembled monolayers (SAMs) were chosen for their non-toxicity at low concentrations and ease of deposition on metal substrates. Among the tested systems, n-dodecylphosphonic acid (DPA) and heptadecafluorodecylphosphonic acid (17FPA) were evaluated, with 17FPA identified as the optimal coating due to its stability, compactness, and superior hydrophobic properties. The pre-treatment of metal surfaces using a solution of nitric acid and hydrogen peroxide at ambient temperature further enhanced the coating’s effectiveness. The feasibility study demonstrated that the coated surfaces promoted droplet formation, potentially increasing the interfacial area within the packing. </w:t>
      </w:r>
    </w:p>
    <w:p w14:paraId="524F3FF2" w14:textId="439DA94E" w:rsidR="00D26FBC" w:rsidRDefault="00D26FBC" w:rsidP="00D26FBC">
      <w:pPr>
        <w:pStyle w:val="CETBodytext"/>
      </w:pPr>
      <w:r>
        <w:t xml:space="preserve">To assess the impact of these coatings, an experimental packed column setup was developed, enabling direct performance comparisons between coated and uncoated packing sheets. Holdup measurements revealed that hydrophobic coatings significantly reduced liquid retention within the packing, thereby decreasing the available </w:t>
      </w:r>
      <w:r>
        <w:lastRenderedPageBreak/>
        <w:t>liquid volume for mass transfer. Mass transfer experiments using air-led stripping of isobutyl acetate confirmed that reduced holdup led to shorter liquid residence times, ultimately lowering mass transfer efficiency.</w:t>
      </w:r>
    </w:p>
    <w:p w14:paraId="7573AD06" w14:textId="139618DF" w:rsidR="00D26FBC" w:rsidRDefault="00D26FBC" w:rsidP="00D26FBC">
      <w:pPr>
        <w:pStyle w:val="CETBodytext"/>
      </w:pPr>
      <w:r>
        <w:t>Despite this reduction in mass transfer performance, the application of hydrophobic coating presents several practical implications. In industrial applications where minimizing holdup is advantageous, such as in processes requiring rapid phase disengagement, reduced solvent inventory, or enhanced gas flow capacity, hydrophobic coatings could be strategically employed. Additionally, in cases where fouling or corrosion due to excessive liquid retention is a concern, these coatings may help maintain long-term operational efficiency. However, further research is necessary to refine coating techniques and identify conditions where the trade-off between reduced holdup and mass transfer efficiency can be optimized for specific process requirements. Future studies should also focus on tailoring surface modifications to balance droplet formation with sufficient liquid residence time for effective mass transfer.</w:t>
      </w:r>
    </w:p>
    <w:p w14:paraId="1D6C03C8" w14:textId="77777777" w:rsidR="0015741A" w:rsidRPr="00A2519F" w:rsidRDefault="0015741A" w:rsidP="00600535">
      <w:pPr>
        <w:pStyle w:val="CETBodytext"/>
      </w:pPr>
    </w:p>
    <w:p w14:paraId="07A6D20F" w14:textId="0ECF229E" w:rsidR="00280FAF" w:rsidRPr="00A2519F" w:rsidRDefault="00280FAF" w:rsidP="00280FAF">
      <w:pPr>
        <w:pStyle w:val="CETHeadingxx"/>
        <w:sectPr w:rsidR="00280FAF" w:rsidRPr="00A2519F" w:rsidSect="00DC73EE">
          <w:type w:val="continuous"/>
          <w:pgSz w:w="11906" w:h="16838" w:code="9"/>
          <w:pgMar w:top="1701" w:right="1418" w:bottom="1701" w:left="1701" w:header="1701" w:footer="0" w:gutter="0"/>
          <w:cols w:space="708"/>
          <w:formProt w:val="0"/>
          <w:titlePg/>
          <w:docGrid w:linePitch="360"/>
        </w:sectPr>
      </w:pPr>
      <w:r w:rsidRPr="00A2519F">
        <w:t>Nomenclature</w:t>
      </w:r>
    </w:p>
    <w:p w14:paraId="3F61A17D" w14:textId="27CBF9F6" w:rsidR="00BD15B5" w:rsidRPr="00A2519F" w:rsidRDefault="00BD15B5" w:rsidP="00280FAF">
      <w:pPr>
        <w:pStyle w:val="CETBodytext"/>
        <w:jc w:val="left"/>
        <w:rPr>
          <w:rFonts w:eastAsia="SimSun"/>
          <w:vertAlign w:val="superscript"/>
        </w:rPr>
      </w:pPr>
      <m:oMath>
        <m:r>
          <w:rPr>
            <w:rFonts w:ascii="Cambria Math" w:eastAsia="SimSun" w:hAnsi="Cambria Math"/>
          </w:rPr>
          <m:t>a</m:t>
        </m:r>
      </m:oMath>
      <w:r w:rsidRPr="00A2519F">
        <w:rPr>
          <w:rFonts w:eastAsia="SimSun"/>
        </w:rPr>
        <w:t xml:space="preserve"> – specific interfacial area, m</w:t>
      </w:r>
      <w:r w:rsidRPr="00A2519F">
        <w:rPr>
          <w:rFonts w:eastAsia="SimSun"/>
          <w:vertAlign w:val="superscript"/>
        </w:rPr>
        <w:t>-1</w:t>
      </w:r>
    </w:p>
    <w:p w14:paraId="5AFF791C" w14:textId="62ACC8B3" w:rsidR="00BD15B5" w:rsidRPr="00A2519F" w:rsidRDefault="00000000" w:rsidP="00280FAF">
      <w:pPr>
        <w:pStyle w:val="CETBodytext"/>
        <w:jc w:val="left"/>
        <w:rPr>
          <w:rFonts w:eastAsia="SimSun"/>
          <w:vertAlign w:val="superscript"/>
        </w:rPr>
      </w:pPr>
      <m:oMath>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C</m:t>
            </m:r>
          </m:sub>
        </m:sSub>
      </m:oMath>
      <w:r w:rsidR="00BD15B5" w:rsidRPr="00A2519F">
        <w:rPr>
          <w:rFonts w:eastAsia="SimSun"/>
        </w:rPr>
        <w:t xml:space="preserve"> – column </w:t>
      </w:r>
      <w:r w:rsidR="00A22008" w:rsidRPr="00A2519F">
        <w:rPr>
          <w:rFonts w:eastAsia="SimSun"/>
        </w:rPr>
        <w:t>cross-</w:t>
      </w:r>
      <w:r w:rsidR="00BD15B5" w:rsidRPr="00A2519F">
        <w:rPr>
          <w:rFonts w:eastAsia="SimSun"/>
        </w:rPr>
        <w:t>sectional area, m</w:t>
      </w:r>
      <w:r w:rsidR="00BD15B5" w:rsidRPr="00A2519F">
        <w:rPr>
          <w:rFonts w:eastAsia="SimSun"/>
          <w:vertAlign w:val="superscript"/>
        </w:rPr>
        <w:t>2</w:t>
      </w:r>
    </w:p>
    <w:p w14:paraId="7A274079" w14:textId="4AD3DA49" w:rsidR="00BD15B5" w:rsidRPr="00A2519F" w:rsidRDefault="00BD15B5" w:rsidP="00280FAF">
      <w:pPr>
        <w:pStyle w:val="CETBodytext"/>
        <w:jc w:val="left"/>
        <w:rPr>
          <w:rFonts w:eastAsia="SimSun"/>
        </w:rPr>
      </w:pPr>
      <m:oMath>
        <m:r>
          <w:rPr>
            <w:rFonts w:ascii="Cambria Math" w:eastAsia="SimSun" w:hAnsi="Cambria Math"/>
          </w:rPr>
          <m:t>B</m:t>
        </m:r>
      </m:oMath>
      <w:r w:rsidRPr="00A2519F">
        <w:rPr>
          <w:rFonts w:eastAsia="SimSun"/>
        </w:rPr>
        <w:t xml:space="preserve"> – liquid load, m</w:t>
      </w:r>
      <w:r w:rsidRPr="00A2519F">
        <w:rPr>
          <w:rFonts w:eastAsia="SimSun"/>
          <w:vertAlign w:val="superscript"/>
        </w:rPr>
        <w:t>3</w:t>
      </w:r>
      <w:r w:rsidRPr="00A2519F">
        <w:rPr>
          <w:rFonts w:eastAsia="SimSun"/>
        </w:rPr>
        <w:t>/m</w:t>
      </w:r>
      <w:r w:rsidRPr="00A2519F">
        <w:rPr>
          <w:rFonts w:eastAsia="SimSun"/>
          <w:vertAlign w:val="superscript"/>
        </w:rPr>
        <w:t>2</w:t>
      </w:r>
      <w:r w:rsidR="0081623A" w:rsidRPr="00A2519F">
        <w:rPr>
          <w:rFonts w:eastAsia="SimSun"/>
        </w:rPr>
        <w:t>h</w:t>
      </w:r>
    </w:p>
    <w:p w14:paraId="4D772D0F" w14:textId="2B8B2E46" w:rsidR="00657A80" w:rsidRPr="00A2519F" w:rsidRDefault="00657A80" w:rsidP="00280FAF">
      <w:pPr>
        <w:pStyle w:val="CETBodytext"/>
        <w:jc w:val="left"/>
        <w:rPr>
          <w:rFonts w:eastAsia="SimSun"/>
        </w:rPr>
      </w:pPr>
      <m:oMath>
        <m:r>
          <w:rPr>
            <w:rFonts w:ascii="Cambria Math" w:eastAsia="SimSun" w:hAnsi="Cambria Math"/>
          </w:rPr>
          <m:t>H</m:t>
        </m:r>
      </m:oMath>
      <w:r w:rsidRPr="00A2519F">
        <w:rPr>
          <w:rFonts w:eastAsia="SimSun"/>
        </w:rPr>
        <w:t xml:space="preserve"> – packed bed height, m</w:t>
      </w:r>
    </w:p>
    <w:p w14:paraId="54AAB620" w14:textId="4E79BA8A" w:rsidR="00657A80" w:rsidRPr="00A2519F" w:rsidRDefault="00000000" w:rsidP="00280FAF">
      <w:pPr>
        <w:pStyle w:val="CETBodytext"/>
        <w:jc w:val="left"/>
        <w:rPr>
          <w:rFonts w:eastAsia="SimSun"/>
          <w:vertAlign w:val="superscript"/>
        </w:rPr>
      </w:pPr>
      <m:oMath>
        <m:sSub>
          <m:sSubPr>
            <m:ctrlPr>
              <w:rPr>
                <w:rFonts w:ascii="Cambria Math" w:eastAsia="SimSun" w:hAnsi="Cambria Math"/>
                <w:i/>
              </w:rPr>
            </m:ctrlPr>
          </m:sSubPr>
          <m:e>
            <m:r>
              <w:rPr>
                <w:rFonts w:ascii="Cambria Math" w:eastAsia="SimSun" w:hAnsi="Cambria Math"/>
              </w:rPr>
              <m:t>k</m:t>
            </m:r>
          </m:e>
          <m:sub>
            <m:r>
              <w:rPr>
                <w:rFonts w:ascii="Cambria Math" w:eastAsia="SimSun" w:hAnsi="Cambria Math"/>
              </w:rPr>
              <m:t>L</m:t>
            </m:r>
          </m:sub>
        </m:sSub>
      </m:oMath>
      <w:r w:rsidR="0005413D" w:rsidRPr="00A2519F">
        <w:rPr>
          <w:rFonts w:eastAsia="SimSun"/>
        </w:rPr>
        <w:t xml:space="preserve"> – </w:t>
      </w:r>
      <w:r w:rsidR="00A22008" w:rsidRPr="00A2519F">
        <w:rPr>
          <w:rFonts w:eastAsia="SimSun"/>
        </w:rPr>
        <w:t>liquid-</w:t>
      </w:r>
      <w:r w:rsidR="00657A80" w:rsidRPr="00A2519F">
        <w:rPr>
          <w:rFonts w:eastAsia="SimSun"/>
        </w:rPr>
        <w:t xml:space="preserve">side mass transfer coefficient, </w:t>
      </w:r>
      <w:r w:rsidR="00303933">
        <w:rPr>
          <w:rFonts w:eastAsia="SimSun"/>
        </w:rPr>
        <w:t>m</w:t>
      </w:r>
      <w:r w:rsidR="002E1A67">
        <w:rPr>
          <w:rFonts w:eastAsia="SimSun"/>
        </w:rPr>
        <w:t>/</w:t>
      </w:r>
      <w:r w:rsidR="00657A80" w:rsidRPr="00A2519F">
        <w:rPr>
          <w:rFonts w:eastAsia="SimSun"/>
        </w:rPr>
        <w:t>s</w:t>
      </w:r>
    </w:p>
    <w:p w14:paraId="5A9367C9" w14:textId="6B16CD4D" w:rsidR="00657A80" w:rsidRPr="00A2519F"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K</m:t>
            </m:r>
          </m:e>
          <m:sub>
            <m:r>
              <w:rPr>
                <w:rFonts w:ascii="Cambria Math" w:eastAsia="SimSun" w:hAnsi="Cambria Math"/>
              </w:rPr>
              <m:t>OX</m:t>
            </m:r>
          </m:sub>
        </m:sSub>
      </m:oMath>
      <w:r w:rsidR="00657A80" w:rsidRPr="00A2519F">
        <w:rPr>
          <w:rFonts w:eastAsia="SimSun"/>
        </w:rPr>
        <w:t xml:space="preserve"> – overall mass transfer coefficient, kmol/</w:t>
      </w:r>
      <w:r w:rsidR="00B0602A" w:rsidRPr="00A2519F">
        <w:rPr>
          <w:rFonts w:eastAsia="SimSun"/>
        </w:rPr>
        <w:t>m</w:t>
      </w:r>
      <w:r w:rsidR="00B0602A" w:rsidRPr="00A2519F">
        <w:rPr>
          <w:rFonts w:eastAsia="SimSun"/>
          <w:vertAlign w:val="superscript"/>
        </w:rPr>
        <w:t>2</w:t>
      </w:r>
      <w:r w:rsidR="00657A80" w:rsidRPr="00A2519F">
        <w:rPr>
          <w:rFonts w:eastAsia="SimSun"/>
        </w:rPr>
        <w:t>s</w:t>
      </w:r>
    </w:p>
    <w:p w14:paraId="32F69375" w14:textId="32432CFB" w:rsidR="00657A80" w:rsidRPr="00A2519F" w:rsidRDefault="00BD15B5" w:rsidP="00280FAF">
      <w:pPr>
        <w:pStyle w:val="CETBodytext"/>
        <w:jc w:val="left"/>
        <w:rPr>
          <w:rFonts w:eastAsia="SimSun"/>
        </w:rPr>
      </w:pPr>
      <m:oMath>
        <m:r>
          <w:rPr>
            <w:rFonts w:ascii="Cambria Math" w:eastAsia="SimSun" w:hAnsi="Cambria Math"/>
          </w:rPr>
          <m:t>L</m:t>
        </m:r>
      </m:oMath>
      <w:r w:rsidRPr="00A2519F">
        <w:rPr>
          <w:rFonts w:eastAsia="SimSun"/>
        </w:rPr>
        <w:t xml:space="preserve"> – liquid molar flowrate, kmol/s</w:t>
      </w:r>
    </w:p>
    <w:p w14:paraId="57F99062" w14:textId="74E7092F" w:rsidR="00657A80" w:rsidRPr="00A2519F" w:rsidRDefault="00657A80" w:rsidP="00280FAF">
      <w:pPr>
        <w:pStyle w:val="CETBodytext"/>
        <w:jc w:val="left"/>
        <w:rPr>
          <w:rFonts w:eastAsia="SimSun"/>
        </w:rPr>
      </w:pPr>
      <m:oMath>
        <m:r>
          <w:rPr>
            <w:rFonts w:ascii="Cambria Math" w:eastAsia="SimSun" w:hAnsi="Cambria Math"/>
          </w:rPr>
          <m:t>MM</m:t>
        </m:r>
      </m:oMath>
      <w:r w:rsidRPr="00A2519F">
        <w:rPr>
          <w:rFonts w:eastAsia="SimSun"/>
        </w:rPr>
        <w:t xml:space="preserve"> – molar mass, kg/kmol</w:t>
      </w:r>
    </w:p>
    <w:p w14:paraId="7A477C37" w14:textId="6FBD7DBA" w:rsidR="00B0602A" w:rsidRPr="00A2519F" w:rsidRDefault="00B0602A" w:rsidP="00280FAF">
      <w:pPr>
        <w:pStyle w:val="CETBodytext"/>
        <w:jc w:val="left"/>
        <w:rPr>
          <w:rFonts w:eastAsia="SimSun"/>
        </w:rPr>
      </w:pPr>
      <m:oMath>
        <m:r>
          <w:rPr>
            <w:rFonts w:ascii="Cambria Math" w:eastAsia="SimSun" w:hAnsi="Cambria Math"/>
          </w:rPr>
          <m:t>N</m:t>
        </m:r>
      </m:oMath>
      <w:r w:rsidRPr="00A2519F">
        <w:rPr>
          <w:rFonts w:eastAsia="SimSun"/>
        </w:rPr>
        <w:t xml:space="preserve"> – molar flux, kmol/s</w:t>
      </w:r>
    </w:p>
    <w:p w14:paraId="456138DF" w14:textId="3EBD1EB9" w:rsidR="007113E3" w:rsidRPr="00A2519F"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u</m:t>
            </m:r>
          </m:e>
          <m:sub>
            <m:r>
              <w:rPr>
                <w:rFonts w:ascii="Cambria Math" w:eastAsia="SimSun" w:hAnsi="Cambria Math"/>
              </w:rPr>
              <m:t>s,G</m:t>
            </m:r>
          </m:sub>
        </m:sSub>
      </m:oMath>
      <w:r w:rsidR="007113E3" w:rsidRPr="00A2519F">
        <w:rPr>
          <w:rFonts w:eastAsia="SimSun"/>
        </w:rPr>
        <w:t xml:space="preserve"> – gas superficial velocity, m/s</w:t>
      </w:r>
    </w:p>
    <w:p w14:paraId="601CB791" w14:textId="04894A46" w:rsidR="00B0602A" w:rsidRPr="00E962A7"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IN</m:t>
            </m:r>
          </m:sub>
        </m:sSub>
      </m:oMath>
      <w:r w:rsidR="00B0602A" w:rsidRPr="00E962A7">
        <w:rPr>
          <w:rFonts w:eastAsia="SimSun"/>
        </w:rPr>
        <w:t xml:space="preserve"> – liquid inlet molar fraction, -</w:t>
      </w:r>
    </w:p>
    <w:p w14:paraId="039F68AB" w14:textId="593348CD" w:rsidR="00B0602A" w:rsidRPr="00E962A7"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OUT</m:t>
            </m:r>
          </m:sub>
        </m:sSub>
      </m:oMath>
      <w:r w:rsidR="00B0602A" w:rsidRPr="00E962A7">
        <w:rPr>
          <w:rFonts w:eastAsia="SimSun"/>
        </w:rPr>
        <w:t xml:space="preserve"> – liquid outlet molar fraction, -</w:t>
      </w:r>
    </w:p>
    <w:p w14:paraId="66D6C45B" w14:textId="519C998B" w:rsidR="00D75803" w:rsidRPr="00E962A7" w:rsidRDefault="00D75803" w:rsidP="00280FAF">
      <w:pPr>
        <w:pStyle w:val="CETBodytext"/>
        <w:jc w:val="left"/>
        <w:rPr>
          <w:rFonts w:eastAsia="SimSun"/>
        </w:rPr>
      </w:pPr>
      <m:oMath>
        <m:r>
          <m:rPr>
            <m:sty m:val="p"/>
          </m:rPr>
          <w:rPr>
            <w:rFonts w:ascii="Cambria Math" w:eastAsia="SimSun" w:hAnsi="Cambria Math"/>
          </w:rPr>
          <m:t>Δ</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LM</m:t>
            </m:r>
          </m:sub>
        </m:sSub>
      </m:oMath>
      <w:r w:rsidRPr="00E962A7">
        <w:rPr>
          <w:rFonts w:eastAsia="SimSun"/>
        </w:rPr>
        <w:t xml:space="preserve"> – logarithmic mean driving force, -</w:t>
      </w:r>
    </w:p>
    <w:p w14:paraId="4D5B1431" w14:textId="3016ECE8" w:rsidR="00D75803" w:rsidRPr="00E962A7"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ρ</m:t>
            </m:r>
          </m:e>
          <m:sub>
            <m:r>
              <w:rPr>
                <w:rFonts w:ascii="Cambria Math" w:eastAsia="SimSun" w:hAnsi="Cambria Math"/>
              </w:rPr>
              <m:t>L</m:t>
            </m:r>
          </m:sub>
        </m:sSub>
      </m:oMath>
      <w:r w:rsidR="00D75803" w:rsidRPr="00E962A7">
        <w:rPr>
          <w:rFonts w:eastAsia="SimSun"/>
        </w:rPr>
        <w:t xml:space="preserve"> – liquid mass density, kg/m</w:t>
      </w:r>
      <w:r w:rsidR="00D75803" w:rsidRPr="00E962A7">
        <w:rPr>
          <w:rFonts w:eastAsia="SimSun"/>
          <w:vertAlign w:val="superscript"/>
        </w:rPr>
        <w:t>3</w:t>
      </w:r>
    </w:p>
    <w:p w14:paraId="38BFE636" w14:textId="41CD1512" w:rsidR="00B0602A" w:rsidRPr="00E962A7" w:rsidRDefault="00B0602A" w:rsidP="00280FAF">
      <w:pPr>
        <w:pStyle w:val="CETBodytext"/>
        <w:jc w:val="left"/>
        <w:rPr>
          <w:rFonts w:eastAsia="SimSun"/>
        </w:rPr>
        <w:sectPr w:rsidR="00B0602A" w:rsidRPr="00E962A7" w:rsidSect="00DC73EE">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E962A7" w:rsidRDefault="00600535" w:rsidP="00600535">
      <w:pPr>
        <w:pStyle w:val="CETReference"/>
        <w:rPr>
          <w:lang w:val="en-US"/>
        </w:rPr>
      </w:pPr>
      <w:r w:rsidRPr="00E962A7">
        <w:rPr>
          <w:lang w:val="en-US"/>
        </w:rPr>
        <w:t>References</w:t>
      </w:r>
    </w:p>
    <w:p w14:paraId="1F65E1F8" w14:textId="2EF61BC6" w:rsidR="00252ED3" w:rsidRPr="00ED1A8A" w:rsidRDefault="00252ED3" w:rsidP="00513C64">
      <w:pPr>
        <w:pStyle w:val="CETReferencetext"/>
        <w:rPr>
          <w:lang w:val="en-US"/>
        </w:rPr>
      </w:pPr>
      <w:r w:rsidRPr="00ED1A8A">
        <w:rPr>
          <w:lang w:val="en-US"/>
        </w:rPr>
        <w:t xml:space="preserve">Aferka S., Viva A, Brunazzi E., Marchot P, Crine M., Toye </w:t>
      </w:r>
      <w:r w:rsidR="00EE51DF" w:rsidRPr="00ED1A8A">
        <w:rPr>
          <w:lang w:val="en-US"/>
        </w:rPr>
        <w:t>D.,</w:t>
      </w:r>
      <w:r w:rsidR="00EE51DF" w:rsidRPr="00E962A7">
        <w:rPr>
          <w:lang w:val="en-US"/>
        </w:rPr>
        <w:t xml:space="preserve"> </w:t>
      </w:r>
      <w:r w:rsidR="00240B64" w:rsidRPr="00E962A7">
        <w:rPr>
          <w:lang w:val="en-US"/>
        </w:rPr>
        <w:t xml:space="preserve">2011, </w:t>
      </w:r>
      <w:r w:rsidR="00EE51DF" w:rsidRPr="00E962A7">
        <w:rPr>
          <w:lang w:val="en-US"/>
        </w:rPr>
        <w:t>Tomographic</w:t>
      </w:r>
      <w:r w:rsidRPr="00E962A7">
        <w:rPr>
          <w:lang w:val="en-US"/>
        </w:rPr>
        <w:t xml:space="preserve"> measurement of liquid hold up and effective interfacial area distributions in a column packed with high performance structured packings, Chemical Engineering Science, 66, 3413-3422 </w:t>
      </w:r>
      <w:r w:rsidRPr="00ED1A8A">
        <w:rPr>
          <w:lang w:val="en-US"/>
        </w:rPr>
        <w:t xml:space="preserve"> </w:t>
      </w:r>
    </w:p>
    <w:p w14:paraId="7E15A65A" w14:textId="3294426A" w:rsidR="003F1E24" w:rsidRPr="00ED1A8A" w:rsidRDefault="003F1E24" w:rsidP="00513C64">
      <w:pPr>
        <w:pStyle w:val="CETReferencetext"/>
        <w:rPr>
          <w:lang w:val="en-US"/>
        </w:rPr>
      </w:pPr>
      <w:r w:rsidRPr="00ED1A8A">
        <w:rPr>
          <w:lang w:val="en-US"/>
        </w:rPr>
        <w:t xml:space="preserve">Brunazzi E., Nardini G., Paglianti A., Petarca L., </w:t>
      </w:r>
      <w:r w:rsidR="00240B64" w:rsidRPr="00ED1A8A">
        <w:rPr>
          <w:lang w:val="en-US"/>
        </w:rPr>
        <w:t xml:space="preserve">1995, </w:t>
      </w:r>
      <w:r w:rsidRPr="00ED1A8A">
        <w:rPr>
          <w:lang w:val="en-US"/>
        </w:rPr>
        <w:t>Interfacial area of Mellapak packing: absorption of 1,1,1-Trichloroethane by Genosorb 300, Chemical Engineering &amp; Technology, 18, 248-255</w:t>
      </w:r>
    </w:p>
    <w:p w14:paraId="4F983035" w14:textId="7CC49AEB" w:rsidR="00513C64" w:rsidRPr="00ED1A8A" w:rsidRDefault="00513C64" w:rsidP="00513C64">
      <w:pPr>
        <w:pStyle w:val="CETReferencetext"/>
        <w:rPr>
          <w:lang w:val="en-US"/>
        </w:rPr>
      </w:pPr>
      <w:r w:rsidRPr="00ED1A8A">
        <w:rPr>
          <w:lang w:val="en-US"/>
        </w:rPr>
        <w:t>Fitz C.W., King D.W., Kunesh J.G.,</w:t>
      </w:r>
      <w:r w:rsidR="00240B64">
        <w:rPr>
          <w:lang w:val="en-US"/>
        </w:rPr>
        <w:t xml:space="preserve"> </w:t>
      </w:r>
      <w:r w:rsidR="00240B64" w:rsidRPr="00ED1A8A">
        <w:rPr>
          <w:lang w:val="en-US"/>
        </w:rPr>
        <w:t>1999,</w:t>
      </w:r>
      <w:r w:rsidRPr="00ED1A8A">
        <w:rPr>
          <w:lang w:val="en-US"/>
        </w:rPr>
        <w:t xml:space="preserve"> Controlled Liquid Maldistribution Studies on Structured Packing, Chemical Engineering Research and Design, 77 (6), 482-486</w:t>
      </w:r>
    </w:p>
    <w:p w14:paraId="1A552F01" w14:textId="3FD5A872" w:rsidR="00C200D3" w:rsidRPr="00ED1A8A" w:rsidRDefault="00C200D3" w:rsidP="00C200D3">
      <w:pPr>
        <w:pStyle w:val="CETReferencetext"/>
        <w:rPr>
          <w:lang w:val="en-US"/>
        </w:rPr>
      </w:pPr>
      <w:r w:rsidRPr="00ED1A8A">
        <w:rPr>
          <w:lang w:val="en-US"/>
        </w:rPr>
        <w:t>Green, D.W., Perry R.H., Perry’s Chemical Engineers’ Handbook, Eighth Edition McGraw Hill professional, McGraw-Hill Education, 2007</w:t>
      </w:r>
    </w:p>
    <w:p w14:paraId="5F71C83D" w14:textId="1D783557" w:rsidR="00C200D3" w:rsidRPr="00ED1A8A" w:rsidRDefault="00C200D3" w:rsidP="00C200D3">
      <w:pPr>
        <w:pStyle w:val="CETReferencetext"/>
        <w:rPr>
          <w:lang w:val="en-US"/>
        </w:rPr>
      </w:pPr>
      <w:r w:rsidRPr="00ED1A8A">
        <w:rPr>
          <w:lang w:val="en-US"/>
        </w:rPr>
        <w:t>Harm U., Bürgler R., Fürbeth W., Mangold K. M., Jüttner K.,</w:t>
      </w:r>
      <w:r w:rsidR="00A150B4">
        <w:rPr>
          <w:lang w:val="en-US"/>
        </w:rPr>
        <w:t xml:space="preserve"> </w:t>
      </w:r>
      <w:r w:rsidR="00A150B4" w:rsidRPr="00ED1A8A">
        <w:rPr>
          <w:lang w:val="en-US"/>
        </w:rPr>
        <w:t>2002,</w:t>
      </w:r>
      <w:r w:rsidRPr="00ED1A8A">
        <w:rPr>
          <w:lang w:val="en-US"/>
        </w:rPr>
        <w:t xml:space="preserve"> Novel protective coatings for steel based on a combination of self-assembled monolayers and conducting polymers, Macromolecular Symposia, 187 (1), 65-76</w:t>
      </w:r>
    </w:p>
    <w:p w14:paraId="699FAF12" w14:textId="27A309C6" w:rsidR="00C4387B" w:rsidRPr="00ED1A8A" w:rsidRDefault="00C4387B" w:rsidP="00C4387B">
      <w:pPr>
        <w:pStyle w:val="CETReferencetext"/>
        <w:rPr>
          <w:lang w:val="en-US"/>
        </w:rPr>
      </w:pPr>
      <w:r w:rsidRPr="00ED1A8A">
        <w:rPr>
          <w:lang w:val="en-US"/>
        </w:rPr>
        <w:t xml:space="preserve">Kwok D. Y., Gietzelt T., Grundke K., Jacobasch H. J., Neumann A. W., </w:t>
      </w:r>
      <w:r w:rsidR="00FA2161" w:rsidRPr="00ED1A8A">
        <w:rPr>
          <w:lang w:val="en-US"/>
        </w:rPr>
        <w:t xml:space="preserve">1997, </w:t>
      </w:r>
      <w:r w:rsidRPr="00ED1A8A">
        <w:rPr>
          <w:lang w:val="en-US"/>
        </w:rPr>
        <w:t>Contact Angle Measurements by Axisymmetric Drop Shape Analysis and a Goniometer Sessile Drop Technique, Langmuir, 13 (10), 2880-2894</w:t>
      </w:r>
    </w:p>
    <w:p w14:paraId="1EE70F56" w14:textId="34BAA920" w:rsidR="00C4387B" w:rsidRPr="00ED1A8A" w:rsidRDefault="00C4387B" w:rsidP="00C4387B">
      <w:pPr>
        <w:pStyle w:val="CETReferencetext"/>
        <w:rPr>
          <w:lang w:val="en-US"/>
        </w:rPr>
      </w:pPr>
      <w:r w:rsidRPr="00ED1A8A">
        <w:rPr>
          <w:lang w:val="en-US"/>
        </w:rPr>
        <w:t>Lamprecht H., Burger A.,</w:t>
      </w:r>
      <w:r w:rsidR="00FA2161">
        <w:rPr>
          <w:lang w:val="en-US"/>
        </w:rPr>
        <w:t xml:space="preserve"> </w:t>
      </w:r>
      <w:r w:rsidR="00FA2161" w:rsidRPr="00ED1A8A">
        <w:rPr>
          <w:lang w:val="en-US"/>
        </w:rPr>
        <w:t>2018,</w:t>
      </w:r>
      <w:r w:rsidRPr="00ED1A8A">
        <w:rPr>
          <w:lang w:val="en-US"/>
        </w:rPr>
        <w:t xml:space="preserve"> Desorption of Isobutyl Acetate into Air as a Low-Cost Alternative System for the Measurement of Liquid Phase Mass Transfer Coefficients, Chemical Engineering Transactions, 69, 7-12</w:t>
      </w:r>
    </w:p>
    <w:p w14:paraId="75B16327" w14:textId="77F7134D" w:rsidR="00C4387B" w:rsidRPr="00ED1A8A" w:rsidRDefault="00C4387B" w:rsidP="00C4387B">
      <w:pPr>
        <w:pStyle w:val="CETReferencetext"/>
        <w:rPr>
          <w:lang w:val="en-US"/>
        </w:rPr>
      </w:pPr>
      <w:r w:rsidRPr="00E962A7">
        <w:rPr>
          <w:lang w:val="en-US"/>
        </w:rPr>
        <w:t xml:space="preserve">Marchini S., </w:t>
      </w:r>
      <w:bookmarkStart w:id="3" w:name="_Hlk190193378"/>
      <w:r w:rsidRPr="00E962A7">
        <w:rPr>
          <w:lang w:val="en-US"/>
        </w:rPr>
        <w:t xml:space="preserve">Vishwakarma V., Schubert M., Brunazzi E., </w:t>
      </w:r>
      <w:r w:rsidRPr="00ED1A8A">
        <w:rPr>
          <w:lang w:val="en-US"/>
        </w:rPr>
        <w:t>Hampel</w:t>
      </w:r>
      <w:r w:rsidRPr="00E962A7">
        <w:rPr>
          <w:lang w:val="en-US"/>
        </w:rPr>
        <w:t xml:space="preserve"> U.</w:t>
      </w:r>
      <w:r w:rsidRPr="00ED1A8A">
        <w:rPr>
          <w:lang w:val="en-US"/>
        </w:rPr>
        <w:t>,</w:t>
      </w:r>
      <w:r w:rsidR="005A01F2">
        <w:rPr>
          <w:lang w:val="en-US"/>
        </w:rPr>
        <w:t xml:space="preserve"> </w:t>
      </w:r>
      <w:r w:rsidR="005A01F2" w:rsidRPr="00ED1A8A">
        <w:rPr>
          <w:lang w:val="en-US"/>
        </w:rPr>
        <w:t>2021,</w:t>
      </w:r>
      <w:r w:rsidRPr="00ED1A8A">
        <w:rPr>
          <w:lang w:val="en-US"/>
        </w:rPr>
        <w:t xml:space="preserve"> </w:t>
      </w:r>
      <w:bookmarkEnd w:id="3"/>
      <w:r w:rsidRPr="00ED1A8A">
        <w:rPr>
          <w:lang w:val="en-US"/>
        </w:rPr>
        <w:t>Direct Tray and Point Efficiency Measurements Including Weeping Effects through a Convenient Add-On for Air-Water Simulators, Industrial &amp; Engineering Chemistry Research, 60 (6), 2600–2612</w:t>
      </w:r>
    </w:p>
    <w:p w14:paraId="047CDF2E" w14:textId="38913CAE" w:rsidR="00AF38D1" w:rsidRDefault="00AF38D1" w:rsidP="00513C64">
      <w:pPr>
        <w:pStyle w:val="CETReferencetext"/>
        <w:rPr>
          <w:lang w:val="en-US"/>
        </w:rPr>
      </w:pPr>
      <w:r>
        <w:rPr>
          <w:lang w:val="en-US"/>
        </w:rPr>
        <w:t xml:space="preserve">Marchini S., </w:t>
      </w:r>
      <w:r w:rsidRPr="00AF38D1">
        <w:rPr>
          <w:lang w:val="en-US"/>
        </w:rPr>
        <w:t>Vishwakarma V., Schubert M., Brunazzi E., Hampel U., 202</w:t>
      </w:r>
      <w:r>
        <w:rPr>
          <w:lang w:val="en-US"/>
        </w:rPr>
        <w:t>3</w:t>
      </w:r>
      <w:r w:rsidRPr="00AF38D1">
        <w:rPr>
          <w:lang w:val="en-US"/>
        </w:rPr>
        <w:t>,</w:t>
      </w:r>
      <w:r>
        <w:rPr>
          <w:lang w:val="en-US"/>
        </w:rPr>
        <w:t xml:space="preserve"> </w:t>
      </w:r>
      <w:r w:rsidRPr="00AF38D1">
        <w:rPr>
          <w:lang w:val="en-US"/>
        </w:rPr>
        <w:t>Effects of non-uniform weeping distributions on tray and point efficiencies</w:t>
      </w:r>
      <w:r>
        <w:rPr>
          <w:lang w:val="en-US"/>
        </w:rPr>
        <w:t>,</w:t>
      </w:r>
      <w:r w:rsidRPr="00AF38D1">
        <w:t xml:space="preserve"> </w:t>
      </w:r>
      <w:r w:rsidRPr="00AF38D1">
        <w:rPr>
          <w:lang w:val="en-US"/>
        </w:rPr>
        <w:t>Results in Engineering</w:t>
      </w:r>
      <w:r>
        <w:rPr>
          <w:lang w:val="en-US"/>
        </w:rPr>
        <w:t xml:space="preserve">, </w:t>
      </w:r>
      <w:r w:rsidRPr="00AF38D1">
        <w:rPr>
          <w:lang w:val="en-US"/>
        </w:rPr>
        <w:t>19, 101238</w:t>
      </w:r>
      <w:r>
        <w:rPr>
          <w:lang w:val="en-US"/>
        </w:rPr>
        <w:t xml:space="preserve"> </w:t>
      </w:r>
    </w:p>
    <w:p w14:paraId="59218327" w14:textId="0500A314" w:rsidR="00C4387B" w:rsidRPr="00E962A7" w:rsidRDefault="00513C64" w:rsidP="00513C64">
      <w:pPr>
        <w:pStyle w:val="CETReferencetext"/>
        <w:rPr>
          <w:lang w:val="en-US"/>
        </w:rPr>
      </w:pPr>
      <w:r w:rsidRPr="00E962A7">
        <w:rPr>
          <w:lang w:val="en-US"/>
        </w:rPr>
        <w:t>Shiveler G., Solis G. S., Peña Gonzalez L. H., Bueno M. L.,</w:t>
      </w:r>
      <w:r w:rsidR="00DD18A5">
        <w:rPr>
          <w:lang w:val="en-US"/>
        </w:rPr>
        <w:t xml:space="preserve"> </w:t>
      </w:r>
      <w:r w:rsidR="00DD18A5" w:rsidRPr="00E962A7">
        <w:rPr>
          <w:lang w:val="en-US"/>
        </w:rPr>
        <w:t>2007,</w:t>
      </w:r>
      <w:r w:rsidRPr="00E962A7">
        <w:rPr>
          <w:lang w:val="en-US"/>
        </w:rPr>
        <w:t xml:space="preserve"> Retrofit of a H2S selective amine absorber using MellapakPlus structured packing, Asia-Pacific Journal of Chemical Engineering, 2 (4), 232-244</w:t>
      </w:r>
    </w:p>
    <w:p w14:paraId="4BA9C94C" w14:textId="5FC36E67" w:rsidR="005B189F" w:rsidRPr="00E962A7" w:rsidRDefault="005B189F" w:rsidP="005B189F">
      <w:pPr>
        <w:pStyle w:val="CETReferencetext"/>
        <w:rPr>
          <w:lang w:val="en-US"/>
        </w:rPr>
      </w:pPr>
      <w:r w:rsidRPr="00E962A7">
        <w:rPr>
          <w:lang w:val="en-US"/>
        </w:rPr>
        <w:t>Spiegel</w:t>
      </w:r>
      <w:r w:rsidR="00D50BDB" w:rsidRPr="00E962A7">
        <w:rPr>
          <w:lang w:val="en-US"/>
        </w:rPr>
        <w:t xml:space="preserve"> L.</w:t>
      </w:r>
      <w:r w:rsidRPr="00E962A7">
        <w:rPr>
          <w:lang w:val="en-US"/>
        </w:rPr>
        <w:t>, Meier</w:t>
      </w:r>
      <w:r w:rsidR="00D50BDB" w:rsidRPr="00E962A7">
        <w:rPr>
          <w:lang w:val="en-US"/>
        </w:rPr>
        <w:t xml:space="preserve"> W.</w:t>
      </w:r>
      <w:r w:rsidRPr="00E962A7">
        <w:rPr>
          <w:lang w:val="en-US"/>
        </w:rPr>
        <w:t>,</w:t>
      </w:r>
      <w:r w:rsidR="00902FD6">
        <w:rPr>
          <w:lang w:val="en-US"/>
        </w:rPr>
        <w:t xml:space="preserve"> </w:t>
      </w:r>
      <w:r w:rsidR="00902FD6" w:rsidRPr="00E962A7">
        <w:rPr>
          <w:lang w:val="en-US"/>
        </w:rPr>
        <w:t>2003,</w:t>
      </w:r>
      <w:r w:rsidRPr="00E962A7">
        <w:rPr>
          <w:lang w:val="en-US"/>
        </w:rPr>
        <w:t xml:space="preserve"> Distillation Columns with Structured Packings in the Next Decade, Chemical Engineering Research and Design, 81 (1)</w:t>
      </w:r>
      <w:r w:rsidR="00CD38F6" w:rsidRPr="00E962A7">
        <w:rPr>
          <w:lang w:val="en-US"/>
        </w:rPr>
        <w:t xml:space="preserve">, </w:t>
      </w:r>
      <w:r w:rsidRPr="00E962A7">
        <w:rPr>
          <w:lang w:val="en-US"/>
        </w:rPr>
        <w:t>39-47</w:t>
      </w:r>
    </w:p>
    <w:p w14:paraId="4E7CE6B6" w14:textId="676F5FD9" w:rsidR="000B0FF4" w:rsidRPr="00ED1A8A" w:rsidRDefault="000B0FF4" w:rsidP="000B0FF4">
      <w:pPr>
        <w:pStyle w:val="CETReferencetext"/>
        <w:rPr>
          <w:lang w:val="en-US"/>
        </w:rPr>
      </w:pPr>
      <w:r w:rsidRPr="00ED1A8A">
        <w:rPr>
          <w:lang w:val="en-US"/>
        </w:rPr>
        <w:t>Szulczewska</w:t>
      </w:r>
      <w:r w:rsidR="00552C81" w:rsidRPr="00ED1A8A">
        <w:rPr>
          <w:lang w:val="en-US"/>
        </w:rPr>
        <w:t xml:space="preserve"> B.</w:t>
      </w:r>
      <w:r w:rsidR="00DD7EE2" w:rsidRPr="00ED1A8A">
        <w:rPr>
          <w:lang w:val="en-US"/>
        </w:rPr>
        <w:t xml:space="preserve">, </w:t>
      </w:r>
      <w:r w:rsidRPr="00ED1A8A">
        <w:rPr>
          <w:lang w:val="en-US"/>
        </w:rPr>
        <w:t>Zbicinski</w:t>
      </w:r>
      <w:r w:rsidR="00552C81" w:rsidRPr="00ED1A8A">
        <w:rPr>
          <w:lang w:val="en-US"/>
        </w:rPr>
        <w:t xml:space="preserve"> I.</w:t>
      </w:r>
      <w:r w:rsidRPr="00ED1A8A">
        <w:rPr>
          <w:lang w:val="en-US"/>
        </w:rPr>
        <w:t>, Górak</w:t>
      </w:r>
      <w:r w:rsidR="00552C81" w:rsidRPr="00ED1A8A">
        <w:rPr>
          <w:lang w:val="en-US"/>
        </w:rPr>
        <w:t xml:space="preserve"> A.</w:t>
      </w:r>
      <w:r w:rsidRPr="00ED1A8A">
        <w:rPr>
          <w:lang w:val="en-US"/>
        </w:rPr>
        <w:t>,</w:t>
      </w:r>
      <w:r w:rsidR="009D0C23">
        <w:rPr>
          <w:lang w:val="en-US"/>
        </w:rPr>
        <w:t xml:space="preserve"> </w:t>
      </w:r>
      <w:r w:rsidR="009D0C23" w:rsidRPr="00ED1A8A">
        <w:rPr>
          <w:lang w:val="en-US"/>
        </w:rPr>
        <w:t>2003,</w:t>
      </w:r>
      <w:r w:rsidRPr="00ED1A8A">
        <w:rPr>
          <w:lang w:val="en-US"/>
        </w:rPr>
        <w:t xml:space="preserve"> Liquid Flow on Structured Packing: CFD Simulation and Experimental Study, Chemical Engineering &amp; Technology, 26 (5), 580-584</w:t>
      </w:r>
    </w:p>
    <w:sectPr w:rsidR="000B0FF4" w:rsidRPr="00ED1A8A" w:rsidSect="00DC73EE">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Elisabetta Brunazzi" w:date="2025-02-12T08:16:00Z" w:initials="EB">
    <w:p w14:paraId="78D0CB9A" w14:textId="4517310F" w:rsidR="00F44585" w:rsidRDefault="00F44585">
      <w:pPr>
        <w:pStyle w:val="CommentText"/>
      </w:pPr>
      <w:r>
        <w:rPr>
          <w:rStyle w:val="CommentReference"/>
        </w:rPr>
        <w:annotationRef/>
      </w:r>
      <w:r>
        <w:t>Non viene mai detta la composizione delle etching solutions (quanto hno3, hno3 e h2o2, hno3 e fecl3), nè qui nè dopo nei risultati quando parli della tabella 1</w:t>
      </w:r>
    </w:p>
  </w:comment>
  <w:comment w:id="2" w:author="Elisabetta Brunazzi" w:date="2025-02-11T19:03:00Z" w:initials="EB">
    <w:p w14:paraId="1554400C" w14:textId="37EAB4EA" w:rsidR="00BA1022" w:rsidRDefault="00BA1022">
      <w:pPr>
        <w:pStyle w:val="CommentText"/>
      </w:pPr>
      <w:r>
        <w:rPr>
          <w:rStyle w:val="CommentReference"/>
        </w:rPr>
        <w:annotationRef/>
      </w:r>
      <w:r>
        <w:t>Non c’è una misura della concentrazione del liquid alimentato alla Colonna</w:t>
      </w:r>
      <w:r w:rsidR="00B110B3">
        <w:t xml:space="preserve"> o controllo della concentrazione che sia 1000 ppmv? Sono ppmv nel liquido o ppm in peso?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D0CB9A" w15:done="1"/>
  <w15:commentEx w15:paraId="1554400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D0CB9A" w16cid:durableId="2B56D764"/>
  <w16cid:commentId w16cid:paraId="1554400C" w16cid:durableId="2B561D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717B5" w14:textId="77777777" w:rsidR="00000CD7" w:rsidRPr="009019EC" w:rsidRDefault="00000CD7" w:rsidP="004F5E36">
      <w:r w:rsidRPr="009019EC">
        <w:separator/>
      </w:r>
    </w:p>
  </w:endnote>
  <w:endnote w:type="continuationSeparator" w:id="0">
    <w:p w14:paraId="113C4750" w14:textId="77777777" w:rsidR="00000CD7" w:rsidRPr="009019EC" w:rsidRDefault="00000CD7" w:rsidP="004F5E36">
      <w:r w:rsidRPr="009019E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FAE34" w14:textId="77777777" w:rsidR="00000CD7" w:rsidRPr="009019EC" w:rsidRDefault="00000CD7" w:rsidP="004F5E36">
      <w:r w:rsidRPr="009019EC">
        <w:separator/>
      </w:r>
    </w:p>
  </w:footnote>
  <w:footnote w:type="continuationSeparator" w:id="0">
    <w:p w14:paraId="41FB61C6" w14:textId="77777777" w:rsidR="00000CD7" w:rsidRPr="009019EC" w:rsidRDefault="00000CD7" w:rsidP="004F5E36">
      <w:r w:rsidRPr="009019E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AD04DA7"/>
    <w:multiLevelType w:val="hybridMultilevel"/>
    <w:tmpl w:val="22E05A1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866894">
    <w:abstractNumId w:val="11"/>
  </w:num>
  <w:num w:numId="2" w16cid:durableId="1356157845">
    <w:abstractNumId w:val="8"/>
  </w:num>
  <w:num w:numId="3" w16cid:durableId="296028851">
    <w:abstractNumId w:val="3"/>
  </w:num>
  <w:num w:numId="4" w16cid:durableId="1744985517">
    <w:abstractNumId w:val="2"/>
  </w:num>
  <w:num w:numId="5" w16cid:durableId="519467160">
    <w:abstractNumId w:val="1"/>
  </w:num>
  <w:num w:numId="6" w16cid:durableId="2034574461">
    <w:abstractNumId w:val="0"/>
  </w:num>
  <w:num w:numId="7" w16cid:durableId="1059474974">
    <w:abstractNumId w:val="9"/>
  </w:num>
  <w:num w:numId="8" w16cid:durableId="31460215">
    <w:abstractNumId w:val="7"/>
  </w:num>
  <w:num w:numId="9" w16cid:durableId="1214463776">
    <w:abstractNumId w:val="6"/>
  </w:num>
  <w:num w:numId="10" w16cid:durableId="739139639">
    <w:abstractNumId w:val="5"/>
  </w:num>
  <w:num w:numId="11" w16cid:durableId="1263799255">
    <w:abstractNumId w:val="4"/>
  </w:num>
  <w:num w:numId="12" w16cid:durableId="379091667">
    <w:abstractNumId w:val="18"/>
  </w:num>
  <w:num w:numId="13" w16cid:durableId="1839074008">
    <w:abstractNumId w:val="13"/>
  </w:num>
  <w:num w:numId="14" w16cid:durableId="1663578346">
    <w:abstractNumId w:val="19"/>
  </w:num>
  <w:num w:numId="15" w16cid:durableId="1413359603">
    <w:abstractNumId w:val="21"/>
  </w:num>
  <w:num w:numId="16" w16cid:durableId="2039695609">
    <w:abstractNumId w:val="20"/>
  </w:num>
  <w:num w:numId="17" w16cid:durableId="1845780682">
    <w:abstractNumId w:val="12"/>
  </w:num>
  <w:num w:numId="18" w16cid:durableId="1297562948">
    <w:abstractNumId w:val="13"/>
    <w:lvlOverride w:ilvl="0">
      <w:startOverride w:val="1"/>
    </w:lvlOverride>
  </w:num>
  <w:num w:numId="19" w16cid:durableId="1263105063">
    <w:abstractNumId w:val="17"/>
  </w:num>
  <w:num w:numId="20" w16cid:durableId="1776556512">
    <w:abstractNumId w:val="16"/>
  </w:num>
  <w:num w:numId="21" w16cid:durableId="193543479">
    <w:abstractNumId w:val="15"/>
  </w:num>
  <w:num w:numId="22" w16cid:durableId="1802841677">
    <w:abstractNumId w:val="14"/>
  </w:num>
  <w:num w:numId="23" w16cid:durableId="320431760">
    <w:abstractNumId w:val="10"/>
  </w:num>
  <w:num w:numId="24" w16cid:durableId="145799018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sabetta Brunazzi">
    <w15:presenceInfo w15:providerId="AD" w15:userId="S-1-5-21-693503971-3864012090-1534185945-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CD7"/>
    <w:rsid w:val="00000CE7"/>
    <w:rsid w:val="00001F8A"/>
    <w:rsid w:val="000027C0"/>
    <w:rsid w:val="000052FB"/>
    <w:rsid w:val="00005A19"/>
    <w:rsid w:val="00007679"/>
    <w:rsid w:val="00007B40"/>
    <w:rsid w:val="000107F9"/>
    <w:rsid w:val="000117CB"/>
    <w:rsid w:val="00025E44"/>
    <w:rsid w:val="0003148D"/>
    <w:rsid w:val="00031EEC"/>
    <w:rsid w:val="00032490"/>
    <w:rsid w:val="00036FBA"/>
    <w:rsid w:val="000426CF"/>
    <w:rsid w:val="00051566"/>
    <w:rsid w:val="000522A4"/>
    <w:rsid w:val="0005413D"/>
    <w:rsid w:val="000562A9"/>
    <w:rsid w:val="00061329"/>
    <w:rsid w:val="00062A9A"/>
    <w:rsid w:val="00063D50"/>
    <w:rsid w:val="00065058"/>
    <w:rsid w:val="0007461E"/>
    <w:rsid w:val="00074DBE"/>
    <w:rsid w:val="00081305"/>
    <w:rsid w:val="00081885"/>
    <w:rsid w:val="00081EAE"/>
    <w:rsid w:val="00085538"/>
    <w:rsid w:val="00086C39"/>
    <w:rsid w:val="0009404B"/>
    <w:rsid w:val="000A03B2"/>
    <w:rsid w:val="000A07F8"/>
    <w:rsid w:val="000A08C4"/>
    <w:rsid w:val="000A0BDE"/>
    <w:rsid w:val="000A74D1"/>
    <w:rsid w:val="000B0A3A"/>
    <w:rsid w:val="000B0E86"/>
    <w:rsid w:val="000B0FF4"/>
    <w:rsid w:val="000B1D16"/>
    <w:rsid w:val="000B387C"/>
    <w:rsid w:val="000C2E3D"/>
    <w:rsid w:val="000D0268"/>
    <w:rsid w:val="000D34BE"/>
    <w:rsid w:val="000E0B3C"/>
    <w:rsid w:val="000E102F"/>
    <w:rsid w:val="000E36F1"/>
    <w:rsid w:val="000E3A73"/>
    <w:rsid w:val="000E414A"/>
    <w:rsid w:val="000E6FA8"/>
    <w:rsid w:val="000E75FD"/>
    <w:rsid w:val="000E7D4A"/>
    <w:rsid w:val="000F093C"/>
    <w:rsid w:val="000F1ED0"/>
    <w:rsid w:val="000F21AB"/>
    <w:rsid w:val="000F4F98"/>
    <w:rsid w:val="000F6607"/>
    <w:rsid w:val="000F6E0A"/>
    <w:rsid w:val="000F7222"/>
    <w:rsid w:val="000F7874"/>
    <w:rsid w:val="000F787B"/>
    <w:rsid w:val="00101A37"/>
    <w:rsid w:val="00101FB8"/>
    <w:rsid w:val="00103CAF"/>
    <w:rsid w:val="00112DD8"/>
    <w:rsid w:val="0012091F"/>
    <w:rsid w:val="00120EA9"/>
    <w:rsid w:val="001256CE"/>
    <w:rsid w:val="00126BC2"/>
    <w:rsid w:val="001308B6"/>
    <w:rsid w:val="0013121F"/>
    <w:rsid w:val="00131FE6"/>
    <w:rsid w:val="0013263F"/>
    <w:rsid w:val="001331DF"/>
    <w:rsid w:val="00134DE4"/>
    <w:rsid w:val="00135580"/>
    <w:rsid w:val="0014034D"/>
    <w:rsid w:val="00140FE3"/>
    <w:rsid w:val="00144D16"/>
    <w:rsid w:val="0014615E"/>
    <w:rsid w:val="00150E59"/>
    <w:rsid w:val="00150F41"/>
    <w:rsid w:val="001523B4"/>
    <w:rsid w:val="00152DE3"/>
    <w:rsid w:val="0015741A"/>
    <w:rsid w:val="00157856"/>
    <w:rsid w:val="00163F45"/>
    <w:rsid w:val="00164CF9"/>
    <w:rsid w:val="0016668E"/>
    <w:rsid w:val="001667A6"/>
    <w:rsid w:val="00174D3C"/>
    <w:rsid w:val="00174E1A"/>
    <w:rsid w:val="00177A9F"/>
    <w:rsid w:val="00180400"/>
    <w:rsid w:val="00181441"/>
    <w:rsid w:val="0018171E"/>
    <w:rsid w:val="00184741"/>
    <w:rsid w:val="001849A8"/>
    <w:rsid w:val="00184AD6"/>
    <w:rsid w:val="00186DB4"/>
    <w:rsid w:val="0019198A"/>
    <w:rsid w:val="0019764E"/>
    <w:rsid w:val="001A21C0"/>
    <w:rsid w:val="001A4AF7"/>
    <w:rsid w:val="001A5EE1"/>
    <w:rsid w:val="001B0349"/>
    <w:rsid w:val="001B0552"/>
    <w:rsid w:val="001B1428"/>
    <w:rsid w:val="001B1E93"/>
    <w:rsid w:val="001B2198"/>
    <w:rsid w:val="001B65C1"/>
    <w:rsid w:val="001C260F"/>
    <w:rsid w:val="001C3160"/>
    <w:rsid w:val="001C4E48"/>
    <w:rsid w:val="001C5C3A"/>
    <w:rsid w:val="001C684B"/>
    <w:rsid w:val="001C7BB9"/>
    <w:rsid w:val="001D0CFB"/>
    <w:rsid w:val="001D21AF"/>
    <w:rsid w:val="001D3D32"/>
    <w:rsid w:val="001D53FC"/>
    <w:rsid w:val="001D5F34"/>
    <w:rsid w:val="001D72C0"/>
    <w:rsid w:val="001E2C48"/>
    <w:rsid w:val="001E6A8B"/>
    <w:rsid w:val="001F057D"/>
    <w:rsid w:val="001F42A5"/>
    <w:rsid w:val="001F7B9D"/>
    <w:rsid w:val="0020121E"/>
    <w:rsid w:val="00201C93"/>
    <w:rsid w:val="002030D7"/>
    <w:rsid w:val="00206E11"/>
    <w:rsid w:val="00210350"/>
    <w:rsid w:val="0021184C"/>
    <w:rsid w:val="00217D99"/>
    <w:rsid w:val="00221991"/>
    <w:rsid w:val="002224B4"/>
    <w:rsid w:val="00222845"/>
    <w:rsid w:val="0022437F"/>
    <w:rsid w:val="002264A5"/>
    <w:rsid w:val="0023222C"/>
    <w:rsid w:val="0023254D"/>
    <w:rsid w:val="00232B6A"/>
    <w:rsid w:val="0023324F"/>
    <w:rsid w:val="00233A66"/>
    <w:rsid w:val="0023518C"/>
    <w:rsid w:val="002365E4"/>
    <w:rsid w:val="00236B8C"/>
    <w:rsid w:val="00240B64"/>
    <w:rsid w:val="002447EF"/>
    <w:rsid w:val="00244F2F"/>
    <w:rsid w:val="00251550"/>
    <w:rsid w:val="00252ED3"/>
    <w:rsid w:val="00253E00"/>
    <w:rsid w:val="002611D5"/>
    <w:rsid w:val="002630B2"/>
    <w:rsid w:val="00263B05"/>
    <w:rsid w:val="0027034E"/>
    <w:rsid w:val="0027221A"/>
    <w:rsid w:val="00274708"/>
    <w:rsid w:val="00275229"/>
    <w:rsid w:val="00275B61"/>
    <w:rsid w:val="00280FAF"/>
    <w:rsid w:val="00282656"/>
    <w:rsid w:val="002939B7"/>
    <w:rsid w:val="00294D6E"/>
    <w:rsid w:val="00296B83"/>
    <w:rsid w:val="002A19A3"/>
    <w:rsid w:val="002A353C"/>
    <w:rsid w:val="002A3D35"/>
    <w:rsid w:val="002B4015"/>
    <w:rsid w:val="002B52D9"/>
    <w:rsid w:val="002B5B30"/>
    <w:rsid w:val="002B78CE"/>
    <w:rsid w:val="002C2FB6"/>
    <w:rsid w:val="002C5533"/>
    <w:rsid w:val="002D71DB"/>
    <w:rsid w:val="002E0DCB"/>
    <w:rsid w:val="002E1A67"/>
    <w:rsid w:val="002E5FA7"/>
    <w:rsid w:val="002E66DF"/>
    <w:rsid w:val="002F0389"/>
    <w:rsid w:val="002F3309"/>
    <w:rsid w:val="003008CE"/>
    <w:rsid w:val="003009B7"/>
    <w:rsid w:val="00300E56"/>
    <w:rsid w:val="00301157"/>
    <w:rsid w:val="0030152C"/>
    <w:rsid w:val="00301C1D"/>
    <w:rsid w:val="00303933"/>
    <w:rsid w:val="00304694"/>
    <w:rsid w:val="0030469C"/>
    <w:rsid w:val="00304CE8"/>
    <w:rsid w:val="0030529D"/>
    <w:rsid w:val="003215DC"/>
    <w:rsid w:val="00321CA6"/>
    <w:rsid w:val="00323763"/>
    <w:rsid w:val="00323C5F"/>
    <w:rsid w:val="0032677F"/>
    <w:rsid w:val="0032715A"/>
    <w:rsid w:val="00334C09"/>
    <w:rsid w:val="00334E72"/>
    <w:rsid w:val="00335E23"/>
    <w:rsid w:val="00337F53"/>
    <w:rsid w:val="00341B45"/>
    <w:rsid w:val="003431FF"/>
    <w:rsid w:val="00343C3F"/>
    <w:rsid w:val="00343FA3"/>
    <w:rsid w:val="00344F06"/>
    <w:rsid w:val="003502FB"/>
    <w:rsid w:val="0035086E"/>
    <w:rsid w:val="00352E18"/>
    <w:rsid w:val="00357F69"/>
    <w:rsid w:val="003616B2"/>
    <w:rsid w:val="0036507C"/>
    <w:rsid w:val="003655A3"/>
    <w:rsid w:val="00370789"/>
    <w:rsid w:val="003723D4"/>
    <w:rsid w:val="00374532"/>
    <w:rsid w:val="00374C83"/>
    <w:rsid w:val="00381905"/>
    <w:rsid w:val="00381DB5"/>
    <w:rsid w:val="00384B74"/>
    <w:rsid w:val="00384CC8"/>
    <w:rsid w:val="0038567E"/>
    <w:rsid w:val="00385F30"/>
    <w:rsid w:val="00386B65"/>
    <w:rsid w:val="003871FD"/>
    <w:rsid w:val="00394751"/>
    <w:rsid w:val="003A1E30"/>
    <w:rsid w:val="003A2829"/>
    <w:rsid w:val="003A3B0C"/>
    <w:rsid w:val="003A7D1C"/>
    <w:rsid w:val="003B0D39"/>
    <w:rsid w:val="003B0F01"/>
    <w:rsid w:val="003B304B"/>
    <w:rsid w:val="003B3146"/>
    <w:rsid w:val="003B49CD"/>
    <w:rsid w:val="003C23DC"/>
    <w:rsid w:val="003C2842"/>
    <w:rsid w:val="003C358B"/>
    <w:rsid w:val="003C5246"/>
    <w:rsid w:val="003C7562"/>
    <w:rsid w:val="003C76DD"/>
    <w:rsid w:val="003C7F38"/>
    <w:rsid w:val="003D1E02"/>
    <w:rsid w:val="003D2BB2"/>
    <w:rsid w:val="003D30B2"/>
    <w:rsid w:val="003D60F6"/>
    <w:rsid w:val="003D6ED8"/>
    <w:rsid w:val="003E59DC"/>
    <w:rsid w:val="003F015E"/>
    <w:rsid w:val="003F1DC2"/>
    <w:rsid w:val="003F1E24"/>
    <w:rsid w:val="003F27C7"/>
    <w:rsid w:val="003F4EBD"/>
    <w:rsid w:val="00400414"/>
    <w:rsid w:val="00401BBA"/>
    <w:rsid w:val="004029CF"/>
    <w:rsid w:val="00402B9D"/>
    <w:rsid w:val="00407C2B"/>
    <w:rsid w:val="00410034"/>
    <w:rsid w:val="00411DF7"/>
    <w:rsid w:val="0041446B"/>
    <w:rsid w:val="00416D26"/>
    <w:rsid w:val="00424D37"/>
    <w:rsid w:val="004255EA"/>
    <w:rsid w:val="004258DC"/>
    <w:rsid w:val="00430135"/>
    <w:rsid w:val="00436836"/>
    <w:rsid w:val="0044071E"/>
    <w:rsid w:val="00441317"/>
    <w:rsid w:val="0044329C"/>
    <w:rsid w:val="00453429"/>
    <w:rsid w:val="00453E24"/>
    <w:rsid w:val="00455885"/>
    <w:rsid w:val="00457456"/>
    <w:rsid w:val="004577FE"/>
    <w:rsid w:val="00457B9C"/>
    <w:rsid w:val="0046164A"/>
    <w:rsid w:val="004628D2"/>
    <w:rsid w:val="00462DCD"/>
    <w:rsid w:val="004648AD"/>
    <w:rsid w:val="00467F45"/>
    <w:rsid w:val="004703A9"/>
    <w:rsid w:val="00471850"/>
    <w:rsid w:val="00474032"/>
    <w:rsid w:val="004743DD"/>
    <w:rsid w:val="004760DE"/>
    <w:rsid w:val="004763D7"/>
    <w:rsid w:val="00476882"/>
    <w:rsid w:val="004841D6"/>
    <w:rsid w:val="00484959"/>
    <w:rsid w:val="00492367"/>
    <w:rsid w:val="00493246"/>
    <w:rsid w:val="004A004E"/>
    <w:rsid w:val="004A24CF"/>
    <w:rsid w:val="004B1F43"/>
    <w:rsid w:val="004B4D3B"/>
    <w:rsid w:val="004B7209"/>
    <w:rsid w:val="004C1C57"/>
    <w:rsid w:val="004C275E"/>
    <w:rsid w:val="004C3D1D"/>
    <w:rsid w:val="004C3D84"/>
    <w:rsid w:val="004C49BD"/>
    <w:rsid w:val="004C7913"/>
    <w:rsid w:val="004C7F72"/>
    <w:rsid w:val="004D1020"/>
    <w:rsid w:val="004D4483"/>
    <w:rsid w:val="004D5781"/>
    <w:rsid w:val="004D618C"/>
    <w:rsid w:val="004E015F"/>
    <w:rsid w:val="004E0BC1"/>
    <w:rsid w:val="004E0BD4"/>
    <w:rsid w:val="004E4DD6"/>
    <w:rsid w:val="004E50F8"/>
    <w:rsid w:val="004E5793"/>
    <w:rsid w:val="004E7660"/>
    <w:rsid w:val="004F5165"/>
    <w:rsid w:val="004F5E36"/>
    <w:rsid w:val="00507B47"/>
    <w:rsid w:val="00507BEF"/>
    <w:rsid w:val="00507CC9"/>
    <w:rsid w:val="005119A5"/>
    <w:rsid w:val="00513C64"/>
    <w:rsid w:val="00521C02"/>
    <w:rsid w:val="005278B7"/>
    <w:rsid w:val="00530E96"/>
    <w:rsid w:val="00532016"/>
    <w:rsid w:val="0053261C"/>
    <w:rsid w:val="005346C8"/>
    <w:rsid w:val="00536B68"/>
    <w:rsid w:val="005427BB"/>
    <w:rsid w:val="0054339D"/>
    <w:rsid w:val="00543E7D"/>
    <w:rsid w:val="00547A68"/>
    <w:rsid w:val="00550398"/>
    <w:rsid w:val="0055112C"/>
    <w:rsid w:val="00551DEC"/>
    <w:rsid w:val="00552C81"/>
    <w:rsid w:val="005531C9"/>
    <w:rsid w:val="00553852"/>
    <w:rsid w:val="00554879"/>
    <w:rsid w:val="0055589B"/>
    <w:rsid w:val="0056085C"/>
    <w:rsid w:val="0056166A"/>
    <w:rsid w:val="00562D9B"/>
    <w:rsid w:val="0056308B"/>
    <w:rsid w:val="00566933"/>
    <w:rsid w:val="00570C43"/>
    <w:rsid w:val="0057593F"/>
    <w:rsid w:val="00586B87"/>
    <w:rsid w:val="00592274"/>
    <w:rsid w:val="0059262D"/>
    <w:rsid w:val="005A01F2"/>
    <w:rsid w:val="005A6DB9"/>
    <w:rsid w:val="005B189F"/>
    <w:rsid w:val="005B2110"/>
    <w:rsid w:val="005B350B"/>
    <w:rsid w:val="005B61E6"/>
    <w:rsid w:val="005B6488"/>
    <w:rsid w:val="005C3D14"/>
    <w:rsid w:val="005C6DF7"/>
    <w:rsid w:val="005C77E1"/>
    <w:rsid w:val="005D0C8F"/>
    <w:rsid w:val="005D1D92"/>
    <w:rsid w:val="005D3113"/>
    <w:rsid w:val="005D668A"/>
    <w:rsid w:val="005D6A2F"/>
    <w:rsid w:val="005E0592"/>
    <w:rsid w:val="005E1A82"/>
    <w:rsid w:val="005E6504"/>
    <w:rsid w:val="005E794C"/>
    <w:rsid w:val="005F0A28"/>
    <w:rsid w:val="005F0E5E"/>
    <w:rsid w:val="005F27C5"/>
    <w:rsid w:val="005F31A1"/>
    <w:rsid w:val="005F4E1A"/>
    <w:rsid w:val="00600535"/>
    <w:rsid w:val="00602D4D"/>
    <w:rsid w:val="00602D83"/>
    <w:rsid w:val="0060303A"/>
    <w:rsid w:val="00603E8F"/>
    <w:rsid w:val="006051F6"/>
    <w:rsid w:val="00610CD6"/>
    <w:rsid w:val="00611281"/>
    <w:rsid w:val="00611EB7"/>
    <w:rsid w:val="0062087C"/>
    <w:rsid w:val="00620DEE"/>
    <w:rsid w:val="00621035"/>
    <w:rsid w:val="00621F92"/>
    <w:rsid w:val="0062280A"/>
    <w:rsid w:val="006231E1"/>
    <w:rsid w:val="00623CF2"/>
    <w:rsid w:val="00625639"/>
    <w:rsid w:val="00626342"/>
    <w:rsid w:val="00631B33"/>
    <w:rsid w:val="0064184D"/>
    <w:rsid w:val="00641F42"/>
    <w:rsid w:val="006422CC"/>
    <w:rsid w:val="0064382C"/>
    <w:rsid w:val="00650508"/>
    <w:rsid w:val="00651D18"/>
    <w:rsid w:val="00652248"/>
    <w:rsid w:val="00653357"/>
    <w:rsid w:val="00653618"/>
    <w:rsid w:val="006543B0"/>
    <w:rsid w:val="006562F7"/>
    <w:rsid w:val="006571DD"/>
    <w:rsid w:val="00657A80"/>
    <w:rsid w:val="00660BE4"/>
    <w:rsid w:val="00660E3E"/>
    <w:rsid w:val="00661292"/>
    <w:rsid w:val="00662E74"/>
    <w:rsid w:val="00664B73"/>
    <w:rsid w:val="006655FE"/>
    <w:rsid w:val="00666877"/>
    <w:rsid w:val="00673440"/>
    <w:rsid w:val="00675D15"/>
    <w:rsid w:val="00680C23"/>
    <w:rsid w:val="00683E23"/>
    <w:rsid w:val="00684BA2"/>
    <w:rsid w:val="00690DA2"/>
    <w:rsid w:val="00693641"/>
    <w:rsid w:val="00693766"/>
    <w:rsid w:val="006A3281"/>
    <w:rsid w:val="006A5471"/>
    <w:rsid w:val="006A6DE5"/>
    <w:rsid w:val="006B4888"/>
    <w:rsid w:val="006B5471"/>
    <w:rsid w:val="006C15BA"/>
    <w:rsid w:val="006C2E45"/>
    <w:rsid w:val="006C359C"/>
    <w:rsid w:val="006C39F9"/>
    <w:rsid w:val="006C3C5C"/>
    <w:rsid w:val="006C5579"/>
    <w:rsid w:val="006C649A"/>
    <w:rsid w:val="006D35FC"/>
    <w:rsid w:val="006D6E8B"/>
    <w:rsid w:val="006D7209"/>
    <w:rsid w:val="006E260E"/>
    <w:rsid w:val="006E370C"/>
    <w:rsid w:val="006E45A8"/>
    <w:rsid w:val="006E654D"/>
    <w:rsid w:val="006E737D"/>
    <w:rsid w:val="006F1547"/>
    <w:rsid w:val="006F7692"/>
    <w:rsid w:val="0070058E"/>
    <w:rsid w:val="00701A38"/>
    <w:rsid w:val="00702B76"/>
    <w:rsid w:val="007061BA"/>
    <w:rsid w:val="0070631A"/>
    <w:rsid w:val="00707DD1"/>
    <w:rsid w:val="00707FC0"/>
    <w:rsid w:val="007113E3"/>
    <w:rsid w:val="00713973"/>
    <w:rsid w:val="00720A24"/>
    <w:rsid w:val="00722162"/>
    <w:rsid w:val="00724214"/>
    <w:rsid w:val="00724BF4"/>
    <w:rsid w:val="00732386"/>
    <w:rsid w:val="007327FB"/>
    <w:rsid w:val="0073454B"/>
    <w:rsid w:val="0073514D"/>
    <w:rsid w:val="00736F1A"/>
    <w:rsid w:val="007377DC"/>
    <w:rsid w:val="00742B71"/>
    <w:rsid w:val="007447F3"/>
    <w:rsid w:val="0074526E"/>
    <w:rsid w:val="00747F96"/>
    <w:rsid w:val="00750500"/>
    <w:rsid w:val="007525F5"/>
    <w:rsid w:val="00752755"/>
    <w:rsid w:val="00754870"/>
    <w:rsid w:val="0075499F"/>
    <w:rsid w:val="00765057"/>
    <w:rsid w:val="00766088"/>
    <w:rsid w:val="007661C8"/>
    <w:rsid w:val="00767430"/>
    <w:rsid w:val="0076763C"/>
    <w:rsid w:val="0077098D"/>
    <w:rsid w:val="00770C01"/>
    <w:rsid w:val="007717C8"/>
    <w:rsid w:val="00775712"/>
    <w:rsid w:val="00777C22"/>
    <w:rsid w:val="00785BF9"/>
    <w:rsid w:val="00785C87"/>
    <w:rsid w:val="00790CFC"/>
    <w:rsid w:val="007931FA"/>
    <w:rsid w:val="00794E94"/>
    <w:rsid w:val="00794F09"/>
    <w:rsid w:val="00795402"/>
    <w:rsid w:val="00797254"/>
    <w:rsid w:val="007977F8"/>
    <w:rsid w:val="007A07AB"/>
    <w:rsid w:val="007A2AA6"/>
    <w:rsid w:val="007A4861"/>
    <w:rsid w:val="007A7BBA"/>
    <w:rsid w:val="007B0C50"/>
    <w:rsid w:val="007B20A6"/>
    <w:rsid w:val="007B48F9"/>
    <w:rsid w:val="007C1A43"/>
    <w:rsid w:val="007C26A2"/>
    <w:rsid w:val="007C63A7"/>
    <w:rsid w:val="007D0951"/>
    <w:rsid w:val="007D1E3C"/>
    <w:rsid w:val="007D2983"/>
    <w:rsid w:val="007D44F1"/>
    <w:rsid w:val="007D610D"/>
    <w:rsid w:val="007D62B7"/>
    <w:rsid w:val="007D7F34"/>
    <w:rsid w:val="007E47D2"/>
    <w:rsid w:val="0080013E"/>
    <w:rsid w:val="00800181"/>
    <w:rsid w:val="00800694"/>
    <w:rsid w:val="00800AA4"/>
    <w:rsid w:val="00801759"/>
    <w:rsid w:val="00812B30"/>
    <w:rsid w:val="00813288"/>
    <w:rsid w:val="0081475D"/>
    <w:rsid w:val="008160A6"/>
    <w:rsid w:val="0081623A"/>
    <w:rsid w:val="008168FC"/>
    <w:rsid w:val="00817364"/>
    <w:rsid w:val="00817B3E"/>
    <w:rsid w:val="00821A09"/>
    <w:rsid w:val="00821B8E"/>
    <w:rsid w:val="00824103"/>
    <w:rsid w:val="008267A1"/>
    <w:rsid w:val="00826BB5"/>
    <w:rsid w:val="00830996"/>
    <w:rsid w:val="0083344F"/>
    <w:rsid w:val="008345F1"/>
    <w:rsid w:val="00835BB8"/>
    <w:rsid w:val="00836181"/>
    <w:rsid w:val="00836AA2"/>
    <w:rsid w:val="00837448"/>
    <w:rsid w:val="00837DE0"/>
    <w:rsid w:val="00843F26"/>
    <w:rsid w:val="00845450"/>
    <w:rsid w:val="0084648C"/>
    <w:rsid w:val="008529D8"/>
    <w:rsid w:val="00854559"/>
    <w:rsid w:val="00857EE9"/>
    <w:rsid w:val="00860334"/>
    <w:rsid w:val="00862A44"/>
    <w:rsid w:val="00865B07"/>
    <w:rsid w:val="00866792"/>
    <w:rsid w:val="008667EA"/>
    <w:rsid w:val="00866B8D"/>
    <w:rsid w:val="0087520C"/>
    <w:rsid w:val="0087637F"/>
    <w:rsid w:val="008871CA"/>
    <w:rsid w:val="00887EA7"/>
    <w:rsid w:val="00887FA6"/>
    <w:rsid w:val="00892AD5"/>
    <w:rsid w:val="008934D7"/>
    <w:rsid w:val="008954BA"/>
    <w:rsid w:val="008A1512"/>
    <w:rsid w:val="008A3FF8"/>
    <w:rsid w:val="008A4BC7"/>
    <w:rsid w:val="008A6EEF"/>
    <w:rsid w:val="008B3EFD"/>
    <w:rsid w:val="008C00AE"/>
    <w:rsid w:val="008C45CB"/>
    <w:rsid w:val="008C4D2F"/>
    <w:rsid w:val="008D27DF"/>
    <w:rsid w:val="008D32B9"/>
    <w:rsid w:val="008D3434"/>
    <w:rsid w:val="008D433B"/>
    <w:rsid w:val="008D4A16"/>
    <w:rsid w:val="008D5F3C"/>
    <w:rsid w:val="008D7321"/>
    <w:rsid w:val="008E4FBA"/>
    <w:rsid w:val="008E5401"/>
    <w:rsid w:val="008E5537"/>
    <w:rsid w:val="008E566E"/>
    <w:rsid w:val="008F09BD"/>
    <w:rsid w:val="008F2A7B"/>
    <w:rsid w:val="008F468F"/>
    <w:rsid w:val="008F4FCD"/>
    <w:rsid w:val="008F72CC"/>
    <w:rsid w:val="0090161A"/>
    <w:rsid w:val="0090188C"/>
    <w:rsid w:val="009019EC"/>
    <w:rsid w:val="00901EB6"/>
    <w:rsid w:val="00902FD6"/>
    <w:rsid w:val="009041F8"/>
    <w:rsid w:val="00904C62"/>
    <w:rsid w:val="00906E77"/>
    <w:rsid w:val="00911920"/>
    <w:rsid w:val="00913A07"/>
    <w:rsid w:val="00921C03"/>
    <w:rsid w:val="00922BA8"/>
    <w:rsid w:val="00923DE1"/>
    <w:rsid w:val="00924DAC"/>
    <w:rsid w:val="00927058"/>
    <w:rsid w:val="00927EFA"/>
    <w:rsid w:val="00931E8D"/>
    <w:rsid w:val="00933485"/>
    <w:rsid w:val="00934CE0"/>
    <w:rsid w:val="009357AD"/>
    <w:rsid w:val="00937482"/>
    <w:rsid w:val="00942750"/>
    <w:rsid w:val="009450CE"/>
    <w:rsid w:val="009459BB"/>
    <w:rsid w:val="00947179"/>
    <w:rsid w:val="00950A9C"/>
    <w:rsid w:val="0095164B"/>
    <w:rsid w:val="00954090"/>
    <w:rsid w:val="00954B48"/>
    <w:rsid w:val="0095650E"/>
    <w:rsid w:val="009573E7"/>
    <w:rsid w:val="00963068"/>
    <w:rsid w:val="00963E05"/>
    <w:rsid w:val="00964A45"/>
    <w:rsid w:val="00966D67"/>
    <w:rsid w:val="00967843"/>
    <w:rsid w:val="00967D54"/>
    <w:rsid w:val="00971028"/>
    <w:rsid w:val="00972E53"/>
    <w:rsid w:val="00976883"/>
    <w:rsid w:val="00984AFF"/>
    <w:rsid w:val="00984BDD"/>
    <w:rsid w:val="009860BE"/>
    <w:rsid w:val="00993B84"/>
    <w:rsid w:val="00994C6A"/>
    <w:rsid w:val="00996483"/>
    <w:rsid w:val="00996F5A"/>
    <w:rsid w:val="009A0C42"/>
    <w:rsid w:val="009A0FB2"/>
    <w:rsid w:val="009A556C"/>
    <w:rsid w:val="009B041A"/>
    <w:rsid w:val="009B12E3"/>
    <w:rsid w:val="009B1F12"/>
    <w:rsid w:val="009B27DD"/>
    <w:rsid w:val="009B54CE"/>
    <w:rsid w:val="009B6E57"/>
    <w:rsid w:val="009B72B8"/>
    <w:rsid w:val="009C1F78"/>
    <w:rsid w:val="009C37C3"/>
    <w:rsid w:val="009C6436"/>
    <w:rsid w:val="009C7C86"/>
    <w:rsid w:val="009D0C23"/>
    <w:rsid w:val="009D2FF7"/>
    <w:rsid w:val="009E099A"/>
    <w:rsid w:val="009E1739"/>
    <w:rsid w:val="009E1EA5"/>
    <w:rsid w:val="009E5DE6"/>
    <w:rsid w:val="009E7884"/>
    <w:rsid w:val="009E788A"/>
    <w:rsid w:val="009F0E08"/>
    <w:rsid w:val="009F3F97"/>
    <w:rsid w:val="009F5205"/>
    <w:rsid w:val="009F5C3B"/>
    <w:rsid w:val="009F7D9C"/>
    <w:rsid w:val="00A079AE"/>
    <w:rsid w:val="00A07B19"/>
    <w:rsid w:val="00A07E1E"/>
    <w:rsid w:val="00A07F16"/>
    <w:rsid w:val="00A11735"/>
    <w:rsid w:val="00A11F94"/>
    <w:rsid w:val="00A150B4"/>
    <w:rsid w:val="00A160D9"/>
    <w:rsid w:val="00A164F8"/>
    <w:rsid w:val="00A1664B"/>
    <w:rsid w:val="00A1763D"/>
    <w:rsid w:val="00A17C72"/>
    <w:rsid w:val="00A17CEC"/>
    <w:rsid w:val="00A2089C"/>
    <w:rsid w:val="00A20B00"/>
    <w:rsid w:val="00A22008"/>
    <w:rsid w:val="00A2353B"/>
    <w:rsid w:val="00A2519F"/>
    <w:rsid w:val="00A27BA2"/>
    <w:rsid w:val="00A27EF0"/>
    <w:rsid w:val="00A32B1A"/>
    <w:rsid w:val="00A36D51"/>
    <w:rsid w:val="00A37EE9"/>
    <w:rsid w:val="00A42361"/>
    <w:rsid w:val="00A43D56"/>
    <w:rsid w:val="00A447FD"/>
    <w:rsid w:val="00A4678B"/>
    <w:rsid w:val="00A47B8E"/>
    <w:rsid w:val="00A50B20"/>
    <w:rsid w:val="00A51390"/>
    <w:rsid w:val="00A53FE3"/>
    <w:rsid w:val="00A54032"/>
    <w:rsid w:val="00A60D13"/>
    <w:rsid w:val="00A61E67"/>
    <w:rsid w:val="00A66FFF"/>
    <w:rsid w:val="00A7223D"/>
    <w:rsid w:val="00A72745"/>
    <w:rsid w:val="00A73E1F"/>
    <w:rsid w:val="00A76EFC"/>
    <w:rsid w:val="00A81679"/>
    <w:rsid w:val="00A81D00"/>
    <w:rsid w:val="00A854A3"/>
    <w:rsid w:val="00A87CCE"/>
    <w:rsid w:val="00A87D50"/>
    <w:rsid w:val="00A91010"/>
    <w:rsid w:val="00A930DA"/>
    <w:rsid w:val="00A972E4"/>
    <w:rsid w:val="00A97F29"/>
    <w:rsid w:val="00AA0678"/>
    <w:rsid w:val="00AA62B7"/>
    <w:rsid w:val="00AA702E"/>
    <w:rsid w:val="00AA7D26"/>
    <w:rsid w:val="00AB0964"/>
    <w:rsid w:val="00AB5011"/>
    <w:rsid w:val="00AB541F"/>
    <w:rsid w:val="00AB572E"/>
    <w:rsid w:val="00AC047E"/>
    <w:rsid w:val="00AC7368"/>
    <w:rsid w:val="00AD16B9"/>
    <w:rsid w:val="00AD1FE9"/>
    <w:rsid w:val="00AD559C"/>
    <w:rsid w:val="00AD6C67"/>
    <w:rsid w:val="00AE1406"/>
    <w:rsid w:val="00AE268B"/>
    <w:rsid w:val="00AE377D"/>
    <w:rsid w:val="00AE37AE"/>
    <w:rsid w:val="00AE4F01"/>
    <w:rsid w:val="00AE5F73"/>
    <w:rsid w:val="00AE7045"/>
    <w:rsid w:val="00AF0EBA"/>
    <w:rsid w:val="00AF2463"/>
    <w:rsid w:val="00AF38D1"/>
    <w:rsid w:val="00B02C8A"/>
    <w:rsid w:val="00B04FF8"/>
    <w:rsid w:val="00B0602A"/>
    <w:rsid w:val="00B06945"/>
    <w:rsid w:val="00B06AA0"/>
    <w:rsid w:val="00B07175"/>
    <w:rsid w:val="00B07CAD"/>
    <w:rsid w:val="00B103D2"/>
    <w:rsid w:val="00B1061A"/>
    <w:rsid w:val="00B110B3"/>
    <w:rsid w:val="00B1305A"/>
    <w:rsid w:val="00B14332"/>
    <w:rsid w:val="00B14A88"/>
    <w:rsid w:val="00B17FBD"/>
    <w:rsid w:val="00B24D53"/>
    <w:rsid w:val="00B273E1"/>
    <w:rsid w:val="00B315A6"/>
    <w:rsid w:val="00B317B6"/>
    <w:rsid w:val="00B31813"/>
    <w:rsid w:val="00B33365"/>
    <w:rsid w:val="00B35408"/>
    <w:rsid w:val="00B40414"/>
    <w:rsid w:val="00B45150"/>
    <w:rsid w:val="00B47283"/>
    <w:rsid w:val="00B5238E"/>
    <w:rsid w:val="00B5419D"/>
    <w:rsid w:val="00B57B36"/>
    <w:rsid w:val="00B57E6F"/>
    <w:rsid w:val="00B60874"/>
    <w:rsid w:val="00B647AA"/>
    <w:rsid w:val="00B661B7"/>
    <w:rsid w:val="00B672C9"/>
    <w:rsid w:val="00B67312"/>
    <w:rsid w:val="00B7102F"/>
    <w:rsid w:val="00B7220D"/>
    <w:rsid w:val="00B7367E"/>
    <w:rsid w:val="00B73802"/>
    <w:rsid w:val="00B74820"/>
    <w:rsid w:val="00B7763A"/>
    <w:rsid w:val="00B80624"/>
    <w:rsid w:val="00B84244"/>
    <w:rsid w:val="00B8686D"/>
    <w:rsid w:val="00B876C3"/>
    <w:rsid w:val="00B93F69"/>
    <w:rsid w:val="00B9612C"/>
    <w:rsid w:val="00B9723C"/>
    <w:rsid w:val="00B97A87"/>
    <w:rsid w:val="00BA1022"/>
    <w:rsid w:val="00BA2F4E"/>
    <w:rsid w:val="00BA4F80"/>
    <w:rsid w:val="00BA7CD8"/>
    <w:rsid w:val="00BB1D79"/>
    <w:rsid w:val="00BB1DDC"/>
    <w:rsid w:val="00BB7FE3"/>
    <w:rsid w:val="00BC09E1"/>
    <w:rsid w:val="00BC30C9"/>
    <w:rsid w:val="00BC6FED"/>
    <w:rsid w:val="00BD077D"/>
    <w:rsid w:val="00BD15B5"/>
    <w:rsid w:val="00BD1DC4"/>
    <w:rsid w:val="00BE3E58"/>
    <w:rsid w:val="00BF13CE"/>
    <w:rsid w:val="00BF13D0"/>
    <w:rsid w:val="00BF5B4C"/>
    <w:rsid w:val="00BF734B"/>
    <w:rsid w:val="00C0121B"/>
    <w:rsid w:val="00C01616"/>
    <w:rsid w:val="00C0162B"/>
    <w:rsid w:val="00C068ED"/>
    <w:rsid w:val="00C12DD8"/>
    <w:rsid w:val="00C134A9"/>
    <w:rsid w:val="00C16E6E"/>
    <w:rsid w:val="00C17F84"/>
    <w:rsid w:val="00C200D3"/>
    <w:rsid w:val="00C207D0"/>
    <w:rsid w:val="00C22E0C"/>
    <w:rsid w:val="00C26EB7"/>
    <w:rsid w:val="00C27910"/>
    <w:rsid w:val="00C345B1"/>
    <w:rsid w:val="00C3506F"/>
    <w:rsid w:val="00C37E6D"/>
    <w:rsid w:val="00C40142"/>
    <w:rsid w:val="00C428DB"/>
    <w:rsid w:val="00C4387B"/>
    <w:rsid w:val="00C51817"/>
    <w:rsid w:val="00C52C3C"/>
    <w:rsid w:val="00C55645"/>
    <w:rsid w:val="00C56972"/>
    <w:rsid w:val="00C57182"/>
    <w:rsid w:val="00C57863"/>
    <w:rsid w:val="00C61661"/>
    <w:rsid w:val="00C616AD"/>
    <w:rsid w:val="00C640AF"/>
    <w:rsid w:val="00C655FD"/>
    <w:rsid w:val="00C67E05"/>
    <w:rsid w:val="00C71204"/>
    <w:rsid w:val="00C7444D"/>
    <w:rsid w:val="00C75407"/>
    <w:rsid w:val="00C816DA"/>
    <w:rsid w:val="00C830D8"/>
    <w:rsid w:val="00C841C6"/>
    <w:rsid w:val="00C84501"/>
    <w:rsid w:val="00C870A8"/>
    <w:rsid w:val="00C927D4"/>
    <w:rsid w:val="00C94434"/>
    <w:rsid w:val="00C96D8C"/>
    <w:rsid w:val="00CA0D75"/>
    <w:rsid w:val="00CA1C95"/>
    <w:rsid w:val="00CA5A9C"/>
    <w:rsid w:val="00CA5DE1"/>
    <w:rsid w:val="00CC4C20"/>
    <w:rsid w:val="00CC5D32"/>
    <w:rsid w:val="00CD1679"/>
    <w:rsid w:val="00CD3517"/>
    <w:rsid w:val="00CD38F6"/>
    <w:rsid w:val="00CD5FE2"/>
    <w:rsid w:val="00CD79D4"/>
    <w:rsid w:val="00CE006E"/>
    <w:rsid w:val="00CE1101"/>
    <w:rsid w:val="00CE1F2E"/>
    <w:rsid w:val="00CE37A4"/>
    <w:rsid w:val="00CE7C68"/>
    <w:rsid w:val="00CF563A"/>
    <w:rsid w:val="00CF59D4"/>
    <w:rsid w:val="00D02B4C"/>
    <w:rsid w:val="00D03636"/>
    <w:rsid w:val="00D040C4"/>
    <w:rsid w:val="00D13611"/>
    <w:rsid w:val="00D20AD1"/>
    <w:rsid w:val="00D22E7F"/>
    <w:rsid w:val="00D2582C"/>
    <w:rsid w:val="00D2585E"/>
    <w:rsid w:val="00D25A7B"/>
    <w:rsid w:val="00D26FBC"/>
    <w:rsid w:val="00D36F68"/>
    <w:rsid w:val="00D4157F"/>
    <w:rsid w:val="00D43F5B"/>
    <w:rsid w:val="00D444BC"/>
    <w:rsid w:val="00D44C45"/>
    <w:rsid w:val="00D46B7E"/>
    <w:rsid w:val="00D471C5"/>
    <w:rsid w:val="00D471E4"/>
    <w:rsid w:val="00D50BDB"/>
    <w:rsid w:val="00D55F94"/>
    <w:rsid w:val="00D56B60"/>
    <w:rsid w:val="00D56F34"/>
    <w:rsid w:val="00D57C84"/>
    <w:rsid w:val="00D57F55"/>
    <w:rsid w:val="00D6057D"/>
    <w:rsid w:val="00D65119"/>
    <w:rsid w:val="00D66690"/>
    <w:rsid w:val="00D71640"/>
    <w:rsid w:val="00D72780"/>
    <w:rsid w:val="00D730C2"/>
    <w:rsid w:val="00D75803"/>
    <w:rsid w:val="00D77A96"/>
    <w:rsid w:val="00D802F3"/>
    <w:rsid w:val="00D80C8D"/>
    <w:rsid w:val="00D80E0C"/>
    <w:rsid w:val="00D8113F"/>
    <w:rsid w:val="00D836C5"/>
    <w:rsid w:val="00D84576"/>
    <w:rsid w:val="00D87812"/>
    <w:rsid w:val="00DA1399"/>
    <w:rsid w:val="00DA24C6"/>
    <w:rsid w:val="00DA4BB6"/>
    <w:rsid w:val="00DA4D7B"/>
    <w:rsid w:val="00DA773B"/>
    <w:rsid w:val="00DB4E37"/>
    <w:rsid w:val="00DB5A5F"/>
    <w:rsid w:val="00DC2840"/>
    <w:rsid w:val="00DC44A9"/>
    <w:rsid w:val="00DC73EE"/>
    <w:rsid w:val="00DD18A5"/>
    <w:rsid w:val="00DD271C"/>
    <w:rsid w:val="00DD2F8B"/>
    <w:rsid w:val="00DD481C"/>
    <w:rsid w:val="00DD689C"/>
    <w:rsid w:val="00DD7EE2"/>
    <w:rsid w:val="00DE10BC"/>
    <w:rsid w:val="00DE264A"/>
    <w:rsid w:val="00DE3D9D"/>
    <w:rsid w:val="00DF23D6"/>
    <w:rsid w:val="00DF5072"/>
    <w:rsid w:val="00E02156"/>
    <w:rsid w:val="00E02D18"/>
    <w:rsid w:val="00E041E7"/>
    <w:rsid w:val="00E11A50"/>
    <w:rsid w:val="00E12A6E"/>
    <w:rsid w:val="00E12D17"/>
    <w:rsid w:val="00E172E6"/>
    <w:rsid w:val="00E1796C"/>
    <w:rsid w:val="00E20866"/>
    <w:rsid w:val="00E23CA1"/>
    <w:rsid w:val="00E256EF"/>
    <w:rsid w:val="00E276A3"/>
    <w:rsid w:val="00E279FC"/>
    <w:rsid w:val="00E37A2B"/>
    <w:rsid w:val="00E409A8"/>
    <w:rsid w:val="00E415E3"/>
    <w:rsid w:val="00E43BE2"/>
    <w:rsid w:val="00E46484"/>
    <w:rsid w:val="00E50C12"/>
    <w:rsid w:val="00E60452"/>
    <w:rsid w:val="00E62AE8"/>
    <w:rsid w:val="00E63ED5"/>
    <w:rsid w:val="00E65B91"/>
    <w:rsid w:val="00E675EC"/>
    <w:rsid w:val="00E7209D"/>
    <w:rsid w:val="00E72EAD"/>
    <w:rsid w:val="00E73E47"/>
    <w:rsid w:val="00E74E75"/>
    <w:rsid w:val="00E7675C"/>
    <w:rsid w:val="00E77223"/>
    <w:rsid w:val="00E7769C"/>
    <w:rsid w:val="00E8528B"/>
    <w:rsid w:val="00E85B94"/>
    <w:rsid w:val="00E86091"/>
    <w:rsid w:val="00E962A7"/>
    <w:rsid w:val="00E978D0"/>
    <w:rsid w:val="00E979E2"/>
    <w:rsid w:val="00EA1325"/>
    <w:rsid w:val="00EA4613"/>
    <w:rsid w:val="00EA4A99"/>
    <w:rsid w:val="00EA4D01"/>
    <w:rsid w:val="00EA63A5"/>
    <w:rsid w:val="00EA7F91"/>
    <w:rsid w:val="00EB1523"/>
    <w:rsid w:val="00EB645A"/>
    <w:rsid w:val="00EC0E49"/>
    <w:rsid w:val="00EC101F"/>
    <w:rsid w:val="00EC1D9F"/>
    <w:rsid w:val="00EC2EDD"/>
    <w:rsid w:val="00EC2F20"/>
    <w:rsid w:val="00EC4E49"/>
    <w:rsid w:val="00ED1A8A"/>
    <w:rsid w:val="00EE0131"/>
    <w:rsid w:val="00EE17B0"/>
    <w:rsid w:val="00EE51DF"/>
    <w:rsid w:val="00EF02EC"/>
    <w:rsid w:val="00EF06D9"/>
    <w:rsid w:val="00EF0E4B"/>
    <w:rsid w:val="00EF7193"/>
    <w:rsid w:val="00F0586A"/>
    <w:rsid w:val="00F1086A"/>
    <w:rsid w:val="00F20C9F"/>
    <w:rsid w:val="00F27AFE"/>
    <w:rsid w:val="00F3049E"/>
    <w:rsid w:val="00F30C64"/>
    <w:rsid w:val="00F32528"/>
    <w:rsid w:val="00F32BA2"/>
    <w:rsid w:val="00F32CDB"/>
    <w:rsid w:val="00F355A8"/>
    <w:rsid w:val="00F36D71"/>
    <w:rsid w:val="00F41EE4"/>
    <w:rsid w:val="00F43822"/>
    <w:rsid w:val="00F44585"/>
    <w:rsid w:val="00F47093"/>
    <w:rsid w:val="00F5296E"/>
    <w:rsid w:val="00F52E6B"/>
    <w:rsid w:val="00F52F0C"/>
    <w:rsid w:val="00F53856"/>
    <w:rsid w:val="00F54603"/>
    <w:rsid w:val="00F565FE"/>
    <w:rsid w:val="00F610DA"/>
    <w:rsid w:val="00F63A70"/>
    <w:rsid w:val="00F63D8C"/>
    <w:rsid w:val="00F64261"/>
    <w:rsid w:val="00F7014E"/>
    <w:rsid w:val="00F70587"/>
    <w:rsid w:val="00F74478"/>
    <w:rsid w:val="00F7534E"/>
    <w:rsid w:val="00F7758A"/>
    <w:rsid w:val="00F805E0"/>
    <w:rsid w:val="00F81E3B"/>
    <w:rsid w:val="00F86122"/>
    <w:rsid w:val="00F93EDF"/>
    <w:rsid w:val="00F9498A"/>
    <w:rsid w:val="00F9647C"/>
    <w:rsid w:val="00F969EF"/>
    <w:rsid w:val="00FA1802"/>
    <w:rsid w:val="00FA2161"/>
    <w:rsid w:val="00FA21D0"/>
    <w:rsid w:val="00FA5F5F"/>
    <w:rsid w:val="00FA5FA5"/>
    <w:rsid w:val="00FA6AC7"/>
    <w:rsid w:val="00FB2B33"/>
    <w:rsid w:val="00FB2C98"/>
    <w:rsid w:val="00FB4918"/>
    <w:rsid w:val="00FB730C"/>
    <w:rsid w:val="00FC0FF7"/>
    <w:rsid w:val="00FC2695"/>
    <w:rsid w:val="00FC3D0A"/>
    <w:rsid w:val="00FC3E03"/>
    <w:rsid w:val="00FC3FC1"/>
    <w:rsid w:val="00FC536F"/>
    <w:rsid w:val="00FD1BC3"/>
    <w:rsid w:val="00FE194D"/>
    <w:rsid w:val="00FE26E8"/>
    <w:rsid w:val="00FE4125"/>
    <w:rsid w:val="00FF023B"/>
    <w:rsid w:val="00FF116A"/>
    <w:rsid w:val="00FF1C2A"/>
    <w:rsid w:val="00FF34A8"/>
    <w:rsid w:val="00FF4CAD"/>
    <w:rsid w:val="00FF55D1"/>
    <w:rsid w:val="00FF7385"/>
    <w:rsid w:val="00FF74E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B06AA0"/>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8E5537"/>
    <w:rPr>
      <w:color w:val="666666"/>
    </w:rPr>
  </w:style>
  <w:style w:type="paragraph" w:styleId="Revision">
    <w:name w:val="Revision"/>
    <w:hidden/>
    <w:uiPriority w:val="99"/>
    <w:semiHidden/>
    <w:rsid w:val="00551DEC"/>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91">
      <w:bodyDiv w:val="1"/>
      <w:marLeft w:val="0"/>
      <w:marRight w:val="0"/>
      <w:marTop w:val="0"/>
      <w:marBottom w:val="0"/>
      <w:divBdr>
        <w:top w:val="none" w:sz="0" w:space="0" w:color="auto"/>
        <w:left w:val="none" w:sz="0" w:space="0" w:color="auto"/>
        <w:bottom w:val="none" w:sz="0" w:space="0" w:color="auto"/>
        <w:right w:val="none" w:sz="0" w:space="0" w:color="auto"/>
      </w:divBdr>
    </w:div>
    <w:div w:id="190343572">
      <w:bodyDiv w:val="1"/>
      <w:marLeft w:val="0"/>
      <w:marRight w:val="0"/>
      <w:marTop w:val="0"/>
      <w:marBottom w:val="0"/>
      <w:divBdr>
        <w:top w:val="none" w:sz="0" w:space="0" w:color="auto"/>
        <w:left w:val="none" w:sz="0" w:space="0" w:color="auto"/>
        <w:bottom w:val="none" w:sz="0" w:space="0" w:color="auto"/>
        <w:right w:val="none" w:sz="0" w:space="0" w:color="auto"/>
      </w:divBdr>
    </w:div>
    <w:div w:id="6692107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2934">
      <w:bodyDiv w:val="1"/>
      <w:marLeft w:val="0"/>
      <w:marRight w:val="0"/>
      <w:marTop w:val="0"/>
      <w:marBottom w:val="0"/>
      <w:divBdr>
        <w:top w:val="none" w:sz="0" w:space="0" w:color="auto"/>
        <w:left w:val="none" w:sz="0" w:space="0" w:color="auto"/>
        <w:bottom w:val="none" w:sz="0" w:space="0" w:color="auto"/>
        <w:right w:val="none" w:sz="0" w:space="0" w:color="auto"/>
      </w:divBdr>
      <w:divsChild>
        <w:div w:id="1732386823">
          <w:marLeft w:val="0"/>
          <w:marRight w:val="0"/>
          <w:marTop w:val="0"/>
          <w:marBottom w:val="0"/>
          <w:divBdr>
            <w:top w:val="none" w:sz="0" w:space="0" w:color="auto"/>
            <w:left w:val="none" w:sz="0" w:space="0" w:color="auto"/>
            <w:bottom w:val="none" w:sz="0" w:space="0" w:color="auto"/>
            <w:right w:val="none" w:sz="0" w:space="0" w:color="auto"/>
          </w:divBdr>
          <w:divsChild>
            <w:div w:id="12455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1392284">
      <w:bodyDiv w:val="1"/>
      <w:marLeft w:val="0"/>
      <w:marRight w:val="0"/>
      <w:marTop w:val="0"/>
      <w:marBottom w:val="0"/>
      <w:divBdr>
        <w:top w:val="none" w:sz="0" w:space="0" w:color="auto"/>
        <w:left w:val="none" w:sz="0" w:space="0" w:color="auto"/>
        <w:bottom w:val="none" w:sz="0" w:space="0" w:color="auto"/>
        <w:right w:val="none" w:sz="0" w:space="0" w:color="auto"/>
      </w:divBdr>
      <w:divsChild>
        <w:div w:id="2084644025">
          <w:marLeft w:val="0"/>
          <w:marRight w:val="0"/>
          <w:marTop w:val="0"/>
          <w:marBottom w:val="0"/>
          <w:divBdr>
            <w:top w:val="none" w:sz="0" w:space="0" w:color="auto"/>
            <w:left w:val="none" w:sz="0" w:space="0" w:color="auto"/>
            <w:bottom w:val="none" w:sz="0" w:space="0" w:color="auto"/>
            <w:right w:val="none" w:sz="0" w:space="0" w:color="auto"/>
          </w:divBdr>
          <w:divsChild>
            <w:div w:id="15338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32596180">
      <w:bodyDiv w:val="1"/>
      <w:marLeft w:val="0"/>
      <w:marRight w:val="0"/>
      <w:marTop w:val="0"/>
      <w:marBottom w:val="0"/>
      <w:divBdr>
        <w:top w:val="none" w:sz="0" w:space="0" w:color="auto"/>
        <w:left w:val="none" w:sz="0" w:space="0" w:color="auto"/>
        <w:bottom w:val="none" w:sz="0" w:space="0" w:color="auto"/>
        <w:right w:val="none" w:sz="0" w:space="0" w:color="auto"/>
      </w:divBdr>
      <w:divsChild>
        <w:div w:id="1061371621">
          <w:marLeft w:val="0"/>
          <w:marRight w:val="0"/>
          <w:marTop w:val="0"/>
          <w:marBottom w:val="0"/>
          <w:divBdr>
            <w:top w:val="none" w:sz="0" w:space="0" w:color="auto"/>
            <w:left w:val="none" w:sz="0" w:space="0" w:color="auto"/>
            <w:bottom w:val="none" w:sz="0" w:space="0" w:color="auto"/>
            <w:right w:val="none" w:sz="0" w:space="0" w:color="auto"/>
          </w:divBdr>
          <w:divsChild>
            <w:div w:id="15860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3215">
      <w:bodyDiv w:val="1"/>
      <w:marLeft w:val="0"/>
      <w:marRight w:val="0"/>
      <w:marTop w:val="0"/>
      <w:marBottom w:val="0"/>
      <w:divBdr>
        <w:top w:val="none" w:sz="0" w:space="0" w:color="auto"/>
        <w:left w:val="none" w:sz="0" w:space="0" w:color="auto"/>
        <w:bottom w:val="none" w:sz="0" w:space="0" w:color="auto"/>
        <w:right w:val="none" w:sz="0" w:space="0" w:color="auto"/>
      </w:divBdr>
      <w:divsChild>
        <w:div w:id="610937935">
          <w:marLeft w:val="0"/>
          <w:marRight w:val="0"/>
          <w:marTop w:val="0"/>
          <w:marBottom w:val="0"/>
          <w:divBdr>
            <w:top w:val="none" w:sz="0" w:space="0" w:color="auto"/>
            <w:left w:val="none" w:sz="0" w:space="0" w:color="auto"/>
            <w:bottom w:val="none" w:sz="0" w:space="0" w:color="auto"/>
            <w:right w:val="none" w:sz="0" w:space="0" w:color="auto"/>
          </w:divBdr>
          <w:divsChild>
            <w:div w:id="18734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sv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Spi03</b:Tag>
    <b:SourceType>JournalArticle</b:SourceType>
    <b:Guid>{72505DC7-EB97-4785-969A-5BC6B08C0A2F}</b:Guid>
    <b:Title>Distillation Columns with Structured Packings in the Next Decade</b:Title>
    <b:Year>2003</b:Year>
    <b:LCID>en-US</b:LCID>
    <b:Author>
      <b:Author>
        <b:NameList>
          <b:Person>
            <b:Last>Spiegel</b:Last>
            <b:First>Lothar</b:First>
            <b:Middle>and W. Meier</b:Middle>
          </b:Person>
        </b:NameList>
      </b:Author>
    </b:Author>
    <b:JournalName>Chemical Engineering Research &amp; Design</b:JournalName>
    <b:Pages>39-47</b:Pages>
    <b:Volume>81</b:Volume>
    <b:RefOrder>1</b:RefOrder>
  </b:Source>
</b:Sources>
</file>

<file path=customXml/itemProps1.xml><?xml version="1.0" encoding="utf-8"?>
<ds:datastoreItem xmlns:ds="http://schemas.openxmlformats.org/officeDocument/2006/customXml" ds:itemID="{037CE080-8C2E-45D1-86C4-88865D9A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Pages>
  <Words>3704</Words>
  <Characters>21113</Characters>
  <Application>Microsoft Office Word</Application>
  <DocSecurity>0</DocSecurity>
  <Lines>175</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Pietro Giustacori</cp:lastModifiedBy>
  <cp:revision>16</cp:revision>
  <cp:lastPrinted>2024-12-06T18:11:00Z</cp:lastPrinted>
  <dcterms:created xsi:type="dcterms:W3CDTF">2025-02-11T16:20:00Z</dcterms:created>
  <dcterms:modified xsi:type="dcterms:W3CDTF">2025-02-12T08:12:00Z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267b89fea978b8b97eff6893274e65cb04c9133799e5c65bd327fdad1138d86e</vt:lpwstr>
  </property>
</Properties>
</file>