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0704B43" w:rsidR="00E978D0" w:rsidRPr="00B57B36" w:rsidRDefault="008244F9" w:rsidP="00E978D0">
      <w:pPr>
        <w:pStyle w:val="CETTitle"/>
      </w:pPr>
      <w:r>
        <w:t>A Preliminary Investigation on t</w:t>
      </w:r>
      <w:r w:rsidR="00FF0EBA">
        <w:t xml:space="preserve">he Role </w:t>
      </w:r>
      <w:r>
        <w:t>of Hemicellulose in Hydrothermal Carbonization with Recycled Process Water</w:t>
      </w:r>
    </w:p>
    <w:p w14:paraId="156DA1F9" w14:textId="77777777" w:rsidR="005C782F" w:rsidRPr="004E0EC0" w:rsidRDefault="005C782F" w:rsidP="005C782F">
      <w:pPr>
        <w:pStyle w:val="CETAuthors"/>
        <w:rPr>
          <w:lang w:val="it-IT"/>
        </w:rPr>
      </w:pPr>
      <w:r w:rsidRPr="004E0EC0">
        <w:rPr>
          <w:lang w:val="it-IT"/>
        </w:rPr>
        <w:t>Antonio Picone</w:t>
      </w:r>
      <w:r w:rsidRPr="004E0EC0">
        <w:rPr>
          <w:vertAlign w:val="superscript"/>
          <w:lang w:val="it-IT"/>
        </w:rPr>
        <w:t>a</w:t>
      </w:r>
      <w:r w:rsidRPr="004E0EC0">
        <w:rPr>
          <w:lang w:val="it-IT"/>
        </w:rPr>
        <w:t>, Chiara Corrado</w:t>
      </w:r>
      <w:r w:rsidRPr="004E0EC0">
        <w:rPr>
          <w:vertAlign w:val="superscript"/>
          <w:lang w:val="it-IT"/>
        </w:rPr>
        <w:t>b</w:t>
      </w:r>
      <w:r>
        <w:rPr>
          <w:lang w:val="it-IT"/>
        </w:rPr>
        <w:t xml:space="preserve">, </w:t>
      </w:r>
      <w:r w:rsidRPr="004E0EC0">
        <w:rPr>
          <w:lang w:val="it-IT"/>
        </w:rPr>
        <w:t>Antonio Messineo</w:t>
      </w:r>
      <w:r w:rsidRPr="004E0EC0">
        <w:rPr>
          <w:vertAlign w:val="superscript"/>
          <w:lang w:val="it-IT"/>
        </w:rPr>
        <w:t>a</w:t>
      </w:r>
      <w:r w:rsidRPr="004E0EC0">
        <w:rPr>
          <w:lang w:val="it-IT"/>
        </w:rPr>
        <w:t>,</w:t>
      </w:r>
      <w:r>
        <w:rPr>
          <w:lang w:val="it-IT"/>
        </w:rPr>
        <w:t xml:space="preserve"> </w:t>
      </w:r>
      <w:r w:rsidRPr="004E0EC0">
        <w:rPr>
          <w:lang w:val="it-IT"/>
        </w:rPr>
        <w:t>Maurizio Volpe</w:t>
      </w:r>
      <w:r w:rsidRPr="004E0EC0">
        <w:rPr>
          <w:vertAlign w:val="superscript"/>
          <w:lang w:val="it-IT"/>
        </w:rPr>
        <w:t>a*</w:t>
      </w:r>
    </w:p>
    <w:p w14:paraId="6B2D21B3" w14:textId="2F2DFD50" w:rsidR="00B57E6F" w:rsidRPr="00813AAF" w:rsidRDefault="00B57E6F" w:rsidP="00B57E6F">
      <w:pPr>
        <w:pStyle w:val="CETAddress"/>
        <w:rPr>
          <w:lang w:val="it-IT"/>
        </w:rPr>
      </w:pPr>
      <w:r w:rsidRPr="00813AAF">
        <w:rPr>
          <w:vertAlign w:val="superscript"/>
          <w:lang w:val="it-IT"/>
        </w:rPr>
        <w:t>a</w:t>
      </w:r>
      <w:r w:rsidR="008244F9" w:rsidRPr="00813AAF">
        <w:rPr>
          <w:lang w:val="it-IT"/>
        </w:rPr>
        <w:t>Dipartimento di Ingegneria e Architettura, Università di Enna Kore, Cittadella Universitaria, 94100, Enna, Italia</w:t>
      </w:r>
    </w:p>
    <w:p w14:paraId="7F57C35D" w14:textId="77777777" w:rsidR="00A6240E" w:rsidRDefault="00B57E6F" w:rsidP="00A6240E">
      <w:pPr>
        <w:pStyle w:val="CETAddress"/>
        <w:rPr>
          <w:lang w:val="it-IT"/>
        </w:rPr>
      </w:pPr>
      <w:r w:rsidRPr="00813AAF">
        <w:rPr>
          <w:vertAlign w:val="superscript"/>
          <w:lang w:val="it-IT"/>
        </w:rPr>
        <w:t>b</w:t>
      </w:r>
      <w:r w:rsidR="008244F9" w:rsidRPr="00813AAF">
        <w:rPr>
          <w:lang w:val="it-IT"/>
        </w:rPr>
        <w:t>Dipartimento di Biomedicina, Neuroscienze e Diagnostica Avanzata, Università di Palermo, Via Divisi 83, 90133, Palermo, Italia</w:t>
      </w:r>
    </w:p>
    <w:p w14:paraId="73F1267A" w14:textId="21AB9AA6" w:rsidR="00B57E6F" w:rsidRDefault="00A6240E" w:rsidP="00A6240E">
      <w:pPr>
        <w:pStyle w:val="CETAddress"/>
      </w:pPr>
      <w:r w:rsidRPr="00A6240E">
        <w:rPr>
          <w:lang w:val="en-US"/>
        </w:rPr>
        <w:t xml:space="preserve">* </w:t>
      </w:r>
      <w:r>
        <w:t xml:space="preserve">corresponding author: </w:t>
      </w:r>
      <w:hyperlink r:id="rId10" w:history="1">
        <w:r w:rsidRPr="0026731D">
          <w:rPr>
            <w:rStyle w:val="Collegamentoipertestuale"/>
          </w:rPr>
          <w:t>maurizio.volpe@unikore.it</w:t>
        </w:r>
      </w:hyperlink>
    </w:p>
    <w:p w14:paraId="237290BE" w14:textId="77777777" w:rsidR="00A6240E" w:rsidRPr="00A6240E" w:rsidRDefault="00A6240E" w:rsidP="00A6240E">
      <w:pPr>
        <w:pStyle w:val="CETAddress"/>
        <w:rPr>
          <w:lang w:val="en-US"/>
        </w:rPr>
      </w:pPr>
    </w:p>
    <w:p w14:paraId="60557EF5" w14:textId="1B070C0A" w:rsidR="002341F7" w:rsidRPr="00B57B36" w:rsidRDefault="002341F7" w:rsidP="002341F7">
      <w:pPr>
        <w:pStyle w:val="CETBodytext"/>
        <w:rPr>
          <w:lang w:val="en-GB"/>
        </w:rPr>
      </w:pPr>
      <w:r>
        <w:rPr>
          <w:lang w:val="en-GB"/>
        </w:rPr>
        <w:t xml:space="preserve">Hydrothermal carbonization (HTC) is a promising thermochemical technology to upgrade biomass waste into valuable solid bio-fuels and </w:t>
      </w:r>
      <w:r w:rsidRPr="00B56980">
        <w:rPr>
          <w:lang w:val="en-GB"/>
        </w:rPr>
        <w:t>functionali</w:t>
      </w:r>
      <w:r w:rsidR="00BD0457">
        <w:rPr>
          <w:lang w:val="en-GB"/>
        </w:rPr>
        <w:t>z</w:t>
      </w:r>
      <w:r w:rsidRPr="00B56980">
        <w:rPr>
          <w:lang w:val="en-GB"/>
        </w:rPr>
        <w:t>ed carbon materials for various applications</w:t>
      </w:r>
      <w:r>
        <w:rPr>
          <w:lang w:val="en-GB"/>
        </w:rPr>
        <w:t>. In order to better govern the process, the complex reaction pathways involved in the hydrochar formation need to be more deeply investigated and understood. In this work, the influence of hemicellulose on HTC with recycled process water was studied and preliminary results were reported. Commercially available microcrystalline xylose and cellulose were separately treated at different reaction severity conditions and t</w:t>
      </w:r>
      <w:r w:rsidR="00545CF7">
        <w:rPr>
          <w:lang w:val="en-GB"/>
        </w:rPr>
        <w:t>he effect of process water (PW)</w:t>
      </w:r>
      <w:r>
        <w:rPr>
          <w:lang w:val="en-GB"/>
        </w:rPr>
        <w:t xml:space="preserve"> recycling on HTC of cellulose was assessed in terms of mass yield computation, secondary char (SC) extraction and hydrochars properties. For all HTC conditions tested, hydrochar and gas mass yields increased with PW recirculation. SC formation was remarkably enhanced with the increase of conversion severity, when PW from xylose was used as a solvent</w:t>
      </w:r>
      <w:r w:rsidR="00A6123A">
        <w:rPr>
          <w:lang w:val="en-GB"/>
        </w:rPr>
        <w:t>;</w:t>
      </w:r>
      <w:r w:rsidR="00813AAF">
        <w:rPr>
          <w:lang w:val="en-GB"/>
        </w:rPr>
        <w:t xml:space="preserve"> c</w:t>
      </w:r>
      <w:r>
        <w:rPr>
          <w:lang w:val="en-GB"/>
        </w:rPr>
        <w:t>orrespondingly, a slight increase in the hydrochars’ energy content was also found.</w:t>
      </w:r>
    </w:p>
    <w:p w14:paraId="476B2F2E" w14:textId="52B36035" w:rsidR="00600535" w:rsidRPr="00B57B36" w:rsidRDefault="00600535" w:rsidP="00600535">
      <w:pPr>
        <w:pStyle w:val="CETHeading1"/>
        <w:rPr>
          <w:lang w:val="en-GB"/>
        </w:rPr>
      </w:pPr>
      <w:r w:rsidRPr="00B57B36">
        <w:rPr>
          <w:lang w:val="en-GB"/>
        </w:rPr>
        <w:t>Introduction</w:t>
      </w:r>
    </w:p>
    <w:p w14:paraId="45403C49" w14:textId="74554225" w:rsidR="00986F3D" w:rsidRDefault="00755FAF" w:rsidP="00BF7B2A">
      <w:pPr>
        <w:pStyle w:val="CETListbullets"/>
        <w:ind w:left="0" w:firstLine="0"/>
      </w:pPr>
      <w:r w:rsidRPr="00755FAF">
        <w:t>Lignocellulosic biomass is a promising candidate to replace fossil fuels in providing energy carriers and platform chemicals due to its wide range of sources, large availability and fast renewal rates</w:t>
      </w:r>
      <w:r w:rsidR="0028339D">
        <w:t xml:space="preserve"> </w:t>
      </w:r>
      <w:r w:rsidR="0028339D">
        <w:fldChar w:fldCharType="begin" w:fldLock="1"/>
      </w:r>
      <w:r w:rsidR="00447062">
        <w:instrText>ADDIN CSL_CITATION {"citationItems":[{"id":"ITEM-1","itemData":{"DOI":"10.3303/CET1650031","ISBN":"9788895608419","ISSN":"22839216","abstract":"This study describes the design of a novel fixed bed lab scale down-draft 'multiple layer' reactor, aimed to investigate the effect of chars as means to catalyze tar cracking during pyrolysis of agro-industrial wastes. Preliminary experiments were carried out on pyrolysis of citrus wastes at 500, 700 and 800 °C for 30 minutes holding time in N2 atmosphere. Tar obtained from pyrolysis of same feedstock at 650 °C and 800 °C were used as cracking catalyst. Tests showed that tar yields of pyrolysis of approximately 2 g of oven dried lemon pulp could be reduced when approximately 0.4 g of chars were used as a catalytic means. Results of runs conducted at 500, 700 and 800 °C show no significant cracking effect at the lower temperature and a moderate (3% reduction in tar yield) at the higher temperatures. Results show that catalytic effect of char may be foreseen in downdraft set-ups but mainly in sections close to the gasifying zone. Overall, the system described showed to be a valid tool in evaluating the effectiveness of using chars in tar cracking during pyrolysis of citrus wastes. Moreover, important insights were obtained for future more in depth analyses of the issue.","author":[{"dropping-particle":"","family":"Volpe","given":"Roberto","non-dropping-particle":"","parse-names":false,"suffix":""},{"dropping-particle":"","family":"Messineo","given":"Simona","non-dropping-particle":"","parse-names":false,"suffix":""},{"dropping-particle":"","family":"Volpe","given":"Maurizio","non-dropping-particle":"","parse-names":false,"suffix":""},{"dropping-particle":"","family":"Messineo","given":"Antonio","non-dropping-particle":"","parse-names":false,"suffix":""}],"container-title":"Chemical Engineering Transactions","id":"ITEM-1","issue":"June","issued":{"date-parts":[["2016"]]},"page":"181-186","title":"Catalytic effect of char for tar cracking in pyrolysis of citrus wastes, design of a novel experimental set up and first results","type":"article-journal","volume":"50"},"uris":["http://www.mendeley.com/documents/?uuid=7c4fd2a5-629f-4e22-bb96-f37093a00ba8"]}],"mendeley":{"formattedCitation":"(Volpe et al., 2016)","plainTextFormattedCitation":"(Volpe et al., 2016)","previouslyFormattedCitation":"(Volpe et al., 2016)"},"properties":{"noteIndex":0},"schema":"https://github.com/citation-style-language/schema/raw/master/csl-citation.json"}</w:instrText>
      </w:r>
      <w:r w:rsidR="0028339D">
        <w:fldChar w:fldCharType="separate"/>
      </w:r>
      <w:r w:rsidR="0028339D" w:rsidRPr="0028339D">
        <w:rPr>
          <w:noProof/>
        </w:rPr>
        <w:t>(Volpe</w:t>
      </w:r>
      <w:r w:rsidR="00DC2C91">
        <w:rPr>
          <w:noProof/>
        </w:rPr>
        <w:t>, R.,</w:t>
      </w:r>
      <w:r w:rsidR="0028339D" w:rsidRPr="0028339D">
        <w:rPr>
          <w:noProof/>
        </w:rPr>
        <w:t xml:space="preserve"> et al., 2016)</w:t>
      </w:r>
      <w:r w:rsidR="0028339D">
        <w:fldChar w:fldCharType="end"/>
      </w:r>
      <w:r w:rsidR="00C10233">
        <w:t xml:space="preserve">. </w:t>
      </w:r>
      <w:r w:rsidR="002341F7" w:rsidRPr="00755FAF">
        <w:t xml:space="preserve">Hemicellulose, cellulose and lignin are the main </w:t>
      </w:r>
      <w:r w:rsidR="002341F7">
        <w:t>macro-components of</w:t>
      </w:r>
      <w:r w:rsidR="002341F7" w:rsidRPr="00755FAF">
        <w:t xml:space="preserve"> lignocellu</w:t>
      </w:r>
      <w:r w:rsidR="002341F7">
        <w:t>l</w:t>
      </w:r>
      <w:r w:rsidR="002341F7" w:rsidRPr="00755FAF">
        <w:t>osic</w:t>
      </w:r>
      <w:r w:rsidR="00813AAF">
        <w:t xml:space="preserve"> </w:t>
      </w:r>
      <w:proofErr w:type="gramStart"/>
      <w:r w:rsidR="00813AAF">
        <w:t>biomass</w:t>
      </w:r>
      <w:r w:rsidR="002341F7" w:rsidRPr="00755FAF">
        <w:t xml:space="preserve">  such</w:t>
      </w:r>
      <w:proofErr w:type="gramEnd"/>
      <w:r w:rsidR="002341F7" w:rsidRPr="00755FAF">
        <w:t xml:space="preserve"> as agro-industrial, forestry and agricultural wastes. </w:t>
      </w:r>
      <w:r w:rsidR="002341F7">
        <w:t xml:space="preserve">When </w:t>
      </w:r>
      <w:r w:rsidR="002341F7" w:rsidRPr="00755FAF">
        <w:t>sub</w:t>
      </w:r>
      <w:r w:rsidR="0019701A">
        <w:t>jected</w:t>
      </w:r>
      <w:r w:rsidR="002341F7" w:rsidRPr="00755FAF">
        <w:t xml:space="preserve"> to </w:t>
      </w:r>
      <w:r w:rsidR="002341F7">
        <w:t xml:space="preserve">hydrothermal </w:t>
      </w:r>
      <w:r w:rsidR="002341F7" w:rsidRPr="00755FAF">
        <w:t xml:space="preserve">treatments at temperatures below 250 °C, the lignin fraction is likely to remain relatively stable while hemicellulose and cellulose undergo significant </w:t>
      </w:r>
      <w:r w:rsidR="002341F7">
        <w:t>decomposition</w:t>
      </w:r>
      <w:r w:rsidR="002341F7" w:rsidRPr="00755FAF">
        <w:t xml:space="preserve">, </w:t>
      </w:r>
      <w:r w:rsidR="002341F7">
        <w:t xml:space="preserve">due to their lower thermal stability </w:t>
      </w:r>
      <w:r w:rsidR="00C10233">
        <w:fldChar w:fldCharType="begin" w:fldLock="1"/>
      </w:r>
      <w:r w:rsidR="001E3C2C">
        <w:instrText>ADDIN CSL_CITATION {"citationItems":[{"id":"ITEM-1","itemData":{"DOI":"10.3390/en5051384","ISSN":"19961073","abstract":"This work is aimed at calculating the energy content of the residues from olive oil production. Olive pulp, olive husk and sludge (a mixture of olive pulp and husk) have been analyzed separately. Olive Mill Effluents (OME) are normally a problem for olive mill farms, yet they may be used as feedstock for biomass-fuelled power plants. Nonetheless, OMEs are characterized by a relatively high humidity content and are produced only during the olive season. Thus, OME need a stabilization process to be employed as a solid biofuel throughout the year. The analyses conducted attempt an evaluation of the energy consumption of a three-stage stabilization process: drying, milling and pelletising. The net electrical energy available from OME is then calculated as a difference between gross energy available and energy consumed for stabilization. The gross available electrical energy was calculated based on direct energy conversion of the stabilized feedstock on a small scale direct combustion and Organic Rankine Cycle (ORC) turbine. Results show that OME are suitable for energy production. Approximately 4500 kJ/kg of net electrical energy may be obtained out of olive sludge or olive pulp, while olive husk shows a potential gross energy of 3400 kJ/kg. © 2012 by the authors.","author":[{"dropping-particle":"","family":"Messineo","given":"Antonio","non-dropping-particle":"","parse-names":false,"suffix":""},{"dropping-particle":"","family":"Volpe","given":"Roberto","non-dropping-particle":"","parse-names":false,"suffix":""},{"dropping-particle":"","family":"Asdrubali","given":"Francesco","non-dropping-particle":"","parse-names":false,"suffix":""}],"container-title":"Energies","id":"ITEM-1","issue":"5","issued":{"date-parts":[["2012"]]},"page":"1384-1397","title":"Evaluation of net energy obtainable from combustion of stabilised olive mill by-products","type":"article-journal","volume":"5"},"uris":["http://www.mendeley.com/documents/?uuid=b3095a92-c7b1-43f9-a078-e9cf0bd1e1ab"]}],"mendeley":{"formattedCitation":"(Messineo et al., 2012)","plainTextFormattedCitation":"(Messineo et al., 2012)","previouslyFormattedCitation":"(Messineo et al., 2012)"},"properties":{"noteIndex":0},"schema":"https://github.com/citation-style-language/schema/raw/master/csl-citation.json"}</w:instrText>
      </w:r>
      <w:r w:rsidR="00C10233">
        <w:fldChar w:fldCharType="separate"/>
      </w:r>
      <w:r w:rsidR="00C10233" w:rsidRPr="00C10233">
        <w:rPr>
          <w:noProof/>
        </w:rPr>
        <w:t>(</w:t>
      </w:r>
      <w:r w:rsidR="00813AAF">
        <w:rPr>
          <w:noProof/>
        </w:rPr>
        <w:t>Volpe M., et al., 2020</w:t>
      </w:r>
      <w:r w:rsidR="00C10233" w:rsidRPr="00C10233">
        <w:rPr>
          <w:noProof/>
        </w:rPr>
        <w:t>)</w:t>
      </w:r>
      <w:r w:rsidR="00C10233">
        <w:fldChar w:fldCharType="end"/>
      </w:r>
      <w:r w:rsidRPr="00755FAF">
        <w:t>.</w:t>
      </w:r>
      <w:r w:rsidR="00362ACA">
        <w:t xml:space="preserve"> </w:t>
      </w:r>
    </w:p>
    <w:p w14:paraId="5AA8504C" w14:textId="0169A569" w:rsidR="000B1F56" w:rsidRDefault="00E13255" w:rsidP="00BF7B2A">
      <w:pPr>
        <w:pStyle w:val="CETListbullets"/>
        <w:ind w:left="0" w:firstLine="0"/>
      </w:pPr>
      <w:r w:rsidRPr="00362ACA">
        <w:t>Recently, hydrothe</w:t>
      </w:r>
      <w:r>
        <w:t>r</w:t>
      </w:r>
      <w:r w:rsidRPr="00362ACA">
        <w:t xml:space="preserve">mal carbonization (HTC) has emerged as an effective technology, broadly suitable for high-moisture feedstock, in which biomass is converted into a carbonaceous solid product, called hydrochar, with high bio-fuel potential. HTC takes place in </w:t>
      </w:r>
      <w:r>
        <w:t xml:space="preserve">batch </w:t>
      </w:r>
      <w:r w:rsidRPr="00362ACA">
        <w:t xml:space="preserve">reactors </w:t>
      </w:r>
      <w:r>
        <w:t>in the presence of</w:t>
      </w:r>
      <w:r w:rsidRPr="00362ACA">
        <w:t xml:space="preserve"> subcritical water at temperature </w:t>
      </w:r>
      <w:r>
        <w:t xml:space="preserve">typically </w:t>
      </w:r>
      <w:r w:rsidRPr="00362ACA">
        <w:t>rang</w:t>
      </w:r>
      <w:r>
        <w:t>ing between</w:t>
      </w:r>
      <w:r w:rsidRPr="00362ACA">
        <w:t xml:space="preserve"> 180</w:t>
      </w:r>
      <w:r>
        <w:t xml:space="preserve"> and </w:t>
      </w:r>
      <w:r w:rsidRPr="00362ACA">
        <w:t xml:space="preserve">250 °C and corresponding </w:t>
      </w:r>
      <w:r>
        <w:t>autogenous</w:t>
      </w:r>
      <w:r w:rsidRPr="00362ACA">
        <w:t xml:space="preserve"> pressures</w:t>
      </w:r>
      <w:r>
        <w:t xml:space="preserve"> between 10 and 40 bars</w:t>
      </w:r>
      <w:r w:rsidR="006D4360">
        <w:t>,</w:t>
      </w:r>
      <w:r>
        <w:t xml:space="preserve"> respectively. </w:t>
      </w:r>
      <w:r w:rsidRPr="00800756">
        <w:t>Therefore, together with the main solid product</w:t>
      </w:r>
      <w:r>
        <w:t>,</w:t>
      </w:r>
      <w:r w:rsidRPr="00800756">
        <w:t xml:space="preserve"> and a small gaseous fraction, the process yields a large volume of wastewater by-products having a complex composition and high hydrothermal reactivity</w:t>
      </w:r>
      <w:r>
        <w:t xml:space="preserve"> </w:t>
      </w:r>
      <w:r w:rsidR="001E3C2C">
        <w:fldChar w:fldCharType="begin" w:fldLock="1"/>
      </w:r>
      <w:r w:rsidR="00830D29">
        <w:instrText>ADDIN CSL_CITATION {"citationItems":[{"id":"ITEM-1","itemData":{"DOI":"10.1016/j.jclepro.2020.123281","ISSN":"09596526","abstract":"Hydrothermal carbonization (HTC) is a promising thermochemical method used to upgrade herbaceous biomass for high-grade fuel. However, the technique yields large amounts of organic process wastewater (PW), which must be properly disposed or reused. In this work, PW was used as water source to prepare HTC feedstock. The evolution of the chemical structure and formation mechanism of hydrochar over the course of four PW recycles were demonstrated by experimental determination of the chemical compositions, equilibrium moisture contents, carbon structures, functional groups, and micro morphologies of the biomass (cornstalk in this study) and resulting hydrochars. The chemical reaction pathways induced during the HTC of biomass was established on the basis of the evolution of the chemical characteristics of the hydrochars and organic components of PW. The results showed significant improvements in the fuel quality of hydrochar as the number of PW recycles increased. The higher heating value, mass yield, and energy recovery efficiency of the hydrochars increased to 23.31 MJ/kg, 62.16%, and 86.24%, respectively, after four PW recycles because PW recycling facilitates the conversion of biomass into a hydrochar matrix with a high carbonization degree and polymerization of intermediates into microspheres. As the number of PW recycles increased, the relative content of furan compounds in the aqueous product decreased and the content of aromatic compounds increased. Further analysis of the aqueous products revealed the polymerization of furfural and 5-hydroxymethylfurfural into aromatic compounds and inhibition of the direct polymerization of aldehydes into aromatic compounds. The results of this work provide a theoretical basis for studying the chemical reaction and evolution mechanism of herbaceous biomass during HTC with recycled PW.","author":[{"dropping-particle":"","family":"Wang","given":"Ruikun","non-dropping-particle":"","parse-names":false,"suffix":""},{"dropping-particle":"","family":"Jin","given":"Qingzhuang","non-dropping-particle":"","parse-names":false,"suffix":""},{"dropping-particle":"","family":"Ye","given":"Xuemin","non-dropping-particle":"","parse-names":false,"suffix":""},{"dropping-particle":"","family":"Lei","given":"Haoyang","non-dropping-particle":"","parse-names":false,"suffix":""},{"dropping-particle":"","family":"Jia","given":"Jiandong","non-dropping-particle":"","parse-names":false,"suffix":""},{"dropping-particle":"","family":"Zhao","given":"Zhenghui","non-dropping-particle":"","parse-names":false,"suffix":""}],"container-title":"Journal of Cleaner Production","id":"ITEM-1","issued":{"date-parts":[["2020"]]},"title":"Effect of process wastewater recycling on the chemical evolution and formation mechanism of hydrochar from herbaceous biomass during hydrothermal carbonization","type":"article-journal","volume":"277"},"uris":["http://www.mendeley.com/documents/?uuid=0526ba80-711f-3e46-8558-acf634c5a345"]}],"mendeley":{"formattedCitation":"(Wang et al., 2020)","plainTextFormattedCitation":"(Wang et al., 2020)","previouslyFormattedCitation":"(Wang et al., 2020)"},"properties":{"noteIndex":0},"schema":"https://github.com/citation-style-language/schema/raw/master/csl-citation.json"}</w:instrText>
      </w:r>
      <w:r w:rsidR="001E3C2C">
        <w:fldChar w:fldCharType="separate"/>
      </w:r>
      <w:r w:rsidR="001E3C2C" w:rsidRPr="001E3C2C">
        <w:rPr>
          <w:noProof/>
        </w:rPr>
        <w:t>(Wang et al., 2020)</w:t>
      </w:r>
      <w:r w:rsidR="001E3C2C">
        <w:fldChar w:fldCharType="end"/>
      </w:r>
      <w:r w:rsidR="00800756" w:rsidRPr="00800756">
        <w:t xml:space="preserve">. </w:t>
      </w:r>
      <w:r w:rsidRPr="00800756">
        <w:t xml:space="preserve">Recirculation of the exhausted </w:t>
      </w:r>
      <w:r>
        <w:t xml:space="preserve">HTC </w:t>
      </w:r>
      <w:r w:rsidRPr="00800756">
        <w:t xml:space="preserve">process water (PW) represents a practical and economic strategy to </w:t>
      </w:r>
      <w:r w:rsidRPr="009E3768">
        <w:rPr>
          <w:lang w:val="en-US"/>
        </w:rPr>
        <w:t>valorize</w:t>
      </w:r>
      <w:r w:rsidRPr="00800756">
        <w:t xml:space="preserve"> the residual solvent and increase the </w:t>
      </w:r>
      <w:r>
        <w:t>HTC environmental and economic sustainability</w:t>
      </w:r>
      <w:r w:rsidR="00813AAF">
        <w:t xml:space="preserve"> (</w:t>
      </w:r>
      <w:proofErr w:type="spellStart"/>
      <w:r w:rsidR="00813AAF">
        <w:t>Picone</w:t>
      </w:r>
      <w:proofErr w:type="spellEnd"/>
      <w:r w:rsidR="00813AAF">
        <w:t xml:space="preserve"> et al., 2024)</w:t>
      </w:r>
      <w:r>
        <w:t>. It was recently reported that the</w:t>
      </w:r>
      <w:r w:rsidRPr="00800756">
        <w:t xml:space="preserve"> reuse</w:t>
      </w:r>
      <w:r>
        <w:t xml:space="preserve"> of PW</w:t>
      </w:r>
      <w:r w:rsidRPr="00800756">
        <w:t xml:space="preserve"> could considerably improve the process</w:t>
      </w:r>
      <w:r>
        <w:t xml:space="preserve"> sustainability</w:t>
      </w:r>
      <w:r w:rsidRPr="00800756">
        <w:t>, in terms of hydrochar production and carbonization degree, due to the catalytic activity promoted by the highly reactive compounds accumulated in it</w:t>
      </w:r>
      <w:r w:rsidR="00830D29">
        <w:t xml:space="preserve"> </w:t>
      </w:r>
      <w:r w:rsidR="00830D29">
        <w:fldChar w:fldCharType="begin" w:fldLock="1"/>
      </w:r>
      <w:r w:rsidR="00D61E21">
        <w:instrText xml:space="preserve">ADDIN CSL_CITATION {"citationItems":[{"id":"ITEM-1","itemData":{"DOI":"10.1021/acssuschemeng.7b00276","author":[{"dropping-particle":"","family":"Poerschmann","given":"Juergen","non-dropping-particle":"","parse-names":false,"suffix":""},{"dropping-particle":"","family":"Weiner","given":"Barbara","non-dropping-particle":"","parse-names":false,"suffix":""},{"dropping-particle":"","family":"Koehler","given":"Robert","non-dropping-particle":"","parse-names":false,"suffix":""},{"dropping-particle":"","family":"Kopinke","given":"Frank-dieter","non-dropping-particle":"","parse-names":false,"suffix":""}],"id":"ITEM-1","issued":{"date-parts":[["2017"]]},"title":"Hydrothermal Carbonization of Glucose, Fructose, and Xylose </w:instrText>
      </w:r>
      <w:r w:rsidR="00D61E21">
        <w:rPr>
          <w:rFonts w:ascii="Hiragino Sans CNS W3" w:eastAsia="Hiragino Sans CNS W3" w:hAnsi="Hiragino Sans CNS W3" w:cs="Hiragino Sans CNS W3" w:hint="eastAsia"/>
        </w:rPr>
        <w:instrText></w:instrText>
      </w:r>
      <w:r w:rsidR="00D61E21">
        <w:instrText xml:space="preserve"> Identi fi cation of Organic Products with Medium Molecular Masses","type":"article-journal"},"uris":["http://www.mendeley.com/documents/?uuid=a9094ea9-6074-4c46-996f-beaada4b1f6e"]}],"mendeley":{"formattedCitation":"(Poerschmann et al., 2017a)","plainTextFormattedCitation":"(Poerschmann et al., 2017a)","previouslyFormattedCitation":"(Poerschmann et al., 2017)"},"properties":{"noteIndex":0},"schema":"https://github.com/citation-style-language/schema/raw/master/csl-citation.json"}</w:instrText>
      </w:r>
      <w:r w:rsidR="00830D29">
        <w:fldChar w:fldCharType="separate"/>
      </w:r>
      <w:r w:rsidR="00D61E21" w:rsidRPr="00D61E21">
        <w:rPr>
          <w:noProof/>
        </w:rPr>
        <w:t>(Poerschmann et al., 2017a)</w:t>
      </w:r>
      <w:r w:rsidR="00830D29">
        <w:fldChar w:fldCharType="end"/>
      </w:r>
      <w:r w:rsidR="00800756">
        <w:t>.</w:t>
      </w:r>
      <w:r w:rsidR="00BE1B3B">
        <w:t xml:space="preserve"> </w:t>
      </w:r>
      <w:r w:rsidRPr="00BE1B3B">
        <w:t xml:space="preserve">At mild </w:t>
      </w:r>
      <w:r>
        <w:t xml:space="preserve">HTC </w:t>
      </w:r>
      <w:r w:rsidRPr="00BE1B3B">
        <w:t>reaction temperatures (180-230 °C), the interactions between hemicellulose, cellulose and the intermediates</w:t>
      </w:r>
      <w:r>
        <w:t xml:space="preserve"> dissolved</w:t>
      </w:r>
      <w:r w:rsidRPr="00BE1B3B">
        <w:t xml:space="preserve"> </w:t>
      </w:r>
      <w:r>
        <w:t xml:space="preserve">in the </w:t>
      </w:r>
      <w:r w:rsidRPr="00BE1B3B">
        <w:t xml:space="preserve">PW  are the major </w:t>
      </w:r>
      <w:r w:rsidR="006B02FA">
        <w:t>reactions</w:t>
      </w:r>
      <w:r w:rsidR="006B02FA" w:rsidRPr="00BE1B3B">
        <w:t xml:space="preserve"> </w:t>
      </w:r>
      <w:r w:rsidRPr="00BE1B3B">
        <w:t>involved in HTC with recycled solvent, as they severely affect the substrate hydrolysis and</w:t>
      </w:r>
      <w:r>
        <w:t>,</w:t>
      </w:r>
      <w:r w:rsidRPr="00BE1B3B">
        <w:t xml:space="preserve"> accordingly</w:t>
      </w:r>
      <w:r>
        <w:t>,</w:t>
      </w:r>
      <w:r w:rsidRPr="00BE1B3B">
        <w:t xml:space="preserve"> the hydrochar formation pathways</w:t>
      </w:r>
      <w:r w:rsidR="00BF6103">
        <w:t xml:space="preserve"> </w:t>
      </w:r>
      <w:r w:rsidR="00BF6103">
        <w:fldChar w:fldCharType="begin" w:fldLock="1"/>
      </w:r>
      <w:r w:rsidR="00A96C50">
        <w:instrText>ADDIN CSL_CITATION {"citationItems":[{"id":"ITEM-1","itemData":{"DOI":"10.1016/j.jclepro.2020.123281","ISSN":"09596526","abstract":"Hydrothermal carbonization (HTC) is a promising thermochemical method used to upgrade herbaceous biomass for high-grade fuel. However, the technique yields large amounts of organic process wastewater (PW), which must be properly disposed or reused. In this work, PW was used as water source to prepare HTC feedstock. The evolution of the chemical structure and formation mechanism of hydrochar over the course of four PW recycles were demonstrated by experimental determination of the chemical compositions, equilibrium moisture contents, carbon structures, functional groups, and micro morphologies of the biomass (cornstalk in this study) and resulting hydrochars. The chemical reaction pathways induced during the HTC of biomass was established on the basis of the evolution of the chemical characteristics of the hydrochars and organic components of PW. The results showed significant improvements in the fuel quality of hydrochar as the number of PW recycles increased. The higher heating value, mass yield, and energy recovery efficiency of the hydrochars increased to 23.31 MJ/kg, 62.16%, and 86.24%, respectively, after four PW recycles because PW recycling facilitates the conversion of biomass into a hydrochar matrix with a high carbonization degree and polymerization of intermediates into microspheres. As the number of PW recycles increased, the relative content of furan compounds in the aqueous product decreased and the content of aromatic compounds increased. Further analysis of the aqueous products revealed the polymerization of furfural and 5-hydroxymethylfurfural into aromatic compounds and inhibition of the direct polymerization of aldehydes into aromatic compounds. The results of this work provide a theoretical basis for studying the chemical reaction and evolution mechanism of herbaceous biomass during HTC with recycled PW.","author":[{"dropping-particle":"","family":"Wang","given":"Ruikun","non-dropping-particle":"","parse-names":false,"suffix":""},{"dropping-particle":"","family":"Jin","given":"Qingzhuang","non-dropping-particle":"","parse-names":false,"suffix":""},{"dropping-particle":"","family":"Ye","given":"Xuemin","non-dropping-particle":"","parse-names":false,"suffix":""},{"dropping-particle":"","family":"Lei","given":"Haoyang","non-dropping-particle":"","parse-names":false,"suffix":""},{"dropping-particle":"","family":"Jia","given":"Jiandong","non-dropping-particle":"","parse-names":false,"suffix":""},{"dropping-particle":"","family":"Zhao","given":"Zhenghui","non-dropping-particle":"","parse-names":false,"suffix":""}],"container-title":"Journal of Cleaner Production","id":"ITEM-1","issued":{"date-parts":[["2020"]]},"title":"Effect of process wastewater recycling on the chemical evolution and formation mechanism of hydrochar from herbaceous biomass during hydrothermal carbonization","type":"article-journal","volume":"277"},"uris":["http://www.mendeley.com/documents/?uuid=0526ba80-711f-3e46-8558-acf634c5a345"]}],"mendeley":{"formattedCitation":"(Wang et al., 2020)","plainTextFormattedCitation":"(Wang et al., 2020)","previouslyFormattedCitation":"(Wang et al., 2020)"},"properties":{"noteIndex":0},"schema":"https://github.com/citation-style-language/schema/raw/master/csl-citation.json"}</w:instrText>
      </w:r>
      <w:r w:rsidR="00BF6103">
        <w:fldChar w:fldCharType="separate"/>
      </w:r>
      <w:r w:rsidR="00BF6103" w:rsidRPr="00BF6103">
        <w:rPr>
          <w:noProof/>
        </w:rPr>
        <w:t>(Wang et al., 2020)</w:t>
      </w:r>
      <w:r w:rsidR="00BF6103">
        <w:fldChar w:fldCharType="end"/>
      </w:r>
      <w:r w:rsidR="00BE1B3B" w:rsidRPr="00BE1B3B">
        <w:t>.</w:t>
      </w:r>
    </w:p>
    <w:p w14:paraId="4FAB1054" w14:textId="4CFB5D79" w:rsidR="00E45F04" w:rsidRDefault="00247D15" w:rsidP="00BF7B2A">
      <w:pPr>
        <w:pStyle w:val="CETListbullets"/>
        <w:ind w:left="0" w:firstLine="0"/>
      </w:pPr>
      <w:r>
        <w:t>During HTC, the unhydrolyzed</w:t>
      </w:r>
      <w:r w:rsidR="00E04EE8">
        <w:t xml:space="preserve"> feedstock undergoes pyrolysis-like reactions of various nature, </w:t>
      </w:r>
      <w:r w:rsidR="00E04EE8" w:rsidRPr="00E04EE8">
        <w:t>including intramolecular condensation, dehydration, and decarboxylation</w:t>
      </w:r>
      <w:r w:rsidR="005D307C">
        <w:t xml:space="preserve"> </w:t>
      </w:r>
      <w:r w:rsidR="005D307C">
        <w:fldChar w:fldCharType="begin" w:fldLock="1"/>
      </w:r>
      <w:r w:rsidR="005D307C">
        <w:instrText>ADDIN CSL_CITATION {"citationItems":[{"id":"ITEM-1","itemData":{"DOI":"10.1016/j.carbon.2022.02.030","ISSN":"0008-6223","author":[{"dropping-particle":"","family":"Wang","given":"Ruikun","non-dropping-particle":"","parse-names":false,"suffix":""},{"dropping-particle":"","family":"Jia","given":"Jiandong","non-dropping-particle":"","parse-names":false,"suffix":""},{"dropping-particle":"","family":"Jin","given":"Qingzhuang","non-dropping-particle":"","parse-names":false,"suffix":""},{"dropping-particle":"","family":"Chen","given":"Hongwei","non-dropping-particle":"","parse-names":false,"suffix":""}],"container-title":"Carbon","id":"ITEM-1","issued":{"date-parts":[["2022"]]},"page":"50-60","publisher":"Elsevier Ltd","title":"Forming mechanism of coke microparticles from polymerization of aqueous organics during hydrothermal carbonization process of biomass","type":"article-journal","volume":"192"},"uris":["http://www.mendeley.com/documents/?uuid=a0cef8ed-3048-4567-b36b-1e059941a3e0"]}],"mendeley":{"formattedCitation":"(Wang et al., 2022)","plainTextFormattedCitation":"(Wang et al., 2022)","previouslyFormattedCitation":"(Wang et al., 2022)"},"properties":{"noteIndex":0},"schema":"https://github.com/citation-style-language/schema/raw/master/csl-citation.json"}</w:instrText>
      </w:r>
      <w:r w:rsidR="005D307C">
        <w:fldChar w:fldCharType="separate"/>
      </w:r>
      <w:r w:rsidR="005D307C" w:rsidRPr="005D307C">
        <w:rPr>
          <w:noProof/>
        </w:rPr>
        <w:t>(Wang et al., 2022)</w:t>
      </w:r>
      <w:r w:rsidR="005D307C">
        <w:fldChar w:fldCharType="end"/>
      </w:r>
      <w:r w:rsidR="007E086F">
        <w:t xml:space="preserve">. </w:t>
      </w:r>
      <w:r w:rsidR="00E13255">
        <w:t xml:space="preserve">The resulting hydrochar fraction, produced via </w:t>
      </w:r>
      <w:r w:rsidR="00813AAF">
        <w:t>solid-to-solid</w:t>
      </w:r>
      <w:r w:rsidR="00E13255">
        <w:t xml:space="preserve"> mechanism, is commonly referred as primary char</w:t>
      </w:r>
      <w:r w:rsidR="00813AAF">
        <w:t>; s</w:t>
      </w:r>
      <w:r w:rsidR="00E13255">
        <w:t xml:space="preserve">imultaneously, </w:t>
      </w:r>
      <w:r w:rsidR="00E13255">
        <w:lastRenderedPageBreak/>
        <w:t>secondary carbonaceous structures</w:t>
      </w:r>
      <w:r w:rsidR="00F0495F">
        <w:t xml:space="preserve"> (</w:t>
      </w:r>
      <w:r w:rsidR="00E13255">
        <w:t>secondary char</w:t>
      </w:r>
      <w:r w:rsidR="00F0495F">
        <w:t>, SC)</w:t>
      </w:r>
      <w:r w:rsidR="00E13255">
        <w:t>, are formed via condensation and polymerization of dissolved compounds in the PW</w:t>
      </w:r>
      <w:r w:rsidR="00F0495F">
        <w:t>.</w:t>
      </w:r>
      <w:r w:rsidR="00E13255">
        <w:t xml:space="preserve"> Mass yield and properties of </w:t>
      </w:r>
      <w:r w:rsidR="00F0495F">
        <w:t>SC</w:t>
      </w:r>
      <w:r w:rsidR="00E13255">
        <w:t xml:space="preserve"> were found to be strictly related to the substrate type sub</w:t>
      </w:r>
      <w:r w:rsidR="0019701A">
        <w:t>jected</w:t>
      </w:r>
      <w:r w:rsidR="00E13255">
        <w:t xml:space="preserve"> to HTC and thus to the nature of conversion intermediates concentrated in the PW. </w:t>
      </w:r>
      <w:r w:rsidR="00E13255" w:rsidRPr="00BE1B3B">
        <w:t>In particular, when PW is rich in hemicellulose by-products, synergistic</w:t>
      </w:r>
      <w:r w:rsidR="00E13255">
        <w:t xml:space="preserve"> or antagonistic</w:t>
      </w:r>
      <w:r w:rsidR="00E13255" w:rsidRPr="00BE1B3B">
        <w:t xml:space="preserve"> interactions </w:t>
      </w:r>
      <w:r w:rsidR="00E13255">
        <w:t>between the</w:t>
      </w:r>
      <w:r w:rsidR="00E13255" w:rsidRPr="00BE1B3B">
        <w:t xml:space="preserve"> dissolved compounds and the solid feedstock could </w:t>
      </w:r>
      <w:r w:rsidR="00E13255">
        <w:t>occur</w:t>
      </w:r>
      <w:r w:rsidR="00B849F3">
        <w:t>,</w:t>
      </w:r>
      <w:r w:rsidR="00E13255">
        <w:t xml:space="preserve"> having a significant impact on HTC pathways</w:t>
      </w:r>
      <w:r w:rsidR="005261C8">
        <w:t xml:space="preserve"> </w:t>
      </w:r>
      <w:r w:rsidR="005D307C">
        <w:fldChar w:fldCharType="begin" w:fldLock="1"/>
      </w:r>
      <w:r w:rsidR="00BF6103">
        <w:instrText>ADDIN CSL_CITATION {"citationItems":[{"id":"ITEM-1","itemData":{"DOI":"10.1021/acssuschemeng.8b03156","ISSN":"21680485","abstract":"We conducted hydrothermal liquefaction (HTL) of soybean oil, soy protein, microcrystalline cellulose, xylose, and lignin as individual compounds and binary, ternary, quaternary, and quinary mixtures at 350 °C for 30 min. The 34.5 wt % biocrude yield from HTL of the quinary mixture, which mimics the biochemical composition of swine manure, is much higher than the 21.5 wt % yield calculated from the weighted average yields from HTL of the individual components. HTL of binary mixtures of protein and cellulose, protein and xylose, cellulose and lignin, and xylose and lignin revealed synergistic effects on biocrude yield. On the other hand, HTL of soybean oil and lignin together exhibited an antagonistic effect on biocrude yield. These results from individual compounds and binary mixtures lead to a new model that can predict the yield, higher heating value, and C, H, and N content of biocrude from HTL of ternary, quaternary, and quinary mixtures of the biomolecules used in this study as well as in biocrude from HTL of different manures, algae, and lignocellulosic materials. The synergies identified in this work provide insights into strategies that could be employed in feedstock blending to improve biocrude yields and feedstock energy recovery from HTL of biomass resources.","author":[{"dropping-particle":"","family":"Lu","given":"Jianwen","non-dropping-particle":"","parse-names":false,"suffix":""},{"dropping-particle":"","family":"Liu","given":"Zhidan","non-dropping-particle":"","parse-names":false,"suffix":""},{"dropping-particle":"","family":"Zhang","given":"Yuanhui","non-dropping-particle":"","parse-names":false,"suffix":""},{"dropping-particle":"","family":"Savage","given":"Phillip E.","non-dropping-particle":"","parse-names":false,"suffix":""}],"container-title":"ACS Sustainable Chemistry and Engineering","id":"ITEM-1","issue":"11","issued":{"date-parts":[["2018"]]},"page":"14501-14509","title":"Synergistic and Antagonistic Interactions during Hydrothermal Liquefaction of Soybean Oil, Soy Protein, Cellulose, Xylose, and Lignin","type":"article-journal","volume":"6"},"uris":["http://www.mendeley.com/documents/?uuid=12cf6ae9-d3b2-482f-8518-949dbf1e89d3"]}],"mendeley":{"formattedCitation":"(Lu et al., 2018)","plainTextFormattedCitation":"(Lu et al., 2018)","previouslyFormattedCitation":"(Lu et al., 2018)"},"properties":{"noteIndex":0},"schema":"https://github.com/citation-style-language/schema/raw/master/csl-citation.json"}</w:instrText>
      </w:r>
      <w:r w:rsidR="005D307C">
        <w:fldChar w:fldCharType="separate"/>
      </w:r>
      <w:r w:rsidR="005D307C" w:rsidRPr="005D307C">
        <w:rPr>
          <w:noProof/>
        </w:rPr>
        <w:t>(Lu et al., 2018)</w:t>
      </w:r>
      <w:r w:rsidR="005D307C">
        <w:fldChar w:fldCharType="end"/>
      </w:r>
      <w:r w:rsidR="00853977">
        <w:t>.</w:t>
      </w:r>
    </w:p>
    <w:p w14:paraId="640EE376" w14:textId="37A680D0" w:rsidR="00F0495F" w:rsidRPr="00B57B36" w:rsidRDefault="00F0495F" w:rsidP="00F0495F">
      <w:pPr>
        <w:pStyle w:val="CETListbullets"/>
        <w:ind w:left="0" w:firstLine="0"/>
      </w:pPr>
      <w:r w:rsidRPr="00796C6F">
        <w:t>In this study, a preliminary investigation on the role of hemicellulose in HTC with PW recirculation was conducted in order to shed light on the complex interaction mechanism between the biomass polymers</w:t>
      </w:r>
      <w:r>
        <w:t xml:space="preserve"> macro-components</w:t>
      </w:r>
      <w:r w:rsidRPr="00796C6F">
        <w:t xml:space="preserve"> and the </w:t>
      </w:r>
      <w:r>
        <w:t>compounds dissolved in the PW</w:t>
      </w:r>
      <w:r w:rsidRPr="00796C6F">
        <w:t>.</w:t>
      </w:r>
      <w:r>
        <w:t xml:space="preserve"> To reach the goal</w:t>
      </w:r>
      <w:r w:rsidRPr="008A1A95">
        <w:t xml:space="preserve">, </w:t>
      </w:r>
      <w:r>
        <w:t>commercially available microcrystalline</w:t>
      </w:r>
      <w:r w:rsidR="00813AAF">
        <w:t xml:space="preserve"> </w:t>
      </w:r>
      <w:r w:rsidRPr="008A1A95">
        <w:t xml:space="preserve">xylose and cellulose were used as substrates for HTC experiments carried out under different </w:t>
      </w:r>
      <w:r w:rsidRPr="00F0495F">
        <w:t>reaction severity conditions. PW produced via HTC of xylose and cellulose at different temperatures and residence times were used as recycled solvent in the subsequent HTC tests. The collected data, obtained through mass yield computation and hydrochars analytical characterization, could provide new insights to elucidate the mechanism of primary and secondary hydrochar formation, which is still far from being comprehensively understood.</w:t>
      </w:r>
    </w:p>
    <w:p w14:paraId="3FE20B76" w14:textId="520DE6DE" w:rsidR="00F57905" w:rsidRDefault="00F13DA3" w:rsidP="00453E24">
      <w:pPr>
        <w:pStyle w:val="CETHeading1"/>
      </w:pPr>
      <w:r>
        <w:t>Materials and methods</w:t>
      </w:r>
    </w:p>
    <w:p w14:paraId="0636B784" w14:textId="6E1E27C6" w:rsidR="00453E24" w:rsidRDefault="009D0EE2" w:rsidP="00E26A4F">
      <w:pPr>
        <w:pStyle w:val="CETheadingx"/>
      </w:pPr>
      <w:r>
        <w:t>Experimental procedure</w:t>
      </w:r>
    </w:p>
    <w:p w14:paraId="53951DFF" w14:textId="6799F7BC" w:rsidR="00E40F91" w:rsidRDefault="005261C8" w:rsidP="0079589C">
      <w:pPr>
        <w:pStyle w:val="CETBodytext"/>
      </w:pPr>
      <w:r>
        <w:t>Microcrystalline</w:t>
      </w:r>
      <w:r w:rsidRPr="0073291C">
        <w:t xml:space="preserve"> </w:t>
      </w:r>
      <w:r w:rsidR="0073291C" w:rsidRPr="0073291C">
        <w:t>D-Xylose</w:t>
      </w:r>
      <w:r>
        <w:t xml:space="preserve"> (Chem-Lab, 99% purity)</w:t>
      </w:r>
      <w:r w:rsidR="0073291C" w:rsidRPr="0073291C">
        <w:t xml:space="preserve"> and pure </w:t>
      </w:r>
      <w:r w:rsidR="00813AAF">
        <w:t xml:space="preserve">microcrystalline </w:t>
      </w:r>
      <w:r w:rsidR="0073291C" w:rsidRPr="0073291C">
        <w:t>cellulose</w:t>
      </w:r>
      <w:r>
        <w:t xml:space="preserve"> (</w:t>
      </w:r>
      <w:proofErr w:type="spellStart"/>
      <w:r>
        <w:t>sig</w:t>
      </w:r>
      <w:r w:rsidR="00831596">
        <w:t>macell</w:t>
      </w:r>
      <w:proofErr w:type="spellEnd"/>
      <w:r w:rsidR="00831596">
        <w:t>, cellulose type 50</w:t>
      </w:r>
      <w:r w:rsidR="00813AAF">
        <w:t>,</w:t>
      </w:r>
      <w:r w:rsidR="00831596">
        <w:t xml:space="preserve"> Sigma-</w:t>
      </w:r>
      <w:r>
        <w:t>Aldrich)</w:t>
      </w:r>
      <w:r w:rsidR="0073291C" w:rsidRPr="0073291C">
        <w:t xml:space="preserve"> were used a</w:t>
      </w:r>
      <w:r w:rsidR="00D62920">
        <w:t xml:space="preserve">s feedstock for HTC experiments </w:t>
      </w:r>
      <w:r w:rsidR="00F22292">
        <w:t xml:space="preserve">carried out in a </w:t>
      </w:r>
      <w:proofErr w:type="gramStart"/>
      <w:r w:rsidR="00F22292">
        <w:t>stainless steel</w:t>
      </w:r>
      <w:proofErr w:type="gramEnd"/>
      <w:r w:rsidR="00F22292">
        <w:t xml:space="preserve"> batch reactor with an internal volume of 50 </w:t>
      </w:r>
      <w:proofErr w:type="spellStart"/>
      <w:r w:rsidR="00F22292">
        <w:t>mL.</w:t>
      </w:r>
      <w:proofErr w:type="spellEnd"/>
      <w:r w:rsidR="001E502A">
        <w:t xml:space="preserve"> The reactor was loaded with 3.0±0.01 g of dry solid fe</w:t>
      </w:r>
      <w:r w:rsidR="00080741">
        <w:t>edstock and deionized water</w:t>
      </w:r>
      <w:r w:rsidR="001E502A">
        <w:t xml:space="preserve"> or residual PW in order to reach a biomass to solvent (B/W) mass ratio of 0.15.</w:t>
      </w:r>
      <w:r w:rsidR="0027157E">
        <w:t xml:space="preserve"> Xylose was hydrothermally carbonized at temperatures ranging from 180 to 230 °C and reaction times of 20 and 60 min. Cellulose was treated at a temperature of 230 °C and residence time</w:t>
      </w:r>
      <w:r w:rsidR="001045CA">
        <w:t>s</w:t>
      </w:r>
      <w:r w:rsidR="0027157E">
        <w:t xml:space="preserve"> of 20 and 60 min</w:t>
      </w:r>
      <w:r w:rsidR="00161F5B">
        <w:t xml:space="preserve"> in the reactor, since it was proved that cellulose</w:t>
      </w:r>
      <w:r w:rsidR="0027157E">
        <w:t xml:space="preserve"> starts to be decomposed at </w:t>
      </w:r>
      <w:r w:rsidR="001A0870">
        <w:t xml:space="preserve">a HTC </w:t>
      </w:r>
      <w:r w:rsidR="0027157E">
        <w:t>temperature higher than 220 °C</w:t>
      </w:r>
      <w:r w:rsidR="00D328AF">
        <w:t xml:space="preserve"> </w:t>
      </w:r>
      <w:r w:rsidR="00D328AF">
        <w:fldChar w:fldCharType="begin" w:fldLock="1"/>
      </w:r>
      <w:r w:rsidR="00D328AF">
        <w:instrText>ADDIN CSL_CITATION {"citationItems":[{"id":"ITEM-1","itemData":{"DOI":"10.1016/j.fuproc.2020.106456","ISSN":"03783820","abstract":"Hydrothermal carbonization (HTC) of pure cellulose (CE) and birchwood (BW) samples was carried out at temperatures between 160 and 280 °C, 0.5 h residence time and biomass-to-water ratio 1:5, to investigate the reactivity of cellulose in lignocellulosic biomass. Thermogravimetric analysis (TGA) and Fourier transform infrared spectroscopy (FTIR) showed that the CE samples remained unaltered at temperatures up to 220 °C, but were significantly decomposed at 230 °C producing a thermal recalcitrant aromatic and high energy-dense material. FTIR showed that dehydration and aromatization reactions occurred at temperature equal or higher than 230 °C for the CE samples while a similar increase in aromatization for the BW hydrochars was evident only at temperatures equal or higher than 260 °C. Acid hydrolysis, TGA and FTIR suggested that a higher thermal resistance of naturally occurring cellulose in BW (when compared to CE sample) could be related to a ‘protecting shield’ offered by interlinked lignin in the plant matrix.","author":[{"dropping-particle":"","family":"Volpe","given":"Maurizio","non-dropping-particle":"","parse-names":false,"suffix":""},{"dropping-particle":"","family":"Messineo","given":"Antonio","non-dropping-particle":"","parse-names":false,"suffix":""},{"dropping-particle":"","family":"Mäkelä","given":"Mikko","non-dropping-particle":"","parse-names":false,"suffix":""},{"dropping-particle":"","family":"Barr","given":"Meredith R.","non-dropping-particle":"","parse-names":false,"suffix":""},{"dropping-particle":"","family":"Volpe","given":"Roberto","non-dropping-particle":"","parse-names":false,"suffix":""},{"dropping-particle":"","family":"Corrado","given":"Chiara","non-dropping-particle":"","parse-names":false,"suffix":""},{"dropping-particle":"","family":"Fiori","given":"Luca","non-dropping-particle":"","parse-names":false,"suffix":""}],"container-title":"Fuel Processing Technology","id":"ITEM-1","issue":"February","issued":{"date-parts":[["2020"]]},"title":"Reactivity of cellulose during hydrothermal carbonization of lignocellulosic biomass","type":"article-journal","volume":"206"},"uris":["http://www.mendeley.com/documents/?uuid=4df4b26b-3496-4fcb-9f3e-b67664042d50"]}],"mendeley":{"formattedCitation":"(Volpe et al., 2020)","plainTextFormattedCitation":"(Volpe et al., 2020)","previouslyFormattedCitation":"(Volpe et al., 2020)"},"properties":{"noteIndex":0},"schema":"https://github.com/citation-style-language/schema/raw/master/csl-citation.json"}</w:instrText>
      </w:r>
      <w:r w:rsidR="00D328AF">
        <w:fldChar w:fldCharType="separate"/>
      </w:r>
      <w:r w:rsidR="00D328AF" w:rsidRPr="00A96C50">
        <w:rPr>
          <w:noProof/>
        </w:rPr>
        <w:t>(Volpe</w:t>
      </w:r>
      <w:r w:rsidR="00D328AF">
        <w:rPr>
          <w:noProof/>
        </w:rPr>
        <w:t>, M.</w:t>
      </w:r>
      <w:r w:rsidR="00D328AF" w:rsidRPr="00A96C50">
        <w:rPr>
          <w:noProof/>
        </w:rPr>
        <w:t xml:space="preserve"> et al., 2020)</w:t>
      </w:r>
      <w:r w:rsidR="00D328AF">
        <w:fldChar w:fldCharType="end"/>
      </w:r>
      <w:r w:rsidR="0027157E">
        <w:t>.</w:t>
      </w:r>
      <w:r w:rsidR="007764BA">
        <w:t xml:space="preserve"> </w:t>
      </w:r>
      <w:r w:rsidR="00CF0740">
        <w:t xml:space="preserve">The reaction conditions </w:t>
      </w:r>
      <w:r w:rsidR="00CF1CC7">
        <w:t xml:space="preserve">of </w:t>
      </w:r>
      <w:r w:rsidR="00CF0740">
        <w:t xml:space="preserve">HTC tests are summarized in Table 1. </w:t>
      </w:r>
    </w:p>
    <w:p w14:paraId="2CBF4EE0" w14:textId="50D02D25" w:rsidR="00CF0740" w:rsidRDefault="00831596" w:rsidP="0079589C">
      <w:pPr>
        <w:pStyle w:val="CETBodytext"/>
      </w:pPr>
      <w:r>
        <w:t>HTC residues recovery procedures were carried out as already recently reported</w:t>
      </w:r>
      <w:r w:rsidR="00447062">
        <w:t xml:space="preserve"> </w:t>
      </w:r>
      <w:r w:rsidR="00447062">
        <w:fldChar w:fldCharType="begin" w:fldLock="1"/>
      </w:r>
      <w:r w:rsidR="00D61E21">
        <w:instrText>ADDIN CSL_CITATION {"citationItems":[{"id":"ITEM-1","itemData":{"DOI":"10.3303/CET24109021","ISBN":"9791281206090","ISSN":"22839216","abstract":"Recirculation of process water (PW) from hydrothermal carbonization (HTC) has revealed as an effective strategy for the residual aqueous phase valorization in order to make the process energetically more efficient while reducing its environmental footprint. The effects of temperature, solid load and consecutive conversion phases on PW recirculation were assessed by using Ferula Communis plant residues as feedstock in HTC experiments. Recirculation of solvent promoted strong synergistic interactions between biomass and PW aimed at increasing hydrochar mass recovery. Hydrochar yield increased by 4-12 wt% on a dry basis (d.b.) according to reaction conditions. Biomass degradation was catalyzed by the reactive intermediates dissolved in the PW. The energy balance results showed that the energy recovery almost doubled by recycling PW when compared to the experiments carried out using only deionized water as HTC solvent.","author":[{"dropping-particle":"","family":"Picone","given":"Antonio","non-dropping-particle":"","parse-names":false,"suffix":""},{"dropping-particle":"","family":"Volpe","given":"Maurizio","non-dropping-particle":"","parse-names":false,"suffix":""},{"dropping-particle":"","family":"Messineo","given":"Antonio","non-dropping-particle":"","parse-names":false,"suffix":""}],"container-title":"Chemical Engineering Transactions","id":"ITEM-1","issued":{"date-parts":[["2024"]]},"page":"121-126","title":"Synergistic Effects towards Hydrochar Recovery during Hydrothermal Carbonization of Ferula Communis with Process Water Recirculation","type":"article-journal","volume":"109"},"uris":["http://www.mendeley.com/documents/?uuid=781b7281-9cc8-44e9-a2ea-cf551874de45"]}],"mendeley":{"formattedCitation":"(Picone et al., 2024)","plainTextFormattedCitation":"(Picone et al., 2024)","previouslyFormattedCitation":"(Picone et al., 2024)"},"properties":{"noteIndex":0},"schema":"https://github.com/citation-style-language/schema/raw/master/csl-citation.json"}</w:instrText>
      </w:r>
      <w:r w:rsidR="00447062">
        <w:fldChar w:fldCharType="separate"/>
      </w:r>
      <w:r w:rsidR="00447062" w:rsidRPr="00447062">
        <w:rPr>
          <w:noProof/>
        </w:rPr>
        <w:t>(Picone et al., 2024)</w:t>
      </w:r>
      <w:r w:rsidR="00447062">
        <w:fldChar w:fldCharType="end"/>
      </w:r>
      <w:r w:rsidR="0091021F">
        <w:t>. The collected hydrochar was dried in a v</w:t>
      </w:r>
      <w:r w:rsidR="00A566E0">
        <w:t>entilated oven at 55 °C until</w:t>
      </w:r>
      <w:r w:rsidR="0091021F">
        <w:t xml:space="preserve"> constant weight before mass yield determination while the residual PW was used as recycle</w:t>
      </w:r>
      <w:r w:rsidR="00F225A7">
        <w:t xml:space="preserve">d solvent in the subsequent HTCs. </w:t>
      </w:r>
      <w:r w:rsidR="005F7C5F">
        <w:t xml:space="preserve">Spent PWs from the conversion of xylose and cellulose were </w:t>
      </w:r>
      <w:r w:rsidR="00A566E0">
        <w:t xml:space="preserve">separately </w:t>
      </w:r>
      <w:r w:rsidR="005F7C5F">
        <w:t xml:space="preserve">recirculated for HTC of cellulose at 230 °C </w:t>
      </w:r>
      <w:r w:rsidR="00B26393">
        <w:t xml:space="preserve">and 60 min </w:t>
      </w:r>
      <w:r w:rsidR="006176E5">
        <w:t xml:space="preserve">in order to study the effect of the two substrates on the hydrochar formation and recovery. </w:t>
      </w:r>
      <w:r w:rsidR="003877F3">
        <w:t xml:space="preserve">All HTC runs were </w:t>
      </w:r>
      <w:r w:rsidR="0048744E">
        <w:t>repeated</w:t>
      </w:r>
      <w:r w:rsidR="003877F3">
        <w:t xml:space="preserve"> </w:t>
      </w:r>
      <w:r w:rsidR="00AB5F42">
        <w:t>at least two times</w:t>
      </w:r>
      <w:r w:rsidR="00CF4D7B">
        <w:t xml:space="preserve"> to ensure reproducibility and </w:t>
      </w:r>
      <w:r w:rsidR="003877F3">
        <w:t>the results were considered valid if relative standard deviation (RSD) &lt; 2.5.</w:t>
      </w:r>
    </w:p>
    <w:p w14:paraId="2A1009F0" w14:textId="2D60D668" w:rsidR="003877F3" w:rsidRDefault="003877F3" w:rsidP="0079589C">
      <w:pPr>
        <w:pStyle w:val="CETBodytext"/>
      </w:pPr>
    </w:p>
    <w:p w14:paraId="14EBA4BB" w14:textId="1854F2DC" w:rsidR="00AD73B9" w:rsidRDefault="00DA2746" w:rsidP="00DA2746">
      <w:pPr>
        <w:pStyle w:val="CETTabletitle"/>
      </w:pPr>
      <w:r>
        <w:t>Table 1</w:t>
      </w:r>
      <w:r w:rsidRPr="00B57B36">
        <w:t xml:space="preserve">: </w:t>
      </w:r>
      <w:r>
        <w:t>Hydrothermal carbonization experiments</w:t>
      </w:r>
      <w:r w:rsidR="00082F1E">
        <w:t xml:space="preserve"> (SF=severity factor</w:t>
      </w:r>
      <w:r w:rsidR="00DA1750">
        <w:t>, logR0</w:t>
      </w:r>
      <w:r w:rsidR="00082F1E">
        <w:t>)</w:t>
      </w:r>
      <w: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1275"/>
        <w:gridCol w:w="1134"/>
        <w:gridCol w:w="1134"/>
        <w:gridCol w:w="1134"/>
        <w:gridCol w:w="1134"/>
      </w:tblGrid>
      <w:tr w:rsidR="00AD73B9" w:rsidRPr="00B57B36" w14:paraId="4DD5038A" w14:textId="77777777" w:rsidTr="00944BDC">
        <w:tc>
          <w:tcPr>
            <w:tcW w:w="993" w:type="dxa"/>
            <w:vMerge w:val="restart"/>
            <w:tcBorders>
              <w:top w:val="single" w:sz="12" w:space="0" w:color="008000"/>
              <w:bottom w:val="single" w:sz="4" w:space="0" w:color="008000"/>
            </w:tcBorders>
            <w:shd w:val="clear" w:color="auto" w:fill="FFFFFF"/>
            <w:vAlign w:val="center"/>
          </w:tcPr>
          <w:p w14:paraId="7F582779" w14:textId="77777777" w:rsidR="00AD73B9" w:rsidRPr="00B57B36" w:rsidRDefault="00AD73B9" w:rsidP="00944BDC">
            <w:pPr>
              <w:pStyle w:val="CETBodytext"/>
              <w:jc w:val="center"/>
              <w:rPr>
                <w:lang w:val="en-GB"/>
              </w:rPr>
            </w:pPr>
            <w:r>
              <w:rPr>
                <w:lang w:val="en-GB"/>
              </w:rPr>
              <w:t>HTC test</w:t>
            </w:r>
          </w:p>
        </w:tc>
        <w:tc>
          <w:tcPr>
            <w:tcW w:w="1275" w:type="dxa"/>
            <w:vMerge w:val="restart"/>
            <w:tcBorders>
              <w:top w:val="single" w:sz="12" w:space="0" w:color="008000"/>
              <w:bottom w:val="single" w:sz="4" w:space="0" w:color="008000"/>
            </w:tcBorders>
            <w:shd w:val="clear" w:color="auto" w:fill="FFFFFF"/>
            <w:vAlign w:val="center"/>
          </w:tcPr>
          <w:p w14:paraId="73EF4750" w14:textId="6BAAE4A7" w:rsidR="00AD73B9" w:rsidRPr="00B57B36" w:rsidRDefault="00DF6E19" w:rsidP="00944BDC">
            <w:pPr>
              <w:pStyle w:val="CETBodytext"/>
              <w:jc w:val="center"/>
              <w:rPr>
                <w:lang w:val="en-GB"/>
              </w:rPr>
            </w:pPr>
            <w:r>
              <w:rPr>
                <w:lang w:val="en-GB"/>
              </w:rPr>
              <w:t>Feedstock</w:t>
            </w:r>
          </w:p>
        </w:tc>
        <w:tc>
          <w:tcPr>
            <w:tcW w:w="4536" w:type="dxa"/>
            <w:gridSpan w:val="4"/>
            <w:tcBorders>
              <w:top w:val="single" w:sz="12" w:space="0" w:color="008000"/>
              <w:bottom w:val="single" w:sz="4" w:space="0" w:color="008000"/>
            </w:tcBorders>
            <w:shd w:val="clear" w:color="auto" w:fill="FFFFFF"/>
          </w:tcPr>
          <w:p w14:paraId="3D8FB9BB" w14:textId="77777777" w:rsidR="00AD73B9" w:rsidRPr="00B57B36" w:rsidRDefault="00AD73B9" w:rsidP="00944BDC">
            <w:pPr>
              <w:pStyle w:val="CETBodytext"/>
              <w:ind w:right="-1"/>
              <w:jc w:val="center"/>
              <w:rPr>
                <w:rFonts w:cs="Arial"/>
                <w:szCs w:val="18"/>
                <w:lang w:val="en-GB"/>
              </w:rPr>
            </w:pPr>
            <w:r>
              <w:rPr>
                <w:lang w:val="en-GB"/>
              </w:rPr>
              <w:t>Reaction conditions</w:t>
            </w:r>
          </w:p>
        </w:tc>
      </w:tr>
      <w:tr w:rsidR="00AD73B9" w:rsidRPr="00B57B36" w14:paraId="2D625693" w14:textId="77777777" w:rsidTr="00944BDC">
        <w:tc>
          <w:tcPr>
            <w:tcW w:w="993" w:type="dxa"/>
            <w:vMerge/>
            <w:tcBorders>
              <w:top w:val="nil"/>
              <w:bottom w:val="single" w:sz="4" w:space="0" w:color="008000"/>
            </w:tcBorders>
            <w:shd w:val="clear" w:color="auto" w:fill="FFFFFF"/>
          </w:tcPr>
          <w:p w14:paraId="7FF59F58" w14:textId="77777777" w:rsidR="00AD73B9" w:rsidRPr="00B57B36" w:rsidRDefault="00AD73B9" w:rsidP="00944BDC">
            <w:pPr>
              <w:pStyle w:val="CETBodytext"/>
              <w:rPr>
                <w:lang w:val="en-GB"/>
              </w:rPr>
            </w:pPr>
          </w:p>
        </w:tc>
        <w:tc>
          <w:tcPr>
            <w:tcW w:w="1275" w:type="dxa"/>
            <w:vMerge/>
            <w:tcBorders>
              <w:top w:val="nil"/>
              <w:bottom w:val="single" w:sz="4" w:space="0" w:color="008000"/>
            </w:tcBorders>
            <w:shd w:val="clear" w:color="auto" w:fill="FFFFFF"/>
          </w:tcPr>
          <w:p w14:paraId="0CEEE77C" w14:textId="77777777" w:rsidR="00AD73B9" w:rsidRPr="00B57B36" w:rsidRDefault="00AD73B9" w:rsidP="00944BDC">
            <w:pPr>
              <w:pStyle w:val="CETBodytext"/>
              <w:rPr>
                <w:lang w:val="en-GB"/>
              </w:rPr>
            </w:pPr>
          </w:p>
        </w:tc>
        <w:tc>
          <w:tcPr>
            <w:tcW w:w="1134" w:type="dxa"/>
            <w:tcBorders>
              <w:top w:val="single" w:sz="4" w:space="0" w:color="008000"/>
              <w:bottom w:val="single" w:sz="4" w:space="0" w:color="008000"/>
            </w:tcBorders>
            <w:shd w:val="clear" w:color="auto" w:fill="FFFFFF"/>
          </w:tcPr>
          <w:p w14:paraId="443344E8" w14:textId="77777777" w:rsidR="00AD73B9" w:rsidRPr="00B57B36" w:rsidRDefault="00AD73B9" w:rsidP="00944BDC">
            <w:pPr>
              <w:pStyle w:val="CETBodytext"/>
              <w:jc w:val="center"/>
              <w:rPr>
                <w:lang w:val="en-GB"/>
              </w:rPr>
            </w:pPr>
            <w:r>
              <w:rPr>
                <w:lang w:val="en-GB"/>
              </w:rPr>
              <w:t>Temperature</w:t>
            </w:r>
          </w:p>
        </w:tc>
        <w:tc>
          <w:tcPr>
            <w:tcW w:w="1134" w:type="dxa"/>
            <w:tcBorders>
              <w:top w:val="single" w:sz="4" w:space="0" w:color="008000"/>
              <w:bottom w:val="single" w:sz="4" w:space="0" w:color="008000"/>
            </w:tcBorders>
            <w:shd w:val="clear" w:color="auto" w:fill="FFFFFF"/>
          </w:tcPr>
          <w:p w14:paraId="7DE74F58" w14:textId="77777777" w:rsidR="00AD73B9" w:rsidRPr="00B57B36" w:rsidRDefault="00AD73B9" w:rsidP="00944BDC">
            <w:pPr>
              <w:pStyle w:val="CETBodytext"/>
              <w:ind w:right="-1"/>
              <w:jc w:val="center"/>
              <w:rPr>
                <w:rFonts w:cs="Arial"/>
                <w:szCs w:val="18"/>
                <w:lang w:val="en-GB"/>
              </w:rPr>
            </w:pPr>
            <w:r>
              <w:rPr>
                <w:rFonts w:cs="Arial"/>
                <w:szCs w:val="18"/>
                <w:lang w:val="en-GB"/>
              </w:rPr>
              <w:t>Time</w:t>
            </w:r>
          </w:p>
        </w:tc>
        <w:tc>
          <w:tcPr>
            <w:tcW w:w="1134" w:type="dxa"/>
            <w:tcBorders>
              <w:top w:val="single" w:sz="4" w:space="0" w:color="008000"/>
              <w:bottom w:val="single" w:sz="4" w:space="0" w:color="008000"/>
            </w:tcBorders>
            <w:shd w:val="clear" w:color="auto" w:fill="FFFFFF"/>
          </w:tcPr>
          <w:p w14:paraId="2DDBE5B8" w14:textId="77777777" w:rsidR="00AD73B9" w:rsidRPr="00B57B36" w:rsidRDefault="00AD73B9" w:rsidP="00944BDC">
            <w:pPr>
              <w:pStyle w:val="CETBodytext"/>
              <w:ind w:right="-1"/>
              <w:jc w:val="center"/>
              <w:rPr>
                <w:rFonts w:cs="Arial"/>
                <w:szCs w:val="18"/>
                <w:lang w:val="en-GB"/>
              </w:rPr>
            </w:pPr>
            <w:r>
              <w:rPr>
                <w:rFonts w:cs="Arial"/>
                <w:szCs w:val="18"/>
                <w:lang w:val="en-GB"/>
              </w:rPr>
              <w:t>SF</w:t>
            </w:r>
          </w:p>
        </w:tc>
        <w:tc>
          <w:tcPr>
            <w:tcW w:w="1134" w:type="dxa"/>
            <w:tcBorders>
              <w:top w:val="single" w:sz="4" w:space="0" w:color="008000"/>
              <w:bottom w:val="single" w:sz="4" w:space="0" w:color="008000"/>
            </w:tcBorders>
            <w:shd w:val="clear" w:color="auto" w:fill="FFFFFF"/>
          </w:tcPr>
          <w:p w14:paraId="68089C55" w14:textId="77777777" w:rsidR="00AD73B9" w:rsidRPr="00B57B36" w:rsidRDefault="00AD73B9" w:rsidP="00944BDC">
            <w:pPr>
              <w:pStyle w:val="CETBodytext"/>
              <w:ind w:right="-1"/>
              <w:jc w:val="center"/>
              <w:rPr>
                <w:rFonts w:cs="Arial"/>
                <w:szCs w:val="18"/>
                <w:lang w:val="en-GB"/>
              </w:rPr>
            </w:pPr>
            <w:r>
              <w:rPr>
                <w:rFonts w:cs="Arial"/>
                <w:szCs w:val="18"/>
                <w:lang w:val="en-GB"/>
              </w:rPr>
              <w:t>Solvent</w:t>
            </w:r>
          </w:p>
        </w:tc>
      </w:tr>
      <w:tr w:rsidR="00AD73B9" w:rsidRPr="00B57B36" w14:paraId="6CD06F1F" w14:textId="77777777" w:rsidTr="00944BDC">
        <w:tc>
          <w:tcPr>
            <w:tcW w:w="993" w:type="dxa"/>
            <w:tcBorders>
              <w:top w:val="single" w:sz="4" w:space="0" w:color="008000"/>
            </w:tcBorders>
            <w:shd w:val="clear" w:color="auto" w:fill="FFFFFF"/>
          </w:tcPr>
          <w:p w14:paraId="30A01C3F" w14:textId="77777777" w:rsidR="00AD73B9" w:rsidRPr="00B57B36" w:rsidRDefault="00AD73B9" w:rsidP="00944BDC">
            <w:pPr>
              <w:pStyle w:val="CETBodytext"/>
              <w:ind w:right="-1"/>
              <w:jc w:val="center"/>
              <w:rPr>
                <w:rFonts w:cs="Arial"/>
                <w:szCs w:val="18"/>
                <w:lang w:val="en-GB"/>
              </w:rPr>
            </w:pPr>
            <w:r>
              <w:rPr>
                <w:rFonts w:cs="Arial"/>
                <w:szCs w:val="18"/>
                <w:lang w:val="en-GB"/>
              </w:rPr>
              <w:t>(1)</w:t>
            </w:r>
          </w:p>
        </w:tc>
        <w:tc>
          <w:tcPr>
            <w:tcW w:w="1275" w:type="dxa"/>
            <w:tcBorders>
              <w:top w:val="single" w:sz="4" w:space="0" w:color="008000"/>
            </w:tcBorders>
            <w:shd w:val="clear" w:color="auto" w:fill="FFFFFF"/>
          </w:tcPr>
          <w:p w14:paraId="0968645F" w14:textId="77777777" w:rsidR="00AD73B9" w:rsidRPr="00B57B36" w:rsidRDefault="00AD73B9" w:rsidP="00944BDC">
            <w:pPr>
              <w:pStyle w:val="CETBodytext"/>
              <w:ind w:right="-1"/>
              <w:jc w:val="center"/>
              <w:rPr>
                <w:rFonts w:cs="Arial"/>
                <w:szCs w:val="18"/>
                <w:lang w:val="en-GB"/>
              </w:rPr>
            </w:pPr>
            <w:r>
              <w:rPr>
                <w:rFonts w:cs="Arial"/>
                <w:szCs w:val="18"/>
                <w:lang w:val="en-GB"/>
              </w:rPr>
              <w:t>xylose</w:t>
            </w:r>
          </w:p>
        </w:tc>
        <w:tc>
          <w:tcPr>
            <w:tcW w:w="1134" w:type="dxa"/>
            <w:tcBorders>
              <w:top w:val="single" w:sz="4" w:space="0" w:color="008000"/>
            </w:tcBorders>
            <w:shd w:val="clear" w:color="auto" w:fill="FFFFFF"/>
          </w:tcPr>
          <w:p w14:paraId="04DF4EEE" w14:textId="77777777" w:rsidR="00AD73B9" w:rsidRPr="00B57B36" w:rsidRDefault="00AD73B9" w:rsidP="00944BDC">
            <w:pPr>
              <w:pStyle w:val="CETBodytext"/>
              <w:ind w:right="-1"/>
              <w:jc w:val="center"/>
              <w:rPr>
                <w:rFonts w:cs="Arial"/>
                <w:szCs w:val="18"/>
                <w:lang w:val="en-GB"/>
              </w:rPr>
            </w:pPr>
            <w:r>
              <w:rPr>
                <w:rFonts w:cs="Arial"/>
                <w:szCs w:val="18"/>
                <w:lang w:val="en-GB"/>
              </w:rPr>
              <w:t>180</w:t>
            </w:r>
          </w:p>
        </w:tc>
        <w:tc>
          <w:tcPr>
            <w:tcW w:w="1134" w:type="dxa"/>
            <w:tcBorders>
              <w:top w:val="single" w:sz="4" w:space="0" w:color="008000"/>
            </w:tcBorders>
            <w:shd w:val="clear" w:color="auto" w:fill="FFFFFF"/>
          </w:tcPr>
          <w:p w14:paraId="05E3BFB4" w14:textId="77777777" w:rsidR="00AD73B9" w:rsidRPr="00B57B36" w:rsidRDefault="00AD73B9" w:rsidP="00944BDC">
            <w:pPr>
              <w:pStyle w:val="CETBodytext"/>
              <w:ind w:right="-1"/>
              <w:jc w:val="center"/>
              <w:rPr>
                <w:rFonts w:cs="Arial"/>
                <w:szCs w:val="18"/>
                <w:lang w:val="en-GB"/>
              </w:rPr>
            </w:pPr>
            <w:r>
              <w:rPr>
                <w:rFonts w:cs="Arial"/>
                <w:szCs w:val="18"/>
                <w:lang w:val="en-GB"/>
              </w:rPr>
              <w:t>20</w:t>
            </w:r>
          </w:p>
        </w:tc>
        <w:tc>
          <w:tcPr>
            <w:tcW w:w="1134" w:type="dxa"/>
            <w:tcBorders>
              <w:top w:val="single" w:sz="4" w:space="0" w:color="008000"/>
            </w:tcBorders>
            <w:shd w:val="clear" w:color="auto" w:fill="FFFFFF"/>
          </w:tcPr>
          <w:p w14:paraId="0D3E1B8F" w14:textId="77777777" w:rsidR="00AD73B9" w:rsidRPr="00B57B36" w:rsidRDefault="00AD73B9" w:rsidP="00944BDC">
            <w:pPr>
              <w:pStyle w:val="CETBodytext"/>
              <w:ind w:right="-1"/>
              <w:jc w:val="center"/>
              <w:rPr>
                <w:rFonts w:cs="Arial"/>
                <w:szCs w:val="18"/>
                <w:lang w:val="en-GB"/>
              </w:rPr>
            </w:pPr>
            <w:r>
              <w:rPr>
                <w:rFonts w:cs="Arial"/>
                <w:szCs w:val="18"/>
                <w:lang w:val="en-GB"/>
              </w:rPr>
              <w:t>3.66</w:t>
            </w:r>
          </w:p>
        </w:tc>
        <w:tc>
          <w:tcPr>
            <w:tcW w:w="1134" w:type="dxa"/>
            <w:tcBorders>
              <w:top w:val="single" w:sz="4" w:space="0" w:color="008000"/>
            </w:tcBorders>
            <w:shd w:val="clear" w:color="auto" w:fill="FFFFFF"/>
          </w:tcPr>
          <w:p w14:paraId="22B3F526" w14:textId="77777777" w:rsidR="00AD73B9" w:rsidRPr="00B57B36" w:rsidRDefault="00AD73B9" w:rsidP="00944BDC">
            <w:pPr>
              <w:pStyle w:val="CETBodytext"/>
              <w:ind w:right="-1"/>
              <w:jc w:val="center"/>
              <w:rPr>
                <w:rFonts w:cs="Arial"/>
                <w:szCs w:val="18"/>
                <w:lang w:val="en-GB"/>
              </w:rPr>
            </w:pPr>
            <w:r>
              <w:rPr>
                <w:rFonts w:cs="Arial"/>
                <w:szCs w:val="18"/>
                <w:lang w:val="en-GB"/>
              </w:rPr>
              <w:t>DW</w:t>
            </w:r>
          </w:p>
        </w:tc>
      </w:tr>
      <w:tr w:rsidR="00AD73B9" w:rsidRPr="00B57B36" w14:paraId="4A18E821" w14:textId="77777777" w:rsidTr="00944BDC">
        <w:tc>
          <w:tcPr>
            <w:tcW w:w="993" w:type="dxa"/>
            <w:shd w:val="clear" w:color="auto" w:fill="FFFFFF"/>
          </w:tcPr>
          <w:p w14:paraId="1343DA92" w14:textId="77777777" w:rsidR="00AD73B9" w:rsidRDefault="00AD73B9" w:rsidP="00944BDC">
            <w:pPr>
              <w:pStyle w:val="CETBodytext"/>
              <w:ind w:right="-1"/>
              <w:jc w:val="center"/>
              <w:rPr>
                <w:rFonts w:cs="Arial"/>
                <w:szCs w:val="18"/>
                <w:lang w:val="en-GB"/>
              </w:rPr>
            </w:pPr>
            <w:r>
              <w:rPr>
                <w:rFonts w:cs="Arial"/>
                <w:szCs w:val="18"/>
                <w:lang w:val="en-GB"/>
              </w:rPr>
              <w:t>(2)</w:t>
            </w:r>
          </w:p>
        </w:tc>
        <w:tc>
          <w:tcPr>
            <w:tcW w:w="1275" w:type="dxa"/>
            <w:shd w:val="clear" w:color="auto" w:fill="FFFFFF"/>
          </w:tcPr>
          <w:p w14:paraId="2D24D281" w14:textId="77777777" w:rsidR="00AD73B9" w:rsidRDefault="00AD73B9" w:rsidP="00944BDC">
            <w:pPr>
              <w:pStyle w:val="CETBodytext"/>
              <w:ind w:right="-1"/>
              <w:jc w:val="center"/>
              <w:rPr>
                <w:rFonts w:cs="Arial"/>
                <w:szCs w:val="18"/>
                <w:lang w:val="en-GB"/>
              </w:rPr>
            </w:pPr>
            <w:r>
              <w:rPr>
                <w:rFonts w:cs="Arial"/>
                <w:szCs w:val="18"/>
                <w:lang w:val="en-GB"/>
              </w:rPr>
              <w:t>xylose</w:t>
            </w:r>
          </w:p>
        </w:tc>
        <w:tc>
          <w:tcPr>
            <w:tcW w:w="1134" w:type="dxa"/>
            <w:shd w:val="clear" w:color="auto" w:fill="FFFFFF"/>
          </w:tcPr>
          <w:p w14:paraId="78AC72EE" w14:textId="77777777" w:rsidR="00AD73B9" w:rsidRDefault="00AD73B9" w:rsidP="00944BDC">
            <w:pPr>
              <w:pStyle w:val="CETBodytext"/>
              <w:ind w:right="-1"/>
              <w:jc w:val="center"/>
              <w:rPr>
                <w:rFonts w:cs="Arial"/>
                <w:szCs w:val="18"/>
                <w:lang w:val="en-GB"/>
              </w:rPr>
            </w:pPr>
            <w:r>
              <w:rPr>
                <w:rFonts w:cs="Arial"/>
                <w:szCs w:val="18"/>
                <w:lang w:val="en-GB"/>
              </w:rPr>
              <w:t>180</w:t>
            </w:r>
          </w:p>
        </w:tc>
        <w:tc>
          <w:tcPr>
            <w:tcW w:w="1134" w:type="dxa"/>
            <w:shd w:val="clear" w:color="auto" w:fill="FFFFFF"/>
          </w:tcPr>
          <w:p w14:paraId="0AC20D06"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517A5CB2" w14:textId="77777777" w:rsidR="00AD73B9" w:rsidRPr="00B57B36" w:rsidRDefault="00AD73B9" w:rsidP="00944BDC">
            <w:pPr>
              <w:pStyle w:val="CETBodytext"/>
              <w:ind w:right="-1"/>
              <w:jc w:val="center"/>
              <w:rPr>
                <w:rFonts w:cs="Arial"/>
                <w:szCs w:val="18"/>
                <w:lang w:val="en-GB"/>
              </w:rPr>
            </w:pPr>
            <w:r>
              <w:rPr>
                <w:rFonts w:cs="Arial"/>
                <w:szCs w:val="18"/>
                <w:lang w:val="en-GB"/>
              </w:rPr>
              <w:t>4.13</w:t>
            </w:r>
          </w:p>
        </w:tc>
        <w:tc>
          <w:tcPr>
            <w:tcW w:w="1134" w:type="dxa"/>
            <w:shd w:val="clear" w:color="auto" w:fill="FFFFFF"/>
          </w:tcPr>
          <w:p w14:paraId="5E42F75F" w14:textId="77777777" w:rsidR="00AD73B9" w:rsidRDefault="00AD73B9" w:rsidP="00944BDC">
            <w:pPr>
              <w:pStyle w:val="CETBodytext"/>
              <w:ind w:right="-1"/>
              <w:jc w:val="center"/>
              <w:rPr>
                <w:rFonts w:cs="Arial"/>
                <w:szCs w:val="18"/>
                <w:lang w:val="en-GB"/>
              </w:rPr>
            </w:pPr>
            <w:r>
              <w:rPr>
                <w:rFonts w:cs="Arial"/>
                <w:szCs w:val="18"/>
                <w:lang w:val="en-GB"/>
              </w:rPr>
              <w:t>DW</w:t>
            </w:r>
          </w:p>
        </w:tc>
      </w:tr>
      <w:tr w:rsidR="00AD73B9" w:rsidRPr="00B57B36" w14:paraId="50317869" w14:textId="77777777" w:rsidTr="00944BDC">
        <w:tc>
          <w:tcPr>
            <w:tcW w:w="993" w:type="dxa"/>
            <w:shd w:val="clear" w:color="auto" w:fill="FFFFFF"/>
          </w:tcPr>
          <w:p w14:paraId="388E140E" w14:textId="77777777" w:rsidR="00AD73B9" w:rsidRDefault="00AD73B9" w:rsidP="00944BDC">
            <w:pPr>
              <w:pStyle w:val="CETBodytext"/>
              <w:ind w:right="-1"/>
              <w:jc w:val="center"/>
              <w:rPr>
                <w:rFonts w:cs="Arial"/>
                <w:szCs w:val="18"/>
                <w:lang w:val="en-GB"/>
              </w:rPr>
            </w:pPr>
            <w:r>
              <w:rPr>
                <w:rFonts w:cs="Arial"/>
                <w:szCs w:val="18"/>
                <w:lang w:val="en-GB"/>
              </w:rPr>
              <w:t>(3)</w:t>
            </w:r>
          </w:p>
        </w:tc>
        <w:tc>
          <w:tcPr>
            <w:tcW w:w="1275" w:type="dxa"/>
            <w:shd w:val="clear" w:color="auto" w:fill="FFFFFF"/>
          </w:tcPr>
          <w:p w14:paraId="3DA41D4D" w14:textId="77777777" w:rsidR="00AD73B9" w:rsidRDefault="00AD73B9" w:rsidP="00944BDC">
            <w:pPr>
              <w:pStyle w:val="CETBodytext"/>
              <w:ind w:right="-1"/>
              <w:jc w:val="center"/>
              <w:rPr>
                <w:rFonts w:cs="Arial"/>
                <w:szCs w:val="18"/>
                <w:lang w:val="en-GB"/>
              </w:rPr>
            </w:pPr>
            <w:r>
              <w:rPr>
                <w:rFonts w:cs="Arial"/>
                <w:szCs w:val="18"/>
                <w:lang w:val="en-GB"/>
              </w:rPr>
              <w:t>xylose</w:t>
            </w:r>
          </w:p>
        </w:tc>
        <w:tc>
          <w:tcPr>
            <w:tcW w:w="1134" w:type="dxa"/>
            <w:shd w:val="clear" w:color="auto" w:fill="FFFFFF"/>
          </w:tcPr>
          <w:p w14:paraId="5C04DFFF" w14:textId="77777777" w:rsidR="00AD73B9" w:rsidRDefault="00AD73B9" w:rsidP="00944BDC">
            <w:pPr>
              <w:pStyle w:val="CETBodytext"/>
              <w:ind w:right="-1"/>
              <w:jc w:val="center"/>
              <w:rPr>
                <w:rFonts w:cs="Arial"/>
                <w:szCs w:val="18"/>
                <w:lang w:val="en-GB"/>
              </w:rPr>
            </w:pPr>
            <w:r>
              <w:rPr>
                <w:rFonts w:cs="Arial"/>
                <w:szCs w:val="18"/>
                <w:lang w:val="en-GB"/>
              </w:rPr>
              <w:t>205</w:t>
            </w:r>
          </w:p>
        </w:tc>
        <w:tc>
          <w:tcPr>
            <w:tcW w:w="1134" w:type="dxa"/>
            <w:shd w:val="clear" w:color="auto" w:fill="FFFFFF"/>
          </w:tcPr>
          <w:p w14:paraId="42122F59" w14:textId="77777777" w:rsidR="00AD73B9" w:rsidRDefault="00AD73B9" w:rsidP="00944BDC">
            <w:pPr>
              <w:pStyle w:val="CETBodytext"/>
              <w:ind w:right="-1"/>
              <w:jc w:val="center"/>
              <w:rPr>
                <w:rFonts w:cs="Arial"/>
                <w:szCs w:val="18"/>
                <w:lang w:val="en-GB"/>
              </w:rPr>
            </w:pPr>
            <w:r>
              <w:rPr>
                <w:rFonts w:cs="Arial"/>
                <w:szCs w:val="18"/>
                <w:lang w:val="en-GB"/>
              </w:rPr>
              <w:t>20</w:t>
            </w:r>
          </w:p>
        </w:tc>
        <w:tc>
          <w:tcPr>
            <w:tcW w:w="1134" w:type="dxa"/>
            <w:shd w:val="clear" w:color="auto" w:fill="FFFFFF"/>
          </w:tcPr>
          <w:p w14:paraId="4EAF50E2" w14:textId="77777777" w:rsidR="00AD73B9" w:rsidRPr="00B57B36" w:rsidRDefault="00AD73B9" w:rsidP="00944BDC">
            <w:pPr>
              <w:pStyle w:val="CETBodytext"/>
              <w:ind w:right="-1"/>
              <w:jc w:val="center"/>
              <w:rPr>
                <w:rFonts w:cs="Arial"/>
                <w:szCs w:val="18"/>
                <w:lang w:val="en-GB"/>
              </w:rPr>
            </w:pPr>
            <w:r>
              <w:rPr>
                <w:rFonts w:cs="Arial"/>
                <w:szCs w:val="18"/>
                <w:lang w:val="en-GB"/>
              </w:rPr>
              <w:t>4.39</w:t>
            </w:r>
          </w:p>
        </w:tc>
        <w:tc>
          <w:tcPr>
            <w:tcW w:w="1134" w:type="dxa"/>
            <w:shd w:val="clear" w:color="auto" w:fill="FFFFFF"/>
          </w:tcPr>
          <w:p w14:paraId="36BEC8FE" w14:textId="77777777" w:rsidR="00AD73B9" w:rsidRDefault="00AD73B9" w:rsidP="00944BDC">
            <w:pPr>
              <w:pStyle w:val="CETBodytext"/>
              <w:ind w:right="-1"/>
              <w:jc w:val="center"/>
              <w:rPr>
                <w:rFonts w:cs="Arial"/>
                <w:szCs w:val="18"/>
                <w:lang w:val="en-GB"/>
              </w:rPr>
            </w:pPr>
            <w:r>
              <w:rPr>
                <w:rFonts w:cs="Arial"/>
                <w:szCs w:val="18"/>
                <w:lang w:val="en-GB"/>
              </w:rPr>
              <w:t>DW</w:t>
            </w:r>
          </w:p>
        </w:tc>
      </w:tr>
      <w:tr w:rsidR="00AD73B9" w:rsidRPr="00B57B36" w14:paraId="5B976C29" w14:textId="77777777" w:rsidTr="00944BDC">
        <w:tc>
          <w:tcPr>
            <w:tcW w:w="993" w:type="dxa"/>
            <w:shd w:val="clear" w:color="auto" w:fill="FFFFFF"/>
          </w:tcPr>
          <w:p w14:paraId="14E54092" w14:textId="77777777" w:rsidR="00AD73B9" w:rsidRDefault="00AD73B9" w:rsidP="00944BDC">
            <w:pPr>
              <w:pStyle w:val="CETBodytext"/>
              <w:ind w:right="-1"/>
              <w:jc w:val="center"/>
              <w:rPr>
                <w:rFonts w:cs="Arial"/>
                <w:szCs w:val="18"/>
                <w:lang w:val="en-GB"/>
              </w:rPr>
            </w:pPr>
            <w:r>
              <w:rPr>
                <w:rFonts w:cs="Arial"/>
                <w:szCs w:val="18"/>
                <w:lang w:val="en-GB"/>
              </w:rPr>
              <w:t>(4)</w:t>
            </w:r>
          </w:p>
        </w:tc>
        <w:tc>
          <w:tcPr>
            <w:tcW w:w="1275" w:type="dxa"/>
            <w:shd w:val="clear" w:color="auto" w:fill="FFFFFF"/>
          </w:tcPr>
          <w:p w14:paraId="39EACE26" w14:textId="77777777" w:rsidR="00AD73B9" w:rsidRDefault="00AD73B9" w:rsidP="00944BDC">
            <w:pPr>
              <w:pStyle w:val="CETBodytext"/>
              <w:ind w:right="-1"/>
              <w:jc w:val="center"/>
              <w:rPr>
                <w:rFonts w:cs="Arial"/>
                <w:szCs w:val="18"/>
                <w:lang w:val="en-GB"/>
              </w:rPr>
            </w:pPr>
            <w:r>
              <w:rPr>
                <w:rFonts w:cs="Arial"/>
                <w:szCs w:val="18"/>
                <w:lang w:val="en-GB"/>
              </w:rPr>
              <w:t>xylose</w:t>
            </w:r>
          </w:p>
        </w:tc>
        <w:tc>
          <w:tcPr>
            <w:tcW w:w="1134" w:type="dxa"/>
            <w:shd w:val="clear" w:color="auto" w:fill="FFFFFF"/>
          </w:tcPr>
          <w:p w14:paraId="7FF3489D" w14:textId="77777777" w:rsidR="00AD73B9" w:rsidRDefault="00AD73B9" w:rsidP="00944BDC">
            <w:pPr>
              <w:pStyle w:val="CETBodytext"/>
              <w:ind w:right="-1"/>
              <w:jc w:val="center"/>
              <w:rPr>
                <w:rFonts w:cs="Arial"/>
                <w:szCs w:val="18"/>
                <w:lang w:val="en-GB"/>
              </w:rPr>
            </w:pPr>
            <w:r>
              <w:rPr>
                <w:rFonts w:cs="Arial"/>
                <w:szCs w:val="18"/>
                <w:lang w:val="en-GB"/>
              </w:rPr>
              <w:t>205</w:t>
            </w:r>
          </w:p>
        </w:tc>
        <w:tc>
          <w:tcPr>
            <w:tcW w:w="1134" w:type="dxa"/>
            <w:shd w:val="clear" w:color="auto" w:fill="FFFFFF"/>
          </w:tcPr>
          <w:p w14:paraId="3335B3CF"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2E3FE0F2" w14:textId="77777777" w:rsidR="00AD73B9" w:rsidRPr="00B57B36" w:rsidRDefault="00AD73B9" w:rsidP="00944BDC">
            <w:pPr>
              <w:pStyle w:val="CETBodytext"/>
              <w:ind w:right="-1"/>
              <w:jc w:val="center"/>
              <w:rPr>
                <w:rFonts w:cs="Arial"/>
                <w:szCs w:val="18"/>
                <w:lang w:val="en-GB"/>
              </w:rPr>
            </w:pPr>
            <w:r>
              <w:rPr>
                <w:rFonts w:cs="Arial"/>
                <w:szCs w:val="18"/>
                <w:lang w:val="en-GB"/>
              </w:rPr>
              <w:t>4.87</w:t>
            </w:r>
          </w:p>
        </w:tc>
        <w:tc>
          <w:tcPr>
            <w:tcW w:w="1134" w:type="dxa"/>
            <w:shd w:val="clear" w:color="auto" w:fill="FFFFFF"/>
          </w:tcPr>
          <w:p w14:paraId="63A56819" w14:textId="77777777" w:rsidR="00AD73B9" w:rsidRDefault="00AD73B9" w:rsidP="00944BDC">
            <w:pPr>
              <w:pStyle w:val="CETBodytext"/>
              <w:ind w:right="-1"/>
              <w:jc w:val="center"/>
              <w:rPr>
                <w:rFonts w:cs="Arial"/>
                <w:szCs w:val="18"/>
                <w:lang w:val="en-GB"/>
              </w:rPr>
            </w:pPr>
            <w:r>
              <w:rPr>
                <w:rFonts w:cs="Arial"/>
                <w:szCs w:val="18"/>
                <w:lang w:val="en-GB"/>
              </w:rPr>
              <w:t>DW</w:t>
            </w:r>
          </w:p>
        </w:tc>
      </w:tr>
      <w:tr w:rsidR="00AD73B9" w:rsidRPr="00B57B36" w14:paraId="5173473B" w14:textId="77777777" w:rsidTr="00944BDC">
        <w:tc>
          <w:tcPr>
            <w:tcW w:w="993" w:type="dxa"/>
            <w:tcBorders>
              <w:bottom w:val="nil"/>
            </w:tcBorders>
            <w:shd w:val="clear" w:color="auto" w:fill="FFFFFF"/>
          </w:tcPr>
          <w:p w14:paraId="5B1D3C02" w14:textId="77777777" w:rsidR="00AD73B9" w:rsidRDefault="00AD73B9" w:rsidP="00944BDC">
            <w:pPr>
              <w:pStyle w:val="CETBodytext"/>
              <w:ind w:right="-1"/>
              <w:jc w:val="center"/>
              <w:rPr>
                <w:rFonts w:cs="Arial"/>
                <w:szCs w:val="18"/>
                <w:lang w:val="en-GB"/>
              </w:rPr>
            </w:pPr>
            <w:r>
              <w:rPr>
                <w:rFonts w:cs="Arial"/>
                <w:szCs w:val="18"/>
                <w:lang w:val="en-GB"/>
              </w:rPr>
              <w:t>(5)</w:t>
            </w:r>
          </w:p>
        </w:tc>
        <w:tc>
          <w:tcPr>
            <w:tcW w:w="1275" w:type="dxa"/>
            <w:tcBorders>
              <w:bottom w:val="nil"/>
            </w:tcBorders>
            <w:shd w:val="clear" w:color="auto" w:fill="FFFFFF"/>
          </w:tcPr>
          <w:p w14:paraId="0B93EDC6" w14:textId="77777777" w:rsidR="00AD73B9" w:rsidRDefault="00AD73B9" w:rsidP="00944BDC">
            <w:pPr>
              <w:pStyle w:val="CETBodytext"/>
              <w:ind w:right="-1"/>
              <w:jc w:val="center"/>
              <w:rPr>
                <w:rFonts w:cs="Arial"/>
                <w:szCs w:val="18"/>
                <w:lang w:val="en-GB"/>
              </w:rPr>
            </w:pPr>
            <w:r>
              <w:rPr>
                <w:rFonts w:cs="Arial"/>
                <w:szCs w:val="18"/>
                <w:lang w:val="en-GB"/>
              </w:rPr>
              <w:t>xylose</w:t>
            </w:r>
          </w:p>
        </w:tc>
        <w:tc>
          <w:tcPr>
            <w:tcW w:w="1134" w:type="dxa"/>
            <w:tcBorders>
              <w:bottom w:val="nil"/>
            </w:tcBorders>
            <w:shd w:val="clear" w:color="auto" w:fill="FFFFFF"/>
          </w:tcPr>
          <w:p w14:paraId="45157EA0"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tcBorders>
              <w:bottom w:val="nil"/>
            </w:tcBorders>
            <w:shd w:val="clear" w:color="auto" w:fill="FFFFFF"/>
          </w:tcPr>
          <w:p w14:paraId="64A794B8" w14:textId="77777777" w:rsidR="00AD73B9" w:rsidRDefault="00AD73B9" w:rsidP="00944BDC">
            <w:pPr>
              <w:pStyle w:val="CETBodytext"/>
              <w:ind w:right="-1"/>
              <w:jc w:val="center"/>
              <w:rPr>
                <w:rFonts w:cs="Arial"/>
                <w:szCs w:val="18"/>
                <w:lang w:val="en-GB"/>
              </w:rPr>
            </w:pPr>
            <w:r>
              <w:rPr>
                <w:rFonts w:cs="Arial"/>
                <w:szCs w:val="18"/>
                <w:lang w:val="en-GB"/>
              </w:rPr>
              <w:t>20</w:t>
            </w:r>
          </w:p>
        </w:tc>
        <w:tc>
          <w:tcPr>
            <w:tcW w:w="1134" w:type="dxa"/>
            <w:tcBorders>
              <w:bottom w:val="nil"/>
            </w:tcBorders>
            <w:shd w:val="clear" w:color="auto" w:fill="FFFFFF"/>
          </w:tcPr>
          <w:p w14:paraId="0C013375" w14:textId="77777777" w:rsidR="00AD73B9" w:rsidRPr="00B57B36" w:rsidRDefault="00AD73B9" w:rsidP="00944BDC">
            <w:pPr>
              <w:pStyle w:val="CETBodytext"/>
              <w:ind w:right="-1"/>
              <w:jc w:val="center"/>
              <w:rPr>
                <w:rFonts w:cs="Arial"/>
                <w:szCs w:val="18"/>
                <w:lang w:val="en-GB"/>
              </w:rPr>
            </w:pPr>
            <w:r>
              <w:rPr>
                <w:rFonts w:cs="Arial"/>
                <w:szCs w:val="18"/>
                <w:lang w:val="en-GB"/>
              </w:rPr>
              <w:t>5.13</w:t>
            </w:r>
          </w:p>
        </w:tc>
        <w:tc>
          <w:tcPr>
            <w:tcW w:w="1134" w:type="dxa"/>
            <w:tcBorders>
              <w:bottom w:val="nil"/>
            </w:tcBorders>
            <w:shd w:val="clear" w:color="auto" w:fill="FFFFFF"/>
          </w:tcPr>
          <w:p w14:paraId="251FD677" w14:textId="77777777" w:rsidR="00AD73B9" w:rsidRDefault="00AD73B9" w:rsidP="00944BDC">
            <w:pPr>
              <w:pStyle w:val="CETBodytext"/>
              <w:ind w:right="-1"/>
              <w:jc w:val="center"/>
              <w:rPr>
                <w:rFonts w:cs="Arial"/>
                <w:szCs w:val="18"/>
                <w:lang w:val="en-GB"/>
              </w:rPr>
            </w:pPr>
            <w:r>
              <w:rPr>
                <w:rFonts w:cs="Arial"/>
                <w:szCs w:val="18"/>
                <w:lang w:val="en-GB"/>
              </w:rPr>
              <w:t>DW</w:t>
            </w:r>
          </w:p>
        </w:tc>
      </w:tr>
      <w:tr w:rsidR="00AD73B9" w:rsidRPr="00B57B36" w14:paraId="00248FB8" w14:textId="77777777" w:rsidTr="00944BDC">
        <w:tc>
          <w:tcPr>
            <w:tcW w:w="993" w:type="dxa"/>
            <w:tcBorders>
              <w:top w:val="nil"/>
              <w:bottom w:val="single" w:sz="4" w:space="0" w:color="008000"/>
            </w:tcBorders>
            <w:shd w:val="clear" w:color="auto" w:fill="FFFFFF"/>
          </w:tcPr>
          <w:p w14:paraId="4E807E85" w14:textId="77777777" w:rsidR="00AD73B9" w:rsidRDefault="00AD73B9" w:rsidP="00944BDC">
            <w:pPr>
              <w:pStyle w:val="CETBodytext"/>
              <w:ind w:right="-1"/>
              <w:jc w:val="center"/>
              <w:rPr>
                <w:rFonts w:cs="Arial"/>
                <w:szCs w:val="18"/>
                <w:lang w:val="en-GB"/>
              </w:rPr>
            </w:pPr>
            <w:r>
              <w:rPr>
                <w:rFonts w:cs="Arial"/>
                <w:szCs w:val="18"/>
                <w:lang w:val="en-GB"/>
              </w:rPr>
              <w:t>(6)</w:t>
            </w:r>
          </w:p>
        </w:tc>
        <w:tc>
          <w:tcPr>
            <w:tcW w:w="1275" w:type="dxa"/>
            <w:tcBorders>
              <w:top w:val="nil"/>
              <w:bottom w:val="single" w:sz="4" w:space="0" w:color="008000"/>
            </w:tcBorders>
            <w:shd w:val="clear" w:color="auto" w:fill="FFFFFF"/>
          </w:tcPr>
          <w:p w14:paraId="32829739" w14:textId="77777777" w:rsidR="00AD73B9" w:rsidRDefault="00AD73B9" w:rsidP="00944BDC">
            <w:pPr>
              <w:pStyle w:val="CETBodytext"/>
              <w:ind w:right="-1"/>
              <w:jc w:val="center"/>
              <w:rPr>
                <w:rFonts w:cs="Arial"/>
                <w:szCs w:val="18"/>
                <w:lang w:val="en-GB"/>
              </w:rPr>
            </w:pPr>
            <w:r>
              <w:rPr>
                <w:rFonts w:cs="Arial"/>
                <w:szCs w:val="18"/>
                <w:lang w:val="en-GB"/>
              </w:rPr>
              <w:t>xylose</w:t>
            </w:r>
          </w:p>
        </w:tc>
        <w:tc>
          <w:tcPr>
            <w:tcW w:w="1134" w:type="dxa"/>
            <w:tcBorders>
              <w:top w:val="nil"/>
              <w:bottom w:val="single" w:sz="4" w:space="0" w:color="008000"/>
            </w:tcBorders>
            <w:shd w:val="clear" w:color="auto" w:fill="FFFFFF"/>
          </w:tcPr>
          <w:p w14:paraId="56F0368E"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tcBorders>
              <w:top w:val="nil"/>
              <w:bottom w:val="single" w:sz="4" w:space="0" w:color="008000"/>
            </w:tcBorders>
            <w:shd w:val="clear" w:color="auto" w:fill="FFFFFF"/>
          </w:tcPr>
          <w:p w14:paraId="5869BF0D"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tcBorders>
              <w:top w:val="nil"/>
              <w:bottom w:val="single" w:sz="4" w:space="0" w:color="008000"/>
            </w:tcBorders>
            <w:shd w:val="clear" w:color="auto" w:fill="FFFFFF"/>
          </w:tcPr>
          <w:p w14:paraId="6BD32AEA" w14:textId="77777777" w:rsidR="00AD73B9" w:rsidRPr="00B57B36" w:rsidRDefault="00AD73B9" w:rsidP="00944BDC">
            <w:pPr>
              <w:pStyle w:val="CETBodytext"/>
              <w:ind w:right="-1"/>
              <w:jc w:val="center"/>
              <w:rPr>
                <w:rFonts w:cs="Arial"/>
                <w:szCs w:val="18"/>
                <w:lang w:val="en-GB"/>
              </w:rPr>
            </w:pPr>
            <w:r>
              <w:rPr>
                <w:rFonts w:cs="Arial"/>
                <w:szCs w:val="18"/>
                <w:lang w:val="en-GB"/>
              </w:rPr>
              <w:t>5.61</w:t>
            </w:r>
          </w:p>
        </w:tc>
        <w:tc>
          <w:tcPr>
            <w:tcW w:w="1134" w:type="dxa"/>
            <w:tcBorders>
              <w:top w:val="nil"/>
              <w:bottom w:val="single" w:sz="4" w:space="0" w:color="008000"/>
            </w:tcBorders>
            <w:shd w:val="clear" w:color="auto" w:fill="FFFFFF"/>
          </w:tcPr>
          <w:p w14:paraId="1F224101" w14:textId="77777777" w:rsidR="00AD73B9" w:rsidRDefault="00AD73B9" w:rsidP="00944BDC">
            <w:pPr>
              <w:pStyle w:val="CETBodytext"/>
              <w:ind w:right="-1"/>
              <w:jc w:val="center"/>
              <w:rPr>
                <w:rFonts w:cs="Arial"/>
                <w:szCs w:val="18"/>
                <w:lang w:val="en-GB"/>
              </w:rPr>
            </w:pPr>
            <w:r>
              <w:rPr>
                <w:rFonts w:cs="Arial"/>
                <w:szCs w:val="18"/>
                <w:lang w:val="en-GB"/>
              </w:rPr>
              <w:t>DW</w:t>
            </w:r>
          </w:p>
        </w:tc>
      </w:tr>
      <w:tr w:rsidR="00AD73B9" w:rsidRPr="00B57B36" w14:paraId="283DCD71" w14:textId="77777777" w:rsidTr="00944BDC">
        <w:tc>
          <w:tcPr>
            <w:tcW w:w="993" w:type="dxa"/>
            <w:tcBorders>
              <w:top w:val="single" w:sz="4" w:space="0" w:color="008000"/>
            </w:tcBorders>
            <w:shd w:val="clear" w:color="auto" w:fill="FFFFFF"/>
          </w:tcPr>
          <w:p w14:paraId="15AA3CD8" w14:textId="77777777" w:rsidR="00AD73B9" w:rsidRDefault="00AD73B9" w:rsidP="00944BDC">
            <w:pPr>
              <w:pStyle w:val="CETBodytext"/>
              <w:ind w:right="-1"/>
              <w:jc w:val="center"/>
              <w:rPr>
                <w:rFonts w:cs="Arial"/>
                <w:szCs w:val="18"/>
                <w:lang w:val="en-GB"/>
              </w:rPr>
            </w:pPr>
            <w:r>
              <w:rPr>
                <w:rFonts w:cs="Arial"/>
                <w:szCs w:val="18"/>
                <w:lang w:val="en-GB"/>
              </w:rPr>
              <w:t>(7)</w:t>
            </w:r>
          </w:p>
        </w:tc>
        <w:tc>
          <w:tcPr>
            <w:tcW w:w="1275" w:type="dxa"/>
            <w:tcBorders>
              <w:top w:val="single" w:sz="4" w:space="0" w:color="008000"/>
            </w:tcBorders>
            <w:shd w:val="clear" w:color="auto" w:fill="FFFFFF"/>
          </w:tcPr>
          <w:p w14:paraId="3EECEA62" w14:textId="77777777" w:rsidR="00AD73B9" w:rsidRDefault="00AD73B9" w:rsidP="00944BDC">
            <w:pPr>
              <w:pStyle w:val="CETBodytext"/>
              <w:ind w:right="-1"/>
              <w:jc w:val="center"/>
              <w:rPr>
                <w:rFonts w:cs="Arial"/>
                <w:szCs w:val="18"/>
                <w:lang w:val="en-GB"/>
              </w:rPr>
            </w:pPr>
            <w:r>
              <w:rPr>
                <w:rFonts w:cs="Arial"/>
                <w:szCs w:val="18"/>
                <w:lang w:val="en-GB"/>
              </w:rPr>
              <w:t>cellulose</w:t>
            </w:r>
          </w:p>
        </w:tc>
        <w:tc>
          <w:tcPr>
            <w:tcW w:w="1134" w:type="dxa"/>
            <w:tcBorders>
              <w:top w:val="single" w:sz="4" w:space="0" w:color="008000"/>
            </w:tcBorders>
            <w:shd w:val="clear" w:color="auto" w:fill="FFFFFF"/>
          </w:tcPr>
          <w:p w14:paraId="21E8977D"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tcBorders>
              <w:top w:val="single" w:sz="4" w:space="0" w:color="008000"/>
            </w:tcBorders>
            <w:shd w:val="clear" w:color="auto" w:fill="FFFFFF"/>
          </w:tcPr>
          <w:p w14:paraId="730852F3" w14:textId="77777777" w:rsidR="00AD73B9" w:rsidRDefault="00AD73B9" w:rsidP="00944BDC">
            <w:pPr>
              <w:pStyle w:val="CETBodytext"/>
              <w:ind w:right="-1"/>
              <w:jc w:val="center"/>
              <w:rPr>
                <w:rFonts w:cs="Arial"/>
                <w:szCs w:val="18"/>
                <w:lang w:val="en-GB"/>
              </w:rPr>
            </w:pPr>
            <w:r>
              <w:rPr>
                <w:rFonts w:cs="Arial"/>
                <w:szCs w:val="18"/>
                <w:lang w:val="en-GB"/>
              </w:rPr>
              <w:t>20</w:t>
            </w:r>
          </w:p>
        </w:tc>
        <w:tc>
          <w:tcPr>
            <w:tcW w:w="1134" w:type="dxa"/>
            <w:tcBorders>
              <w:top w:val="single" w:sz="4" w:space="0" w:color="008000"/>
            </w:tcBorders>
            <w:shd w:val="clear" w:color="auto" w:fill="FFFFFF"/>
          </w:tcPr>
          <w:p w14:paraId="21632B7E" w14:textId="77777777" w:rsidR="00AD73B9" w:rsidRDefault="00AD73B9" w:rsidP="00944BDC">
            <w:pPr>
              <w:pStyle w:val="CETBodytext"/>
              <w:ind w:right="-1"/>
              <w:jc w:val="center"/>
              <w:rPr>
                <w:rFonts w:cs="Arial"/>
                <w:szCs w:val="18"/>
                <w:lang w:val="en-GB"/>
              </w:rPr>
            </w:pPr>
            <w:r>
              <w:rPr>
                <w:rFonts w:cs="Arial"/>
                <w:szCs w:val="18"/>
                <w:lang w:val="en-GB"/>
              </w:rPr>
              <w:t>5.13</w:t>
            </w:r>
          </w:p>
        </w:tc>
        <w:tc>
          <w:tcPr>
            <w:tcW w:w="1134" w:type="dxa"/>
            <w:tcBorders>
              <w:top w:val="single" w:sz="4" w:space="0" w:color="008000"/>
            </w:tcBorders>
            <w:shd w:val="clear" w:color="auto" w:fill="FFFFFF"/>
          </w:tcPr>
          <w:p w14:paraId="748833F2" w14:textId="77777777" w:rsidR="00AD73B9" w:rsidRDefault="00AD73B9" w:rsidP="00944BDC">
            <w:pPr>
              <w:pStyle w:val="CETBodytext"/>
              <w:ind w:right="-1"/>
              <w:jc w:val="center"/>
              <w:rPr>
                <w:rFonts w:cs="Arial"/>
                <w:szCs w:val="18"/>
                <w:lang w:val="en-GB"/>
              </w:rPr>
            </w:pPr>
            <w:r>
              <w:rPr>
                <w:rFonts w:cs="Arial"/>
                <w:szCs w:val="18"/>
                <w:lang w:val="en-GB"/>
              </w:rPr>
              <w:t>DW</w:t>
            </w:r>
          </w:p>
        </w:tc>
      </w:tr>
      <w:tr w:rsidR="00AD73B9" w:rsidRPr="00B57B36" w14:paraId="22C269BD" w14:textId="77777777" w:rsidTr="00944BDC">
        <w:tc>
          <w:tcPr>
            <w:tcW w:w="993" w:type="dxa"/>
            <w:shd w:val="clear" w:color="auto" w:fill="FFFFFF"/>
          </w:tcPr>
          <w:p w14:paraId="65FF2BB6" w14:textId="77777777" w:rsidR="00AD73B9" w:rsidRDefault="00AD73B9" w:rsidP="00944BDC">
            <w:pPr>
              <w:pStyle w:val="CETBodytext"/>
              <w:ind w:right="-1"/>
              <w:jc w:val="center"/>
              <w:rPr>
                <w:rFonts w:cs="Arial"/>
                <w:szCs w:val="18"/>
                <w:lang w:val="en-GB"/>
              </w:rPr>
            </w:pPr>
            <w:r>
              <w:rPr>
                <w:rFonts w:cs="Arial"/>
                <w:szCs w:val="18"/>
                <w:lang w:val="en-GB"/>
              </w:rPr>
              <w:t>(8)</w:t>
            </w:r>
          </w:p>
        </w:tc>
        <w:tc>
          <w:tcPr>
            <w:tcW w:w="1275" w:type="dxa"/>
            <w:shd w:val="clear" w:color="auto" w:fill="FFFFFF"/>
          </w:tcPr>
          <w:p w14:paraId="093CBFC9" w14:textId="77777777" w:rsidR="00AD73B9" w:rsidRDefault="00AD73B9" w:rsidP="00944BDC">
            <w:pPr>
              <w:pStyle w:val="CETBodytext"/>
              <w:ind w:right="-1"/>
              <w:jc w:val="center"/>
              <w:rPr>
                <w:rFonts w:cs="Arial"/>
                <w:szCs w:val="18"/>
                <w:lang w:val="en-GB"/>
              </w:rPr>
            </w:pPr>
            <w:r>
              <w:rPr>
                <w:rFonts w:cs="Arial"/>
                <w:szCs w:val="18"/>
                <w:lang w:val="en-GB"/>
              </w:rPr>
              <w:t>cellulose</w:t>
            </w:r>
          </w:p>
        </w:tc>
        <w:tc>
          <w:tcPr>
            <w:tcW w:w="1134" w:type="dxa"/>
            <w:shd w:val="clear" w:color="auto" w:fill="FFFFFF"/>
          </w:tcPr>
          <w:p w14:paraId="7A962D40"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shd w:val="clear" w:color="auto" w:fill="FFFFFF"/>
          </w:tcPr>
          <w:p w14:paraId="6E52E908"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7DC2D09D" w14:textId="77777777" w:rsidR="00AD73B9" w:rsidRDefault="00AD73B9" w:rsidP="00944BDC">
            <w:pPr>
              <w:pStyle w:val="CETBodytext"/>
              <w:ind w:right="-1"/>
              <w:jc w:val="center"/>
              <w:rPr>
                <w:rFonts w:cs="Arial"/>
                <w:szCs w:val="18"/>
                <w:lang w:val="en-GB"/>
              </w:rPr>
            </w:pPr>
            <w:r>
              <w:rPr>
                <w:rFonts w:cs="Arial"/>
                <w:szCs w:val="18"/>
                <w:lang w:val="en-GB"/>
              </w:rPr>
              <w:t>5.61</w:t>
            </w:r>
          </w:p>
        </w:tc>
        <w:tc>
          <w:tcPr>
            <w:tcW w:w="1134" w:type="dxa"/>
            <w:shd w:val="clear" w:color="auto" w:fill="FFFFFF"/>
          </w:tcPr>
          <w:p w14:paraId="35CA08DA" w14:textId="77777777" w:rsidR="00AD73B9" w:rsidRDefault="00AD73B9" w:rsidP="00944BDC">
            <w:pPr>
              <w:pStyle w:val="CETBodytext"/>
              <w:ind w:right="-1"/>
              <w:jc w:val="center"/>
              <w:rPr>
                <w:rFonts w:cs="Arial"/>
                <w:szCs w:val="18"/>
                <w:lang w:val="en-GB"/>
              </w:rPr>
            </w:pPr>
            <w:r>
              <w:rPr>
                <w:rFonts w:cs="Arial"/>
                <w:szCs w:val="18"/>
                <w:lang w:val="en-GB"/>
              </w:rPr>
              <w:t>DW</w:t>
            </w:r>
          </w:p>
        </w:tc>
      </w:tr>
      <w:tr w:rsidR="00AD73B9" w:rsidRPr="00B57B36" w14:paraId="42572D87" w14:textId="77777777" w:rsidTr="00944BDC">
        <w:tc>
          <w:tcPr>
            <w:tcW w:w="993" w:type="dxa"/>
            <w:shd w:val="clear" w:color="auto" w:fill="FFFFFF"/>
          </w:tcPr>
          <w:p w14:paraId="175F49A2" w14:textId="77777777" w:rsidR="00AD73B9" w:rsidRDefault="00AD73B9" w:rsidP="00944BDC">
            <w:pPr>
              <w:pStyle w:val="CETBodytext"/>
              <w:ind w:right="-1"/>
              <w:jc w:val="center"/>
              <w:rPr>
                <w:rFonts w:cs="Arial"/>
                <w:szCs w:val="18"/>
                <w:lang w:val="en-GB"/>
              </w:rPr>
            </w:pPr>
            <w:r>
              <w:rPr>
                <w:rFonts w:cs="Arial"/>
                <w:szCs w:val="18"/>
                <w:lang w:val="en-GB"/>
              </w:rPr>
              <w:t>(9)</w:t>
            </w:r>
          </w:p>
        </w:tc>
        <w:tc>
          <w:tcPr>
            <w:tcW w:w="1275" w:type="dxa"/>
            <w:shd w:val="clear" w:color="auto" w:fill="FFFFFF"/>
          </w:tcPr>
          <w:p w14:paraId="3D989AC0" w14:textId="77777777" w:rsidR="00AD73B9" w:rsidRDefault="00AD73B9" w:rsidP="00944BDC">
            <w:pPr>
              <w:pStyle w:val="CETBodytext"/>
              <w:ind w:right="-1"/>
              <w:jc w:val="center"/>
              <w:rPr>
                <w:rFonts w:cs="Arial"/>
                <w:szCs w:val="18"/>
                <w:lang w:val="en-GB"/>
              </w:rPr>
            </w:pPr>
            <w:r>
              <w:rPr>
                <w:rFonts w:cs="Arial"/>
                <w:szCs w:val="18"/>
                <w:lang w:val="en-GB"/>
              </w:rPr>
              <w:t>cellulose</w:t>
            </w:r>
          </w:p>
        </w:tc>
        <w:tc>
          <w:tcPr>
            <w:tcW w:w="1134" w:type="dxa"/>
            <w:shd w:val="clear" w:color="auto" w:fill="FFFFFF"/>
          </w:tcPr>
          <w:p w14:paraId="22759BDB"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shd w:val="clear" w:color="auto" w:fill="FFFFFF"/>
          </w:tcPr>
          <w:p w14:paraId="14E8EDD0"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46F80274" w14:textId="77777777" w:rsidR="00AD73B9" w:rsidRDefault="00AD73B9" w:rsidP="00944BDC">
            <w:pPr>
              <w:pStyle w:val="CETBodytext"/>
              <w:ind w:right="-1"/>
              <w:jc w:val="center"/>
              <w:rPr>
                <w:rFonts w:cs="Arial"/>
                <w:szCs w:val="18"/>
                <w:lang w:val="en-GB"/>
              </w:rPr>
            </w:pPr>
            <w:r>
              <w:rPr>
                <w:rFonts w:cs="Arial"/>
                <w:szCs w:val="18"/>
                <w:lang w:val="en-GB"/>
              </w:rPr>
              <w:t>5.61</w:t>
            </w:r>
          </w:p>
        </w:tc>
        <w:tc>
          <w:tcPr>
            <w:tcW w:w="1134" w:type="dxa"/>
            <w:shd w:val="clear" w:color="auto" w:fill="FFFFFF"/>
          </w:tcPr>
          <w:p w14:paraId="3382F754" w14:textId="77777777" w:rsidR="00AD73B9" w:rsidRDefault="00AD73B9" w:rsidP="00944BDC">
            <w:pPr>
              <w:pStyle w:val="CETBodytext"/>
              <w:ind w:right="-1"/>
              <w:jc w:val="center"/>
              <w:rPr>
                <w:rFonts w:cs="Arial"/>
                <w:szCs w:val="18"/>
                <w:lang w:val="en-GB"/>
              </w:rPr>
            </w:pPr>
            <w:r>
              <w:rPr>
                <w:rFonts w:cs="Arial"/>
                <w:szCs w:val="18"/>
                <w:lang w:val="en-GB"/>
              </w:rPr>
              <w:t>PW (7)</w:t>
            </w:r>
          </w:p>
        </w:tc>
      </w:tr>
      <w:tr w:rsidR="00AD73B9" w:rsidRPr="00B57B36" w14:paraId="72BE67A3" w14:textId="77777777" w:rsidTr="00944BDC">
        <w:tc>
          <w:tcPr>
            <w:tcW w:w="993" w:type="dxa"/>
            <w:shd w:val="clear" w:color="auto" w:fill="FFFFFF"/>
          </w:tcPr>
          <w:p w14:paraId="257A6FFB" w14:textId="77777777" w:rsidR="00AD73B9" w:rsidRDefault="00AD73B9" w:rsidP="00944BDC">
            <w:pPr>
              <w:pStyle w:val="CETBodytext"/>
              <w:ind w:right="-1"/>
              <w:jc w:val="center"/>
              <w:rPr>
                <w:rFonts w:cs="Arial"/>
                <w:szCs w:val="18"/>
                <w:lang w:val="en-GB"/>
              </w:rPr>
            </w:pPr>
            <w:r>
              <w:rPr>
                <w:rFonts w:cs="Arial"/>
                <w:szCs w:val="18"/>
                <w:lang w:val="en-GB"/>
              </w:rPr>
              <w:t>(10)</w:t>
            </w:r>
          </w:p>
        </w:tc>
        <w:tc>
          <w:tcPr>
            <w:tcW w:w="1275" w:type="dxa"/>
            <w:shd w:val="clear" w:color="auto" w:fill="FFFFFF"/>
          </w:tcPr>
          <w:p w14:paraId="6526C526" w14:textId="77777777" w:rsidR="00AD73B9" w:rsidRDefault="00AD73B9" w:rsidP="00944BDC">
            <w:pPr>
              <w:pStyle w:val="CETBodytext"/>
              <w:ind w:right="-1"/>
              <w:jc w:val="center"/>
              <w:rPr>
                <w:rFonts w:cs="Arial"/>
                <w:szCs w:val="18"/>
                <w:lang w:val="en-GB"/>
              </w:rPr>
            </w:pPr>
            <w:r>
              <w:rPr>
                <w:rFonts w:cs="Arial"/>
                <w:szCs w:val="18"/>
                <w:lang w:val="en-GB"/>
              </w:rPr>
              <w:t>cellulose</w:t>
            </w:r>
          </w:p>
        </w:tc>
        <w:tc>
          <w:tcPr>
            <w:tcW w:w="1134" w:type="dxa"/>
            <w:shd w:val="clear" w:color="auto" w:fill="FFFFFF"/>
          </w:tcPr>
          <w:p w14:paraId="1B664243"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shd w:val="clear" w:color="auto" w:fill="FFFFFF"/>
          </w:tcPr>
          <w:p w14:paraId="3D08B6B1"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1255808A" w14:textId="77777777" w:rsidR="00AD73B9" w:rsidRDefault="00AD73B9" w:rsidP="00944BDC">
            <w:pPr>
              <w:pStyle w:val="CETBodytext"/>
              <w:ind w:right="-1"/>
              <w:jc w:val="center"/>
              <w:rPr>
                <w:rFonts w:cs="Arial"/>
                <w:szCs w:val="18"/>
                <w:lang w:val="en-GB"/>
              </w:rPr>
            </w:pPr>
            <w:r>
              <w:rPr>
                <w:rFonts w:cs="Arial"/>
                <w:szCs w:val="18"/>
                <w:lang w:val="en-GB"/>
              </w:rPr>
              <w:t>5.61</w:t>
            </w:r>
          </w:p>
        </w:tc>
        <w:tc>
          <w:tcPr>
            <w:tcW w:w="1134" w:type="dxa"/>
            <w:shd w:val="clear" w:color="auto" w:fill="FFFFFF"/>
          </w:tcPr>
          <w:p w14:paraId="7530F89C" w14:textId="77777777" w:rsidR="00AD73B9" w:rsidRDefault="00AD73B9" w:rsidP="00944BDC">
            <w:pPr>
              <w:pStyle w:val="CETBodytext"/>
              <w:ind w:right="-1"/>
              <w:jc w:val="center"/>
              <w:rPr>
                <w:rFonts w:cs="Arial"/>
                <w:szCs w:val="18"/>
                <w:lang w:val="en-GB"/>
              </w:rPr>
            </w:pPr>
            <w:r>
              <w:rPr>
                <w:rFonts w:cs="Arial"/>
                <w:szCs w:val="18"/>
                <w:lang w:val="en-GB"/>
              </w:rPr>
              <w:t>PW (8)</w:t>
            </w:r>
          </w:p>
        </w:tc>
      </w:tr>
      <w:tr w:rsidR="00AD73B9" w:rsidRPr="00B57B36" w14:paraId="1C8C285E" w14:textId="77777777" w:rsidTr="00944BDC">
        <w:tc>
          <w:tcPr>
            <w:tcW w:w="993" w:type="dxa"/>
            <w:shd w:val="clear" w:color="auto" w:fill="FFFFFF"/>
          </w:tcPr>
          <w:p w14:paraId="0D9AD8DF" w14:textId="77777777" w:rsidR="00AD73B9" w:rsidRDefault="00AD73B9" w:rsidP="00944BDC">
            <w:pPr>
              <w:pStyle w:val="CETBodytext"/>
              <w:ind w:right="-1"/>
              <w:jc w:val="center"/>
              <w:rPr>
                <w:rFonts w:cs="Arial"/>
                <w:szCs w:val="18"/>
                <w:lang w:val="en-GB"/>
              </w:rPr>
            </w:pPr>
            <w:r>
              <w:rPr>
                <w:rFonts w:cs="Arial"/>
                <w:szCs w:val="18"/>
                <w:lang w:val="en-GB"/>
              </w:rPr>
              <w:t>(11)</w:t>
            </w:r>
          </w:p>
        </w:tc>
        <w:tc>
          <w:tcPr>
            <w:tcW w:w="1275" w:type="dxa"/>
            <w:shd w:val="clear" w:color="auto" w:fill="FFFFFF"/>
          </w:tcPr>
          <w:p w14:paraId="087E91D8" w14:textId="77777777" w:rsidR="00AD73B9" w:rsidRDefault="00AD73B9" w:rsidP="00944BDC">
            <w:pPr>
              <w:pStyle w:val="CETBodytext"/>
              <w:ind w:right="-1"/>
              <w:jc w:val="center"/>
              <w:rPr>
                <w:rFonts w:cs="Arial"/>
                <w:szCs w:val="18"/>
                <w:lang w:val="en-GB"/>
              </w:rPr>
            </w:pPr>
            <w:r>
              <w:rPr>
                <w:rFonts w:cs="Arial"/>
                <w:szCs w:val="18"/>
                <w:lang w:val="en-GB"/>
              </w:rPr>
              <w:t>cellulose</w:t>
            </w:r>
          </w:p>
        </w:tc>
        <w:tc>
          <w:tcPr>
            <w:tcW w:w="1134" w:type="dxa"/>
            <w:shd w:val="clear" w:color="auto" w:fill="FFFFFF"/>
          </w:tcPr>
          <w:p w14:paraId="7AADD319"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shd w:val="clear" w:color="auto" w:fill="FFFFFF"/>
          </w:tcPr>
          <w:p w14:paraId="798858CB"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7EC3678B" w14:textId="77777777" w:rsidR="00AD73B9" w:rsidRDefault="00AD73B9" w:rsidP="00944BDC">
            <w:pPr>
              <w:pStyle w:val="CETBodytext"/>
              <w:ind w:right="-1"/>
              <w:jc w:val="center"/>
              <w:rPr>
                <w:rFonts w:cs="Arial"/>
                <w:szCs w:val="18"/>
                <w:lang w:val="en-GB"/>
              </w:rPr>
            </w:pPr>
            <w:r>
              <w:rPr>
                <w:rFonts w:cs="Arial"/>
                <w:szCs w:val="18"/>
                <w:lang w:val="en-GB"/>
              </w:rPr>
              <w:t>5.61</w:t>
            </w:r>
          </w:p>
        </w:tc>
        <w:tc>
          <w:tcPr>
            <w:tcW w:w="1134" w:type="dxa"/>
            <w:shd w:val="clear" w:color="auto" w:fill="FFFFFF"/>
          </w:tcPr>
          <w:p w14:paraId="29682CD1" w14:textId="77777777" w:rsidR="00AD73B9" w:rsidRDefault="00AD73B9" w:rsidP="00944BDC">
            <w:pPr>
              <w:pStyle w:val="CETBodytext"/>
              <w:ind w:right="-1"/>
              <w:jc w:val="center"/>
              <w:rPr>
                <w:rFonts w:cs="Arial"/>
                <w:szCs w:val="18"/>
                <w:lang w:val="en-GB"/>
              </w:rPr>
            </w:pPr>
            <w:r>
              <w:rPr>
                <w:rFonts w:cs="Arial"/>
                <w:szCs w:val="18"/>
                <w:lang w:val="en-GB"/>
              </w:rPr>
              <w:t>PW (1)</w:t>
            </w:r>
          </w:p>
        </w:tc>
      </w:tr>
      <w:tr w:rsidR="00AD73B9" w:rsidRPr="00B57B36" w14:paraId="7E78BDC2" w14:textId="77777777" w:rsidTr="00944BDC">
        <w:tc>
          <w:tcPr>
            <w:tcW w:w="993" w:type="dxa"/>
            <w:shd w:val="clear" w:color="auto" w:fill="FFFFFF"/>
          </w:tcPr>
          <w:p w14:paraId="47F55AD7" w14:textId="77777777" w:rsidR="00AD73B9" w:rsidRDefault="00AD73B9" w:rsidP="00944BDC">
            <w:pPr>
              <w:pStyle w:val="CETBodytext"/>
              <w:ind w:right="-1"/>
              <w:jc w:val="center"/>
              <w:rPr>
                <w:rFonts w:cs="Arial"/>
                <w:szCs w:val="18"/>
                <w:lang w:val="en-GB"/>
              </w:rPr>
            </w:pPr>
            <w:r>
              <w:rPr>
                <w:rFonts w:cs="Arial"/>
                <w:szCs w:val="18"/>
                <w:lang w:val="en-GB"/>
              </w:rPr>
              <w:t>(12)</w:t>
            </w:r>
          </w:p>
        </w:tc>
        <w:tc>
          <w:tcPr>
            <w:tcW w:w="1275" w:type="dxa"/>
            <w:shd w:val="clear" w:color="auto" w:fill="FFFFFF"/>
          </w:tcPr>
          <w:p w14:paraId="2AAAC8E4" w14:textId="77777777" w:rsidR="00AD73B9" w:rsidRDefault="00AD73B9" w:rsidP="00944BDC">
            <w:pPr>
              <w:pStyle w:val="CETBodytext"/>
              <w:ind w:right="-1"/>
              <w:jc w:val="center"/>
              <w:rPr>
                <w:rFonts w:cs="Arial"/>
                <w:szCs w:val="18"/>
                <w:lang w:val="en-GB"/>
              </w:rPr>
            </w:pPr>
            <w:r>
              <w:rPr>
                <w:rFonts w:cs="Arial"/>
                <w:szCs w:val="18"/>
                <w:lang w:val="en-GB"/>
              </w:rPr>
              <w:t>cellulose</w:t>
            </w:r>
          </w:p>
        </w:tc>
        <w:tc>
          <w:tcPr>
            <w:tcW w:w="1134" w:type="dxa"/>
            <w:shd w:val="clear" w:color="auto" w:fill="FFFFFF"/>
          </w:tcPr>
          <w:p w14:paraId="74E9A40C"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shd w:val="clear" w:color="auto" w:fill="FFFFFF"/>
          </w:tcPr>
          <w:p w14:paraId="42475CAA"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46BACCC9" w14:textId="77777777" w:rsidR="00AD73B9" w:rsidRDefault="00AD73B9" w:rsidP="00944BDC">
            <w:pPr>
              <w:pStyle w:val="CETBodytext"/>
              <w:ind w:right="-1"/>
              <w:jc w:val="center"/>
              <w:rPr>
                <w:rFonts w:cs="Arial"/>
                <w:szCs w:val="18"/>
                <w:lang w:val="en-GB"/>
              </w:rPr>
            </w:pPr>
            <w:r>
              <w:rPr>
                <w:rFonts w:cs="Arial"/>
                <w:szCs w:val="18"/>
                <w:lang w:val="en-GB"/>
              </w:rPr>
              <w:t>5.61</w:t>
            </w:r>
          </w:p>
        </w:tc>
        <w:tc>
          <w:tcPr>
            <w:tcW w:w="1134" w:type="dxa"/>
            <w:shd w:val="clear" w:color="auto" w:fill="FFFFFF"/>
          </w:tcPr>
          <w:p w14:paraId="074F0B7F" w14:textId="77777777" w:rsidR="00AD73B9" w:rsidRDefault="00AD73B9" w:rsidP="00944BDC">
            <w:pPr>
              <w:pStyle w:val="CETBodytext"/>
              <w:ind w:right="-1"/>
              <w:jc w:val="center"/>
              <w:rPr>
                <w:rFonts w:cs="Arial"/>
                <w:szCs w:val="18"/>
                <w:lang w:val="en-GB"/>
              </w:rPr>
            </w:pPr>
            <w:r>
              <w:rPr>
                <w:rFonts w:cs="Arial"/>
                <w:szCs w:val="18"/>
                <w:lang w:val="en-GB"/>
              </w:rPr>
              <w:t>PW (2)</w:t>
            </w:r>
          </w:p>
        </w:tc>
      </w:tr>
      <w:tr w:rsidR="00AD73B9" w:rsidRPr="00B57B36" w14:paraId="4621256D" w14:textId="77777777" w:rsidTr="00944BDC">
        <w:tc>
          <w:tcPr>
            <w:tcW w:w="993" w:type="dxa"/>
            <w:shd w:val="clear" w:color="auto" w:fill="FFFFFF"/>
          </w:tcPr>
          <w:p w14:paraId="7914A546" w14:textId="77777777" w:rsidR="00AD73B9" w:rsidRDefault="00AD73B9" w:rsidP="00944BDC">
            <w:pPr>
              <w:pStyle w:val="CETBodytext"/>
              <w:ind w:right="-1"/>
              <w:jc w:val="center"/>
              <w:rPr>
                <w:rFonts w:cs="Arial"/>
                <w:szCs w:val="18"/>
                <w:lang w:val="en-GB"/>
              </w:rPr>
            </w:pPr>
            <w:r>
              <w:rPr>
                <w:rFonts w:cs="Arial"/>
                <w:szCs w:val="18"/>
                <w:lang w:val="en-GB"/>
              </w:rPr>
              <w:t>(13)</w:t>
            </w:r>
          </w:p>
        </w:tc>
        <w:tc>
          <w:tcPr>
            <w:tcW w:w="1275" w:type="dxa"/>
            <w:shd w:val="clear" w:color="auto" w:fill="FFFFFF"/>
          </w:tcPr>
          <w:p w14:paraId="28155A8E" w14:textId="77777777" w:rsidR="00AD73B9" w:rsidRDefault="00AD73B9" w:rsidP="00944BDC">
            <w:pPr>
              <w:pStyle w:val="CETBodytext"/>
              <w:ind w:right="-1"/>
              <w:jc w:val="center"/>
              <w:rPr>
                <w:rFonts w:cs="Arial"/>
                <w:szCs w:val="18"/>
                <w:lang w:val="en-GB"/>
              </w:rPr>
            </w:pPr>
            <w:r>
              <w:rPr>
                <w:rFonts w:cs="Arial"/>
                <w:szCs w:val="18"/>
                <w:lang w:val="en-GB"/>
              </w:rPr>
              <w:t>cellulose</w:t>
            </w:r>
          </w:p>
        </w:tc>
        <w:tc>
          <w:tcPr>
            <w:tcW w:w="1134" w:type="dxa"/>
            <w:shd w:val="clear" w:color="auto" w:fill="FFFFFF"/>
          </w:tcPr>
          <w:p w14:paraId="563FB142"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shd w:val="clear" w:color="auto" w:fill="FFFFFF"/>
          </w:tcPr>
          <w:p w14:paraId="6480093D"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1EEF6851" w14:textId="77777777" w:rsidR="00AD73B9" w:rsidRDefault="00AD73B9" w:rsidP="00944BDC">
            <w:pPr>
              <w:pStyle w:val="CETBodytext"/>
              <w:ind w:right="-1"/>
              <w:jc w:val="center"/>
              <w:rPr>
                <w:rFonts w:cs="Arial"/>
                <w:szCs w:val="18"/>
                <w:lang w:val="en-GB"/>
              </w:rPr>
            </w:pPr>
            <w:r>
              <w:rPr>
                <w:rFonts w:cs="Arial"/>
                <w:szCs w:val="18"/>
                <w:lang w:val="en-GB"/>
              </w:rPr>
              <w:t>5.61</w:t>
            </w:r>
          </w:p>
        </w:tc>
        <w:tc>
          <w:tcPr>
            <w:tcW w:w="1134" w:type="dxa"/>
            <w:shd w:val="clear" w:color="auto" w:fill="FFFFFF"/>
          </w:tcPr>
          <w:p w14:paraId="6181A844" w14:textId="77777777" w:rsidR="00AD73B9" w:rsidRDefault="00AD73B9" w:rsidP="00944BDC">
            <w:pPr>
              <w:pStyle w:val="CETBodytext"/>
              <w:ind w:right="-1"/>
              <w:jc w:val="center"/>
              <w:rPr>
                <w:rFonts w:cs="Arial"/>
                <w:szCs w:val="18"/>
                <w:lang w:val="en-GB"/>
              </w:rPr>
            </w:pPr>
            <w:r>
              <w:rPr>
                <w:rFonts w:cs="Arial"/>
                <w:szCs w:val="18"/>
                <w:lang w:val="en-GB"/>
              </w:rPr>
              <w:t>PW (3)</w:t>
            </w:r>
          </w:p>
        </w:tc>
      </w:tr>
      <w:tr w:rsidR="00AD73B9" w:rsidRPr="00B57B36" w14:paraId="33E9BF74" w14:textId="77777777" w:rsidTr="00944BDC">
        <w:tc>
          <w:tcPr>
            <w:tcW w:w="993" w:type="dxa"/>
            <w:shd w:val="clear" w:color="auto" w:fill="FFFFFF"/>
          </w:tcPr>
          <w:p w14:paraId="00A58F95" w14:textId="77777777" w:rsidR="00AD73B9" w:rsidRDefault="00AD73B9" w:rsidP="00944BDC">
            <w:pPr>
              <w:pStyle w:val="CETBodytext"/>
              <w:ind w:right="-1"/>
              <w:jc w:val="center"/>
              <w:rPr>
                <w:rFonts w:cs="Arial"/>
                <w:szCs w:val="18"/>
                <w:lang w:val="en-GB"/>
              </w:rPr>
            </w:pPr>
            <w:r>
              <w:rPr>
                <w:rFonts w:cs="Arial"/>
                <w:szCs w:val="18"/>
                <w:lang w:val="en-GB"/>
              </w:rPr>
              <w:t>(14)</w:t>
            </w:r>
          </w:p>
        </w:tc>
        <w:tc>
          <w:tcPr>
            <w:tcW w:w="1275" w:type="dxa"/>
            <w:shd w:val="clear" w:color="auto" w:fill="FFFFFF"/>
          </w:tcPr>
          <w:p w14:paraId="6A81F775" w14:textId="77777777" w:rsidR="00AD73B9" w:rsidRDefault="00AD73B9" w:rsidP="00944BDC">
            <w:pPr>
              <w:pStyle w:val="CETBodytext"/>
              <w:ind w:right="-1"/>
              <w:jc w:val="center"/>
              <w:rPr>
                <w:rFonts w:cs="Arial"/>
                <w:szCs w:val="18"/>
                <w:lang w:val="en-GB"/>
              </w:rPr>
            </w:pPr>
            <w:r>
              <w:rPr>
                <w:rFonts w:cs="Arial"/>
                <w:szCs w:val="18"/>
                <w:lang w:val="en-GB"/>
              </w:rPr>
              <w:t>cellulose</w:t>
            </w:r>
          </w:p>
        </w:tc>
        <w:tc>
          <w:tcPr>
            <w:tcW w:w="1134" w:type="dxa"/>
            <w:shd w:val="clear" w:color="auto" w:fill="FFFFFF"/>
          </w:tcPr>
          <w:p w14:paraId="16FF236B"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shd w:val="clear" w:color="auto" w:fill="FFFFFF"/>
          </w:tcPr>
          <w:p w14:paraId="54FE6BA1"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3F73DC53" w14:textId="77777777" w:rsidR="00AD73B9" w:rsidRDefault="00AD73B9" w:rsidP="00944BDC">
            <w:pPr>
              <w:pStyle w:val="CETBodytext"/>
              <w:ind w:right="-1"/>
              <w:jc w:val="center"/>
              <w:rPr>
                <w:rFonts w:cs="Arial"/>
                <w:szCs w:val="18"/>
                <w:lang w:val="en-GB"/>
              </w:rPr>
            </w:pPr>
            <w:r>
              <w:rPr>
                <w:rFonts w:cs="Arial"/>
                <w:szCs w:val="18"/>
                <w:lang w:val="en-GB"/>
              </w:rPr>
              <w:t>5.61</w:t>
            </w:r>
          </w:p>
        </w:tc>
        <w:tc>
          <w:tcPr>
            <w:tcW w:w="1134" w:type="dxa"/>
            <w:shd w:val="clear" w:color="auto" w:fill="FFFFFF"/>
          </w:tcPr>
          <w:p w14:paraId="5AD83803" w14:textId="77777777" w:rsidR="00AD73B9" w:rsidRDefault="00AD73B9" w:rsidP="00944BDC">
            <w:pPr>
              <w:pStyle w:val="CETBodytext"/>
              <w:ind w:right="-1"/>
              <w:jc w:val="center"/>
              <w:rPr>
                <w:rFonts w:cs="Arial"/>
                <w:szCs w:val="18"/>
                <w:lang w:val="en-GB"/>
              </w:rPr>
            </w:pPr>
            <w:r>
              <w:rPr>
                <w:rFonts w:cs="Arial"/>
                <w:szCs w:val="18"/>
                <w:lang w:val="en-GB"/>
              </w:rPr>
              <w:t>PW (4)</w:t>
            </w:r>
          </w:p>
        </w:tc>
      </w:tr>
      <w:tr w:rsidR="00AD73B9" w:rsidRPr="00B57B36" w14:paraId="16AD45B6" w14:textId="77777777" w:rsidTr="00944BDC">
        <w:tc>
          <w:tcPr>
            <w:tcW w:w="993" w:type="dxa"/>
            <w:shd w:val="clear" w:color="auto" w:fill="FFFFFF"/>
          </w:tcPr>
          <w:p w14:paraId="2962A25A" w14:textId="77777777" w:rsidR="00AD73B9" w:rsidRDefault="00AD73B9" w:rsidP="00944BDC">
            <w:pPr>
              <w:pStyle w:val="CETBodytext"/>
              <w:ind w:right="-1"/>
              <w:jc w:val="center"/>
              <w:rPr>
                <w:rFonts w:cs="Arial"/>
                <w:szCs w:val="18"/>
                <w:lang w:val="en-GB"/>
              </w:rPr>
            </w:pPr>
            <w:r>
              <w:rPr>
                <w:rFonts w:cs="Arial"/>
                <w:szCs w:val="18"/>
                <w:lang w:val="en-GB"/>
              </w:rPr>
              <w:t>(15)</w:t>
            </w:r>
          </w:p>
        </w:tc>
        <w:tc>
          <w:tcPr>
            <w:tcW w:w="1275" w:type="dxa"/>
            <w:shd w:val="clear" w:color="auto" w:fill="FFFFFF"/>
          </w:tcPr>
          <w:p w14:paraId="47FB2F09" w14:textId="77777777" w:rsidR="00AD73B9" w:rsidRDefault="00AD73B9" w:rsidP="00944BDC">
            <w:pPr>
              <w:pStyle w:val="CETBodytext"/>
              <w:ind w:right="-1"/>
              <w:jc w:val="center"/>
              <w:rPr>
                <w:rFonts w:cs="Arial"/>
                <w:szCs w:val="18"/>
                <w:lang w:val="en-GB"/>
              </w:rPr>
            </w:pPr>
            <w:r>
              <w:rPr>
                <w:rFonts w:cs="Arial"/>
                <w:szCs w:val="18"/>
                <w:lang w:val="en-GB"/>
              </w:rPr>
              <w:t>cellulose</w:t>
            </w:r>
          </w:p>
        </w:tc>
        <w:tc>
          <w:tcPr>
            <w:tcW w:w="1134" w:type="dxa"/>
            <w:shd w:val="clear" w:color="auto" w:fill="FFFFFF"/>
          </w:tcPr>
          <w:p w14:paraId="0A484C08"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shd w:val="clear" w:color="auto" w:fill="FFFFFF"/>
          </w:tcPr>
          <w:p w14:paraId="129987A1"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26F4F239" w14:textId="77777777" w:rsidR="00AD73B9" w:rsidRDefault="00AD73B9" w:rsidP="00944BDC">
            <w:pPr>
              <w:pStyle w:val="CETBodytext"/>
              <w:ind w:right="-1"/>
              <w:jc w:val="center"/>
              <w:rPr>
                <w:rFonts w:cs="Arial"/>
                <w:szCs w:val="18"/>
                <w:lang w:val="en-GB"/>
              </w:rPr>
            </w:pPr>
            <w:r>
              <w:rPr>
                <w:rFonts w:cs="Arial"/>
                <w:szCs w:val="18"/>
                <w:lang w:val="en-GB"/>
              </w:rPr>
              <w:t>5.61</w:t>
            </w:r>
          </w:p>
        </w:tc>
        <w:tc>
          <w:tcPr>
            <w:tcW w:w="1134" w:type="dxa"/>
            <w:shd w:val="clear" w:color="auto" w:fill="FFFFFF"/>
          </w:tcPr>
          <w:p w14:paraId="1DFD3A2B" w14:textId="77777777" w:rsidR="00AD73B9" w:rsidRDefault="00AD73B9" w:rsidP="00944BDC">
            <w:pPr>
              <w:pStyle w:val="CETBodytext"/>
              <w:ind w:right="-1"/>
              <w:jc w:val="center"/>
              <w:rPr>
                <w:rFonts w:cs="Arial"/>
                <w:szCs w:val="18"/>
                <w:lang w:val="en-GB"/>
              </w:rPr>
            </w:pPr>
            <w:r>
              <w:rPr>
                <w:rFonts w:cs="Arial"/>
                <w:szCs w:val="18"/>
                <w:lang w:val="en-GB"/>
              </w:rPr>
              <w:t>PW (5)</w:t>
            </w:r>
          </w:p>
        </w:tc>
      </w:tr>
      <w:tr w:rsidR="00AD73B9" w:rsidRPr="00B57B36" w14:paraId="64972176" w14:textId="77777777" w:rsidTr="00944BDC">
        <w:tc>
          <w:tcPr>
            <w:tcW w:w="993" w:type="dxa"/>
            <w:shd w:val="clear" w:color="auto" w:fill="FFFFFF"/>
          </w:tcPr>
          <w:p w14:paraId="1058128A" w14:textId="77777777" w:rsidR="00AD73B9" w:rsidRDefault="00AD73B9" w:rsidP="00944BDC">
            <w:pPr>
              <w:pStyle w:val="CETBodytext"/>
              <w:ind w:right="-1"/>
              <w:jc w:val="center"/>
              <w:rPr>
                <w:rFonts w:cs="Arial"/>
                <w:szCs w:val="18"/>
                <w:lang w:val="en-GB"/>
              </w:rPr>
            </w:pPr>
            <w:r>
              <w:rPr>
                <w:rFonts w:cs="Arial"/>
                <w:szCs w:val="18"/>
                <w:lang w:val="en-GB"/>
              </w:rPr>
              <w:t>(16)</w:t>
            </w:r>
          </w:p>
        </w:tc>
        <w:tc>
          <w:tcPr>
            <w:tcW w:w="1275" w:type="dxa"/>
            <w:shd w:val="clear" w:color="auto" w:fill="FFFFFF"/>
          </w:tcPr>
          <w:p w14:paraId="1DCBED2F" w14:textId="77777777" w:rsidR="00AD73B9" w:rsidRDefault="00AD73B9" w:rsidP="00944BDC">
            <w:pPr>
              <w:pStyle w:val="CETBodytext"/>
              <w:ind w:right="-1"/>
              <w:jc w:val="center"/>
              <w:rPr>
                <w:rFonts w:cs="Arial"/>
                <w:szCs w:val="18"/>
                <w:lang w:val="en-GB"/>
              </w:rPr>
            </w:pPr>
            <w:r>
              <w:rPr>
                <w:rFonts w:cs="Arial"/>
                <w:szCs w:val="18"/>
                <w:lang w:val="en-GB"/>
              </w:rPr>
              <w:t>cellulose</w:t>
            </w:r>
          </w:p>
        </w:tc>
        <w:tc>
          <w:tcPr>
            <w:tcW w:w="1134" w:type="dxa"/>
            <w:shd w:val="clear" w:color="auto" w:fill="FFFFFF"/>
          </w:tcPr>
          <w:p w14:paraId="3356EEA1" w14:textId="77777777" w:rsidR="00AD73B9" w:rsidRDefault="00AD73B9" w:rsidP="00944BDC">
            <w:pPr>
              <w:pStyle w:val="CETBodytext"/>
              <w:ind w:right="-1"/>
              <w:jc w:val="center"/>
              <w:rPr>
                <w:rFonts w:cs="Arial"/>
                <w:szCs w:val="18"/>
                <w:lang w:val="en-GB"/>
              </w:rPr>
            </w:pPr>
            <w:r>
              <w:rPr>
                <w:rFonts w:cs="Arial"/>
                <w:szCs w:val="18"/>
                <w:lang w:val="en-GB"/>
              </w:rPr>
              <w:t>230</w:t>
            </w:r>
          </w:p>
        </w:tc>
        <w:tc>
          <w:tcPr>
            <w:tcW w:w="1134" w:type="dxa"/>
            <w:shd w:val="clear" w:color="auto" w:fill="FFFFFF"/>
          </w:tcPr>
          <w:p w14:paraId="290D6610" w14:textId="77777777" w:rsidR="00AD73B9" w:rsidRDefault="00AD73B9" w:rsidP="00944BDC">
            <w:pPr>
              <w:pStyle w:val="CETBodytext"/>
              <w:ind w:right="-1"/>
              <w:jc w:val="center"/>
              <w:rPr>
                <w:rFonts w:cs="Arial"/>
                <w:szCs w:val="18"/>
                <w:lang w:val="en-GB"/>
              </w:rPr>
            </w:pPr>
            <w:r>
              <w:rPr>
                <w:rFonts w:cs="Arial"/>
                <w:szCs w:val="18"/>
                <w:lang w:val="en-GB"/>
              </w:rPr>
              <w:t>60</w:t>
            </w:r>
          </w:p>
        </w:tc>
        <w:tc>
          <w:tcPr>
            <w:tcW w:w="1134" w:type="dxa"/>
            <w:shd w:val="clear" w:color="auto" w:fill="FFFFFF"/>
          </w:tcPr>
          <w:p w14:paraId="021149E9" w14:textId="77777777" w:rsidR="00AD73B9" w:rsidRDefault="00AD73B9" w:rsidP="00944BDC">
            <w:pPr>
              <w:pStyle w:val="CETBodytext"/>
              <w:ind w:right="-1"/>
              <w:jc w:val="center"/>
              <w:rPr>
                <w:rFonts w:cs="Arial"/>
                <w:szCs w:val="18"/>
                <w:lang w:val="en-GB"/>
              </w:rPr>
            </w:pPr>
            <w:r>
              <w:rPr>
                <w:rFonts w:cs="Arial"/>
                <w:szCs w:val="18"/>
                <w:lang w:val="en-GB"/>
              </w:rPr>
              <w:t>5.61</w:t>
            </w:r>
          </w:p>
        </w:tc>
        <w:tc>
          <w:tcPr>
            <w:tcW w:w="1134" w:type="dxa"/>
            <w:shd w:val="clear" w:color="auto" w:fill="FFFFFF"/>
          </w:tcPr>
          <w:p w14:paraId="6C4D17CE" w14:textId="77777777" w:rsidR="00AD73B9" w:rsidRDefault="00AD73B9" w:rsidP="00944BDC">
            <w:pPr>
              <w:pStyle w:val="CETBodytext"/>
              <w:ind w:right="-1"/>
              <w:jc w:val="center"/>
              <w:rPr>
                <w:rFonts w:cs="Arial"/>
                <w:szCs w:val="18"/>
                <w:lang w:val="en-GB"/>
              </w:rPr>
            </w:pPr>
            <w:r>
              <w:rPr>
                <w:rFonts w:cs="Arial"/>
                <w:szCs w:val="18"/>
                <w:lang w:val="en-GB"/>
              </w:rPr>
              <w:t>PW (6)</w:t>
            </w:r>
          </w:p>
        </w:tc>
      </w:tr>
    </w:tbl>
    <w:p w14:paraId="556E30EF" w14:textId="77777777" w:rsidR="00AD73B9" w:rsidRDefault="00AD73B9" w:rsidP="00453E24">
      <w:pPr>
        <w:pStyle w:val="CETBodytext"/>
      </w:pPr>
    </w:p>
    <w:p w14:paraId="18BAFA6F" w14:textId="4484DE4C" w:rsidR="00453E24" w:rsidRDefault="000F6CCE" w:rsidP="00E26A4F">
      <w:pPr>
        <w:pStyle w:val="CETheadingx"/>
      </w:pPr>
      <w:r>
        <w:lastRenderedPageBreak/>
        <w:t>Mass yield determination and analytical methods</w:t>
      </w:r>
    </w:p>
    <w:p w14:paraId="7A8A8AAA" w14:textId="46E58F76" w:rsidR="00C36AD0" w:rsidRDefault="00DB36AB" w:rsidP="00C36AD0">
      <w:pPr>
        <w:pStyle w:val="CETBodytext"/>
      </w:pPr>
      <w:r>
        <w:t>The solid mass yield was computed</w:t>
      </w:r>
      <w:r w:rsidR="00736BCD">
        <w:t xml:space="preserve"> as the percentage ratio between the mass of the recovered hydrochar and that of the starting feedstock</w:t>
      </w:r>
      <w:r w:rsidR="00E04019">
        <w:t>:</w:t>
      </w:r>
    </w:p>
    <w:p w14:paraId="4596D7E7" w14:textId="77777777" w:rsidR="00E04019" w:rsidRDefault="00E04019" w:rsidP="00C36AD0">
      <w:pPr>
        <w:pStyle w:val="CETBodytext"/>
      </w:pPr>
    </w:p>
    <w:tbl>
      <w:tblPr>
        <w:tblW w:w="5000" w:type="pct"/>
        <w:tblLook w:val="04A0" w:firstRow="1" w:lastRow="0" w:firstColumn="1" w:lastColumn="0" w:noHBand="0" w:noVBand="1"/>
      </w:tblPr>
      <w:tblGrid>
        <w:gridCol w:w="8188"/>
        <w:gridCol w:w="815"/>
      </w:tblGrid>
      <w:tr w:rsidR="00E04019" w:rsidRPr="00B57B36" w14:paraId="256B08B8" w14:textId="77777777" w:rsidTr="00547CAA">
        <w:tc>
          <w:tcPr>
            <w:tcW w:w="8188" w:type="dxa"/>
            <w:shd w:val="clear" w:color="auto" w:fill="auto"/>
            <w:vAlign w:val="center"/>
          </w:tcPr>
          <w:p w14:paraId="5211CE01" w14:textId="0D2BC56B" w:rsidR="00E04019" w:rsidRPr="00B82926" w:rsidRDefault="00E04019" w:rsidP="00547CAA">
            <w:pPr>
              <w:pStyle w:val="CETEquation"/>
              <w:rPr>
                <w:rFonts w:ascii="Arial Black" w:hAnsi="Arial Black"/>
                <w:szCs w:val="18"/>
              </w:rPr>
            </w:pPr>
            <m:oMathPara>
              <m:oMathParaPr>
                <m:jc m:val="left"/>
              </m:oMathParaPr>
              <m:oMath>
                <m:r>
                  <m:rPr>
                    <m:sty m:val="p"/>
                  </m:rPr>
                  <w:rPr>
                    <w:rFonts w:ascii="Cambria Math" w:hAnsi="Cambria Math"/>
                    <w:szCs w:val="18"/>
                  </w:rPr>
                  <m:t>Solid yield=</m:t>
                </m:r>
                <m:sSub>
                  <m:sSubPr>
                    <m:ctrlPr>
                      <w:rPr>
                        <w:rFonts w:ascii="Cambria Math" w:hAnsi="Cambria Math"/>
                        <w:szCs w:val="18"/>
                      </w:rPr>
                    </m:ctrlPr>
                  </m:sSubPr>
                  <m:e>
                    <m:r>
                      <m:rPr>
                        <m:sty m:val="p"/>
                      </m:rPr>
                      <w:rPr>
                        <w:rFonts w:ascii="Cambria Math" w:hAnsi="Cambria Math"/>
                        <w:szCs w:val="18"/>
                      </w:rPr>
                      <m:t>m</m:t>
                    </m:r>
                  </m:e>
                  <m:sub>
                    <m:r>
                      <m:rPr>
                        <m:sty m:val="p"/>
                      </m:rPr>
                      <w:rPr>
                        <w:rFonts w:ascii="Cambria Math" w:hAnsi="Cambria Math"/>
                        <w:szCs w:val="18"/>
                      </w:rPr>
                      <m:t>HC</m:t>
                    </m:r>
                  </m:sub>
                </m:sSub>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m</m:t>
                    </m:r>
                  </m:e>
                  <m:sub>
                    <m:r>
                      <m:rPr>
                        <m:sty m:val="p"/>
                      </m:rPr>
                      <w:rPr>
                        <w:rFonts w:ascii="Cambria Math" w:hAnsi="Cambria Math"/>
                        <w:szCs w:val="18"/>
                      </w:rPr>
                      <m:t>raw</m:t>
                    </m:r>
                  </m:sub>
                </m:sSub>
              </m:oMath>
            </m:oMathPara>
          </w:p>
        </w:tc>
        <w:tc>
          <w:tcPr>
            <w:tcW w:w="815" w:type="dxa"/>
            <w:shd w:val="clear" w:color="auto" w:fill="auto"/>
            <w:vAlign w:val="center"/>
          </w:tcPr>
          <w:p w14:paraId="1018E08C" w14:textId="77777777" w:rsidR="00E04019" w:rsidRPr="00B57B36" w:rsidRDefault="00E04019" w:rsidP="00547CAA">
            <w:pPr>
              <w:pStyle w:val="CETEquation"/>
              <w:jc w:val="right"/>
            </w:pPr>
            <w:r w:rsidRPr="00B57B36">
              <w:t>(1)</w:t>
            </w:r>
          </w:p>
        </w:tc>
      </w:tr>
    </w:tbl>
    <w:p w14:paraId="6FBD73D6" w14:textId="77777777" w:rsidR="00E04019" w:rsidRDefault="00E04019" w:rsidP="00C36AD0">
      <w:pPr>
        <w:pStyle w:val="CETBodytext"/>
      </w:pPr>
    </w:p>
    <w:p w14:paraId="2FF69B5D" w14:textId="7F01CC18" w:rsidR="00C36AD0" w:rsidRDefault="00424EF2" w:rsidP="00C36AD0">
      <w:pPr>
        <w:pStyle w:val="CETBodytext"/>
      </w:pPr>
      <w:r>
        <w:t>Similarly, the gas yield was obtained as:</w:t>
      </w:r>
    </w:p>
    <w:p w14:paraId="0F7B0F2C" w14:textId="77777777" w:rsidR="00424EF2" w:rsidRDefault="00424EF2" w:rsidP="00C36AD0">
      <w:pPr>
        <w:pStyle w:val="CETBodytext"/>
      </w:pPr>
    </w:p>
    <w:tbl>
      <w:tblPr>
        <w:tblW w:w="5000" w:type="pct"/>
        <w:tblLook w:val="04A0" w:firstRow="1" w:lastRow="0" w:firstColumn="1" w:lastColumn="0" w:noHBand="0" w:noVBand="1"/>
      </w:tblPr>
      <w:tblGrid>
        <w:gridCol w:w="8188"/>
        <w:gridCol w:w="815"/>
      </w:tblGrid>
      <w:tr w:rsidR="00424EF2" w:rsidRPr="00B57B36" w14:paraId="547B7B31" w14:textId="77777777" w:rsidTr="00547CAA">
        <w:tc>
          <w:tcPr>
            <w:tcW w:w="8188" w:type="dxa"/>
            <w:shd w:val="clear" w:color="auto" w:fill="auto"/>
            <w:vAlign w:val="center"/>
          </w:tcPr>
          <w:p w14:paraId="25E97DA0" w14:textId="049821C6" w:rsidR="00424EF2" w:rsidRPr="00B82926" w:rsidRDefault="00424EF2" w:rsidP="00547CAA">
            <w:pPr>
              <w:pStyle w:val="CETEquation"/>
              <w:rPr>
                <w:rFonts w:ascii="Arial Black" w:hAnsi="Arial Black"/>
                <w:szCs w:val="18"/>
              </w:rPr>
            </w:pPr>
            <m:oMathPara>
              <m:oMathParaPr>
                <m:jc m:val="left"/>
              </m:oMathParaPr>
              <m:oMath>
                <m:r>
                  <m:rPr>
                    <m:sty m:val="p"/>
                  </m:rPr>
                  <w:rPr>
                    <w:rFonts w:ascii="Cambria Math" w:hAnsi="Cambria Math"/>
                    <w:szCs w:val="18"/>
                  </w:rPr>
                  <m:t>Gas yield=</m:t>
                </m:r>
                <m:sSub>
                  <m:sSubPr>
                    <m:ctrlPr>
                      <w:rPr>
                        <w:rFonts w:ascii="Cambria Math" w:hAnsi="Cambria Math"/>
                        <w:szCs w:val="18"/>
                      </w:rPr>
                    </m:ctrlPr>
                  </m:sSubPr>
                  <m:e>
                    <m:r>
                      <m:rPr>
                        <m:sty m:val="p"/>
                      </m:rPr>
                      <w:rPr>
                        <w:rFonts w:ascii="Cambria Math" w:hAnsi="Cambria Math"/>
                        <w:szCs w:val="18"/>
                      </w:rPr>
                      <m:t>m</m:t>
                    </m:r>
                  </m:e>
                  <m:sub>
                    <m:r>
                      <m:rPr>
                        <m:sty m:val="p"/>
                      </m:rPr>
                      <w:rPr>
                        <w:rFonts w:ascii="Cambria Math" w:hAnsi="Cambria Math"/>
                        <w:szCs w:val="18"/>
                      </w:rPr>
                      <m:t>gas</m:t>
                    </m:r>
                  </m:sub>
                </m:sSub>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m</m:t>
                    </m:r>
                  </m:e>
                  <m:sub>
                    <m:r>
                      <m:rPr>
                        <m:sty m:val="p"/>
                      </m:rPr>
                      <w:rPr>
                        <w:rFonts w:ascii="Cambria Math" w:hAnsi="Cambria Math"/>
                        <w:szCs w:val="18"/>
                      </w:rPr>
                      <m:t>raw</m:t>
                    </m:r>
                  </m:sub>
                </m:sSub>
              </m:oMath>
            </m:oMathPara>
          </w:p>
        </w:tc>
        <w:tc>
          <w:tcPr>
            <w:tcW w:w="815" w:type="dxa"/>
            <w:shd w:val="clear" w:color="auto" w:fill="auto"/>
            <w:vAlign w:val="center"/>
          </w:tcPr>
          <w:p w14:paraId="098528D0" w14:textId="50AE7954" w:rsidR="00424EF2" w:rsidRPr="00B57B36" w:rsidRDefault="00424EF2" w:rsidP="00547CAA">
            <w:pPr>
              <w:pStyle w:val="CETEquation"/>
              <w:jc w:val="right"/>
            </w:pPr>
            <w:r>
              <w:t>(2</w:t>
            </w:r>
            <w:r w:rsidRPr="00B57B36">
              <w:t>)</w:t>
            </w:r>
          </w:p>
        </w:tc>
      </w:tr>
    </w:tbl>
    <w:p w14:paraId="02FFAF01" w14:textId="2AF0D2D1" w:rsidR="00424EF2" w:rsidRDefault="004A35B2" w:rsidP="00C36AD0">
      <w:pPr>
        <w:pStyle w:val="CETBodytext"/>
      </w:pPr>
      <w:r>
        <w:t>Liquid yield was determined by difference</w:t>
      </w:r>
      <w:r w:rsidR="009414C2">
        <w:t>, subtracting solid and gas yield</w:t>
      </w:r>
      <w:r w:rsidR="00980DF9">
        <w:t>s</w:t>
      </w:r>
      <w:r w:rsidR="009414C2">
        <w:t xml:space="preserve"> from 100%</w:t>
      </w:r>
      <w:r w:rsidR="00140A3A">
        <w:t>.</w:t>
      </w:r>
    </w:p>
    <w:p w14:paraId="79127C64" w14:textId="6BFF73B9" w:rsidR="00FA1327" w:rsidRDefault="00FA1327" w:rsidP="00FA1327">
      <w:pPr>
        <w:pStyle w:val="CETBodytext"/>
      </w:pPr>
      <w:r>
        <w:t xml:space="preserve">SCs were extracted from hydrochars using 30 mL acetone for 0.5 g of solid sample. The acetone-hydrochar mixture was shaken for 3 h at 200 rpm in </w:t>
      </w:r>
      <w:r w:rsidR="00D81258">
        <w:t xml:space="preserve">a </w:t>
      </w:r>
      <w:r>
        <w:t>100 mL be</w:t>
      </w:r>
      <w:r w:rsidR="00813AAF">
        <w:t>a</w:t>
      </w:r>
      <w:r>
        <w:t xml:space="preserve">ker. Thereafter, </w:t>
      </w:r>
      <w:r w:rsidRPr="006E022D">
        <w:t xml:space="preserve">the </w:t>
      </w:r>
      <w:r>
        <w:t>extracted SC</w:t>
      </w:r>
      <w:r w:rsidRPr="006E022D">
        <w:t xml:space="preserve"> and the </w:t>
      </w:r>
      <w:r>
        <w:t xml:space="preserve">residual </w:t>
      </w:r>
      <w:r w:rsidRPr="006E022D">
        <w:t xml:space="preserve">solid </w:t>
      </w:r>
      <w:r>
        <w:t xml:space="preserve">residue, named </w:t>
      </w:r>
      <w:r w:rsidRPr="006E022D">
        <w:t>primary char (PC)</w:t>
      </w:r>
      <w:r>
        <w:t xml:space="preserve">, </w:t>
      </w:r>
      <w:r w:rsidRPr="006E022D">
        <w:t xml:space="preserve">fractions were </w:t>
      </w:r>
      <w:r>
        <w:t>recovered</w:t>
      </w:r>
      <w:r w:rsidRPr="006E022D">
        <w:t xml:space="preserve"> </w:t>
      </w:r>
      <w:r>
        <w:t>via</w:t>
      </w:r>
      <w:r w:rsidRPr="006E022D">
        <w:t xml:space="preserve"> vacuum filtration using ashless cellulose f</w:t>
      </w:r>
      <w:r>
        <w:t xml:space="preserve">ilter paper. </w:t>
      </w:r>
      <w:r w:rsidRPr="00E574F3">
        <w:t>SC mass yield</w:t>
      </w:r>
      <w:r>
        <w:t xml:space="preserve"> was determined through Eq</w:t>
      </w:r>
      <w:r w:rsidRPr="00E574F3">
        <w:t xml:space="preserve"> </w:t>
      </w:r>
      <w:r>
        <w:t>(</w:t>
      </w:r>
      <w:r w:rsidRPr="00E574F3">
        <w:t>3</w:t>
      </w:r>
      <w:r>
        <w:t>)</w:t>
      </w:r>
      <w:r w:rsidRPr="00E574F3">
        <w:t>:</w:t>
      </w:r>
    </w:p>
    <w:p w14:paraId="22B2FF27" w14:textId="77777777" w:rsidR="00C36AD0" w:rsidRDefault="00C36AD0" w:rsidP="00C36AD0">
      <w:pPr>
        <w:pStyle w:val="CETBodytext"/>
      </w:pPr>
    </w:p>
    <w:tbl>
      <w:tblPr>
        <w:tblW w:w="5000" w:type="pct"/>
        <w:tblLook w:val="04A0" w:firstRow="1" w:lastRow="0" w:firstColumn="1" w:lastColumn="0" w:noHBand="0" w:noVBand="1"/>
      </w:tblPr>
      <w:tblGrid>
        <w:gridCol w:w="8188"/>
        <w:gridCol w:w="815"/>
      </w:tblGrid>
      <w:tr w:rsidR="00E574F3" w:rsidRPr="00B57B36" w14:paraId="5E33C6EF" w14:textId="77777777" w:rsidTr="00E574F3">
        <w:tc>
          <w:tcPr>
            <w:tcW w:w="8188" w:type="dxa"/>
            <w:shd w:val="clear" w:color="auto" w:fill="auto"/>
            <w:vAlign w:val="center"/>
          </w:tcPr>
          <w:p w14:paraId="6FFFA06E" w14:textId="7651F9BD" w:rsidR="00E574F3" w:rsidRPr="00B82926" w:rsidRDefault="00E574F3" w:rsidP="009C3579">
            <w:pPr>
              <w:pStyle w:val="CETEquation"/>
              <w:rPr>
                <w:rFonts w:ascii="Arial Black" w:hAnsi="Arial Black"/>
                <w:szCs w:val="18"/>
              </w:rPr>
            </w:pPr>
            <m:oMathPara>
              <m:oMathParaPr>
                <m:jc m:val="left"/>
              </m:oMathParaPr>
              <m:oMath>
                <m:r>
                  <m:rPr>
                    <m:sty m:val="p"/>
                  </m:rPr>
                  <w:rPr>
                    <w:rFonts w:ascii="Cambria Math" w:hAnsi="Cambria Math"/>
                    <w:szCs w:val="18"/>
                  </w:rPr>
                  <m:t>SC mass yield=100-PC mass yield</m:t>
                </m:r>
              </m:oMath>
            </m:oMathPara>
          </w:p>
        </w:tc>
        <w:tc>
          <w:tcPr>
            <w:tcW w:w="815" w:type="dxa"/>
            <w:shd w:val="clear" w:color="auto" w:fill="auto"/>
            <w:vAlign w:val="center"/>
          </w:tcPr>
          <w:p w14:paraId="3CBA9D5D" w14:textId="5CFC9C98" w:rsidR="00E574F3" w:rsidRPr="00B57B36" w:rsidRDefault="0035639D" w:rsidP="00E574F3">
            <w:pPr>
              <w:pStyle w:val="CETEquation"/>
              <w:jc w:val="right"/>
            </w:pPr>
            <w:r>
              <w:t>(3</w:t>
            </w:r>
            <w:r w:rsidR="00E574F3" w:rsidRPr="00B57B36">
              <w:t>)</w:t>
            </w:r>
          </w:p>
        </w:tc>
      </w:tr>
    </w:tbl>
    <w:p w14:paraId="60DBEC28" w14:textId="77777777" w:rsidR="00E574F3" w:rsidRDefault="00E574F3" w:rsidP="00C36AD0">
      <w:pPr>
        <w:pStyle w:val="CETBodytext"/>
      </w:pPr>
    </w:p>
    <w:p w14:paraId="47F32FC4" w14:textId="68FC65AF" w:rsidR="00C36AD0" w:rsidRDefault="009C3579" w:rsidP="00C36AD0">
      <w:pPr>
        <w:pStyle w:val="CETBodytext"/>
      </w:pPr>
      <w:r>
        <w:t xml:space="preserve">where PC mass yield was obtained </w:t>
      </w:r>
      <w:r w:rsidRPr="009C3579">
        <w:t>as the mass of non-extractable hydrochar per unit mass of solid sample</w:t>
      </w:r>
      <w:r>
        <w:t>.</w:t>
      </w:r>
    </w:p>
    <w:p w14:paraId="45769E8F" w14:textId="1B22EED8" w:rsidR="00107679" w:rsidRDefault="008F650A" w:rsidP="00C36AD0">
      <w:pPr>
        <w:pStyle w:val="CETBodytext"/>
      </w:pPr>
      <w:r>
        <w:t>Proximate analysis and higher heating value</w:t>
      </w:r>
      <w:r w:rsidR="00482DD6">
        <w:t xml:space="preserve"> (HHV)</w:t>
      </w:r>
      <w:r>
        <w:t xml:space="preserve"> measurement were carried</w:t>
      </w:r>
      <w:r w:rsidR="00F23A7A">
        <w:t xml:space="preserve"> out</w:t>
      </w:r>
      <w:r>
        <w:t xml:space="preserve"> for raw samples and hydrochars characterization</w:t>
      </w:r>
      <w:r w:rsidR="004A0165">
        <w:t>.</w:t>
      </w:r>
      <w:r w:rsidR="00482DD6">
        <w:t xml:space="preserve"> </w:t>
      </w:r>
      <w:r w:rsidR="00482DD6" w:rsidRPr="00482DD6">
        <w:t>Proximate analysis was performed by a LECO Thermogravimetric Analy</w:t>
      </w:r>
      <w:r w:rsidR="00813AAF">
        <w:t>z</w:t>
      </w:r>
      <w:r w:rsidR="00482DD6" w:rsidRPr="00482DD6">
        <w:t>er TGA 701 (ASTM D standard) to quantify volatile matter (VM), ashes (ASH) and fixed carbon (FC), through th</w:t>
      </w:r>
      <w:r w:rsidR="00E64D7A">
        <w:t>e following thermal program: 5 °C/min ramp to 105 °</w:t>
      </w:r>
      <w:r w:rsidR="00482DD6" w:rsidRPr="00482DD6">
        <w:t>C in air, held until constant weight (&lt;±</w:t>
      </w:r>
      <w:r w:rsidR="00E64D7A">
        <w:t>0.05 %) to remove moisture; 16 °C/min ramp from 105 to 900 °</w:t>
      </w:r>
      <w:r w:rsidR="00482DD6" w:rsidRPr="00482DD6">
        <w:t>C, hold time 7 min, in nitrogen to determine VM as the mass los</w:t>
      </w:r>
      <w:r w:rsidR="00E64D7A">
        <w:t>t; natural cooling down to 500 °C in nitrogen; 30 °C/min ramp in air to 800 °</w:t>
      </w:r>
      <w:r w:rsidR="00482DD6" w:rsidRPr="00482DD6">
        <w:t>C and isothermal until constant weight to evaluate ASH as the remaining mass. FC was evaluated by difference.</w:t>
      </w:r>
      <w:r w:rsidR="00482DD6">
        <w:t xml:space="preserve"> </w:t>
      </w:r>
      <w:r w:rsidR="00482DD6" w:rsidRPr="00482DD6">
        <w:t>HHVs were calculated according to the CEN/TS 14,918 standard by means of a LECO AC500 calorimeter.</w:t>
      </w:r>
    </w:p>
    <w:p w14:paraId="17B810F4" w14:textId="258006B3" w:rsidR="00595E0C" w:rsidRDefault="00595E0C" w:rsidP="00C36AD0">
      <w:pPr>
        <w:pStyle w:val="CETBodytext"/>
      </w:pPr>
      <w:r>
        <w:t>The reaction severity</w:t>
      </w:r>
      <w:r w:rsidR="00492037">
        <w:t xml:space="preserve"> (severity factor, SF)</w:t>
      </w:r>
      <w:r>
        <w:t xml:space="preserve"> was quantified as the combined effect of temperature (°C) and time (min):</w:t>
      </w:r>
    </w:p>
    <w:p w14:paraId="06108F3B" w14:textId="77777777" w:rsidR="00595E0C" w:rsidRDefault="00595E0C" w:rsidP="00C36AD0">
      <w:pPr>
        <w:pStyle w:val="CETBodytext"/>
      </w:pPr>
    </w:p>
    <w:tbl>
      <w:tblPr>
        <w:tblW w:w="5000" w:type="pct"/>
        <w:tblLook w:val="04A0" w:firstRow="1" w:lastRow="0" w:firstColumn="1" w:lastColumn="0" w:noHBand="0" w:noVBand="1"/>
      </w:tblPr>
      <w:tblGrid>
        <w:gridCol w:w="8188"/>
        <w:gridCol w:w="815"/>
      </w:tblGrid>
      <w:tr w:rsidR="00595E0C" w:rsidRPr="00B57B36" w14:paraId="5F1A8551" w14:textId="77777777" w:rsidTr="003C0C7E">
        <w:tc>
          <w:tcPr>
            <w:tcW w:w="8188" w:type="dxa"/>
            <w:shd w:val="clear" w:color="auto" w:fill="auto"/>
            <w:vAlign w:val="center"/>
          </w:tcPr>
          <w:p w14:paraId="52BE9D8E" w14:textId="7ED4B6B3" w:rsidR="00595E0C" w:rsidRPr="009854B5" w:rsidRDefault="00015E44" w:rsidP="003C0C7E">
            <w:pPr>
              <w:pStyle w:val="CETEquation"/>
              <w:rPr>
                <w:rFonts w:ascii="Arial Black" w:hAnsi="Arial Black"/>
                <w:szCs w:val="18"/>
              </w:rPr>
            </w:pPr>
            <m:oMathPara>
              <m:oMathParaPr>
                <m:jc m:val="left"/>
              </m:oMathParaPr>
              <m:oMath>
                <m:func>
                  <m:funcPr>
                    <m:ctrlPr>
                      <w:rPr>
                        <w:rFonts w:ascii="Cambria Math" w:hAnsi="Cambria Math"/>
                        <w:i/>
                        <w:szCs w:val="18"/>
                      </w:rPr>
                    </m:ctrlPr>
                  </m:funcPr>
                  <m:fName>
                    <m:r>
                      <m:rPr>
                        <m:sty m:val="p"/>
                      </m:rPr>
                      <w:rPr>
                        <w:rFonts w:ascii="Cambria Math" w:hAnsi="Cambria Math"/>
                        <w:szCs w:val="18"/>
                      </w:rPr>
                      <m:t>log</m:t>
                    </m:r>
                  </m:fName>
                  <m:e>
                    <m:sSub>
                      <m:sSubPr>
                        <m:ctrlPr>
                          <w:rPr>
                            <w:rFonts w:ascii="Cambria Math" w:hAnsi="Cambria Math"/>
                            <w:i/>
                            <w:szCs w:val="18"/>
                          </w:rPr>
                        </m:ctrlPr>
                      </m:sSubPr>
                      <m:e>
                        <m:r>
                          <w:rPr>
                            <w:rFonts w:ascii="Cambria Math" w:hAnsi="Cambria Math"/>
                            <w:szCs w:val="18"/>
                          </w:rPr>
                          <m:t>R</m:t>
                        </m:r>
                      </m:e>
                      <m:sub>
                        <m:r>
                          <w:rPr>
                            <w:rFonts w:ascii="Cambria Math" w:hAnsi="Cambria Math"/>
                            <w:szCs w:val="18"/>
                          </w:rPr>
                          <m:t>0</m:t>
                        </m:r>
                      </m:sub>
                    </m:sSub>
                    <m:r>
                      <w:rPr>
                        <w:rFonts w:ascii="Cambria Math" w:hAnsi="Cambria Math"/>
                        <w:szCs w:val="18"/>
                      </w:rPr>
                      <m:t>=</m:t>
                    </m:r>
                    <m:func>
                      <m:funcPr>
                        <m:ctrlPr>
                          <w:rPr>
                            <w:rFonts w:ascii="Cambria Math" w:hAnsi="Cambria Math"/>
                            <w:i/>
                            <w:szCs w:val="18"/>
                          </w:rPr>
                        </m:ctrlPr>
                      </m:funcPr>
                      <m:fName>
                        <m:r>
                          <m:rPr>
                            <m:sty m:val="p"/>
                          </m:rPr>
                          <w:rPr>
                            <w:rFonts w:ascii="Cambria Math" w:hAnsi="Cambria Math"/>
                            <w:szCs w:val="18"/>
                          </w:rPr>
                          <m:t>log</m:t>
                        </m:r>
                      </m:fName>
                      <m:e>
                        <m:r>
                          <w:rPr>
                            <w:rFonts w:ascii="Cambria Math" w:hAnsi="Cambria Math"/>
                            <w:szCs w:val="18"/>
                          </w:rPr>
                          <m:t xml:space="preserve"> [t x</m:t>
                        </m:r>
                        <m:func>
                          <m:funcPr>
                            <m:ctrlPr>
                              <w:rPr>
                                <w:rFonts w:ascii="Cambria Math" w:hAnsi="Cambria Math"/>
                                <w:szCs w:val="18"/>
                              </w:rPr>
                            </m:ctrlPr>
                          </m:funcPr>
                          <m:fName>
                            <m:r>
                              <m:rPr>
                                <m:sty m:val="p"/>
                              </m:rPr>
                              <w:rPr>
                                <w:rFonts w:ascii="Cambria Math" w:hAnsi="Cambria Math"/>
                                <w:szCs w:val="18"/>
                              </w:rPr>
                              <m:t>exp</m:t>
                            </m:r>
                            <m:ctrlPr>
                              <w:rPr>
                                <w:rFonts w:ascii="Cambria Math" w:hAnsi="Cambria Math"/>
                                <w:i/>
                                <w:szCs w:val="18"/>
                              </w:rPr>
                            </m:ctrlPr>
                          </m:fName>
                          <m:e>
                            <m:d>
                              <m:dPr>
                                <m:ctrlPr>
                                  <w:rPr>
                                    <w:rFonts w:ascii="Cambria Math" w:hAnsi="Cambria Math"/>
                                    <w:i/>
                                    <w:szCs w:val="18"/>
                                  </w:rPr>
                                </m:ctrlPr>
                              </m:dPr>
                              <m:e>
                                <m:f>
                                  <m:fPr>
                                    <m:ctrlPr>
                                      <w:rPr>
                                        <w:rFonts w:ascii="Cambria Math" w:hAnsi="Cambria Math"/>
                                        <w:i/>
                                        <w:szCs w:val="18"/>
                                      </w:rPr>
                                    </m:ctrlPr>
                                  </m:fPr>
                                  <m:num>
                                    <m:r>
                                      <w:rPr>
                                        <w:rFonts w:ascii="Cambria Math" w:hAnsi="Cambria Math"/>
                                        <w:szCs w:val="18"/>
                                      </w:rPr>
                                      <m:t>T-100</m:t>
                                    </m:r>
                                  </m:num>
                                  <m:den>
                                    <m:r>
                                      <w:rPr>
                                        <w:rFonts w:ascii="Cambria Math" w:hAnsi="Cambria Math"/>
                                        <w:szCs w:val="18"/>
                                      </w:rPr>
                                      <m:t>14.75</m:t>
                                    </m:r>
                                  </m:den>
                                </m:f>
                              </m:e>
                            </m:d>
                          </m:e>
                        </m:func>
                        <m:r>
                          <w:rPr>
                            <w:rFonts w:ascii="Cambria Math" w:hAnsi="Cambria Math"/>
                            <w:szCs w:val="18"/>
                          </w:rPr>
                          <m:t>]</m:t>
                        </m:r>
                      </m:e>
                    </m:func>
                  </m:e>
                </m:func>
              </m:oMath>
            </m:oMathPara>
          </w:p>
        </w:tc>
        <w:tc>
          <w:tcPr>
            <w:tcW w:w="815" w:type="dxa"/>
            <w:shd w:val="clear" w:color="auto" w:fill="auto"/>
            <w:vAlign w:val="center"/>
          </w:tcPr>
          <w:p w14:paraId="75AF3F41" w14:textId="2474501A" w:rsidR="00595E0C" w:rsidRPr="00B57B36" w:rsidRDefault="00595E0C" w:rsidP="003C0C7E">
            <w:pPr>
              <w:pStyle w:val="CETEquation"/>
              <w:jc w:val="right"/>
            </w:pPr>
            <w:r>
              <w:t>(4</w:t>
            </w:r>
            <w:r w:rsidRPr="00B57B36">
              <w:t>)</w:t>
            </w:r>
          </w:p>
        </w:tc>
      </w:tr>
    </w:tbl>
    <w:p w14:paraId="7EC4CF21" w14:textId="77777777" w:rsidR="00C36AD0" w:rsidRPr="00C36AD0" w:rsidRDefault="00C36AD0" w:rsidP="00C36AD0">
      <w:pPr>
        <w:pStyle w:val="CETBodytext"/>
      </w:pPr>
    </w:p>
    <w:p w14:paraId="677EBFF0" w14:textId="42949582" w:rsidR="00600535" w:rsidRPr="00B57B36" w:rsidRDefault="007D2CAC" w:rsidP="00600535">
      <w:pPr>
        <w:pStyle w:val="CETHeading1"/>
        <w:tabs>
          <w:tab w:val="clear" w:pos="360"/>
          <w:tab w:val="right" w:pos="7100"/>
        </w:tabs>
        <w:jc w:val="both"/>
        <w:rPr>
          <w:lang w:val="en-GB"/>
        </w:rPr>
      </w:pPr>
      <w:r>
        <w:rPr>
          <w:lang w:val="en-GB"/>
        </w:rPr>
        <w:t>Results and discussion</w:t>
      </w:r>
    </w:p>
    <w:p w14:paraId="04963A06" w14:textId="114ABF71" w:rsidR="00600535" w:rsidRDefault="0052757D" w:rsidP="00E26A4F">
      <w:pPr>
        <w:pStyle w:val="CETheadingx"/>
      </w:pPr>
      <w:r>
        <w:t>HTC products mass distribution</w:t>
      </w:r>
    </w:p>
    <w:p w14:paraId="6D94CF3D" w14:textId="623DCADD" w:rsidR="006E2D6A" w:rsidRDefault="0082598B" w:rsidP="006E2D6A">
      <w:pPr>
        <w:pStyle w:val="CETBodytext"/>
      </w:pPr>
      <w:r>
        <w:t xml:space="preserve">Both solid and gas mass yields obtained by HTC of sole xylose were found to be increasing linear functions of the reaction severity (Figure 1a). As predictable, the increase of HTC severity led to an enhanced formation of solid products due to the endothermic nature of re-polymerization reactions. Indeed, the hydrochar from HTC of xylose consists of only secondary char, since xylose is a hemicellulose hydrolysis product, completely dissolved in water before HTC starting </w:t>
      </w:r>
      <w:r w:rsidR="00A96C50">
        <w:fldChar w:fldCharType="begin" w:fldLock="1"/>
      </w:r>
      <w:r w:rsidR="00A96C50">
        <w:instrText>ADDIN CSL_CITATION {"citationItems":[{"id":"ITEM-1","itemData":{"DOI":"10.1021/acssuschemeng.8b03156","ISSN":"21680485","abstract":"We conducted hydrothermal liquefaction (HTL) of soybean oil, soy protein, microcrystalline cellulose, xylose, and lignin as individual compounds and binary, ternary, quaternary, and quinary mixtures at 350 °C for 30 min. The 34.5 wt % biocrude yield from HTL of the quinary mixture, which mimics the biochemical composition of swine manure, is much higher than the 21.5 wt % yield calculated from the weighted average yields from HTL of the individual components. HTL of binary mixtures of protein and cellulose, protein and xylose, cellulose and lignin, and xylose and lignin revealed synergistic effects on biocrude yield. On the other hand, HTL of soybean oil and lignin together exhibited an antagonistic effect on biocrude yield. These results from individual compounds and binary mixtures lead to a new model that can predict the yield, higher heating value, and C, H, and N content of biocrude from HTL of ternary, quaternary, and quinary mixtures of the biomolecules used in this study as well as in biocrude from HTL of different manures, algae, and lignocellulosic materials. The synergies identified in this work provide insights into strategies that could be employed in feedstock blending to improve biocrude yields and feedstock energy recovery from HTL of biomass resources.","author":[{"dropping-particle":"","family":"Lu","given":"Jianwen","non-dropping-particle":"","parse-names":false,"suffix":""},{"dropping-particle":"","family":"Liu","given":"Zhidan","non-dropping-particle":"","parse-names":false,"suffix":""},{"dropping-particle":"","family":"Zhang","given":"Yuanhui","non-dropping-particle":"","parse-names":false,"suffix":""},{"dropping-particle":"","family":"Savage","given":"Phillip E.","non-dropping-particle":"","parse-names":false,"suffix":""}],"container-title":"ACS Sustainable Chemistry and Engineering","id":"ITEM-1","issue":"11","issued":{"date-parts":[["2018"]]},"page":"14501-14509","title":"Synergistic and Antagonistic Interactions during Hydrothermal Liquefaction of Soybean Oil, Soy Protein, Cellulose, Xylose, and Lignin","type":"article-journal","volume":"6"},"uris":["http://www.mendeley.com/documents/?uuid=12cf6ae9-d3b2-482f-8518-949dbf1e89d3"]}],"mendeley":{"formattedCitation":"(Lu et al., 2018)","plainTextFormattedCitation":"(Lu et al., 2018)","previouslyFormattedCitation":"(Lu et al., 2018)"},"properties":{"noteIndex":0},"schema":"https://github.com/citation-style-language/schema/raw/master/csl-citation.json"}</w:instrText>
      </w:r>
      <w:r w:rsidR="00A96C50">
        <w:fldChar w:fldCharType="separate"/>
      </w:r>
      <w:r w:rsidR="00A96C50" w:rsidRPr="00A96C50">
        <w:rPr>
          <w:noProof/>
        </w:rPr>
        <w:t>(Lu et al., 2018)</w:t>
      </w:r>
      <w:r w:rsidR="00A96C50">
        <w:fldChar w:fldCharType="end"/>
      </w:r>
      <w:r w:rsidR="006D4377">
        <w:t>.</w:t>
      </w:r>
      <w:r w:rsidR="00163995">
        <w:t xml:space="preserve"> </w:t>
      </w:r>
      <w:r>
        <w:t xml:space="preserve">The hydrochar yield was close to zero after tests conducted at 180 °C (1.9 wt% d.b. at 20 min and 3.3 wt% d.b. at 60 min) and moderately increased after the hydrothermal treatment carried out at 205 °C and 20 min (8.8 wt% d.b.). After HTC at 205 °C and 60 min, the recovered hydrochar mass doubled compared to that one obtained at the same temperature </w:t>
      </w:r>
      <w:r w:rsidR="00813AAF">
        <w:t>but 20 min of residence time</w:t>
      </w:r>
      <w:r>
        <w:t>, and reached the maximum yield of 20</w:t>
      </w:r>
      <w:r w:rsidR="0074594C">
        <w:t>.</w:t>
      </w:r>
      <w:r>
        <w:t xml:space="preserve">1 wt% d.b. at the highest conversion severity (230 °C, 60 min). These outcomes are in good agreement with the works done by Jia et al. </w:t>
      </w:r>
      <w:r w:rsidR="00A96C50">
        <w:fldChar w:fldCharType="begin" w:fldLock="1"/>
      </w:r>
      <w:r w:rsidR="00A96C50">
        <w:instrText>ADDIN CSL_CITATION {"citationItems":[{"id":"ITEM-1","itemData":{"DOI":"10.1002/ese3.1117","author":[{"dropping-particle":"","family":"Jia","given":"Jiandong","non-dropping-particle":"","parse-names":false,"suffix":""},{"dropping-particle":"","family":"Wang","given":"Ruikun","non-dropping-particle":"","parse-names":false,"suffix":""},{"dropping-particle":"","family":"Chen","given":"Hongwei","non-dropping-particle":"","parse-names":false,"suffix":""},{"dropping-particle":"","family":"Xue","given":"Qiao","non-dropping-particle":"","parse-names":false,"suffix":""},{"dropping-particle":"","family":"Yin","given":"Qianqian","non-dropping-particle":"","parse-names":false,"suffix":""},{"dropping-particle":"","family":"Zhao","given":"Zhenghui","non-dropping-particle":"","parse-names":false,"suffix":""}],"id":"ITEM-1","issue":"February","issued":{"date-parts":[["2022"]]},"page":"1-12","title":"Interaction mechanism between cellulose and hemicellulose during the hydrothermal carbonization of lignocellulosic biomass","type":"article-journal"},"uris":["http://www.mendeley.com/documents/?uuid=ba98dc9b-d1c9-474e-ba88-574f7b51a4b9"]}],"mendeley":{"formattedCitation":"(Jia et al., 2022)","plainTextFormattedCitation":"(Jia et al., 2022)","previouslyFormattedCitation":"(Jia et al., 2022)"},"properties":{"noteIndex":0},"schema":"https://github.com/citation-style-language/schema/raw/master/csl-citation.json"}</w:instrText>
      </w:r>
      <w:r w:rsidR="00A96C50">
        <w:fldChar w:fldCharType="separate"/>
      </w:r>
      <w:r w:rsidR="00A96C50" w:rsidRPr="00A96C50">
        <w:rPr>
          <w:noProof/>
        </w:rPr>
        <w:t>(Jia et al., 2022)</w:t>
      </w:r>
      <w:r w:rsidR="00A96C50">
        <w:fldChar w:fldCharType="end"/>
      </w:r>
      <w:r w:rsidR="00200B8E">
        <w:t xml:space="preserve"> and</w:t>
      </w:r>
      <w:r w:rsidR="00D51BDC">
        <w:t xml:space="preserve"> </w:t>
      </w:r>
      <w:proofErr w:type="spellStart"/>
      <w:r w:rsidR="00DF2102">
        <w:t>Poerschmann</w:t>
      </w:r>
      <w:proofErr w:type="spellEnd"/>
      <w:r w:rsidR="00D51BDC">
        <w:t xml:space="preserve"> </w:t>
      </w:r>
      <w:r w:rsidR="00813AAF">
        <w:t>and co-workers</w:t>
      </w:r>
      <w:r w:rsidR="00693B85">
        <w:t xml:space="preserve"> </w:t>
      </w:r>
      <w:r w:rsidR="00A96C50">
        <w:fldChar w:fldCharType="begin" w:fldLock="1"/>
      </w:r>
      <w:r w:rsidR="00D61E21">
        <w:instrText xml:space="preserve">ADDIN CSL_CITATION {"citationItems":[{"id":"ITEM-1","itemData":{"DOI":"10.1021/acssuschemeng.7b00276","author":[{"dropping-particle":"","family":"Poerschmann","given":"Juergen","non-dropping-particle":"","parse-names":false,"suffix":""},{"dropping-particle":"","family":"Weiner","given":"Barbara","non-dropping-particle":"","parse-names":false,"suffix":""},{"dropping-particle":"","family":"Koehler","given":"Robert","non-dropping-particle":"","parse-names":false,"suffix":""},{"dropping-particle":"","family":"Kopinke","given":"Frank-dieter","non-dropping-particle":"","parse-names":false,"suffix":""}],"id":"ITEM-1","issued":{"date-parts":[["2017"]]},"title":"Hydrothermal Carbonization of Glucose, Fructose, and Xylose </w:instrText>
      </w:r>
      <w:r w:rsidR="00D61E21">
        <w:rPr>
          <w:rFonts w:ascii="Hiragino Sans CNS W3" w:eastAsia="Hiragino Sans CNS W3" w:hAnsi="Hiragino Sans CNS W3" w:cs="Hiragino Sans CNS W3" w:hint="eastAsia"/>
        </w:rPr>
        <w:instrText></w:instrText>
      </w:r>
      <w:r w:rsidR="00D61E21">
        <w:instrText xml:space="preserve"> Identi fi cation of Organic Products with Medium Molecular Masses","type":"article-journal"},"uris":["http://www.mendeley.com/documents/?uuid=a9094ea9-6074-4c46-996f-beaada4b1f6e"]}],"mendeley":{"formattedCitation":"(Poerschmann et al., 2017a)","plainTextFormattedCitation":"(Poerschmann et al., 2017a)","previouslyFormattedCitation":"(Poerschmann et al., 2017)"},"properties":{"noteIndex":0},"schema":"https://github.com/citation-style-language/schema/raw/master/csl-citation.json"}</w:instrText>
      </w:r>
      <w:r w:rsidR="00A96C50">
        <w:fldChar w:fldCharType="separate"/>
      </w:r>
      <w:r w:rsidR="00D61E21" w:rsidRPr="00D61E21">
        <w:rPr>
          <w:noProof/>
        </w:rPr>
        <w:t>(Poerschmann et al., 2017a)</w:t>
      </w:r>
      <w:r w:rsidR="00A96C50">
        <w:fldChar w:fldCharType="end"/>
      </w:r>
      <w:r w:rsidR="00D51BDC">
        <w:t>.</w:t>
      </w:r>
      <w:r w:rsidR="00002B10">
        <w:t xml:space="preserve"> </w:t>
      </w:r>
      <w:r w:rsidRPr="00002B10">
        <w:t>The most abundant xylose-derived intermediate</w:t>
      </w:r>
      <w:r>
        <w:t>,</w:t>
      </w:r>
      <w:r w:rsidRPr="00002B10">
        <w:t xml:space="preserve"> in the </w:t>
      </w:r>
      <w:r>
        <w:t xml:space="preserve">HTC </w:t>
      </w:r>
      <w:r w:rsidRPr="00002B10">
        <w:t>aqueous phase</w:t>
      </w:r>
      <w:r>
        <w:t xml:space="preserve"> at low severities,</w:t>
      </w:r>
      <w:r w:rsidRPr="00002B10">
        <w:t xml:space="preserve"> is furfural, which has</w:t>
      </w:r>
      <w:r>
        <w:t xml:space="preserve"> a</w:t>
      </w:r>
      <w:r w:rsidRPr="00002B10">
        <w:t xml:space="preserve"> considerable low reactivity with respect to pol</w:t>
      </w:r>
      <w:r>
        <w:t>y-condensation reactions and thus a</w:t>
      </w:r>
      <w:r w:rsidRPr="00002B10">
        <w:t xml:space="preserve"> low tendency to </w:t>
      </w:r>
      <w:r>
        <w:t xml:space="preserve">produce solid </w:t>
      </w:r>
      <w:r w:rsidRPr="00002B10">
        <w:t>hydroch</w:t>
      </w:r>
      <w:r>
        <w:t>ar</w:t>
      </w:r>
      <w:r w:rsidR="00B7494C">
        <w:t>, a</w:t>
      </w:r>
      <w:r w:rsidR="00927414">
        <w:t>s</w:t>
      </w:r>
      <w:r w:rsidR="00B7494C">
        <w:t xml:space="preserve"> seen in this study and in previous works </w:t>
      </w:r>
      <w:r w:rsidR="00D61E21">
        <w:fldChar w:fldCharType="begin" w:fldLock="1"/>
      </w:r>
      <w:r w:rsidR="00D61E21">
        <w:instrText>ADDIN CSL_CITATION {"citationItems":[{"id":"ITEM-1","itemData":{"DOI":"10.1021/acssuschemeng.7b00276","ISSN":"21680485","abstract":"The monosaccharides glucose, fructose, and xylose were subjected to hydrothermal carbonization in aqueous solution at temperatures of 180, 220, and 250 °C for different operating times (30 min to 16 h). Here, 68% to 78% of the organic carbon was converted into hydrochar at 220 °C with glucose and fructose as feedstock, whereas hydrothermal treatment of xylose did not result in significant hydrochar formation under these conditions. The main topic of this contribution was the identification of stable organic products in the process water in the molecular mass range between 120 and 300 Da by means of GC-MS analysis using several derivatization agents. Special attention was paid to polar OH- and COOH-functionalized compounds. The overwhelming majority of identified organic compounds had cyclic structures of which a prominent group included hydroxylated benzofurans. However, the combined yield of products, which might be potential substrates for liquid biofuels, turned out very low.","author":[{"dropping-particle":"","family":"Poerschmann","given":"Juergen","non-dropping-particle":"","parse-names":false,"suffix":""},{"dropping-particle":"","family":"Weiner","given":"Barbara","non-dropping-particle":"","parse-names":false,"suffix":""},{"dropping-particle":"","family":"Koehler","given":"Robert","non-dropping-particle":"","parse-names":false,"suffix":""},{"dropping-particle":"","family":"Kopinke","given":"Frank Dieter","non-dropping-particle":"","parse-names":false,"suffix":""}],"container-title":"ACS Sustainable Chemistry and Engineering","id":"ITEM-1","issue":"8","issued":{"date-parts":[["2017"]]},"page":"6420-6428","title":"Hydrothermal Carbonization of Glucose, Fructose, and Xylose - Identification of Organic Products with Medium Molecular Masses","type":"article-journal","volume":"5"},"uris":["http://www.mendeley.com/documents/?uuid=f49e75db-05af-4cad-8a56-51843d4059d3"]},{"id":"ITEM-2","itemData":{"DOI":"10.1016/j.jiec.2016.07.037","ISSN":"22345957","abstract":"In this study, hydrothermal carbonization of the main lignocellulosic components was investigated as a method of renewable solid biofuel production from biomass. Hydrothermal carbonization of cellulose, xylan, and lignin was experimentally conducted between 150 °C and 280 °C, and the chemical and fuel properties of the resulting biochars were investigated. The properties of each of the three biomass components were greatly improved by hydrothermal carbonization and were similar to coal-like fuel substances; an increase in fixed carbon and carbon contents was also observed. Furthermore, by assessing carbon recovery and energetic retention efficiency, we could establish the optimum condition for hydrothermal carbonization of biomass to produce energy. The C/O and C/H ratios of all of the obtained biochars were decreased and found to be similar to those of lignite and sub-bituminous coal. The calorific values of the biochars were between 23–26 MJ/kg at a reaction temperature of 220 °C. The results of this study indicate that hydrothermal carbonization can be used as an effective method to generate highly energy-efficient renewable fuel resources from biomass.","author":[{"dropping-particle":"","family":"Kim","given":"Daegi","non-dropping-particle":"","parse-names":false,"suffix":""},{"dropping-particle":"","family":"Lee","given":"Kwanyong","non-dropping-particle":"","parse-names":false,"suffix":""},{"dropping-particle":"","family":"Park","given":"Ki Young","non-dropping-particle":"","parse-names":false,"suffix":""}],"container-title":"Journal of Industrial and Engineering Chemistry","id":"ITEM-2","issued":{"date-parts":[["2016"]]},"page":"95-100","publisher":"The Korean Society of Industrial and Engineering Chemistry","title":"Upgrading the characteristics of biochar from cellulose, lignin, and xylan for solid biofuel production from biomass by hydrothermal carbonization","type":"article-journal","volume":"42"},"uris":["http://www.mendeley.com/documents/?uuid=41a4ce91-450a-41cc-b431-d0523c9ddecd"]},{"id":"ITEM-3","itemData":{"DOI":"10.1016/j.jclepro.2019.117831","ISSN":"09596526","abstract":"Hydrochar microsphere as clean and facile carbon materials have great potentials to be used in biomass valorization for producing value-added chemicals. In this study, the hydrochars obtained from cellulose and xylan were prepared. The effect of hydrothermal conditions on hydrochars’ chemical composition, thermal stability and the porosity obtained from cellulose and xylan were evaluated. In order to explore the application of the hydrochar in biofuel production, the cellulose derived hydrochar supported Al catalyst (Al-Cel-HTC) was prepared by one-step hydrothermal process for catalysis glucose isomerization. We found distinct physicochemical properties between cellulose and xylan derived hydrochar. The specific surface area (SBET) of cellulose derived hydrochar (118 m2/g) is significantly higher than that of xylan derived hydrochar (28 m2/g). The hydrochars are composed of carbonaceous microspheres as evidenced by SEM. The catalytic performance of Al-Cel-HTC was investigated. Results shown that 77.8 mol/% selectivity of glucose to fructose can be obtained in aqueous by the catalyst. The SEM-EDS images of the catalyst shown the strong crystal-hydrochar microsphere interaction benifit in diminishing the agglomeration of hydrochar microsphere. The BET specific surface area and crystal structure (AlO(OH) and Al2O3) of hydrochar supported aluminum catalyst have positive correlation with the catalytic selectivity.","author":[{"dropping-particle":"","family":"Sheng","given":"Kuichuan","non-dropping-particle":"","parse-names":false,"suffix":""},{"dropping-particle":"","family":"Zhang","given":"Shen","non-dropping-particle":"","parse-names":false,"suffix":""},{"dropping-particle":"","family":"Liu","given":"Jianglong","non-dropping-particle":"","parse-names":false,"suffix":""},{"dropping-particle":"","family":"E","given":"Shuang","non-dropping-particle":"","parse-names":false,"suffix":""},{"dropping-particle":"","family":"Jin","given":"Caidi","non-dropping-particle":"","parse-names":false,"suffix":""},{"dropping-particle":"","family":"Xu","given":"Zenghua","non-dropping-particle":"","parse-names":false,"suffix":""},{"dropping-particle":"","family":"Zhang","given":"Ximing","non-dropping-particle":"","parse-names":false,"suffix":""}],"container-title":"Journal of Cleaner Production","id":"ITEM-3","issued":{"date-parts":[["2019"]]},"page":"117831","publisher":"Elsevier Ltd","title":"Hydrothermal carbonization of cellulose and xylan into hydrochars and application on glucose isomerization","type":"article-journal","volume":"237"},"uris":["http://www.mendeley.com/documents/?uuid=97b6cc05-feb5-469b-920a-866b02faa43f"]}],"mendeley":{"formattedCitation":"(Kim et al., 2016; Poerschmann et al., 2017b; Sheng et al., 2019)","plainTextFormattedCitation":"(Kim et al., 2016; Poerschmann et al., 2017b; Sheng et al., 2019)"},"properties":{"noteIndex":0},"schema":"https://github.com/citation-style-language/schema/raw/master/csl-citation.json"}</w:instrText>
      </w:r>
      <w:r w:rsidR="00D61E21">
        <w:fldChar w:fldCharType="separate"/>
      </w:r>
      <w:r w:rsidR="00D61E21" w:rsidRPr="00D61E21">
        <w:rPr>
          <w:noProof/>
        </w:rPr>
        <w:t>(Kim et al., 2016; Poerschmann et al., 2017b; Sheng et al., 2019)</w:t>
      </w:r>
      <w:r w:rsidR="00D61E21">
        <w:fldChar w:fldCharType="end"/>
      </w:r>
      <w:r w:rsidR="004B7BF1">
        <w:t xml:space="preserve">. </w:t>
      </w:r>
      <w:r w:rsidR="009A7F0B">
        <w:t>Similarly, gas production increased with the HTC severity, ranging from 0.9 to 4.2 wt% d.b.</w:t>
      </w:r>
      <w:r w:rsidR="00C555BA">
        <w:t xml:space="preserve"> </w:t>
      </w:r>
    </w:p>
    <w:p w14:paraId="7616EA1D" w14:textId="17369BC9" w:rsidR="00AC6A51" w:rsidRDefault="005436FF" w:rsidP="007D2CAC">
      <w:pPr>
        <w:pStyle w:val="CETBodytext"/>
      </w:pPr>
      <w:r>
        <w:t xml:space="preserve">Regarding HTC of cellulose, it is noteworthy that </w:t>
      </w:r>
      <w:r w:rsidR="002D6EBB">
        <w:t xml:space="preserve">after </w:t>
      </w:r>
      <w:r>
        <w:t>tests carried out at 20 and 60 min</w:t>
      </w:r>
      <w:r w:rsidR="00927414">
        <w:t xml:space="preserve"> (230 °C)</w:t>
      </w:r>
      <w:r w:rsidR="002D6EBB">
        <w:t>,</w:t>
      </w:r>
      <w:r>
        <w:t xml:space="preserve"> very similar hydrochar yields</w:t>
      </w:r>
      <w:r w:rsidR="002D6EBB">
        <w:t xml:space="preserve"> were </w:t>
      </w:r>
      <w:r w:rsidR="007E057A">
        <w:t>found</w:t>
      </w:r>
      <w:r>
        <w:t>:</w:t>
      </w:r>
      <w:r w:rsidR="00CA4A7E">
        <w:t xml:space="preserve"> 40.9 and 41.2 wt% d.b., respectively. </w:t>
      </w:r>
      <w:r w:rsidR="00B261D8">
        <w:t>The reason of thi</w:t>
      </w:r>
      <w:r w:rsidR="005F2F5C">
        <w:t>s</w:t>
      </w:r>
      <w:r w:rsidR="00B261D8">
        <w:t xml:space="preserve"> finding is likely related </w:t>
      </w:r>
      <w:r w:rsidR="00E85AFF">
        <w:t xml:space="preserve">to the cellulose hydrothermal reactivity. </w:t>
      </w:r>
      <w:r w:rsidR="00B63252">
        <w:t>In fact, i</w:t>
      </w:r>
      <w:r w:rsidR="00E85AFF">
        <w:t xml:space="preserve">t is </w:t>
      </w:r>
      <w:r w:rsidR="00D704FB">
        <w:t>was proved</w:t>
      </w:r>
      <w:r w:rsidR="00E85AFF">
        <w:t xml:space="preserve"> that cellulose</w:t>
      </w:r>
      <w:r w:rsidR="00D704FB">
        <w:t xml:space="preserve"> starts to be </w:t>
      </w:r>
      <w:r w:rsidR="00211899">
        <w:t>appreciably</w:t>
      </w:r>
      <w:r w:rsidR="00D704FB">
        <w:t xml:space="preserve"> </w:t>
      </w:r>
      <w:r w:rsidR="00D704FB">
        <w:lastRenderedPageBreak/>
        <w:t>decomposed at HTC temperatur</w:t>
      </w:r>
      <w:r w:rsidR="00A96C50">
        <w:t xml:space="preserve">es higher than 220 °C </w:t>
      </w:r>
      <w:r w:rsidR="00A96C50">
        <w:fldChar w:fldCharType="begin" w:fldLock="1"/>
      </w:r>
      <w:r w:rsidR="00C778CF">
        <w:instrText>ADDIN CSL_CITATION {"citationItems":[{"id":"ITEM-1","itemData":{"DOI":"10.1016/j.fuproc.2020.106456","ISSN":"03783820","abstract":"Hydrothermal carbonization (HTC) of pure cellulose (CE) and birchwood (BW) samples was carried out at temperatures between 160 and 280 °C, 0.5 h residence time and biomass-to-water ratio 1:5, to investigate the reactivity of cellulose in lignocellulosic biomass. Thermogravimetric analysis (TGA) and Fourier transform infrared spectroscopy (FTIR) showed that the CE samples remained unaltered at temperatures up to 220 °C, but were significantly decomposed at 230 °C producing a thermal recalcitrant aromatic and high energy-dense material. FTIR showed that dehydration and aromatization reactions occurred at temperature equal or higher than 230 °C for the CE samples while a similar increase in aromatization for the BW hydrochars was evident only at temperatures equal or higher than 260 °C. Acid hydrolysis, TGA and FTIR suggested that a higher thermal resistance of naturally occurring cellulose in BW (when compared to CE sample) could be related to a ‘protecting shield’ offered by interlinked lignin in the plant matrix.","author":[{"dropping-particle":"","family":"Volpe","given":"Maurizio","non-dropping-particle":"","parse-names":false,"suffix":""},{"dropping-particle":"","family":"Messineo","given":"Antonio","non-dropping-particle":"","parse-names":false,"suffix":""},{"dropping-particle":"","family":"Mäkelä","given":"Mikko","non-dropping-particle":"","parse-names":false,"suffix":""},{"dropping-particle":"","family":"Barr","given":"Meredith R.","non-dropping-particle":"","parse-names":false,"suffix":""},{"dropping-particle":"","family":"Volpe","given":"Roberto","non-dropping-particle":"","parse-names":false,"suffix":""},{"dropping-particle":"","family":"Corrado","given":"Chiara","non-dropping-particle":"","parse-names":false,"suffix":""},{"dropping-particle":"","family":"Fiori","given":"Luca","non-dropping-particle":"","parse-names":false,"suffix":""}],"container-title":"Fuel Processing Technology","id":"ITEM-1","issue":"February","issued":{"date-parts":[["2020"]]},"title":"Reactivity of cellulose during hydrothermal carbonization of lignocellulosic biomass","type":"article-journal","volume":"206"},"uris":["http://www.mendeley.com/documents/?uuid=4df4b26b-3496-4fcb-9f3e-b67664042d50"]}],"mendeley":{"formattedCitation":"(Volpe et al., 2020)","plainTextFormattedCitation":"(Volpe et al., 2020)","previouslyFormattedCitation":"(Volpe et al., 2020)"},"properties":{"noteIndex":0},"schema":"https://github.com/citation-style-language/schema/raw/master/csl-citation.json"}</w:instrText>
      </w:r>
      <w:r w:rsidR="00A96C50">
        <w:fldChar w:fldCharType="separate"/>
      </w:r>
      <w:r w:rsidR="00A96C50" w:rsidRPr="00A96C50">
        <w:rPr>
          <w:noProof/>
        </w:rPr>
        <w:t>(Volpe</w:t>
      </w:r>
      <w:r w:rsidR="00DC2C91">
        <w:rPr>
          <w:noProof/>
        </w:rPr>
        <w:t>, M.</w:t>
      </w:r>
      <w:r w:rsidR="00A96C50" w:rsidRPr="00A96C50">
        <w:rPr>
          <w:noProof/>
        </w:rPr>
        <w:t xml:space="preserve"> et al., 2020)</w:t>
      </w:r>
      <w:r w:rsidR="00A96C50">
        <w:fldChar w:fldCharType="end"/>
      </w:r>
      <w:r w:rsidR="00D704FB">
        <w:t>, thus</w:t>
      </w:r>
      <w:r w:rsidR="000C5AC5">
        <w:t xml:space="preserve"> a conversion time of 20 min could be insufficient to enable the development of condensation and re-polymerization reactions</w:t>
      </w:r>
      <w:r w:rsidR="00553964">
        <w:t xml:space="preserve">, after </w:t>
      </w:r>
      <w:r w:rsidR="000B1F06">
        <w:t>the hydrolysis stage</w:t>
      </w:r>
      <w:r w:rsidR="000C5AC5">
        <w:t>. Conversely, when the HTC time was set at 60 min,</w:t>
      </w:r>
      <w:r w:rsidR="00171CB6">
        <w:t xml:space="preserve"> the rate of hydrochar yielding reactions </w:t>
      </w:r>
      <w:r w:rsidR="006D704A">
        <w:t>at the liquid-solid interface</w:t>
      </w:r>
      <w:r w:rsidR="00BC151F">
        <w:t xml:space="preserve"> was probably improved,</w:t>
      </w:r>
      <w:r w:rsidR="006D704A">
        <w:t xml:space="preserve"> </w:t>
      </w:r>
      <w:r w:rsidR="00BC151F">
        <w:t xml:space="preserve">forming secondary char phases </w:t>
      </w:r>
      <w:r w:rsidR="00171CB6">
        <w:t>and thus counterbalancing the solid mass lo</w:t>
      </w:r>
      <w:r w:rsidR="007D71D6">
        <w:t>ss due to</w:t>
      </w:r>
      <w:r w:rsidR="00171CB6">
        <w:t xml:space="preserve"> </w:t>
      </w:r>
      <w:r w:rsidR="00065091">
        <w:t xml:space="preserve">the </w:t>
      </w:r>
      <w:r w:rsidR="00171CB6">
        <w:t xml:space="preserve">more severe conditions. </w:t>
      </w:r>
    </w:p>
    <w:p w14:paraId="068D5AA7" w14:textId="765256F1" w:rsidR="00335D0F" w:rsidRDefault="0036653A" w:rsidP="007D2CAC">
      <w:pPr>
        <w:pStyle w:val="CETBodytext"/>
      </w:pPr>
      <w:r>
        <w:rPr>
          <w:noProof/>
          <w:lang w:val="it-IT" w:eastAsia="it-IT"/>
        </w:rPr>
        <w:drawing>
          <wp:anchor distT="0" distB="0" distL="114300" distR="114300" simplePos="0" relativeHeight="251658240" behindDoc="0" locked="0" layoutInCell="1" allowOverlap="1" wp14:anchorId="5B958378" wp14:editId="35A8835E">
            <wp:simplePos x="0" y="0"/>
            <wp:positionH relativeFrom="column">
              <wp:posOffset>0</wp:posOffset>
            </wp:positionH>
            <wp:positionV relativeFrom="paragraph">
              <wp:posOffset>107315</wp:posOffset>
            </wp:positionV>
            <wp:extent cx="5005003" cy="1684655"/>
            <wp:effectExtent l="0" t="0" r="0" b="0"/>
            <wp:wrapNone/>
            <wp:docPr id="3" name="Immagine 1" descr="Macintosh HD:Users:antoniopicone:Desktop: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toniopicone:Desktop:Fig.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003" cy="168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AA5087" w14:textId="367309F9" w:rsidR="00B36352" w:rsidRDefault="00B36352" w:rsidP="007D2CAC">
      <w:pPr>
        <w:pStyle w:val="CETBodytext"/>
      </w:pPr>
    </w:p>
    <w:p w14:paraId="58E018D1" w14:textId="3B9CBA6B" w:rsidR="00B36352" w:rsidRDefault="00B36352" w:rsidP="007D2CAC">
      <w:pPr>
        <w:pStyle w:val="CETBodytext"/>
      </w:pPr>
    </w:p>
    <w:p w14:paraId="2824F899" w14:textId="77777777" w:rsidR="00B36352" w:rsidRDefault="00B36352" w:rsidP="007D2CAC">
      <w:pPr>
        <w:pStyle w:val="CETBodytext"/>
      </w:pPr>
    </w:p>
    <w:p w14:paraId="2D61C3ED" w14:textId="77777777" w:rsidR="00B36352" w:rsidRDefault="00B36352" w:rsidP="007D2CAC">
      <w:pPr>
        <w:pStyle w:val="CETBodytext"/>
      </w:pPr>
    </w:p>
    <w:p w14:paraId="1AA6135F" w14:textId="77777777" w:rsidR="00B36352" w:rsidRDefault="00B36352" w:rsidP="007D2CAC">
      <w:pPr>
        <w:pStyle w:val="CETBodytext"/>
      </w:pPr>
    </w:p>
    <w:p w14:paraId="7041E6CB" w14:textId="77777777" w:rsidR="00B36352" w:rsidRDefault="00B36352" w:rsidP="007D2CAC">
      <w:pPr>
        <w:pStyle w:val="CETBodytext"/>
      </w:pPr>
    </w:p>
    <w:p w14:paraId="2B3FFE4C" w14:textId="77777777" w:rsidR="00B36352" w:rsidRDefault="00B36352" w:rsidP="007D2CAC">
      <w:pPr>
        <w:pStyle w:val="CETBodytext"/>
      </w:pPr>
    </w:p>
    <w:p w14:paraId="510B6986" w14:textId="77777777" w:rsidR="00B36352" w:rsidRDefault="00B36352" w:rsidP="007D2CAC">
      <w:pPr>
        <w:pStyle w:val="CETBodytext"/>
      </w:pPr>
    </w:p>
    <w:p w14:paraId="3DDC1132" w14:textId="77777777" w:rsidR="00B36352" w:rsidRDefault="00B36352" w:rsidP="007D2CAC">
      <w:pPr>
        <w:pStyle w:val="CETBodytext"/>
      </w:pPr>
    </w:p>
    <w:p w14:paraId="3E8C8AFF" w14:textId="77777777" w:rsidR="00B36352" w:rsidRDefault="00B36352" w:rsidP="007D2CAC">
      <w:pPr>
        <w:pStyle w:val="CETBodytext"/>
      </w:pPr>
    </w:p>
    <w:p w14:paraId="30BD3EB1" w14:textId="77777777" w:rsidR="00B36352" w:rsidRDefault="00B36352" w:rsidP="007D2CAC">
      <w:pPr>
        <w:pStyle w:val="CETBodytext"/>
      </w:pPr>
    </w:p>
    <w:p w14:paraId="671ACEE9" w14:textId="77777777" w:rsidR="00B36352" w:rsidRDefault="00B36352" w:rsidP="007D2CAC">
      <w:pPr>
        <w:pStyle w:val="CETBodytext"/>
      </w:pPr>
    </w:p>
    <w:p w14:paraId="3EC2BB72" w14:textId="7CE9685F" w:rsidR="00B36352" w:rsidRDefault="000E6DE4" w:rsidP="007D2CAC">
      <w:pPr>
        <w:pStyle w:val="CETBodytext"/>
      </w:pPr>
      <w:r w:rsidRPr="00BD077D">
        <w:rPr>
          <w:rStyle w:val="CETCaptionCarattere"/>
        </w:rPr>
        <w:t xml:space="preserve">Figure 1: </w:t>
      </w:r>
      <w:r>
        <w:rPr>
          <w:rStyle w:val="CETCaptionCarattere"/>
        </w:rPr>
        <w:t>(a) Solid and gas yields versus severity factor for xylose-based sample</w:t>
      </w:r>
      <w:r w:rsidR="00982153">
        <w:rPr>
          <w:rStyle w:val="CETCaptionCarattere"/>
        </w:rPr>
        <w:t>s</w:t>
      </w:r>
      <w:r>
        <w:rPr>
          <w:rStyle w:val="CETCaptionCarattere"/>
        </w:rPr>
        <w:t>; (b) solid and gas yields</w:t>
      </w:r>
      <w:r w:rsidR="00982153">
        <w:rPr>
          <w:rStyle w:val="CETCaptionCarattere"/>
        </w:rPr>
        <w:t xml:space="preserve"> after HTC of cellulose and solvent recirculation tests</w:t>
      </w:r>
      <w:r w:rsidR="00F225A7">
        <w:rPr>
          <w:rStyle w:val="CETCaptionCarattere"/>
        </w:rPr>
        <w:t xml:space="preserve"> (RSD≤1.1 for solid and 1.8 for </w:t>
      </w:r>
      <w:proofErr w:type="gramStart"/>
      <w:r w:rsidR="00F225A7">
        <w:rPr>
          <w:rStyle w:val="CETCaptionCarattere"/>
        </w:rPr>
        <w:t xml:space="preserve">gas)  </w:t>
      </w:r>
      <w:r w:rsidR="00982153">
        <w:rPr>
          <w:rStyle w:val="CETCaptionCarattere"/>
        </w:rPr>
        <w:t>.</w:t>
      </w:r>
      <w:proofErr w:type="gramEnd"/>
    </w:p>
    <w:p w14:paraId="4F9DE1B3" w14:textId="77777777" w:rsidR="00B36352" w:rsidRDefault="00B36352" w:rsidP="007D2CAC">
      <w:pPr>
        <w:pStyle w:val="CETBodytext"/>
      </w:pPr>
    </w:p>
    <w:p w14:paraId="1CB68A9C" w14:textId="348FFCE7" w:rsidR="004D0F36" w:rsidRDefault="004D0F36" w:rsidP="007D2CAC">
      <w:pPr>
        <w:pStyle w:val="CETBodytext"/>
      </w:pPr>
      <w:r>
        <w:t xml:space="preserve">Recirculation phases with PW from cellulose reflected the </w:t>
      </w:r>
      <w:r w:rsidR="00B63252">
        <w:t>probably</w:t>
      </w:r>
      <w:r>
        <w:t xml:space="preserve"> different reaction pathways occurred during </w:t>
      </w:r>
      <w:r w:rsidR="00B37A86">
        <w:t>HTC performed at 20 and 60 min</w:t>
      </w:r>
      <w:r w:rsidR="00F81D53">
        <w:t>,</w:t>
      </w:r>
      <w:r w:rsidR="00B37A86">
        <w:t xml:space="preserve"> and thus the </w:t>
      </w:r>
      <w:r w:rsidR="00DC2C91">
        <w:t xml:space="preserve">different </w:t>
      </w:r>
      <w:r w:rsidR="00B37A86">
        <w:t>nature of dissolved organics in the spent solvent</w:t>
      </w:r>
      <w:r w:rsidR="00055F84">
        <w:t>s</w:t>
      </w:r>
      <w:r w:rsidR="00B37A86">
        <w:t>.</w:t>
      </w:r>
      <w:r w:rsidR="00E806FE">
        <w:t xml:space="preserve"> When PW from HTC at 20 min was recy</w:t>
      </w:r>
      <w:r w:rsidR="00730823">
        <w:t>c</w:t>
      </w:r>
      <w:r w:rsidR="00E806FE">
        <w:t xml:space="preserve">led, </w:t>
      </w:r>
      <w:r w:rsidR="0060005C">
        <w:t xml:space="preserve">compared to hydrochar obtained with deionized water, </w:t>
      </w:r>
      <w:r w:rsidR="00E806FE">
        <w:t>a</w:t>
      </w:r>
      <w:r w:rsidR="0060005C">
        <w:t>n increased</w:t>
      </w:r>
      <w:r w:rsidR="00E806FE">
        <w:t xml:space="preserve"> </w:t>
      </w:r>
      <w:r w:rsidR="00981415">
        <w:t>solid</w:t>
      </w:r>
      <w:r w:rsidR="00E806FE">
        <w:t xml:space="preserve"> yield of 61.9 wt% d.b. </w:t>
      </w:r>
      <w:r w:rsidR="00657BB8">
        <w:t>(+</w:t>
      </w:r>
      <w:r w:rsidR="0060005C">
        <w:t xml:space="preserve">20.7%) </w:t>
      </w:r>
      <w:r w:rsidR="00E806FE">
        <w:t xml:space="preserve">was found versus the 50.0 wt% d.b. </w:t>
      </w:r>
      <w:r w:rsidR="004879A0">
        <w:t>(+8.8</w:t>
      </w:r>
      <w:r w:rsidR="00657BB8">
        <w:t>%</w:t>
      </w:r>
      <w:r w:rsidR="004879A0">
        <w:t xml:space="preserve">) </w:t>
      </w:r>
      <w:r w:rsidR="00E806FE">
        <w:t>with PW from HTC at 60 min.</w:t>
      </w:r>
      <w:r w:rsidR="004F4BFC">
        <w:t xml:space="preserve"> After HTCs with PW from xylose, a clear decreasing trend for the hydrochar </w:t>
      </w:r>
      <w:r w:rsidR="00B63252">
        <w:t xml:space="preserve">yield </w:t>
      </w:r>
      <w:r w:rsidR="004F4BFC">
        <w:t>increment can be observed (Figure 1b)</w:t>
      </w:r>
      <w:r w:rsidR="001362FE">
        <w:t xml:space="preserve">. Also in this case, it appears that PWs from HTC performed at low conversion severity had a greater </w:t>
      </w:r>
      <w:r w:rsidR="00751E4E">
        <w:t xml:space="preserve">positive </w:t>
      </w:r>
      <w:r w:rsidR="001362FE">
        <w:t>influence on the final hydrochar recovery.</w:t>
      </w:r>
      <w:r w:rsidR="00751E4E">
        <w:t xml:space="preserve"> </w:t>
      </w:r>
      <w:r w:rsidR="00764DF0">
        <w:t>Further</w:t>
      </w:r>
      <w:r w:rsidR="00751E4E">
        <w:t xml:space="preserve"> research and in</w:t>
      </w:r>
      <w:r w:rsidR="00DC2C91">
        <w:t>-</w:t>
      </w:r>
      <w:r w:rsidR="00751E4E">
        <w:t>depth analyses of PWs composition and properties are definitely needed to investigate this pheno</w:t>
      </w:r>
      <w:r w:rsidR="00CB1A7D">
        <w:t>menon and accurately distill its</w:t>
      </w:r>
      <w:r w:rsidR="00751E4E">
        <w:t xml:space="preserve"> causes. Gas yield slightly increased after all PW recirculation tests</w:t>
      </w:r>
      <w:r w:rsidR="001435FA">
        <w:t>,</w:t>
      </w:r>
      <w:r w:rsidR="00751E4E">
        <w:t xml:space="preserve"> probably due to the high concentration of organic acids in the aqueous solvent e their</w:t>
      </w:r>
      <w:r w:rsidR="00C73690">
        <w:t xml:space="preserve"> decarboxylation</w:t>
      </w:r>
      <w:r w:rsidR="00C778CF">
        <w:t xml:space="preserve"> </w:t>
      </w:r>
      <w:r w:rsidR="00C778CF">
        <w:fldChar w:fldCharType="begin" w:fldLock="1"/>
      </w:r>
      <w:r w:rsidR="00F10139">
        <w:instrText>ADDIN CSL_CITATION {"citationItems":[{"id":"ITEM-1","itemData":{"DOI":"10.1016/j.fuproc.2020.106456","ISSN":"03783820","abstract":"Hydrothermal carbonization (HTC) of pure cellulose (CE) and birchwood (BW) samples was carried out at temperatures between 160 and 280 °C, 0.5 h residence time and biomass-to-water ratio 1:5, to investigate the reactivity of cellulose in lignocellulosic biomass. Thermogravimetric analysis (TGA) and Fourier transform infrared spectroscopy (FTIR) showed that the CE samples remained unaltered at temperatures up to 220 °C, but were significantly decomposed at 230 °C producing a thermal recalcitrant aromatic and high energy-dense material. FTIR showed that dehydration and aromatization reactions occurred at temperature equal or higher than 230 °C for the CE samples while a similar increase in aromatization for the BW hydrochars was evident only at temperatures equal or higher than 260 °C. Acid hydrolysis, TGA and FTIR suggested that a higher thermal resistance of naturally occurring cellulose in BW (when compared to CE sample) could be related to a ‘protecting shield’ offered by interlinked lignin in the plant matrix.","author":[{"dropping-particle":"","family":"Volpe","given":"Maurizio","non-dropping-particle":"","parse-names":false,"suffix":""},{"dropping-particle":"","family":"Messineo","given":"Antonio","non-dropping-particle":"","parse-names":false,"suffix":""},{"dropping-particle":"","family":"Mäkelä","given":"Mikko","non-dropping-particle":"","parse-names":false,"suffix":""},{"dropping-particle":"","family":"Barr","given":"Meredith R.","non-dropping-particle":"","parse-names":false,"suffix":""},{"dropping-particle":"","family":"Volpe","given":"Roberto","non-dropping-particle":"","parse-names":false,"suffix":""},{"dropping-particle":"","family":"Corrado","given":"Chiara","non-dropping-particle":"","parse-names":false,"suffix":""},{"dropping-particle":"","family":"Fiori","given":"Luca","non-dropping-particle":"","parse-names":false,"suffix":""}],"container-title":"Fuel Processing Technology","id":"ITEM-1","issue":"February","issued":{"date-parts":[["2020"]]},"title":"Reactivity of cellulose during hydrothermal carbonization of lignocellulosic biomass","type":"article-journal","volume":"206"},"uris":["http://www.mendeley.com/documents/?uuid=4df4b26b-3496-4fcb-9f3e-b67664042d50"]}],"mendeley":{"formattedCitation":"(Volpe et al., 2020)","plainTextFormattedCitation":"(Volpe et al., 2020)","previouslyFormattedCitation":"(Volpe et al., 2020)"},"properties":{"noteIndex":0},"schema":"https://github.com/citation-style-language/schema/raw/master/csl-citation.json"}</w:instrText>
      </w:r>
      <w:r w:rsidR="00C778CF">
        <w:fldChar w:fldCharType="separate"/>
      </w:r>
      <w:r w:rsidR="00C778CF" w:rsidRPr="00C778CF">
        <w:rPr>
          <w:noProof/>
        </w:rPr>
        <w:t>(Volpe</w:t>
      </w:r>
      <w:r w:rsidR="00DC2C91">
        <w:rPr>
          <w:noProof/>
        </w:rPr>
        <w:t xml:space="preserve">, M., </w:t>
      </w:r>
      <w:r w:rsidR="00C778CF" w:rsidRPr="00C778CF">
        <w:rPr>
          <w:noProof/>
        </w:rPr>
        <w:t>et al., 2020)</w:t>
      </w:r>
      <w:r w:rsidR="00C778CF">
        <w:fldChar w:fldCharType="end"/>
      </w:r>
      <w:r w:rsidR="00C73690">
        <w:t>.</w:t>
      </w:r>
    </w:p>
    <w:p w14:paraId="58D425A3" w14:textId="77777777" w:rsidR="00B66F73" w:rsidRPr="007D2CAC" w:rsidRDefault="00B66F73" w:rsidP="007D2CAC">
      <w:pPr>
        <w:pStyle w:val="CETBodytext"/>
      </w:pPr>
    </w:p>
    <w:p w14:paraId="5F4B30A7" w14:textId="635E6AD6" w:rsidR="00C36AD0" w:rsidRDefault="0052757D" w:rsidP="00596481">
      <w:pPr>
        <w:pStyle w:val="CETheadingx"/>
      </w:pPr>
      <w:r>
        <w:t>Hydrochars characterization</w:t>
      </w:r>
    </w:p>
    <w:p w14:paraId="4A58C3DF" w14:textId="4CE2A459" w:rsidR="00325670" w:rsidRDefault="007947C1" w:rsidP="00B51394">
      <w:pPr>
        <w:pStyle w:val="CETBodytext"/>
      </w:pPr>
      <w:r>
        <w:t>Recirculation of PWs</w:t>
      </w:r>
      <w:r w:rsidR="00683679">
        <w:t xml:space="preserve"> obtained after HTC of xylose </w:t>
      </w:r>
      <w:r w:rsidR="00A0029D">
        <w:t>and</w:t>
      </w:r>
      <w:r w:rsidR="00683679">
        <w:t xml:space="preserve"> cellulose </w:t>
      </w:r>
      <w:r w:rsidR="0063588B">
        <w:t xml:space="preserve">evidently </w:t>
      </w:r>
      <w:r w:rsidR="005735BE">
        <w:t>boosted the formation of</w:t>
      </w:r>
      <w:r w:rsidR="0063588B">
        <w:t xml:space="preserve"> SC </w:t>
      </w:r>
      <w:r w:rsidR="005735BE">
        <w:t>phases</w:t>
      </w:r>
      <w:r>
        <w:t xml:space="preserve"> with the increase of reaction severity,</w:t>
      </w:r>
      <w:r w:rsidR="00683679">
        <w:t xml:space="preserve"> a</w:t>
      </w:r>
      <w:r w:rsidR="00A0029D">
        <w:t>nd led</w:t>
      </w:r>
      <w:r w:rsidR="00683679">
        <w:t xml:space="preserve"> </w:t>
      </w:r>
      <w:r w:rsidR="00A0029D">
        <w:t xml:space="preserve">to a </w:t>
      </w:r>
      <w:r w:rsidR="00683679">
        <w:t xml:space="preserve">specular </w:t>
      </w:r>
      <w:r w:rsidR="00A0029D">
        <w:t>dec</w:t>
      </w:r>
      <w:r w:rsidR="005735BE">
        <w:t>reasing trend</w:t>
      </w:r>
      <w:r w:rsidR="00683679">
        <w:t xml:space="preserve"> of PC fraction</w:t>
      </w:r>
      <w:r w:rsidR="00A0029D">
        <w:t>, accordi</w:t>
      </w:r>
      <w:r w:rsidR="008C7277">
        <w:t>n</w:t>
      </w:r>
      <w:r w:rsidR="00A0029D">
        <w:t>gly</w:t>
      </w:r>
      <w:r w:rsidR="00683679">
        <w:t xml:space="preserve"> (Figure 2).</w:t>
      </w:r>
      <w:r w:rsidR="00FF117E">
        <w:t xml:space="preserve"> After recirculation phases with PW from xylose, the SC yield increased by almost 12 wt% d.b., in absolute terms, from 24.1 wt% d.b.</w:t>
      </w:r>
      <w:r w:rsidR="00AD21CC">
        <w:t>,</w:t>
      </w:r>
      <w:r w:rsidR="00FF117E">
        <w:t xml:space="preserve"> </w:t>
      </w:r>
      <w:r w:rsidR="006A332F">
        <w:t>with PW by HTC at</w:t>
      </w:r>
      <w:r w:rsidR="00FF117E">
        <w:t xml:space="preserve"> 180 °C and 20 min</w:t>
      </w:r>
      <w:r w:rsidR="00AD21CC">
        <w:t>,</w:t>
      </w:r>
      <w:r w:rsidR="00FF117E">
        <w:t xml:space="preserve"> to 35.9 wt% d.b.</w:t>
      </w:r>
      <w:r w:rsidR="00AD21CC">
        <w:t>,</w:t>
      </w:r>
      <w:r w:rsidR="00FF117E">
        <w:t xml:space="preserve"> </w:t>
      </w:r>
      <w:r w:rsidR="006A332F">
        <w:t>with PW from conversion</w:t>
      </w:r>
      <w:r w:rsidR="00FF117E">
        <w:t xml:space="preserve"> </w:t>
      </w:r>
      <w:r w:rsidR="006A332F">
        <w:t xml:space="preserve">at </w:t>
      </w:r>
      <w:r w:rsidR="00FF117E">
        <w:t>230 °C and 60 min.</w:t>
      </w:r>
      <w:r w:rsidR="004505CA">
        <w:t xml:space="preserve"> The increase in SC formation was even more evident after recirculation with PW from cellulose: 23.2 and 40.8 wt% d.b. with PWs from HTC at 20 and 60 min, respectively.</w:t>
      </w:r>
    </w:p>
    <w:p w14:paraId="51C17C60" w14:textId="77777777" w:rsidR="00702590" w:rsidRDefault="00702590" w:rsidP="00B51394">
      <w:pPr>
        <w:pStyle w:val="CETBodytext"/>
      </w:pPr>
    </w:p>
    <w:p w14:paraId="4EF27535" w14:textId="5C7FE249" w:rsidR="00B51394" w:rsidRPr="00B51394" w:rsidRDefault="00DA0586" w:rsidP="00B51394">
      <w:pPr>
        <w:pStyle w:val="CETBodytext"/>
      </w:pPr>
      <w:r>
        <w:rPr>
          <w:noProof/>
          <w:lang w:val="it-IT" w:eastAsia="it-IT"/>
        </w:rPr>
        <w:drawing>
          <wp:anchor distT="0" distB="0" distL="114300" distR="114300" simplePos="0" relativeHeight="251659264" behindDoc="0" locked="0" layoutInCell="1" allowOverlap="1" wp14:anchorId="618B06F2" wp14:editId="62B88B2D">
            <wp:simplePos x="0" y="0"/>
            <wp:positionH relativeFrom="column">
              <wp:posOffset>-228600</wp:posOffset>
            </wp:positionH>
            <wp:positionV relativeFrom="paragraph">
              <wp:posOffset>135255</wp:posOffset>
            </wp:positionV>
            <wp:extent cx="2628900" cy="1865630"/>
            <wp:effectExtent l="0" t="0" r="12700" b="0"/>
            <wp:wrapNone/>
            <wp:docPr id="4" name="Immagine 2" descr="Macintosh HD:Users:antoniopicone:Desktop: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toniopicone:Desktop:Fig.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86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666AF" w14:textId="05BDC6CA" w:rsidR="00C36AD0" w:rsidRDefault="00C36AD0" w:rsidP="00596481">
      <w:pPr>
        <w:pStyle w:val="CETTabletitle"/>
      </w:pPr>
    </w:p>
    <w:p w14:paraId="3EEE369E" w14:textId="77777777" w:rsidR="00C36AD0" w:rsidRDefault="00C36AD0" w:rsidP="00596481">
      <w:pPr>
        <w:pStyle w:val="CETTabletitle"/>
      </w:pPr>
    </w:p>
    <w:p w14:paraId="53B22C94" w14:textId="0E1E01AD" w:rsidR="00C36AD0" w:rsidRDefault="00C36AD0" w:rsidP="00596481">
      <w:pPr>
        <w:pStyle w:val="CETTabletitle"/>
      </w:pPr>
    </w:p>
    <w:p w14:paraId="75651A28" w14:textId="77777777" w:rsidR="00C36AD0" w:rsidRDefault="00C36AD0" w:rsidP="00596481">
      <w:pPr>
        <w:pStyle w:val="CETTabletitle"/>
      </w:pPr>
    </w:p>
    <w:p w14:paraId="42A95C0E" w14:textId="77777777" w:rsidR="00C36AD0" w:rsidRDefault="00C36AD0" w:rsidP="00596481">
      <w:pPr>
        <w:pStyle w:val="CETTabletitle"/>
      </w:pPr>
    </w:p>
    <w:p w14:paraId="763D51BC" w14:textId="77777777" w:rsidR="00C36AD0" w:rsidRDefault="00C36AD0" w:rsidP="00596481">
      <w:pPr>
        <w:pStyle w:val="CETTabletitle"/>
      </w:pPr>
    </w:p>
    <w:p w14:paraId="62557A6D" w14:textId="779C78C4" w:rsidR="00BB1E3E" w:rsidRDefault="00D86DE7" w:rsidP="003A5AFE">
      <w:pPr>
        <w:pStyle w:val="CETBodytext"/>
      </w:pPr>
      <w:r>
        <w:rPr>
          <w:rStyle w:val="CETCaptionCarattere"/>
        </w:rPr>
        <w:t>Figure 2</w:t>
      </w:r>
      <w:r w:rsidRPr="00BD077D">
        <w:rPr>
          <w:rStyle w:val="CETCaptionCarattere"/>
        </w:rPr>
        <w:t xml:space="preserve">: </w:t>
      </w:r>
      <w:r>
        <w:rPr>
          <w:rStyle w:val="CETCaptionCarattere"/>
        </w:rPr>
        <w:t>Primary and secondary char mass yields versu</w:t>
      </w:r>
      <w:r w:rsidR="00784F34">
        <w:rPr>
          <w:rStyle w:val="CETCaptionCarattere"/>
        </w:rPr>
        <w:t>s severit</w:t>
      </w:r>
      <w:r>
        <w:rPr>
          <w:rStyle w:val="CETCaptionCarattere"/>
        </w:rPr>
        <w:t>y factor f</w:t>
      </w:r>
      <w:r w:rsidR="00A06A07">
        <w:rPr>
          <w:rStyle w:val="CETCaptionCarattere"/>
        </w:rPr>
        <w:t>or cellulose-derived hydrochars</w:t>
      </w:r>
      <w:r w:rsidR="00161F5B">
        <w:rPr>
          <w:rStyle w:val="CETCaptionCarattere"/>
        </w:rPr>
        <w:t xml:space="preserve"> </w:t>
      </w:r>
      <w:r w:rsidR="00A06A07">
        <w:rPr>
          <w:rStyle w:val="CETCaptionCarattere"/>
        </w:rPr>
        <w:t>(d</w:t>
      </w:r>
      <w:r w:rsidR="00161F5B">
        <w:rPr>
          <w:rStyle w:val="CETCaptionCarattere"/>
        </w:rPr>
        <w:t xml:space="preserve">ots represent the experimental data while solid line is a </w:t>
      </w:r>
      <w:r w:rsidR="00AD341E">
        <w:rPr>
          <w:rStyle w:val="CETCaptionCarattere"/>
        </w:rPr>
        <w:t>second-degree</w:t>
      </w:r>
      <w:r w:rsidR="00161F5B">
        <w:rPr>
          <w:rStyle w:val="CETCaptionCarattere"/>
        </w:rPr>
        <w:t xml:space="preserve"> polynomial fitting curve</w:t>
      </w:r>
      <w:r w:rsidR="00A06A07">
        <w:rPr>
          <w:rStyle w:val="CETCaptionCarattere"/>
        </w:rPr>
        <w:t>)</w:t>
      </w:r>
      <w:r w:rsidR="00161F5B">
        <w:rPr>
          <w:rStyle w:val="CETCaptionCarattere"/>
        </w:rPr>
        <w:t>.</w:t>
      </w:r>
      <w:r w:rsidR="00D26BD4">
        <w:rPr>
          <w:rStyle w:val="CETCaptionCarattere"/>
        </w:rPr>
        <w:t xml:space="preserve"> In the plot, SF indicates the reaction severity </w:t>
      </w:r>
      <w:r w:rsidR="00B24232">
        <w:rPr>
          <w:rStyle w:val="CETCaptionCarattere"/>
        </w:rPr>
        <w:t>with</w:t>
      </w:r>
      <w:r w:rsidR="00D26BD4">
        <w:rPr>
          <w:rStyle w:val="CETCaptionCarattere"/>
        </w:rPr>
        <w:t xml:space="preserve"> which </w:t>
      </w:r>
      <w:r w:rsidR="00326406">
        <w:rPr>
          <w:rStyle w:val="CETCaptionCarattere"/>
        </w:rPr>
        <w:t>PW</w:t>
      </w:r>
      <w:r w:rsidR="00D26BD4">
        <w:rPr>
          <w:rStyle w:val="CETCaptionCarattere"/>
        </w:rPr>
        <w:t xml:space="preserve"> was obtained in the</w:t>
      </w:r>
      <w:r w:rsidR="00233E49">
        <w:rPr>
          <w:rStyle w:val="CETCaptionCarattere"/>
        </w:rPr>
        <w:t xml:space="preserve"> prior</w:t>
      </w:r>
      <w:r w:rsidR="00D26BD4">
        <w:rPr>
          <w:rStyle w:val="CETCaptionCarattere"/>
        </w:rPr>
        <w:t xml:space="preserve"> HCT of xylose or cellulose.</w:t>
      </w:r>
    </w:p>
    <w:p w14:paraId="6781F44E" w14:textId="7D1C5104" w:rsidR="00BB1E3E" w:rsidRDefault="0086511B" w:rsidP="003A5AFE">
      <w:pPr>
        <w:pStyle w:val="CETBodytext"/>
      </w:pPr>
      <w:r w:rsidRPr="0086511B">
        <w:lastRenderedPageBreak/>
        <w:t>Literature indicates that alongside furfurals, low molecular mass organic acids, such as lactic, formic, glycolic and acetic, are the most abundant liquid by-products</w:t>
      </w:r>
      <w:r w:rsidR="00FE59D4">
        <w:t xml:space="preserve"> from </w:t>
      </w:r>
      <w:r w:rsidR="00F90BA9">
        <w:t xml:space="preserve">HTC of </w:t>
      </w:r>
      <w:r w:rsidR="00FE59D4">
        <w:t>xylose</w:t>
      </w:r>
      <w:r w:rsidRPr="0086511B">
        <w:t xml:space="preserve">, and the total acids concentration </w:t>
      </w:r>
      <w:r w:rsidR="00FC7AAB">
        <w:t>typically</w:t>
      </w:r>
      <w:r w:rsidRPr="0086511B">
        <w:t xml:space="preserve"> increase</w:t>
      </w:r>
      <w:r w:rsidR="00FC7AAB">
        <w:t>s</w:t>
      </w:r>
      <w:r w:rsidRPr="0086511B">
        <w:t xml:space="preserve"> with HTC</w:t>
      </w:r>
      <w:r w:rsidR="006413E4">
        <w:t xml:space="preserve"> severity due the more intense </w:t>
      </w:r>
      <w:r w:rsidRPr="0086511B">
        <w:t>dehydration reactions</w:t>
      </w:r>
      <w:r w:rsidR="00F10139">
        <w:t xml:space="preserve"> </w:t>
      </w:r>
      <w:r w:rsidR="00F10139">
        <w:fldChar w:fldCharType="begin" w:fldLock="1"/>
      </w:r>
      <w:r w:rsidR="00F10139">
        <w:instrText>ADDIN CSL_CITATION {"citationItems":[{"id":"ITEM-1","itemData":{"DOI":"10.1016/j.energy.2022.123965","ISSN":"03605442","abstract":"Co-hydrothermal carbonization (Co-HTC) coupled with aqueous phase (AP) recirculation has huge potential to improve hydrochar production. In this study, three model compounds, namely wheat straw cellulose (cellulose, Ce), xylan (hemicellulose, He), and soya-protein (protein, Pr), were processed by HTC individually or Co-HTC in combination, with or without AP recirculation. Hydrochar formation behavior was investigated through analysis of hydrochar and AP by elemental analysis, X-ray photoelectron spectroscopy (XPS), Pyrolyzer-gas chromatography-mass spectrometry (Py-GC-MS), GC-MS, and a series of other characterizations. Elemental compositions reveal that both Co-HTC and AP recirculation promoted hydrochar formation and reduction of oxygen in hydrochar, and the combination promoted these effects. Furthermore, XPS and Py-GC-MS results show that the building blocks of hydrochar were oxygenated compounds from Ce and He such as furans and furfurals, and nitrogen-containing compounds from Pr such as amino acids and N-heterocycles. Subsequently, hydrochar formation mechanisms were proposed by results from GC-MS analysis of AP and the above observations. The major mechanisms account for enhanced hydrochar formation during Co-HTC with AP recirculation were Maillard reaction occurred between amino acids and saccharides, catalytical effects (mainly on Maillard reaction) from acids in the recycling AP, and the repolymerization or condensation of accumulated compounds in AP.","author":[{"dropping-particle":"","family":"Liu","given":"Tonggui","non-dropping-particle":"","parse-names":false,"suffix":""},{"dropping-particle":"","family":"Jiao","given":"Hui Ting","non-dropping-particle":"","parse-names":false,"suffix":""},{"dropping-particle":"","family":"Yang","given":"Longsheng","non-dropping-particle":"","parse-names":false,"suffix":""},{"dropping-particle":"","family":"Zhang","given":"Weijin","non-dropping-particle":"","parse-names":false,"suffix":""},{"dropping-particle":"","family":"Hu","given":"Yingbing","non-dropping-particle":"","parse-names":false,"suffix":""},{"dropping-particle":"","family":"Guo","given":"Yonghao","non-dropping-particle":"","parse-names":false,"suffix":""},{"dropping-particle":"","family":"Yang","given":"Lihong","non-dropping-particle":"","parse-names":false,"suffix":""},{"dropping-particle":"","family":"Leng","given":"Songqi","non-dropping-particle":"","parse-names":false,"suffix":""},{"dropping-particle":"","family":"Chen","given":"Jiefeng","non-dropping-particle":"","parse-names":false,"suffix":""},{"dropping-particle":"","family":"Chen","given":"Jie","non-dropping-particle":"","parse-names":false,"suffix":""},{"dropping-particle":"","family":"Peng","given":"Haoyi","non-dropping-particle":"","parse-names":false,"suffix":""},{"dropping-particle":"","family":"Leng","given":"Lijian","non-dropping-particle":"","parse-names":false,"suffix":""},{"dropping-particle":"","family":"Zhou","given":"Wenguang","non-dropping-particle":"","parse-names":false,"suffix":""}],"container-title":"Energy","id":"ITEM-1","issued":{"date-parts":[["2022"]]},"title":"Co-hydrothermal carbonization of cellulose, hemicellulose, and protein with aqueous phase recirculation: Insight into the reaction mechanisms on hydrochar formation","type":"article-journal","volume":"251"},"uris":["http://www.mendeley.com/documents/?uuid=b0b8e248-3ff7-48d5-8eaf-26ccb4f9d417"]}],"mendeley":{"formattedCitation":"(Liu et al., 2022)","plainTextFormattedCitation":"(Liu et al., 2022)","previouslyFormattedCitation":"(Liu et al., 2022)"},"properties":{"noteIndex":0},"schema":"https://github.com/citation-style-language/schema/raw/master/csl-citation.json"}</w:instrText>
      </w:r>
      <w:r w:rsidR="00F10139">
        <w:fldChar w:fldCharType="separate"/>
      </w:r>
      <w:r w:rsidR="00F10139" w:rsidRPr="00F10139">
        <w:rPr>
          <w:noProof/>
        </w:rPr>
        <w:t>(Liu et al., 2022)</w:t>
      </w:r>
      <w:r w:rsidR="00F10139">
        <w:fldChar w:fldCharType="end"/>
      </w:r>
      <w:r w:rsidRPr="0086511B">
        <w:t>.</w:t>
      </w:r>
      <w:r w:rsidR="008A1313">
        <w:t xml:space="preserve"> </w:t>
      </w:r>
      <w:r w:rsidR="008A1313" w:rsidRPr="008A1313">
        <w:t xml:space="preserve">These </w:t>
      </w:r>
      <w:r w:rsidR="001B27F4">
        <w:t xml:space="preserve">organic </w:t>
      </w:r>
      <w:r w:rsidR="008A1313" w:rsidRPr="008A1313">
        <w:t xml:space="preserve">acids are known to have a notable impact on HTC as they strongly </w:t>
      </w:r>
      <w:r w:rsidR="00B94C2E">
        <w:t>enhance</w:t>
      </w:r>
      <w:r w:rsidR="008A1313" w:rsidRPr="008A1313">
        <w:t xml:space="preserve"> the solid substrate hydrolysis and catalyze the repolymerization of both furfural from xy</w:t>
      </w:r>
      <w:r w:rsidR="003025CE">
        <w:t xml:space="preserve">lose and 5-HMF from cellulose. </w:t>
      </w:r>
      <w:r w:rsidR="008D2561">
        <w:t xml:space="preserve">More specifically, when PW is recirculated, </w:t>
      </w:r>
      <w:r w:rsidR="004308A3">
        <w:t>the conversion intermediate</w:t>
      </w:r>
      <w:r w:rsidR="00585FDF">
        <w:t>s (furans, aldehydes, ketones and others)</w:t>
      </w:r>
      <w:r w:rsidR="004308A3">
        <w:t xml:space="preserve"> progressively accumulate in the liquid phase</w:t>
      </w:r>
      <w:r w:rsidR="00585FDF">
        <w:t xml:space="preserve"> as a direct outcome of the promoted HTC</w:t>
      </w:r>
      <w:r w:rsidR="00C611B8">
        <w:t>;</w:t>
      </w:r>
      <w:r w:rsidR="00585FDF">
        <w:t xml:space="preserve"> subsequently</w:t>
      </w:r>
      <w:r w:rsidR="00B63252">
        <w:t>,</w:t>
      </w:r>
      <w:r w:rsidR="00585FDF">
        <w:t xml:space="preserve"> </w:t>
      </w:r>
      <w:r w:rsidR="00C611B8">
        <w:t xml:space="preserve">they are </w:t>
      </w:r>
      <w:r w:rsidR="00585FDF">
        <w:t>involved into re-solidification</w:t>
      </w:r>
      <w:r w:rsidR="009F7AF9">
        <w:t xml:space="preserve"> reactions, forming new carbonaceous micronuclei, susp</w:t>
      </w:r>
      <w:r w:rsidR="00B63252">
        <w:t>ended in the PW; w</w:t>
      </w:r>
      <w:r w:rsidR="009F7AF9">
        <w:t>hen their concentration reaches</w:t>
      </w:r>
      <w:r w:rsidR="00E01017">
        <w:t xml:space="preserve"> a critical value, the re-polymerized carbon particles aggregate into cluster</w:t>
      </w:r>
      <w:r w:rsidR="00F90BA9">
        <w:t>s</w:t>
      </w:r>
      <w:r w:rsidR="00E01017">
        <w:t xml:space="preserve"> and eventually precipitate on the hydrochar surface</w:t>
      </w:r>
      <w:r w:rsidR="00F10139">
        <w:t xml:space="preserve"> </w:t>
      </w:r>
      <w:r w:rsidR="00F10139">
        <w:fldChar w:fldCharType="begin" w:fldLock="1"/>
      </w:r>
      <w:r w:rsidR="00610AB8">
        <w:instrText>ADDIN CSL_CITATION {"citationItems":[{"id":"ITEM-1","itemData":{"DOI":"10.1016/j.renene.2020.04.050","ISSN":"18790682","abstract":"The effect of two process water (PW) recirculation strategies after hydrothermal carbonization (HTC) of brewers spent grains (BSG) is evaluated with the focus on the hydrochar characteristics. The HTC process has been carried out under different operating conditions, which are residence time between 2 and 4 h and temperature in the range of 200–220 °C. The composition of the hydrochars reveals that operating conditions have a more significant effect than PW recirculation. The composition of the liquid produced by HTC with PW recirculation is essentially controlled by the operating temperature, for instance, the total organic carbon (TOC) in the PW changes in the narrow range of 200–220 °C. A detailed analysis of PW also has been done. The main components of the liquid phase are lactic, formic, acetic, levulinic, and propionic acid as well as 5-hydroxymethylfurfural, that affect the surface structure of the hydrochars.","author":[{"dropping-particle":"","family":"Arauzo","given":"P. J.","non-dropping-particle":"","parse-names":false,"suffix":""},{"dropping-particle":"","family":"Olszewski","given":"M. P.","non-dropping-particle":"","parse-names":false,"suffix":""},{"dropping-particle":"","family":"Wang","given":"X.","non-dropping-particle":"","parse-names":false,"suffix":""},{"dropping-particle":"","family":"Pfersich","given":"J.","non-dropping-particle":"","parse-names":false,"suffix":""},{"dropping-particle":"","family":"Sebastian","given":"V.","non-dropping-particle":"","parse-names":false,"suffix":""},{"dropping-particle":"","family":"Manyà","given":"J.","non-dropping-particle":"","parse-names":false,"suffix":""},{"dropping-particle":"","family":"Hedin","given":"N.","non-dropping-particle":"","parse-names":false,"suffix":""},{"dropping-particle":"","family":"Kruse","given":"A.","non-dropping-particle":"","parse-names":false,"suffix":""}],"container-title":"Renewable Energy","id":"ITEM-1","issued":{"date-parts":[["2020"]]},"page":"1173-1180","title":"Assessment of the effects of process water recirculation on the surface chemistry and morphology of hydrochar","type":"article-journal","volume":"155"},"uris":["http://www.mendeley.com/documents/?uuid=9ccc4e1f-c107-4fb7-ad3c-2e08989e4f5a"]}],"mendeley":{"formattedCitation":"(Arauzo et al., 2020)","plainTextFormattedCitation":"(Arauzo et al., 2020)","previouslyFormattedCitation":"(Arauzo et al., 2020)"},"properties":{"noteIndex":0},"schema":"https://github.com/citation-style-language/schema/raw/master/csl-citation.json"}</w:instrText>
      </w:r>
      <w:r w:rsidR="00F10139">
        <w:fldChar w:fldCharType="separate"/>
      </w:r>
      <w:r w:rsidR="00F10139" w:rsidRPr="00F10139">
        <w:rPr>
          <w:noProof/>
        </w:rPr>
        <w:t>(Arauzo et al., 2020)</w:t>
      </w:r>
      <w:r w:rsidR="00F10139">
        <w:fldChar w:fldCharType="end"/>
      </w:r>
      <w:r w:rsidR="00E01017">
        <w:t>.</w:t>
      </w:r>
      <w:r w:rsidR="00585FDF">
        <w:t xml:space="preserve"> </w:t>
      </w:r>
    </w:p>
    <w:p w14:paraId="4E8B7D9D" w14:textId="7D5EAF14" w:rsidR="00895C11" w:rsidRDefault="008A1313" w:rsidP="003A5AFE">
      <w:pPr>
        <w:pStyle w:val="CETBodytext"/>
      </w:pPr>
      <w:r w:rsidRPr="008A1313">
        <w:t xml:space="preserve">On the basis of this reaction mechanism, the increasing SC mass yield trend found could be </w:t>
      </w:r>
      <w:r w:rsidR="00F12F1C">
        <w:t>related</w:t>
      </w:r>
      <w:r w:rsidR="0063539B">
        <w:t xml:space="preserve"> to</w:t>
      </w:r>
      <w:r w:rsidRPr="008A1313">
        <w:t xml:space="preserve"> a possible higher concentration of organic acids in PWs from HTC under more severe conditions.</w:t>
      </w:r>
      <w:r w:rsidR="003025CE">
        <w:t xml:space="preserve"> </w:t>
      </w:r>
      <w:r w:rsidR="00F4235F">
        <w:t>Compared to recirculation tests with PW fro</w:t>
      </w:r>
      <w:r w:rsidR="00D44284">
        <w:t xml:space="preserve">m xylose, the greater </w:t>
      </w:r>
      <w:r w:rsidR="00741A7D">
        <w:t xml:space="preserve">increase of </w:t>
      </w:r>
      <w:r w:rsidR="00D44284">
        <w:t>SC yield</w:t>
      </w:r>
      <w:r w:rsidR="00F4235F">
        <w:t xml:space="preserve"> observed when PW from cellulose was reused, could be ascribed to the more rapid formation of solid char particles from 5-HMF,</w:t>
      </w:r>
      <w:r w:rsidR="00062FBD">
        <w:t xml:space="preserve"> the main glucose dehydration product</w:t>
      </w:r>
      <w:r w:rsidR="00610AB8">
        <w:t xml:space="preserve"> </w:t>
      </w:r>
      <w:r w:rsidR="00610AB8">
        <w:fldChar w:fldCharType="begin" w:fldLock="1"/>
      </w:r>
      <w:r w:rsidR="00610AB8">
        <w:instrText>ADDIN CSL_CITATION {"citationItems":[{"id":"ITEM-1","itemData":{"DOI":"10.1002/ese3.1117","author":[{"dropping-particle":"","family":"Jia","given":"Jiandong","non-dropping-particle":"","parse-names":false,"suffix":""},{"dropping-particle":"","family":"Wang","given":"Ruikun","non-dropping-particle":"","parse-names":false,"suffix":""},{"dropping-particle":"","family":"Chen","given":"Hongwei","non-dropping-particle":"","parse-names":false,"suffix":""},{"dropping-particle":"","family":"Xue","given":"Qiao","non-dropping-particle":"","parse-names":false,"suffix":""},{"dropping-particle":"","family":"Yin","given":"Qianqian","non-dropping-particle":"","parse-names":false,"suffix":""},{"dropping-particle":"","family":"Zhao","given":"Zhenghui","non-dropping-particle":"","parse-names":false,"suffix":""}],"id":"ITEM-1","issue":"February","issued":{"date-parts":[["2022"]]},"page":"1-12","title":"Interaction mechanism between cellulose and hemicellulose during the hydrothermal carbonization of lignocellulosic biomass","type":"article-journal"},"uris":["http://www.mendeley.com/documents/?uuid=ba98dc9b-d1c9-474e-ba88-574f7b51a4b9"]}],"mendeley":{"formattedCitation":"(Jia et al., 2022)","plainTextFormattedCitation":"(Jia et al., 2022)","previouslyFormattedCitation":"(Jia et al., 2022)"},"properties":{"noteIndex":0},"schema":"https://github.com/citation-style-language/schema/raw/master/csl-citation.json"}</w:instrText>
      </w:r>
      <w:r w:rsidR="00610AB8">
        <w:fldChar w:fldCharType="separate"/>
      </w:r>
      <w:r w:rsidR="00610AB8" w:rsidRPr="00610AB8">
        <w:rPr>
          <w:noProof/>
        </w:rPr>
        <w:t>(Jia et al., 2022)</w:t>
      </w:r>
      <w:r w:rsidR="00610AB8">
        <w:fldChar w:fldCharType="end"/>
      </w:r>
      <w:r w:rsidR="00F4235F">
        <w:t>.</w:t>
      </w:r>
      <w:r w:rsidR="00062FBD">
        <w:t xml:space="preserve"> From Ta</w:t>
      </w:r>
      <w:r w:rsidR="00CA1F05">
        <w:t xml:space="preserve">ble 2, it can be seen that the </w:t>
      </w:r>
      <w:r w:rsidR="00062FBD">
        <w:t xml:space="preserve">SC </w:t>
      </w:r>
      <w:r w:rsidR="00741A7D">
        <w:t>formation</w:t>
      </w:r>
      <w:r w:rsidR="00062FBD">
        <w:t xml:space="preserve"> was accompanied by </w:t>
      </w:r>
      <w:r w:rsidR="00C92DB9">
        <w:t>an increase of HHVs</w:t>
      </w:r>
      <w:r w:rsidR="00062FBD">
        <w:t>. The slight hydrochars’ energy densification can be explained by the fact that SC phases tend to increase the carbon content</w:t>
      </w:r>
      <w:r w:rsidR="00F12F1C">
        <w:t xml:space="preserve"> in the final HTC solid product. M</w:t>
      </w:r>
      <w:r w:rsidR="00062FBD">
        <w:t>oreover</w:t>
      </w:r>
      <w:r w:rsidR="00F90BA9">
        <w:t>,</w:t>
      </w:r>
      <w:r w:rsidR="00062FBD">
        <w:t xml:space="preserve"> the organic acids</w:t>
      </w:r>
      <w:r w:rsidR="009F55C2">
        <w:t>’</w:t>
      </w:r>
      <w:r w:rsidR="00062FBD">
        <w:t xml:space="preserve"> catalytic activity could be responsible of a higher carbonization degree by promoting the</w:t>
      </w:r>
      <w:r w:rsidR="00C54ED3">
        <w:t xml:space="preserve"> starting feedstock deoxygenation</w:t>
      </w:r>
      <w:r w:rsidR="00610AB8">
        <w:t xml:space="preserve"> </w:t>
      </w:r>
      <w:r w:rsidR="00610AB8">
        <w:fldChar w:fldCharType="begin" w:fldLock="1"/>
      </w:r>
      <w:r w:rsidR="00610AB8">
        <w:instrText>ADDIN CSL_CITATION {"citationItems":[{"id":"ITEM-1","itemData":{"DOI":"10.1016/j.carbon.2022.02.030","ISSN":"0008-6223","author":[{"dropping-particle":"","family":"Wang","given":"Ruikun","non-dropping-particle":"","parse-names":false,"suffix":""},{"dropping-particle":"","family":"Jia","given":"Jiandong","non-dropping-particle":"","parse-names":false,"suffix":""},{"dropping-particle":"","family":"Jin","given":"Qingzhuang","non-dropping-particle":"","parse-names":false,"suffix":""},{"dropping-particle":"","family":"Chen","given":"Hongwei","non-dropping-particle":"","parse-names":false,"suffix":""}],"container-title":"Carbon","id":"ITEM-1","issued":{"date-parts":[["2022"]]},"page":"50-60","publisher":"Elsevier Ltd","title":"Forming mechanism of coke microparticles from polymerization of aqueous organics during hydrothermal carbonization process of biomass","type":"article-journal","volume":"192"},"uris":["http://www.mendeley.com/documents/?uuid=a0cef8ed-3048-4567-b36b-1e059941a3e0"]}],"mendeley":{"formattedCitation":"(Wang et al., 2022)","plainTextFormattedCitation":"(Wang et al., 2022)","previouslyFormattedCitation":"(Wang et al., 2022)"},"properties":{"noteIndex":0},"schema":"https://github.com/citation-style-language/schema/raw/master/csl-citation.json"}</w:instrText>
      </w:r>
      <w:r w:rsidR="00610AB8">
        <w:fldChar w:fldCharType="separate"/>
      </w:r>
      <w:r w:rsidR="00610AB8" w:rsidRPr="00610AB8">
        <w:rPr>
          <w:noProof/>
        </w:rPr>
        <w:t>(Wang et al., 2022)</w:t>
      </w:r>
      <w:r w:rsidR="00610AB8">
        <w:fldChar w:fldCharType="end"/>
      </w:r>
      <w:r w:rsidR="00C54ED3">
        <w:t>.</w:t>
      </w:r>
    </w:p>
    <w:p w14:paraId="51C2C06D" w14:textId="0AC5A4B1" w:rsidR="00C354AE" w:rsidRDefault="008632C0" w:rsidP="003A5AFE">
      <w:pPr>
        <w:pStyle w:val="CETBodytext"/>
      </w:pPr>
      <w:r>
        <w:t>At low HTC temperatures, SC formation was considerably lower compared to the more severe conditions, leading to larger liquid yields and thus more concentrated PWs after conversion with deionized water. Recirculation of PWs with a high starting concentration of organic compounds may have accelerated the aqueous phase saturation during the process and thus slowing down the feedstock hydrolysis favoring solid-solid conversions, with a dominant hydrochar PC fraction, as the main result</w:t>
      </w:r>
      <w:r w:rsidR="00610AB8">
        <w:t xml:space="preserve"> </w:t>
      </w:r>
      <w:r w:rsidR="00610AB8">
        <w:fldChar w:fldCharType="begin" w:fldLock="1"/>
      </w:r>
      <w:r w:rsidR="00AC5362">
        <w:instrText>ADDIN CSL_CITATION {"citationItems":[{"id":"ITEM-1","itemData":{"DOI":"10.1016/j.renene.2020.04.050","ISSN":"18790682","abstract":"The effect of two process water (PW) recirculation strategies after hydrothermal carbonization (HTC) of brewers spent grains (BSG) is evaluated with the focus on the hydrochar characteristics. The HTC process has been carried out under different operating conditions, which are residence time between 2 and 4 h and temperature in the range of 200–220 °C. The composition of the hydrochars reveals that operating conditions have a more significant effect than PW recirculation. The composition of the liquid produced by HTC with PW recirculation is essentially controlled by the operating temperature, for instance, the total organic carbon (TOC) in the PW changes in the narrow range of 200–220 °C. A detailed analysis of PW also has been done. The main components of the liquid phase are lactic, formic, acetic, levulinic, and propionic acid as well as 5-hydroxymethylfurfural, that affect the surface structure of the hydrochars.","author":[{"dropping-particle":"","family":"Arauzo","given":"P. J.","non-dropping-particle":"","parse-names":false,"suffix":""},{"dropping-particle":"","family":"Olszewski","given":"M. P.","non-dropping-particle":"","parse-names":false,"suffix":""},{"dropping-particle":"","family":"Wang","given":"X.","non-dropping-particle":"","parse-names":false,"suffix":""},{"dropping-particle":"","family":"Pfersich","given":"J.","non-dropping-particle":"","parse-names":false,"suffix":""},{"dropping-particle":"","family":"Sebastian","given":"V.","non-dropping-particle":"","parse-names":false,"suffix":""},{"dropping-particle":"","family":"Manyà","given":"J.","non-dropping-particle":"","parse-names":false,"suffix":""},{"dropping-particle":"","family":"Hedin","given":"N.","non-dropping-particle":"","parse-names":false,"suffix":""},{"dropping-particle":"","family":"Kruse","given":"A.","non-dropping-particle":"","parse-names":false,"suffix":""}],"container-title":"Renewable Energy","id":"ITEM-1","issued":{"date-parts":[["2020"]]},"page":"1173-1180","title":"Assessment of the effects of process water recirculation on the surface chemistry and morphology of hydrochar","type":"article-journal","volume":"155"},"uris":["http://www.mendeley.com/documents/?uuid=9ccc4e1f-c107-4fb7-ad3c-2e08989e4f5a"]}],"mendeley":{"formattedCitation":"(Arauzo et al., 2020)","plainTextFormattedCitation":"(Arauzo et al., 2020)","previouslyFormattedCitation":"(Arauzo et al., 2020)"},"properties":{"noteIndex":0},"schema":"https://github.com/citation-style-language/schema/raw/master/csl-citation.json"}</w:instrText>
      </w:r>
      <w:r w:rsidR="00610AB8">
        <w:fldChar w:fldCharType="separate"/>
      </w:r>
      <w:r w:rsidR="00610AB8" w:rsidRPr="00610AB8">
        <w:rPr>
          <w:noProof/>
        </w:rPr>
        <w:t>(Arauzo et al., 2020)</w:t>
      </w:r>
      <w:r w:rsidR="00610AB8">
        <w:fldChar w:fldCharType="end"/>
      </w:r>
      <w:r w:rsidR="00F000B2">
        <w:t>.</w:t>
      </w:r>
    </w:p>
    <w:p w14:paraId="18E3BA42" w14:textId="0513E920" w:rsidR="00A12042" w:rsidRDefault="004A0899" w:rsidP="00A12042">
      <w:pPr>
        <w:pStyle w:val="CETBodytext"/>
      </w:pPr>
      <w:r>
        <w:t>For all hydrochars, p</w:t>
      </w:r>
      <w:r w:rsidR="00A12042">
        <w:t>roxi</w:t>
      </w:r>
      <w:r w:rsidR="00B15348">
        <w:t>mate analysis results re</w:t>
      </w:r>
      <w:r w:rsidR="00DB745D">
        <w:t>veal</w:t>
      </w:r>
      <w:r w:rsidR="005B40A8">
        <w:t xml:space="preserve"> </w:t>
      </w:r>
      <w:r w:rsidR="00B15348">
        <w:t xml:space="preserve">a </w:t>
      </w:r>
      <w:r w:rsidR="008F2B16">
        <w:t>remarkable</w:t>
      </w:r>
      <w:r w:rsidR="00B15348">
        <w:t xml:space="preserve"> reduction in VM content and</w:t>
      </w:r>
      <w:r w:rsidR="00282433">
        <w:t xml:space="preserve"> a corre</w:t>
      </w:r>
      <w:r w:rsidR="00F368DC">
        <w:t>spondent increase of FC</w:t>
      </w:r>
      <w:r w:rsidR="00DB745D">
        <w:t xml:space="preserve">, </w:t>
      </w:r>
      <w:r w:rsidR="00EF67BF" w:rsidRPr="00EF67BF">
        <w:t>as an obvious consequence of the feedstock carbonization</w:t>
      </w:r>
      <w:r w:rsidR="00EF67BF">
        <w:t>.</w:t>
      </w:r>
      <w:r w:rsidR="00127E16">
        <w:t xml:space="preserve"> VM, FC and HHV values of samples (7) and (8) corroborate former </w:t>
      </w:r>
      <w:r w:rsidR="00127E16" w:rsidRPr="00127E16">
        <w:t>hypothesis</w:t>
      </w:r>
      <w:r w:rsidR="00127E16">
        <w:t>, acc</w:t>
      </w:r>
      <w:r w:rsidR="00127E16" w:rsidRPr="00F2727F">
        <w:t>ording to which</w:t>
      </w:r>
      <w:r w:rsidR="00127E16">
        <w:t xml:space="preserve"> cellulose treated </w:t>
      </w:r>
      <w:r w:rsidR="00F6550F">
        <w:t>for</w:t>
      </w:r>
      <w:r w:rsidR="00127E16">
        <w:t xml:space="preserve"> 20 and 60 min underwent significant</w:t>
      </w:r>
      <w:r w:rsidR="008F2B16">
        <w:t>ly different reactions</w:t>
      </w:r>
      <w:r w:rsidR="00947EBC">
        <w:t xml:space="preserve"> in terms of nature and intensity</w:t>
      </w:r>
      <w:r w:rsidR="008F2B16">
        <w:t xml:space="preserve">. Indeed, </w:t>
      </w:r>
      <w:r w:rsidR="00947EBC">
        <w:t xml:space="preserve">compared to sample (7), </w:t>
      </w:r>
      <w:r w:rsidR="008F2B16">
        <w:t xml:space="preserve">the higher carbonization </w:t>
      </w:r>
      <w:r w:rsidR="00947EBC">
        <w:t xml:space="preserve">degree </w:t>
      </w:r>
      <w:r w:rsidR="008F2B16">
        <w:t xml:space="preserve">suggested by the proximate composition and HHV value </w:t>
      </w:r>
      <w:r w:rsidR="007D4A64">
        <w:t>of</w:t>
      </w:r>
      <w:r w:rsidR="008F2B16">
        <w:t xml:space="preserve"> </w:t>
      </w:r>
      <w:r w:rsidR="00F6550F">
        <w:t>sample (8)</w:t>
      </w:r>
      <w:r w:rsidR="008F2B16">
        <w:t xml:space="preserve"> </w:t>
      </w:r>
      <w:r w:rsidR="00947EBC">
        <w:t>is symptomatic of</w:t>
      </w:r>
      <w:r w:rsidR="008F2B16">
        <w:t xml:space="preserve"> a more intense conversion</w:t>
      </w:r>
      <w:r w:rsidR="007D4A64">
        <w:t>, which led to a greater SC formation</w:t>
      </w:r>
      <w:r w:rsidR="00F6550F">
        <w:t xml:space="preserve"> (</w:t>
      </w:r>
      <w:r w:rsidR="00D9707C">
        <w:t>10.0 wt% d.b. for sample 7 and 28.9 wt% d.b. for sample 8)</w:t>
      </w:r>
      <w:r w:rsidR="008F2B16">
        <w:t xml:space="preserve"> </w:t>
      </w:r>
      <w:r w:rsidR="00947EBC">
        <w:t>and an almost uncha</w:t>
      </w:r>
      <w:r w:rsidR="00F6550F">
        <w:t>n</w:t>
      </w:r>
      <w:r w:rsidR="00947EBC">
        <w:t>ged solid mass yield.</w:t>
      </w:r>
      <w:r w:rsidR="00EC4241">
        <w:t xml:space="preserve"> </w:t>
      </w:r>
      <w:r w:rsidR="008632C0">
        <w:t>No recogniz</w:t>
      </w:r>
      <w:r w:rsidR="00EC4241" w:rsidRPr="00EC4241">
        <w:t xml:space="preserve">able trends </w:t>
      </w:r>
      <w:r w:rsidR="00EC4241">
        <w:t xml:space="preserve">in proximate composition </w:t>
      </w:r>
      <w:r w:rsidR="00EC4241" w:rsidRPr="00EC4241">
        <w:t>were observed</w:t>
      </w:r>
      <w:r w:rsidR="00EC4241">
        <w:t xml:space="preserve"> after HTC with PW recirculation.</w:t>
      </w:r>
    </w:p>
    <w:p w14:paraId="585EC6F3" w14:textId="77777777" w:rsidR="00895C11" w:rsidRDefault="00895C11" w:rsidP="003A5AFE">
      <w:pPr>
        <w:pStyle w:val="CETBodytext"/>
      </w:pPr>
    </w:p>
    <w:p w14:paraId="4808EC63" w14:textId="03812273" w:rsidR="00E73C4B" w:rsidRDefault="00E73C4B" w:rsidP="00127E16">
      <w:pPr>
        <w:pStyle w:val="CETBodytext"/>
      </w:pPr>
      <w:r>
        <w:t>Table 2</w:t>
      </w:r>
      <w:r w:rsidRPr="00B57B36">
        <w:t xml:space="preserve">: </w:t>
      </w:r>
      <w:r>
        <w:t>Proximate analysis results and HHV of raw xylose (</w:t>
      </w:r>
      <w:proofErr w:type="spellStart"/>
      <w:r>
        <w:t>raw_x</w:t>
      </w:r>
      <w:proofErr w:type="spellEnd"/>
      <w:r>
        <w:t>), raw cellulose (</w:t>
      </w:r>
      <w:proofErr w:type="spellStart"/>
      <w:r>
        <w:t>raw_c</w:t>
      </w:r>
      <w:proofErr w:type="spellEnd"/>
      <w:r>
        <w:t>) and hydrochars derived from cellulose (VM and FC measure</w:t>
      </w:r>
      <w:r w:rsidR="00596D59">
        <w:t>d</w:t>
      </w:r>
      <w:r>
        <w:t xml:space="preserve"> in wt% d.b.; HHV measure</w:t>
      </w:r>
      <w:r w:rsidR="00596D59">
        <w:t>d</w:t>
      </w:r>
      <w:r>
        <w:t xml:space="preserve"> in MJ/kg).</w:t>
      </w:r>
      <w:r w:rsidR="00917D75">
        <w:t xml:space="preserve"> </w:t>
      </w:r>
      <w:r w:rsidR="00917D75">
        <w:rPr>
          <w:rStyle w:val="CETCaptionCarattere"/>
        </w:rPr>
        <w:t>RSD≤1.7 for VM and FC; RSD≤2.1 for HHV.</w:t>
      </w:r>
      <w:r>
        <w:t xml:space="preserve"> </w:t>
      </w:r>
      <w:r w:rsidRPr="00557945">
        <w:t>All samples were free of ASH content</w:t>
      </w:r>
      <w:r w:rsidR="00917D75">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56"/>
        <w:gridCol w:w="756"/>
        <w:gridCol w:w="975"/>
        <w:gridCol w:w="1031"/>
        <w:gridCol w:w="866"/>
        <w:gridCol w:w="866"/>
        <w:gridCol w:w="866"/>
      </w:tblGrid>
      <w:tr w:rsidR="00E73C4B" w:rsidRPr="00B57B36" w14:paraId="05D54775" w14:textId="77777777" w:rsidTr="008A7EBE">
        <w:trPr>
          <w:trHeight w:val="263"/>
        </w:trPr>
        <w:tc>
          <w:tcPr>
            <w:tcW w:w="756" w:type="dxa"/>
            <w:tcBorders>
              <w:top w:val="single" w:sz="12" w:space="0" w:color="008000"/>
              <w:bottom w:val="single" w:sz="2" w:space="0" w:color="008000"/>
            </w:tcBorders>
            <w:shd w:val="clear" w:color="auto" w:fill="FFFFFF"/>
            <w:vAlign w:val="center"/>
          </w:tcPr>
          <w:p w14:paraId="4A6024C6" w14:textId="77777777" w:rsidR="00E73C4B" w:rsidRDefault="00E73C4B" w:rsidP="008A7EBE">
            <w:pPr>
              <w:pStyle w:val="CETBodytext"/>
              <w:jc w:val="center"/>
              <w:rPr>
                <w:lang w:val="en-GB"/>
              </w:rPr>
            </w:pPr>
          </w:p>
        </w:tc>
        <w:tc>
          <w:tcPr>
            <w:tcW w:w="5360" w:type="dxa"/>
            <w:gridSpan w:val="6"/>
            <w:tcBorders>
              <w:top w:val="single" w:sz="12" w:space="0" w:color="008000"/>
              <w:bottom w:val="single" w:sz="2" w:space="0" w:color="008000"/>
            </w:tcBorders>
            <w:shd w:val="clear" w:color="auto" w:fill="FFFFFF"/>
            <w:vAlign w:val="center"/>
          </w:tcPr>
          <w:p w14:paraId="656F9C8A" w14:textId="77777777" w:rsidR="00E73C4B" w:rsidRPr="00B57B36" w:rsidRDefault="00E73C4B" w:rsidP="008A7EBE">
            <w:pPr>
              <w:pStyle w:val="CETBodytext"/>
              <w:ind w:right="-1"/>
              <w:jc w:val="center"/>
              <w:rPr>
                <w:rFonts w:cs="Arial"/>
                <w:szCs w:val="18"/>
                <w:lang w:val="en-GB"/>
              </w:rPr>
            </w:pPr>
            <w:r>
              <w:rPr>
                <w:lang w:val="en-GB"/>
              </w:rPr>
              <w:t>Sample</w:t>
            </w:r>
          </w:p>
        </w:tc>
      </w:tr>
      <w:tr w:rsidR="00E73C4B" w:rsidRPr="00B57B36" w14:paraId="73E4EF74" w14:textId="77777777" w:rsidTr="008A7EBE">
        <w:trPr>
          <w:trHeight w:val="263"/>
        </w:trPr>
        <w:tc>
          <w:tcPr>
            <w:tcW w:w="756" w:type="dxa"/>
            <w:tcBorders>
              <w:top w:val="single" w:sz="2" w:space="0" w:color="008000"/>
              <w:bottom w:val="single" w:sz="2" w:space="0" w:color="008000"/>
            </w:tcBorders>
            <w:shd w:val="clear" w:color="auto" w:fill="FFFFFF"/>
            <w:vAlign w:val="center"/>
          </w:tcPr>
          <w:p w14:paraId="62230781" w14:textId="77777777" w:rsidR="00E73C4B" w:rsidRPr="00B57B36" w:rsidRDefault="00E73C4B" w:rsidP="008A7EBE">
            <w:pPr>
              <w:pStyle w:val="CETBodytext"/>
              <w:jc w:val="center"/>
              <w:rPr>
                <w:lang w:val="en-GB"/>
              </w:rPr>
            </w:pPr>
          </w:p>
        </w:tc>
        <w:tc>
          <w:tcPr>
            <w:tcW w:w="756" w:type="dxa"/>
            <w:tcBorders>
              <w:top w:val="single" w:sz="2" w:space="0" w:color="008000"/>
              <w:bottom w:val="single" w:sz="2" w:space="0" w:color="008000"/>
            </w:tcBorders>
            <w:shd w:val="clear" w:color="auto" w:fill="FFFFFF"/>
            <w:vAlign w:val="center"/>
          </w:tcPr>
          <w:p w14:paraId="74E3BBF2" w14:textId="77777777" w:rsidR="00E73C4B" w:rsidRPr="00B57B36" w:rsidRDefault="00E73C4B" w:rsidP="008A7EBE">
            <w:pPr>
              <w:pStyle w:val="CETBodytext"/>
              <w:jc w:val="center"/>
              <w:rPr>
                <w:lang w:val="en-GB"/>
              </w:rPr>
            </w:pPr>
            <w:proofErr w:type="spellStart"/>
            <w:r>
              <w:rPr>
                <w:lang w:val="en-GB"/>
              </w:rPr>
              <w:t>raw_x</w:t>
            </w:r>
            <w:proofErr w:type="spellEnd"/>
          </w:p>
        </w:tc>
        <w:tc>
          <w:tcPr>
            <w:tcW w:w="975" w:type="dxa"/>
            <w:tcBorders>
              <w:top w:val="single" w:sz="2" w:space="0" w:color="008000"/>
              <w:bottom w:val="single" w:sz="2" w:space="0" w:color="008000"/>
            </w:tcBorders>
            <w:shd w:val="clear" w:color="auto" w:fill="FFFFFF"/>
            <w:vAlign w:val="center"/>
          </w:tcPr>
          <w:p w14:paraId="5FAE3C2E" w14:textId="77777777" w:rsidR="00E73C4B" w:rsidRPr="00B57B36" w:rsidRDefault="00E73C4B" w:rsidP="008A7EBE">
            <w:pPr>
              <w:pStyle w:val="CETBodytext"/>
              <w:jc w:val="center"/>
              <w:rPr>
                <w:lang w:val="en-GB"/>
              </w:rPr>
            </w:pPr>
            <w:proofErr w:type="spellStart"/>
            <w:r>
              <w:rPr>
                <w:lang w:val="en-GB"/>
              </w:rPr>
              <w:t>raw_c</w:t>
            </w:r>
            <w:proofErr w:type="spellEnd"/>
          </w:p>
        </w:tc>
        <w:tc>
          <w:tcPr>
            <w:tcW w:w="1031" w:type="dxa"/>
            <w:tcBorders>
              <w:top w:val="single" w:sz="2" w:space="0" w:color="008000"/>
              <w:bottom w:val="single" w:sz="2" w:space="0" w:color="008000"/>
            </w:tcBorders>
            <w:shd w:val="clear" w:color="auto" w:fill="FFFFFF"/>
            <w:vAlign w:val="center"/>
          </w:tcPr>
          <w:p w14:paraId="3A47A7EC" w14:textId="77777777" w:rsidR="00E73C4B" w:rsidRPr="00B57B36" w:rsidRDefault="00E73C4B" w:rsidP="008A7EBE">
            <w:pPr>
              <w:pStyle w:val="CETBodytext"/>
              <w:jc w:val="center"/>
              <w:rPr>
                <w:lang w:val="en-GB"/>
              </w:rPr>
            </w:pPr>
            <w:r>
              <w:rPr>
                <w:lang w:val="en-GB"/>
              </w:rPr>
              <w:t>(7)</w:t>
            </w:r>
          </w:p>
        </w:tc>
        <w:tc>
          <w:tcPr>
            <w:tcW w:w="866" w:type="dxa"/>
            <w:tcBorders>
              <w:top w:val="single" w:sz="2" w:space="0" w:color="008000"/>
              <w:bottom w:val="single" w:sz="2" w:space="0" w:color="008000"/>
            </w:tcBorders>
            <w:shd w:val="clear" w:color="auto" w:fill="FFFFFF"/>
            <w:vAlign w:val="center"/>
          </w:tcPr>
          <w:p w14:paraId="6A01E232" w14:textId="77777777" w:rsidR="00E73C4B" w:rsidRPr="00B57B36" w:rsidRDefault="00E73C4B" w:rsidP="008A7EBE">
            <w:pPr>
              <w:pStyle w:val="CETBodytext"/>
              <w:ind w:right="-1"/>
              <w:jc w:val="center"/>
              <w:rPr>
                <w:rFonts w:cs="Arial"/>
                <w:szCs w:val="18"/>
                <w:lang w:val="en-GB"/>
              </w:rPr>
            </w:pPr>
            <w:r>
              <w:rPr>
                <w:rFonts w:cs="Arial"/>
                <w:szCs w:val="18"/>
                <w:lang w:val="en-GB"/>
              </w:rPr>
              <w:t>(8)</w:t>
            </w:r>
          </w:p>
        </w:tc>
        <w:tc>
          <w:tcPr>
            <w:tcW w:w="866" w:type="dxa"/>
            <w:tcBorders>
              <w:top w:val="single" w:sz="2" w:space="0" w:color="008000"/>
              <w:bottom w:val="single" w:sz="2" w:space="0" w:color="008000"/>
            </w:tcBorders>
            <w:shd w:val="clear" w:color="auto" w:fill="FFFFFF"/>
            <w:vAlign w:val="center"/>
          </w:tcPr>
          <w:p w14:paraId="654F93B8" w14:textId="77777777" w:rsidR="00E73C4B" w:rsidRPr="00B57B36" w:rsidRDefault="00E73C4B" w:rsidP="008A7EBE">
            <w:pPr>
              <w:pStyle w:val="CETBodytext"/>
              <w:ind w:right="-1"/>
              <w:jc w:val="center"/>
              <w:rPr>
                <w:rFonts w:cs="Arial"/>
                <w:szCs w:val="18"/>
                <w:lang w:val="en-GB"/>
              </w:rPr>
            </w:pPr>
            <w:r>
              <w:rPr>
                <w:rFonts w:cs="Arial"/>
                <w:szCs w:val="18"/>
                <w:lang w:val="en-GB"/>
              </w:rPr>
              <w:t>(9)</w:t>
            </w:r>
          </w:p>
        </w:tc>
        <w:tc>
          <w:tcPr>
            <w:tcW w:w="866" w:type="dxa"/>
            <w:tcBorders>
              <w:top w:val="single" w:sz="2" w:space="0" w:color="008000"/>
              <w:bottom w:val="single" w:sz="2" w:space="0" w:color="008000"/>
            </w:tcBorders>
            <w:shd w:val="clear" w:color="auto" w:fill="FFFFFF"/>
            <w:vAlign w:val="center"/>
          </w:tcPr>
          <w:p w14:paraId="38E2E7D7" w14:textId="77777777" w:rsidR="00E73C4B" w:rsidRPr="00B57B36" w:rsidRDefault="00E73C4B" w:rsidP="008A7EBE">
            <w:pPr>
              <w:pStyle w:val="CETBodytext"/>
              <w:ind w:right="-1"/>
              <w:jc w:val="center"/>
              <w:rPr>
                <w:rFonts w:cs="Arial"/>
                <w:szCs w:val="18"/>
                <w:lang w:val="en-GB"/>
              </w:rPr>
            </w:pPr>
            <w:r>
              <w:rPr>
                <w:rFonts w:cs="Arial"/>
                <w:szCs w:val="18"/>
                <w:lang w:val="en-GB"/>
              </w:rPr>
              <w:t>(10)</w:t>
            </w:r>
          </w:p>
        </w:tc>
      </w:tr>
      <w:tr w:rsidR="00E73C4B" w:rsidRPr="00B57B36" w14:paraId="01893E98" w14:textId="77777777" w:rsidTr="008A7EBE">
        <w:trPr>
          <w:trHeight w:val="274"/>
        </w:trPr>
        <w:tc>
          <w:tcPr>
            <w:tcW w:w="756" w:type="dxa"/>
            <w:tcBorders>
              <w:top w:val="single" w:sz="2" w:space="0" w:color="008000"/>
            </w:tcBorders>
            <w:shd w:val="clear" w:color="auto" w:fill="FFFFFF"/>
            <w:vAlign w:val="center"/>
          </w:tcPr>
          <w:p w14:paraId="30C338DE" w14:textId="77777777" w:rsidR="00E73C4B" w:rsidRDefault="00E73C4B" w:rsidP="008A7EBE">
            <w:pPr>
              <w:pStyle w:val="CETBodytext"/>
              <w:ind w:right="-1"/>
              <w:jc w:val="center"/>
              <w:rPr>
                <w:rFonts w:cs="Arial"/>
                <w:szCs w:val="18"/>
                <w:lang w:val="en-GB"/>
              </w:rPr>
            </w:pPr>
            <w:r>
              <w:rPr>
                <w:rFonts w:cs="Arial"/>
                <w:szCs w:val="18"/>
                <w:lang w:val="en-GB"/>
              </w:rPr>
              <w:t>VM</w:t>
            </w:r>
          </w:p>
        </w:tc>
        <w:tc>
          <w:tcPr>
            <w:tcW w:w="756" w:type="dxa"/>
            <w:tcBorders>
              <w:top w:val="single" w:sz="2" w:space="0" w:color="008000"/>
            </w:tcBorders>
            <w:shd w:val="clear" w:color="auto" w:fill="FFFFFF"/>
            <w:vAlign w:val="center"/>
          </w:tcPr>
          <w:p w14:paraId="4C695CB6" w14:textId="77777777" w:rsidR="00E73C4B" w:rsidRPr="00B57B36" w:rsidRDefault="00E73C4B" w:rsidP="008A7EBE">
            <w:pPr>
              <w:pStyle w:val="CETBodytext"/>
              <w:ind w:right="-1"/>
              <w:jc w:val="center"/>
              <w:rPr>
                <w:rFonts w:cs="Arial"/>
                <w:szCs w:val="18"/>
                <w:lang w:val="en-GB"/>
              </w:rPr>
            </w:pPr>
            <w:r>
              <w:rPr>
                <w:rFonts w:cs="Arial"/>
                <w:szCs w:val="18"/>
                <w:lang w:val="en-GB"/>
              </w:rPr>
              <w:t>98</w:t>
            </w:r>
          </w:p>
        </w:tc>
        <w:tc>
          <w:tcPr>
            <w:tcW w:w="975" w:type="dxa"/>
            <w:tcBorders>
              <w:top w:val="single" w:sz="2" w:space="0" w:color="008000"/>
            </w:tcBorders>
            <w:shd w:val="clear" w:color="auto" w:fill="FFFFFF"/>
            <w:vAlign w:val="center"/>
          </w:tcPr>
          <w:p w14:paraId="01169793" w14:textId="77777777" w:rsidR="00E73C4B" w:rsidRPr="00B57B36" w:rsidRDefault="00E73C4B" w:rsidP="008A7EBE">
            <w:pPr>
              <w:pStyle w:val="CETBodytext"/>
              <w:ind w:right="-1"/>
              <w:jc w:val="center"/>
              <w:rPr>
                <w:rFonts w:cs="Arial"/>
                <w:szCs w:val="18"/>
                <w:lang w:val="en-GB"/>
              </w:rPr>
            </w:pPr>
            <w:r>
              <w:rPr>
                <w:rFonts w:cs="Arial"/>
                <w:szCs w:val="18"/>
                <w:lang w:val="en-GB"/>
              </w:rPr>
              <w:t>86.0</w:t>
            </w:r>
          </w:p>
        </w:tc>
        <w:tc>
          <w:tcPr>
            <w:tcW w:w="1031" w:type="dxa"/>
            <w:tcBorders>
              <w:top w:val="single" w:sz="2" w:space="0" w:color="008000"/>
            </w:tcBorders>
            <w:shd w:val="clear" w:color="auto" w:fill="FFFFFF"/>
            <w:vAlign w:val="center"/>
          </w:tcPr>
          <w:p w14:paraId="5AC193A1" w14:textId="77777777" w:rsidR="00E73C4B" w:rsidRPr="00B57B36" w:rsidRDefault="00E73C4B" w:rsidP="008A7EBE">
            <w:pPr>
              <w:pStyle w:val="CETBodytext"/>
              <w:ind w:right="-1"/>
              <w:jc w:val="center"/>
              <w:rPr>
                <w:rFonts w:cs="Arial"/>
                <w:szCs w:val="18"/>
                <w:lang w:val="en-GB"/>
              </w:rPr>
            </w:pPr>
            <w:r>
              <w:rPr>
                <w:rFonts w:cs="Arial"/>
                <w:szCs w:val="18"/>
                <w:lang w:val="en-GB"/>
              </w:rPr>
              <w:t>76.5</w:t>
            </w:r>
          </w:p>
        </w:tc>
        <w:tc>
          <w:tcPr>
            <w:tcW w:w="866" w:type="dxa"/>
            <w:tcBorders>
              <w:top w:val="single" w:sz="2" w:space="0" w:color="008000"/>
            </w:tcBorders>
            <w:shd w:val="clear" w:color="auto" w:fill="FFFFFF"/>
            <w:vAlign w:val="center"/>
          </w:tcPr>
          <w:p w14:paraId="4F496E4A" w14:textId="77777777" w:rsidR="00E73C4B" w:rsidRPr="00B57B36" w:rsidRDefault="00E73C4B" w:rsidP="008A7EBE">
            <w:pPr>
              <w:pStyle w:val="CETBodytext"/>
              <w:ind w:right="-1"/>
              <w:jc w:val="center"/>
              <w:rPr>
                <w:rFonts w:cs="Arial"/>
                <w:szCs w:val="18"/>
                <w:lang w:val="en-GB"/>
              </w:rPr>
            </w:pPr>
            <w:r>
              <w:rPr>
                <w:rFonts w:cs="Arial"/>
                <w:szCs w:val="18"/>
                <w:lang w:val="en-GB"/>
              </w:rPr>
              <w:t>52.3</w:t>
            </w:r>
          </w:p>
        </w:tc>
        <w:tc>
          <w:tcPr>
            <w:tcW w:w="866" w:type="dxa"/>
            <w:tcBorders>
              <w:top w:val="single" w:sz="2" w:space="0" w:color="008000"/>
            </w:tcBorders>
            <w:shd w:val="clear" w:color="auto" w:fill="FFFFFF"/>
            <w:vAlign w:val="center"/>
          </w:tcPr>
          <w:p w14:paraId="4F18FA47" w14:textId="77777777" w:rsidR="00E73C4B" w:rsidRPr="00B57B36" w:rsidRDefault="00E73C4B" w:rsidP="008A7EBE">
            <w:pPr>
              <w:pStyle w:val="CETBodytext"/>
              <w:ind w:right="-1"/>
              <w:jc w:val="center"/>
              <w:rPr>
                <w:rFonts w:cs="Arial"/>
                <w:szCs w:val="18"/>
                <w:lang w:val="en-GB"/>
              </w:rPr>
            </w:pPr>
            <w:r>
              <w:rPr>
                <w:rFonts w:cs="Arial"/>
                <w:szCs w:val="18"/>
                <w:lang w:val="en-GB"/>
              </w:rPr>
              <w:t>53.9</w:t>
            </w:r>
          </w:p>
        </w:tc>
        <w:tc>
          <w:tcPr>
            <w:tcW w:w="866" w:type="dxa"/>
            <w:tcBorders>
              <w:top w:val="single" w:sz="2" w:space="0" w:color="008000"/>
            </w:tcBorders>
            <w:shd w:val="clear" w:color="auto" w:fill="FFFFFF"/>
            <w:vAlign w:val="center"/>
          </w:tcPr>
          <w:p w14:paraId="0C465721" w14:textId="77777777" w:rsidR="00E73C4B" w:rsidRPr="00B57B36" w:rsidRDefault="00E73C4B" w:rsidP="008A7EBE">
            <w:pPr>
              <w:pStyle w:val="CETBodytext"/>
              <w:ind w:right="-1"/>
              <w:jc w:val="center"/>
              <w:rPr>
                <w:rFonts w:cs="Arial"/>
                <w:szCs w:val="18"/>
                <w:lang w:val="en-GB"/>
              </w:rPr>
            </w:pPr>
            <w:r>
              <w:rPr>
                <w:rFonts w:cs="Arial"/>
                <w:szCs w:val="18"/>
                <w:lang w:val="en-GB"/>
              </w:rPr>
              <w:t>51.4</w:t>
            </w:r>
          </w:p>
        </w:tc>
      </w:tr>
      <w:tr w:rsidR="00E73C4B" w:rsidRPr="00B57B36" w14:paraId="50048C8F" w14:textId="77777777" w:rsidTr="008A7EBE">
        <w:trPr>
          <w:trHeight w:val="263"/>
        </w:trPr>
        <w:tc>
          <w:tcPr>
            <w:tcW w:w="756" w:type="dxa"/>
            <w:shd w:val="clear" w:color="auto" w:fill="FFFFFF"/>
            <w:vAlign w:val="center"/>
          </w:tcPr>
          <w:p w14:paraId="09330A24" w14:textId="77777777" w:rsidR="00E73C4B" w:rsidRDefault="00E73C4B" w:rsidP="008A7EBE">
            <w:pPr>
              <w:pStyle w:val="CETBodytext"/>
              <w:ind w:right="-1"/>
              <w:jc w:val="center"/>
              <w:rPr>
                <w:rFonts w:cs="Arial"/>
                <w:szCs w:val="18"/>
                <w:lang w:val="en-GB"/>
              </w:rPr>
            </w:pPr>
            <w:r>
              <w:rPr>
                <w:rFonts w:cs="Arial"/>
                <w:szCs w:val="18"/>
                <w:lang w:val="en-GB"/>
              </w:rPr>
              <w:t>FC</w:t>
            </w:r>
          </w:p>
        </w:tc>
        <w:tc>
          <w:tcPr>
            <w:tcW w:w="756" w:type="dxa"/>
            <w:shd w:val="clear" w:color="auto" w:fill="FFFFFF"/>
            <w:vAlign w:val="center"/>
          </w:tcPr>
          <w:p w14:paraId="0618AE0C" w14:textId="77777777" w:rsidR="00E73C4B" w:rsidRDefault="00E73C4B" w:rsidP="008A7EBE">
            <w:pPr>
              <w:pStyle w:val="CETBodytext"/>
              <w:ind w:right="-1"/>
              <w:jc w:val="center"/>
              <w:rPr>
                <w:rFonts w:cs="Arial"/>
                <w:szCs w:val="18"/>
                <w:lang w:val="en-GB"/>
              </w:rPr>
            </w:pPr>
            <w:r>
              <w:rPr>
                <w:rFonts w:cs="Arial"/>
                <w:szCs w:val="18"/>
                <w:lang w:val="en-GB"/>
              </w:rPr>
              <w:t>1.2</w:t>
            </w:r>
          </w:p>
        </w:tc>
        <w:tc>
          <w:tcPr>
            <w:tcW w:w="975" w:type="dxa"/>
            <w:shd w:val="clear" w:color="auto" w:fill="FFFFFF"/>
            <w:vAlign w:val="center"/>
          </w:tcPr>
          <w:p w14:paraId="7BD9AC5A" w14:textId="77777777" w:rsidR="00E73C4B" w:rsidRDefault="00E73C4B" w:rsidP="008A7EBE">
            <w:pPr>
              <w:pStyle w:val="CETBodytext"/>
              <w:ind w:right="-1"/>
              <w:jc w:val="center"/>
              <w:rPr>
                <w:rFonts w:cs="Arial"/>
                <w:szCs w:val="18"/>
                <w:lang w:val="en-GB"/>
              </w:rPr>
            </w:pPr>
            <w:r>
              <w:rPr>
                <w:rFonts w:cs="Arial"/>
                <w:szCs w:val="18"/>
                <w:lang w:val="en-GB"/>
              </w:rPr>
              <w:t>14.0</w:t>
            </w:r>
          </w:p>
        </w:tc>
        <w:tc>
          <w:tcPr>
            <w:tcW w:w="1031" w:type="dxa"/>
            <w:shd w:val="clear" w:color="auto" w:fill="FFFFFF"/>
            <w:vAlign w:val="center"/>
          </w:tcPr>
          <w:p w14:paraId="68B604C6" w14:textId="77777777" w:rsidR="00E73C4B" w:rsidRDefault="00E73C4B" w:rsidP="008A7EBE">
            <w:pPr>
              <w:pStyle w:val="CETBodytext"/>
              <w:ind w:right="-1"/>
              <w:jc w:val="center"/>
              <w:rPr>
                <w:rFonts w:cs="Arial"/>
                <w:szCs w:val="18"/>
                <w:lang w:val="en-GB"/>
              </w:rPr>
            </w:pPr>
            <w:r>
              <w:rPr>
                <w:rFonts w:cs="Arial"/>
                <w:szCs w:val="18"/>
                <w:lang w:val="en-GB"/>
              </w:rPr>
              <w:t>23.5</w:t>
            </w:r>
          </w:p>
        </w:tc>
        <w:tc>
          <w:tcPr>
            <w:tcW w:w="866" w:type="dxa"/>
            <w:shd w:val="clear" w:color="auto" w:fill="FFFFFF"/>
            <w:vAlign w:val="center"/>
          </w:tcPr>
          <w:p w14:paraId="29E1FCC4" w14:textId="77777777" w:rsidR="00E73C4B" w:rsidRDefault="00E73C4B" w:rsidP="008A7EBE">
            <w:pPr>
              <w:pStyle w:val="CETBodytext"/>
              <w:ind w:right="-1"/>
              <w:jc w:val="center"/>
              <w:rPr>
                <w:rFonts w:cs="Arial"/>
                <w:szCs w:val="18"/>
                <w:lang w:val="en-GB"/>
              </w:rPr>
            </w:pPr>
            <w:r>
              <w:rPr>
                <w:rFonts w:cs="Arial"/>
                <w:szCs w:val="18"/>
                <w:lang w:val="en-GB"/>
              </w:rPr>
              <w:t>47.7</w:t>
            </w:r>
          </w:p>
        </w:tc>
        <w:tc>
          <w:tcPr>
            <w:tcW w:w="866" w:type="dxa"/>
            <w:shd w:val="clear" w:color="auto" w:fill="FFFFFF"/>
            <w:vAlign w:val="center"/>
          </w:tcPr>
          <w:p w14:paraId="5DAAC710" w14:textId="77777777" w:rsidR="00E73C4B" w:rsidRPr="00B57B36" w:rsidRDefault="00E73C4B" w:rsidP="008A7EBE">
            <w:pPr>
              <w:pStyle w:val="CETBodytext"/>
              <w:ind w:right="-1"/>
              <w:jc w:val="center"/>
              <w:rPr>
                <w:rFonts w:cs="Arial"/>
                <w:szCs w:val="18"/>
                <w:lang w:val="en-GB"/>
              </w:rPr>
            </w:pPr>
            <w:r>
              <w:rPr>
                <w:rFonts w:cs="Arial"/>
                <w:szCs w:val="18"/>
                <w:lang w:val="en-GB"/>
              </w:rPr>
              <w:t>46.1</w:t>
            </w:r>
          </w:p>
        </w:tc>
        <w:tc>
          <w:tcPr>
            <w:tcW w:w="866" w:type="dxa"/>
            <w:shd w:val="clear" w:color="auto" w:fill="FFFFFF"/>
            <w:vAlign w:val="center"/>
          </w:tcPr>
          <w:p w14:paraId="7BA3A52C" w14:textId="77777777" w:rsidR="00E73C4B" w:rsidRDefault="00E73C4B" w:rsidP="008A7EBE">
            <w:pPr>
              <w:pStyle w:val="CETBodytext"/>
              <w:ind w:right="-1"/>
              <w:jc w:val="center"/>
              <w:rPr>
                <w:rFonts w:cs="Arial"/>
                <w:szCs w:val="18"/>
                <w:lang w:val="en-GB"/>
              </w:rPr>
            </w:pPr>
            <w:r>
              <w:rPr>
                <w:rFonts w:cs="Arial"/>
                <w:szCs w:val="18"/>
                <w:lang w:val="en-GB"/>
              </w:rPr>
              <w:t>48.6</w:t>
            </w:r>
          </w:p>
        </w:tc>
      </w:tr>
      <w:tr w:rsidR="00E73C4B" w:rsidRPr="00B57B36" w14:paraId="5EAFB041" w14:textId="77777777" w:rsidTr="008A7EBE">
        <w:trPr>
          <w:trHeight w:val="274"/>
        </w:trPr>
        <w:tc>
          <w:tcPr>
            <w:tcW w:w="756" w:type="dxa"/>
            <w:shd w:val="clear" w:color="auto" w:fill="FFFFFF"/>
            <w:vAlign w:val="center"/>
          </w:tcPr>
          <w:p w14:paraId="5991224A" w14:textId="77777777" w:rsidR="00E73C4B" w:rsidRDefault="00E73C4B" w:rsidP="008A7EBE">
            <w:pPr>
              <w:pStyle w:val="CETBodytext"/>
              <w:ind w:right="-1"/>
              <w:jc w:val="center"/>
              <w:rPr>
                <w:rFonts w:cs="Arial"/>
                <w:szCs w:val="18"/>
                <w:lang w:val="en-GB"/>
              </w:rPr>
            </w:pPr>
            <w:r>
              <w:rPr>
                <w:rFonts w:cs="Arial"/>
                <w:szCs w:val="18"/>
                <w:lang w:val="en-GB"/>
              </w:rPr>
              <w:t>HHV</w:t>
            </w:r>
          </w:p>
        </w:tc>
        <w:tc>
          <w:tcPr>
            <w:tcW w:w="756" w:type="dxa"/>
            <w:shd w:val="clear" w:color="auto" w:fill="FFFFFF"/>
            <w:vAlign w:val="center"/>
          </w:tcPr>
          <w:p w14:paraId="2FDD50A4" w14:textId="77777777" w:rsidR="00E73C4B" w:rsidRDefault="00E73C4B" w:rsidP="008A7EBE">
            <w:pPr>
              <w:pStyle w:val="CETBodytext"/>
              <w:ind w:right="-1"/>
              <w:jc w:val="center"/>
              <w:rPr>
                <w:rFonts w:cs="Arial"/>
                <w:szCs w:val="18"/>
                <w:lang w:val="en-GB"/>
              </w:rPr>
            </w:pPr>
            <w:r>
              <w:rPr>
                <w:rFonts w:cs="Arial"/>
                <w:szCs w:val="18"/>
                <w:lang w:val="en-GB"/>
              </w:rPr>
              <w:t>15.1</w:t>
            </w:r>
          </w:p>
        </w:tc>
        <w:tc>
          <w:tcPr>
            <w:tcW w:w="975" w:type="dxa"/>
            <w:shd w:val="clear" w:color="auto" w:fill="FFFFFF"/>
            <w:vAlign w:val="center"/>
          </w:tcPr>
          <w:p w14:paraId="586B82A9" w14:textId="77777777" w:rsidR="00E73C4B" w:rsidRDefault="00E73C4B" w:rsidP="008A7EBE">
            <w:pPr>
              <w:pStyle w:val="CETBodytext"/>
              <w:ind w:right="-1"/>
              <w:jc w:val="center"/>
              <w:rPr>
                <w:rFonts w:cs="Arial"/>
                <w:szCs w:val="18"/>
                <w:lang w:val="en-GB"/>
              </w:rPr>
            </w:pPr>
            <w:r>
              <w:rPr>
                <w:rFonts w:cs="Arial"/>
                <w:szCs w:val="18"/>
                <w:lang w:val="en-GB"/>
              </w:rPr>
              <w:t>16.9</w:t>
            </w:r>
          </w:p>
        </w:tc>
        <w:tc>
          <w:tcPr>
            <w:tcW w:w="1031" w:type="dxa"/>
            <w:shd w:val="clear" w:color="auto" w:fill="FFFFFF"/>
            <w:vAlign w:val="center"/>
          </w:tcPr>
          <w:p w14:paraId="2F807A7E" w14:textId="77777777" w:rsidR="00E73C4B" w:rsidRDefault="00E73C4B" w:rsidP="008A7EBE">
            <w:pPr>
              <w:pStyle w:val="CETBodytext"/>
              <w:ind w:right="-1"/>
              <w:jc w:val="center"/>
              <w:rPr>
                <w:rFonts w:cs="Arial"/>
                <w:szCs w:val="18"/>
                <w:lang w:val="en-GB"/>
              </w:rPr>
            </w:pPr>
            <w:r>
              <w:rPr>
                <w:rFonts w:cs="Arial"/>
                <w:szCs w:val="18"/>
                <w:lang w:val="en-GB"/>
              </w:rPr>
              <w:t>21.5</w:t>
            </w:r>
          </w:p>
        </w:tc>
        <w:tc>
          <w:tcPr>
            <w:tcW w:w="866" w:type="dxa"/>
            <w:shd w:val="clear" w:color="auto" w:fill="FFFFFF"/>
            <w:vAlign w:val="center"/>
          </w:tcPr>
          <w:p w14:paraId="6EE7F93B" w14:textId="77777777" w:rsidR="00E73C4B" w:rsidRDefault="00E73C4B" w:rsidP="008A7EBE">
            <w:pPr>
              <w:pStyle w:val="CETBodytext"/>
              <w:ind w:right="-1"/>
              <w:jc w:val="center"/>
              <w:rPr>
                <w:rFonts w:cs="Arial"/>
                <w:szCs w:val="18"/>
                <w:lang w:val="en-GB"/>
              </w:rPr>
            </w:pPr>
            <w:r>
              <w:rPr>
                <w:rFonts w:cs="Arial"/>
                <w:szCs w:val="18"/>
                <w:lang w:val="en-GB"/>
              </w:rPr>
              <w:t>27.8</w:t>
            </w:r>
          </w:p>
        </w:tc>
        <w:tc>
          <w:tcPr>
            <w:tcW w:w="866" w:type="dxa"/>
            <w:shd w:val="clear" w:color="auto" w:fill="FFFFFF"/>
            <w:vAlign w:val="center"/>
          </w:tcPr>
          <w:p w14:paraId="545134E2" w14:textId="77777777" w:rsidR="00E73C4B" w:rsidRDefault="00E73C4B" w:rsidP="008A7EBE">
            <w:pPr>
              <w:pStyle w:val="CETBodytext"/>
              <w:ind w:right="-1"/>
              <w:jc w:val="center"/>
              <w:rPr>
                <w:rFonts w:cs="Arial"/>
                <w:szCs w:val="18"/>
                <w:lang w:val="en-GB"/>
              </w:rPr>
            </w:pPr>
            <w:r>
              <w:rPr>
                <w:rFonts w:cs="Arial"/>
                <w:szCs w:val="18"/>
                <w:lang w:val="en-GB"/>
              </w:rPr>
              <w:t>27.9</w:t>
            </w:r>
          </w:p>
        </w:tc>
        <w:tc>
          <w:tcPr>
            <w:tcW w:w="866" w:type="dxa"/>
            <w:shd w:val="clear" w:color="auto" w:fill="FFFFFF"/>
            <w:vAlign w:val="center"/>
          </w:tcPr>
          <w:p w14:paraId="4A66A408" w14:textId="77777777" w:rsidR="00E73C4B" w:rsidRDefault="00E73C4B" w:rsidP="008A7EBE">
            <w:pPr>
              <w:pStyle w:val="CETBodytext"/>
              <w:ind w:right="-1"/>
              <w:jc w:val="center"/>
              <w:rPr>
                <w:rFonts w:cs="Arial"/>
                <w:szCs w:val="18"/>
                <w:lang w:val="en-GB"/>
              </w:rPr>
            </w:pPr>
            <w:r>
              <w:rPr>
                <w:rFonts w:cs="Arial"/>
                <w:szCs w:val="18"/>
                <w:lang w:val="en-GB"/>
              </w:rPr>
              <w:t>28.7</w:t>
            </w:r>
          </w:p>
        </w:tc>
      </w:tr>
      <w:tr w:rsidR="00E73C4B" w:rsidRPr="00B57B36" w14:paraId="48BA1DF8" w14:textId="77777777" w:rsidTr="008A7EBE">
        <w:trPr>
          <w:trHeight w:val="263"/>
        </w:trPr>
        <w:tc>
          <w:tcPr>
            <w:tcW w:w="756" w:type="dxa"/>
            <w:tcBorders>
              <w:top w:val="single" w:sz="2" w:space="0" w:color="008000"/>
              <w:bottom w:val="single" w:sz="2" w:space="0" w:color="008000"/>
            </w:tcBorders>
            <w:shd w:val="clear" w:color="auto" w:fill="FFFFFF"/>
            <w:vAlign w:val="center"/>
          </w:tcPr>
          <w:p w14:paraId="1509964B" w14:textId="77777777" w:rsidR="00E73C4B" w:rsidRPr="00B57B36" w:rsidRDefault="00E73C4B" w:rsidP="008A7EBE">
            <w:pPr>
              <w:pStyle w:val="CETBodytext"/>
              <w:jc w:val="center"/>
              <w:rPr>
                <w:lang w:val="en-GB"/>
              </w:rPr>
            </w:pPr>
          </w:p>
        </w:tc>
        <w:tc>
          <w:tcPr>
            <w:tcW w:w="756" w:type="dxa"/>
            <w:tcBorders>
              <w:top w:val="single" w:sz="2" w:space="0" w:color="008000"/>
              <w:bottom w:val="single" w:sz="2" w:space="0" w:color="008000"/>
            </w:tcBorders>
            <w:shd w:val="clear" w:color="auto" w:fill="FFFFFF"/>
            <w:vAlign w:val="center"/>
          </w:tcPr>
          <w:p w14:paraId="2BD76535" w14:textId="77777777" w:rsidR="00E73C4B" w:rsidRPr="00B57B36" w:rsidRDefault="00E73C4B" w:rsidP="008A7EBE">
            <w:pPr>
              <w:pStyle w:val="CETBodytext"/>
              <w:jc w:val="center"/>
              <w:rPr>
                <w:lang w:val="en-GB"/>
              </w:rPr>
            </w:pPr>
            <w:r>
              <w:rPr>
                <w:lang w:val="en-GB"/>
              </w:rPr>
              <w:t>(11)</w:t>
            </w:r>
          </w:p>
        </w:tc>
        <w:tc>
          <w:tcPr>
            <w:tcW w:w="975" w:type="dxa"/>
            <w:tcBorders>
              <w:top w:val="single" w:sz="2" w:space="0" w:color="008000"/>
              <w:bottom w:val="single" w:sz="2" w:space="0" w:color="008000"/>
            </w:tcBorders>
            <w:shd w:val="clear" w:color="auto" w:fill="FFFFFF"/>
            <w:vAlign w:val="center"/>
          </w:tcPr>
          <w:p w14:paraId="0152714F" w14:textId="77777777" w:rsidR="00E73C4B" w:rsidRPr="00B57B36" w:rsidRDefault="00E73C4B" w:rsidP="008A7EBE">
            <w:pPr>
              <w:pStyle w:val="CETBodytext"/>
              <w:jc w:val="center"/>
              <w:rPr>
                <w:lang w:val="en-GB"/>
              </w:rPr>
            </w:pPr>
            <w:r>
              <w:rPr>
                <w:lang w:val="en-GB"/>
              </w:rPr>
              <w:t>(12)</w:t>
            </w:r>
          </w:p>
        </w:tc>
        <w:tc>
          <w:tcPr>
            <w:tcW w:w="1031" w:type="dxa"/>
            <w:tcBorders>
              <w:top w:val="single" w:sz="2" w:space="0" w:color="008000"/>
              <w:bottom w:val="single" w:sz="2" w:space="0" w:color="008000"/>
            </w:tcBorders>
            <w:shd w:val="clear" w:color="auto" w:fill="FFFFFF"/>
            <w:vAlign w:val="center"/>
          </w:tcPr>
          <w:p w14:paraId="52D18903" w14:textId="77777777" w:rsidR="00E73C4B" w:rsidRPr="00B57B36" w:rsidRDefault="00E73C4B" w:rsidP="008A7EBE">
            <w:pPr>
              <w:pStyle w:val="CETBodytext"/>
              <w:jc w:val="center"/>
              <w:rPr>
                <w:lang w:val="en-GB"/>
              </w:rPr>
            </w:pPr>
            <w:r>
              <w:rPr>
                <w:lang w:val="en-GB"/>
              </w:rPr>
              <w:t>(13)</w:t>
            </w:r>
          </w:p>
        </w:tc>
        <w:tc>
          <w:tcPr>
            <w:tcW w:w="866" w:type="dxa"/>
            <w:tcBorders>
              <w:top w:val="single" w:sz="2" w:space="0" w:color="008000"/>
              <w:bottom w:val="single" w:sz="2" w:space="0" w:color="008000"/>
            </w:tcBorders>
            <w:shd w:val="clear" w:color="auto" w:fill="FFFFFF"/>
            <w:vAlign w:val="center"/>
          </w:tcPr>
          <w:p w14:paraId="4B822376" w14:textId="77777777" w:rsidR="00E73C4B" w:rsidRPr="00B57B36" w:rsidRDefault="00E73C4B" w:rsidP="008A7EBE">
            <w:pPr>
              <w:pStyle w:val="CETBodytext"/>
              <w:ind w:right="-1"/>
              <w:jc w:val="center"/>
              <w:rPr>
                <w:rFonts w:cs="Arial"/>
                <w:szCs w:val="18"/>
                <w:lang w:val="en-GB"/>
              </w:rPr>
            </w:pPr>
            <w:r>
              <w:rPr>
                <w:lang w:val="en-GB"/>
              </w:rPr>
              <w:t>(14)</w:t>
            </w:r>
          </w:p>
        </w:tc>
        <w:tc>
          <w:tcPr>
            <w:tcW w:w="866" w:type="dxa"/>
            <w:tcBorders>
              <w:top w:val="single" w:sz="2" w:space="0" w:color="008000"/>
              <w:bottom w:val="single" w:sz="2" w:space="0" w:color="008000"/>
            </w:tcBorders>
            <w:shd w:val="clear" w:color="auto" w:fill="FFFFFF"/>
            <w:vAlign w:val="center"/>
          </w:tcPr>
          <w:p w14:paraId="5A975655" w14:textId="77777777" w:rsidR="00E73C4B" w:rsidRPr="00B57B36" w:rsidRDefault="00E73C4B" w:rsidP="008A7EBE">
            <w:pPr>
              <w:pStyle w:val="CETBodytext"/>
              <w:ind w:right="-1"/>
              <w:jc w:val="center"/>
              <w:rPr>
                <w:rFonts w:cs="Arial"/>
                <w:szCs w:val="18"/>
                <w:lang w:val="en-GB"/>
              </w:rPr>
            </w:pPr>
            <w:r>
              <w:rPr>
                <w:lang w:val="en-GB"/>
              </w:rPr>
              <w:t>(15)</w:t>
            </w:r>
          </w:p>
        </w:tc>
        <w:tc>
          <w:tcPr>
            <w:tcW w:w="866" w:type="dxa"/>
            <w:tcBorders>
              <w:top w:val="single" w:sz="2" w:space="0" w:color="008000"/>
              <w:bottom w:val="single" w:sz="2" w:space="0" w:color="008000"/>
            </w:tcBorders>
            <w:shd w:val="clear" w:color="auto" w:fill="FFFFFF"/>
            <w:vAlign w:val="center"/>
          </w:tcPr>
          <w:p w14:paraId="7AD7ED5E" w14:textId="77777777" w:rsidR="00E73C4B" w:rsidRPr="00B57B36" w:rsidRDefault="00E73C4B" w:rsidP="008A7EBE">
            <w:pPr>
              <w:pStyle w:val="CETBodytext"/>
              <w:ind w:right="-1"/>
              <w:jc w:val="center"/>
              <w:rPr>
                <w:rFonts w:cs="Arial"/>
                <w:szCs w:val="18"/>
                <w:lang w:val="en-GB"/>
              </w:rPr>
            </w:pPr>
            <w:r>
              <w:rPr>
                <w:lang w:val="en-GB"/>
              </w:rPr>
              <w:t>(16)</w:t>
            </w:r>
          </w:p>
        </w:tc>
      </w:tr>
      <w:tr w:rsidR="00E73C4B" w:rsidRPr="00B57B36" w14:paraId="448651BE" w14:textId="77777777" w:rsidTr="008A7EBE">
        <w:trPr>
          <w:trHeight w:val="274"/>
        </w:trPr>
        <w:tc>
          <w:tcPr>
            <w:tcW w:w="756" w:type="dxa"/>
            <w:tcBorders>
              <w:top w:val="single" w:sz="2" w:space="0" w:color="008000"/>
            </w:tcBorders>
            <w:shd w:val="clear" w:color="auto" w:fill="FFFFFF"/>
            <w:vAlign w:val="center"/>
          </w:tcPr>
          <w:p w14:paraId="271C7F73" w14:textId="77777777" w:rsidR="00E73C4B" w:rsidRDefault="00E73C4B" w:rsidP="008A7EBE">
            <w:pPr>
              <w:pStyle w:val="CETBodytext"/>
              <w:ind w:right="-1"/>
              <w:jc w:val="center"/>
              <w:rPr>
                <w:rFonts w:cs="Arial"/>
                <w:szCs w:val="18"/>
                <w:lang w:val="en-GB"/>
              </w:rPr>
            </w:pPr>
            <w:r>
              <w:rPr>
                <w:rFonts w:cs="Arial"/>
                <w:szCs w:val="18"/>
                <w:lang w:val="en-GB"/>
              </w:rPr>
              <w:t>VM</w:t>
            </w:r>
          </w:p>
        </w:tc>
        <w:tc>
          <w:tcPr>
            <w:tcW w:w="756" w:type="dxa"/>
            <w:tcBorders>
              <w:top w:val="single" w:sz="2" w:space="0" w:color="008000"/>
            </w:tcBorders>
            <w:shd w:val="clear" w:color="auto" w:fill="FFFFFF"/>
            <w:vAlign w:val="center"/>
          </w:tcPr>
          <w:p w14:paraId="0B5215C7" w14:textId="77777777" w:rsidR="00E73C4B" w:rsidRPr="00B57B36" w:rsidRDefault="00E73C4B" w:rsidP="008A7EBE">
            <w:pPr>
              <w:pStyle w:val="CETBodytext"/>
              <w:ind w:right="-1"/>
              <w:jc w:val="center"/>
              <w:rPr>
                <w:rFonts w:cs="Arial"/>
                <w:szCs w:val="18"/>
                <w:lang w:val="en-GB"/>
              </w:rPr>
            </w:pPr>
            <w:r>
              <w:rPr>
                <w:rFonts w:cs="Arial"/>
                <w:szCs w:val="18"/>
                <w:lang w:val="en-GB"/>
              </w:rPr>
              <w:t>52.6</w:t>
            </w:r>
          </w:p>
        </w:tc>
        <w:tc>
          <w:tcPr>
            <w:tcW w:w="975" w:type="dxa"/>
            <w:tcBorders>
              <w:top w:val="single" w:sz="2" w:space="0" w:color="008000"/>
            </w:tcBorders>
            <w:shd w:val="clear" w:color="auto" w:fill="FFFFFF"/>
            <w:vAlign w:val="center"/>
          </w:tcPr>
          <w:p w14:paraId="671A3334" w14:textId="77777777" w:rsidR="00E73C4B" w:rsidRPr="00B57B36" w:rsidRDefault="00E73C4B" w:rsidP="008A7EBE">
            <w:pPr>
              <w:pStyle w:val="CETBodytext"/>
              <w:ind w:right="-1"/>
              <w:jc w:val="center"/>
              <w:rPr>
                <w:rFonts w:cs="Arial"/>
                <w:szCs w:val="18"/>
                <w:lang w:val="en-GB"/>
              </w:rPr>
            </w:pPr>
            <w:r>
              <w:rPr>
                <w:rFonts w:cs="Arial"/>
                <w:szCs w:val="18"/>
                <w:lang w:val="en-GB"/>
              </w:rPr>
              <w:t>50.3</w:t>
            </w:r>
          </w:p>
        </w:tc>
        <w:tc>
          <w:tcPr>
            <w:tcW w:w="1031" w:type="dxa"/>
            <w:tcBorders>
              <w:top w:val="single" w:sz="2" w:space="0" w:color="008000"/>
            </w:tcBorders>
            <w:shd w:val="clear" w:color="auto" w:fill="FFFFFF"/>
            <w:vAlign w:val="center"/>
          </w:tcPr>
          <w:p w14:paraId="732B4FC4" w14:textId="77777777" w:rsidR="00E73C4B" w:rsidRPr="00B57B36" w:rsidRDefault="00E73C4B" w:rsidP="008A7EBE">
            <w:pPr>
              <w:pStyle w:val="CETBodytext"/>
              <w:ind w:right="-1"/>
              <w:jc w:val="center"/>
              <w:rPr>
                <w:rFonts w:cs="Arial"/>
                <w:szCs w:val="18"/>
                <w:lang w:val="en-GB"/>
              </w:rPr>
            </w:pPr>
            <w:r>
              <w:rPr>
                <w:rFonts w:cs="Arial"/>
                <w:szCs w:val="18"/>
                <w:lang w:val="en-GB"/>
              </w:rPr>
              <w:t>53.3</w:t>
            </w:r>
          </w:p>
        </w:tc>
        <w:tc>
          <w:tcPr>
            <w:tcW w:w="866" w:type="dxa"/>
            <w:tcBorders>
              <w:top w:val="single" w:sz="2" w:space="0" w:color="008000"/>
            </w:tcBorders>
            <w:shd w:val="clear" w:color="auto" w:fill="FFFFFF"/>
            <w:vAlign w:val="center"/>
          </w:tcPr>
          <w:p w14:paraId="5FA01866" w14:textId="77777777" w:rsidR="00E73C4B" w:rsidRPr="00B57B36" w:rsidRDefault="00E73C4B" w:rsidP="008A7EBE">
            <w:pPr>
              <w:pStyle w:val="CETBodytext"/>
              <w:ind w:right="-1"/>
              <w:jc w:val="center"/>
              <w:rPr>
                <w:rFonts w:cs="Arial"/>
                <w:szCs w:val="18"/>
                <w:lang w:val="en-GB"/>
              </w:rPr>
            </w:pPr>
            <w:r>
              <w:rPr>
                <w:rFonts w:cs="Arial"/>
                <w:szCs w:val="18"/>
                <w:lang w:val="en-GB"/>
              </w:rPr>
              <w:t>51.0</w:t>
            </w:r>
          </w:p>
        </w:tc>
        <w:tc>
          <w:tcPr>
            <w:tcW w:w="866" w:type="dxa"/>
            <w:tcBorders>
              <w:top w:val="single" w:sz="2" w:space="0" w:color="008000"/>
            </w:tcBorders>
            <w:shd w:val="clear" w:color="auto" w:fill="FFFFFF"/>
            <w:vAlign w:val="center"/>
          </w:tcPr>
          <w:p w14:paraId="1BD4E72F" w14:textId="77777777" w:rsidR="00E73C4B" w:rsidRPr="00B57B36" w:rsidRDefault="00E73C4B" w:rsidP="008A7EBE">
            <w:pPr>
              <w:pStyle w:val="CETBodytext"/>
              <w:ind w:right="-1"/>
              <w:jc w:val="center"/>
              <w:rPr>
                <w:rFonts w:cs="Arial"/>
                <w:szCs w:val="18"/>
                <w:lang w:val="en-GB"/>
              </w:rPr>
            </w:pPr>
            <w:r>
              <w:rPr>
                <w:rFonts w:cs="Arial"/>
                <w:szCs w:val="18"/>
                <w:lang w:val="en-GB"/>
              </w:rPr>
              <w:t>52.9</w:t>
            </w:r>
          </w:p>
        </w:tc>
        <w:tc>
          <w:tcPr>
            <w:tcW w:w="866" w:type="dxa"/>
            <w:tcBorders>
              <w:top w:val="single" w:sz="2" w:space="0" w:color="008000"/>
            </w:tcBorders>
            <w:shd w:val="clear" w:color="auto" w:fill="FFFFFF"/>
            <w:vAlign w:val="center"/>
          </w:tcPr>
          <w:p w14:paraId="51B5BFA7" w14:textId="77777777" w:rsidR="00E73C4B" w:rsidRPr="00B57B36" w:rsidRDefault="00E73C4B" w:rsidP="008A7EBE">
            <w:pPr>
              <w:pStyle w:val="CETBodytext"/>
              <w:ind w:right="-1"/>
              <w:jc w:val="center"/>
              <w:rPr>
                <w:rFonts w:cs="Arial"/>
                <w:szCs w:val="18"/>
                <w:lang w:val="en-GB"/>
              </w:rPr>
            </w:pPr>
            <w:r>
              <w:rPr>
                <w:rFonts w:cs="Arial"/>
                <w:szCs w:val="18"/>
                <w:lang w:val="en-GB"/>
              </w:rPr>
              <w:t>52.0</w:t>
            </w:r>
          </w:p>
        </w:tc>
      </w:tr>
      <w:tr w:rsidR="00E73C4B" w14:paraId="62FBB9C0" w14:textId="77777777" w:rsidTr="008A7EBE">
        <w:trPr>
          <w:trHeight w:val="263"/>
        </w:trPr>
        <w:tc>
          <w:tcPr>
            <w:tcW w:w="756" w:type="dxa"/>
            <w:shd w:val="clear" w:color="auto" w:fill="FFFFFF"/>
            <w:vAlign w:val="center"/>
          </w:tcPr>
          <w:p w14:paraId="6FFACB53" w14:textId="77777777" w:rsidR="00E73C4B" w:rsidRDefault="00E73C4B" w:rsidP="008A7EBE">
            <w:pPr>
              <w:pStyle w:val="CETBodytext"/>
              <w:ind w:right="-1"/>
              <w:jc w:val="center"/>
              <w:rPr>
                <w:rFonts w:cs="Arial"/>
                <w:szCs w:val="18"/>
                <w:lang w:val="en-GB"/>
              </w:rPr>
            </w:pPr>
            <w:r>
              <w:rPr>
                <w:rFonts w:cs="Arial"/>
                <w:szCs w:val="18"/>
                <w:lang w:val="en-GB"/>
              </w:rPr>
              <w:t>FC</w:t>
            </w:r>
          </w:p>
        </w:tc>
        <w:tc>
          <w:tcPr>
            <w:tcW w:w="756" w:type="dxa"/>
            <w:shd w:val="clear" w:color="auto" w:fill="FFFFFF"/>
            <w:vAlign w:val="center"/>
          </w:tcPr>
          <w:p w14:paraId="03571F2D" w14:textId="77777777" w:rsidR="00E73C4B" w:rsidRDefault="00E73C4B" w:rsidP="008A7EBE">
            <w:pPr>
              <w:pStyle w:val="CETBodytext"/>
              <w:ind w:right="-1"/>
              <w:jc w:val="center"/>
              <w:rPr>
                <w:rFonts w:cs="Arial"/>
                <w:szCs w:val="18"/>
                <w:lang w:val="en-GB"/>
              </w:rPr>
            </w:pPr>
            <w:r>
              <w:rPr>
                <w:rFonts w:cs="Arial"/>
                <w:szCs w:val="18"/>
                <w:lang w:val="en-GB"/>
              </w:rPr>
              <w:t>47.4</w:t>
            </w:r>
          </w:p>
        </w:tc>
        <w:tc>
          <w:tcPr>
            <w:tcW w:w="975" w:type="dxa"/>
            <w:shd w:val="clear" w:color="auto" w:fill="FFFFFF"/>
            <w:vAlign w:val="center"/>
          </w:tcPr>
          <w:p w14:paraId="4053A3BD" w14:textId="77777777" w:rsidR="00E73C4B" w:rsidRDefault="00E73C4B" w:rsidP="008A7EBE">
            <w:pPr>
              <w:pStyle w:val="CETBodytext"/>
              <w:ind w:right="-1"/>
              <w:jc w:val="center"/>
              <w:rPr>
                <w:rFonts w:cs="Arial"/>
                <w:szCs w:val="18"/>
                <w:lang w:val="en-GB"/>
              </w:rPr>
            </w:pPr>
            <w:r>
              <w:rPr>
                <w:rFonts w:cs="Arial"/>
                <w:szCs w:val="18"/>
                <w:lang w:val="en-GB"/>
              </w:rPr>
              <w:t>49.7</w:t>
            </w:r>
          </w:p>
        </w:tc>
        <w:tc>
          <w:tcPr>
            <w:tcW w:w="1031" w:type="dxa"/>
            <w:shd w:val="clear" w:color="auto" w:fill="FFFFFF"/>
            <w:vAlign w:val="center"/>
          </w:tcPr>
          <w:p w14:paraId="63BD71CF" w14:textId="77777777" w:rsidR="00E73C4B" w:rsidRDefault="00E73C4B" w:rsidP="008A7EBE">
            <w:pPr>
              <w:pStyle w:val="CETBodytext"/>
              <w:ind w:right="-1"/>
              <w:jc w:val="center"/>
              <w:rPr>
                <w:rFonts w:cs="Arial"/>
                <w:szCs w:val="18"/>
                <w:lang w:val="en-GB"/>
              </w:rPr>
            </w:pPr>
            <w:r>
              <w:rPr>
                <w:rFonts w:cs="Arial"/>
                <w:szCs w:val="18"/>
                <w:lang w:val="en-GB"/>
              </w:rPr>
              <w:t>46.7</w:t>
            </w:r>
          </w:p>
        </w:tc>
        <w:tc>
          <w:tcPr>
            <w:tcW w:w="866" w:type="dxa"/>
            <w:shd w:val="clear" w:color="auto" w:fill="FFFFFF"/>
            <w:vAlign w:val="center"/>
          </w:tcPr>
          <w:p w14:paraId="75C3FE78" w14:textId="77777777" w:rsidR="00E73C4B" w:rsidRDefault="00E73C4B" w:rsidP="008A7EBE">
            <w:pPr>
              <w:pStyle w:val="CETBodytext"/>
              <w:ind w:right="-1"/>
              <w:jc w:val="center"/>
              <w:rPr>
                <w:rFonts w:cs="Arial"/>
                <w:szCs w:val="18"/>
                <w:lang w:val="en-GB"/>
              </w:rPr>
            </w:pPr>
            <w:r>
              <w:rPr>
                <w:rFonts w:cs="Arial"/>
                <w:szCs w:val="18"/>
                <w:lang w:val="en-GB"/>
              </w:rPr>
              <w:t>49.0</w:t>
            </w:r>
          </w:p>
        </w:tc>
        <w:tc>
          <w:tcPr>
            <w:tcW w:w="866" w:type="dxa"/>
            <w:shd w:val="clear" w:color="auto" w:fill="FFFFFF"/>
            <w:vAlign w:val="center"/>
          </w:tcPr>
          <w:p w14:paraId="7B062D7D" w14:textId="77777777" w:rsidR="00E73C4B" w:rsidRPr="00B57B36" w:rsidRDefault="00E73C4B" w:rsidP="008A7EBE">
            <w:pPr>
              <w:pStyle w:val="CETBodytext"/>
              <w:ind w:right="-1"/>
              <w:jc w:val="center"/>
              <w:rPr>
                <w:rFonts w:cs="Arial"/>
                <w:szCs w:val="18"/>
                <w:lang w:val="en-GB"/>
              </w:rPr>
            </w:pPr>
            <w:r>
              <w:rPr>
                <w:rFonts w:cs="Arial"/>
                <w:szCs w:val="18"/>
                <w:lang w:val="en-GB"/>
              </w:rPr>
              <w:t>47.1</w:t>
            </w:r>
          </w:p>
        </w:tc>
        <w:tc>
          <w:tcPr>
            <w:tcW w:w="866" w:type="dxa"/>
            <w:shd w:val="clear" w:color="auto" w:fill="FFFFFF"/>
            <w:vAlign w:val="center"/>
          </w:tcPr>
          <w:p w14:paraId="370C03D4" w14:textId="77777777" w:rsidR="00E73C4B" w:rsidRDefault="00E73C4B" w:rsidP="008A7EBE">
            <w:pPr>
              <w:pStyle w:val="CETBodytext"/>
              <w:ind w:right="-1"/>
              <w:jc w:val="center"/>
              <w:rPr>
                <w:rFonts w:cs="Arial"/>
                <w:szCs w:val="18"/>
                <w:lang w:val="en-GB"/>
              </w:rPr>
            </w:pPr>
            <w:r>
              <w:rPr>
                <w:rFonts w:cs="Arial"/>
                <w:szCs w:val="18"/>
                <w:lang w:val="en-GB"/>
              </w:rPr>
              <w:t>48.0</w:t>
            </w:r>
          </w:p>
        </w:tc>
      </w:tr>
      <w:tr w:rsidR="00E73C4B" w14:paraId="0930DB8D" w14:textId="77777777" w:rsidTr="008A7EBE">
        <w:trPr>
          <w:trHeight w:val="274"/>
        </w:trPr>
        <w:tc>
          <w:tcPr>
            <w:tcW w:w="756" w:type="dxa"/>
            <w:shd w:val="clear" w:color="auto" w:fill="FFFFFF"/>
            <w:vAlign w:val="center"/>
          </w:tcPr>
          <w:p w14:paraId="6E11DD81" w14:textId="77777777" w:rsidR="00E73C4B" w:rsidRDefault="00E73C4B" w:rsidP="008A7EBE">
            <w:pPr>
              <w:pStyle w:val="CETBodytext"/>
              <w:ind w:right="-1"/>
              <w:jc w:val="center"/>
              <w:rPr>
                <w:rFonts w:cs="Arial"/>
                <w:szCs w:val="18"/>
                <w:lang w:val="en-GB"/>
              </w:rPr>
            </w:pPr>
            <w:r>
              <w:rPr>
                <w:rFonts w:cs="Arial"/>
                <w:szCs w:val="18"/>
                <w:lang w:val="en-GB"/>
              </w:rPr>
              <w:t>HHV</w:t>
            </w:r>
          </w:p>
        </w:tc>
        <w:tc>
          <w:tcPr>
            <w:tcW w:w="756" w:type="dxa"/>
            <w:shd w:val="clear" w:color="auto" w:fill="FFFFFF"/>
            <w:vAlign w:val="center"/>
          </w:tcPr>
          <w:p w14:paraId="3E6B8723" w14:textId="77777777" w:rsidR="00E73C4B" w:rsidRDefault="00E73C4B" w:rsidP="008A7EBE">
            <w:pPr>
              <w:pStyle w:val="CETBodytext"/>
              <w:ind w:right="-1"/>
              <w:jc w:val="center"/>
              <w:rPr>
                <w:rFonts w:cs="Arial"/>
                <w:szCs w:val="18"/>
                <w:lang w:val="en-GB"/>
              </w:rPr>
            </w:pPr>
            <w:r>
              <w:rPr>
                <w:rFonts w:cs="Arial"/>
                <w:szCs w:val="18"/>
                <w:lang w:val="en-GB"/>
              </w:rPr>
              <w:t>25.3</w:t>
            </w:r>
          </w:p>
        </w:tc>
        <w:tc>
          <w:tcPr>
            <w:tcW w:w="975" w:type="dxa"/>
            <w:shd w:val="clear" w:color="auto" w:fill="FFFFFF"/>
            <w:vAlign w:val="center"/>
          </w:tcPr>
          <w:p w14:paraId="3E2C2B7F" w14:textId="77777777" w:rsidR="00E73C4B" w:rsidRDefault="00E73C4B" w:rsidP="008A7EBE">
            <w:pPr>
              <w:pStyle w:val="CETBodytext"/>
              <w:ind w:right="-1"/>
              <w:jc w:val="center"/>
              <w:rPr>
                <w:rFonts w:cs="Arial"/>
                <w:szCs w:val="18"/>
                <w:lang w:val="en-GB"/>
              </w:rPr>
            </w:pPr>
            <w:r>
              <w:rPr>
                <w:rFonts w:cs="Arial"/>
                <w:szCs w:val="18"/>
                <w:lang w:val="en-GB"/>
              </w:rPr>
              <w:t>25.9</w:t>
            </w:r>
          </w:p>
        </w:tc>
        <w:tc>
          <w:tcPr>
            <w:tcW w:w="1031" w:type="dxa"/>
            <w:shd w:val="clear" w:color="auto" w:fill="FFFFFF"/>
            <w:vAlign w:val="center"/>
          </w:tcPr>
          <w:p w14:paraId="3F8D828D" w14:textId="77777777" w:rsidR="00E73C4B" w:rsidRDefault="00E73C4B" w:rsidP="008A7EBE">
            <w:pPr>
              <w:pStyle w:val="CETBodytext"/>
              <w:ind w:right="-1"/>
              <w:jc w:val="center"/>
              <w:rPr>
                <w:rFonts w:cs="Arial"/>
                <w:szCs w:val="18"/>
                <w:lang w:val="en-GB"/>
              </w:rPr>
            </w:pPr>
            <w:r>
              <w:rPr>
                <w:rFonts w:cs="Arial"/>
                <w:szCs w:val="18"/>
                <w:lang w:val="en-GB"/>
              </w:rPr>
              <w:t>26.1</w:t>
            </w:r>
          </w:p>
        </w:tc>
        <w:tc>
          <w:tcPr>
            <w:tcW w:w="866" w:type="dxa"/>
            <w:shd w:val="clear" w:color="auto" w:fill="FFFFFF"/>
            <w:vAlign w:val="center"/>
          </w:tcPr>
          <w:p w14:paraId="32D625C7" w14:textId="77777777" w:rsidR="00E73C4B" w:rsidRDefault="00E73C4B" w:rsidP="008A7EBE">
            <w:pPr>
              <w:pStyle w:val="CETBodytext"/>
              <w:ind w:right="-1"/>
              <w:jc w:val="center"/>
              <w:rPr>
                <w:rFonts w:cs="Arial"/>
                <w:szCs w:val="18"/>
                <w:lang w:val="en-GB"/>
              </w:rPr>
            </w:pPr>
            <w:r>
              <w:rPr>
                <w:rFonts w:cs="Arial"/>
                <w:szCs w:val="18"/>
                <w:lang w:val="en-GB"/>
              </w:rPr>
              <w:t>26.8</w:t>
            </w:r>
          </w:p>
        </w:tc>
        <w:tc>
          <w:tcPr>
            <w:tcW w:w="866" w:type="dxa"/>
            <w:shd w:val="clear" w:color="auto" w:fill="FFFFFF"/>
            <w:vAlign w:val="center"/>
          </w:tcPr>
          <w:p w14:paraId="5C7412DE" w14:textId="77777777" w:rsidR="00E73C4B" w:rsidRDefault="00E73C4B" w:rsidP="008A7EBE">
            <w:pPr>
              <w:pStyle w:val="CETBodytext"/>
              <w:ind w:right="-1"/>
              <w:jc w:val="center"/>
              <w:rPr>
                <w:rFonts w:cs="Arial"/>
                <w:szCs w:val="18"/>
                <w:lang w:val="en-GB"/>
              </w:rPr>
            </w:pPr>
            <w:r>
              <w:rPr>
                <w:rFonts w:cs="Arial"/>
                <w:szCs w:val="18"/>
                <w:lang w:val="en-GB"/>
              </w:rPr>
              <w:t>26.4</w:t>
            </w:r>
          </w:p>
        </w:tc>
        <w:tc>
          <w:tcPr>
            <w:tcW w:w="866" w:type="dxa"/>
            <w:shd w:val="clear" w:color="auto" w:fill="FFFFFF"/>
            <w:vAlign w:val="center"/>
          </w:tcPr>
          <w:p w14:paraId="6C04A4BD" w14:textId="77777777" w:rsidR="00E73C4B" w:rsidRDefault="00E73C4B" w:rsidP="008A7EBE">
            <w:pPr>
              <w:pStyle w:val="CETBodytext"/>
              <w:ind w:right="-1"/>
              <w:jc w:val="center"/>
              <w:rPr>
                <w:rFonts w:cs="Arial"/>
                <w:szCs w:val="18"/>
                <w:lang w:val="en-GB"/>
              </w:rPr>
            </w:pPr>
            <w:r>
              <w:rPr>
                <w:rFonts w:cs="Arial"/>
                <w:szCs w:val="18"/>
                <w:lang w:val="en-GB"/>
              </w:rPr>
              <w:t>27.3</w:t>
            </w:r>
          </w:p>
        </w:tc>
      </w:tr>
    </w:tbl>
    <w:p w14:paraId="19617207" w14:textId="77777777" w:rsidR="00E73C4B" w:rsidRDefault="00E73C4B" w:rsidP="007D2CAC">
      <w:pPr>
        <w:pStyle w:val="CETBodytext"/>
      </w:pPr>
    </w:p>
    <w:p w14:paraId="68D26B83" w14:textId="77777777" w:rsidR="00600535" w:rsidRPr="00B57B36" w:rsidRDefault="00600535" w:rsidP="00600535">
      <w:pPr>
        <w:pStyle w:val="CETHeading1"/>
        <w:rPr>
          <w:lang w:val="en-GB"/>
        </w:rPr>
      </w:pPr>
      <w:r w:rsidRPr="00B57B36">
        <w:rPr>
          <w:lang w:val="en-GB"/>
        </w:rPr>
        <w:t>Conclusions</w:t>
      </w:r>
    </w:p>
    <w:p w14:paraId="44D477B3" w14:textId="48D1FA67" w:rsidR="00856B07" w:rsidRPr="00856B07" w:rsidRDefault="00F16975" w:rsidP="004F6987">
      <w:pPr>
        <w:pStyle w:val="CETAcknowledgementstitle"/>
        <w:jc w:val="both"/>
      </w:pPr>
      <w:r>
        <w:rPr>
          <w:b w:val="0"/>
        </w:rPr>
        <w:t>This study focused on</w:t>
      </w:r>
      <w:r w:rsidR="000073F4">
        <w:rPr>
          <w:b w:val="0"/>
        </w:rPr>
        <w:t xml:space="preserve"> the role of hemicellulose in hydrothermal carbonization</w:t>
      </w:r>
      <w:r w:rsidR="007C6CCC">
        <w:rPr>
          <w:b w:val="0"/>
        </w:rPr>
        <w:t xml:space="preserve"> (HTC)</w:t>
      </w:r>
      <w:r w:rsidR="000073F4">
        <w:rPr>
          <w:b w:val="0"/>
        </w:rPr>
        <w:t xml:space="preserve"> with recycled </w:t>
      </w:r>
      <w:r w:rsidR="007C6CCC">
        <w:rPr>
          <w:b w:val="0"/>
        </w:rPr>
        <w:t>process water (PW)</w:t>
      </w:r>
      <w:r w:rsidR="000073F4">
        <w:rPr>
          <w:b w:val="0"/>
        </w:rPr>
        <w:t>.</w:t>
      </w:r>
      <w:r w:rsidR="00BF0A02">
        <w:rPr>
          <w:b w:val="0"/>
        </w:rPr>
        <w:t xml:space="preserve"> Results highlighted that formation of secondary chars</w:t>
      </w:r>
      <w:r w:rsidR="00764DF0">
        <w:rPr>
          <w:b w:val="0"/>
        </w:rPr>
        <w:t xml:space="preserve"> (SC)</w:t>
      </w:r>
      <w:r w:rsidR="00BF0A02">
        <w:rPr>
          <w:b w:val="0"/>
        </w:rPr>
        <w:t xml:space="preserve"> and gaseous products from xylose </w:t>
      </w:r>
      <w:r w:rsidR="00A230DC">
        <w:rPr>
          <w:b w:val="0"/>
        </w:rPr>
        <w:t>was</w:t>
      </w:r>
      <w:r w:rsidR="00BF0A02">
        <w:rPr>
          <w:b w:val="0"/>
        </w:rPr>
        <w:t xml:space="preserve"> enhanced </w:t>
      </w:r>
      <w:r w:rsidR="00A73F27">
        <w:rPr>
          <w:b w:val="0"/>
        </w:rPr>
        <w:t>with</w:t>
      </w:r>
      <w:r w:rsidR="00BF0A02">
        <w:rPr>
          <w:b w:val="0"/>
        </w:rPr>
        <w:t xml:space="preserve"> the increase of reaction severity</w:t>
      </w:r>
      <w:r w:rsidR="00657BB1">
        <w:rPr>
          <w:b w:val="0"/>
        </w:rPr>
        <w:t xml:space="preserve"> due to </w:t>
      </w:r>
      <w:r w:rsidR="001C0B68">
        <w:rPr>
          <w:b w:val="0"/>
        </w:rPr>
        <w:t xml:space="preserve">the </w:t>
      </w:r>
      <w:r w:rsidR="00CA7A84">
        <w:rPr>
          <w:b w:val="0"/>
        </w:rPr>
        <w:t xml:space="preserve">highly </w:t>
      </w:r>
      <w:r w:rsidR="00657BB1">
        <w:rPr>
          <w:b w:val="0"/>
        </w:rPr>
        <w:t>endothermic nature</w:t>
      </w:r>
      <w:r w:rsidR="00BF0A02">
        <w:rPr>
          <w:b w:val="0"/>
        </w:rPr>
        <w:t xml:space="preserve"> of re-polymerization and decarboxylation reactions</w:t>
      </w:r>
      <w:r w:rsidR="00657BB1">
        <w:rPr>
          <w:b w:val="0"/>
        </w:rPr>
        <w:t>. Recirculatio</w:t>
      </w:r>
      <w:r w:rsidR="007C6CCC">
        <w:rPr>
          <w:b w:val="0"/>
        </w:rPr>
        <w:t>n of the exhausted PW</w:t>
      </w:r>
      <w:r w:rsidR="00657BB1">
        <w:rPr>
          <w:b w:val="0"/>
        </w:rPr>
        <w:t xml:space="preserve"> had a significant impact on </w:t>
      </w:r>
      <w:r w:rsidR="00764DF0">
        <w:rPr>
          <w:b w:val="0"/>
        </w:rPr>
        <w:t>HTC</w:t>
      </w:r>
      <w:r w:rsidR="00657BB1">
        <w:rPr>
          <w:b w:val="0"/>
        </w:rPr>
        <w:t xml:space="preserve">, leading to </w:t>
      </w:r>
      <w:r w:rsidR="00745371">
        <w:rPr>
          <w:b w:val="0"/>
        </w:rPr>
        <w:t>an increased hydrochar</w:t>
      </w:r>
      <w:r w:rsidR="00657BB1">
        <w:rPr>
          <w:b w:val="0"/>
        </w:rPr>
        <w:t xml:space="preserve"> yield at all operating conditions</w:t>
      </w:r>
      <w:r w:rsidR="00764DF0">
        <w:rPr>
          <w:b w:val="0"/>
        </w:rPr>
        <w:t xml:space="preserve">. </w:t>
      </w:r>
      <w:r w:rsidR="0006399C">
        <w:rPr>
          <w:b w:val="0"/>
        </w:rPr>
        <w:t>A SC mass yield increasing trend was found after recirculation of PWs obtained from xylose, with the increase of conversion severity</w:t>
      </w:r>
      <w:r w:rsidR="00F70B8A">
        <w:rPr>
          <w:b w:val="0"/>
        </w:rPr>
        <w:t>.</w:t>
      </w:r>
      <w:r w:rsidR="009E4BD7">
        <w:rPr>
          <w:b w:val="0"/>
        </w:rPr>
        <w:t xml:space="preserve"> In comparison, rec</w:t>
      </w:r>
      <w:r w:rsidR="0006399C">
        <w:rPr>
          <w:b w:val="0"/>
        </w:rPr>
        <w:t>irculation of PW from cellulose led to</w:t>
      </w:r>
      <w:r w:rsidR="009E4BD7">
        <w:rPr>
          <w:b w:val="0"/>
        </w:rPr>
        <w:t xml:space="preserve"> an even greater</w:t>
      </w:r>
      <w:r w:rsidR="00202A50">
        <w:rPr>
          <w:b w:val="0"/>
        </w:rPr>
        <w:t xml:space="preserve"> increase of</w:t>
      </w:r>
      <w:r w:rsidR="009E4BD7">
        <w:rPr>
          <w:b w:val="0"/>
        </w:rPr>
        <w:t xml:space="preserve"> SC formation, probably due to the high</w:t>
      </w:r>
      <w:r w:rsidR="00202A50">
        <w:rPr>
          <w:b w:val="0"/>
        </w:rPr>
        <w:t>er</w:t>
      </w:r>
      <w:r w:rsidR="00D85C74">
        <w:rPr>
          <w:b w:val="0"/>
        </w:rPr>
        <w:t xml:space="preserve"> </w:t>
      </w:r>
      <w:r w:rsidR="00D85C74">
        <w:rPr>
          <w:b w:val="0"/>
        </w:rPr>
        <w:lastRenderedPageBreak/>
        <w:t>tendency of cellulose soluble by-products</w:t>
      </w:r>
      <w:r w:rsidR="009E4BD7">
        <w:rPr>
          <w:b w:val="0"/>
        </w:rPr>
        <w:t xml:space="preserve"> to </w:t>
      </w:r>
      <w:r w:rsidR="002C3558">
        <w:rPr>
          <w:b w:val="0"/>
        </w:rPr>
        <w:t>condense and re-polymerize</w:t>
      </w:r>
      <w:r w:rsidR="009E4BD7">
        <w:rPr>
          <w:b w:val="0"/>
        </w:rPr>
        <w:t>.</w:t>
      </w:r>
      <w:r w:rsidR="00764DF0">
        <w:rPr>
          <w:b w:val="0"/>
        </w:rPr>
        <w:t xml:space="preserve"> </w:t>
      </w:r>
      <w:r w:rsidR="00231D57">
        <w:rPr>
          <w:b w:val="0"/>
        </w:rPr>
        <w:t xml:space="preserve">The effect of </w:t>
      </w:r>
      <w:r w:rsidR="008F19B2">
        <w:rPr>
          <w:b w:val="0"/>
        </w:rPr>
        <w:t xml:space="preserve">hemicellulose-derived PW on HTC with solvent recirculation </w:t>
      </w:r>
      <w:r w:rsidR="00DC2C91">
        <w:rPr>
          <w:b w:val="0"/>
        </w:rPr>
        <w:t>deserves</w:t>
      </w:r>
      <w:r w:rsidR="008F19B2">
        <w:rPr>
          <w:b w:val="0"/>
        </w:rPr>
        <w:t xml:space="preserve"> further investigation in order to elucidate </w:t>
      </w:r>
      <w:r w:rsidR="008F19B2" w:rsidRPr="008F19B2">
        <w:rPr>
          <w:b w:val="0"/>
        </w:rPr>
        <w:t>the interactive polymerization pathways of dissolved organics and their impact on hydrochar formation</w:t>
      </w:r>
      <w:r w:rsidR="008632C0">
        <w:rPr>
          <w:b w:val="0"/>
        </w:rPr>
        <w:t xml:space="preserve"> and properties</w:t>
      </w:r>
      <w:r w:rsidR="008F19B2" w:rsidRPr="008F19B2">
        <w:rPr>
          <w:b w:val="0"/>
        </w:rPr>
        <w:t>.</w:t>
      </w:r>
      <w:r w:rsidR="0097078A">
        <w:rPr>
          <w:b w:val="0"/>
        </w:rPr>
        <w:t xml:space="preserve"> </w:t>
      </w:r>
      <w:r w:rsidR="00D31286" w:rsidRPr="00D31286">
        <w:rPr>
          <w:b w:val="0"/>
        </w:rPr>
        <w:t>A thorough understanding of the hydrochar forming mechanism could allow to better govern HTC with a considerable, positive influence on the process economic and environmental footprints, given the optimized hydrochar production and the exhausted solvent recycling.</w:t>
      </w:r>
    </w:p>
    <w:p w14:paraId="459D05E6" w14:textId="77777777" w:rsidR="00600535" w:rsidRPr="00B57B36" w:rsidRDefault="00600535" w:rsidP="00600535">
      <w:pPr>
        <w:pStyle w:val="CETAcknowledgementstitle"/>
      </w:pPr>
      <w:r w:rsidRPr="00BF073F">
        <w:t>Acknowledgments</w:t>
      </w:r>
    </w:p>
    <w:p w14:paraId="0EB39222" w14:textId="77777777" w:rsidR="00BF073F" w:rsidRPr="00B57B36" w:rsidRDefault="00BF073F" w:rsidP="00BF073F">
      <w:pPr>
        <w:pStyle w:val="CETBodytext"/>
        <w:rPr>
          <w:lang w:val="en-GB"/>
        </w:rPr>
      </w:pPr>
      <w:r>
        <w:rPr>
          <w:lang w:val="en-GB"/>
        </w:rPr>
        <w:t xml:space="preserve">Authors gratefully </w:t>
      </w:r>
      <w:r w:rsidRPr="009E3768">
        <w:rPr>
          <w:lang w:val="en-GB"/>
        </w:rPr>
        <w:t>acknowledge</w:t>
      </w:r>
      <w:r>
        <w:rPr>
          <w:lang w:val="en-GB"/>
        </w:rPr>
        <w:t xml:space="preserve"> </w:t>
      </w:r>
      <w:r w:rsidRPr="009E3768">
        <w:rPr>
          <w:lang w:val="en-GB"/>
        </w:rPr>
        <w:t>support</w:t>
      </w:r>
      <w:r>
        <w:rPr>
          <w:lang w:val="en-GB"/>
        </w:rPr>
        <w:t xml:space="preserve"> of</w:t>
      </w:r>
      <w:r w:rsidRPr="009E3768">
        <w:rPr>
          <w:lang w:val="en-GB"/>
        </w:rPr>
        <w:t xml:space="preserve"> the "</w:t>
      </w:r>
      <w:proofErr w:type="spellStart"/>
      <w:r w:rsidRPr="009E3768">
        <w:rPr>
          <w:lang w:val="en-GB"/>
        </w:rPr>
        <w:t>SiciliAn</w:t>
      </w:r>
      <w:proofErr w:type="spellEnd"/>
      <w:r w:rsidRPr="009E3768">
        <w:rPr>
          <w:lang w:val="en-GB"/>
        </w:rPr>
        <w:t xml:space="preserve"> </w:t>
      </w:r>
      <w:proofErr w:type="spellStart"/>
      <w:r w:rsidRPr="009E3768">
        <w:rPr>
          <w:lang w:val="en-GB"/>
        </w:rPr>
        <w:t>MicronanOTecH</w:t>
      </w:r>
      <w:proofErr w:type="spellEnd"/>
      <w:r w:rsidRPr="009E3768">
        <w:rPr>
          <w:lang w:val="en-GB"/>
        </w:rPr>
        <w:t xml:space="preserve"> Research </w:t>
      </w:r>
      <w:proofErr w:type="gramStart"/>
      <w:r w:rsidRPr="009E3768">
        <w:rPr>
          <w:lang w:val="en-GB"/>
        </w:rPr>
        <w:t>And</w:t>
      </w:r>
      <w:proofErr w:type="gramEnd"/>
      <w:r w:rsidRPr="009E3768">
        <w:rPr>
          <w:lang w:val="en-GB"/>
        </w:rPr>
        <w:t xml:space="preserve"> Innovation </w:t>
      </w:r>
      <w:proofErr w:type="spellStart"/>
      <w:r w:rsidRPr="009E3768">
        <w:rPr>
          <w:lang w:val="en-GB"/>
        </w:rPr>
        <w:t>Center</w:t>
      </w:r>
      <w:proofErr w:type="spellEnd"/>
      <w:r w:rsidRPr="009E3768">
        <w:rPr>
          <w:lang w:val="en-GB"/>
        </w:rPr>
        <w:t xml:space="preserve"> - SAMOTHRACE" project (MUR, PNRR-M4C2, ECS_00000022). </w:t>
      </w:r>
    </w:p>
    <w:p w14:paraId="33F8138F" w14:textId="4F29B939" w:rsidR="00600535" w:rsidRPr="00B57B36" w:rsidRDefault="00600535" w:rsidP="00600535">
      <w:pPr>
        <w:pStyle w:val="CETBodytext"/>
        <w:rPr>
          <w:lang w:val="en-GB"/>
        </w:rPr>
      </w:pPr>
    </w:p>
    <w:p w14:paraId="4F1327F8" w14:textId="77777777" w:rsidR="00600535" w:rsidRPr="00B57B36" w:rsidRDefault="00600535" w:rsidP="00600535">
      <w:pPr>
        <w:pStyle w:val="CETReference"/>
      </w:pPr>
      <w:r w:rsidRPr="00B57B36">
        <w:t>References</w:t>
      </w:r>
    </w:p>
    <w:p w14:paraId="4A533A8A" w14:textId="5FF30107" w:rsidR="00D61E21" w:rsidRPr="00D61E21" w:rsidRDefault="00AC5362" w:rsidP="00D61E21">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1405FA">
        <w:rPr>
          <w:rFonts w:cs="Arial"/>
          <w:noProof/>
          <w:szCs w:val="24"/>
        </w:rPr>
        <w:t>Arauzo P.J., Olszewski M.P., Wang X., Pfersich J., Sebastian V., Manyà J., Hedin N., Kruse A., 2020,</w:t>
      </w:r>
      <w:r w:rsidR="00D61E21" w:rsidRPr="00D61E21">
        <w:rPr>
          <w:rFonts w:cs="Arial"/>
          <w:noProof/>
          <w:szCs w:val="24"/>
        </w:rPr>
        <w:t xml:space="preserve"> Assessment of the effects of process water recirculation on the surface chemistry and morphology of hydrochar</w:t>
      </w:r>
      <w:r w:rsidR="00523ACE">
        <w:rPr>
          <w:rFonts w:cs="Arial"/>
          <w:noProof/>
          <w:szCs w:val="24"/>
        </w:rPr>
        <w:t>,</w:t>
      </w:r>
      <w:r w:rsidR="00D61E21" w:rsidRPr="00D61E21">
        <w:rPr>
          <w:rFonts w:cs="Arial"/>
          <w:noProof/>
          <w:szCs w:val="24"/>
        </w:rPr>
        <w:t xml:space="preserve"> Renew. Energy 155, 1173–1180. </w:t>
      </w:r>
    </w:p>
    <w:p w14:paraId="75F99818" w14:textId="7BB81990" w:rsidR="00D61E21" w:rsidRPr="00D61E21" w:rsidRDefault="001405FA" w:rsidP="00D61E21">
      <w:pPr>
        <w:widowControl w:val="0"/>
        <w:autoSpaceDE w:val="0"/>
        <w:autoSpaceDN w:val="0"/>
        <w:adjustRightInd w:val="0"/>
        <w:spacing w:line="240" w:lineRule="auto"/>
        <w:ind w:left="480" w:hanging="480"/>
        <w:rPr>
          <w:rFonts w:cs="Arial"/>
          <w:noProof/>
          <w:szCs w:val="24"/>
        </w:rPr>
      </w:pPr>
      <w:r>
        <w:rPr>
          <w:rFonts w:cs="Arial"/>
          <w:noProof/>
          <w:szCs w:val="24"/>
        </w:rPr>
        <w:t>Jia J., Wang R., Chen H., Xue Q., Yin Q., Zhao Z., 2022,</w:t>
      </w:r>
      <w:r w:rsidR="00D61E21" w:rsidRPr="00D61E21">
        <w:rPr>
          <w:rFonts w:cs="Arial"/>
          <w:noProof/>
          <w:szCs w:val="24"/>
        </w:rPr>
        <w:t xml:space="preserve"> Interaction mechanism between cellulose and hemicellulose during the hydrothermal carbonization of lignocellulosic biomass</w:t>
      </w:r>
      <w:r w:rsidR="00523ACE">
        <w:rPr>
          <w:rFonts w:cs="Arial"/>
          <w:noProof/>
          <w:szCs w:val="24"/>
        </w:rPr>
        <w:t>,</w:t>
      </w:r>
      <w:r w:rsidR="00A6240E">
        <w:rPr>
          <w:rFonts w:cs="Arial"/>
          <w:noProof/>
          <w:szCs w:val="24"/>
        </w:rPr>
        <w:t xml:space="preserve"> Energy. Sci. Eng.,</w:t>
      </w:r>
      <w:r w:rsidR="00D61E21" w:rsidRPr="00D61E21">
        <w:rPr>
          <w:rFonts w:cs="Arial"/>
          <w:noProof/>
          <w:szCs w:val="24"/>
        </w:rPr>
        <w:t xml:space="preserve"> 1–12. </w:t>
      </w:r>
    </w:p>
    <w:p w14:paraId="034CDA5E" w14:textId="4E04FA90" w:rsidR="00D61E21" w:rsidRPr="00D61E21" w:rsidRDefault="001405FA" w:rsidP="00D61E21">
      <w:pPr>
        <w:widowControl w:val="0"/>
        <w:autoSpaceDE w:val="0"/>
        <w:autoSpaceDN w:val="0"/>
        <w:adjustRightInd w:val="0"/>
        <w:spacing w:line="240" w:lineRule="auto"/>
        <w:ind w:left="480" w:hanging="480"/>
        <w:rPr>
          <w:rFonts w:cs="Arial"/>
          <w:noProof/>
          <w:szCs w:val="24"/>
        </w:rPr>
      </w:pPr>
      <w:r>
        <w:rPr>
          <w:rFonts w:cs="Arial"/>
          <w:noProof/>
          <w:szCs w:val="24"/>
        </w:rPr>
        <w:t>Kim D., Lee K., Park K.Y., 2016,</w:t>
      </w:r>
      <w:r w:rsidR="00D61E21" w:rsidRPr="00D61E21">
        <w:rPr>
          <w:rFonts w:cs="Arial"/>
          <w:noProof/>
          <w:szCs w:val="24"/>
        </w:rPr>
        <w:t xml:space="preserve"> Upgrading the characteristics of biochar from cellulose, lignin, and xylan for solid biofuel production from biomass by hydrothermal carbonization</w:t>
      </w:r>
      <w:r w:rsidR="00AD3322">
        <w:rPr>
          <w:rFonts w:cs="Arial"/>
          <w:noProof/>
          <w:szCs w:val="24"/>
        </w:rPr>
        <w:t>,</w:t>
      </w:r>
      <w:r w:rsidR="00D61E21" w:rsidRPr="00D61E21">
        <w:rPr>
          <w:rFonts w:cs="Arial"/>
          <w:noProof/>
          <w:szCs w:val="24"/>
        </w:rPr>
        <w:t xml:space="preserve"> J. Ind. Eng. Chem. 42, 95–100. </w:t>
      </w:r>
    </w:p>
    <w:p w14:paraId="3661EF30" w14:textId="05D91B90" w:rsidR="00D61E21" w:rsidRPr="00D61E21" w:rsidRDefault="001405FA" w:rsidP="00D61E21">
      <w:pPr>
        <w:widowControl w:val="0"/>
        <w:autoSpaceDE w:val="0"/>
        <w:autoSpaceDN w:val="0"/>
        <w:adjustRightInd w:val="0"/>
        <w:spacing w:line="240" w:lineRule="auto"/>
        <w:ind w:left="480" w:hanging="480"/>
        <w:rPr>
          <w:rFonts w:cs="Arial"/>
          <w:noProof/>
          <w:szCs w:val="24"/>
        </w:rPr>
      </w:pPr>
      <w:r>
        <w:rPr>
          <w:rFonts w:cs="Arial"/>
          <w:noProof/>
          <w:szCs w:val="24"/>
        </w:rPr>
        <w:t>Liu T., Jiao H.T., Yang Longsheng, Zhang W., Hu Y., Guo Y., Yang Lihong, Leng</w:t>
      </w:r>
      <w:r w:rsidR="00D61E21" w:rsidRPr="00D61E21">
        <w:rPr>
          <w:rFonts w:cs="Arial"/>
          <w:noProof/>
          <w:szCs w:val="24"/>
        </w:rPr>
        <w:t xml:space="preserve"> S.,</w:t>
      </w:r>
      <w:r w:rsidR="002B4D7E">
        <w:rPr>
          <w:rFonts w:cs="Arial"/>
          <w:noProof/>
          <w:szCs w:val="24"/>
        </w:rPr>
        <w:t xml:space="preserve"> Chen, Jiefeng, Chen, Jie, Peng H., Leng L., Zhou W., 2022,</w:t>
      </w:r>
      <w:r w:rsidR="00D61E21" w:rsidRPr="00D61E21">
        <w:rPr>
          <w:rFonts w:cs="Arial"/>
          <w:noProof/>
          <w:szCs w:val="24"/>
        </w:rPr>
        <w:t xml:space="preserve"> Co-hydrothermal carbonization of cellulose, hemicellulose, and protein with aqueous phase recirculation: Insight into the reaction mechanisms on hydrochar formation</w:t>
      </w:r>
      <w:r w:rsidR="00AD3322">
        <w:rPr>
          <w:rFonts w:cs="Arial"/>
          <w:noProof/>
          <w:szCs w:val="24"/>
        </w:rPr>
        <w:t>,</w:t>
      </w:r>
      <w:r w:rsidR="00D61E21" w:rsidRPr="00D61E21">
        <w:rPr>
          <w:rFonts w:cs="Arial"/>
          <w:noProof/>
          <w:szCs w:val="24"/>
        </w:rPr>
        <w:t xml:space="preserve"> Energy 251. </w:t>
      </w:r>
    </w:p>
    <w:p w14:paraId="6621D044" w14:textId="10DC0896" w:rsidR="00D61E21" w:rsidRPr="00D61E21" w:rsidRDefault="002B4D7E" w:rsidP="00D61E21">
      <w:pPr>
        <w:widowControl w:val="0"/>
        <w:autoSpaceDE w:val="0"/>
        <w:autoSpaceDN w:val="0"/>
        <w:adjustRightInd w:val="0"/>
        <w:spacing w:line="240" w:lineRule="auto"/>
        <w:ind w:left="480" w:hanging="480"/>
        <w:rPr>
          <w:rFonts w:cs="Arial"/>
          <w:noProof/>
          <w:szCs w:val="24"/>
        </w:rPr>
      </w:pPr>
      <w:r>
        <w:rPr>
          <w:rFonts w:cs="Arial"/>
          <w:noProof/>
          <w:szCs w:val="24"/>
        </w:rPr>
        <w:t>Lu J., Liu Z., Zhang Y., Savage P.E., 2018,</w:t>
      </w:r>
      <w:r w:rsidR="00D61E21" w:rsidRPr="00D61E21">
        <w:rPr>
          <w:rFonts w:cs="Arial"/>
          <w:noProof/>
          <w:szCs w:val="24"/>
        </w:rPr>
        <w:t xml:space="preserve"> Synergistic and Antagonistic Interactions during Hydrothermal Liquefaction of Soybean Oil, Soy Protein, Cellulose, Xylose, and Lignin</w:t>
      </w:r>
      <w:r w:rsidR="00A816C0">
        <w:rPr>
          <w:rFonts w:cs="Arial"/>
          <w:noProof/>
          <w:szCs w:val="24"/>
        </w:rPr>
        <w:t>,</w:t>
      </w:r>
      <w:r w:rsidR="00D61E21" w:rsidRPr="00D61E21">
        <w:rPr>
          <w:rFonts w:cs="Arial"/>
          <w:noProof/>
          <w:szCs w:val="24"/>
        </w:rPr>
        <w:t xml:space="preserve"> ACS Sustain. Chem. Eng. 6, 14501–14509. </w:t>
      </w:r>
    </w:p>
    <w:p w14:paraId="37829C5D" w14:textId="57F9E204" w:rsidR="00D61E21" w:rsidRPr="00D61E21" w:rsidRDefault="00A17519" w:rsidP="00D61E21">
      <w:pPr>
        <w:widowControl w:val="0"/>
        <w:autoSpaceDE w:val="0"/>
        <w:autoSpaceDN w:val="0"/>
        <w:adjustRightInd w:val="0"/>
        <w:spacing w:line="240" w:lineRule="auto"/>
        <w:ind w:left="480" w:hanging="480"/>
        <w:rPr>
          <w:rFonts w:cs="Arial"/>
          <w:noProof/>
          <w:szCs w:val="24"/>
        </w:rPr>
      </w:pPr>
      <w:r>
        <w:rPr>
          <w:rFonts w:cs="Arial"/>
          <w:noProof/>
          <w:szCs w:val="24"/>
        </w:rPr>
        <w:t>Picone A., Volpe M., Messineo A., 2024,</w:t>
      </w:r>
      <w:r w:rsidR="00D61E21" w:rsidRPr="00D61E21">
        <w:rPr>
          <w:rFonts w:cs="Arial"/>
          <w:noProof/>
          <w:szCs w:val="24"/>
        </w:rPr>
        <w:t xml:space="preserve"> Synergistic Effects towards Hydrochar Recovery during Hydrothermal Carbonization of Ferula Communis with Process Water Recirculation</w:t>
      </w:r>
      <w:r w:rsidR="00733F95">
        <w:rPr>
          <w:rFonts w:cs="Arial"/>
          <w:noProof/>
          <w:szCs w:val="24"/>
        </w:rPr>
        <w:t>,</w:t>
      </w:r>
      <w:r w:rsidR="00D61E21" w:rsidRPr="00D61E21">
        <w:rPr>
          <w:rFonts w:cs="Arial"/>
          <w:noProof/>
          <w:szCs w:val="24"/>
        </w:rPr>
        <w:t xml:space="preserve"> Chem. Eng. Trans. 109, 121–126. </w:t>
      </w:r>
    </w:p>
    <w:p w14:paraId="53D033E9" w14:textId="1EB9BE26" w:rsidR="00D61E21" w:rsidRPr="00D61E21" w:rsidRDefault="00A17519" w:rsidP="00D61E21">
      <w:pPr>
        <w:widowControl w:val="0"/>
        <w:autoSpaceDE w:val="0"/>
        <w:autoSpaceDN w:val="0"/>
        <w:adjustRightInd w:val="0"/>
        <w:spacing w:line="240" w:lineRule="auto"/>
        <w:ind w:left="480" w:hanging="480"/>
        <w:rPr>
          <w:rFonts w:cs="Arial"/>
          <w:noProof/>
          <w:szCs w:val="24"/>
        </w:rPr>
      </w:pPr>
      <w:r>
        <w:rPr>
          <w:rFonts w:cs="Arial"/>
          <w:noProof/>
          <w:szCs w:val="24"/>
        </w:rPr>
        <w:t>Poerschmann J., Weiner B., Koehler R., Kopinke</w:t>
      </w:r>
      <w:r w:rsidR="00D61E21" w:rsidRPr="00D61E21">
        <w:rPr>
          <w:rFonts w:cs="Arial"/>
          <w:noProof/>
          <w:szCs w:val="24"/>
        </w:rPr>
        <w:t xml:space="preserve"> F.D., 2017</w:t>
      </w:r>
      <w:r>
        <w:rPr>
          <w:rFonts w:cs="Arial"/>
          <w:noProof/>
          <w:szCs w:val="24"/>
        </w:rPr>
        <w:t>,</w:t>
      </w:r>
      <w:r w:rsidR="00D61E21" w:rsidRPr="00D61E21">
        <w:rPr>
          <w:rFonts w:cs="Arial"/>
          <w:noProof/>
          <w:szCs w:val="24"/>
        </w:rPr>
        <w:t xml:space="preserve"> Hydrothermal Carbonization of Glucose, Fructose, and Xylose - Identification of Organic Products with Medium Molecular Masses</w:t>
      </w:r>
      <w:r w:rsidR="00733F95">
        <w:rPr>
          <w:rFonts w:cs="Arial"/>
          <w:noProof/>
          <w:szCs w:val="24"/>
        </w:rPr>
        <w:t>,</w:t>
      </w:r>
      <w:r w:rsidR="00D61E21" w:rsidRPr="00D61E21">
        <w:rPr>
          <w:rFonts w:cs="Arial"/>
          <w:noProof/>
          <w:szCs w:val="24"/>
        </w:rPr>
        <w:t xml:space="preserve"> ACS Sustain. Chem. Eng. 5, 6420–6428.</w:t>
      </w:r>
    </w:p>
    <w:p w14:paraId="75644782" w14:textId="308CC78F" w:rsidR="00D61E21" w:rsidRPr="00D61E21" w:rsidRDefault="00A17519" w:rsidP="00D61E21">
      <w:pPr>
        <w:widowControl w:val="0"/>
        <w:autoSpaceDE w:val="0"/>
        <w:autoSpaceDN w:val="0"/>
        <w:adjustRightInd w:val="0"/>
        <w:spacing w:line="240" w:lineRule="auto"/>
        <w:ind w:left="480" w:hanging="480"/>
        <w:rPr>
          <w:rFonts w:cs="Arial"/>
          <w:noProof/>
          <w:szCs w:val="24"/>
        </w:rPr>
      </w:pPr>
      <w:r>
        <w:rPr>
          <w:rFonts w:cs="Arial"/>
          <w:noProof/>
          <w:szCs w:val="24"/>
        </w:rPr>
        <w:t>Sheng K., Zhang S., Liu J., E S., Jin C., Xu Z., Zhang X., 2019,</w:t>
      </w:r>
      <w:r w:rsidR="00D61E21" w:rsidRPr="00D61E21">
        <w:rPr>
          <w:rFonts w:cs="Arial"/>
          <w:noProof/>
          <w:szCs w:val="24"/>
        </w:rPr>
        <w:t xml:space="preserve"> Hydrothermal carbonization of cellulose and xylan into hydrochars and application on glucose isomerization</w:t>
      </w:r>
      <w:r w:rsidR="00733F95">
        <w:rPr>
          <w:rFonts w:cs="Arial"/>
          <w:noProof/>
          <w:szCs w:val="24"/>
        </w:rPr>
        <w:t>,</w:t>
      </w:r>
      <w:r w:rsidR="00D61E21" w:rsidRPr="00D61E21">
        <w:rPr>
          <w:rFonts w:cs="Arial"/>
          <w:noProof/>
          <w:szCs w:val="24"/>
        </w:rPr>
        <w:t xml:space="preserve"> J. Clean. Prod. 237, 117831. </w:t>
      </w:r>
    </w:p>
    <w:p w14:paraId="23184C93" w14:textId="23D0921E" w:rsidR="00D61E21" w:rsidRPr="00D61E21" w:rsidRDefault="00205C92" w:rsidP="00D61E21">
      <w:pPr>
        <w:widowControl w:val="0"/>
        <w:autoSpaceDE w:val="0"/>
        <w:autoSpaceDN w:val="0"/>
        <w:adjustRightInd w:val="0"/>
        <w:spacing w:line="240" w:lineRule="auto"/>
        <w:ind w:left="480" w:hanging="480"/>
        <w:rPr>
          <w:rFonts w:cs="Arial"/>
          <w:noProof/>
          <w:szCs w:val="24"/>
        </w:rPr>
      </w:pPr>
      <w:r>
        <w:rPr>
          <w:rFonts w:cs="Arial"/>
          <w:noProof/>
          <w:szCs w:val="24"/>
        </w:rPr>
        <w:t>Volpe M., Messineo A., Mäkelä M., Barr</w:t>
      </w:r>
      <w:r w:rsidR="00D61E21" w:rsidRPr="00D61E21">
        <w:rPr>
          <w:rFonts w:cs="Arial"/>
          <w:noProof/>
          <w:szCs w:val="24"/>
        </w:rPr>
        <w:t xml:space="preserve"> </w:t>
      </w:r>
      <w:r>
        <w:rPr>
          <w:rFonts w:cs="Arial"/>
          <w:noProof/>
          <w:szCs w:val="24"/>
        </w:rPr>
        <w:t>M.R., Volpe R., Corrado C., Fiori L., 2020,</w:t>
      </w:r>
      <w:r w:rsidR="00D61E21" w:rsidRPr="00D61E21">
        <w:rPr>
          <w:rFonts w:cs="Arial"/>
          <w:noProof/>
          <w:szCs w:val="24"/>
        </w:rPr>
        <w:t xml:space="preserve"> Reactivity of cellulose during hydrothermal carbonization of lignocellulosic biomass</w:t>
      </w:r>
      <w:r w:rsidR="00733F95">
        <w:rPr>
          <w:rFonts w:cs="Arial"/>
          <w:noProof/>
          <w:szCs w:val="24"/>
        </w:rPr>
        <w:t>,</w:t>
      </w:r>
      <w:r w:rsidR="00D61E21" w:rsidRPr="00D61E21">
        <w:rPr>
          <w:rFonts w:cs="Arial"/>
          <w:noProof/>
          <w:szCs w:val="24"/>
        </w:rPr>
        <w:t xml:space="preserve"> Fuel Process. Technol. 206. https://doi.org/10.1016/j.fuproc.2020.106456</w:t>
      </w:r>
    </w:p>
    <w:p w14:paraId="763E711A" w14:textId="07333677" w:rsidR="00D61E21" w:rsidRPr="00D61E21" w:rsidRDefault="00EC6B74" w:rsidP="00D61E21">
      <w:pPr>
        <w:widowControl w:val="0"/>
        <w:autoSpaceDE w:val="0"/>
        <w:autoSpaceDN w:val="0"/>
        <w:adjustRightInd w:val="0"/>
        <w:spacing w:line="240" w:lineRule="auto"/>
        <w:ind w:left="480" w:hanging="480"/>
        <w:rPr>
          <w:rFonts w:cs="Arial"/>
          <w:noProof/>
          <w:szCs w:val="24"/>
        </w:rPr>
      </w:pPr>
      <w:r>
        <w:rPr>
          <w:rFonts w:cs="Arial"/>
          <w:noProof/>
          <w:szCs w:val="24"/>
        </w:rPr>
        <w:t>Volpe R., Messineo S., Volpe M., Messineo</w:t>
      </w:r>
      <w:r w:rsidR="00D61E21" w:rsidRPr="00D61E21">
        <w:rPr>
          <w:rFonts w:cs="Arial"/>
          <w:noProof/>
          <w:szCs w:val="24"/>
        </w:rPr>
        <w:t xml:space="preserve"> A., </w:t>
      </w:r>
      <w:r>
        <w:rPr>
          <w:rFonts w:cs="Arial"/>
          <w:noProof/>
          <w:szCs w:val="24"/>
        </w:rPr>
        <w:t>2016,</w:t>
      </w:r>
      <w:r w:rsidR="00D61E21" w:rsidRPr="00D61E21">
        <w:rPr>
          <w:rFonts w:cs="Arial"/>
          <w:noProof/>
          <w:szCs w:val="24"/>
        </w:rPr>
        <w:t xml:space="preserve"> Catalytic effect of char for tar cracking in pyrolysis of citrus wastes, design of a novel experimental set up and first results</w:t>
      </w:r>
      <w:r w:rsidR="00733F95">
        <w:rPr>
          <w:rFonts w:cs="Arial"/>
          <w:noProof/>
          <w:szCs w:val="24"/>
        </w:rPr>
        <w:t>,</w:t>
      </w:r>
      <w:r w:rsidR="00D61E21" w:rsidRPr="00D61E21">
        <w:rPr>
          <w:rFonts w:cs="Arial"/>
          <w:noProof/>
          <w:szCs w:val="24"/>
        </w:rPr>
        <w:t xml:space="preserve"> Chem. Eng. Trans. 50, 181–186. </w:t>
      </w:r>
    </w:p>
    <w:p w14:paraId="5485DA25" w14:textId="3B43D94B" w:rsidR="00D61E21" w:rsidRPr="00D61E21" w:rsidRDefault="00EC6B74" w:rsidP="00D61E21">
      <w:pPr>
        <w:widowControl w:val="0"/>
        <w:autoSpaceDE w:val="0"/>
        <w:autoSpaceDN w:val="0"/>
        <w:adjustRightInd w:val="0"/>
        <w:spacing w:line="240" w:lineRule="auto"/>
        <w:ind w:left="480" w:hanging="480"/>
        <w:rPr>
          <w:rFonts w:cs="Arial"/>
          <w:noProof/>
          <w:szCs w:val="24"/>
        </w:rPr>
      </w:pPr>
      <w:r>
        <w:rPr>
          <w:rFonts w:cs="Arial"/>
          <w:noProof/>
          <w:szCs w:val="24"/>
        </w:rPr>
        <w:t>Wang R., Jia J., Jin Q., Chen H., 2022,</w:t>
      </w:r>
      <w:r w:rsidR="00D61E21" w:rsidRPr="00D61E21">
        <w:rPr>
          <w:rFonts w:cs="Arial"/>
          <w:noProof/>
          <w:szCs w:val="24"/>
        </w:rPr>
        <w:t xml:space="preserve"> Forming mechanism of coke microparticles from polymerization of aqueous organics during hydrothermal carbonization process of biomass</w:t>
      </w:r>
      <w:r w:rsidR="00733F95">
        <w:rPr>
          <w:rFonts w:cs="Arial"/>
          <w:noProof/>
          <w:szCs w:val="24"/>
        </w:rPr>
        <w:t>,</w:t>
      </w:r>
      <w:r w:rsidR="00D61E21" w:rsidRPr="00D61E21">
        <w:rPr>
          <w:rFonts w:cs="Arial"/>
          <w:noProof/>
          <w:szCs w:val="24"/>
        </w:rPr>
        <w:t xml:space="preserve"> Carbon N. Y. 192, 50–60. </w:t>
      </w:r>
    </w:p>
    <w:p w14:paraId="2E0EA644" w14:textId="09ACBC96" w:rsidR="00D61E21" w:rsidRPr="00D61E21" w:rsidRDefault="00EC6B74" w:rsidP="00D61E21">
      <w:pPr>
        <w:widowControl w:val="0"/>
        <w:autoSpaceDE w:val="0"/>
        <w:autoSpaceDN w:val="0"/>
        <w:adjustRightInd w:val="0"/>
        <w:spacing w:line="240" w:lineRule="auto"/>
        <w:ind w:left="480" w:hanging="480"/>
        <w:rPr>
          <w:rFonts w:cs="Arial"/>
          <w:noProof/>
        </w:rPr>
      </w:pPr>
      <w:r>
        <w:rPr>
          <w:rFonts w:cs="Arial"/>
          <w:noProof/>
          <w:szCs w:val="24"/>
        </w:rPr>
        <w:t>Wang R., Jin Q., Ye X., Lei H., Jia J., Zhao Z., 2020,</w:t>
      </w:r>
      <w:r w:rsidR="00D61E21" w:rsidRPr="00D61E21">
        <w:rPr>
          <w:rFonts w:cs="Arial"/>
          <w:noProof/>
          <w:szCs w:val="24"/>
        </w:rPr>
        <w:t xml:space="preserve"> Effect of process wastewater recycling on the chemical evolution and formation mechanism of hydrochar from herbaceous biomass during hydrothermal carbonization</w:t>
      </w:r>
      <w:r w:rsidR="00733F95">
        <w:rPr>
          <w:rFonts w:cs="Arial"/>
          <w:noProof/>
          <w:szCs w:val="24"/>
        </w:rPr>
        <w:t>,</w:t>
      </w:r>
      <w:r w:rsidR="00D61E21" w:rsidRPr="00D61E21">
        <w:rPr>
          <w:rFonts w:cs="Arial"/>
          <w:noProof/>
          <w:szCs w:val="24"/>
        </w:rPr>
        <w:t xml:space="preserve"> J. Clean. Prod. 277. </w:t>
      </w:r>
    </w:p>
    <w:p w14:paraId="6316B159" w14:textId="74A556E0" w:rsidR="00DE4550" w:rsidRDefault="00AC5362" w:rsidP="00D61E21">
      <w:pPr>
        <w:widowControl w:val="0"/>
        <w:autoSpaceDE w:val="0"/>
        <w:autoSpaceDN w:val="0"/>
        <w:adjustRightInd w:val="0"/>
        <w:spacing w:line="240" w:lineRule="auto"/>
        <w:ind w:left="480" w:hanging="480"/>
      </w:pPr>
      <w:r>
        <w:fldChar w:fldCharType="end"/>
      </w:r>
    </w:p>
    <w:p w14:paraId="00BA3D4F" w14:textId="77777777" w:rsidR="00C52C3C" w:rsidRDefault="00C52C3C" w:rsidP="00E65B91">
      <w:pPr>
        <w:pStyle w:val="CETReferencetext"/>
      </w:pPr>
    </w:p>
    <w:p w14:paraId="03CEA04C" w14:textId="77777777" w:rsidR="00C52C3C" w:rsidRDefault="00C52C3C" w:rsidP="00E65B91">
      <w:pPr>
        <w:pStyle w:val="CETReferencetext"/>
      </w:pPr>
    </w:p>
    <w:p w14:paraId="28E8379D" w14:textId="77777777" w:rsidR="00C52C3C" w:rsidRDefault="00C52C3C" w:rsidP="00E65B91">
      <w:pPr>
        <w:pStyle w:val="CETReferencetext"/>
      </w:pP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p w14:paraId="19C4FC68" w14:textId="77777777" w:rsidR="004628D2" w:rsidRDefault="004628D2" w:rsidP="00FA5F5F">
      <w:pPr>
        <w:pStyle w:val="CETHeading1"/>
        <w:numPr>
          <w:ilvl w:val="0"/>
          <w:numId w:val="0"/>
        </w:numPr>
      </w:pP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5587" w14:textId="77777777" w:rsidR="00015E44" w:rsidRDefault="00015E44" w:rsidP="004F5E36">
      <w:r>
        <w:separator/>
      </w:r>
    </w:p>
  </w:endnote>
  <w:endnote w:type="continuationSeparator" w:id="0">
    <w:p w14:paraId="3FBE37B0" w14:textId="77777777" w:rsidR="00015E44" w:rsidRDefault="00015E4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Hiragino Sans CNS W3">
    <w:charset w:val="51"/>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070D9" w14:textId="77777777" w:rsidR="00015E44" w:rsidRDefault="00015E44" w:rsidP="004F5E36">
      <w:r>
        <w:separator/>
      </w:r>
    </w:p>
  </w:footnote>
  <w:footnote w:type="continuationSeparator" w:id="0">
    <w:p w14:paraId="2CB02234" w14:textId="77777777" w:rsidR="00015E44" w:rsidRDefault="00015E4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4AC8446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B10"/>
    <w:rsid w:val="000052FB"/>
    <w:rsid w:val="00005A19"/>
    <w:rsid w:val="00005DA4"/>
    <w:rsid w:val="000073F4"/>
    <w:rsid w:val="000117CB"/>
    <w:rsid w:val="00015E44"/>
    <w:rsid w:val="00024CF9"/>
    <w:rsid w:val="0003148D"/>
    <w:rsid w:val="00031EEC"/>
    <w:rsid w:val="00041320"/>
    <w:rsid w:val="00047243"/>
    <w:rsid w:val="00051566"/>
    <w:rsid w:val="00055F84"/>
    <w:rsid w:val="000562A9"/>
    <w:rsid w:val="00062A9A"/>
    <w:rsid w:val="00062FBD"/>
    <w:rsid w:val="0006310B"/>
    <w:rsid w:val="0006399C"/>
    <w:rsid w:val="00064E43"/>
    <w:rsid w:val="00065058"/>
    <w:rsid w:val="00065091"/>
    <w:rsid w:val="00065269"/>
    <w:rsid w:val="00080741"/>
    <w:rsid w:val="00082F1E"/>
    <w:rsid w:val="00086C39"/>
    <w:rsid w:val="000871C5"/>
    <w:rsid w:val="000A03B2"/>
    <w:rsid w:val="000B1F06"/>
    <w:rsid w:val="000B1F56"/>
    <w:rsid w:val="000B2978"/>
    <w:rsid w:val="000C5AC5"/>
    <w:rsid w:val="000D0268"/>
    <w:rsid w:val="000D34BE"/>
    <w:rsid w:val="000D5E2D"/>
    <w:rsid w:val="000E0B3C"/>
    <w:rsid w:val="000E102F"/>
    <w:rsid w:val="000E36F1"/>
    <w:rsid w:val="000E3A73"/>
    <w:rsid w:val="000E414A"/>
    <w:rsid w:val="000E6DE4"/>
    <w:rsid w:val="000E75FD"/>
    <w:rsid w:val="000F093C"/>
    <w:rsid w:val="000F6CCE"/>
    <w:rsid w:val="000F787B"/>
    <w:rsid w:val="001045CA"/>
    <w:rsid w:val="00107679"/>
    <w:rsid w:val="0012091F"/>
    <w:rsid w:val="00125101"/>
    <w:rsid w:val="00126BC2"/>
    <w:rsid w:val="00127E16"/>
    <w:rsid w:val="001308B6"/>
    <w:rsid w:val="0013121F"/>
    <w:rsid w:val="00131FE6"/>
    <w:rsid w:val="0013263F"/>
    <w:rsid w:val="001331DF"/>
    <w:rsid w:val="0013322B"/>
    <w:rsid w:val="00134DE4"/>
    <w:rsid w:val="001362FE"/>
    <w:rsid w:val="0014034D"/>
    <w:rsid w:val="001405FA"/>
    <w:rsid w:val="00140A3A"/>
    <w:rsid w:val="00140FE3"/>
    <w:rsid w:val="001435FA"/>
    <w:rsid w:val="00144D16"/>
    <w:rsid w:val="00150E59"/>
    <w:rsid w:val="00152DE3"/>
    <w:rsid w:val="001564DA"/>
    <w:rsid w:val="00161F5B"/>
    <w:rsid w:val="00163995"/>
    <w:rsid w:val="00163EC1"/>
    <w:rsid w:val="00164CF9"/>
    <w:rsid w:val="0016668E"/>
    <w:rsid w:val="001667A6"/>
    <w:rsid w:val="00171CB6"/>
    <w:rsid w:val="00173EB1"/>
    <w:rsid w:val="00176762"/>
    <w:rsid w:val="0018078A"/>
    <w:rsid w:val="0018171E"/>
    <w:rsid w:val="00184AD6"/>
    <w:rsid w:val="0019701A"/>
    <w:rsid w:val="001A0870"/>
    <w:rsid w:val="001A4AF7"/>
    <w:rsid w:val="001B0349"/>
    <w:rsid w:val="001B1B50"/>
    <w:rsid w:val="001B1E93"/>
    <w:rsid w:val="001B27F4"/>
    <w:rsid w:val="001B3C3C"/>
    <w:rsid w:val="001B44E0"/>
    <w:rsid w:val="001B65C1"/>
    <w:rsid w:val="001C0B68"/>
    <w:rsid w:val="001C260F"/>
    <w:rsid w:val="001C58C4"/>
    <w:rsid w:val="001C5C3A"/>
    <w:rsid w:val="001C684B"/>
    <w:rsid w:val="001D0CFB"/>
    <w:rsid w:val="001D21AF"/>
    <w:rsid w:val="001D3D32"/>
    <w:rsid w:val="001D4B9C"/>
    <w:rsid w:val="001D53FC"/>
    <w:rsid w:val="001D771A"/>
    <w:rsid w:val="001E3C2C"/>
    <w:rsid w:val="001E502A"/>
    <w:rsid w:val="001F42A5"/>
    <w:rsid w:val="001F7B9D"/>
    <w:rsid w:val="00200B8E"/>
    <w:rsid w:val="00201C93"/>
    <w:rsid w:val="00202A50"/>
    <w:rsid w:val="00203E78"/>
    <w:rsid w:val="00205C92"/>
    <w:rsid w:val="00211899"/>
    <w:rsid w:val="00213469"/>
    <w:rsid w:val="002224B4"/>
    <w:rsid w:val="00222972"/>
    <w:rsid w:val="00231D57"/>
    <w:rsid w:val="00233E49"/>
    <w:rsid w:val="002341F7"/>
    <w:rsid w:val="00235918"/>
    <w:rsid w:val="00243305"/>
    <w:rsid w:val="002447EF"/>
    <w:rsid w:val="00244E5C"/>
    <w:rsid w:val="00247D15"/>
    <w:rsid w:val="00251550"/>
    <w:rsid w:val="00263B05"/>
    <w:rsid w:val="0026636C"/>
    <w:rsid w:val="0027157E"/>
    <w:rsid w:val="0027221A"/>
    <w:rsid w:val="00275B61"/>
    <w:rsid w:val="00280FAF"/>
    <w:rsid w:val="00282433"/>
    <w:rsid w:val="00282656"/>
    <w:rsid w:val="0028339D"/>
    <w:rsid w:val="00291FE3"/>
    <w:rsid w:val="00296B83"/>
    <w:rsid w:val="0029758C"/>
    <w:rsid w:val="002A4F3F"/>
    <w:rsid w:val="002B4015"/>
    <w:rsid w:val="002B4D7E"/>
    <w:rsid w:val="002B68F4"/>
    <w:rsid w:val="002B78CE"/>
    <w:rsid w:val="002C2FB6"/>
    <w:rsid w:val="002C3558"/>
    <w:rsid w:val="002D6EBB"/>
    <w:rsid w:val="002E200C"/>
    <w:rsid w:val="002E5FA7"/>
    <w:rsid w:val="002F3309"/>
    <w:rsid w:val="002F57CF"/>
    <w:rsid w:val="003008CE"/>
    <w:rsid w:val="003009B7"/>
    <w:rsid w:val="00300E56"/>
    <w:rsid w:val="0030152C"/>
    <w:rsid w:val="003025CE"/>
    <w:rsid w:val="0030469C"/>
    <w:rsid w:val="00304CE8"/>
    <w:rsid w:val="00321CA6"/>
    <w:rsid w:val="00323763"/>
    <w:rsid w:val="00323C5F"/>
    <w:rsid w:val="00325670"/>
    <w:rsid w:val="00326406"/>
    <w:rsid w:val="00334C09"/>
    <w:rsid w:val="00335D0F"/>
    <w:rsid w:val="0035639D"/>
    <w:rsid w:val="00362ACA"/>
    <w:rsid w:val="0036653A"/>
    <w:rsid w:val="003723D4"/>
    <w:rsid w:val="00376393"/>
    <w:rsid w:val="00381905"/>
    <w:rsid w:val="00384CC8"/>
    <w:rsid w:val="003871FD"/>
    <w:rsid w:val="003877F3"/>
    <w:rsid w:val="003927CE"/>
    <w:rsid w:val="00392E4C"/>
    <w:rsid w:val="003A1E30"/>
    <w:rsid w:val="003A2829"/>
    <w:rsid w:val="003A5AFE"/>
    <w:rsid w:val="003A7D1C"/>
    <w:rsid w:val="003B304B"/>
    <w:rsid w:val="003B3146"/>
    <w:rsid w:val="003B49CD"/>
    <w:rsid w:val="003C0C7E"/>
    <w:rsid w:val="003D1E02"/>
    <w:rsid w:val="003F015E"/>
    <w:rsid w:val="00400414"/>
    <w:rsid w:val="00402C66"/>
    <w:rsid w:val="00410525"/>
    <w:rsid w:val="0041446B"/>
    <w:rsid w:val="00415AD1"/>
    <w:rsid w:val="004227C8"/>
    <w:rsid w:val="00423D46"/>
    <w:rsid w:val="00424EF2"/>
    <w:rsid w:val="004308A3"/>
    <w:rsid w:val="0044071E"/>
    <w:rsid w:val="0044329C"/>
    <w:rsid w:val="00447062"/>
    <w:rsid w:val="004505CA"/>
    <w:rsid w:val="0045213B"/>
    <w:rsid w:val="00453E24"/>
    <w:rsid w:val="00457456"/>
    <w:rsid w:val="004577FE"/>
    <w:rsid w:val="00457B9C"/>
    <w:rsid w:val="0046164A"/>
    <w:rsid w:val="004628D2"/>
    <w:rsid w:val="00462DCD"/>
    <w:rsid w:val="004648AD"/>
    <w:rsid w:val="004703A9"/>
    <w:rsid w:val="00475967"/>
    <w:rsid w:val="004760DE"/>
    <w:rsid w:val="004763D7"/>
    <w:rsid w:val="00476DFB"/>
    <w:rsid w:val="00480F69"/>
    <w:rsid w:val="00482DD6"/>
    <w:rsid w:val="00484CD6"/>
    <w:rsid w:val="0048744E"/>
    <w:rsid w:val="004879A0"/>
    <w:rsid w:val="00487CF4"/>
    <w:rsid w:val="00492037"/>
    <w:rsid w:val="004A004E"/>
    <w:rsid w:val="004A0165"/>
    <w:rsid w:val="004A0899"/>
    <w:rsid w:val="004A24CF"/>
    <w:rsid w:val="004A35B2"/>
    <w:rsid w:val="004A7666"/>
    <w:rsid w:val="004B7BF1"/>
    <w:rsid w:val="004C3D1D"/>
    <w:rsid w:val="004C3D84"/>
    <w:rsid w:val="004C7913"/>
    <w:rsid w:val="004C7A57"/>
    <w:rsid w:val="004D0F36"/>
    <w:rsid w:val="004E4DD6"/>
    <w:rsid w:val="004F4BFC"/>
    <w:rsid w:val="004F5E36"/>
    <w:rsid w:val="004F6987"/>
    <w:rsid w:val="0050199A"/>
    <w:rsid w:val="00502409"/>
    <w:rsid w:val="00507B47"/>
    <w:rsid w:val="00507BEF"/>
    <w:rsid w:val="00507CC9"/>
    <w:rsid w:val="005119A5"/>
    <w:rsid w:val="005145C4"/>
    <w:rsid w:val="00522E26"/>
    <w:rsid w:val="00523ACE"/>
    <w:rsid w:val="00523CD9"/>
    <w:rsid w:val="005261C8"/>
    <w:rsid w:val="0052757D"/>
    <w:rsid w:val="005278B7"/>
    <w:rsid w:val="00532016"/>
    <w:rsid w:val="005346C8"/>
    <w:rsid w:val="005436FF"/>
    <w:rsid w:val="00543E7D"/>
    <w:rsid w:val="00544A7B"/>
    <w:rsid w:val="00545CF7"/>
    <w:rsid w:val="00546C52"/>
    <w:rsid w:val="00547A68"/>
    <w:rsid w:val="00547CAA"/>
    <w:rsid w:val="005531C9"/>
    <w:rsid w:val="005538D8"/>
    <w:rsid w:val="00553964"/>
    <w:rsid w:val="00554879"/>
    <w:rsid w:val="00557945"/>
    <w:rsid w:val="00570C43"/>
    <w:rsid w:val="005735BE"/>
    <w:rsid w:val="00585FDF"/>
    <w:rsid w:val="00592274"/>
    <w:rsid w:val="0059483D"/>
    <w:rsid w:val="00595E0C"/>
    <w:rsid w:val="00596481"/>
    <w:rsid w:val="00596D59"/>
    <w:rsid w:val="005A2982"/>
    <w:rsid w:val="005B2110"/>
    <w:rsid w:val="005B350B"/>
    <w:rsid w:val="005B40A8"/>
    <w:rsid w:val="005B493E"/>
    <w:rsid w:val="005B61E6"/>
    <w:rsid w:val="005C0757"/>
    <w:rsid w:val="005C77E1"/>
    <w:rsid w:val="005C782F"/>
    <w:rsid w:val="005D307C"/>
    <w:rsid w:val="005D4DC5"/>
    <w:rsid w:val="005D668A"/>
    <w:rsid w:val="005D6A2F"/>
    <w:rsid w:val="005D6CD1"/>
    <w:rsid w:val="005E0592"/>
    <w:rsid w:val="005E1A82"/>
    <w:rsid w:val="005E794C"/>
    <w:rsid w:val="005F0A28"/>
    <w:rsid w:val="005F0E5E"/>
    <w:rsid w:val="005F2F5C"/>
    <w:rsid w:val="005F7258"/>
    <w:rsid w:val="005F7C5F"/>
    <w:rsid w:val="0060005C"/>
    <w:rsid w:val="00600535"/>
    <w:rsid w:val="006036EF"/>
    <w:rsid w:val="00610AB8"/>
    <w:rsid w:val="00610CD6"/>
    <w:rsid w:val="006176E5"/>
    <w:rsid w:val="00620DEE"/>
    <w:rsid w:val="00621F92"/>
    <w:rsid w:val="0062280A"/>
    <w:rsid w:val="006231E1"/>
    <w:rsid w:val="00625639"/>
    <w:rsid w:val="00626342"/>
    <w:rsid w:val="00627DB5"/>
    <w:rsid w:val="00631B33"/>
    <w:rsid w:val="0063539B"/>
    <w:rsid w:val="0063588B"/>
    <w:rsid w:val="00635D59"/>
    <w:rsid w:val="006413E4"/>
    <w:rsid w:val="0064184D"/>
    <w:rsid w:val="006422CC"/>
    <w:rsid w:val="0064513F"/>
    <w:rsid w:val="00651D18"/>
    <w:rsid w:val="00657BB1"/>
    <w:rsid w:val="00657BB8"/>
    <w:rsid w:val="00660E3E"/>
    <w:rsid w:val="00661AD8"/>
    <w:rsid w:val="00662E74"/>
    <w:rsid w:val="00664805"/>
    <w:rsid w:val="00680C23"/>
    <w:rsid w:val="00683679"/>
    <w:rsid w:val="00683E23"/>
    <w:rsid w:val="00693766"/>
    <w:rsid w:val="00693B85"/>
    <w:rsid w:val="006A3281"/>
    <w:rsid w:val="006A332F"/>
    <w:rsid w:val="006A6DE5"/>
    <w:rsid w:val="006B02FA"/>
    <w:rsid w:val="006B4888"/>
    <w:rsid w:val="006C2E45"/>
    <w:rsid w:val="006C359C"/>
    <w:rsid w:val="006C5579"/>
    <w:rsid w:val="006D4360"/>
    <w:rsid w:val="006D4377"/>
    <w:rsid w:val="006D44F7"/>
    <w:rsid w:val="006D6E8B"/>
    <w:rsid w:val="006D704A"/>
    <w:rsid w:val="006D7209"/>
    <w:rsid w:val="006E022D"/>
    <w:rsid w:val="006E2D6A"/>
    <w:rsid w:val="006E3457"/>
    <w:rsid w:val="006E5FB3"/>
    <w:rsid w:val="006E737D"/>
    <w:rsid w:val="00702590"/>
    <w:rsid w:val="00707DD1"/>
    <w:rsid w:val="00713973"/>
    <w:rsid w:val="00720A24"/>
    <w:rsid w:val="00730823"/>
    <w:rsid w:val="00730F2F"/>
    <w:rsid w:val="007314B7"/>
    <w:rsid w:val="00732386"/>
    <w:rsid w:val="0073291C"/>
    <w:rsid w:val="00732C5A"/>
    <w:rsid w:val="00733F95"/>
    <w:rsid w:val="0073514D"/>
    <w:rsid w:val="00736BCD"/>
    <w:rsid w:val="00741A7D"/>
    <w:rsid w:val="007447F3"/>
    <w:rsid w:val="00745371"/>
    <w:rsid w:val="0074594C"/>
    <w:rsid w:val="00750D03"/>
    <w:rsid w:val="00751E4E"/>
    <w:rsid w:val="0075499F"/>
    <w:rsid w:val="00755FAF"/>
    <w:rsid w:val="00756A61"/>
    <w:rsid w:val="00764DF0"/>
    <w:rsid w:val="007661C8"/>
    <w:rsid w:val="0077098D"/>
    <w:rsid w:val="007764BA"/>
    <w:rsid w:val="00784F34"/>
    <w:rsid w:val="00785BF9"/>
    <w:rsid w:val="007931FA"/>
    <w:rsid w:val="007947C1"/>
    <w:rsid w:val="0079589C"/>
    <w:rsid w:val="00796C6F"/>
    <w:rsid w:val="007A4861"/>
    <w:rsid w:val="007A5F07"/>
    <w:rsid w:val="007A6E2F"/>
    <w:rsid w:val="007A7BBA"/>
    <w:rsid w:val="007B0C50"/>
    <w:rsid w:val="007B48F9"/>
    <w:rsid w:val="007B574C"/>
    <w:rsid w:val="007C06B9"/>
    <w:rsid w:val="007C1A43"/>
    <w:rsid w:val="007C6CCC"/>
    <w:rsid w:val="007D05CD"/>
    <w:rsid w:val="007D0951"/>
    <w:rsid w:val="007D2CAC"/>
    <w:rsid w:val="007D4A64"/>
    <w:rsid w:val="007D610D"/>
    <w:rsid w:val="007D7189"/>
    <w:rsid w:val="007D71D6"/>
    <w:rsid w:val="007E057A"/>
    <w:rsid w:val="007E086F"/>
    <w:rsid w:val="007E4697"/>
    <w:rsid w:val="007E4CD8"/>
    <w:rsid w:val="0080013E"/>
    <w:rsid w:val="00800756"/>
    <w:rsid w:val="00800898"/>
    <w:rsid w:val="00801759"/>
    <w:rsid w:val="008033CC"/>
    <w:rsid w:val="008037D6"/>
    <w:rsid w:val="00811A87"/>
    <w:rsid w:val="00811C30"/>
    <w:rsid w:val="00813288"/>
    <w:rsid w:val="00813AAF"/>
    <w:rsid w:val="008168FC"/>
    <w:rsid w:val="00823CC5"/>
    <w:rsid w:val="008244F9"/>
    <w:rsid w:val="0082598B"/>
    <w:rsid w:val="00830996"/>
    <w:rsid w:val="00830D29"/>
    <w:rsid w:val="00831596"/>
    <w:rsid w:val="00833591"/>
    <w:rsid w:val="008345F1"/>
    <w:rsid w:val="00845EC1"/>
    <w:rsid w:val="00850BB5"/>
    <w:rsid w:val="00852AD7"/>
    <w:rsid w:val="00853977"/>
    <w:rsid w:val="00856B07"/>
    <w:rsid w:val="00856F04"/>
    <w:rsid w:val="008632C0"/>
    <w:rsid w:val="0086511B"/>
    <w:rsid w:val="00865B07"/>
    <w:rsid w:val="008667EA"/>
    <w:rsid w:val="008713DC"/>
    <w:rsid w:val="0087637F"/>
    <w:rsid w:val="00877794"/>
    <w:rsid w:val="0088013A"/>
    <w:rsid w:val="00892AD5"/>
    <w:rsid w:val="00895C11"/>
    <w:rsid w:val="008A1313"/>
    <w:rsid w:val="008A1512"/>
    <w:rsid w:val="008A1A95"/>
    <w:rsid w:val="008A7EBE"/>
    <w:rsid w:val="008C7277"/>
    <w:rsid w:val="008D2561"/>
    <w:rsid w:val="008D32B9"/>
    <w:rsid w:val="008D433B"/>
    <w:rsid w:val="008D4A16"/>
    <w:rsid w:val="008D72CD"/>
    <w:rsid w:val="008E5401"/>
    <w:rsid w:val="008E566E"/>
    <w:rsid w:val="008E7D55"/>
    <w:rsid w:val="008F19B2"/>
    <w:rsid w:val="008F2B16"/>
    <w:rsid w:val="008F650A"/>
    <w:rsid w:val="0090161A"/>
    <w:rsid w:val="00901EB6"/>
    <w:rsid w:val="009041F8"/>
    <w:rsid w:val="00904C62"/>
    <w:rsid w:val="0091021F"/>
    <w:rsid w:val="00916856"/>
    <w:rsid w:val="00917D75"/>
    <w:rsid w:val="009216A2"/>
    <w:rsid w:val="0092218D"/>
    <w:rsid w:val="00922BA8"/>
    <w:rsid w:val="00924DAC"/>
    <w:rsid w:val="009254B4"/>
    <w:rsid w:val="00927058"/>
    <w:rsid w:val="00927414"/>
    <w:rsid w:val="00927E9C"/>
    <w:rsid w:val="00931299"/>
    <w:rsid w:val="009414C2"/>
    <w:rsid w:val="00942750"/>
    <w:rsid w:val="00942EA3"/>
    <w:rsid w:val="00944BDC"/>
    <w:rsid w:val="009450CE"/>
    <w:rsid w:val="009459BB"/>
    <w:rsid w:val="00946EF2"/>
    <w:rsid w:val="00947179"/>
    <w:rsid w:val="00947EBC"/>
    <w:rsid w:val="0095164B"/>
    <w:rsid w:val="0095373F"/>
    <w:rsid w:val="00954090"/>
    <w:rsid w:val="009573E7"/>
    <w:rsid w:val="00963E05"/>
    <w:rsid w:val="00964A45"/>
    <w:rsid w:val="00967843"/>
    <w:rsid w:val="00967D54"/>
    <w:rsid w:val="0097078A"/>
    <w:rsid w:val="00971028"/>
    <w:rsid w:val="00973BFD"/>
    <w:rsid w:val="00980DF9"/>
    <w:rsid w:val="00981415"/>
    <w:rsid w:val="00982153"/>
    <w:rsid w:val="009854B5"/>
    <w:rsid w:val="00986982"/>
    <w:rsid w:val="00986F3D"/>
    <w:rsid w:val="00993B84"/>
    <w:rsid w:val="00994689"/>
    <w:rsid w:val="00994C6A"/>
    <w:rsid w:val="00996483"/>
    <w:rsid w:val="00996F5A"/>
    <w:rsid w:val="009A0072"/>
    <w:rsid w:val="009A7F0B"/>
    <w:rsid w:val="009B041A"/>
    <w:rsid w:val="009B505D"/>
    <w:rsid w:val="009B6E57"/>
    <w:rsid w:val="009C3579"/>
    <w:rsid w:val="009C37C3"/>
    <w:rsid w:val="009C691E"/>
    <w:rsid w:val="009C7C86"/>
    <w:rsid w:val="009D07D3"/>
    <w:rsid w:val="009D0EE2"/>
    <w:rsid w:val="009D2FF7"/>
    <w:rsid w:val="009E4BD7"/>
    <w:rsid w:val="009E7884"/>
    <w:rsid w:val="009E788A"/>
    <w:rsid w:val="009F0E08"/>
    <w:rsid w:val="009F4EAB"/>
    <w:rsid w:val="009F55C2"/>
    <w:rsid w:val="009F7AF9"/>
    <w:rsid w:val="00A0029D"/>
    <w:rsid w:val="00A03C90"/>
    <w:rsid w:val="00A06A07"/>
    <w:rsid w:val="00A079AE"/>
    <w:rsid w:val="00A12042"/>
    <w:rsid w:val="00A171CD"/>
    <w:rsid w:val="00A17519"/>
    <w:rsid w:val="00A1763D"/>
    <w:rsid w:val="00A17CEC"/>
    <w:rsid w:val="00A230DC"/>
    <w:rsid w:val="00A27EF0"/>
    <w:rsid w:val="00A323AD"/>
    <w:rsid w:val="00A35F5D"/>
    <w:rsid w:val="00A42361"/>
    <w:rsid w:val="00A50B20"/>
    <w:rsid w:val="00A51390"/>
    <w:rsid w:val="00A5399B"/>
    <w:rsid w:val="00A55D8F"/>
    <w:rsid w:val="00A566E0"/>
    <w:rsid w:val="00A60D13"/>
    <w:rsid w:val="00A6123A"/>
    <w:rsid w:val="00A6240E"/>
    <w:rsid w:val="00A624C4"/>
    <w:rsid w:val="00A64CD8"/>
    <w:rsid w:val="00A7223D"/>
    <w:rsid w:val="00A72745"/>
    <w:rsid w:val="00A73F27"/>
    <w:rsid w:val="00A76EFC"/>
    <w:rsid w:val="00A816C0"/>
    <w:rsid w:val="00A87D50"/>
    <w:rsid w:val="00A9040F"/>
    <w:rsid w:val="00A91010"/>
    <w:rsid w:val="00A96C50"/>
    <w:rsid w:val="00A97F29"/>
    <w:rsid w:val="00AA4AFA"/>
    <w:rsid w:val="00AA52C3"/>
    <w:rsid w:val="00AA687F"/>
    <w:rsid w:val="00AA702E"/>
    <w:rsid w:val="00AA7D26"/>
    <w:rsid w:val="00AB0964"/>
    <w:rsid w:val="00AB0C12"/>
    <w:rsid w:val="00AB4055"/>
    <w:rsid w:val="00AB5011"/>
    <w:rsid w:val="00AB5F42"/>
    <w:rsid w:val="00AB7D95"/>
    <w:rsid w:val="00AC4429"/>
    <w:rsid w:val="00AC5362"/>
    <w:rsid w:val="00AC6A51"/>
    <w:rsid w:val="00AC7368"/>
    <w:rsid w:val="00AD16B9"/>
    <w:rsid w:val="00AD21CC"/>
    <w:rsid w:val="00AD3322"/>
    <w:rsid w:val="00AD341E"/>
    <w:rsid w:val="00AD6E00"/>
    <w:rsid w:val="00AD73B9"/>
    <w:rsid w:val="00AE377D"/>
    <w:rsid w:val="00AE59FC"/>
    <w:rsid w:val="00AF0EBA"/>
    <w:rsid w:val="00AF2463"/>
    <w:rsid w:val="00B02C8A"/>
    <w:rsid w:val="00B13234"/>
    <w:rsid w:val="00B15348"/>
    <w:rsid w:val="00B17FBD"/>
    <w:rsid w:val="00B24232"/>
    <w:rsid w:val="00B261D8"/>
    <w:rsid w:val="00B26393"/>
    <w:rsid w:val="00B315A6"/>
    <w:rsid w:val="00B31813"/>
    <w:rsid w:val="00B33365"/>
    <w:rsid w:val="00B36352"/>
    <w:rsid w:val="00B37A86"/>
    <w:rsid w:val="00B51394"/>
    <w:rsid w:val="00B56980"/>
    <w:rsid w:val="00B57B36"/>
    <w:rsid w:val="00B57E6F"/>
    <w:rsid w:val="00B63252"/>
    <w:rsid w:val="00B66F73"/>
    <w:rsid w:val="00B71AB6"/>
    <w:rsid w:val="00B7494C"/>
    <w:rsid w:val="00B849F3"/>
    <w:rsid w:val="00B859DB"/>
    <w:rsid w:val="00B8686D"/>
    <w:rsid w:val="00B93F69"/>
    <w:rsid w:val="00B94C2E"/>
    <w:rsid w:val="00BB1DDC"/>
    <w:rsid w:val="00BB1E3E"/>
    <w:rsid w:val="00BB7A23"/>
    <w:rsid w:val="00BC151F"/>
    <w:rsid w:val="00BC30C9"/>
    <w:rsid w:val="00BC39C7"/>
    <w:rsid w:val="00BD0457"/>
    <w:rsid w:val="00BD077D"/>
    <w:rsid w:val="00BE1B3B"/>
    <w:rsid w:val="00BE3E58"/>
    <w:rsid w:val="00BF073F"/>
    <w:rsid w:val="00BF0A02"/>
    <w:rsid w:val="00BF13CE"/>
    <w:rsid w:val="00BF354F"/>
    <w:rsid w:val="00BF4482"/>
    <w:rsid w:val="00BF6103"/>
    <w:rsid w:val="00BF7B2A"/>
    <w:rsid w:val="00C01616"/>
    <w:rsid w:val="00C0162B"/>
    <w:rsid w:val="00C0599D"/>
    <w:rsid w:val="00C068ED"/>
    <w:rsid w:val="00C10233"/>
    <w:rsid w:val="00C1339A"/>
    <w:rsid w:val="00C13BC8"/>
    <w:rsid w:val="00C20F1B"/>
    <w:rsid w:val="00C22E0C"/>
    <w:rsid w:val="00C321C7"/>
    <w:rsid w:val="00C32ED3"/>
    <w:rsid w:val="00C345B1"/>
    <w:rsid w:val="00C354AE"/>
    <w:rsid w:val="00C3663C"/>
    <w:rsid w:val="00C36AD0"/>
    <w:rsid w:val="00C40142"/>
    <w:rsid w:val="00C52C3C"/>
    <w:rsid w:val="00C54ED3"/>
    <w:rsid w:val="00C555BA"/>
    <w:rsid w:val="00C57182"/>
    <w:rsid w:val="00C57863"/>
    <w:rsid w:val="00C611B8"/>
    <w:rsid w:val="00C61882"/>
    <w:rsid w:val="00C63CCC"/>
    <w:rsid w:val="00C640AF"/>
    <w:rsid w:val="00C655FD"/>
    <w:rsid w:val="00C73690"/>
    <w:rsid w:val="00C75407"/>
    <w:rsid w:val="00C778CF"/>
    <w:rsid w:val="00C841C6"/>
    <w:rsid w:val="00C870A8"/>
    <w:rsid w:val="00C92DB9"/>
    <w:rsid w:val="00C94434"/>
    <w:rsid w:val="00C9745B"/>
    <w:rsid w:val="00CA0D75"/>
    <w:rsid w:val="00CA1C95"/>
    <w:rsid w:val="00CA1F05"/>
    <w:rsid w:val="00CA4A7E"/>
    <w:rsid w:val="00CA5A9C"/>
    <w:rsid w:val="00CA7A84"/>
    <w:rsid w:val="00CB1A7D"/>
    <w:rsid w:val="00CC08AF"/>
    <w:rsid w:val="00CC4C20"/>
    <w:rsid w:val="00CC51BA"/>
    <w:rsid w:val="00CD2670"/>
    <w:rsid w:val="00CD2E26"/>
    <w:rsid w:val="00CD3517"/>
    <w:rsid w:val="00CD5FE2"/>
    <w:rsid w:val="00CE7C68"/>
    <w:rsid w:val="00CF0740"/>
    <w:rsid w:val="00CF1CC7"/>
    <w:rsid w:val="00CF3B9B"/>
    <w:rsid w:val="00CF4D7B"/>
    <w:rsid w:val="00D02B4C"/>
    <w:rsid w:val="00D0322C"/>
    <w:rsid w:val="00D03D78"/>
    <w:rsid w:val="00D040C4"/>
    <w:rsid w:val="00D050C9"/>
    <w:rsid w:val="00D15EE4"/>
    <w:rsid w:val="00D20AD1"/>
    <w:rsid w:val="00D2582C"/>
    <w:rsid w:val="00D26BD4"/>
    <w:rsid w:val="00D31286"/>
    <w:rsid w:val="00D328AF"/>
    <w:rsid w:val="00D3523A"/>
    <w:rsid w:val="00D44284"/>
    <w:rsid w:val="00D46B7E"/>
    <w:rsid w:val="00D511A0"/>
    <w:rsid w:val="00D51BDC"/>
    <w:rsid w:val="00D57C84"/>
    <w:rsid w:val="00D6057D"/>
    <w:rsid w:val="00D61789"/>
    <w:rsid w:val="00D61E21"/>
    <w:rsid w:val="00D62920"/>
    <w:rsid w:val="00D704FB"/>
    <w:rsid w:val="00D71422"/>
    <w:rsid w:val="00D71640"/>
    <w:rsid w:val="00D81258"/>
    <w:rsid w:val="00D836C5"/>
    <w:rsid w:val="00D83E07"/>
    <w:rsid w:val="00D84576"/>
    <w:rsid w:val="00D85C74"/>
    <w:rsid w:val="00D86DE7"/>
    <w:rsid w:val="00D9707C"/>
    <w:rsid w:val="00DA0586"/>
    <w:rsid w:val="00DA1399"/>
    <w:rsid w:val="00DA1750"/>
    <w:rsid w:val="00DA24C6"/>
    <w:rsid w:val="00DA2746"/>
    <w:rsid w:val="00DA4D7B"/>
    <w:rsid w:val="00DB36AB"/>
    <w:rsid w:val="00DB745D"/>
    <w:rsid w:val="00DC2840"/>
    <w:rsid w:val="00DC2C91"/>
    <w:rsid w:val="00DC73EE"/>
    <w:rsid w:val="00DD2675"/>
    <w:rsid w:val="00DD271C"/>
    <w:rsid w:val="00DD7C48"/>
    <w:rsid w:val="00DE264A"/>
    <w:rsid w:val="00DE4550"/>
    <w:rsid w:val="00DF2102"/>
    <w:rsid w:val="00DF5072"/>
    <w:rsid w:val="00DF6E19"/>
    <w:rsid w:val="00E01017"/>
    <w:rsid w:val="00E02D18"/>
    <w:rsid w:val="00E04019"/>
    <w:rsid w:val="00E041E7"/>
    <w:rsid w:val="00E04EE8"/>
    <w:rsid w:val="00E10100"/>
    <w:rsid w:val="00E13255"/>
    <w:rsid w:val="00E159E1"/>
    <w:rsid w:val="00E23CA1"/>
    <w:rsid w:val="00E26A4F"/>
    <w:rsid w:val="00E30E32"/>
    <w:rsid w:val="00E409A8"/>
    <w:rsid w:val="00E40F91"/>
    <w:rsid w:val="00E42BBF"/>
    <w:rsid w:val="00E45F04"/>
    <w:rsid w:val="00E50C12"/>
    <w:rsid w:val="00E574F3"/>
    <w:rsid w:val="00E64D7A"/>
    <w:rsid w:val="00E64F90"/>
    <w:rsid w:val="00E65B91"/>
    <w:rsid w:val="00E700E0"/>
    <w:rsid w:val="00E7209D"/>
    <w:rsid w:val="00E72EAD"/>
    <w:rsid w:val="00E73C4B"/>
    <w:rsid w:val="00E77223"/>
    <w:rsid w:val="00E77D54"/>
    <w:rsid w:val="00E806FE"/>
    <w:rsid w:val="00E8528B"/>
    <w:rsid w:val="00E85AFF"/>
    <w:rsid w:val="00E85B94"/>
    <w:rsid w:val="00E870FD"/>
    <w:rsid w:val="00E92511"/>
    <w:rsid w:val="00E95A7E"/>
    <w:rsid w:val="00E978D0"/>
    <w:rsid w:val="00EA4613"/>
    <w:rsid w:val="00EA7F91"/>
    <w:rsid w:val="00EB1523"/>
    <w:rsid w:val="00EC0E49"/>
    <w:rsid w:val="00EC101F"/>
    <w:rsid w:val="00EC1D9F"/>
    <w:rsid w:val="00EC4241"/>
    <w:rsid w:val="00EC64CE"/>
    <w:rsid w:val="00EC6B74"/>
    <w:rsid w:val="00ED3F20"/>
    <w:rsid w:val="00ED480D"/>
    <w:rsid w:val="00EE0131"/>
    <w:rsid w:val="00EE17B0"/>
    <w:rsid w:val="00EE555C"/>
    <w:rsid w:val="00EF06D9"/>
    <w:rsid w:val="00EF1F74"/>
    <w:rsid w:val="00EF67BF"/>
    <w:rsid w:val="00F000B2"/>
    <w:rsid w:val="00F0495F"/>
    <w:rsid w:val="00F10139"/>
    <w:rsid w:val="00F12F1C"/>
    <w:rsid w:val="00F13DA3"/>
    <w:rsid w:val="00F16975"/>
    <w:rsid w:val="00F1765C"/>
    <w:rsid w:val="00F22292"/>
    <w:rsid w:val="00F225A7"/>
    <w:rsid w:val="00F23A7A"/>
    <w:rsid w:val="00F2588A"/>
    <w:rsid w:val="00F25DEC"/>
    <w:rsid w:val="00F2727F"/>
    <w:rsid w:val="00F3049E"/>
    <w:rsid w:val="00F30C64"/>
    <w:rsid w:val="00F32BA2"/>
    <w:rsid w:val="00F32CDB"/>
    <w:rsid w:val="00F355CA"/>
    <w:rsid w:val="00F368DC"/>
    <w:rsid w:val="00F40C10"/>
    <w:rsid w:val="00F41EE4"/>
    <w:rsid w:val="00F4235F"/>
    <w:rsid w:val="00F45671"/>
    <w:rsid w:val="00F47620"/>
    <w:rsid w:val="00F525CC"/>
    <w:rsid w:val="00F565FE"/>
    <w:rsid w:val="00F57905"/>
    <w:rsid w:val="00F63A70"/>
    <w:rsid w:val="00F63D8C"/>
    <w:rsid w:val="00F6550F"/>
    <w:rsid w:val="00F66CEC"/>
    <w:rsid w:val="00F70B8A"/>
    <w:rsid w:val="00F7534E"/>
    <w:rsid w:val="00F81D53"/>
    <w:rsid w:val="00F83574"/>
    <w:rsid w:val="00F90BA9"/>
    <w:rsid w:val="00F93EDF"/>
    <w:rsid w:val="00FA1327"/>
    <w:rsid w:val="00FA14A5"/>
    <w:rsid w:val="00FA1802"/>
    <w:rsid w:val="00FA21D0"/>
    <w:rsid w:val="00FA5F5F"/>
    <w:rsid w:val="00FB730C"/>
    <w:rsid w:val="00FC2695"/>
    <w:rsid w:val="00FC3E03"/>
    <w:rsid w:val="00FC3FC1"/>
    <w:rsid w:val="00FC7AAB"/>
    <w:rsid w:val="00FE59D4"/>
    <w:rsid w:val="00FE7916"/>
    <w:rsid w:val="00FF0EBA"/>
    <w:rsid w:val="00FF117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ED29FE40-5513-4622-8E88-0D1E9955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26A4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26A4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customStyle="1" w:styleId="Menzionenonrisolta1">
    <w:name w:val="Menzione non risolta1"/>
    <w:basedOn w:val="Carpredefinitoparagrafo"/>
    <w:uiPriority w:val="99"/>
    <w:semiHidden/>
    <w:unhideWhenUsed/>
    <w:rsid w:val="00A62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maurizio.volpe@unikor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4F291-E31E-4F42-9119-AFEE965F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8283</Words>
  <Characters>65438</Characters>
  <Application>Microsoft Office Word</Application>
  <DocSecurity>0</DocSecurity>
  <Lines>828</Lines>
  <Paragraphs>921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Maurizio Volpe</cp:lastModifiedBy>
  <cp:revision>31</cp:revision>
  <cp:lastPrinted>2015-05-12T18:31:00Z</cp:lastPrinted>
  <dcterms:created xsi:type="dcterms:W3CDTF">2024-12-12T13:06:00Z</dcterms:created>
  <dcterms:modified xsi:type="dcterms:W3CDTF">2025-01-25T11:18:00Z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http://www.zotero.org/styles/american-chemical-society</vt:lpwstr>
  </property>
  <property fmtid="{D5CDD505-2E9C-101B-9397-08002B2CF9AE}" pid="5" name="Mendeley Recent Style Name 0_1">
    <vt:lpwstr>American Chemical Society</vt:lpwstr>
  </property>
  <property fmtid="{D5CDD505-2E9C-101B-9397-08002B2CF9AE}" pid="6" name="Mendeley Recent Style Id 1_1">
    <vt:lpwstr>http://www.zotero.org/styles/american-medical-association</vt:lpwstr>
  </property>
  <property fmtid="{D5CDD505-2E9C-101B-9397-08002B2CF9AE}" pid="7" name="Mendeley Recent Style Name 1_1">
    <vt:lpwstr>American Medical Association 11th edition</vt:lpwstr>
  </property>
  <property fmtid="{D5CDD505-2E9C-101B-9397-08002B2CF9AE}" pid="8" name="Mendeley Recent Style Id 2_1">
    <vt:lpwstr>http://www.zotero.org/styles/biomass-and-bioenergy</vt:lpwstr>
  </property>
  <property fmtid="{D5CDD505-2E9C-101B-9397-08002B2CF9AE}" pid="9" name="Mendeley Recent Style Name 2_1">
    <vt:lpwstr>Biomass and Bioenergy</vt:lpwstr>
  </property>
  <property fmtid="{D5CDD505-2E9C-101B-9397-08002B2CF9AE}" pid="10" name="Mendeley Recent Style Id 3_1">
    <vt:lpwstr>http://www.zotero.org/styles/chicago-fullnote-bibliography</vt:lpwstr>
  </property>
  <property fmtid="{D5CDD505-2E9C-101B-9397-08002B2CF9AE}" pid="11" name="Mendeley Recent Style Name 3_1">
    <vt:lpwstr>Chicago Manual of Style 17th edition (full note)</vt:lpwstr>
  </property>
  <property fmtid="{D5CDD505-2E9C-101B-9397-08002B2CF9AE}" pid="12" name="Mendeley Recent Style Id 4_1">
    <vt:lpwstr>http://www.zotero.org/styles/energy-conversion-and-management</vt:lpwstr>
  </property>
  <property fmtid="{D5CDD505-2E9C-101B-9397-08002B2CF9AE}" pid="13" name="Mendeley Recent Style Name 4_1">
    <vt:lpwstr>Energy Conversion and Management</vt:lpwstr>
  </property>
  <property fmtid="{D5CDD505-2E9C-101B-9397-08002B2CF9AE}" pid="14" name="Mendeley Recent Style Id 5_1">
    <vt:lpwstr>http://www.zotero.org/styles/journal-of-cleaner-production</vt:lpwstr>
  </property>
  <property fmtid="{D5CDD505-2E9C-101B-9397-08002B2CF9AE}" pid="15" name="Mendeley Recent Style Name 5_1">
    <vt:lpwstr>Journal of Cleaner Production</vt:lpwstr>
  </property>
  <property fmtid="{D5CDD505-2E9C-101B-9397-08002B2CF9AE}" pid="16" name="Mendeley Recent Style Id 6_1">
    <vt:lpwstr>http://www.zotero.org/styles/processes</vt:lpwstr>
  </property>
  <property fmtid="{D5CDD505-2E9C-101B-9397-08002B2CF9AE}" pid="17" name="Mendeley Recent Style Name 6_1">
    <vt:lpwstr>Processes</vt:lpwstr>
  </property>
  <property fmtid="{D5CDD505-2E9C-101B-9397-08002B2CF9AE}" pid="18" name="Mendeley Recent Style Id 7_1">
    <vt:lpwstr>http://www.zotero.org/styles/taylor-and-francis-acs</vt:lpwstr>
  </property>
  <property fmtid="{D5CDD505-2E9C-101B-9397-08002B2CF9AE}" pid="19" name="Mendeley Recent Style Name 7_1">
    <vt:lpwstr>Taylor &amp; Francis - American Chemical Society</vt:lpwstr>
  </property>
  <property fmtid="{D5CDD505-2E9C-101B-9397-08002B2CF9AE}" pid="20" name="Mendeley Recent Style Id 8_1">
    <vt:lpwstr>http://www.zotero.org/styles/waste-management</vt:lpwstr>
  </property>
  <property fmtid="{D5CDD505-2E9C-101B-9397-08002B2CF9AE}" pid="21" name="Mendeley Recent Style Name 8_1">
    <vt:lpwstr>Waste Management</vt:lpwstr>
  </property>
  <property fmtid="{D5CDD505-2E9C-101B-9397-08002B2CF9AE}" pid="22" name="Mendeley Recent Style Id 9_1">
    <vt:lpwstr>http://www.zotero.org/styles/water-research</vt:lpwstr>
  </property>
  <property fmtid="{D5CDD505-2E9C-101B-9397-08002B2CF9AE}" pid="23" name="Mendeley Recent Style Name 9_1">
    <vt:lpwstr>Water Research</vt:lpwstr>
  </property>
  <property fmtid="{D5CDD505-2E9C-101B-9397-08002B2CF9AE}" pid="24" name="Mendeley Document_1">
    <vt:lpwstr>True</vt:lpwstr>
  </property>
  <property fmtid="{D5CDD505-2E9C-101B-9397-08002B2CF9AE}" pid="25" name="Mendeley Citation Style_1">
    <vt:lpwstr>http://www.zotero.org/styles/waste-management</vt:lpwstr>
  </property>
  <property fmtid="{D5CDD505-2E9C-101B-9397-08002B2CF9AE}" pid="26" name="Mendeley Unique User Id_1">
    <vt:lpwstr>6d2e6141-1e7a-3997-ae15-3bf8dbcbe743</vt:lpwstr>
  </property>
</Properties>
</file>