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875A01" w14:paraId="2A131A54" w14:textId="77777777" w:rsidTr="00204DA1">
        <w:trPr>
          <w:trHeight w:val="852"/>
          <w:jc w:val="center"/>
        </w:trPr>
        <w:tc>
          <w:tcPr>
            <w:tcW w:w="6940" w:type="dxa"/>
            <w:vMerge w:val="restart"/>
            <w:tcBorders>
              <w:right w:val="single" w:sz="4" w:space="0" w:color="auto"/>
            </w:tcBorders>
          </w:tcPr>
          <w:p w14:paraId="38C3D2BA" w14:textId="77777777" w:rsidR="000A03B2" w:rsidRPr="00875A01" w:rsidRDefault="000A03B2" w:rsidP="00DE264A">
            <w:pPr>
              <w:tabs>
                <w:tab w:val="left" w:pos="-108"/>
              </w:tabs>
              <w:ind w:left="-108"/>
              <w:jc w:val="left"/>
              <w:rPr>
                <w:rFonts w:cs="Arial"/>
                <w:b/>
                <w:bCs/>
                <w:i/>
                <w:iCs/>
                <w:color w:val="000066"/>
                <w:sz w:val="12"/>
                <w:szCs w:val="12"/>
                <w:lang w:val="en-US" w:eastAsia="it-IT"/>
              </w:rPr>
            </w:pPr>
            <w:bookmarkStart w:id="0" w:name="_Hlk145068772"/>
            <w:r w:rsidRPr="00875A01">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75A01">
              <w:rPr>
                <w:rFonts w:ascii="AdvP6960" w:hAnsi="AdvP6960" w:cs="AdvP6960"/>
                <w:color w:val="241F20"/>
                <w:szCs w:val="18"/>
                <w:lang w:val="en-US" w:eastAsia="it-IT"/>
              </w:rPr>
              <w:t xml:space="preserve"> </w:t>
            </w:r>
            <w:r w:rsidRPr="00875A01">
              <w:rPr>
                <w:rFonts w:cs="Arial"/>
                <w:b/>
                <w:bCs/>
                <w:i/>
                <w:iCs/>
                <w:color w:val="000066"/>
                <w:sz w:val="24"/>
                <w:szCs w:val="24"/>
                <w:lang w:val="en-US" w:eastAsia="it-IT"/>
              </w:rPr>
              <w:t>CHEMICAL ENGINEERING</w:t>
            </w:r>
            <w:r w:rsidRPr="00875A01">
              <w:rPr>
                <w:rFonts w:cs="Arial"/>
                <w:b/>
                <w:bCs/>
                <w:i/>
                <w:iCs/>
                <w:color w:val="0033FF"/>
                <w:sz w:val="24"/>
                <w:szCs w:val="24"/>
                <w:lang w:val="en-US" w:eastAsia="it-IT"/>
              </w:rPr>
              <w:t xml:space="preserve"> </w:t>
            </w:r>
            <w:r w:rsidRPr="00875A01">
              <w:rPr>
                <w:rFonts w:cs="Arial"/>
                <w:b/>
                <w:bCs/>
                <w:i/>
                <w:iCs/>
                <w:color w:val="666666"/>
                <w:sz w:val="24"/>
                <w:szCs w:val="24"/>
                <w:lang w:val="en-US" w:eastAsia="it-IT"/>
              </w:rPr>
              <w:t>TRANSACTIONS</w:t>
            </w:r>
            <w:r w:rsidRPr="00875A01">
              <w:rPr>
                <w:color w:val="333333"/>
                <w:sz w:val="24"/>
                <w:szCs w:val="24"/>
                <w:lang w:val="en-US" w:eastAsia="it-IT"/>
              </w:rPr>
              <w:t xml:space="preserve"> </w:t>
            </w:r>
            <w:r w:rsidRPr="00875A01">
              <w:rPr>
                <w:rFonts w:cs="Arial"/>
                <w:b/>
                <w:bCs/>
                <w:i/>
                <w:iCs/>
                <w:color w:val="000066"/>
                <w:sz w:val="27"/>
                <w:szCs w:val="27"/>
                <w:lang w:val="en-US" w:eastAsia="it-IT"/>
              </w:rPr>
              <w:br/>
            </w:r>
          </w:p>
          <w:p w14:paraId="4B780582" w14:textId="47EF826C" w:rsidR="000A03B2" w:rsidRPr="00875A01" w:rsidRDefault="00A76EFC" w:rsidP="001D21AF">
            <w:pPr>
              <w:tabs>
                <w:tab w:val="left" w:pos="-108"/>
              </w:tabs>
              <w:ind w:left="-108"/>
              <w:rPr>
                <w:rFonts w:cs="Arial"/>
                <w:b/>
                <w:bCs/>
                <w:i/>
                <w:iCs/>
                <w:color w:val="000066"/>
                <w:sz w:val="22"/>
                <w:szCs w:val="22"/>
                <w:lang w:val="en-US" w:eastAsia="it-IT"/>
              </w:rPr>
            </w:pPr>
            <w:r w:rsidRPr="00875A01">
              <w:rPr>
                <w:rFonts w:cs="Arial"/>
                <w:b/>
                <w:bCs/>
                <w:i/>
                <w:iCs/>
                <w:color w:val="000066"/>
                <w:sz w:val="22"/>
                <w:szCs w:val="22"/>
                <w:lang w:val="en-US" w:eastAsia="it-IT"/>
              </w:rPr>
              <w:t>VOL.</w:t>
            </w:r>
            <w:r w:rsidR="00785BF9" w:rsidRPr="00875A01">
              <w:rPr>
                <w:rFonts w:cs="Arial"/>
                <w:b/>
                <w:bCs/>
                <w:i/>
                <w:iCs/>
                <w:color w:val="000066"/>
                <w:sz w:val="22"/>
                <w:szCs w:val="22"/>
                <w:lang w:val="en-US" w:eastAsia="it-IT"/>
              </w:rPr>
              <w:t xml:space="preserve"> </w:t>
            </w:r>
            <w:r w:rsidR="00994C6A" w:rsidRPr="00875A01">
              <w:rPr>
                <w:rFonts w:cs="Arial"/>
                <w:b/>
                <w:bCs/>
                <w:i/>
                <w:iCs/>
                <w:color w:val="000066"/>
                <w:sz w:val="22"/>
                <w:szCs w:val="22"/>
                <w:lang w:val="en-US" w:eastAsia="it-IT"/>
              </w:rPr>
              <w:t>xxx</w:t>
            </w:r>
            <w:r w:rsidR="007B48F9" w:rsidRPr="00875A01">
              <w:rPr>
                <w:rFonts w:cs="Arial"/>
                <w:b/>
                <w:bCs/>
                <w:i/>
                <w:iCs/>
                <w:color w:val="000066"/>
                <w:sz w:val="22"/>
                <w:szCs w:val="22"/>
                <w:lang w:val="en-US" w:eastAsia="it-IT"/>
              </w:rPr>
              <w:t>,</w:t>
            </w:r>
            <w:r w:rsidR="00FA5F5F" w:rsidRPr="00875A01">
              <w:rPr>
                <w:rFonts w:cs="Arial"/>
                <w:b/>
                <w:bCs/>
                <w:i/>
                <w:iCs/>
                <w:color w:val="000066"/>
                <w:sz w:val="22"/>
                <w:szCs w:val="22"/>
                <w:lang w:val="en-US" w:eastAsia="it-IT"/>
              </w:rPr>
              <w:t xml:space="preserve"> </w:t>
            </w:r>
            <w:r w:rsidR="0030152C" w:rsidRPr="00875A01">
              <w:rPr>
                <w:rFonts w:cs="Arial"/>
                <w:b/>
                <w:bCs/>
                <w:i/>
                <w:iCs/>
                <w:color w:val="000066"/>
                <w:sz w:val="22"/>
                <w:szCs w:val="22"/>
                <w:lang w:val="en-US" w:eastAsia="it-IT"/>
              </w:rPr>
              <w:t>202</w:t>
            </w:r>
            <w:r w:rsidR="00994C6A" w:rsidRPr="00875A01">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875A01" w:rsidRDefault="000A03B2" w:rsidP="00CD5FE2">
            <w:pPr>
              <w:spacing w:line="140" w:lineRule="atLeast"/>
              <w:jc w:val="right"/>
              <w:rPr>
                <w:rFonts w:cs="Arial"/>
                <w:sz w:val="14"/>
                <w:szCs w:val="14"/>
                <w:lang w:val="en-US"/>
              </w:rPr>
            </w:pPr>
            <w:r w:rsidRPr="00875A01">
              <w:rPr>
                <w:rFonts w:cs="Arial"/>
                <w:sz w:val="14"/>
                <w:szCs w:val="14"/>
                <w:lang w:val="en-US"/>
              </w:rPr>
              <w:t>A publication of</w:t>
            </w:r>
          </w:p>
          <w:p w14:paraId="599E5441" w14:textId="77777777" w:rsidR="000A03B2" w:rsidRPr="00875A01" w:rsidRDefault="000A03B2" w:rsidP="00CD5FE2">
            <w:pPr>
              <w:jc w:val="right"/>
              <w:rPr>
                <w:lang w:val="en-US"/>
              </w:rPr>
            </w:pPr>
            <w:r w:rsidRPr="00875A01">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75A01" w14:paraId="380FA3CD" w14:textId="77777777" w:rsidTr="00204DA1">
        <w:trPr>
          <w:trHeight w:val="567"/>
          <w:jc w:val="center"/>
        </w:trPr>
        <w:tc>
          <w:tcPr>
            <w:tcW w:w="6940" w:type="dxa"/>
            <w:vMerge/>
            <w:tcBorders>
              <w:right w:val="single" w:sz="4" w:space="0" w:color="auto"/>
            </w:tcBorders>
          </w:tcPr>
          <w:p w14:paraId="39E5E4C1" w14:textId="77777777" w:rsidR="000A03B2" w:rsidRPr="00875A01"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875A01" w:rsidRDefault="000A03B2" w:rsidP="00CD5FE2">
            <w:pPr>
              <w:spacing w:line="140" w:lineRule="atLeast"/>
              <w:jc w:val="right"/>
              <w:rPr>
                <w:rFonts w:cs="Arial"/>
                <w:sz w:val="14"/>
                <w:szCs w:val="14"/>
                <w:lang w:val="en-US"/>
              </w:rPr>
            </w:pPr>
            <w:r w:rsidRPr="00875A01">
              <w:rPr>
                <w:rFonts w:cs="Arial"/>
                <w:sz w:val="14"/>
                <w:szCs w:val="14"/>
                <w:lang w:val="en-US"/>
              </w:rPr>
              <w:t>The Italian Association</w:t>
            </w:r>
          </w:p>
          <w:p w14:paraId="7522B1D2" w14:textId="77777777" w:rsidR="000A03B2" w:rsidRPr="00875A01" w:rsidRDefault="000A03B2" w:rsidP="00CD5FE2">
            <w:pPr>
              <w:spacing w:line="140" w:lineRule="atLeast"/>
              <w:jc w:val="right"/>
              <w:rPr>
                <w:rFonts w:cs="Arial"/>
                <w:sz w:val="14"/>
                <w:szCs w:val="14"/>
                <w:lang w:val="en-US"/>
              </w:rPr>
            </w:pPr>
            <w:r w:rsidRPr="00875A01">
              <w:rPr>
                <w:rFonts w:cs="Arial"/>
                <w:sz w:val="14"/>
                <w:szCs w:val="14"/>
                <w:lang w:val="en-US"/>
              </w:rPr>
              <w:t>of Chemical Engineering</w:t>
            </w:r>
          </w:p>
          <w:p w14:paraId="4F0CC5DE" w14:textId="47FDB2FC" w:rsidR="000A03B2" w:rsidRPr="00875A01" w:rsidRDefault="000D0268" w:rsidP="00CD5FE2">
            <w:pPr>
              <w:spacing w:line="140" w:lineRule="atLeast"/>
              <w:jc w:val="right"/>
              <w:rPr>
                <w:rFonts w:cs="Arial"/>
                <w:sz w:val="13"/>
                <w:szCs w:val="13"/>
                <w:lang w:val="en-US"/>
              </w:rPr>
            </w:pPr>
            <w:r w:rsidRPr="00875A01">
              <w:rPr>
                <w:rFonts w:cs="Arial"/>
                <w:sz w:val="13"/>
                <w:szCs w:val="13"/>
                <w:lang w:val="en-US"/>
              </w:rPr>
              <w:t>Online at www.cetjournal.it</w:t>
            </w:r>
          </w:p>
        </w:tc>
      </w:tr>
      <w:tr w:rsidR="000A03B2" w:rsidRPr="00875A01" w14:paraId="2D1B7169" w14:textId="77777777" w:rsidTr="00204DA1">
        <w:trPr>
          <w:trHeight w:val="68"/>
          <w:jc w:val="center"/>
        </w:trPr>
        <w:tc>
          <w:tcPr>
            <w:tcW w:w="8782" w:type="dxa"/>
            <w:gridSpan w:val="2"/>
          </w:tcPr>
          <w:p w14:paraId="1D8DD3C9" w14:textId="025D7B18" w:rsidR="00AA7D26" w:rsidRPr="00A053F8" w:rsidRDefault="00AA7D26" w:rsidP="007D610D">
            <w:pPr>
              <w:ind w:left="-107"/>
              <w:outlineLvl w:val="2"/>
              <w:rPr>
                <w:rFonts w:ascii="Tahoma" w:hAnsi="Tahoma" w:cs="Tahoma"/>
                <w:color w:val="000000"/>
                <w:sz w:val="14"/>
                <w:szCs w:val="14"/>
                <w:shd w:val="clear" w:color="auto" w:fill="FFFFFF"/>
                <w:lang w:val="it-IT"/>
              </w:rPr>
            </w:pPr>
            <w:r w:rsidRPr="00A053F8">
              <w:rPr>
                <w:rFonts w:ascii="Tahoma" w:hAnsi="Tahoma" w:cs="Tahoma"/>
                <w:iCs/>
                <w:color w:val="333333"/>
                <w:sz w:val="14"/>
                <w:szCs w:val="14"/>
                <w:lang w:val="it-IT" w:eastAsia="it-IT"/>
              </w:rPr>
              <w:t>Guest Editors:</w:t>
            </w:r>
            <w:r w:rsidR="007D610D" w:rsidRPr="00A053F8">
              <w:rPr>
                <w:rFonts w:ascii="Aptos" w:eastAsiaTheme="minorHAnsi" w:hAnsi="Aptos" w:cs="Aptos"/>
                <w:sz w:val="22"/>
                <w:szCs w:val="22"/>
                <w:lang w:val="it-IT"/>
                <w14:ligatures w14:val="standardContextual"/>
              </w:rPr>
              <w:t xml:space="preserve"> </w:t>
            </w:r>
            <w:r w:rsidR="007D610D" w:rsidRPr="00A053F8">
              <w:rPr>
                <w:rFonts w:ascii="Tahoma" w:hAnsi="Tahoma" w:cs="Tahoma"/>
                <w:color w:val="000000"/>
                <w:sz w:val="14"/>
                <w:szCs w:val="14"/>
                <w:shd w:val="clear" w:color="auto" w:fill="FFFFFF"/>
                <w:lang w:val="it-IT"/>
              </w:rPr>
              <w:t xml:space="preserve">Fabrizio Bezzo, </w:t>
            </w:r>
            <w:r w:rsidR="001D3D32" w:rsidRPr="00A053F8">
              <w:rPr>
                <w:rFonts w:ascii="Tahoma" w:hAnsi="Tahoma" w:cs="Tahoma"/>
                <w:color w:val="000000"/>
                <w:sz w:val="14"/>
                <w:szCs w:val="14"/>
                <w:shd w:val="clear" w:color="auto" w:fill="FFFFFF"/>
                <w:lang w:val="it-IT"/>
              </w:rPr>
              <w:t>Flavio Manenti</w:t>
            </w:r>
            <w:r w:rsidR="00304CE8" w:rsidRPr="00A053F8">
              <w:rPr>
                <w:rFonts w:ascii="Tahoma" w:hAnsi="Tahoma" w:cs="Tahoma"/>
                <w:color w:val="000000"/>
                <w:sz w:val="14"/>
                <w:szCs w:val="14"/>
                <w:shd w:val="clear" w:color="auto" w:fill="FFFFFF"/>
                <w:lang w:val="it-IT"/>
              </w:rPr>
              <w:t>,</w:t>
            </w:r>
            <w:r w:rsidR="001D3D32" w:rsidRPr="00A053F8">
              <w:rPr>
                <w:rFonts w:ascii="Tahoma" w:hAnsi="Tahoma" w:cs="Tahoma"/>
                <w:color w:val="000000"/>
                <w:sz w:val="14"/>
                <w:szCs w:val="14"/>
                <w:shd w:val="clear" w:color="auto" w:fill="FFFFFF"/>
                <w:lang w:val="it-IT"/>
              </w:rPr>
              <w:t xml:space="preserve"> </w:t>
            </w:r>
            <w:r w:rsidR="007D610D" w:rsidRPr="00A053F8">
              <w:rPr>
                <w:rFonts w:ascii="Tahoma" w:hAnsi="Tahoma" w:cs="Tahoma"/>
                <w:color w:val="000000"/>
                <w:sz w:val="14"/>
                <w:szCs w:val="14"/>
                <w:shd w:val="clear" w:color="auto" w:fill="FFFFFF"/>
                <w:lang w:val="it-IT"/>
              </w:rPr>
              <w:t>Gabriele Pannocchia, Almerinda di Benedetto</w:t>
            </w:r>
          </w:p>
          <w:p w14:paraId="1B0F1814" w14:textId="7C54DC3A" w:rsidR="000A03B2" w:rsidRPr="00875A01" w:rsidRDefault="00AA7D26" w:rsidP="00AA7D26">
            <w:pPr>
              <w:tabs>
                <w:tab w:val="left" w:pos="-108"/>
              </w:tabs>
              <w:spacing w:line="140" w:lineRule="atLeast"/>
              <w:ind w:left="-107"/>
              <w:jc w:val="left"/>
              <w:rPr>
                <w:lang w:val="en-US"/>
              </w:rPr>
            </w:pPr>
            <w:r w:rsidRPr="00875A01">
              <w:rPr>
                <w:rFonts w:ascii="Tahoma" w:hAnsi="Tahoma" w:cs="Tahoma"/>
                <w:iCs/>
                <w:color w:val="333333"/>
                <w:sz w:val="14"/>
                <w:szCs w:val="14"/>
                <w:lang w:val="en-US" w:eastAsia="it-IT"/>
              </w:rPr>
              <w:t>Copyright © 202</w:t>
            </w:r>
            <w:r w:rsidR="00994C6A" w:rsidRPr="00875A01">
              <w:rPr>
                <w:rFonts w:ascii="Tahoma" w:hAnsi="Tahoma" w:cs="Tahoma"/>
                <w:iCs/>
                <w:color w:val="333333"/>
                <w:sz w:val="14"/>
                <w:szCs w:val="14"/>
                <w:lang w:val="en-US" w:eastAsia="it-IT"/>
              </w:rPr>
              <w:t>5</w:t>
            </w:r>
            <w:r w:rsidRPr="00875A01">
              <w:rPr>
                <w:rFonts w:ascii="Tahoma" w:hAnsi="Tahoma" w:cs="Tahoma"/>
                <w:iCs/>
                <w:color w:val="333333"/>
                <w:sz w:val="14"/>
                <w:szCs w:val="14"/>
                <w:lang w:val="en-US" w:eastAsia="it-IT"/>
              </w:rPr>
              <w:t xml:space="preserve">, AIDIC </w:t>
            </w:r>
            <w:proofErr w:type="spellStart"/>
            <w:r w:rsidRPr="00875A01">
              <w:rPr>
                <w:rFonts w:ascii="Tahoma" w:hAnsi="Tahoma" w:cs="Tahoma"/>
                <w:iCs/>
                <w:color w:val="333333"/>
                <w:sz w:val="14"/>
                <w:szCs w:val="14"/>
                <w:lang w:val="en-US" w:eastAsia="it-IT"/>
              </w:rPr>
              <w:t>Servizi</w:t>
            </w:r>
            <w:proofErr w:type="spellEnd"/>
            <w:r w:rsidRPr="00875A01">
              <w:rPr>
                <w:rFonts w:ascii="Tahoma" w:hAnsi="Tahoma" w:cs="Tahoma"/>
                <w:iCs/>
                <w:color w:val="333333"/>
                <w:sz w:val="14"/>
                <w:szCs w:val="14"/>
                <w:lang w:val="en-US" w:eastAsia="it-IT"/>
              </w:rPr>
              <w:t xml:space="preserve"> </w:t>
            </w:r>
            <w:proofErr w:type="spellStart"/>
            <w:r w:rsidRPr="00875A01">
              <w:rPr>
                <w:rFonts w:ascii="Tahoma" w:hAnsi="Tahoma" w:cs="Tahoma"/>
                <w:iCs/>
                <w:color w:val="333333"/>
                <w:sz w:val="14"/>
                <w:szCs w:val="14"/>
                <w:lang w:val="en-US" w:eastAsia="it-IT"/>
              </w:rPr>
              <w:t>S.r.l</w:t>
            </w:r>
            <w:proofErr w:type="spellEnd"/>
            <w:r w:rsidRPr="00875A01">
              <w:rPr>
                <w:rFonts w:ascii="Tahoma" w:hAnsi="Tahoma" w:cs="Tahoma"/>
                <w:iCs/>
                <w:color w:val="333333"/>
                <w:sz w:val="14"/>
                <w:szCs w:val="14"/>
                <w:lang w:val="en-US" w:eastAsia="it-IT"/>
              </w:rPr>
              <w:t>.</w:t>
            </w:r>
            <w:r w:rsidRPr="00875A01">
              <w:rPr>
                <w:rFonts w:ascii="Tahoma" w:hAnsi="Tahoma" w:cs="Tahoma"/>
                <w:iCs/>
                <w:color w:val="333333"/>
                <w:sz w:val="14"/>
                <w:szCs w:val="14"/>
                <w:lang w:val="en-US" w:eastAsia="it-IT"/>
              </w:rPr>
              <w:br/>
            </w:r>
            <w:r w:rsidRPr="00875A01">
              <w:rPr>
                <w:rFonts w:ascii="Tahoma" w:hAnsi="Tahoma" w:cs="Tahoma"/>
                <w:b/>
                <w:iCs/>
                <w:color w:val="000000"/>
                <w:sz w:val="14"/>
                <w:szCs w:val="14"/>
                <w:lang w:val="en-US" w:eastAsia="it-IT"/>
              </w:rPr>
              <w:t>ISBN</w:t>
            </w:r>
            <w:r w:rsidRPr="00875A01">
              <w:rPr>
                <w:rFonts w:ascii="Tahoma" w:hAnsi="Tahoma" w:cs="Tahoma"/>
                <w:iCs/>
                <w:color w:val="000000"/>
                <w:sz w:val="14"/>
                <w:szCs w:val="14"/>
                <w:lang w:val="en-US" w:eastAsia="it-IT"/>
              </w:rPr>
              <w:t xml:space="preserve"> </w:t>
            </w:r>
            <w:r w:rsidR="003B49CD" w:rsidRPr="00875A01">
              <w:rPr>
                <w:rFonts w:ascii="Tahoma" w:hAnsi="Tahoma" w:cs="Tahoma"/>
                <w:sz w:val="14"/>
                <w:szCs w:val="14"/>
                <w:lang w:val="en-US"/>
              </w:rPr>
              <w:t>979-12-81206-1</w:t>
            </w:r>
            <w:r w:rsidR="00994C6A" w:rsidRPr="00875A01">
              <w:rPr>
                <w:rFonts w:ascii="Tahoma" w:hAnsi="Tahoma" w:cs="Tahoma"/>
                <w:sz w:val="14"/>
                <w:szCs w:val="14"/>
                <w:lang w:val="en-US"/>
              </w:rPr>
              <w:t>7</w:t>
            </w:r>
            <w:r w:rsidR="003B49CD" w:rsidRPr="00875A01">
              <w:rPr>
                <w:rFonts w:ascii="Tahoma" w:hAnsi="Tahoma" w:cs="Tahoma"/>
                <w:sz w:val="14"/>
                <w:szCs w:val="14"/>
                <w:lang w:val="en-US"/>
              </w:rPr>
              <w:t>-</w:t>
            </w:r>
            <w:r w:rsidR="00994C6A" w:rsidRPr="00875A01">
              <w:rPr>
                <w:rFonts w:ascii="Tahoma" w:hAnsi="Tahoma" w:cs="Tahoma"/>
                <w:sz w:val="14"/>
                <w:szCs w:val="14"/>
                <w:lang w:val="en-US"/>
              </w:rPr>
              <w:t>5</w:t>
            </w:r>
            <w:r w:rsidRPr="00875A01">
              <w:rPr>
                <w:rFonts w:ascii="Tahoma" w:hAnsi="Tahoma" w:cs="Tahoma"/>
                <w:iCs/>
                <w:color w:val="333333"/>
                <w:sz w:val="14"/>
                <w:szCs w:val="14"/>
                <w:lang w:val="en-US" w:eastAsia="it-IT"/>
              </w:rPr>
              <w:t xml:space="preserve">; </w:t>
            </w:r>
            <w:r w:rsidRPr="00875A01">
              <w:rPr>
                <w:rFonts w:ascii="Tahoma" w:hAnsi="Tahoma" w:cs="Tahoma"/>
                <w:b/>
                <w:iCs/>
                <w:color w:val="333333"/>
                <w:sz w:val="14"/>
                <w:szCs w:val="14"/>
                <w:lang w:val="en-US" w:eastAsia="it-IT"/>
              </w:rPr>
              <w:t>ISSN</w:t>
            </w:r>
            <w:r w:rsidRPr="00875A01">
              <w:rPr>
                <w:rFonts w:ascii="Tahoma" w:hAnsi="Tahoma" w:cs="Tahoma"/>
                <w:iCs/>
                <w:color w:val="333333"/>
                <w:sz w:val="14"/>
                <w:szCs w:val="14"/>
                <w:lang w:val="en-US" w:eastAsia="it-IT"/>
              </w:rPr>
              <w:t xml:space="preserve"> 2283-9216</w:t>
            </w:r>
          </w:p>
        </w:tc>
      </w:tr>
    </w:tbl>
    <w:bookmarkEnd w:id="0"/>
    <w:p w14:paraId="2E667253" w14:textId="38CC938B" w:rsidR="00E978D0" w:rsidRPr="00875A01" w:rsidRDefault="00204DA1" w:rsidP="00E978D0">
      <w:pPr>
        <w:pStyle w:val="CETTitle"/>
        <w:rPr>
          <w:lang w:val="en-US"/>
        </w:rPr>
      </w:pPr>
      <w:r w:rsidRPr="00875A01">
        <w:rPr>
          <w:lang w:val="en-US"/>
        </w:rPr>
        <w:t>CO</w:t>
      </w:r>
      <w:r w:rsidRPr="00875A01">
        <w:rPr>
          <w:vertAlign w:val="subscript"/>
          <w:lang w:val="en-US"/>
        </w:rPr>
        <w:t>2</w:t>
      </w:r>
      <w:r w:rsidRPr="00875A01">
        <w:rPr>
          <w:lang w:val="en-US"/>
        </w:rPr>
        <w:t xml:space="preserve"> Capture in a Fixed Bed Reactor: Experimental and Simulation Study of Adsorption Process Using Li</w:t>
      </w:r>
      <w:r w:rsidRPr="00875A01">
        <w:rPr>
          <w:vertAlign w:val="subscript"/>
          <w:lang w:val="en-US"/>
        </w:rPr>
        <w:t>4</w:t>
      </w:r>
      <w:r w:rsidRPr="00875A01">
        <w:rPr>
          <w:lang w:val="en-US"/>
        </w:rPr>
        <w:t>SiO</w:t>
      </w:r>
      <w:r w:rsidRPr="00875A01">
        <w:rPr>
          <w:vertAlign w:val="subscript"/>
          <w:lang w:val="en-US"/>
        </w:rPr>
        <w:t>4</w:t>
      </w:r>
      <w:r w:rsidRPr="00875A01">
        <w:rPr>
          <w:lang w:val="en-US"/>
        </w:rPr>
        <w:t>-based Sorbents</w:t>
      </w:r>
    </w:p>
    <w:p w14:paraId="0488FED2" w14:textId="76D26B0A" w:rsidR="00B57E6F" w:rsidRPr="00A053F8" w:rsidRDefault="00204DA1" w:rsidP="00B57E6F">
      <w:pPr>
        <w:pStyle w:val="CETAuthors"/>
        <w:rPr>
          <w:lang w:val="it-IT"/>
        </w:rPr>
      </w:pPr>
      <w:r w:rsidRPr="00A053F8">
        <w:rPr>
          <w:lang w:val="it-IT"/>
        </w:rPr>
        <w:t>Eleonora Stefanelli</w:t>
      </w:r>
      <w:r w:rsidRPr="00A053F8">
        <w:rPr>
          <w:vertAlign w:val="superscript"/>
          <w:lang w:val="it-IT"/>
        </w:rPr>
        <w:t>a</w:t>
      </w:r>
      <w:r w:rsidRPr="00A053F8">
        <w:rPr>
          <w:lang w:val="it-IT"/>
        </w:rPr>
        <w:t>, Flavio Francalanci</w:t>
      </w:r>
      <w:r w:rsidRPr="00A053F8">
        <w:rPr>
          <w:vertAlign w:val="superscript"/>
          <w:lang w:val="it-IT"/>
        </w:rPr>
        <w:t>a</w:t>
      </w:r>
      <w:r w:rsidRPr="00A053F8">
        <w:rPr>
          <w:lang w:val="it-IT"/>
        </w:rPr>
        <w:t>, Sandra Vitolo</w:t>
      </w:r>
      <w:r w:rsidRPr="00A053F8">
        <w:rPr>
          <w:vertAlign w:val="superscript"/>
          <w:lang w:val="it-IT"/>
        </w:rPr>
        <w:t>a</w:t>
      </w:r>
      <w:r w:rsidRPr="00A053F8">
        <w:rPr>
          <w:lang w:val="it-IT"/>
        </w:rPr>
        <w:t>, Stefania De Santis</w:t>
      </w:r>
      <w:r w:rsidRPr="00A053F8">
        <w:rPr>
          <w:vertAlign w:val="superscript"/>
          <w:lang w:val="it-IT"/>
        </w:rPr>
        <w:t>b</w:t>
      </w:r>
      <w:r w:rsidRPr="00A053F8">
        <w:rPr>
          <w:lang w:val="it-IT"/>
        </w:rPr>
        <w:t>, Monica Puccini</w:t>
      </w:r>
      <w:r w:rsidRPr="00A053F8">
        <w:rPr>
          <w:vertAlign w:val="superscript"/>
          <w:lang w:val="it-IT"/>
        </w:rPr>
        <w:t>a*</w:t>
      </w:r>
    </w:p>
    <w:p w14:paraId="6B2D21B3" w14:textId="2F37AA83" w:rsidR="00B57E6F" w:rsidRPr="00A053F8" w:rsidRDefault="00B57E6F" w:rsidP="00B57E6F">
      <w:pPr>
        <w:pStyle w:val="CETAddress"/>
        <w:rPr>
          <w:lang w:val="it-IT"/>
        </w:rPr>
      </w:pPr>
      <w:r w:rsidRPr="00A053F8">
        <w:rPr>
          <w:vertAlign w:val="superscript"/>
          <w:lang w:val="it-IT"/>
        </w:rPr>
        <w:t>a</w:t>
      </w:r>
      <w:r w:rsidR="00204DA1" w:rsidRPr="00A053F8">
        <w:rPr>
          <w:lang w:val="it-IT"/>
        </w:rPr>
        <w:t xml:space="preserve"> Dipartimento di Ingegneria Civile e Industriale, University of Pisa, Largo Lucio Lazzarino 1, 56122 Pisa, Italy</w:t>
      </w:r>
      <w:r w:rsidRPr="00A053F8">
        <w:rPr>
          <w:lang w:val="it-IT"/>
        </w:rPr>
        <w:t xml:space="preserve"> </w:t>
      </w:r>
    </w:p>
    <w:p w14:paraId="3D72B0B0" w14:textId="096EDA34" w:rsidR="00B57E6F" w:rsidRPr="00A053F8" w:rsidRDefault="00B57E6F" w:rsidP="00B57E6F">
      <w:pPr>
        <w:pStyle w:val="CETAddress"/>
        <w:rPr>
          <w:lang w:val="it-IT"/>
        </w:rPr>
      </w:pPr>
      <w:r w:rsidRPr="00A053F8">
        <w:rPr>
          <w:vertAlign w:val="superscript"/>
          <w:lang w:val="it-IT"/>
        </w:rPr>
        <w:t>b</w:t>
      </w:r>
      <w:r w:rsidR="00204DA1" w:rsidRPr="00A053F8">
        <w:rPr>
          <w:lang w:val="it-IT"/>
        </w:rPr>
        <w:t xml:space="preserve"> Industrie Bitossi S.p.A, via Pietramarina 53, 50059 Vinci (FI), Italy</w:t>
      </w:r>
      <w:r w:rsidRPr="00A053F8">
        <w:rPr>
          <w:lang w:val="it-IT"/>
        </w:rPr>
        <w:t xml:space="preserve"> </w:t>
      </w:r>
    </w:p>
    <w:p w14:paraId="73F1267A" w14:textId="7FF8E43D" w:rsidR="00B57E6F" w:rsidRPr="00875A01" w:rsidRDefault="00B57E6F" w:rsidP="00B57E6F">
      <w:pPr>
        <w:pStyle w:val="CETemail"/>
        <w:rPr>
          <w:lang w:val="en-US"/>
        </w:rPr>
      </w:pPr>
      <w:r w:rsidRPr="00A053F8">
        <w:rPr>
          <w:lang w:val="it-IT"/>
        </w:rPr>
        <w:t xml:space="preserve"> </w:t>
      </w:r>
      <w:r w:rsidR="00204DA1" w:rsidRPr="00875A01">
        <w:rPr>
          <w:lang w:val="en-US"/>
        </w:rPr>
        <w:t>monica.puccini@unipi.it</w:t>
      </w:r>
    </w:p>
    <w:p w14:paraId="38F76186" w14:textId="58163F81" w:rsidR="006A6DE5" w:rsidRPr="00875A01" w:rsidRDefault="0074222D" w:rsidP="0074222D">
      <w:pPr>
        <w:pStyle w:val="CETBodytext"/>
      </w:pPr>
      <w:r w:rsidRPr="00875A01">
        <w:t xml:space="preserve">One of the most pressing challenges facing </w:t>
      </w:r>
      <w:r w:rsidR="00241FE2" w:rsidRPr="00875A01">
        <w:t>the energy sector</w:t>
      </w:r>
      <w:r w:rsidRPr="00875A01">
        <w:t xml:space="preserve"> is the urgent need to reduce anthropogenic CO</w:t>
      </w:r>
      <w:r w:rsidRPr="00875A01">
        <w:rPr>
          <w:vertAlign w:val="subscript"/>
        </w:rPr>
        <w:t>2</w:t>
      </w:r>
      <w:r w:rsidRPr="00875A01">
        <w:t xml:space="preserve"> emissions while simultaneously meeting the increasing energy demands of a growing global population. Among the various strategies to mitigate point-source CO</w:t>
      </w:r>
      <w:r w:rsidRPr="00875A01">
        <w:rPr>
          <w:vertAlign w:val="subscript"/>
        </w:rPr>
        <w:t>2</w:t>
      </w:r>
      <w:r w:rsidRPr="00875A01">
        <w:t xml:space="preserve"> emissions, post-combustion carbon capture stands out as one of the most straightforward and widely applicable methods. This study focuse</w:t>
      </w:r>
      <w:r w:rsidR="00321A38" w:rsidRPr="00875A01">
        <w:t>d</w:t>
      </w:r>
      <w:r w:rsidRPr="00875A01">
        <w:t xml:space="preserve"> on </w:t>
      </w:r>
      <w:r w:rsidR="004668E5" w:rsidRPr="00875A01">
        <w:t>modeling</w:t>
      </w:r>
      <w:r w:rsidRPr="00875A01">
        <w:t xml:space="preserve"> a fixed</w:t>
      </w:r>
      <w:r w:rsidR="004E45B6" w:rsidRPr="00875A01">
        <w:t xml:space="preserve"> </w:t>
      </w:r>
      <w:r w:rsidRPr="00875A01">
        <w:t>bed reactor utilizing K</w:t>
      </w:r>
      <w:r w:rsidRPr="00875A01">
        <w:rPr>
          <w:vertAlign w:val="subscript"/>
        </w:rPr>
        <w:t>2</w:t>
      </w:r>
      <w:r w:rsidRPr="00875A01">
        <w:t>CO</w:t>
      </w:r>
      <w:r w:rsidRPr="00875A01">
        <w:rPr>
          <w:vertAlign w:val="subscript"/>
        </w:rPr>
        <w:t>3</w:t>
      </w:r>
      <w:r w:rsidRPr="00875A01">
        <w:t>-doped Li</w:t>
      </w:r>
      <w:r w:rsidRPr="00875A01">
        <w:rPr>
          <w:vertAlign w:val="subscript"/>
        </w:rPr>
        <w:t>4</w:t>
      </w:r>
      <w:r w:rsidRPr="00875A01">
        <w:t>SiO</w:t>
      </w:r>
      <w:r w:rsidRPr="00875A01">
        <w:rPr>
          <w:vertAlign w:val="subscript"/>
        </w:rPr>
        <w:t>4</w:t>
      </w:r>
      <w:r w:rsidRPr="00875A01">
        <w:t xml:space="preserve"> porous pellets as the adsorbent material. The pellets were tested in a lab-scale fixed</w:t>
      </w:r>
      <w:r w:rsidR="004E45B6" w:rsidRPr="00875A01">
        <w:t xml:space="preserve"> </w:t>
      </w:r>
      <w:r w:rsidRPr="00875A01">
        <w:t>bed reactor under conditions simulating the exhaust gases of power plants, specifically at a low CO</w:t>
      </w:r>
      <w:r w:rsidRPr="00875A01">
        <w:rPr>
          <w:vertAlign w:val="subscript"/>
        </w:rPr>
        <w:t xml:space="preserve">2 </w:t>
      </w:r>
      <w:r w:rsidRPr="00875A01">
        <w:t>concentration (4 vol%) and an adsorption temperature of 515 °C. A one-dimensional model was developed using COMSOL Multiphysics</w:t>
      </w:r>
      <w:r w:rsidR="004E45B6" w:rsidRPr="00875A01">
        <w:rPr>
          <w:vertAlign w:val="superscript"/>
        </w:rPr>
        <w:t>®</w:t>
      </w:r>
      <w:r w:rsidRPr="00875A01">
        <w:t xml:space="preserve"> to simulate </w:t>
      </w:r>
      <w:r w:rsidR="004E45B6" w:rsidRPr="00875A01">
        <w:t xml:space="preserve">the </w:t>
      </w:r>
      <w:r w:rsidRPr="00875A01">
        <w:t>CO</w:t>
      </w:r>
      <w:r w:rsidRPr="00875A01">
        <w:rPr>
          <w:vertAlign w:val="subscript"/>
        </w:rPr>
        <w:t>2</w:t>
      </w:r>
      <w:r w:rsidRPr="00875A01">
        <w:t xml:space="preserve"> adsorption</w:t>
      </w:r>
      <w:r w:rsidR="004E45B6" w:rsidRPr="00875A01">
        <w:t xml:space="preserve"> process</w:t>
      </w:r>
      <w:r w:rsidRPr="00875A01">
        <w:t xml:space="preserve"> within the pellet bed. The model incorporated </w:t>
      </w:r>
      <w:r w:rsidR="00B85B7C" w:rsidRPr="00875A01">
        <w:t>modified shrinking core reaction kinetics, which accounted for the</w:t>
      </w:r>
      <w:r w:rsidR="002F73E0" w:rsidRPr="00875A01">
        <w:t xml:space="preserve"> presence of a molten carbonate mixture and a nucleation phase</w:t>
      </w:r>
      <w:r w:rsidR="00B85B7C" w:rsidRPr="00875A01">
        <w:t xml:space="preserve"> </w:t>
      </w:r>
      <w:r w:rsidR="00B91027">
        <w:t>to capture the adsorption process accurately</w:t>
      </w:r>
      <w:r w:rsidRPr="00875A01">
        <w:t xml:space="preserve">. </w:t>
      </w:r>
      <w:r w:rsidR="002F73E0" w:rsidRPr="00875A01">
        <w:t>Simulation results showed good agreement with the experimental data, confirming the model</w:t>
      </w:r>
      <w:r w:rsidR="00875A01">
        <w:t>’</w:t>
      </w:r>
      <w:r w:rsidR="002F73E0" w:rsidRPr="00875A01">
        <w:t xml:space="preserve">s ability to predict the adsorption </w:t>
      </w:r>
      <w:r w:rsidR="006A6DB6" w:rsidRPr="00875A01">
        <w:t>performance</w:t>
      </w:r>
      <w:r w:rsidR="002F73E0" w:rsidRPr="00875A01">
        <w:t xml:space="preserve"> </w:t>
      </w:r>
      <w:r w:rsidRPr="00875A01">
        <w:t>under the specified conditions.</w:t>
      </w:r>
    </w:p>
    <w:p w14:paraId="476B2F2E" w14:textId="52B36035" w:rsidR="00600535" w:rsidRPr="00875A01" w:rsidRDefault="00600535" w:rsidP="00600535">
      <w:pPr>
        <w:pStyle w:val="CETHeading1"/>
      </w:pPr>
      <w:r w:rsidRPr="00875A01">
        <w:t>Introduction</w:t>
      </w:r>
    </w:p>
    <w:p w14:paraId="293EBE28" w14:textId="090691C7" w:rsidR="00974B44" w:rsidRPr="00875A01" w:rsidRDefault="0074222D" w:rsidP="00974B44">
      <w:pPr>
        <w:pStyle w:val="CETBodytext"/>
      </w:pPr>
      <w:r w:rsidRPr="00875A01">
        <w:t>The increasing CO</w:t>
      </w:r>
      <w:r w:rsidRPr="00875A01">
        <w:rPr>
          <w:vertAlign w:val="subscript"/>
        </w:rPr>
        <w:t>2</w:t>
      </w:r>
      <w:r w:rsidRPr="00875A01">
        <w:t xml:space="preserve"> concentration in the atmosphere, which has recently </w:t>
      </w:r>
      <w:r w:rsidR="0024679B" w:rsidRPr="00875A01">
        <w:t>exceeded</w:t>
      </w:r>
      <w:r w:rsidRPr="00875A01">
        <w:t xml:space="preserve"> 400 ppm, has raised </w:t>
      </w:r>
      <w:r w:rsidR="0024679B" w:rsidRPr="00875A01">
        <w:t>significant</w:t>
      </w:r>
      <w:r w:rsidRPr="00875A01">
        <w:t xml:space="preserve"> concern for </w:t>
      </w:r>
      <w:r w:rsidR="0024679B" w:rsidRPr="00875A01">
        <w:t>its</w:t>
      </w:r>
      <w:r w:rsidRPr="00875A01">
        <w:t xml:space="preserve"> potential effects on Earth’s ecosystem</w:t>
      </w:r>
      <w:r w:rsidR="0024679B" w:rsidRPr="00875A01">
        <w:t>s</w:t>
      </w:r>
      <w:r w:rsidRPr="00875A01">
        <w:t xml:space="preserve">. </w:t>
      </w:r>
      <w:r w:rsidR="002669DA" w:rsidRPr="00875A01">
        <w:t xml:space="preserve">Achieving net-zero carbon emissions by 2050 requires scalable and efficient decarbonization strategies, </w:t>
      </w:r>
      <w:r w:rsidR="00875A01">
        <w:t>particularly</w:t>
      </w:r>
      <w:r w:rsidR="002669DA" w:rsidRPr="00875A01">
        <w:t xml:space="preserve"> in energy-intensive industries, which are </w:t>
      </w:r>
      <w:r w:rsidR="00875A01">
        <w:t>crucial</w:t>
      </w:r>
      <w:r w:rsidR="002669DA" w:rsidRPr="00875A01">
        <w:t xml:space="preserve"> </w:t>
      </w:r>
      <w:r w:rsidR="00875A01">
        <w:t>for limiting</w:t>
      </w:r>
      <w:r w:rsidR="002669DA" w:rsidRPr="00875A01">
        <w:t xml:space="preserve"> global temperature rise. Among these efforts, carbon capture and storage (CCS) technologies are emerging as essential approaches to mitigate emissions from industrial processes and power generation that continue to depend on fossil fuels</w:t>
      </w:r>
      <w:r w:rsidR="008A022C" w:rsidRPr="00875A01">
        <w:t xml:space="preserve"> </w:t>
      </w:r>
      <w:r w:rsidR="008A022C" w:rsidRPr="00875A01">
        <w:fldChar w:fldCharType="begin" w:fldLock="1"/>
      </w:r>
      <w:r w:rsidR="00014CF6" w:rsidRPr="00875A01">
        <w:instrText>ADDIN CSL_CITATION {"citationItems":[{"id":"ITEM-1","itemData":{"DOI":"10.1016/J.SEPPUR.2024.127153","ISSN":"1383-5866","abstract":"Since the industrial revolution, the greenhouse effect has become more and more serious, causing great impacts on human beings and society. Many countries have formulated carbon neutrality and introduced a series of emission reduction measures. This paper summarizes and evaluates for the first time three universally appropriate carbon reduction measures: energy upgrading, biotechnology, and carbon capture, utilization and storage (CCUS) technology in conjunction with the policies of each country. The choice of carbon reduction methods depends on the economic situation and natural resources of each country. For example, the Middle East is more in need of energy upgrades, South America is focused on biotechnology, and Western Europe is currently more suited to CCUS technology. This paper also predicts the carbon reduction capacity and capital consumption of 10 carbon reduction methods based on International Energy Agency (IEA) data and the current development of emission reduction technologies. This can provide a reference for countries to choose appropriate carbon reduction methods. Meanwhile, this paper comprehensively reviews the principles of CCUS technology, including the current progress, problems, and prospects for application. The CCUS technology plays a significant role in promoting the transformation of the energy structure and responding to global climate change. Promoting the rapid development and wide application of CCUS technology requires the joint efforts of governments, enterprises and the public: government policy, enterprise investment and public support. This paper can provide references for countries to select appropriate carbon reduction methods and guidance for researchers to further improve the effect of CCUS.","author":[{"dropping-particle":"","family":"Chu","given":"Huaqiang","non-dropping-particle":"","parse-names":false,"suffix":""},{"dropping-particle":"","family":"Huang","given":"Zhen","non-dropping-particle":"","parse-names":false,"suffix":""},{"dropping-particle":"","family":"Zhang","given":"Zekai","non-dropping-particle":"","parse-names":false,"suffix":""},{"dropping-particle":"","family":"Yan","given":"Xianyao","non-dropping-particle":"","parse-names":false,"suffix":""},{"dropping-particle":"","family":"Qiu","given":"Bingbing","non-dropping-particle":"","parse-names":false,"suffix":""},{"dropping-particle":"","family":"Xu","given":"Nian","non-dropping-particle":"","parse-names":false,"suffix":""}],"container-title":"Separation and Purification Technology","id":"ITEM-1","issued":{"date-parts":[["2024","9","6"]]},"page":"127153","publisher":"Elsevier","title":"Integration of carbon emission reduction policies and technologies: Research progress on carbon capture, utilization and storage technologies","type":"article-journal","volume":"343"},"uris":["http://www.mendeley.com/documents/?uuid=554e5a4e-c252-34dd-962b-e747e0c065ad"]}],"mendeley":{"formattedCitation":"(Chu et al., 2024)","plainTextFormattedCitation":"(Chu et al., 2024)","previouslyFormattedCitation":"(Chu et al., 2024)"},"properties":{"noteIndex":0},"schema":"https://github.com/citation-style-language/schema/raw/master/csl-citation.json"}</w:instrText>
      </w:r>
      <w:r w:rsidR="008A022C" w:rsidRPr="00875A01">
        <w:fldChar w:fldCharType="separate"/>
      </w:r>
      <w:r w:rsidR="008A022C" w:rsidRPr="00875A01">
        <w:rPr>
          <w:noProof/>
        </w:rPr>
        <w:t>(Chu et al., 2024)</w:t>
      </w:r>
      <w:r w:rsidR="008A022C" w:rsidRPr="00875A01">
        <w:fldChar w:fldCharType="end"/>
      </w:r>
      <w:r w:rsidR="002669DA" w:rsidRPr="00875A01">
        <w:t>.</w:t>
      </w:r>
      <w:r w:rsidR="008A022C" w:rsidRPr="00875A01">
        <w:t xml:space="preserve"> </w:t>
      </w:r>
      <w:r w:rsidRPr="00875A01">
        <w:t>The removal of CO</w:t>
      </w:r>
      <w:r w:rsidRPr="00875A01">
        <w:rPr>
          <w:vertAlign w:val="subscript"/>
        </w:rPr>
        <w:t>2</w:t>
      </w:r>
      <w:r w:rsidRPr="00875A01">
        <w:t xml:space="preserve"> from industrial flue gas streams at high temperatures is traditionally realized by liquid-phase absorption methods using amine-based sorbents, which require cooling the gas to temperatures below 100 °C for effective capture, resulting in significant energy losses</w:t>
      </w:r>
      <w:r w:rsidR="00FF470B" w:rsidRPr="00875A01">
        <w:t xml:space="preserve"> </w:t>
      </w:r>
      <w:r w:rsidR="005C7879" w:rsidRPr="00875A01">
        <w:fldChar w:fldCharType="begin" w:fldLock="1"/>
      </w:r>
      <w:r w:rsidR="00C52520" w:rsidRPr="00875A01">
        <w:instrText>ADDIN CSL_CITATION {"citationItems":[{"id":"ITEM-1","itemData":{"abstract":"CCS, Carbon Capture and Storage, is considered a promising technology to abate CO2 emissions from point sources. The present review deals with the principle of post-combustion capture techniques, including thermal or pressure swing principles, adsorption or absorption, and electrical swing or membrane separation processes. Opportunities and challenges are assessed. In the first section of absorption processes, several commercial technologies are compared and complemented by the aqueous or chilled ammonia (NH3) process, and a dual or strong alkali absorption. The second section deals with adsorption where fixed beds, circulating fluidized beds and counter-current bed configurations will be discussed, with particular focus on the different adsorbents ranging from zeolites or activated carbon, to more complex amine-functionalized adsorbents, nanotubes or metal organic frameworks (MOFs), and alkali-promoted oxides. Thirdly, membrane processes will be analysed. The review will finally summarize challenges and opportunities. Several research groups confirmed that absorption is the most mature post-combustion capture process: among the assessment of post-combustion CCS, 57% apply absorption, 14% rely on adsorption, 8% use membranes, and 21% apply mineralization or bio-fixation. This conclusion was in-line with expectations since absorption gas separation has been largely applied in various petrochemical industries. All other systems need further development prior to large scale application.","author":[{"dropping-particle":"","family":"Chao","given":"Cong","non-dropping-particle":"","parse-names":false,"suffix":""},{"dropping-particle":"","family":"Deng","given":"Yimin","non-dropping-particle":"","parse-names":false,"suffix":""},{"dropping-particle":"","family":"Dewil","given":"Raf","non-dropping-particle":"","parse-names":false,"suffix":""},{"dropping-particle":"","family":"Baeyens","given":"Jan","non-dropping-particle":"","parse-names":false,"suffix":""},{"dropping-particle":"","family":"Fan","given":"Xianfeng","non-dropping-particle":"","parse-names":false,"suffix":""}],"container-title":"Renewable and Sustainable Energy Reviews","id":"ITEM-1","issue":"October 2020","issued":{"date-parts":[["2021"]]},"page":"110490","publisher":"Elsevier Ltd","title":"Post-combustion carbon capture","type":"article-journal","volume":"138"},"uris":["http://www.mendeley.com/documents/?uuid=1945ab9f-0dce-4382-9a18-d7a017f71d13"]}],"mendeley":{"formattedCitation":"(Chao et al., 2021)","plainTextFormattedCitation":"(Chao et al., 2021)","previouslyFormattedCitation":"(Chao et al., 2021)"},"properties":{"noteIndex":0},"schema":"https://github.com/citation-style-language/schema/raw/master/csl-citation.json"}</w:instrText>
      </w:r>
      <w:r w:rsidR="005C7879" w:rsidRPr="00875A01">
        <w:fldChar w:fldCharType="separate"/>
      </w:r>
      <w:r w:rsidR="00DF06C1" w:rsidRPr="00875A01">
        <w:rPr>
          <w:noProof/>
        </w:rPr>
        <w:t>(Chao et al., 2021)</w:t>
      </w:r>
      <w:r w:rsidR="005C7879" w:rsidRPr="00875A01">
        <w:fldChar w:fldCharType="end"/>
      </w:r>
      <w:r w:rsidRPr="00875A01">
        <w:t>. In contrast, high-temperature regenerable solid sorbents have gained significant attention due to their ability to capture CO</w:t>
      </w:r>
      <w:r w:rsidRPr="00875A01">
        <w:rPr>
          <w:vertAlign w:val="subscript"/>
        </w:rPr>
        <w:t>2</w:t>
      </w:r>
      <w:r w:rsidRPr="00875A01">
        <w:t xml:space="preserve"> from hot flue gas streams directly</w:t>
      </w:r>
      <w:r w:rsidR="000B03D7" w:rsidRPr="00875A01">
        <w:t xml:space="preserve"> </w:t>
      </w:r>
      <w:r w:rsidR="00E33101" w:rsidRPr="00875A01">
        <w:fldChar w:fldCharType="begin" w:fldLock="1"/>
      </w:r>
      <w:r w:rsidR="000A604D" w:rsidRPr="00875A01">
        <w:instrText>ADDIN CSL_CITATION {"citationItems":[{"id":"ITEM-1","itemData":{"abstract":"This paper deals with gas separation by adsorption processes. The key objective is to investigate the adsorption suitability for Post-combustion Carbon Dioxide (CO2) Capture (PCC). Adsorption is a promising technology suitable for a high volume of diluted gas processing. Unlike commercialised amine-based absorption processes, adsorption seems to require less energy for sorbent regeneration and extends the sorbent lifetime. Two common industrial methods utilizing a difference in adsorption equilibrium of the gas components were investigated: 1) Pressure Swing Adsorption (PSA) including Vacuum Swing Adsorption (VSA), 2) Temperature Swing Adsorption (TSA). A comparison of their energy consumption, suitability for industrial use with consideration of Carbon Capture and Storage standards is evaluated. A complex mathematical model for the adsorption step of the fixed bed adsorber was proposed and solved by the structural programming. Three adsorbent materials: Mg-MOF-74, UTSA-16, and Zeolite 13X were evaluated based on their CO2 adsorption capacity, selectivity, and market availability. Zeolite 13X was further explored. As a benchmark case, a medium-sized natural gas cogeneration unit was used to study the potential of VSA unit. The lower limit of CO2 capture efficiency in simulations was 75 %. The results presented in this paper suggest that adsorption can be a feasible CO2 capture solution for a low-carbon emission power generation technologies. Optimal parameters for the adsorption step and column configuration are proposed.","author":[{"dropping-particle":"","family":"Nedoma","given":"Marek","non-dropping-particle":"","parse-names":false,"suffix":""},{"dropping-particle":"","family":"Netušil","given":"Michal","non-dropping-particle":"","parse-names":false,"suffix":""}],"container-title":"Chemical Engineering Transactions","id":"ITEM-1","issue":"May","issued":{"date-parts":[["2021"]]},"page":"421-426","title":"CO&lt;sub&gt;2&lt;/sub&gt; Separation from Flue Gases by Adsorption","type":"article-journal","volume":"88"},"uris":["http://www.mendeley.com/documents/?uuid=fa481a7f-e6b1-44c6-9469-0e6d5d995ba2"]}],"mendeley":{"formattedCitation":"(Nedoma &amp; Netušil, 2021)","plainTextFormattedCitation":"(Nedoma &amp; Netušil, 2021)","previouslyFormattedCitation":"(Nedoma &amp; Netušil, 2021)"},"properties":{"noteIndex":0},"schema":"https://github.com/citation-style-language/schema/raw/master/csl-citation.json"}</w:instrText>
      </w:r>
      <w:r w:rsidR="00E33101" w:rsidRPr="00875A01">
        <w:fldChar w:fldCharType="separate"/>
      </w:r>
      <w:r w:rsidR="005E5105" w:rsidRPr="00875A01">
        <w:rPr>
          <w:noProof/>
        </w:rPr>
        <w:t>(Nedoma &amp; Netušil, 2021)</w:t>
      </w:r>
      <w:r w:rsidR="00E33101" w:rsidRPr="00875A01">
        <w:fldChar w:fldCharType="end"/>
      </w:r>
      <w:r w:rsidRPr="00875A01">
        <w:t>. A promising sorbent is lithium orthosilicate (Li</w:t>
      </w:r>
      <w:r w:rsidRPr="00875A01">
        <w:rPr>
          <w:vertAlign w:val="subscript"/>
        </w:rPr>
        <w:t>4</w:t>
      </w:r>
      <w:r w:rsidRPr="00875A01">
        <w:t>SiO</w:t>
      </w:r>
      <w:r w:rsidRPr="00875A01">
        <w:rPr>
          <w:vertAlign w:val="subscript"/>
        </w:rPr>
        <w:t>4</w:t>
      </w:r>
      <w:r w:rsidRPr="00875A01">
        <w:t xml:space="preserve">) since it can </w:t>
      </w:r>
      <w:proofErr w:type="gramStart"/>
      <w:r w:rsidRPr="00875A01">
        <w:t>adsorb</w:t>
      </w:r>
      <w:proofErr w:type="gramEnd"/>
      <w:r w:rsidRPr="00875A01">
        <w:t xml:space="preserve"> CO</w:t>
      </w:r>
      <w:r w:rsidRPr="00875A01">
        <w:rPr>
          <w:vertAlign w:val="subscript"/>
        </w:rPr>
        <w:t>2</w:t>
      </w:r>
      <w:r w:rsidRPr="00875A01">
        <w:t xml:space="preserve"> at high temperatures (450-600 °C)</w:t>
      </w:r>
      <w:r w:rsidR="00BF4EAB" w:rsidRPr="00875A01">
        <w:t xml:space="preserve"> with </w:t>
      </w:r>
      <w:r w:rsidR="00974B44" w:rsidRPr="00875A01">
        <w:t>a reversible</w:t>
      </w:r>
      <w:r w:rsidR="00BF4EAB" w:rsidRPr="00875A01">
        <w:t xml:space="preserve"> reaction (</w:t>
      </w:r>
      <w:proofErr w:type="gramStart"/>
      <w:r w:rsidR="00BF4EAB" w:rsidRPr="00875A01">
        <w:t>Eq(</w:t>
      </w:r>
      <w:proofErr w:type="gramEnd"/>
      <w:r w:rsidR="00BF4EAB" w:rsidRPr="00875A01">
        <w:t>1)),</w:t>
      </w:r>
      <w:r w:rsidRPr="00875A01">
        <w:t xml:space="preserve"> even at low concentrations (2-5 vol%)</w:t>
      </w:r>
      <w:r w:rsidR="00B91027">
        <w:t>,</w:t>
      </w:r>
      <w:r w:rsidRPr="00875A01">
        <w:t xml:space="preserve"> typical of industrial operating conditions </w:t>
      </w:r>
      <w:r w:rsidR="00F63216">
        <w:t>in</w:t>
      </w:r>
      <w:r w:rsidRPr="00875A01">
        <w:t xml:space="preserve"> natural gas power plants</w:t>
      </w:r>
      <w:r w:rsidR="00BF4EAB" w:rsidRPr="00875A01">
        <w:t>.</w:t>
      </w:r>
      <w:r w:rsidR="00974B44" w:rsidRPr="00875A01">
        <w:t xml:space="preserve"> The main advantages of Li</w:t>
      </w:r>
      <w:r w:rsidR="00974B44" w:rsidRPr="00875A01">
        <w:rPr>
          <w:vertAlign w:val="subscript"/>
        </w:rPr>
        <w:t>4</w:t>
      </w:r>
      <w:r w:rsidR="00974B44" w:rsidRPr="00875A01">
        <w:t>SiO</w:t>
      </w:r>
      <w:r w:rsidR="00974B44" w:rsidRPr="00875A01">
        <w:rPr>
          <w:vertAlign w:val="subscript"/>
        </w:rPr>
        <w:t>4</w:t>
      </w:r>
      <w:r w:rsidR="00974B44" w:rsidRPr="00875A01">
        <w:t xml:space="preserve"> lie in its high theoretical adsorption capacity of 367 mg CO</w:t>
      </w:r>
      <w:r w:rsidR="00974B44" w:rsidRPr="00875A01">
        <w:rPr>
          <w:vertAlign w:val="subscript"/>
        </w:rPr>
        <w:t>2</w:t>
      </w:r>
      <w:r w:rsidR="00974B44" w:rsidRPr="00875A01">
        <w:t xml:space="preserve">/g sorbent, fast reaction kinetics, and excellent stability that </w:t>
      </w:r>
      <w:r w:rsidR="00DB4DEA" w:rsidRPr="00875A01">
        <w:t>make</w:t>
      </w:r>
      <w:r w:rsidR="00974B44" w:rsidRPr="00875A01">
        <w:t xml:space="preserve"> it suitable for use in several adsorption/desorption cycles. </w:t>
      </w:r>
    </w:p>
    <w:tbl>
      <w:tblPr>
        <w:tblW w:w="5000" w:type="pct"/>
        <w:tblLook w:val="04A0" w:firstRow="1" w:lastRow="0" w:firstColumn="1" w:lastColumn="0" w:noHBand="0" w:noVBand="1"/>
      </w:tblPr>
      <w:tblGrid>
        <w:gridCol w:w="7985"/>
        <w:gridCol w:w="802"/>
      </w:tblGrid>
      <w:tr w:rsidR="003B1C7C" w:rsidRPr="00875A01" w14:paraId="0B4BC2BA" w14:textId="77777777" w:rsidTr="004617EB">
        <w:tc>
          <w:tcPr>
            <w:tcW w:w="7985" w:type="dxa"/>
            <w:shd w:val="clear" w:color="auto" w:fill="auto"/>
            <w:vAlign w:val="center"/>
          </w:tcPr>
          <w:p w14:paraId="16CCF641" w14:textId="77777777" w:rsidR="003B1C7C" w:rsidRPr="00875A01" w:rsidRDefault="003B1C7C" w:rsidP="004617EB">
            <w:pPr>
              <w:pStyle w:val="CETEquation"/>
              <w:spacing w:before="100" w:after="100"/>
              <w:rPr>
                <w:lang w:val="en-US"/>
              </w:rPr>
            </w:pPr>
            <w:r w:rsidRPr="00875A01">
              <w:rPr>
                <w:szCs w:val="24"/>
                <w:lang w:val="en-US"/>
              </w:rPr>
              <w:t>Li</w:t>
            </w:r>
            <w:r w:rsidRPr="00875A01">
              <w:rPr>
                <w:szCs w:val="24"/>
                <w:vertAlign w:val="subscript"/>
                <w:lang w:val="en-US"/>
              </w:rPr>
              <w:t>4</w:t>
            </w:r>
            <w:r w:rsidRPr="00875A01">
              <w:rPr>
                <w:szCs w:val="24"/>
                <w:lang w:val="en-US"/>
              </w:rPr>
              <w:t>SiO</w:t>
            </w:r>
            <w:r w:rsidRPr="00875A01">
              <w:rPr>
                <w:szCs w:val="24"/>
                <w:vertAlign w:val="subscript"/>
                <w:lang w:val="en-US"/>
              </w:rPr>
              <w:t>4 (s)</w:t>
            </w:r>
            <w:r w:rsidRPr="00875A01">
              <w:rPr>
                <w:szCs w:val="24"/>
                <w:lang w:val="en-US"/>
              </w:rPr>
              <w:t xml:space="preserve"> + CO</w:t>
            </w:r>
            <w:r w:rsidRPr="00875A01">
              <w:rPr>
                <w:szCs w:val="24"/>
                <w:vertAlign w:val="subscript"/>
                <w:lang w:val="en-US"/>
              </w:rPr>
              <w:t>2 (g)</w:t>
            </w:r>
            <w:r w:rsidRPr="00875A01">
              <w:rPr>
                <w:szCs w:val="24"/>
                <w:lang w:val="en-US"/>
              </w:rPr>
              <w:t xml:space="preserve"> ↔ Li</w:t>
            </w:r>
            <w:r w:rsidRPr="00875A01">
              <w:rPr>
                <w:szCs w:val="24"/>
                <w:vertAlign w:val="subscript"/>
                <w:lang w:val="en-US"/>
              </w:rPr>
              <w:t>2</w:t>
            </w:r>
            <w:r w:rsidRPr="00875A01">
              <w:rPr>
                <w:szCs w:val="24"/>
                <w:lang w:val="en-US"/>
              </w:rPr>
              <w:t>CO</w:t>
            </w:r>
            <w:r w:rsidRPr="00875A01">
              <w:rPr>
                <w:szCs w:val="24"/>
                <w:vertAlign w:val="subscript"/>
                <w:lang w:val="en-US"/>
              </w:rPr>
              <w:t>3 (s)</w:t>
            </w:r>
            <w:r w:rsidRPr="00875A01">
              <w:rPr>
                <w:szCs w:val="24"/>
                <w:lang w:val="en-US"/>
              </w:rPr>
              <w:t xml:space="preserve"> + Li</w:t>
            </w:r>
            <w:r w:rsidRPr="00875A01">
              <w:rPr>
                <w:szCs w:val="24"/>
                <w:vertAlign w:val="subscript"/>
                <w:lang w:val="en-US"/>
              </w:rPr>
              <w:t>2</w:t>
            </w:r>
            <w:r w:rsidRPr="00875A01">
              <w:rPr>
                <w:szCs w:val="24"/>
                <w:lang w:val="en-US"/>
              </w:rPr>
              <w:t>SiO</w:t>
            </w:r>
            <w:r w:rsidRPr="00875A01">
              <w:rPr>
                <w:szCs w:val="24"/>
                <w:vertAlign w:val="subscript"/>
                <w:lang w:val="en-US"/>
              </w:rPr>
              <w:t>3 (s)</w:t>
            </w:r>
          </w:p>
        </w:tc>
        <w:tc>
          <w:tcPr>
            <w:tcW w:w="802" w:type="dxa"/>
            <w:shd w:val="clear" w:color="auto" w:fill="auto"/>
            <w:vAlign w:val="center"/>
          </w:tcPr>
          <w:p w14:paraId="500FDADA" w14:textId="77777777" w:rsidR="003B1C7C" w:rsidRPr="00875A01" w:rsidRDefault="003B1C7C" w:rsidP="004617EB">
            <w:pPr>
              <w:pStyle w:val="CETEquation"/>
              <w:spacing w:before="100" w:after="100"/>
              <w:jc w:val="right"/>
              <w:rPr>
                <w:lang w:val="en-US"/>
              </w:rPr>
            </w:pPr>
            <w:r w:rsidRPr="00875A01">
              <w:rPr>
                <w:lang w:val="en-US"/>
              </w:rPr>
              <w:t>(1)</w:t>
            </w:r>
          </w:p>
        </w:tc>
      </w:tr>
    </w:tbl>
    <w:p w14:paraId="5436D977" w14:textId="273DA678" w:rsidR="00453E24" w:rsidRPr="00875A01" w:rsidRDefault="0074222D" w:rsidP="00453E24">
      <w:pPr>
        <w:pStyle w:val="CETBodytext"/>
        <w:rPr>
          <w:rStyle w:val="CETBodytextCarattere"/>
        </w:rPr>
      </w:pPr>
      <w:r w:rsidRPr="00875A01">
        <w:t>However, low CO</w:t>
      </w:r>
      <w:r w:rsidRPr="00875A01">
        <w:rPr>
          <w:vertAlign w:val="subscript"/>
        </w:rPr>
        <w:t>2</w:t>
      </w:r>
      <w:r w:rsidRPr="00875A01">
        <w:t xml:space="preserve"> concentrations could significantly hinder Li</w:t>
      </w:r>
      <w:r w:rsidRPr="00875A01">
        <w:rPr>
          <w:vertAlign w:val="subscript"/>
        </w:rPr>
        <w:t>4</w:t>
      </w:r>
      <w:r w:rsidRPr="00875A01">
        <w:t>SiO</w:t>
      </w:r>
      <w:r w:rsidRPr="00875A01">
        <w:rPr>
          <w:vertAlign w:val="subscript"/>
        </w:rPr>
        <w:t>4</w:t>
      </w:r>
      <w:r w:rsidRPr="00875A01">
        <w:t xml:space="preserve"> adsorption capacity and kinetics due to CO</w:t>
      </w:r>
      <w:r w:rsidRPr="00875A01">
        <w:rPr>
          <w:vertAlign w:val="subscript"/>
        </w:rPr>
        <w:t>2</w:t>
      </w:r>
      <w:r w:rsidRPr="00875A01">
        <w:t xml:space="preserve"> diffusion resistance through the reaction products’ solid layer that forms on the particle surface. Its performance could be improved by doping Li</w:t>
      </w:r>
      <w:r w:rsidRPr="00875A01">
        <w:rPr>
          <w:vertAlign w:val="subscript"/>
        </w:rPr>
        <w:t>4</w:t>
      </w:r>
      <w:r w:rsidRPr="00875A01">
        <w:t>SiO</w:t>
      </w:r>
      <w:r w:rsidRPr="00875A01">
        <w:rPr>
          <w:vertAlign w:val="subscript"/>
        </w:rPr>
        <w:t>4</w:t>
      </w:r>
      <w:r w:rsidRPr="00875A01">
        <w:t xml:space="preserve"> with alkali carbonates such as potassium carbonate (K</w:t>
      </w:r>
      <w:r w:rsidRPr="00875A01">
        <w:rPr>
          <w:vertAlign w:val="subscript"/>
        </w:rPr>
        <w:t>2</w:t>
      </w:r>
      <w:r w:rsidRPr="00875A01">
        <w:t>CO</w:t>
      </w:r>
      <w:r w:rsidRPr="00875A01">
        <w:rPr>
          <w:vertAlign w:val="subscript"/>
        </w:rPr>
        <w:t>3</w:t>
      </w:r>
      <w:r w:rsidRPr="00875A01">
        <w:t>)</w:t>
      </w:r>
      <w:r w:rsidR="00B91027">
        <w:t>,</w:t>
      </w:r>
      <w:r w:rsidRPr="00875A01">
        <w:t xml:space="preserve"> thanks to the formation of a molten carbonate layer, which reduces CO</w:t>
      </w:r>
      <w:r w:rsidRPr="00875A01">
        <w:rPr>
          <w:vertAlign w:val="subscript"/>
        </w:rPr>
        <w:t>2</w:t>
      </w:r>
      <w:r w:rsidRPr="00875A01">
        <w:t xml:space="preserve"> diffusion resistance. Several studies have been </w:t>
      </w:r>
      <w:r w:rsidRPr="00875A01">
        <w:lastRenderedPageBreak/>
        <w:t>carried out on CO</w:t>
      </w:r>
      <w:r w:rsidRPr="00875A01">
        <w:rPr>
          <w:vertAlign w:val="subscript"/>
        </w:rPr>
        <w:t>2</w:t>
      </w:r>
      <w:r w:rsidRPr="00875A01">
        <w:t xml:space="preserve"> capture by Li</w:t>
      </w:r>
      <w:r w:rsidRPr="00875A01">
        <w:rPr>
          <w:vertAlign w:val="subscript"/>
        </w:rPr>
        <w:t>4</w:t>
      </w:r>
      <w:r w:rsidRPr="00875A01">
        <w:t>SiO</w:t>
      </w:r>
      <w:r w:rsidRPr="00875A01">
        <w:rPr>
          <w:vertAlign w:val="subscript"/>
        </w:rPr>
        <w:t>4</w:t>
      </w:r>
      <w:r w:rsidRPr="00875A01">
        <w:t>-based sorbents; however, only very few of them report the dynamic adsorption performance of the sorbent in a packed bed system</w:t>
      </w:r>
      <w:r w:rsidR="005A46AB" w:rsidRPr="00875A01">
        <w:t xml:space="preserve"> </w:t>
      </w:r>
      <w:r w:rsidR="004E1F3F" w:rsidRPr="00875A01">
        <w:fldChar w:fldCharType="begin" w:fldLock="1"/>
      </w:r>
      <w:r w:rsidR="003026DE" w:rsidRPr="00875A01">
        <w:instrText>ADDIN CSL_CITATION {"citationItems":[{"id":"ITEM-1","itemData":{"DOI":"10.1016/j.cej.2018.11.128","ISSN":"1385-8947","author":[{"dropping-particle":"","family":"Hu","given":"Yingchao","non-dropping-particle":"","parse-names":false,"suffix":""},{"dropping-particle":"","family":"Liu","given":"Wenqiang","non-dropping-particle":"","parse-names":false,"suffix":""},{"dropping-particle":"","family":"Yang","given":"Yuandong","non-dropping-particle":"","parse-names":false,"suffix":""},{"dropping-particle":"","family":"Qu","given":"Mingyu","non-dropping-particle":"","parse-names":false,"suffix":""},{"dropping-particle":"","family":"Li","given":"Hailong","non-dropping-particle":"","parse-names":false,"suffix":""}],"container-title":"Chemical Engineering Journal","id":"ITEM-1","issue":"October 2018","issued":{"date-parts":[["2019"]]},"page":"604-625","publisher":"Elsevier","title":"CO&lt;sub&gt;2&lt;/sub&gt; capture by Li&lt;sub&gt;4&lt;/sub&gt;SiO&lt;sub&gt;4&lt;/sub&gt; sorbents and their applications: Current developments and new trends","type":"article-journal","volume":"359"},"uris":["http://www.mendeley.com/documents/?uuid=d6360f13-60fc-4e64-aa1b-08b40df2c7f0"]}],"mendeley":{"formattedCitation":"(Hu et al., 2019)","plainTextFormattedCitation":"(Hu et al., 2019)","previouslyFormattedCitation":"(Hu et al., 2019)"},"properties":{"noteIndex":0},"schema":"https://github.com/citation-style-language/schema/raw/master/csl-citation.json"}</w:instrText>
      </w:r>
      <w:r w:rsidR="004E1F3F" w:rsidRPr="00875A01">
        <w:fldChar w:fldCharType="separate"/>
      </w:r>
      <w:r w:rsidR="004E1F3F" w:rsidRPr="00875A01">
        <w:rPr>
          <w:noProof/>
        </w:rPr>
        <w:t>(Hu et al., 2019)</w:t>
      </w:r>
      <w:r w:rsidR="004E1F3F" w:rsidRPr="00875A01">
        <w:fldChar w:fldCharType="end"/>
      </w:r>
      <w:r w:rsidRPr="00875A01">
        <w:t xml:space="preserve">. </w:t>
      </w:r>
      <w:r w:rsidRPr="00875A01">
        <w:rPr>
          <w:rStyle w:val="CETBodytextCarattere"/>
        </w:rPr>
        <w:t xml:space="preserve">Furthermore, </w:t>
      </w:r>
      <w:r w:rsidR="004E1F3F" w:rsidRPr="00875A01">
        <w:rPr>
          <w:rStyle w:val="CETBodytextCarattere"/>
        </w:rPr>
        <w:t>modeling</w:t>
      </w:r>
      <w:r w:rsidRPr="00875A01">
        <w:rPr>
          <w:rStyle w:val="CETBodytextCarattere"/>
        </w:rPr>
        <w:t xml:space="preserve"> the chemical adsorption process of CO</w:t>
      </w:r>
      <w:r w:rsidRPr="00875A01">
        <w:rPr>
          <w:rStyle w:val="CETBodytextCarattere"/>
          <w:vertAlign w:val="subscript"/>
        </w:rPr>
        <w:t>2</w:t>
      </w:r>
      <w:r w:rsidRPr="00875A01">
        <w:rPr>
          <w:rStyle w:val="CETBodytextCarattere"/>
        </w:rPr>
        <w:t xml:space="preserve"> in a fixed</w:t>
      </w:r>
      <w:r w:rsidR="00680D76" w:rsidRPr="00875A01">
        <w:rPr>
          <w:rStyle w:val="CETBodytextCarattere"/>
        </w:rPr>
        <w:t xml:space="preserve"> </w:t>
      </w:r>
      <w:r w:rsidRPr="00875A01">
        <w:rPr>
          <w:rStyle w:val="CETBodytextCarattere"/>
        </w:rPr>
        <w:t>bed reactor provides valuable insights into the transport and reaction mechanisms</w:t>
      </w:r>
      <w:r w:rsidR="00D337E5" w:rsidRPr="00875A01">
        <w:rPr>
          <w:rStyle w:val="CETBodytextCarattere"/>
        </w:rPr>
        <w:t xml:space="preserve"> </w:t>
      </w:r>
      <w:r w:rsidR="00D337E5" w:rsidRPr="00875A01">
        <w:rPr>
          <w:rStyle w:val="CETBodytextCarattere"/>
        </w:rPr>
        <w:fldChar w:fldCharType="begin" w:fldLock="1"/>
      </w:r>
      <w:r w:rsidR="00D337E5" w:rsidRPr="00875A01">
        <w:rPr>
          <w:rStyle w:val="CETBodytextCarattere"/>
        </w:rPr>
        <w:instrText>ADDIN CSL_CITATION {"citationItems":[{"id":"ITEM-1","itemData":{"DOI":"10.3303/CET24111093","ISBN":"9791281206113","ISSN":"22839216","abstract":"A model based on conservation laws was developed to simulate the continuous, non-isothermal CO2 adsorption on porous materials in a packed bed. A set of parameters inferred from correlations between dimensionless numbers was used to mathematically solve the problem. The developed rigorous model includes a set of partial differential equations with proper boundary conditions. By adapting the equations for numerical solutions, it describes the process under unsteady state conditions, enabling the derivation of temperature and concentration profiles essential for process analysis. Finally, a sensitivity analysis was carried out to assess the effect of parameters on the model's solution.","author":[{"dropping-particle":"","family":"Zedda","given":"Federico","non-dropping-particle":"","parse-names":false,"suffix":""},{"dropping-particle":"","family":"Casu","given":"Mariano","non-dropping-particle":"","parse-names":false,"suffix":""},{"dropping-particle":"","family":"Atzori","given":"Federico","non-dropping-particle":"","parse-names":false,"suffix":""},{"dropping-particle":"","family":"Orrù","given":"Roberto","non-dropping-particle":"","parse-names":false,"suffix":""},{"dropping-particle":"","family":"Cao","given":"Giacomo","non-dropping-particle":"","parse-names":false,"suffix":""},{"dropping-particle":"","family":"Concas","given":"Alessandro","non-dropping-particle":"","parse-names":false,"suffix":""}],"container-title":"Chemical Engineering Transactions","id":"ITEM-1","issue":"June","issued":{"date-parts":[["2024"]]},"page":"553-558","title":"Comprehensive Mechanistic Modelling of Non-isothermal CO2 Adsorption in Fixed Packed Bed","type":"article-journal","volume":"111"},"uris":["http://www.mendeley.com/documents/?uuid=1bd71ddb-0c02-4e2e-9f4d-28179e9de7d2"]}],"mendeley":{"formattedCitation":"(Zedda et al., 2024)","plainTextFormattedCitation":"(Zedda et al., 2024)","previouslyFormattedCitation":"(Zedda et al., 2024)"},"properties":{"noteIndex":0},"schema":"https://github.com/citation-style-language/schema/raw/master/csl-citation.json"}</w:instrText>
      </w:r>
      <w:r w:rsidR="00D337E5" w:rsidRPr="00875A01">
        <w:rPr>
          <w:rStyle w:val="CETBodytextCarattere"/>
        </w:rPr>
        <w:fldChar w:fldCharType="separate"/>
      </w:r>
      <w:r w:rsidR="00D337E5" w:rsidRPr="00875A01">
        <w:rPr>
          <w:rStyle w:val="CETBodytextCarattere"/>
          <w:noProof/>
        </w:rPr>
        <w:t>(Zedda et al., 2024)</w:t>
      </w:r>
      <w:r w:rsidR="00D337E5" w:rsidRPr="00875A01">
        <w:rPr>
          <w:rStyle w:val="CETBodytextCarattere"/>
        </w:rPr>
        <w:fldChar w:fldCharType="end"/>
      </w:r>
      <w:r w:rsidRPr="00875A01">
        <w:rPr>
          <w:rStyle w:val="CETBodytextCarattere"/>
        </w:rPr>
        <w:t>, enabling optimization of reactor design and operational parameters</w:t>
      </w:r>
      <w:r w:rsidR="00670AA0" w:rsidRPr="00875A01">
        <w:rPr>
          <w:rStyle w:val="CETBodytextCarattere"/>
        </w:rPr>
        <w:t xml:space="preserve"> for process scale-up</w:t>
      </w:r>
      <w:r w:rsidRPr="00875A01">
        <w:rPr>
          <w:rStyle w:val="CETBodytextCarattere"/>
        </w:rPr>
        <w:t>.</w:t>
      </w:r>
      <w:r w:rsidR="00D337E5" w:rsidRPr="00875A01">
        <w:rPr>
          <w:rStyle w:val="CETBodytextCarattere"/>
        </w:rPr>
        <w:t xml:space="preserve"> </w:t>
      </w:r>
      <w:r w:rsidRPr="00875A01">
        <w:rPr>
          <w:rStyle w:val="CETBodytextCarattere"/>
        </w:rPr>
        <w:t xml:space="preserve">This study </w:t>
      </w:r>
      <w:r w:rsidR="0081049A" w:rsidRPr="00875A01">
        <w:rPr>
          <w:rStyle w:val="CETBodytextCarattere"/>
        </w:rPr>
        <w:t>investigated the CO</w:t>
      </w:r>
      <w:r w:rsidR="0081049A" w:rsidRPr="00875A01">
        <w:rPr>
          <w:rStyle w:val="CETBodytextCarattere"/>
          <w:vertAlign w:val="subscript"/>
        </w:rPr>
        <w:t>2</w:t>
      </w:r>
      <w:r w:rsidR="0081049A" w:rsidRPr="00875A01">
        <w:rPr>
          <w:rStyle w:val="CETBodytextCarattere"/>
        </w:rPr>
        <w:t xml:space="preserve"> adsorption process at high temperature</w:t>
      </w:r>
      <w:r w:rsidR="009B117D" w:rsidRPr="00875A01">
        <w:rPr>
          <w:rStyle w:val="CETBodytextCarattere"/>
        </w:rPr>
        <w:t xml:space="preserve"> by</w:t>
      </w:r>
      <w:r w:rsidR="00DC59C0" w:rsidRPr="00875A01">
        <w:t xml:space="preserve"> K</w:t>
      </w:r>
      <w:r w:rsidR="00DC59C0" w:rsidRPr="00875A01">
        <w:rPr>
          <w:vertAlign w:val="subscript"/>
        </w:rPr>
        <w:t>2</w:t>
      </w:r>
      <w:r w:rsidR="00DC59C0" w:rsidRPr="00875A01">
        <w:t>CO</w:t>
      </w:r>
      <w:r w:rsidR="00DC59C0" w:rsidRPr="00875A01">
        <w:rPr>
          <w:vertAlign w:val="subscript"/>
        </w:rPr>
        <w:t>3</w:t>
      </w:r>
      <w:r w:rsidR="00DC59C0" w:rsidRPr="00875A01">
        <w:t>-doped Li</w:t>
      </w:r>
      <w:r w:rsidR="00DC59C0" w:rsidRPr="00875A01">
        <w:rPr>
          <w:vertAlign w:val="subscript"/>
        </w:rPr>
        <w:t>4</w:t>
      </w:r>
      <w:r w:rsidR="00DC59C0" w:rsidRPr="00875A01">
        <w:t>SiO</w:t>
      </w:r>
      <w:r w:rsidR="00DC59C0" w:rsidRPr="00875A01">
        <w:rPr>
          <w:vertAlign w:val="subscript"/>
        </w:rPr>
        <w:t>4</w:t>
      </w:r>
      <w:r w:rsidR="009B117D" w:rsidRPr="00875A01">
        <w:rPr>
          <w:rStyle w:val="CETBodytextCarattere"/>
        </w:rPr>
        <w:t xml:space="preserve"> </w:t>
      </w:r>
      <w:r w:rsidR="00DC59C0" w:rsidRPr="00875A01">
        <w:rPr>
          <w:rStyle w:val="CETBodytextCarattere"/>
        </w:rPr>
        <w:t>sorbents</w:t>
      </w:r>
      <w:r w:rsidR="00B91027">
        <w:rPr>
          <w:rStyle w:val="CETBodytextCarattere"/>
        </w:rPr>
        <w:t>,</w:t>
      </w:r>
      <w:r w:rsidR="0081049A" w:rsidRPr="00875A01">
        <w:rPr>
          <w:rStyle w:val="CETBodytextCarattere"/>
        </w:rPr>
        <w:t xml:space="preserve"> focusing</w:t>
      </w:r>
      <w:r w:rsidRPr="00875A01">
        <w:rPr>
          <w:rStyle w:val="CETBodytextCarattere"/>
        </w:rPr>
        <w:t xml:space="preserve"> on the </w:t>
      </w:r>
      <w:r w:rsidR="00DC59C0" w:rsidRPr="00875A01">
        <w:rPr>
          <w:rStyle w:val="CETBodytextCarattere"/>
        </w:rPr>
        <w:t>modeling</w:t>
      </w:r>
      <w:r w:rsidRPr="00875A01">
        <w:rPr>
          <w:rStyle w:val="CETBodytextCarattere"/>
        </w:rPr>
        <w:t xml:space="preserve"> of a fixed bed reactor </w:t>
      </w:r>
      <w:r w:rsidR="00DC59C0" w:rsidRPr="00875A01">
        <w:rPr>
          <w:rStyle w:val="CETBodytextCarattere"/>
        </w:rPr>
        <w:t>of</w:t>
      </w:r>
      <w:r w:rsidRPr="00875A01">
        <w:rPr>
          <w:rStyle w:val="CETBodytextCarattere"/>
        </w:rPr>
        <w:t xml:space="preserve"> pellets. A </w:t>
      </w:r>
      <w:r w:rsidR="00DC59C0" w:rsidRPr="00875A01">
        <w:rPr>
          <w:rStyle w:val="CETBodytextCarattere"/>
        </w:rPr>
        <w:t xml:space="preserve">mathematical </w:t>
      </w:r>
      <w:r w:rsidRPr="00875A01">
        <w:rPr>
          <w:rStyle w:val="CETBodytextCarattere"/>
        </w:rPr>
        <w:t xml:space="preserve">model based on the equations of mass conservation and energy balance </w:t>
      </w:r>
      <w:r w:rsidR="00150BDB" w:rsidRPr="00875A01">
        <w:rPr>
          <w:rStyle w:val="CETBodytextCarattere"/>
        </w:rPr>
        <w:t xml:space="preserve">was developed </w:t>
      </w:r>
      <w:r w:rsidR="00B91027">
        <w:rPr>
          <w:rStyle w:val="CETBodytextCarattere"/>
        </w:rPr>
        <w:t>to simulate</w:t>
      </w:r>
      <w:r w:rsidR="00150BDB" w:rsidRPr="00875A01">
        <w:rPr>
          <w:rStyle w:val="CETBodytextCarattere"/>
        </w:rPr>
        <w:t xml:space="preserve"> the adsorption breakthrough results obtained </w:t>
      </w:r>
      <w:r w:rsidR="00B91027">
        <w:rPr>
          <w:rStyle w:val="CETBodytextCarattere"/>
        </w:rPr>
        <w:t>from</w:t>
      </w:r>
      <w:r w:rsidR="00150BDB" w:rsidRPr="00875A01">
        <w:rPr>
          <w:rStyle w:val="CETBodytextCarattere"/>
        </w:rPr>
        <w:t xml:space="preserve"> experimental tests</w:t>
      </w:r>
      <w:r w:rsidR="00384A00" w:rsidRPr="00875A01">
        <w:rPr>
          <w:rStyle w:val="CETBodytextCarattere"/>
        </w:rPr>
        <w:t xml:space="preserve"> carried out in a lab-scale fixed bed reactor</w:t>
      </w:r>
      <w:r w:rsidR="00150BDB" w:rsidRPr="00875A01">
        <w:rPr>
          <w:rStyle w:val="CETBodytextCarattere"/>
        </w:rPr>
        <w:t>.</w:t>
      </w:r>
    </w:p>
    <w:p w14:paraId="0EADB2C3" w14:textId="4557E295" w:rsidR="003647C5" w:rsidRPr="00875A01" w:rsidRDefault="003647C5" w:rsidP="003647C5">
      <w:pPr>
        <w:pStyle w:val="CETHeading1"/>
      </w:pPr>
      <w:r w:rsidRPr="00875A01">
        <w:t>Experimental</w:t>
      </w:r>
    </w:p>
    <w:p w14:paraId="1F70DE90" w14:textId="0563A6D4" w:rsidR="003647C5" w:rsidRPr="00875A01" w:rsidRDefault="003647C5" w:rsidP="003647C5">
      <w:pPr>
        <w:pStyle w:val="CETheadingx"/>
        <w:rPr>
          <w:lang w:val="en-US"/>
        </w:rPr>
      </w:pPr>
      <w:proofErr w:type="gramStart"/>
      <w:r w:rsidRPr="00875A01">
        <w:rPr>
          <w:lang w:val="en-US"/>
        </w:rPr>
        <w:t>Sorbents</w:t>
      </w:r>
      <w:proofErr w:type="gramEnd"/>
      <w:r w:rsidRPr="00875A01">
        <w:rPr>
          <w:lang w:val="en-US"/>
        </w:rPr>
        <w:t xml:space="preserve"> production</w:t>
      </w:r>
    </w:p>
    <w:p w14:paraId="4AAC976C" w14:textId="324D4295" w:rsidR="001C08F1" w:rsidRPr="00875A01" w:rsidRDefault="009D1B50" w:rsidP="009D1E57">
      <w:pPr>
        <w:pStyle w:val="CETBodytext"/>
      </w:pPr>
      <w:r w:rsidRPr="00875A01">
        <w:t>Li</w:t>
      </w:r>
      <w:r w:rsidRPr="00875A01">
        <w:rPr>
          <w:vertAlign w:val="subscript"/>
        </w:rPr>
        <w:t>4</w:t>
      </w:r>
      <w:r w:rsidRPr="00875A01">
        <w:t>SiO</w:t>
      </w:r>
      <w:r w:rsidRPr="00875A01">
        <w:rPr>
          <w:vertAlign w:val="subscript"/>
        </w:rPr>
        <w:t>4</w:t>
      </w:r>
      <w:r w:rsidR="00AE038E" w:rsidRPr="00875A01">
        <w:t xml:space="preserve">-based </w:t>
      </w:r>
      <w:r w:rsidRPr="00875A01">
        <w:t xml:space="preserve">sorbents in pellet form were produced </w:t>
      </w:r>
      <w:r w:rsidR="00B91027">
        <w:t xml:space="preserve">by </w:t>
      </w:r>
      <w:r w:rsidR="00AE038E" w:rsidRPr="00875A01">
        <w:t>employing</w:t>
      </w:r>
      <w:r w:rsidRPr="00875A01">
        <w:t xml:space="preserve"> a fabrication method</w:t>
      </w:r>
      <w:r w:rsidR="00AE038E" w:rsidRPr="00875A01">
        <w:t xml:space="preserve"> developed in collaboration with Industrie </w:t>
      </w:r>
      <w:proofErr w:type="spellStart"/>
      <w:r w:rsidR="00AE038E" w:rsidRPr="00875A01">
        <w:t>Bitossi</w:t>
      </w:r>
      <w:proofErr w:type="spellEnd"/>
      <w:r w:rsidR="00AE038E" w:rsidRPr="00875A01">
        <w:t xml:space="preserve"> S.p.A.</w:t>
      </w:r>
      <w:r w:rsidR="006B021B" w:rsidRPr="00875A01">
        <w:t xml:space="preserve">, as described in detail in our previous work </w:t>
      </w:r>
      <w:r w:rsidR="006B021B" w:rsidRPr="00875A01">
        <w:fldChar w:fldCharType="begin" w:fldLock="1"/>
      </w:r>
      <w:r w:rsidR="00C52520" w:rsidRPr="00875A01">
        <w:instrText>ADDIN CSL_CITATION {"citationItems":[{"id":"ITEM-1","itemData":{"DOI":"10.1016/j.fuel.2024.133161","ISSN":"00162361","abstract":"High-temperature CO2 removal by Li4SiO4-based sorbents is considered a promising carbon capture strategy to mitigate fossil-fueled process emissions owing to its high adsorption capacity and excellent stability. However, for application under low CO2 concentration, kinetic limitations can occur due to diffusion resistance through carbonation reaction solid products. Doping Li4SiO4 with alkali carbonates, such as K2CO3, can address this issue enhancing CO2 diffusion thanks to the formation of a molten eutectic layer. In this work, macro-porous pellets of Li4SiO4 doped with K2CO3 were produced and tested for CO2 capture at different adsorption temperatures and low CO2 concentrations (0.5–4 vol%). The pellets exhibited a maximum adsorption capacity of 137 mg CO2/g sorbent at 595 °C and 4 vol% CO2, and excellent stability for over 50 adsorption/desorption cycles. The reaction equilibrium and the adsorption profiles, in terms of both conversion and reaction rate evolution through time, have been analyzed to clarify the reaction mechanism. The results showed that the reaction rate increases with increasing Li4SiO4 conversion during the earliest stages of adsorption, where the process is chemical-controlled, highlighting the presence of a nucleation phase. Whereas, the reaction rate rapidly decreases with the conversion as CO2 diffusion takes control due to the presence of the product layer that covers the unreacted core of Li4SiO4. A kinetic analysis was then performed, aimed at developing a comprehensive phenomenological model for simulating the physical–chemical processes that occur during CO2 adsorption by K2CO3-doped Li4SiO4 sorbents in view of their industrial application. A new shrinking core-based model was developed, which describes the carbonation reaction with a unique kinetic equation capable of representing both the nucleation and diffusion regimes observed. The proposed model demonstrated excellent fitting to the experimental data obtained by adsorption tests, thus making it suitable for describing the CO2 adsorption process of K2CO3-doped Li4SiO4 sorbents and for predicting the adsorption parameters, as kinetic constants and CO2 diffusivity, in view of industrial-scale application of the sorbent in packed bed reactors.","author":[{"dropping-particle":"","family":"Stefanelli","given":"Eleonora","non-dropping-particle":"","parse-names":false,"suffix":""},{"dropping-particle":"","family":"Francalanci","given":"Flavio","non-dropping-particle":"","parse-names":false,"suffix":""},{"dropping-particle":"","family":"Vitolo","given":"Sandra","non-dropping-particle":"","parse-names":false,"suffix":""},{"dropping-particle":"","family":"Puccini","given":"Monica","non-dropping-particle":"","parse-names":false,"suffix":""}],"container-title":"Fuel","id":"ITEM-1","issued":{"date-parts":[["2025"]]},"page":"133161","publisher":"Elsevier Ltd","title":"Insights into adsorption mechanism and kinetic modeling of K&lt;sub&gt;2&lt;/sub&gt;CO&lt;sub&gt;3&lt;/sub&gt;-doped Li&lt;sub&gt;4&lt;/sub&gt;SiO&lt;sub&gt;4&lt;/sub&gt; pellets for CO&lt;sub&gt;2&lt;/sub&gt; capture at high temperature and low concentration","type":"article-journal","volume":"380"},"uris":["http://www.mendeley.com/documents/?uuid=1cfd550a-6924-4020-92cb-b7f86dd5a9c5"]}],"mendeley":{"formattedCitation":"(Stefanelli et al., 2025)","plainTextFormattedCitation":"(Stefanelli et al., 2025)","previouslyFormattedCitation":"(Stefanelli et al., 2025)"},"properties":{"noteIndex":0},"schema":"https://github.com/citation-style-language/schema/raw/master/csl-citation.json"}</w:instrText>
      </w:r>
      <w:r w:rsidR="006B021B" w:rsidRPr="00875A01">
        <w:fldChar w:fldCharType="separate"/>
      </w:r>
      <w:r w:rsidR="00DF06C1" w:rsidRPr="00875A01">
        <w:rPr>
          <w:noProof/>
        </w:rPr>
        <w:t>(Stefanelli et al., 2025)</w:t>
      </w:r>
      <w:r w:rsidR="006B021B" w:rsidRPr="00875A01">
        <w:fldChar w:fldCharType="end"/>
      </w:r>
      <w:r w:rsidR="00734E74" w:rsidRPr="00875A01">
        <w:t>.</w:t>
      </w:r>
      <w:r w:rsidR="00DD1BBC" w:rsidRPr="00875A01">
        <w:t xml:space="preserve"> First, Li</w:t>
      </w:r>
      <w:r w:rsidR="00DD1BBC" w:rsidRPr="00875A01">
        <w:rPr>
          <w:vertAlign w:val="subscript"/>
        </w:rPr>
        <w:t>4</w:t>
      </w:r>
      <w:r w:rsidR="00DD1BBC" w:rsidRPr="00875A01">
        <w:t>SiO</w:t>
      </w:r>
      <w:r w:rsidR="00DD1BBC" w:rsidRPr="00875A01">
        <w:rPr>
          <w:vertAlign w:val="subscript"/>
        </w:rPr>
        <w:t>4</w:t>
      </w:r>
      <w:r w:rsidR="00DD1BBC" w:rsidRPr="00875A01">
        <w:t xml:space="preserve"> </w:t>
      </w:r>
      <w:r w:rsidR="00A43285" w:rsidRPr="00875A01">
        <w:t xml:space="preserve">powders </w:t>
      </w:r>
      <w:r w:rsidR="00DD1BBC" w:rsidRPr="00875A01">
        <w:t>were synthesized using a solid-state method assisted by wet milling</w:t>
      </w:r>
      <w:r w:rsidR="006B021B" w:rsidRPr="00875A01">
        <w:t xml:space="preserve">. Then, the sorbent was </w:t>
      </w:r>
      <w:r w:rsidR="00E9668E" w:rsidRPr="00875A01">
        <w:t xml:space="preserve">mixed with 30 </w:t>
      </w:r>
      <w:proofErr w:type="spellStart"/>
      <w:r w:rsidR="00E9668E" w:rsidRPr="00875A01">
        <w:t>wt</w:t>
      </w:r>
      <w:proofErr w:type="spellEnd"/>
      <w:r w:rsidR="00E9668E" w:rsidRPr="00875A01">
        <w:t>% of K</w:t>
      </w:r>
      <w:r w:rsidR="00E9668E" w:rsidRPr="00875A01">
        <w:rPr>
          <w:vertAlign w:val="subscript"/>
        </w:rPr>
        <w:t>2</w:t>
      </w:r>
      <w:r w:rsidR="00E9668E" w:rsidRPr="00875A01">
        <w:t>CO</w:t>
      </w:r>
      <w:r w:rsidR="00E9668E" w:rsidRPr="00875A01">
        <w:rPr>
          <w:vertAlign w:val="subscript"/>
        </w:rPr>
        <w:t>3</w:t>
      </w:r>
      <w:r w:rsidR="00E9668E" w:rsidRPr="00875A01">
        <w:t xml:space="preserve"> </w:t>
      </w:r>
      <w:r w:rsidR="0033608F" w:rsidRPr="00875A01">
        <w:t>(by weight of Li</w:t>
      </w:r>
      <w:r w:rsidR="0033608F" w:rsidRPr="00875A01">
        <w:rPr>
          <w:vertAlign w:val="subscript"/>
        </w:rPr>
        <w:t>4</w:t>
      </w:r>
      <w:r w:rsidR="0033608F" w:rsidRPr="00875A01">
        <w:t>SiO</w:t>
      </w:r>
      <w:r w:rsidR="0033608F" w:rsidRPr="00875A01">
        <w:rPr>
          <w:vertAlign w:val="subscript"/>
        </w:rPr>
        <w:t>4</w:t>
      </w:r>
      <w:r w:rsidR="0033608F" w:rsidRPr="00875A01">
        <w:t xml:space="preserve">) </w:t>
      </w:r>
      <w:r w:rsidR="00E9668E" w:rsidRPr="00875A01">
        <w:t xml:space="preserve">as the activity promoter and </w:t>
      </w:r>
      <w:r w:rsidR="0033608F" w:rsidRPr="00875A01">
        <w:t xml:space="preserve">20 </w:t>
      </w:r>
      <w:proofErr w:type="spellStart"/>
      <w:r w:rsidR="0033608F" w:rsidRPr="00875A01">
        <w:t>wt</w:t>
      </w:r>
      <w:proofErr w:type="spellEnd"/>
      <w:r w:rsidR="0033608F" w:rsidRPr="00875A01">
        <w:t xml:space="preserve">% of cellulose </w:t>
      </w:r>
      <w:r w:rsidR="00106EC6" w:rsidRPr="00875A01">
        <w:t>fibers and</w:t>
      </w:r>
      <w:r w:rsidR="0033608F" w:rsidRPr="00875A01">
        <w:t xml:space="preserve"> mechanically compressed to obtain cylindrical pellets (</w:t>
      </w:r>
      <w:r w:rsidRPr="00875A01">
        <w:t>6 mm diameter, 2.5 mm height)</w:t>
      </w:r>
      <w:r w:rsidR="0033608F" w:rsidRPr="00875A01">
        <w:t xml:space="preserve">. A final thermal treatment allowed </w:t>
      </w:r>
      <w:r w:rsidR="009765AB" w:rsidRPr="00875A01">
        <w:t>cellulose</w:t>
      </w:r>
      <w:r w:rsidR="0033608F" w:rsidRPr="00875A01">
        <w:t xml:space="preserve"> combustion to obtain macro-porous pellets.</w:t>
      </w:r>
    </w:p>
    <w:p w14:paraId="3DB1411D" w14:textId="51B15837" w:rsidR="003647C5" w:rsidRPr="00875A01" w:rsidRDefault="003647C5" w:rsidP="003647C5">
      <w:pPr>
        <w:pStyle w:val="CETheadingx"/>
        <w:rPr>
          <w:lang w:val="en-US"/>
        </w:rPr>
      </w:pPr>
      <w:r w:rsidRPr="00875A01">
        <w:rPr>
          <w:lang w:val="en-US"/>
        </w:rPr>
        <w:t>Fixed bed reactor CO</w:t>
      </w:r>
      <w:r w:rsidRPr="00875A01">
        <w:rPr>
          <w:vertAlign w:val="subscript"/>
          <w:lang w:val="en-US"/>
        </w:rPr>
        <w:t>2</w:t>
      </w:r>
      <w:r w:rsidRPr="00875A01">
        <w:rPr>
          <w:lang w:val="en-US"/>
        </w:rPr>
        <w:t xml:space="preserve"> capture tests</w:t>
      </w:r>
    </w:p>
    <w:p w14:paraId="38AF91D2" w14:textId="0E42B010" w:rsidR="003647C5" w:rsidRPr="00875A01" w:rsidRDefault="00C21BB9" w:rsidP="00C824D8">
      <w:pPr>
        <w:pStyle w:val="CETBodytext"/>
      </w:pPr>
      <w:r w:rsidRPr="00875A01">
        <w:t>CO</w:t>
      </w:r>
      <w:r w:rsidRPr="00875A01">
        <w:rPr>
          <w:vertAlign w:val="subscript"/>
        </w:rPr>
        <w:t>2</w:t>
      </w:r>
      <w:r w:rsidRPr="00875A01">
        <w:t xml:space="preserve"> adsorption properties of the pellets were investigated in a lab-scale fixed bed reactor</w:t>
      </w:r>
      <w:r w:rsidR="009E3F88" w:rsidRPr="00875A01">
        <w:t xml:space="preserve"> (Figure 1</w:t>
      </w:r>
      <w:r w:rsidR="00F13964" w:rsidRPr="00875A01">
        <w:t>a</w:t>
      </w:r>
      <w:r w:rsidR="009E3F88" w:rsidRPr="00875A01">
        <w:t>)</w:t>
      </w:r>
      <w:r w:rsidR="00847A55" w:rsidRPr="00875A01">
        <w:t>, composed of a quartz tube</w:t>
      </w:r>
      <w:r w:rsidR="00B1329C" w:rsidRPr="00875A01">
        <w:t xml:space="preserve"> filled with a packed bed of K</w:t>
      </w:r>
      <w:r w:rsidR="00B1329C" w:rsidRPr="00875A01">
        <w:rPr>
          <w:vertAlign w:val="subscript"/>
        </w:rPr>
        <w:t>2</w:t>
      </w:r>
      <w:r w:rsidR="00B1329C" w:rsidRPr="00875A01">
        <w:t>CO</w:t>
      </w:r>
      <w:r w:rsidR="00B1329C" w:rsidRPr="00875A01">
        <w:rPr>
          <w:vertAlign w:val="subscript"/>
        </w:rPr>
        <w:t>3</w:t>
      </w:r>
      <w:r w:rsidR="00B1329C" w:rsidRPr="00875A01">
        <w:t>-doped Li</w:t>
      </w:r>
      <w:r w:rsidR="00B1329C" w:rsidRPr="00875A01">
        <w:rPr>
          <w:vertAlign w:val="subscript"/>
        </w:rPr>
        <w:t>4</w:t>
      </w:r>
      <w:r w:rsidR="00B1329C" w:rsidRPr="00875A01">
        <w:t>SiO</w:t>
      </w:r>
      <w:r w:rsidR="00B1329C" w:rsidRPr="00875A01">
        <w:rPr>
          <w:vertAlign w:val="subscript"/>
        </w:rPr>
        <w:t>4</w:t>
      </w:r>
      <w:r w:rsidR="00B1329C" w:rsidRPr="00875A01">
        <w:t xml:space="preserve"> pellets</w:t>
      </w:r>
      <w:r w:rsidR="00F13964" w:rsidRPr="00875A01">
        <w:t xml:space="preserve"> (Figure 1</w:t>
      </w:r>
      <w:r w:rsidR="00FD3F90" w:rsidRPr="00875A01">
        <w:t>b</w:t>
      </w:r>
      <w:r w:rsidR="00F13964" w:rsidRPr="00875A01">
        <w:t>)</w:t>
      </w:r>
      <w:r w:rsidR="007B1A21" w:rsidRPr="00875A01">
        <w:t xml:space="preserve"> </w:t>
      </w:r>
      <w:r w:rsidR="0051466A" w:rsidRPr="00875A01">
        <w:t xml:space="preserve">and placed in a vertical tubular furnace, </w:t>
      </w:r>
      <w:r w:rsidR="00A212E3" w:rsidRPr="00875A01">
        <w:t>analyzing</w:t>
      </w:r>
      <w:r w:rsidR="007B1A21" w:rsidRPr="00875A01">
        <w:t xml:space="preserve"> the CO</w:t>
      </w:r>
      <w:r w:rsidR="007B1A21" w:rsidRPr="00875A01">
        <w:rPr>
          <w:vertAlign w:val="subscript"/>
        </w:rPr>
        <w:t>2</w:t>
      </w:r>
      <w:r w:rsidR="007B1A21" w:rsidRPr="00875A01">
        <w:t xml:space="preserve"> outlet concentration in</w:t>
      </w:r>
      <w:r w:rsidR="0051466A" w:rsidRPr="00875A01">
        <w:t xml:space="preserve"> </w:t>
      </w:r>
      <w:r w:rsidR="007B1A21" w:rsidRPr="00875A01">
        <w:t>line with a</w:t>
      </w:r>
      <w:r w:rsidR="00293D3C" w:rsidRPr="00875A01">
        <w:t>n</w:t>
      </w:r>
      <w:r w:rsidR="007B1A21" w:rsidRPr="00875A01">
        <w:t xml:space="preserve"> infrared spectrometer.</w:t>
      </w:r>
      <w:r w:rsidR="002948CE" w:rsidRPr="00875A01">
        <w:t xml:space="preserve"> </w:t>
      </w:r>
      <w:r w:rsidR="007E1C2D" w:rsidRPr="00875A01">
        <w:t xml:space="preserve">The </w:t>
      </w:r>
      <w:r w:rsidR="005F4ECA" w:rsidRPr="00875A01">
        <w:t xml:space="preserve">adsorption </w:t>
      </w:r>
      <w:r w:rsidR="007E1C2D" w:rsidRPr="00875A01">
        <w:t>experiments were conducted at low CO</w:t>
      </w:r>
      <w:r w:rsidR="007E1C2D" w:rsidRPr="00875A01">
        <w:rPr>
          <w:vertAlign w:val="subscript"/>
        </w:rPr>
        <w:t>2</w:t>
      </w:r>
      <w:r w:rsidR="007E1C2D" w:rsidRPr="00875A01">
        <w:t xml:space="preserve"> concentration in the feed gas (4 vol% CO</w:t>
      </w:r>
      <w:r w:rsidR="007E1C2D" w:rsidRPr="00875A01">
        <w:rPr>
          <w:vertAlign w:val="subscript"/>
        </w:rPr>
        <w:t>2</w:t>
      </w:r>
      <w:r w:rsidR="007E1C2D" w:rsidRPr="00875A01">
        <w:t xml:space="preserve">, </w:t>
      </w:r>
      <w:r w:rsidR="00762B69" w:rsidRPr="00875A01">
        <w:t>balance</w:t>
      </w:r>
      <w:r w:rsidR="007E1C2D" w:rsidRPr="00875A01">
        <w:t xml:space="preserve"> nitrogen), </w:t>
      </w:r>
      <w:r w:rsidRPr="00875A01">
        <w:t>varying the interstitial gas velocity</w:t>
      </w:r>
      <w:r w:rsidR="002B2049" w:rsidRPr="00875A01">
        <w:t xml:space="preserve"> and</w:t>
      </w:r>
      <w:r w:rsidRPr="00875A01">
        <w:t xml:space="preserve"> the sorbent</w:t>
      </w:r>
      <w:r w:rsidR="002B2049" w:rsidRPr="00875A01">
        <w:t xml:space="preserve"> </w:t>
      </w:r>
      <w:r w:rsidRPr="00875A01">
        <w:t>height</w:t>
      </w:r>
      <w:r w:rsidR="002B2049" w:rsidRPr="00875A01">
        <w:t>.</w:t>
      </w:r>
      <w:r w:rsidR="00C824D8" w:rsidRPr="00875A01">
        <w:t xml:space="preserve"> The</w:t>
      </w:r>
      <w:r w:rsidR="003647C5" w:rsidRPr="00875A01">
        <w:t xml:space="preserve"> temperature of 515 °C </w:t>
      </w:r>
      <w:r w:rsidR="00C824D8" w:rsidRPr="00875A01">
        <w:t>was</w:t>
      </w:r>
      <w:r w:rsidR="003647C5" w:rsidRPr="00875A01">
        <w:t xml:space="preserve"> chosen </w:t>
      </w:r>
      <w:r w:rsidR="00F13964" w:rsidRPr="00875A01">
        <w:t xml:space="preserve">for the adsorption tests </w:t>
      </w:r>
      <w:r w:rsidR="003647C5" w:rsidRPr="00875A01">
        <w:t>as a case study</w:t>
      </w:r>
      <w:r w:rsidR="00183E8A" w:rsidRPr="00875A01">
        <w:t xml:space="preserve"> since it is included in t</w:t>
      </w:r>
      <w:r w:rsidR="003647C5" w:rsidRPr="00875A01">
        <w:t>he adsorption range</w:t>
      </w:r>
      <w:r w:rsidR="00183E8A" w:rsidRPr="00875A01">
        <w:t xml:space="preserve"> of such sorbent </w:t>
      </w:r>
      <w:r w:rsidR="00D43C2A" w:rsidRPr="00875A01">
        <w:fldChar w:fldCharType="begin" w:fldLock="1"/>
      </w:r>
      <w:r w:rsidR="00C52520" w:rsidRPr="00875A01">
        <w:instrText>ADDIN CSL_CITATION {"citationItems":[{"id":"ITEM-1","itemData":{"DOI":"10.1016/j.cej.2023.143679","ISSN":"13858947","abstract":"High-temperature carbon capture by using Li4SiO4-based solid adsorbent has been considered as a promising approach for mitigating fossil fuel-related CO2 emission due to its relatively high capacity and excellent cyclic stability. From the aspects of experimental tests, kinetic calculations and thermodynamic analyses, this work systematically investigated four important parts during the looping carbon capture process of Li4SiO4, including the reaction equilibrium, the CO2 adsorption, the CO2 desorption and the cyclic ad-desorption. Firstly, the theoretical and experimental equilibrium boundary and corresponding thermodynamic parameters of Li4SiO4-CO2 reaction system were calculated and an empirical formula about the practical equilibrium temperature was provided. Then, the CO2 adsorption and desorption processes were kinetically and thermodynamically analyzed by the Jander-Zhang model and the initial reaction rate model, respectively. Finally, the key adsorption and desorption parameters of Li4SiO4 within 10 ad-desorption cycles were calculated and the mechanisms were concluded. All above conclusions could provide theoretical guidance for the future development of Li4SiO4 during the cyclic CO2 adsorption–desorption processes.","author":[{"dropping-particle":"","family":"Yang","given":"Yuandong","non-dropping-particle":"","parse-names":false,"suffix":""},{"dropping-particle":"","family":"Dai","given":"Pengyue","non-dropping-particle":"","parse-names":false,"suffix":""},{"dropping-particle":"","family":"Chen","given":"Zengqiao","non-dropping-particle":"","parse-names":false,"suffix":""},{"dropping-particle":"","family":"Sun","given":"Xianda","non-dropping-particle":"","parse-names":false,"suffix":""},{"dropping-particle":"","family":"Ren","given":"Xiaohan","non-dropping-particle":"","parse-names":false,"suffix":""}],"container-title":"Chemical Engineering Journal","id":"ITEM-1","issue":"March","issued":{"date-parts":[["2023"]]},"page":"143679","publisher":"Elsevier B.V.","title":"Kinetic and thermodynamic investigations on the cyclic CO&lt;sub&gt;2&lt;/sub&gt; adsorption-desorption processes of lithium orthosilicate","type":"article-journal","volume":"468"},"uris":["http://www.mendeley.com/documents/?uuid=879b0a20-67ec-4720-870e-661fe2f0eae9"]}],"mendeley":{"formattedCitation":"(Yang et al., 2023)","plainTextFormattedCitation":"(Yang et al., 2023)","previouslyFormattedCitation":"(Yang et al., 2023)"},"properties":{"noteIndex":0},"schema":"https://github.com/citation-style-language/schema/raw/master/csl-citation.json"}</w:instrText>
      </w:r>
      <w:r w:rsidR="00D43C2A" w:rsidRPr="00875A01">
        <w:fldChar w:fldCharType="separate"/>
      </w:r>
      <w:r w:rsidR="00DF06C1" w:rsidRPr="00875A01">
        <w:rPr>
          <w:noProof/>
        </w:rPr>
        <w:t>(Yang et al., 2023)</w:t>
      </w:r>
      <w:r w:rsidR="00D43C2A" w:rsidRPr="00875A01">
        <w:fldChar w:fldCharType="end"/>
      </w:r>
      <w:r w:rsidR="00D43C2A" w:rsidRPr="00875A01">
        <w:t>.</w:t>
      </w:r>
      <w:r w:rsidR="00FD4CB8" w:rsidRPr="00875A01">
        <w:t xml:space="preserve"> The reactor key parameters and the test conditions</w:t>
      </w:r>
      <w:r w:rsidR="00C86BF0" w:rsidRPr="00875A01">
        <w:t xml:space="preserve"> </w:t>
      </w:r>
      <w:r w:rsidR="006C3F79" w:rsidRPr="00875A01">
        <w:t xml:space="preserve">for the case study </w:t>
      </w:r>
      <w:r w:rsidR="00A212E3" w:rsidRPr="00875A01">
        <w:t>analyzed</w:t>
      </w:r>
      <w:r w:rsidR="006C3F79" w:rsidRPr="00875A01">
        <w:t xml:space="preserve"> </w:t>
      </w:r>
      <w:r w:rsidR="00FD4CB8" w:rsidRPr="00875A01">
        <w:t>are listed in Table 1.</w:t>
      </w:r>
    </w:p>
    <w:p w14:paraId="4279FADB" w14:textId="0D0D1F05" w:rsidR="003647C5" w:rsidRPr="00875A01" w:rsidRDefault="00E11C0F" w:rsidP="003647C5">
      <w:pPr>
        <w:pStyle w:val="CETBodytext"/>
      </w:pPr>
      <w:r w:rsidRPr="00875A01">
        <w:rPr>
          <w:noProof/>
        </w:rPr>
        <mc:AlternateContent>
          <mc:Choice Requires="wps">
            <w:drawing>
              <wp:anchor distT="0" distB="0" distL="114300" distR="114300" simplePos="0" relativeHeight="251673600" behindDoc="0" locked="0" layoutInCell="1" allowOverlap="1" wp14:anchorId="4AAB68C8" wp14:editId="2FF314BA">
                <wp:simplePos x="0" y="0"/>
                <wp:positionH relativeFrom="column">
                  <wp:posOffset>2938145</wp:posOffset>
                </wp:positionH>
                <wp:positionV relativeFrom="paragraph">
                  <wp:posOffset>1384300</wp:posOffset>
                </wp:positionV>
                <wp:extent cx="215900" cy="215900"/>
                <wp:effectExtent l="0" t="0" r="12700" b="12700"/>
                <wp:wrapNone/>
                <wp:docPr id="363607905"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17FB276B" w14:textId="7562C6BF" w:rsidR="002F1EC9" w:rsidRDefault="002F1EC9" w:rsidP="002F1EC9">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B68C8" id="_x0000_t202" coordsize="21600,21600" o:spt="202" path="m,l,21600r21600,l21600,xe">
                <v:stroke joinstyle="miter"/>
                <v:path gradientshapeok="t" o:connecttype="rect"/>
              </v:shapetype>
              <v:shape id="Casella di testo 3" o:spid="_x0000_s1026" type="#_x0000_t202" style="position:absolute;left:0;text-align:left;margin-left:231.35pt;margin-top:109pt;width:17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" filled="f" stroked="f" strokeweight=".5pt">
                <v:textbox inset="0,0,0,0">
                  <w:txbxContent>
                    <w:p w14:paraId="17FB276B" w14:textId="7562C6BF" w:rsidR="002F1EC9" w:rsidRDefault="002F1EC9" w:rsidP="002F1EC9">
                      <w:pPr>
                        <w:jc w:val="center"/>
                      </w:pPr>
                      <w:r>
                        <w:t>(b)</w:t>
                      </w:r>
                    </w:p>
                  </w:txbxContent>
                </v:textbox>
              </v:shape>
            </w:pict>
          </mc:Fallback>
        </mc:AlternateContent>
      </w:r>
      <w:r w:rsidR="002F1EC9" w:rsidRPr="00875A01">
        <w:rPr>
          <w:noProof/>
        </w:rPr>
        <mc:AlternateContent>
          <mc:Choice Requires="wps">
            <w:drawing>
              <wp:anchor distT="0" distB="0" distL="114300" distR="114300" simplePos="0" relativeHeight="251672576" behindDoc="0" locked="0" layoutInCell="1" allowOverlap="1" wp14:anchorId="133AFE51" wp14:editId="4B6BC0C8">
                <wp:simplePos x="0" y="0"/>
                <wp:positionH relativeFrom="column">
                  <wp:posOffset>1263650</wp:posOffset>
                </wp:positionH>
                <wp:positionV relativeFrom="paragraph">
                  <wp:posOffset>1386840</wp:posOffset>
                </wp:positionV>
                <wp:extent cx="215900" cy="215900"/>
                <wp:effectExtent l="0" t="0" r="12700" b="12700"/>
                <wp:wrapNone/>
                <wp:docPr id="1002799205"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134D4FCD" w14:textId="65D3146B" w:rsidR="002F1EC9" w:rsidRDefault="002F1EC9" w:rsidP="002F1EC9">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FE51" id="_x0000_s1027" type="#_x0000_t202" style="position:absolute;left:0;text-align:left;margin-left:99.5pt;margin-top:109.2pt;width:17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" filled="f" stroked="f" strokeweight=".5pt">
                <v:textbox inset="0,0,0,0">
                  <w:txbxContent>
                    <w:p w14:paraId="134D4FCD" w14:textId="65D3146B" w:rsidR="002F1EC9" w:rsidRDefault="002F1EC9" w:rsidP="002F1EC9">
                      <w:pPr>
                        <w:jc w:val="center"/>
                      </w:pPr>
                      <w:r>
                        <w:t>(a)</w:t>
                      </w:r>
                    </w:p>
                  </w:txbxContent>
                </v:textbox>
              </v:shape>
            </w:pict>
          </mc:Fallback>
        </mc:AlternateContent>
      </w:r>
      <w:r w:rsidR="003647C5" w:rsidRPr="00875A01">
        <w:rPr>
          <w:noProof/>
        </w:rPr>
        <w:drawing>
          <wp:inline distT="0" distB="0" distL="0" distR="0" wp14:anchorId="0E5F8F56" wp14:editId="05CB1B18">
            <wp:extent cx="1695450" cy="1576705"/>
            <wp:effectExtent l="0" t="0" r="0" b="4445"/>
            <wp:docPr id="4" name="Immagine 3" descr="Immagine che contiene diagramma, testo, Disegno tecnico, schermata&#10;&#10;Descrizione generata automaticamente">
              <a:extLst xmlns:a="http://schemas.openxmlformats.org/drawingml/2006/main">
                <a:ext uri="{FF2B5EF4-FFF2-40B4-BE49-F238E27FC236}">
                  <a16:creationId xmlns:a16="http://schemas.microsoft.com/office/drawing/2014/main" id="{BDCB7226-59DA-F7DB-E927-50F50E9DA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diagramma, testo, Disegno tecnico, schermata&#10;&#10;Descrizione generata automaticamente">
                      <a:extLst>
                        <a:ext uri="{FF2B5EF4-FFF2-40B4-BE49-F238E27FC236}">
                          <a16:creationId xmlns:a16="http://schemas.microsoft.com/office/drawing/2014/main" id="{BDCB7226-59DA-F7DB-E927-50F50E9DABB2}"/>
                        </a:ext>
                      </a:extLst>
                    </pic:cNvPr>
                    <pic:cNvPicPr>
                      <a:picLocks noChangeAspect="1"/>
                    </pic:cNvPicPr>
                  </pic:nvPicPr>
                  <pic:blipFill rotWithShape="1">
                    <a:blip r:embed="rId10"/>
                    <a:srcRect l="12478" r="20217"/>
                    <a:stretch/>
                  </pic:blipFill>
                  <pic:spPr bwMode="auto">
                    <a:xfrm>
                      <a:off x="0" y="0"/>
                      <a:ext cx="1696102" cy="1577311"/>
                    </a:xfrm>
                    <a:prstGeom prst="rect">
                      <a:avLst/>
                    </a:prstGeom>
                    <a:ln>
                      <a:noFill/>
                    </a:ln>
                    <a:extLst>
                      <a:ext uri="{53640926-AAD7-44D8-BBD7-CCE9431645EC}">
                        <a14:shadowObscured xmlns:a14="http://schemas.microsoft.com/office/drawing/2010/main"/>
                      </a:ext>
                    </a:extLst>
                  </pic:spPr>
                </pic:pic>
              </a:graphicData>
            </a:graphic>
          </wp:inline>
        </w:drawing>
      </w:r>
      <w:r w:rsidR="00FD3F90" w:rsidRPr="00875A01">
        <w:rPr>
          <w:noProof/>
        </w:rPr>
        <w:t xml:space="preserve">          </w:t>
      </w:r>
      <w:r w:rsidR="00FD3F90" w:rsidRPr="00875A01">
        <w:rPr>
          <w:noProof/>
        </w:rPr>
        <w:drawing>
          <wp:inline distT="0" distB="0" distL="0" distR="0" wp14:anchorId="01BE5829" wp14:editId="1FBC6D25">
            <wp:extent cx="1134000" cy="1512000"/>
            <wp:effectExtent l="0" t="0" r="9525" b="0"/>
            <wp:docPr id="10" name="Immagine 9" descr="Immagine che contiene interno, muro, Trasparenza, bagno&#10;&#10;Descrizione generata automaticamente">
              <a:extLst xmlns:a="http://schemas.openxmlformats.org/drawingml/2006/main">
                <a:ext uri="{FF2B5EF4-FFF2-40B4-BE49-F238E27FC236}">
                  <a16:creationId xmlns:a16="http://schemas.microsoft.com/office/drawing/2014/main" id="{111C0454-242D-E041-5B10-F4942C745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descr="Immagine che contiene interno, muro, Trasparenza, bagno&#10;&#10;Descrizione generata automaticamente">
                      <a:extLst>
                        <a:ext uri="{FF2B5EF4-FFF2-40B4-BE49-F238E27FC236}">
                          <a16:creationId xmlns:a16="http://schemas.microsoft.com/office/drawing/2014/main" id="{111C0454-242D-E041-5B10-F4942C7454B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147" t="34050" r="29712" b="10809"/>
                    <a:stretch/>
                  </pic:blipFill>
                  <pic:spPr>
                    <a:xfrm>
                      <a:off x="0" y="0"/>
                      <a:ext cx="1134000" cy="1512000"/>
                    </a:xfrm>
                    <a:prstGeom prst="rect">
                      <a:avLst/>
                    </a:prstGeom>
                  </pic:spPr>
                </pic:pic>
              </a:graphicData>
            </a:graphic>
          </wp:inline>
        </w:drawing>
      </w:r>
    </w:p>
    <w:p w14:paraId="5C998E08" w14:textId="3760656A" w:rsidR="003647C5" w:rsidRPr="00875A01" w:rsidRDefault="003647C5" w:rsidP="003647C5">
      <w:pPr>
        <w:pStyle w:val="CETCaption"/>
        <w:rPr>
          <w:lang w:val="en-US"/>
        </w:rPr>
      </w:pPr>
      <w:r w:rsidRPr="00875A01">
        <w:rPr>
          <w:lang w:val="en-US"/>
        </w:rPr>
        <w:t xml:space="preserve">Figure </w:t>
      </w:r>
      <w:r w:rsidRPr="00875A01">
        <w:rPr>
          <w:lang w:val="en-US"/>
        </w:rPr>
        <w:fldChar w:fldCharType="begin"/>
      </w:r>
      <w:r w:rsidRPr="00875A01">
        <w:rPr>
          <w:lang w:val="en-US"/>
        </w:rPr>
        <w:instrText xml:space="preserve"> SEQ Figure \* ARABIC </w:instrText>
      </w:r>
      <w:r w:rsidRPr="00875A01">
        <w:rPr>
          <w:lang w:val="en-US"/>
        </w:rPr>
        <w:fldChar w:fldCharType="separate"/>
      </w:r>
      <w:r w:rsidR="0029551E" w:rsidRPr="00875A01">
        <w:rPr>
          <w:noProof/>
          <w:lang w:val="en-US"/>
        </w:rPr>
        <w:t>1</w:t>
      </w:r>
      <w:r w:rsidRPr="00875A01">
        <w:rPr>
          <w:lang w:val="en-US"/>
        </w:rPr>
        <w:fldChar w:fldCharType="end"/>
      </w:r>
      <w:r w:rsidRPr="00875A01">
        <w:rPr>
          <w:lang w:val="en-US"/>
        </w:rPr>
        <w:t xml:space="preserve">: </w:t>
      </w:r>
      <w:r w:rsidR="00807FF6" w:rsidRPr="00875A01">
        <w:rPr>
          <w:lang w:val="en-US"/>
        </w:rPr>
        <w:t>Lab-scal</w:t>
      </w:r>
      <w:r w:rsidR="004F2480" w:rsidRPr="00875A01">
        <w:rPr>
          <w:lang w:val="en-US"/>
        </w:rPr>
        <w:t xml:space="preserve">e fixed </w:t>
      </w:r>
      <w:r w:rsidRPr="00875A01">
        <w:rPr>
          <w:lang w:val="en-US"/>
        </w:rPr>
        <w:t>bed reactor</w:t>
      </w:r>
      <w:r w:rsidR="00807FF6" w:rsidRPr="00875A01">
        <w:rPr>
          <w:lang w:val="en-US"/>
        </w:rPr>
        <w:t xml:space="preserve"> system</w:t>
      </w:r>
      <w:r w:rsidRPr="00875A01">
        <w:rPr>
          <w:lang w:val="en-US"/>
        </w:rPr>
        <w:t xml:space="preserve"> </w:t>
      </w:r>
      <w:r w:rsidR="00807FF6" w:rsidRPr="00875A01">
        <w:rPr>
          <w:lang w:val="en-US"/>
        </w:rPr>
        <w:t xml:space="preserve">(a) </w:t>
      </w:r>
      <w:r w:rsidRPr="00875A01">
        <w:rPr>
          <w:lang w:val="en-US"/>
        </w:rPr>
        <w:t>simplified scheme</w:t>
      </w:r>
      <w:r w:rsidR="00807FF6" w:rsidRPr="00875A01">
        <w:rPr>
          <w:lang w:val="en-US"/>
        </w:rPr>
        <w:t xml:space="preserve"> and (</w:t>
      </w:r>
      <w:r w:rsidR="00444B86" w:rsidRPr="00875A01">
        <w:rPr>
          <w:lang w:val="en-US"/>
        </w:rPr>
        <w:t>b</w:t>
      </w:r>
      <w:r w:rsidR="00807FF6" w:rsidRPr="00875A01">
        <w:rPr>
          <w:lang w:val="en-US"/>
        </w:rPr>
        <w:t>)</w:t>
      </w:r>
      <w:r w:rsidR="00807FF6" w:rsidRPr="00875A01">
        <w:rPr>
          <w:rStyle w:val="CETCaptionCarattere"/>
          <w:i/>
          <w:lang w:val="en-US"/>
        </w:rPr>
        <w:t xml:space="preserve"> packed bed of Li</w:t>
      </w:r>
      <w:r w:rsidR="00807FF6" w:rsidRPr="00875A01">
        <w:rPr>
          <w:rStyle w:val="CETCaptionCarattere"/>
          <w:i/>
          <w:vertAlign w:val="subscript"/>
          <w:lang w:val="en-US"/>
        </w:rPr>
        <w:t>4</w:t>
      </w:r>
      <w:r w:rsidR="00807FF6" w:rsidRPr="00875A01">
        <w:rPr>
          <w:rStyle w:val="CETCaptionCarattere"/>
          <w:i/>
          <w:lang w:val="en-US"/>
        </w:rPr>
        <w:t>SiO</w:t>
      </w:r>
      <w:r w:rsidR="00807FF6" w:rsidRPr="00875A01">
        <w:rPr>
          <w:rStyle w:val="CETCaptionCarattere"/>
          <w:i/>
          <w:vertAlign w:val="subscript"/>
          <w:lang w:val="en-US"/>
        </w:rPr>
        <w:t>4</w:t>
      </w:r>
      <w:r w:rsidR="00807FF6" w:rsidRPr="00875A01">
        <w:rPr>
          <w:rStyle w:val="CETCaptionCarattere"/>
          <w:i/>
          <w:lang w:val="en-US"/>
        </w:rPr>
        <w:t>-based pellets.</w:t>
      </w:r>
    </w:p>
    <w:p w14:paraId="0A1623B1" w14:textId="6047CDC2" w:rsidR="003647C5" w:rsidRPr="00875A01" w:rsidRDefault="003647C5" w:rsidP="003647C5">
      <w:pPr>
        <w:pStyle w:val="CETTabletitle"/>
        <w:rPr>
          <w:lang w:val="en-US"/>
        </w:rPr>
      </w:pPr>
      <w:r w:rsidRPr="00875A01">
        <w:rPr>
          <w:lang w:val="en-US"/>
        </w:rPr>
        <w:t>Table 1: Reactor parameters</w:t>
      </w:r>
      <w:r w:rsidR="00B547F8" w:rsidRPr="00875A01">
        <w:rPr>
          <w:lang w:val="en-US"/>
        </w:rPr>
        <w:t xml:space="preserve"> and CO</w:t>
      </w:r>
      <w:r w:rsidR="00B547F8" w:rsidRPr="00875A01">
        <w:rPr>
          <w:vertAlign w:val="subscript"/>
          <w:lang w:val="en-US"/>
        </w:rPr>
        <w:t>2</w:t>
      </w:r>
      <w:r w:rsidR="00B547F8" w:rsidRPr="00875A01">
        <w:rPr>
          <w:lang w:val="en-US"/>
        </w:rPr>
        <w:t xml:space="preserve"> adsorption test conditions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63"/>
        <w:gridCol w:w="1687"/>
        <w:gridCol w:w="1132"/>
        <w:gridCol w:w="1276"/>
        <w:gridCol w:w="1926"/>
        <w:gridCol w:w="903"/>
      </w:tblGrid>
      <w:tr w:rsidR="00A54B31" w:rsidRPr="00875A01" w14:paraId="66B99AE8" w14:textId="77777777" w:rsidTr="006B7AE3">
        <w:tc>
          <w:tcPr>
            <w:tcW w:w="1060" w:type="pct"/>
            <w:tcBorders>
              <w:top w:val="single" w:sz="12" w:space="0" w:color="008000"/>
              <w:bottom w:val="single" w:sz="6" w:space="0" w:color="008000"/>
            </w:tcBorders>
            <w:shd w:val="clear" w:color="auto" w:fill="FFFFFF"/>
          </w:tcPr>
          <w:p w14:paraId="2D077781" w14:textId="12805A0C" w:rsidR="00AC0A65" w:rsidRPr="00875A01" w:rsidRDefault="008C7FF8" w:rsidP="00DE2282">
            <w:pPr>
              <w:pStyle w:val="CETBodytext"/>
              <w:jc w:val="center"/>
            </w:pPr>
            <w:r w:rsidRPr="00875A01">
              <w:t>Packed bed diameter</w:t>
            </w:r>
            <w:r w:rsidR="00AC0A65" w:rsidRPr="00875A01">
              <w:t>,</w:t>
            </w:r>
          </w:p>
          <w:p w14:paraId="0E63EB9C" w14:textId="0D307491" w:rsidR="008C7FF8" w:rsidRPr="00875A01" w:rsidRDefault="00AC0A65" w:rsidP="00DE2282">
            <w:pPr>
              <w:pStyle w:val="CETBodytext"/>
              <w:jc w:val="center"/>
            </w:pPr>
            <w:proofErr w:type="spellStart"/>
            <w:r w:rsidRPr="00875A01">
              <w:rPr>
                <w:i/>
                <w:iCs/>
              </w:rPr>
              <w:t>d</w:t>
            </w:r>
            <w:r w:rsidRPr="00875A01">
              <w:rPr>
                <w:i/>
                <w:iCs/>
                <w:vertAlign w:val="subscript"/>
              </w:rPr>
              <w:t>bed</w:t>
            </w:r>
            <w:proofErr w:type="spellEnd"/>
            <w:r w:rsidR="008C7FF8" w:rsidRPr="00875A01">
              <w:t xml:space="preserve"> (</w:t>
            </w:r>
            <w:r w:rsidR="00A54B31" w:rsidRPr="00875A01">
              <w:t>c</w:t>
            </w:r>
            <w:r w:rsidR="008C7FF8" w:rsidRPr="00875A01">
              <w:t>m)</w:t>
            </w:r>
          </w:p>
        </w:tc>
        <w:tc>
          <w:tcPr>
            <w:tcW w:w="960" w:type="pct"/>
            <w:tcBorders>
              <w:top w:val="single" w:sz="12" w:space="0" w:color="008000"/>
              <w:bottom w:val="single" w:sz="6" w:space="0" w:color="008000"/>
            </w:tcBorders>
            <w:shd w:val="clear" w:color="auto" w:fill="FFFFFF"/>
          </w:tcPr>
          <w:p w14:paraId="3A7D209B" w14:textId="77777777" w:rsidR="00A54B31" w:rsidRPr="00875A01" w:rsidRDefault="008C7FF8" w:rsidP="00DE2282">
            <w:pPr>
              <w:pStyle w:val="CETBodytext"/>
              <w:jc w:val="center"/>
            </w:pPr>
            <w:r w:rsidRPr="00875A01">
              <w:t>Packed bed height</w:t>
            </w:r>
            <w:r w:rsidR="00A54B31" w:rsidRPr="00875A01">
              <w:t>,</w:t>
            </w:r>
          </w:p>
          <w:p w14:paraId="2A527CE4" w14:textId="0B49BD50" w:rsidR="008C7FF8" w:rsidRPr="00875A01" w:rsidRDefault="00497F95" w:rsidP="00DE2282">
            <w:pPr>
              <w:pStyle w:val="CETBodytext"/>
              <w:jc w:val="center"/>
            </w:pPr>
            <w:r w:rsidRPr="00875A01">
              <w:rPr>
                <w:i/>
                <w:iCs/>
              </w:rPr>
              <w:t>L</w:t>
            </w:r>
            <w:r w:rsidR="008C7FF8" w:rsidRPr="00875A01">
              <w:t xml:space="preserve"> (</w:t>
            </w:r>
            <w:r w:rsidR="00A54B31" w:rsidRPr="00875A01">
              <w:t>c</w:t>
            </w:r>
            <w:r w:rsidR="008C7FF8" w:rsidRPr="00875A01">
              <w:t xml:space="preserve">m) </w:t>
            </w:r>
          </w:p>
        </w:tc>
        <w:tc>
          <w:tcPr>
            <w:tcW w:w="644" w:type="pct"/>
            <w:tcBorders>
              <w:top w:val="single" w:sz="12" w:space="0" w:color="008000"/>
              <w:bottom w:val="single" w:sz="6" w:space="0" w:color="008000"/>
            </w:tcBorders>
            <w:shd w:val="clear" w:color="auto" w:fill="FFFFFF"/>
          </w:tcPr>
          <w:p w14:paraId="4D9ACCC4" w14:textId="5668B908" w:rsidR="00A54B31" w:rsidRPr="00875A01" w:rsidRDefault="008C7FF8" w:rsidP="00DE2282">
            <w:pPr>
              <w:pStyle w:val="CETBodytext"/>
              <w:jc w:val="center"/>
            </w:pPr>
            <w:r w:rsidRPr="00875A01">
              <w:t xml:space="preserve">Void </w:t>
            </w:r>
            <w:r w:rsidR="006B7AE3" w:rsidRPr="00875A01">
              <w:t>fraction</w:t>
            </w:r>
            <w:r w:rsidRPr="00875A01">
              <w:t>,</w:t>
            </w:r>
          </w:p>
          <w:p w14:paraId="398DF9AA" w14:textId="46AE66F3" w:rsidR="008C7FF8" w:rsidRPr="00875A01" w:rsidRDefault="00000000" w:rsidP="00DE2282">
            <w:pPr>
              <w:pStyle w:val="CETBodytext"/>
              <w:jc w:val="center"/>
            </w:pPr>
            <m:oMath>
              <m:sSub>
                <m:sSubPr>
                  <m:ctrlPr>
                    <w:rPr>
                      <w:rFonts w:ascii="Cambria Math" w:hAnsi="Cambria Math" w:cs="Arial"/>
                      <w:i/>
                      <w:iCs/>
                    </w:rPr>
                  </m:ctrlPr>
                </m:sSubPr>
                <m:e>
                  <m:r>
                    <w:rPr>
                      <w:rFonts w:ascii="Cambria Math" w:hAnsi="Cambria Math" w:cs="Arial"/>
                    </w:rPr>
                    <m:t>ε</m:t>
                  </m:r>
                </m:e>
                <m:sub>
                  <m:r>
                    <w:rPr>
                      <w:rFonts w:ascii="Cambria Math" w:hAnsi="Cambria Math" w:cs="Arial"/>
                    </w:rPr>
                    <m:t>b</m:t>
                  </m:r>
                </m:sub>
              </m:sSub>
            </m:oMath>
            <w:r w:rsidR="008C7FF8" w:rsidRPr="00875A01">
              <w:t xml:space="preserve"> </w:t>
            </w:r>
          </w:p>
        </w:tc>
        <w:tc>
          <w:tcPr>
            <w:tcW w:w="726" w:type="pct"/>
            <w:tcBorders>
              <w:top w:val="single" w:sz="12" w:space="0" w:color="008000"/>
              <w:bottom w:val="single" w:sz="6" w:space="0" w:color="008000"/>
            </w:tcBorders>
            <w:shd w:val="clear" w:color="auto" w:fill="FFFFFF"/>
          </w:tcPr>
          <w:p w14:paraId="187BF8D9" w14:textId="6706680F" w:rsidR="0029551E" w:rsidRPr="00875A01" w:rsidRDefault="00A54B31" w:rsidP="00DE2282">
            <w:pPr>
              <w:pStyle w:val="CETBodytext"/>
              <w:jc w:val="center"/>
            </w:pPr>
            <w:r w:rsidRPr="00875A01">
              <w:t>Gas flow rate,</w:t>
            </w:r>
          </w:p>
          <w:p w14:paraId="16AFC980" w14:textId="0FC876A3" w:rsidR="008C7FF8" w:rsidRPr="00875A01" w:rsidRDefault="00A54B31" w:rsidP="00DE2282">
            <w:pPr>
              <w:pStyle w:val="CETBodytext"/>
              <w:jc w:val="center"/>
            </w:pPr>
            <w:r w:rsidRPr="00875A01">
              <w:rPr>
                <w:i/>
                <w:iCs/>
              </w:rPr>
              <w:t>G</w:t>
            </w:r>
            <w:r w:rsidRPr="00875A01">
              <w:rPr>
                <w:i/>
                <w:iCs/>
                <w:vertAlign w:val="subscript"/>
              </w:rPr>
              <w:t>in</w:t>
            </w:r>
            <w:r w:rsidRPr="00875A01">
              <w:t xml:space="preserve"> (mL/min)</w:t>
            </w:r>
          </w:p>
        </w:tc>
        <w:tc>
          <w:tcPr>
            <w:tcW w:w="1096" w:type="pct"/>
            <w:tcBorders>
              <w:top w:val="single" w:sz="12" w:space="0" w:color="008000"/>
              <w:bottom w:val="single" w:sz="6" w:space="0" w:color="008000"/>
            </w:tcBorders>
            <w:shd w:val="clear" w:color="auto" w:fill="FFFFFF"/>
          </w:tcPr>
          <w:p w14:paraId="66360D3D" w14:textId="682C4211" w:rsidR="0029551E" w:rsidRPr="00875A01" w:rsidRDefault="00240422" w:rsidP="00DE2282">
            <w:pPr>
              <w:pStyle w:val="CETBodytext"/>
              <w:ind w:right="-1"/>
              <w:jc w:val="center"/>
              <w:rPr>
                <w:rFonts w:cs="Arial"/>
                <w:szCs w:val="18"/>
              </w:rPr>
            </w:pPr>
            <w:r w:rsidRPr="00875A01">
              <w:rPr>
                <w:rFonts w:cs="Arial"/>
                <w:szCs w:val="18"/>
              </w:rPr>
              <w:t>Interstitial gas</w:t>
            </w:r>
            <w:r w:rsidR="00A54B31" w:rsidRPr="00875A01">
              <w:rPr>
                <w:rFonts w:cs="Arial"/>
                <w:szCs w:val="18"/>
              </w:rPr>
              <w:t xml:space="preserve"> velocity,</w:t>
            </w:r>
          </w:p>
          <w:p w14:paraId="70D1E5B3" w14:textId="2943B283" w:rsidR="008C7FF8" w:rsidRPr="00875A01" w:rsidRDefault="00A54B31" w:rsidP="00DE2282">
            <w:pPr>
              <w:pStyle w:val="CETBodytext"/>
              <w:ind w:right="-1"/>
              <w:jc w:val="center"/>
              <w:rPr>
                <w:rFonts w:cs="Arial"/>
                <w:szCs w:val="18"/>
              </w:rPr>
            </w:pPr>
            <w:r w:rsidRPr="00875A01">
              <w:rPr>
                <w:rFonts w:cs="Arial"/>
                <w:i/>
                <w:iCs/>
                <w:szCs w:val="18"/>
              </w:rPr>
              <w:t>u</w:t>
            </w:r>
            <w:r w:rsidR="00387B8B" w:rsidRPr="00875A01">
              <w:rPr>
                <w:rFonts w:cs="Arial"/>
                <w:i/>
                <w:iCs/>
                <w:szCs w:val="18"/>
                <w:vertAlign w:val="subscript"/>
              </w:rPr>
              <w:t>g</w:t>
            </w:r>
            <w:r w:rsidRPr="00875A01">
              <w:rPr>
                <w:rFonts w:cs="Arial"/>
                <w:szCs w:val="18"/>
              </w:rPr>
              <w:t xml:space="preserve"> (cm/s)</w:t>
            </w:r>
          </w:p>
        </w:tc>
        <w:tc>
          <w:tcPr>
            <w:tcW w:w="514" w:type="pct"/>
            <w:tcBorders>
              <w:top w:val="single" w:sz="12" w:space="0" w:color="008000"/>
              <w:bottom w:val="single" w:sz="6" w:space="0" w:color="008000"/>
            </w:tcBorders>
            <w:shd w:val="clear" w:color="auto" w:fill="FFFFFF"/>
          </w:tcPr>
          <w:p w14:paraId="65157EB6" w14:textId="0281D1E5" w:rsidR="00A54B31" w:rsidRPr="00875A01" w:rsidRDefault="00A54B31" w:rsidP="00DE2282">
            <w:pPr>
              <w:pStyle w:val="CETBodytext"/>
              <w:ind w:right="-1"/>
              <w:jc w:val="center"/>
              <w:rPr>
                <w:rFonts w:cs="Arial"/>
                <w:szCs w:val="18"/>
              </w:rPr>
            </w:pPr>
            <w:r w:rsidRPr="00875A01">
              <w:rPr>
                <w:rFonts w:cs="Arial"/>
                <w:szCs w:val="18"/>
              </w:rPr>
              <w:t>GHSV</w:t>
            </w:r>
            <w:r w:rsidR="00AD4FE7" w:rsidRPr="00875A01">
              <w:rPr>
                <w:rFonts w:cs="Arial"/>
                <w:szCs w:val="18"/>
              </w:rPr>
              <w:t>*</w:t>
            </w:r>
          </w:p>
          <w:p w14:paraId="46027119" w14:textId="74BB4805" w:rsidR="008C7FF8" w:rsidRPr="00875A01" w:rsidRDefault="00A54B31" w:rsidP="00DE2282">
            <w:pPr>
              <w:pStyle w:val="CETBodytext"/>
              <w:ind w:right="-1"/>
              <w:jc w:val="center"/>
              <w:rPr>
                <w:rFonts w:cs="Arial"/>
                <w:iCs/>
              </w:rPr>
            </w:pPr>
            <w:r w:rsidRPr="00875A01">
              <w:rPr>
                <w:rFonts w:cs="Arial"/>
                <w:szCs w:val="18"/>
              </w:rPr>
              <w:t>(h</w:t>
            </w:r>
            <w:r w:rsidRPr="00875A01">
              <w:rPr>
                <w:rFonts w:cs="Arial"/>
                <w:szCs w:val="18"/>
                <w:vertAlign w:val="superscript"/>
              </w:rPr>
              <w:t>-1</w:t>
            </w:r>
            <w:r w:rsidRPr="00875A01">
              <w:rPr>
                <w:rFonts w:cs="Arial"/>
                <w:szCs w:val="18"/>
              </w:rPr>
              <w:t>)</w:t>
            </w:r>
          </w:p>
        </w:tc>
      </w:tr>
      <w:tr w:rsidR="00A54B31" w:rsidRPr="00875A01" w14:paraId="034BCF62" w14:textId="77777777" w:rsidTr="006B7AE3">
        <w:tc>
          <w:tcPr>
            <w:tcW w:w="1060" w:type="pct"/>
            <w:shd w:val="clear" w:color="auto" w:fill="FFFFFF"/>
          </w:tcPr>
          <w:p w14:paraId="7978936A" w14:textId="110EDAD6" w:rsidR="008C7FF8" w:rsidRPr="00875A01" w:rsidRDefault="00A54B31" w:rsidP="00DE2282">
            <w:pPr>
              <w:pStyle w:val="CETBodytext"/>
              <w:jc w:val="center"/>
            </w:pPr>
            <w:r w:rsidRPr="00875A01">
              <w:t>2.5</w:t>
            </w:r>
          </w:p>
        </w:tc>
        <w:tc>
          <w:tcPr>
            <w:tcW w:w="960" w:type="pct"/>
            <w:shd w:val="clear" w:color="auto" w:fill="FFFFFF"/>
          </w:tcPr>
          <w:p w14:paraId="21BC413F" w14:textId="23D8527F" w:rsidR="008C7FF8" w:rsidRPr="00875A01" w:rsidRDefault="008C7FF8" w:rsidP="00DE2282">
            <w:pPr>
              <w:pStyle w:val="CETBodytext"/>
              <w:jc w:val="center"/>
            </w:pPr>
            <w:r w:rsidRPr="00875A01">
              <w:t>2</w:t>
            </w:r>
            <w:r w:rsidR="00A54B31" w:rsidRPr="00875A01">
              <w:t>.5</w:t>
            </w:r>
          </w:p>
        </w:tc>
        <w:tc>
          <w:tcPr>
            <w:tcW w:w="644" w:type="pct"/>
            <w:shd w:val="clear" w:color="auto" w:fill="FFFFFF"/>
          </w:tcPr>
          <w:p w14:paraId="4E1FCB8D" w14:textId="70089335" w:rsidR="008C7FF8" w:rsidRPr="00875A01" w:rsidRDefault="00A54B31" w:rsidP="00DE2282">
            <w:pPr>
              <w:pStyle w:val="CETBodytext"/>
              <w:jc w:val="center"/>
            </w:pPr>
            <w:r w:rsidRPr="00875A01">
              <w:t>0.44</w:t>
            </w:r>
          </w:p>
        </w:tc>
        <w:tc>
          <w:tcPr>
            <w:tcW w:w="726" w:type="pct"/>
            <w:shd w:val="clear" w:color="auto" w:fill="FFFFFF"/>
          </w:tcPr>
          <w:p w14:paraId="34D0CCDF" w14:textId="516F1713" w:rsidR="008C7FF8" w:rsidRPr="00875A01" w:rsidRDefault="008C7FF8" w:rsidP="00DE2282">
            <w:pPr>
              <w:pStyle w:val="CETBodytext"/>
              <w:jc w:val="center"/>
            </w:pPr>
            <w:r w:rsidRPr="00875A01">
              <w:t>2</w:t>
            </w:r>
            <w:r w:rsidR="00A54B31" w:rsidRPr="00875A01">
              <w:t>60</w:t>
            </w:r>
          </w:p>
        </w:tc>
        <w:tc>
          <w:tcPr>
            <w:tcW w:w="1096" w:type="pct"/>
            <w:shd w:val="clear" w:color="auto" w:fill="FFFFFF"/>
          </w:tcPr>
          <w:p w14:paraId="49504906" w14:textId="643BD409" w:rsidR="008C7FF8" w:rsidRPr="00875A01" w:rsidRDefault="00A54B31" w:rsidP="00DE2282">
            <w:pPr>
              <w:pStyle w:val="CETBodytext"/>
              <w:ind w:right="-1"/>
              <w:jc w:val="center"/>
              <w:rPr>
                <w:rFonts w:cs="Arial"/>
                <w:szCs w:val="18"/>
              </w:rPr>
            </w:pPr>
            <w:r w:rsidRPr="00875A01">
              <w:rPr>
                <w:rFonts w:cs="Arial"/>
                <w:szCs w:val="18"/>
              </w:rPr>
              <w:t>2</w:t>
            </w:r>
          </w:p>
        </w:tc>
        <w:tc>
          <w:tcPr>
            <w:tcW w:w="514" w:type="pct"/>
            <w:shd w:val="clear" w:color="auto" w:fill="FFFFFF"/>
          </w:tcPr>
          <w:p w14:paraId="46A000CF" w14:textId="6B5B309E" w:rsidR="008C7FF8" w:rsidRPr="00875A01" w:rsidRDefault="00A54B31" w:rsidP="00DE2282">
            <w:pPr>
              <w:pStyle w:val="CETBodytext"/>
              <w:ind w:right="-1"/>
              <w:jc w:val="center"/>
              <w:rPr>
                <w:rFonts w:cs="Arial"/>
                <w:szCs w:val="18"/>
              </w:rPr>
            </w:pPr>
            <w:r w:rsidRPr="00875A01">
              <w:rPr>
                <w:rFonts w:cs="Arial"/>
                <w:szCs w:val="18"/>
              </w:rPr>
              <w:t>2270</w:t>
            </w:r>
          </w:p>
        </w:tc>
      </w:tr>
    </w:tbl>
    <w:p w14:paraId="2BE6C813" w14:textId="5777E834" w:rsidR="00AD4FE7" w:rsidRPr="00875A01" w:rsidRDefault="00AD4FE7" w:rsidP="00AD4FE7">
      <w:pPr>
        <w:pStyle w:val="CETBodytext"/>
        <w:rPr>
          <w:sz w:val="16"/>
          <w:szCs w:val="18"/>
        </w:rPr>
      </w:pPr>
      <w:r w:rsidRPr="00875A01">
        <w:rPr>
          <w:sz w:val="16"/>
          <w:szCs w:val="18"/>
        </w:rPr>
        <w:t>* Gas Hourly Space Velocity.</w:t>
      </w:r>
    </w:p>
    <w:p w14:paraId="677EBFF0" w14:textId="0FB32122" w:rsidR="00600535" w:rsidRPr="00875A01" w:rsidRDefault="00EB45B5" w:rsidP="00600535">
      <w:pPr>
        <w:pStyle w:val="CETHeading1"/>
        <w:tabs>
          <w:tab w:val="clear" w:pos="360"/>
          <w:tab w:val="right" w:pos="7100"/>
        </w:tabs>
        <w:jc w:val="both"/>
      </w:pPr>
      <w:r w:rsidRPr="00875A01">
        <w:t xml:space="preserve">Mathematical </w:t>
      </w:r>
      <w:r w:rsidR="00FC4267" w:rsidRPr="00875A01">
        <w:t>modeling</w:t>
      </w:r>
    </w:p>
    <w:p w14:paraId="2E562C00" w14:textId="49C32B77" w:rsidR="004577FE" w:rsidRPr="00875A01" w:rsidRDefault="00A21503" w:rsidP="00FD5B4F">
      <w:pPr>
        <w:pStyle w:val="CETBodytext"/>
      </w:pPr>
      <w:r w:rsidRPr="00875A01">
        <w:t>A numerical model for gas-solid flow was developed and used to study the CO</w:t>
      </w:r>
      <w:r w:rsidRPr="00875A01">
        <w:rPr>
          <w:vertAlign w:val="subscript"/>
        </w:rPr>
        <w:t>2</w:t>
      </w:r>
      <w:r w:rsidRPr="00875A01">
        <w:t xml:space="preserve"> adsorption process by K</w:t>
      </w:r>
      <w:r w:rsidRPr="00875A01">
        <w:rPr>
          <w:vertAlign w:val="subscript"/>
        </w:rPr>
        <w:t>2</w:t>
      </w:r>
      <w:r w:rsidRPr="00875A01">
        <w:t>CO</w:t>
      </w:r>
      <w:r w:rsidRPr="00875A01">
        <w:rPr>
          <w:vertAlign w:val="subscript"/>
        </w:rPr>
        <w:t>3</w:t>
      </w:r>
      <w:r w:rsidRPr="00875A01">
        <w:t>-doped Li</w:t>
      </w:r>
      <w:r w:rsidRPr="00875A01">
        <w:rPr>
          <w:vertAlign w:val="subscript"/>
        </w:rPr>
        <w:t>4</w:t>
      </w:r>
      <w:r w:rsidRPr="00875A01">
        <w:t>SiO</w:t>
      </w:r>
      <w:r w:rsidRPr="00875A01">
        <w:rPr>
          <w:vertAlign w:val="subscript"/>
        </w:rPr>
        <w:t>4</w:t>
      </w:r>
      <w:r w:rsidRPr="00875A01">
        <w:t xml:space="preserve"> sorbents</w:t>
      </w:r>
      <w:r w:rsidR="00005363" w:rsidRPr="00875A01">
        <w:t xml:space="preserve">. </w:t>
      </w:r>
      <w:r w:rsidR="00FD5B4F" w:rsidRPr="00875A01">
        <w:rPr>
          <w:rStyle w:val="s1"/>
          <w:rFonts w:ascii="Arial" w:hAnsi="Arial"/>
          <w:sz w:val="18"/>
          <w:szCs w:val="20"/>
        </w:rPr>
        <w:t xml:space="preserve">The </w:t>
      </w:r>
      <w:r w:rsidR="003B2F28" w:rsidRPr="00875A01">
        <w:rPr>
          <w:rStyle w:val="s1"/>
          <w:rFonts w:ascii="Arial" w:hAnsi="Arial"/>
          <w:sz w:val="18"/>
          <w:szCs w:val="20"/>
        </w:rPr>
        <w:t xml:space="preserve">packed bed </w:t>
      </w:r>
      <w:r w:rsidR="00FD5B4F" w:rsidRPr="00875A01">
        <w:rPr>
          <w:rStyle w:val="s1"/>
          <w:rFonts w:ascii="Arial" w:hAnsi="Arial"/>
          <w:sz w:val="18"/>
          <w:szCs w:val="20"/>
        </w:rPr>
        <w:t xml:space="preserve">reactor </w:t>
      </w:r>
      <w:r w:rsidR="003B2F28" w:rsidRPr="00875A01">
        <w:rPr>
          <w:rStyle w:val="s1"/>
          <w:rFonts w:ascii="Arial" w:hAnsi="Arial"/>
          <w:sz w:val="18"/>
          <w:szCs w:val="20"/>
        </w:rPr>
        <w:t xml:space="preserve">of </w:t>
      </w:r>
      <w:r w:rsidR="003B2F28" w:rsidRPr="00875A01">
        <w:t>doped Li</w:t>
      </w:r>
      <w:r w:rsidR="003B2F28" w:rsidRPr="00875A01">
        <w:rPr>
          <w:vertAlign w:val="subscript"/>
        </w:rPr>
        <w:t>4</w:t>
      </w:r>
      <w:r w:rsidR="003B2F28" w:rsidRPr="00875A01">
        <w:t>SiO</w:t>
      </w:r>
      <w:r w:rsidR="003B2F28" w:rsidRPr="00875A01">
        <w:rPr>
          <w:vertAlign w:val="subscript"/>
        </w:rPr>
        <w:t>4</w:t>
      </w:r>
      <w:r w:rsidR="003B2F28" w:rsidRPr="00875A01">
        <w:t xml:space="preserve"> pellets was</w:t>
      </w:r>
      <w:r w:rsidR="00FD5B4F" w:rsidRPr="00875A01">
        <w:rPr>
          <w:rStyle w:val="s1"/>
          <w:rFonts w:ascii="Arial" w:hAnsi="Arial"/>
          <w:sz w:val="18"/>
          <w:szCs w:val="20"/>
        </w:rPr>
        <w:t xml:space="preserve"> </w:t>
      </w:r>
      <w:r w:rsidR="00840BF7" w:rsidRPr="00875A01">
        <w:rPr>
          <w:rStyle w:val="s1"/>
          <w:rFonts w:ascii="Arial" w:hAnsi="Arial"/>
          <w:sz w:val="18"/>
          <w:szCs w:val="20"/>
        </w:rPr>
        <w:t>modeled</w:t>
      </w:r>
      <w:r w:rsidR="00FD5B4F" w:rsidRPr="00875A01">
        <w:rPr>
          <w:rStyle w:val="s1"/>
          <w:rFonts w:ascii="Arial" w:hAnsi="Arial"/>
          <w:sz w:val="18"/>
          <w:szCs w:val="20"/>
        </w:rPr>
        <w:t xml:space="preserve"> as a one-dimensional domain using COMSOL Multiphysics</w:t>
      </w:r>
      <w:r w:rsidRPr="00875A01">
        <w:rPr>
          <w:rStyle w:val="s1"/>
          <w:rFonts w:ascii="Arial" w:hAnsi="Arial"/>
          <w:sz w:val="18"/>
          <w:szCs w:val="20"/>
          <w:vertAlign w:val="superscript"/>
        </w:rPr>
        <w:t>®</w:t>
      </w:r>
      <w:r w:rsidR="00FD5B4F" w:rsidRPr="00875A01">
        <w:rPr>
          <w:rStyle w:val="s1"/>
          <w:rFonts w:ascii="Arial" w:hAnsi="Arial"/>
          <w:sz w:val="18"/>
          <w:szCs w:val="20"/>
        </w:rPr>
        <w:t xml:space="preserve">, simplifying the geometry to reduce the computational cost of the simulations. This approach assumes negligible radial transport within the </w:t>
      </w:r>
      <w:r w:rsidR="00451305" w:rsidRPr="00875A01">
        <w:rPr>
          <w:rStyle w:val="s1"/>
          <w:rFonts w:ascii="Arial" w:hAnsi="Arial"/>
          <w:sz w:val="18"/>
          <w:szCs w:val="20"/>
        </w:rPr>
        <w:t xml:space="preserve">pellet </w:t>
      </w:r>
      <w:r w:rsidR="00FD5B4F" w:rsidRPr="00875A01">
        <w:rPr>
          <w:rStyle w:val="s1"/>
          <w:rFonts w:ascii="Arial" w:hAnsi="Arial"/>
          <w:sz w:val="18"/>
          <w:szCs w:val="20"/>
        </w:rPr>
        <w:t>bed, focusing exclusively on variations along the axial direction. The model incorporates a system of equations comprising time-dependent partial differential equations (PDEs) along the reactor length, coupled with time-dependent ordinary differential equations (ODEs) and algebraic equations to describe the relevant physicochemical processes. The primary governing equations</w:t>
      </w:r>
      <w:r w:rsidR="004F2A3E" w:rsidRPr="00875A01">
        <w:rPr>
          <w:rStyle w:val="s1"/>
          <w:rFonts w:ascii="Arial" w:hAnsi="Arial"/>
          <w:sz w:val="18"/>
          <w:szCs w:val="20"/>
        </w:rPr>
        <w:t xml:space="preserve"> used for the </w:t>
      </w:r>
      <w:r w:rsidR="0050296B" w:rsidRPr="00875A01">
        <w:rPr>
          <w:rStyle w:val="s1"/>
          <w:rFonts w:ascii="Arial" w:hAnsi="Arial"/>
          <w:sz w:val="18"/>
          <w:szCs w:val="20"/>
        </w:rPr>
        <w:t>packed</w:t>
      </w:r>
      <w:r w:rsidR="004F2A3E" w:rsidRPr="00875A01">
        <w:rPr>
          <w:rStyle w:val="s1"/>
          <w:rFonts w:ascii="Arial" w:hAnsi="Arial"/>
          <w:sz w:val="18"/>
          <w:szCs w:val="20"/>
        </w:rPr>
        <w:t xml:space="preserve"> bed simulation</w:t>
      </w:r>
      <w:r w:rsidR="00FD5B4F" w:rsidRPr="00875A01">
        <w:rPr>
          <w:rStyle w:val="s1"/>
          <w:rFonts w:ascii="Arial" w:hAnsi="Arial"/>
          <w:sz w:val="18"/>
          <w:szCs w:val="20"/>
        </w:rPr>
        <w:t xml:space="preserve"> are the mass conservation </w:t>
      </w:r>
      <w:r w:rsidR="00FD5B4F" w:rsidRPr="00875A01">
        <w:t>(</w:t>
      </w:r>
      <w:proofErr w:type="gramStart"/>
      <w:r w:rsidR="00F50FBF" w:rsidRPr="00875A01">
        <w:t>Eq(</w:t>
      </w:r>
      <w:proofErr w:type="gramEnd"/>
      <w:r w:rsidR="00A54285" w:rsidRPr="00875A01">
        <w:t>2</w:t>
      </w:r>
      <w:r w:rsidR="00FD5B4F" w:rsidRPr="00875A01">
        <w:t>)</w:t>
      </w:r>
      <w:r w:rsidR="00F50FBF" w:rsidRPr="00875A01">
        <w:t>)</w:t>
      </w:r>
      <w:r w:rsidR="00FD5B4F" w:rsidRPr="00875A01">
        <w:t xml:space="preserve"> </w:t>
      </w:r>
      <w:r w:rsidR="00FD5B4F" w:rsidRPr="00875A01">
        <w:rPr>
          <w:rStyle w:val="s1"/>
          <w:rFonts w:ascii="Arial" w:hAnsi="Arial"/>
          <w:sz w:val="18"/>
          <w:szCs w:val="20"/>
        </w:rPr>
        <w:t xml:space="preserve">and </w:t>
      </w:r>
      <w:r w:rsidR="00654495" w:rsidRPr="00875A01">
        <w:rPr>
          <w:rStyle w:val="s1"/>
          <w:rFonts w:ascii="Arial" w:hAnsi="Arial"/>
          <w:sz w:val="18"/>
          <w:szCs w:val="20"/>
        </w:rPr>
        <w:t xml:space="preserve">the </w:t>
      </w:r>
      <w:r w:rsidR="00FD5B4F" w:rsidRPr="00875A01">
        <w:rPr>
          <w:rStyle w:val="s1"/>
          <w:rFonts w:ascii="Arial" w:hAnsi="Arial"/>
          <w:sz w:val="18"/>
          <w:szCs w:val="20"/>
        </w:rPr>
        <w:t xml:space="preserve">energy conservation </w:t>
      </w:r>
      <w:r w:rsidR="00654495" w:rsidRPr="00875A01">
        <w:t>(</w:t>
      </w:r>
      <w:proofErr w:type="gramStart"/>
      <w:r w:rsidR="00654495" w:rsidRPr="00875A01">
        <w:t>Eq(</w:t>
      </w:r>
      <w:proofErr w:type="gramEnd"/>
      <w:r w:rsidR="004F78FB" w:rsidRPr="00875A01">
        <w:t>6</w:t>
      </w:r>
      <w:r w:rsidR="00654495" w:rsidRPr="00875A01">
        <w:t xml:space="preserve">)) </w:t>
      </w:r>
      <w:r w:rsidR="00FD5B4F" w:rsidRPr="00875A01">
        <w:rPr>
          <w:rStyle w:val="s1"/>
          <w:rFonts w:ascii="Arial" w:hAnsi="Arial"/>
          <w:sz w:val="18"/>
          <w:szCs w:val="20"/>
        </w:rPr>
        <w:t xml:space="preserve">equations, which account for the transport and transformation of species as well as the </w:t>
      </w:r>
      <w:r w:rsidR="00FD5B4F" w:rsidRPr="00875A01">
        <w:rPr>
          <w:rStyle w:val="s1"/>
          <w:rFonts w:ascii="Arial" w:hAnsi="Arial"/>
          <w:sz w:val="18"/>
          <w:szCs w:val="20"/>
        </w:rPr>
        <w:lastRenderedPageBreak/>
        <w:t xml:space="preserve">thermal </w:t>
      </w:r>
      <w:r w:rsidR="00F30783" w:rsidRPr="00875A01">
        <w:rPr>
          <w:rStyle w:val="s1"/>
          <w:rFonts w:ascii="Arial" w:hAnsi="Arial"/>
          <w:sz w:val="18"/>
          <w:szCs w:val="20"/>
        </w:rPr>
        <w:t>behavior</w:t>
      </w:r>
      <w:r w:rsidR="00FD5B4F" w:rsidRPr="00875A01">
        <w:rPr>
          <w:rStyle w:val="s1"/>
          <w:rFonts w:ascii="Arial" w:hAnsi="Arial"/>
          <w:sz w:val="18"/>
          <w:szCs w:val="20"/>
        </w:rPr>
        <w:t xml:space="preserve"> within the reactor. </w:t>
      </w:r>
      <w:r w:rsidR="00B77679" w:rsidRPr="00875A01">
        <w:rPr>
          <w:rStyle w:val="s1"/>
          <w:rFonts w:ascii="Arial" w:hAnsi="Arial"/>
          <w:sz w:val="18"/>
          <w:szCs w:val="20"/>
        </w:rPr>
        <w:t xml:space="preserve">A </w:t>
      </w:r>
      <w:r w:rsidR="00FD5B4F" w:rsidRPr="00875A01">
        <w:rPr>
          <w:rStyle w:val="s1"/>
          <w:rFonts w:ascii="Arial" w:hAnsi="Arial"/>
          <w:sz w:val="18"/>
          <w:szCs w:val="20"/>
        </w:rPr>
        <w:t>uniform velocity profile is assumed throughout the reactor bed, with the gas phase velocity set equal to the inlet velocity. This assumption simplifies the fluid dynamics while maintaining sufficient accuracy for the system under consideration.</w:t>
      </w:r>
      <w:r w:rsidR="00052633" w:rsidRPr="00875A01">
        <w:rPr>
          <w:rStyle w:val="s1"/>
          <w:rFonts w:ascii="Arial" w:hAnsi="Arial"/>
          <w:sz w:val="18"/>
          <w:szCs w:val="20"/>
        </w:rPr>
        <w:t xml:space="preserve"> The CO</w:t>
      </w:r>
      <w:r w:rsidR="00052633" w:rsidRPr="00875A01">
        <w:rPr>
          <w:rStyle w:val="s1"/>
          <w:rFonts w:ascii="Arial" w:hAnsi="Arial"/>
          <w:sz w:val="18"/>
          <w:szCs w:val="20"/>
          <w:vertAlign w:val="subscript"/>
        </w:rPr>
        <w:t>2</w:t>
      </w:r>
      <w:r w:rsidR="00052633" w:rsidRPr="00875A01">
        <w:rPr>
          <w:rStyle w:val="s1"/>
          <w:rFonts w:ascii="Arial" w:hAnsi="Arial"/>
          <w:sz w:val="18"/>
          <w:szCs w:val="20"/>
        </w:rPr>
        <w:t xml:space="preserve"> mass balance along the axial direction of the reactor </w:t>
      </w:r>
      <w:r w:rsidR="00E151CE" w:rsidRPr="00875A01">
        <w:rPr>
          <w:rStyle w:val="s1"/>
          <w:rFonts w:ascii="Arial" w:hAnsi="Arial"/>
          <w:sz w:val="18"/>
          <w:szCs w:val="20"/>
        </w:rPr>
        <w:t>is</w:t>
      </w:r>
      <w:r w:rsidR="00052633" w:rsidRPr="00875A01">
        <w:rPr>
          <w:rStyle w:val="s1"/>
          <w:rFonts w:ascii="Arial" w:hAnsi="Arial"/>
          <w:sz w:val="18"/>
          <w:szCs w:val="20"/>
        </w:rPr>
        <w:t xml:space="preserve"> shown in </w:t>
      </w:r>
      <w:proofErr w:type="gramStart"/>
      <w:r w:rsidR="00052633" w:rsidRPr="00875A01">
        <w:rPr>
          <w:rStyle w:val="s1"/>
          <w:rFonts w:ascii="Arial" w:hAnsi="Arial"/>
          <w:sz w:val="18"/>
          <w:szCs w:val="20"/>
        </w:rPr>
        <w:t>Eq(</w:t>
      </w:r>
      <w:proofErr w:type="gramEnd"/>
      <w:r w:rsidR="00A54285" w:rsidRPr="00875A01">
        <w:rPr>
          <w:rStyle w:val="s1"/>
          <w:rFonts w:ascii="Arial" w:hAnsi="Arial"/>
          <w:sz w:val="18"/>
          <w:szCs w:val="20"/>
        </w:rPr>
        <w:t>2</w:t>
      </w:r>
      <w:r w:rsidR="00052633" w:rsidRPr="00875A01">
        <w:rPr>
          <w:rStyle w:val="s1"/>
          <w:rFonts w:ascii="Arial" w:hAnsi="Arial"/>
          <w:sz w:val="18"/>
          <w:szCs w:val="20"/>
        </w:rPr>
        <w:t>):</w:t>
      </w:r>
    </w:p>
    <w:tbl>
      <w:tblPr>
        <w:tblW w:w="5000" w:type="pct"/>
        <w:tblLook w:val="04A0" w:firstRow="1" w:lastRow="0" w:firstColumn="1" w:lastColumn="0" w:noHBand="0" w:noVBand="1"/>
      </w:tblPr>
      <w:tblGrid>
        <w:gridCol w:w="7983"/>
        <w:gridCol w:w="804"/>
      </w:tblGrid>
      <w:tr w:rsidR="004577FE" w:rsidRPr="00875A01" w14:paraId="18DE34A8" w14:textId="77777777" w:rsidTr="00334127">
        <w:tc>
          <w:tcPr>
            <w:tcW w:w="7983" w:type="dxa"/>
            <w:shd w:val="clear" w:color="auto" w:fill="auto"/>
            <w:vAlign w:val="center"/>
          </w:tcPr>
          <w:p w14:paraId="3AE2D949" w14:textId="63F532A7" w:rsidR="004577FE" w:rsidRPr="00875A01" w:rsidRDefault="00000000" w:rsidP="00894C76">
            <w:pPr>
              <w:pStyle w:val="CETEquation"/>
              <w:spacing w:before="60"/>
              <w:rPr>
                <w:lang w:val="en-US"/>
              </w:rPr>
            </w:pPr>
            <m:oMathPara>
              <m:oMath>
                <m:f>
                  <m:fPr>
                    <m:ctrlPr>
                      <w:rPr>
                        <w:rFonts w:ascii="Cambria Math" w:hAnsi="Cambria Math"/>
                        <w:i/>
                        <w:lang w:val="en-US"/>
                      </w:rPr>
                    </m:ctrlPr>
                  </m:fPr>
                  <m:num>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e>
                    </m:d>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∂z</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num>
                      <m:den>
                        <m:r>
                          <w:rPr>
                            <w:rFonts w:ascii="Cambria Math" w:hAnsi="Cambria Math"/>
                            <w:lang w:val="en-US"/>
                          </w:rPr>
                          <m:t>∂z</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oMath>
            </m:oMathPara>
          </w:p>
        </w:tc>
        <w:tc>
          <w:tcPr>
            <w:tcW w:w="804" w:type="dxa"/>
            <w:shd w:val="clear" w:color="auto" w:fill="auto"/>
            <w:vAlign w:val="center"/>
          </w:tcPr>
          <w:p w14:paraId="2BB6A4D4" w14:textId="6A0D4BA3" w:rsidR="004577FE" w:rsidRPr="00875A01" w:rsidRDefault="004577FE" w:rsidP="00894C76">
            <w:pPr>
              <w:pStyle w:val="CETEquation"/>
              <w:spacing w:before="60"/>
              <w:jc w:val="right"/>
              <w:rPr>
                <w:lang w:val="en-US"/>
              </w:rPr>
            </w:pPr>
            <w:r w:rsidRPr="00875A01">
              <w:rPr>
                <w:lang w:val="en-US"/>
              </w:rPr>
              <w:t>(</w:t>
            </w:r>
            <w:r w:rsidR="00A54285" w:rsidRPr="00875A01">
              <w:rPr>
                <w:lang w:val="en-US"/>
              </w:rPr>
              <w:t>2</w:t>
            </w:r>
            <w:r w:rsidRPr="00875A01">
              <w:rPr>
                <w:lang w:val="en-US"/>
              </w:rPr>
              <w:t>)</w:t>
            </w:r>
          </w:p>
        </w:tc>
      </w:tr>
    </w:tbl>
    <w:p w14:paraId="5F8E5FCF" w14:textId="386E2549" w:rsidR="00334127" w:rsidRPr="00875A01" w:rsidRDefault="0006449F" w:rsidP="00334127">
      <w:pPr>
        <w:pStyle w:val="CETBodytext"/>
      </w:pPr>
      <w:r w:rsidRPr="00875A01">
        <w:t>where</w:t>
      </w:r>
      <w:r w:rsidR="00C01872" w:rsidRPr="00875A01">
        <w:t xml:space="preserve"> </w:t>
      </w:r>
      <m:oMath>
        <m:sSub>
          <m:sSubPr>
            <m:ctrlPr>
              <w:rPr>
                <w:rFonts w:ascii="Cambria Math" w:hAnsi="Cambria Math"/>
                <w:i/>
              </w:rPr>
            </m:ctrlPr>
          </m:sSubPr>
          <m:e>
            <m:r>
              <w:rPr>
                <w:rFonts w:ascii="Cambria Math" w:hAnsi="Cambria Math"/>
              </w:rPr>
              <m:t>C</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oMath>
      <w:r w:rsidR="00C01872" w:rsidRPr="00875A01">
        <w:t xml:space="preserve"> is the </w:t>
      </w:r>
      <w:r w:rsidRPr="00875A01">
        <w:t>CO</w:t>
      </w:r>
      <w:r w:rsidRPr="00875A01">
        <w:rPr>
          <w:vertAlign w:val="subscript"/>
        </w:rPr>
        <w:t>2</w:t>
      </w:r>
      <w:r w:rsidRPr="00875A01">
        <w:t xml:space="preserve"> </w:t>
      </w:r>
      <w:r w:rsidR="00C01872" w:rsidRPr="00875A01">
        <w:t>concentration in the gas phase</w:t>
      </w:r>
      <w:r w:rsidR="00A77157" w:rsidRPr="00875A01">
        <w:t xml:space="preserve"> (mol/m</w:t>
      </w:r>
      <w:r w:rsidR="00A77157" w:rsidRPr="00875A01">
        <w:rPr>
          <w:vertAlign w:val="superscript"/>
        </w:rPr>
        <w:t>3</w:t>
      </w:r>
      <w:r w:rsidR="00A77157" w:rsidRPr="00875A01">
        <w:t>)</w:t>
      </w:r>
      <w:r w:rsidR="00C01872" w:rsidRPr="00875A01">
        <w:t xml:space="preserve">, </w:t>
      </w:r>
      <m:oMath>
        <m:sSub>
          <m:sSubPr>
            <m:ctrlPr>
              <w:rPr>
                <w:rFonts w:ascii="Cambria Math" w:hAnsi="Cambria Math"/>
              </w:rPr>
            </m:ctrlPr>
          </m:sSubPr>
          <m:e>
            <m:r>
              <w:rPr>
                <w:rFonts w:ascii="Cambria Math" w:hAnsi="Cambria Math"/>
              </w:rPr>
              <m:t>ε</m:t>
            </m:r>
          </m:e>
          <m:sub>
            <m:r>
              <w:rPr>
                <w:rFonts w:ascii="Cambria Math" w:hAnsi="Cambria Math"/>
              </w:rPr>
              <m:t>b</m:t>
            </m:r>
          </m:sub>
        </m:sSub>
      </m:oMath>
      <w:r w:rsidR="00C01872" w:rsidRPr="00875A01">
        <w:t xml:space="preserve"> is the</w:t>
      </w:r>
      <w:r w:rsidR="006B7AE3" w:rsidRPr="00875A01">
        <w:t xml:space="preserve"> void</w:t>
      </w:r>
      <w:r w:rsidR="00C01872" w:rsidRPr="00875A01">
        <w:t xml:space="preserve"> </w:t>
      </w:r>
      <w:r w:rsidR="00466FE7" w:rsidRPr="00875A01">
        <w:t>fraction of the pellets bed</w:t>
      </w:r>
      <w:r w:rsidR="00C01872" w:rsidRPr="00875A01">
        <w:t xml:space="preserve">, </w:t>
      </w:r>
      <m:oMath>
        <m:sSub>
          <m:sSubPr>
            <m:ctrlPr>
              <w:rPr>
                <w:rFonts w:ascii="Cambria Math" w:hAnsi="Cambria Math"/>
              </w:rPr>
            </m:ctrlPr>
          </m:sSubPr>
          <m:e>
            <m:r>
              <w:rPr>
                <w:rFonts w:ascii="Cambria Math" w:hAnsi="Cambria Math"/>
              </w:rPr>
              <m:t>D</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oMath>
      <w:r w:rsidR="00C01872" w:rsidRPr="00875A01">
        <w:t xml:space="preserve"> is the </w:t>
      </w:r>
      <w:r w:rsidR="00466FE7" w:rsidRPr="00875A01">
        <w:t>CO</w:t>
      </w:r>
      <w:r w:rsidR="00466FE7" w:rsidRPr="00875A01">
        <w:rPr>
          <w:vertAlign w:val="subscript"/>
        </w:rPr>
        <w:t>2</w:t>
      </w:r>
      <w:r w:rsidR="00466FE7" w:rsidRPr="00875A01">
        <w:t xml:space="preserve"> </w:t>
      </w:r>
      <w:r w:rsidR="00C01872" w:rsidRPr="00875A01">
        <w:t xml:space="preserve">diffusivity </w:t>
      </w:r>
      <w:r w:rsidR="00466FE7" w:rsidRPr="00875A01">
        <w:t>in the gas phase</w:t>
      </w:r>
      <w:r w:rsidR="00A77157" w:rsidRPr="00875A01">
        <w:t xml:space="preserve"> (m</w:t>
      </w:r>
      <w:r w:rsidR="00A77157" w:rsidRPr="00875A01">
        <w:rPr>
          <w:vertAlign w:val="superscript"/>
        </w:rPr>
        <w:t>2</w:t>
      </w:r>
      <w:r w:rsidR="00A77157" w:rsidRPr="00875A01">
        <w:t>/s)</w:t>
      </w:r>
      <w:r w:rsidR="00466FE7" w:rsidRPr="00875A01">
        <w:t xml:space="preserve"> along</w:t>
      </w:r>
      <w:r w:rsidR="00C01872" w:rsidRPr="00875A01">
        <w:t xml:space="preserve"> the axial direction (</w:t>
      </w:r>
      <w:r w:rsidR="00C01872" w:rsidRPr="00875A01">
        <w:rPr>
          <w:i/>
          <w:iCs/>
        </w:rPr>
        <w:t>z</w:t>
      </w:r>
      <w:r w:rsidR="00C01872" w:rsidRPr="00875A01">
        <w:t xml:space="preserve"> coordinate), </w:t>
      </w:r>
      <m:oMath>
        <m:sSub>
          <m:sSubPr>
            <m:ctrlPr>
              <w:rPr>
                <w:rFonts w:ascii="Cambria Math" w:hAnsi="Cambria Math"/>
              </w:rPr>
            </m:ctrlPr>
          </m:sSubPr>
          <m:e>
            <m:r>
              <w:rPr>
                <w:rFonts w:ascii="Cambria Math" w:hAnsi="Cambria Math"/>
              </w:rPr>
              <m:t>u</m:t>
            </m:r>
          </m:e>
          <m:sub>
            <m:r>
              <w:rPr>
                <w:rFonts w:ascii="Cambria Math" w:hAnsi="Cambria Math"/>
              </w:rPr>
              <m:t>z</m:t>
            </m:r>
          </m:sub>
        </m:sSub>
      </m:oMath>
      <w:r w:rsidR="00C01872" w:rsidRPr="00875A01">
        <w:t xml:space="preserve"> is the </w:t>
      </w:r>
      <w:r w:rsidR="00466FE7" w:rsidRPr="00875A01">
        <w:t xml:space="preserve">superficial </w:t>
      </w:r>
      <w:r w:rsidR="00C01872" w:rsidRPr="00875A01">
        <w:t>gas velocity</w:t>
      </w:r>
      <w:r w:rsidR="00A77157" w:rsidRPr="00875A01">
        <w:t xml:space="preserve"> (m/s)</w:t>
      </w:r>
      <w:r w:rsidR="00C01872" w:rsidRPr="00875A01">
        <w:t>,</w:t>
      </w:r>
      <w:r w:rsidR="00C23F19" w:rsidRPr="00875A01">
        <w:t xml:space="preserve"> and</w:t>
      </w:r>
      <w:r w:rsidR="00C01872" w:rsidRPr="00875A01">
        <w:t xml:space="preserve"> </w:t>
      </w:r>
      <m:oMath>
        <m:sSub>
          <m:sSubPr>
            <m:ctrlPr>
              <w:rPr>
                <w:rFonts w:ascii="Cambria Math" w:hAnsi="Cambria Math"/>
              </w:rPr>
            </m:ctrlPr>
          </m:sSubPr>
          <m:e>
            <m:r>
              <w:rPr>
                <w:rFonts w:ascii="Cambria Math" w:hAnsi="Cambria Math"/>
              </w:rPr>
              <m:t>φ</m:t>
            </m:r>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oMath>
      <w:r w:rsidR="00C01872" w:rsidRPr="00875A01">
        <w:t xml:space="preserve"> is the mass </w:t>
      </w:r>
      <w:r w:rsidR="00C23F19" w:rsidRPr="00875A01">
        <w:t>exchange term</w:t>
      </w:r>
      <w:r w:rsidR="00C01872" w:rsidRPr="00875A01">
        <w:t xml:space="preserve"> </w:t>
      </w:r>
      <w:r w:rsidR="00C23F19" w:rsidRPr="00875A01">
        <w:t>of CO</w:t>
      </w:r>
      <w:r w:rsidR="00C23F19" w:rsidRPr="00875A01">
        <w:rPr>
          <w:vertAlign w:val="subscript"/>
        </w:rPr>
        <w:t>2</w:t>
      </w:r>
      <w:r w:rsidR="00C23F19" w:rsidRPr="00875A01">
        <w:t xml:space="preserve"> </w:t>
      </w:r>
      <w:r w:rsidR="00C01872" w:rsidRPr="00875A01">
        <w:t xml:space="preserve">from the bulk gas phase to the solid </w:t>
      </w:r>
      <w:r w:rsidR="00C23F19" w:rsidRPr="00875A01">
        <w:t>adsorbed phase</w:t>
      </w:r>
      <w:r w:rsidR="00223C39" w:rsidRPr="00875A01">
        <w:t xml:space="preserve"> per unit of volume</w:t>
      </w:r>
      <w:r w:rsidR="00C01872" w:rsidRPr="00875A01">
        <w:t>.</w:t>
      </w:r>
      <w:r w:rsidR="00324FD8" w:rsidRPr="00875A01">
        <w:t xml:space="preserve"> </w:t>
      </w:r>
      <w:r w:rsidR="00334127" w:rsidRPr="00875A01">
        <w:t xml:space="preserve">The </w:t>
      </w:r>
      <w:r w:rsidR="00432E9A" w:rsidRPr="00875A01">
        <w:t>CO</w:t>
      </w:r>
      <w:r w:rsidR="00432E9A" w:rsidRPr="00875A01">
        <w:rPr>
          <w:vertAlign w:val="subscript"/>
        </w:rPr>
        <w:t>2</w:t>
      </w:r>
      <w:r w:rsidR="00432E9A" w:rsidRPr="00875A01">
        <w:t xml:space="preserve"> </w:t>
      </w:r>
      <w:r w:rsidR="00334127" w:rsidRPr="00875A01">
        <w:t xml:space="preserve">mass flux from the bulk phase to the </w:t>
      </w:r>
      <w:r w:rsidR="00223C39" w:rsidRPr="00875A01">
        <w:t>packed bed of pellets</w:t>
      </w:r>
      <w:r w:rsidR="006935DA" w:rsidRPr="00875A01">
        <w:t>, approximating the pellets to a spherical shape,</w:t>
      </w:r>
      <w:r w:rsidR="00334127" w:rsidRPr="00875A01">
        <w:t xml:space="preserve"> can be expressed </w:t>
      </w:r>
      <w:r w:rsidR="00432E9A" w:rsidRPr="00875A01">
        <w:t>as:</w:t>
      </w:r>
    </w:p>
    <w:tbl>
      <w:tblPr>
        <w:tblW w:w="5000" w:type="pct"/>
        <w:tblLook w:val="04A0" w:firstRow="1" w:lastRow="0" w:firstColumn="1" w:lastColumn="0" w:noHBand="0" w:noVBand="1"/>
      </w:tblPr>
      <w:tblGrid>
        <w:gridCol w:w="7983"/>
        <w:gridCol w:w="804"/>
      </w:tblGrid>
      <w:tr w:rsidR="00334127" w:rsidRPr="00875A01" w14:paraId="50E3E793" w14:textId="77777777" w:rsidTr="00F01ACA">
        <w:tc>
          <w:tcPr>
            <w:tcW w:w="8188" w:type="dxa"/>
            <w:shd w:val="clear" w:color="auto" w:fill="auto"/>
            <w:vAlign w:val="center"/>
          </w:tcPr>
          <w:p w14:paraId="73FE74B1" w14:textId="49218160" w:rsidR="00334127" w:rsidRPr="00875A01" w:rsidRDefault="00000000" w:rsidP="00F01ACA">
            <w:pPr>
              <w:pStyle w:val="CETEquation"/>
              <w:jc w:val="center"/>
              <w:rPr>
                <w:lang w:val="en-US"/>
              </w:rPr>
            </w:pPr>
            <m:oMathPara>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bulk</m:t>
                        </m:r>
                      </m:sub>
                    </m:sSub>
                  </m:num>
                  <m:den>
                    <m:sSub>
                      <m:sSubPr>
                        <m:ctrlPr>
                          <w:rPr>
                            <w:rFonts w:ascii="Cambria Math" w:hAnsi="Cambria Math"/>
                            <w:i/>
                            <w:lang w:val="en-US"/>
                          </w:rPr>
                        </m:ctrlPr>
                      </m:sSubPr>
                      <m:e>
                        <m:r>
                          <w:rPr>
                            <w:rFonts w:ascii="Cambria Math" w:hAnsi="Cambria Math"/>
                            <w:lang w:val="en-US"/>
                          </w:rPr>
                          <m:t>MW</m:t>
                        </m:r>
                      </m:e>
                      <m:sub>
                        <m:r>
                          <w:rPr>
                            <w:rFonts w:ascii="Cambria Math" w:hAnsi="Cambria Math"/>
                            <w:lang w:val="en-US"/>
                          </w:rPr>
                          <m:t>L</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4</m:t>
                            </m:r>
                          </m:sub>
                        </m:sSub>
                        <m:r>
                          <w:rPr>
                            <w:rFonts w:ascii="Cambria Math" w:hAnsi="Cambria Math"/>
                            <w:lang w:val="en-US"/>
                          </w:rPr>
                          <m:t>Si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4</m:t>
                            </m:r>
                          </m:sub>
                        </m:sSub>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3</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e>
                    </m:d>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num>
                  <m:den>
                    <m:r>
                      <w:rPr>
                        <w:rFonts w:ascii="Cambria Math" w:hAnsi="Cambria Math"/>
                        <w:lang w:val="en-US"/>
                      </w:rPr>
                      <m:t>dt</m:t>
                    </m:r>
                  </m:den>
                </m:f>
              </m:oMath>
            </m:oMathPara>
          </w:p>
        </w:tc>
        <w:tc>
          <w:tcPr>
            <w:tcW w:w="815" w:type="dxa"/>
            <w:shd w:val="clear" w:color="auto" w:fill="auto"/>
            <w:vAlign w:val="center"/>
          </w:tcPr>
          <w:p w14:paraId="03CFAB1B" w14:textId="7963EC3C" w:rsidR="00334127" w:rsidRPr="00875A01" w:rsidRDefault="00334127" w:rsidP="00F01ACA">
            <w:pPr>
              <w:pStyle w:val="CETEquation"/>
              <w:jc w:val="right"/>
              <w:rPr>
                <w:lang w:val="en-US"/>
              </w:rPr>
            </w:pPr>
            <w:r w:rsidRPr="00875A01">
              <w:rPr>
                <w:lang w:val="en-US"/>
              </w:rPr>
              <w:t>(</w:t>
            </w:r>
            <w:r w:rsidR="004F78FB" w:rsidRPr="00875A01">
              <w:rPr>
                <w:lang w:val="en-US"/>
              </w:rPr>
              <w:t>3</w:t>
            </w:r>
            <w:r w:rsidRPr="00875A01">
              <w:rPr>
                <w:lang w:val="en-US"/>
              </w:rPr>
              <w:t>)</w:t>
            </w:r>
          </w:p>
        </w:tc>
      </w:tr>
    </w:tbl>
    <w:p w14:paraId="44556A17" w14:textId="057B5A3E" w:rsidR="00922BCF" w:rsidRPr="00875A01" w:rsidRDefault="00922BCF" w:rsidP="00334127">
      <w:pPr>
        <w:pStyle w:val="CETBodytext"/>
      </w:pPr>
      <w:r w:rsidRPr="00875A01">
        <w:t xml:space="preserve">where </w:t>
      </w:r>
      <m:oMath>
        <m:sSub>
          <m:sSubPr>
            <m:ctrlPr>
              <w:rPr>
                <w:rFonts w:ascii="Cambria Math" w:hAnsi="Cambria Math"/>
                <w:i/>
              </w:rPr>
            </m:ctrlPr>
          </m:sSubPr>
          <m:e>
            <m:r>
              <w:rPr>
                <w:rFonts w:ascii="Cambria Math" w:hAnsi="Cambria Math"/>
              </w:rPr>
              <m:t>ρ</m:t>
            </m:r>
          </m:e>
          <m:sub>
            <m:r>
              <w:rPr>
                <w:rFonts w:ascii="Cambria Math" w:hAnsi="Cambria Math"/>
              </w:rPr>
              <m:t>bulk</m:t>
            </m:r>
          </m:sub>
        </m:sSub>
      </m:oMath>
      <w:r w:rsidRPr="00875A01">
        <w:t xml:space="preserve"> is the bulk density of pellets</w:t>
      </w:r>
      <w:r w:rsidR="009E153C" w:rsidRPr="00875A01">
        <w:t xml:space="preserve">, which </w:t>
      </w:r>
      <w:r w:rsidRPr="00875A01">
        <w:t>considers their macro-porosity (experimentally evaluated as 1152 kg/m</w:t>
      </w:r>
      <w:r w:rsidRPr="00875A01">
        <w:rPr>
          <w:vertAlign w:val="superscript"/>
        </w:rPr>
        <w:t>3</w:t>
      </w:r>
      <w:r w:rsidRPr="00875A01">
        <w:t>)</w:t>
      </w:r>
      <w:r w:rsidR="007A47BA" w:rsidRPr="00875A01">
        <w:t xml:space="preserve">, </w:t>
      </w:r>
      <m:oMath>
        <m:sSub>
          <m:sSubPr>
            <m:ctrlPr>
              <w:rPr>
                <w:rFonts w:ascii="Cambria Math" w:hAnsi="Cambria Math"/>
                <w:i/>
              </w:rPr>
            </m:ctrlPr>
          </m:sSubPr>
          <m:e>
            <m:r>
              <w:rPr>
                <w:rFonts w:ascii="Cambria Math" w:hAnsi="Cambria Math"/>
              </w:rPr>
              <m:t>MW</m:t>
            </m:r>
          </m:e>
          <m:sub>
            <m:r>
              <w:rPr>
                <w:rFonts w:ascii="Cambria Math" w:hAnsi="Cambria Math"/>
              </w:rPr>
              <m:t>L</m:t>
            </m:r>
            <m:sSub>
              <m:sSubPr>
                <m:ctrlPr>
                  <w:rPr>
                    <w:rFonts w:ascii="Cambria Math" w:hAnsi="Cambria Math"/>
                    <w:i/>
                  </w:rPr>
                </m:ctrlPr>
              </m:sSubPr>
              <m:e>
                <m:r>
                  <w:rPr>
                    <w:rFonts w:ascii="Cambria Math" w:hAnsi="Cambria Math"/>
                  </w:rPr>
                  <m:t>i</m:t>
                </m:r>
              </m:e>
              <m:sub>
                <m:r>
                  <w:rPr>
                    <w:rFonts w:ascii="Cambria Math" w:hAnsi="Cambria Math"/>
                  </w:rPr>
                  <m:t>4</m:t>
                </m:r>
              </m:sub>
            </m:sSub>
            <m:r>
              <w:rPr>
                <w:rFonts w:ascii="Cambria Math" w:hAnsi="Cambria Math"/>
              </w:rPr>
              <m:t>Si</m:t>
            </m:r>
            <m:sSub>
              <m:sSubPr>
                <m:ctrlPr>
                  <w:rPr>
                    <w:rFonts w:ascii="Cambria Math" w:hAnsi="Cambria Math"/>
                    <w:i/>
                  </w:rPr>
                </m:ctrlPr>
              </m:sSubPr>
              <m:e>
                <m:r>
                  <w:rPr>
                    <w:rFonts w:ascii="Cambria Math" w:hAnsi="Cambria Math"/>
                  </w:rPr>
                  <m:t>O</m:t>
                </m:r>
              </m:e>
              <m:sub>
                <m:r>
                  <w:rPr>
                    <w:rFonts w:ascii="Cambria Math" w:hAnsi="Cambria Math"/>
                  </w:rPr>
                  <m:t>4</m:t>
                </m:r>
              </m:sub>
            </m:sSub>
          </m:sub>
        </m:sSub>
      </m:oMath>
      <w:r w:rsidRPr="00875A01">
        <w:t xml:space="preserve"> is the molecular weight of Li</w:t>
      </w:r>
      <w:r w:rsidRPr="00875A01">
        <w:rPr>
          <w:vertAlign w:val="subscript"/>
        </w:rPr>
        <w:t>4</w:t>
      </w:r>
      <w:r w:rsidRPr="00875A01">
        <w:t>SiO</w:t>
      </w:r>
      <w:r w:rsidRPr="00875A01">
        <w:rPr>
          <w:vertAlign w:val="subscript"/>
        </w:rPr>
        <w:t>4</w:t>
      </w:r>
      <w:r w:rsidR="007A47BA" w:rsidRPr="00875A01">
        <w:t xml:space="preserve"> (119.85 g/mol)</w:t>
      </w:r>
      <w:r w:rsidR="000B5584" w:rsidRPr="00875A01">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0B5584" w:rsidRPr="00875A01">
        <w:t xml:space="preserve"> is a pellet equivalent radius (calculated as about 2 mm)</w:t>
      </w:r>
      <w:r w:rsidR="000360D0" w:rsidRPr="00875A01">
        <w:t>, and</w:t>
      </w:r>
      <w:r w:rsidR="00012280" w:rsidRPr="00875A01">
        <w:t xml:space="preserve">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012280" w:rsidRPr="00875A01">
        <w:t xml:space="preserve"> is the unreacted radius of a pellet (mm).</w:t>
      </w:r>
      <w:r w:rsidR="00921FB7" w:rsidRPr="00875A01">
        <w:t xml:space="preserve"> The </w:t>
      </w:r>
      <m:oMath>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c</m:t>
                </m:r>
              </m:sub>
            </m:sSub>
          </m:num>
          <m:den>
            <m:r>
              <w:rPr>
                <w:rFonts w:ascii="Cambria Math" w:hAnsi="Cambria Math"/>
              </w:rPr>
              <m:t>dt</m:t>
            </m:r>
          </m:den>
        </m:f>
      </m:oMath>
      <w:r w:rsidR="005641F8" w:rsidRPr="00875A01">
        <w:t xml:space="preserve"> </w:t>
      </w:r>
      <w:r w:rsidR="00921FB7" w:rsidRPr="00875A01">
        <w:t xml:space="preserve">term of </w:t>
      </w:r>
      <w:proofErr w:type="gramStart"/>
      <w:r w:rsidR="00921FB7" w:rsidRPr="00875A01">
        <w:t>Eq(</w:t>
      </w:r>
      <w:proofErr w:type="gramEnd"/>
      <w:r w:rsidR="004B6598" w:rsidRPr="00875A01">
        <w:t>3</w:t>
      </w:r>
      <w:r w:rsidR="00921FB7" w:rsidRPr="00875A01">
        <w:t>)</w:t>
      </w:r>
      <w:r w:rsidR="005905E2" w:rsidRPr="00875A01">
        <w:t xml:space="preserve"> </w:t>
      </w:r>
      <w:r w:rsidR="00930F74" w:rsidRPr="00875A01">
        <w:t xml:space="preserve">is </w:t>
      </w:r>
      <w:r w:rsidR="005B67AC" w:rsidRPr="00875A01">
        <w:t>evaluated assuming a gas-solid reaction between CO</w:t>
      </w:r>
      <w:r w:rsidR="005B67AC" w:rsidRPr="00875A01">
        <w:rPr>
          <w:vertAlign w:val="subscript"/>
        </w:rPr>
        <w:t>2</w:t>
      </w:r>
      <w:r w:rsidR="005B67AC" w:rsidRPr="00875A01">
        <w:t xml:space="preserve"> and Li</w:t>
      </w:r>
      <w:r w:rsidR="005B67AC" w:rsidRPr="00875A01">
        <w:rPr>
          <w:vertAlign w:val="subscript"/>
        </w:rPr>
        <w:t>4</w:t>
      </w:r>
      <w:r w:rsidR="005B67AC" w:rsidRPr="00875A01">
        <w:t>SiO</w:t>
      </w:r>
      <w:r w:rsidR="005B67AC" w:rsidRPr="00875A01">
        <w:rPr>
          <w:vertAlign w:val="subscript"/>
        </w:rPr>
        <w:t>4</w:t>
      </w:r>
      <w:r w:rsidR="00D34A6E">
        <w:t>,</w:t>
      </w:r>
      <w:r w:rsidR="005B67AC" w:rsidRPr="00875A01">
        <w:t xml:space="preserve"> which follows shrinking core kinetic</w:t>
      </w:r>
      <w:r w:rsidR="00810747" w:rsidRPr="00875A01">
        <w:t>s</w:t>
      </w:r>
      <w:r w:rsidR="00D34A6E">
        <w:t>.</w:t>
      </w:r>
      <w:r w:rsidR="00A053F8">
        <w:t xml:space="preserve"> </w:t>
      </w:r>
      <w:r w:rsidR="00D34A6E">
        <w:t>T</w:t>
      </w:r>
      <w:r w:rsidR="00A053F8">
        <w:t xml:space="preserve">he adsorption process is described as a combination of three steps: </w:t>
      </w:r>
      <w:r w:rsidR="0049392E" w:rsidRPr="0049392E">
        <w:t>the CO</w:t>
      </w:r>
      <w:r w:rsidR="0049392E" w:rsidRPr="0049392E">
        <w:rPr>
          <w:vertAlign w:val="subscript"/>
        </w:rPr>
        <w:t>2</w:t>
      </w:r>
      <w:r w:rsidR="0049392E" w:rsidRPr="0049392E">
        <w:t xml:space="preserve"> external diffusion </w:t>
      </w:r>
      <w:r w:rsidR="0049392E">
        <w:t>through</w:t>
      </w:r>
      <w:r w:rsidR="0049392E" w:rsidRPr="0049392E">
        <w:t xml:space="preserve"> the gas layer surrounding the particles</w:t>
      </w:r>
      <w:r w:rsidR="0049392E">
        <w:t>,</w:t>
      </w:r>
      <w:r w:rsidR="0049392E" w:rsidRPr="0049392E">
        <w:t xml:space="preserve"> the CO</w:t>
      </w:r>
      <w:r w:rsidR="0049392E" w:rsidRPr="0049392E">
        <w:rPr>
          <w:vertAlign w:val="subscript"/>
        </w:rPr>
        <w:t>2</w:t>
      </w:r>
      <w:r w:rsidR="0049392E" w:rsidRPr="0049392E">
        <w:t xml:space="preserve"> diffusion across the products layer</w:t>
      </w:r>
      <w:r w:rsidR="0049392E">
        <w:t>,</w:t>
      </w:r>
      <w:r w:rsidR="0049392E" w:rsidRPr="0049392E">
        <w:t xml:space="preserve"> and the CO</w:t>
      </w:r>
      <w:r w:rsidR="0049392E" w:rsidRPr="0049392E">
        <w:rPr>
          <w:vertAlign w:val="subscript"/>
        </w:rPr>
        <w:t>2</w:t>
      </w:r>
      <w:r w:rsidR="0049392E" w:rsidRPr="0049392E">
        <w:t xml:space="preserve"> surface reaction with Li</w:t>
      </w:r>
      <w:r w:rsidR="0049392E" w:rsidRPr="0049392E">
        <w:rPr>
          <w:vertAlign w:val="subscript"/>
        </w:rPr>
        <w:t>4</w:t>
      </w:r>
      <w:r w:rsidR="0049392E" w:rsidRPr="0049392E">
        <w:t>SiO</w:t>
      </w:r>
      <w:r w:rsidR="0049392E" w:rsidRPr="0049392E">
        <w:rPr>
          <w:vertAlign w:val="subscript"/>
        </w:rPr>
        <w:t>4</w:t>
      </w:r>
      <w:r w:rsidR="0049392E">
        <w:t>.</w:t>
      </w:r>
      <w:r w:rsidR="007364EE">
        <w:t xml:space="preserve"> </w:t>
      </w:r>
      <w:r w:rsidR="00680B83">
        <w:t xml:space="preserve">However, the resistance to the external mass transfer </w:t>
      </w:r>
      <w:r w:rsidR="00680B83" w:rsidRPr="00680B83">
        <w:t>for the CO</w:t>
      </w:r>
      <w:r w:rsidR="00680B83" w:rsidRPr="00680B83">
        <w:rPr>
          <w:vertAlign w:val="subscript"/>
        </w:rPr>
        <w:t>2</w:t>
      </w:r>
      <w:r w:rsidR="00680B83" w:rsidRPr="00680B83">
        <w:t xml:space="preserve"> adsorption process on doped Li</w:t>
      </w:r>
      <w:r w:rsidR="00680B83" w:rsidRPr="00680B83">
        <w:rPr>
          <w:vertAlign w:val="subscript"/>
        </w:rPr>
        <w:t>4</w:t>
      </w:r>
      <w:r w:rsidR="00680B83" w:rsidRPr="00680B83">
        <w:t>SiO</w:t>
      </w:r>
      <w:r w:rsidR="00680B83" w:rsidRPr="00680B83">
        <w:rPr>
          <w:vertAlign w:val="subscript"/>
        </w:rPr>
        <w:t>4</w:t>
      </w:r>
      <w:r w:rsidR="00680B83">
        <w:t xml:space="preserve"> </w:t>
      </w:r>
      <w:r w:rsidR="0049392E" w:rsidRPr="0049392E">
        <w:t>has been found negligible</w:t>
      </w:r>
      <w:r w:rsidR="00680B83">
        <w:t xml:space="preserve"> </w:t>
      </w:r>
      <w:r w:rsidR="001666E8">
        <w:fldChar w:fldCharType="begin" w:fldLock="1"/>
      </w:r>
      <w:r w:rsidR="00AD11A1">
        <w:instrText>ADDIN CSL_CITATION {"citationItems":[{"id":"ITEM-1","itemData":{"DOI":"10.1016/j.cej.2019.122307","abstract":"The present study investigated the CO2 sorption mechanism on lithium orthosilicate (Li4SiO4) doped with potassium carbonate (K2CO3) in form of powders and macroporous pellets. The CO2 sorption performance was studied under different temperatures (540–580 °C) and CO2 partial pressures (0.04–0.50 atm). The results showed that the addition of K2CO3 improved the CO2 uptake rate and capacity, mainly at low-moderate CO2 partial pressures, owing to an increase of diffusion rate through the product layer. Moreover, a modified shrinking core model was developed to explain the mechanisms that occur during the sorption introducing a CO2 diffusion coefficient through the product layer depending on the Li4SiO4 conversion. The results showed an excellent fitting of the modified shrinking core model to the experimental data obtained in the tested sorption temperature and CO2 partial pressure range, both for the sorbent in powder and pellet form. Thus, the proposed model could be employed to well simulate the CO2 sorption kinetic behavior on K2CO3 doped Li4SiO4-based sorbents.","author":[{"dropping-particle":"","family":"Stefanelli","given":"Eleonora","non-dropping-particle":"","parse-names":false,"suffix":""},{"dropping-particle":"","family":"Puccini","given":"Monica","non-dropping-particle":"","parse-names":false,"suffix":""},{"dropping-particle":"","family":"Vitolo","given":"Sandra","non-dropping-particle":"","parse-names":false,"suffix":""},{"dropping-particle":"","family":"Seggiani","given":"Maurizia","non-dropping-particle":"","parse-names":false,"suffix":""}],"container-title":"Chemical Engineering Journal","id":"ITEM-1","issue":"July 2019","issued":{"date-parts":[["2020"]]},"page":"122307","publisher":"Elsevier","title":"CO&lt;sub&gt;2&lt;/sub&gt; sorption kinetic study and modeling on doped-Li&lt;sub&gt;4&lt;/sub&gt;SiO&lt;sub&gt;4&lt;/sub&gt; under different temperatures and CO&lt;sub&gt;2&lt;/sub&gt; partial pressures","type":"article-journal","volume":"379"},"uris":["http://www.mendeley.com/documents/?uuid=3d3277a5-998b-43e8-a912-992ff51924b9"]}],"mendeley":{"formattedCitation":"(Stefanelli et al., 2020)","plainTextFormattedCitation":"(Stefanelli et al., 2020)","previouslyFormattedCitation":"(Stefanelli et al., 2020)"},"properties":{"noteIndex":0},"schema":"https://github.com/citation-style-language/schema/raw/master/csl-citation.json"}</w:instrText>
      </w:r>
      <w:r w:rsidR="001666E8">
        <w:fldChar w:fldCharType="separate"/>
      </w:r>
      <w:r w:rsidR="001666E8" w:rsidRPr="001666E8">
        <w:rPr>
          <w:noProof/>
        </w:rPr>
        <w:t>(Stefanelli et al., 2020)</w:t>
      </w:r>
      <w:r w:rsidR="001666E8">
        <w:fldChar w:fldCharType="end"/>
      </w:r>
      <w:r w:rsidR="00F0430A">
        <w:t>,</w:t>
      </w:r>
      <w:r w:rsidR="001666E8">
        <w:t xml:space="preserve"> obtaining Eq(4)</w:t>
      </w:r>
      <w:r w:rsidR="00D34A6E">
        <w:t>:</w:t>
      </w:r>
    </w:p>
    <w:tbl>
      <w:tblPr>
        <w:tblW w:w="5000" w:type="pct"/>
        <w:tblLook w:val="04A0" w:firstRow="1" w:lastRow="0" w:firstColumn="1" w:lastColumn="0" w:noHBand="0" w:noVBand="1"/>
      </w:tblPr>
      <w:tblGrid>
        <w:gridCol w:w="7984"/>
        <w:gridCol w:w="803"/>
      </w:tblGrid>
      <w:tr w:rsidR="00CB48C4" w:rsidRPr="00875A01" w14:paraId="6442EC58" w14:textId="77777777" w:rsidTr="00DE7960">
        <w:tc>
          <w:tcPr>
            <w:tcW w:w="8188" w:type="dxa"/>
            <w:shd w:val="clear" w:color="auto" w:fill="auto"/>
            <w:vAlign w:val="center"/>
          </w:tcPr>
          <w:p w14:paraId="3E79B03C" w14:textId="3AC85261" w:rsidR="00CB48C4" w:rsidRPr="00875A01" w:rsidRDefault="00000000" w:rsidP="00DE7960">
            <w:pPr>
              <w:pStyle w:val="CETEquation"/>
              <w:rPr>
                <w:lang w:val="en-US"/>
              </w:rPr>
            </w:pPr>
            <m:oMathPara>
              <m:oMath>
                <m:f>
                  <m:fPr>
                    <m:ctrlPr>
                      <w:rPr>
                        <w:rFonts w:ascii="Cambria Math" w:eastAsiaTheme="minorEastAsia" w:hAnsi="Cambria Math"/>
                        <w:lang w:val="en-US"/>
                      </w:rPr>
                    </m:ctrlPr>
                  </m:fPr>
                  <m:num>
                    <m:r>
                      <w:rPr>
                        <w:rFonts w:ascii="Cambria Math" w:eastAsiaTheme="minorEastAsia" w:hAnsi="Cambria Math"/>
                        <w:lang w:val="en-US"/>
                      </w:rPr>
                      <m:t>d</m:t>
                    </m:r>
                    <m:sSub>
                      <m:sSubPr>
                        <m:ctrlPr>
                          <w:rPr>
                            <w:rFonts w:ascii="Cambria Math" w:eastAsiaTheme="minorEastAsia" w:hAnsi="Cambria Math"/>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num>
                  <m:den>
                    <m:r>
                      <w:rPr>
                        <w:rFonts w:ascii="Cambria Math" w:eastAsiaTheme="minorEastAsia" w:hAnsi="Cambria Math"/>
                        <w:lang w:val="en-US"/>
                      </w:rPr>
                      <m:t>dt</m:t>
                    </m:r>
                  </m:den>
                </m:f>
                <m:r>
                  <m:rPr>
                    <m:sty m:val="p"/>
                  </m:rPr>
                  <w:rPr>
                    <w:rFonts w:ascii="Cambria Math" w:eastAsiaTheme="minorEastAsia" w:hAnsi="Cambria Math"/>
                    <w:lang w:val="en-US"/>
                  </w:rPr>
                  <m:t>=-</m:t>
                </m:r>
                <m:f>
                  <m:fPr>
                    <m:ctrlPr>
                      <w:rPr>
                        <w:rFonts w:ascii="Cambria Math" w:eastAsiaTheme="minorEastAsia" w:hAnsi="Cambria Math"/>
                        <w:lang w:val="en-US"/>
                      </w:rPr>
                    </m:ctrlPr>
                  </m:fPr>
                  <m:num>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MW</m:t>
                            </m:r>
                          </m:e>
                          <m:sub>
                            <m:r>
                              <w:rPr>
                                <w:rFonts w:ascii="Cambria Math" w:hAnsi="Cambria Math"/>
                                <w:lang w:val="en-US"/>
                              </w:rPr>
                              <m:t>L</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4</m:t>
                                </m:r>
                              </m:sub>
                            </m:sSub>
                            <m:r>
                              <w:rPr>
                                <w:rFonts w:ascii="Cambria Math" w:hAnsi="Cambria Math"/>
                                <w:lang w:val="en-US"/>
                              </w:rPr>
                              <m:t>Si</m:t>
                            </m:r>
                            <m:sSub>
                              <m:sSubPr>
                                <m:ctrlPr>
                                  <w:rPr>
                                    <w:rFonts w:ascii="Cambria Math" w:hAnsi="Cambria Math"/>
                                    <w:lang w:val="en-US"/>
                                  </w:rPr>
                                </m:ctrlPr>
                              </m:sSubPr>
                              <m:e>
                                <m:r>
                                  <w:rPr>
                                    <w:rFonts w:ascii="Cambria Math" w:hAnsi="Cambria Math"/>
                                    <w:lang w:val="en-US"/>
                                  </w:rPr>
                                  <m:t>O</m:t>
                                </m:r>
                              </m:e>
                              <m:sub>
                                <m:r>
                                  <m:rPr>
                                    <m:sty m:val="p"/>
                                  </m:rPr>
                                  <w:rPr>
                                    <w:rFonts w:ascii="Cambria Math" w:hAnsi="Cambria Math"/>
                                    <w:lang w:val="en-US"/>
                                  </w:rPr>
                                  <m:t>4</m:t>
                                </m:r>
                              </m:sub>
                            </m:sSub>
                          </m:sub>
                        </m:sSub>
                      </m:num>
                      <m:den>
                        <m:sSub>
                          <m:sSubPr>
                            <m:ctrlPr>
                              <w:rPr>
                                <w:rFonts w:ascii="Cambria Math" w:hAnsi="Cambria Math"/>
                                <w:lang w:val="en-US"/>
                              </w:rPr>
                            </m:ctrlPr>
                          </m:sSubPr>
                          <m:e>
                            <m:r>
                              <w:rPr>
                                <w:rFonts w:ascii="Cambria Math" w:hAnsi="Cambria Math"/>
                                <w:lang w:val="en-US"/>
                              </w:rPr>
                              <m:t>ρ</m:t>
                            </m:r>
                          </m:e>
                          <m:sub>
                            <m:r>
                              <w:rPr>
                                <w:rFonts w:ascii="Cambria Math" w:hAnsi="Cambria Math"/>
                                <w:lang w:val="en-US"/>
                              </w:rPr>
                              <m:t>bulk</m:t>
                            </m:r>
                          </m:sub>
                        </m:sSub>
                      </m:den>
                    </m:f>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num>
                  <m:den>
                    <m:f>
                      <m:fPr>
                        <m:ctrlPr>
                          <w:rPr>
                            <w:rFonts w:ascii="Cambria Math" w:hAnsi="Cambria Math"/>
                            <w:lang w:val="en-US"/>
                          </w:rPr>
                        </m:ctrlPr>
                      </m:fPr>
                      <m:num>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num>
                      <m:den>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eff</m:t>
                            </m:r>
                          </m:sub>
                        </m:sSub>
                      </m:den>
                    </m:f>
                    <m:r>
                      <m:rPr>
                        <m:sty m:val="p"/>
                      </m:rPr>
                      <w:rPr>
                        <w:rFonts w:ascii="Cambria Math" w:hAnsi="Cambria Math"/>
                        <w:lang w:val="en-US"/>
                      </w:rPr>
                      <m:t xml:space="preserve"> + </m:t>
                    </m:r>
                    <m:f>
                      <m:fPr>
                        <m:ctrlPr>
                          <w:rPr>
                            <w:rFonts w:ascii="Cambria Math" w:hAnsi="Cambria Math"/>
                            <w:lang w:val="en-US"/>
                          </w:rPr>
                        </m:ctrlPr>
                      </m:fPr>
                      <m:num>
                        <m:r>
                          <m:rPr>
                            <m:sty m:val="p"/>
                          </m:rPr>
                          <w:rPr>
                            <w:rFonts w:ascii="Cambria Math" w:hAnsi="Cambria Math"/>
                            <w:lang w:val="en-US"/>
                          </w:rPr>
                          <m:t>1</m:t>
                        </m:r>
                      </m:num>
                      <m:den>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m:t>
                            </m:r>
                          </m:sup>
                        </m:sSup>
                      </m:den>
                    </m:f>
                  </m:den>
                </m:f>
              </m:oMath>
            </m:oMathPara>
          </w:p>
        </w:tc>
        <w:tc>
          <w:tcPr>
            <w:tcW w:w="815" w:type="dxa"/>
            <w:shd w:val="clear" w:color="auto" w:fill="auto"/>
            <w:vAlign w:val="center"/>
          </w:tcPr>
          <w:p w14:paraId="5D6AC636" w14:textId="5F03DD05" w:rsidR="00CB48C4" w:rsidRPr="00875A01" w:rsidRDefault="00CB48C4" w:rsidP="00DE7960">
            <w:pPr>
              <w:pStyle w:val="CETEquation"/>
              <w:jc w:val="right"/>
              <w:rPr>
                <w:lang w:val="en-US"/>
              </w:rPr>
            </w:pPr>
            <w:r w:rsidRPr="00875A01">
              <w:rPr>
                <w:lang w:val="en-US"/>
              </w:rPr>
              <w:t>(</w:t>
            </w:r>
            <w:r w:rsidR="004F78FB" w:rsidRPr="00875A01">
              <w:rPr>
                <w:lang w:val="en-US"/>
              </w:rPr>
              <w:t>4</w:t>
            </w:r>
            <w:r w:rsidRPr="00875A01">
              <w:rPr>
                <w:lang w:val="en-US"/>
              </w:rPr>
              <w:t>)</w:t>
            </w:r>
          </w:p>
        </w:tc>
      </w:tr>
    </w:tbl>
    <w:p w14:paraId="24AEC776" w14:textId="5F65BC08" w:rsidR="00922BCF" w:rsidRPr="00D067EA" w:rsidRDefault="00A540AE" w:rsidP="00F30101">
      <w:pPr>
        <w:pStyle w:val="CETBodytext"/>
      </w:pPr>
      <w:r w:rsidRPr="00875A01">
        <w:t xml:space="preserve">where </w:t>
      </w:r>
      <m:oMath>
        <m:sSub>
          <m:sSubPr>
            <m:ctrlPr>
              <w:rPr>
                <w:rFonts w:ascii="Cambria Math" w:hAnsi="Cambria Math"/>
              </w:rPr>
            </m:ctrlPr>
          </m:sSubPr>
          <m:e>
            <m:r>
              <w:rPr>
                <w:rFonts w:ascii="Cambria Math" w:hAnsi="Cambria Math"/>
              </w:rPr>
              <m:t>D</m:t>
            </m:r>
          </m:e>
          <m:sub>
            <m:r>
              <w:rPr>
                <w:rFonts w:ascii="Cambria Math" w:hAnsi="Cambria Math"/>
              </w:rPr>
              <m:t>eff</m:t>
            </m:r>
          </m:sub>
        </m:sSub>
      </m:oMath>
      <w:r w:rsidR="00F30101" w:rsidRPr="00875A01">
        <w:t xml:space="preserve"> is the effective CO</w:t>
      </w:r>
      <w:r w:rsidR="00F30101" w:rsidRPr="00875A01">
        <w:rPr>
          <w:vertAlign w:val="subscript"/>
        </w:rPr>
        <w:t>2</w:t>
      </w:r>
      <w:r w:rsidR="00F30101" w:rsidRPr="00875A01">
        <w:t xml:space="preserve"> diffusion coefficient through the layer of reaction products </w:t>
      </w:r>
      <w:r w:rsidR="00D43EDC" w:rsidRPr="00875A01">
        <w:t>surrounding</w:t>
      </w:r>
      <w:r w:rsidR="00F30101" w:rsidRPr="00875A01">
        <w:t xml:space="preserve"> the</w:t>
      </w:r>
      <w:r w:rsidR="00FB3AA0" w:rsidRPr="00875A01">
        <w:t xml:space="preserve"> </w:t>
      </w:r>
      <w:r w:rsidR="00097B2A" w:rsidRPr="00875A01">
        <w:t xml:space="preserve">sorbent </w:t>
      </w:r>
      <w:r w:rsidR="00FB3AA0" w:rsidRPr="00875A01">
        <w:t xml:space="preserve">particles </w:t>
      </w:r>
      <w:r w:rsidR="00F30101" w:rsidRPr="00875A01">
        <w:t>(m</w:t>
      </w:r>
      <w:r w:rsidR="00F30101" w:rsidRPr="00875A01">
        <w:rPr>
          <w:vertAlign w:val="superscript"/>
        </w:rPr>
        <w:t>2</w:t>
      </w:r>
      <w:r w:rsidR="00F30101" w:rsidRPr="00875A01">
        <w:t>/s)</w:t>
      </w:r>
      <w:r w:rsidR="00FB3AA0" w:rsidRPr="00875A01">
        <w:t xml:space="preserve"> and </w:t>
      </w:r>
      <m:oMath>
        <m:sSup>
          <m:sSupPr>
            <m:ctrlPr>
              <w:rPr>
                <w:rFonts w:ascii="Cambria Math" w:hAnsi="Cambria Math"/>
              </w:rPr>
            </m:ctrlPr>
          </m:sSupPr>
          <m:e>
            <m:r>
              <w:rPr>
                <w:rFonts w:ascii="Cambria Math" w:hAnsi="Cambria Math"/>
              </w:rPr>
              <m:t>k</m:t>
            </m:r>
          </m:e>
          <m:sup>
            <m:r>
              <w:rPr>
                <w:rFonts w:ascii="Cambria Math" w:hAnsi="Cambria Math"/>
              </w:rPr>
              <m:t>'</m:t>
            </m:r>
          </m:sup>
        </m:sSup>
      </m:oMath>
      <w:r w:rsidR="009C2A7F" w:rsidRPr="00875A01">
        <w:t xml:space="preserve"> is the surface reaction </w:t>
      </w:r>
      <w:r w:rsidR="003E39BF" w:rsidRPr="00875A01">
        <w:t xml:space="preserve">rate </w:t>
      </w:r>
      <w:r w:rsidR="009C2A7F" w:rsidRPr="00875A01">
        <w:t>(m</w:t>
      </w:r>
      <w:r w:rsidR="009C2A7F" w:rsidRPr="00D067EA">
        <w:t>/s).</w:t>
      </w:r>
      <w:r w:rsidR="00583236" w:rsidRPr="00D067EA">
        <w:t xml:space="preserve"> </w:t>
      </w:r>
      <m:oMath>
        <m:sSub>
          <m:sSubPr>
            <m:ctrlPr>
              <w:rPr>
                <w:rFonts w:ascii="Cambria Math" w:hAnsi="Cambria Math"/>
              </w:rPr>
            </m:ctrlPr>
          </m:sSubPr>
          <m:e>
            <m:r>
              <w:rPr>
                <w:rFonts w:ascii="Cambria Math" w:hAnsi="Cambria Math"/>
              </w:rPr>
              <m:t>D</m:t>
            </m:r>
          </m:e>
          <m:sub>
            <m:r>
              <w:rPr>
                <w:rFonts w:ascii="Cambria Math" w:hAnsi="Cambria Math"/>
              </w:rPr>
              <m:t>eff</m:t>
            </m:r>
          </m:sub>
        </m:sSub>
      </m:oMath>
      <w:r w:rsidR="004405B4" w:rsidRPr="00D067EA">
        <w:t xml:space="preserve"> and </w:t>
      </w:r>
      <m:oMath>
        <m:sSup>
          <m:sSupPr>
            <m:ctrlPr>
              <w:rPr>
                <w:rFonts w:ascii="Cambria Math" w:hAnsi="Cambria Math"/>
              </w:rPr>
            </m:ctrlPr>
          </m:sSupPr>
          <m:e>
            <m:r>
              <w:rPr>
                <w:rFonts w:ascii="Cambria Math" w:hAnsi="Cambria Math"/>
              </w:rPr>
              <m:t>k</m:t>
            </m:r>
          </m:e>
          <m:sup>
            <m:r>
              <w:rPr>
                <w:rFonts w:ascii="Cambria Math" w:hAnsi="Cambria Math"/>
              </w:rPr>
              <m:t>'</m:t>
            </m:r>
          </m:sup>
        </m:sSup>
      </m:oMath>
      <w:r w:rsidR="004405B4" w:rsidRPr="00D067EA">
        <w:t xml:space="preserve"> </w:t>
      </w:r>
      <w:r w:rsidR="0089167A" w:rsidRPr="00D067EA">
        <w:t xml:space="preserve">depend on the reaction progress and </w:t>
      </w:r>
      <w:r w:rsidR="00B36568" w:rsidRPr="00D067EA">
        <w:t>include corrections to take into account the presence of a molten eutectic phase of Li</w:t>
      </w:r>
      <w:r w:rsidR="00B36568" w:rsidRPr="00D067EA">
        <w:rPr>
          <w:vertAlign w:val="subscript"/>
        </w:rPr>
        <w:t>2</w:t>
      </w:r>
      <w:r w:rsidR="00B36568" w:rsidRPr="00D067EA">
        <w:t>CO</w:t>
      </w:r>
      <w:r w:rsidR="00B36568" w:rsidRPr="00D067EA">
        <w:rPr>
          <w:vertAlign w:val="subscript"/>
        </w:rPr>
        <w:t>3</w:t>
      </w:r>
      <w:r w:rsidR="00B36568" w:rsidRPr="00D067EA">
        <w:t>/K</w:t>
      </w:r>
      <w:r w:rsidR="00B36568" w:rsidRPr="00D067EA">
        <w:rPr>
          <w:vertAlign w:val="subscript"/>
        </w:rPr>
        <w:t>2</w:t>
      </w:r>
      <w:r w:rsidR="00B36568" w:rsidRPr="00D067EA">
        <w:t>CO</w:t>
      </w:r>
      <w:r w:rsidR="00B36568" w:rsidRPr="00D067EA">
        <w:rPr>
          <w:vertAlign w:val="subscript"/>
        </w:rPr>
        <w:t>3</w:t>
      </w:r>
      <w:r w:rsidR="00B36568" w:rsidRPr="00D067EA">
        <w:t xml:space="preserve"> in the product layer and an initial nucleation stage of the reaction products, respectively</w:t>
      </w:r>
      <w:r w:rsidR="00AD11A1" w:rsidRPr="00D067EA">
        <w:t xml:space="preserve">, as found by the authors in a previous kinetic study </w:t>
      </w:r>
      <w:r w:rsidR="00AD11A1" w:rsidRPr="00D067EA">
        <w:rPr>
          <w:lang w:val="en-GB"/>
        </w:rPr>
        <w:t>of CO</w:t>
      </w:r>
      <w:r w:rsidR="00AD11A1" w:rsidRPr="00D067EA">
        <w:rPr>
          <w:vertAlign w:val="subscript"/>
          <w:lang w:val="en-GB"/>
        </w:rPr>
        <w:t>2</w:t>
      </w:r>
      <w:r w:rsidR="00AD11A1" w:rsidRPr="00D067EA">
        <w:rPr>
          <w:lang w:val="en-GB"/>
        </w:rPr>
        <w:t xml:space="preserve"> adsorption on doped Li</w:t>
      </w:r>
      <w:r w:rsidR="00AD11A1" w:rsidRPr="00D067EA">
        <w:rPr>
          <w:vertAlign w:val="subscript"/>
          <w:lang w:val="en-GB"/>
        </w:rPr>
        <w:t>4</w:t>
      </w:r>
      <w:r w:rsidR="00AD11A1" w:rsidRPr="00D067EA">
        <w:rPr>
          <w:lang w:val="en-GB"/>
        </w:rPr>
        <w:t>SiO</w:t>
      </w:r>
      <w:r w:rsidR="00AD11A1" w:rsidRPr="00D067EA">
        <w:rPr>
          <w:vertAlign w:val="subscript"/>
          <w:lang w:val="en-GB"/>
        </w:rPr>
        <w:t>4</w:t>
      </w:r>
      <w:r w:rsidR="00AD11A1" w:rsidRPr="00D067EA">
        <w:rPr>
          <w:lang w:val="en-GB"/>
        </w:rPr>
        <w:t xml:space="preserve"> </w:t>
      </w:r>
      <w:r w:rsidR="00AD11A1" w:rsidRPr="00D067EA">
        <w:rPr>
          <w:lang w:val="en-GB"/>
        </w:rPr>
        <w:fldChar w:fldCharType="begin" w:fldLock="1"/>
      </w:r>
      <w:r w:rsidR="00AD11A1" w:rsidRPr="00D067EA">
        <w:rPr>
          <w:lang w:val="en-GB"/>
        </w:rPr>
        <w:instrText>ADDIN CSL_CITATION {"citationItems":[{"id":"ITEM-1","itemData":{"DOI":"10.1016/j.fuel.2024.133161","ISSN":"00162361","abstract":"High-temperature CO2 removal by Li4SiO4-based sorbents is considered a promising carbon capture strategy to mitigate fossil-fueled process emissions owing to its high adsorption capacity and excellent stability. However, for application under low CO2 concentration, kinetic limitations can occur due to diffusion resistance through carbonation reaction solid products. Doping Li4SiO4 with alkali carbonates, such as K2CO3, can address this issue enhancing CO2 diffusion thanks to the formation of a molten eutectic layer. In this work, macro-porous pellets of Li4SiO4 doped with K2CO3 were produced and tested for CO2 capture at different adsorption temperatures and low CO2 concentrations (0.5–4 vol%). The pellets exhibited a maximum adsorption capacity of 137 mg CO2/g sorbent at 595 °C and 4 vol% CO2, and excellent stability for over 50 adsorption/desorption cycles. The reaction equilibrium and the adsorption profiles, in terms of both conversion and reaction rate evolution through time, have been analyzed to clarify the reaction mechanism. The results showed that the reaction rate increases with increasing Li4SiO4 conversion during the earliest stages of adsorption, where the process is chemical-controlled, highlighting the presence of a nucleation phase. Whereas, the reaction rate rapidly decreases with the conversion as CO2 diffusion takes control due to the presence of the product layer that covers the unreacted core of Li4SiO4. A kinetic analysis was then performed, aimed at developing a comprehensive phenomenological model for simulating the physical–chemical processes that occur during CO2 adsorption by K2CO3-doped Li4SiO4 sorbents in view of their industrial application. A new shrinking core-based model was developed, which describes the carbonation reaction with a unique kinetic equation capable of representing both the nucleation and diffusion regimes observed. The proposed model demonstrated excellent fitting to the experimental data obtained by adsorption tests, thus making it suitable for describing the CO2 adsorption process of K2CO3-doped Li4SiO4 sorbents and for predicting the adsorption parameters, as kinetic constants and CO2 diffusivity, in view of industrial-scale application of the sorbent in packed bed reactors.","author":[{"dropping-particle":"","family":"Stefanelli","given":"Eleonora","non-dropping-particle":"","parse-names":false,"suffix":""},{"dropping-particle":"","family":"Francalanci","given":"Flavio","non-dropping-particle":"","parse-names":false,"suffix":""},{"dropping-particle":"","family":"Vitolo","given":"Sandra","non-dropping-particle":"","parse-names":false,"suffix":""},{"dropping-particle":"","family":"Puccini","given":"Monica","non-dropping-particle":"","parse-names":false,"suffix":""}],"container-title":"Fuel","id":"ITEM-1","issued":{"date-parts":[["2025"]]},"page":"133161","publisher":"Elsevier Ltd","title":"Insights into adsorption mechanism and kinetic modeling of K&lt;sub&gt;2&lt;/sub&gt;CO&lt;sub&gt;3&lt;/sub&gt;-doped Li&lt;sub&gt;4&lt;/sub&gt;SiO&lt;sub&gt;4&lt;/sub&gt; pellets for CO&lt;sub&gt;2&lt;/sub&gt; capture at high temperature and low concentration","type":"article-journal","volume":"380"},"uris":["http://www.mendeley.com/documents/?uuid=1cfd550a-6924-4020-92cb-b7f86dd5a9c5"]}],"mendeley":{"formattedCitation":"(Stefanelli et al., 2025)","plainTextFormattedCitation":"(Stefanelli et al., 2025)"},"properties":{"noteIndex":0},"schema":"https://github.com/citation-style-language/schema/raw/master/csl-citation.json"}</w:instrText>
      </w:r>
      <w:r w:rsidR="00AD11A1" w:rsidRPr="00D067EA">
        <w:rPr>
          <w:lang w:val="en-GB"/>
        </w:rPr>
        <w:fldChar w:fldCharType="separate"/>
      </w:r>
      <w:r w:rsidR="00AD11A1" w:rsidRPr="00D067EA">
        <w:rPr>
          <w:noProof/>
          <w:lang w:val="en-GB"/>
        </w:rPr>
        <w:t>(Stefanelli et al., 2025)</w:t>
      </w:r>
      <w:r w:rsidR="00AD11A1" w:rsidRPr="00D067EA">
        <w:rPr>
          <w:lang w:val="en-GB"/>
        </w:rPr>
        <w:fldChar w:fldCharType="end"/>
      </w:r>
      <w:r w:rsidR="00B36568" w:rsidRPr="00D067EA">
        <w:t>.</w:t>
      </w:r>
      <w:r w:rsidR="00AD11A1" w:rsidRPr="00D067EA">
        <w:t xml:space="preserve"> </w:t>
      </w:r>
      <w:r w:rsidR="004347B0" w:rsidRPr="00D067EA">
        <w:t xml:space="preserve">The final kinetic equation that has been implemented in the numerical model is reported in </w:t>
      </w:r>
      <w:proofErr w:type="gramStart"/>
      <w:r w:rsidR="004347B0" w:rsidRPr="00D067EA">
        <w:t>Eq(</w:t>
      </w:r>
      <w:proofErr w:type="gramEnd"/>
      <w:r w:rsidR="000F2465" w:rsidRPr="00D067EA">
        <w:t>5</w:t>
      </w:r>
      <w:r w:rsidR="004347B0" w:rsidRPr="00D067EA">
        <w:t>):</w:t>
      </w:r>
    </w:p>
    <w:tbl>
      <w:tblPr>
        <w:tblW w:w="5000" w:type="pct"/>
        <w:tblLook w:val="04A0" w:firstRow="1" w:lastRow="0" w:firstColumn="1" w:lastColumn="0" w:noHBand="0" w:noVBand="1"/>
      </w:tblPr>
      <w:tblGrid>
        <w:gridCol w:w="7996"/>
        <w:gridCol w:w="791"/>
      </w:tblGrid>
      <w:tr w:rsidR="004347B0" w:rsidRPr="00875A01" w14:paraId="01B1E96B" w14:textId="77777777" w:rsidTr="00DE7960">
        <w:tc>
          <w:tcPr>
            <w:tcW w:w="8188" w:type="dxa"/>
            <w:shd w:val="clear" w:color="auto" w:fill="auto"/>
            <w:vAlign w:val="center"/>
          </w:tcPr>
          <w:p w14:paraId="77668A0B" w14:textId="66BC378B" w:rsidR="004347B0" w:rsidRPr="00875A01" w:rsidRDefault="00000000" w:rsidP="00DE7960">
            <w:pPr>
              <w:pStyle w:val="CETEquation"/>
              <w:rPr>
                <w:lang w:val="en-US"/>
              </w:rPr>
            </w:pPr>
            <m:oMathPara>
              <m:oMath>
                <m:f>
                  <m:fPr>
                    <m:ctrlPr>
                      <w:rPr>
                        <w:rFonts w:ascii="Cambria Math" w:eastAsiaTheme="minorEastAsia" w:hAnsi="Cambria Math"/>
                        <w:lang w:val="en-US"/>
                      </w:rPr>
                    </m:ctrlPr>
                  </m:fPr>
                  <m:num>
                    <m:r>
                      <w:rPr>
                        <w:rFonts w:ascii="Cambria Math" w:eastAsiaTheme="minorEastAsia" w:hAnsi="Cambria Math"/>
                        <w:lang w:val="en-US"/>
                      </w:rPr>
                      <m:t>d</m:t>
                    </m:r>
                    <m:sSub>
                      <m:sSubPr>
                        <m:ctrlPr>
                          <w:rPr>
                            <w:rFonts w:ascii="Cambria Math" w:eastAsiaTheme="minorEastAsia" w:hAnsi="Cambria Math"/>
                            <w:lang w:val="en-US"/>
                          </w:rPr>
                        </m:ctrlPr>
                      </m:sSubPr>
                      <m:e>
                        <m:r>
                          <w:rPr>
                            <w:rFonts w:ascii="Cambria Math" w:eastAsiaTheme="minorEastAsia" w:hAnsi="Cambria Math"/>
                            <w:lang w:val="en-US"/>
                          </w:rPr>
                          <m:t>r</m:t>
                        </m:r>
                      </m:e>
                      <m:sub>
                        <m:r>
                          <w:rPr>
                            <w:rFonts w:ascii="Cambria Math" w:eastAsiaTheme="minorEastAsia" w:hAnsi="Cambria Math"/>
                            <w:lang w:val="en-US"/>
                          </w:rPr>
                          <m:t>c</m:t>
                        </m:r>
                      </m:sub>
                    </m:sSub>
                  </m:num>
                  <m:den>
                    <m:r>
                      <w:rPr>
                        <w:rFonts w:ascii="Cambria Math" w:eastAsiaTheme="minorEastAsia" w:hAnsi="Cambria Math"/>
                        <w:lang w:val="en-US"/>
                      </w:rPr>
                      <m:t>dt</m:t>
                    </m:r>
                  </m:den>
                </m:f>
                <m:r>
                  <m:rPr>
                    <m:sty m:val="p"/>
                  </m:rPr>
                  <w:rPr>
                    <w:rFonts w:ascii="Cambria Math" w:eastAsiaTheme="minorEastAsia" w:hAnsi="Cambria Math"/>
                    <w:lang w:val="en-US"/>
                  </w:rPr>
                  <m:t>=-</m:t>
                </m:r>
                <m:f>
                  <m:fPr>
                    <m:ctrlPr>
                      <w:rPr>
                        <w:rFonts w:ascii="Cambria Math" w:eastAsiaTheme="minorEastAsia" w:hAnsi="Cambria Math"/>
                        <w:lang w:val="en-US"/>
                      </w:rPr>
                    </m:ctrlPr>
                  </m:fPr>
                  <m:num>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MW</m:t>
                            </m:r>
                          </m:e>
                          <m:sub>
                            <m:r>
                              <w:rPr>
                                <w:rFonts w:ascii="Cambria Math" w:hAnsi="Cambria Math"/>
                                <w:lang w:val="en-US"/>
                              </w:rPr>
                              <m:t>L</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4</m:t>
                                </m:r>
                              </m:sub>
                            </m:sSub>
                            <m:r>
                              <w:rPr>
                                <w:rFonts w:ascii="Cambria Math" w:hAnsi="Cambria Math"/>
                                <w:lang w:val="en-US"/>
                              </w:rPr>
                              <m:t>Si</m:t>
                            </m:r>
                            <m:sSub>
                              <m:sSubPr>
                                <m:ctrlPr>
                                  <w:rPr>
                                    <w:rFonts w:ascii="Cambria Math" w:hAnsi="Cambria Math"/>
                                    <w:lang w:val="en-US"/>
                                  </w:rPr>
                                </m:ctrlPr>
                              </m:sSubPr>
                              <m:e>
                                <m:r>
                                  <w:rPr>
                                    <w:rFonts w:ascii="Cambria Math" w:hAnsi="Cambria Math"/>
                                    <w:lang w:val="en-US"/>
                                  </w:rPr>
                                  <m:t>O</m:t>
                                </m:r>
                              </m:e>
                              <m:sub>
                                <m:r>
                                  <m:rPr>
                                    <m:sty m:val="p"/>
                                  </m:rPr>
                                  <w:rPr>
                                    <w:rFonts w:ascii="Cambria Math" w:hAnsi="Cambria Math"/>
                                    <w:lang w:val="en-US"/>
                                  </w:rPr>
                                  <m:t>4</m:t>
                                </m:r>
                              </m:sub>
                            </m:sSub>
                          </m:sub>
                        </m:sSub>
                      </m:num>
                      <m:den>
                        <m:sSub>
                          <m:sSubPr>
                            <m:ctrlPr>
                              <w:rPr>
                                <w:rFonts w:ascii="Cambria Math" w:hAnsi="Cambria Math"/>
                                <w:lang w:val="en-US"/>
                              </w:rPr>
                            </m:ctrlPr>
                          </m:sSubPr>
                          <m:e>
                            <m:r>
                              <w:rPr>
                                <w:rFonts w:ascii="Cambria Math" w:hAnsi="Cambria Math"/>
                                <w:lang w:val="en-US"/>
                              </w:rPr>
                              <m:t>ρ</m:t>
                            </m:r>
                          </m:e>
                          <m:sub>
                            <m:r>
                              <w:rPr>
                                <w:rFonts w:ascii="Cambria Math" w:hAnsi="Cambria Math"/>
                                <w:lang w:val="en-US"/>
                              </w:rPr>
                              <m:t>bulk</m:t>
                            </m:r>
                          </m:sub>
                        </m:sSub>
                      </m:den>
                    </m:f>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num>
                  <m:den>
                    <m:f>
                      <m:fPr>
                        <m:ctrlPr>
                          <w:rPr>
                            <w:rFonts w:ascii="Cambria Math" w:hAnsi="Cambria Math"/>
                            <w:lang w:val="en-US"/>
                          </w:rPr>
                        </m:ctrlPr>
                      </m:fPr>
                      <m:num>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num>
                      <m:den>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0</m:t>
                            </m:r>
                          </m:sub>
                        </m:sSub>
                      </m:den>
                    </m:f>
                    <m:r>
                      <m:rPr>
                        <m:sty m:val="p"/>
                      </m:rPr>
                      <w:rPr>
                        <w:rFonts w:ascii="Cambria Math" w:hAnsi="Cambria Math"/>
                        <w:lang w:val="en-US"/>
                      </w:rPr>
                      <m:t xml:space="preserve"> ∙</m:t>
                    </m:r>
                    <m:d>
                      <m:dPr>
                        <m:begChr m:val="["/>
                        <m:endChr m:val="]"/>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e</m:t>
                            </m:r>
                          </m:e>
                          <m:sup>
                            <m:r>
                              <w:rPr>
                                <w:rFonts w:ascii="Cambria Math" w:hAnsi="Cambria Math"/>
                                <w:lang w:val="en-US"/>
                              </w:rPr>
                              <m:t>α</m:t>
                            </m:r>
                            <m:d>
                              <m:dPr>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num>
                                          <m:den>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den>
                                        </m:f>
                                      </m:e>
                                    </m:d>
                                  </m:e>
                                  <m:sup>
                                    <m:r>
                                      <m:rPr>
                                        <m:sty m:val="p"/>
                                      </m:rPr>
                                      <w:rPr>
                                        <w:rFonts w:ascii="Cambria Math" w:hAnsi="Cambria Math"/>
                                        <w:lang w:val="en-US"/>
                                      </w:rPr>
                                      <m:t>3</m:t>
                                    </m:r>
                                  </m:sup>
                                </m:sSup>
                              </m:e>
                            </m:d>
                            <m:r>
                              <m:rPr>
                                <m:sty m:val="p"/>
                              </m:rPr>
                              <w:rPr>
                                <w:rFonts w:ascii="Cambria Math" w:hAnsi="Cambria Math"/>
                                <w:lang w:val="en-US"/>
                              </w:rPr>
                              <m:t>-</m:t>
                            </m:r>
                            <m:r>
                              <w:rPr>
                                <w:rFonts w:ascii="Cambria Math" w:hAnsi="Cambria Math"/>
                                <w:lang w:val="en-US"/>
                              </w:rPr>
                              <m:t>β</m:t>
                            </m:r>
                          </m:sup>
                        </m:sSup>
                      </m:e>
                    </m:d>
                    <m:r>
                      <m:rPr>
                        <m:sty m:val="p"/>
                      </m:rPr>
                      <w:rPr>
                        <w:rFonts w:ascii="Cambria Math" w:hAnsi="Cambria Math"/>
                        <w:lang w:val="en-US"/>
                      </w:rPr>
                      <m:t xml:space="preserve"> + </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γ</m:t>
                                </m:r>
                                <m:r>
                                  <m:rPr>
                                    <m:sty m:val="p"/>
                                  </m:rPr>
                                  <w:rPr>
                                    <w:rFonts w:ascii="Cambria Math" w:hAnsi="Cambria Math"/>
                                    <w:lang w:val="en-US"/>
                                  </w:rPr>
                                  <m:t>∙</m:t>
                                </m:r>
                                <m:rad>
                                  <m:radPr>
                                    <m:degHide m:val="1"/>
                                    <m:ctrlPr>
                                      <w:rPr>
                                        <w:rFonts w:ascii="Cambria Math" w:hAnsi="Cambria Math"/>
                                        <w:lang w:val="en-US"/>
                                      </w:rPr>
                                    </m:ctrlPr>
                                  </m:radPr>
                                  <m:deg/>
                                  <m:e>
                                    <m:r>
                                      <m:rPr>
                                        <m:sty m:val="p"/>
                                      </m:rPr>
                                      <w:rPr>
                                        <w:rFonts w:ascii="Cambria Math" w:hAnsi="Cambria Math"/>
                                        <w:lang w:val="en-US"/>
                                      </w:rPr>
                                      <m:t>2</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c</m:t>
                                            </m:r>
                                          </m:sub>
                                        </m:sSub>
                                      </m:e>
                                    </m:d>
                                  </m:e>
                                </m:rad>
                              </m:sup>
                            </m:sSup>
                          </m:e>
                        </m:d>
                      </m:den>
                    </m:f>
                  </m:den>
                </m:f>
              </m:oMath>
            </m:oMathPara>
          </w:p>
        </w:tc>
        <w:tc>
          <w:tcPr>
            <w:tcW w:w="815" w:type="dxa"/>
            <w:shd w:val="clear" w:color="auto" w:fill="auto"/>
            <w:vAlign w:val="center"/>
          </w:tcPr>
          <w:p w14:paraId="33CAAF40" w14:textId="4E599209" w:rsidR="004347B0" w:rsidRPr="00875A01" w:rsidRDefault="004347B0" w:rsidP="00DE7960">
            <w:pPr>
              <w:pStyle w:val="CETEquation"/>
              <w:jc w:val="right"/>
              <w:rPr>
                <w:lang w:val="en-US"/>
              </w:rPr>
            </w:pPr>
            <w:r w:rsidRPr="00875A01">
              <w:rPr>
                <w:lang w:val="en-US"/>
              </w:rPr>
              <w:t>(</w:t>
            </w:r>
            <w:r w:rsidR="004F78FB" w:rsidRPr="00875A01">
              <w:rPr>
                <w:lang w:val="en-US"/>
              </w:rPr>
              <w:t>5</w:t>
            </w:r>
            <w:r w:rsidRPr="00875A01">
              <w:rPr>
                <w:lang w:val="en-US"/>
              </w:rPr>
              <w:t>)</w:t>
            </w:r>
          </w:p>
        </w:tc>
      </w:tr>
    </w:tbl>
    <w:p w14:paraId="35A96E98" w14:textId="404BD76B" w:rsidR="004347B0" w:rsidRPr="00D067EA" w:rsidRDefault="004347B0" w:rsidP="00F30101">
      <w:pPr>
        <w:pStyle w:val="CETBodytext"/>
      </w:pPr>
      <w:r w:rsidRPr="00875A01">
        <w:t xml:space="preserve">where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Pr="00875A01">
        <w:t xml:space="preserve"> is the CO</w:t>
      </w:r>
      <w:r w:rsidRPr="00875A01">
        <w:rPr>
          <w:vertAlign w:val="subscript"/>
        </w:rPr>
        <w:t>2</w:t>
      </w:r>
      <w:r w:rsidRPr="00875A01">
        <w:t xml:space="preserve"> diffusi</w:t>
      </w:r>
      <w:r w:rsidR="006817EC" w:rsidRPr="00875A01">
        <w:t>on coefficient</w:t>
      </w:r>
      <w:r w:rsidRPr="00875A01">
        <w:t xml:space="preserve"> in the </w:t>
      </w:r>
      <w:r w:rsidR="0089167A" w:rsidRPr="00875A01">
        <w:t xml:space="preserve">initial </w:t>
      </w:r>
      <w:r w:rsidRPr="00875A01">
        <w:t>molten product layer (m</w:t>
      </w:r>
      <w:r w:rsidRPr="00875A01">
        <w:rPr>
          <w:vertAlign w:val="superscript"/>
        </w:rPr>
        <w:t>2</w:t>
      </w:r>
      <w:r w:rsidRPr="00875A01">
        <w:t>/s</w:t>
      </w:r>
      <w:r w:rsidR="004E1297" w:rsidRPr="00875A01">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w:r w:rsidR="004E1297" w:rsidRPr="00875A01">
        <w:t xml:space="preserve"> is the kinetic constant for the surface reaction (m/s), </w:t>
      </w:r>
      <m:oMath>
        <m:r>
          <w:rPr>
            <w:rFonts w:ascii="Cambria Math" w:hAnsi="Cambria Math"/>
          </w:rPr>
          <m:t>α</m:t>
        </m:r>
      </m:oMath>
      <w:r w:rsidR="004E1297" w:rsidRPr="00875A01">
        <w:rPr>
          <w:iCs/>
        </w:rPr>
        <w:t xml:space="preserve">, </w:t>
      </w:r>
      <m:oMath>
        <m:r>
          <w:rPr>
            <w:rFonts w:ascii="Cambria Math" w:hAnsi="Cambria Math"/>
          </w:rPr>
          <m:t>β</m:t>
        </m:r>
      </m:oMath>
      <w:r w:rsidR="004E1297" w:rsidRPr="00875A01">
        <w:rPr>
          <w:iCs/>
        </w:rPr>
        <w:t xml:space="preserve">, </w:t>
      </w:r>
      <w:r w:rsidR="004E1297" w:rsidRPr="00875A01">
        <w:t xml:space="preserve">and </w:t>
      </w:r>
      <m:oMath>
        <m:r>
          <w:rPr>
            <w:rFonts w:ascii="Cambria Math" w:hAnsi="Cambria Math"/>
          </w:rPr>
          <m:t>γ</m:t>
        </m:r>
      </m:oMath>
      <w:r w:rsidR="004E1297" w:rsidRPr="00875A01">
        <w:t xml:space="preserve"> are kinetic parameters.</w:t>
      </w:r>
      <w:r w:rsidR="006F5CA0" w:rsidRPr="00875A01">
        <w:t xml:space="preserve"> The first denominator term represents the diffusion resistance while the second one is the chemical reaction </w:t>
      </w:r>
      <w:r w:rsidR="006F5CA0" w:rsidRPr="00D067EA">
        <w:t>resistance</w:t>
      </w:r>
      <w:r w:rsidR="00D067EA" w:rsidRPr="00D067EA">
        <w:t>,</w:t>
      </w:r>
      <w:r w:rsidR="00D067EA" w:rsidRPr="00D067EA">
        <w:rPr>
          <w:lang w:val="en-GB"/>
        </w:rPr>
        <w:t xml:space="preserve"> and both depend on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6F5CA0" w:rsidRPr="00D067EA">
        <w:t>.</w:t>
      </w:r>
    </w:p>
    <w:p w14:paraId="4AC6E557" w14:textId="2D8CD1F6" w:rsidR="001536B7" w:rsidRPr="00875A01" w:rsidRDefault="001536B7" w:rsidP="001536B7">
      <w:pPr>
        <w:pStyle w:val="CETBodytext"/>
      </w:pPr>
      <w:r w:rsidRPr="00D067EA">
        <w:rPr>
          <w:rStyle w:val="s1"/>
          <w:rFonts w:ascii="Arial" w:hAnsi="Arial"/>
          <w:sz w:val="18"/>
          <w:szCs w:val="20"/>
        </w:rPr>
        <w:t xml:space="preserve">The enthalpy balance along the axial direction </w:t>
      </w:r>
      <w:r w:rsidR="00A35BC9" w:rsidRPr="00D067EA">
        <w:rPr>
          <w:rStyle w:val="s1"/>
          <w:rFonts w:ascii="Arial" w:hAnsi="Arial"/>
          <w:sz w:val="18"/>
          <w:szCs w:val="20"/>
        </w:rPr>
        <w:t>of the reactor</w:t>
      </w:r>
      <w:r w:rsidR="00385373" w:rsidRPr="00D067EA">
        <w:rPr>
          <w:rStyle w:val="s1"/>
          <w:rFonts w:ascii="Arial" w:hAnsi="Arial"/>
          <w:sz w:val="18"/>
          <w:szCs w:val="20"/>
        </w:rPr>
        <w:t>,</w:t>
      </w:r>
      <w:r w:rsidR="00A35BC9" w:rsidRPr="00D067EA">
        <w:rPr>
          <w:rStyle w:val="s1"/>
          <w:rFonts w:ascii="Arial" w:hAnsi="Arial"/>
          <w:sz w:val="18"/>
          <w:szCs w:val="20"/>
        </w:rPr>
        <w:t xml:space="preserve"> considering the assumption of </w:t>
      </w:r>
      <w:r w:rsidR="00A35BC9" w:rsidRPr="00875A01">
        <w:rPr>
          <w:rStyle w:val="s1"/>
          <w:rFonts w:ascii="Arial" w:hAnsi="Arial"/>
          <w:sz w:val="18"/>
          <w:szCs w:val="20"/>
        </w:rPr>
        <w:t>local thermal equilibrium</w:t>
      </w:r>
      <w:r w:rsidR="00385373" w:rsidRPr="00875A01">
        <w:rPr>
          <w:rStyle w:val="s1"/>
          <w:rFonts w:ascii="Arial" w:hAnsi="Arial"/>
          <w:sz w:val="18"/>
          <w:szCs w:val="20"/>
        </w:rPr>
        <w:t>,</w:t>
      </w:r>
      <w:r w:rsidR="00A35BC9" w:rsidRPr="00875A01">
        <w:rPr>
          <w:rStyle w:val="s1"/>
          <w:rFonts w:ascii="Arial" w:hAnsi="Arial"/>
          <w:sz w:val="18"/>
          <w:szCs w:val="20"/>
        </w:rPr>
        <w:t xml:space="preserve"> </w:t>
      </w:r>
      <w:r w:rsidRPr="00875A01">
        <w:rPr>
          <w:rStyle w:val="s1"/>
          <w:rFonts w:ascii="Arial" w:hAnsi="Arial"/>
          <w:sz w:val="18"/>
          <w:szCs w:val="20"/>
        </w:rPr>
        <w:t xml:space="preserve">is shown in </w:t>
      </w:r>
      <w:proofErr w:type="gramStart"/>
      <w:r w:rsidRPr="00875A01">
        <w:rPr>
          <w:rStyle w:val="s1"/>
          <w:rFonts w:ascii="Arial" w:hAnsi="Arial"/>
          <w:sz w:val="18"/>
          <w:szCs w:val="20"/>
        </w:rPr>
        <w:t>Eq(</w:t>
      </w:r>
      <w:proofErr w:type="gramEnd"/>
      <w:r w:rsidR="004B6598" w:rsidRPr="00875A01">
        <w:rPr>
          <w:rStyle w:val="s1"/>
          <w:rFonts w:ascii="Arial" w:hAnsi="Arial"/>
          <w:sz w:val="18"/>
          <w:szCs w:val="20"/>
        </w:rPr>
        <w:t>6</w:t>
      </w:r>
      <w:r w:rsidRPr="00875A01">
        <w:rPr>
          <w:rStyle w:val="s1"/>
          <w:rFonts w:ascii="Arial" w:hAnsi="Arial"/>
          <w:sz w:val="18"/>
          <w:szCs w:val="20"/>
        </w:rPr>
        <w:t>)</w:t>
      </w:r>
      <w:r w:rsidR="00021CEE" w:rsidRPr="00875A01">
        <w:rPr>
          <w:rStyle w:val="s1"/>
          <w:rFonts w:ascii="Arial" w:hAnsi="Arial"/>
          <w:sz w:val="18"/>
          <w:szCs w:val="20"/>
        </w:rPr>
        <w:t>.</w:t>
      </w:r>
      <w:r w:rsidR="00385373" w:rsidRPr="00875A01">
        <w:rPr>
          <w:rStyle w:val="s1"/>
          <w:rFonts w:ascii="Arial" w:hAnsi="Arial"/>
          <w:sz w:val="18"/>
          <w:szCs w:val="20"/>
        </w:rPr>
        <w:t xml:space="preserve"> </w:t>
      </w:r>
      <m:oMath>
        <m:sSub>
          <m:sSubPr>
            <m:ctrlPr>
              <w:rPr>
                <w:rFonts w:ascii="Cambria Math" w:hAnsi="Cambria Math"/>
                <w:i/>
              </w:rPr>
            </m:ctrlPr>
          </m:sSub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e>
            </m:d>
          </m:e>
          <m:sub>
            <m:r>
              <w:rPr>
                <w:rFonts w:ascii="Cambria Math" w:hAnsi="Cambria Math"/>
              </w:rPr>
              <m:t>eff</m:t>
            </m:r>
          </m:sub>
        </m:sSub>
      </m:oMath>
      <w:r w:rsidR="00385373" w:rsidRPr="00875A01">
        <w:t xml:space="preserve"> and </w:t>
      </w:r>
      <m:oMath>
        <m:sSub>
          <m:sSubPr>
            <m:ctrlPr>
              <w:rPr>
                <w:rFonts w:ascii="Cambria Math" w:hAnsi="Cambria Math"/>
                <w:i/>
              </w:rPr>
            </m:ctrlPr>
          </m:sSubPr>
          <m:e>
            <m:r>
              <w:rPr>
                <w:rFonts w:ascii="Cambria Math" w:hAnsi="Cambria Math"/>
              </w:rPr>
              <m:t>k</m:t>
            </m:r>
          </m:e>
          <m:sub>
            <m:r>
              <w:rPr>
                <w:rFonts w:ascii="Cambria Math" w:hAnsi="Cambria Math"/>
              </w:rPr>
              <m:t>eff</m:t>
            </m:r>
          </m:sub>
        </m:sSub>
      </m:oMath>
      <w:r w:rsidR="00385373" w:rsidRPr="00875A01">
        <w:t xml:space="preserve">  represent the effective heat capacity and the effective thermal conductivity considering </w:t>
      </w:r>
      <w:r w:rsidR="001F5A66" w:rsidRPr="00875A01">
        <w:t xml:space="preserve">both </w:t>
      </w:r>
      <w:r w:rsidR="00385373" w:rsidRPr="00875A01">
        <w:t>the gas</w:t>
      </w:r>
      <w:r w:rsidR="00042507" w:rsidRPr="00875A01">
        <w:t xml:space="preserve"> (CO</w:t>
      </w:r>
      <w:r w:rsidR="00042507" w:rsidRPr="00875A01">
        <w:rPr>
          <w:vertAlign w:val="subscript"/>
        </w:rPr>
        <w:t>2</w:t>
      </w:r>
      <w:r w:rsidR="00042507" w:rsidRPr="00875A01">
        <w:t>/N</w:t>
      </w:r>
      <w:r w:rsidR="00042507" w:rsidRPr="00875A01">
        <w:rPr>
          <w:vertAlign w:val="subscript"/>
        </w:rPr>
        <w:t>2</w:t>
      </w:r>
      <w:r w:rsidR="00042507" w:rsidRPr="00875A01">
        <w:t xml:space="preserve"> mixture)</w:t>
      </w:r>
      <w:r w:rsidR="00385373" w:rsidRPr="00875A01">
        <w:t xml:space="preserve"> and the solid matrix</w:t>
      </w:r>
      <w:r w:rsidR="00042507" w:rsidRPr="00875A01">
        <w:t xml:space="preserve"> (Li</w:t>
      </w:r>
      <w:r w:rsidR="00042507" w:rsidRPr="00875A01">
        <w:rPr>
          <w:vertAlign w:val="subscript"/>
        </w:rPr>
        <w:t>4</w:t>
      </w:r>
      <w:r w:rsidR="00042507" w:rsidRPr="00875A01">
        <w:t>SiO</w:t>
      </w:r>
      <w:r w:rsidR="00042507" w:rsidRPr="00875A01">
        <w:rPr>
          <w:vertAlign w:val="subscript"/>
        </w:rPr>
        <w:t>4</w:t>
      </w:r>
      <w:r w:rsidR="00042507" w:rsidRPr="00875A01">
        <w:t>/K</w:t>
      </w:r>
      <w:r w:rsidR="00042507" w:rsidRPr="00875A01">
        <w:rPr>
          <w:vertAlign w:val="subscript"/>
        </w:rPr>
        <w:t>2</w:t>
      </w:r>
      <w:r w:rsidR="00042507" w:rsidRPr="00875A01">
        <w:t>CO</w:t>
      </w:r>
      <w:r w:rsidR="00042507" w:rsidRPr="00875A01">
        <w:rPr>
          <w:vertAlign w:val="subscript"/>
        </w:rPr>
        <w:t>3</w:t>
      </w:r>
      <w:r w:rsidR="00042507" w:rsidRPr="00875A01">
        <w:t xml:space="preserve"> mixture)</w:t>
      </w:r>
      <w:r w:rsidR="000E27A3" w:rsidRPr="00875A01">
        <w:t xml:space="preserve">, and are defined in </w:t>
      </w:r>
      <w:proofErr w:type="gramStart"/>
      <w:r w:rsidR="000E27A3" w:rsidRPr="00875A01">
        <w:t>Eq(</w:t>
      </w:r>
      <w:proofErr w:type="gramEnd"/>
      <w:r w:rsidR="000E27A3" w:rsidRPr="00875A01">
        <w:t xml:space="preserve">7) and </w:t>
      </w:r>
      <w:proofErr w:type="gramStart"/>
      <w:r w:rsidR="000E27A3" w:rsidRPr="00875A01">
        <w:t>E</w:t>
      </w:r>
      <w:r w:rsidR="00B50796" w:rsidRPr="00875A01">
        <w:t>q</w:t>
      </w:r>
      <w:r w:rsidR="000E27A3" w:rsidRPr="00875A01">
        <w:t>(</w:t>
      </w:r>
      <w:proofErr w:type="gramEnd"/>
      <w:r w:rsidR="000E27A3" w:rsidRPr="00875A01">
        <w:t>8), respectively</w:t>
      </w:r>
      <w:r w:rsidR="00155239" w:rsidRPr="00875A01">
        <w:t>:</w:t>
      </w:r>
    </w:p>
    <w:tbl>
      <w:tblPr>
        <w:tblW w:w="5000" w:type="pct"/>
        <w:tblLook w:val="04A0" w:firstRow="1" w:lastRow="0" w:firstColumn="1" w:lastColumn="0" w:noHBand="0" w:noVBand="1"/>
      </w:tblPr>
      <w:tblGrid>
        <w:gridCol w:w="7983"/>
        <w:gridCol w:w="804"/>
      </w:tblGrid>
      <w:tr w:rsidR="004F78FB" w:rsidRPr="00875A01" w14:paraId="10F601B5" w14:textId="77777777" w:rsidTr="00DE7960">
        <w:tc>
          <w:tcPr>
            <w:tcW w:w="7983" w:type="dxa"/>
            <w:shd w:val="clear" w:color="auto" w:fill="auto"/>
            <w:vAlign w:val="center"/>
          </w:tcPr>
          <w:p w14:paraId="7F6E7B94" w14:textId="01F746ED" w:rsidR="004F78FB" w:rsidRPr="00875A01" w:rsidRDefault="00000000" w:rsidP="00894C76">
            <w:pPr>
              <w:pStyle w:val="CETEquation"/>
              <w:spacing w:before="60"/>
              <w:rPr>
                <w:rFonts w:ascii="Cambria Math" w:hAnsi="Cambria Math"/>
                <w:lang w:val="en-US"/>
                <w:oMath/>
              </w:rPr>
            </w:pPr>
            <m:oMathPara>
              <m:oMath>
                <m:sSub>
                  <m:sSubPr>
                    <m:ctrlPr>
                      <w:rPr>
                        <w:rFonts w:ascii="Cambria Math" w:hAnsi="Cambria Math"/>
                        <w:i/>
                        <w:lang w:val="en-US"/>
                      </w:rPr>
                    </m:ctrlPr>
                  </m:sSubPr>
                  <m:e>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e>
                    </m:d>
                  </m:e>
                  <m:sub>
                    <m:r>
                      <w:rPr>
                        <w:rFonts w:ascii="Cambria Math" w:hAnsi="Cambria Math"/>
                        <w:lang w:val="en-US"/>
                      </w:rPr>
                      <m:t>eff</m:t>
                    </m:r>
                  </m:sub>
                </m:sSub>
                <m:f>
                  <m:fPr>
                    <m:ctrlPr>
                      <w:rPr>
                        <w:rFonts w:ascii="Cambria Math" w:hAnsi="Cambria Math"/>
                        <w:i/>
                        <w:lang w:val="en-US"/>
                      </w:rPr>
                    </m:ctrlPr>
                  </m:fPr>
                  <m:num>
                    <m:r>
                      <w:rPr>
                        <w:rFonts w:ascii="Cambria Math" w:hAnsi="Cambria Math"/>
                        <w:lang w:val="en-US"/>
                      </w:rPr>
                      <m:t>∂T</m:t>
                    </m:r>
                  </m:num>
                  <m:den>
                    <m:r>
                      <w:rPr>
                        <w:rFonts w:ascii="Cambria Math" w:hAnsi="Cambria Math"/>
                        <w:lang w:val="en-US"/>
                      </w:rPr>
                      <m:t>∂t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g</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p,g</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z</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eff</m:t>
                    </m:r>
                  </m:sub>
                </m:sSub>
                <m: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Δ</m:t>
                    </m:r>
                    <m:r>
                      <w:rPr>
                        <w:rFonts w:ascii="Cambria Math" w:hAnsi="Cambria Math"/>
                        <w:lang w:val="en-US"/>
                      </w:rPr>
                      <m:t>H</m:t>
                    </m: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oMath>
            </m:oMathPara>
          </w:p>
        </w:tc>
        <w:tc>
          <w:tcPr>
            <w:tcW w:w="804" w:type="dxa"/>
            <w:shd w:val="clear" w:color="auto" w:fill="auto"/>
            <w:vAlign w:val="center"/>
          </w:tcPr>
          <w:p w14:paraId="4C87CDFB" w14:textId="1D289583" w:rsidR="004F78FB" w:rsidRPr="00875A01" w:rsidRDefault="004F78FB" w:rsidP="00894C76">
            <w:pPr>
              <w:pStyle w:val="CETEquation"/>
              <w:spacing w:before="60"/>
              <w:jc w:val="right"/>
              <w:rPr>
                <w:lang w:val="en-US"/>
              </w:rPr>
            </w:pPr>
            <w:r w:rsidRPr="00875A01">
              <w:rPr>
                <w:lang w:val="en-US"/>
              </w:rPr>
              <w:t>(6)</w:t>
            </w:r>
          </w:p>
        </w:tc>
      </w:tr>
      <w:tr w:rsidR="001F5A66" w:rsidRPr="00875A01" w14:paraId="3DBA4611" w14:textId="77777777" w:rsidTr="001F5A66">
        <w:tc>
          <w:tcPr>
            <w:tcW w:w="7983" w:type="dxa"/>
            <w:shd w:val="clear" w:color="auto" w:fill="auto"/>
            <w:vAlign w:val="center"/>
          </w:tcPr>
          <w:p w14:paraId="0A0F4A44" w14:textId="77777777" w:rsidR="001F5A66" w:rsidRPr="00875A01" w:rsidRDefault="00000000" w:rsidP="001F5A66">
            <w:pPr>
              <w:pStyle w:val="CETEquation"/>
              <w:rPr>
                <w:rFonts w:ascii="Cambria Math" w:hAnsi="Cambria Math"/>
                <w:lang w:val="en-US"/>
                <w:oMath/>
              </w:rPr>
            </w:pPr>
            <m:oMathPara>
              <m:oMath>
                <m:sSub>
                  <m:sSubPr>
                    <m:ctrlPr>
                      <w:rPr>
                        <w:rFonts w:ascii="Cambria Math" w:hAnsi="Cambria Math"/>
                        <w:i/>
                        <w:lang w:val="en-US"/>
                      </w:rPr>
                    </m:ctrlPr>
                  </m:sSubPr>
                  <m:e>
                    <m:d>
                      <m:dPr>
                        <m:ctrlPr>
                          <w:rPr>
                            <w:rFonts w:ascii="Cambria Math" w:hAnsi="Cambria Math"/>
                            <w:i/>
                            <w:lang w:val="en-US"/>
                          </w:rPr>
                        </m:ctrlPr>
                      </m:dPr>
                      <m:e>
                        <m:r>
                          <w:rPr>
                            <w:rFonts w:ascii="Cambria Math" w:hAnsi="Cambria Math"/>
                            <w:lang w:val="en-US"/>
                          </w:rPr>
                          <m:t>ρ</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e>
                    </m:d>
                  </m:e>
                  <m:sub>
                    <m:r>
                      <w:rPr>
                        <w:rFonts w:ascii="Cambria Math" w:hAnsi="Cambria Math"/>
                        <w:lang w:val="en-US"/>
                      </w:rPr>
                      <m:t>eff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g</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p,g</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e>
                </m:d>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p,s</m:t>
                    </m:r>
                  </m:sub>
                </m:sSub>
              </m:oMath>
            </m:oMathPara>
          </w:p>
        </w:tc>
        <w:tc>
          <w:tcPr>
            <w:tcW w:w="804" w:type="dxa"/>
            <w:shd w:val="clear" w:color="auto" w:fill="auto"/>
            <w:vAlign w:val="center"/>
          </w:tcPr>
          <w:p w14:paraId="07A0C535" w14:textId="77777777" w:rsidR="001F5A66" w:rsidRPr="00875A01" w:rsidRDefault="001F5A66" w:rsidP="004617EB">
            <w:pPr>
              <w:pStyle w:val="CETEquation"/>
              <w:jc w:val="right"/>
              <w:rPr>
                <w:lang w:val="en-US"/>
              </w:rPr>
            </w:pPr>
            <w:r w:rsidRPr="00875A01">
              <w:rPr>
                <w:lang w:val="en-US"/>
              </w:rPr>
              <w:t>(7)</w:t>
            </w:r>
          </w:p>
        </w:tc>
      </w:tr>
      <w:tr w:rsidR="001F5A66" w:rsidRPr="00875A01" w14:paraId="60E7AC74" w14:textId="77777777" w:rsidTr="001F5A66">
        <w:tc>
          <w:tcPr>
            <w:tcW w:w="7983" w:type="dxa"/>
            <w:shd w:val="clear" w:color="auto" w:fill="auto"/>
            <w:vAlign w:val="center"/>
          </w:tcPr>
          <w:p w14:paraId="2E1EBC6A" w14:textId="77777777" w:rsidR="001F5A66" w:rsidRPr="00875A01" w:rsidRDefault="00000000" w:rsidP="001F5A66">
            <w:pPr>
              <w:pStyle w:val="CETEquation"/>
              <w:rPr>
                <w:rFonts w:ascii="Cambria Math" w:hAnsi="Cambria Math"/>
                <w:lang w:val="en-US"/>
                <w:oMath/>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eff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g</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b</m:t>
                        </m:r>
                      </m:sub>
                    </m:sSub>
                  </m:e>
                </m:d>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m:t>
                    </m:r>
                  </m:sub>
                </m:sSub>
              </m:oMath>
            </m:oMathPara>
          </w:p>
        </w:tc>
        <w:tc>
          <w:tcPr>
            <w:tcW w:w="804" w:type="dxa"/>
            <w:shd w:val="clear" w:color="auto" w:fill="auto"/>
            <w:vAlign w:val="center"/>
          </w:tcPr>
          <w:p w14:paraId="6C2EF7DC" w14:textId="77777777" w:rsidR="001F5A66" w:rsidRPr="00875A01" w:rsidRDefault="001F5A66" w:rsidP="004617EB">
            <w:pPr>
              <w:pStyle w:val="CETEquation"/>
              <w:jc w:val="right"/>
              <w:rPr>
                <w:lang w:val="en-US"/>
              </w:rPr>
            </w:pPr>
            <w:r w:rsidRPr="00875A01">
              <w:rPr>
                <w:lang w:val="en-US"/>
              </w:rPr>
              <w:t>(8)</w:t>
            </w:r>
          </w:p>
        </w:tc>
      </w:tr>
    </w:tbl>
    <w:p w14:paraId="6433BD05" w14:textId="336501F5" w:rsidR="006930DB" w:rsidRPr="00875A01" w:rsidRDefault="00155239" w:rsidP="006930DB">
      <w:pPr>
        <w:pStyle w:val="CETBodytext"/>
      </w:pPr>
      <w:r w:rsidRPr="00875A01">
        <w:t xml:space="preserve">where </w:t>
      </w:r>
      <m:oMath>
        <m:r>
          <w:rPr>
            <w:rFonts w:ascii="Cambria Math" w:hAnsi="Cambria Math"/>
          </w:rPr>
          <m:t>ρ</m:t>
        </m:r>
      </m:oMath>
      <w:r w:rsidRPr="00875A01">
        <w:t xml:space="preserve"> is the density (kg/m</w:t>
      </w:r>
      <w:r w:rsidRPr="00875A01">
        <w:rPr>
          <w:vertAlign w:val="superscript"/>
        </w:rPr>
        <w:t>3</w:t>
      </w:r>
      <w:r w:rsidRPr="00875A01">
        <w:t xml:space="preserve">),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Pr="00875A01">
        <w:t xml:space="preserve"> is </w:t>
      </w:r>
      <w:r w:rsidR="00584D6C" w:rsidRPr="00875A01">
        <w:t xml:space="preserve">the </w:t>
      </w:r>
      <w:r w:rsidRPr="00875A01">
        <w:t>specific heat (J/(</w:t>
      </w:r>
      <w:proofErr w:type="spellStart"/>
      <w:r w:rsidRPr="00875A01">
        <w:t>kgK</w:t>
      </w:r>
      <w:proofErr w:type="spellEnd"/>
      <w:r w:rsidRPr="00875A01">
        <w:t xml:space="preserve">)), </w:t>
      </w:r>
      <m:oMath>
        <m:r>
          <w:rPr>
            <w:rFonts w:ascii="Cambria Math" w:hAnsi="Cambria Math"/>
          </w:rPr>
          <m:t>k</m:t>
        </m:r>
      </m:oMath>
      <w:r w:rsidRPr="00875A01">
        <w:t xml:space="preserve"> is the </w:t>
      </w:r>
      <w:r w:rsidR="005C340B" w:rsidRPr="00875A01">
        <w:t>thermal</w:t>
      </w:r>
      <w:r w:rsidRPr="00875A01">
        <w:t xml:space="preserve"> conductivity (</w:t>
      </w:r>
      <w:r w:rsidRPr="00875A01">
        <w:rPr>
          <w:rFonts w:eastAsia="SimSun"/>
        </w:rPr>
        <w:t>W/(</w:t>
      </w:r>
      <w:proofErr w:type="spellStart"/>
      <w:r w:rsidRPr="00875A01">
        <w:rPr>
          <w:rFonts w:eastAsia="SimSun"/>
        </w:rPr>
        <w:t>mK</w:t>
      </w:r>
      <w:proofErr w:type="spellEnd"/>
      <w:r w:rsidRPr="00875A01">
        <w:rPr>
          <w:rFonts w:eastAsia="SimSun"/>
        </w:rPr>
        <w:t>))</w:t>
      </w:r>
      <w:r w:rsidR="00186195" w:rsidRPr="00875A01">
        <w:rPr>
          <w:rFonts w:eastAsia="SimSun"/>
        </w:rPr>
        <w:t>,</w:t>
      </w:r>
      <w:r w:rsidRPr="00875A01">
        <w:rPr>
          <w:rFonts w:eastAsia="SimSun"/>
        </w:rPr>
        <w:t xml:space="preserve"> and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Δ</m:t>
            </m:r>
            <m:r>
              <w:rPr>
                <w:rFonts w:ascii="Cambria Math" w:hAnsi="Cambria Math"/>
              </w:rPr>
              <m:t>H</m:t>
            </m:r>
          </m:e>
          <m:sub>
            <m:r>
              <w:rPr>
                <w:rFonts w:ascii="Cambria Math" w:hAnsi="Cambria Math"/>
              </w:rPr>
              <m:t>r</m:t>
            </m:r>
          </m:sub>
        </m:sSub>
        <m:r>
          <m:rPr>
            <m:sty m:val="p"/>
          </m:rPr>
          <w:rPr>
            <w:rFonts w:ascii="Cambria Math" w:hAnsi="Cambria Math"/>
          </w:rPr>
          <m:t>)</m:t>
        </m:r>
      </m:oMath>
      <w:r w:rsidRPr="00875A01">
        <w:t xml:space="preserve"> is the enthalpy of the adsorption reaction (kJ/mol). </w:t>
      </w:r>
      <w:r w:rsidRPr="00875A01">
        <w:rPr>
          <w:i/>
          <w:iCs/>
        </w:rPr>
        <w:t>g</w:t>
      </w:r>
      <w:r w:rsidRPr="00875A01">
        <w:t xml:space="preserve"> and </w:t>
      </w:r>
      <w:r w:rsidRPr="00875A01">
        <w:rPr>
          <w:i/>
          <w:iCs/>
        </w:rPr>
        <w:t>s</w:t>
      </w:r>
      <w:r w:rsidRPr="00875A01">
        <w:t xml:space="preserve"> subscriptions refer to the gas phase and the solid matrix, respectively.</w:t>
      </w:r>
      <w:r w:rsidR="006930DB" w:rsidRPr="00875A01">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7B2087" w:rsidRPr="00875A01">
        <w:t xml:space="preserve"> </w:t>
      </w:r>
      <w:r w:rsidR="00A4348F" w:rsidRPr="00875A01">
        <w:t xml:space="preserve">and </w:t>
      </w:r>
      <m:oMath>
        <m:sSub>
          <m:sSubPr>
            <m:ctrlPr>
              <w:rPr>
                <w:rFonts w:ascii="Cambria Math" w:hAnsi="Cambria Math"/>
                <w:i/>
              </w:rPr>
            </m:ctrlPr>
          </m:sSubPr>
          <m:e>
            <m:r>
              <w:rPr>
                <w:rFonts w:ascii="Cambria Math" w:hAnsi="Cambria Math"/>
              </w:rPr>
              <m:t>c</m:t>
            </m:r>
          </m:e>
          <m:sub>
            <m:r>
              <w:rPr>
                <w:rFonts w:ascii="Cambria Math" w:hAnsi="Cambria Math"/>
              </w:rPr>
              <m:t>p,s</m:t>
            </m:r>
          </m:sub>
        </m:sSub>
      </m:oMath>
      <w:r w:rsidR="00A4348F" w:rsidRPr="00875A01">
        <w:t xml:space="preserve"> </w:t>
      </w:r>
      <w:r w:rsidR="005C340B" w:rsidRPr="00875A01">
        <w:t>ha</w:t>
      </w:r>
      <w:r w:rsidR="00A4348F" w:rsidRPr="00875A01">
        <w:t>ve</w:t>
      </w:r>
      <w:r w:rsidR="005C340B" w:rsidRPr="00875A01">
        <w:t xml:space="preserve"> been</w:t>
      </w:r>
      <w:r w:rsidR="006930DB" w:rsidRPr="00875A01">
        <w:t xml:space="preserve"> estimated as </w:t>
      </w:r>
      <w:r w:rsidR="005C340B" w:rsidRPr="00875A01">
        <w:t>the</w:t>
      </w:r>
      <w:r w:rsidR="006930DB" w:rsidRPr="00875A01">
        <w:t xml:space="preserve"> weighted </w:t>
      </w:r>
      <w:r w:rsidR="007B2087" w:rsidRPr="00875A01">
        <w:t>average</w:t>
      </w:r>
      <w:r w:rsidR="00F50871" w:rsidRPr="00875A01">
        <w:t xml:space="preserve"> on mass fractions</w:t>
      </w:r>
      <w:r w:rsidR="00A4348F" w:rsidRPr="00875A01">
        <w:t xml:space="preserve"> of Li</w:t>
      </w:r>
      <w:r w:rsidR="00A4348F" w:rsidRPr="00875A01">
        <w:rPr>
          <w:vertAlign w:val="subscript"/>
        </w:rPr>
        <w:t>4</w:t>
      </w:r>
      <w:r w:rsidR="00A4348F" w:rsidRPr="00875A01">
        <w:t>SiO</w:t>
      </w:r>
      <w:r w:rsidR="00A4348F" w:rsidRPr="00875A01">
        <w:rPr>
          <w:vertAlign w:val="subscript"/>
        </w:rPr>
        <w:t>4</w:t>
      </w:r>
      <w:r w:rsidR="00A4348F" w:rsidRPr="00875A01">
        <w:t xml:space="preserve"> </w:t>
      </w:r>
      <w:r w:rsidR="00A4348F" w:rsidRPr="00875A01">
        <w:lastRenderedPageBreak/>
        <w:t>and K</w:t>
      </w:r>
      <w:r w:rsidR="00A4348F" w:rsidRPr="00875A01">
        <w:rPr>
          <w:vertAlign w:val="subscript"/>
        </w:rPr>
        <w:t>2</w:t>
      </w:r>
      <w:r w:rsidR="00A4348F" w:rsidRPr="00875A01">
        <w:t>CO</w:t>
      </w:r>
      <w:r w:rsidR="00A4348F" w:rsidRPr="00875A01">
        <w:rPr>
          <w:vertAlign w:val="subscript"/>
        </w:rPr>
        <w:t>3</w:t>
      </w:r>
      <w:r w:rsidR="00A4348F" w:rsidRPr="00875A01">
        <w:t>.</w:t>
      </w:r>
      <w:r w:rsidR="006930DB" w:rsidRPr="00875A01">
        <w:t xml:space="preserve"> </w:t>
      </w:r>
      <w:r w:rsidR="007B2087" w:rsidRPr="00875A01">
        <w:t>Li</w:t>
      </w:r>
      <w:r w:rsidR="007B2087" w:rsidRPr="00875A01">
        <w:rPr>
          <w:vertAlign w:val="subscript"/>
        </w:rPr>
        <w:t>4</w:t>
      </w:r>
      <w:r w:rsidR="007B2087" w:rsidRPr="00875A01">
        <w:t>SiO</w:t>
      </w:r>
      <w:r w:rsidR="007B2087" w:rsidRPr="00875A01">
        <w:rPr>
          <w:vertAlign w:val="subscript"/>
        </w:rPr>
        <w:t>4</w:t>
      </w:r>
      <w:r w:rsidR="006930DB" w:rsidRPr="00875A01">
        <w:t xml:space="preserve"> thermal conductivity</w:t>
      </w:r>
      <w:r w:rsidR="00A4348F" w:rsidRPr="00875A01">
        <w:t xml:space="preserve"> and heat capacity</w:t>
      </w:r>
      <w:r w:rsidR="006930DB" w:rsidRPr="00875A01">
        <w:t xml:space="preserve"> </w:t>
      </w:r>
      <w:r w:rsidR="008D2573" w:rsidRPr="00875A01">
        <w:t>have been</w:t>
      </w:r>
      <w:r w:rsidR="00564E61" w:rsidRPr="00875A01">
        <w:t xml:space="preserve"> </w:t>
      </w:r>
      <w:r w:rsidR="006930DB" w:rsidRPr="00875A01">
        <w:t xml:space="preserve">obtained from </w:t>
      </w:r>
      <w:r w:rsidR="00792EB0" w:rsidRPr="00875A01">
        <w:fldChar w:fldCharType="begin" w:fldLock="1"/>
      </w:r>
      <w:r w:rsidR="00C52520" w:rsidRPr="00875A01">
        <w:instrText>ADDIN CSL_CITATION {"citationItems":[{"id":"ITEM-1","itemData":{"DOI":"10.1016/J.JNUCMAT.2008.12.281","ISSN":"0022-3115","abstract":"The design of solid breeder blankets is strongly affected by the low values of thermal conductivity and density of ceramic breeder pebble beds. A significant rise of both quantities would enhance the thermal performance and lead to an increased tritium breeding ratio. In order to improve these quantities pretreated lithium orthosilicate pebble material was dry pressed and subsequently sintered. The thermal conductivity of cylindrical pellets was determined by the heat pulse method using a laser flash device. A pebble bed characteristic sample was also investigated in order to check the measurement accuracy in comparison with previous results. Furthermore, two samples of low density cellular ceramics were also prepared by infiltration of polymer foams with a ceramic slurry. The thermal conductivity results show that the values are affected both by the particle size and the sample density. Thermal conductivity values of higher than 2 W/m K were obtained using large particles and sintering at 1000 °C. © 2009 Elsevier B.V. All rights reserved.","author":[{"dropping-particle":"","family":"Löbbecke","given":"Birgit","non-dropping-particle":"","parse-names":false,"suffix":""},{"dropping-particle":"","family":"Knitter","given":"Regina","non-dropping-particle":"","parse-names":false,"suffix":""},{"dropping-particle":"","family":"Rohde","given":"Magnus","non-dropping-particle":"","parse-names":false,"suffix":""},{"dropping-particle":"","family":"Reimann","given":"Jörg","non-dropping-particle":"","parse-names":false,"suffix":""}],"container-title":"Journal of Nuclear Materials","id":"ITEM-1","issue":"C","issued":{"date-parts":[["2009","4","30"]]},"page":"1068-1070","publisher":"North-Holland","title":"Thermal conductivity of sintered lithium orthosilicate compacts","type":"article-journal","volume":"386-388"},"uris":["http://www.mendeley.com/documents/?uuid=9b2e7e8d-9e1e-3d00-85e5-a568a4573245"]}],"mendeley":{"formattedCitation":"(Löbbecke et al., 2009)","manualFormatting":"Löbbecke et al. (2009)","plainTextFormattedCitation":"(Löbbecke et al., 2009)","previouslyFormattedCitation":"(Löbbecke et al., 2009)"},"properties":{"noteIndex":0},"schema":"https://github.com/citation-style-language/schema/raw/master/csl-citation.json"}</w:instrText>
      </w:r>
      <w:r w:rsidR="00792EB0" w:rsidRPr="00875A01">
        <w:fldChar w:fldCharType="separate"/>
      </w:r>
      <w:r w:rsidR="00792EB0" w:rsidRPr="00875A01">
        <w:rPr>
          <w:noProof/>
        </w:rPr>
        <w:t>Löbbecke et al. (2009)</w:t>
      </w:r>
      <w:r w:rsidR="00792EB0" w:rsidRPr="00875A01">
        <w:fldChar w:fldCharType="end"/>
      </w:r>
      <w:r w:rsidR="006930DB" w:rsidRPr="00875A01">
        <w:t xml:space="preserve"> </w:t>
      </w:r>
      <w:r w:rsidR="00A4348F" w:rsidRPr="00875A01">
        <w:t xml:space="preserve">and </w:t>
      </w:r>
      <w:r w:rsidR="00C52520" w:rsidRPr="00875A01">
        <w:fldChar w:fldCharType="begin" w:fldLock="1"/>
      </w:r>
      <w:r w:rsidR="000F3ED8" w:rsidRPr="00875A01">
        <w:instrText>ADDIN CSL_CITATION {"citationItems":[{"id":"ITEM-1","itemData":{"DOI":"10.1016/S0040-6031(96)02996-6","ISSN":"0040-6031","abstract":"The enthalpy of Li4SiO4 was obtained between 363 and 1300 K using isothermal drop calorimetry. Anisothermal calorimetry was used for the identification of two second-order transitions and the measurement of the enthalpy of fusion. The smoothed enthalpy between 298 and 1300 K results in H°(T) - H°(298) = - 17156 + 73.694 T + 0.103210 T2 -4163115 T-1 J mol-1. The heat capacity was derived by differentiation. The value extrapolated to 298 K is Cp, 298 = 182.1 J K-1 mol-1. The critical temperatures of the second-order transitions are Tc1 = 938 K and Tc2 = 996 K. The enthalpy of fusion is ΔfusH = 53 kJ mol-1 at the melting temperature Tm = 1531 K. An isotope effect of the 6Li enrichment on the melting temperature and enthalpy of fusion could not be discerned.","author":[{"dropping-particle":"","family":"Kleykamp","given":"H.","non-dropping-particle":"","parse-names":false,"suffix":""}],"container-title":"Thermochimica Acta","id":"ITEM-1","issue":"2","issued":{"date-parts":[["1996","10","1"]]},"page":"191-201","publisher":"Elsevier","title":"Enthalpy, heat capacity, second-order transitions and enthalpyof fusion of Li&lt;sub&gt;4&lt;/sub&gt;SiO&lt;sub&gt;4&lt;/sub&gt; by high-temperature calorimetry","type":"article-journal","volume":"287"},"uris":["http://www.mendeley.com/documents/?uuid=269a34d1-cfd3-3667-8443-7de680b058e9"]}],"mendeley":{"formattedCitation":"(Kleykamp, 1996)","manualFormatting":"Kleykamp (1996)","plainTextFormattedCitation":"(Kleykamp, 1996)","previouslyFormattedCitation":"(Kleykamp, 1996)"},"properties":{"noteIndex":0},"schema":"https://github.com/citation-style-language/schema/raw/master/csl-citation.json"}</w:instrText>
      </w:r>
      <w:r w:rsidR="00C52520" w:rsidRPr="00875A01">
        <w:fldChar w:fldCharType="separate"/>
      </w:r>
      <w:r w:rsidR="00C52520" w:rsidRPr="00875A01">
        <w:rPr>
          <w:noProof/>
        </w:rPr>
        <w:t>Kleykamp (1996)</w:t>
      </w:r>
      <w:r w:rsidR="00C52520" w:rsidRPr="00875A01">
        <w:fldChar w:fldCharType="end"/>
      </w:r>
      <w:r w:rsidR="00A4348F" w:rsidRPr="00875A01">
        <w:t xml:space="preserve">, respectively. </w:t>
      </w:r>
      <w:r w:rsidR="006930DB" w:rsidRPr="00875A01">
        <w:t>K</w:t>
      </w:r>
      <w:r w:rsidR="006930DB" w:rsidRPr="00875A01">
        <w:rPr>
          <w:vertAlign w:val="subscript"/>
        </w:rPr>
        <w:t>2</w:t>
      </w:r>
      <w:r w:rsidR="006930DB" w:rsidRPr="00875A01">
        <w:t>CO</w:t>
      </w:r>
      <w:r w:rsidR="006930DB" w:rsidRPr="00875A01">
        <w:rPr>
          <w:vertAlign w:val="subscript"/>
        </w:rPr>
        <w:t>3</w:t>
      </w:r>
      <w:r w:rsidR="001F415F" w:rsidRPr="00875A01">
        <w:t xml:space="preserve"> thermal conductivity</w:t>
      </w:r>
      <w:r w:rsidR="002655BC" w:rsidRPr="00875A01">
        <w:t xml:space="preserve"> and heat capacity</w:t>
      </w:r>
      <w:r w:rsidR="006930DB" w:rsidRPr="00875A01">
        <w:t xml:space="preserve"> </w:t>
      </w:r>
      <w:r w:rsidR="008D2573" w:rsidRPr="00875A01">
        <w:t>have been</w:t>
      </w:r>
      <w:r w:rsidR="002655BC" w:rsidRPr="00875A01">
        <w:t xml:space="preserve"> </w:t>
      </w:r>
      <w:r w:rsidR="006930DB" w:rsidRPr="00875A01">
        <w:t xml:space="preserve">estimated </w:t>
      </w:r>
      <w:r w:rsidR="00057424" w:rsidRPr="00875A01">
        <w:t xml:space="preserve">by </w:t>
      </w:r>
      <w:r w:rsidR="00057424" w:rsidRPr="00875A01">
        <w:fldChar w:fldCharType="begin" w:fldLock="1"/>
      </w:r>
      <w:r w:rsidR="000F3ED8" w:rsidRPr="00875A01">
        <w:instrText>ADDIN CSL_CITATION {"citationItems":[{"id":"ITEM-1","itemData":{"DOI":"10.1016/J.SOLMAT.2021.111525","ISSN":"0927-0248","abstract":"The research and development of new thermal energy storage materials with high working temperatures are key topics to increase the efficiency of thermal energy to electricity conversion. The use of molten salt combinations with a wide range of operating temperatures is one of the ways to fulfil this purpose, and among them, molten carbonates present several advantages, such as high thermal stability, moderate cost, and less corrosiveness, compared to other molten salt mixtures. The present work contains a state-of-the-art review of the most important thermophysical properties for the thermal energy storage capacity of binary mixtures of potassium and lithium carbonates (K2CO3–Li2CO3). The available literature on the properties that play a key role in the heat transfer rate (viscosity and thermal conductivity) and volumetric storage capacity (melting point, density, latent heat of fusion and specific heat) is reviewed and presented. This includes the works that deal with nanofluids based on these binary mixtures of molten carbonates by analysing the influence of nanoparticles on thermophysical properties. Special attention is paid to specific heat as abnormal increases are registered in molten salts when introducing nanoparticles. Although future research is necessary about the thermophysical properties enhancement of these materials, the advanced capacities they offer for high-temperature thermal energy storage are promising, and this work aims to compile the available data on them until the present day.","author":[{"dropping-particle":"","family":"Navarrete","given":"N.","non-dropping-particle":"","parse-names":false,"suffix":""},{"dropping-particle":"","family":"Nithiyanantham","given":"U.","non-dropping-particle":"","parse-names":false,"suffix":""},{"dropping-particle":"","family":"Hernández","given":"L.","non-dropping-particle":"","parse-names":false,"suffix":""},{"dropping-particle":"","family":"Mondragón","given":"R.","non-dropping-particle":"","parse-names":false,"suffix":""}],"container-title":"Solar Energy Materials and Solar Cells","id":"ITEM-1","issued":{"date-parts":[["2022","3","1"]]},"page":"111525","publisher":"North-Holland","title":"K&lt;sub&gt;2&lt;/sub&gt;CO&lt;sub&gt;3&lt;/sub&gt;–Li&lt;sub&gt;2&lt;/sub&gt;CO&lt;sub&gt;3&lt;/sub&gt; molten carbonate mixtures and their nanofluids for thermal energy storage: An overview of the literature","type":"article-journal","volume":"236"},"uris":["http://www.mendeley.com/documents/?uuid=203fbf95-6480-33a6-bffd-e480fa0b9b11"]}],"mendeley":{"formattedCitation":"(Navarrete et al., 2022)","manualFormatting":"Navarrete et al. (2022)","plainTextFormattedCitation":"(Navarrete et al., 2022)","previouslyFormattedCitation":"(Navarrete et al., 2022)"},"properties":{"noteIndex":0},"schema":"https://github.com/citation-style-language/schema/raw/master/csl-citation.json"}</w:instrText>
      </w:r>
      <w:r w:rsidR="00057424" w:rsidRPr="00875A01">
        <w:fldChar w:fldCharType="separate"/>
      </w:r>
      <w:r w:rsidR="00057424" w:rsidRPr="00875A01">
        <w:rPr>
          <w:noProof/>
        </w:rPr>
        <w:t>Navarrete et al. (2022)</w:t>
      </w:r>
      <w:r w:rsidR="00057424" w:rsidRPr="00875A01">
        <w:fldChar w:fldCharType="end"/>
      </w:r>
      <w:r w:rsidR="006930DB" w:rsidRPr="00875A01">
        <w:t xml:space="preserve">. The same procedure </w:t>
      </w:r>
      <w:r w:rsidR="001F415F" w:rsidRPr="00875A01">
        <w:t>has been applied</w:t>
      </w:r>
      <w:r w:rsidR="006930DB" w:rsidRPr="00875A01">
        <w:t xml:space="preserve"> for the estimation of </w:t>
      </w:r>
      <m:oMath>
        <m:sSub>
          <m:sSubPr>
            <m:ctrlPr>
              <w:rPr>
                <w:rFonts w:ascii="Cambria Math" w:hAnsi="Cambria Math"/>
                <w:i/>
              </w:rPr>
            </m:ctrlPr>
          </m:sSubPr>
          <m:e>
            <m:r>
              <w:rPr>
                <w:rFonts w:ascii="Cambria Math" w:hAnsi="Cambria Math"/>
              </w:rPr>
              <m:t>k</m:t>
            </m:r>
          </m:e>
          <m:sub>
            <m:r>
              <w:rPr>
                <w:rFonts w:ascii="Cambria Math" w:hAnsi="Cambria Math"/>
              </w:rPr>
              <m:t>g</m:t>
            </m:r>
          </m:sub>
        </m:sSub>
      </m:oMath>
      <w:r w:rsidR="006930DB" w:rsidRPr="00875A01">
        <w:t>.</w:t>
      </w:r>
    </w:p>
    <w:p w14:paraId="1F96CA21" w14:textId="32DC11A7" w:rsidR="00600535" w:rsidRPr="00875A01" w:rsidRDefault="004837E1" w:rsidP="00FA5F5F">
      <w:pPr>
        <w:pStyle w:val="CETheadingx"/>
        <w:rPr>
          <w:lang w:val="en-US"/>
        </w:rPr>
      </w:pPr>
      <w:r w:rsidRPr="00875A01">
        <w:rPr>
          <w:lang w:val="en-US"/>
        </w:rPr>
        <w:t>Boundary conditions</w:t>
      </w:r>
    </w:p>
    <w:p w14:paraId="3808A828" w14:textId="6E27644E" w:rsidR="00161F66" w:rsidRPr="00875A01" w:rsidRDefault="00161F66" w:rsidP="00B31679">
      <w:pPr>
        <w:pStyle w:val="CETBodytext"/>
      </w:pPr>
      <w:r w:rsidRPr="00875A01">
        <w:rPr>
          <w:rStyle w:val="CETBodytextCarattere"/>
        </w:rPr>
        <w:t xml:space="preserve">The initial conditions </w:t>
      </w:r>
      <w:r w:rsidR="00842763" w:rsidRPr="00875A01">
        <w:rPr>
          <w:rStyle w:val="CETBodytextCarattere"/>
        </w:rPr>
        <w:t>refer to</w:t>
      </w:r>
      <w:r w:rsidRPr="00875A01">
        <w:rPr>
          <w:rStyle w:val="CETBodytextCarattere"/>
        </w:rPr>
        <w:t xml:space="preserve"> </w:t>
      </w:r>
      <m:oMath>
        <m:r>
          <w:rPr>
            <w:rStyle w:val="CETBodytextCarattere"/>
            <w:rFonts w:ascii="Cambria Math" w:hAnsi="Cambria Math"/>
          </w:rPr>
          <m:t>t=0</m:t>
        </m:r>
      </m:oMath>
      <w:r w:rsidR="00C74E63" w:rsidRPr="00875A01">
        <w:rPr>
          <w:rStyle w:val="CETBodytextCarattere"/>
        </w:rPr>
        <w:t xml:space="preserve">. </w:t>
      </w:r>
      <w:r w:rsidRPr="00875A01">
        <w:rPr>
          <w:rStyle w:val="CETBodytextCarattere"/>
        </w:rPr>
        <w:t>For the gas phase</w:t>
      </w:r>
      <w:r w:rsidR="00180885" w:rsidRPr="00875A01">
        <w:rPr>
          <w:rStyle w:val="CETBodytextCarattere"/>
        </w:rPr>
        <w:t>, the initial concentration is set to zero throughout the reactor length (</w:t>
      </w:r>
      <w:proofErr w:type="gramStart"/>
      <w:r w:rsidR="00180885" w:rsidRPr="00875A01">
        <w:rPr>
          <w:rStyle w:val="CETBodytextCarattere"/>
        </w:rPr>
        <w:t>Eq(</w:t>
      </w:r>
      <w:proofErr w:type="gramEnd"/>
      <w:r w:rsidR="00180885" w:rsidRPr="00875A01">
        <w:rPr>
          <w:rStyle w:val="CETBodytextCarattere"/>
        </w:rPr>
        <w:t xml:space="preserve">9)), while the initial reactor temperature is set as the adsorption temperature, </w:t>
      </w:r>
      <w:r w:rsidR="00180885" w:rsidRPr="00875A01">
        <w:rPr>
          <w:rStyle w:val="CETBodytextCarattere"/>
          <w:i/>
          <w:iCs/>
        </w:rPr>
        <w:t>T</w:t>
      </w:r>
      <w:r w:rsidR="00180885" w:rsidRPr="00875A01">
        <w:rPr>
          <w:rStyle w:val="CETBodytextCarattere"/>
          <w:i/>
          <w:iCs/>
          <w:vertAlign w:val="subscript"/>
        </w:rPr>
        <w:t>r</w:t>
      </w:r>
      <w:r w:rsidR="002000FF" w:rsidRPr="00875A01">
        <w:rPr>
          <w:rStyle w:val="CETBodytextCarattere"/>
        </w:rPr>
        <w:t xml:space="preserve"> </w:t>
      </w:r>
      <w:r w:rsidR="00180885" w:rsidRPr="00875A01">
        <w:rPr>
          <w:rStyle w:val="CETBodytextCarattere"/>
        </w:rPr>
        <w:t>(</w:t>
      </w:r>
      <w:proofErr w:type="gramStart"/>
      <w:r w:rsidR="00180885" w:rsidRPr="00875A01">
        <w:rPr>
          <w:rStyle w:val="CETBodytextCarattere"/>
        </w:rPr>
        <w:t>Eq(</w:t>
      </w:r>
      <w:proofErr w:type="gramEnd"/>
      <w:r w:rsidR="00180885" w:rsidRPr="00875A01">
        <w:rPr>
          <w:rStyle w:val="CETBodytextCarattere"/>
        </w:rPr>
        <w:t>10)).</w:t>
      </w:r>
    </w:p>
    <w:tbl>
      <w:tblPr>
        <w:tblW w:w="4994" w:type="pct"/>
        <w:tblInd w:w="10" w:type="dxa"/>
        <w:tblLook w:val="04A0" w:firstRow="1" w:lastRow="0" w:firstColumn="1" w:lastColumn="0" w:noHBand="0" w:noVBand="1"/>
      </w:tblPr>
      <w:tblGrid>
        <w:gridCol w:w="7972"/>
        <w:gridCol w:w="804"/>
      </w:tblGrid>
      <w:tr w:rsidR="00161F66" w:rsidRPr="00875A01" w14:paraId="2684A4EF" w14:textId="77777777" w:rsidTr="00F01ACA">
        <w:tc>
          <w:tcPr>
            <w:tcW w:w="7973" w:type="dxa"/>
            <w:shd w:val="clear" w:color="auto" w:fill="auto"/>
            <w:vAlign w:val="center"/>
          </w:tcPr>
          <w:p w14:paraId="3F27E16B" w14:textId="77777777" w:rsidR="00161F66" w:rsidRPr="00875A01" w:rsidRDefault="00000000" w:rsidP="00F01ACA">
            <w:pPr>
              <w:pStyle w:val="CETEquation"/>
              <w:jc w:val="center"/>
              <w:rPr>
                <w:rFonts w:ascii="Cambria Math" w:hAnsi="Cambria Math"/>
                <w:lang w:val="en-US"/>
                <w:oMath/>
              </w:rPr>
            </w:pPr>
            <m:oMathPara>
              <m:oMath>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e>
                    </m:d>
                  </m:e>
                  <m:sub>
                    <m:r>
                      <w:rPr>
                        <w:rFonts w:ascii="Cambria Math" w:hAnsi="Cambria Math"/>
                        <w:lang w:val="en-US"/>
                      </w:rPr>
                      <m:t>t=0</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up>
                    <m:r>
                      <w:rPr>
                        <w:rFonts w:ascii="Cambria Math" w:hAnsi="Cambria Math"/>
                        <w:lang w:val="en-US"/>
                      </w:rPr>
                      <m:t>0</m:t>
                    </m:r>
                  </m:sup>
                </m:sSubSup>
                <m:r>
                  <w:rPr>
                    <w:rFonts w:ascii="Cambria Math" w:hAnsi="Cambria Math"/>
                    <w:lang w:val="en-US"/>
                  </w:rPr>
                  <m:t>=0</m:t>
                </m:r>
              </m:oMath>
            </m:oMathPara>
          </w:p>
        </w:tc>
        <w:tc>
          <w:tcPr>
            <w:tcW w:w="804" w:type="dxa"/>
            <w:shd w:val="clear" w:color="auto" w:fill="auto"/>
            <w:vAlign w:val="center"/>
          </w:tcPr>
          <w:p w14:paraId="77FFAC5F" w14:textId="61DAF05D" w:rsidR="00161F66" w:rsidRPr="00875A01" w:rsidRDefault="00161F66" w:rsidP="00F01ACA">
            <w:pPr>
              <w:pStyle w:val="CETEquation"/>
              <w:jc w:val="right"/>
              <w:rPr>
                <w:lang w:val="en-US"/>
              </w:rPr>
            </w:pPr>
            <w:r w:rsidRPr="00875A01">
              <w:rPr>
                <w:lang w:val="en-US"/>
              </w:rPr>
              <w:t>(</w:t>
            </w:r>
            <w:r w:rsidR="007F06FA" w:rsidRPr="00875A01">
              <w:rPr>
                <w:lang w:val="en-US"/>
              </w:rPr>
              <w:t>9</w:t>
            </w:r>
            <w:r w:rsidRPr="00875A01">
              <w:rPr>
                <w:lang w:val="en-US"/>
              </w:rPr>
              <w:t>)</w:t>
            </w:r>
          </w:p>
        </w:tc>
      </w:tr>
      <w:tr w:rsidR="00161F66" w:rsidRPr="00875A01" w14:paraId="217C8389" w14:textId="77777777" w:rsidTr="00F01ACA">
        <w:tc>
          <w:tcPr>
            <w:tcW w:w="7973" w:type="dxa"/>
            <w:shd w:val="clear" w:color="auto" w:fill="auto"/>
            <w:vAlign w:val="center"/>
          </w:tcPr>
          <w:p w14:paraId="49B8385E" w14:textId="77777777" w:rsidR="00161F66" w:rsidRPr="00875A01" w:rsidRDefault="00000000" w:rsidP="00F01ACA">
            <w:pPr>
              <w:pStyle w:val="CETEquation"/>
              <w:jc w:val="center"/>
              <w:rPr>
                <w:rFonts w:ascii="Cambria Math" w:hAnsi="Cambria Math"/>
                <w:lang w:val="en-US"/>
                <w:oMath/>
              </w:rPr>
            </w:pPr>
            <m:oMathPara>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T</m:t>
                        </m:r>
                      </m:e>
                    </m:d>
                  </m:e>
                  <m:sub>
                    <m:r>
                      <w:rPr>
                        <w:rFonts w:ascii="Cambria Math" w:hAnsi="Cambria Math"/>
                        <w:lang w:val="en-US"/>
                      </w:rPr>
                      <m:t>t=0</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m:t>
                            </m:r>
                          </m:sub>
                        </m:sSub>
                      </m:e>
                    </m:d>
                  </m:e>
                  <m:sub>
                    <m:r>
                      <w:rPr>
                        <w:rFonts w:ascii="Cambria Math" w:hAnsi="Cambria Math"/>
                        <w:lang w:val="en-US"/>
                      </w:rPr>
                      <m:t>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m:t>
                    </m:r>
                  </m:sub>
                </m:sSub>
              </m:oMath>
            </m:oMathPara>
          </w:p>
        </w:tc>
        <w:tc>
          <w:tcPr>
            <w:tcW w:w="804" w:type="dxa"/>
            <w:shd w:val="clear" w:color="auto" w:fill="auto"/>
            <w:vAlign w:val="center"/>
          </w:tcPr>
          <w:p w14:paraId="3B575C4B" w14:textId="06033CE0" w:rsidR="00161F66" w:rsidRPr="00875A01" w:rsidRDefault="00161F66" w:rsidP="00F01ACA">
            <w:pPr>
              <w:pStyle w:val="CETEquation"/>
              <w:jc w:val="right"/>
              <w:rPr>
                <w:lang w:val="en-US"/>
              </w:rPr>
            </w:pPr>
            <w:r w:rsidRPr="00875A01">
              <w:rPr>
                <w:lang w:val="en-US"/>
              </w:rPr>
              <w:t>(</w:t>
            </w:r>
            <w:r w:rsidR="007F06FA" w:rsidRPr="00875A01">
              <w:rPr>
                <w:lang w:val="en-US"/>
              </w:rPr>
              <w:t>10</w:t>
            </w:r>
            <w:r w:rsidRPr="00875A01">
              <w:rPr>
                <w:lang w:val="en-US"/>
              </w:rPr>
              <w:t>)</w:t>
            </w:r>
          </w:p>
        </w:tc>
      </w:tr>
    </w:tbl>
    <w:p w14:paraId="40CEF3E3" w14:textId="5A85C9F4" w:rsidR="00161F66" w:rsidRPr="00875A01" w:rsidRDefault="00161F66" w:rsidP="00161F66">
      <w:pPr>
        <w:pStyle w:val="Paragrafoelenco"/>
        <w:spacing w:line="276" w:lineRule="auto"/>
        <w:ind w:left="0"/>
        <w:rPr>
          <w:lang w:val="en-US"/>
        </w:rPr>
      </w:pPr>
      <w:r w:rsidRPr="00875A01">
        <w:rPr>
          <w:rStyle w:val="CETBodytextCarattere"/>
        </w:rPr>
        <w:t xml:space="preserve">The boundary conditions are set for </w:t>
      </w:r>
      <m:oMath>
        <m:r>
          <w:rPr>
            <w:rFonts w:ascii="Cambria Math" w:hAnsi="Cambria Math"/>
            <w:lang w:val="en-US"/>
          </w:rPr>
          <m:t>z=0</m:t>
        </m:r>
      </m:oMath>
      <w:r w:rsidR="00C74E63" w:rsidRPr="00875A01">
        <w:rPr>
          <w:lang w:val="en-US"/>
        </w:rPr>
        <w:t xml:space="preserve"> and </w:t>
      </w:r>
      <m:oMath>
        <m:r>
          <w:rPr>
            <w:rFonts w:ascii="Cambria Math" w:hAnsi="Cambria Math"/>
            <w:lang w:val="en-US"/>
          </w:rPr>
          <m:t>z=L</m:t>
        </m:r>
      </m:oMath>
      <w:r w:rsidR="00C74E63" w:rsidRPr="00875A01">
        <w:rPr>
          <w:lang w:val="en-US"/>
        </w:rPr>
        <w:t>.</w:t>
      </w:r>
      <w:r w:rsidRPr="00875A01">
        <w:rPr>
          <w:lang w:val="en-US"/>
        </w:rPr>
        <w:t xml:space="preserve"> At the </w:t>
      </w:r>
      <w:r w:rsidR="00AB6AAD" w:rsidRPr="00875A01">
        <w:rPr>
          <w:lang w:val="en-US"/>
        </w:rPr>
        <w:t xml:space="preserve">reactor </w:t>
      </w:r>
      <w:r w:rsidRPr="00875A01">
        <w:rPr>
          <w:lang w:val="en-US"/>
        </w:rPr>
        <w:t xml:space="preserve">inlet, </w:t>
      </w:r>
      <w:r w:rsidR="00826182">
        <w:rPr>
          <w:lang w:val="en-US"/>
        </w:rPr>
        <w:t xml:space="preserve">the </w:t>
      </w:r>
      <w:proofErr w:type="spellStart"/>
      <w:r w:rsidRPr="00875A01">
        <w:rPr>
          <w:lang w:val="en-US"/>
        </w:rPr>
        <w:t>Danckwerts</w:t>
      </w:r>
      <w:proofErr w:type="spellEnd"/>
      <w:r w:rsidRPr="00875A01">
        <w:rPr>
          <w:lang w:val="en-US"/>
        </w:rPr>
        <w:t xml:space="preserve"> boundary condition type is supposed to be valid for </w:t>
      </w:r>
      <w:proofErr w:type="gramStart"/>
      <w:r w:rsidRPr="00875A01">
        <w:rPr>
          <w:lang w:val="en-US"/>
        </w:rPr>
        <w:t>the mass</w:t>
      </w:r>
      <w:proofErr w:type="gramEnd"/>
      <w:r w:rsidRPr="00875A01">
        <w:rPr>
          <w:lang w:val="en-US"/>
        </w:rPr>
        <w:t xml:space="preserve"> </w:t>
      </w:r>
      <w:r w:rsidR="00FB1218" w:rsidRPr="00875A01">
        <w:rPr>
          <w:lang w:val="en-US"/>
        </w:rPr>
        <w:t>conservation</w:t>
      </w:r>
      <w:r w:rsidRPr="00875A01">
        <w:rPr>
          <w:lang w:val="en-US"/>
        </w:rPr>
        <w:t xml:space="preserve">, </w:t>
      </w:r>
      <w:r w:rsidR="00FB1218" w:rsidRPr="00875A01">
        <w:rPr>
          <w:lang w:val="en-US"/>
        </w:rPr>
        <w:t>while for the enthalpy balance the temperature is specified as the adsorption temperature (Dirichlet boundary condition):</w:t>
      </w:r>
    </w:p>
    <w:tbl>
      <w:tblPr>
        <w:tblW w:w="4991" w:type="pct"/>
        <w:tblInd w:w="15" w:type="dxa"/>
        <w:tblLook w:val="04A0" w:firstRow="1" w:lastRow="0" w:firstColumn="1" w:lastColumn="0" w:noHBand="0" w:noVBand="1"/>
      </w:tblPr>
      <w:tblGrid>
        <w:gridCol w:w="7967"/>
        <w:gridCol w:w="804"/>
      </w:tblGrid>
      <w:tr w:rsidR="00161F66" w:rsidRPr="00875A01" w14:paraId="353E39E0" w14:textId="77777777" w:rsidTr="00F01ACA">
        <w:tc>
          <w:tcPr>
            <w:tcW w:w="7967" w:type="dxa"/>
            <w:shd w:val="clear" w:color="auto" w:fill="auto"/>
            <w:vAlign w:val="center"/>
          </w:tcPr>
          <w:p w14:paraId="5E6F327D" w14:textId="4906A134" w:rsidR="00161F66" w:rsidRPr="00875A01" w:rsidRDefault="00161F66" w:rsidP="00F01ACA">
            <w:pPr>
              <w:pStyle w:val="CETEquation"/>
              <w:jc w:val="center"/>
              <w:rPr>
                <w:rFonts w:ascii="Cambria Math" w:hAnsi="Cambria Math"/>
                <w:lang w:val="en-US"/>
                <w:oMath/>
              </w:rPr>
            </w:pPr>
            <m:oMath>
              <m:r>
                <m:rPr>
                  <m:sty m:val="bi"/>
                </m:rPr>
                <w:rPr>
                  <w:rFonts w:ascii="Cambria Math" w:hAnsi="Cambria Math"/>
                  <w:lang w:val="en-US"/>
                </w:rPr>
                <m:t>n</m:t>
              </m:r>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m:rPr>
                      <m:sty m:val="b"/>
                    </m:rP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w:rPr>
                      <w:rFonts w:ascii="Cambria Math" w:hAnsi="Cambria Math"/>
                      <w:lang w:val="en-US"/>
                    </w:rPr>
                    <m:t>+</m:t>
                  </m:r>
                  <m:r>
                    <m:rPr>
                      <m:sty m:val="bi"/>
                    </m:rPr>
                    <w:rPr>
                      <w:rFonts w:ascii="Cambria Math" w:hAnsi="Cambria Math"/>
                      <w:lang w:val="en-US"/>
                    </w:rPr>
                    <m:t>u</m:t>
                  </m:r>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e>
              </m:d>
              <m:r>
                <w:rPr>
                  <w:rFonts w:ascii="Cambria Math" w:hAnsi="Cambria Math"/>
                  <w:lang w:val="en-US"/>
                </w:rPr>
                <m:t>=</m:t>
              </m:r>
              <m:r>
                <m:rPr>
                  <m:sty m:val="bi"/>
                </m:rPr>
                <w:rPr>
                  <w:rFonts w:ascii="Cambria Math" w:hAnsi="Cambria Math"/>
                  <w:lang w:val="en-US"/>
                </w:rPr>
                <m:t>n</m:t>
              </m:r>
              <m:r>
                <w:rPr>
                  <w:rFonts w:ascii="Cambria Math" w:hAnsi="Cambria Math"/>
                  <w:lang w:val="en-US"/>
                </w:rPr>
                <m:t>∙(</m:t>
              </m:r>
              <m:r>
                <m:rPr>
                  <m:sty m:val="bi"/>
                </m:rPr>
                <w:rPr>
                  <w:rFonts w:ascii="Cambria Math" w:hAnsi="Cambria Math"/>
                  <w:lang w:val="en-US"/>
                </w:rPr>
                <m:t>u</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up>
                  <m:r>
                    <w:rPr>
                      <w:rFonts w:ascii="Cambria Math" w:hAnsi="Cambria Math"/>
                      <w:lang w:val="en-US"/>
                    </w:rPr>
                    <m:t>in</m:t>
                  </m:r>
                </m:sup>
              </m:sSubSup>
              <m:r>
                <w:rPr>
                  <w:rFonts w:ascii="Cambria Math" w:hAnsi="Cambria Math"/>
                  <w:lang w:val="en-US"/>
                </w:rPr>
                <m:t>)</m:t>
              </m:r>
            </m:oMath>
            <w:r w:rsidRPr="00875A01">
              <w:rPr>
                <w:lang w:val="en-US"/>
              </w:rPr>
              <w:t xml:space="preserve">  for </w:t>
            </w:r>
            <m:oMath>
              <m:r>
                <w:rPr>
                  <w:rFonts w:ascii="Cambria Math" w:hAnsi="Cambria Math"/>
                  <w:lang w:val="en-US"/>
                </w:rPr>
                <m:t>z=0</m:t>
              </m:r>
            </m:oMath>
          </w:p>
        </w:tc>
        <w:tc>
          <w:tcPr>
            <w:tcW w:w="804" w:type="dxa"/>
            <w:shd w:val="clear" w:color="auto" w:fill="auto"/>
            <w:vAlign w:val="center"/>
          </w:tcPr>
          <w:p w14:paraId="6AF0DC3E" w14:textId="63D15C18" w:rsidR="00161F66" w:rsidRPr="00875A01" w:rsidRDefault="00161F66" w:rsidP="00F01ACA">
            <w:pPr>
              <w:pStyle w:val="CETEquation"/>
              <w:jc w:val="right"/>
              <w:rPr>
                <w:lang w:val="en-US"/>
              </w:rPr>
            </w:pPr>
            <w:r w:rsidRPr="00875A01">
              <w:rPr>
                <w:lang w:val="en-US"/>
              </w:rPr>
              <w:t>(1</w:t>
            </w:r>
            <w:r w:rsidR="00297F17" w:rsidRPr="00875A01">
              <w:rPr>
                <w:lang w:val="en-US"/>
              </w:rPr>
              <w:t>1</w:t>
            </w:r>
            <w:r w:rsidRPr="00875A01">
              <w:rPr>
                <w:lang w:val="en-US"/>
              </w:rPr>
              <w:t>)</w:t>
            </w:r>
          </w:p>
        </w:tc>
      </w:tr>
      <w:tr w:rsidR="00161F66" w:rsidRPr="00875A01" w14:paraId="473F2FA4" w14:textId="77777777" w:rsidTr="00F01ACA">
        <w:tc>
          <w:tcPr>
            <w:tcW w:w="7967" w:type="dxa"/>
            <w:shd w:val="clear" w:color="auto" w:fill="auto"/>
            <w:vAlign w:val="center"/>
          </w:tcPr>
          <w:p w14:paraId="2F3F09E3" w14:textId="44B8ED72" w:rsidR="00161F66" w:rsidRPr="00875A01" w:rsidRDefault="00000000" w:rsidP="00894C76">
            <w:pPr>
              <w:pStyle w:val="CETEquation"/>
              <w:spacing w:before="60"/>
              <w:jc w:val="center"/>
              <w:rPr>
                <w:rFonts w:ascii="Cambria Math" w:hAnsi="Cambria Math"/>
                <w:lang w:val="en-US"/>
                <w:oMath/>
              </w:rPr>
            </w:pPr>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T</m:t>
                      </m:r>
                    </m:e>
                  </m:d>
                </m:e>
                <m:sub>
                  <m:r>
                    <w:rPr>
                      <w:rFonts w:ascii="Cambria Math" w:hAnsi="Cambria Math"/>
                      <w:lang w:val="en-US"/>
                    </w:rPr>
                    <m:t>z=0</m:t>
                  </m:r>
                </m:sub>
              </m:sSub>
              <m:r>
                <m:rPr>
                  <m:sty m:val="bi"/>
                </m:rP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r</m:t>
                  </m:r>
                </m:sub>
              </m:sSub>
            </m:oMath>
            <w:r w:rsidR="002856B5" w:rsidRPr="00875A01">
              <w:rPr>
                <w:lang w:val="en-US"/>
              </w:rPr>
              <w:t xml:space="preserve">  for </w:t>
            </w:r>
            <m:oMath>
              <m:r>
                <w:rPr>
                  <w:rFonts w:ascii="Cambria Math" w:hAnsi="Cambria Math"/>
                  <w:lang w:val="en-US"/>
                </w:rPr>
                <m:t>z=0</m:t>
              </m:r>
            </m:oMath>
          </w:p>
        </w:tc>
        <w:tc>
          <w:tcPr>
            <w:tcW w:w="804" w:type="dxa"/>
            <w:shd w:val="clear" w:color="auto" w:fill="auto"/>
            <w:vAlign w:val="center"/>
          </w:tcPr>
          <w:p w14:paraId="206B1632" w14:textId="77BEE9D0" w:rsidR="00161F66" w:rsidRPr="00875A01" w:rsidRDefault="00161F66" w:rsidP="00894C76">
            <w:pPr>
              <w:pStyle w:val="CETEquation"/>
              <w:spacing w:before="60"/>
              <w:jc w:val="right"/>
              <w:rPr>
                <w:lang w:val="en-US"/>
              </w:rPr>
            </w:pPr>
            <w:r w:rsidRPr="00875A01">
              <w:rPr>
                <w:lang w:val="en-US"/>
              </w:rPr>
              <w:t>(1</w:t>
            </w:r>
            <w:r w:rsidR="00297F17" w:rsidRPr="00875A01">
              <w:rPr>
                <w:lang w:val="en-US"/>
              </w:rPr>
              <w:t>2</w:t>
            </w:r>
            <w:r w:rsidRPr="00875A01">
              <w:rPr>
                <w:lang w:val="en-US"/>
              </w:rPr>
              <w:t>)</w:t>
            </w:r>
          </w:p>
        </w:tc>
      </w:tr>
    </w:tbl>
    <w:p w14:paraId="5E137840" w14:textId="02423C28" w:rsidR="00161F66" w:rsidRPr="00875A01" w:rsidRDefault="00161F66" w:rsidP="00161F66">
      <w:pPr>
        <w:pStyle w:val="Paragrafoelenco"/>
        <w:spacing w:line="276" w:lineRule="auto"/>
        <w:ind w:left="0"/>
        <w:rPr>
          <w:rStyle w:val="CETBodytextCarattere"/>
        </w:rPr>
      </w:pPr>
      <w:r w:rsidRPr="00875A01">
        <w:rPr>
          <w:rStyle w:val="CETBodytextCarattere"/>
        </w:rPr>
        <w:t>At the exit of the reactor</w:t>
      </w:r>
      <w:r w:rsidR="0062110A" w:rsidRPr="00875A01">
        <w:rPr>
          <w:rStyle w:val="CETBodytextCarattere"/>
        </w:rPr>
        <w:t>,</w:t>
      </w:r>
      <w:r w:rsidRPr="00875A01">
        <w:rPr>
          <w:rStyle w:val="CETBodytextCarattere"/>
        </w:rPr>
        <w:t xml:space="preserve"> </w:t>
      </w:r>
      <w:r w:rsidR="0062110A" w:rsidRPr="00875A01">
        <w:rPr>
          <w:rStyle w:val="CETBodytextCarattere"/>
        </w:rPr>
        <w:t xml:space="preserve">the Neuman </w:t>
      </w:r>
      <w:r w:rsidRPr="00875A01">
        <w:rPr>
          <w:rStyle w:val="CETBodytextCarattere"/>
        </w:rPr>
        <w:t>boundary condition has been applied to ensure no concentration gradients normal to the boundary and</w:t>
      </w:r>
      <w:r w:rsidR="009B458F" w:rsidRPr="00875A01">
        <w:rPr>
          <w:rStyle w:val="CETBodytextCarattere"/>
        </w:rPr>
        <w:t>,</w:t>
      </w:r>
      <w:r w:rsidRPr="00875A01">
        <w:rPr>
          <w:rStyle w:val="CETBodytextCarattere"/>
        </w:rPr>
        <w:t xml:space="preserve"> therefore</w:t>
      </w:r>
      <w:r w:rsidR="009B458F" w:rsidRPr="00875A01">
        <w:rPr>
          <w:rStyle w:val="CETBodytextCarattere"/>
        </w:rPr>
        <w:t>,</w:t>
      </w:r>
      <w:r w:rsidRPr="00875A01">
        <w:rPr>
          <w:rStyle w:val="CETBodytextCarattere"/>
        </w:rPr>
        <w:t xml:space="preserve"> no backflow effect</w:t>
      </w:r>
      <w:r w:rsidR="009B458F" w:rsidRPr="00875A01">
        <w:rPr>
          <w:rStyle w:val="CETBodytextCarattere"/>
        </w:rPr>
        <w:t xml:space="preserve"> (the CO</w:t>
      </w:r>
      <w:r w:rsidR="009B458F" w:rsidRPr="00875A01">
        <w:rPr>
          <w:rStyle w:val="CETBodytextCarattere"/>
          <w:vertAlign w:val="subscript"/>
        </w:rPr>
        <w:t>2</w:t>
      </w:r>
      <w:r w:rsidR="009B458F" w:rsidRPr="00875A01">
        <w:rPr>
          <w:rStyle w:val="CETBodytextCarattere"/>
        </w:rPr>
        <w:t xml:space="preserve"> is assumed to leave the reactor entirely with the convective flow):</w:t>
      </w:r>
    </w:p>
    <w:tbl>
      <w:tblPr>
        <w:tblW w:w="4994" w:type="pct"/>
        <w:tblInd w:w="10" w:type="dxa"/>
        <w:tblLook w:val="04A0" w:firstRow="1" w:lastRow="0" w:firstColumn="1" w:lastColumn="0" w:noHBand="0" w:noVBand="1"/>
      </w:tblPr>
      <w:tblGrid>
        <w:gridCol w:w="7972"/>
        <w:gridCol w:w="804"/>
      </w:tblGrid>
      <w:tr w:rsidR="00161F66" w:rsidRPr="00875A01" w14:paraId="5D952F96" w14:textId="77777777" w:rsidTr="009A36E9">
        <w:tc>
          <w:tcPr>
            <w:tcW w:w="7972" w:type="dxa"/>
            <w:shd w:val="clear" w:color="auto" w:fill="auto"/>
            <w:vAlign w:val="center"/>
          </w:tcPr>
          <w:p w14:paraId="2BF908A4" w14:textId="2162E75D" w:rsidR="00161F66" w:rsidRPr="00875A01" w:rsidRDefault="00161F66" w:rsidP="00952E22">
            <w:pPr>
              <w:pStyle w:val="CETEquation"/>
              <w:spacing w:before="0"/>
              <w:jc w:val="center"/>
              <w:rPr>
                <w:rFonts w:ascii="Cambria Math" w:hAnsi="Cambria Math"/>
                <w:lang w:val="en-US"/>
                <w:oMath/>
              </w:rPr>
            </w:pPr>
            <m:oMath>
              <m:r>
                <m:rPr>
                  <m:sty m:val="bi"/>
                </m:rPr>
                <w:rPr>
                  <w:rFonts w:ascii="Cambria Math" w:hAnsi="Cambria Math"/>
                  <w:lang w:val="en-US"/>
                </w:rPr>
                <m:t>n</m:t>
              </m:r>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m:rPr>
                  <m:sty m:val="b"/>
                </m:rP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sub>
              </m:sSub>
              <m:r>
                <w:rPr>
                  <w:rFonts w:ascii="Cambria Math" w:hAnsi="Cambria Math"/>
                  <w:lang w:val="en-US"/>
                </w:rPr>
                <m:t>=0</m:t>
              </m:r>
            </m:oMath>
            <w:r w:rsidRPr="00875A01">
              <w:rPr>
                <w:lang w:val="en-US"/>
              </w:rPr>
              <w:t xml:space="preserve">  for </w:t>
            </w:r>
            <m:oMath>
              <m:r>
                <w:rPr>
                  <w:rFonts w:ascii="Cambria Math" w:hAnsi="Cambria Math"/>
                  <w:lang w:val="en-US"/>
                </w:rPr>
                <m:t>z=L</m:t>
              </m:r>
            </m:oMath>
          </w:p>
        </w:tc>
        <w:tc>
          <w:tcPr>
            <w:tcW w:w="804" w:type="dxa"/>
            <w:shd w:val="clear" w:color="auto" w:fill="auto"/>
            <w:vAlign w:val="center"/>
          </w:tcPr>
          <w:p w14:paraId="0BCD49CF" w14:textId="4C649875" w:rsidR="00161F66" w:rsidRPr="00875A01" w:rsidRDefault="00161F66" w:rsidP="00952E22">
            <w:pPr>
              <w:pStyle w:val="CETEquation"/>
              <w:spacing w:before="0"/>
              <w:jc w:val="right"/>
              <w:rPr>
                <w:lang w:val="en-US"/>
              </w:rPr>
            </w:pPr>
            <w:r w:rsidRPr="00875A01">
              <w:rPr>
                <w:lang w:val="en-US"/>
              </w:rPr>
              <w:t>(1</w:t>
            </w:r>
            <w:r w:rsidR="00DF711D" w:rsidRPr="00875A01">
              <w:rPr>
                <w:lang w:val="en-US"/>
              </w:rPr>
              <w:t>3</w:t>
            </w:r>
            <w:r w:rsidRPr="00875A01">
              <w:rPr>
                <w:lang w:val="en-US"/>
              </w:rPr>
              <w:t>)</w:t>
            </w:r>
          </w:p>
        </w:tc>
      </w:tr>
    </w:tbl>
    <w:p w14:paraId="7120576E" w14:textId="55ECD747" w:rsidR="009A36E9" w:rsidRPr="00875A01" w:rsidRDefault="009A36E9" w:rsidP="009A36E9">
      <w:pPr>
        <w:pStyle w:val="Paragrafoelenco"/>
        <w:spacing w:line="276" w:lineRule="auto"/>
        <w:ind w:left="0"/>
        <w:rPr>
          <w:rStyle w:val="CETBodytextCarattere"/>
        </w:rPr>
      </w:pPr>
      <w:r w:rsidRPr="00875A01">
        <w:rPr>
          <w:rStyle w:val="CETBodytextCarattere"/>
        </w:rPr>
        <w:t>For the enthalpy balance, the Neuman boundary conditions are assumed at the exit of the reactor, considering no net heat transfer across the outlet of the reactor:</w:t>
      </w:r>
    </w:p>
    <w:tbl>
      <w:tblPr>
        <w:tblW w:w="4994" w:type="pct"/>
        <w:tblInd w:w="10" w:type="dxa"/>
        <w:tblLook w:val="04A0" w:firstRow="1" w:lastRow="0" w:firstColumn="1" w:lastColumn="0" w:noHBand="0" w:noVBand="1"/>
      </w:tblPr>
      <w:tblGrid>
        <w:gridCol w:w="7972"/>
        <w:gridCol w:w="804"/>
      </w:tblGrid>
      <w:tr w:rsidR="00161F66" w:rsidRPr="00875A01" w14:paraId="78FE1A90" w14:textId="77777777" w:rsidTr="00F81657">
        <w:tc>
          <w:tcPr>
            <w:tcW w:w="7972" w:type="dxa"/>
            <w:shd w:val="clear" w:color="auto" w:fill="auto"/>
            <w:vAlign w:val="center"/>
          </w:tcPr>
          <w:p w14:paraId="67E7EF42" w14:textId="14B889D9" w:rsidR="00161F66" w:rsidRPr="00875A01" w:rsidRDefault="007A0B67" w:rsidP="00894C76">
            <w:pPr>
              <w:pStyle w:val="CETEquation"/>
              <w:spacing w:before="60"/>
              <w:jc w:val="center"/>
              <w:rPr>
                <w:rFonts w:ascii="Cambria Math" w:hAnsi="Cambria Math"/>
                <w:lang w:val="en-US"/>
                <w:oMath/>
              </w:rPr>
            </w:pPr>
            <m:oMath>
              <m:r>
                <m:rPr>
                  <m:sty m:val="bi"/>
                </m:rPr>
                <w:rPr>
                  <w:rFonts w:ascii="Cambria Math" w:hAnsi="Cambria Math"/>
                  <w:lang w:val="en-US"/>
                </w:rPr>
                <m:t>-n</m:t>
              </m:r>
              <m:r>
                <w:rPr>
                  <w:rFonts w:ascii="Cambria Math" w:hAnsi="Cambria Math"/>
                  <w:lang w:val="en-US"/>
                </w:rPr>
                <m:t>∙</m:t>
              </m:r>
              <m:r>
                <m:rPr>
                  <m:sty m:val="bi"/>
                </m:rPr>
                <w:rPr>
                  <w:rFonts w:ascii="Cambria Math" w:hAnsi="Cambria Math"/>
                  <w:lang w:val="en-US"/>
                </w:rPr>
                <m:t>q</m:t>
              </m:r>
              <m:r>
                <w:rPr>
                  <w:rFonts w:ascii="Cambria Math" w:hAnsi="Cambria Math"/>
                  <w:lang w:val="en-US"/>
                </w:rPr>
                <m:t>=0</m:t>
              </m:r>
            </m:oMath>
            <w:r w:rsidR="00161F66" w:rsidRPr="00875A01">
              <w:rPr>
                <w:lang w:val="en-US"/>
              </w:rPr>
              <w:t xml:space="preserve">  for </w:t>
            </w:r>
            <m:oMath>
              <m:r>
                <w:rPr>
                  <w:rFonts w:ascii="Cambria Math" w:hAnsi="Cambria Math"/>
                  <w:lang w:val="en-US"/>
                </w:rPr>
                <m:t>z=L</m:t>
              </m:r>
            </m:oMath>
          </w:p>
        </w:tc>
        <w:tc>
          <w:tcPr>
            <w:tcW w:w="804" w:type="dxa"/>
            <w:shd w:val="clear" w:color="auto" w:fill="auto"/>
            <w:vAlign w:val="center"/>
          </w:tcPr>
          <w:p w14:paraId="47D2B1DC" w14:textId="1E9B16E0" w:rsidR="00161F66" w:rsidRPr="00875A01" w:rsidRDefault="00161F66" w:rsidP="00894C76">
            <w:pPr>
              <w:pStyle w:val="CETEquation"/>
              <w:spacing w:before="60"/>
              <w:jc w:val="right"/>
              <w:rPr>
                <w:lang w:val="en-US"/>
              </w:rPr>
            </w:pPr>
            <w:r w:rsidRPr="00875A01">
              <w:rPr>
                <w:lang w:val="en-US"/>
              </w:rPr>
              <w:t>(1</w:t>
            </w:r>
            <w:r w:rsidR="00DF711D" w:rsidRPr="00875A01">
              <w:rPr>
                <w:lang w:val="en-US"/>
              </w:rPr>
              <w:t>4</w:t>
            </w:r>
            <w:r w:rsidRPr="00875A01">
              <w:rPr>
                <w:lang w:val="en-US"/>
              </w:rPr>
              <w:t>)</w:t>
            </w:r>
          </w:p>
        </w:tc>
      </w:tr>
    </w:tbl>
    <w:p w14:paraId="612624D9" w14:textId="1F53D39F" w:rsidR="000625A3" w:rsidRPr="00875A01" w:rsidRDefault="000625A3" w:rsidP="000625A3">
      <w:pPr>
        <w:pStyle w:val="CETBodytext"/>
        <w:rPr>
          <w:bCs/>
        </w:rPr>
      </w:pPr>
      <w:r w:rsidRPr="00875A01">
        <w:t xml:space="preserve">where </w:t>
      </w:r>
      <m:oMath>
        <m:r>
          <m:rPr>
            <m:sty m:val="bi"/>
          </m:rPr>
          <w:rPr>
            <w:rFonts w:ascii="Cambria Math" w:hAnsi="Cambria Math"/>
          </w:rPr>
          <m:t>q</m:t>
        </m:r>
      </m:oMath>
      <w:r w:rsidRPr="00875A01">
        <w:rPr>
          <w:b/>
        </w:rPr>
        <w:t xml:space="preserve"> </w:t>
      </w:r>
      <w:r w:rsidRPr="00875A01">
        <w:rPr>
          <w:bCs/>
        </w:rPr>
        <w:t>is the heat flux in (W/m</w:t>
      </w:r>
      <w:r w:rsidRPr="00875A01">
        <w:rPr>
          <w:bCs/>
          <w:vertAlign w:val="superscript"/>
        </w:rPr>
        <w:t>2</w:t>
      </w:r>
      <w:r w:rsidRPr="00875A01">
        <w:rPr>
          <w:bCs/>
        </w:rPr>
        <w:t>).</w:t>
      </w:r>
    </w:p>
    <w:p w14:paraId="12E95D71" w14:textId="3EFA5583" w:rsidR="00E34800" w:rsidRPr="00875A01" w:rsidRDefault="00E34800" w:rsidP="00E34800">
      <w:pPr>
        <w:pStyle w:val="CETHeading1"/>
      </w:pPr>
      <w:r w:rsidRPr="00875A01">
        <w:t>Results</w:t>
      </w:r>
      <w:r w:rsidR="00115A0F" w:rsidRPr="00875A01">
        <w:t xml:space="preserve"> and discussion</w:t>
      </w:r>
    </w:p>
    <w:p w14:paraId="750AB021" w14:textId="41847E2D" w:rsidR="00257E70" w:rsidRPr="00875A01" w:rsidRDefault="00257E70" w:rsidP="00E34800">
      <w:pPr>
        <w:pStyle w:val="CETheadingx"/>
        <w:rPr>
          <w:lang w:val="en-US"/>
        </w:rPr>
      </w:pPr>
      <w:r w:rsidRPr="00875A01">
        <w:rPr>
          <w:lang w:val="en-US"/>
        </w:rPr>
        <w:t>Parameters estimation</w:t>
      </w:r>
    </w:p>
    <w:p w14:paraId="0CD2CA3B" w14:textId="4F531F8B" w:rsidR="00257E70" w:rsidRPr="00875A01" w:rsidRDefault="00F764C4" w:rsidP="00985396">
      <w:pPr>
        <w:pStyle w:val="CETBodytext"/>
      </w:pPr>
      <w:r w:rsidRPr="00875A01">
        <w:rPr>
          <w:iCs/>
        </w:rPr>
        <w:t>For the simulation of the CO</w:t>
      </w:r>
      <w:r w:rsidRPr="00875A01">
        <w:rPr>
          <w:iCs/>
          <w:vertAlign w:val="subscript"/>
        </w:rPr>
        <w:t>2</w:t>
      </w:r>
      <w:r w:rsidRPr="00875A01">
        <w:rPr>
          <w:iCs/>
        </w:rPr>
        <w:t xml:space="preserve"> adsorption process in the fixed bed reactor, the kinetic parameters defined in section 3 </w:t>
      </w:r>
      <w:r w:rsidR="0029216C" w:rsidRPr="00875A01">
        <w:rPr>
          <w:iCs/>
        </w:rPr>
        <w:t>must be determined.</w:t>
      </w:r>
      <w:r w:rsidR="00985396" w:rsidRPr="00875A01">
        <w:rPr>
          <w:iCs/>
        </w:rPr>
        <w:t xml:space="preserve"> </w:t>
      </w:r>
      <w:r w:rsidR="0029216C" w:rsidRPr="00875A01">
        <w:rPr>
          <w:iCs/>
        </w:rPr>
        <w:t xml:space="preserve">These parameters depend on both </w:t>
      </w:r>
      <w:r w:rsidR="00985396" w:rsidRPr="00875A01">
        <w:rPr>
          <w:iCs/>
        </w:rPr>
        <w:t>CO</w:t>
      </w:r>
      <w:r w:rsidR="00985396" w:rsidRPr="00875A01">
        <w:rPr>
          <w:iCs/>
          <w:vertAlign w:val="subscript"/>
        </w:rPr>
        <w:t>2</w:t>
      </w:r>
      <w:r w:rsidR="00985396" w:rsidRPr="00875A01">
        <w:rPr>
          <w:iCs/>
        </w:rPr>
        <w:t xml:space="preserve"> </w:t>
      </w:r>
      <w:r w:rsidR="0029216C" w:rsidRPr="00875A01">
        <w:rPr>
          <w:iCs/>
        </w:rPr>
        <w:t xml:space="preserve">concentration and </w:t>
      </w:r>
      <w:r w:rsidR="00614221" w:rsidRPr="00875A01">
        <w:rPr>
          <w:iCs/>
        </w:rPr>
        <w:t>temperature;</w:t>
      </w:r>
      <w:r w:rsidR="00985396" w:rsidRPr="00875A01">
        <w:rPr>
          <w:iCs/>
        </w:rPr>
        <w:t xml:space="preserve"> thus</w:t>
      </w:r>
      <w:r w:rsidR="00614221" w:rsidRPr="00875A01">
        <w:rPr>
          <w:iCs/>
        </w:rPr>
        <w:t>,</w:t>
      </w:r>
      <w:r w:rsidR="00985396" w:rsidRPr="00875A01">
        <w:rPr>
          <w:iCs/>
        </w:rPr>
        <w:t xml:space="preserve"> they </w:t>
      </w:r>
      <w:r w:rsidR="0029216C" w:rsidRPr="00875A01">
        <w:rPr>
          <w:iCs/>
        </w:rPr>
        <w:t xml:space="preserve">vary spatially along the bed and </w:t>
      </w:r>
      <w:r w:rsidR="00614221" w:rsidRPr="00875A01">
        <w:rPr>
          <w:iCs/>
        </w:rPr>
        <w:t>over time</w:t>
      </w:r>
      <w:r w:rsidR="0029216C" w:rsidRPr="00875A01">
        <w:rPr>
          <w:iCs/>
        </w:rPr>
        <w:t xml:space="preserve">. Given the small reactor size, </w:t>
      </w:r>
      <w:r w:rsidR="003B0FD1" w:rsidRPr="00875A01">
        <w:rPr>
          <w:iCs/>
        </w:rPr>
        <w:t xml:space="preserve">the packed bed of pellets </w:t>
      </w:r>
      <w:r w:rsidR="00C87AEC" w:rsidRPr="00875A01">
        <w:rPr>
          <w:iCs/>
        </w:rPr>
        <w:t>has been</w:t>
      </w:r>
      <w:r w:rsidR="003B0FD1" w:rsidRPr="00875A01">
        <w:rPr>
          <w:iCs/>
        </w:rPr>
        <w:t xml:space="preserve"> </w:t>
      </w:r>
      <w:r w:rsidR="0029216C" w:rsidRPr="00875A01">
        <w:rPr>
          <w:iCs/>
        </w:rPr>
        <w:t>assume</w:t>
      </w:r>
      <w:r w:rsidR="003B0FD1" w:rsidRPr="00875A01">
        <w:rPr>
          <w:iCs/>
        </w:rPr>
        <w:t>d</w:t>
      </w:r>
      <w:r w:rsidR="0029216C" w:rsidRPr="00875A01">
        <w:rPr>
          <w:iCs/>
        </w:rPr>
        <w:t xml:space="preserve"> </w:t>
      </w:r>
      <w:r w:rsidR="00114BEF" w:rsidRPr="00875A01">
        <w:rPr>
          <w:iCs/>
        </w:rPr>
        <w:t>to be isothermal</w:t>
      </w:r>
      <w:r w:rsidR="0029216C" w:rsidRPr="00875A01">
        <w:rPr>
          <w:iCs/>
        </w:rPr>
        <w:t xml:space="preserve"> (a hypothesis later confirmed through a posteriori analysis). </w:t>
      </w:r>
      <w:r w:rsidR="0029216C" w:rsidRPr="00875A01">
        <w:t xml:space="preserve">However, the </w:t>
      </w:r>
      <w:r w:rsidR="00B91027">
        <w:t>parameters'</w:t>
      </w:r>
      <w:r w:rsidR="00114BEF" w:rsidRPr="00875A01">
        <w:t xml:space="preserve"> </w:t>
      </w:r>
      <w:r w:rsidR="0029216C" w:rsidRPr="00875A01">
        <w:t xml:space="preserve">dependence on </w:t>
      </w:r>
      <w:r w:rsidR="00F47414" w:rsidRPr="00875A01">
        <w:rPr>
          <w:iCs/>
        </w:rPr>
        <w:t>CO</w:t>
      </w:r>
      <w:r w:rsidR="00F47414" w:rsidRPr="00875A01">
        <w:rPr>
          <w:iCs/>
          <w:vertAlign w:val="subscript"/>
        </w:rPr>
        <w:t>2</w:t>
      </w:r>
      <w:r w:rsidR="00F47414" w:rsidRPr="00875A01">
        <w:t xml:space="preserve"> </w:t>
      </w:r>
      <w:r w:rsidR="0029216C" w:rsidRPr="00875A01">
        <w:t xml:space="preserve">concentration </w:t>
      </w:r>
      <w:r w:rsidR="00F47414" w:rsidRPr="00875A01">
        <w:t>result</w:t>
      </w:r>
      <w:r w:rsidR="006A22FA" w:rsidRPr="00875A01">
        <w:t>s</w:t>
      </w:r>
      <w:r w:rsidR="0029216C" w:rsidRPr="00875A01">
        <w:t xml:space="preserve"> complex: as the CO</w:t>
      </w:r>
      <w:r w:rsidR="0029216C" w:rsidRPr="00875A01">
        <w:rPr>
          <w:vertAlign w:val="subscript"/>
        </w:rPr>
        <w:t>2</w:t>
      </w:r>
      <w:r w:rsidR="0029216C" w:rsidRPr="00875A01">
        <w:t xml:space="preserve"> is adsorbed from the gas phase into the pellets, the concentration</w:t>
      </w:r>
      <w:r w:rsidR="00F47414" w:rsidRPr="00875A01">
        <w:t xml:space="preserve"> along the bed </w:t>
      </w:r>
      <w:r w:rsidR="009903F3" w:rsidRPr="00875A01">
        <w:t>length</w:t>
      </w:r>
      <w:r w:rsidR="0029216C" w:rsidRPr="00875A01">
        <w:t xml:space="preserve"> decreases, leading to non-linear changes in the kinetic parameters. The values of the diffusion coefficient and reaction-related parameters were estimated</w:t>
      </w:r>
      <w:r w:rsidR="004F6174" w:rsidRPr="00875A01">
        <w:t xml:space="preserve"> by performing a polynomial fitting of the kinetic data obtained by</w:t>
      </w:r>
      <w:r w:rsidR="00853BDD" w:rsidRPr="00875A01">
        <w:t xml:space="preserve"> a previous study</w:t>
      </w:r>
      <w:r w:rsidR="00C93D62" w:rsidRPr="00875A01">
        <w:t xml:space="preserve"> </w:t>
      </w:r>
      <w:r w:rsidR="00C93D62" w:rsidRPr="00875A01">
        <w:fldChar w:fldCharType="begin" w:fldLock="1"/>
      </w:r>
      <w:r w:rsidR="00C52520" w:rsidRPr="00875A01">
        <w:instrText>ADDIN CSL_CITATION {"citationItems":[{"id":"ITEM-1","itemData":{"DOI":"10.1016/j.fuel.2024.133161","ISSN":"00162361","abstract":"High-temperature CO2 removal by Li4SiO4-based sorbents is considered a promising carbon capture strategy to mitigate fossil-fueled process emissions owing to its high adsorption capacity and excellent stability. However, for application under low CO2 concentration, kinetic limitations can occur due to diffusion resistance through carbonation reaction solid products. Doping Li4SiO4 with alkali carbonates, such as K2CO3, can address this issue enhancing CO2 diffusion thanks to the formation of a molten eutectic layer. In this work, macro-porous pellets of Li4SiO4 doped with K2CO3 were produced and tested for CO2 capture at different adsorption temperatures and low CO2 concentrations (0.5–4 vol%). The pellets exhibited a maximum adsorption capacity of 137 mg CO2/g sorbent at 595 °C and 4 vol% CO2, and excellent stability for over 50 adsorption/desorption cycles. The reaction equilibrium and the adsorption profiles, in terms of both conversion and reaction rate evolution through time, have been analyzed to clarify the reaction mechanism. The results showed that the reaction rate increases with increasing Li4SiO4 conversion during the earliest stages of adsorption, where the process is chemical-controlled, highlighting the presence of a nucleation phase. Whereas, the reaction rate rapidly decreases with the conversion as CO2 diffusion takes control due to the presence of the product layer that covers the unreacted core of Li4SiO4. A kinetic analysis was then performed, aimed at developing a comprehensive phenomenological model for simulating the physical–chemical processes that occur during CO2 adsorption by K2CO3-doped Li4SiO4 sorbents in view of their industrial application. A new shrinking core-based model was developed, which describes the carbonation reaction with a unique kinetic equation capable of representing both the nucleation and diffusion regimes observed. The proposed model demonstrated excellent fitting to the experimental data obtained by adsorption tests, thus making it suitable for describing the CO2 adsorption process of K2CO3-doped Li4SiO4 sorbents and for predicting the adsorption parameters, as kinetic constants and CO2 diffusivity, in view of industrial-scale application of the sorbent in packed bed reactors.","author":[{"dropping-particle":"","family":"Stefanelli","given":"Eleonora","non-dropping-particle":"","parse-names":false,"suffix":""},{"dropping-particle":"","family":"Francalanci","given":"Flavio","non-dropping-particle":"","parse-names":false,"suffix":""},{"dropping-particle":"","family":"Vitolo","given":"Sandra","non-dropping-particle":"","parse-names":false,"suffix":""},{"dropping-particle":"","family":"Puccini","given":"Monica","non-dropping-particle":"","parse-names":false,"suffix":""}],"container-title":"Fuel","id":"ITEM-1","issued":{"date-parts":[["2025"]]},"page":"133161","publisher":"Elsevier Ltd","title":"Insights into adsorption mechanism and kinetic modeling of K&lt;sub&gt;2&lt;/sub&gt;CO&lt;sub&gt;3&lt;/sub&gt;-doped Li&lt;sub&gt;4&lt;/sub&gt;SiO&lt;sub&gt;4&lt;/sub&gt; pellets for CO&lt;sub&gt;2&lt;/sub&gt; capture at high temperature and low concentration","type":"article-journal","volume":"380"},"uris":["http://www.mendeley.com/documents/?uuid=1cfd550a-6924-4020-92cb-b7f86dd5a9c5"]}],"mendeley":{"formattedCitation":"(Stefanelli et al., 2025)","plainTextFormattedCitation":"(Stefanelli et al., 2025)","previouslyFormattedCitation":"(Stefanelli et al., 2025)"},"properties":{"noteIndex":0},"schema":"https://github.com/citation-style-language/schema/raw/master/csl-citation.json"}</w:instrText>
      </w:r>
      <w:r w:rsidR="00C93D62" w:rsidRPr="00875A01">
        <w:fldChar w:fldCharType="separate"/>
      </w:r>
      <w:r w:rsidR="00DF06C1" w:rsidRPr="00875A01">
        <w:rPr>
          <w:noProof/>
        </w:rPr>
        <w:t>(Stefanelli et al., 2025)</w:t>
      </w:r>
      <w:r w:rsidR="00C93D62" w:rsidRPr="00875A01">
        <w:fldChar w:fldCharType="end"/>
      </w:r>
      <w:r w:rsidR="004F6174" w:rsidRPr="00875A01">
        <w:t xml:space="preserve"> testing the pellets to CO</w:t>
      </w:r>
      <w:r w:rsidR="004F6174" w:rsidRPr="00875A01">
        <w:rPr>
          <w:vertAlign w:val="subscript"/>
        </w:rPr>
        <w:t>2</w:t>
      </w:r>
      <w:r w:rsidR="004F6174" w:rsidRPr="00875A01">
        <w:t xml:space="preserve"> adsorption in a gas</w:t>
      </w:r>
      <w:r w:rsidR="00853BDD" w:rsidRPr="00875A01">
        <w:t xml:space="preserve"> flow</w:t>
      </w:r>
      <w:r w:rsidR="004F6174" w:rsidRPr="00875A01">
        <w:t>-controlled environment (i.e.</w:t>
      </w:r>
      <w:r w:rsidR="00A23810">
        <w:t>,</w:t>
      </w:r>
      <w:r w:rsidR="004F6174" w:rsidRPr="00875A01">
        <w:t xml:space="preserve"> thermogravimetric analysis) </w:t>
      </w:r>
      <w:r w:rsidR="00964C29" w:rsidRPr="00875A01">
        <w:t>at different CO</w:t>
      </w:r>
      <w:r w:rsidR="00964C29" w:rsidRPr="00875A01">
        <w:rPr>
          <w:vertAlign w:val="subscript"/>
        </w:rPr>
        <w:t>2</w:t>
      </w:r>
      <w:r w:rsidR="00964C29" w:rsidRPr="00875A01">
        <w:t xml:space="preserve"> concentrations (</w:t>
      </w:r>
      <w:r w:rsidR="009F0904" w:rsidRPr="00875A01">
        <w:t>0.5-4 vol%</w:t>
      </w:r>
      <w:r w:rsidR="00964C29" w:rsidRPr="00875A01">
        <w:t>) and temperatures (</w:t>
      </w:r>
      <w:r w:rsidR="009F0904" w:rsidRPr="00875A01">
        <w:t>495-615 °C</w:t>
      </w:r>
      <w:r w:rsidR="00964C29" w:rsidRPr="00875A01">
        <w:t xml:space="preserve">). </w:t>
      </w:r>
      <w:r w:rsidR="0029216C" w:rsidRPr="00875A01">
        <w:t xml:space="preserve">The obtained </w:t>
      </w:r>
      <w:r w:rsidR="00964C29" w:rsidRPr="00875A01">
        <w:t>equations</w:t>
      </w:r>
      <w:r w:rsidR="0029216C" w:rsidRPr="00875A01">
        <w:t xml:space="preserve"> were implemented in</w:t>
      </w:r>
      <w:r w:rsidR="00964C29" w:rsidRPr="00875A01">
        <w:t xml:space="preserve"> the</w:t>
      </w:r>
      <w:r w:rsidR="0029216C" w:rsidRPr="00875A01">
        <w:t xml:space="preserve"> COMSOL Multiphysics</w:t>
      </w:r>
      <w:r w:rsidR="00AF6B01" w:rsidRPr="00875A01">
        <w:rPr>
          <w:vertAlign w:val="superscript"/>
        </w:rPr>
        <w:t>®</w:t>
      </w:r>
      <w:r w:rsidR="00964C29" w:rsidRPr="00875A01">
        <w:t xml:space="preserve"> simulation</w:t>
      </w:r>
      <w:r w:rsidR="0029216C" w:rsidRPr="00875A01">
        <w:t>.</w:t>
      </w:r>
    </w:p>
    <w:p w14:paraId="5E54F8B9" w14:textId="01704459" w:rsidR="00257E70" w:rsidRPr="00875A01" w:rsidRDefault="00644CC6" w:rsidP="00E34800">
      <w:pPr>
        <w:pStyle w:val="CETheadingx"/>
        <w:rPr>
          <w:lang w:val="en-US"/>
        </w:rPr>
      </w:pPr>
      <w:r w:rsidRPr="00875A01">
        <w:rPr>
          <w:lang w:val="en-US"/>
        </w:rPr>
        <w:t>Adsorption simulation and m</w:t>
      </w:r>
      <w:r w:rsidR="00257E70" w:rsidRPr="00875A01">
        <w:rPr>
          <w:lang w:val="en-US"/>
        </w:rPr>
        <w:t>odel validation</w:t>
      </w:r>
    </w:p>
    <w:p w14:paraId="3D415167" w14:textId="5F24E870" w:rsidR="00317EF9" w:rsidRPr="00875A01" w:rsidRDefault="00A10516" w:rsidP="00815D29">
      <w:pPr>
        <w:pStyle w:val="CETBodytext"/>
      </w:pPr>
      <w:r w:rsidRPr="00875A01">
        <w:t>The CO</w:t>
      </w:r>
      <w:r w:rsidRPr="00875A01">
        <w:rPr>
          <w:vertAlign w:val="subscript"/>
        </w:rPr>
        <w:t>2</w:t>
      </w:r>
      <w:r w:rsidRPr="00875A01">
        <w:t xml:space="preserve"> adsorption experiment in the fixed bed reactor at 4 vol% CO</w:t>
      </w:r>
      <w:r w:rsidRPr="00875A01">
        <w:rPr>
          <w:vertAlign w:val="subscript"/>
        </w:rPr>
        <w:t>2</w:t>
      </w:r>
      <w:r w:rsidRPr="00875A01">
        <w:t xml:space="preserve"> and 515 °C</w:t>
      </w:r>
      <w:r w:rsidR="008E42FF" w:rsidRPr="00875A01">
        <w:t xml:space="preserve"> (</w:t>
      </w:r>
      <w:r w:rsidR="008E42FF" w:rsidRPr="00875A01">
        <w:rPr>
          <w:i/>
          <w:iCs/>
        </w:rPr>
        <w:t>L</w:t>
      </w:r>
      <w:r w:rsidR="008E42FF" w:rsidRPr="00875A01">
        <w:t xml:space="preserve">= 2.5 cm, </w:t>
      </w:r>
      <w:r w:rsidR="008E42FF" w:rsidRPr="00875A01">
        <w:rPr>
          <w:i/>
          <w:iCs/>
        </w:rPr>
        <w:t>G</w:t>
      </w:r>
      <w:r w:rsidR="008E42FF" w:rsidRPr="00875A01">
        <w:rPr>
          <w:i/>
          <w:iCs/>
          <w:vertAlign w:val="subscript"/>
        </w:rPr>
        <w:t>in</w:t>
      </w:r>
      <w:r w:rsidR="008E42FF" w:rsidRPr="00875A01">
        <w:t>=260 mL/min)</w:t>
      </w:r>
      <w:r w:rsidRPr="00875A01">
        <w:t xml:space="preserve"> and the model simulation results are reported in Figure 2a</w:t>
      </w:r>
      <w:r w:rsidR="00D05905" w:rsidRPr="00875A01">
        <w:t xml:space="preserve"> in terms of CO</w:t>
      </w:r>
      <w:r w:rsidR="00D05905" w:rsidRPr="00875A01">
        <w:rPr>
          <w:vertAlign w:val="subscript"/>
        </w:rPr>
        <w:t>2</w:t>
      </w:r>
      <w:r w:rsidR="00D05905" w:rsidRPr="00875A01">
        <w:t xml:space="preserve"> outlet concentration versus time of adsorption</w:t>
      </w:r>
      <w:r w:rsidRPr="00875A01">
        <w:t>.</w:t>
      </w:r>
      <w:r w:rsidR="002A1E9B" w:rsidRPr="00875A01">
        <w:t xml:space="preserve"> As shown,</w:t>
      </w:r>
      <w:r w:rsidR="00C97456" w:rsidRPr="00875A01">
        <w:t xml:space="preserve"> by comparing simulation results with experimental data,</w:t>
      </w:r>
      <w:r w:rsidR="002A1E9B" w:rsidRPr="00875A01">
        <w:t xml:space="preserve"> the model</w:t>
      </w:r>
      <w:r w:rsidR="000C6F3A" w:rsidRPr="00875A01">
        <w:t xml:space="preserve"> demonstrat</w:t>
      </w:r>
      <w:r w:rsidR="00727021" w:rsidRPr="00875A01">
        <w:t>es</w:t>
      </w:r>
      <w:r w:rsidR="000C6F3A" w:rsidRPr="00875A01">
        <w:t xml:space="preserve"> excellent agreement with the experimental breakthrough curve, particularly </w:t>
      </w:r>
      <w:r w:rsidR="00317EF9" w:rsidRPr="00875A01">
        <w:t xml:space="preserve">for the first 140 min of adsorption. </w:t>
      </w:r>
      <w:r w:rsidR="00747C91" w:rsidRPr="00875A01">
        <w:t>Whereas, after this point, the model exhibits a lower accuracy in the prediction of the experimental data.</w:t>
      </w:r>
      <w:r w:rsidR="00562837" w:rsidRPr="00875A01">
        <w:t xml:space="preserve"> Figure 2b depicts the temperature profile along the reactor length at various times</w:t>
      </w:r>
      <w:r w:rsidR="0071727A" w:rsidRPr="00875A01">
        <w:t xml:space="preserve"> predicted by the model</w:t>
      </w:r>
      <w:r w:rsidR="00562837" w:rsidRPr="00875A01">
        <w:t xml:space="preserve">. </w:t>
      </w:r>
      <w:r w:rsidR="007C5839" w:rsidRPr="00875A01">
        <w:t xml:space="preserve">As displayed, the temperature of the </w:t>
      </w:r>
      <w:r w:rsidR="00B91027">
        <w:t>pellet</w:t>
      </w:r>
      <w:r w:rsidR="007C5839" w:rsidRPr="00875A01">
        <w:t xml:space="preserve"> bed after 50 min of adsorption is increased</w:t>
      </w:r>
      <w:r w:rsidR="009367B2" w:rsidRPr="00875A01">
        <w:t xml:space="preserve"> </w:t>
      </w:r>
      <w:proofErr w:type="gramStart"/>
      <w:r w:rsidR="009367B2" w:rsidRPr="00875A01">
        <w:t>of</w:t>
      </w:r>
      <w:proofErr w:type="gramEnd"/>
      <w:r w:rsidR="009367B2" w:rsidRPr="00875A01">
        <w:t xml:space="preserve"> about 1.5 °C</w:t>
      </w:r>
      <w:r w:rsidR="007C5839" w:rsidRPr="00875A01">
        <w:t xml:space="preserve"> in the first 5 mm</w:t>
      </w:r>
      <w:r w:rsidR="004A5A9C" w:rsidRPr="00875A01">
        <w:t xml:space="preserve"> due to the exothermic </w:t>
      </w:r>
      <w:r w:rsidR="009F2C96" w:rsidRPr="00875A01">
        <w:t>behavior</w:t>
      </w:r>
      <w:r w:rsidR="004A5A9C" w:rsidRPr="00875A01">
        <w:t xml:space="preserve"> of the adsorption reaction. With increasing the time of adsorption, the</w:t>
      </w:r>
      <w:r w:rsidR="00697D90" w:rsidRPr="00875A01">
        <w:t xml:space="preserve"> temperature increases along the bed height due to th</w:t>
      </w:r>
      <w:r w:rsidR="00120F26" w:rsidRPr="00875A01">
        <w:t>e</w:t>
      </w:r>
      <w:r w:rsidR="004A5A9C" w:rsidRPr="00875A01">
        <w:t xml:space="preserve"> </w:t>
      </w:r>
      <w:r w:rsidR="00C07C2A" w:rsidRPr="00875A01">
        <w:t xml:space="preserve">occurrence of the adsorption throughout the bed. </w:t>
      </w:r>
      <w:r w:rsidR="00562837" w:rsidRPr="00875A01">
        <w:t xml:space="preserve">The maximum temperature increase observed is approximately </w:t>
      </w:r>
      <w:r w:rsidR="007B21E0" w:rsidRPr="00875A01">
        <w:t>7</w:t>
      </w:r>
      <w:r w:rsidR="00562837" w:rsidRPr="00875A01">
        <w:t xml:space="preserve"> °C</w:t>
      </w:r>
      <w:r w:rsidR="00C07C2A" w:rsidRPr="00875A01">
        <w:t xml:space="preserve"> after 300 min of adsorption, when the pellet bed is saturated</w:t>
      </w:r>
      <w:r w:rsidR="00562837" w:rsidRPr="00875A01">
        <w:t>, providing strong support for the isothermal assumption used for the kinetic parameter’s estimation.</w:t>
      </w:r>
    </w:p>
    <w:p w14:paraId="0BB4AAA8" w14:textId="3388E922" w:rsidR="00D04A5B" w:rsidRPr="00875A01" w:rsidRDefault="006C70CE" w:rsidP="00D04A5B">
      <w:pPr>
        <w:pStyle w:val="CETBodytext"/>
        <w:keepNext/>
      </w:pPr>
      <w:r w:rsidRPr="00875A01">
        <w:t>T</w:t>
      </w:r>
      <w:r w:rsidR="001D6942" w:rsidRPr="00875A01">
        <w:t xml:space="preserve">he chemical and diffusion resistances </w:t>
      </w:r>
      <w:r w:rsidRPr="00875A01">
        <w:t xml:space="preserve">have been evaluated </w:t>
      </w:r>
      <w:r w:rsidR="001D6942" w:rsidRPr="00875A01">
        <w:t xml:space="preserve">as </w:t>
      </w:r>
      <w:r w:rsidRPr="00875A01">
        <w:t>a function</w:t>
      </w:r>
      <w:r w:rsidR="001D6942" w:rsidRPr="00875A01">
        <w:t xml:space="preserve"> of time at two positions within the reactor: </w:t>
      </w:r>
      <w:r w:rsidR="001D6942" w:rsidRPr="00875A01">
        <w:rPr>
          <w:i/>
          <w:iCs/>
        </w:rPr>
        <w:t>z</w:t>
      </w:r>
      <w:r w:rsidR="001D6942" w:rsidRPr="00875A01">
        <w:t xml:space="preserve">=0 (inlet) and </w:t>
      </w:r>
      <w:r w:rsidR="001D6942" w:rsidRPr="00875A01">
        <w:rPr>
          <w:i/>
          <w:iCs/>
        </w:rPr>
        <w:t>z</w:t>
      </w:r>
      <w:r w:rsidR="001D6942" w:rsidRPr="00875A01">
        <w:t>=</w:t>
      </w:r>
      <w:r w:rsidR="001D6942" w:rsidRPr="00875A01">
        <w:rPr>
          <w:i/>
          <w:iCs/>
        </w:rPr>
        <w:t>L</w:t>
      </w:r>
      <w:r w:rsidR="001D6942" w:rsidRPr="00875A01">
        <w:t xml:space="preserve"> (outlet)</w:t>
      </w:r>
      <w:r w:rsidRPr="00875A01">
        <w:t xml:space="preserve">, and the </w:t>
      </w:r>
      <w:r w:rsidR="00AC431A" w:rsidRPr="00875A01">
        <w:t>results are reported in Figure 3</w:t>
      </w:r>
      <w:r w:rsidR="001D6942" w:rsidRPr="00875A01">
        <w:t xml:space="preserve">. At the reactor inlet, the chemical </w:t>
      </w:r>
      <w:r w:rsidR="001D6942" w:rsidRPr="00875A01">
        <w:lastRenderedPageBreak/>
        <w:t>resistance exceeds the diffusional resistance only during the first 10 minutes</w:t>
      </w:r>
      <w:r w:rsidR="00AC431A" w:rsidRPr="00875A01">
        <w:t xml:space="preserve"> of adsorption (Figure 3a)</w:t>
      </w:r>
      <w:r w:rsidR="001D6942" w:rsidRPr="00875A01">
        <w:t>. In contrast, at the outlet, the chemical resistance remains dominant for nearly 140 minutes</w:t>
      </w:r>
      <w:r w:rsidR="00D04A5B" w:rsidRPr="00875A01">
        <w:t xml:space="preserve"> (Figure 3b)</w:t>
      </w:r>
      <w:r w:rsidR="001D6942" w:rsidRPr="00875A01">
        <w:t xml:space="preserve">. This highlights the critical importance of accurately </w:t>
      </w:r>
      <w:r w:rsidR="00F81095" w:rsidRPr="00875A01">
        <w:t>modeling</w:t>
      </w:r>
      <w:r w:rsidR="001D6942" w:rsidRPr="00875A01">
        <w:t xml:space="preserve"> the chemical term to capture the system’s </w:t>
      </w:r>
      <w:r w:rsidR="009F2C96" w:rsidRPr="00875A01">
        <w:t>behavior</w:t>
      </w:r>
      <w:r w:rsidR="001D6942" w:rsidRPr="00875A01">
        <w:t>.</w:t>
      </w:r>
      <w:r w:rsidR="00D04A5B" w:rsidRPr="00875A01">
        <w:t xml:space="preserve"> Furthermore, comparing Figure 2a and </w:t>
      </w:r>
      <w:r w:rsidR="00D4343C" w:rsidRPr="00875A01">
        <w:t xml:space="preserve">Figure </w:t>
      </w:r>
      <w:r w:rsidR="00D04A5B" w:rsidRPr="00875A01">
        <w:t xml:space="preserve">3 </w:t>
      </w:r>
      <w:r w:rsidR="008A2164" w:rsidRPr="00875A01">
        <w:t>show</w:t>
      </w:r>
      <w:r w:rsidR="00FF7E8F" w:rsidRPr="00875A01">
        <w:t>s</w:t>
      </w:r>
      <w:r w:rsidR="00D04A5B" w:rsidRPr="00875A01">
        <w:t xml:space="preserve"> </w:t>
      </w:r>
      <w:r w:rsidR="004473D6" w:rsidRPr="00875A01">
        <w:t xml:space="preserve">that </w:t>
      </w:r>
      <w:r w:rsidR="00D04A5B" w:rsidRPr="00875A01">
        <w:t xml:space="preserve">the breakthrough </w:t>
      </w:r>
      <w:r w:rsidR="00D4343C" w:rsidRPr="00875A01">
        <w:t>time</w:t>
      </w:r>
      <w:r w:rsidR="00D04A5B" w:rsidRPr="00875A01">
        <w:t xml:space="preserve"> </w:t>
      </w:r>
      <w:r w:rsidR="00D4343C" w:rsidRPr="00875A01">
        <w:t>corresponds</w:t>
      </w:r>
      <w:r w:rsidR="00D04A5B" w:rsidRPr="00875A01">
        <w:t xml:space="preserve"> </w:t>
      </w:r>
      <w:r w:rsidR="00D4343C" w:rsidRPr="00875A01">
        <w:t>to</w:t>
      </w:r>
      <w:r w:rsidR="00D04A5B" w:rsidRPr="00875A01">
        <w:t xml:space="preserve"> the </w:t>
      </w:r>
      <w:r w:rsidR="00D4343C" w:rsidRPr="00875A01">
        <w:t>time</w:t>
      </w:r>
      <w:r w:rsidR="00D04A5B" w:rsidRPr="00875A01">
        <w:t xml:space="preserve"> </w:t>
      </w:r>
      <w:r w:rsidR="00D4343C" w:rsidRPr="00875A01">
        <w:t>for which</w:t>
      </w:r>
      <w:r w:rsidR="00D04A5B" w:rsidRPr="00875A01">
        <w:t xml:space="preserve"> the chemical and diffusion resistances become comparable in magnitude at the reactor outlet.</w:t>
      </w:r>
      <w:r w:rsidR="00B62F9B" w:rsidRPr="00875A01">
        <w:t xml:space="preserve"> </w:t>
      </w:r>
      <w:r w:rsidR="002B5BA4" w:rsidRPr="00875A01">
        <w:t>Therefore, i</w:t>
      </w:r>
      <w:r w:rsidR="00B62F9B" w:rsidRPr="00875A01">
        <w:t>n the first 140 min</w:t>
      </w:r>
      <w:r w:rsidR="00D46483">
        <w:t>,</w:t>
      </w:r>
      <w:r w:rsidR="00B62F9B" w:rsidRPr="00875A01">
        <w:t xml:space="preserve"> the adsorption process </w:t>
      </w:r>
      <w:r w:rsidR="002B5BA4" w:rsidRPr="00875A01">
        <w:t>is</w:t>
      </w:r>
      <w:r w:rsidR="00B62F9B" w:rsidRPr="00875A01">
        <w:t xml:space="preserve"> controlled by the chemical reaction (chemical regime), while </w:t>
      </w:r>
      <w:r w:rsidR="00F41FAB" w:rsidRPr="00875A01">
        <w:t xml:space="preserve">after this point the diffusion </w:t>
      </w:r>
      <w:r w:rsidR="004D7183">
        <w:t xml:space="preserve">resistance </w:t>
      </w:r>
      <w:r w:rsidR="00F41FAB" w:rsidRPr="00875A01">
        <w:t>takes control (diffusion regime).</w:t>
      </w:r>
      <w:r w:rsidR="007644AB" w:rsidRPr="00875A01">
        <w:t xml:space="preserve"> </w:t>
      </w:r>
      <w:r w:rsidR="00D04A5B" w:rsidRPr="00875A01">
        <w:t xml:space="preserve">This relationship underscores the </w:t>
      </w:r>
      <w:r w:rsidR="007644AB" w:rsidRPr="00875A01">
        <w:t>interaction</w:t>
      </w:r>
      <w:r w:rsidR="00D04A5B" w:rsidRPr="00875A01">
        <w:t xml:space="preserve"> between these resistances in determining the breakthrough dynamics</w:t>
      </w:r>
      <w:r w:rsidR="004D7183">
        <w:t xml:space="preserve"> of the reacting bed</w:t>
      </w:r>
      <w:r w:rsidR="00D04A5B" w:rsidRPr="00875A01">
        <w:t>.</w:t>
      </w:r>
    </w:p>
    <w:p w14:paraId="39F13FD6" w14:textId="57BE4163" w:rsidR="00805330" w:rsidRPr="00875A01" w:rsidRDefault="00613361" w:rsidP="00FC7C9A">
      <w:pPr>
        <w:pStyle w:val="CETBodytext"/>
      </w:pPr>
      <w:r w:rsidRPr="00875A01">
        <w:rPr>
          <w:noProof/>
        </w:rPr>
        <mc:AlternateContent>
          <mc:Choice Requires="wps">
            <w:drawing>
              <wp:anchor distT="0" distB="0" distL="114300" distR="114300" simplePos="0" relativeHeight="251662336" behindDoc="0" locked="0" layoutInCell="1" allowOverlap="1" wp14:anchorId="3A402EEA" wp14:editId="696F95AE">
                <wp:simplePos x="0" y="0"/>
                <wp:positionH relativeFrom="column">
                  <wp:posOffset>1947545</wp:posOffset>
                </wp:positionH>
                <wp:positionV relativeFrom="paragraph">
                  <wp:posOffset>55245</wp:posOffset>
                </wp:positionV>
                <wp:extent cx="215900" cy="215900"/>
                <wp:effectExtent l="0" t="0" r="12700" b="12700"/>
                <wp:wrapNone/>
                <wp:docPr id="2110521179"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3D252E0B" w14:textId="2B8E2C82" w:rsidR="00613361" w:rsidRDefault="002F1EC9" w:rsidP="00613361">
                            <w:pPr>
                              <w:jc w:val="center"/>
                            </w:pPr>
                            <w:r>
                              <w:t>(</w:t>
                            </w:r>
                            <w:r w:rsidR="00613361">
                              <w:t>a</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2EEA" id="_x0000_s1028" type="#_x0000_t202" style="position:absolute;left:0;text-align:left;margin-left:153.35pt;margin-top:4.35pt;width:1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" filled="f" stroked="f" strokeweight=".5pt">
                <v:textbox inset="0,0,0,0">
                  <w:txbxContent>
                    <w:p w14:paraId="3D252E0B" w14:textId="2B8E2C82" w:rsidR="00613361" w:rsidRDefault="002F1EC9" w:rsidP="00613361">
                      <w:pPr>
                        <w:jc w:val="center"/>
                      </w:pPr>
                      <w:r>
                        <w:t>(</w:t>
                      </w:r>
                      <w:r w:rsidR="00613361">
                        <w:t>a</w:t>
                      </w:r>
                      <w:r>
                        <w:t>)</w:t>
                      </w:r>
                    </w:p>
                  </w:txbxContent>
                </v:textbox>
              </v:shape>
            </w:pict>
          </mc:Fallback>
        </mc:AlternateContent>
      </w:r>
      <w:r w:rsidRPr="00875A01">
        <w:rPr>
          <w:noProof/>
        </w:rPr>
        <mc:AlternateContent>
          <mc:Choice Requires="wps">
            <w:drawing>
              <wp:anchor distT="0" distB="0" distL="114300" distR="114300" simplePos="0" relativeHeight="251664384" behindDoc="0" locked="0" layoutInCell="1" allowOverlap="1" wp14:anchorId="28830B4F" wp14:editId="65D4CC1E">
                <wp:simplePos x="0" y="0"/>
                <wp:positionH relativeFrom="column">
                  <wp:posOffset>5053965</wp:posOffset>
                </wp:positionH>
                <wp:positionV relativeFrom="paragraph">
                  <wp:posOffset>52705</wp:posOffset>
                </wp:positionV>
                <wp:extent cx="215900" cy="215900"/>
                <wp:effectExtent l="0" t="0" r="12700" b="12700"/>
                <wp:wrapNone/>
                <wp:docPr id="993425836"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48F87393" w14:textId="3D07C7B0" w:rsidR="00613361" w:rsidRDefault="002F1EC9" w:rsidP="00613361">
                            <w:pPr>
                              <w:jc w:val="center"/>
                            </w:pPr>
                            <w:r>
                              <w:t>(</w:t>
                            </w:r>
                            <w:r w:rsidR="00613361">
                              <w:t>b</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0B4F" id="_x0000_s1029" type="#_x0000_t202" style="position:absolute;left:0;text-align:left;margin-left:397.95pt;margin-top:4.15pt;width:17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" filled="f" stroked="f" strokeweight=".5pt">
                <v:textbox inset="0,0,0,0">
                  <w:txbxContent>
                    <w:p w14:paraId="48F87393" w14:textId="3D07C7B0" w:rsidR="00613361" w:rsidRDefault="002F1EC9" w:rsidP="00613361">
                      <w:pPr>
                        <w:jc w:val="center"/>
                      </w:pPr>
                      <w:r>
                        <w:t>(</w:t>
                      </w:r>
                      <w:r w:rsidR="00613361">
                        <w:t>b</w:t>
                      </w:r>
                      <w:r>
                        <w:t>)</w:t>
                      </w:r>
                    </w:p>
                  </w:txbxContent>
                </v:textbox>
              </v:shape>
            </w:pict>
          </mc:Fallback>
        </mc:AlternateContent>
      </w:r>
      <w:r w:rsidR="00805330" w:rsidRPr="00875A01">
        <w:rPr>
          <w:noProof/>
        </w:rPr>
        <w:drawing>
          <wp:inline distT="0" distB="0" distL="0" distR="0" wp14:anchorId="3872B8CC" wp14:editId="2FA775DD">
            <wp:extent cx="2552579" cy="2088000"/>
            <wp:effectExtent l="0" t="0" r="635" b="7620"/>
            <wp:docPr id="209057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4" t="8025" r="10891" b="2809"/>
                    <a:stretch/>
                  </pic:blipFill>
                  <pic:spPr bwMode="auto">
                    <a:xfrm>
                      <a:off x="0" y="0"/>
                      <a:ext cx="2552579"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045B1" w:rsidRPr="00875A01">
        <w:t xml:space="preserve">    </w:t>
      </w:r>
      <w:r w:rsidR="007838D7" w:rsidRPr="00875A01">
        <w:t xml:space="preserve"> </w:t>
      </w:r>
      <w:r w:rsidR="00C54325" w:rsidRPr="00875A01">
        <w:t xml:space="preserve"> </w:t>
      </w:r>
      <w:r w:rsidR="00C54325" w:rsidRPr="00875A01">
        <w:rPr>
          <w:noProof/>
        </w:rPr>
        <w:drawing>
          <wp:inline distT="0" distB="0" distL="0" distR="0" wp14:anchorId="263B38F8" wp14:editId="46616664">
            <wp:extent cx="2578364" cy="2088000"/>
            <wp:effectExtent l="0" t="0" r="0" b="7620"/>
            <wp:docPr id="67836895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8" t="8917" r="12086" b="2808"/>
                    <a:stretch/>
                  </pic:blipFill>
                  <pic:spPr bwMode="auto">
                    <a:xfrm>
                      <a:off x="0" y="0"/>
                      <a:ext cx="2578364"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BD858AD" w14:textId="0BDEDEA2" w:rsidR="00815D29" w:rsidRPr="00875A01" w:rsidRDefault="00815D29" w:rsidP="00F73E18">
      <w:pPr>
        <w:pStyle w:val="CETCaption"/>
        <w:spacing w:before="120"/>
        <w:rPr>
          <w:lang w:val="en-US"/>
        </w:rPr>
      </w:pPr>
      <w:r w:rsidRPr="00875A01">
        <w:rPr>
          <w:lang w:val="en-US"/>
        </w:rPr>
        <w:t xml:space="preserve">Figure </w:t>
      </w:r>
      <w:r w:rsidRPr="00875A01">
        <w:rPr>
          <w:lang w:val="en-US"/>
        </w:rPr>
        <w:fldChar w:fldCharType="begin"/>
      </w:r>
      <w:r w:rsidRPr="00875A01">
        <w:rPr>
          <w:lang w:val="en-US"/>
        </w:rPr>
        <w:instrText xml:space="preserve"> SEQ Figure \* ARABIC </w:instrText>
      </w:r>
      <w:r w:rsidRPr="00875A01">
        <w:rPr>
          <w:lang w:val="en-US"/>
        </w:rPr>
        <w:fldChar w:fldCharType="separate"/>
      </w:r>
      <w:r w:rsidR="0029551E" w:rsidRPr="00875A01">
        <w:rPr>
          <w:lang w:val="en-US"/>
        </w:rPr>
        <w:t>2</w:t>
      </w:r>
      <w:r w:rsidRPr="00875A01">
        <w:rPr>
          <w:lang w:val="en-US"/>
        </w:rPr>
        <w:fldChar w:fldCharType="end"/>
      </w:r>
      <w:r w:rsidRPr="00875A01">
        <w:rPr>
          <w:lang w:val="en-US"/>
        </w:rPr>
        <w:t xml:space="preserve">: </w:t>
      </w:r>
      <w:r w:rsidR="00FC7C9A" w:rsidRPr="00875A01">
        <w:rPr>
          <w:lang w:val="en-US"/>
        </w:rPr>
        <w:t>CO</w:t>
      </w:r>
      <w:r w:rsidR="00FC7C9A" w:rsidRPr="00875A01">
        <w:rPr>
          <w:vertAlign w:val="subscript"/>
          <w:lang w:val="en-US"/>
        </w:rPr>
        <w:t>2</w:t>
      </w:r>
      <w:r w:rsidR="00FC7C9A" w:rsidRPr="00875A01">
        <w:rPr>
          <w:lang w:val="en-US"/>
        </w:rPr>
        <w:t xml:space="preserve"> adsorption by K</w:t>
      </w:r>
      <w:r w:rsidR="00FC7C9A" w:rsidRPr="00875A01">
        <w:rPr>
          <w:vertAlign w:val="subscript"/>
          <w:lang w:val="en-US"/>
        </w:rPr>
        <w:t>2</w:t>
      </w:r>
      <w:r w:rsidR="00FC7C9A" w:rsidRPr="00875A01">
        <w:rPr>
          <w:lang w:val="en-US"/>
        </w:rPr>
        <w:t>CO</w:t>
      </w:r>
      <w:r w:rsidR="00FC7C9A" w:rsidRPr="00875A01">
        <w:rPr>
          <w:vertAlign w:val="subscript"/>
          <w:lang w:val="en-US"/>
        </w:rPr>
        <w:t>3</w:t>
      </w:r>
      <w:r w:rsidR="00FC7C9A" w:rsidRPr="00875A01">
        <w:rPr>
          <w:lang w:val="en-US"/>
        </w:rPr>
        <w:t>-doped Li</w:t>
      </w:r>
      <w:r w:rsidR="00FC7C9A" w:rsidRPr="00875A01">
        <w:rPr>
          <w:vertAlign w:val="subscript"/>
          <w:lang w:val="en-US"/>
        </w:rPr>
        <w:t>4</w:t>
      </w:r>
      <w:r w:rsidR="00FC7C9A" w:rsidRPr="00875A01">
        <w:rPr>
          <w:lang w:val="en-US"/>
        </w:rPr>
        <w:t>SiO</w:t>
      </w:r>
      <w:r w:rsidR="00FC7C9A" w:rsidRPr="00875A01">
        <w:rPr>
          <w:vertAlign w:val="subscript"/>
          <w:lang w:val="en-US"/>
        </w:rPr>
        <w:t>4</w:t>
      </w:r>
      <w:r w:rsidR="00FC7C9A" w:rsidRPr="00875A01">
        <w:rPr>
          <w:lang w:val="en-US"/>
        </w:rPr>
        <w:t xml:space="preserve"> pellets in </w:t>
      </w:r>
      <w:r w:rsidR="00D4029E" w:rsidRPr="00875A01">
        <w:rPr>
          <w:lang w:val="en-US"/>
        </w:rPr>
        <w:t xml:space="preserve">the </w:t>
      </w:r>
      <w:r w:rsidR="00FC7C9A" w:rsidRPr="00875A01">
        <w:rPr>
          <w:lang w:val="en-US"/>
        </w:rPr>
        <w:t>fixed bed reactor</w:t>
      </w:r>
      <w:r w:rsidR="00D4029E" w:rsidRPr="00875A01">
        <w:rPr>
          <w:lang w:val="en-US"/>
        </w:rPr>
        <w:t xml:space="preserve">: </w:t>
      </w:r>
      <w:r w:rsidRPr="00875A01">
        <w:rPr>
          <w:lang w:val="en-US"/>
        </w:rPr>
        <w:t>(a) breakthrough curve</w:t>
      </w:r>
      <w:r w:rsidR="00D3494C" w:rsidRPr="00875A01">
        <w:rPr>
          <w:lang w:val="en-US"/>
        </w:rPr>
        <w:t xml:space="preserve"> and</w:t>
      </w:r>
      <w:r w:rsidRPr="00875A01">
        <w:rPr>
          <w:lang w:val="en-US"/>
        </w:rPr>
        <w:t xml:space="preserve"> (b)</w:t>
      </w:r>
      <w:r w:rsidR="00D4029E" w:rsidRPr="00875A01">
        <w:rPr>
          <w:lang w:val="en-US"/>
        </w:rPr>
        <w:t xml:space="preserve"> </w:t>
      </w:r>
      <w:r w:rsidRPr="00875A01">
        <w:rPr>
          <w:lang w:val="en-US"/>
        </w:rPr>
        <w:t xml:space="preserve">temperature profiles </w:t>
      </w:r>
      <w:r w:rsidR="00D4029E" w:rsidRPr="00875A01">
        <w:rPr>
          <w:lang w:val="en-US"/>
        </w:rPr>
        <w:t>along</w:t>
      </w:r>
      <w:r w:rsidRPr="00875A01">
        <w:rPr>
          <w:lang w:val="en-US"/>
        </w:rPr>
        <w:t xml:space="preserve"> the </w:t>
      </w:r>
      <w:r w:rsidR="00D4029E" w:rsidRPr="00875A01">
        <w:rPr>
          <w:lang w:val="en-US"/>
        </w:rPr>
        <w:t xml:space="preserve">packed </w:t>
      </w:r>
      <w:r w:rsidRPr="00875A01">
        <w:rPr>
          <w:lang w:val="en-US"/>
        </w:rPr>
        <w:t xml:space="preserve">bed </w:t>
      </w:r>
      <w:r w:rsidR="00D4029E" w:rsidRPr="00875A01">
        <w:rPr>
          <w:lang w:val="en-US"/>
        </w:rPr>
        <w:t>at different adsorption times</w:t>
      </w:r>
    </w:p>
    <w:p w14:paraId="13C76208" w14:textId="2CA2864E" w:rsidR="00815D29" w:rsidRPr="00875A01" w:rsidRDefault="002F1EC9" w:rsidP="00815D29">
      <w:pPr>
        <w:pStyle w:val="CETBodytext"/>
        <w:keepNext/>
      </w:pPr>
      <w:r w:rsidRPr="00875A01">
        <w:rPr>
          <w:noProof/>
        </w:rPr>
        <mc:AlternateContent>
          <mc:Choice Requires="wps">
            <w:drawing>
              <wp:anchor distT="0" distB="0" distL="114300" distR="114300" simplePos="0" relativeHeight="251666432" behindDoc="0" locked="0" layoutInCell="1" allowOverlap="1" wp14:anchorId="6B417004" wp14:editId="1A74E9C3">
                <wp:simplePos x="0" y="0"/>
                <wp:positionH relativeFrom="column">
                  <wp:posOffset>542925</wp:posOffset>
                </wp:positionH>
                <wp:positionV relativeFrom="paragraph">
                  <wp:posOffset>61595</wp:posOffset>
                </wp:positionV>
                <wp:extent cx="215900" cy="215900"/>
                <wp:effectExtent l="0" t="0" r="12700" b="12700"/>
                <wp:wrapNone/>
                <wp:docPr id="1886821404"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5BD033F8" w14:textId="6C933BB6" w:rsidR="005B0655" w:rsidRDefault="002F1EC9" w:rsidP="005B0655">
                            <w:pPr>
                              <w:jc w:val="center"/>
                            </w:pPr>
                            <w:r>
                              <w:t>(</w:t>
                            </w:r>
                            <w:r w:rsidR="005B0655">
                              <w:t>a</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7004" id="_x0000_s1030" type="#_x0000_t202" style="position:absolute;left:0;text-align:left;margin-left:42.75pt;margin-top:4.8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" filled="f" stroked="f" strokeweight=".5pt">
                <v:textbox inset="0,0,0,0">
                  <w:txbxContent>
                    <w:p w14:paraId="5BD033F8" w14:textId="6C933BB6" w:rsidR="005B0655" w:rsidRDefault="002F1EC9" w:rsidP="005B0655">
                      <w:pPr>
                        <w:jc w:val="center"/>
                      </w:pPr>
                      <w:r>
                        <w:t>(</w:t>
                      </w:r>
                      <w:r w:rsidR="005B0655">
                        <w:t>a</w:t>
                      </w:r>
                      <w:r>
                        <w:t>)</w:t>
                      </w:r>
                    </w:p>
                  </w:txbxContent>
                </v:textbox>
              </v:shape>
            </w:pict>
          </mc:Fallback>
        </mc:AlternateContent>
      </w:r>
      <w:r w:rsidRPr="00875A01">
        <w:rPr>
          <w:noProof/>
        </w:rPr>
        <mc:AlternateContent>
          <mc:Choice Requires="wps">
            <w:drawing>
              <wp:anchor distT="0" distB="0" distL="114300" distR="114300" simplePos="0" relativeHeight="251667456" behindDoc="0" locked="0" layoutInCell="1" allowOverlap="1" wp14:anchorId="0A2E0029" wp14:editId="72071F99">
                <wp:simplePos x="0" y="0"/>
                <wp:positionH relativeFrom="column">
                  <wp:posOffset>3284220</wp:posOffset>
                </wp:positionH>
                <wp:positionV relativeFrom="paragraph">
                  <wp:posOffset>59055</wp:posOffset>
                </wp:positionV>
                <wp:extent cx="215900" cy="215900"/>
                <wp:effectExtent l="0" t="0" r="12700" b="12700"/>
                <wp:wrapNone/>
                <wp:docPr id="559906462"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5D66A4B5" w14:textId="6AE2158D" w:rsidR="005B0655" w:rsidRDefault="002F1EC9" w:rsidP="005B0655">
                            <w:pPr>
                              <w:jc w:val="center"/>
                            </w:pPr>
                            <w:r>
                              <w:t>(</w:t>
                            </w:r>
                            <w:r w:rsidR="005B0655">
                              <w:t>b</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0029" id="_x0000_s1031" type="#_x0000_t202" style="position:absolute;left:0;text-align:left;margin-left:258.6pt;margin-top:4.65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" filled="f" stroked="f" strokeweight=".5pt">
                <v:textbox inset="0,0,0,0">
                  <w:txbxContent>
                    <w:p w14:paraId="5D66A4B5" w14:textId="6AE2158D" w:rsidR="005B0655" w:rsidRDefault="002F1EC9" w:rsidP="005B0655">
                      <w:pPr>
                        <w:jc w:val="center"/>
                      </w:pPr>
                      <w:r>
                        <w:t>(</w:t>
                      </w:r>
                      <w:r w:rsidR="005B0655">
                        <w:t>b</w:t>
                      </w:r>
                      <w:r>
                        <w:t>)</w:t>
                      </w:r>
                    </w:p>
                  </w:txbxContent>
                </v:textbox>
              </v:shape>
            </w:pict>
          </mc:Fallback>
        </mc:AlternateContent>
      </w:r>
      <w:r w:rsidR="004A68E6" w:rsidRPr="00875A01">
        <w:rPr>
          <w:noProof/>
        </w:rPr>
        <w:drawing>
          <wp:inline distT="0" distB="0" distL="0" distR="0" wp14:anchorId="28D86779" wp14:editId="1D3F3C87">
            <wp:extent cx="2700000" cy="2039645"/>
            <wp:effectExtent l="0" t="0" r="5715" b="0"/>
            <wp:docPr id="32148688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8788" r="10663" b="3058"/>
                    <a:stretch/>
                  </pic:blipFill>
                  <pic:spPr bwMode="auto">
                    <a:xfrm>
                      <a:off x="0" y="0"/>
                      <a:ext cx="2700000" cy="2039645"/>
                    </a:xfrm>
                    <a:prstGeom prst="rect">
                      <a:avLst/>
                    </a:prstGeom>
                    <a:noFill/>
                    <a:ln>
                      <a:noFill/>
                    </a:ln>
                    <a:extLst>
                      <a:ext uri="{53640926-AAD7-44D8-BBD7-CCE9431645EC}">
                        <a14:shadowObscured xmlns:a14="http://schemas.microsoft.com/office/drawing/2010/main"/>
                      </a:ext>
                    </a:extLst>
                  </pic:spPr>
                </pic:pic>
              </a:graphicData>
            </a:graphic>
          </wp:inline>
        </w:drawing>
      </w:r>
      <w:r w:rsidR="004A68E6" w:rsidRPr="00875A01">
        <w:rPr>
          <w:noProof/>
        </w:rPr>
        <w:t xml:space="preserve"> </w:t>
      </w:r>
      <w:r w:rsidR="004A68E6" w:rsidRPr="00875A01">
        <w:rPr>
          <w:noProof/>
        </w:rPr>
        <w:drawing>
          <wp:inline distT="0" distB="0" distL="0" distR="0" wp14:anchorId="522835D6" wp14:editId="2E1F0E14">
            <wp:extent cx="2700000" cy="2039618"/>
            <wp:effectExtent l="0" t="0" r="5715" b="0"/>
            <wp:docPr id="166399238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8770" r="10663" b="3077"/>
                    <a:stretch/>
                  </pic:blipFill>
                  <pic:spPr bwMode="auto">
                    <a:xfrm>
                      <a:off x="0" y="0"/>
                      <a:ext cx="2700000" cy="2039618"/>
                    </a:xfrm>
                    <a:prstGeom prst="rect">
                      <a:avLst/>
                    </a:prstGeom>
                    <a:noFill/>
                    <a:ln>
                      <a:noFill/>
                    </a:ln>
                    <a:extLst>
                      <a:ext uri="{53640926-AAD7-44D8-BBD7-CCE9431645EC}">
                        <a14:shadowObscured xmlns:a14="http://schemas.microsoft.com/office/drawing/2010/main"/>
                      </a:ext>
                    </a:extLst>
                  </pic:spPr>
                </pic:pic>
              </a:graphicData>
            </a:graphic>
          </wp:inline>
        </w:drawing>
      </w:r>
      <w:r w:rsidR="004A68E6" w:rsidRPr="00875A01">
        <w:rPr>
          <w:noProof/>
        </w:rPr>
        <w:t xml:space="preserve"> </w:t>
      </w:r>
    </w:p>
    <w:p w14:paraId="63088912" w14:textId="4A1791E6" w:rsidR="00815D29" w:rsidRPr="00875A01" w:rsidRDefault="00815D29" w:rsidP="00F73E18">
      <w:pPr>
        <w:pStyle w:val="CETCaption"/>
        <w:spacing w:before="120"/>
        <w:rPr>
          <w:lang w:val="en-US"/>
        </w:rPr>
      </w:pPr>
      <w:r w:rsidRPr="00875A01">
        <w:rPr>
          <w:lang w:val="en-US"/>
        </w:rPr>
        <w:t xml:space="preserve">Figure </w:t>
      </w:r>
      <w:r w:rsidRPr="00875A01">
        <w:rPr>
          <w:lang w:val="en-US"/>
        </w:rPr>
        <w:fldChar w:fldCharType="begin"/>
      </w:r>
      <w:r w:rsidRPr="00875A01">
        <w:rPr>
          <w:lang w:val="en-US"/>
        </w:rPr>
        <w:instrText xml:space="preserve"> SEQ Figure \* ARABIC </w:instrText>
      </w:r>
      <w:r w:rsidRPr="00875A01">
        <w:rPr>
          <w:lang w:val="en-US"/>
        </w:rPr>
        <w:fldChar w:fldCharType="separate"/>
      </w:r>
      <w:r w:rsidR="0029551E" w:rsidRPr="00875A01">
        <w:rPr>
          <w:noProof/>
          <w:lang w:val="en-US"/>
        </w:rPr>
        <w:t>3</w:t>
      </w:r>
      <w:r w:rsidRPr="00875A01">
        <w:rPr>
          <w:lang w:val="en-US"/>
        </w:rPr>
        <w:fldChar w:fldCharType="end"/>
      </w:r>
      <w:r w:rsidRPr="00875A01">
        <w:rPr>
          <w:lang w:val="en-US"/>
        </w:rPr>
        <w:t>: Chemical and diffusion resistance</w:t>
      </w:r>
      <w:r w:rsidR="004A2C78" w:rsidRPr="00875A01">
        <w:rPr>
          <w:lang w:val="en-US"/>
        </w:rPr>
        <w:t xml:space="preserve"> profiles as a function of adsorption time </w:t>
      </w:r>
      <w:r w:rsidRPr="00875A01">
        <w:rPr>
          <w:lang w:val="en-US"/>
        </w:rPr>
        <w:t xml:space="preserve">for </w:t>
      </w:r>
      <w:r w:rsidR="004A2C78" w:rsidRPr="00875A01">
        <w:rPr>
          <w:lang w:val="en-US"/>
        </w:rPr>
        <w:t xml:space="preserve">(a) </w:t>
      </w:r>
      <w:r w:rsidRPr="00875A01">
        <w:rPr>
          <w:lang w:val="en-US"/>
        </w:rPr>
        <w:t xml:space="preserve">z=0 and </w:t>
      </w:r>
      <w:r w:rsidR="004A2C78" w:rsidRPr="00875A01">
        <w:rPr>
          <w:lang w:val="en-US"/>
        </w:rPr>
        <w:t xml:space="preserve">(b) </w:t>
      </w:r>
      <w:r w:rsidRPr="00875A01">
        <w:rPr>
          <w:lang w:val="en-US"/>
        </w:rPr>
        <w:t>z=L</w:t>
      </w:r>
    </w:p>
    <w:p w14:paraId="0B31D8CF" w14:textId="77777777" w:rsidR="00815D29" w:rsidRPr="00875A01" w:rsidRDefault="00815D29" w:rsidP="00C66A18">
      <w:pPr>
        <w:pStyle w:val="CETheadingx"/>
        <w:rPr>
          <w:lang w:val="en-US"/>
        </w:rPr>
      </w:pPr>
      <w:r w:rsidRPr="00875A01">
        <w:rPr>
          <w:lang w:val="en-US"/>
        </w:rPr>
        <w:t>Sensitivity analysis</w:t>
      </w:r>
    </w:p>
    <w:p w14:paraId="62AB4463" w14:textId="6207AF0D" w:rsidR="00631280" w:rsidRPr="00875A01" w:rsidRDefault="00815D29" w:rsidP="00815D29">
      <w:pPr>
        <w:pStyle w:val="CETBodytext"/>
      </w:pPr>
      <w:r w:rsidRPr="00875A01">
        <w:t xml:space="preserve">Once the proposed model </w:t>
      </w:r>
      <w:r w:rsidR="00B91027">
        <w:t>had</w:t>
      </w:r>
      <w:r w:rsidRPr="00875A01">
        <w:t xml:space="preserve"> been validated, </w:t>
      </w:r>
      <w:r w:rsidR="00E55547" w:rsidRPr="00875A01">
        <w:t>its physical</w:t>
      </w:r>
      <w:r w:rsidR="0060690C" w:rsidRPr="00875A01">
        <w:t xml:space="preserve"> </w:t>
      </w:r>
      <w:r w:rsidR="004D7183" w:rsidRPr="00875A01">
        <w:t>behavior</w:t>
      </w:r>
      <w:r w:rsidR="0060690C" w:rsidRPr="00875A01">
        <w:t xml:space="preserve"> was </w:t>
      </w:r>
      <w:r w:rsidR="00E55547" w:rsidRPr="00875A01">
        <w:t>investigated</w:t>
      </w:r>
      <w:r w:rsidR="0060690C" w:rsidRPr="00875A01">
        <w:t xml:space="preserve"> under different adsorption conditions</w:t>
      </w:r>
      <w:r w:rsidR="00B91027">
        <w:t>,</w:t>
      </w:r>
      <w:r w:rsidR="0060690C" w:rsidRPr="00875A01">
        <w:t xml:space="preserve"> varying</w:t>
      </w:r>
      <w:r w:rsidR="003321A0" w:rsidRPr="00875A01">
        <w:t xml:space="preserve"> the gas flow rate (i.e.</w:t>
      </w:r>
      <w:r w:rsidR="00D46483">
        <w:t>,</w:t>
      </w:r>
      <w:r w:rsidR="003321A0" w:rsidRPr="00875A01">
        <w:t xml:space="preserve"> the surface velocity in the packed bed) and the bed length. The results of this analysis are reported in Figure 4.</w:t>
      </w:r>
      <w:r w:rsidR="00D3494C" w:rsidRPr="00875A01">
        <w:t xml:space="preserve"> </w:t>
      </w:r>
      <w:r w:rsidR="00E55547" w:rsidRPr="00875A01">
        <w:t>As shown, by increasing the gas flow rate, and thus the gas surface velocity, the breakthrough time decreases</w:t>
      </w:r>
      <w:r w:rsidR="007715B0" w:rsidRPr="00875A01">
        <w:t xml:space="preserve"> (Figure 4a)</w:t>
      </w:r>
      <w:r w:rsidR="00B91027">
        <w:t>,</w:t>
      </w:r>
      <w:r w:rsidR="00E03553" w:rsidRPr="00875A01">
        <w:t xml:space="preserve"> suggesting a faster saturation of the sorbent bed. This</w:t>
      </w:r>
      <w:r w:rsidR="008B3491" w:rsidRPr="00875A01">
        <w:t xml:space="preserve"> </w:t>
      </w:r>
      <w:r w:rsidR="003263D9" w:rsidRPr="00875A01">
        <w:t xml:space="preserve">performance </w:t>
      </w:r>
      <w:r w:rsidR="00A01C81" w:rsidRPr="00875A01">
        <w:t>is</w:t>
      </w:r>
      <w:r w:rsidR="008B3491" w:rsidRPr="00875A01">
        <w:t xml:space="preserve"> expected </w:t>
      </w:r>
      <w:r w:rsidR="003263D9" w:rsidRPr="00875A01">
        <w:t>since</w:t>
      </w:r>
      <w:r w:rsidR="00087CE3" w:rsidRPr="00875A01">
        <w:t xml:space="preserve"> increasing the gas flow rate in the adsorption bed reduces residence time, thus decreasing CO</w:t>
      </w:r>
      <w:r w:rsidR="00087CE3" w:rsidRPr="00875A01">
        <w:rPr>
          <w:vertAlign w:val="subscript"/>
        </w:rPr>
        <w:t>2</w:t>
      </w:r>
      <w:r w:rsidR="00087CE3" w:rsidRPr="00875A01">
        <w:t xml:space="preserve"> adsorption efficiency and causing earlier </w:t>
      </w:r>
      <w:r w:rsidR="004D7183" w:rsidRPr="00875A01">
        <w:t>breakthroughs</w:t>
      </w:r>
      <w:r w:rsidR="00087CE3" w:rsidRPr="00875A01">
        <w:t xml:space="preserve"> due to mass transfer limitations</w:t>
      </w:r>
      <w:r w:rsidR="00522A86" w:rsidRPr="00875A01">
        <w:t>.</w:t>
      </w:r>
      <w:r w:rsidR="00064E3A" w:rsidRPr="00875A01">
        <w:t xml:space="preserve"> Conversely, increasing the bed height provides more adsorbent material available for CO</w:t>
      </w:r>
      <w:r w:rsidR="00064E3A" w:rsidRPr="00875A01">
        <w:rPr>
          <w:vertAlign w:val="subscript"/>
        </w:rPr>
        <w:t>2</w:t>
      </w:r>
      <w:r w:rsidR="00064E3A" w:rsidRPr="00875A01">
        <w:t xml:space="preserve"> adsorption reaction, enhancing the overall adsorption capacity and delaying the breakthrough </w:t>
      </w:r>
      <w:r w:rsidR="00894FC7" w:rsidRPr="00875A01">
        <w:t>occurrence</w:t>
      </w:r>
      <w:r w:rsidR="00064E3A" w:rsidRPr="00875A01">
        <w:t xml:space="preserve">, </w:t>
      </w:r>
      <w:r w:rsidR="00894FC7" w:rsidRPr="00875A01">
        <w:t>thus</w:t>
      </w:r>
      <w:r w:rsidR="00064E3A" w:rsidRPr="00875A01">
        <w:t xml:space="preserve"> improving</w:t>
      </w:r>
      <w:r w:rsidR="00894FC7" w:rsidRPr="00875A01">
        <w:t xml:space="preserve"> the</w:t>
      </w:r>
      <w:r w:rsidR="00064E3A" w:rsidRPr="00875A01">
        <w:t xml:space="preserve"> CO</w:t>
      </w:r>
      <w:r w:rsidR="00064E3A" w:rsidRPr="00875A01">
        <w:rPr>
          <w:vertAlign w:val="subscript"/>
        </w:rPr>
        <w:t>2</w:t>
      </w:r>
      <w:r w:rsidR="00064E3A" w:rsidRPr="00875A01">
        <w:t xml:space="preserve"> removal efficiency</w:t>
      </w:r>
      <w:r w:rsidR="00894FC7" w:rsidRPr="00875A01">
        <w:t>.</w:t>
      </w:r>
      <w:r w:rsidR="006D6880" w:rsidRPr="00875A01">
        <w:t xml:space="preserve"> As shown in Figure 4b, </w:t>
      </w:r>
      <w:r w:rsidR="00CE6A6E" w:rsidRPr="00875A01">
        <w:t xml:space="preserve">the model </w:t>
      </w:r>
      <w:proofErr w:type="gramStart"/>
      <w:r w:rsidR="004D6C9C" w:rsidRPr="00875A01">
        <w:t>is able to</w:t>
      </w:r>
      <w:proofErr w:type="gramEnd"/>
      <w:r w:rsidR="004D6C9C" w:rsidRPr="00875A01">
        <w:t xml:space="preserve"> </w:t>
      </w:r>
      <w:r w:rsidR="00CE6A6E" w:rsidRPr="00875A01">
        <w:t xml:space="preserve">predict this </w:t>
      </w:r>
      <w:r w:rsidR="004D7183" w:rsidRPr="00875A01">
        <w:t>behavior</w:t>
      </w:r>
      <w:r w:rsidR="00CE6A6E" w:rsidRPr="00875A01">
        <w:t xml:space="preserve"> since </w:t>
      </w:r>
      <w:r w:rsidR="004D7183" w:rsidRPr="00875A01">
        <w:t xml:space="preserve">the breakthrough time increases </w:t>
      </w:r>
      <w:r w:rsidR="00CE6A6E" w:rsidRPr="00875A01">
        <w:t>for greater bed height.</w:t>
      </w:r>
      <w:r w:rsidR="00631280" w:rsidRPr="00875A01">
        <w:t xml:space="preserve"> It is important to highlight that this model framework is a first step towards a more complete simulation of a fixed bed reactor composed of doped Li</w:t>
      </w:r>
      <w:r w:rsidR="00631280" w:rsidRPr="00875A01">
        <w:rPr>
          <w:vertAlign w:val="subscript"/>
        </w:rPr>
        <w:t>4</w:t>
      </w:r>
      <w:r w:rsidR="00631280" w:rsidRPr="00875A01">
        <w:t>SiO</w:t>
      </w:r>
      <w:r w:rsidR="00631280" w:rsidRPr="00875A01">
        <w:rPr>
          <w:vertAlign w:val="subscript"/>
        </w:rPr>
        <w:t>4</w:t>
      </w:r>
      <w:r w:rsidR="00631280" w:rsidRPr="00875A01">
        <w:t xml:space="preserve"> pellets.</w:t>
      </w:r>
      <w:r w:rsidR="001A2609" w:rsidRPr="00875A01">
        <w:t xml:space="preserve"> </w:t>
      </w:r>
      <w:r w:rsidR="00631280" w:rsidRPr="00875A01">
        <w:t>Future work</w:t>
      </w:r>
      <w:r w:rsidR="001A2609" w:rsidRPr="00875A01">
        <w:t>s</w:t>
      </w:r>
      <w:r w:rsidR="00631280" w:rsidRPr="00875A01">
        <w:t xml:space="preserve"> may </w:t>
      </w:r>
      <w:r w:rsidR="001A2609" w:rsidRPr="00875A01">
        <w:t>concern</w:t>
      </w:r>
      <w:r w:rsidR="00631280" w:rsidRPr="00875A01">
        <w:t xml:space="preserve"> a 2D model framework and the implementation of the momentum balance equation to better </w:t>
      </w:r>
      <w:r w:rsidR="001A2609" w:rsidRPr="00875A01">
        <w:t xml:space="preserve">fit the pellet bed </w:t>
      </w:r>
      <w:r w:rsidR="00F73E18" w:rsidRPr="00875A01">
        <w:t>behavior</w:t>
      </w:r>
      <w:r w:rsidR="00F73E18">
        <w:t>,</w:t>
      </w:r>
      <w:r w:rsidR="001A2609" w:rsidRPr="00875A01">
        <w:t xml:space="preserve"> especially in the diffusion stage. </w:t>
      </w:r>
      <w:r w:rsidR="00631280" w:rsidRPr="00875A01">
        <w:t xml:space="preserve">Furthermore, additional </w:t>
      </w:r>
      <w:r w:rsidR="001A2609" w:rsidRPr="00875A01">
        <w:t>study</w:t>
      </w:r>
      <w:r w:rsidR="00631280" w:rsidRPr="00875A01">
        <w:t xml:space="preserve"> is needed to obtain the kinetic parameters more easily, potentially directly from the breakthrough curves</w:t>
      </w:r>
      <w:r w:rsidR="001A2609" w:rsidRPr="00875A01">
        <w:t>.</w:t>
      </w:r>
    </w:p>
    <w:p w14:paraId="18CE619C" w14:textId="59187ACE" w:rsidR="00DA155A" w:rsidRPr="00875A01" w:rsidRDefault="00B24DB8" w:rsidP="00815D29">
      <w:pPr>
        <w:pStyle w:val="CETBodytext"/>
      </w:pPr>
      <w:r w:rsidRPr="00875A01">
        <w:rPr>
          <w:noProof/>
        </w:rPr>
        <w:lastRenderedPageBreak/>
        <mc:AlternateContent>
          <mc:Choice Requires="wps">
            <w:drawing>
              <wp:anchor distT="0" distB="0" distL="114300" distR="114300" simplePos="0" relativeHeight="251670528" behindDoc="0" locked="0" layoutInCell="1" allowOverlap="1" wp14:anchorId="29A69189" wp14:editId="3B894DF6">
                <wp:simplePos x="0" y="0"/>
                <wp:positionH relativeFrom="column">
                  <wp:posOffset>4411345</wp:posOffset>
                </wp:positionH>
                <wp:positionV relativeFrom="paragraph">
                  <wp:posOffset>42545</wp:posOffset>
                </wp:positionV>
                <wp:extent cx="215900" cy="215900"/>
                <wp:effectExtent l="0" t="0" r="12700" b="12700"/>
                <wp:wrapNone/>
                <wp:docPr id="128559052"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0D1567EB" w14:textId="5A2FD88F" w:rsidR="00391CDA" w:rsidRDefault="002F1EC9" w:rsidP="00391CDA">
                            <w:pPr>
                              <w:jc w:val="center"/>
                            </w:pPr>
                            <w:r>
                              <w:t>(</w:t>
                            </w:r>
                            <w:r w:rsidR="00391CDA">
                              <w:t>b</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9189" id="_x0000_s1032" type="#_x0000_t202" style="position:absolute;left:0;text-align:left;margin-left:347.35pt;margin-top:3.35pt;width:1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" filled="f" stroked="f" strokeweight=".5pt">
                <v:textbox inset="0,0,0,0">
                  <w:txbxContent>
                    <w:p w14:paraId="0D1567EB" w14:textId="5A2FD88F" w:rsidR="00391CDA" w:rsidRDefault="002F1EC9" w:rsidP="00391CDA">
                      <w:pPr>
                        <w:jc w:val="center"/>
                      </w:pPr>
                      <w:r>
                        <w:t>(</w:t>
                      </w:r>
                      <w:r w:rsidR="00391CDA">
                        <w:t>b</w:t>
                      </w:r>
                      <w:r>
                        <w:t>)</w:t>
                      </w:r>
                    </w:p>
                  </w:txbxContent>
                </v:textbox>
              </v:shape>
            </w:pict>
          </mc:Fallback>
        </mc:AlternateContent>
      </w:r>
      <w:r w:rsidR="00391CDA" w:rsidRPr="00875A01">
        <w:rPr>
          <w:noProof/>
        </w:rPr>
        <mc:AlternateContent>
          <mc:Choice Requires="wps">
            <w:drawing>
              <wp:anchor distT="0" distB="0" distL="114300" distR="114300" simplePos="0" relativeHeight="251669504" behindDoc="0" locked="0" layoutInCell="1" allowOverlap="1" wp14:anchorId="23D1D580" wp14:editId="1B2C2188">
                <wp:simplePos x="0" y="0"/>
                <wp:positionH relativeFrom="column">
                  <wp:posOffset>1533525</wp:posOffset>
                </wp:positionH>
                <wp:positionV relativeFrom="paragraph">
                  <wp:posOffset>45085</wp:posOffset>
                </wp:positionV>
                <wp:extent cx="215900" cy="215900"/>
                <wp:effectExtent l="0" t="0" r="12700" b="12700"/>
                <wp:wrapNone/>
                <wp:docPr id="145954194" name="Casella di testo 3"/>
                <wp:cNvGraphicFramePr/>
                <a:graphic xmlns:a="http://schemas.openxmlformats.org/drawingml/2006/main">
                  <a:graphicData uri="http://schemas.microsoft.com/office/word/2010/wordprocessingShape">
                    <wps:wsp>
                      <wps:cNvSpPr txBox="1"/>
                      <wps:spPr>
                        <a:xfrm>
                          <a:off x="0" y="0"/>
                          <a:ext cx="215900" cy="215900"/>
                        </a:xfrm>
                        <a:prstGeom prst="rect">
                          <a:avLst/>
                        </a:prstGeom>
                        <a:noFill/>
                        <a:ln w="6350">
                          <a:noFill/>
                        </a:ln>
                      </wps:spPr>
                      <wps:txbx>
                        <w:txbxContent>
                          <w:p w14:paraId="05518297" w14:textId="1F14A322" w:rsidR="00391CDA" w:rsidRDefault="002F1EC9" w:rsidP="00391CDA">
                            <w:pPr>
                              <w:jc w:val="center"/>
                            </w:pPr>
                            <w:r>
                              <w:t>(</w:t>
                            </w:r>
                            <w:r w:rsidR="00391CDA">
                              <w:t>a</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D580" id="_x0000_s1033" type="#_x0000_t202" style="position:absolute;left:0;text-align:left;margin-left:120.75pt;margin-top:3.5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" filled="f" stroked="f" strokeweight=".5pt">
                <v:textbox inset="0,0,0,0">
                  <w:txbxContent>
                    <w:p w14:paraId="05518297" w14:textId="1F14A322" w:rsidR="00391CDA" w:rsidRDefault="002F1EC9" w:rsidP="00391CDA">
                      <w:pPr>
                        <w:jc w:val="center"/>
                      </w:pPr>
                      <w:r>
                        <w:t>(</w:t>
                      </w:r>
                      <w:r w:rsidR="00391CDA">
                        <w:t>a</w:t>
                      </w:r>
                      <w:r>
                        <w:t>)</w:t>
                      </w:r>
                    </w:p>
                  </w:txbxContent>
                </v:textbox>
              </v:shape>
            </w:pict>
          </mc:Fallback>
        </mc:AlternateContent>
      </w:r>
      <w:r w:rsidR="00DA155A" w:rsidRPr="00875A01">
        <w:rPr>
          <w:noProof/>
        </w:rPr>
        <w:drawing>
          <wp:inline distT="0" distB="0" distL="0" distR="0" wp14:anchorId="43313A75" wp14:editId="65D7F0C6">
            <wp:extent cx="2420007" cy="1944000"/>
            <wp:effectExtent l="0" t="0" r="0" b="0"/>
            <wp:docPr id="6110358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6029" t="9286" r="10634" b="3309"/>
                    <a:stretch/>
                  </pic:blipFill>
                  <pic:spPr bwMode="auto">
                    <a:xfrm>
                      <a:off x="0" y="0"/>
                      <a:ext cx="2420007" cy="1944000"/>
                    </a:xfrm>
                    <a:prstGeom prst="rect">
                      <a:avLst/>
                    </a:prstGeom>
                    <a:noFill/>
                    <a:ln>
                      <a:noFill/>
                    </a:ln>
                    <a:extLst>
                      <a:ext uri="{53640926-AAD7-44D8-BBD7-CCE9431645EC}">
                        <a14:shadowObscured xmlns:a14="http://schemas.microsoft.com/office/drawing/2010/main"/>
                      </a:ext>
                    </a:extLst>
                  </pic:spPr>
                </pic:pic>
              </a:graphicData>
            </a:graphic>
          </wp:inline>
        </w:drawing>
      </w:r>
      <w:r w:rsidR="00694266" w:rsidRPr="00875A01">
        <w:t xml:space="preserve">     </w:t>
      </w:r>
      <w:r w:rsidR="00694266" w:rsidRPr="00875A01">
        <w:rPr>
          <w:noProof/>
        </w:rPr>
        <w:drawing>
          <wp:inline distT="0" distB="0" distL="0" distR="0" wp14:anchorId="257E5922" wp14:editId="46412D62">
            <wp:extent cx="2401701" cy="1944000"/>
            <wp:effectExtent l="0" t="0" r="0" b="0"/>
            <wp:docPr id="156731777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6146" t="9139" r="10549" b="2809"/>
                    <a:stretch/>
                  </pic:blipFill>
                  <pic:spPr bwMode="auto">
                    <a:xfrm>
                      <a:off x="0" y="0"/>
                      <a:ext cx="2401701"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431EE94C" w14:textId="0C2D36E6" w:rsidR="00815D29" w:rsidRPr="00875A01" w:rsidRDefault="00815D29" w:rsidP="00491AB2">
      <w:pPr>
        <w:pStyle w:val="CETCaption"/>
        <w:spacing w:before="120"/>
        <w:rPr>
          <w:lang w:val="en-US"/>
        </w:rPr>
      </w:pPr>
      <w:r w:rsidRPr="00875A01">
        <w:rPr>
          <w:lang w:val="en-US"/>
        </w:rPr>
        <w:t xml:space="preserve">Figure </w:t>
      </w:r>
      <w:r w:rsidRPr="00875A01">
        <w:rPr>
          <w:lang w:val="en-US"/>
        </w:rPr>
        <w:fldChar w:fldCharType="begin"/>
      </w:r>
      <w:r w:rsidRPr="00875A01">
        <w:rPr>
          <w:lang w:val="en-US"/>
        </w:rPr>
        <w:instrText xml:space="preserve"> SEQ Figure \* ARABIC </w:instrText>
      </w:r>
      <w:r w:rsidRPr="00875A01">
        <w:rPr>
          <w:lang w:val="en-US"/>
        </w:rPr>
        <w:fldChar w:fldCharType="separate"/>
      </w:r>
      <w:r w:rsidR="0029551E" w:rsidRPr="00875A01">
        <w:rPr>
          <w:noProof/>
          <w:lang w:val="en-US"/>
        </w:rPr>
        <w:t>4</w:t>
      </w:r>
      <w:r w:rsidRPr="00875A01">
        <w:rPr>
          <w:lang w:val="en-US"/>
        </w:rPr>
        <w:fldChar w:fldCharType="end"/>
      </w:r>
      <w:r w:rsidRPr="00875A01">
        <w:rPr>
          <w:lang w:val="en-US"/>
        </w:rPr>
        <w:t xml:space="preserve">: </w:t>
      </w:r>
      <w:r w:rsidR="004D31EC" w:rsidRPr="00875A01">
        <w:rPr>
          <w:lang w:val="en-US"/>
        </w:rPr>
        <w:t>CO</w:t>
      </w:r>
      <w:r w:rsidR="004D31EC" w:rsidRPr="00875A01">
        <w:rPr>
          <w:vertAlign w:val="subscript"/>
          <w:lang w:val="en-US"/>
        </w:rPr>
        <w:t>2</w:t>
      </w:r>
      <w:r w:rsidR="004D31EC" w:rsidRPr="00875A01">
        <w:rPr>
          <w:lang w:val="en-US"/>
        </w:rPr>
        <w:t xml:space="preserve"> adsorption </w:t>
      </w:r>
      <w:r w:rsidR="00F70CD3" w:rsidRPr="00875A01">
        <w:rPr>
          <w:lang w:val="en-US"/>
        </w:rPr>
        <w:t>breakthrough curves</w:t>
      </w:r>
      <w:r w:rsidR="004D31EC" w:rsidRPr="00875A01">
        <w:rPr>
          <w:lang w:val="en-US"/>
        </w:rPr>
        <w:t xml:space="preserve">: (a) </w:t>
      </w:r>
      <w:r w:rsidR="00F70CD3" w:rsidRPr="00875A01">
        <w:rPr>
          <w:lang w:val="en-US"/>
        </w:rPr>
        <w:t>effect of</w:t>
      </w:r>
      <w:r w:rsidR="004D31EC" w:rsidRPr="00875A01">
        <w:rPr>
          <w:lang w:val="en-US"/>
        </w:rPr>
        <w:t xml:space="preserve"> different gas flow rates and (b) </w:t>
      </w:r>
      <w:r w:rsidR="00F70CD3" w:rsidRPr="00875A01">
        <w:rPr>
          <w:lang w:val="en-US"/>
        </w:rPr>
        <w:t>effect of</w:t>
      </w:r>
      <w:r w:rsidR="004D31EC" w:rsidRPr="00875A01">
        <w:rPr>
          <w:lang w:val="en-US"/>
        </w:rPr>
        <w:t xml:space="preserve"> different bed </w:t>
      </w:r>
      <w:r w:rsidR="001F47BE" w:rsidRPr="00875A01">
        <w:rPr>
          <w:lang w:val="en-US"/>
        </w:rPr>
        <w:t>height</w:t>
      </w:r>
      <w:r w:rsidR="004F7D63" w:rsidRPr="00875A01">
        <w:rPr>
          <w:lang w:val="en-US"/>
        </w:rPr>
        <w:t>s</w:t>
      </w:r>
    </w:p>
    <w:p w14:paraId="634AB943" w14:textId="77777777" w:rsidR="00815D29" w:rsidRPr="00875A01" w:rsidRDefault="00815D29" w:rsidP="00815D29">
      <w:pPr>
        <w:pStyle w:val="CETHeading1"/>
      </w:pPr>
      <w:r w:rsidRPr="00875A01">
        <w:t>Conclusions</w:t>
      </w:r>
    </w:p>
    <w:p w14:paraId="44B22B89" w14:textId="32F741AD" w:rsidR="00815D29" w:rsidRPr="00875A01" w:rsidRDefault="00815D29" w:rsidP="00F576C8">
      <w:pPr>
        <w:pStyle w:val="CETBodytext"/>
      </w:pPr>
      <w:r w:rsidRPr="00875A01">
        <w:t xml:space="preserve">In this study, </w:t>
      </w:r>
      <w:r w:rsidR="001A744C" w:rsidRPr="00875A01">
        <w:t>the CO</w:t>
      </w:r>
      <w:r w:rsidR="001A744C" w:rsidRPr="00875A01">
        <w:rPr>
          <w:vertAlign w:val="subscript"/>
        </w:rPr>
        <w:t>2</w:t>
      </w:r>
      <w:r w:rsidR="001A744C" w:rsidRPr="00875A01">
        <w:t xml:space="preserve"> adsorption process </w:t>
      </w:r>
      <w:r w:rsidR="004D07AC" w:rsidRPr="00875A01">
        <w:t>at high temperature</w:t>
      </w:r>
      <w:r w:rsidR="00655F4F" w:rsidRPr="00875A01">
        <w:t xml:space="preserve"> and low CO</w:t>
      </w:r>
      <w:r w:rsidR="00655F4F" w:rsidRPr="00875A01">
        <w:rPr>
          <w:vertAlign w:val="subscript"/>
        </w:rPr>
        <w:t>2</w:t>
      </w:r>
      <w:r w:rsidR="00655F4F" w:rsidRPr="00875A01">
        <w:t xml:space="preserve"> concentration (4 vol%)</w:t>
      </w:r>
      <w:r w:rsidR="004D07AC" w:rsidRPr="00875A01">
        <w:t xml:space="preserve"> in a</w:t>
      </w:r>
      <w:r w:rsidRPr="00875A01">
        <w:t xml:space="preserve"> fixed bed reactor composed of </w:t>
      </w:r>
      <w:r w:rsidR="000025ED" w:rsidRPr="00875A01">
        <w:t xml:space="preserve">a packed bed of </w:t>
      </w:r>
      <w:r w:rsidR="00CF3EB9" w:rsidRPr="00875A01">
        <w:t>K</w:t>
      </w:r>
      <w:r w:rsidR="00CF3EB9" w:rsidRPr="00875A01">
        <w:rPr>
          <w:vertAlign w:val="subscript"/>
        </w:rPr>
        <w:t>2</w:t>
      </w:r>
      <w:r w:rsidR="00CF3EB9" w:rsidRPr="00875A01">
        <w:t>CO</w:t>
      </w:r>
      <w:r w:rsidR="00CF3EB9" w:rsidRPr="00875A01">
        <w:rPr>
          <w:vertAlign w:val="subscript"/>
        </w:rPr>
        <w:t>3</w:t>
      </w:r>
      <w:r w:rsidR="00CF3EB9" w:rsidRPr="00875A01">
        <w:t>-</w:t>
      </w:r>
      <w:r w:rsidRPr="00875A01">
        <w:t xml:space="preserve">doped </w:t>
      </w:r>
      <w:r w:rsidR="004D07AC" w:rsidRPr="00875A01">
        <w:rPr>
          <w:rFonts w:eastAsiaTheme="minorHAnsi"/>
        </w:rPr>
        <w:t>Li</w:t>
      </w:r>
      <w:r w:rsidR="004D07AC" w:rsidRPr="00875A01">
        <w:rPr>
          <w:rFonts w:eastAsiaTheme="minorHAnsi"/>
          <w:vertAlign w:val="subscript"/>
        </w:rPr>
        <w:t>4</w:t>
      </w:r>
      <w:r w:rsidR="004D07AC" w:rsidRPr="00875A01">
        <w:rPr>
          <w:rFonts w:eastAsiaTheme="minorHAnsi"/>
        </w:rPr>
        <w:t>SiO</w:t>
      </w:r>
      <w:r w:rsidR="004D07AC" w:rsidRPr="00875A01">
        <w:rPr>
          <w:rFonts w:eastAsiaTheme="minorHAnsi"/>
          <w:vertAlign w:val="subscript"/>
        </w:rPr>
        <w:t>4</w:t>
      </w:r>
      <w:r w:rsidR="004D07AC" w:rsidRPr="00875A01">
        <w:rPr>
          <w:rFonts w:eastAsiaTheme="minorHAnsi"/>
        </w:rPr>
        <w:t xml:space="preserve"> </w:t>
      </w:r>
      <w:r w:rsidR="000025ED" w:rsidRPr="00875A01">
        <w:t>pellets</w:t>
      </w:r>
      <w:r w:rsidRPr="00875A01">
        <w:t xml:space="preserve"> was </w:t>
      </w:r>
      <w:r w:rsidR="004D07AC" w:rsidRPr="00875A01">
        <w:t xml:space="preserve">experimentally investigated and </w:t>
      </w:r>
      <w:r w:rsidR="00B97756" w:rsidRPr="00875A01">
        <w:t xml:space="preserve">numerically </w:t>
      </w:r>
      <w:r w:rsidRPr="00875A01">
        <w:t>simulated using</w:t>
      </w:r>
      <w:r w:rsidR="00CF3EB9" w:rsidRPr="00875A01">
        <w:t xml:space="preserve"> </w:t>
      </w:r>
      <w:r w:rsidRPr="00875A01">
        <w:t>COMSOL Multiphysics</w:t>
      </w:r>
      <w:r w:rsidR="000025ED" w:rsidRPr="00875A01">
        <w:rPr>
          <w:vertAlign w:val="superscript"/>
        </w:rPr>
        <w:t>®</w:t>
      </w:r>
      <w:r w:rsidRPr="00875A01">
        <w:t xml:space="preserve">. </w:t>
      </w:r>
      <w:r w:rsidR="00CF3EB9" w:rsidRPr="00875A01">
        <w:t>A one-dimensional mathematical model was successfully developed, which implements shrinking core reaction kinetics suitably modified to consider the presence of a K</w:t>
      </w:r>
      <w:r w:rsidR="00CF3EB9" w:rsidRPr="00875A01">
        <w:rPr>
          <w:vertAlign w:val="subscript"/>
        </w:rPr>
        <w:t>2</w:t>
      </w:r>
      <w:r w:rsidR="00CF3EB9" w:rsidRPr="00875A01">
        <w:t>CO</w:t>
      </w:r>
      <w:r w:rsidR="00CF3EB9" w:rsidRPr="00875A01">
        <w:rPr>
          <w:vertAlign w:val="subscript"/>
        </w:rPr>
        <w:t>3</w:t>
      </w:r>
      <w:r w:rsidR="00CF3EB9" w:rsidRPr="00875A01">
        <w:t>/Li</w:t>
      </w:r>
      <w:r w:rsidR="00CF3EB9" w:rsidRPr="00875A01">
        <w:rPr>
          <w:vertAlign w:val="subscript"/>
        </w:rPr>
        <w:t>2</w:t>
      </w:r>
      <w:r w:rsidR="00CF3EB9" w:rsidRPr="00875A01">
        <w:t>CO</w:t>
      </w:r>
      <w:r w:rsidR="00CF3EB9" w:rsidRPr="00875A01">
        <w:rPr>
          <w:vertAlign w:val="subscript"/>
        </w:rPr>
        <w:t>3</w:t>
      </w:r>
      <w:r w:rsidR="00CF3EB9" w:rsidRPr="00875A01">
        <w:t xml:space="preserve"> molten mixture and a reaction </w:t>
      </w:r>
      <w:r w:rsidR="00B91027">
        <w:t>product</w:t>
      </w:r>
      <w:r w:rsidR="00CF3EB9" w:rsidRPr="00875A01">
        <w:t xml:space="preserve"> nucleation phase. </w:t>
      </w:r>
      <w:r w:rsidRPr="00875A01">
        <w:t>The model</w:t>
      </w:r>
      <w:r w:rsidR="00951E74" w:rsidRPr="00875A01">
        <w:t xml:space="preserve"> exhibited good agreement with the experimental breakthrough curve</w:t>
      </w:r>
      <w:r w:rsidR="00C12124" w:rsidRPr="00875A01">
        <w:t>s</w:t>
      </w:r>
      <w:r w:rsidR="007766B1" w:rsidRPr="00875A01">
        <w:t xml:space="preserve">, </w:t>
      </w:r>
      <w:r w:rsidRPr="00875A01">
        <w:t>represent</w:t>
      </w:r>
      <w:r w:rsidR="007766B1" w:rsidRPr="00875A01">
        <w:t>ing</w:t>
      </w:r>
      <w:r w:rsidRPr="00875A01">
        <w:t xml:space="preserve"> a good </w:t>
      </w:r>
      <w:r w:rsidR="00FC72CC" w:rsidRPr="00875A01">
        <w:t>trade-off</w:t>
      </w:r>
      <w:r w:rsidRPr="00875A01">
        <w:t xml:space="preserve"> between computational cost and accuracy.</w:t>
      </w:r>
      <w:r w:rsidR="00BA7034" w:rsidRPr="00875A01">
        <w:t xml:space="preserve"> Moreover,</w:t>
      </w:r>
      <w:r w:rsidR="00C12124" w:rsidRPr="00875A01">
        <w:t xml:space="preserve"> </w:t>
      </w:r>
      <w:r w:rsidRPr="00875A01">
        <w:t xml:space="preserve">the model </w:t>
      </w:r>
      <w:r w:rsidR="00C12124" w:rsidRPr="00875A01">
        <w:t>allowed</w:t>
      </w:r>
      <w:r w:rsidRPr="00875A01">
        <w:t xml:space="preserve"> a detailed analysis of the relationship between chemical and diffusion resistances and their influence on the breakthrough </w:t>
      </w:r>
      <w:r w:rsidR="00F73E18" w:rsidRPr="00875A01">
        <w:t>behavior</w:t>
      </w:r>
      <w:r w:rsidRPr="00875A01">
        <w:t xml:space="preserve"> of the </w:t>
      </w:r>
      <w:r w:rsidR="00C12124" w:rsidRPr="00875A01">
        <w:t>pellets</w:t>
      </w:r>
      <w:r w:rsidRPr="00875A01">
        <w:t xml:space="preserve"> bed</w:t>
      </w:r>
      <w:r w:rsidR="006746D2" w:rsidRPr="00875A01">
        <w:t xml:space="preserve">. It was observed that </w:t>
      </w:r>
      <w:r w:rsidR="000F4F2B" w:rsidRPr="00875A01">
        <w:t xml:space="preserve">the </w:t>
      </w:r>
      <w:r w:rsidRPr="00875A01">
        <w:t xml:space="preserve">breakthrough </w:t>
      </w:r>
      <w:r w:rsidR="006746D2" w:rsidRPr="00875A01">
        <w:t>occurred</w:t>
      </w:r>
      <w:r w:rsidRPr="00875A01">
        <w:t xml:space="preserve"> when the controlling resistance shift</w:t>
      </w:r>
      <w:r w:rsidR="006746D2" w:rsidRPr="00875A01">
        <w:t>ed</w:t>
      </w:r>
      <w:r w:rsidRPr="00875A01">
        <w:t xml:space="preserve"> from chemical to diffusion, highlighting the dynamic </w:t>
      </w:r>
      <w:r w:rsidR="006746D2" w:rsidRPr="00875A01">
        <w:t>interaction</w:t>
      </w:r>
      <w:r w:rsidRPr="00875A01">
        <w:t xml:space="preserve"> between </w:t>
      </w:r>
      <w:r w:rsidR="006746D2" w:rsidRPr="00875A01">
        <w:t>them</w:t>
      </w:r>
      <w:r w:rsidRPr="00875A01">
        <w:t xml:space="preserve"> during the adsorption process.</w:t>
      </w:r>
    </w:p>
    <w:p w14:paraId="2F2A8D22" w14:textId="73748C32" w:rsidR="00815D29" w:rsidRPr="00875A01" w:rsidRDefault="00815D29" w:rsidP="001B5DFA">
      <w:pPr>
        <w:pStyle w:val="CETAcknowledgementstitle"/>
        <w:spacing w:before="180" w:after="100"/>
        <w:rPr>
          <w:lang w:val="en-US"/>
        </w:rPr>
      </w:pPr>
      <w:r w:rsidRPr="00875A01">
        <w:rPr>
          <w:lang w:val="en-US"/>
        </w:rPr>
        <w:t>Acknowledgments</w:t>
      </w:r>
    </w:p>
    <w:p w14:paraId="57528E89" w14:textId="1653594C" w:rsidR="00257E70" w:rsidRPr="00875A01" w:rsidRDefault="00815D29" w:rsidP="00815D29">
      <w:pPr>
        <w:pStyle w:val="CETBodytext"/>
      </w:pPr>
      <w:r w:rsidRPr="00875A01">
        <w:t>This research is supported by the Ministry of University and Research (MUR) as part of the PON 2014-2020 “Research and Innovation” resources - Green/Innovation Action - DM MUR 1062/2021</w:t>
      </w:r>
      <w:r w:rsidR="00156580" w:rsidRPr="00875A01">
        <w:t>.</w:t>
      </w:r>
    </w:p>
    <w:p w14:paraId="3BFEAFFF" w14:textId="047524B9" w:rsidR="00E77109" w:rsidRPr="00875A01" w:rsidRDefault="00600535" w:rsidP="001B5DFA">
      <w:pPr>
        <w:pStyle w:val="CETReference"/>
        <w:spacing w:before="180" w:after="100"/>
        <w:rPr>
          <w:lang w:val="en-US"/>
        </w:rPr>
      </w:pPr>
      <w:r w:rsidRPr="00875A01">
        <w:rPr>
          <w:lang w:val="en-US"/>
        </w:rPr>
        <w:t>References</w:t>
      </w:r>
    </w:p>
    <w:p w14:paraId="7381D705" w14:textId="05C9A229" w:rsidR="00AD11A1" w:rsidRPr="00AD11A1" w:rsidRDefault="00E77109" w:rsidP="003E6431">
      <w:pPr>
        <w:pStyle w:val="CETReferencetext"/>
        <w:spacing w:line="252" w:lineRule="auto"/>
        <w:rPr>
          <w:noProof/>
        </w:rPr>
      </w:pPr>
      <w:r w:rsidRPr="00875A01">
        <w:rPr>
          <w:lang w:val="en-US"/>
        </w:rPr>
        <w:fldChar w:fldCharType="begin" w:fldLock="1"/>
      </w:r>
      <w:r w:rsidRPr="00875A01">
        <w:rPr>
          <w:lang w:val="en-US"/>
        </w:rPr>
        <w:instrText xml:space="preserve">ADDIN Mendeley Bibliography CSL_BIBLIOGRAPHY </w:instrText>
      </w:r>
      <w:r w:rsidRPr="00875A01">
        <w:rPr>
          <w:lang w:val="en-US"/>
        </w:rPr>
        <w:fldChar w:fldCharType="separate"/>
      </w:r>
      <w:r w:rsidR="00AD11A1" w:rsidRPr="00AD11A1">
        <w:rPr>
          <w:noProof/>
        </w:rPr>
        <w:t>Chao C., Deng Y., Dewil R., Baeyens J., Fan X., 2021, Post-combustion carbon capture, Renewable and Sustainable Energy Reviews, 138, 110490.</w:t>
      </w:r>
    </w:p>
    <w:p w14:paraId="5722C9EF" w14:textId="77777777" w:rsidR="00AD11A1" w:rsidRPr="00AD11A1" w:rsidRDefault="00AD11A1" w:rsidP="003E6431">
      <w:pPr>
        <w:pStyle w:val="CETReferencetext"/>
        <w:spacing w:line="252" w:lineRule="auto"/>
        <w:rPr>
          <w:noProof/>
        </w:rPr>
      </w:pPr>
      <w:r w:rsidRPr="00AD11A1">
        <w:rPr>
          <w:noProof/>
        </w:rPr>
        <w:t>Chu H., Huang Z., Zhang Z., Yan X., Qiu B., Xu N., 2024, Integration of carbon emission reduction policies and technologies: Research progress on carbon capture, utilization and storage technologies, Separation and Purification Technology, 343, 127153.</w:t>
      </w:r>
    </w:p>
    <w:p w14:paraId="6CA9BE0C" w14:textId="77777777" w:rsidR="00AD11A1" w:rsidRPr="00AD11A1" w:rsidRDefault="00AD11A1" w:rsidP="003E6431">
      <w:pPr>
        <w:pStyle w:val="CETReferencetext"/>
        <w:spacing w:line="252" w:lineRule="auto"/>
        <w:rPr>
          <w:noProof/>
        </w:rPr>
      </w:pPr>
      <w:r w:rsidRPr="00AD11A1">
        <w:rPr>
          <w:noProof/>
        </w:rPr>
        <w:t>Hu Y., Liu W., Yang Y., Qu M., Li H., 2019, CO</w:t>
      </w:r>
      <w:r w:rsidRPr="00AD11A1">
        <w:rPr>
          <w:noProof/>
          <w:vertAlign w:val="subscript"/>
        </w:rPr>
        <w:t>2</w:t>
      </w:r>
      <w:r w:rsidRPr="00AD11A1">
        <w:rPr>
          <w:noProof/>
        </w:rPr>
        <w:t xml:space="preserve"> capture by Li</w:t>
      </w:r>
      <w:r w:rsidRPr="00AD11A1">
        <w:rPr>
          <w:noProof/>
          <w:vertAlign w:val="subscript"/>
        </w:rPr>
        <w:t>4</w:t>
      </w:r>
      <w:r w:rsidRPr="00AD11A1">
        <w:rPr>
          <w:noProof/>
        </w:rPr>
        <w:t>SiO</w:t>
      </w:r>
      <w:r w:rsidRPr="00AD11A1">
        <w:rPr>
          <w:noProof/>
          <w:vertAlign w:val="subscript"/>
        </w:rPr>
        <w:t>4</w:t>
      </w:r>
      <w:r w:rsidRPr="00AD11A1">
        <w:rPr>
          <w:noProof/>
        </w:rPr>
        <w:t xml:space="preserve"> sorbents and their applications: Current developments and new trends, Chemical Engineering Journal, 359, 604–625.</w:t>
      </w:r>
    </w:p>
    <w:p w14:paraId="46ECC599" w14:textId="0450F5FB" w:rsidR="00AD11A1" w:rsidRPr="00AD11A1" w:rsidRDefault="00AD11A1" w:rsidP="003E6431">
      <w:pPr>
        <w:pStyle w:val="CETReferencetext"/>
        <w:spacing w:line="252" w:lineRule="auto"/>
        <w:rPr>
          <w:noProof/>
        </w:rPr>
      </w:pPr>
      <w:r w:rsidRPr="00AD11A1">
        <w:rPr>
          <w:noProof/>
        </w:rPr>
        <w:t>Kleykamp H., 1996, Enthalpy, heat capacity, second-order transitions and enthalpy</w:t>
      </w:r>
      <w:r w:rsidR="003C3F33">
        <w:rPr>
          <w:noProof/>
        </w:rPr>
        <w:t xml:space="preserve"> </w:t>
      </w:r>
      <w:r w:rsidRPr="00AD11A1">
        <w:rPr>
          <w:noProof/>
        </w:rPr>
        <w:t>of fusion of Li</w:t>
      </w:r>
      <w:r w:rsidRPr="00AD11A1">
        <w:rPr>
          <w:noProof/>
          <w:vertAlign w:val="subscript"/>
        </w:rPr>
        <w:t>4</w:t>
      </w:r>
      <w:r w:rsidRPr="00AD11A1">
        <w:rPr>
          <w:noProof/>
        </w:rPr>
        <w:t>SiO</w:t>
      </w:r>
      <w:r w:rsidRPr="00AD11A1">
        <w:rPr>
          <w:noProof/>
          <w:vertAlign w:val="subscript"/>
        </w:rPr>
        <w:t>4</w:t>
      </w:r>
      <w:r w:rsidRPr="00AD11A1">
        <w:rPr>
          <w:noProof/>
        </w:rPr>
        <w:t xml:space="preserve"> by high-temperature calorimetry, Thermochimica Acta, 287, 191–201.</w:t>
      </w:r>
    </w:p>
    <w:p w14:paraId="04656683" w14:textId="77777777" w:rsidR="00AD11A1" w:rsidRPr="00AD11A1" w:rsidRDefault="00AD11A1" w:rsidP="003E6431">
      <w:pPr>
        <w:pStyle w:val="CETReferencetext"/>
        <w:spacing w:line="252" w:lineRule="auto"/>
        <w:rPr>
          <w:noProof/>
        </w:rPr>
      </w:pPr>
      <w:r w:rsidRPr="00AD11A1">
        <w:rPr>
          <w:noProof/>
        </w:rPr>
        <w:t>Löbbecke B., Knitter R., Rohde M., Reimann J., 2009, Thermal conductivity of sintered lithium orthosilicate compacts, Journal of Nuclear Materials, 386–388, 1068–1070.</w:t>
      </w:r>
    </w:p>
    <w:p w14:paraId="411A6098" w14:textId="77777777" w:rsidR="00AD11A1" w:rsidRPr="00AD11A1" w:rsidRDefault="00AD11A1" w:rsidP="003E6431">
      <w:pPr>
        <w:pStyle w:val="CETReferencetext"/>
        <w:spacing w:line="252" w:lineRule="auto"/>
        <w:rPr>
          <w:noProof/>
        </w:rPr>
      </w:pPr>
      <w:r w:rsidRPr="00AD11A1">
        <w:rPr>
          <w:noProof/>
        </w:rPr>
        <w:t>Navarrete N., Nithiyanantham U., Hernández L., Mondragón R., 2022, K</w:t>
      </w:r>
      <w:r w:rsidRPr="00AD11A1">
        <w:rPr>
          <w:noProof/>
          <w:vertAlign w:val="subscript"/>
        </w:rPr>
        <w:t>2</w:t>
      </w:r>
      <w:r w:rsidRPr="00AD11A1">
        <w:rPr>
          <w:noProof/>
        </w:rPr>
        <w:t>CO</w:t>
      </w:r>
      <w:r w:rsidRPr="00AD11A1">
        <w:rPr>
          <w:noProof/>
          <w:vertAlign w:val="subscript"/>
        </w:rPr>
        <w:t>3</w:t>
      </w:r>
      <w:r w:rsidRPr="00AD11A1">
        <w:rPr>
          <w:noProof/>
        </w:rPr>
        <w:t>–Li</w:t>
      </w:r>
      <w:r w:rsidRPr="00AD11A1">
        <w:rPr>
          <w:noProof/>
          <w:vertAlign w:val="subscript"/>
        </w:rPr>
        <w:t>2</w:t>
      </w:r>
      <w:r w:rsidRPr="00AD11A1">
        <w:rPr>
          <w:noProof/>
        </w:rPr>
        <w:t>CO</w:t>
      </w:r>
      <w:r w:rsidRPr="00AD11A1">
        <w:rPr>
          <w:noProof/>
          <w:vertAlign w:val="subscript"/>
        </w:rPr>
        <w:t>3</w:t>
      </w:r>
      <w:r w:rsidRPr="00AD11A1">
        <w:rPr>
          <w:noProof/>
        </w:rPr>
        <w:t xml:space="preserve"> molten carbonate mixtures and their nanofluids for thermal energy storage: An overview of the literature, Solar Energy Materials and Solar Cells, 236, 111525.</w:t>
      </w:r>
    </w:p>
    <w:p w14:paraId="2BF8791E" w14:textId="77777777" w:rsidR="00AD11A1" w:rsidRPr="00AD11A1" w:rsidRDefault="00AD11A1" w:rsidP="003E6431">
      <w:pPr>
        <w:pStyle w:val="CETReferencetext"/>
        <w:spacing w:line="252" w:lineRule="auto"/>
        <w:rPr>
          <w:noProof/>
        </w:rPr>
      </w:pPr>
      <w:r w:rsidRPr="00AD11A1">
        <w:rPr>
          <w:noProof/>
        </w:rPr>
        <w:t>Nedoma M., Netušil M., 2021, CO</w:t>
      </w:r>
      <w:r w:rsidRPr="00AD11A1">
        <w:rPr>
          <w:noProof/>
          <w:vertAlign w:val="subscript"/>
        </w:rPr>
        <w:t>2</w:t>
      </w:r>
      <w:r w:rsidRPr="00AD11A1">
        <w:rPr>
          <w:noProof/>
        </w:rPr>
        <w:t xml:space="preserve"> Separation from Flue Gases by Adsorption, Chemical Engineering Transactions, 88, 421–426.</w:t>
      </w:r>
    </w:p>
    <w:p w14:paraId="764B3BD4" w14:textId="77777777" w:rsidR="00AD11A1" w:rsidRPr="00AD11A1" w:rsidRDefault="00AD11A1" w:rsidP="003E6431">
      <w:pPr>
        <w:pStyle w:val="CETReferencetext"/>
        <w:spacing w:line="252" w:lineRule="auto"/>
        <w:rPr>
          <w:noProof/>
        </w:rPr>
      </w:pPr>
      <w:r w:rsidRPr="00AD11A1">
        <w:rPr>
          <w:noProof/>
        </w:rPr>
        <w:t>Stefanelli E., Francalanci F., Vitolo S., Puccini M., 2025, Insights into adsorption mechanism and kinetic modeling of K</w:t>
      </w:r>
      <w:r w:rsidRPr="00AD11A1">
        <w:rPr>
          <w:noProof/>
          <w:vertAlign w:val="subscript"/>
        </w:rPr>
        <w:t>2</w:t>
      </w:r>
      <w:r w:rsidRPr="00AD11A1">
        <w:rPr>
          <w:noProof/>
        </w:rPr>
        <w:t>CO</w:t>
      </w:r>
      <w:r w:rsidRPr="00AD11A1">
        <w:rPr>
          <w:noProof/>
          <w:vertAlign w:val="subscript"/>
        </w:rPr>
        <w:t>3</w:t>
      </w:r>
      <w:r w:rsidRPr="00AD11A1">
        <w:rPr>
          <w:noProof/>
        </w:rPr>
        <w:t>-doped Li</w:t>
      </w:r>
      <w:r w:rsidRPr="00AD11A1">
        <w:rPr>
          <w:noProof/>
          <w:vertAlign w:val="subscript"/>
        </w:rPr>
        <w:t>4</w:t>
      </w:r>
      <w:r w:rsidRPr="00AD11A1">
        <w:rPr>
          <w:noProof/>
        </w:rPr>
        <w:t>SiO</w:t>
      </w:r>
      <w:r w:rsidRPr="00AD11A1">
        <w:rPr>
          <w:noProof/>
          <w:vertAlign w:val="subscript"/>
        </w:rPr>
        <w:t>4</w:t>
      </w:r>
      <w:r w:rsidRPr="00AD11A1">
        <w:rPr>
          <w:noProof/>
        </w:rPr>
        <w:t xml:space="preserve"> pellets for CO</w:t>
      </w:r>
      <w:r w:rsidRPr="00AD11A1">
        <w:rPr>
          <w:noProof/>
          <w:vertAlign w:val="subscript"/>
        </w:rPr>
        <w:t>2</w:t>
      </w:r>
      <w:r w:rsidRPr="00AD11A1">
        <w:rPr>
          <w:noProof/>
        </w:rPr>
        <w:t xml:space="preserve"> capture at high temperature and low concentration, Fuel, 380, 133161.</w:t>
      </w:r>
    </w:p>
    <w:p w14:paraId="3F431C3E" w14:textId="77777777" w:rsidR="00AD11A1" w:rsidRPr="00AD11A1" w:rsidRDefault="00AD11A1" w:rsidP="003E6431">
      <w:pPr>
        <w:pStyle w:val="CETReferencetext"/>
        <w:spacing w:line="252" w:lineRule="auto"/>
        <w:rPr>
          <w:noProof/>
        </w:rPr>
      </w:pPr>
      <w:r w:rsidRPr="00AD11A1">
        <w:rPr>
          <w:noProof/>
        </w:rPr>
        <w:t>Stefanelli E., Puccini M., Vitolo S., Seggiani M., 2020, CO</w:t>
      </w:r>
      <w:r w:rsidRPr="00AD11A1">
        <w:rPr>
          <w:noProof/>
          <w:vertAlign w:val="subscript"/>
        </w:rPr>
        <w:t>2</w:t>
      </w:r>
      <w:r w:rsidRPr="00AD11A1">
        <w:rPr>
          <w:noProof/>
        </w:rPr>
        <w:t xml:space="preserve"> sorption kinetic study and modeling on doped-Li</w:t>
      </w:r>
      <w:r w:rsidRPr="00AD11A1">
        <w:rPr>
          <w:noProof/>
          <w:vertAlign w:val="subscript"/>
        </w:rPr>
        <w:t>4</w:t>
      </w:r>
      <w:r w:rsidRPr="00AD11A1">
        <w:rPr>
          <w:noProof/>
        </w:rPr>
        <w:t>SiO</w:t>
      </w:r>
      <w:r w:rsidRPr="00AD11A1">
        <w:rPr>
          <w:noProof/>
          <w:vertAlign w:val="subscript"/>
        </w:rPr>
        <w:t>4</w:t>
      </w:r>
      <w:r w:rsidRPr="00AD11A1">
        <w:rPr>
          <w:noProof/>
        </w:rPr>
        <w:t xml:space="preserve"> under different temperatures and CO</w:t>
      </w:r>
      <w:r w:rsidRPr="00AD11A1">
        <w:rPr>
          <w:noProof/>
          <w:vertAlign w:val="subscript"/>
        </w:rPr>
        <w:t>2</w:t>
      </w:r>
      <w:r w:rsidRPr="00AD11A1">
        <w:rPr>
          <w:noProof/>
        </w:rPr>
        <w:t xml:space="preserve"> partial pressures, Chemical Engineering Journal, 379, 122307.</w:t>
      </w:r>
    </w:p>
    <w:p w14:paraId="0C9F437A" w14:textId="77777777" w:rsidR="00AD11A1" w:rsidRPr="00AD11A1" w:rsidRDefault="00AD11A1" w:rsidP="003E6431">
      <w:pPr>
        <w:pStyle w:val="CETReferencetext"/>
        <w:spacing w:line="252" w:lineRule="auto"/>
        <w:rPr>
          <w:noProof/>
        </w:rPr>
      </w:pPr>
      <w:r w:rsidRPr="00AD11A1">
        <w:rPr>
          <w:noProof/>
        </w:rPr>
        <w:t>Yang Y., Dai P., Chen Z., Sun X., Ren X., 2023, Kinetic and thermodynamic investigations on the cyclic CO</w:t>
      </w:r>
      <w:r w:rsidRPr="00AD11A1">
        <w:rPr>
          <w:noProof/>
          <w:vertAlign w:val="subscript"/>
        </w:rPr>
        <w:t>2</w:t>
      </w:r>
      <w:r w:rsidRPr="00AD11A1">
        <w:rPr>
          <w:noProof/>
        </w:rPr>
        <w:t xml:space="preserve"> adsorption-desorption processes of lithium orthosilicate, Chemical Engineering Journal, 468, 143679.</w:t>
      </w:r>
    </w:p>
    <w:p w14:paraId="422568CA" w14:textId="35B0497A" w:rsidR="00E77109" w:rsidRPr="00875A01" w:rsidRDefault="00AD11A1" w:rsidP="003E6431">
      <w:pPr>
        <w:pStyle w:val="CETReferencetext"/>
        <w:spacing w:line="252" w:lineRule="auto"/>
        <w:rPr>
          <w:lang w:val="en-US"/>
        </w:rPr>
      </w:pPr>
      <w:r w:rsidRPr="00AD11A1">
        <w:rPr>
          <w:noProof/>
        </w:rPr>
        <w:t>Zedda F., Casu M., Atzori F., Orrù R., Cao G., Concas A., 2024, Comprehensive Mechanistic Modelling of Non-isothermal CO</w:t>
      </w:r>
      <w:r w:rsidRPr="00B24DB8">
        <w:rPr>
          <w:noProof/>
          <w:vertAlign w:val="subscript"/>
        </w:rPr>
        <w:t>2</w:t>
      </w:r>
      <w:r w:rsidRPr="00AD11A1">
        <w:rPr>
          <w:noProof/>
        </w:rPr>
        <w:t xml:space="preserve"> Adsorption in Fixed Packed Bed, Chemical Engineering Transactions, 111, 553–558.</w:t>
      </w:r>
      <w:r w:rsidR="00E77109" w:rsidRPr="00875A01">
        <w:rPr>
          <w:lang w:val="en-US"/>
        </w:rPr>
        <w:fldChar w:fldCharType="end"/>
      </w:r>
    </w:p>
    <w:sectPr w:rsidR="00E77109" w:rsidRPr="00875A0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2ED2A" w14:textId="77777777" w:rsidR="00CD7417" w:rsidRDefault="00CD7417" w:rsidP="004F5E36">
      <w:r>
        <w:separator/>
      </w:r>
    </w:p>
  </w:endnote>
  <w:endnote w:type="continuationSeparator" w:id="0">
    <w:p w14:paraId="25ADD23F" w14:textId="77777777" w:rsidR="00CD7417" w:rsidRDefault="00CD741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ICTFontTextStyleBody">
    <w:altName w:val="Cambria"/>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D92BA" w14:textId="77777777" w:rsidR="00CD7417" w:rsidRDefault="00CD7417" w:rsidP="004F5E36">
      <w:r>
        <w:separator/>
      </w:r>
    </w:p>
  </w:footnote>
  <w:footnote w:type="continuationSeparator" w:id="0">
    <w:p w14:paraId="6B1AB2B6" w14:textId="77777777" w:rsidR="00CD7417" w:rsidRDefault="00CD741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7158A71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F6E"/>
    <w:rsid w:val="000025ED"/>
    <w:rsid w:val="000027C0"/>
    <w:rsid w:val="000052FB"/>
    <w:rsid w:val="00005363"/>
    <w:rsid w:val="00005A19"/>
    <w:rsid w:val="000117CB"/>
    <w:rsid w:val="00012280"/>
    <w:rsid w:val="00014CF6"/>
    <w:rsid w:val="00015BE5"/>
    <w:rsid w:val="00021CEE"/>
    <w:rsid w:val="000235C7"/>
    <w:rsid w:val="000304D1"/>
    <w:rsid w:val="0003148D"/>
    <w:rsid w:val="00031EEC"/>
    <w:rsid w:val="00035A21"/>
    <w:rsid w:val="000360D0"/>
    <w:rsid w:val="00042507"/>
    <w:rsid w:val="00051566"/>
    <w:rsid w:val="00052633"/>
    <w:rsid w:val="000562A9"/>
    <w:rsid w:val="00057424"/>
    <w:rsid w:val="00057B22"/>
    <w:rsid w:val="00060787"/>
    <w:rsid w:val="000625A3"/>
    <w:rsid w:val="00062A9A"/>
    <w:rsid w:val="0006449F"/>
    <w:rsid w:val="00064E3A"/>
    <w:rsid w:val="00065058"/>
    <w:rsid w:val="000755DC"/>
    <w:rsid w:val="00076FD0"/>
    <w:rsid w:val="00077EF3"/>
    <w:rsid w:val="000820D4"/>
    <w:rsid w:val="00086C39"/>
    <w:rsid w:val="00087CE3"/>
    <w:rsid w:val="00090F64"/>
    <w:rsid w:val="00097B2A"/>
    <w:rsid w:val="000A03B2"/>
    <w:rsid w:val="000A604D"/>
    <w:rsid w:val="000A7DBD"/>
    <w:rsid w:val="000B0134"/>
    <w:rsid w:val="000B03D7"/>
    <w:rsid w:val="000B0CB0"/>
    <w:rsid w:val="000B5584"/>
    <w:rsid w:val="000B5E15"/>
    <w:rsid w:val="000C1C7E"/>
    <w:rsid w:val="000C2DB0"/>
    <w:rsid w:val="000C6DC7"/>
    <w:rsid w:val="000C6F3A"/>
    <w:rsid w:val="000D0268"/>
    <w:rsid w:val="000D34BE"/>
    <w:rsid w:val="000D7EEA"/>
    <w:rsid w:val="000E0B3C"/>
    <w:rsid w:val="000E102F"/>
    <w:rsid w:val="000E27A3"/>
    <w:rsid w:val="000E36F1"/>
    <w:rsid w:val="000E3A73"/>
    <w:rsid w:val="000E414A"/>
    <w:rsid w:val="000E7143"/>
    <w:rsid w:val="000E75FD"/>
    <w:rsid w:val="000F093C"/>
    <w:rsid w:val="000F1BE6"/>
    <w:rsid w:val="000F2465"/>
    <w:rsid w:val="000F3ED8"/>
    <w:rsid w:val="000F4F2B"/>
    <w:rsid w:val="000F787B"/>
    <w:rsid w:val="00100654"/>
    <w:rsid w:val="00106DEF"/>
    <w:rsid w:val="00106EC6"/>
    <w:rsid w:val="00113954"/>
    <w:rsid w:val="00114BEF"/>
    <w:rsid w:val="00115A0F"/>
    <w:rsid w:val="0012091F"/>
    <w:rsid w:val="00120F26"/>
    <w:rsid w:val="00126BC2"/>
    <w:rsid w:val="001308B6"/>
    <w:rsid w:val="0013121F"/>
    <w:rsid w:val="00131FE6"/>
    <w:rsid w:val="0013263F"/>
    <w:rsid w:val="001331DF"/>
    <w:rsid w:val="00134DE4"/>
    <w:rsid w:val="0014034D"/>
    <w:rsid w:val="00140FE3"/>
    <w:rsid w:val="00144D16"/>
    <w:rsid w:val="00147F64"/>
    <w:rsid w:val="00150BDB"/>
    <w:rsid w:val="00150E59"/>
    <w:rsid w:val="00152DE3"/>
    <w:rsid w:val="001536B7"/>
    <w:rsid w:val="00154090"/>
    <w:rsid w:val="00155239"/>
    <w:rsid w:val="00156580"/>
    <w:rsid w:val="00161F66"/>
    <w:rsid w:val="00164CF9"/>
    <w:rsid w:val="00164F89"/>
    <w:rsid w:val="0016668E"/>
    <w:rsid w:val="001666E8"/>
    <w:rsid w:val="001667A6"/>
    <w:rsid w:val="00175A8F"/>
    <w:rsid w:val="00180885"/>
    <w:rsid w:val="0018171E"/>
    <w:rsid w:val="00183E8A"/>
    <w:rsid w:val="00184AD6"/>
    <w:rsid w:val="00185194"/>
    <w:rsid w:val="00186195"/>
    <w:rsid w:val="00190496"/>
    <w:rsid w:val="001909B4"/>
    <w:rsid w:val="001927BE"/>
    <w:rsid w:val="001A2609"/>
    <w:rsid w:val="001A4AF7"/>
    <w:rsid w:val="001A744C"/>
    <w:rsid w:val="001B0349"/>
    <w:rsid w:val="001B0510"/>
    <w:rsid w:val="001B1E93"/>
    <w:rsid w:val="001B406C"/>
    <w:rsid w:val="001B5DFA"/>
    <w:rsid w:val="001B65C1"/>
    <w:rsid w:val="001C08F1"/>
    <w:rsid w:val="001C260F"/>
    <w:rsid w:val="001C5C3A"/>
    <w:rsid w:val="001C684B"/>
    <w:rsid w:val="001D0CFB"/>
    <w:rsid w:val="001D21AF"/>
    <w:rsid w:val="001D3D32"/>
    <w:rsid w:val="001D53FC"/>
    <w:rsid w:val="001D6942"/>
    <w:rsid w:val="001F415F"/>
    <w:rsid w:val="001F42A5"/>
    <w:rsid w:val="001F47BE"/>
    <w:rsid w:val="001F5A66"/>
    <w:rsid w:val="001F7B9D"/>
    <w:rsid w:val="002000FF"/>
    <w:rsid w:val="00201C93"/>
    <w:rsid w:val="00204517"/>
    <w:rsid w:val="00204DA1"/>
    <w:rsid w:val="002224B4"/>
    <w:rsid w:val="00223C39"/>
    <w:rsid w:val="00226178"/>
    <w:rsid w:val="00227B86"/>
    <w:rsid w:val="002305C1"/>
    <w:rsid w:val="00232E60"/>
    <w:rsid w:val="00234DCD"/>
    <w:rsid w:val="00236DF5"/>
    <w:rsid w:val="00237AAE"/>
    <w:rsid w:val="00240422"/>
    <w:rsid w:val="00241FE2"/>
    <w:rsid w:val="002447EF"/>
    <w:rsid w:val="0024679B"/>
    <w:rsid w:val="0025008B"/>
    <w:rsid w:val="00251550"/>
    <w:rsid w:val="00251BE8"/>
    <w:rsid w:val="00252C3C"/>
    <w:rsid w:val="00257E70"/>
    <w:rsid w:val="00263B05"/>
    <w:rsid w:val="002640C4"/>
    <w:rsid w:val="002655BC"/>
    <w:rsid w:val="002669DA"/>
    <w:rsid w:val="00271E19"/>
    <w:rsid w:val="0027221A"/>
    <w:rsid w:val="00275B61"/>
    <w:rsid w:val="00280FAF"/>
    <w:rsid w:val="00282656"/>
    <w:rsid w:val="00283103"/>
    <w:rsid w:val="00283211"/>
    <w:rsid w:val="002856B5"/>
    <w:rsid w:val="00286D86"/>
    <w:rsid w:val="002919C5"/>
    <w:rsid w:val="0029216C"/>
    <w:rsid w:val="00292623"/>
    <w:rsid w:val="00293D3C"/>
    <w:rsid w:val="002948CE"/>
    <w:rsid w:val="0029551E"/>
    <w:rsid w:val="0029653E"/>
    <w:rsid w:val="00296B83"/>
    <w:rsid w:val="00297F17"/>
    <w:rsid w:val="002A1E9B"/>
    <w:rsid w:val="002A35F1"/>
    <w:rsid w:val="002B2049"/>
    <w:rsid w:val="002B4015"/>
    <w:rsid w:val="002B5BA4"/>
    <w:rsid w:val="002B78CE"/>
    <w:rsid w:val="002C2FB6"/>
    <w:rsid w:val="002E3743"/>
    <w:rsid w:val="002E5FA7"/>
    <w:rsid w:val="002F06DC"/>
    <w:rsid w:val="002F1E4B"/>
    <w:rsid w:val="002F1EC9"/>
    <w:rsid w:val="002F3233"/>
    <w:rsid w:val="002F3260"/>
    <w:rsid w:val="002F3309"/>
    <w:rsid w:val="002F378B"/>
    <w:rsid w:val="002F73E0"/>
    <w:rsid w:val="003008CE"/>
    <w:rsid w:val="003009B7"/>
    <w:rsid w:val="00300E56"/>
    <w:rsid w:val="0030152C"/>
    <w:rsid w:val="003026DE"/>
    <w:rsid w:val="0030469C"/>
    <w:rsid w:val="00304CE8"/>
    <w:rsid w:val="00305F8A"/>
    <w:rsid w:val="00315587"/>
    <w:rsid w:val="00317EF9"/>
    <w:rsid w:val="00321A38"/>
    <w:rsid w:val="00321CA6"/>
    <w:rsid w:val="00323763"/>
    <w:rsid w:val="00323C5F"/>
    <w:rsid w:val="00324FD8"/>
    <w:rsid w:val="003263D9"/>
    <w:rsid w:val="003264E4"/>
    <w:rsid w:val="00327739"/>
    <w:rsid w:val="00330A70"/>
    <w:rsid w:val="003321A0"/>
    <w:rsid w:val="00334127"/>
    <w:rsid w:val="00334C09"/>
    <w:rsid w:val="0033608F"/>
    <w:rsid w:val="003368EB"/>
    <w:rsid w:val="00337BAE"/>
    <w:rsid w:val="00341DB0"/>
    <w:rsid w:val="003441AF"/>
    <w:rsid w:val="0035638B"/>
    <w:rsid w:val="00357459"/>
    <w:rsid w:val="00357DF0"/>
    <w:rsid w:val="003647C5"/>
    <w:rsid w:val="003666A3"/>
    <w:rsid w:val="00367B97"/>
    <w:rsid w:val="003723D4"/>
    <w:rsid w:val="00381905"/>
    <w:rsid w:val="003820C8"/>
    <w:rsid w:val="00383992"/>
    <w:rsid w:val="00384A00"/>
    <w:rsid w:val="00384CC8"/>
    <w:rsid w:val="00385373"/>
    <w:rsid w:val="003871FD"/>
    <w:rsid w:val="00387B8B"/>
    <w:rsid w:val="00390893"/>
    <w:rsid w:val="00391CDA"/>
    <w:rsid w:val="003A1977"/>
    <w:rsid w:val="003A1E30"/>
    <w:rsid w:val="003A2829"/>
    <w:rsid w:val="003A4395"/>
    <w:rsid w:val="003A7230"/>
    <w:rsid w:val="003A7D1C"/>
    <w:rsid w:val="003B0FD1"/>
    <w:rsid w:val="003B1C7C"/>
    <w:rsid w:val="003B2F28"/>
    <w:rsid w:val="003B304B"/>
    <w:rsid w:val="003B3146"/>
    <w:rsid w:val="003B49CD"/>
    <w:rsid w:val="003B79F7"/>
    <w:rsid w:val="003C3F33"/>
    <w:rsid w:val="003D00F8"/>
    <w:rsid w:val="003D0D41"/>
    <w:rsid w:val="003D1E02"/>
    <w:rsid w:val="003E39BF"/>
    <w:rsid w:val="003E6431"/>
    <w:rsid w:val="003F015E"/>
    <w:rsid w:val="003F2C3C"/>
    <w:rsid w:val="00400414"/>
    <w:rsid w:val="004007BD"/>
    <w:rsid w:val="00405478"/>
    <w:rsid w:val="00407764"/>
    <w:rsid w:val="0041446B"/>
    <w:rsid w:val="00431843"/>
    <w:rsid w:val="00432E9A"/>
    <w:rsid w:val="004347B0"/>
    <w:rsid w:val="004405B4"/>
    <w:rsid w:val="0044071E"/>
    <w:rsid w:val="00442601"/>
    <w:rsid w:val="0044329C"/>
    <w:rsid w:val="00444B86"/>
    <w:rsid w:val="004473D6"/>
    <w:rsid w:val="00451305"/>
    <w:rsid w:val="00453E24"/>
    <w:rsid w:val="00457456"/>
    <w:rsid w:val="004577FE"/>
    <w:rsid w:val="00457B9C"/>
    <w:rsid w:val="0046164A"/>
    <w:rsid w:val="004628D2"/>
    <w:rsid w:val="00462DCD"/>
    <w:rsid w:val="004648AD"/>
    <w:rsid w:val="0046575F"/>
    <w:rsid w:val="004668E5"/>
    <w:rsid w:val="00466FE7"/>
    <w:rsid w:val="004703A9"/>
    <w:rsid w:val="004760DE"/>
    <w:rsid w:val="004763D7"/>
    <w:rsid w:val="004837E1"/>
    <w:rsid w:val="004914DD"/>
    <w:rsid w:val="00491AB2"/>
    <w:rsid w:val="0049392E"/>
    <w:rsid w:val="00497F95"/>
    <w:rsid w:val="004A004E"/>
    <w:rsid w:val="004A24CF"/>
    <w:rsid w:val="004A2C78"/>
    <w:rsid w:val="004A5A9C"/>
    <w:rsid w:val="004A68E6"/>
    <w:rsid w:val="004B6598"/>
    <w:rsid w:val="004B6947"/>
    <w:rsid w:val="004B6B37"/>
    <w:rsid w:val="004C380A"/>
    <w:rsid w:val="004C3D1D"/>
    <w:rsid w:val="004C3D84"/>
    <w:rsid w:val="004C5F52"/>
    <w:rsid w:val="004C68F0"/>
    <w:rsid w:val="004C7913"/>
    <w:rsid w:val="004D07AC"/>
    <w:rsid w:val="004D31EC"/>
    <w:rsid w:val="004D6C9C"/>
    <w:rsid w:val="004D7183"/>
    <w:rsid w:val="004E1297"/>
    <w:rsid w:val="004E1F3F"/>
    <w:rsid w:val="004E45B6"/>
    <w:rsid w:val="004E4DD6"/>
    <w:rsid w:val="004F2480"/>
    <w:rsid w:val="004F2A3E"/>
    <w:rsid w:val="004F5E36"/>
    <w:rsid w:val="004F6174"/>
    <w:rsid w:val="004F78FB"/>
    <w:rsid w:val="004F7D63"/>
    <w:rsid w:val="0050296B"/>
    <w:rsid w:val="00507B47"/>
    <w:rsid w:val="00507BEF"/>
    <w:rsid w:val="00507CC9"/>
    <w:rsid w:val="00510FD8"/>
    <w:rsid w:val="005119A5"/>
    <w:rsid w:val="0051466A"/>
    <w:rsid w:val="005158A6"/>
    <w:rsid w:val="005205BA"/>
    <w:rsid w:val="005216D7"/>
    <w:rsid w:val="00522A86"/>
    <w:rsid w:val="005278B7"/>
    <w:rsid w:val="00532016"/>
    <w:rsid w:val="005346C8"/>
    <w:rsid w:val="00543E7D"/>
    <w:rsid w:val="00547A68"/>
    <w:rsid w:val="0055218C"/>
    <w:rsid w:val="005531C9"/>
    <w:rsid w:val="00554879"/>
    <w:rsid w:val="00562837"/>
    <w:rsid w:val="005640C4"/>
    <w:rsid w:val="005641F8"/>
    <w:rsid w:val="00564E61"/>
    <w:rsid w:val="00570C43"/>
    <w:rsid w:val="00572CFA"/>
    <w:rsid w:val="00575970"/>
    <w:rsid w:val="00577123"/>
    <w:rsid w:val="00581061"/>
    <w:rsid w:val="00583236"/>
    <w:rsid w:val="00583D70"/>
    <w:rsid w:val="00584D6C"/>
    <w:rsid w:val="00585F68"/>
    <w:rsid w:val="005905E2"/>
    <w:rsid w:val="00592274"/>
    <w:rsid w:val="005A1608"/>
    <w:rsid w:val="005A4261"/>
    <w:rsid w:val="005A46AB"/>
    <w:rsid w:val="005A4DB3"/>
    <w:rsid w:val="005B0655"/>
    <w:rsid w:val="005B1CF8"/>
    <w:rsid w:val="005B2110"/>
    <w:rsid w:val="005B350B"/>
    <w:rsid w:val="005B61E6"/>
    <w:rsid w:val="005B67AC"/>
    <w:rsid w:val="005C340B"/>
    <w:rsid w:val="005C7165"/>
    <w:rsid w:val="005C77E1"/>
    <w:rsid w:val="005C7879"/>
    <w:rsid w:val="005D2779"/>
    <w:rsid w:val="005D4E13"/>
    <w:rsid w:val="005D506F"/>
    <w:rsid w:val="005D5EC2"/>
    <w:rsid w:val="005D668A"/>
    <w:rsid w:val="005D6A2F"/>
    <w:rsid w:val="005E0592"/>
    <w:rsid w:val="005E1A82"/>
    <w:rsid w:val="005E5105"/>
    <w:rsid w:val="005E794C"/>
    <w:rsid w:val="005F0A28"/>
    <w:rsid w:val="005F0E5E"/>
    <w:rsid w:val="005F1288"/>
    <w:rsid w:val="005F4ECA"/>
    <w:rsid w:val="00600535"/>
    <w:rsid w:val="0060466D"/>
    <w:rsid w:val="0060690C"/>
    <w:rsid w:val="006108BC"/>
    <w:rsid w:val="00610CD6"/>
    <w:rsid w:val="00613361"/>
    <w:rsid w:val="00614221"/>
    <w:rsid w:val="006151E1"/>
    <w:rsid w:val="00620DEE"/>
    <w:rsid w:val="0062110A"/>
    <w:rsid w:val="00621F92"/>
    <w:rsid w:val="0062280A"/>
    <w:rsid w:val="006231E1"/>
    <w:rsid w:val="00625639"/>
    <w:rsid w:val="00626342"/>
    <w:rsid w:val="0062693F"/>
    <w:rsid w:val="00626D09"/>
    <w:rsid w:val="00631280"/>
    <w:rsid w:val="00631B33"/>
    <w:rsid w:val="00635A1B"/>
    <w:rsid w:val="0064184D"/>
    <w:rsid w:val="006422CC"/>
    <w:rsid w:val="00644CC6"/>
    <w:rsid w:val="00646F47"/>
    <w:rsid w:val="00651D18"/>
    <w:rsid w:val="00654495"/>
    <w:rsid w:val="00655F4F"/>
    <w:rsid w:val="00660E3E"/>
    <w:rsid w:val="00662221"/>
    <w:rsid w:val="00662E74"/>
    <w:rsid w:val="00670878"/>
    <w:rsid w:val="00670AA0"/>
    <w:rsid w:val="00673273"/>
    <w:rsid w:val="006746D2"/>
    <w:rsid w:val="00680B83"/>
    <w:rsid w:val="00680C23"/>
    <w:rsid w:val="00680D76"/>
    <w:rsid w:val="006817EC"/>
    <w:rsid w:val="00683E23"/>
    <w:rsid w:val="0068589B"/>
    <w:rsid w:val="00686E25"/>
    <w:rsid w:val="006930DB"/>
    <w:rsid w:val="006935DA"/>
    <w:rsid w:val="00693766"/>
    <w:rsid w:val="00694266"/>
    <w:rsid w:val="00697D90"/>
    <w:rsid w:val="006A22FA"/>
    <w:rsid w:val="006A3281"/>
    <w:rsid w:val="006A65A6"/>
    <w:rsid w:val="006A6DB6"/>
    <w:rsid w:val="006A6DE5"/>
    <w:rsid w:val="006B021B"/>
    <w:rsid w:val="006B02E8"/>
    <w:rsid w:val="006B4888"/>
    <w:rsid w:val="006B4C99"/>
    <w:rsid w:val="006B7AE3"/>
    <w:rsid w:val="006C2E45"/>
    <w:rsid w:val="006C359C"/>
    <w:rsid w:val="006C3F79"/>
    <w:rsid w:val="006C5579"/>
    <w:rsid w:val="006C60F9"/>
    <w:rsid w:val="006C70CE"/>
    <w:rsid w:val="006D29FA"/>
    <w:rsid w:val="006D6880"/>
    <w:rsid w:val="006D6E8B"/>
    <w:rsid w:val="006D7209"/>
    <w:rsid w:val="006E0378"/>
    <w:rsid w:val="006E737D"/>
    <w:rsid w:val="006F142B"/>
    <w:rsid w:val="006F3702"/>
    <w:rsid w:val="006F4B43"/>
    <w:rsid w:val="006F5C69"/>
    <w:rsid w:val="006F5CA0"/>
    <w:rsid w:val="00706695"/>
    <w:rsid w:val="00707DD1"/>
    <w:rsid w:val="0071392A"/>
    <w:rsid w:val="00713973"/>
    <w:rsid w:val="00714169"/>
    <w:rsid w:val="0071727A"/>
    <w:rsid w:val="00720A24"/>
    <w:rsid w:val="00727021"/>
    <w:rsid w:val="00732386"/>
    <w:rsid w:val="00734E74"/>
    <w:rsid w:val="0073514D"/>
    <w:rsid w:val="007360E7"/>
    <w:rsid w:val="007364EE"/>
    <w:rsid w:val="0074222D"/>
    <w:rsid w:val="007447F3"/>
    <w:rsid w:val="0074759E"/>
    <w:rsid w:val="00747C91"/>
    <w:rsid w:val="0075499F"/>
    <w:rsid w:val="007565D5"/>
    <w:rsid w:val="00757AD1"/>
    <w:rsid w:val="00761DDF"/>
    <w:rsid w:val="00762B69"/>
    <w:rsid w:val="007644AB"/>
    <w:rsid w:val="007661C8"/>
    <w:rsid w:val="00766849"/>
    <w:rsid w:val="0077098D"/>
    <w:rsid w:val="007715B0"/>
    <w:rsid w:val="0077329F"/>
    <w:rsid w:val="007766B1"/>
    <w:rsid w:val="007838D7"/>
    <w:rsid w:val="00785BF9"/>
    <w:rsid w:val="00790A03"/>
    <w:rsid w:val="0079199A"/>
    <w:rsid w:val="00792EB0"/>
    <w:rsid w:val="007931FA"/>
    <w:rsid w:val="007944D4"/>
    <w:rsid w:val="007A0B67"/>
    <w:rsid w:val="007A47BA"/>
    <w:rsid w:val="007A4861"/>
    <w:rsid w:val="007A7BBA"/>
    <w:rsid w:val="007B0C50"/>
    <w:rsid w:val="007B1A21"/>
    <w:rsid w:val="007B2087"/>
    <w:rsid w:val="007B21E0"/>
    <w:rsid w:val="007B3762"/>
    <w:rsid w:val="007B48F9"/>
    <w:rsid w:val="007B7B60"/>
    <w:rsid w:val="007C0AE5"/>
    <w:rsid w:val="007C1A43"/>
    <w:rsid w:val="007C26E0"/>
    <w:rsid w:val="007C5839"/>
    <w:rsid w:val="007D0951"/>
    <w:rsid w:val="007D610D"/>
    <w:rsid w:val="007E1C2D"/>
    <w:rsid w:val="007E4352"/>
    <w:rsid w:val="007E4E67"/>
    <w:rsid w:val="007F06FA"/>
    <w:rsid w:val="007F22E2"/>
    <w:rsid w:val="007F2CDB"/>
    <w:rsid w:val="007F2E7A"/>
    <w:rsid w:val="007F5379"/>
    <w:rsid w:val="007F746C"/>
    <w:rsid w:val="0080013E"/>
    <w:rsid w:val="008006AD"/>
    <w:rsid w:val="00801759"/>
    <w:rsid w:val="00805330"/>
    <w:rsid w:val="00807FF6"/>
    <w:rsid w:val="0081049A"/>
    <w:rsid w:val="00810747"/>
    <w:rsid w:val="00813288"/>
    <w:rsid w:val="00815D29"/>
    <w:rsid w:val="008168FC"/>
    <w:rsid w:val="0082224C"/>
    <w:rsid w:val="00826182"/>
    <w:rsid w:val="008270D7"/>
    <w:rsid w:val="00830996"/>
    <w:rsid w:val="008345F1"/>
    <w:rsid w:val="00840BF7"/>
    <w:rsid w:val="00842763"/>
    <w:rsid w:val="00847A55"/>
    <w:rsid w:val="00853BDD"/>
    <w:rsid w:val="00865B07"/>
    <w:rsid w:val="008667EA"/>
    <w:rsid w:val="00875A01"/>
    <w:rsid w:val="0087637F"/>
    <w:rsid w:val="008842B3"/>
    <w:rsid w:val="0089167A"/>
    <w:rsid w:val="00892AD5"/>
    <w:rsid w:val="00894C76"/>
    <w:rsid w:val="00894FC7"/>
    <w:rsid w:val="008A022C"/>
    <w:rsid w:val="008A11D7"/>
    <w:rsid w:val="008A1512"/>
    <w:rsid w:val="008A2164"/>
    <w:rsid w:val="008B20D7"/>
    <w:rsid w:val="008B3491"/>
    <w:rsid w:val="008B6454"/>
    <w:rsid w:val="008C2A48"/>
    <w:rsid w:val="008C7FF8"/>
    <w:rsid w:val="008D2573"/>
    <w:rsid w:val="008D32B9"/>
    <w:rsid w:val="008D433B"/>
    <w:rsid w:val="008D4A16"/>
    <w:rsid w:val="008E0AF7"/>
    <w:rsid w:val="008E3BF9"/>
    <w:rsid w:val="008E42FF"/>
    <w:rsid w:val="008E5064"/>
    <w:rsid w:val="008E5401"/>
    <w:rsid w:val="008E566E"/>
    <w:rsid w:val="008F5044"/>
    <w:rsid w:val="008F5A9E"/>
    <w:rsid w:val="0090161A"/>
    <w:rsid w:val="00901EB6"/>
    <w:rsid w:val="009041F8"/>
    <w:rsid w:val="00904C62"/>
    <w:rsid w:val="00921FB7"/>
    <w:rsid w:val="00922A3D"/>
    <w:rsid w:val="00922BA8"/>
    <w:rsid w:val="00922BCF"/>
    <w:rsid w:val="00924DAC"/>
    <w:rsid w:val="00927058"/>
    <w:rsid w:val="00930F74"/>
    <w:rsid w:val="00933476"/>
    <w:rsid w:val="00933BD6"/>
    <w:rsid w:val="009367B2"/>
    <w:rsid w:val="0093784F"/>
    <w:rsid w:val="00942750"/>
    <w:rsid w:val="009450CE"/>
    <w:rsid w:val="009459BB"/>
    <w:rsid w:val="00945F36"/>
    <w:rsid w:val="00947036"/>
    <w:rsid w:val="00947179"/>
    <w:rsid w:val="0095164B"/>
    <w:rsid w:val="00951A7F"/>
    <w:rsid w:val="00951E74"/>
    <w:rsid w:val="00952E22"/>
    <w:rsid w:val="00954090"/>
    <w:rsid w:val="009573E7"/>
    <w:rsid w:val="00962EE9"/>
    <w:rsid w:val="00963E05"/>
    <w:rsid w:val="00964A45"/>
    <w:rsid w:val="00964C29"/>
    <w:rsid w:val="00965205"/>
    <w:rsid w:val="00967843"/>
    <w:rsid w:val="00967D54"/>
    <w:rsid w:val="00971028"/>
    <w:rsid w:val="00974B44"/>
    <w:rsid w:val="0097616E"/>
    <w:rsid w:val="009765AB"/>
    <w:rsid w:val="00985396"/>
    <w:rsid w:val="009903F3"/>
    <w:rsid w:val="00993B84"/>
    <w:rsid w:val="00994C6A"/>
    <w:rsid w:val="00996483"/>
    <w:rsid w:val="00996F5A"/>
    <w:rsid w:val="009A1201"/>
    <w:rsid w:val="009A36E9"/>
    <w:rsid w:val="009A53E3"/>
    <w:rsid w:val="009B041A"/>
    <w:rsid w:val="009B117D"/>
    <w:rsid w:val="009B458F"/>
    <w:rsid w:val="009B6E57"/>
    <w:rsid w:val="009C2A7F"/>
    <w:rsid w:val="009C37C3"/>
    <w:rsid w:val="009C4B64"/>
    <w:rsid w:val="009C6BE9"/>
    <w:rsid w:val="009C7C86"/>
    <w:rsid w:val="009D1B50"/>
    <w:rsid w:val="009D1E57"/>
    <w:rsid w:val="009D2FF7"/>
    <w:rsid w:val="009D7BD0"/>
    <w:rsid w:val="009E153C"/>
    <w:rsid w:val="009E3F88"/>
    <w:rsid w:val="009E748A"/>
    <w:rsid w:val="009E7884"/>
    <w:rsid w:val="009E788A"/>
    <w:rsid w:val="009F0904"/>
    <w:rsid w:val="009F0E08"/>
    <w:rsid w:val="009F2C96"/>
    <w:rsid w:val="009F78CB"/>
    <w:rsid w:val="00A01C81"/>
    <w:rsid w:val="00A053F8"/>
    <w:rsid w:val="00A079AE"/>
    <w:rsid w:val="00A10516"/>
    <w:rsid w:val="00A10ADB"/>
    <w:rsid w:val="00A10D10"/>
    <w:rsid w:val="00A11694"/>
    <w:rsid w:val="00A160A3"/>
    <w:rsid w:val="00A1763D"/>
    <w:rsid w:val="00A17CEC"/>
    <w:rsid w:val="00A2009C"/>
    <w:rsid w:val="00A212E3"/>
    <w:rsid w:val="00A21503"/>
    <w:rsid w:val="00A23810"/>
    <w:rsid w:val="00A26B38"/>
    <w:rsid w:val="00A27EF0"/>
    <w:rsid w:val="00A35BC9"/>
    <w:rsid w:val="00A369F7"/>
    <w:rsid w:val="00A42361"/>
    <w:rsid w:val="00A43285"/>
    <w:rsid w:val="00A4348F"/>
    <w:rsid w:val="00A47261"/>
    <w:rsid w:val="00A50B20"/>
    <w:rsid w:val="00A51390"/>
    <w:rsid w:val="00A540AE"/>
    <w:rsid w:val="00A54285"/>
    <w:rsid w:val="00A54B31"/>
    <w:rsid w:val="00A54FDB"/>
    <w:rsid w:val="00A60D13"/>
    <w:rsid w:val="00A62405"/>
    <w:rsid w:val="00A7223D"/>
    <w:rsid w:val="00A72745"/>
    <w:rsid w:val="00A76EFC"/>
    <w:rsid w:val="00A77157"/>
    <w:rsid w:val="00A84509"/>
    <w:rsid w:val="00A87D50"/>
    <w:rsid w:val="00A91010"/>
    <w:rsid w:val="00A948A2"/>
    <w:rsid w:val="00A97F29"/>
    <w:rsid w:val="00AA4208"/>
    <w:rsid w:val="00AA702E"/>
    <w:rsid w:val="00AA7D26"/>
    <w:rsid w:val="00AB0964"/>
    <w:rsid w:val="00AB3A09"/>
    <w:rsid w:val="00AB5011"/>
    <w:rsid w:val="00AB6AAD"/>
    <w:rsid w:val="00AC0A65"/>
    <w:rsid w:val="00AC431A"/>
    <w:rsid w:val="00AC67AC"/>
    <w:rsid w:val="00AC7368"/>
    <w:rsid w:val="00AD11A1"/>
    <w:rsid w:val="00AD16B9"/>
    <w:rsid w:val="00AD1A11"/>
    <w:rsid w:val="00AD4FE7"/>
    <w:rsid w:val="00AD6FCB"/>
    <w:rsid w:val="00AE038E"/>
    <w:rsid w:val="00AE377D"/>
    <w:rsid w:val="00AE6251"/>
    <w:rsid w:val="00AF0EBA"/>
    <w:rsid w:val="00AF2463"/>
    <w:rsid w:val="00AF3432"/>
    <w:rsid w:val="00AF6B01"/>
    <w:rsid w:val="00B02C8A"/>
    <w:rsid w:val="00B06859"/>
    <w:rsid w:val="00B07487"/>
    <w:rsid w:val="00B1329C"/>
    <w:rsid w:val="00B17FBD"/>
    <w:rsid w:val="00B24DB8"/>
    <w:rsid w:val="00B315A6"/>
    <w:rsid w:val="00B31679"/>
    <w:rsid w:val="00B31813"/>
    <w:rsid w:val="00B33365"/>
    <w:rsid w:val="00B34D3C"/>
    <w:rsid w:val="00B36568"/>
    <w:rsid w:val="00B374CF"/>
    <w:rsid w:val="00B378FF"/>
    <w:rsid w:val="00B50796"/>
    <w:rsid w:val="00B547F8"/>
    <w:rsid w:val="00B57B36"/>
    <w:rsid w:val="00B57E6F"/>
    <w:rsid w:val="00B61850"/>
    <w:rsid w:val="00B62F9B"/>
    <w:rsid w:val="00B762CB"/>
    <w:rsid w:val="00B77679"/>
    <w:rsid w:val="00B84CE6"/>
    <w:rsid w:val="00B85B6F"/>
    <w:rsid w:val="00B85B7C"/>
    <w:rsid w:val="00B8686D"/>
    <w:rsid w:val="00B91027"/>
    <w:rsid w:val="00B93ED6"/>
    <w:rsid w:val="00B93F69"/>
    <w:rsid w:val="00B969EA"/>
    <w:rsid w:val="00B97756"/>
    <w:rsid w:val="00BA7034"/>
    <w:rsid w:val="00BB1DDC"/>
    <w:rsid w:val="00BC30C9"/>
    <w:rsid w:val="00BD077D"/>
    <w:rsid w:val="00BE3E58"/>
    <w:rsid w:val="00BF13CE"/>
    <w:rsid w:val="00BF2361"/>
    <w:rsid w:val="00BF37E2"/>
    <w:rsid w:val="00BF4EAB"/>
    <w:rsid w:val="00C01616"/>
    <w:rsid w:val="00C0162B"/>
    <w:rsid w:val="00C01872"/>
    <w:rsid w:val="00C019CA"/>
    <w:rsid w:val="00C068ED"/>
    <w:rsid w:val="00C07C2A"/>
    <w:rsid w:val="00C12124"/>
    <w:rsid w:val="00C21BB9"/>
    <w:rsid w:val="00C22B85"/>
    <w:rsid w:val="00C22E0C"/>
    <w:rsid w:val="00C23F19"/>
    <w:rsid w:val="00C308A2"/>
    <w:rsid w:val="00C33485"/>
    <w:rsid w:val="00C345B1"/>
    <w:rsid w:val="00C40142"/>
    <w:rsid w:val="00C52520"/>
    <w:rsid w:val="00C52C3C"/>
    <w:rsid w:val="00C54325"/>
    <w:rsid w:val="00C56F3A"/>
    <w:rsid w:val="00C57182"/>
    <w:rsid w:val="00C57863"/>
    <w:rsid w:val="00C640AF"/>
    <w:rsid w:val="00C655FD"/>
    <w:rsid w:val="00C66A18"/>
    <w:rsid w:val="00C74E63"/>
    <w:rsid w:val="00C75407"/>
    <w:rsid w:val="00C7763B"/>
    <w:rsid w:val="00C80ECE"/>
    <w:rsid w:val="00C8159D"/>
    <w:rsid w:val="00C824D8"/>
    <w:rsid w:val="00C841C6"/>
    <w:rsid w:val="00C86BF0"/>
    <w:rsid w:val="00C870A8"/>
    <w:rsid w:val="00C87AEC"/>
    <w:rsid w:val="00C9286F"/>
    <w:rsid w:val="00C93D62"/>
    <w:rsid w:val="00C94434"/>
    <w:rsid w:val="00C94B0D"/>
    <w:rsid w:val="00C94D1D"/>
    <w:rsid w:val="00C9541A"/>
    <w:rsid w:val="00C97456"/>
    <w:rsid w:val="00CA0D75"/>
    <w:rsid w:val="00CA1C95"/>
    <w:rsid w:val="00CA280E"/>
    <w:rsid w:val="00CA29E3"/>
    <w:rsid w:val="00CA5A9C"/>
    <w:rsid w:val="00CB0210"/>
    <w:rsid w:val="00CB48C4"/>
    <w:rsid w:val="00CC4C20"/>
    <w:rsid w:val="00CD1656"/>
    <w:rsid w:val="00CD3517"/>
    <w:rsid w:val="00CD5FE2"/>
    <w:rsid w:val="00CD7417"/>
    <w:rsid w:val="00CE6A6E"/>
    <w:rsid w:val="00CE7C68"/>
    <w:rsid w:val="00CF3EB9"/>
    <w:rsid w:val="00CF4B6F"/>
    <w:rsid w:val="00CF6740"/>
    <w:rsid w:val="00D02B4C"/>
    <w:rsid w:val="00D040C4"/>
    <w:rsid w:val="00D04A5B"/>
    <w:rsid w:val="00D05905"/>
    <w:rsid w:val="00D067EA"/>
    <w:rsid w:val="00D12FDF"/>
    <w:rsid w:val="00D20AD1"/>
    <w:rsid w:val="00D2582C"/>
    <w:rsid w:val="00D337E5"/>
    <w:rsid w:val="00D3426D"/>
    <w:rsid w:val="00D3494C"/>
    <w:rsid w:val="00D34A6E"/>
    <w:rsid w:val="00D4029E"/>
    <w:rsid w:val="00D42DEC"/>
    <w:rsid w:val="00D4343C"/>
    <w:rsid w:val="00D43C2A"/>
    <w:rsid w:val="00D43EDC"/>
    <w:rsid w:val="00D46483"/>
    <w:rsid w:val="00D46B7E"/>
    <w:rsid w:val="00D5204D"/>
    <w:rsid w:val="00D56A87"/>
    <w:rsid w:val="00D57C84"/>
    <w:rsid w:val="00D6057D"/>
    <w:rsid w:val="00D6532E"/>
    <w:rsid w:val="00D70810"/>
    <w:rsid w:val="00D70B95"/>
    <w:rsid w:val="00D71640"/>
    <w:rsid w:val="00D7260B"/>
    <w:rsid w:val="00D836C5"/>
    <w:rsid w:val="00D84576"/>
    <w:rsid w:val="00DA1399"/>
    <w:rsid w:val="00DA155A"/>
    <w:rsid w:val="00DA24C6"/>
    <w:rsid w:val="00DA4AE7"/>
    <w:rsid w:val="00DA4D7B"/>
    <w:rsid w:val="00DA7D8C"/>
    <w:rsid w:val="00DB4DEA"/>
    <w:rsid w:val="00DC2840"/>
    <w:rsid w:val="00DC2CD5"/>
    <w:rsid w:val="00DC59C0"/>
    <w:rsid w:val="00DC73EE"/>
    <w:rsid w:val="00DD1BBC"/>
    <w:rsid w:val="00DD271C"/>
    <w:rsid w:val="00DE264A"/>
    <w:rsid w:val="00DE3EA1"/>
    <w:rsid w:val="00DE5ACA"/>
    <w:rsid w:val="00DF06C1"/>
    <w:rsid w:val="00DF5072"/>
    <w:rsid w:val="00DF711D"/>
    <w:rsid w:val="00DF7338"/>
    <w:rsid w:val="00E02D18"/>
    <w:rsid w:val="00E03553"/>
    <w:rsid w:val="00E041E7"/>
    <w:rsid w:val="00E05744"/>
    <w:rsid w:val="00E05D7A"/>
    <w:rsid w:val="00E077EE"/>
    <w:rsid w:val="00E11C0F"/>
    <w:rsid w:val="00E151CE"/>
    <w:rsid w:val="00E23CA1"/>
    <w:rsid w:val="00E33101"/>
    <w:rsid w:val="00E34800"/>
    <w:rsid w:val="00E34A00"/>
    <w:rsid w:val="00E409A8"/>
    <w:rsid w:val="00E509F5"/>
    <w:rsid w:val="00E50C12"/>
    <w:rsid w:val="00E55547"/>
    <w:rsid w:val="00E62CE3"/>
    <w:rsid w:val="00E65B91"/>
    <w:rsid w:val="00E7209D"/>
    <w:rsid w:val="00E72EAD"/>
    <w:rsid w:val="00E77109"/>
    <w:rsid w:val="00E77223"/>
    <w:rsid w:val="00E80F25"/>
    <w:rsid w:val="00E8328B"/>
    <w:rsid w:val="00E8481F"/>
    <w:rsid w:val="00E8528B"/>
    <w:rsid w:val="00E85B94"/>
    <w:rsid w:val="00E9668E"/>
    <w:rsid w:val="00E978D0"/>
    <w:rsid w:val="00EA3BA3"/>
    <w:rsid w:val="00EA4613"/>
    <w:rsid w:val="00EA7F91"/>
    <w:rsid w:val="00EB1523"/>
    <w:rsid w:val="00EB45B5"/>
    <w:rsid w:val="00EC0E49"/>
    <w:rsid w:val="00EC101F"/>
    <w:rsid w:val="00EC1D9F"/>
    <w:rsid w:val="00EC7D8A"/>
    <w:rsid w:val="00ED28CC"/>
    <w:rsid w:val="00EE000F"/>
    <w:rsid w:val="00EE0131"/>
    <w:rsid w:val="00EE17B0"/>
    <w:rsid w:val="00EE2B58"/>
    <w:rsid w:val="00EF06D9"/>
    <w:rsid w:val="00EF2E2A"/>
    <w:rsid w:val="00EF7CC1"/>
    <w:rsid w:val="00F0430A"/>
    <w:rsid w:val="00F045B1"/>
    <w:rsid w:val="00F06FD6"/>
    <w:rsid w:val="00F13964"/>
    <w:rsid w:val="00F15734"/>
    <w:rsid w:val="00F16EFB"/>
    <w:rsid w:val="00F16F8A"/>
    <w:rsid w:val="00F30101"/>
    <w:rsid w:val="00F3049E"/>
    <w:rsid w:val="00F30783"/>
    <w:rsid w:val="00F30C64"/>
    <w:rsid w:val="00F32BA2"/>
    <w:rsid w:val="00F32CDB"/>
    <w:rsid w:val="00F41EE4"/>
    <w:rsid w:val="00F41FAB"/>
    <w:rsid w:val="00F45A79"/>
    <w:rsid w:val="00F47414"/>
    <w:rsid w:val="00F50871"/>
    <w:rsid w:val="00F50FBF"/>
    <w:rsid w:val="00F528EC"/>
    <w:rsid w:val="00F5291F"/>
    <w:rsid w:val="00F565FE"/>
    <w:rsid w:val="00F576C8"/>
    <w:rsid w:val="00F63216"/>
    <w:rsid w:val="00F63A70"/>
    <w:rsid w:val="00F63D8C"/>
    <w:rsid w:val="00F6786D"/>
    <w:rsid w:val="00F70CD3"/>
    <w:rsid w:val="00F70F00"/>
    <w:rsid w:val="00F73E18"/>
    <w:rsid w:val="00F7534E"/>
    <w:rsid w:val="00F76166"/>
    <w:rsid w:val="00F764C4"/>
    <w:rsid w:val="00F81095"/>
    <w:rsid w:val="00F81657"/>
    <w:rsid w:val="00F93EDF"/>
    <w:rsid w:val="00FA1802"/>
    <w:rsid w:val="00FA21D0"/>
    <w:rsid w:val="00FA5F5F"/>
    <w:rsid w:val="00FB1218"/>
    <w:rsid w:val="00FB3AA0"/>
    <w:rsid w:val="00FB730C"/>
    <w:rsid w:val="00FC07AF"/>
    <w:rsid w:val="00FC2695"/>
    <w:rsid w:val="00FC2C46"/>
    <w:rsid w:val="00FC3E03"/>
    <w:rsid w:val="00FC3FC1"/>
    <w:rsid w:val="00FC4267"/>
    <w:rsid w:val="00FC72CC"/>
    <w:rsid w:val="00FC7C9A"/>
    <w:rsid w:val="00FC7D87"/>
    <w:rsid w:val="00FD0BE3"/>
    <w:rsid w:val="00FD3F90"/>
    <w:rsid w:val="00FD4CB8"/>
    <w:rsid w:val="00FD5876"/>
    <w:rsid w:val="00FD5B4F"/>
    <w:rsid w:val="00FF470B"/>
    <w:rsid w:val="00FF7986"/>
    <w:rsid w:val="00FF7E8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66A18"/>
    <w:pPr>
      <w:keepNext/>
      <w:numPr>
        <w:ilvl w:val="2"/>
        <w:numId w:val="1"/>
      </w:numPr>
      <w:suppressAutoHyphens/>
      <w:spacing w:before="120" w:after="120" w:line="240" w:lineRule="auto"/>
    </w:pPr>
    <w:rPr>
      <w:rFonts w:ascii="Arial" w:eastAsia="Times New Roman" w:hAnsi="Arial" w:cs="Times New Roman"/>
      <w:b/>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66A18"/>
    <w:rPr>
      <w:rFonts w:ascii="Arial" w:eastAsia="Times New Roman" w:hAnsi="Arial" w:cs="Times New Roman"/>
      <w:b/>
      <w:sz w:val="18"/>
      <w:szCs w:val="20"/>
      <w:lang w:val="en-GB"/>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s1">
    <w:name w:val="s1"/>
    <w:basedOn w:val="Carpredefinitoparagrafo"/>
    <w:rsid w:val="00FD5B4F"/>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6</Pages>
  <Words>9104</Words>
  <Characters>48889</Characters>
  <Application>Microsoft Office Word</Application>
  <DocSecurity>0</DocSecurity>
  <Lines>1086</Lines>
  <Paragraphs>878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Eleonora Stefanelli</cp:lastModifiedBy>
  <cp:revision>781</cp:revision>
  <cp:lastPrinted>2015-05-12T18:31:00Z</cp:lastPrinted>
  <dcterms:created xsi:type="dcterms:W3CDTF">2024-12-11T18:57:00Z</dcterms:created>
  <dcterms:modified xsi:type="dcterms:W3CDTF">2025-04-11T14:51:00Z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https://csl.mendeley.com/styles/491409131/apa</vt:lpwstr>
  </property>
  <property fmtid="{D5CDD505-2E9C-101B-9397-08002B2CF9AE}" pid="6" name="Mendeley Unique User Id_1">
    <vt:lpwstr>c62b0ae2-94d7-3807-b61d-00ae9412e5d0</vt:lpwstr>
  </property>
  <property fmtid="{D5CDD505-2E9C-101B-9397-08002B2CF9AE}" pid="7" name="Mendeley Recent Style Id 0_1">
    <vt:lpwstr>http://www.zotero.org/styles/csi-transactions-on-ict</vt:lpwstr>
  </property>
  <property fmtid="{D5CDD505-2E9C-101B-9397-08002B2CF9AE}" pid="8" name="Mendeley Recent Style Name 0_1">
    <vt:lpwstr>CSI Transactions on ICT</vt:lpwstr>
  </property>
  <property fmtid="{D5CDD505-2E9C-101B-9397-08002B2CF9AE}" pid="9" name="Mendeley Recent Style Id 1_1">
    <vt:lpwstr>http://www.zotero.org/styles/chemical-engineering-journal</vt:lpwstr>
  </property>
  <property fmtid="{D5CDD505-2E9C-101B-9397-08002B2CF9AE}" pid="10" name="Mendeley Recent Style Name 1_1">
    <vt:lpwstr>Chemical Engineering Journal</vt:lpwstr>
  </property>
  <property fmtid="{D5CDD505-2E9C-101B-9397-08002B2CF9AE}" pid="11" name="Mendeley Recent Style Id 2_1">
    <vt:lpwstr>http://www.zotero.org/styles/chemical-engineering-research-and-design</vt:lpwstr>
  </property>
  <property fmtid="{D5CDD505-2E9C-101B-9397-08002B2CF9AE}" pid="12" name="Mendeley Recent Style Name 2_1">
    <vt:lpwstr>Chemical Engineering Research and Design</vt:lpwstr>
  </property>
  <property fmtid="{D5CDD505-2E9C-101B-9397-08002B2CF9AE}" pid="13" name="Mendeley Recent Style Id 3_1">
    <vt:lpwstr>http://www.zotero.org/styles/chemical-engineering-science</vt:lpwstr>
  </property>
  <property fmtid="{D5CDD505-2E9C-101B-9397-08002B2CF9AE}" pid="14" name="Mendeley Recent Style Name 3_1">
    <vt:lpwstr>Chemical Engineering Science</vt:lpwstr>
  </property>
  <property fmtid="{D5CDD505-2E9C-101B-9397-08002B2CF9AE}" pid="15" name="Mendeley Recent Style Id 4_1">
    <vt:lpwstr>https://csl.mendeley.com/styles/491409131/apa</vt:lpwstr>
  </property>
  <property fmtid="{D5CDD505-2E9C-101B-9397-08002B2CF9AE}" pid="16" name="Mendeley Recent Style Name 4_1">
    <vt:lpwstr>Chemical Engineering Transactions - Eleonora Stefanelli</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http://www.zotero.org/styles/journal-of-environmental-chemical-engineering</vt:lpwstr>
  </property>
  <property fmtid="{D5CDD505-2E9C-101B-9397-08002B2CF9AE}" pid="24" name="Mendeley Recent Style Name 8_1">
    <vt:lpwstr>Journal of Environmental Chemical Engineering</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GrammarlyDocumentId">
    <vt:lpwstr>0ae2ebf2f9dc6d154887620d90a384df3b6acb7346115ba4a248d4bfae276b04</vt:lpwstr>
  </property>
</Properties>
</file>