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4F206139" w:rsidR="000A03B2" w:rsidRPr="00B57B36" w:rsidRDefault="007F63A8" w:rsidP="00DE264A">
            <w:pPr>
              <w:tabs>
                <w:tab w:val="left" w:pos="-108"/>
              </w:tabs>
              <w:ind w:left="-108"/>
              <w:jc w:val="left"/>
              <w:rPr>
                <w:rFonts w:cs="Arial"/>
                <w:b/>
                <w:bCs/>
                <w:i/>
                <w:iCs/>
                <w:color w:val="000066"/>
                <w:sz w:val="12"/>
                <w:szCs w:val="12"/>
                <w:lang w:eastAsia="it-IT"/>
              </w:rPr>
            </w:pPr>
            <w:bookmarkStart w:id="0" w:name="_Hlk145068772"/>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A4AA250" w:rsidR="00E978D0" w:rsidRPr="00B57B36" w:rsidRDefault="007053AA" w:rsidP="00E978D0">
      <w:pPr>
        <w:pStyle w:val="CETTitle"/>
      </w:pPr>
      <w:r w:rsidRPr="007053AA">
        <w:t xml:space="preserve">Comparison between Cyrene and NMP as </w:t>
      </w:r>
      <w:r w:rsidR="001B7DBA">
        <w:t>s</w:t>
      </w:r>
      <w:r w:rsidRPr="007053AA">
        <w:t>olvents for CO</w:t>
      </w:r>
      <w:r w:rsidRPr="004125A5">
        <w:rPr>
          <w:vertAlign w:val="subscript"/>
        </w:rPr>
        <w:t>2</w:t>
      </w:r>
      <w:r w:rsidRPr="007053AA">
        <w:t xml:space="preserve"> removal</w:t>
      </w:r>
    </w:p>
    <w:p w14:paraId="0488FED2" w14:textId="44EDD4D7" w:rsidR="00B57E6F" w:rsidRPr="007053AA" w:rsidRDefault="007053AA" w:rsidP="00B57E6F">
      <w:pPr>
        <w:pStyle w:val="CETAuthors"/>
        <w:rPr>
          <w:lang w:val="it-IT"/>
        </w:rPr>
      </w:pPr>
      <w:r w:rsidRPr="007053AA">
        <w:rPr>
          <w:lang w:val="it-IT"/>
        </w:rPr>
        <w:t>Valentina Schiattarella</w:t>
      </w:r>
      <w:r w:rsidRPr="007053AA">
        <w:rPr>
          <w:vertAlign w:val="superscript"/>
          <w:lang w:val="it-IT"/>
        </w:rPr>
        <w:t>a</w:t>
      </w:r>
      <w:r w:rsidRPr="007053AA">
        <w:rPr>
          <w:lang w:val="it-IT"/>
        </w:rPr>
        <w:t>, Stefania Moioli</w:t>
      </w:r>
      <w:r w:rsidRPr="007053AA">
        <w:rPr>
          <w:vertAlign w:val="superscript"/>
          <w:lang w:val="it-IT"/>
        </w:rPr>
        <w:t>a,</w:t>
      </w:r>
      <w:r w:rsidRPr="007053AA">
        <w:rPr>
          <w:lang w:val="it-IT"/>
        </w:rPr>
        <w:t>*, Cristina Moliner</w:t>
      </w:r>
      <w:r w:rsidRPr="007053AA">
        <w:rPr>
          <w:vertAlign w:val="superscript"/>
          <w:lang w:val="it-IT"/>
        </w:rPr>
        <w:t>b</w:t>
      </w:r>
      <w:r w:rsidRPr="007053AA">
        <w:rPr>
          <w:lang w:val="it-IT"/>
        </w:rPr>
        <w:t>, Giorgia De Guido</w:t>
      </w:r>
      <w:r w:rsidRPr="007053AA">
        <w:rPr>
          <w:vertAlign w:val="superscript"/>
          <w:lang w:val="it-IT"/>
        </w:rPr>
        <w:t>a</w:t>
      </w:r>
    </w:p>
    <w:p w14:paraId="6B2D21B3" w14:textId="2AB1895A" w:rsidR="00B57E6F" w:rsidRPr="000447F9" w:rsidRDefault="00B57E6F" w:rsidP="00B57E6F">
      <w:pPr>
        <w:pStyle w:val="CETAddress"/>
        <w:rPr>
          <w:lang w:val="it-IT"/>
        </w:rPr>
      </w:pPr>
      <w:r w:rsidRPr="000447F9">
        <w:rPr>
          <w:vertAlign w:val="superscript"/>
          <w:lang w:val="it-IT"/>
        </w:rPr>
        <w:t>a</w:t>
      </w:r>
      <w:r w:rsidR="000447F9" w:rsidRPr="000447F9">
        <w:rPr>
          <w:lang w:val="it-IT"/>
        </w:rPr>
        <w:t>GASP - Group on Advanced Separation Processes &amp; GAS Processing, Dipartimento di Chimica, Materiali e Ingegneria Chimica “G. Natta”, Politecnico di Milano, Piazza Leonardo da Vinci 32, 20133 Milano, Italy</w:t>
      </w:r>
    </w:p>
    <w:p w14:paraId="3D72B0B0" w14:textId="17606E0F" w:rsidR="00B57E6F" w:rsidRPr="00B57B36" w:rsidRDefault="00B57E6F" w:rsidP="00B57E6F">
      <w:pPr>
        <w:pStyle w:val="CETAddress"/>
      </w:pPr>
      <w:r w:rsidRPr="00B57B36">
        <w:rPr>
          <w:vertAlign w:val="superscript"/>
        </w:rPr>
        <w:t>b</w:t>
      </w:r>
      <w:r w:rsidR="000447F9" w:rsidRPr="000447F9">
        <w:t>PERT - Process Engineering Research Team, Department of Civil, Chemical and Environmental Engineering, University of Genova, Via Opera Pia, 15a, 16145, Genova, Italy</w:t>
      </w:r>
    </w:p>
    <w:p w14:paraId="73F1267A" w14:textId="04DAAD89" w:rsidR="00B57E6F" w:rsidRPr="00B57B36" w:rsidRDefault="000447F9" w:rsidP="00B57E6F">
      <w:pPr>
        <w:pStyle w:val="CETemail"/>
      </w:pPr>
      <w:r>
        <w:rPr>
          <w:lang w:val="en-US"/>
        </w:rPr>
        <w:t xml:space="preserve"> </w:t>
      </w:r>
      <w:r w:rsidRPr="000447F9">
        <w:t>stefania.moioli@polimi.it</w:t>
      </w:r>
    </w:p>
    <w:p w14:paraId="25026B36" w14:textId="6D326DB6" w:rsidR="00E247A7" w:rsidRDefault="00E247A7" w:rsidP="00E247A7">
      <w:pPr>
        <w:pStyle w:val="CETBodytext"/>
      </w:pPr>
      <w:bookmarkStart w:id="1" w:name="_Hlk184295137"/>
    </w:p>
    <w:p w14:paraId="0F17FD29" w14:textId="20DEF194" w:rsidR="00E247A7" w:rsidRDefault="00E247A7" w:rsidP="00E247A7">
      <w:pPr>
        <w:pStyle w:val="CETBodytext"/>
        <w:rPr>
          <w:lang w:val="en-GB"/>
        </w:rPr>
      </w:pPr>
      <w:r w:rsidRPr="005E5B34">
        <w:rPr>
          <w:lang w:val="en-GB"/>
        </w:rPr>
        <w:t xml:space="preserve">N-Methyl-2-Pyrrolidone (NMP) is one of the most used solvents for </w:t>
      </w:r>
      <w:r>
        <w:rPr>
          <w:lang w:val="en-GB"/>
        </w:rPr>
        <w:t>CO</w:t>
      </w:r>
      <w:r w:rsidRPr="00992581">
        <w:rPr>
          <w:vertAlign w:val="subscript"/>
          <w:lang w:val="en-GB"/>
        </w:rPr>
        <w:t>2</w:t>
      </w:r>
      <w:r>
        <w:rPr>
          <w:lang w:val="en-GB"/>
        </w:rPr>
        <w:t xml:space="preserve"> removal from gaseous streams by physical absorption and, recently,</w:t>
      </w:r>
      <w:r w:rsidRPr="00455F83">
        <w:rPr>
          <w:lang w:val="en-GB"/>
        </w:rPr>
        <w:t xml:space="preserve"> it has also been considered as a component of hybrid solvents performing both physical and chemical absorption for possible applications to the </w:t>
      </w:r>
      <w:r>
        <w:rPr>
          <w:lang w:val="en-GB"/>
        </w:rPr>
        <w:t>capture</w:t>
      </w:r>
      <w:r w:rsidRPr="00455F83">
        <w:rPr>
          <w:lang w:val="en-GB"/>
        </w:rPr>
        <w:t xml:space="preserve"> of CO</w:t>
      </w:r>
      <w:r w:rsidRPr="00455F83">
        <w:rPr>
          <w:vertAlign w:val="subscript"/>
          <w:lang w:val="en-GB"/>
        </w:rPr>
        <w:t>2</w:t>
      </w:r>
      <w:r w:rsidRPr="00455F83">
        <w:rPr>
          <w:lang w:val="en-GB"/>
        </w:rPr>
        <w:t xml:space="preserve"> from flue gas streams.</w:t>
      </w:r>
      <w:r>
        <w:rPr>
          <w:lang w:val="en-GB"/>
        </w:rPr>
        <w:t xml:space="preserve"> </w:t>
      </w:r>
      <w:r w:rsidRPr="00455F83">
        <w:rPr>
          <w:lang w:val="en-GB"/>
        </w:rPr>
        <w:t>However, NMP has some drawbacks and it has been included in the list of ‘Substances of Very High Concern</w:t>
      </w:r>
      <w:r w:rsidR="00C77948" w:rsidRPr="00455F83">
        <w:rPr>
          <w:lang w:val="en-GB"/>
        </w:rPr>
        <w:t>’ according</w:t>
      </w:r>
      <w:r w:rsidRPr="00455F83">
        <w:rPr>
          <w:lang w:val="en-GB"/>
        </w:rPr>
        <w:t xml:space="preserve"> to the European Regulation No. 1907/2006. For this reason, alternative solvents are being considered. Cyrene is a biodegradable, non-mutagenic, non-toxic and biomass-derived solvent, </w:t>
      </w:r>
      <w:r>
        <w:rPr>
          <w:lang w:val="en-GB"/>
        </w:rPr>
        <w:t>having</w:t>
      </w:r>
      <w:r w:rsidRPr="00455F83">
        <w:rPr>
          <w:lang w:val="en-GB"/>
        </w:rPr>
        <w:t xml:space="preserve"> similar characteristics to NMP. The main similarity between the two species consists in the fact that they result to be dipolar aprotic solvents, as proved by the values of both Kamlet–Abboud–Taft and Hansen space parameters. Despite that, NMP and Cyrene differ in physical properties as boiling point, flash</w:t>
      </w:r>
      <w:r w:rsidRPr="005E5B34">
        <w:rPr>
          <w:lang w:val="en-GB"/>
        </w:rPr>
        <w:t xml:space="preserve"> point, autoignition temperature and water solubility. </w:t>
      </w:r>
      <w:r>
        <w:rPr>
          <w:lang w:val="en-GB"/>
        </w:rPr>
        <w:t>However, t</w:t>
      </w:r>
      <w:r w:rsidRPr="005E5B34">
        <w:rPr>
          <w:lang w:val="en-GB"/>
        </w:rPr>
        <w:t>o the authors’ knowledge, no comparison is available in the literature regarding the solubility of CO</w:t>
      </w:r>
      <w:r w:rsidRPr="003F5F3C">
        <w:rPr>
          <w:vertAlign w:val="subscript"/>
          <w:lang w:val="en-GB"/>
        </w:rPr>
        <w:t>2</w:t>
      </w:r>
      <w:r w:rsidRPr="005E5B34">
        <w:rPr>
          <w:lang w:val="en-GB"/>
        </w:rPr>
        <w:t>, which is a key parameter for defining the suitability of a solvent for CO</w:t>
      </w:r>
      <w:r w:rsidRPr="003F5F3C">
        <w:rPr>
          <w:vertAlign w:val="subscript"/>
          <w:lang w:val="en-GB"/>
        </w:rPr>
        <w:t>2</w:t>
      </w:r>
      <w:r w:rsidRPr="005E5B34">
        <w:rPr>
          <w:lang w:val="en-GB"/>
        </w:rPr>
        <w:t xml:space="preserve"> removal.</w:t>
      </w:r>
    </w:p>
    <w:p w14:paraId="03D56C7C" w14:textId="0E0BCC03" w:rsidR="00E247A7" w:rsidRDefault="00E247A7" w:rsidP="00F82F19">
      <w:pPr>
        <w:pStyle w:val="CETBodytext"/>
      </w:pPr>
      <w:r w:rsidRPr="00F82F19">
        <w:t>In the context of the PRIN 2022 project “GREEN-based water-lean SOLvent for CO2 capture” (GREENSOL), funded by the European Union – NextGenerationEU, a detailed analysis of all the CO</w:t>
      </w:r>
      <w:r w:rsidRPr="0001094E">
        <w:rPr>
          <w:vertAlign w:val="subscript"/>
        </w:rPr>
        <w:t>2</w:t>
      </w:r>
      <w:r w:rsidRPr="00F82F19">
        <w:t xml:space="preserve"> solubility data available in the literature is presented in this work in order to determine whether Cyrene can be used as a bio-based alternative to NMP as solvent for physical absorption.</w:t>
      </w:r>
    </w:p>
    <w:bookmarkEnd w:id="1"/>
    <w:p w14:paraId="0CBEEF8A" w14:textId="4E69F677" w:rsidR="00E42498" w:rsidRPr="00F82F19" w:rsidRDefault="00600535" w:rsidP="00F82F19">
      <w:pPr>
        <w:pStyle w:val="CETHeading1"/>
      </w:pPr>
      <w:r w:rsidRPr="00F82F19">
        <w:t>Introduction</w:t>
      </w:r>
    </w:p>
    <w:p w14:paraId="7B0D8376" w14:textId="2ECAA18C" w:rsidR="00E42498" w:rsidRPr="00E42498" w:rsidRDefault="00E42498" w:rsidP="00E42498">
      <w:pPr>
        <w:pStyle w:val="CETBodytext"/>
      </w:pPr>
      <w:r w:rsidRPr="00E42498">
        <w:t xml:space="preserve">N-Methyl-2-pyrrolidone (NMP) is a highly polar molecule that exists as a liquid at room temperature </w:t>
      </w:r>
      <w:r w:rsidR="007A47B4">
        <w:fldChar w:fldCharType="begin"/>
      </w:r>
      <w:r w:rsidR="007C5737">
        <w:instrText xml:space="preserve"> ADDIN EN.CITE &lt;EndNote&gt;&lt;Cite&gt;&lt;Author&gt;Basma&lt;/Author&gt;&lt;Year&gt;2018&lt;/Year&gt;&lt;RecNum&gt;224&lt;/RecNum&gt;&lt;DisplayText&gt;(Basma et al., 2018)&lt;/DisplayText&gt;&lt;record&gt;&lt;rec-number&gt;224&lt;/rec-number&gt;&lt;foreign-keys&gt;&lt;key app="EN" db-id="dx5wwtzs652saherdptxawzqdrxf255xasv0" timestamp="1730108990"&gt;224&lt;/key&gt;&lt;/foreign-keys&gt;&lt;ref-type name="Journal Article"&gt;17&lt;/ref-type&gt;&lt;contributors&gt;&lt;authors&gt;&lt;author&gt;Basma, Nadir S&lt;/author&gt;&lt;author&gt;Headen, Thomas F&lt;/author&gt;&lt;author&gt;Shaffer, Milo SP&lt;/author&gt;&lt;author&gt;Skipper, Neal T&lt;/author&gt;&lt;author&gt;Howard, Christopher A&lt;/author&gt;&lt;/authors&gt;&lt;/contributors&gt;&lt;titles&gt;&lt;title&gt;Local structure and polar order in liquid N-methyl-2-pyrrolidone (NMP)&lt;/title&gt;&lt;secondary-title&gt;The Journal of Physical Chemistry B&lt;/secondary-title&gt;&lt;/titles&gt;&lt;periodical&gt;&lt;full-title&gt;The Journal of Physical Chemistry B&lt;/full-title&gt;&lt;/periodical&gt;&lt;pages&gt;8963-8971&lt;/pages&gt;&lt;volume&gt;122&lt;/volume&gt;&lt;number&gt;38&lt;/number&gt;&lt;dates&gt;&lt;year&gt;2018&lt;/year&gt;&lt;/dates&gt;&lt;isbn&gt;1520-6106&lt;/isbn&gt;&lt;urls&gt;&lt;/urls&gt;&lt;/record&gt;&lt;/Cite&gt;&lt;/EndNote&gt;</w:instrText>
      </w:r>
      <w:r w:rsidR="007A47B4">
        <w:fldChar w:fldCharType="separate"/>
      </w:r>
      <w:r w:rsidR="007C5737">
        <w:rPr>
          <w:noProof/>
        </w:rPr>
        <w:t>(Basma et al., 2018)</w:t>
      </w:r>
      <w:r w:rsidR="007A47B4">
        <w:fldChar w:fldCharType="end"/>
      </w:r>
      <w:r w:rsidR="007A47B4" w:rsidRPr="00505B83">
        <w:t>.</w:t>
      </w:r>
      <w:r w:rsidRPr="00E42498">
        <w:t xml:space="preserve"> </w:t>
      </w:r>
      <w:r>
        <w:t>B</w:t>
      </w:r>
      <w:r w:rsidRPr="00E42498">
        <w:t>ased on the raw materials used</w:t>
      </w:r>
      <w:r>
        <w:t>, several</w:t>
      </w:r>
      <w:r w:rsidRPr="00E42498">
        <w:t xml:space="preserve"> </w:t>
      </w:r>
      <w:r w:rsidR="001958CF">
        <w:t>processes</w:t>
      </w:r>
      <w:r>
        <w:t xml:space="preserve"> for </w:t>
      </w:r>
      <w:r w:rsidRPr="00E42498">
        <w:t xml:space="preserve">NMP </w:t>
      </w:r>
      <w:r>
        <w:t xml:space="preserve">production </w:t>
      </w:r>
      <w:r w:rsidRPr="00E42498">
        <w:t xml:space="preserve">have been developed. However, the only method currently used in industry is the condensation of </w:t>
      </w:r>
      <w:r w:rsidRPr="00E42498">
        <w:rPr>
          <w:lang w:val="it-IT"/>
        </w:rPr>
        <w:t>γ</w:t>
      </w:r>
      <w:r w:rsidRPr="00E42498">
        <w:t xml:space="preserve">-butyrolactone with methylamine </w:t>
      </w:r>
      <w:r w:rsidR="007A47B4" w:rsidRPr="005B36FB">
        <w:fldChar w:fldCharType="begin"/>
      </w:r>
      <w:r w:rsidR="00276BB4">
        <w:instrText xml:space="preserve"> ADDIN EN.CITE &lt;EndNote&gt;&lt;Cite&gt;&lt;Year&gt;2024&lt;/Year&gt;&lt;RecNum&gt;226&lt;/RecNum&gt;&lt;DisplayText&gt;(Chemical Book,2024)&lt;/DisplayText&gt;&lt;record&gt;&lt;rec-number&gt;226&lt;/rec-number&gt;&lt;foreign-keys&gt;&lt;key app="EN" db-id="dx5wwtzs652saherdptxawzqdrxf255xasv0" timestamp="1730109191"&gt;226&lt;/key&gt;&lt;/foreign-keys&gt;&lt;ref-type name="Web Page"&gt;12&lt;/ref-type&gt;&lt;contributors&gt;&lt;/contributors&gt;&lt;titles&gt;&lt;title&gt;How to synthesis N-Methyl-2-pyrrolidone&lt;/title&gt;&lt;/titles&gt;&lt;pages&gt;Chemical Book (CB)&lt;/pages&gt;&lt;volume&gt;2024&lt;/volume&gt;&lt;number&gt;28/10/2024&lt;/number&gt;&lt;dates&gt;&lt;year&gt;2024&lt;/year&gt;&lt;/dates&gt;&lt;label&gt;Chemical Book&lt;/label&gt;&lt;urls&gt;&lt;related-urls&gt;&lt;url&gt;https://www.chemicalbook.com/article/how-to-synthesis-n-methyl-2-pyrrolidone.htm&lt;/url&gt;&lt;/related-urls&gt;&lt;/urls&gt;&lt;/record&gt;&lt;/Cite&gt;&lt;/EndNote&gt;</w:instrText>
      </w:r>
      <w:r w:rsidR="007A47B4" w:rsidRPr="005B36FB">
        <w:fldChar w:fldCharType="separate"/>
      </w:r>
      <w:r w:rsidR="00276BB4">
        <w:rPr>
          <w:noProof/>
        </w:rPr>
        <w:t>(Chemical Book,2024)</w:t>
      </w:r>
      <w:r w:rsidR="007A47B4" w:rsidRPr="005B36FB">
        <w:fldChar w:fldCharType="end"/>
      </w:r>
      <w:r w:rsidRPr="00E42498">
        <w:t>. NMP primary application is as a solvent for CO</w:t>
      </w:r>
      <w:r w:rsidRPr="00E42498">
        <w:rPr>
          <w:rFonts w:ascii="Cambria Math" w:hAnsi="Cambria Math" w:cs="Cambria Math"/>
        </w:rPr>
        <w:t>₂</w:t>
      </w:r>
      <w:r w:rsidRPr="00E42498">
        <w:t xml:space="preserve"> removal due to its low vapor pressure, low viscosity, high CO</w:t>
      </w:r>
      <w:r w:rsidRPr="00E42498">
        <w:rPr>
          <w:rFonts w:ascii="Cambria Math" w:hAnsi="Cambria Math" w:cs="Cambria Math"/>
        </w:rPr>
        <w:t>₂</w:t>
      </w:r>
      <w:r w:rsidRPr="00E42498">
        <w:t xml:space="preserve"> absorption capacity, complete solubility in water and low corrosiveness </w:t>
      </w:r>
      <w:r w:rsidR="007A47B4" w:rsidRPr="005B36FB">
        <w:fldChar w:fldCharType="begin"/>
      </w:r>
      <w:r w:rsidR="00276BB4">
        <w:instrText xml:space="preserve"> ADDIN EN.CITE &lt;EndNote&gt;&lt;Cite&gt;&lt;Author&gt;Eskandari&lt;/Author&gt;&lt;Year&gt;2022&lt;/Year&gt;&lt;RecNum&gt;225&lt;/RecNum&gt;&lt;DisplayText&gt;(Usula et al., 2014; Eskandari et al., 2022)&lt;/DisplayText&gt;&lt;record&gt;&lt;rec-number&gt;225&lt;/rec-number&gt;&lt;foreign-keys&gt;&lt;key app="EN" db-id="dx5wwtzs652saherdptxawzqdrxf255xasv0" timestamp="1730108993"&gt;225&lt;/key&gt;&lt;/foreign-keys&gt;&lt;ref-type name="Journal Article"&gt;17&lt;/ref-type&gt;&lt;contributors&gt;&lt;authors&gt;&lt;author&gt;Eskandari, Masoud&lt;/author&gt;&lt;author&gt;Elhambakhsh, Abbas&lt;/author&gt;&lt;author&gt;Rasaie, Mahboob&lt;/author&gt;&lt;author&gt;Keshavarz, Peyman&lt;/author&gt;&lt;author&gt;Mowla, Dariush&lt;/author&gt;&lt;/authors&gt;&lt;/contributors&gt;&lt;titles&gt;&lt;title&gt;Absorption of carbon dioxide in mixture of N-Methyl-2-Pyrrolidone and six different chemical solvents&lt;/title&gt;&lt;secondary-title&gt;Journal of Molecular Liquids&lt;/secondary-title&gt;&lt;/titles&gt;&lt;periodical&gt;&lt;full-title&gt;Journal of Molecular Liquids&lt;/full-title&gt;&lt;/periodical&gt;&lt;pages&gt;119939&lt;/pages&gt;&lt;volume&gt;364&lt;/volume&gt;&lt;dates&gt;&lt;year&gt;2022&lt;/year&gt;&lt;/dates&gt;&lt;isbn&gt;0167-7322&lt;/isbn&gt;&lt;urls&gt;&lt;/urls&gt;&lt;/record&gt;&lt;/Cite&gt;&lt;Cite&gt;&lt;Author&gt;Usula&lt;/Author&gt;&lt;Year&gt;2014&lt;/Year&gt;&lt;RecNum&gt;227&lt;/RecNum&gt;&lt;record&gt;&lt;rec-number&gt;227&lt;/rec-number&gt;&lt;foreign-keys&gt;&lt;key app="EN" db-id="dx5wwtzs652saherdptxawzqdrxf255xasv0" timestamp="1730110124"&gt;227&lt;/key&gt;&lt;/foreign-keys&gt;&lt;ref-type name="Journal Article"&gt;17&lt;/ref-type&gt;&lt;contributors&gt;&lt;authors&gt;&lt;author&gt;Usula, Marianna&lt;/author&gt;&lt;author&gt;Porcedda, Silvia&lt;/author&gt;&lt;author&gt;Mocci, Francesca&lt;/author&gt;&lt;author&gt;Gontrani, Lorenzo&lt;/author&gt;&lt;author&gt;Caminiti, Ruggero&lt;/author&gt;&lt;author&gt;Cesare Marincola, Flaminia&lt;/author&gt;&lt;/authors&gt;&lt;/contributors&gt;&lt;titles&gt;&lt;title&gt;NMR, calorimetry, and computational studies of aqueous solutions of N-methyl-2-pyrrolidone&lt;/title&gt;&lt;secondary-title&gt;The Journal of Physical Chemistry B&lt;/secondary-title&gt;&lt;/titles&gt;&lt;periodical&gt;&lt;full-title&gt;The Journal of Physical Chemistry B&lt;/full-title&gt;&lt;/periodical&gt;&lt;pages&gt;10493-10502&lt;/pages&gt;&lt;volume&gt;118&lt;/volume&gt;&lt;number&gt;35&lt;/number&gt;&lt;dates&gt;&lt;year&gt;2014&lt;/year&gt;&lt;/dates&gt;&lt;isbn&gt;1520-6106&lt;/isbn&gt;&lt;urls&gt;&lt;/urls&gt;&lt;/record&gt;&lt;/Cite&gt;&lt;/EndNote&gt;</w:instrText>
      </w:r>
      <w:r w:rsidR="007A47B4" w:rsidRPr="005B36FB">
        <w:fldChar w:fldCharType="separate"/>
      </w:r>
      <w:r w:rsidR="00276BB4">
        <w:rPr>
          <w:noProof/>
        </w:rPr>
        <w:t>(Usula et al., 2014; Eskandari et al., 2022)</w:t>
      </w:r>
      <w:r w:rsidR="007A47B4" w:rsidRPr="005B36FB">
        <w:fldChar w:fldCharType="end"/>
      </w:r>
      <w:r w:rsidRPr="00E42498">
        <w:t xml:space="preserve">. Key industrial uses </w:t>
      </w:r>
      <w:r w:rsidR="001A60EA">
        <w:t xml:space="preserve">of this physical solvent </w:t>
      </w:r>
      <w:r w:rsidRPr="00E42498">
        <w:t xml:space="preserve">include hydrogen production from syngas and </w:t>
      </w:r>
      <w:bookmarkStart w:id="2" w:name="_Hlk189040136"/>
      <w:r w:rsidRPr="00E42498">
        <w:t>natural gas treatment</w:t>
      </w:r>
      <w:r w:rsidR="00A71AD6">
        <w:t>,</w:t>
      </w:r>
      <w:r w:rsidR="006C2A6D">
        <w:t xml:space="preserve"> as reported by </w:t>
      </w:r>
      <w:r w:rsidR="006C2A6D">
        <w:rPr>
          <w:noProof/>
        </w:rPr>
        <w:t>Murrieta-Guevara and Trejo Rodriguez (1984) and by Shokouhi et al. (2021).</w:t>
      </w:r>
      <w:r w:rsidR="00A27EC7">
        <w:t xml:space="preserve"> </w:t>
      </w:r>
      <w:bookmarkEnd w:id="2"/>
      <w:r w:rsidRPr="00E42498">
        <w:t>Specifically, NMP is employed in the Purisol</w:t>
      </w:r>
      <w:r w:rsidRPr="004E15B0">
        <w:rPr>
          <w:rFonts w:cs="Arial"/>
          <w:vertAlign w:val="superscript"/>
        </w:rPr>
        <w:t>®</w:t>
      </w:r>
      <w:r w:rsidRPr="00E42498">
        <w:t xml:space="preserve"> process licensed by Lurgi </w:t>
      </w:r>
      <w:r w:rsidR="007A47B4">
        <w:rPr>
          <w:lang w:val="en-GB"/>
        </w:rPr>
        <w:fldChar w:fldCharType="begin"/>
      </w:r>
      <w:r w:rsidR="007C5737">
        <w:rPr>
          <w:lang w:val="en-GB"/>
        </w:rPr>
        <w:instrText xml:space="preserve"> ADDIN EN.CITE &lt;EndNote&gt;&lt;Cite&gt;&lt;Author&gt;Hochgesand&lt;/Author&gt;&lt;Year&gt;1970&lt;/Year&gt;&lt;RecNum&gt;8&lt;/RecNum&gt;&lt;DisplayText&gt;(Hochgesand, 1970)&lt;/DisplayText&gt;&lt;record&gt;&lt;rec-number&gt;8&lt;/rec-number&gt;&lt;foreign-keys&gt;&lt;key app="EN" db-id="dx5wwtzs652saherdptxawzqdrxf255xasv0" timestamp="1721224052"&gt;8&lt;/key&gt;&lt;/foreign-keys&gt;&lt;ref-type name="Journal Article"&gt;17&lt;/ref-type&gt;&lt;contributors&gt;&lt;authors&gt;&lt;author&gt;Hochgesand, Go&lt;/author&gt;&lt;/authors&gt;&lt;/contributors&gt;&lt;titles&gt;&lt;title&gt;Rectisol and purisol&lt;/title&gt;&lt;secondary-title&gt;Industrial &amp;amp; Engineering Chemistry&lt;/secondary-title&gt;&lt;/titles&gt;&lt;periodical&gt;&lt;full-title&gt;Industrial &amp;amp; Engineering Chemistry&lt;/full-title&gt;&lt;/periodical&gt;&lt;pages&gt;37-43&lt;/pages&gt;&lt;volume&gt;62&lt;/volume&gt;&lt;number&gt;7&lt;/number&gt;&lt;dates&gt;&lt;year&gt;1970&lt;/year&gt;&lt;/dates&gt;&lt;isbn&gt;0019-7866&lt;/isbn&gt;&lt;urls&gt;&lt;/urls&gt;&lt;/record&gt;&lt;/Cite&gt;&lt;/EndNote&gt;</w:instrText>
      </w:r>
      <w:r w:rsidR="007A47B4">
        <w:rPr>
          <w:lang w:val="en-GB"/>
        </w:rPr>
        <w:fldChar w:fldCharType="separate"/>
      </w:r>
      <w:r w:rsidR="007C5737">
        <w:rPr>
          <w:noProof/>
          <w:lang w:val="en-GB"/>
        </w:rPr>
        <w:t>(Hochgesand, 1970)</w:t>
      </w:r>
      <w:r w:rsidR="007A47B4">
        <w:rPr>
          <w:lang w:val="en-GB"/>
        </w:rPr>
        <w:fldChar w:fldCharType="end"/>
      </w:r>
      <w:r w:rsidRPr="00E42498">
        <w:t xml:space="preserve">, which can operate at ambient temperature or, when refrigerated, down to 258.15 K </w:t>
      </w:r>
      <w:r w:rsidR="007A47B4" w:rsidRPr="005B36FB">
        <w:fldChar w:fldCharType="begin"/>
      </w:r>
      <w:r w:rsidR="007C5737">
        <w:instrText xml:space="preserve"> ADDIN EN.CITE &lt;EndNote&gt;&lt;Cite&gt;&lt;Author&gt;Kriebel&lt;/Author&gt;&lt;Year&gt;1989&lt;/Year&gt;&lt;RecNum&gt;20&lt;/RecNum&gt;&lt;DisplayText&gt;(Kriebel, 1989)&lt;/DisplayText&gt;&lt;record&gt;&lt;rec-number&gt;20&lt;/rec-number&gt;&lt;foreign-keys&gt;&lt;key app="EN" db-id="dx5wwtzs652saherdptxawzqdrxf255xasv0" timestamp="1721224076"&gt;20&lt;/key&gt;&lt;/foreign-keys&gt;&lt;ref-type name="Generic"&gt;13&lt;/ref-type&gt;&lt;contributors&gt;&lt;authors&gt;&lt;author&gt;Kriebel, M&lt;/author&gt;&lt;/authors&gt;&lt;/contributors&gt;&lt;titles&gt;&lt;title&gt;Ullmann’s encyclopedia of industrial chemistry, gas production&lt;/title&gt;&lt;/titles&gt;&lt;dates&gt;&lt;year&gt;1989&lt;/year&gt;&lt;/dates&gt;&lt;publisher&gt;VCH Verlagsgesellschaft mbH, Weinheim&lt;/publisher&gt;&lt;urls&gt;&lt;/urls&gt;&lt;/record&gt;&lt;/Cite&gt;&lt;/EndNote&gt;</w:instrText>
      </w:r>
      <w:r w:rsidR="007A47B4" w:rsidRPr="005B36FB">
        <w:fldChar w:fldCharType="separate"/>
      </w:r>
      <w:r w:rsidR="007C5737">
        <w:rPr>
          <w:noProof/>
        </w:rPr>
        <w:t>(Kriebel, 1989)</w:t>
      </w:r>
      <w:r w:rsidR="007A47B4" w:rsidRPr="005B36FB">
        <w:fldChar w:fldCharType="end"/>
      </w:r>
      <w:r w:rsidRPr="00E42498">
        <w:t xml:space="preserve">. However, </w:t>
      </w:r>
      <w:r w:rsidR="00C211FE" w:rsidRPr="00C211FE">
        <w:rPr>
          <w:lang w:val="en-GB"/>
        </w:rPr>
        <w:t>NMP presents certain drawbacks, which have led to its inclusion</w:t>
      </w:r>
      <w:r w:rsidR="00776E6A" w:rsidRPr="005E5B34">
        <w:rPr>
          <w:lang w:val="en-GB"/>
        </w:rPr>
        <w:t xml:space="preserve"> in the list of ‘Substances of Very High Concern’ (SVHC) according to the European Regulation No. 1907/2006 “Registration, Evaluation, Authorisation and restriction of Chemicals” (REACH) </w:t>
      </w:r>
      <w:r w:rsidR="007A47B4">
        <w:rPr>
          <w:lang w:val="en-GB"/>
        </w:rPr>
        <w:fldChar w:fldCharType="begin"/>
      </w:r>
      <w:r w:rsidR="007C5737">
        <w:rPr>
          <w:lang w:val="en-GB"/>
        </w:rPr>
        <w:instrText xml:space="preserve"> ADDIN EN.CITE &lt;EndNote&gt;&lt;Cite&gt;&lt;Author&gt;Jin&lt;/Author&gt;&lt;Year&gt;2017&lt;/Year&gt;&lt;RecNum&gt;222&lt;/RecNum&gt;&lt;DisplayText&gt;(Jin et al., 2017)&lt;/DisplayText&gt;&lt;record&gt;&lt;rec-number&gt;222&lt;/rec-number&gt;&lt;foreign-keys&gt;&lt;key app="EN" db-id="dx5wwtzs652saherdptxawzqdrxf255xasv0" timestamp="1729599906"&gt;222&lt;/key&gt;&lt;/foreign-keys&gt;&lt;ref-type name="Journal Article"&gt;17&lt;/ref-type&gt;&lt;contributors&gt;&lt;authors&gt;&lt;author&gt;Jin, Saimeng&lt;/author&gt;&lt;author&gt;Byrne, Fergal&lt;/author&gt;&lt;author&gt;McElroy, Con Robert&lt;/author&gt;&lt;author&gt;Sherwood, James&lt;/author&gt;&lt;author&gt;Clark, James H&lt;/author&gt;&lt;author&gt;Hunt, Andrew J&lt;/author&gt;&lt;/authors&gt;&lt;/contributors&gt;&lt;titles&gt;&lt;title&gt;Challenges in the development of bio-based solvents: a case study on methyl (2,2-dimethyl-1,3-dioxolan-4-yl) methyl carbonate as an alternative aprotic solvent&lt;/title&gt;&lt;secondary-title&gt;Faraday Discussions&lt;/secondary-title&gt;&lt;/titles&gt;&lt;periodical&gt;&lt;full-title&gt;Faraday Discussions&lt;/full-title&gt;&lt;/periodical&gt;&lt;pages&gt;157-173&lt;/pages&gt;&lt;volume&gt;202&lt;/volume&gt;&lt;dates&gt;&lt;year&gt;2017&lt;/year&gt;&lt;/dates&gt;&lt;urls&gt;&lt;/urls&gt;&lt;/record&gt;&lt;/Cite&gt;&lt;/EndNote&gt;</w:instrText>
      </w:r>
      <w:r w:rsidR="007A47B4">
        <w:rPr>
          <w:lang w:val="en-GB"/>
        </w:rPr>
        <w:fldChar w:fldCharType="separate"/>
      </w:r>
      <w:r w:rsidR="007C5737">
        <w:rPr>
          <w:noProof/>
          <w:lang w:val="en-GB"/>
        </w:rPr>
        <w:t>(Jin et al., 2017)</w:t>
      </w:r>
      <w:r w:rsidR="007A47B4">
        <w:rPr>
          <w:lang w:val="en-GB"/>
        </w:rPr>
        <w:fldChar w:fldCharType="end"/>
      </w:r>
      <w:r w:rsidR="00776E6A" w:rsidRPr="005E5B34">
        <w:rPr>
          <w:lang w:val="en-GB"/>
        </w:rPr>
        <w:t>.</w:t>
      </w:r>
      <w:r w:rsidRPr="00E42498">
        <w:t xml:space="preserve"> Consequently, alternative solvents are under consideration.</w:t>
      </w:r>
    </w:p>
    <w:p w14:paraId="24D6B247" w14:textId="19C305E4" w:rsidR="00965CFF" w:rsidRDefault="00E42498" w:rsidP="00E42498">
      <w:pPr>
        <w:pStyle w:val="CETBodytext"/>
      </w:pPr>
      <w:r w:rsidRPr="00E42498">
        <w:t>Cyrene (dihydrolevoglucosenone)</w:t>
      </w:r>
      <w:r w:rsidR="00BA7E76">
        <w:t xml:space="preserve"> </w:t>
      </w:r>
      <w:r w:rsidR="00BA7E76" w:rsidRPr="00455F83">
        <w:t>is</w:t>
      </w:r>
      <w:r w:rsidRPr="00455F83">
        <w:t xml:space="preserve"> a biodegradable, non-mutagenic and non-toxic solvent derived from biomass,</w:t>
      </w:r>
      <w:r w:rsidR="00BA7E76" w:rsidRPr="00455F83">
        <w:t xml:space="preserve"> </w:t>
      </w:r>
      <w:r w:rsidR="007472F2">
        <w:t xml:space="preserve">which </w:t>
      </w:r>
      <w:r w:rsidRPr="00455F83">
        <w:t>has emerged as a promising bio-based alternative to NMP. It is a dipolar aprotic solvent produced through a two-step process</w:t>
      </w:r>
      <w:r w:rsidR="00686DC9">
        <w:t>, in particular</w:t>
      </w:r>
      <w:r w:rsidRPr="00455F83">
        <w:t xml:space="preserve"> cellulose-</w:t>
      </w:r>
      <w:r w:rsidRPr="00E42498">
        <w:t xml:space="preserve">containing substrates are first pyrolyzed to produce levoglucosenone, followed by catalytic hydrogenation to obtain Cyrene </w:t>
      </w:r>
      <w:r w:rsidR="001300DF">
        <w:fldChar w:fldCharType="begin"/>
      </w:r>
      <w:r w:rsidR="007C5737">
        <w:rPr>
          <w:lang w:val="en-GB"/>
        </w:rPr>
        <w:instrText xml:space="preserve"> ADDIN EN.CITE &lt;EndNote&gt;&lt;Cite&gt;&lt;Author&gt;Kong&lt;/Author&gt;&lt;Year&gt;2022&lt;/Year&gt;&lt;RecNum&gt;223&lt;/RecNum&gt;&lt;DisplayText&gt;(Kong and Dolzhenko, 2022)&lt;/DisplayText&gt;&lt;record&gt;&lt;rec-number&gt;223&lt;/rec-number&gt;&lt;foreign-keys&gt;&lt;key app="EN" db-id="dx5wwtzs652saherdptxawzqdrxf255xasv0" timestamp="1730108989"&gt;223&lt;/key&gt;&lt;/foreign-keys&gt;&lt;ref-type name="Journal Article"&gt;17&lt;/ref-type&gt;&lt;contributors&gt;&lt;authors&gt;&lt;author&gt;Kong, Dickson&lt;/author&gt;&lt;author&gt;Dolzhenko, Anton V&lt;/author&gt;&lt;/authors&gt;&lt;/contributors&gt;&lt;titles&gt;&lt;title&gt;Cyrene: A bio-based sustainable solvent for organic synthesis&lt;/title&gt;&lt;secondary-title&gt;Sustainable Chemistry and Pharmacy&lt;/secondary-title&gt;&lt;/titles&gt;&lt;periodical&gt;&lt;full-title&gt;Sustainable Chemistry and Pharmacy&lt;/full-title&gt;&lt;/periodical&gt;&lt;pages&gt;100591&lt;/pages&gt;&lt;volume&gt;25&lt;/volume&gt;&lt;dates&gt;&lt;year&gt;2022&lt;/year&gt;&lt;/dates&gt;&lt;isbn&gt;2352-5541&lt;/isbn&gt;&lt;urls&gt;&lt;/urls&gt;&lt;/record&gt;&lt;/Cite&gt;&lt;/EndNote&gt;</w:instrText>
      </w:r>
      <w:r w:rsidR="001300DF">
        <w:fldChar w:fldCharType="separate"/>
      </w:r>
      <w:r w:rsidR="007C5737">
        <w:rPr>
          <w:noProof/>
          <w:lang w:val="en-GB"/>
        </w:rPr>
        <w:t>(Kong and Dolzhenko, 2022)</w:t>
      </w:r>
      <w:r w:rsidR="001300DF">
        <w:fldChar w:fldCharType="end"/>
      </w:r>
      <w:r w:rsidRPr="00E42498">
        <w:t>.</w:t>
      </w:r>
      <w:r w:rsidR="00FB4654">
        <w:t xml:space="preserve"> </w:t>
      </w:r>
      <w:r w:rsidRPr="00E42498">
        <w:t xml:space="preserve">Due to its similar properties to NMP, </w:t>
      </w:r>
      <w:r w:rsidR="001243CD">
        <w:t>s</w:t>
      </w:r>
      <w:r w:rsidRPr="00E42498">
        <w:t xml:space="preserve">everal studies in </w:t>
      </w:r>
      <w:r w:rsidR="00E015BF">
        <w:t xml:space="preserve">the </w:t>
      </w:r>
      <w:r w:rsidR="00965CFF" w:rsidRPr="00E42498">
        <w:t>literature</w:t>
      </w:r>
      <w:r w:rsidRPr="00E42498">
        <w:t xml:space="preserve"> suggest Cyrene </w:t>
      </w:r>
      <w:r w:rsidR="001243CD" w:rsidRPr="00E42498">
        <w:t xml:space="preserve">as a potential </w:t>
      </w:r>
      <w:r w:rsidR="001243CD">
        <w:t xml:space="preserve">bio-based </w:t>
      </w:r>
      <w:r w:rsidR="001243CD" w:rsidRPr="00E42498">
        <w:t>substitut</w:t>
      </w:r>
      <w:r w:rsidR="001243CD">
        <w:t>e</w:t>
      </w:r>
      <w:r w:rsidRPr="00E42498">
        <w:t xml:space="preserve">. </w:t>
      </w:r>
      <w:r w:rsidRPr="00E42498">
        <w:lastRenderedPageBreak/>
        <w:t>For example, Zhou et al.</w:t>
      </w:r>
      <w:r w:rsidR="001243CD">
        <w:t xml:space="preserve"> (2021)</w:t>
      </w:r>
      <w:r w:rsidRPr="00E42498">
        <w:t xml:space="preserve"> </w:t>
      </w:r>
      <w:r w:rsidR="00965CFF">
        <w:rPr>
          <w:lang w:val="en-GB"/>
        </w:rPr>
        <w:t xml:space="preserve">have proposed this substitution </w:t>
      </w:r>
      <w:r w:rsidR="00965CFF" w:rsidRPr="00AA0B24">
        <w:rPr>
          <w:lang w:val="en-GB"/>
        </w:rPr>
        <w:t>for</w:t>
      </w:r>
      <w:r w:rsidRPr="00E42498">
        <w:t xml:space="preserve"> its use in cathode processing for lithium batteries</w:t>
      </w:r>
      <w:r w:rsidR="00647A33">
        <w:t xml:space="preserve"> and</w:t>
      </w:r>
      <w:r w:rsidR="00647A33" w:rsidRPr="00E42498">
        <w:t xml:space="preserve"> </w:t>
      </w:r>
      <w:r w:rsidRPr="00E42498">
        <w:t>Fernandes et al.</w:t>
      </w:r>
      <w:r w:rsidR="00460CA4">
        <w:t xml:space="preserve"> (2022)</w:t>
      </w:r>
      <w:r w:rsidRPr="00E42498">
        <w:t xml:space="preserve"> </w:t>
      </w:r>
      <w:r w:rsidR="006B2B8F" w:rsidRPr="006B2B8F">
        <w:rPr>
          <w:lang w:val="en-GB"/>
        </w:rPr>
        <w:t xml:space="preserve">have </w:t>
      </w:r>
      <w:r w:rsidR="006B2B8F">
        <w:rPr>
          <w:lang w:val="en-GB"/>
        </w:rPr>
        <w:t>analysed</w:t>
      </w:r>
      <w:r w:rsidR="006B2B8F" w:rsidRPr="006B2B8F">
        <w:rPr>
          <w:lang w:val="en-GB"/>
        </w:rPr>
        <w:t xml:space="preserve"> this replacement for</w:t>
      </w:r>
      <w:r w:rsidRPr="00E42498">
        <w:t xml:space="preserve"> liquid-phase exfoliation of graphite</w:t>
      </w:r>
      <w:r w:rsidR="00647A33">
        <w:t xml:space="preserve">. </w:t>
      </w:r>
      <w:r w:rsidRPr="00E42498">
        <w:t>Milescu</w:t>
      </w:r>
      <w:r w:rsidR="00460CA4">
        <w:t xml:space="preserve"> (2021)</w:t>
      </w:r>
      <w:r w:rsidR="00B65318">
        <w:t xml:space="preserve"> </w:t>
      </w:r>
      <w:r w:rsidRPr="00E42498">
        <w:t>investigated Cyrene as a replacement for polar aprotic solvents in applications such as polymer dissolution for graffiti removal, flavonoid extraction, carbon nanotube dispersion, poly(amide-imide) wire enamel production, and filtration membrane fabrication</w:t>
      </w:r>
      <w:r w:rsidR="00647A33">
        <w:t>.</w:t>
      </w:r>
      <w:r w:rsidR="00647A33" w:rsidRPr="00E42498">
        <w:t xml:space="preserve"> </w:t>
      </w:r>
      <w:r w:rsidR="00647A33">
        <w:rPr>
          <w:lang w:val="en-GB"/>
        </w:rPr>
        <w:t xml:space="preserve">This comparison had also been carried out </w:t>
      </w:r>
      <w:r w:rsidR="00620028">
        <w:rPr>
          <w:lang w:val="en-GB"/>
        </w:rPr>
        <w:t xml:space="preserve">previously by </w:t>
      </w:r>
      <w:r w:rsidR="00965CFF">
        <w:rPr>
          <w:lang w:val="en-GB"/>
        </w:rPr>
        <w:t>Sherwood et al.</w:t>
      </w:r>
      <w:r w:rsidR="00460CA4">
        <w:rPr>
          <w:lang w:val="en-GB"/>
        </w:rPr>
        <w:t xml:space="preserve"> (2014)</w:t>
      </w:r>
      <w:r w:rsidR="00B247B5">
        <w:rPr>
          <w:lang w:val="en-GB"/>
        </w:rPr>
        <w:t xml:space="preserve"> </w:t>
      </w:r>
      <w:r w:rsidR="00965CFF">
        <w:rPr>
          <w:lang w:val="en-GB"/>
        </w:rPr>
        <w:t xml:space="preserve">in the context of </w:t>
      </w:r>
      <w:r w:rsidR="00965CFF" w:rsidRPr="00F753E2">
        <w:rPr>
          <w:lang w:val="en-GB"/>
        </w:rPr>
        <w:t>fluorination reaction</w:t>
      </w:r>
      <w:r w:rsidR="00965CFF">
        <w:rPr>
          <w:lang w:val="en-GB"/>
        </w:rPr>
        <w:t xml:space="preserve"> and </w:t>
      </w:r>
      <w:r w:rsidR="00965CFF" w:rsidRPr="00F753E2">
        <w:t>Menschutkin reaction</w:t>
      </w:r>
      <w:r w:rsidR="00620028">
        <w:t xml:space="preserve"> and by </w:t>
      </w:r>
      <w:r w:rsidR="00965CFF">
        <w:rPr>
          <w:noProof/>
        </w:rPr>
        <w:t>Alves Costa Pacheco</w:t>
      </w:r>
      <w:r w:rsidR="00965CFF">
        <w:t xml:space="preserve"> et al.</w:t>
      </w:r>
      <w:r w:rsidR="00460CA4">
        <w:t xml:space="preserve"> (2016)</w:t>
      </w:r>
      <w:r w:rsidR="00965CFF">
        <w:rPr>
          <w:lang w:val="en-GB"/>
        </w:rPr>
        <w:t xml:space="preserve"> </w:t>
      </w:r>
      <w:r w:rsidR="00965CFF" w:rsidRPr="00965CFF">
        <w:rPr>
          <w:lang w:val="en-GB"/>
        </w:rPr>
        <w:t xml:space="preserve">in relation to </w:t>
      </w:r>
      <w:r w:rsidR="00965CFF" w:rsidRPr="00F753E2">
        <w:rPr>
          <w:lang w:val="en-GB"/>
        </w:rPr>
        <w:t>fluorination reaction</w:t>
      </w:r>
      <w:r w:rsidR="00965CFF">
        <w:rPr>
          <w:lang w:val="en-GB"/>
        </w:rPr>
        <w:t xml:space="preserve"> and </w:t>
      </w:r>
      <w:r w:rsidR="00965CFF">
        <w:t>Heck</w:t>
      </w:r>
      <w:r w:rsidR="00965CFF" w:rsidRPr="00F753E2">
        <w:t xml:space="preserve"> reaction</w:t>
      </w:r>
      <w:r w:rsidR="00965CFF">
        <w:t>.</w:t>
      </w:r>
    </w:p>
    <w:p w14:paraId="370973AF" w14:textId="1C8160E0" w:rsidR="00E42498" w:rsidRPr="00E42498" w:rsidRDefault="00E42498" w:rsidP="00505B83">
      <w:pPr>
        <w:pStyle w:val="CETBodytext"/>
      </w:pPr>
      <w:r w:rsidRPr="00E42498">
        <w:t xml:space="preserve">Although Cyrene has been investigated as a potential alternative to NMP across </w:t>
      </w:r>
      <w:r w:rsidR="006B2B8F">
        <w:t>several</w:t>
      </w:r>
      <w:r w:rsidRPr="00E42498">
        <w:t xml:space="preserve"> fields, to the authors’ knowledge, no studies have examined its use specifically for CO</w:t>
      </w:r>
      <w:r w:rsidRPr="00E42498">
        <w:rPr>
          <w:rFonts w:ascii="Cambria Math" w:hAnsi="Cambria Math" w:cs="Cambria Math"/>
        </w:rPr>
        <w:t>₂</w:t>
      </w:r>
      <w:r w:rsidRPr="00E42498">
        <w:t xml:space="preserve"> removal</w:t>
      </w:r>
      <w:r w:rsidR="004B2017">
        <w:t xml:space="preserve"> and </w:t>
      </w:r>
      <w:r w:rsidR="00FC12F8">
        <w:t>no comparative studies</w:t>
      </w:r>
      <w:r w:rsidR="004B2017">
        <w:t xml:space="preserve"> with NPM </w:t>
      </w:r>
      <w:r w:rsidR="00FC12F8">
        <w:t>have</w:t>
      </w:r>
      <w:r w:rsidR="004B2017">
        <w:t xml:space="preserve"> been found</w:t>
      </w:r>
      <w:r w:rsidRPr="00E42498">
        <w:t xml:space="preserve">. </w:t>
      </w:r>
      <w:r w:rsidR="006B2B8F">
        <w:t>Therefore, t</w:t>
      </w:r>
      <w:r w:rsidRPr="00E42498">
        <w:t xml:space="preserve">his </w:t>
      </w:r>
      <w:r w:rsidR="00924F0F">
        <w:t>work</w:t>
      </w:r>
      <w:r w:rsidR="00924F0F" w:rsidRPr="00E42498">
        <w:t xml:space="preserve"> </w:t>
      </w:r>
      <w:r w:rsidRPr="00E42498">
        <w:t xml:space="preserve">aims </w:t>
      </w:r>
      <w:r w:rsidR="0058386B">
        <w:t>at</w:t>
      </w:r>
      <w:r w:rsidR="0058386B" w:rsidRPr="00E42498">
        <w:t xml:space="preserve"> </w:t>
      </w:r>
      <w:r w:rsidRPr="00E42498">
        <w:t>present</w:t>
      </w:r>
      <w:r w:rsidR="0058386B">
        <w:t>ing</w:t>
      </w:r>
      <w:r w:rsidRPr="00E42498">
        <w:t xml:space="preserve"> a detailed comparison of Cyrene and NMP by analyzing </w:t>
      </w:r>
      <w:r w:rsidR="00DE623F">
        <w:t xml:space="preserve">their </w:t>
      </w:r>
      <w:r w:rsidRPr="00E42498">
        <w:t xml:space="preserve">physical properties, toxicological indices and solubility data to evaluate </w:t>
      </w:r>
      <w:r w:rsidR="00DE623F">
        <w:t xml:space="preserve">the </w:t>
      </w:r>
      <w:r w:rsidRPr="00E42498">
        <w:t>Cyrene viability as a bio-based</w:t>
      </w:r>
      <w:r w:rsidR="003E71D8">
        <w:t xml:space="preserve"> </w:t>
      </w:r>
      <w:r w:rsidRPr="00E42498">
        <w:t xml:space="preserve">solvent </w:t>
      </w:r>
      <w:r w:rsidR="00DE623F">
        <w:t xml:space="preserve">alternative to NPM </w:t>
      </w:r>
      <w:r w:rsidRPr="00E42498">
        <w:t xml:space="preserve">for </w:t>
      </w:r>
      <w:r w:rsidR="00DE623F">
        <w:t>the CO</w:t>
      </w:r>
      <w:r w:rsidR="00DE623F" w:rsidRPr="00B247B5">
        <w:rPr>
          <w:vertAlign w:val="subscript"/>
        </w:rPr>
        <w:t>2</w:t>
      </w:r>
      <w:r w:rsidR="00DE623F">
        <w:t xml:space="preserve"> </w:t>
      </w:r>
      <w:r w:rsidRPr="00E42498">
        <w:t>physical absorption process.</w:t>
      </w:r>
    </w:p>
    <w:p w14:paraId="5741900F" w14:textId="2CA583FC" w:rsidR="00453E24" w:rsidRDefault="001F24FD" w:rsidP="00453E24">
      <w:pPr>
        <w:pStyle w:val="CETHeading1"/>
      </w:pPr>
      <w:r>
        <w:t>Comparison</w:t>
      </w:r>
    </w:p>
    <w:p w14:paraId="3D77BAFD" w14:textId="45BE96B0" w:rsidR="002E6896" w:rsidRDefault="002E6896" w:rsidP="002E6896">
      <w:pPr>
        <w:pStyle w:val="CETBodytext"/>
      </w:pPr>
      <w:r w:rsidRPr="005E5B34">
        <w:rPr>
          <w:lang w:val="en-GB"/>
        </w:rPr>
        <w:t xml:space="preserve">The main similarity between </w:t>
      </w:r>
      <w:r w:rsidR="00AE2DF7">
        <w:rPr>
          <w:lang w:val="en-GB"/>
        </w:rPr>
        <w:t>Cyrene and NMP</w:t>
      </w:r>
      <w:r w:rsidRPr="005E5B34">
        <w:rPr>
          <w:lang w:val="en-GB"/>
        </w:rPr>
        <w:t xml:space="preserve"> </w:t>
      </w:r>
      <w:r w:rsidR="004E18EA">
        <w:rPr>
          <w:lang w:val="en-GB"/>
        </w:rPr>
        <w:t>c</w:t>
      </w:r>
      <w:r w:rsidR="004E18EA" w:rsidRPr="004E18EA">
        <w:rPr>
          <w:lang w:val="en-GB"/>
        </w:rPr>
        <w:t>oncern their characteristic</w:t>
      </w:r>
      <w:r w:rsidR="00822A41">
        <w:rPr>
          <w:lang w:val="en-GB"/>
        </w:rPr>
        <w:t>s</w:t>
      </w:r>
      <w:r w:rsidR="004E18EA" w:rsidRPr="004E18EA">
        <w:rPr>
          <w:lang w:val="en-GB"/>
        </w:rPr>
        <w:t xml:space="preserve"> in being </w:t>
      </w:r>
      <w:r w:rsidRPr="005E5B34">
        <w:rPr>
          <w:lang w:val="en-GB"/>
        </w:rPr>
        <w:t>dipolar aprotic solvents, as proved by the values of both Kamlet–Abboud–Taft</w:t>
      </w:r>
      <w:r>
        <w:rPr>
          <w:lang w:val="en-GB"/>
        </w:rPr>
        <w:t xml:space="preserve"> (KAT)</w:t>
      </w:r>
      <w:r w:rsidRPr="005E5B34">
        <w:rPr>
          <w:lang w:val="en-GB"/>
        </w:rPr>
        <w:t xml:space="preserve"> and Hansen </w:t>
      </w:r>
      <w:r>
        <w:rPr>
          <w:lang w:val="en-GB"/>
        </w:rPr>
        <w:t>solubility</w:t>
      </w:r>
      <w:r w:rsidRPr="005E5B34">
        <w:rPr>
          <w:lang w:val="en-GB"/>
        </w:rPr>
        <w:t xml:space="preserve"> parameter</w:t>
      </w:r>
      <w:r>
        <w:rPr>
          <w:lang w:val="en-GB"/>
        </w:rPr>
        <w:t>s (HSPs)</w:t>
      </w:r>
      <w:r w:rsidRPr="005E5B34">
        <w:rPr>
          <w:lang w:val="en-GB"/>
        </w:rPr>
        <w:t>.</w:t>
      </w:r>
    </w:p>
    <w:p w14:paraId="02BF1224" w14:textId="2849D2DB" w:rsidR="0044604F" w:rsidRDefault="00504C52" w:rsidP="001C63F4">
      <w:pPr>
        <w:pStyle w:val="CETBodytext"/>
        <w:rPr>
          <w:lang w:val="en-GB"/>
        </w:rPr>
      </w:pPr>
      <w:r>
        <w:rPr>
          <w:lang w:val="en-GB"/>
        </w:rPr>
        <w:t xml:space="preserve">The KAT parameters, also </w:t>
      </w:r>
      <w:r w:rsidR="00E910CB">
        <w:rPr>
          <w:lang w:val="en-GB"/>
        </w:rPr>
        <w:t>known as</w:t>
      </w:r>
      <w:r>
        <w:rPr>
          <w:lang w:val="en-GB"/>
        </w:rPr>
        <w:t xml:space="preserve"> </w:t>
      </w:r>
      <w:r w:rsidRPr="00E37FB5">
        <w:rPr>
          <w:lang w:val="en-GB"/>
        </w:rPr>
        <w:t>solvatochromic parameters</w:t>
      </w:r>
      <w:r>
        <w:rPr>
          <w:lang w:val="en-GB"/>
        </w:rPr>
        <w:t>,</w:t>
      </w:r>
      <w:r w:rsidR="00652765">
        <w:rPr>
          <w:lang w:val="en-GB"/>
        </w:rPr>
        <w:t xml:space="preserve"> have been developed</w:t>
      </w:r>
      <w:r w:rsidR="00453CB6">
        <w:rPr>
          <w:lang w:val="en-GB"/>
        </w:rPr>
        <w:t xml:space="preserve"> by </w:t>
      </w:r>
      <w:r w:rsidR="006A4BC7">
        <w:rPr>
          <w:lang w:val="en-GB"/>
        </w:rPr>
        <w:t xml:space="preserve">M.J. Kamlet, J.L.M. Abboud and R.W. Taft </w:t>
      </w:r>
      <w:r w:rsidR="00D9069A">
        <w:rPr>
          <w:lang w:val="en-GB"/>
        </w:rPr>
        <w:fldChar w:fldCharType="begin">
          <w:fldData xml:space="preserve">PEVuZE5vdGU+PENpdGU+PEF1dGhvcj5LYW1sZXQ8L0F1dGhvcj48WWVhcj4xOTgxPC9ZZWFyPjxS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</w:fldData>
        </w:fldChar>
      </w:r>
      <w:r w:rsidR="00276BB4">
        <w:rPr>
          <w:lang w:val="en-GB"/>
        </w:rPr>
        <w:instrText xml:space="preserve"> ADDIN EN.CITE </w:instrText>
      </w:r>
      <w:r w:rsidR="00276BB4">
        <w:rPr>
          <w:lang w:val="en-GB"/>
        </w:rPr>
        <w:fldChar w:fldCharType="begin">
          <w:fldData xml:space="preserve">PEVuZE5vdGU+PENpdGU+PEF1dGhvcj5LYW1sZXQ8L0F1dGhvcj48WWVhcj4xOTgxPC9ZZWFyPjxS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</w:fldData>
        </w:fldChar>
      </w:r>
      <w:r w:rsidR="00276BB4">
        <w:rPr>
          <w:lang w:val="en-GB"/>
        </w:rPr>
        <w:instrText xml:space="preserve"> ADDIN EN.CITE.DATA </w:instrText>
      </w:r>
      <w:r w:rsidR="00276BB4">
        <w:rPr>
          <w:lang w:val="en-GB"/>
        </w:rPr>
      </w:r>
      <w:r w:rsidR="00276BB4">
        <w:rPr>
          <w:lang w:val="en-GB"/>
        </w:rPr>
        <w:fldChar w:fldCharType="end"/>
      </w:r>
      <w:r w:rsidR="00D9069A">
        <w:rPr>
          <w:lang w:val="en-GB"/>
        </w:rPr>
      </w:r>
      <w:r w:rsidR="00D9069A">
        <w:rPr>
          <w:lang w:val="en-GB"/>
        </w:rPr>
        <w:fldChar w:fldCharType="separate"/>
      </w:r>
      <w:r w:rsidR="00276BB4">
        <w:rPr>
          <w:noProof/>
          <w:lang w:val="en-GB"/>
        </w:rPr>
        <w:t>(Kamlet and Taft, 1976; Kamlet et al., 1981)</w:t>
      </w:r>
      <w:r w:rsidR="00D9069A">
        <w:rPr>
          <w:lang w:val="en-GB"/>
        </w:rPr>
        <w:fldChar w:fldCharType="end"/>
      </w:r>
      <w:r w:rsidR="00652765">
        <w:rPr>
          <w:lang w:val="en-GB"/>
        </w:rPr>
        <w:t xml:space="preserve"> to describe the </w:t>
      </w:r>
      <w:r w:rsidR="00652765" w:rsidRPr="00652765">
        <w:t>attractive solute</w:t>
      </w:r>
      <w:r w:rsidR="00652765">
        <w:t>-</w:t>
      </w:r>
      <w:r w:rsidR="00652765" w:rsidRPr="00652765">
        <w:t>solvent</w:t>
      </w:r>
      <w:r w:rsidR="00652765">
        <w:t xml:space="preserve"> </w:t>
      </w:r>
      <w:r w:rsidR="00652765" w:rsidRPr="00652765">
        <w:t>interactions</w:t>
      </w:r>
      <w:r w:rsidR="00763DF6">
        <w:rPr>
          <w:lang w:val="en-GB"/>
        </w:rPr>
        <w:t xml:space="preserve"> </w:t>
      </w:r>
      <w:r w:rsidR="006F2902">
        <w:rPr>
          <w:lang w:val="en-GB"/>
        </w:rPr>
        <w:t xml:space="preserve">and they are quantitatively measured by three parameters: </w:t>
      </w:r>
      <w:r w:rsidR="006F2902" w:rsidRPr="007C30F4">
        <w:rPr>
          <w:rFonts w:cs="Arial"/>
          <w:iCs/>
          <w:lang w:val="en-GB"/>
        </w:rPr>
        <w:t>α</w:t>
      </w:r>
      <w:r w:rsidR="006F2902" w:rsidRPr="007C30F4">
        <w:rPr>
          <w:lang w:val="en-GB"/>
        </w:rPr>
        <w:t xml:space="preserve">, </w:t>
      </w:r>
      <w:r w:rsidR="006F2902" w:rsidRPr="007C30F4">
        <w:rPr>
          <w:rFonts w:cs="Arial"/>
          <w:iCs/>
          <w:lang w:val="en-GB"/>
        </w:rPr>
        <w:t>β</w:t>
      </w:r>
      <w:r w:rsidR="006F2902" w:rsidRPr="007C30F4">
        <w:rPr>
          <w:lang w:val="en-GB"/>
        </w:rPr>
        <w:t xml:space="preserve"> and </w:t>
      </w:r>
      <w:r w:rsidR="006F2902" w:rsidRPr="007C30F4">
        <w:rPr>
          <w:rFonts w:cs="Arial"/>
          <w:iCs/>
          <w:lang w:val="en-GB"/>
        </w:rPr>
        <w:t>π</w:t>
      </w:r>
      <w:r w:rsidR="005A01C2" w:rsidRPr="007C30F4">
        <w:rPr>
          <w:rFonts w:cs="Arial"/>
          <w:iCs/>
          <w:lang w:val="en-GB"/>
        </w:rPr>
        <w:t>*</w:t>
      </w:r>
      <w:r w:rsidR="0076031A" w:rsidRPr="007C30F4">
        <w:rPr>
          <w:rFonts w:cs="Arial"/>
          <w:lang w:val="en-GB"/>
        </w:rPr>
        <w:t xml:space="preserve"> </w:t>
      </w:r>
      <w:r w:rsidR="0076031A">
        <w:rPr>
          <w:rFonts w:cs="Arial"/>
          <w:lang w:val="en-GB"/>
        </w:rPr>
        <w:fldChar w:fldCharType="begin"/>
      </w:r>
      <w:r w:rsidR="007C5737">
        <w:rPr>
          <w:rFonts w:cs="Arial"/>
          <w:lang w:val="en-GB"/>
        </w:rPr>
        <w:instrText xml:space="preserve"> ADDIN EN.CITE &lt;EndNote&gt;&lt;Cite&gt;&lt;Author&gt;Taft&lt;/Author&gt;&lt;Year&gt;1985&lt;/Year&gt;&lt;RecNum&gt;244&lt;/RecNum&gt;&lt;DisplayText&gt;(Taft et al., 1985)&lt;/DisplayText&gt;&lt;record&gt;&lt;rec-number&gt;244&lt;/rec-number&gt;&lt;foreign-keys&gt;&lt;key app="EN" db-id="dx5wwtzs652saherdptxawzqdrxf255xasv0" timestamp="1730798679"&gt;244&lt;/key&gt;&lt;/foreign-keys&gt;&lt;ref-type name="Journal Article"&gt;17&lt;/ref-type&gt;&lt;contributors&gt;&lt;authors&gt;&lt;author&gt;Taft, Robert W&lt;/author&gt;&lt;author&gt;Abboud, Jose-Luis M&lt;/author&gt;&lt;author&gt;Kamlet, Mortimer J&lt;/author&gt;&lt;author&gt;Abraham, Michael H&lt;/author&gt;&lt;/authors&gt;&lt;/contributors&gt;&lt;titles&gt;&lt;title&gt;Linear solvation energy relations&lt;/title&gt;&lt;secondary-title&gt;Journal of Solution Chemistry&lt;/secondary-title&gt;&lt;/titles&gt;&lt;periodical&gt;&lt;full-title&gt;Journal of Solution Chemistry&lt;/full-title&gt;&lt;/periodical&gt;&lt;pages&gt;153-186&lt;/pages&gt;&lt;volume&gt;14&lt;/volume&gt;&lt;dates&gt;&lt;year&gt;1985&lt;/year&gt;&lt;/dates&gt;&lt;isbn&gt;0095-9782&lt;/isbn&gt;&lt;urls&gt;&lt;/urls&gt;&lt;/record&gt;&lt;/Cite&gt;&lt;/EndNote&gt;</w:instrText>
      </w:r>
      <w:r w:rsidR="0076031A">
        <w:rPr>
          <w:rFonts w:cs="Arial"/>
          <w:lang w:val="en-GB"/>
        </w:rPr>
        <w:fldChar w:fldCharType="separate"/>
      </w:r>
      <w:r w:rsidR="007C5737">
        <w:rPr>
          <w:rFonts w:cs="Arial"/>
          <w:noProof/>
          <w:lang w:val="en-GB"/>
        </w:rPr>
        <w:t>(Taft et al., 1985)</w:t>
      </w:r>
      <w:r w:rsidR="0076031A">
        <w:rPr>
          <w:rFonts w:cs="Arial"/>
          <w:lang w:val="en-GB"/>
        </w:rPr>
        <w:fldChar w:fldCharType="end"/>
      </w:r>
      <w:r w:rsidR="006F2902">
        <w:rPr>
          <w:lang w:val="en-GB"/>
        </w:rPr>
        <w:t>.</w:t>
      </w:r>
      <w:r w:rsidR="001C63F4">
        <w:rPr>
          <w:lang w:val="en-GB"/>
        </w:rPr>
        <w:t xml:space="preserve"> </w:t>
      </w:r>
      <w:r w:rsidR="00E910CB">
        <w:rPr>
          <w:lang w:val="en-GB"/>
        </w:rPr>
        <w:t>Specifically,</w:t>
      </w:r>
      <w:r w:rsidR="001C63F4">
        <w:rPr>
          <w:lang w:val="en-GB"/>
        </w:rPr>
        <w:t xml:space="preserve"> </w:t>
      </w:r>
      <w:r w:rsidR="0044604F" w:rsidRPr="00E015BF">
        <w:rPr>
          <w:rFonts w:cs="Arial"/>
          <w:i/>
          <w:iCs/>
          <w:lang w:val="en-GB"/>
        </w:rPr>
        <w:t>α</w:t>
      </w:r>
      <w:r w:rsidR="006F2902">
        <w:rPr>
          <w:rFonts w:cs="Arial"/>
          <w:lang w:val="en-GB"/>
        </w:rPr>
        <w:t xml:space="preserve"> is</w:t>
      </w:r>
      <w:r w:rsidR="0044604F">
        <w:rPr>
          <w:rFonts w:cs="Arial"/>
          <w:lang w:val="en-GB"/>
        </w:rPr>
        <w:t xml:space="preserve"> </w:t>
      </w:r>
      <w:r w:rsidR="006F2902">
        <w:t xml:space="preserve">a </w:t>
      </w:r>
      <w:r w:rsidR="0044604F" w:rsidRPr="00E37FB5">
        <w:t>measure of the hydrogen-bonding capabilities of a solvent's hydrogen bond donor acidity</w:t>
      </w:r>
      <w:r w:rsidR="001C63F4">
        <w:t>;</w:t>
      </w:r>
      <w:r w:rsidR="001C63F4">
        <w:rPr>
          <w:lang w:val="en-GB"/>
        </w:rPr>
        <w:t xml:space="preserve"> </w:t>
      </w:r>
      <w:r w:rsidR="0076031A" w:rsidRPr="00E015BF">
        <w:rPr>
          <w:rFonts w:cs="Arial"/>
          <w:i/>
          <w:iCs/>
          <w:lang w:val="en-GB"/>
        </w:rPr>
        <w:t>β</w:t>
      </w:r>
      <w:r w:rsidR="006F2902">
        <w:rPr>
          <w:rFonts w:cs="Arial"/>
          <w:lang w:val="en-GB"/>
        </w:rPr>
        <w:t xml:space="preserve"> is a </w:t>
      </w:r>
      <w:r w:rsidR="0044604F" w:rsidRPr="00E37FB5">
        <w:t>measure of the hydrogen-bonding capabilities of a solvent's</w:t>
      </w:r>
      <w:r w:rsidR="0044604F">
        <w:t xml:space="preserve"> </w:t>
      </w:r>
      <w:r w:rsidR="0044604F" w:rsidRPr="00E37FB5">
        <w:t>hydrogen</w:t>
      </w:r>
      <w:r w:rsidR="0044604F">
        <w:t xml:space="preserve"> </w:t>
      </w:r>
      <w:r w:rsidR="0044604F" w:rsidRPr="00E37FB5">
        <w:t>bond acceptor basicity</w:t>
      </w:r>
      <w:r w:rsidR="001C63F4">
        <w:t>;</w:t>
      </w:r>
      <w:r w:rsidR="001C63F4">
        <w:rPr>
          <w:lang w:val="en-GB"/>
        </w:rPr>
        <w:t xml:space="preserve"> </w:t>
      </w:r>
      <w:r w:rsidR="001C63F4" w:rsidRPr="00E015BF">
        <w:rPr>
          <w:rFonts w:cs="Arial"/>
          <w:i/>
          <w:iCs/>
          <w:lang w:val="en-GB"/>
        </w:rPr>
        <w:t>π*</w:t>
      </w:r>
      <w:r w:rsidR="0076031A">
        <w:rPr>
          <w:rFonts w:cs="Arial"/>
          <w:lang w:val="en-GB"/>
        </w:rPr>
        <w:t xml:space="preserve"> is</w:t>
      </w:r>
      <w:r w:rsidR="003C566E">
        <w:rPr>
          <w:rFonts w:cs="Arial"/>
          <w:lang w:val="en-GB"/>
        </w:rPr>
        <w:t xml:space="preserve"> a </w:t>
      </w:r>
      <w:r w:rsidR="00763DF6" w:rsidRPr="00E37FB5">
        <w:t>measure of the solvent's dipolarity/polarizability</w:t>
      </w:r>
      <w:r w:rsidR="00763DF6">
        <w:t xml:space="preserve"> </w:t>
      </w:r>
      <w:r w:rsidR="00763DF6">
        <w:fldChar w:fldCharType="begin"/>
      </w:r>
      <w:r w:rsidR="00276BB4">
        <w:instrText xml:space="preserve"> ADDIN EN.CITE &lt;EndNote&gt;&lt;Cite&gt;&lt;Author&gt;Taft&lt;/Author&gt;&lt;Year&gt;1985&lt;/Year&gt;&lt;RecNum&gt;244&lt;/RecNum&gt;&lt;DisplayText&gt;(Taft et al., 1985; Ranjkesh et al., 2018)&lt;/DisplayText&gt;&lt;record&gt;&lt;rec-number&gt;244&lt;/rec-number&gt;&lt;foreign-keys&gt;&lt;key app="EN" db-id="dx5wwtzs652saherdptxawzqdrxf255xasv0" timestamp="1730798679"&gt;244&lt;/key&gt;&lt;/foreign-keys&gt;&lt;ref-type name="Journal Article"&gt;17&lt;/ref-type&gt;&lt;contributors&gt;&lt;authors&gt;&lt;author&gt;Taft, Robert W&lt;/author&gt;&lt;author&gt;Abboud, Jose-Luis M&lt;/author&gt;&lt;author&gt;Kamlet, Mortimer J&lt;/author&gt;&lt;author&gt;Abraham, Michael H&lt;/author&gt;&lt;/authors&gt;&lt;/contributors&gt;&lt;titles&gt;&lt;title&gt;Linear solvation energy relations&lt;/title&gt;&lt;secondary-title&gt;Journal of Solution Chemistry&lt;/secondary-title&gt;&lt;/titles&gt;&lt;periodical&gt;&lt;full-title&gt;Journal of Solution Chemistry&lt;/full-title&gt;&lt;/periodical&gt;&lt;pages&gt;153-186&lt;/pages&gt;&lt;volume&gt;14&lt;/volume&gt;&lt;dates&gt;&lt;year&gt;1985&lt;/year&gt;&lt;/dates&gt;&lt;isbn&gt;0095-9782&lt;/isbn&gt;&lt;urls&gt;&lt;/urls&gt;&lt;/record&gt;&lt;/Cite&gt;&lt;Cite&gt;&lt;Author&gt;Ranjkesh&lt;/Author&gt;&lt;Year&gt;2018&lt;/Year&gt;&lt;RecNum&gt;245&lt;/RecNum&gt;&lt;record&gt;&lt;rec-number&gt;245&lt;/rec-number&gt;&lt;foreign-keys&gt;&lt;key app="EN" db-id="dx5wwtzs652saherdptxawzqdrxf255xasv0" timestamp="1730798844"&gt;245&lt;/key&gt;&lt;/foreign-keys&gt;&lt;ref-type name="Journal Article"&gt;17&lt;/ref-type&gt;&lt;contributors&gt;&lt;authors&gt;&lt;author&gt;Ranjkesh, Amid&lt;/author&gt;&lt;author&gt;Parast, Meisam Hagh&lt;/author&gt;&lt;author&gt;Strzeżysz, Olga&lt;/author&gt;&lt;author&gt;Zakerhamidi, Mohammad Sadegh&lt;/author&gt;&lt;author&gt;Yoon, Tae-Hoon&lt;/author&gt;&lt;/authors&gt;&lt;/contributors&gt;&lt;titles&gt;&lt;title&gt;New linear solvation energy relationships for empirical solvent scales using the Kamlet–Abboud–Taft parameter sets in nematic liquid crystals&lt;/title&gt;&lt;secondary-title&gt;RSC advances&lt;/secondary-title&gt;&lt;/titles&gt;&lt;periodical&gt;&lt;full-title&gt;RSC advances&lt;/full-title&gt;&lt;/periodical&gt;&lt;pages&gt;22835-22845&lt;/pages&gt;&lt;volume&gt;8&lt;/volume&gt;&lt;number&gt;40&lt;/number&gt;&lt;dates&gt;&lt;year&gt;2018&lt;/year&gt;&lt;/dates&gt;&lt;urls&gt;&lt;/urls&gt;&lt;/record&gt;&lt;/Cite&gt;&lt;/EndNote&gt;</w:instrText>
      </w:r>
      <w:r w:rsidR="00763DF6">
        <w:fldChar w:fldCharType="separate"/>
      </w:r>
      <w:r w:rsidR="00276BB4">
        <w:rPr>
          <w:noProof/>
        </w:rPr>
        <w:t>(Taft et al., 1985; Ranjkesh et al., 2018)</w:t>
      </w:r>
      <w:r w:rsidR="00763DF6">
        <w:fldChar w:fldCharType="end"/>
      </w:r>
      <w:r w:rsidR="00763DF6">
        <w:t>.</w:t>
      </w:r>
    </w:p>
    <w:p w14:paraId="3B3AEBC7" w14:textId="228ED9BB" w:rsidR="00B53B81" w:rsidRDefault="00130408" w:rsidP="00B50DDF">
      <w:pPr>
        <w:pStyle w:val="CETBodytext"/>
      </w:pPr>
      <w:r>
        <w:rPr>
          <w:lang w:val="en-GB"/>
        </w:rPr>
        <w:t>The Ha</w:t>
      </w:r>
      <w:r w:rsidRPr="007C30F4">
        <w:rPr>
          <w:lang w:val="en-GB"/>
        </w:rPr>
        <w:t>nsen solubility parameters</w:t>
      </w:r>
      <w:r w:rsidR="002279B8" w:rsidRPr="007C30F4">
        <w:rPr>
          <w:lang w:val="en-GB"/>
        </w:rPr>
        <w:t xml:space="preserve"> (HSPs)</w:t>
      </w:r>
      <w:r w:rsidR="004F27FF" w:rsidRPr="007C30F4">
        <w:rPr>
          <w:lang w:val="en-GB"/>
        </w:rPr>
        <w:t xml:space="preserve">, developed by </w:t>
      </w:r>
      <w:r w:rsidRPr="007C30F4">
        <w:rPr>
          <w:lang w:val="en-GB"/>
        </w:rPr>
        <w:t>Charles Hansen</w:t>
      </w:r>
      <w:r w:rsidR="004F27FF" w:rsidRPr="007C30F4">
        <w:rPr>
          <w:lang w:val="en-GB"/>
        </w:rPr>
        <w:t xml:space="preserve"> in 1967,</w:t>
      </w:r>
      <w:r w:rsidRPr="007C30F4">
        <w:rPr>
          <w:lang w:val="en-GB"/>
        </w:rPr>
        <w:t xml:space="preserve"> </w:t>
      </w:r>
      <w:r w:rsidR="00100009" w:rsidRPr="007C30F4">
        <w:rPr>
          <w:lang w:val="en-GB"/>
        </w:rPr>
        <w:t>predict molecular affinities, solubility and solubility-related phenomena</w:t>
      </w:r>
      <w:r w:rsidR="00B53B81" w:rsidRPr="007C30F4">
        <w:rPr>
          <w:lang w:val="en-GB"/>
        </w:rPr>
        <w:t xml:space="preserve"> </w:t>
      </w:r>
      <w:r w:rsidR="001C63F4" w:rsidRPr="007C30F4">
        <w:rPr>
          <w:lang w:val="en-GB"/>
        </w:rPr>
        <w:t xml:space="preserve">by assuming </w:t>
      </w:r>
      <w:r w:rsidR="002279B8" w:rsidRPr="007C30F4">
        <w:rPr>
          <w:lang w:val="en-GB"/>
        </w:rPr>
        <w:t xml:space="preserve">that </w:t>
      </w:r>
      <w:r w:rsidR="001C63F4" w:rsidRPr="007C30F4">
        <w:rPr>
          <w:lang w:val="en-GB"/>
        </w:rPr>
        <w:t xml:space="preserve">the </w:t>
      </w:r>
      <w:r w:rsidR="002279B8" w:rsidRPr="007C30F4">
        <w:rPr>
          <w:lang w:val="en-GB"/>
        </w:rPr>
        <w:t>solubility depends on three types of molecular interactions:</w:t>
      </w:r>
      <w:r w:rsidR="0054329D" w:rsidRPr="007C30F4">
        <w:rPr>
          <w:lang w:val="en-GB"/>
        </w:rPr>
        <w:t xml:space="preserve"> </w:t>
      </w:r>
      <w:r w:rsidR="00076B35" w:rsidRPr="007C30F4">
        <w:rPr>
          <w:lang w:val="en-GB"/>
        </w:rPr>
        <w:t>dispersion forces</w:t>
      </w:r>
      <w:r w:rsidR="003C7F62" w:rsidRPr="007C30F4">
        <w:rPr>
          <w:lang w:val="en-GB"/>
        </w:rPr>
        <w:t xml:space="preserve"> (</w:t>
      </w:r>
      <w:r w:rsidR="003C7F62" w:rsidRPr="007C30F4">
        <w:rPr>
          <w:rFonts w:cs="Arial"/>
          <w:iCs/>
          <w:lang w:val="en-GB"/>
        </w:rPr>
        <w:t>δ</w:t>
      </w:r>
      <w:r w:rsidR="003C7F62" w:rsidRPr="007C30F4">
        <w:rPr>
          <w:iCs/>
          <w:vertAlign w:val="subscript"/>
          <w:lang w:val="en-GB"/>
        </w:rPr>
        <w:t>d</w:t>
      </w:r>
      <w:r w:rsidR="003C7F62" w:rsidRPr="007C30F4">
        <w:rPr>
          <w:lang w:val="en-GB"/>
        </w:rPr>
        <w:t>)</w:t>
      </w:r>
      <w:r w:rsidR="00076B35" w:rsidRPr="007C30F4">
        <w:rPr>
          <w:lang w:val="en-GB"/>
        </w:rPr>
        <w:t xml:space="preserve">, polar forces </w:t>
      </w:r>
      <w:r w:rsidR="003C7F62" w:rsidRPr="007C30F4">
        <w:rPr>
          <w:lang w:val="en-GB"/>
        </w:rPr>
        <w:t>(</w:t>
      </w:r>
      <w:r w:rsidR="003C7F62" w:rsidRPr="007C30F4">
        <w:rPr>
          <w:rFonts w:cs="Arial"/>
          <w:iCs/>
          <w:lang w:val="en-GB"/>
        </w:rPr>
        <w:t>δ</w:t>
      </w:r>
      <w:r w:rsidR="003C7F62" w:rsidRPr="007C30F4">
        <w:rPr>
          <w:iCs/>
          <w:vertAlign w:val="subscript"/>
          <w:lang w:val="en-GB"/>
        </w:rPr>
        <w:t>p</w:t>
      </w:r>
      <w:r w:rsidR="003C7F62" w:rsidRPr="007C30F4">
        <w:rPr>
          <w:lang w:val="en-GB"/>
        </w:rPr>
        <w:t xml:space="preserve">) </w:t>
      </w:r>
      <w:r w:rsidR="00076B35" w:rsidRPr="007C30F4">
        <w:rPr>
          <w:lang w:val="en-GB"/>
        </w:rPr>
        <w:t>and hydrogen bonding</w:t>
      </w:r>
      <w:r w:rsidR="003C7F62" w:rsidRPr="007C30F4">
        <w:rPr>
          <w:lang w:val="en-GB"/>
        </w:rPr>
        <w:t xml:space="preserve"> (</w:t>
      </w:r>
      <w:r w:rsidR="003C7F62" w:rsidRPr="007C30F4">
        <w:rPr>
          <w:rFonts w:cs="Arial"/>
          <w:iCs/>
          <w:lang w:val="en-GB"/>
        </w:rPr>
        <w:t>δ</w:t>
      </w:r>
      <w:r w:rsidR="003C7F62" w:rsidRPr="007C30F4">
        <w:rPr>
          <w:iCs/>
          <w:vertAlign w:val="subscript"/>
          <w:lang w:val="en-GB"/>
        </w:rPr>
        <w:t>h</w:t>
      </w:r>
      <w:r w:rsidR="003C7F62" w:rsidRPr="007C30F4">
        <w:rPr>
          <w:lang w:val="en-GB"/>
        </w:rPr>
        <w:t xml:space="preserve">) </w:t>
      </w:r>
      <w:r w:rsidR="00F145F7" w:rsidRPr="007C30F4">
        <w:fldChar w:fldCharType="begin"/>
      </w:r>
      <w:r w:rsidR="007C5737" w:rsidRPr="007C30F4">
        <w:rPr>
          <w:lang w:val="en-GB"/>
        </w:rPr>
        <w:instrText xml:space="preserve"> ADDIN EN.CITE &lt;EndNote&gt;&lt;Cite&gt;&lt;Author&gt;Hansen&lt;/Author&gt;&lt;Year&gt;1967&lt;/Year&gt;&lt;RecNum&gt;246&lt;/RecNum&gt;&lt;DisplayText&gt;(Hansen, 1967)&lt;/DisplayText&gt;&lt;record&gt;&lt;rec-number&gt;246&lt;/rec-number&gt;&lt;foreign-keys&gt;&lt;key app="EN" db-id="dx5wwtzs652saherdptxawzqdrxf255xasv0" timestamp="1730881693"&gt;246&lt;/key&gt;&lt;/foreign-keys&gt;&lt;ref-type name="Journal Article"&gt;17&lt;/ref-type&gt;&lt;contributors&gt;&lt;authors&gt;&lt;author&gt;Hansen, Charles M&lt;/author&gt;&lt;/authors&gt;&lt;/contributors&gt;&lt;titles&gt;&lt;title&gt;The three dimensional solubility parameter&lt;/title&gt;&lt;secondary-title&gt;Danish Technical: Copenhagen&lt;/secondary-title&gt;&lt;/titles&gt;&lt;periodical&gt;&lt;full-title&gt;Danish Technical: Copenhagen&lt;/full-title&gt;&lt;/periodical&gt;&lt;volume&gt;14&lt;/volume&gt;&lt;dates&gt;&lt;year&gt;1967&lt;/year&gt;&lt;/dates&gt;&lt;urls&gt;&lt;/urls&gt;&lt;/record&gt;&lt;/Cite&gt;&lt;/EndNote&gt;</w:instrText>
      </w:r>
      <w:r w:rsidR="00F145F7" w:rsidRPr="007C30F4">
        <w:fldChar w:fldCharType="separate"/>
      </w:r>
      <w:r w:rsidR="007C5737" w:rsidRPr="007C30F4">
        <w:rPr>
          <w:noProof/>
          <w:lang w:val="en-GB"/>
        </w:rPr>
        <w:t>(Hansen, 1967)</w:t>
      </w:r>
      <w:r w:rsidR="00F145F7" w:rsidRPr="007C30F4">
        <w:fldChar w:fldCharType="end"/>
      </w:r>
      <w:r w:rsidR="00076B35" w:rsidRPr="007C30F4">
        <w:rPr>
          <w:lang w:val="en-GB"/>
        </w:rPr>
        <w:t>.</w:t>
      </w:r>
      <w:r w:rsidR="001C63F4" w:rsidRPr="007C30F4">
        <w:rPr>
          <w:lang w:val="en-GB"/>
        </w:rPr>
        <w:t xml:space="preserve"> </w:t>
      </w:r>
      <w:r w:rsidR="00453CB6" w:rsidRPr="007C30F4">
        <w:rPr>
          <w:lang w:val="en-GB"/>
        </w:rPr>
        <w:t>The d</w:t>
      </w:r>
      <w:r w:rsidR="00B87A98" w:rsidRPr="007C30F4">
        <w:rPr>
          <w:lang w:val="en-GB"/>
        </w:rPr>
        <w:t>i</w:t>
      </w:r>
      <w:r w:rsidR="00076B35" w:rsidRPr="007C30F4">
        <w:rPr>
          <w:lang w:val="en-GB"/>
        </w:rPr>
        <w:t>spersion forces (</w:t>
      </w:r>
      <w:r w:rsidR="00076B35" w:rsidRPr="007C30F4">
        <w:rPr>
          <w:rFonts w:cs="Arial"/>
          <w:iCs/>
          <w:lang w:val="en-GB"/>
        </w:rPr>
        <w:t>δ</w:t>
      </w:r>
      <w:r w:rsidR="00076B35" w:rsidRPr="007C30F4">
        <w:rPr>
          <w:iCs/>
          <w:vertAlign w:val="subscript"/>
          <w:lang w:val="en-GB"/>
        </w:rPr>
        <w:t>d</w:t>
      </w:r>
      <w:r w:rsidR="00076B35" w:rsidRPr="007C30F4">
        <w:rPr>
          <w:lang w:val="en-GB"/>
        </w:rPr>
        <w:t>)</w:t>
      </w:r>
      <w:r w:rsidR="00453CB6" w:rsidRPr="007C30F4">
        <w:rPr>
          <w:lang w:val="en-GB"/>
        </w:rPr>
        <w:t>,</w:t>
      </w:r>
      <w:r w:rsidR="00076B35" w:rsidRPr="007C30F4">
        <w:rPr>
          <w:lang w:val="en-GB"/>
        </w:rPr>
        <w:t xml:space="preserve"> </w:t>
      </w:r>
      <w:r w:rsidR="004F27FF" w:rsidRPr="007C30F4">
        <w:rPr>
          <w:lang w:val="en-GB"/>
        </w:rPr>
        <w:t xml:space="preserve">associated </w:t>
      </w:r>
      <w:r w:rsidR="00453CB6" w:rsidRPr="007C30F4">
        <w:rPr>
          <w:lang w:val="en-GB"/>
        </w:rPr>
        <w:t xml:space="preserve">to </w:t>
      </w:r>
      <w:r w:rsidR="004F27FF" w:rsidRPr="007C30F4">
        <w:rPr>
          <w:lang w:val="en-GB"/>
        </w:rPr>
        <w:t xml:space="preserve">van der Waals interactions, arise from temporary electronic fluctuations and are typical of non-polar interactions </w:t>
      </w:r>
      <w:r w:rsidR="00F145F7" w:rsidRPr="007C30F4">
        <w:fldChar w:fldCharType="begin"/>
      </w:r>
      <w:r w:rsidR="007C5737" w:rsidRPr="007C30F4">
        <w:rPr>
          <w:lang w:val="en-GB"/>
        </w:rPr>
        <w:instrText xml:space="preserve"> ADDIN EN.CITE &lt;EndNote&gt;&lt;Cite&gt;&lt;Author&gt;Hansen&lt;/Author&gt;&lt;Year&gt;2007&lt;/Year&gt;&lt;RecNum&gt;247&lt;/RecNum&gt;&lt;DisplayText&gt;(Hansen, 2007)&lt;/DisplayText&gt;&lt;record&gt;&lt;rec-number&gt;247&lt;/rec-number&gt;&lt;foreign-keys&gt;&lt;key app="EN" db-id="dx5wwtzs652saherdptxawzqdrxf255xasv0" timestamp="1730881694"&gt;247&lt;/key&gt;&lt;/foreign-keys&gt;&lt;ref-type name="Book"&gt;6&lt;/ref-type&gt;&lt;contributors&gt;&lt;authors&gt;&lt;author&gt;Hansen, Charles M&lt;/author&gt;&lt;/authors&gt;&lt;/contributors&gt;&lt;titles&gt;&lt;title&gt;Hansen solubility parameters: a user&amp;apos;s handbook&lt;/title&gt;&lt;/titles&gt;&lt;dates&gt;&lt;year&gt;2007&lt;/year&gt;&lt;/dates&gt;&lt;publisher&gt;CRC press&lt;/publisher&gt;&lt;isbn&gt;0429127529&lt;/isbn&gt;&lt;urls&gt;&lt;/urls&gt;&lt;/record&gt;&lt;/Cite&gt;&lt;/EndNote&gt;</w:instrText>
      </w:r>
      <w:r w:rsidR="00F145F7" w:rsidRPr="007C30F4">
        <w:fldChar w:fldCharType="separate"/>
      </w:r>
      <w:r w:rsidR="007C5737" w:rsidRPr="007C30F4">
        <w:rPr>
          <w:noProof/>
          <w:lang w:val="en-GB"/>
        </w:rPr>
        <w:t>(Hansen, 2007)</w:t>
      </w:r>
      <w:r w:rsidR="00F145F7" w:rsidRPr="007C30F4">
        <w:fldChar w:fldCharType="end"/>
      </w:r>
      <w:r w:rsidR="002279B8" w:rsidRPr="007C30F4">
        <w:rPr>
          <w:lang w:val="en-GB"/>
        </w:rPr>
        <w:t>.</w:t>
      </w:r>
      <w:r w:rsidR="00F145F7" w:rsidRPr="007C30F4">
        <w:rPr>
          <w:lang w:val="en-GB"/>
        </w:rPr>
        <w:t xml:space="preserve"> </w:t>
      </w:r>
      <w:r w:rsidR="00453CB6" w:rsidRPr="007C30F4">
        <w:rPr>
          <w:lang w:val="en-GB"/>
        </w:rPr>
        <w:t>The p</w:t>
      </w:r>
      <w:r w:rsidR="002279B8" w:rsidRPr="007C30F4">
        <w:rPr>
          <w:lang w:val="en-GB"/>
        </w:rPr>
        <w:t xml:space="preserve">olar </w:t>
      </w:r>
      <w:r w:rsidR="00701CBA" w:rsidRPr="007C30F4">
        <w:rPr>
          <w:lang w:val="en-GB"/>
        </w:rPr>
        <w:t>force</w:t>
      </w:r>
      <w:r w:rsidR="002279B8" w:rsidRPr="007C30F4">
        <w:rPr>
          <w:lang w:val="en-GB"/>
        </w:rPr>
        <w:t>s</w:t>
      </w:r>
      <w:r w:rsidR="00B87A98" w:rsidRPr="007C30F4">
        <w:rPr>
          <w:lang w:val="en-GB"/>
        </w:rPr>
        <w:t xml:space="preserve"> </w:t>
      </w:r>
      <w:r w:rsidR="003C7F62" w:rsidRPr="007C30F4">
        <w:rPr>
          <w:lang w:val="en-GB"/>
        </w:rPr>
        <w:t>(</w:t>
      </w:r>
      <w:r w:rsidR="003C7F62" w:rsidRPr="007C30F4">
        <w:rPr>
          <w:rFonts w:cs="Arial"/>
          <w:iCs/>
          <w:lang w:val="en-GB"/>
        </w:rPr>
        <w:t>δ</w:t>
      </w:r>
      <w:r w:rsidR="003C7F62" w:rsidRPr="007C30F4">
        <w:rPr>
          <w:iCs/>
          <w:vertAlign w:val="subscript"/>
          <w:lang w:val="en-GB"/>
        </w:rPr>
        <w:t>p</w:t>
      </w:r>
      <w:r w:rsidR="003C7F62" w:rsidRPr="007C30F4">
        <w:rPr>
          <w:lang w:val="en-GB"/>
        </w:rPr>
        <w:t xml:space="preserve">) </w:t>
      </w:r>
      <w:r w:rsidR="002279B8" w:rsidRPr="007C30F4">
        <w:rPr>
          <w:lang w:val="en-GB"/>
        </w:rPr>
        <w:t>represent the dipole-dipole attraction forces</w:t>
      </w:r>
      <w:r w:rsidR="00453CB6" w:rsidRPr="007C30F4">
        <w:rPr>
          <w:lang w:val="en-GB"/>
        </w:rPr>
        <w:t>,</w:t>
      </w:r>
      <w:r w:rsidR="00F145F7" w:rsidRPr="007C30F4">
        <w:rPr>
          <w:lang w:val="en-GB"/>
        </w:rPr>
        <w:t xml:space="preserve"> </w:t>
      </w:r>
      <w:r w:rsidR="00453CB6" w:rsidRPr="007C30F4">
        <w:rPr>
          <w:lang w:val="en-GB"/>
        </w:rPr>
        <w:t xml:space="preserve">that </w:t>
      </w:r>
      <w:r w:rsidR="002279B8" w:rsidRPr="007C30F4">
        <w:rPr>
          <w:lang w:val="en-GB"/>
        </w:rPr>
        <w:t xml:space="preserve">are more intense than the </w:t>
      </w:r>
      <w:r w:rsidR="00100009" w:rsidRPr="007C30F4">
        <w:rPr>
          <w:lang w:val="en-GB"/>
        </w:rPr>
        <w:t>dispersion</w:t>
      </w:r>
      <w:r w:rsidR="002279B8" w:rsidRPr="007C30F4">
        <w:rPr>
          <w:lang w:val="en-GB"/>
        </w:rPr>
        <w:t xml:space="preserve"> forces</w:t>
      </w:r>
      <w:r w:rsidR="00453CB6" w:rsidRPr="007C30F4">
        <w:rPr>
          <w:lang w:val="en-GB"/>
        </w:rPr>
        <w:t>,</w:t>
      </w:r>
      <w:r w:rsidR="002279B8" w:rsidRPr="007C30F4">
        <w:rPr>
          <w:lang w:val="en-GB"/>
        </w:rPr>
        <w:t xml:space="preserve"> and </w:t>
      </w:r>
      <w:r w:rsidR="00F145F7" w:rsidRPr="007C30F4">
        <w:rPr>
          <w:lang w:val="en-GB"/>
        </w:rPr>
        <w:t>they</w:t>
      </w:r>
      <w:r w:rsidR="0002641B" w:rsidRPr="007C30F4">
        <w:rPr>
          <w:lang w:val="en-GB"/>
        </w:rPr>
        <w:t xml:space="preserve"> are characteristic of molecules </w:t>
      </w:r>
      <w:r w:rsidR="002279B8" w:rsidRPr="007C30F4">
        <w:rPr>
          <w:lang w:val="en-GB"/>
        </w:rPr>
        <w:t>with permanent dipoles</w:t>
      </w:r>
      <w:r w:rsidR="00F145F7" w:rsidRPr="007C30F4">
        <w:rPr>
          <w:lang w:val="en-GB"/>
        </w:rPr>
        <w:t xml:space="preserve"> </w:t>
      </w:r>
      <w:r w:rsidR="00F145F7" w:rsidRPr="007C30F4">
        <w:fldChar w:fldCharType="begin"/>
      </w:r>
      <w:r w:rsidR="007C5737" w:rsidRPr="007C30F4">
        <w:rPr>
          <w:lang w:val="en-GB"/>
        </w:rPr>
        <w:instrText xml:space="preserve"> ADDIN EN.CITE &lt;EndNote&gt;&lt;Cite&gt;&lt;Author&gt;Hansen&lt;/Author&gt;&lt;Year&gt;2007&lt;/Year&gt;&lt;RecNum&gt;247&lt;/RecNum&gt;&lt;DisplayText&gt;(Hansen, 2007)&lt;/DisplayText&gt;&lt;record&gt;&lt;rec-number&gt;247&lt;/rec-number&gt;&lt;foreign-keys&gt;&lt;key app="EN" db-id="dx5wwtzs652saherdptxawzqdrxf255xasv0" timestamp="1730881694"&gt;247&lt;/key&gt;&lt;/foreign-keys&gt;&lt;ref-type name="Book"&gt;6&lt;/ref-type&gt;&lt;contributors&gt;&lt;authors&gt;&lt;author&gt;Hansen, Charles M&lt;/author&gt;&lt;/authors&gt;&lt;/contributors&gt;&lt;titles&gt;&lt;title&gt;Hansen solubility parameters: a user&amp;apos;s handbook&lt;/title&gt;&lt;/titles&gt;&lt;dates&gt;&lt;year&gt;2007&lt;/year&gt;&lt;/dates&gt;&lt;publisher&gt;CRC press&lt;/publisher&gt;&lt;isbn&gt;0429127529&lt;/isbn&gt;&lt;urls&gt;&lt;/urls&gt;&lt;/record&gt;&lt;/Cite&gt;&lt;/EndNote&gt;</w:instrText>
      </w:r>
      <w:r w:rsidR="00F145F7" w:rsidRPr="007C30F4">
        <w:fldChar w:fldCharType="separate"/>
      </w:r>
      <w:r w:rsidR="007C5737" w:rsidRPr="007C30F4">
        <w:rPr>
          <w:noProof/>
          <w:lang w:val="en-GB"/>
        </w:rPr>
        <w:t>(Hansen, 2007)</w:t>
      </w:r>
      <w:r w:rsidR="00F145F7" w:rsidRPr="007C30F4">
        <w:fldChar w:fldCharType="end"/>
      </w:r>
      <w:r w:rsidR="00100009" w:rsidRPr="007C30F4">
        <w:rPr>
          <w:lang w:val="en-GB"/>
        </w:rPr>
        <w:t>.</w:t>
      </w:r>
      <w:r w:rsidR="00F145F7" w:rsidRPr="007C30F4">
        <w:rPr>
          <w:lang w:val="en-GB"/>
        </w:rPr>
        <w:t xml:space="preserve"> </w:t>
      </w:r>
      <w:r w:rsidR="00453CB6" w:rsidRPr="007C30F4">
        <w:rPr>
          <w:lang w:val="en-GB"/>
        </w:rPr>
        <w:t xml:space="preserve">The hydrogen </w:t>
      </w:r>
      <w:r w:rsidR="002279B8" w:rsidRPr="007C30F4">
        <w:rPr>
          <w:lang w:val="en-GB"/>
        </w:rPr>
        <w:t>b</w:t>
      </w:r>
      <w:r w:rsidR="00100009" w:rsidRPr="007C30F4">
        <w:rPr>
          <w:lang w:val="en-GB"/>
        </w:rPr>
        <w:t>o</w:t>
      </w:r>
      <w:r w:rsidR="002279B8" w:rsidRPr="007C30F4">
        <w:rPr>
          <w:lang w:val="en-GB"/>
        </w:rPr>
        <w:t xml:space="preserve">nding interactions </w:t>
      </w:r>
      <w:r w:rsidR="00100009" w:rsidRPr="007C30F4">
        <w:rPr>
          <w:lang w:val="en-GB"/>
        </w:rPr>
        <w:t>(</w:t>
      </w:r>
      <w:r w:rsidR="00100009" w:rsidRPr="007C30F4">
        <w:rPr>
          <w:rFonts w:cs="Arial"/>
          <w:iCs/>
          <w:lang w:val="en-GB"/>
        </w:rPr>
        <w:t>δ</w:t>
      </w:r>
      <w:r w:rsidR="00100009" w:rsidRPr="007C30F4">
        <w:rPr>
          <w:iCs/>
          <w:vertAlign w:val="subscript"/>
          <w:lang w:val="en-GB"/>
        </w:rPr>
        <w:t>h</w:t>
      </w:r>
      <w:r w:rsidR="00100009" w:rsidRPr="007C30F4">
        <w:rPr>
          <w:lang w:val="en-GB"/>
        </w:rPr>
        <w:t xml:space="preserve">) </w:t>
      </w:r>
      <w:r w:rsidR="00DC7ABE" w:rsidRPr="007C30F4">
        <w:rPr>
          <w:lang w:val="en-GB"/>
        </w:rPr>
        <w:t>correspond to</w:t>
      </w:r>
      <w:r w:rsidR="002279B8" w:rsidRPr="007C30F4">
        <w:rPr>
          <w:lang w:val="en-GB"/>
        </w:rPr>
        <w:t xml:space="preserve"> specific interactions linked to hydrogen bonds</w:t>
      </w:r>
      <w:r w:rsidR="00F145F7" w:rsidRPr="007C30F4">
        <w:rPr>
          <w:lang w:val="en-GB"/>
        </w:rPr>
        <w:t xml:space="preserve"> </w:t>
      </w:r>
      <w:r w:rsidR="00F145F7" w:rsidRPr="007C30F4">
        <w:fldChar w:fldCharType="begin"/>
      </w:r>
      <w:r w:rsidR="007C5737" w:rsidRPr="007C30F4">
        <w:rPr>
          <w:lang w:val="en-GB"/>
        </w:rPr>
        <w:instrText xml:space="preserve"> ADDIN EN.CITE &lt;EndNote&gt;&lt;Cite&gt;&lt;Author&gt;Hansen&lt;/Author&gt;&lt;Year&gt;2007&lt;/Year&gt;&lt;RecNum&gt;247&lt;/RecNum&gt;&lt;DisplayText&gt;(Hansen, 2007)&lt;/DisplayText&gt;&lt;record&gt;&lt;rec-number&gt;247&lt;/rec-number&gt;&lt;foreign-keys&gt;&lt;key app="EN" db-id="dx5wwtzs652saherdptxawzqdrxf255xasv0" timestamp="1730881694"&gt;247&lt;/key&gt;&lt;/foreign-keys&gt;&lt;ref-type name="Book"&gt;6&lt;/ref-type&gt;&lt;contributors&gt;&lt;authors&gt;&lt;author&gt;Hansen, Charles M&lt;/author&gt;&lt;/authors&gt;&lt;/contributors&gt;&lt;titles&gt;&lt;title&gt;Hansen solubility parameters: a user&amp;apos;s handbook&lt;/title&gt;&lt;/titles&gt;&lt;dates&gt;&lt;year&gt;2007&lt;/year&gt;&lt;/dates&gt;&lt;publisher&gt;CRC press&lt;/publisher&gt;&lt;isbn&gt;0429127529&lt;/isbn&gt;&lt;urls&gt;&lt;/urls&gt;&lt;/record&gt;&lt;/Cite&gt;&lt;/EndNote&gt;</w:instrText>
      </w:r>
      <w:r w:rsidR="00F145F7" w:rsidRPr="007C30F4">
        <w:fldChar w:fldCharType="separate"/>
      </w:r>
      <w:r w:rsidR="007C5737" w:rsidRPr="007C30F4">
        <w:rPr>
          <w:noProof/>
          <w:lang w:val="en-GB"/>
        </w:rPr>
        <w:t>(Hansen, 2007)</w:t>
      </w:r>
      <w:r w:rsidR="00F145F7" w:rsidRPr="007C30F4">
        <w:fldChar w:fldCharType="end"/>
      </w:r>
      <w:r w:rsidR="002279B8" w:rsidRPr="007C30F4">
        <w:rPr>
          <w:lang w:val="en-GB"/>
        </w:rPr>
        <w:t>.</w:t>
      </w:r>
      <w:r w:rsidR="008A5B6C" w:rsidRPr="007C30F4">
        <w:rPr>
          <w:lang w:val="en-GB"/>
        </w:rPr>
        <w:t xml:space="preserve"> </w:t>
      </w:r>
      <w:r w:rsidR="004E18EA" w:rsidRPr="00516899">
        <w:rPr>
          <w:lang w:val="en-GB"/>
        </w:rPr>
        <w:t xml:space="preserve">In the Hansen model, the HSPs of a solvent </w:t>
      </w:r>
      <w:r w:rsidR="004E18EA">
        <w:rPr>
          <w:lang w:val="en-GB"/>
        </w:rPr>
        <w:t>can be</w:t>
      </w:r>
      <w:r w:rsidR="004E18EA" w:rsidRPr="00516899">
        <w:rPr>
          <w:lang w:val="en-GB"/>
        </w:rPr>
        <w:t xml:space="preserve"> represented </w:t>
      </w:r>
      <w:r w:rsidR="004E18EA">
        <w:rPr>
          <w:lang w:val="en-GB"/>
        </w:rPr>
        <w:t xml:space="preserve">as a </w:t>
      </w:r>
      <w:r w:rsidR="00B53B81" w:rsidRPr="00B53B81">
        <w:rPr>
          <w:lang w:val="en-GB"/>
        </w:rPr>
        <w:t xml:space="preserve">vector with components </w:t>
      </w:r>
      <w:r w:rsidR="00B53B81" w:rsidRPr="00E624DF">
        <w:rPr>
          <w:rFonts w:cs="Arial"/>
          <w:iCs/>
          <w:lang w:val="en-GB"/>
        </w:rPr>
        <w:t>δ</w:t>
      </w:r>
      <w:r w:rsidR="00B53B81" w:rsidRPr="00E624DF">
        <w:rPr>
          <w:iCs/>
          <w:vertAlign w:val="subscript"/>
          <w:lang w:val="en-GB"/>
        </w:rPr>
        <w:t>d</w:t>
      </w:r>
      <w:r w:rsidR="00B53B81" w:rsidRPr="00E624DF">
        <w:rPr>
          <w:lang w:val="en-GB"/>
        </w:rPr>
        <w:t xml:space="preserve">, </w:t>
      </w:r>
      <w:r w:rsidR="00B53B81" w:rsidRPr="00E624DF">
        <w:rPr>
          <w:rFonts w:cs="Arial"/>
          <w:iCs/>
          <w:lang w:val="en-GB"/>
        </w:rPr>
        <w:t>δ</w:t>
      </w:r>
      <w:r w:rsidR="00B53B81" w:rsidRPr="00E624DF">
        <w:rPr>
          <w:iCs/>
          <w:vertAlign w:val="subscript"/>
          <w:lang w:val="en-GB"/>
        </w:rPr>
        <w:t>p</w:t>
      </w:r>
      <w:r w:rsidR="00B53B81" w:rsidRPr="00E624DF">
        <w:rPr>
          <w:lang w:val="en-GB"/>
        </w:rPr>
        <w:t xml:space="preserve"> and </w:t>
      </w:r>
      <w:r w:rsidR="001C3867" w:rsidRPr="00E624DF">
        <w:rPr>
          <w:rFonts w:cs="Arial"/>
          <w:iCs/>
          <w:lang w:val="en-GB"/>
        </w:rPr>
        <w:t>δ</w:t>
      </w:r>
      <w:r w:rsidR="001C3867" w:rsidRPr="00E624DF">
        <w:rPr>
          <w:iCs/>
          <w:vertAlign w:val="subscript"/>
          <w:lang w:val="en-GB"/>
        </w:rPr>
        <w:t>h</w:t>
      </w:r>
      <w:r w:rsidR="001C3867" w:rsidRPr="00E624DF">
        <w:rPr>
          <w:lang w:val="en-GB"/>
        </w:rPr>
        <w:t xml:space="preserve"> </w:t>
      </w:r>
      <w:r w:rsidR="001C3867">
        <w:rPr>
          <w:lang w:val="en-GB"/>
        </w:rPr>
        <w:t xml:space="preserve">and each of this component is a coordinate that allows the solvent to be located in a fixed point of a </w:t>
      </w:r>
      <w:r w:rsidR="00B50DDF">
        <w:rPr>
          <w:lang w:val="en-GB"/>
        </w:rPr>
        <w:t>three-dimensional</w:t>
      </w:r>
      <w:r w:rsidR="001C3867">
        <w:rPr>
          <w:lang w:val="en-GB"/>
        </w:rPr>
        <w:t xml:space="preserve"> space called Hansen space</w:t>
      </w:r>
      <w:r w:rsidR="00B50DDF">
        <w:rPr>
          <w:lang w:val="en-GB"/>
        </w:rPr>
        <w:t xml:space="preserve"> </w:t>
      </w:r>
      <w:r w:rsidR="00B50DDF">
        <w:rPr>
          <w:lang w:val="en-GB"/>
        </w:rPr>
        <w:fldChar w:fldCharType="begin"/>
      </w:r>
      <w:r w:rsidR="007C5737">
        <w:rPr>
          <w:lang w:val="en-GB"/>
        </w:rPr>
        <w:instrText xml:space="preserve"> ADDIN EN.CITE &lt;EndNote&gt;&lt;Cite&gt;&lt;Author&gt;Hansen&lt;/Author&gt;&lt;Year&gt;1967&lt;/Year&gt;&lt;RecNum&gt;246&lt;/RecNum&gt;&lt;DisplayText&gt;(Hansen, 1967)&lt;/DisplayText&gt;&lt;record&gt;&lt;rec-number&gt;246&lt;/rec-number&gt;&lt;foreign-keys&gt;&lt;key app="EN" db-id="dx5wwtzs652saherdptxawzqdrxf255xasv0" timestamp="1730881693"&gt;246&lt;/key&gt;&lt;/foreign-keys&gt;&lt;ref-type name="Journal Article"&gt;17&lt;/ref-type&gt;&lt;contributors&gt;&lt;authors&gt;&lt;author&gt;Hansen, Charles M&lt;/author&gt;&lt;/authors&gt;&lt;/contributors&gt;&lt;titles&gt;&lt;title&gt;The three dimensional solubility parameter&lt;/title&gt;&lt;secondary-title&gt;Danish Technical: Copenhagen&lt;/secondary-title&gt;&lt;/titles&gt;&lt;periodical&gt;&lt;full-title&gt;Danish Technical: Copenhagen&lt;/full-title&gt;&lt;/periodical&gt;&lt;volume&gt;14&lt;/volume&gt;&lt;dates&gt;&lt;year&gt;1967&lt;/year&gt;&lt;/dates&gt;&lt;urls&gt;&lt;/urls&gt;&lt;/record&gt;&lt;/Cite&gt;&lt;/EndNote&gt;</w:instrText>
      </w:r>
      <w:r w:rsidR="00B50DDF">
        <w:rPr>
          <w:lang w:val="en-GB"/>
        </w:rPr>
        <w:fldChar w:fldCharType="separate"/>
      </w:r>
      <w:r w:rsidR="007C5737">
        <w:rPr>
          <w:noProof/>
          <w:lang w:val="en-GB"/>
        </w:rPr>
        <w:t>(Hansen, 1967)</w:t>
      </w:r>
      <w:r w:rsidR="00B50DDF">
        <w:rPr>
          <w:lang w:val="en-GB"/>
        </w:rPr>
        <w:fldChar w:fldCharType="end"/>
      </w:r>
      <w:r w:rsidR="001C3867">
        <w:rPr>
          <w:lang w:val="en-GB"/>
        </w:rPr>
        <w:t>.</w:t>
      </w:r>
      <w:r w:rsidR="00B53B81" w:rsidRPr="00B53B81">
        <w:rPr>
          <w:lang w:val="en-GB"/>
        </w:rPr>
        <w:t xml:space="preserve"> </w:t>
      </w:r>
      <w:r w:rsidR="00B50DDF" w:rsidRPr="00B50DDF">
        <w:t>The closer two</w:t>
      </w:r>
      <w:r w:rsidR="00B50DDF">
        <w:t xml:space="preserve"> </w:t>
      </w:r>
      <w:r w:rsidR="00B50DDF" w:rsidRPr="00B50DDF">
        <w:t>solvents are in the Hansen space, the more likely they are to exhibit</w:t>
      </w:r>
      <w:r w:rsidR="00B50DDF">
        <w:t xml:space="preserve"> </w:t>
      </w:r>
      <w:r w:rsidR="00B50DDF" w:rsidRPr="00B50DDF">
        <w:t>the same solubilizing properties</w:t>
      </w:r>
      <w:r w:rsidR="00B50DDF">
        <w:t xml:space="preserve"> </w:t>
      </w:r>
      <w:r w:rsidR="00B50DDF">
        <w:fldChar w:fldCharType="begin"/>
      </w:r>
      <w:r w:rsidR="007C5737">
        <w:instrText xml:space="preserve"> ADDIN EN.CITE &lt;EndNote&gt;&lt;Cite&gt;&lt;Author&gt;Sherwood&lt;/Author&gt;&lt;Year&gt;2014&lt;/Year&gt;&lt;RecNum&gt;163&lt;/RecNum&gt;&lt;DisplayText&gt;(Sherwood et al., 2014)&lt;/DisplayText&gt;&lt;record&gt;&lt;rec-number&gt;163&lt;/rec-number&gt;&lt;foreign-keys&gt;&lt;key app="EN" db-id="dx5wwtzs652saherdptxawzqdrxf255xasv0" timestamp="1722246017"&gt;163&lt;/key&gt;&lt;/foreign-keys&gt;&lt;ref-type name="Journal Article"&gt;17&lt;/ref-type&gt;&lt;contributors&gt;&lt;authors&gt;&lt;author&gt;Sherwood, James&lt;/author&gt;&lt;author&gt;Constantinou, Andri&lt;/author&gt;&lt;author&gt;Moity, Laurianne&lt;/author&gt;&lt;author&gt;McElroy, C Rob&lt;/author&gt;&lt;author&gt;Farmer, Thomas J&lt;/author&gt;&lt;author&gt;Duncan, Tony&lt;/author&gt;&lt;author&gt;Raverty, Warwick&lt;/author&gt;&lt;author&gt;Hunt, Andrew J&lt;/author&gt;&lt;author&gt;Clark, James H&lt;/author&gt;&lt;/authors&gt;&lt;/contributors&gt;&lt;titles&gt;&lt;title&gt;Dihydrolevoglucosenone (Cyrene) as a bio-based alternative for dipolar aprotic solvents&lt;/title&gt;&lt;secondary-title&gt;Chemical communications&lt;/secondary-title&gt;&lt;/titles&gt;&lt;periodical&gt;&lt;full-title&gt;Chemical communications&lt;/full-title&gt;&lt;/periodical&gt;&lt;pages&gt;9650-9652&lt;/pages&gt;&lt;volume&gt;50&lt;/volume&gt;&lt;number&gt;68&lt;/number&gt;&lt;dates&gt;&lt;year&gt;2014&lt;/year&gt;&lt;/dates&gt;&lt;urls&gt;&lt;/urls&gt;&lt;/record&gt;&lt;/Cite&gt;&lt;/EndNote&gt;</w:instrText>
      </w:r>
      <w:r w:rsidR="00B50DDF">
        <w:fldChar w:fldCharType="separate"/>
      </w:r>
      <w:r w:rsidR="007C5737">
        <w:rPr>
          <w:noProof/>
        </w:rPr>
        <w:t>(Sherwood et al., 2014)</w:t>
      </w:r>
      <w:r w:rsidR="00B50DDF">
        <w:fldChar w:fldCharType="end"/>
      </w:r>
      <w:r w:rsidR="00B50DDF" w:rsidRPr="00B50DDF">
        <w:t>.</w:t>
      </w:r>
    </w:p>
    <w:p w14:paraId="483E2624" w14:textId="6193FA7B" w:rsidR="00F753E2" w:rsidRDefault="00B7135C" w:rsidP="00453E24">
      <w:pPr>
        <w:pStyle w:val="CETBodytext"/>
        <w:rPr>
          <w:lang w:val="en-GB"/>
        </w:rPr>
      </w:pPr>
      <w:r>
        <w:rPr>
          <w:lang w:val="en-GB"/>
        </w:rPr>
        <w:t>T</w:t>
      </w:r>
      <w:r w:rsidR="00831EFB" w:rsidRPr="00831EFB">
        <w:rPr>
          <w:lang w:val="en-GB"/>
        </w:rPr>
        <w:t xml:space="preserve">he similarity of Cyrene parameter </w:t>
      </w:r>
      <w:r w:rsidR="00831EFB" w:rsidRPr="00E624DF">
        <w:rPr>
          <w:rFonts w:cs="Arial"/>
          <w:iCs/>
          <w:lang w:val="en-GB"/>
        </w:rPr>
        <w:t>π*</w:t>
      </w:r>
      <w:r w:rsidR="00831EFB" w:rsidRPr="00831EFB">
        <w:rPr>
          <w:lang w:val="en-GB"/>
        </w:rPr>
        <w:t xml:space="preserve"> to that of highly polar solvents</w:t>
      </w:r>
      <w:r w:rsidR="009A41E5">
        <w:rPr>
          <w:lang w:val="en-GB"/>
        </w:rPr>
        <w:t xml:space="preserve"> </w:t>
      </w:r>
      <w:r w:rsidR="009A41E5" w:rsidRPr="00E624DF">
        <w:rPr>
          <w:lang w:val="en-GB"/>
        </w:rPr>
        <w:t>(</w:t>
      </w:r>
      <w:r w:rsidR="003614F9" w:rsidRPr="00E624DF">
        <w:rPr>
          <w:iCs/>
          <w:lang w:val="en-GB"/>
        </w:rPr>
        <w:fldChar w:fldCharType="begin"/>
      </w:r>
      <w:r w:rsidR="003614F9" w:rsidRPr="00E624DF">
        <w:rPr>
          <w:iCs/>
          <w:lang w:val="en-GB"/>
        </w:rPr>
        <w:instrText xml:space="preserve"> REF _Ref183176545 \h  \* MERGEFORMAT </w:instrText>
      </w:r>
      <w:r w:rsidR="003614F9" w:rsidRPr="00E624DF">
        <w:rPr>
          <w:iCs/>
          <w:lang w:val="en-GB"/>
        </w:rPr>
      </w:r>
      <w:r w:rsidR="003614F9" w:rsidRPr="00E624DF">
        <w:rPr>
          <w:iCs/>
          <w:lang w:val="en-GB"/>
        </w:rPr>
        <w:fldChar w:fldCharType="separate"/>
      </w:r>
      <w:r w:rsidR="007C6944" w:rsidRPr="007C6944">
        <w:rPr>
          <w:iCs/>
        </w:rPr>
        <w:t xml:space="preserve">Table </w:t>
      </w:r>
      <w:r w:rsidR="007C6944" w:rsidRPr="007C6944">
        <w:rPr>
          <w:iCs/>
          <w:noProof/>
        </w:rPr>
        <w:t>1</w:t>
      </w:r>
      <w:r w:rsidR="003614F9" w:rsidRPr="00E624DF">
        <w:rPr>
          <w:iCs/>
          <w:lang w:val="en-GB"/>
        </w:rPr>
        <w:fldChar w:fldCharType="end"/>
      </w:r>
      <w:r w:rsidR="009A41E5" w:rsidRPr="00E624DF">
        <w:rPr>
          <w:lang w:val="en-GB"/>
        </w:rPr>
        <w:t>)</w:t>
      </w:r>
      <w:r w:rsidR="00831EFB" w:rsidRPr="00831EFB">
        <w:rPr>
          <w:lang w:val="en-GB"/>
        </w:rPr>
        <w:t xml:space="preserve"> supports its classification as a viable alternative to traditional polar solvents, such as NMP</w:t>
      </w:r>
      <w:r>
        <w:rPr>
          <w:lang w:val="en-GB"/>
        </w:rPr>
        <w:t xml:space="preserve"> </w:t>
      </w:r>
      <w:r>
        <w:rPr>
          <w:lang w:val="en-GB"/>
        </w:rPr>
        <w:fldChar w:fldCharType="begin">
          <w:fldData xml:space="preserve">PEVuZE5vdGU+PENpdGU+PEF1dGhvcj5TaGVyd29vZDwvQXV0aG9yPjxZZWFyPjIwMTQ8L1llYXI+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</w:fldData>
        </w:fldChar>
      </w:r>
      <w:r w:rsidR="00276BB4">
        <w:rPr>
          <w:lang w:val="en-GB"/>
        </w:rPr>
        <w:instrText xml:space="preserve"> ADDIN EN.CITE </w:instrText>
      </w:r>
      <w:r w:rsidR="00276BB4">
        <w:rPr>
          <w:lang w:val="en-GB"/>
        </w:rPr>
        <w:fldChar w:fldCharType="begin">
          <w:fldData xml:space="preserve">PEVuZE5vdGU+PENpdGU+PEF1dGhvcj5TaGVyd29vZDwvQXV0aG9yPjxZZWFyPjIwMTQ8L1llYXI+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</w:fldData>
        </w:fldChar>
      </w:r>
      <w:r w:rsidR="00276BB4">
        <w:rPr>
          <w:lang w:val="en-GB"/>
        </w:rPr>
        <w:instrText xml:space="preserve"> ADDIN EN.CITE.DATA </w:instrText>
      </w:r>
      <w:r w:rsidR="00276BB4">
        <w:rPr>
          <w:lang w:val="en-GB"/>
        </w:rPr>
      </w:r>
      <w:r w:rsidR="00276BB4">
        <w:rPr>
          <w:lang w:val="en-GB"/>
        </w:rPr>
        <w:fldChar w:fldCharType="end"/>
      </w:r>
      <w:r>
        <w:rPr>
          <w:lang w:val="en-GB"/>
        </w:rPr>
      </w:r>
      <w:r>
        <w:rPr>
          <w:lang w:val="en-GB"/>
        </w:rPr>
        <w:fldChar w:fldCharType="separate"/>
      </w:r>
      <w:r w:rsidR="00276BB4">
        <w:rPr>
          <w:noProof/>
          <w:lang w:val="en-GB"/>
        </w:rPr>
        <w:t>(Sherwood et al., 2014; Alves Costa Pacheco et al., 2016)</w:t>
      </w:r>
      <w:r>
        <w:rPr>
          <w:lang w:val="en-GB"/>
        </w:rPr>
        <w:fldChar w:fldCharType="end"/>
      </w:r>
      <w:r w:rsidR="00831EFB" w:rsidRPr="00831EFB">
        <w:rPr>
          <w:lang w:val="en-GB"/>
        </w:rPr>
        <w:t xml:space="preserve">. Additionally, the comparable values of their Hansen </w:t>
      </w:r>
      <w:r>
        <w:rPr>
          <w:lang w:val="en-GB"/>
        </w:rPr>
        <w:t xml:space="preserve">solubility </w:t>
      </w:r>
      <w:r w:rsidR="00831EFB" w:rsidRPr="00831EFB">
        <w:rPr>
          <w:lang w:val="en-GB"/>
        </w:rPr>
        <w:t>parame</w:t>
      </w:r>
      <w:r w:rsidR="00831EFB" w:rsidRPr="00E624DF">
        <w:rPr>
          <w:lang w:val="en-GB"/>
        </w:rPr>
        <w:t>ters</w:t>
      </w:r>
      <w:r w:rsidR="003614F9" w:rsidRPr="00E624DF">
        <w:rPr>
          <w:lang w:val="en-GB"/>
        </w:rPr>
        <w:t xml:space="preserve"> (</w:t>
      </w:r>
      <w:r w:rsidR="003614F9" w:rsidRPr="00E624DF">
        <w:rPr>
          <w:iCs/>
          <w:lang w:val="en-GB"/>
        </w:rPr>
        <w:fldChar w:fldCharType="begin"/>
      </w:r>
      <w:r w:rsidR="003614F9" w:rsidRPr="00E624DF">
        <w:rPr>
          <w:iCs/>
          <w:lang w:val="en-GB"/>
        </w:rPr>
        <w:instrText xml:space="preserve"> REF _Ref183176545 \h  \* MERGEFORMAT </w:instrText>
      </w:r>
      <w:r w:rsidR="003614F9" w:rsidRPr="00E624DF">
        <w:rPr>
          <w:iCs/>
          <w:lang w:val="en-GB"/>
        </w:rPr>
      </w:r>
      <w:r w:rsidR="003614F9" w:rsidRPr="00E624DF">
        <w:rPr>
          <w:iCs/>
          <w:lang w:val="en-GB"/>
        </w:rPr>
        <w:fldChar w:fldCharType="separate"/>
      </w:r>
      <w:r w:rsidR="007C6944" w:rsidRPr="007C6944">
        <w:rPr>
          <w:iCs/>
        </w:rPr>
        <w:t xml:space="preserve">Table </w:t>
      </w:r>
      <w:r w:rsidR="007C6944" w:rsidRPr="007C6944">
        <w:rPr>
          <w:iCs/>
          <w:noProof/>
        </w:rPr>
        <w:t>1</w:t>
      </w:r>
      <w:r w:rsidR="003614F9" w:rsidRPr="00E624DF">
        <w:rPr>
          <w:iCs/>
          <w:lang w:val="en-GB"/>
        </w:rPr>
        <w:fldChar w:fldCharType="end"/>
      </w:r>
      <w:r w:rsidR="003614F9" w:rsidRPr="00E624DF">
        <w:rPr>
          <w:lang w:val="en-GB"/>
        </w:rPr>
        <w:t>)</w:t>
      </w:r>
      <w:r w:rsidR="00831EFB" w:rsidRPr="00E624DF">
        <w:rPr>
          <w:lang w:val="en-GB"/>
        </w:rPr>
        <w:t xml:space="preserve"> plac</w:t>
      </w:r>
      <w:r w:rsidR="00831EFB" w:rsidRPr="00831EFB">
        <w:rPr>
          <w:lang w:val="en-GB"/>
        </w:rPr>
        <w:t>e Cyrene and NMP near each other in Hansen space, indicating they will have similar distances from a given solute and, consequently, comparable solubility profiles for that solute</w:t>
      </w:r>
      <w:r>
        <w:rPr>
          <w:lang w:val="en-GB"/>
        </w:rPr>
        <w:t xml:space="preserve"> </w:t>
      </w:r>
      <w:r>
        <w:rPr>
          <w:lang w:val="en-GB"/>
        </w:rPr>
        <w:fldChar w:fldCharType="begin"/>
      </w:r>
      <w:r w:rsidR="007C5737">
        <w:rPr>
          <w:lang w:val="en-GB"/>
        </w:rPr>
        <w:instrText xml:space="preserve"> ADDIN EN.CITE &lt;EndNote&gt;&lt;Cite&gt;&lt;Author&gt;Alves Costa Pacheco&lt;/Author&gt;&lt;Year&gt;2016&lt;/Year&gt;&lt;RecNum&gt;165&lt;/RecNum&gt;&lt;DisplayText&gt;(Alves Costa Pacheco et al., 2016)&lt;/DisplayText&gt;&lt;record&gt;&lt;rec-number&gt;165&lt;/rec-number&gt;&lt;foreign-keys&gt;&lt;key app="EN" db-id="dx5wwtzs652saherdptxawzqdrxf255xasv0" timestamp="1722246850"&gt;165&lt;/key&gt;&lt;/foreign-keys&gt;&lt;ref-type name="Journal Article"&gt;17&lt;/ref-type&gt;&lt;contributors&gt;&lt;authors&gt;&lt;author&gt;Alves Costa Pacheco, Ana&lt;/author&gt;&lt;author&gt;Sherwood, James&lt;/author&gt;&lt;author&gt;Zhenova, Anna&lt;/author&gt;&lt;author&gt;McElroy, Con R&lt;/author&gt;&lt;author&gt;Hunt, Andrew J&lt;/author&gt;&lt;author&gt;Parker, Helen L&lt;/author&gt;&lt;author&gt;Farmer, Thomas J&lt;/author&gt;&lt;author&gt;Constantinou, Andri&lt;/author&gt;&lt;author&gt;De Bruyn, Mario&lt;/author&gt;&lt;author&gt;Whitwood, Adrian C&lt;/author&gt;&lt;/authors&gt;&lt;/contributors&gt;&lt;titles&gt;&lt;title&gt;Intelligent approach to solvent substitution: the identification of a new class of levoglucosenone derivatives&lt;/title&gt;&lt;secondary-title&gt;ChemSusChem&lt;/secondary-title&gt;&lt;/titles&gt;&lt;periodical&gt;&lt;full-title&gt;ChemSusChem&lt;/full-title&gt;&lt;/periodical&gt;&lt;pages&gt;3503-3512&lt;/pages&gt;&lt;volume&gt;9&lt;/volume&gt;&lt;number&gt;24&lt;/number&gt;&lt;dates&gt;&lt;year&gt;2016&lt;/year&gt;&lt;/dates&gt;&lt;isbn&gt;1864-5631&lt;/isbn&gt;&lt;urls&gt;&lt;/urls&gt;&lt;/record&gt;&lt;/Cite&gt;&lt;/EndNote&gt;</w:instrText>
      </w:r>
      <w:r>
        <w:rPr>
          <w:lang w:val="en-GB"/>
        </w:rPr>
        <w:fldChar w:fldCharType="separate"/>
      </w:r>
      <w:r w:rsidR="007C5737">
        <w:rPr>
          <w:noProof/>
          <w:lang w:val="en-GB"/>
        </w:rPr>
        <w:t>(Alves Costa Pacheco et al., 2016)</w:t>
      </w:r>
      <w:r>
        <w:rPr>
          <w:lang w:val="en-GB"/>
        </w:rPr>
        <w:fldChar w:fldCharType="end"/>
      </w:r>
      <w:r w:rsidR="00831EFB" w:rsidRPr="00831EFB">
        <w:rPr>
          <w:lang w:val="en-GB"/>
        </w:rPr>
        <w:t xml:space="preserve">. </w:t>
      </w:r>
      <w:r w:rsidR="00453CB6">
        <w:rPr>
          <w:lang w:val="en-GB"/>
        </w:rPr>
        <w:t xml:space="preserve">This confirms the similarity of the two components according to the literature and the consideration of Cyrene as </w:t>
      </w:r>
      <w:r w:rsidR="00453CB6" w:rsidRPr="00A31A4D">
        <w:rPr>
          <w:lang w:val="en-GB"/>
        </w:rPr>
        <w:t>a potential substitute for NMP</w:t>
      </w:r>
      <w:r w:rsidR="00F34918">
        <w:rPr>
          <w:lang w:val="en-GB"/>
        </w:rPr>
        <w:t xml:space="preserve"> </w:t>
      </w:r>
      <w:r w:rsidR="00F34918">
        <w:rPr>
          <w:lang w:val="en-GB"/>
        </w:rPr>
        <w:fldChar w:fldCharType="begin">
          <w:fldData xml:space="preserve">PEVuZE5vdGU+PENpdGU+PEF1dGhvcj5TaGVyd29vZDwvQXV0aG9yPjxZZWFyPjIwMTQ8L1llYXI+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</w:fldData>
        </w:fldChar>
      </w:r>
      <w:r w:rsidR="00276BB4">
        <w:rPr>
          <w:lang w:val="en-GB"/>
        </w:rPr>
        <w:instrText xml:space="preserve"> ADDIN EN.CITE </w:instrText>
      </w:r>
      <w:r w:rsidR="00276BB4">
        <w:rPr>
          <w:lang w:val="en-GB"/>
        </w:rPr>
        <w:fldChar w:fldCharType="begin">
          <w:fldData xml:space="preserve">PEVuZE5vdGU+PENpdGU+PEF1dGhvcj5TaGVyd29vZDwvQXV0aG9yPjxZZWFyPjIwMTQ8L1llYXI+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</w:fldData>
        </w:fldChar>
      </w:r>
      <w:r w:rsidR="00276BB4">
        <w:rPr>
          <w:lang w:val="en-GB"/>
        </w:rPr>
        <w:instrText xml:space="preserve"> ADDIN EN.CITE.DATA </w:instrText>
      </w:r>
      <w:r w:rsidR="00276BB4">
        <w:rPr>
          <w:lang w:val="en-GB"/>
        </w:rPr>
      </w:r>
      <w:r w:rsidR="00276BB4">
        <w:rPr>
          <w:lang w:val="en-GB"/>
        </w:rPr>
        <w:fldChar w:fldCharType="end"/>
      </w:r>
      <w:r w:rsidR="00F34918">
        <w:rPr>
          <w:lang w:val="en-GB"/>
        </w:rPr>
      </w:r>
      <w:r w:rsidR="00F34918">
        <w:rPr>
          <w:lang w:val="en-GB"/>
        </w:rPr>
        <w:fldChar w:fldCharType="separate"/>
      </w:r>
      <w:r w:rsidR="00276BB4">
        <w:rPr>
          <w:noProof/>
          <w:lang w:val="en-GB"/>
        </w:rPr>
        <w:t>(Sherwood et al., 2014; Alves Costa Pacheco et al., 2016)</w:t>
      </w:r>
      <w:r w:rsidR="00F34918">
        <w:rPr>
          <w:lang w:val="en-GB"/>
        </w:rPr>
        <w:fldChar w:fldCharType="end"/>
      </w:r>
      <w:r w:rsidR="00453CB6">
        <w:rPr>
          <w:lang w:val="en-GB"/>
        </w:rPr>
        <w:t xml:space="preserve">. To better understand all the characteristics of the two molecules, </w:t>
      </w:r>
      <w:r w:rsidR="00A31A4D" w:rsidRPr="00A31A4D">
        <w:rPr>
          <w:lang w:val="en-GB"/>
        </w:rPr>
        <w:t xml:space="preserve">the following sections will present a comparison of their physical properties, toxicological indices and </w:t>
      </w:r>
      <w:r w:rsidR="00A31A4D">
        <w:rPr>
          <w:lang w:val="en-GB"/>
        </w:rPr>
        <w:t>CO</w:t>
      </w:r>
      <w:r w:rsidR="00A31A4D" w:rsidRPr="003F5F3C">
        <w:rPr>
          <w:vertAlign w:val="subscript"/>
          <w:lang w:val="en-GB"/>
        </w:rPr>
        <w:t>2</w:t>
      </w:r>
      <w:r w:rsidR="00A31A4D">
        <w:rPr>
          <w:lang w:val="en-GB"/>
        </w:rPr>
        <w:t xml:space="preserve"> </w:t>
      </w:r>
      <w:r w:rsidR="00A31A4D" w:rsidRPr="00A31A4D">
        <w:rPr>
          <w:lang w:val="en-GB"/>
        </w:rPr>
        <w:t>solubility.</w:t>
      </w:r>
    </w:p>
    <w:p w14:paraId="48C9F7F4" w14:textId="0355ACEE" w:rsidR="000024D2" w:rsidRDefault="000024D2" w:rsidP="000024D2">
      <w:pPr>
        <w:pStyle w:val="CETTabletitle"/>
      </w:pPr>
      <w:bookmarkStart w:id="3" w:name="_Ref183176545"/>
      <w:r>
        <w:t xml:space="preserve">Table </w:t>
      </w:r>
      <w:r>
        <w:fldChar w:fldCharType="begin"/>
      </w:r>
      <w:r>
        <w:instrText xml:space="preserve"> SEQ Table \* ARABIC </w:instrText>
      </w:r>
      <w:r>
        <w:fldChar w:fldCharType="separate"/>
      </w:r>
      <w:r w:rsidR="007C6944">
        <w:rPr>
          <w:noProof/>
        </w:rPr>
        <w:t>1</w:t>
      </w:r>
      <w:r>
        <w:fldChar w:fldCharType="end"/>
      </w:r>
      <w:bookmarkEnd w:id="3"/>
      <w:r>
        <w:t xml:space="preserve">: Comparison between the </w:t>
      </w:r>
      <w:r w:rsidRPr="005E5B34">
        <w:t>Kamlet–Abboud–Taft</w:t>
      </w:r>
      <w:r>
        <w:t xml:space="preserve"> </w:t>
      </w:r>
      <w:r w:rsidRPr="005E5B34">
        <w:t xml:space="preserve">and Hansen </w:t>
      </w:r>
      <w:r>
        <w:t>solubility</w:t>
      </w:r>
      <w:r w:rsidRPr="005E5B34">
        <w:t xml:space="preserve"> parameter</w:t>
      </w:r>
      <w:r>
        <w:t xml:space="preserve">s of Cyrene and NMP </w:t>
      </w:r>
      <w:r>
        <w:fldChar w:fldCharType="begin"/>
      </w:r>
      <w:r>
        <w:instrText xml:space="preserve"> ADDIN EN.CITE &lt;EndNote&gt;&lt;Cite&gt;&lt;Author&gt;Sherwood&lt;/Author&gt;&lt;Year&gt;2014&lt;/Year&gt;&lt;RecNum&gt;163&lt;/RecNum&gt;&lt;DisplayText&gt;(Sherwood et al., 2014)&lt;/DisplayText&gt;&lt;record&gt;&lt;rec-number&gt;163&lt;/rec-number&gt;&lt;foreign-keys&gt;&lt;key app="EN" db-id="dx5wwtzs652saherdptxawzqdrxf255xasv0" timestamp="1722246017"&gt;163&lt;/key&gt;&lt;/foreign-keys&gt;&lt;ref-type name="Journal Article"&gt;17&lt;/ref-type&gt;&lt;contributors&gt;&lt;authors&gt;&lt;author&gt;Sherwood, James&lt;/author&gt;&lt;author&gt;Constantinou, Andri&lt;/author&gt;&lt;author&gt;Moity, Laurianne&lt;/author&gt;&lt;author&gt;McElroy, C Rob&lt;/author&gt;&lt;author&gt;Farmer, Thomas J&lt;/author&gt;&lt;author&gt;Duncan, Tony&lt;/author&gt;&lt;author&gt;Raverty, Warwick&lt;/author&gt;&lt;author&gt;Hunt, Andrew J&lt;/author&gt;&lt;author&gt;Clark, James H&lt;/author&gt;&lt;/authors&gt;&lt;/contributors&gt;&lt;titles&gt;&lt;title&gt;Dihydrolevoglucosenone (Cyrene) as a bio-based alternative for dipolar aprotic solvents&lt;/title&gt;&lt;secondary-title&gt;Chemical communications&lt;/secondary-title&gt;&lt;/titles&gt;&lt;periodical&gt;&lt;full-title&gt;Chemical communications&lt;/full-title&gt;&lt;/periodical&gt;&lt;pages&gt;9650-9652&lt;/pages&gt;&lt;volume&gt;50&lt;/volume&gt;&lt;number&gt;68&lt;/number&gt;&lt;dates&gt;&lt;year&gt;2014&lt;/year&gt;&lt;/dates&gt;&lt;urls&gt;&lt;/urls&gt;&lt;/record&gt;&lt;/Cite&gt;&lt;/EndNote&gt;</w:instrText>
      </w:r>
      <w:r>
        <w:fldChar w:fldCharType="separate"/>
      </w:r>
      <w:r>
        <w:rPr>
          <w:noProof/>
        </w:rPr>
        <w:t>(Sherwood et al., 2014)</w:t>
      </w:r>
      <w:r>
        <w:fldChar w:fldCharType="end"/>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3"/>
        <w:gridCol w:w="737"/>
        <w:gridCol w:w="737"/>
        <w:gridCol w:w="737"/>
        <w:gridCol w:w="1760"/>
        <w:gridCol w:w="1794"/>
        <w:gridCol w:w="1759"/>
      </w:tblGrid>
      <w:tr w:rsidR="000024D2" w:rsidRPr="00B57B36" w14:paraId="759FD738" w14:textId="77777777" w:rsidTr="00116348">
        <w:tc>
          <w:tcPr>
            <w:tcW w:w="718" w:type="pct"/>
            <w:tcBorders>
              <w:top w:val="single" w:sz="12" w:space="0" w:color="008000"/>
              <w:bottom w:val="single" w:sz="6" w:space="0" w:color="008000"/>
            </w:tcBorders>
            <w:shd w:val="clear" w:color="auto" w:fill="FFFFFF"/>
          </w:tcPr>
          <w:p w14:paraId="073A3A17" w14:textId="77777777" w:rsidR="000024D2" w:rsidRPr="00E624DF" w:rsidRDefault="000024D2" w:rsidP="00116348">
            <w:pPr>
              <w:pStyle w:val="CETBodytext"/>
              <w:rPr>
                <w:lang w:val="en-GB"/>
              </w:rPr>
            </w:pPr>
            <w:r w:rsidRPr="00E624DF">
              <w:t>Solvent</w:t>
            </w:r>
          </w:p>
        </w:tc>
        <w:tc>
          <w:tcPr>
            <w:tcW w:w="419" w:type="pct"/>
            <w:tcBorders>
              <w:top w:val="single" w:sz="12" w:space="0" w:color="008000"/>
              <w:bottom w:val="single" w:sz="6" w:space="0" w:color="008000"/>
            </w:tcBorders>
            <w:shd w:val="clear" w:color="auto" w:fill="FFFFFF"/>
          </w:tcPr>
          <w:p w14:paraId="5FD32DCA" w14:textId="77777777" w:rsidR="000024D2" w:rsidRPr="00E624DF" w:rsidRDefault="000024D2" w:rsidP="00116348">
            <w:pPr>
              <w:pStyle w:val="CETBodytext"/>
              <w:rPr>
                <w:lang w:val="en-GB"/>
              </w:rPr>
            </w:pPr>
            <w:r w:rsidRPr="00E624DF">
              <w:rPr>
                <w:rFonts w:cs="Arial"/>
                <w:iCs/>
                <w:lang w:val="en-GB"/>
              </w:rPr>
              <w:t>α</w:t>
            </w:r>
          </w:p>
        </w:tc>
        <w:tc>
          <w:tcPr>
            <w:tcW w:w="419" w:type="pct"/>
            <w:tcBorders>
              <w:top w:val="single" w:sz="12" w:space="0" w:color="008000"/>
              <w:bottom w:val="single" w:sz="6" w:space="0" w:color="008000"/>
            </w:tcBorders>
            <w:shd w:val="clear" w:color="auto" w:fill="FFFFFF"/>
          </w:tcPr>
          <w:p w14:paraId="43908961" w14:textId="77777777" w:rsidR="000024D2" w:rsidRPr="00E624DF" w:rsidRDefault="000024D2" w:rsidP="00116348">
            <w:pPr>
              <w:pStyle w:val="CETBodytext"/>
              <w:rPr>
                <w:b/>
                <w:bCs/>
              </w:rPr>
            </w:pPr>
            <w:r w:rsidRPr="00E624DF">
              <w:rPr>
                <w:rFonts w:cs="Arial"/>
                <w:iCs/>
                <w:lang w:val="en-GB"/>
              </w:rPr>
              <w:t>β</w:t>
            </w:r>
          </w:p>
        </w:tc>
        <w:tc>
          <w:tcPr>
            <w:tcW w:w="419" w:type="pct"/>
            <w:tcBorders>
              <w:top w:val="single" w:sz="12" w:space="0" w:color="008000"/>
              <w:bottom w:val="single" w:sz="6" w:space="0" w:color="008000"/>
            </w:tcBorders>
            <w:shd w:val="clear" w:color="auto" w:fill="FFFFFF"/>
          </w:tcPr>
          <w:p w14:paraId="1AF336C4" w14:textId="77777777" w:rsidR="000024D2" w:rsidRPr="00E624DF" w:rsidRDefault="000024D2" w:rsidP="00116348">
            <w:pPr>
              <w:pStyle w:val="CETBodytext"/>
              <w:rPr>
                <w:b/>
                <w:bCs/>
              </w:rPr>
            </w:pPr>
            <w:r w:rsidRPr="00E624DF">
              <w:rPr>
                <w:rFonts w:cs="Arial"/>
                <w:iCs/>
                <w:lang w:val="en-GB"/>
              </w:rPr>
              <w:t>π*</w:t>
            </w:r>
          </w:p>
        </w:tc>
        <w:tc>
          <w:tcPr>
            <w:tcW w:w="1001" w:type="pct"/>
            <w:tcBorders>
              <w:top w:val="single" w:sz="12" w:space="0" w:color="008000"/>
              <w:bottom w:val="single" w:sz="6" w:space="0" w:color="008000"/>
            </w:tcBorders>
            <w:shd w:val="clear" w:color="auto" w:fill="FFFFFF"/>
          </w:tcPr>
          <w:p w14:paraId="7F88BF96" w14:textId="77777777" w:rsidR="000024D2" w:rsidRPr="00E624DF" w:rsidRDefault="000024D2" w:rsidP="00116348">
            <w:pPr>
              <w:pStyle w:val="CETBodytext"/>
            </w:pPr>
            <w:r w:rsidRPr="00E624DF">
              <w:rPr>
                <w:rFonts w:cs="Arial"/>
                <w:iCs/>
                <w:lang w:val="en-GB"/>
              </w:rPr>
              <w:t>δ</w:t>
            </w:r>
            <w:r w:rsidRPr="00E624DF">
              <w:rPr>
                <w:iCs/>
                <w:vertAlign w:val="subscript"/>
                <w:lang w:val="en-GB"/>
              </w:rPr>
              <w:t xml:space="preserve">d </w:t>
            </w:r>
            <w:r w:rsidRPr="00E624DF">
              <w:t>[MPa</w:t>
            </w:r>
            <w:r w:rsidRPr="00E624DF">
              <w:rPr>
                <w:vertAlign w:val="superscript"/>
              </w:rPr>
              <w:t>0.5</w:t>
            </w:r>
            <w:r w:rsidRPr="00E624DF">
              <w:t>]</w:t>
            </w:r>
          </w:p>
        </w:tc>
        <w:tc>
          <w:tcPr>
            <w:tcW w:w="1021" w:type="pct"/>
            <w:tcBorders>
              <w:top w:val="single" w:sz="12" w:space="0" w:color="008000"/>
              <w:bottom w:val="single" w:sz="6" w:space="0" w:color="008000"/>
            </w:tcBorders>
            <w:shd w:val="clear" w:color="auto" w:fill="FFFFFF"/>
          </w:tcPr>
          <w:p w14:paraId="3C2ADB26" w14:textId="77777777" w:rsidR="000024D2" w:rsidRPr="00E624DF" w:rsidRDefault="000024D2" w:rsidP="00116348">
            <w:pPr>
              <w:pStyle w:val="CETBodytext"/>
              <w:rPr>
                <w:vertAlign w:val="subscript"/>
              </w:rPr>
            </w:pPr>
            <w:r w:rsidRPr="00E624DF">
              <w:rPr>
                <w:rFonts w:cs="Arial"/>
                <w:iCs/>
                <w:lang w:val="en-GB"/>
              </w:rPr>
              <w:t>δ</w:t>
            </w:r>
            <w:r w:rsidRPr="00E624DF">
              <w:rPr>
                <w:iCs/>
                <w:vertAlign w:val="subscript"/>
                <w:lang w:val="en-GB"/>
              </w:rPr>
              <w:t>p</w:t>
            </w:r>
            <w:r w:rsidRPr="00E624DF">
              <w:rPr>
                <w:iCs/>
                <w:lang w:val="en-GB"/>
              </w:rPr>
              <w:t xml:space="preserve"> </w:t>
            </w:r>
            <w:r w:rsidRPr="00E624DF">
              <w:t>[MPa</w:t>
            </w:r>
            <w:r w:rsidRPr="00E624DF">
              <w:rPr>
                <w:vertAlign w:val="superscript"/>
              </w:rPr>
              <w:t>0.5</w:t>
            </w:r>
            <w:r w:rsidRPr="00E624DF">
              <w:t>]</w:t>
            </w:r>
          </w:p>
        </w:tc>
        <w:tc>
          <w:tcPr>
            <w:tcW w:w="1001" w:type="pct"/>
            <w:tcBorders>
              <w:top w:val="single" w:sz="12" w:space="0" w:color="008000"/>
              <w:bottom w:val="single" w:sz="6" w:space="0" w:color="008000"/>
            </w:tcBorders>
            <w:shd w:val="clear" w:color="auto" w:fill="FFFFFF"/>
          </w:tcPr>
          <w:p w14:paraId="53260BCF" w14:textId="77777777" w:rsidR="000024D2" w:rsidRPr="00E624DF" w:rsidRDefault="000024D2" w:rsidP="00116348">
            <w:pPr>
              <w:pStyle w:val="CETBodytext"/>
            </w:pPr>
            <w:r w:rsidRPr="00E624DF">
              <w:rPr>
                <w:rFonts w:cs="Arial"/>
                <w:iCs/>
                <w:lang w:val="en-GB"/>
              </w:rPr>
              <w:t>δ</w:t>
            </w:r>
            <w:r w:rsidRPr="00E624DF">
              <w:rPr>
                <w:iCs/>
                <w:vertAlign w:val="subscript"/>
                <w:lang w:val="en-GB"/>
              </w:rPr>
              <w:t xml:space="preserve">h </w:t>
            </w:r>
            <w:r w:rsidRPr="00E624DF">
              <w:t>[MPa</w:t>
            </w:r>
            <w:r w:rsidRPr="00E624DF">
              <w:rPr>
                <w:vertAlign w:val="superscript"/>
              </w:rPr>
              <w:t>0.5</w:t>
            </w:r>
            <w:r w:rsidRPr="00E624DF">
              <w:t>]</w:t>
            </w:r>
          </w:p>
        </w:tc>
      </w:tr>
      <w:tr w:rsidR="000024D2" w:rsidRPr="00F65507" w14:paraId="0476E945" w14:textId="77777777" w:rsidTr="00116348">
        <w:tc>
          <w:tcPr>
            <w:tcW w:w="718" w:type="pct"/>
            <w:shd w:val="clear" w:color="auto" w:fill="FFFFFF"/>
          </w:tcPr>
          <w:p w14:paraId="10106314" w14:textId="77777777" w:rsidR="000024D2" w:rsidRPr="00B57B36" w:rsidRDefault="000024D2" w:rsidP="00116348">
            <w:pPr>
              <w:pStyle w:val="CETBodytext"/>
              <w:rPr>
                <w:lang w:val="en-GB"/>
              </w:rPr>
            </w:pPr>
            <w:r>
              <w:rPr>
                <w:lang w:val="en-GB"/>
              </w:rPr>
              <w:t>Cyrene</w:t>
            </w:r>
          </w:p>
        </w:tc>
        <w:tc>
          <w:tcPr>
            <w:tcW w:w="419" w:type="pct"/>
            <w:shd w:val="clear" w:color="auto" w:fill="FFFFFF"/>
          </w:tcPr>
          <w:p w14:paraId="5FB5A0C0" w14:textId="77777777" w:rsidR="000024D2" w:rsidRPr="00B57B36" w:rsidRDefault="000024D2" w:rsidP="00116348">
            <w:pPr>
              <w:pStyle w:val="CETBodytext"/>
              <w:rPr>
                <w:lang w:val="en-GB"/>
              </w:rPr>
            </w:pPr>
            <w:r>
              <w:rPr>
                <w:lang w:val="en-GB"/>
              </w:rPr>
              <w:t>0.00</w:t>
            </w:r>
          </w:p>
        </w:tc>
        <w:tc>
          <w:tcPr>
            <w:tcW w:w="419" w:type="pct"/>
            <w:shd w:val="clear" w:color="auto" w:fill="FFFFFF"/>
          </w:tcPr>
          <w:p w14:paraId="55E4BF37" w14:textId="77777777" w:rsidR="000024D2" w:rsidRDefault="000024D2" w:rsidP="00116348">
            <w:pPr>
              <w:pStyle w:val="CETBodytext"/>
            </w:pPr>
            <w:r>
              <w:t>0.61</w:t>
            </w:r>
          </w:p>
        </w:tc>
        <w:tc>
          <w:tcPr>
            <w:tcW w:w="419" w:type="pct"/>
            <w:shd w:val="clear" w:color="auto" w:fill="FFFFFF"/>
          </w:tcPr>
          <w:p w14:paraId="4388762D" w14:textId="77777777" w:rsidR="000024D2" w:rsidRDefault="000024D2" w:rsidP="00116348">
            <w:pPr>
              <w:pStyle w:val="CETBodytext"/>
            </w:pPr>
            <w:r>
              <w:t>0.93</w:t>
            </w:r>
          </w:p>
        </w:tc>
        <w:tc>
          <w:tcPr>
            <w:tcW w:w="1001" w:type="pct"/>
            <w:shd w:val="clear" w:color="auto" w:fill="FFFFFF"/>
          </w:tcPr>
          <w:p w14:paraId="652A63FA" w14:textId="77777777" w:rsidR="000024D2" w:rsidRDefault="000024D2" w:rsidP="00116348">
            <w:pPr>
              <w:pStyle w:val="CETBodytext"/>
            </w:pPr>
            <w:r>
              <w:t>18.8</w:t>
            </w:r>
          </w:p>
        </w:tc>
        <w:tc>
          <w:tcPr>
            <w:tcW w:w="1021" w:type="pct"/>
            <w:shd w:val="clear" w:color="auto" w:fill="FFFFFF"/>
          </w:tcPr>
          <w:p w14:paraId="264A608A" w14:textId="77777777" w:rsidR="000024D2" w:rsidRDefault="000024D2" w:rsidP="00116348">
            <w:pPr>
              <w:pStyle w:val="CETBodytext"/>
            </w:pPr>
            <w:r>
              <w:t>10.6</w:t>
            </w:r>
          </w:p>
        </w:tc>
        <w:tc>
          <w:tcPr>
            <w:tcW w:w="1001" w:type="pct"/>
            <w:shd w:val="clear" w:color="auto" w:fill="FFFFFF"/>
          </w:tcPr>
          <w:p w14:paraId="0E664522" w14:textId="77777777" w:rsidR="000024D2" w:rsidRDefault="000024D2" w:rsidP="00116348">
            <w:pPr>
              <w:pStyle w:val="CETBodytext"/>
            </w:pPr>
            <w:r>
              <w:t>6.9</w:t>
            </w:r>
          </w:p>
        </w:tc>
      </w:tr>
      <w:tr w:rsidR="000024D2" w:rsidRPr="00B57B36" w14:paraId="27357DB5" w14:textId="77777777" w:rsidTr="00116348">
        <w:tc>
          <w:tcPr>
            <w:tcW w:w="718" w:type="pct"/>
            <w:shd w:val="clear" w:color="auto" w:fill="FFFFFF"/>
          </w:tcPr>
          <w:p w14:paraId="60DFAD38" w14:textId="77777777" w:rsidR="000024D2" w:rsidRPr="00B57B36" w:rsidRDefault="000024D2" w:rsidP="00116348">
            <w:pPr>
              <w:pStyle w:val="CETBodytext"/>
              <w:rPr>
                <w:lang w:val="en-GB"/>
              </w:rPr>
            </w:pPr>
            <w:r>
              <w:t>NMP</w:t>
            </w:r>
          </w:p>
        </w:tc>
        <w:tc>
          <w:tcPr>
            <w:tcW w:w="419" w:type="pct"/>
            <w:shd w:val="clear" w:color="auto" w:fill="FFFFFF"/>
          </w:tcPr>
          <w:p w14:paraId="00051D2E" w14:textId="77777777" w:rsidR="000024D2" w:rsidRPr="00B57B36" w:rsidRDefault="000024D2" w:rsidP="00116348">
            <w:pPr>
              <w:pStyle w:val="CETBodytext"/>
              <w:rPr>
                <w:lang w:val="en-GB"/>
              </w:rPr>
            </w:pPr>
            <w:r w:rsidRPr="0089388E">
              <w:t>0.00</w:t>
            </w:r>
          </w:p>
        </w:tc>
        <w:tc>
          <w:tcPr>
            <w:tcW w:w="419" w:type="pct"/>
            <w:shd w:val="clear" w:color="auto" w:fill="FFFFFF"/>
          </w:tcPr>
          <w:p w14:paraId="5F3D2D66" w14:textId="77777777" w:rsidR="000024D2" w:rsidRDefault="000024D2" w:rsidP="00116348">
            <w:pPr>
              <w:pStyle w:val="CETBodytext"/>
            </w:pPr>
            <w:r w:rsidRPr="0089388E">
              <w:t>0.75</w:t>
            </w:r>
          </w:p>
        </w:tc>
        <w:tc>
          <w:tcPr>
            <w:tcW w:w="419" w:type="pct"/>
            <w:shd w:val="clear" w:color="auto" w:fill="FFFFFF"/>
          </w:tcPr>
          <w:p w14:paraId="49038B08" w14:textId="77777777" w:rsidR="000024D2" w:rsidRDefault="000024D2" w:rsidP="00116348">
            <w:pPr>
              <w:pStyle w:val="CETBodytext"/>
            </w:pPr>
            <w:r w:rsidRPr="0089388E">
              <w:t>0.90</w:t>
            </w:r>
          </w:p>
        </w:tc>
        <w:tc>
          <w:tcPr>
            <w:tcW w:w="1001" w:type="pct"/>
            <w:shd w:val="clear" w:color="auto" w:fill="FFFFFF"/>
          </w:tcPr>
          <w:p w14:paraId="27F9859A" w14:textId="77777777" w:rsidR="000024D2" w:rsidRDefault="000024D2" w:rsidP="00116348">
            <w:pPr>
              <w:pStyle w:val="CETBodytext"/>
            </w:pPr>
            <w:r w:rsidRPr="0089388E">
              <w:t>18.0</w:t>
            </w:r>
          </w:p>
        </w:tc>
        <w:tc>
          <w:tcPr>
            <w:tcW w:w="1021" w:type="pct"/>
            <w:shd w:val="clear" w:color="auto" w:fill="FFFFFF"/>
          </w:tcPr>
          <w:p w14:paraId="2A873AAA" w14:textId="77777777" w:rsidR="000024D2" w:rsidRDefault="000024D2" w:rsidP="00116348">
            <w:pPr>
              <w:pStyle w:val="CETBodytext"/>
            </w:pPr>
            <w:r w:rsidRPr="0089388E">
              <w:t>12.3</w:t>
            </w:r>
          </w:p>
        </w:tc>
        <w:tc>
          <w:tcPr>
            <w:tcW w:w="1001" w:type="pct"/>
            <w:shd w:val="clear" w:color="auto" w:fill="FFFFFF"/>
          </w:tcPr>
          <w:p w14:paraId="20E25DCE" w14:textId="77777777" w:rsidR="000024D2" w:rsidRDefault="000024D2" w:rsidP="00116348">
            <w:pPr>
              <w:pStyle w:val="CETBodytext"/>
            </w:pPr>
            <w:r w:rsidRPr="0089388E">
              <w:t>7.2</w:t>
            </w:r>
          </w:p>
        </w:tc>
      </w:tr>
    </w:tbl>
    <w:p w14:paraId="0636B784" w14:textId="5457E9A0" w:rsidR="00453E24" w:rsidRDefault="000D74E0" w:rsidP="003F060D">
      <w:pPr>
        <w:pStyle w:val="CETheadingx"/>
      </w:pPr>
      <w:r>
        <w:t>Physical properties</w:t>
      </w:r>
    </w:p>
    <w:p w14:paraId="1C8CD4F6" w14:textId="1EB0F4A6" w:rsidR="00C779F0" w:rsidRPr="000F0E56" w:rsidRDefault="0000304F" w:rsidP="0001094E">
      <w:r w:rsidRPr="0000304F">
        <w:rPr>
          <w:i/>
          <w:iCs/>
        </w:rPr>
        <w:fldChar w:fldCharType="begin"/>
      </w:r>
      <w:r w:rsidRPr="0000304F">
        <w:rPr>
          <w:i/>
          <w:iCs/>
        </w:rPr>
        <w:instrText xml:space="preserve"> REF _Ref181804116 \h </w:instrText>
      </w:r>
      <w:r>
        <w:rPr>
          <w:i/>
          <w:iCs/>
        </w:rPr>
        <w:instrText xml:space="preserve"> \* MERGEFORMAT </w:instrText>
      </w:r>
      <w:r w:rsidRPr="0000304F">
        <w:rPr>
          <w:i/>
          <w:iCs/>
        </w:rPr>
      </w:r>
      <w:r w:rsidRPr="0000304F">
        <w:rPr>
          <w:i/>
          <w:iCs/>
        </w:rPr>
        <w:fldChar w:fldCharType="separate"/>
      </w:r>
      <w:r w:rsidR="007C6944">
        <w:t xml:space="preserve">Table </w:t>
      </w:r>
      <w:r w:rsidR="007C6944">
        <w:rPr>
          <w:noProof/>
        </w:rPr>
        <w:t>2</w:t>
      </w:r>
      <w:r w:rsidRPr="0000304F">
        <w:rPr>
          <w:i/>
          <w:iCs/>
        </w:rPr>
        <w:fldChar w:fldCharType="end"/>
      </w:r>
      <w:r>
        <w:t xml:space="preserve"> lists all the physical properties considered in this study</w:t>
      </w:r>
      <w:r w:rsidR="009123E1">
        <w:t xml:space="preserve"> to assess whether Cyrene could serve as a substitute for NMP in CO</w:t>
      </w:r>
      <w:r w:rsidR="009123E1">
        <w:rPr>
          <w:rFonts w:ascii="Cambria Math" w:hAnsi="Cambria Math" w:cs="Cambria Math"/>
        </w:rPr>
        <w:t>₂</w:t>
      </w:r>
      <w:r w:rsidR="009123E1">
        <w:t xml:space="preserve"> removal through physical absorption</w:t>
      </w:r>
      <w:r>
        <w:t>.</w:t>
      </w:r>
      <w:r w:rsidR="00FB4654">
        <w:t xml:space="preserve"> </w:t>
      </w:r>
      <w:r w:rsidR="00D07767" w:rsidRPr="00D07767">
        <w:t xml:space="preserve">Regarding </w:t>
      </w:r>
      <w:r w:rsidR="00D07767">
        <w:t>their</w:t>
      </w:r>
      <w:r w:rsidR="00D07767" w:rsidRPr="00D07767">
        <w:t xml:space="preserve"> chemical structure, Cyrene is an optically active ketone composed of two fused rings, which </w:t>
      </w:r>
      <w:r w:rsidR="00D07767" w:rsidRPr="00455F83">
        <w:t>form a cyclic acetal</w:t>
      </w:r>
      <w:r w:rsidR="00D65614" w:rsidRPr="00455F83">
        <w:t xml:space="preserve"> </w:t>
      </w:r>
      <w:r w:rsidR="00D65614" w:rsidRPr="00455F83">
        <w:fldChar w:fldCharType="begin"/>
      </w:r>
      <w:r w:rsidR="007C5737">
        <w:instrText xml:space="preserve"> ADDIN EN.CITE &lt;EndNote&gt;&lt;Cite&gt;&lt;Author&gt;Stini&lt;/Author&gt;&lt;Year&gt;2022&lt;/Year&gt;&lt;RecNum&gt;3&lt;/RecNum&gt;&lt;DisplayText&gt;(Stini et al., 2022)&lt;/DisplayText&gt;&lt;record&gt;&lt;rec-number&gt;3&lt;/rec-number&gt;&lt;foreign-keys&gt;&lt;key app="EN" db-id="dx5wwtzs652saherdptxawzqdrxf255xasv0" timestamp="1721224040"&gt;3&lt;/key&gt;&lt;/foreign-keys&gt;&lt;ref-type name="Journal Article"&gt;17&lt;/ref-type&gt;&lt;contributors&gt;&lt;authors&gt;&lt;author&gt;Stini, Naya A&lt;/author&gt;&lt;author&gt;Gkizis, Petros L&lt;/author&gt;&lt;author&gt;Kokotos, Christoforos G&lt;/author&gt;&lt;/authors&gt;&lt;/contributors&gt;&lt;titles&gt;&lt;title&gt;Cyrene: a bio-based novel and sustainable solvent for organic synthesis&lt;/title&gt;&lt;secondary-title&gt;Green Chemistry&lt;/secondary-title&gt;&lt;/titles&gt;&lt;periodical&gt;&lt;full-title&gt;Green Chemistry&lt;/full-title&gt;&lt;/periodical&gt;&lt;pages&gt;6435-6449&lt;/pages&gt;&lt;volume&gt;24&lt;/volume&gt;&lt;number&gt;17&lt;/number&gt;&lt;dates&gt;&lt;year&gt;2022&lt;/year&gt;&lt;/dates&gt;&lt;urls&gt;&lt;/urls&gt;&lt;/record&gt;&lt;/Cite&gt;&lt;/EndNote&gt;</w:instrText>
      </w:r>
      <w:r w:rsidR="00D65614" w:rsidRPr="00455F83">
        <w:fldChar w:fldCharType="separate"/>
      </w:r>
      <w:r w:rsidR="007C5737">
        <w:rPr>
          <w:noProof/>
        </w:rPr>
        <w:t>(Stini et al., 2022)</w:t>
      </w:r>
      <w:r w:rsidR="00D65614" w:rsidRPr="00455F83">
        <w:fldChar w:fldCharType="end"/>
      </w:r>
      <w:r w:rsidR="00D07767" w:rsidRPr="00455F83">
        <w:t>, while NMP</w:t>
      </w:r>
      <w:r w:rsidR="00D65614" w:rsidRPr="00455F83">
        <w:t xml:space="preserve"> is a nonaromatic molecule with a ﬁve-membered ring structure, a heteroatom and a methyl group </w:t>
      </w:r>
      <w:r w:rsidR="00FD78CD" w:rsidRPr="00455F83">
        <w:fldChar w:fldCharType="begin"/>
      </w:r>
      <w:r w:rsidR="007C5737">
        <w:instrText xml:space="preserve"> ADDIN EN.CITE &lt;EndNote&gt;&lt;Cite&gt;&lt;Author&gt;Basma&lt;/Author&gt;&lt;Year&gt;2018&lt;/Year&gt;&lt;RecNum&gt;224&lt;/RecNum&gt;&lt;DisplayText&gt;(Basma et al., 2018)&lt;/DisplayText&gt;&lt;record&gt;&lt;rec-number&gt;224&lt;/rec-number&gt;&lt;foreign-keys&gt;&lt;key app="EN" db-id="dx5wwtzs652saherdptxawzqdrxf255xasv0" timestamp="1730108990"&gt;224&lt;/key&gt;&lt;/foreign-keys&gt;&lt;ref-type name="Journal Article"&gt;17&lt;/ref-type&gt;&lt;contributors&gt;&lt;authors&gt;&lt;author&gt;Basma, Nadir S&lt;/author&gt;&lt;author&gt;Headen, Thomas F&lt;/author&gt;&lt;author&gt;Shaffer, Milo SP&lt;/author&gt;&lt;author&gt;Skipper, Neal T&lt;/author&gt;&lt;author&gt;Howard, Christopher A&lt;/author&gt;&lt;/authors&gt;&lt;/contributors&gt;&lt;titles&gt;&lt;title&gt;Local structure and polar order in liquid N-methyl-2-pyrrolidone (NMP)&lt;/title&gt;&lt;secondary-title&gt;The Journal of Physical Chemistry B&lt;/secondary-title&gt;&lt;/titles&gt;&lt;periodical&gt;&lt;full-title&gt;The Journal of Physical Chemistry B&lt;/full-title&gt;&lt;/periodical&gt;&lt;pages&gt;8963-8971&lt;/pages&gt;&lt;volume&gt;122&lt;/volume&gt;&lt;number&gt;38&lt;/number&gt;&lt;dates&gt;&lt;year&gt;2018&lt;/year&gt;&lt;/dates&gt;&lt;isbn&gt;1520-6106&lt;/isbn&gt;&lt;urls&gt;&lt;/urls&gt;&lt;/record&gt;&lt;/Cite&gt;&lt;/EndNote&gt;</w:instrText>
      </w:r>
      <w:r w:rsidR="00FD78CD" w:rsidRPr="00455F83">
        <w:fldChar w:fldCharType="separate"/>
      </w:r>
      <w:r w:rsidR="007C5737">
        <w:rPr>
          <w:noProof/>
        </w:rPr>
        <w:t>(Basma et al., 2018)</w:t>
      </w:r>
      <w:r w:rsidR="00FD78CD" w:rsidRPr="00455F83">
        <w:fldChar w:fldCharType="end"/>
      </w:r>
      <w:r w:rsidR="00D65614" w:rsidRPr="00455F83">
        <w:t>.</w:t>
      </w:r>
      <w:r w:rsidR="008A5B6C">
        <w:t xml:space="preserve"> </w:t>
      </w:r>
      <w:r w:rsidR="00DC7FFE">
        <w:t>As for</w:t>
      </w:r>
      <w:r w:rsidR="00957992" w:rsidRPr="00455F83">
        <w:t xml:space="preserve"> the melting point, Cyrene presents a higher value than NMP. However, both </w:t>
      </w:r>
      <w:r w:rsidR="00DC7FFE">
        <w:t xml:space="preserve">the </w:t>
      </w:r>
      <w:r w:rsidR="00957992" w:rsidRPr="00455F83">
        <w:t>solvents remain in the liquid state under</w:t>
      </w:r>
      <w:r w:rsidR="00957992" w:rsidRPr="00957992">
        <w:t xml:space="preserve"> ambient conditions as well as within the typical operating temperature range of an absorption </w:t>
      </w:r>
      <w:r w:rsidR="00957992" w:rsidRPr="009D47D3">
        <w:t>column (303.15 – 3</w:t>
      </w:r>
      <w:r w:rsidR="00F34918" w:rsidRPr="009D47D3">
        <w:t>2</w:t>
      </w:r>
      <w:r w:rsidR="00957992" w:rsidRPr="009D47D3">
        <w:t>3.15 K)</w:t>
      </w:r>
      <w:r w:rsidR="00E25728" w:rsidRPr="009D47D3">
        <w:t xml:space="preserve"> and of the regeneration section, that is usually operated at higher </w:t>
      </w:r>
      <w:r w:rsidR="00E25728" w:rsidRPr="009D47D3">
        <w:lastRenderedPageBreak/>
        <w:t>temperature</w:t>
      </w:r>
      <w:r w:rsidR="00957992" w:rsidRPr="009D47D3">
        <w:t>.</w:t>
      </w:r>
      <w:r w:rsidR="00906DD6">
        <w:t xml:space="preserve"> </w:t>
      </w:r>
      <w:bookmarkStart w:id="4" w:name="_Hlk188947777"/>
      <w:r w:rsidR="009D47D3" w:rsidRPr="002A43DD">
        <w:t>Cyrene and NMP have comparable normal boiling points, with no significant difference between their two values. In contrast, Cyrene exhibits a significantly lower vapor pressure compared to NMP. This property is a significant factor, as a suitable physical (or chemical) solvent must be non-volatile to minimize solvent losses due to evaporation during the absorption process (Kohl and Nielsen, 1997), which may need further treating of the gas and an additional make-up. Therefore, Cyrene's lower vapor pressure makes it superior to NMP in meeting this criterion, enhancing its suitability as a bio-based alternative solvent</w:t>
      </w:r>
      <w:r w:rsidR="009D47D3">
        <w:t>.</w:t>
      </w:r>
      <w:r w:rsidR="00906DD6">
        <w:t xml:space="preserve"> Moreover,</w:t>
      </w:r>
      <w:bookmarkEnd w:id="4"/>
      <w:r w:rsidR="00906DD6">
        <w:t xml:space="preserve"> b</w:t>
      </w:r>
      <w:r w:rsidR="00F04E46" w:rsidRPr="009D47D3">
        <w:t>oth th</w:t>
      </w:r>
      <w:r w:rsidR="00F04E46" w:rsidRPr="00F04E46">
        <w:t>e flash point and the autoignition temperature of Cyrene are higher than those of NMP, which is advantageous as it allows the use of higher temperatures in the solvent regeneration section without the risk of solvent degradation or the formation of flammable mixtures.</w:t>
      </w:r>
      <w:r w:rsidR="008A5B6C">
        <w:t xml:space="preserve"> </w:t>
      </w:r>
      <w:r w:rsidR="000F0E56" w:rsidRPr="000F0E56">
        <w:t xml:space="preserve">In the context of viscosity, a lower value is generally preferred to facilitate efficient mass transfer rates </w:t>
      </w:r>
      <w:r w:rsidR="000F0E56">
        <w:fldChar w:fldCharType="begin"/>
      </w:r>
      <w:r w:rsidR="007C5737">
        <w:instrText xml:space="preserve"> ADDIN EN.CITE &lt;EndNote&gt;&lt;Cite&gt;&lt;Author&gt;Kohl&lt;/Author&gt;&lt;Year&gt;1997&lt;/Year&gt;&lt;RecNum&gt;27&lt;/RecNum&gt;&lt;DisplayText&gt;(Kohl and Nielsen, 1997)&lt;/DisplayText&gt;&lt;record&gt;&lt;rec-number&gt;27&lt;/rec-number&gt;&lt;foreign-keys&gt;&lt;key app="EN" db-id="dx5wwtzs652saherdptxawzqdrxf255xasv0" timestamp="1721224078"&gt;27&lt;/key&gt;&lt;/foreign-keys&gt;&lt;ref-type name="Book"&gt;6&lt;/ref-type&gt;&lt;contributors&gt;&lt;authors&gt;&lt;author&gt;Kohl, Arthur L&lt;/author&gt;&lt;author&gt;Nielsen, Richard&lt;/author&gt;&lt;/authors&gt;&lt;/contributors&gt;&lt;titles&gt;&lt;title&gt;Gas purification&lt;/title&gt;&lt;/titles&gt;&lt;dates&gt;&lt;year&gt;1997&lt;/year&gt;&lt;/dates&gt;&lt;publisher&gt;Elsevier&lt;/publisher&gt;&lt;isbn&gt;0080507204&lt;/isbn&gt;&lt;urls&gt;&lt;/urls&gt;&lt;/record&gt;&lt;/Cite&gt;&lt;/EndNote&gt;</w:instrText>
      </w:r>
      <w:r w:rsidR="000F0E56">
        <w:fldChar w:fldCharType="separate"/>
      </w:r>
      <w:r w:rsidR="007C5737">
        <w:rPr>
          <w:noProof/>
        </w:rPr>
        <w:t>(Kohl and Nielsen, 1997)</w:t>
      </w:r>
      <w:r w:rsidR="000F0E56">
        <w:fldChar w:fldCharType="end"/>
      </w:r>
      <w:r w:rsidR="000F0E56">
        <w:t xml:space="preserve">. </w:t>
      </w:r>
      <w:r w:rsidR="000F0E56" w:rsidRPr="000F0E56">
        <w:t xml:space="preserve">Although Cyrene exhibits a higher viscosity compared to NMP, this does not compromise its </w:t>
      </w:r>
      <w:r w:rsidR="000F0E56">
        <w:t>suitability</w:t>
      </w:r>
      <w:r w:rsidR="000F0E56" w:rsidRPr="000F0E56">
        <w:t xml:space="preserve"> as a physical solvent for CO</w:t>
      </w:r>
      <w:r w:rsidR="000F0E56" w:rsidRPr="000F0E56">
        <w:rPr>
          <w:vertAlign w:val="subscript"/>
        </w:rPr>
        <w:t>2</w:t>
      </w:r>
      <w:r w:rsidR="000F0E56" w:rsidRPr="000F0E56">
        <w:t xml:space="preserve"> removal, as its viscosity remains within an acceptable range.</w:t>
      </w:r>
      <w:r w:rsidR="000F0E56">
        <w:t xml:space="preserve"> </w:t>
      </w:r>
      <w:r w:rsidR="00F52282" w:rsidRPr="00F52282">
        <w:t>I</w:t>
      </w:r>
      <w:r w:rsidR="00F52282">
        <w:t>n fact</w:t>
      </w:r>
      <w:r w:rsidR="00F52282" w:rsidRPr="00F52282">
        <w:t xml:space="preserve">, its viscosity is lower than </w:t>
      </w:r>
      <w:r w:rsidR="000A4BBC">
        <w:t>the one</w:t>
      </w:r>
      <w:r w:rsidR="000A4BBC" w:rsidRPr="00F52282">
        <w:t xml:space="preserve"> </w:t>
      </w:r>
      <w:r w:rsidR="00F52282" w:rsidRPr="00F52282">
        <w:t>of Poly(ethylene glycol) dimethyl ether, another traditional solvent widely used for the same p</w:t>
      </w:r>
      <w:r w:rsidR="009965A7">
        <w:t>urpose</w:t>
      </w:r>
      <w:r w:rsidR="00F52282" w:rsidRPr="00F52282">
        <w:t>.</w:t>
      </w:r>
      <w:r w:rsidR="008A5B6C">
        <w:t xml:space="preserve"> </w:t>
      </w:r>
      <w:r w:rsidR="000A4BBC">
        <w:t xml:space="preserve">The density </w:t>
      </w:r>
      <w:r>
        <w:t>values are quite similar for both solvents</w:t>
      </w:r>
      <w:r w:rsidR="005961A1">
        <w:t>.</w:t>
      </w:r>
      <w:r w:rsidR="00433112">
        <w:t xml:space="preserve"> </w:t>
      </w:r>
      <w:r w:rsidR="009444FE">
        <w:t>T</w:t>
      </w:r>
      <w:r w:rsidR="000A4BBC">
        <w:t xml:space="preserve">he </w:t>
      </w:r>
      <w:r w:rsidR="00965FC3">
        <w:t>C</w:t>
      </w:r>
      <w:r>
        <w:t xml:space="preserve">yrene </w:t>
      </w:r>
      <w:r w:rsidR="00C178D2">
        <w:t>hydro</w:t>
      </w:r>
      <w:r>
        <w:t xml:space="preserve"> solubility is significantly higher than </w:t>
      </w:r>
      <w:r w:rsidR="000A4BBC">
        <w:t xml:space="preserve">the one </w:t>
      </w:r>
      <w:r>
        <w:t>of NMP</w:t>
      </w:r>
      <w:r w:rsidR="00B660A8" w:rsidRPr="00B660A8">
        <w:t>.</w:t>
      </w:r>
      <w:r>
        <w:t xml:space="preserve"> This </w:t>
      </w:r>
      <w:r w:rsidR="00C178D2">
        <w:t>high-water</w:t>
      </w:r>
      <w:r>
        <w:t xml:space="preserve"> solubility could </w:t>
      </w:r>
      <w:r w:rsidR="0090633F">
        <w:t>be a problem</w:t>
      </w:r>
      <w:r>
        <w:t xml:space="preserve">, </w:t>
      </w:r>
      <w:r w:rsidR="000A4BBC">
        <w:t xml:space="preserve">in particular for the </w:t>
      </w:r>
      <w:r>
        <w:t xml:space="preserve">gases </w:t>
      </w:r>
      <w:r w:rsidR="009444FE">
        <w:t xml:space="preserve">characterized by </w:t>
      </w:r>
      <w:r w:rsidR="000A4BBC">
        <w:t>a</w:t>
      </w:r>
      <w:r>
        <w:t xml:space="preserve"> substantial water content, which</w:t>
      </w:r>
      <w:r w:rsidR="000A4BBC">
        <w:t>, if not removed at least in bulk amount in a pretreatment section,</w:t>
      </w:r>
      <w:r>
        <w:t xml:space="preserve"> may reduce the CO</w:t>
      </w:r>
      <w:r>
        <w:rPr>
          <w:rFonts w:ascii="Cambria Math" w:hAnsi="Cambria Math" w:cs="Cambria Math"/>
        </w:rPr>
        <w:t>₂</w:t>
      </w:r>
      <w:r>
        <w:t xml:space="preserve"> absorption efficiency.</w:t>
      </w:r>
    </w:p>
    <w:p w14:paraId="4AD5B87B" w14:textId="0432A24D" w:rsidR="00C779F0" w:rsidRPr="00B57B36" w:rsidRDefault="0000304F" w:rsidP="00813F58">
      <w:pPr>
        <w:pStyle w:val="CETTabletitle"/>
        <w:spacing w:before="120"/>
      </w:pPr>
      <w:bookmarkStart w:id="5" w:name="_Ref181804116"/>
      <w:r>
        <w:t xml:space="preserve">Table </w:t>
      </w:r>
      <w:r>
        <w:fldChar w:fldCharType="begin"/>
      </w:r>
      <w:r>
        <w:instrText xml:space="preserve"> SEQ Table \* ARABIC </w:instrText>
      </w:r>
      <w:r>
        <w:fldChar w:fldCharType="separate"/>
      </w:r>
      <w:r w:rsidR="007C6944">
        <w:rPr>
          <w:noProof/>
        </w:rPr>
        <w:t>2</w:t>
      </w:r>
      <w:r>
        <w:fldChar w:fldCharType="end"/>
      </w:r>
      <w:bookmarkEnd w:id="5"/>
      <w:r>
        <w:t xml:space="preserve">: </w:t>
      </w:r>
      <w:r w:rsidR="00C779F0">
        <w:t xml:space="preserve">Comparison between the physical properties of </w:t>
      </w:r>
      <w:r w:rsidR="00965FC3">
        <w:t>C</w:t>
      </w:r>
      <w:r w:rsidR="00C779F0">
        <w:t>yrene and NMP</w:t>
      </w:r>
      <w:r w:rsidR="003C23DD">
        <w:t xml:space="preserve"> (SDS stands for Safety DataSheet)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77"/>
        <w:gridCol w:w="601"/>
        <w:gridCol w:w="812"/>
        <w:gridCol w:w="812"/>
        <w:gridCol w:w="1877"/>
        <w:gridCol w:w="2508"/>
      </w:tblGrid>
      <w:tr w:rsidR="00C178D2" w:rsidRPr="00B57B36" w14:paraId="7E4C24D5" w14:textId="0A8C973E" w:rsidTr="00756F74">
        <w:tc>
          <w:tcPr>
            <w:tcW w:w="1239" w:type="pct"/>
            <w:tcBorders>
              <w:top w:val="single" w:sz="12" w:space="0" w:color="008000"/>
              <w:bottom w:val="single" w:sz="6" w:space="0" w:color="008000"/>
            </w:tcBorders>
            <w:shd w:val="clear" w:color="auto" w:fill="FFFFFF"/>
          </w:tcPr>
          <w:p w14:paraId="041331C3" w14:textId="77777777" w:rsidR="00C178D2" w:rsidRPr="00B57B36" w:rsidRDefault="00C178D2" w:rsidP="00116348">
            <w:pPr>
              <w:pStyle w:val="CETBodytext"/>
              <w:rPr>
                <w:lang w:val="en-GB"/>
              </w:rPr>
            </w:pPr>
            <w:r w:rsidRPr="00BC1A35">
              <w:t>Physical property</w:t>
            </w:r>
          </w:p>
        </w:tc>
        <w:tc>
          <w:tcPr>
            <w:tcW w:w="342" w:type="pct"/>
            <w:tcBorders>
              <w:top w:val="single" w:sz="12" w:space="0" w:color="008000"/>
              <w:bottom w:val="single" w:sz="6" w:space="0" w:color="008000"/>
            </w:tcBorders>
            <w:shd w:val="clear" w:color="auto" w:fill="FFFFFF"/>
          </w:tcPr>
          <w:p w14:paraId="6F68A89B" w14:textId="77777777" w:rsidR="00C178D2" w:rsidRPr="00B57B36" w:rsidRDefault="00C178D2" w:rsidP="00116348">
            <w:pPr>
              <w:pStyle w:val="CETBodytext"/>
              <w:rPr>
                <w:lang w:val="en-GB"/>
              </w:rPr>
            </w:pPr>
            <w:r w:rsidRPr="00BC1A35">
              <w:t>Unit</w:t>
            </w:r>
          </w:p>
        </w:tc>
        <w:tc>
          <w:tcPr>
            <w:tcW w:w="462" w:type="pct"/>
            <w:tcBorders>
              <w:top w:val="single" w:sz="12" w:space="0" w:color="008000"/>
              <w:bottom w:val="single" w:sz="6" w:space="0" w:color="008000"/>
            </w:tcBorders>
            <w:shd w:val="clear" w:color="auto" w:fill="FFFFFF"/>
          </w:tcPr>
          <w:p w14:paraId="1D1926F1" w14:textId="77777777" w:rsidR="00C178D2" w:rsidRPr="00B57B36" w:rsidRDefault="00C178D2" w:rsidP="00116348">
            <w:pPr>
              <w:pStyle w:val="CETBodytext"/>
              <w:rPr>
                <w:lang w:val="en-GB"/>
              </w:rPr>
            </w:pPr>
            <w:r w:rsidRPr="00BC1A35">
              <w:t>Cyrene</w:t>
            </w:r>
          </w:p>
        </w:tc>
        <w:tc>
          <w:tcPr>
            <w:tcW w:w="462" w:type="pct"/>
            <w:tcBorders>
              <w:top w:val="single" w:sz="12" w:space="0" w:color="008000"/>
              <w:bottom w:val="single" w:sz="6" w:space="0" w:color="008000"/>
            </w:tcBorders>
            <w:shd w:val="clear" w:color="auto" w:fill="FFFFFF"/>
          </w:tcPr>
          <w:p w14:paraId="68F79CED" w14:textId="77777777" w:rsidR="00C178D2" w:rsidRPr="00B57B36" w:rsidRDefault="00C178D2" w:rsidP="00116348">
            <w:pPr>
              <w:pStyle w:val="CETBodytext"/>
              <w:ind w:right="-1"/>
              <w:rPr>
                <w:rFonts w:cs="Arial"/>
                <w:szCs w:val="18"/>
                <w:lang w:val="en-GB"/>
              </w:rPr>
            </w:pPr>
            <w:r w:rsidRPr="00BC1A35">
              <w:t>NMP</w:t>
            </w:r>
          </w:p>
        </w:tc>
        <w:tc>
          <w:tcPr>
            <w:tcW w:w="1068" w:type="pct"/>
            <w:tcBorders>
              <w:top w:val="single" w:sz="12" w:space="0" w:color="008000"/>
              <w:bottom w:val="single" w:sz="6" w:space="0" w:color="008000"/>
            </w:tcBorders>
            <w:shd w:val="clear" w:color="auto" w:fill="FFFFFF"/>
          </w:tcPr>
          <w:p w14:paraId="75AD8F1E" w14:textId="6D5E4828" w:rsidR="00C178D2" w:rsidRPr="00BC1A35" w:rsidRDefault="00C178D2" w:rsidP="00116348">
            <w:pPr>
              <w:pStyle w:val="CETBodytext"/>
              <w:ind w:right="-1"/>
            </w:pPr>
            <w:r>
              <w:t>Measured at</w:t>
            </w:r>
          </w:p>
        </w:tc>
        <w:tc>
          <w:tcPr>
            <w:tcW w:w="1427" w:type="pct"/>
            <w:tcBorders>
              <w:top w:val="single" w:sz="12" w:space="0" w:color="008000"/>
              <w:bottom w:val="single" w:sz="6" w:space="0" w:color="008000"/>
            </w:tcBorders>
            <w:shd w:val="clear" w:color="auto" w:fill="FFFFFF"/>
          </w:tcPr>
          <w:p w14:paraId="4E92E86F" w14:textId="0BC60FB9" w:rsidR="00C178D2" w:rsidRDefault="00C178D2" w:rsidP="00116348">
            <w:pPr>
              <w:pStyle w:val="CETBodytext"/>
              <w:ind w:right="-1"/>
            </w:pPr>
            <w:r>
              <w:t>Source</w:t>
            </w:r>
          </w:p>
        </w:tc>
      </w:tr>
      <w:tr w:rsidR="00C178D2" w:rsidRPr="00F65507" w14:paraId="5CE18BCE" w14:textId="74EBCC07" w:rsidTr="00756F74">
        <w:tc>
          <w:tcPr>
            <w:tcW w:w="1239" w:type="pct"/>
            <w:shd w:val="clear" w:color="auto" w:fill="FFFFFF"/>
          </w:tcPr>
          <w:p w14:paraId="4A2DFF6E" w14:textId="77777777" w:rsidR="00C178D2" w:rsidRPr="00B57B36" w:rsidRDefault="00C178D2" w:rsidP="00116348">
            <w:pPr>
              <w:pStyle w:val="CETBodytext"/>
              <w:rPr>
                <w:lang w:val="en-GB"/>
              </w:rPr>
            </w:pPr>
            <w:r w:rsidRPr="00BC1A35">
              <w:t>Molecular weight</w:t>
            </w:r>
          </w:p>
        </w:tc>
        <w:tc>
          <w:tcPr>
            <w:tcW w:w="342" w:type="pct"/>
            <w:shd w:val="clear" w:color="auto" w:fill="FFFFFF"/>
          </w:tcPr>
          <w:p w14:paraId="61AD0922" w14:textId="77777777" w:rsidR="00C178D2" w:rsidRPr="00B57B36" w:rsidRDefault="00C178D2" w:rsidP="00116348">
            <w:pPr>
              <w:pStyle w:val="CETBodytext"/>
              <w:rPr>
                <w:lang w:val="en-GB"/>
              </w:rPr>
            </w:pPr>
            <w:r w:rsidRPr="00BC1A35">
              <w:t>[g/mol]</w:t>
            </w:r>
          </w:p>
        </w:tc>
        <w:tc>
          <w:tcPr>
            <w:tcW w:w="462" w:type="pct"/>
            <w:shd w:val="clear" w:color="auto" w:fill="FFFFFF"/>
          </w:tcPr>
          <w:p w14:paraId="464445F4" w14:textId="77777777" w:rsidR="00C178D2" w:rsidRPr="00B57B36" w:rsidRDefault="00C178D2" w:rsidP="00116348">
            <w:pPr>
              <w:pStyle w:val="CETBodytext"/>
              <w:rPr>
                <w:lang w:val="en-GB"/>
              </w:rPr>
            </w:pPr>
            <w:r w:rsidRPr="00BC1A35">
              <w:t>128.13</w:t>
            </w:r>
          </w:p>
        </w:tc>
        <w:tc>
          <w:tcPr>
            <w:tcW w:w="462" w:type="pct"/>
            <w:shd w:val="clear" w:color="auto" w:fill="FFFFFF"/>
          </w:tcPr>
          <w:p w14:paraId="443C6AFF" w14:textId="77777777" w:rsidR="00C178D2" w:rsidRPr="00B57B36" w:rsidRDefault="00C178D2" w:rsidP="00116348">
            <w:pPr>
              <w:pStyle w:val="CETBodytext"/>
              <w:ind w:right="-1"/>
              <w:rPr>
                <w:rFonts w:cs="Arial"/>
                <w:szCs w:val="18"/>
                <w:lang w:val="en-GB"/>
              </w:rPr>
            </w:pPr>
            <w:r w:rsidRPr="00BC1A35">
              <w:t>99.13</w:t>
            </w:r>
          </w:p>
        </w:tc>
        <w:tc>
          <w:tcPr>
            <w:tcW w:w="1068" w:type="pct"/>
            <w:shd w:val="clear" w:color="auto" w:fill="FFFFFF"/>
          </w:tcPr>
          <w:p w14:paraId="3FEABA8A" w14:textId="77777777" w:rsidR="00C178D2" w:rsidRPr="00BC1A35" w:rsidRDefault="00C178D2" w:rsidP="00116348">
            <w:pPr>
              <w:pStyle w:val="CETBodytext"/>
              <w:ind w:right="-1"/>
            </w:pPr>
          </w:p>
        </w:tc>
        <w:tc>
          <w:tcPr>
            <w:tcW w:w="1427" w:type="pct"/>
            <w:shd w:val="clear" w:color="auto" w:fill="FFFFFF"/>
          </w:tcPr>
          <w:p w14:paraId="14FF235A" w14:textId="5F99E44D" w:rsidR="00C178D2" w:rsidRPr="00F65507" w:rsidRDefault="00452D8D" w:rsidP="00116348">
            <w:pPr>
              <w:pStyle w:val="CETBodytext"/>
              <w:ind w:right="-1"/>
              <w:rPr>
                <w:lang w:val="it-IT"/>
              </w:rPr>
            </w:pPr>
            <w:r>
              <w:fldChar w:fldCharType="begin"/>
            </w:r>
            <w:r w:rsidR="00276BB4">
              <w:instrText xml:space="preserve"> ADDIN EN.CITE &lt;EndNote&gt;&lt;Cite&gt;&lt;RecNum&gt;172&lt;/RecNum&gt;&lt;DisplayText&gt;(SDS - Cyrene; SDS - NMP)&lt;/DisplayText&gt;&lt;record&gt;&lt;rec-number&gt;172&lt;/rec-number&gt;&lt;foreign-keys&gt;&lt;key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172&lt;/RecNum&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183&lt;/RecNum&gt;&lt;record&gt;&lt;rec-number&gt;183&lt;/rec-number&gt;&lt;foreign-keys&gt;&lt;key app="EN" db-id="dx5wwtzs652saherdptxawzqdrxf255xasv0" timestamp="1724236111"&gt;183&lt;/key&gt;&lt;/foreign-keys&gt;&lt;ref-type name="Web Page"&gt;12&lt;/ref-type&gt;&lt;contributors&gt;&lt;/contributors&gt;&lt;titles&gt;&lt;title&gt;SDS - N-methyl-2-pyrrolidone &lt;/title&gt;&lt;/titles&gt;&lt;pages&gt;Sigma Aldrich&lt;/pages&gt;&lt;volume&gt;2024&lt;/volume&gt;&lt;number&gt;21/08/2024&lt;/number&gt;&lt;dates&gt;&lt;/dates&gt;&lt;label&gt;SDS - NMP&lt;/label&gt;&lt;urls&gt;&lt;related-urls&gt;&lt;url&gt;https://www.sigmaaldrich.com/IT/en/sds/sigald/443778?userType=anonymous&lt;/url&gt;&lt;/related-urls&gt;&lt;/urls&gt;&lt;/record&gt;&lt;/Cite&gt;&lt;/EndNote&gt;</w:instrText>
            </w:r>
            <w:r>
              <w:fldChar w:fldCharType="separate"/>
            </w:r>
            <w:r w:rsidR="00276BB4">
              <w:rPr>
                <w:noProof/>
              </w:rPr>
              <w:t>(SDS - Cyrene; SDS - NMP)</w:t>
            </w:r>
            <w:r>
              <w:fldChar w:fldCharType="end"/>
            </w:r>
          </w:p>
        </w:tc>
      </w:tr>
      <w:tr w:rsidR="00C178D2" w:rsidRPr="00B57B36" w14:paraId="5F20E546" w14:textId="1AFC0273" w:rsidTr="00756F74">
        <w:tc>
          <w:tcPr>
            <w:tcW w:w="1239" w:type="pct"/>
            <w:shd w:val="clear" w:color="auto" w:fill="FFFFFF"/>
          </w:tcPr>
          <w:p w14:paraId="53BD4F80" w14:textId="77777777" w:rsidR="00C178D2" w:rsidRPr="00B57B36" w:rsidRDefault="00C178D2" w:rsidP="00116348">
            <w:pPr>
              <w:pStyle w:val="CETBodytext"/>
              <w:rPr>
                <w:lang w:val="en-GB"/>
              </w:rPr>
            </w:pPr>
            <w:r w:rsidRPr="00BC1A35">
              <w:t>Melting point</w:t>
            </w:r>
          </w:p>
        </w:tc>
        <w:tc>
          <w:tcPr>
            <w:tcW w:w="342" w:type="pct"/>
            <w:shd w:val="clear" w:color="auto" w:fill="FFFFFF"/>
          </w:tcPr>
          <w:p w14:paraId="209FD065" w14:textId="77777777" w:rsidR="00C178D2" w:rsidRPr="00B57B36" w:rsidRDefault="00C178D2" w:rsidP="00116348">
            <w:pPr>
              <w:pStyle w:val="CETBodytext"/>
              <w:rPr>
                <w:lang w:val="en-GB"/>
              </w:rPr>
            </w:pPr>
            <w:r w:rsidRPr="00BC1A35">
              <w:t>[K]</w:t>
            </w:r>
          </w:p>
        </w:tc>
        <w:tc>
          <w:tcPr>
            <w:tcW w:w="462" w:type="pct"/>
            <w:shd w:val="clear" w:color="auto" w:fill="FFFFFF"/>
          </w:tcPr>
          <w:p w14:paraId="2E0A85F0" w14:textId="77777777" w:rsidR="00C178D2" w:rsidRPr="00B57B36" w:rsidRDefault="00C178D2" w:rsidP="00116348">
            <w:pPr>
              <w:pStyle w:val="CETBodytext"/>
              <w:rPr>
                <w:lang w:val="en-GB"/>
              </w:rPr>
            </w:pPr>
            <w:r w:rsidRPr="00BC1A35">
              <w:t>&lt; 253.15</w:t>
            </w:r>
          </w:p>
        </w:tc>
        <w:tc>
          <w:tcPr>
            <w:tcW w:w="462" w:type="pct"/>
            <w:shd w:val="clear" w:color="auto" w:fill="FFFFFF"/>
          </w:tcPr>
          <w:p w14:paraId="64C11A75" w14:textId="77777777" w:rsidR="00C178D2" w:rsidRPr="00B57B36" w:rsidRDefault="00C178D2" w:rsidP="00116348">
            <w:pPr>
              <w:pStyle w:val="CETBodytext"/>
              <w:ind w:right="-1"/>
              <w:rPr>
                <w:rFonts w:cs="Arial"/>
                <w:szCs w:val="18"/>
                <w:lang w:val="en-GB"/>
              </w:rPr>
            </w:pPr>
            <w:r w:rsidRPr="00BC1A35">
              <w:t>249.15</w:t>
            </w:r>
          </w:p>
        </w:tc>
        <w:tc>
          <w:tcPr>
            <w:tcW w:w="1068" w:type="pct"/>
            <w:shd w:val="clear" w:color="auto" w:fill="FFFFFF"/>
          </w:tcPr>
          <w:p w14:paraId="3252C842" w14:textId="77777777" w:rsidR="00C178D2" w:rsidRPr="00BC1A35" w:rsidRDefault="00C178D2" w:rsidP="00116348">
            <w:pPr>
              <w:pStyle w:val="CETBodytext"/>
              <w:ind w:right="-1"/>
            </w:pPr>
          </w:p>
        </w:tc>
        <w:tc>
          <w:tcPr>
            <w:tcW w:w="1427" w:type="pct"/>
            <w:shd w:val="clear" w:color="auto" w:fill="FFFFFF"/>
          </w:tcPr>
          <w:p w14:paraId="50F6A595" w14:textId="3DE95BD4" w:rsidR="00C178D2" w:rsidRPr="00BC1A35" w:rsidRDefault="00F65507" w:rsidP="00116348">
            <w:pPr>
              <w:pStyle w:val="CETBodytext"/>
              <w:ind w:right="-1"/>
            </w:pPr>
            <w:r>
              <w:fldChar w:fldCharType="begin"/>
            </w:r>
            <w:r w:rsidR="00276BB4">
              <w:instrText xml:space="preserve"> ADDIN EN.CITE &lt;EndNote&gt;&lt;Cite&gt;&lt;RecNum&gt;172&lt;/RecNum&gt;&lt;DisplayText&gt;(SDS - Cyrene; SDS - NMP)&lt;/DisplayText&gt;&lt;record&gt;&lt;rec-number&gt;172&lt;/rec-number&gt;&lt;foreign-keys&gt;&lt;key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172&lt;/RecNum&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183&lt;/RecNum&gt;&lt;record&gt;&lt;rec-number&gt;183&lt;/rec-number&gt;&lt;foreign-keys&gt;&lt;key app="EN" db-id="dx5wwtzs652saherdptxawzqdrxf255xasv0" timestamp="1724236111"&gt;183&lt;/key&gt;&lt;/foreign-keys&gt;&lt;ref-type name="Web Page"&gt;12&lt;/ref-type&gt;&lt;contributors&gt;&lt;/contributors&gt;&lt;titles&gt;&lt;title&gt;SDS - N-methyl-2-pyrrolidone &lt;/title&gt;&lt;/titles&gt;&lt;pages&gt;Sigma Aldrich&lt;/pages&gt;&lt;volume&gt;2024&lt;/volume&gt;&lt;number&gt;21/08/2024&lt;/number&gt;&lt;dates&gt;&lt;/dates&gt;&lt;label&gt;SDS - NMP&lt;/label&gt;&lt;urls&gt;&lt;related-urls&gt;&lt;url&gt;https://www.sigmaaldrich.com/IT/en/sds/sigald/443778?userType=anonymous&lt;/url&gt;&lt;/related-urls&gt;&lt;/urls&gt;&lt;/record&gt;&lt;/Cite&gt;&lt;/EndNote&gt;</w:instrText>
            </w:r>
            <w:r>
              <w:fldChar w:fldCharType="separate"/>
            </w:r>
            <w:r w:rsidR="00276BB4">
              <w:rPr>
                <w:noProof/>
              </w:rPr>
              <w:t>(SDS - Cyrene; SDS - NMP)</w:t>
            </w:r>
            <w:r>
              <w:fldChar w:fldCharType="end"/>
            </w:r>
          </w:p>
        </w:tc>
      </w:tr>
      <w:tr w:rsidR="0090633F" w:rsidRPr="00B57B36" w14:paraId="20C83B55" w14:textId="213B1AA0" w:rsidTr="00756F74">
        <w:tc>
          <w:tcPr>
            <w:tcW w:w="1239" w:type="pct"/>
            <w:shd w:val="clear" w:color="auto" w:fill="FFFFFF"/>
          </w:tcPr>
          <w:p w14:paraId="0C08A86B" w14:textId="0FE18659" w:rsidR="0090633F" w:rsidRPr="00B57B36" w:rsidRDefault="0090633F" w:rsidP="0090633F">
            <w:pPr>
              <w:pStyle w:val="CETBodytext"/>
              <w:rPr>
                <w:lang w:val="en-GB"/>
              </w:rPr>
            </w:pPr>
            <w:r>
              <w:t>Normal b</w:t>
            </w:r>
            <w:r w:rsidRPr="00BC1A35">
              <w:t>oiling point</w:t>
            </w:r>
          </w:p>
        </w:tc>
        <w:tc>
          <w:tcPr>
            <w:tcW w:w="342" w:type="pct"/>
            <w:shd w:val="clear" w:color="auto" w:fill="FFFFFF"/>
          </w:tcPr>
          <w:p w14:paraId="4331B942" w14:textId="77777777" w:rsidR="0090633F" w:rsidRPr="00B57B36" w:rsidRDefault="0090633F" w:rsidP="0090633F">
            <w:pPr>
              <w:pStyle w:val="CETBodytext"/>
              <w:rPr>
                <w:lang w:val="en-GB"/>
              </w:rPr>
            </w:pPr>
            <w:r w:rsidRPr="00BC1A35">
              <w:t>[K]</w:t>
            </w:r>
          </w:p>
        </w:tc>
        <w:tc>
          <w:tcPr>
            <w:tcW w:w="462" w:type="pct"/>
            <w:shd w:val="clear" w:color="auto" w:fill="FFFFFF"/>
          </w:tcPr>
          <w:p w14:paraId="659CEF24" w14:textId="71E6E0DC" w:rsidR="0090633F" w:rsidRPr="00B57B36" w:rsidRDefault="0090633F" w:rsidP="0090633F">
            <w:pPr>
              <w:pStyle w:val="CETBodytext"/>
              <w:rPr>
                <w:lang w:val="en-GB"/>
              </w:rPr>
            </w:pPr>
            <w:r>
              <w:t>479.70</w:t>
            </w:r>
          </w:p>
        </w:tc>
        <w:tc>
          <w:tcPr>
            <w:tcW w:w="462" w:type="pct"/>
            <w:shd w:val="clear" w:color="auto" w:fill="FFFFFF"/>
          </w:tcPr>
          <w:p w14:paraId="508F33EF" w14:textId="11332388" w:rsidR="0090633F" w:rsidRPr="00B57B36" w:rsidRDefault="0090633F" w:rsidP="0090633F">
            <w:pPr>
              <w:pStyle w:val="CETBodytext"/>
              <w:ind w:right="-1"/>
              <w:rPr>
                <w:rFonts w:cs="Arial"/>
                <w:szCs w:val="18"/>
                <w:lang w:val="en-GB"/>
              </w:rPr>
            </w:pPr>
            <w:r>
              <w:t>477.23</w:t>
            </w:r>
          </w:p>
        </w:tc>
        <w:tc>
          <w:tcPr>
            <w:tcW w:w="1068" w:type="pct"/>
            <w:shd w:val="clear" w:color="auto" w:fill="FFFFFF"/>
          </w:tcPr>
          <w:p w14:paraId="290A4CC9" w14:textId="3674209F" w:rsidR="0090633F" w:rsidRDefault="0090633F" w:rsidP="0090633F">
            <w:pPr>
              <w:pStyle w:val="CETBodytext"/>
              <w:ind w:right="-1"/>
            </w:pPr>
            <w:r>
              <w:t>101325 Pa</w:t>
            </w:r>
          </w:p>
        </w:tc>
        <w:tc>
          <w:tcPr>
            <w:tcW w:w="1427" w:type="pct"/>
            <w:shd w:val="clear" w:color="auto" w:fill="FFFFFF"/>
          </w:tcPr>
          <w:p w14:paraId="73792944" w14:textId="65905D67" w:rsidR="0090633F" w:rsidRDefault="0090633F" w:rsidP="0090633F">
            <w:pPr>
              <w:pStyle w:val="CETBodytext"/>
              <w:ind w:right="-1"/>
            </w:pPr>
            <w:r w:rsidRPr="00777B92">
              <w:rPr>
                <w:color w:val="000000" w:themeColor="text1"/>
              </w:rPr>
              <w:t>Aspen Plus</w:t>
            </w:r>
            <w:r w:rsidRPr="00777B92">
              <w:rPr>
                <w:rFonts w:cs="AdvTT7b515deb"/>
                <w:color w:val="000000" w:themeColor="text1"/>
                <w:vertAlign w:val="superscript"/>
              </w:rPr>
              <w:t>®</w:t>
            </w:r>
            <w:r w:rsidRPr="00777B92">
              <w:rPr>
                <w:rFonts w:cs="AdvTT7b515deb"/>
                <w:color w:val="000000" w:themeColor="text1"/>
              </w:rPr>
              <w:t xml:space="preserve"> V1</w:t>
            </w:r>
            <w:r>
              <w:rPr>
                <w:rFonts w:cs="AdvTT7b515deb"/>
                <w:color w:val="000000" w:themeColor="text1"/>
              </w:rPr>
              <w:t>4</w:t>
            </w:r>
          </w:p>
        </w:tc>
      </w:tr>
      <w:tr w:rsidR="00BD5CC1" w:rsidRPr="00B57B36" w14:paraId="578A7A4A" w14:textId="77777777" w:rsidTr="00756F74">
        <w:tc>
          <w:tcPr>
            <w:tcW w:w="1239" w:type="pct"/>
            <w:shd w:val="clear" w:color="auto" w:fill="FFFFFF"/>
          </w:tcPr>
          <w:p w14:paraId="180E680B" w14:textId="6D1EA774" w:rsidR="00BD5CC1" w:rsidRDefault="00BD5CC1" w:rsidP="00BD5CC1">
            <w:pPr>
              <w:pStyle w:val="CETBodytext"/>
            </w:pPr>
            <w:r w:rsidRPr="00025F3C">
              <w:t xml:space="preserve">Vapor </w:t>
            </w:r>
            <w:r w:rsidR="00A40D89">
              <w:t>pressure</w:t>
            </w:r>
          </w:p>
        </w:tc>
        <w:tc>
          <w:tcPr>
            <w:tcW w:w="342" w:type="pct"/>
            <w:shd w:val="clear" w:color="auto" w:fill="FFFFFF"/>
          </w:tcPr>
          <w:p w14:paraId="7BBA1B2D" w14:textId="3AAA5EDD" w:rsidR="00BD5CC1" w:rsidRPr="00BC1A35" w:rsidRDefault="00BD5CC1" w:rsidP="00BD5CC1">
            <w:pPr>
              <w:pStyle w:val="CETBodytext"/>
            </w:pPr>
            <w:r w:rsidRPr="00025F3C">
              <w:t>[Pa]</w:t>
            </w:r>
          </w:p>
        </w:tc>
        <w:tc>
          <w:tcPr>
            <w:tcW w:w="462" w:type="pct"/>
            <w:shd w:val="clear" w:color="auto" w:fill="FFFFFF"/>
          </w:tcPr>
          <w:p w14:paraId="2DB17B7E" w14:textId="3506112A" w:rsidR="00BD5CC1" w:rsidRDefault="00BD5CC1" w:rsidP="00BD5CC1">
            <w:pPr>
              <w:pStyle w:val="CETBodytext"/>
            </w:pPr>
            <w:r w:rsidRPr="00025F3C">
              <w:t>7.49</w:t>
            </w:r>
          </w:p>
        </w:tc>
        <w:tc>
          <w:tcPr>
            <w:tcW w:w="462" w:type="pct"/>
            <w:shd w:val="clear" w:color="auto" w:fill="FFFFFF"/>
          </w:tcPr>
          <w:p w14:paraId="0CDB6B37" w14:textId="44CD39AC" w:rsidR="00BD5CC1" w:rsidRDefault="00BD5CC1" w:rsidP="00BD5CC1">
            <w:pPr>
              <w:pStyle w:val="CETBodytext"/>
              <w:ind w:right="-1"/>
            </w:pPr>
            <w:r w:rsidRPr="00025F3C">
              <w:t>45.95</w:t>
            </w:r>
          </w:p>
        </w:tc>
        <w:tc>
          <w:tcPr>
            <w:tcW w:w="1068" w:type="pct"/>
            <w:shd w:val="clear" w:color="auto" w:fill="FFFFFF"/>
          </w:tcPr>
          <w:p w14:paraId="58ACD9AC" w14:textId="102A44EB" w:rsidR="00BD5CC1" w:rsidRDefault="00BD5CC1" w:rsidP="00BD5CC1">
            <w:pPr>
              <w:pStyle w:val="CETBodytext"/>
              <w:ind w:right="-1"/>
            </w:pPr>
            <w:r w:rsidRPr="00025F3C">
              <w:t>298.15 K</w:t>
            </w:r>
          </w:p>
        </w:tc>
        <w:tc>
          <w:tcPr>
            <w:tcW w:w="1427" w:type="pct"/>
            <w:shd w:val="clear" w:color="auto" w:fill="FFFFFF"/>
          </w:tcPr>
          <w:p w14:paraId="7A277A44" w14:textId="40A29F26" w:rsidR="00BD5CC1" w:rsidRPr="00777B92" w:rsidRDefault="00BD5CC1" w:rsidP="00BD5CC1">
            <w:pPr>
              <w:pStyle w:val="CETBodytext"/>
              <w:ind w:right="-1"/>
              <w:rPr>
                <w:color w:val="000000" w:themeColor="text1"/>
              </w:rPr>
            </w:pPr>
            <w:r w:rsidRPr="00025F3C">
              <w:t>Aspen Plus</w:t>
            </w:r>
            <w:r w:rsidRPr="002736FB">
              <w:rPr>
                <w:vertAlign w:val="superscript"/>
              </w:rPr>
              <w:t>®</w:t>
            </w:r>
            <w:r w:rsidRPr="00025F3C">
              <w:t xml:space="preserve"> V14</w:t>
            </w:r>
          </w:p>
        </w:tc>
      </w:tr>
      <w:tr w:rsidR="0090633F" w:rsidRPr="00B57B36" w14:paraId="223E7E52" w14:textId="0A30F7F0" w:rsidTr="00756F74">
        <w:tc>
          <w:tcPr>
            <w:tcW w:w="1239" w:type="pct"/>
            <w:shd w:val="clear" w:color="auto" w:fill="FFFFFF"/>
          </w:tcPr>
          <w:p w14:paraId="3C98E7BF" w14:textId="77777777" w:rsidR="0090633F" w:rsidRPr="00B57B36" w:rsidRDefault="0090633F" w:rsidP="0090633F">
            <w:pPr>
              <w:pStyle w:val="CETBodytext"/>
              <w:rPr>
                <w:lang w:val="en-GB"/>
              </w:rPr>
            </w:pPr>
            <w:r w:rsidRPr="00BC1A35">
              <w:t>Flash point</w:t>
            </w:r>
          </w:p>
        </w:tc>
        <w:tc>
          <w:tcPr>
            <w:tcW w:w="342" w:type="pct"/>
            <w:shd w:val="clear" w:color="auto" w:fill="FFFFFF"/>
          </w:tcPr>
          <w:p w14:paraId="50FF693F" w14:textId="77777777" w:rsidR="0090633F" w:rsidRPr="00B57B36" w:rsidRDefault="0090633F" w:rsidP="0090633F">
            <w:pPr>
              <w:pStyle w:val="CETBodytext"/>
              <w:rPr>
                <w:lang w:val="en-GB"/>
              </w:rPr>
            </w:pPr>
            <w:r w:rsidRPr="00BC1A35">
              <w:t>[K]</w:t>
            </w:r>
          </w:p>
        </w:tc>
        <w:tc>
          <w:tcPr>
            <w:tcW w:w="462" w:type="pct"/>
            <w:shd w:val="clear" w:color="auto" w:fill="FFFFFF"/>
          </w:tcPr>
          <w:p w14:paraId="71756E13" w14:textId="0C9B1EB5" w:rsidR="0090633F" w:rsidRPr="00B57B36" w:rsidRDefault="0090633F" w:rsidP="0090633F">
            <w:pPr>
              <w:pStyle w:val="CETBodytext"/>
              <w:rPr>
                <w:lang w:val="en-GB"/>
              </w:rPr>
            </w:pPr>
            <w:r w:rsidRPr="00BC1A35">
              <w:t>381.15</w:t>
            </w:r>
          </w:p>
        </w:tc>
        <w:tc>
          <w:tcPr>
            <w:tcW w:w="462" w:type="pct"/>
            <w:shd w:val="clear" w:color="auto" w:fill="FFFFFF"/>
          </w:tcPr>
          <w:p w14:paraId="410CC716" w14:textId="35F5B123" w:rsidR="0090633F" w:rsidRPr="00B57B36" w:rsidRDefault="0090633F" w:rsidP="0090633F">
            <w:pPr>
              <w:pStyle w:val="CETBodytext"/>
              <w:ind w:right="-1"/>
              <w:rPr>
                <w:rFonts w:cs="Arial"/>
                <w:szCs w:val="18"/>
                <w:lang w:val="en-GB"/>
              </w:rPr>
            </w:pPr>
            <w:r w:rsidRPr="00BC1A35">
              <w:t>364.15</w:t>
            </w:r>
          </w:p>
        </w:tc>
        <w:tc>
          <w:tcPr>
            <w:tcW w:w="1068" w:type="pct"/>
            <w:shd w:val="clear" w:color="auto" w:fill="FFFFFF"/>
          </w:tcPr>
          <w:p w14:paraId="5C7BEAC3" w14:textId="77777777" w:rsidR="0090633F" w:rsidRPr="00BC1A35" w:rsidRDefault="0090633F" w:rsidP="0090633F">
            <w:pPr>
              <w:pStyle w:val="CETBodytext"/>
              <w:ind w:right="-1"/>
            </w:pPr>
          </w:p>
        </w:tc>
        <w:tc>
          <w:tcPr>
            <w:tcW w:w="1427" w:type="pct"/>
            <w:shd w:val="clear" w:color="auto" w:fill="FFFFFF"/>
          </w:tcPr>
          <w:p w14:paraId="13A46AC3" w14:textId="577ED3A0" w:rsidR="0090633F" w:rsidRPr="00BC1A35" w:rsidRDefault="00F65507" w:rsidP="0090633F">
            <w:pPr>
              <w:pStyle w:val="CETBodytext"/>
              <w:ind w:right="-1"/>
            </w:pPr>
            <w:r>
              <w:fldChar w:fldCharType="begin"/>
            </w:r>
            <w:r w:rsidR="00276BB4">
              <w:instrText xml:space="preserve"> ADDIN EN.CITE &lt;EndNote&gt;&lt;Cite&gt;&lt;RecNum&gt;172&lt;/RecNum&gt;&lt;DisplayText&gt;(SDS - Cyrene; SDS - NMP)&lt;/DisplayText&gt;&lt;record&gt;&lt;rec-number&gt;172&lt;/rec-number&gt;&lt;foreign-keys&gt;&lt;key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172&lt;/RecNum&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183&lt;/RecNum&gt;&lt;record&gt;&lt;rec-number&gt;183&lt;/rec-number&gt;&lt;foreign-keys&gt;&lt;key app="EN" db-id="dx5wwtzs652saherdptxawzqdrxf255xasv0" timestamp="1724236111"&gt;183&lt;/key&gt;&lt;/foreign-keys&gt;&lt;ref-type name="Web Page"&gt;12&lt;/ref-type&gt;&lt;contributors&gt;&lt;/contributors&gt;&lt;titles&gt;&lt;title&gt;SDS - N-methyl-2-pyrrolidone &lt;/title&gt;&lt;/titles&gt;&lt;pages&gt;Sigma Aldrich&lt;/pages&gt;&lt;volume&gt;2024&lt;/volume&gt;&lt;number&gt;21/08/2024&lt;/number&gt;&lt;dates&gt;&lt;/dates&gt;&lt;label&gt;SDS - NMP&lt;/label&gt;&lt;urls&gt;&lt;related-urls&gt;&lt;url&gt;https://www.sigmaaldrich.com/IT/en/sds/sigald/443778?userType=anonymous&lt;/url&gt;&lt;/related-urls&gt;&lt;/urls&gt;&lt;/record&gt;&lt;/Cite&gt;&lt;/EndNote&gt;</w:instrText>
            </w:r>
            <w:r>
              <w:fldChar w:fldCharType="separate"/>
            </w:r>
            <w:r w:rsidR="00276BB4">
              <w:rPr>
                <w:noProof/>
              </w:rPr>
              <w:t>(SDS - Cyrene; SDS - NMP)</w:t>
            </w:r>
            <w:r>
              <w:fldChar w:fldCharType="end"/>
            </w:r>
          </w:p>
        </w:tc>
      </w:tr>
      <w:tr w:rsidR="0090633F" w:rsidRPr="00B57B36" w14:paraId="19B3E15C" w14:textId="25A073A3" w:rsidTr="00756F74">
        <w:tc>
          <w:tcPr>
            <w:tcW w:w="1239" w:type="pct"/>
            <w:shd w:val="clear" w:color="auto" w:fill="FFFFFF"/>
          </w:tcPr>
          <w:p w14:paraId="5280D5C5" w14:textId="77777777" w:rsidR="0090633F" w:rsidRPr="00B57B36" w:rsidRDefault="0090633F" w:rsidP="0090633F">
            <w:pPr>
              <w:pStyle w:val="CETBodytext"/>
              <w:rPr>
                <w:lang w:val="en-GB"/>
              </w:rPr>
            </w:pPr>
            <w:r w:rsidRPr="00BC1A35">
              <w:t>Autoignition temperature</w:t>
            </w:r>
          </w:p>
        </w:tc>
        <w:tc>
          <w:tcPr>
            <w:tcW w:w="342" w:type="pct"/>
            <w:shd w:val="clear" w:color="auto" w:fill="FFFFFF"/>
          </w:tcPr>
          <w:p w14:paraId="3395D96F" w14:textId="77777777" w:rsidR="0090633F" w:rsidRPr="00B57B36" w:rsidRDefault="0090633F" w:rsidP="0090633F">
            <w:pPr>
              <w:pStyle w:val="CETBodytext"/>
              <w:rPr>
                <w:lang w:val="en-GB"/>
              </w:rPr>
            </w:pPr>
            <w:r w:rsidRPr="00BC1A35">
              <w:t>[K]</w:t>
            </w:r>
          </w:p>
        </w:tc>
        <w:tc>
          <w:tcPr>
            <w:tcW w:w="462" w:type="pct"/>
            <w:shd w:val="clear" w:color="auto" w:fill="FFFFFF"/>
          </w:tcPr>
          <w:p w14:paraId="16C33C43" w14:textId="5B6EBD69" w:rsidR="0090633F" w:rsidRPr="00B57B36" w:rsidRDefault="0090633F" w:rsidP="0090633F">
            <w:pPr>
              <w:pStyle w:val="CETBodytext"/>
              <w:rPr>
                <w:lang w:val="en-GB"/>
              </w:rPr>
            </w:pPr>
            <w:r w:rsidRPr="00BC1A35">
              <w:t>569.15</w:t>
            </w:r>
          </w:p>
        </w:tc>
        <w:tc>
          <w:tcPr>
            <w:tcW w:w="462" w:type="pct"/>
            <w:shd w:val="clear" w:color="auto" w:fill="FFFFFF"/>
          </w:tcPr>
          <w:p w14:paraId="5AEB8E03" w14:textId="3D690D55" w:rsidR="0090633F" w:rsidRPr="00B57B36" w:rsidRDefault="0090633F" w:rsidP="0090633F">
            <w:pPr>
              <w:pStyle w:val="CETBodytext"/>
              <w:ind w:right="-1"/>
              <w:rPr>
                <w:rFonts w:cs="Arial"/>
                <w:szCs w:val="18"/>
                <w:lang w:val="en-GB"/>
              </w:rPr>
            </w:pPr>
            <w:r w:rsidRPr="00BC1A35">
              <w:t>518.15</w:t>
            </w:r>
          </w:p>
        </w:tc>
        <w:tc>
          <w:tcPr>
            <w:tcW w:w="1068" w:type="pct"/>
            <w:shd w:val="clear" w:color="auto" w:fill="FFFFFF"/>
          </w:tcPr>
          <w:p w14:paraId="6BBFD3FC" w14:textId="3E8BD9A2" w:rsidR="0090633F" w:rsidRPr="00BC1A35" w:rsidRDefault="0090633F" w:rsidP="0090633F">
            <w:pPr>
              <w:pStyle w:val="CETBodytext"/>
              <w:ind w:right="-1"/>
            </w:pPr>
            <w:r>
              <w:t>1013, 1.013 hPa</w:t>
            </w:r>
          </w:p>
        </w:tc>
        <w:tc>
          <w:tcPr>
            <w:tcW w:w="1427" w:type="pct"/>
            <w:shd w:val="clear" w:color="auto" w:fill="FFFFFF"/>
          </w:tcPr>
          <w:p w14:paraId="178101EB" w14:textId="26BE5E78" w:rsidR="0090633F" w:rsidRPr="00BC1A35" w:rsidRDefault="00F65507" w:rsidP="0090633F">
            <w:pPr>
              <w:pStyle w:val="CETBodytext"/>
              <w:ind w:right="-1"/>
            </w:pPr>
            <w:r>
              <w:fldChar w:fldCharType="begin"/>
            </w:r>
            <w:r w:rsidR="00276BB4">
              <w:instrText xml:space="preserve"> ADDIN EN.CITE &lt;EndNote&gt;&lt;Cite&gt;&lt;RecNum&gt;172&lt;/RecNum&gt;&lt;DisplayText&gt;(SDS - Cyrene; SDS - NMP)&lt;/DisplayText&gt;&lt;record&gt;&lt;rec-number&gt;172&lt;/rec-number&gt;&lt;foreign-keys&gt;&lt;key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172&lt;/RecNum&gt;&lt;record&gt;&lt;rec-number&gt;172&lt;/rec-number&gt;&lt;foreign-keys&gt;&lt;key app="EN" db-id="dx5wwtzs652saherdptxawzqdrxf255xasv0" timestamp="1724234808"&gt;172&lt;/key&gt;&lt;/foreign-keys&gt;&lt;ref-type name="Web Page"&gt;12&lt;/ref-type&gt;&lt;contributors&gt;&lt;/contributors&gt;&lt;titles&gt;&lt;title&gt;SDS - Cyrene&lt;/title&gt;&lt;/titles&gt;&lt;pages&gt;Sigma Aldrich&lt;/pages&gt;&lt;volume&gt;2024&lt;/volume&gt;&lt;number&gt;21/08/2024&lt;/number&gt;&lt;dates&gt;&lt;/dates&gt;&lt;label&gt;SDS - Cyrene&lt;/label&gt;&lt;urls&gt;&lt;related-urls&gt;&lt;url&gt;https://www.sigmaaldrich.com/IT/en/sds/sial/807796?userType=anonymous&lt;/url&gt;&lt;/related-urls&gt;&lt;/urls&gt;&lt;/record&gt;&lt;/Cite&gt;&lt;Cite&gt;&lt;RecNum&gt;183&lt;/RecNum&gt;&lt;record&gt;&lt;rec-number&gt;183&lt;/rec-number&gt;&lt;foreign-keys&gt;&lt;key app="EN" db-id="dx5wwtzs652saherdptxawzqdrxf255xasv0" timestamp="1724236111"&gt;183&lt;/key&gt;&lt;/foreign-keys&gt;&lt;ref-type name="Web Page"&gt;12&lt;/ref-type&gt;&lt;contributors&gt;&lt;/contributors&gt;&lt;titles&gt;&lt;title&gt;SDS - N-methyl-2-pyrrolidone &lt;/title&gt;&lt;/titles&gt;&lt;pages&gt;Sigma Aldrich&lt;/pages&gt;&lt;volume&gt;2024&lt;/volume&gt;&lt;number&gt;21/08/2024&lt;/number&gt;&lt;dates&gt;&lt;/dates&gt;&lt;label&gt;SDS - NMP&lt;/label&gt;&lt;urls&gt;&lt;related-urls&gt;&lt;url&gt;https://www.sigmaaldrich.com/IT/en/sds/sigald/443778?userType=anonymous&lt;/url&gt;&lt;/related-urls&gt;&lt;/urls&gt;&lt;/record&gt;&lt;/Cite&gt;&lt;/EndNote&gt;</w:instrText>
            </w:r>
            <w:r>
              <w:fldChar w:fldCharType="separate"/>
            </w:r>
            <w:r w:rsidR="00276BB4">
              <w:rPr>
                <w:noProof/>
              </w:rPr>
              <w:t>(SDS - Cyrene; SDS - NMP)</w:t>
            </w:r>
            <w:r>
              <w:fldChar w:fldCharType="end"/>
            </w:r>
          </w:p>
        </w:tc>
      </w:tr>
      <w:tr w:rsidR="00BD5CC1" w:rsidRPr="00B57B36" w14:paraId="17A42D8E" w14:textId="77777777" w:rsidTr="00756F74">
        <w:tc>
          <w:tcPr>
            <w:tcW w:w="1239" w:type="pct"/>
            <w:shd w:val="clear" w:color="auto" w:fill="FFFFFF"/>
          </w:tcPr>
          <w:p w14:paraId="5BEAC57A" w14:textId="6589076D" w:rsidR="00BD5CC1" w:rsidRPr="00BC1A35" w:rsidRDefault="00BD5CC1" w:rsidP="00BD5CC1">
            <w:pPr>
              <w:pStyle w:val="CETBodytext"/>
            </w:pPr>
            <w:r w:rsidRPr="00FB7701">
              <w:t>Dynamic viscosity</w:t>
            </w:r>
          </w:p>
        </w:tc>
        <w:tc>
          <w:tcPr>
            <w:tcW w:w="342" w:type="pct"/>
            <w:shd w:val="clear" w:color="auto" w:fill="FFFFFF"/>
          </w:tcPr>
          <w:p w14:paraId="58A6BEB2" w14:textId="54EEBBC9" w:rsidR="00BD5CC1" w:rsidRPr="00BC1A35" w:rsidRDefault="00BD5CC1" w:rsidP="00BD5CC1">
            <w:pPr>
              <w:pStyle w:val="CETBodytext"/>
            </w:pPr>
            <w:r w:rsidRPr="00FB7701">
              <w:t>[cP]</w:t>
            </w:r>
          </w:p>
        </w:tc>
        <w:tc>
          <w:tcPr>
            <w:tcW w:w="462" w:type="pct"/>
            <w:shd w:val="clear" w:color="auto" w:fill="FFFFFF"/>
          </w:tcPr>
          <w:p w14:paraId="0FEEA9A7" w14:textId="65A6EA08" w:rsidR="00BD5CC1" w:rsidRPr="00BC1A35" w:rsidRDefault="00BD5CC1" w:rsidP="00BD5CC1">
            <w:pPr>
              <w:pStyle w:val="CETBodytext"/>
            </w:pPr>
            <w:r w:rsidRPr="00FB7701">
              <w:t>4.80</w:t>
            </w:r>
          </w:p>
        </w:tc>
        <w:tc>
          <w:tcPr>
            <w:tcW w:w="462" w:type="pct"/>
            <w:shd w:val="clear" w:color="auto" w:fill="FFFFFF"/>
          </w:tcPr>
          <w:p w14:paraId="51EF303A" w14:textId="4F6D10D8" w:rsidR="00BD5CC1" w:rsidRPr="00BC1A35" w:rsidRDefault="00BD5CC1" w:rsidP="00BD5CC1">
            <w:pPr>
              <w:pStyle w:val="CETBodytext"/>
              <w:ind w:right="-1"/>
            </w:pPr>
            <w:r w:rsidRPr="00FB7701">
              <w:t>1.89</w:t>
            </w:r>
          </w:p>
        </w:tc>
        <w:tc>
          <w:tcPr>
            <w:tcW w:w="1068" w:type="pct"/>
            <w:shd w:val="clear" w:color="auto" w:fill="FFFFFF"/>
          </w:tcPr>
          <w:p w14:paraId="601A02A0" w14:textId="262C0370" w:rsidR="00BD5CC1" w:rsidRDefault="00BD5CC1" w:rsidP="00BD5CC1">
            <w:pPr>
              <w:pStyle w:val="CETBodytext"/>
              <w:ind w:right="-1"/>
            </w:pPr>
            <w:r w:rsidRPr="00FB7701">
              <w:t>298.15 K, 101325 Pa</w:t>
            </w:r>
          </w:p>
        </w:tc>
        <w:tc>
          <w:tcPr>
            <w:tcW w:w="1427" w:type="pct"/>
            <w:shd w:val="clear" w:color="auto" w:fill="FFFFFF"/>
          </w:tcPr>
          <w:p w14:paraId="60E3A0FE" w14:textId="018CB8C8" w:rsidR="00BD5CC1" w:rsidRDefault="00BD5CC1" w:rsidP="00BD5CC1">
            <w:pPr>
              <w:pStyle w:val="CETBodytext"/>
              <w:ind w:right="-1"/>
            </w:pPr>
            <w:r w:rsidRPr="00FB7701">
              <w:t>Aspen Plus</w:t>
            </w:r>
            <w:r w:rsidRPr="002736FB">
              <w:rPr>
                <w:vertAlign w:val="superscript"/>
              </w:rPr>
              <w:t>®</w:t>
            </w:r>
            <w:r w:rsidRPr="00FB7701">
              <w:t xml:space="preserve"> V14</w:t>
            </w:r>
          </w:p>
        </w:tc>
      </w:tr>
      <w:tr w:rsidR="00BD5CC1" w:rsidRPr="00B57B36" w14:paraId="64D74D99" w14:textId="77777777" w:rsidTr="00756F74">
        <w:tc>
          <w:tcPr>
            <w:tcW w:w="1239" w:type="pct"/>
            <w:shd w:val="clear" w:color="auto" w:fill="FFFFFF"/>
          </w:tcPr>
          <w:p w14:paraId="7A7A0F39" w14:textId="3E218E2E" w:rsidR="00BD5CC1" w:rsidRPr="00FB7701" w:rsidRDefault="00BD5CC1" w:rsidP="00BD5CC1">
            <w:pPr>
              <w:pStyle w:val="CETBodytext"/>
            </w:pPr>
            <w:r w:rsidRPr="00956A92">
              <w:t>Density</w:t>
            </w:r>
          </w:p>
        </w:tc>
        <w:tc>
          <w:tcPr>
            <w:tcW w:w="342" w:type="pct"/>
            <w:shd w:val="clear" w:color="auto" w:fill="FFFFFF"/>
          </w:tcPr>
          <w:p w14:paraId="37A6F6CB" w14:textId="28584019" w:rsidR="00BD5CC1" w:rsidRPr="00FB7701" w:rsidRDefault="00BD5CC1" w:rsidP="00BD5CC1">
            <w:pPr>
              <w:pStyle w:val="CETBodytext"/>
            </w:pPr>
            <w:r w:rsidRPr="00956A92">
              <w:t>[g/mL]</w:t>
            </w:r>
          </w:p>
        </w:tc>
        <w:tc>
          <w:tcPr>
            <w:tcW w:w="462" w:type="pct"/>
            <w:shd w:val="clear" w:color="auto" w:fill="FFFFFF"/>
          </w:tcPr>
          <w:p w14:paraId="1B56919B" w14:textId="5C9FBA33" w:rsidR="00BD5CC1" w:rsidRPr="00FB7701" w:rsidRDefault="00BD5CC1" w:rsidP="00BD5CC1">
            <w:pPr>
              <w:pStyle w:val="CETBodytext"/>
            </w:pPr>
            <w:r w:rsidRPr="00956A92">
              <w:t xml:space="preserve">1.25 </w:t>
            </w:r>
          </w:p>
        </w:tc>
        <w:tc>
          <w:tcPr>
            <w:tcW w:w="462" w:type="pct"/>
            <w:shd w:val="clear" w:color="auto" w:fill="FFFFFF"/>
          </w:tcPr>
          <w:p w14:paraId="631CA233" w14:textId="76B71C6D" w:rsidR="00BD5CC1" w:rsidRPr="00FB7701" w:rsidRDefault="00BD5CC1" w:rsidP="00BD5CC1">
            <w:pPr>
              <w:pStyle w:val="CETBodytext"/>
              <w:ind w:right="-1"/>
            </w:pPr>
            <w:r w:rsidRPr="00956A92">
              <w:t xml:space="preserve">1.03 </w:t>
            </w:r>
          </w:p>
        </w:tc>
        <w:tc>
          <w:tcPr>
            <w:tcW w:w="1068" w:type="pct"/>
            <w:shd w:val="clear" w:color="auto" w:fill="FFFFFF"/>
          </w:tcPr>
          <w:p w14:paraId="5C8775E3" w14:textId="69CA82FF" w:rsidR="00BD5CC1" w:rsidRPr="00FB7701" w:rsidRDefault="00BD5CC1" w:rsidP="00BD5CC1">
            <w:pPr>
              <w:pStyle w:val="CETBodytext"/>
              <w:ind w:right="-1"/>
            </w:pPr>
            <w:r w:rsidRPr="00956A92">
              <w:t>298.15 K</w:t>
            </w:r>
          </w:p>
        </w:tc>
        <w:tc>
          <w:tcPr>
            <w:tcW w:w="1427" w:type="pct"/>
            <w:shd w:val="clear" w:color="auto" w:fill="FFFFFF"/>
          </w:tcPr>
          <w:p w14:paraId="53C26CDD" w14:textId="19106527" w:rsidR="00BD5CC1" w:rsidRPr="00FB7701" w:rsidRDefault="00BD5CC1" w:rsidP="00BD5CC1">
            <w:pPr>
              <w:pStyle w:val="CETBodytext"/>
              <w:ind w:right="-1"/>
            </w:pPr>
            <w:r w:rsidRPr="00956A92">
              <w:t>Aspen Plus</w:t>
            </w:r>
            <w:r w:rsidRPr="002736FB">
              <w:rPr>
                <w:vertAlign w:val="superscript"/>
              </w:rPr>
              <w:t>®</w:t>
            </w:r>
            <w:r w:rsidRPr="00956A92">
              <w:t xml:space="preserve"> V14</w:t>
            </w:r>
          </w:p>
        </w:tc>
      </w:tr>
      <w:tr w:rsidR="00BD5CC1" w:rsidRPr="00B57B36" w14:paraId="5EF07D28" w14:textId="5A7D1C7E" w:rsidTr="00756F74">
        <w:tc>
          <w:tcPr>
            <w:tcW w:w="1239" w:type="pct"/>
            <w:shd w:val="clear" w:color="auto" w:fill="FFFFFF"/>
          </w:tcPr>
          <w:p w14:paraId="51727E16" w14:textId="29B0E7C7" w:rsidR="00BD5CC1" w:rsidRPr="00B57B36" w:rsidRDefault="00BD5CC1" w:rsidP="00BD5CC1">
            <w:pPr>
              <w:pStyle w:val="CETBodytext"/>
              <w:rPr>
                <w:lang w:val="en-GB"/>
              </w:rPr>
            </w:pPr>
            <w:r w:rsidRPr="00550F95">
              <w:t>Hydro solubility</w:t>
            </w:r>
          </w:p>
        </w:tc>
        <w:tc>
          <w:tcPr>
            <w:tcW w:w="342" w:type="pct"/>
            <w:shd w:val="clear" w:color="auto" w:fill="FFFFFF"/>
          </w:tcPr>
          <w:p w14:paraId="305BF127" w14:textId="7A1E37F9" w:rsidR="00BD5CC1" w:rsidRPr="00B57B36" w:rsidRDefault="00BD5CC1" w:rsidP="00BD5CC1">
            <w:pPr>
              <w:pStyle w:val="CETBodytext"/>
              <w:rPr>
                <w:lang w:val="en-GB"/>
              </w:rPr>
            </w:pPr>
            <w:r w:rsidRPr="00550F95">
              <w:t>[g/l]</w:t>
            </w:r>
          </w:p>
        </w:tc>
        <w:tc>
          <w:tcPr>
            <w:tcW w:w="462" w:type="pct"/>
            <w:shd w:val="clear" w:color="auto" w:fill="FFFFFF"/>
          </w:tcPr>
          <w:p w14:paraId="523F32DE" w14:textId="2F6D6661" w:rsidR="00BD5CC1" w:rsidRPr="00B57B36" w:rsidRDefault="00BD5CC1" w:rsidP="00BD5CC1">
            <w:pPr>
              <w:pStyle w:val="CETBodytext"/>
              <w:rPr>
                <w:lang w:val="en-GB"/>
              </w:rPr>
            </w:pPr>
            <w:r w:rsidRPr="00550F95">
              <w:t xml:space="preserve">52.6 </w:t>
            </w:r>
          </w:p>
        </w:tc>
        <w:tc>
          <w:tcPr>
            <w:tcW w:w="462" w:type="pct"/>
            <w:shd w:val="clear" w:color="auto" w:fill="FFFFFF"/>
          </w:tcPr>
          <w:p w14:paraId="5D8F5659" w14:textId="1D69BAA6" w:rsidR="00BD5CC1" w:rsidRPr="00B57B36" w:rsidRDefault="00BD5CC1" w:rsidP="00BD5CC1">
            <w:pPr>
              <w:pStyle w:val="CETBodytext"/>
              <w:ind w:right="-1"/>
              <w:rPr>
                <w:rFonts w:cs="Arial"/>
                <w:szCs w:val="18"/>
                <w:lang w:val="en-GB"/>
              </w:rPr>
            </w:pPr>
            <w:r w:rsidRPr="00550F95">
              <w:t>1.00</w:t>
            </w:r>
          </w:p>
        </w:tc>
        <w:tc>
          <w:tcPr>
            <w:tcW w:w="1068" w:type="pct"/>
            <w:shd w:val="clear" w:color="auto" w:fill="FFFFFF"/>
          </w:tcPr>
          <w:p w14:paraId="4FD565D6" w14:textId="7CC683F9" w:rsidR="00BD5CC1" w:rsidRPr="00BC1A35" w:rsidRDefault="00BD5CC1" w:rsidP="00BD5CC1">
            <w:pPr>
              <w:pStyle w:val="CETBodytext"/>
              <w:ind w:right="-1"/>
            </w:pPr>
            <w:r w:rsidRPr="00550F95">
              <w:t>293.15 K</w:t>
            </w:r>
          </w:p>
        </w:tc>
        <w:tc>
          <w:tcPr>
            <w:tcW w:w="1427" w:type="pct"/>
            <w:shd w:val="clear" w:color="auto" w:fill="FFFFFF"/>
          </w:tcPr>
          <w:p w14:paraId="0CBB0596" w14:textId="37F80F1C" w:rsidR="00BD5CC1" w:rsidRDefault="00BD5CC1" w:rsidP="00BD5CC1">
            <w:pPr>
              <w:pStyle w:val="CETBodytext"/>
              <w:ind w:right="-1"/>
            </w:pPr>
            <w:r w:rsidRPr="00550F95">
              <w:t>(SDS - Cyrene, SDS - NMP)</w:t>
            </w:r>
          </w:p>
        </w:tc>
      </w:tr>
    </w:tbl>
    <w:p w14:paraId="657C7293" w14:textId="3E9CC8CC" w:rsidR="000D74E0" w:rsidRDefault="000D74E0" w:rsidP="003F060D">
      <w:pPr>
        <w:pStyle w:val="CETheadingx"/>
      </w:pPr>
      <w:r>
        <w:t>Toxicological index</w:t>
      </w:r>
    </w:p>
    <w:p w14:paraId="61A76B85" w14:textId="75C45846" w:rsidR="00AD789B" w:rsidRPr="007C6944" w:rsidRDefault="000A4BBC" w:rsidP="007002B5">
      <w:pPr>
        <w:pStyle w:val="CETBodytext"/>
      </w:pPr>
      <w:r>
        <w:rPr>
          <w:lang w:val="en-GB"/>
        </w:rPr>
        <w:t>Considering that</w:t>
      </w:r>
      <w:r w:rsidRPr="002741A3">
        <w:rPr>
          <w:lang w:val="en-GB"/>
        </w:rPr>
        <w:t xml:space="preserve"> </w:t>
      </w:r>
      <w:r w:rsidR="002741A3" w:rsidRPr="002741A3">
        <w:rPr>
          <w:lang w:val="en-GB"/>
        </w:rPr>
        <w:t xml:space="preserve">in 2011 NMP </w:t>
      </w:r>
      <w:r w:rsidR="00160BF5">
        <w:rPr>
          <w:lang w:val="en-GB"/>
        </w:rPr>
        <w:t>has been</w:t>
      </w:r>
      <w:r w:rsidR="002741A3" w:rsidRPr="002741A3">
        <w:rPr>
          <w:lang w:val="en-GB"/>
        </w:rPr>
        <w:t xml:space="preserve"> included in the SVHC list due to its classification as </w:t>
      </w:r>
      <w:r w:rsidR="002741A3">
        <w:rPr>
          <w:lang w:val="en-GB"/>
        </w:rPr>
        <w:t xml:space="preserve">toxic for reproduction </w:t>
      </w:r>
      <w:r w:rsidR="000B0053">
        <w:fldChar w:fldCharType="begin"/>
      </w:r>
      <w:r w:rsidR="007C5737">
        <w:rPr>
          <w:lang w:val="en-GB"/>
        </w:rPr>
        <w:instrText xml:space="preserve"> ADDIN EN.CITE &lt;EndNote&gt;&lt;Cite&gt;&lt;Author&gt;ECHA&lt;/Author&gt;&lt;RecNum&gt;256&lt;/RecNum&gt;&lt;DisplayText&gt;(ECHA, 2011)&lt;/DisplayText&gt;&lt;record&gt;&lt;rec-number&gt;256&lt;/rec-number&gt;&lt;foreign-keys&gt;&lt;key app="EN" db-id="dx5wwtzs652saherdptxawzqdrxf255xasv0" timestamp="1731330311"&gt;256&lt;/key&gt;&lt;/foreign-keys&gt;&lt;ref-type name="Web Page"&gt;12&lt;/ref-type&gt;&lt;contributors&gt;&lt;authors&gt;&lt;author&gt;ECHA&lt;/author&gt;&lt;/authors&gt;&lt;/contributors&gt;&lt;titles&gt;&lt;title&gt;Member state committee support document for identification of 1-Methyl-2-Pyrrolidone as a substance of very high concern because of its CMR properties&lt;/title&gt;&lt;/titles&gt;&lt;pages&gt;European Chemical Agency&lt;/pages&gt;&lt;volume&gt;2024&lt;/volume&gt;&lt;number&gt;11/11/2024&lt;/number&gt;&lt;dates&gt;&lt;year&gt;2011&lt;/year&gt;&lt;/dates&gt;&lt;urls&gt;&lt;related-urls&gt;&lt;url&gt;https://echa.europa.eu/documents/10162/1c4e3474-34ee-4c15-aaef-dafd1cb47779&lt;/url&gt;&lt;/related-urls&gt;&lt;/urls&gt;&lt;/record&gt;&lt;/Cite&gt;&lt;/EndNote&gt;</w:instrText>
      </w:r>
      <w:r w:rsidR="000B0053">
        <w:fldChar w:fldCharType="separate"/>
      </w:r>
      <w:r w:rsidR="007C5737">
        <w:rPr>
          <w:noProof/>
          <w:lang w:val="en-GB"/>
        </w:rPr>
        <w:t>(ECHA, 2011)</w:t>
      </w:r>
      <w:r w:rsidR="000B0053">
        <w:fldChar w:fldCharType="end"/>
      </w:r>
      <w:r w:rsidR="002741A3" w:rsidRPr="002741A3">
        <w:rPr>
          <w:lang w:val="en-GB"/>
        </w:rPr>
        <w:t>, and given that Cyrene has been proposed as a safer bio-based alternative</w:t>
      </w:r>
      <w:r w:rsidR="00A71AD6">
        <w:rPr>
          <w:lang w:val="en-GB"/>
        </w:rPr>
        <w:t xml:space="preserve">, as reported by </w:t>
      </w:r>
      <w:r w:rsidR="00A71AD6" w:rsidRPr="00A71AD6">
        <w:rPr>
          <w:lang w:val="en-GB"/>
        </w:rPr>
        <w:t>Sherwood et al. (2014) and by Alves Costa Pacheco et al.</w:t>
      </w:r>
      <w:r w:rsidR="008B1F74">
        <w:rPr>
          <w:lang w:val="en-GB"/>
        </w:rPr>
        <w:t xml:space="preserve"> </w:t>
      </w:r>
      <w:r w:rsidR="00A71AD6" w:rsidRPr="00A71AD6">
        <w:rPr>
          <w:lang w:val="en-GB"/>
        </w:rPr>
        <w:t>(2016)</w:t>
      </w:r>
      <w:r w:rsidR="00A71AD6">
        <w:rPr>
          <w:lang w:val="en-GB"/>
        </w:rPr>
        <w:t xml:space="preserve">, </w:t>
      </w:r>
      <w:r w:rsidR="002741A3" w:rsidRPr="002741A3">
        <w:rPr>
          <w:lang w:val="en-GB"/>
        </w:rPr>
        <w:t xml:space="preserve">,this study </w:t>
      </w:r>
      <w:r>
        <w:rPr>
          <w:lang w:val="en-GB"/>
        </w:rPr>
        <w:t xml:space="preserve">also focuses on the analysis of </w:t>
      </w:r>
      <w:r w:rsidR="002741A3" w:rsidRPr="002741A3">
        <w:rPr>
          <w:lang w:val="en-GB"/>
        </w:rPr>
        <w:t xml:space="preserve">additional toxicity indicators </w:t>
      </w:r>
      <w:r>
        <w:rPr>
          <w:lang w:val="en-GB"/>
        </w:rPr>
        <w:t>for both the substances</w:t>
      </w:r>
      <w:r w:rsidR="000B0053">
        <w:rPr>
          <w:lang w:val="en-GB"/>
        </w:rPr>
        <w:t>.</w:t>
      </w:r>
      <w:r w:rsidR="00FB4654">
        <w:rPr>
          <w:lang w:val="en-GB"/>
        </w:rPr>
        <w:t xml:space="preserve"> </w:t>
      </w:r>
      <w:r w:rsidR="00521FDF" w:rsidRPr="00521FDF">
        <w:rPr>
          <w:lang w:val="en-GB"/>
        </w:rPr>
        <w:t>The toxicological indices</w:t>
      </w:r>
      <w:r w:rsidR="00AD789B">
        <w:rPr>
          <w:lang w:val="en-GB"/>
        </w:rPr>
        <w:t xml:space="preserve"> listed</w:t>
      </w:r>
      <w:r w:rsidR="00521FDF" w:rsidRPr="00521FDF">
        <w:rPr>
          <w:lang w:val="en-GB"/>
        </w:rPr>
        <w:t xml:space="preserve"> in </w:t>
      </w:r>
      <w:r w:rsidR="00813F58" w:rsidRPr="001B29A8">
        <w:rPr>
          <w:iCs/>
        </w:rPr>
        <w:fldChar w:fldCharType="begin"/>
      </w:r>
      <w:r w:rsidR="00813F58" w:rsidRPr="008C0553">
        <w:rPr>
          <w:iCs/>
          <w:lang w:val="en-GB"/>
        </w:rPr>
        <w:instrText xml:space="preserve"> REF _Ref183186215 \h </w:instrText>
      </w:r>
      <w:r w:rsidR="00813F58" w:rsidRPr="008C0553">
        <w:rPr>
          <w:iCs/>
        </w:rPr>
        <w:instrText xml:space="preserve"> \* MERGEFORMAT </w:instrText>
      </w:r>
      <w:r w:rsidR="00813F58" w:rsidRPr="001B29A8">
        <w:rPr>
          <w:iCs/>
        </w:rPr>
      </w:r>
      <w:r w:rsidR="00813F58" w:rsidRPr="001B29A8">
        <w:rPr>
          <w:iCs/>
        </w:rPr>
        <w:fldChar w:fldCharType="separate"/>
      </w:r>
      <w:r w:rsidR="007C6944" w:rsidRPr="007C6944">
        <w:rPr>
          <w:iCs/>
        </w:rPr>
        <w:t xml:space="preserve">Table </w:t>
      </w:r>
      <w:r w:rsidR="007C6944" w:rsidRPr="007C6944">
        <w:rPr>
          <w:iCs/>
          <w:noProof/>
        </w:rPr>
        <w:t>3</w:t>
      </w:r>
      <w:r w:rsidR="00813F58" w:rsidRPr="001B29A8">
        <w:rPr>
          <w:iCs/>
        </w:rPr>
        <w:fldChar w:fldCharType="end"/>
      </w:r>
      <w:r w:rsidR="00521FDF" w:rsidRPr="00521FDF">
        <w:rPr>
          <w:lang w:val="en-GB"/>
        </w:rPr>
        <w:t xml:space="preserve"> </w:t>
      </w:r>
      <w:r w:rsidR="00521FDF">
        <w:rPr>
          <w:lang w:val="en-GB"/>
        </w:rPr>
        <w:t>have been</w:t>
      </w:r>
      <w:r w:rsidR="00521FDF" w:rsidRPr="00521FDF">
        <w:rPr>
          <w:lang w:val="en-GB"/>
        </w:rPr>
        <w:t xml:space="preserve"> estimated </w:t>
      </w:r>
      <w:r w:rsidR="00521FDF">
        <w:rPr>
          <w:lang w:val="en-GB"/>
        </w:rPr>
        <w:t xml:space="preserve">by </w:t>
      </w:r>
      <w:r w:rsidR="00521FDF" w:rsidRPr="00521FDF">
        <w:rPr>
          <w:lang w:val="en-GB"/>
        </w:rPr>
        <w:t xml:space="preserve">using the Toxicity Estimation Software Tool (T.E.S.T.), </w:t>
      </w:r>
      <w:r w:rsidR="006774BA">
        <w:rPr>
          <w:lang w:val="en-GB"/>
        </w:rPr>
        <w:t>that</w:t>
      </w:r>
      <w:r w:rsidR="006774BA" w:rsidRPr="00521FDF">
        <w:rPr>
          <w:lang w:val="en-GB"/>
        </w:rPr>
        <w:t xml:space="preserve"> </w:t>
      </w:r>
      <w:r w:rsidR="006774BA">
        <w:rPr>
          <w:lang w:val="en-GB"/>
        </w:rPr>
        <w:t>is based on</w:t>
      </w:r>
      <w:r w:rsidR="00521FDF" w:rsidRPr="00521FDF">
        <w:rPr>
          <w:lang w:val="en-GB"/>
        </w:rPr>
        <w:t xml:space="preserve"> Quantitative Structure Activity Relationships (QSARs)</w:t>
      </w:r>
      <w:r w:rsidR="00885F01">
        <w:rPr>
          <w:lang w:val="en-GB"/>
        </w:rPr>
        <w:t xml:space="preserve"> </w:t>
      </w:r>
      <w:r w:rsidR="00885F01">
        <w:rPr>
          <w:lang w:val="en-GB"/>
        </w:rPr>
        <w:fldChar w:fldCharType="begin"/>
      </w:r>
      <w:r w:rsidR="007C5737">
        <w:rPr>
          <w:lang w:val="en-GB"/>
        </w:rPr>
        <w:instrText xml:space="preserve"> ADDIN EN.CITE &lt;EndNote&gt;&lt;Cite&gt;&lt;Author&gt;Martin&lt;/Author&gt;&lt;Year&gt;2021&lt;/Year&gt;&lt;RecNum&gt;249&lt;/RecNum&gt;&lt;DisplayText&gt;(Martin, 2021)&lt;/DisplayText&gt;&lt;record&gt;&lt;rec-number&gt;249&lt;/rec-number&gt;&lt;foreign-keys&gt;&lt;key app="EN" db-id="dx5wwtzs652saherdptxawzqdrxf255xasv0" timestamp="1730975357"&gt;249&lt;/key&gt;&lt;/foreign-keys&gt;&lt;ref-type name="Report"&gt;27&lt;/ref-type&gt;&lt;contributors&gt;&lt;authors&gt;&lt;author&gt;Martin, T.&lt;/author&gt;&lt;/authors&gt;&lt;tertiary-authors&gt;&lt;author&gt;U.S. EPA - National Risk Management Research Laboratory/Sustainable Technology Division&lt;/author&gt;&lt;/tertiary-authors&gt;&lt;/contributors&gt;&lt;titles&gt;&lt;title&gt;User’s Guide for T.E.S.T.  (Toxicity Estimation Software Tool) &lt;/title&gt;&lt;/titles&gt;&lt;dates&gt;&lt;year&gt;2021&lt;/year&gt;&lt;/dates&gt;&lt;pub-location&gt;Cincinnati, OH, 45268 &lt;/pub-location&gt;&lt;urls&gt;&lt;related-urls&gt;&lt;url&gt;https://19january2021snapshot.epa.gov/sites/static/files/2016-05/documents/600r16058.pdf&lt;/url&gt;&lt;/related-urls&gt;&lt;/urls&gt;&lt;/record&gt;&lt;/Cite&gt;&lt;/EndNote&gt;</w:instrText>
      </w:r>
      <w:r w:rsidR="00885F01">
        <w:rPr>
          <w:lang w:val="en-GB"/>
        </w:rPr>
        <w:fldChar w:fldCharType="separate"/>
      </w:r>
      <w:r w:rsidR="007C5737">
        <w:rPr>
          <w:noProof/>
          <w:lang w:val="en-GB"/>
        </w:rPr>
        <w:t>(Martin, 2021)</w:t>
      </w:r>
      <w:r w:rsidR="00885F01">
        <w:rPr>
          <w:lang w:val="en-GB"/>
        </w:rPr>
        <w:fldChar w:fldCharType="end"/>
      </w:r>
      <w:r w:rsidR="00521FDF" w:rsidRPr="00521FDF">
        <w:rPr>
          <w:lang w:val="en-GB"/>
        </w:rPr>
        <w:t xml:space="preserve">. These QSARs are mathematical models that predict toxicity based on the </w:t>
      </w:r>
      <w:r w:rsidR="00521FDF" w:rsidRPr="00F06D71">
        <w:t xml:space="preserve">physical characteristics of the </w:t>
      </w:r>
      <w:r w:rsidR="00521FDF">
        <w:t xml:space="preserve">chemicals </w:t>
      </w:r>
      <w:r w:rsidR="00521FDF" w:rsidRPr="00F06D71">
        <w:t>structure</w:t>
      </w:r>
      <w:r w:rsidR="00885F01">
        <w:t xml:space="preserve"> </w:t>
      </w:r>
      <w:r w:rsidR="00885F01">
        <w:fldChar w:fldCharType="begin"/>
      </w:r>
      <w:r w:rsidR="007C5737">
        <w:instrText xml:space="preserve"> ADDIN EN.CITE &lt;EndNote&gt;&lt;Cite&gt;&lt;Author&gt;Martin&lt;/Author&gt;&lt;Year&gt;2021&lt;/Year&gt;&lt;RecNum&gt;249&lt;/RecNum&gt;&lt;DisplayText&gt;(Martin, 2021)&lt;/DisplayText&gt;&lt;record&gt;&lt;rec-number&gt;249&lt;/rec-number&gt;&lt;foreign-keys&gt;&lt;key app="EN" db-id="dx5wwtzs652saherdptxawzqdrxf255xasv0" timestamp="1730975357"&gt;249&lt;/key&gt;&lt;/foreign-keys&gt;&lt;ref-type name="Report"&gt;27&lt;/ref-type&gt;&lt;contributors&gt;&lt;authors&gt;&lt;author&gt;Martin, T.&lt;/author&gt;&lt;/authors&gt;&lt;tertiary-authors&gt;&lt;author&gt;U.S. EPA - National Risk Management Research Laboratory/Sustainable Technology Division&lt;/author&gt;&lt;/tertiary-authors&gt;&lt;/contributors&gt;&lt;titles&gt;&lt;title&gt;User’s Guide for T.E.S.T.  (Toxicity Estimation Software Tool) &lt;/title&gt;&lt;/titles&gt;&lt;dates&gt;&lt;year&gt;2021&lt;/year&gt;&lt;/dates&gt;&lt;pub-location&gt;Cincinnati, OH, 45268 &lt;/pub-location&gt;&lt;urls&gt;&lt;related-urls&gt;&lt;url&gt;https://19january2021snapshot.epa.gov/sites/static/files/2016-05/documents/600r16058.pdf&lt;/url&gt;&lt;/related-urls&gt;&lt;/urls&gt;&lt;/record&gt;&lt;/Cite&gt;&lt;/EndNote&gt;</w:instrText>
      </w:r>
      <w:r w:rsidR="00885F01">
        <w:fldChar w:fldCharType="separate"/>
      </w:r>
      <w:r w:rsidR="007C5737">
        <w:rPr>
          <w:noProof/>
        </w:rPr>
        <w:t>(Martin, 2021)</w:t>
      </w:r>
      <w:r w:rsidR="00885F01">
        <w:fldChar w:fldCharType="end"/>
      </w:r>
      <w:r w:rsidR="00521FDF" w:rsidRPr="00521FDF">
        <w:rPr>
          <w:lang w:val="en-GB"/>
        </w:rPr>
        <w:t xml:space="preserve">. Among the QSAR approaches available in T.E.S.T., the consensus method </w:t>
      </w:r>
      <w:r w:rsidR="00160BF5">
        <w:rPr>
          <w:lang w:val="en-GB"/>
        </w:rPr>
        <w:t>has been</w:t>
      </w:r>
      <w:r w:rsidR="00521FDF" w:rsidRPr="00521FDF">
        <w:rPr>
          <w:lang w:val="en-GB"/>
        </w:rPr>
        <w:t xml:space="preserve"> selected in this study for its superior prediction accuracy, as it generates estimates by averaging the toxicity predictions from all available QSAR models</w:t>
      </w:r>
      <w:r w:rsidR="00885F01">
        <w:rPr>
          <w:lang w:val="en-GB"/>
        </w:rPr>
        <w:t xml:space="preserve"> </w:t>
      </w:r>
      <w:r w:rsidR="00885F01">
        <w:rPr>
          <w:lang w:val="en-GB"/>
        </w:rPr>
        <w:fldChar w:fldCharType="begin"/>
      </w:r>
      <w:r w:rsidR="007C5737">
        <w:rPr>
          <w:lang w:val="en-GB"/>
        </w:rPr>
        <w:instrText xml:space="preserve"> ADDIN EN.CITE &lt;EndNote&gt;&lt;Cite&gt;&lt;Author&gt;Martin&lt;/Author&gt;&lt;Year&gt;2021&lt;/Year&gt;&lt;RecNum&gt;249&lt;/RecNum&gt;&lt;DisplayText&gt;(Martin, 2021)&lt;/DisplayText&gt;&lt;record&gt;&lt;rec-number&gt;249&lt;/rec-number&gt;&lt;foreign-keys&gt;&lt;key app="EN" db-id="dx5wwtzs652saherdptxawzqdrxf255xasv0" timestamp="1730975357"&gt;249&lt;/key&gt;&lt;/foreign-keys&gt;&lt;ref-type name="Report"&gt;27&lt;/ref-type&gt;&lt;contributors&gt;&lt;authors&gt;&lt;author&gt;Martin, T.&lt;/author&gt;&lt;/authors&gt;&lt;tertiary-authors&gt;&lt;author&gt;U.S. EPA - National Risk Management Research Laboratory/Sustainable Technology Division&lt;/author&gt;&lt;/tertiary-authors&gt;&lt;/contributors&gt;&lt;titles&gt;&lt;title&gt;User’s Guide for T.E.S.T.  (Toxicity Estimation Software Tool) &lt;/title&gt;&lt;/titles&gt;&lt;dates&gt;&lt;year&gt;2021&lt;/year&gt;&lt;/dates&gt;&lt;pub-location&gt;Cincinnati, OH, 45268 &lt;/pub-location&gt;&lt;urls&gt;&lt;related-urls&gt;&lt;url&gt;https://19january2021snapshot.epa.gov/sites/static/files/2016-05/documents/600r16058.pdf&lt;/url&gt;&lt;/related-urls&gt;&lt;/urls&gt;&lt;/record&gt;&lt;/Cite&gt;&lt;/EndNote&gt;</w:instrText>
      </w:r>
      <w:r w:rsidR="00885F01">
        <w:rPr>
          <w:lang w:val="en-GB"/>
        </w:rPr>
        <w:fldChar w:fldCharType="separate"/>
      </w:r>
      <w:r w:rsidR="007C5737">
        <w:rPr>
          <w:noProof/>
          <w:lang w:val="en-GB"/>
        </w:rPr>
        <w:t>(Martin, 2021)</w:t>
      </w:r>
      <w:r w:rsidR="00885F01">
        <w:rPr>
          <w:lang w:val="en-GB"/>
        </w:rPr>
        <w:fldChar w:fldCharType="end"/>
      </w:r>
      <w:r w:rsidR="00521FDF" w:rsidRPr="00521FDF">
        <w:rPr>
          <w:lang w:val="en-GB"/>
        </w:rPr>
        <w:t>.</w:t>
      </w:r>
      <w:r w:rsidR="004535BA">
        <w:rPr>
          <w:lang w:val="en-GB"/>
        </w:rPr>
        <w:t xml:space="preserve"> The </w:t>
      </w:r>
      <w:r w:rsidR="004535BA">
        <w:t>toxicological indices analy</w:t>
      </w:r>
      <w:r w:rsidR="00914D49">
        <w:t>z</w:t>
      </w:r>
      <w:r w:rsidR="004535BA">
        <w:t>e</w:t>
      </w:r>
      <w:r w:rsidR="00914D49">
        <w:t xml:space="preserve">d in this work are: </w:t>
      </w:r>
      <w:r w:rsidR="00914D49" w:rsidRPr="00914D49">
        <w:t>96-hour fathead minnow (LC50), oral rat (LD50), bioconcentration factor (BCF)</w:t>
      </w:r>
      <w:r w:rsidR="00504404">
        <w:t xml:space="preserve"> </w:t>
      </w:r>
      <w:r w:rsidR="00914D49" w:rsidRPr="00914D49">
        <w:t xml:space="preserve">and </w:t>
      </w:r>
      <w:r w:rsidR="00B80E27">
        <w:t>A</w:t>
      </w:r>
      <w:r w:rsidR="00914D49" w:rsidRPr="00914D49">
        <w:t xml:space="preserve">mes </w:t>
      </w:r>
      <w:r w:rsidR="00914D49" w:rsidRPr="007C6944">
        <w:t>mutagenicity.</w:t>
      </w:r>
      <w:r w:rsidR="006774BA" w:rsidRPr="007C6944">
        <w:t xml:space="preserve"> In particular:</w:t>
      </w:r>
    </w:p>
    <w:p w14:paraId="4AA4702A" w14:textId="12ADC9AE" w:rsidR="00AD789B" w:rsidRPr="007C6944" w:rsidRDefault="006774BA" w:rsidP="00116348">
      <w:pPr>
        <w:pStyle w:val="CETBodytext"/>
        <w:numPr>
          <w:ilvl w:val="0"/>
          <w:numId w:val="28"/>
        </w:numPr>
      </w:pPr>
      <w:r w:rsidRPr="007C6944">
        <w:t xml:space="preserve">the </w:t>
      </w:r>
      <w:r w:rsidR="00AD789B" w:rsidRPr="007C6944">
        <w:t>LC50 value refers to the concentration of a chemical in water that results in the mortality of 50% of fathead minnows over a four-day exposure period</w:t>
      </w:r>
      <w:r w:rsidRPr="007C6944">
        <w:t>;</w:t>
      </w:r>
    </w:p>
    <w:p w14:paraId="66BC870E" w14:textId="77777777" w:rsidR="008A5B6C" w:rsidRPr="007C6944" w:rsidRDefault="006774BA" w:rsidP="006774BA">
      <w:pPr>
        <w:pStyle w:val="CETBodytext"/>
        <w:numPr>
          <w:ilvl w:val="0"/>
          <w:numId w:val="28"/>
        </w:numPr>
      </w:pPr>
      <w:r w:rsidRPr="007C6944">
        <w:t xml:space="preserve">the </w:t>
      </w:r>
      <w:r w:rsidR="00AD789B" w:rsidRPr="007C6944">
        <w:t>LD50 endpoint denotes the dose of a chemical, expressed as mass</w:t>
      </w:r>
      <w:r w:rsidR="00BE12DB" w:rsidRPr="007C6944">
        <w:t xml:space="preserve"> of the chemical</w:t>
      </w:r>
      <w:r w:rsidR="00AD789B" w:rsidRPr="007C6944">
        <w:t xml:space="preserve"> per body weight</w:t>
      </w:r>
      <w:r w:rsidR="00BE12DB" w:rsidRPr="007C6944">
        <w:t xml:space="preserve"> of the rat</w:t>
      </w:r>
      <w:r w:rsidR="00AD789B" w:rsidRPr="007C6944">
        <w:t>, that causes the death of 50% of rats following oral ingestion</w:t>
      </w:r>
      <w:r w:rsidRPr="007C6944">
        <w:t>;</w:t>
      </w:r>
    </w:p>
    <w:p w14:paraId="0BAB032B" w14:textId="0D9D4DC0" w:rsidR="00AD789B" w:rsidRPr="007C6944" w:rsidRDefault="006774BA" w:rsidP="006774BA">
      <w:pPr>
        <w:pStyle w:val="CETBodytext"/>
        <w:numPr>
          <w:ilvl w:val="0"/>
          <w:numId w:val="28"/>
        </w:numPr>
      </w:pPr>
      <w:r w:rsidRPr="007C6944">
        <w:t>t</w:t>
      </w:r>
      <w:r w:rsidR="00AD789B" w:rsidRPr="007C6944">
        <w:t xml:space="preserve">he bioconcentration factor (BCF) is defined as the ratio </w:t>
      </w:r>
      <w:r w:rsidR="002C64E4" w:rsidRPr="007C6944">
        <w:t>between</w:t>
      </w:r>
      <w:r w:rsidR="00AD789B" w:rsidRPr="007C6944">
        <w:t xml:space="preserve"> the chemical concentration in an organism</w:t>
      </w:r>
      <w:r w:rsidR="002C64E4" w:rsidRPr="007C6944">
        <w:t xml:space="preserve"> and the chemical concentration </w:t>
      </w:r>
      <w:r w:rsidR="00AD789B" w:rsidRPr="007C6944">
        <w:t>in the surrounding water, achieved through absorption across respiratory surfaces, under steady-state conditions</w:t>
      </w:r>
      <w:r w:rsidRPr="007C6944">
        <w:t>;</w:t>
      </w:r>
    </w:p>
    <w:p w14:paraId="72BB118F" w14:textId="7C9E43BE" w:rsidR="00AD789B" w:rsidRPr="007C6944" w:rsidRDefault="006774BA" w:rsidP="00AD789B">
      <w:pPr>
        <w:pStyle w:val="CETBodytext"/>
        <w:numPr>
          <w:ilvl w:val="0"/>
          <w:numId w:val="28"/>
        </w:numPr>
      </w:pPr>
      <w:r w:rsidRPr="007C6944">
        <w:t xml:space="preserve">the </w:t>
      </w:r>
      <w:r w:rsidR="00AD789B" w:rsidRPr="007C6944">
        <w:t xml:space="preserve">Ames test detects frame-shift mutations or base-pair substitutions by exposing histidine-dependent strains of </w:t>
      </w:r>
      <w:r w:rsidR="00AD789B" w:rsidRPr="007C6944">
        <w:rPr>
          <w:i/>
          <w:iCs/>
        </w:rPr>
        <w:t>Salmonella typhimurium</w:t>
      </w:r>
      <w:r w:rsidR="00AD789B" w:rsidRPr="007C6944">
        <w:t xml:space="preserve"> to the chemical under evaluation. Mutagenic compounds induce reverse mutations that restore the bacteria's ability to synthesize histidine, enabling colony growth on</w:t>
      </w:r>
      <w:r w:rsidR="00F919B3" w:rsidRPr="007C6944">
        <w:t xml:space="preserve"> a medium deficient in histidine</w:t>
      </w:r>
      <w:r w:rsidR="00AD789B" w:rsidRPr="007C6944">
        <w:t>.</w:t>
      </w:r>
    </w:p>
    <w:p w14:paraId="7568C9D0" w14:textId="1EED264E" w:rsidR="003965F4" w:rsidRPr="003965F4" w:rsidRDefault="003A2BE2" w:rsidP="007002B5">
      <w:pPr>
        <w:pStyle w:val="CETBodytext"/>
      </w:pPr>
      <w:r w:rsidRPr="007C6944">
        <w:rPr>
          <w:lang w:val="en-GB"/>
        </w:rPr>
        <w:t>By comparing the toxicity indices with their respective limit values</w:t>
      </w:r>
      <w:r w:rsidR="006774BA" w:rsidRPr="007C6944">
        <w:rPr>
          <w:lang w:val="en-GB"/>
        </w:rPr>
        <w:t xml:space="preserve"> reported in </w:t>
      </w:r>
      <w:r w:rsidR="00A04668" w:rsidRPr="007C6944">
        <w:rPr>
          <w:iCs/>
          <w:lang w:val="en-GB"/>
        </w:rPr>
        <w:t>Table 3</w:t>
      </w:r>
      <w:r w:rsidRPr="007C6944">
        <w:rPr>
          <w:lang w:val="en-GB"/>
        </w:rPr>
        <w:t>, it is possible to conclude that Cyrene and NMP fall within the same toxicity</w:t>
      </w:r>
      <w:r w:rsidRPr="003A2BE2">
        <w:rPr>
          <w:lang w:val="en-GB"/>
        </w:rPr>
        <w:t xml:space="preserve"> categories for all parameters except LD50, where only Cyrene </w:t>
      </w:r>
      <w:r>
        <w:rPr>
          <w:lang w:val="en-GB"/>
        </w:rPr>
        <w:t>can be</w:t>
      </w:r>
      <w:r w:rsidRPr="003A2BE2">
        <w:rPr>
          <w:lang w:val="en-GB"/>
        </w:rPr>
        <w:t xml:space="preserve"> classified as non-toxic.</w:t>
      </w:r>
    </w:p>
    <w:p w14:paraId="4795E283" w14:textId="4583702E" w:rsidR="00890816" w:rsidRPr="00B57B36" w:rsidRDefault="00890816" w:rsidP="00813F58">
      <w:pPr>
        <w:pStyle w:val="CETTabletitle"/>
        <w:spacing w:before="120"/>
      </w:pPr>
      <w:bookmarkStart w:id="6" w:name="_Ref183186215"/>
      <w:r>
        <w:lastRenderedPageBreak/>
        <w:t xml:space="preserve">Table </w:t>
      </w:r>
      <w:r>
        <w:fldChar w:fldCharType="begin"/>
      </w:r>
      <w:r>
        <w:instrText xml:space="preserve"> SEQ Table \* ARABIC </w:instrText>
      </w:r>
      <w:r>
        <w:fldChar w:fldCharType="separate"/>
      </w:r>
      <w:r w:rsidR="007C6944">
        <w:rPr>
          <w:noProof/>
        </w:rPr>
        <w:t>3</w:t>
      </w:r>
      <w:r>
        <w:fldChar w:fldCharType="end"/>
      </w:r>
      <w:bookmarkEnd w:id="6"/>
      <w:r>
        <w:t>: Toxicological indices</w:t>
      </w:r>
      <w:r w:rsidR="0022109D">
        <w:t xml:space="preserve"> for of Cyrene and NMP</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6"/>
        <w:gridCol w:w="733"/>
        <w:gridCol w:w="880"/>
        <w:gridCol w:w="880"/>
        <w:gridCol w:w="4248"/>
      </w:tblGrid>
      <w:tr w:rsidR="0056236D" w:rsidRPr="00B57B36" w14:paraId="50168E82" w14:textId="77777777" w:rsidTr="0056236D">
        <w:tc>
          <w:tcPr>
            <w:tcW w:w="1164" w:type="pct"/>
            <w:tcBorders>
              <w:top w:val="single" w:sz="12" w:space="0" w:color="008000"/>
              <w:bottom w:val="single" w:sz="6" w:space="0" w:color="008000"/>
            </w:tcBorders>
            <w:shd w:val="clear" w:color="auto" w:fill="FFFFFF"/>
            <w:vAlign w:val="center"/>
          </w:tcPr>
          <w:p w14:paraId="5C1F9C79" w14:textId="77777777" w:rsidR="0056236D" w:rsidRPr="00B57B36" w:rsidRDefault="0056236D" w:rsidP="0056236D">
            <w:pPr>
              <w:pStyle w:val="CETBodytext"/>
              <w:jc w:val="left"/>
              <w:rPr>
                <w:lang w:val="en-GB"/>
              </w:rPr>
            </w:pPr>
            <w:r>
              <w:t>Toxicological indices</w:t>
            </w:r>
          </w:p>
        </w:tc>
        <w:tc>
          <w:tcPr>
            <w:tcW w:w="417" w:type="pct"/>
            <w:tcBorders>
              <w:top w:val="single" w:sz="12" w:space="0" w:color="008000"/>
              <w:bottom w:val="single" w:sz="6" w:space="0" w:color="008000"/>
            </w:tcBorders>
            <w:shd w:val="clear" w:color="auto" w:fill="FFFFFF"/>
            <w:vAlign w:val="center"/>
          </w:tcPr>
          <w:p w14:paraId="43C2A27A" w14:textId="77777777" w:rsidR="0056236D" w:rsidRPr="00B57B36" w:rsidRDefault="0056236D" w:rsidP="0056236D">
            <w:pPr>
              <w:pStyle w:val="CETBodytext"/>
              <w:jc w:val="left"/>
              <w:rPr>
                <w:lang w:val="en-GB"/>
              </w:rPr>
            </w:pPr>
            <w:r w:rsidRPr="00BC1A35">
              <w:t>Unit</w:t>
            </w:r>
          </w:p>
        </w:tc>
        <w:tc>
          <w:tcPr>
            <w:tcW w:w="501" w:type="pct"/>
            <w:tcBorders>
              <w:top w:val="single" w:sz="12" w:space="0" w:color="008000"/>
              <w:bottom w:val="single" w:sz="6" w:space="0" w:color="008000"/>
            </w:tcBorders>
            <w:shd w:val="clear" w:color="auto" w:fill="FFFFFF"/>
            <w:vAlign w:val="center"/>
          </w:tcPr>
          <w:p w14:paraId="1CDFF7F7" w14:textId="77777777" w:rsidR="0056236D" w:rsidRPr="00B57B36" w:rsidRDefault="0056236D" w:rsidP="0056236D">
            <w:pPr>
              <w:pStyle w:val="CETBodytext"/>
              <w:jc w:val="left"/>
              <w:rPr>
                <w:lang w:val="en-GB"/>
              </w:rPr>
            </w:pPr>
            <w:r w:rsidRPr="00BC1A35">
              <w:t>Cyrene</w:t>
            </w:r>
          </w:p>
        </w:tc>
        <w:tc>
          <w:tcPr>
            <w:tcW w:w="501" w:type="pct"/>
            <w:tcBorders>
              <w:top w:val="single" w:sz="12" w:space="0" w:color="008000"/>
              <w:bottom w:val="single" w:sz="6" w:space="0" w:color="008000"/>
            </w:tcBorders>
            <w:shd w:val="clear" w:color="auto" w:fill="FFFFFF"/>
            <w:vAlign w:val="center"/>
          </w:tcPr>
          <w:p w14:paraId="573889CF" w14:textId="77777777" w:rsidR="0056236D" w:rsidRPr="00B57B36" w:rsidRDefault="0056236D" w:rsidP="0056236D">
            <w:pPr>
              <w:pStyle w:val="CETBodytext"/>
              <w:ind w:right="-1"/>
              <w:jc w:val="left"/>
              <w:rPr>
                <w:rFonts w:cs="Arial"/>
                <w:szCs w:val="18"/>
                <w:lang w:val="en-GB"/>
              </w:rPr>
            </w:pPr>
            <w:r w:rsidRPr="00BC1A35">
              <w:t>NMP</w:t>
            </w:r>
          </w:p>
        </w:tc>
        <w:tc>
          <w:tcPr>
            <w:tcW w:w="2417" w:type="pct"/>
            <w:tcBorders>
              <w:top w:val="single" w:sz="12" w:space="0" w:color="008000"/>
              <w:bottom w:val="single" w:sz="6" w:space="0" w:color="008000"/>
            </w:tcBorders>
            <w:shd w:val="clear" w:color="auto" w:fill="FFFFFF"/>
            <w:vAlign w:val="center"/>
          </w:tcPr>
          <w:p w14:paraId="2F0BA431" w14:textId="77777777" w:rsidR="0056236D" w:rsidRPr="00BC1A35" w:rsidRDefault="0056236D" w:rsidP="0056236D">
            <w:pPr>
              <w:pStyle w:val="CETBodytext"/>
              <w:ind w:right="-1"/>
              <w:jc w:val="left"/>
            </w:pPr>
            <w:r>
              <w:t>Limit values</w:t>
            </w:r>
          </w:p>
        </w:tc>
      </w:tr>
      <w:tr w:rsidR="0056236D" w:rsidRPr="00B57B36" w14:paraId="20EDB6AB" w14:textId="77777777" w:rsidTr="0056236D">
        <w:tc>
          <w:tcPr>
            <w:tcW w:w="1164" w:type="pct"/>
            <w:shd w:val="clear" w:color="auto" w:fill="FFFFFF"/>
            <w:vAlign w:val="center"/>
          </w:tcPr>
          <w:p w14:paraId="0C65E048" w14:textId="77777777" w:rsidR="0056236D" w:rsidRPr="00B57B36" w:rsidRDefault="0056236D" w:rsidP="0056236D">
            <w:pPr>
              <w:pStyle w:val="CETBodytext"/>
              <w:jc w:val="left"/>
              <w:rPr>
                <w:lang w:val="en-GB"/>
              </w:rPr>
            </w:pPr>
            <w:r>
              <w:t>LC50</w:t>
            </w:r>
          </w:p>
        </w:tc>
        <w:tc>
          <w:tcPr>
            <w:tcW w:w="417" w:type="pct"/>
            <w:shd w:val="clear" w:color="auto" w:fill="FFFFFF"/>
            <w:vAlign w:val="center"/>
          </w:tcPr>
          <w:p w14:paraId="3B59CF79" w14:textId="77777777" w:rsidR="0056236D" w:rsidRPr="00B57B36" w:rsidRDefault="0056236D" w:rsidP="0056236D">
            <w:pPr>
              <w:pStyle w:val="CETBodytext"/>
              <w:jc w:val="left"/>
              <w:rPr>
                <w:lang w:val="en-GB"/>
              </w:rPr>
            </w:pPr>
            <w:r w:rsidRPr="00BC1A35">
              <w:t>[</w:t>
            </w:r>
            <w:r>
              <w:t>mg/l</w:t>
            </w:r>
            <w:r w:rsidRPr="00BC1A35">
              <w:t>]</w:t>
            </w:r>
          </w:p>
        </w:tc>
        <w:tc>
          <w:tcPr>
            <w:tcW w:w="501" w:type="pct"/>
            <w:shd w:val="clear" w:color="auto" w:fill="FFFFFF"/>
            <w:vAlign w:val="center"/>
          </w:tcPr>
          <w:p w14:paraId="7F7919F6" w14:textId="77777777" w:rsidR="0056236D" w:rsidRPr="00B57B36" w:rsidRDefault="0056236D" w:rsidP="0056236D">
            <w:pPr>
              <w:pStyle w:val="CETBodytext"/>
              <w:jc w:val="left"/>
              <w:rPr>
                <w:lang w:val="en-GB"/>
              </w:rPr>
            </w:pPr>
            <w:r w:rsidRPr="0064141D">
              <w:t>3340.77</w:t>
            </w:r>
          </w:p>
        </w:tc>
        <w:tc>
          <w:tcPr>
            <w:tcW w:w="501" w:type="pct"/>
            <w:shd w:val="clear" w:color="auto" w:fill="FFFFFF"/>
            <w:vAlign w:val="center"/>
          </w:tcPr>
          <w:p w14:paraId="63E5FDBB" w14:textId="77777777" w:rsidR="0056236D" w:rsidRPr="00B57B36" w:rsidRDefault="0056236D" w:rsidP="0056236D">
            <w:pPr>
              <w:pStyle w:val="CETBodytext"/>
              <w:ind w:right="-1"/>
              <w:jc w:val="left"/>
              <w:rPr>
                <w:rFonts w:cs="Arial"/>
                <w:szCs w:val="18"/>
                <w:lang w:val="en-GB"/>
              </w:rPr>
            </w:pPr>
            <w:r>
              <w:t>774.51</w:t>
            </w:r>
          </w:p>
        </w:tc>
        <w:tc>
          <w:tcPr>
            <w:tcW w:w="2417" w:type="pct"/>
            <w:shd w:val="clear" w:color="auto" w:fill="FFFFFF"/>
            <w:vAlign w:val="center"/>
          </w:tcPr>
          <w:p w14:paraId="0943E972" w14:textId="6F32656E" w:rsidR="0056236D" w:rsidRDefault="0056236D" w:rsidP="0056236D">
            <w:pPr>
              <w:pStyle w:val="CETBodytext"/>
              <w:ind w:right="-1"/>
              <w:jc w:val="left"/>
            </w:pPr>
            <w:r>
              <w:t xml:space="preserve">&gt; 100: practically nontoxic </w:t>
            </w:r>
            <w:r>
              <w:fldChar w:fldCharType="begin"/>
            </w:r>
            <w:r w:rsidR="007C5737">
              <w:instrText xml:space="preserve"> ADDIN EN.CITE &lt;EndNote&gt;&lt;Cite&gt;&lt;Author&gt;EPA&lt;/Author&gt;&lt;RecNum&gt;248&lt;/RecNum&gt;&lt;DisplayText&gt;(EPA, 2024)&lt;/DisplayText&gt;&lt;record&gt;&lt;rec-number&gt;248&lt;/rec-number&gt;&lt;foreign-keys&gt;&lt;key app="EN" db-id="dx5wwtzs652saherdptxawzqdrxf255xasv0" timestamp="1730975048"&gt;248&lt;/key&gt;&lt;/foreign-keys&gt;&lt;ref-type name="Web Page"&gt;12&lt;/ref-type&gt;&lt;contributors&gt;&lt;authors&gt;&lt;author&gt;U.S. EPA&lt;/author&gt;&lt;/authors&gt;&lt;/contributors&gt;&lt;titles&gt;&lt;title&gt;Toxicity Categories &lt;/title&gt;&lt;/titles&gt;&lt;pages&gt;United States Environmental Protection Agency&lt;/pages&gt;&lt;volume&gt;2024&lt;/volume&gt;&lt;number&gt;07/11/2024&lt;/number&gt;&lt;dates&gt;&lt;year&gt;2024&lt;/year&gt;&lt;/dates&gt;&lt;urls&gt;&lt;related-urls&gt;&lt;url&gt;https://www3.epa.gov/pesticides/endanger/litstatus/effects/redleg-frog/naled/appendix-i.pdf&lt;/url&gt;&lt;/related-urls&gt;&lt;/urls&gt;&lt;/record&gt;&lt;/Cite&gt;&lt;/EndNote&gt;</w:instrText>
            </w:r>
            <w:r>
              <w:fldChar w:fldCharType="separate"/>
            </w:r>
            <w:r w:rsidR="007C5737">
              <w:rPr>
                <w:noProof/>
              </w:rPr>
              <w:t>(EPA, 2024)</w:t>
            </w:r>
            <w:r>
              <w:fldChar w:fldCharType="end"/>
            </w:r>
          </w:p>
        </w:tc>
      </w:tr>
      <w:tr w:rsidR="0056236D" w:rsidRPr="00B57B36" w14:paraId="50C72CB5" w14:textId="77777777" w:rsidTr="0056236D">
        <w:tc>
          <w:tcPr>
            <w:tcW w:w="1164" w:type="pct"/>
            <w:shd w:val="clear" w:color="auto" w:fill="FFFFFF"/>
            <w:vAlign w:val="center"/>
          </w:tcPr>
          <w:p w14:paraId="5A856FDF" w14:textId="77777777" w:rsidR="0056236D" w:rsidRPr="00B57B36" w:rsidRDefault="0056236D" w:rsidP="0056236D">
            <w:pPr>
              <w:pStyle w:val="CETBodytext"/>
              <w:jc w:val="left"/>
              <w:rPr>
                <w:lang w:val="en-GB"/>
              </w:rPr>
            </w:pPr>
            <w:r>
              <w:t>LD50</w:t>
            </w:r>
          </w:p>
        </w:tc>
        <w:tc>
          <w:tcPr>
            <w:tcW w:w="417" w:type="pct"/>
            <w:shd w:val="clear" w:color="auto" w:fill="FFFFFF"/>
            <w:vAlign w:val="center"/>
          </w:tcPr>
          <w:p w14:paraId="4C21AF3A" w14:textId="77777777" w:rsidR="0056236D" w:rsidRPr="00B57B36" w:rsidRDefault="0056236D" w:rsidP="0056236D">
            <w:pPr>
              <w:pStyle w:val="CETBodytext"/>
              <w:jc w:val="left"/>
              <w:rPr>
                <w:lang w:val="en-GB"/>
              </w:rPr>
            </w:pPr>
            <w:r w:rsidRPr="00BC1A35">
              <w:t>[</w:t>
            </w:r>
            <w:r>
              <w:t>mg/kg</w:t>
            </w:r>
            <w:r w:rsidRPr="00BC1A35">
              <w:t>]</w:t>
            </w:r>
          </w:p>
        </w:tc>
        <w:tc>
          <w:tcPr>
            <w:tcW w:w="501" w:type="pct"/>
            <w:shd w:val="clear" w:color="auto" w:fill="FFFFFF"/>
            <w:vAlign w:val="center"/>
          </w:tcPr>
          <w:p w14:paraId="434C2F85" w14:textId="77777777" w:rsidR="0056236D" w:rsidRPr="00B57B36" w:rsidRDefault="0056236D" w:rsidP="0056236D">
            <w:pPr>
              <w:pStyle w:val="CETBodytext"/>
              <w:jc w:val="left"/>
              <w:rPr>
                <w:lang w:val="en-GB"/>
              </w:rPr>
            </w:pPr>
            <w:r>
              <w:t>5906.25</w:t>
            </w:r>
          </w:p>
        </w:tc>
        <w:tc>
          <w:tcPr>
            <w:tcW w:w="501" w:type="pct"/>
            <w:shd w:val="clear" w:color="auto" w:fill="FFFFFF"/>
            <w:vAlign w:val="center"/>
          </w:tcPr>
          <w:p w14:paraId="5CC7C6EC" w14:textId="77777777" w:rsidR="0056236D" w:rsidRPr="00B57B36" w:rsidRDefault="0056236D" w:rsidP="0056236D">
            <w:pPr>
              <w:pStyle w:val="CETBodytext"/>
              <w:ind w:right="-1"/>
              <w:jc w:val="left"/>
              <w:rPr>
                <w:rFonts w:cs="Arial"/>
                <w:szCs w:val="18"/>
                <w:lang w:val="en-GB"/>
              </w:rPr>
            </w:pPr>
            <w:r>
              <w:t>1846.39</w:t>
            </w:r>
          </w:p>
        </w:tc>
        <w:tc>
          <w:tcPr>
            <w:tcW w:w="2417" w:type="pct"/>
            <w:shd w:val="clear" w:color="auto" w:fill="FFFFFF"/>
            <w:vAlign w:val="center"/>
          </w:tcPr>
          <w:p w14:paraId="12E0D633" w14:textId="6F0EF1F2" w:rsidR="0056236D" w:rsidRDefault="0056236D" w:rsidP="0056236D">
            <w:pPr>
              <w:pStyle w:val="CETBodytext"/>
              <w:ind w:right="-1"/>
              <w:jc w:val="left"/>
            </w:pPr>
            <w:r>
              <w:t>500 – 2000: slightly toxic</w:t>
            </w:r>
          </w:p>
          <w:p w14:paraId="7727421E" w14:textId="068B8D79" w:rsidR="0056236D" w:rsidRDefault="0056236D" w:rsidP="0056236D">
            <w:pPr>
              <w:pStyle w:val="CETBodytext"/>
              <w:ind w:right="-1"/>
              <w:jc w:val="left"/>
            </w:pPr>
            <w:r>
              <w:t xml:space="preserve">&gt; 2000: nontoxic </w:t>
            </w:r>
            <w:r>
              <w:fldChar w:fldCharType="begin"/>
            </w:r>
            <w:r w:rsidR="007C5737">
              <w:instrText xml:space="preserve"> ADDIN EN.CITE &lt;EndNote&gt;&lt;Cite&gt;&lt;Author&gt;EPA&lt;/Author&gt;&lt;Year&gt;2024&lt;/Year&gt;&lt;RecNum&gt;248&lt;/RecNum&gt;&lt;DisplayText&gt;(EPA, 2024)&lt;/DisplayText&gt;&lt;record&gt;&lt;rec-number&gt;248&lt;/rec-number&gt;&lt;foreign-keys&gt;&lt;key app="EN" db-id="dx5wwtzs652saherdptxawzqdrxf255xasv0" timestamp="1730975048"&gt;248&lt;/key&gt;&lt;/foreign-keys&gt;&lt;ref-type name="Web Page"&gt;12&lt;/ref-type&gt;&lt;contributors&gt;&lt;authors&gt;&lt;author&gt;U.S. EPA&lt;/author&gt;&lt;/authors&gt;&lt;/contributors&gt;&lt;titles&gt;&lt;title&gt;Toxicity Categories &lt;/title&gt;&lt;/titles&gt;&lt;pages&gt;United States Environmental Protection Agency&lt;/pages&gt;&lt;volume&gt;2024&lt;/volume&gt;&lt;number&gt;07/11/2024&lt;/number&gt;&lt;dates&gt;&lt;year&gt;2024&lt;/year&gt;&lt;/dates&gt;&lt;urls&gt;&lt;related-urls&gt;&lt;url&gt;https://www3.epa.gov/pesticides/endanger/litstatus/effects/redleg-frog/naled/appendix-i.pdf&lt;/url&gt;&lt;/related-urls&gt;&lt;/urls&gt;&lt;/record&gt;&lt;/Cite&gt;&lt;/EndNote&gt;</w:instrText>
            </w:r>
            <w:r>
              <w:fldChar w:fldCharType="separate"/>
            </w:r>
            <w:r w:rsidR="007C5737">
              <w:rPr>
                <w:noProof/>
              </w:rPr>
              <w:t>(EPA, 2024)</w:t>
            </w:r>
            <w:r>
              <w:fldChar w:fldCharType="end"/>
            </w:r>
          </w:p>
        </w:tc>
      </w:tr>
      <w:tr w:rsidR="0056236D" w:rsidRPr="00B57B36" w14:paraId="4A50B340" w14:textId="77777777" w:rsidTr="0056236D">
        <w:tc>
          <w:tcPr>
            <w:tcW w:w="1164" w:type="pct"/>
            <w:shd w:val="clear" w:color="auto" w:fill="FFFFFF"/>
            <w:vAlign w:val="center"/>
          </w:tcPr>
          <w:p w14:paraId="040B0C9A" w14:textId="77777777" w:rsidR="0056236D" w:rsidRPr="00B57B36" w:rsidRDefault="0056236D" w:rsidP="0056236D">
            <w:pPr>
              <w:pStyle w:val="CETBodytext"/>
              <w:jc w:val="left"/>
              <w:rPr>
                <w:lang w:val="en-GB"/>
              </w:rPr>
            </w:pPr>
            <w:r>
              <w:t>BCF</w:t>
            </w:r>
          </w:p>
        </w:tc>
        <w:tc>
          <w:tcPr>
            <w:tcW w:w="417" w:type="pct"/>
            <w:shd w:val="clear" w:color="auto" w:fill="FFFFFF"/>
            <w:vAlign w:val="center"/>
          </w:tcPr>
          <w:p w14:paraId="36EF1230" w14:textId="77777777" w:rsidR="0056236D" w:rsidRPr="00B57B36" w:rsidRDefault="0056236D" w:rsidP="0056236D">
            <w:pPr>
              <w:pStyle w:val="CETBodytext"/>
              <w:jc w:val="left"/>
              <w:rPr>
                <w:lang w:val="en-GB"/>
              </w:rPr>
            </w:pPr>
            <w:r w:rsidRPr="00BC1A35">
              <w:t>[</w:t>
            </w:r>
            <w:r>
              <w:t>-</w:t>
            </w:r>
            <w:r w:rsidRPr="00BC1A35">
              <w:t>]</w:t>
            </w:r>
          </w:p>
        </w:tc>
        <w:tc>
          <w:tcPr>
            <w:tcW w:w="501" w:type="pct"/>
            <w:shd w:val="clear" w:color="auto" w:fill="FFFFFF"/>
            <w:vAlign w:val="center"/>
          </w:tcPr>
          <w:p w14:paraId="0C9995A8" w14:textId="77777777" w:rsidR="0056236D" w:rsidRPr="00B57B36" w:rsidRDefault="0056236D" w:rsidP="0056236D">
            <w:pPr>
              <w:pStyle w:val="CETBodytext"/>
              <w:jc w:val="left"/>
              <w:rPr>
                <w:lang w:val="en-GB"/>
              </w:rPr>
            </w:pPr>
            <w:r>
              <w:t>2.49</w:t>
            </w:r>
          </w:p>
        </w:tc>
        <w:tc>
          <w:tcPr>
            <w:tcW w:w="501" w:type="pct"/>
            <w:shd w:val="clear" w:color="auto" w:fill="FFFFFF"/>
            <w:vAlign w:val="center"/>
          </w:tcPr>
          <w:p w14:paraId="7B0EF5D1" w14:textId="77777777" w:rsidR="0056236D" w:rsidRPr="00B57B36" w:rsidRDefault="0056236D" w:rsidP="0056236D">
            <w:pPr>
              <w:pStyle w:val="CETBodytext"/>
              <w:ind w:right="-1"/>
              <w:jc w:val="left"/>
              <w:rPr>
                <w:rFonts w:cs="Arial"/>
                <w:szCs w:val="18"/>
                <w:lang w:val="en-GB"/>
              </w:rPr>
            </w:pPr>
            <w:r>
              <w:t>1.02</w:t>
            </w:r>
          </w:p>
        </w:tc>
        <w:tc>
          <w:tcPr>
            <w:tcW w:w="2417" w:type="pct"/>
            <w:shd w:val="clear" w:color="auto" w:fill="FFFFFF"/>
            <w:vAlign w:val="center"/>
          </w:tcPr>
          <w:p w14:paraId="07F93E14" w14:textId="7BA67886" w:rsidR="0056236D" w:rsidRDefault="0056236D" w:rsidP="0056236D">
            <w:pPr>
              <w:pStyle w:val="CETBodytext"/>
              <w:ind w:right="-1"/>
              <w:jc w:val="left"/>
            </w:pPr>
            <w:r w:rsidRPr="00CA0B00">
              <w:t>&lt; 1000</w:t>
            </w:r>
            <w:r>
              <w:t>:</w:t>
            </w:r>
            <w:r w:rsidRPr="00CA0B00">
              <w:t xml:space="preserve"> no bioaccumulati</w:t>
            </w:r>
            <w:r>
              <w:t xml:space="preserve">on </w:t>
            </w:r>
            <w:r>
              <w:fldChar w:fldCharType="begin"/>
            </w:r>
            <w:r w:rsidR="007C5737">
              <w:instrText xml:space="preserve"> ADDIN EN.CITE &lt;EndNote&gt;&lt;Cite&gt;&lt;Author&gt;EHAC&lt;/Author&gt;&lt;Year&gt;2012&lt;/Year&gt;&lt;RecNum&gt;250&lt;/RecNum&gt;&lt;DisplayText&gt;(EHAC, 2012)&lt;/DisplayText&gt;&lt;record&gt;&lt;rec-number&gt;250&lt;/rec-number&gt;&lt;foreign-keys&gt;&lt;key app="EN" db-id="dx5wwtzs652saherdptxawzqdrxf255xasv0" timestamp="1730975856"&gt;250&lt;/key&gt;&lt;/foreign-keys&gt;&lt;ref-type name="Web Page"&gt;12&lt;/ref-type&gt;&lt;contributors&gt;&lt;authors&gt;&lt;author&gt;EHAC&lt;/author&gt;&lt;/authors&gt;&lt;/contributors&gt;&lt;titles&gt;&lt;title&gt;Criteria used by the PBT Profiler&lt;/title&gt;&lt;/titles&gt;&lt;pages&gt;Environmental Health Analysis Center&lt;/pages&gt;&lt;volume&gt;2024&lt;/volume&gt;&lt;number&gt;07/11/2024&lt;/number&gt;&lt;dates&gt;&lt;year&gt;2012&lt;/year&gt;&lt;/dates&gt;&lt;urls&gt;&lt;related-urls&gt;&lt;url&gt;https://web.archive.org/web/20160501194153/http://www.pbtprofiler.net/criteria.asp&lt;/url&gt;&lt;/related-urls&gt;&lt;/urls&gt;&lt;/record&gt;&lt;/Cite&gt;&lt;/EndNote&gt;</w:instrText>
            </w:r>
            <w:r>
              <w:fldChar w:fldCharType="separate"/>
            </w:r>
            <w:r w:rsidR="007C5737">
              <w:rPr>
                <w:noProof/>
              </w:rPr>
              <w:t>(EHAC, 2012)</w:t>
            </w:r>
            <w:r>
              <w:fldChar w:fldCharType="end"/>
            </w:r>
          </w:p>
        </w:tc>
      </w:tr>
      <w:tr w:rsidR="0056236D" w:rsidRPr="00B57B36" w14:paraId="343C492F" w14:textId="77777777" w:rsidTr="0056236D">
        <w:tc>
          <w:tcPr>
            <w:tcW w:w="1164" w:type="pct"/>
            <w:shd w:val="clear" w:color="auto" w:fill="FFFFFF"/>
            <w:vAlign w:val="center"/>
          </w:tcPr>
          <w:p w14:paraId="1698C2A9" w14:textId="77777777" w:rsidR="0056236D" w:rsidRPr="00B57B36" w:rsidRDefault="0056236D" w:rsidP="0056236D">
            <w:pPr>
              <w:pStyle w:val="CETBodytext"/>
              <w:jc w:val="left"/>
              <w:rPr>
                <w:lang w:val="en-GB"/>
              </w:rPr>
            </w:pPr>
            <w:r w:rsidRPr="0064141D">
              <w:t>Ames mutagenicity</w:t>
            </w:r>
          </w:p>
        </w:tc>
        <w:tc>
          <w:tcPr>
            <w:tcW w:w="417" w:type="pct"/>
            <w:shd w:val="clear" w:color="auto" w:fill="FFFFFF"/>
            <w:vAlign w:val="center"/>
          </w:tcPr>
          <w:p w14:paraId="7D707ED8" w14:textId="77777777" w:rsidR="0056236D" w:rsidRPr="00B57B36" w:rsidRDefault="0056236D" w:rsidP="0056236D">
            <w:pPr>
              <w:pStyle w:val="CETBodytext"/>
              <w:jc w:val="left"/>
              <w:rPr>
                <w:lang w:val="en-GB"/>
              </w:rPr>
            </w:pPr>
            <w:r w:rsidRPr="00BC1A35">
              <w:t>[</w:t>
            </w:r>
            <w:r>
              <w:t>-</w:t>
            </w:r>
            <w:r w:rsidRPr="00BC1A35">
              <w:t>]</w:t>
            </w:r>
          </w:p>
        </w:tc>
        <w:tc>
          <w:tcPr>
            <w:tcW w:w="501" w:type="pct"/>
            <w:shd w:val="clear" w:color="auto" w:fill="FFFFFF"/>
            <w:vAlign w:val="center"/>
          </w:tcPr>
          <w:p w14:paraId="5FBF202C" w14:textId="16776FB6" w:rsidR="0056236D" w:rsidRPr="00B57B36" w:rsidRDefault="0056236D" w:rsidP="0056236D">
            <w:pPr>
              <w:pStyle w:val="CETBodytext"/>
              <w:jc w:val="left"/>
              <w:rPr>
                <w:lang w:val="en-GB"/>
              </w:rPr>
            </w:pPr>
            <w:r w:rsidRPr="00FE4220">
              <w:t>Negative</w:t>
            </w:r>
          </w:p>
        </w:tc>
        <w:tc>
          <w:tcPr>
            <w:tcW w:w="501" w:type="pct"/>
            <w:shd w:val="clear" w:color="auto" w:fill="FFFFFF"/>
            <w:vAlign w:val="center"/>
          </w:tcPr>
          <w:p w14:paraId="424233FE" w14:textId="7F054446" w:rsidR="0056236D" w:rsidRPr="00B57B36" w:rsidRDefault="0056236D" w:rsidP="0056236D">
            <w:pPr>
              <w:pStyle w:val="CETBodytext"/>
              <w:ind w:right="-1"/>
              <w:jc w:val="left"/>
              <w:rPr>
                <w:rFonts w:cs="Arial"/>
                <w:szCs w:val="18"/>
                <w:lang w:val="en-GB"/>
              </w:rPr>
            </w:pPr>
            <w:r w:rsidRPr="00FE4220">
              <w:t>Negative</w:t>
            </w:r>
          </w:p>
        </w:tc>
        <w:tc>
          <w:tcPr>
            <w:tcW w:w="2417" w:type="pct"/>
            <w:shd w:val="clear" w:color="auto" w:fill="FFFFFF"/>
            <w:vAlign w:val="center"/>
          </w:tcPr>
          <w:p w14:paraId="00D1625B" w14:textId="4CD6806D" w:rsidR="0056236D" w:rsidRPr="00FE4220" w:rsidRDefault="0056236D" w:rsidP="0056236D">
            <w:pPr>
              <w:pStyle w:val="CETBodytext"/>
              <w:ind w:right="-1"/>
              <w:jc w:val="left"/>
            </w:pPr>
          </w:p>
        </w:tc>
      </w:tr>
    </w:tbl>
    <w:p w14:paraId="18BAFA6F" w14:textId="78F838D2" w:rsidR="00453E24" w:rsidRDefault="00EE35B3" w:rsidP="003F060D">
      <w:pPr>
        <w:pStyle w:val="CETheadingx"/>
      </w:pPr>
      <w:r>
        <w:t>CO</w:t>
      </w:r>
      <w:r w:rsidRPr="00EE35B3">
        <w:rPr>
          <w:vertAlign w:val="subscript"/>
        </w:rPr>
        <w:t>2</w:t>
      </w:r>
      <w:r>
        <w:t xml:space="preserve"> solubility</w:t>
      </w:r>
    </w:p>
    <w:p w14:paraId="62DE0B0F" w14:textId="243E44D7" w:rsidR="00F529A2" w:rsidRDefault="005A5218" w:rsidP="005A5218">
      <w:pPr>
        <w:pStyle w:val="CETBodytext"/>
      </w:pPr>
      <w:r w:rsidRPr="005A5218">
        <w:t xml:space="preserve">The primary factor influencing </w:t>
      </w:r>
      <w:r w:rsidR="006774BA">
        <w:t xml:space="preserve">the </w:t>
      </w:r>
      <w:r w:rsidRPr="005A5218">
        <w:t>CO</w:t>
      </w:r>
      <w:r w:rsidRPr="005A5218">
        <w:rPr>
          <w:rFonts w:ascii="Cambria Math" w:hAnsi="Cambria Math" w:cs="Cambria Math"/>
        </w:rPr>
        <w:t>₂</w:t>
      </w:r>
      <w:r w:rsidRPr="005A5218">
        <w:t xml:space="preserve"> </w:t>
      </w:r>
      <w:r w:rsidR="003C3E84">
        <w:t xml:space="preserve">physical </w:t>
      </w:r>
      <w:r w:rsidRPr="005A5218">
        <w:t xml:space="preserve">absorption in a solvent is </w:t>
      </w:r>
      <w:r w:rsidR="006774BA">
        <w:t>the</w:t>
      </w:r>
      <w:r w:rsidR="006774BA" w:rsidRPr="005A5218">
        <w:t xml:space="preserve"> </w:t>
      </w:r>
      <w:r w:rsidRPr="005A5218">
        <w:t>solubility</w:t>
      </w:r>
      <w:r w:rsidR="006774BA">
        <w:t xml:space="preserve"> of CO</w:t>
      </w:r>
      <w:r w:rsidR="006774BA" w:rsidRPr="00D85D97">
        <w:rPr>
          <w:vertAlign w:val="subscript"/>
        </w:rPr>
        <w:t>2</w:t>
      </w:r>
      <w:r w:rsidR="006774BA">
        <w:t xml:space="preserve"> in the liquid</w:t>
      </w:r>
      <w:r w:rsidRPr="005A5218">
        <w:t xml:space="preserve">, which generally increases </w:t>
      </w:r>
      <w:r w:rsidR="006774BA">
        <w:t>as the</w:t>
      </w:r>
      <w:r w:rsidR="006774BA" w:rsidRPr="005A5218">
        <w:t xml:space="preserve"> </w:t>
      </w:r>
      <w:r w:rsidR="006774BA">
        <w:t>CO</w:t>
      </w:r>
      <w:r w:rsidR="006774BA" w:rsidRPr="00D85D97">
        <w:rPr>
          <w:vertAlign w:val="subscript"/>
        </w:rPr>
        <w:t>2</w:t>
      </w:r>
      <w:r w:rsidR="006774BA">
        <w:t xml:space="preserve"> partial </w:t>
      </w:r>
      <w:r w:rsidRPr="005A5218">
        <w:t>pressure</w:t>
      </w:r>
      <w:r w:rsidR="006774BA">
        <w:t xml:space="preserve"> increases</w:t>
      </w:r>
      <w:r w:rsidRPr="005A5218">
        <w:t xml:space="preserve"> and decreases </w:t>
      </w:r>
      <w:r w:rsidR="006774BA">
        <w:t>as the</w:t>
      </w:r>
      <w:r w:rsidRPr="005A5218">
        <w:t xml:space="preserve"> temperature </w:t>
      </w:r>
      <w:r w:rsidR="006774BA">
        <w:t xml:space="preserve">decreases </w:t>
      </w:r>
      <w:r w:rsidR="003C3E84">
        <w:fldChar w:fldCharType="begin"/>
      </w:r>
      <w:r w:rsidR="007C5737">
        <w:instrText xml:space="preserve"> ADDIN EN.CITE &lt;EndNote&gt;&lt;Cite&gt;&lt;Author&gt;Ban&lt;/Author&gt;&lt;Year&gt;2014&lt;/Year&gt;&lt;RecNum&gt;63&lt;/RecNum&gt;&lt;DisplayText&gt;(Ban et al., 2014)&lt;/DisplayText&gt;&lt;record&gt;&lt;rec-number&gt;63&lt;/rec-number&gt;&lt;foreign-keys&gt;&lt;key app="EN" db-id="dx5wwtzs652saherdptxawzqdrxf255xasv0" timestamp="1721224089"&gt;63&lt;/key&gt;&lt;/foreign-keys&gt;&lt;ref-type name="Journal Article"&gt;17&lt;/ref-type&gt;&lt;contributors&gt;&lt;authors&gt;&lt;author&gt;Ban, Zhen Hong&lt;/author&gt;&lt;author&gt;Keong, Lau Kok&lt;/author&gt;&lt;author&gt;Mohd Shariff, Azmi&lt;/author&gt;&lt;/authors&gt;&lt;/contributors&gt;&lt;titles&gt;&lt;title&gt;&lt;style face="normal" font="default" size="100%"&gt;Physical absorption of &lt;/style&gt;&lt;style face="normal" font="Aptos" size="11"&gt;CO&lt;/style&gt;&lt;style face="subscript" font="Aptos" size="11"&gt;2&lt;/style&gt;&lt;style face="normal" font="default" size="100%"&gt; capture: a review&lt;/style&gt;&lt;/title&gt;&lt;secondary-title&gt;Advanced Materials Research&lt;/secondary-title&gt;&lt;/titles&gt;&lt;periodical&gt;&lt;full-title&gt;Advanced Materials Research&lt;/full-title&gt;&lt;/periodical&gt;&lt;pages&gt;134-143&lt;/pages&gt;&lt;volume&gt;917&lt;/volume&gt;&lt;dates&gt;&lt;year&gt;2014&lt;/year&gt;&lt;/dates&gt;&lt;isbn&gt;1662-8985&lt;/isbn&gt;&lt;urls&gt;&lt;/urls&gt;&lt;/record&gt;&lt;/Cite&gt;&lt;/EndNote&gt;</w:instrText>
      </w:r>
      <w:r w:rsidR="003C3E84">
        <w:fldChar w:fldCharType="separate"/>
      </w:r>
      <w:r w:rsidR="007C5737">
        <w:rPr>
          <w:noProof/>
        </w:rPr>
        <w:t>(Ban et al., 2014)</w:t>
      </w:r>
      <w:r w:rsidR="003C3E84">
        <w:fldChar w:fldCharType="end"/>
      </w:r>
      <w:r w:rsidRPr="005A5218">
        <w:t xml:space="preserve">. Therefore, </w:t>
      </w:r>
      <w:r w:rsidR="006774BA">
        <w:t xml:space="preserve">the </w:t>
      </w:r>
      <w:r w:rsidRPr="005A5218">
        <w:t>optimal conditions for the CO</w:t>
      </w:r>
      <w:r w:rsidRPr="005A5218">
        <w:rPr>
          <w:rFonts w:ascii="Cambria Math" w:hAnsi="Cambria Math" w:cs="Cambria Math"/>
        </w:rPr>
        <w:t>₂</w:t>
      </w:r>
      <w:r w:rsidRPr="005A5218">
        <w:t xml:space="preserve"> absorption process </w:t>
      </w:r>
      <w:r w:rsidR="006774BA">
        <w:t xml:space="preserve">are </w:t>
      </w:r>
      <w:r w:rsidRPr="005A5218">
        <w:t xml:space="preserve">typically </w:t>
      </w:r>
      <w:r w:rsidR="00654631" w:rsidRPr="005E5B34">
        <w:rPr>
          <w:lang w:val="en-GB"/>
        </w:rPr>
        <w:t>high</w:t>
      </w:r>
      <w:r w:rsidR="00654631">
        <w:rPr>
          <w:lang w:val="en-GB"/>
        </w:rPr>
        <w:t xml:space="preserve"> </w:t>
      </w:r>
      <w:r w:rsidR="003F5F3C" w:rsidRPr="005A5218">
        <w:t>CO</w:t>
      </w:r>
      <w:r w:rsidR="003F5F3C" w:rsidRPr="005A5218">
        <w:rPr>
          <w:rFonts w:ascii="Cambria Math" w:hAnsi="Cambria Math" w:cs="Cambria Math"/>
        </w:rPr>
        <w:t>₂</w:t>
      </w:r>
      <w:r w:rsidR="00654631" w:rsidRPr="005E5B34">
        <w:rPr>
          <w:lang w:val="en-GB"/>
        </w:rPr>
        <w:t xml:space="preserve"> partial pressures </w:t>
      </w:r>
      <w:r w:rsidRPr="005A5218">
        <w:t>and low temperature</w:t>
      </w:r>
      <w:r w:rsidR="00654631">
        <w:t>s</w:t>
      </w:r>
      <w:r w:rsidR="003C3E84">
        <w:t xml:space="preserve"> </w:t>
      </w:r>
      <w:r w:rsidR="003C3E84">
        <w:fldChar w:fldCharType="begin"/>
      </w:r>
      <w:r w:rsidR="007C5737">
        <w:instrText xml:space="preserve"> ADDIN EN.CITE &lt;EndNote&gt;&lt;Cite&gt;&lt;Author&gt;Kohl&lt;/Author&gt;&lt;Year&gt;1997&lt;/Year&gt;&lt;RecNum&gt;27&lt;/RecNum&gt;&lt;DisplayText&gt;(Kohl and Nielsen, 1997)&lt;/DisplayText&gt;&lt;record&gt;&lt;rec-number&gt;27&lt;/rec-number&gt;&lt;foreign-keys&gt;&lt;key app="EN" db-id="dx5wwtzs652saherdptxawzqdrxf255xasv0" timestamp="1721224078"&gt;27&lt;/key&gt;&lt;/foreign-keys&gt;&lt;ref-type name="Book"&gt;6&lt;/ref-type&gt;&lt;contributors&gt;&lt;authors&gt;&lt;author&gt;Kohl, Arthur L&lt;/author&gt;&lt;author&gt;Nielsen, Richard&lt;/author&gt;&lt;/authors&gt;&lt;/contributors&gt;&lt;titles&gt;&lt;title&gt;Gas purification&lt;/title&gt;&lt;/titles&gt;&lt;dates&gt;&lt;year&gt;1997&lt;/year&gt;&lt;/dates&gt;&lt;publisher&gt;Elsevier&lt;/publisher&gt;&lt;isbn&gt;0080507204&lt;/isbn&gt;&lt;urls&gt;&lt;/urls&gt;&lt;/record&gt;&lt;/Cite&gt;&lt;/EndNote&gt;</w:instrText>
      </w:r>
      <w:r w:rsidR="003C3E84">
        <w:fldChar w:fldCharType="separate"/>
      </w:r>
      <w:r w:rsidR="007C5737">
        <w:rPr>
          <w:noProof/>
        </w:rPr>
        <w:t>(Kohl and Nielsen, 1997)</w:t>
      </w:r>
      <w:r w:rsidR="003C3E84">
        <w:fldChar w:fldCharType="end"/>
      </w:r>
      <w:r w:rsidRPr="005A5218">
        <w:t xml:space="preserve">. In the available literature, only two </w:t>
      </w:r>
      <w:r w:rsidR="006774BA">
        <w:t>sources</w:t>
      </w:r>
      <w:r w:rsidR="006774BA" w:rsidRPr="005A5218">
        <w:t xml:space="preserve"> </w:t>
      </w:r>
      <w:r w:rsidRPr="005A5218">
        <w:t>report</w:t>
      </w:r>
      <w:r w:rsidR="006774BA">
        <w:t xml:space="preserve"> the</w:t>
      </w:r>
      <w:r w:rsidRPr="005A5218">
        <w:t xml:space="preserve"> CO</w:t>
      </w:r>
      <w:r w:rsidRPr="005A5218">
        <w:rPr>
          <w:rFonts w:ascii="Cambria Math" w:hAnsi="Cambria Math" w:cs="Cambria Math"/>
        </w:rPr>
        <w:t>₂</w:t>
      </w:r>
      <w:r w:rsidRPr="005A5218">
        <w:t xml:space="preserve"> solubility data for </w:t>
      </w:r>
      <w:r w:rsidR="00965FC3">
        <w:t>C</w:t>
      </w:r>
      <w:r w:rsidRPr="005A5218">
        <w:t>yrene</w:t>
      </w:r>
      <w:r w:rsidR="006774BA">
        <w:t>.</w:t>
      </w:r>
      <w:r w:rsidRPr="005A5218">
        <w:t xml:space="preserve"> Kerelaux et al. (2022)</w:t>
      </w:r>
      <w:r w:rsidR="00654631">
        <w:t xml:space="preserve"> </w:t>
      </w:r>
      <w:r w:rsidRPr="005A5218">
        <w:t>provides</w:t>
      </w:r>
      <w:r w:rsidR="00FB4654">
        <w:t xml:space="preserve"> eight</w:t>
      </w:r>
      <w:r w:rsidR="006774BA">
        <w:t xml:space="preserve"> points of </w:t>
      </w:r>
      <w:r w:rsidRPr="005A5218">
        <w:t>solubility data at 313.15 K for pressures up to 4 MPa</w:t>
      </w:r>
      <w:r w:rsidR="006774BA">
        <w:t xml:space="preserve"> and</w:t>
      </w:r>
      <w:r w:rsidR="00D85D97">
        <w:t xml:space="preserve"> </w:t>
      </w:r>
      <w:r w:rsidRPr="005A5218">
        <w:t>Hajlaoui et al. (2023)</w:t>
      </w:r>
      <w:r w:rsidR="00654631">
        <w:t xml:space="preserve"> </w:t>
      </w:r>
      <w:r w:rsidR="006774BA">
        <w:t>reports</w:t>
      </w:r>
      <w:r w:rsidR="006774BA" w:rsidRPr="005A5218">
        <w:t xml:space="preserve"> </w:t>
      </w:r>
      <w:r w:rsidR="006774BA">
        <w:t xml:space="preserve">only </w:t>
      </w:r>
      <w:r w:rsidRPr="005A5218">
        <w:t xml:space="preserve">a single data point at 333.15 K and 4 MPa. </w:t>
      </w:r>
      <w:r w:rsidR="006774BA">
        <w:t>Considering that</w:t>
      </w:r>
      <w:r w:rsidR="006774BA" w:rsidRPr="005A5218">
        <w:t xml:space="preserve"> </w:t>
      </w:r>
      <w:r w:rsidR="006774BA">
        <w:t xml:space="preserve">the </w:t>
      </w:r>
      <w:r w:rsidR="006774BA" w:rsidRPr="005A5218">
        <w:t xml:space="preserve">absorption columns generally operate within a temperature range </w:t>
      </w:r>
      <w:r w:rsidR="006774BA">
        <w:t>from</w:t>
      </w:r>
      <w:r w:rsidR="006774BA" w:rsidRPr="005A5218">
        <w:t xml:space="preserve"> 303.15 to 313.15 K, this study</w:t>
      </w:r>
      <w:r w:rsidR="006774BA">
        <w:t xml:space="preserve"> has</w:t>
      </w:r>
      <w:r w:rsidR="006774BA" w:rsidRPr="005A5218">
        <w:t xml:space="preserve"> </w:t>
      </w:r>
      <w:r w:rsidR="006774BA">
        <w:t>focused on the comparison of</w:t>
      </w:r>
      <w:r w:rsidR="006774BA" w:rsidRPr="005A5218">
        <w:t xml:space="preserve"> the CO</w:t>
      </w:r>
      <w:r w:rsidR="006774BA" w:rsidRPr="005A5218">
        <w:rPr>
          <w:rFonts w:ascii="Cambria Math" w:hAnsi="Cambria Math" w:cs="Cambria Math"/>
        </w:rPr>
        <w:t>₂</w:t>
      </w:r>
      <w:r w:rsidR="006774BA" w:rsidRPr="005A5218">
        <w:t xml:space="preserve"> solubility </w:t>
      </w:r>
      <w:r w:rsidR="006774BA">
        <w:t>in</w:t>
      </w:r>
      <w:r w:rsidR="006774BA" w:rsidRPr="005A5218">
        <w:t xml:space="preserve"> NMP and </w:t>
      </w:r>
      <w:r w:rsidR="006774BA">
        <w:t>in C</w:t>
      </w:r>
      <w:r w:rsidR="006774BA" w:rsidRPr="005A5218">
        <w:t>yrene within this temperature range</w:t>
      </w:r>
      <w:r w:rsidR="006774BA">
        <w:t xml:space="preserve"> and the experimental points of Kerleaux et al. (2022) have been taken into account</w:t>
      </w:r>
      <w:r w:rsidR="006774BA" w:rsidRPr="005A5218">
        <w:t>.</w:t>
      </w:r>
      <w:r w:rsidR="00FB4654">
        <w:t xml:space="preserve"> </w:t>
      </w:r>
      <w:r w:rsidR="006774BA">
        <w:rPr>
          <w:lang w:val="en-GB"/>
        </w:rPr>
        <w:t xml:space="preserve">The </w:t>
      </w:r>
      <w:r w:rsidR="00001C12">
        <w:rPr>
          <w:lang w:val="en-GB"/>
        </w:rPr>
        <w:t xml:space="preserve">considered </w:t>
      </w:r>
      <w:r w:rsidR="006774BA">
        <w:rPr>
          <w:lang w:val="en-GB"/>
        </w:rPr>
        <w:t xml:space="preserve">experimental data </w:t>
      </w:r>
      <w:r w:rsidR="006774BA" w:rsidRPr="008A5B6C">
        <w:rPr>
          <w:lang w:val="en-GB"/>
        </w:rPr>
        <w:t>of CO</w:t>
      </w:r>
      <w:r w:rsidR="006774BA" w:rsidRPr="008A5B6C">
        <w:rPr>
          <w:vertAlign w:val="subscript"/>
          <w:lang w:val="en-GB"/>
        </w:rPr>
        <w:t>2</w:t>
      </w:r>
      <w:r w:rsidR="006774BA" w:rsidRPr="008A5B6C">
        <w:rPr>
          <w:lang w:val="en-GB"/>
        </w:rPr>
        <w:t xml:space="preserve"> solubility in NMP are reported in </w:t>
      </w:r>
      <w:r w:rsidR="00A9281B" w:rsidRPr="00D30252">
        <w:rPr>
          <w:noProof/>
        </w:rPr>
        <w:t>Rajasingam</w:t>
      </w:r>
      <w:r w:rsidR="00A9281B" w:rsidRPr="00D30252">
        <w:t xml:space="preserve"> et al. (2004), </w:t>
      </w:r>
      <w:r w:rsidR="00A9281B" w:rsidRPr="00D30252">
        <w:rPr>
          <w:noProof/>
        </w:rPr>
        <w:t>Bohloul</w:t>
      </w:r>
      <w:r w:rsidR="00A9281B" w:rsidRPr="00D30252">
        <w:t xml:space="preserve"> et al. (2014) and Shokouhi et al. (2021).</w:t>
      </w:r>
      <w:r w:rsidR="008A5B6C">
        <w:rPr>
          <w:lang w:val="en-GB"/>
        </w:rPr>
        <w:t xml:space="preserve"> </w:t>
      </w:r>
      <w:r w:rsidR="0015755C" w:rsidRPr="0015755C">
        <w:rPr>
          <w:lang w:val="en-GB"/>
        </w:rPr>
        <w:t xml:space="preserve">With </w:t>
      </w:r>
      <w:r w:rsidR="00D30252">
        <w:rPr>
          <w:lang w:val="en-GB"/>
        </w:rPr>
        <w:t>these</w:t>
      </w:r>
      <w:r w:rsidR="0015755C" w:rsidRPr="0015755C">
        <w:rPr>
          <w:lang w:val="en-GB"/>
        </w:rPr>
        <w:t xml:space="preserve"> data, a comparative analysis between </w:t>
      </w:r>
      <w:r w:rsidR="00965FC3">
        <w:rPr>
          <w:lang w:val="en-GB"/>
        </w:rPr>
        <w:t>C</w:t>
      </w:r>
      <w:r w:rsidR="0015755C" w:rsidRPr="0015755C">
        <w:rPr>
          <w:lang w:val="en-GB"/>
        </w:rPr>
        <w:t xml:space="preserve">yrene and NMP is not feasible, </w:t>
      </w:r>
      <w:r w:rsidR="00613A9F" w:rsidRPr="00613A9F">
        <w:rPr>
          <w:lang w:val="en-GB"/>
        </w:rPr>
        <w:t xml:space="preserve">as data </w:t>
      </w:r>
      <w:r w:rsidR="00613A9F">
        <w:rPr>
          <w:lang w:val="en-GB"/>
        </w:rPr>
        <w:t>at</w:t>
      </w:r>
      <w:r w:rsidR="00613A9F" w:rsidRPr="00613A9F">
        <w:rPr>
          <w:lang w:val="en-GB"/>
        </w:rPr>
        <w:t xml:space="preserve"> temperatures between 303</w:t>
      </w:r>
      <w:r w:rsidR="00613A9F">
        <w:rPr>
          <w:lang w:val="en-GB"/>
        </w:rPr>
        <w:t>.15</w:t>
      </w:r>
      <w:r w:rsidR="00613A9F" w:rsidRPr="00613A9F">
        <w:rPr>
          <w:lang w:val="en-GB"/>
        </w:rPr>
        <w:t xml:space="preserve"> K and 313</w:t>
      </w:r>
      <w:r w:rsidR="00613A9F">
        <w:rPr>
          <w:lang w:val="en-GB"/>
        </w:rPr>
        <w:t>.15</w:t>
      </w:r>
      <w:r w:rsidR="00613A9F" w:rsidRPr="00613A9F">
        <w:rPr>
          <w:lang w:val="en-GB"/>
        </w:rPr>
        <w:t xml:space="preserve"> K are missing</w:t>
      </w:r>
      <w:r w:rsidR="0015755C" w:rsidRPr="0015755C">
        <w:rPr>
          <w:lang w:val="en-GB"/>
        </w:rPr>
        <w:t>, and those at 313</w:t>
      </w:r>
      <w:r w:rsidR="0015755C">
        <w:rPr>
          <w:lang w:val="en-GB"/>
        </w:rPr>
        <w:t>.15</w:t>
      </w:r>
      <w:r w:rsidR="0015755C" w:rsidRPr="0015755C">
        <w:rPr>
          <w:lang w:val="en-GB"/>
        </w:rPr>
        <w:t xml:space="preserve"> K are at a different pressure than the </w:t>
      </w:r>
      <w:r w:rsidR="0091206B">
        <w:rPr>
          <w:lang w:val="en-GB"/>
        </w:rPr>
        <w:t xml:space="preserve">available </w:t>
      </w:r>
      <w:r w:rsidR="0015755C" w:rsidRPr="0015755C">
        <w:rPr>
          <w:lang w:val="en-GB"/>
        </w:rPr>
        <w:t>experimental data for NMP</w:t>
      </w:r>
      <w:r w:rsidR="00613A9F">
        <w:rPr>
          <w:lang w:val="en-GB"/>
        </w:rPr>
        <w:t>. Therefore, t</w:t>
      </w:r>
      <w:r w:rsidRPr="005A5218">
        <w:t>o enable a meaningful comparison, the CO</w:t>
      </w:r>
      <w:r w:rsidRPr="005A5218">
        <w:rPr>
          <w:rFonts w:ascii="Cambria Math" w:hAnsi="Cambria Math" w:cs="Cambria Math"/>
        </w:rPr>
        <w:t>₂</w:t>
      </w:r>
      <w:r w:rsidRPr="005A5218">
        <w:t xml:space="preserve"> solubility in </w:t>
      </w:r>
      <w:r w:rsidR="00965FC3">
        <w:t>C</w:t>
      </w:r>
      <w:r w:rsidRPr="005A5218">
        <w:t xml:space="preserve">yrene </w:t>
      </w:r>
      <w:r w:rsidR="00AB1580">
        <w:t>has been</w:t>
      </w:r>
      <w:r w:rsidRPr="005A5218">
        <w:t xml:space="preserve"> simulated </w:t>
      </w:r>
      <w:r w:rsidR="00AB1580">
        <w:t xml:space="preserve">by </w:t>
      </w:r>
      <w:r w:rsidRPr="005A5218">
        <w:t>using the COnductor-like Screening MOdel for Real Solvents (COSMO-RS)</w:t>
      </w:r>
      <w:r w:rsidR="00AB1580">
        <w:t>. This model, developed by</w:t>
      </w:r>
      <w:r w:rsidRPr="005A5218">
        <w:t xml:space="preserve"> Klamt </w:t>
      </w:r>
      <w:r w:rsidR="00AB1580">
        <w:t>in 1995,</w:t>
      </w:r>
      <w:r w:rsidRPr="005A5218">
        <w:t xml:space="preserve"> employs a statistical-thermodynamic approach grounded in quantum chemistry to predict the thermodynamic properties of fluids without requiring experimental input</w:t>
      </w:r>
      <w:r w:rsidR="00AB1580">
        <w:t xml:space="preserve"> </w:t>
      </w:r>
      <w:r w:rsidR="00AB1580">
        <w:fldChar w:fldCharType="begin"/>
      </w:r>
      <w:r w:rsidR="007C5737">
        <w:instrText xml:space="preserve"> ADDIN EN.CITE &lt;EndNote&gt;&lt;Cite&gt;&lt;Author&gt;Klamt&lt;/Author&gt;&lt;Year&gt;1995&lt;/Year&gt;&lt;RecNum&gt;25&lt;/RecNum&gt;&lt;DisplayText&gt;(Klamt, 1995)&lt;/DisplayText&gt;&lt;record&gt;&lt;rec-number&gt;25&lt;/rec-number&gt;&lt;foreign-keys&gt;&lt;key app="EN" db-id="dx5wwtzs652saherdptxawzqdrxf255xasv0" timestamp="1721224077"&gt;25&lt;/key&gt;&lt;/foreign-keys&gt;&lt;ref-type name="Journal Article"&gt;17&lt;/ref-type&gt;&lt;contributors&gt;&lt;authors&gt;&lt;author&gt;Klamt, Andreas&lt;/author&gt;&lt;/authors&gt;&lt;/contributors&gt;&lt;titles&gt;&lt;title&gt;Conductor-like screening model for real solvents: a new approach to the quantitative calculation of solvation phenomena&lt;/title&gt;&lt;secondary-title&gt;The Journal of Physical Chemistry&lt;/secondary-title&gt;&lt;/titles&gt;&lt;periodical&gt;&lt;full-title&gt;The Journal of Physical Chemistry&lt;/full-title&gt;&lt;/periodical&gt;&lt;pages&gt;2224-2235&lt;/pages&gt;&lt;volume&gt;99&lt;/volume&gt;&lt;number&gt;7&lt;/number&gt;&lt;dates&gt;&lt;year&gt;1995&lt;/year&gt;&lt;/dates&gt;&lt;isbn&gt;0022-3654&lt;/isbn&gt;&lt;urls&gt;&lt;/urls&gt;&lt;/record&gt;&lt;/Cite&gt;&lt;/EndNote&gt;</w:instrText>
      </w:r>
      <w:r w:rsidR="00AB1580">
        <w:fldChar w:fldCharType="separate"/>
      </w:r>
      <w:r w:rsidR="007C5737">
        <w:rPr>
          <w:noProof/>
        </w:rPr>
        <w:t>(Klamt, 1995)</w:t>
      </w:r>
      <w:r w:rsidR="00AB1580">
        <w:fldChar w:fldCharType="end"/>
      </w:r>
      <w:r w:rsidRPr="005A5218">
        <w:t>.</w:t>
      </w:r>
      <w:r w:rsidR="008A5B6C">
        <w:t xml:space="preserve"> </w:t>
      </w:r>
      <w:r w:rsidRPr="005A5218">
        <w:t xml:space="preserve">To verify the model accuracy, </w:t>
      </w:r>
      <w:r w:rsidR="0096362B">
        <w:t xml:space="preserve">the </w:t>
      </w:r>
      <w:r w:rsidRPr="005A5218">
        <w:t>CO</w:t>
      </w:r>
      <w:r w:rsidRPr="005A5218">
        <w:rPr>
          <w:rFonts w:ascii="Cambria Math" w:hAnsi="Cambria Math" w:cs="Cambria Math"/>
        </w:rPr>
        <w:t>₂</w:t>
      </w:r>
      <w:r w:rsidRPr="005A5218">
        <w:t xml:space="preserve"> solubility in </w:t>
      </w:r>
      <w:r w:rsidR="00965FC3">
        <w:t>C</w:t>
      </w:r>
      <w:r w:rsidRPr="005A5218">
        <w:t xml:space="preserve">yrene at 313.15 K and pressures up to 4 MPa </w:t>
      </w:r>
      <w:r w:rsidR="00160BF5">
        <w:t>has been</w:t>
      </w:r>
      <w:r w:rsidRPr="005A5218">
        <w:t xml:space="preserve"> calculated via COSMO-RS and</w:t>
      </w:r>
      <w:r w:rsidR="00EF5DFD">
        <w:t>,</w:t>
      </w:r>
      <w:r w:rsidRPr="005A5218">
        <w:t xml:space="preserve"> then</w:t>
      </w:r>
      <w:r w:rsidR="00EF5DFD">
        <w:t>,</w:t>
      </w:r>
      <w:r w:rsidRPr="005A5218">
        <w:t xml:space="preserve"> compared to the experimental data provided by Kerelaux et al. (2022)</w:t>
      </w:r>
      <w:r w:rsidR="002708FA" w:rsidRPr="00EF5DFD">
        <w:rPr>
          <w:i/>
        </w:rPr>
        <w:t xml:space="preserve"> </w:t>
      </w:r>
      <w:r w:rsidR="002708FA" w:rsidRPr="00EF5DFD">
        <w:t>(</w:t>
      </w:r>
      <w:r w:rsidR="002708FA" w:rsidRPr="00EF5DFD">
        <w:rPr>
          <w:iCs/>
        </w:rPr>
        <w:fldChar w:fldCharType="begin"/>
      </w:r>
      <w:r w:rsidR="002708FA" w:rsidRPr="00EF5DFD">
        <w:rPr>
          <w:iCs/>
        </w:rPr>
        <w:instrText xml:space="preserve"> REF _Ref182231941 \h  \* MERGEFORMAT </w:instrText>
      </w:r>
      <w:r w:rsidR="002708FA" w:rsidRPr="00EF5DFD">
        <w:rPr>
          <w:iCs/>
        </w:rPr>
      </w:r>
      <w:r w:rsidR="002708FA" w:rsidRPr="00EF5DFD">
        <w:rPr>
          <w:iCs/>
        </w:rPr>
        <w:fldChar w:fldCharType="separate"/>
      </w:r>
      <w:r w:rsidR="007C6944" w:rsidRPr="007C6944">
        <w:rPr>
          <w:iCs/>
        </w:rPr>
        <w:t xml:space="preserve">Figure </w:t>
      </w:r>
      <w:r w:rsidR="007C6944" w:rsidRPr="007C6944">
        <w:rPr>
          <w:iCs/>
          <w:noProof/>
        </w:rPr>
        <w:t>2</w:t>
      </w:r>
      <w:r w:rsidR="002708FA" w:rsidRPr="00EF5DFD">
        <w:rPr>
          <w:iCs/>
        </w:rPr>
        <w:fldChar w:fldCharType="end"/>
      </w:r>
      <w:r w:rsidR="002708FA" w:rsidRPr="00EF5DFD">
        <w:t>)</w:t>
      </w:r>
      <w:r w:rsidRPr="00EF5DFD">
        <w:t>.</w:t>
      </w:r>
      <w:r w:rsidRPr="00EF5DFD">
        <w:rPr>
          <w:i/>
        </w:rPr>
        <w:t xml:space="preserve"> </w:t>
      </w:r>
      <w:r w:rsidR="00EF5DFD" w:rsidRPr="00EF5DFD">
        <w:t xml:space="preserve">Higher deviations are observed </w:t>
      </w:r>
      <w:r w:rsidR="00EF5DFD">
        <w:t>at CO</w:t>
      </w:r>
      <w:r w:rsidR="00EF5DFD" w:rsidRPr="00D85D97">
        <w:rPr>
          <w:vertAlign w:val="subscript"/>
        </w:rPr>
        <w:t>2</w:t>
      </w:r>
      <w:r w:rsidR="00EF5DFD">
        <w:t xml:space="preserve"> partial pressures higher than 2.5 MPa (conditions not of interest for the purposes of this work). However, w</w:t>
      </w:r>
      <w:r w:rsidRPr="00EF5DFD">
        <w:t>it</w:t>
      </w:r>
      <w:r w:rsidRPr="005A5218">
        <w:t xml:space="preserve">h an Average Absolute Deviation </w:t>
      </w:r>
      <w:r w:rsidR="003C3E84">
        <w:t>p</w:t>
      </w:r>
      <w:r w:rsidRPr="005A5218">
        <w:t>ercentage</w:t>
      </w:r>
      <w:r w:rsidR="003C3E84">
        <w:t xml:space="preserve"> (AAD%)</w:t>
      </w:r>
      <w:r w:rsidRPr="005A5218">
        <w:t xml:space="preserve"> of 14.07%</w:t>
      </w:r>
      <w:r w:rsidR="0096362B">
        <w:t xml:space="preserve">, </w:t>
      </w:r>
      <w:r w:rsidRPr="005A5218">
        <w:t xml:space="preserve">the </w:t>
      </w:r>
      <w:r w:rsidR="0096362B">
        <w:t xml:space="preserve">prediction of the </w:t>
      </w:r>
      <w:r w:rsidRPr="005A5218">
        <w:t xml:space="preserve">model </w:t>
      </w:r>
      <w:r w:rsidR="0096362B">
        <w:t>can be considered acceptable for</w:t>
      </w:r>
      <w:r w:rsidRPr="005A5218">
        <w:t xml:space="preserve"> the target temperature and pressure ranges where experimental data </w:t>
      </w:r>
      <w:r w:rsidR="0096362B">
        <w:t>are</w:t>
      </w:r>
      <w:r w:rsidR="0096362B" w:rsidRPr="005A5218">
        <w:t xml:space="preserve"> </w:t>
      </w:r>
      <w:r w:rsidRPr="005A5218">
        <w:t>lacking.</w:t>
      </w:r>
      <w:r w:rsidR="00FB4654">
        <w:t xml:space="preserve"> </w:t>
      </w:r>
      <w:r w:rsidR="0096362B">
        <w:t xml:space="preserve">The </w:t>
      </w:r>
      <w:r w:rsidR="00920CFC" w:rsidRPr="00920CFC">
        <w:rPr>
          <w:lang w:val="en-GB"/>
        </w:rPr>
        <w:t>CO</w:t>
      </w:r>
      <w:r w:rsidR="00920CFC" w:rsidRPr="00920CFC">
        <w:rPr>
          <w:rFonts w:ascii="Cambria Math" w:hAnsi="Cambria Math" w:cs="Cambria Math"/>
          <w:lang w:val="en-GB"/>
        </w:rPr>
        <w:t>₂</w:t>
      </w:r>
      <w:r w:rsidR="00920CFC" w:rsidRPr="00920CFC">
        <w:rPr>
          <w:lang w:val="en-GB"/>
        </w:rPr>
        <w:t xml:space="preserve"> solubility in Cyrene </w:t>
      </w:r>
      <w:r w:rsidR="00F574EE">
        <w:rPr>
          <w:lang w:val="en-GB"/>
        </w:rPr>
        <w:t xml:space="preserve">has been </w:t>
      </w:r>
      <w:r w:rsidR="00920CFC" w:rsidRPr="00920CFC">
        <w:rPr>
          <w:lang w:val="en-GB"/>
        </w:rPr>
        <w:t xml:space="preserve">calculated at 303.15 K over the </w:t>
      </w:r>
      <w:r w:rsidR="0096362B">
        <w:rPr>
          <w:lang w:val="en-GB"/>
        </w:rPr>
        <w:t>CO</w:t>
      </w:r>
      <w:r w:rsidR="0096362B" w:rsidRPr="00D85D97">
        <w:rPr>
          <w:vertAlign w:val="subscript"/>
          <w:lang w:val="en-GB"/>
        </w:rPr>
        <w:t>2</w:t>
      </w:r>
      <w:r w:rsidR="0096362B">
        <w:rPr>
          <w:lang w:val="en-GB"/>
        </w:rPr>
        <w:t xml:space="preserve"> partial </w:t>
      </w:r>
      <w:r w:rsidR="00920CFC" w:rsidRPr="00920CFC">
        <w:rPr>
          <w:lang w:val="en-GB"/>
        </w:rPr>
        <w:t xml:space="preserve">pressure range </w:t>
      </w:r>
      <w:r w:rsidR="00F574EE">
        <w:rPr>
          <w:lang w:val="en-GB"/>
        </w:rPr>
        <w:t xml:space="preserve">from </w:t>
      </w:r>
      <w:r w:rsidR="00920CFC" w:rsidRPr="00920CFC">
        <w:rPr>
          <w:lang w:val="en-GB"/>
        </w:rPr>
        <w:t xml:space="preserve">0.121 to 0.801 MPa, at 308.2 K </w:t>
      </w:r>
      <w:r w:rsidR="00F574EE">
        <w:rPr>
          <w:lang w:val="en-GB"/>
        </w:rPr>
        <w:t>from</w:t>
      </w:r>
      <w:r w:rsidR="00920CFC" w:rsidRPr="00920CFC">
        <w:rPr>
          <w:lang w:val="en-GB"/>
        </w:rPr>
        <w:t xml:space="preserve"> 0.96 </w:t>
      </w:r>
      <w:r w:rsidR="00F574EE">
        <w:rPr>
          <w:lang w:val="en-GB"/>
        </w:rPr>
        <w:t>to</w:t>
      </w:r>
      <w:r w:rsidR="00920CFC" w:rsidRPr="00920CFC">
        <w:rPr>
          <w:lang w:val="en-GB"/>
        </w:rPr>
        <w:t xml:space="preserve"> 6.67 MPa and at 313.15 K </w:t>
      </w:r>
      <w:r w:rsidR="00F574EE">
        <w:rPr>
          <w:lang w:val="en-GB"/>
        </w:rPr>
        <w:t>from</w:t>
      </w:r>
      <w:r w:rsidR="00920CFC" w:rsidRPr="00920CFC">
        <w:rPr>
          <w:lang w:val="en-GB"/>
        </w:rPr>
        <w:t xml:space="preserve"> 0.135 to 1.12 MPa. These pressure ranges </w:t>
      </w:r>
      <w:r w:rsidR="00F574EE">
        <w:rPr>
          <w:lang w:val="en-GB"/>
        </w:rPr>
        <w:t>have been</w:t>
      </w:r>
      <w:r w:rsidR="00920CFC" w:rsidRPr="00920CFC">
        <w:rPr>
          <w:lang w:val="en-GB"/>
        </w:rPr>
        <w:t xml:space="preserve"> selected to align with the conditions for which experimental data on NMP are available, enabling a direct comparison. </w:t>
      </w:r>
      <w:r w:rsidR="00F574EE" w:rsidRPr="00EF5DFD">
        <w:rPr>
          <w:iCs/>
        </w:rPr>
        <w:fldChar w:fldCharType="begin"/>
      </w:r>
      <w:r w:rsidR="00F574EE" w:rsidRPr="00EF5DFD">
        <w:rPr>
          <w:iCs/>
        </w:rPr>
        <w:instrText xml:space="preserve"> REF _Ref182231941 \h  \* MERGEFORMAT </w:instrText>
      </w:r>
      <w:r w:rsidR="00F574EE" w:rsidRPr="00EF5DFD">
        <w:rPr>
          <w:iCs/>
        </w:rPr>
      </w:r>
      <w:r w:rsidR="00F574EE" w:rsidRPr="00EF5DFD">
        <w:rPr>
          <w:iCs/>
        </w:rPr>
        <w:fldChar w:fldCharType="separate"/>
      </w:r>
      <w:r w:rsidR="007C6944" w:rsidRPr="007C6944">
        <w:rPr>
          <w:iCs/>
        </w:rPr>
        <w:t xml:space="preserve">Figure </w:t>
      </w:r>
      <w:r w:rsidR="007C6944" w:rsidRPr="007C6944">
        <w:rPr>
          <w:iCs/>
          <w:noProof/>
        </w:rPr>
        <w:t>2</w:t>
      </w:r>
      <w:r w:rsidR="00F574EE" w:rsidRPr="00EF5DFD">
        <w:rPr>
          <w:iCs/>
        </w:rPr>
        <w:fldChar w:fldCharType="end"/>
      </w:r>
      <w:r w:rsidR="00920CFC" w:rsidRPr="00920CFC">
        <w:rPr>
          <w:lang w:val="en-GB"/>
        </w:rPr>
        <w:t xml:space="preserve"> present</w:t>
      </w:r>
      <w:r w:rsidR="0096362B">
        <w:rPr>
          <w:lang w:val="en-GB"/>
        </w:rPr>
        <w:t>s</w:t>
      </w:r>
      <w:r w:rsidR="00920CFC" w:rsidRPr="00920CFC">
        <w:rPr>
          <w:lang w:val="en-GB"/>
        </w:rPr>
        <w:t xml:space="preserve"> the calculated solubility values for Cyrene in comparison with </w:t>
      </w:r>
      <w:r w:rsidR="0096362B">
        <w:rPr>
          <w:lang w:val="en-GB"/>
        </w:rPr>
        <w:t xml:space="preserve">the </w:t>
      </w:r>
      <w:r w:rsidR="00920CFC" w:rsidRPr="00920CFC">
        <w:rPr>
          <w:lang w:val="en-GB"/>
        </w:rPr>
        <w:t xml:space="preserve">experimental solubility data for NMP. </w:t>
      </w:r>
      <w:r w:rsidRPr="005A5218">
        <w:t xml:space="preserve">The results </w:t>
      </w:r>
      <w:r w:rsidR="00F574EE">
        <w:t>demonstrate</w:t>
      </w:r>
      <w:r w:rsidRPr="005A5218">
        <w:t xml:space="preserve"> a similar solubility profile between </w:t>
      </w:r>
      <w:r w:rsidR="00965FC3">
        <w:t>C</w:t>
      </w:r>
      <w:r w:rsidRPr="005A5218">
        <w:t xml:space="preserve">yrene and NMP, suggesting that </w:t>
      </w:r>
      <w:r w:rsidR="00965FC3">
        <w:t>C</w:t>
      </w:r>
      <w:r w:rsidRPr="005A5218">
        <w:t>yrene could be a viable alternative solvent to NMP for CO</w:t>
      </w:r>
      <w:r w:rsidRPr="005A5218">
        <w:rPr>
          <w:rFonts w:ascii="Cambria Math" w:hAnsi="Cambria Math" w:cs="Cambria Math"/>
        </w:rPr>
        <w:t>₂</w:t>
      </w:r>
      <w:r w:rsidRPr="005A5218">
        <w:t xml:space="preserve"> removal </w:t>
      </w:r>
      <w:r w:rsidR="003C3E84">
        <w:t>through</w:t>
      </w:r>
      <w:r w:rsidRPr="005A5218">
        <w:t xml:space="preserve"> physical absorption processes.</w:t>
      </w:r>
    </w:p>
    <w:p w14:paraId="11095E0E" w14:textId="1DB9BA97" w:rsidR="00F529A2" w:rsidRDefault="0089561F" w:rsidP="00F529A2">
      <w:pPr>
        <w:pStyle w:val="CETBodytext"/>
        <w:keepNext/>
      </w:pPr>
      <w:r w:rsidRPr="0089561F">
        <w:rPr>
          <w:noProof/>
        </w:rPr>
        <w:drawing>
          <wp:inline distT="0" distB="0" distL="0" distR="0" wp14:anchorId="77D04EE4" wp14:editId="47EBEB4D">
            <wp:extent cx="1656000" cy="1656000"/>
            <wp:effectExtent l="0" t="0" r="1905" b="1905"/>
            <wp:docPr id="1049549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inline>
        </w:drawing>
      </w:r>
    </w:p>
    <w:p w14:paraId="6FC4503F" w14:textId="6842DB76" w:rsidR="00AC7729" w:rsidRPr="006F11D0" w:rsidRDefault="00F529A2" w:rsidP="00F529A2">
      <w:pPr>
        <w:pStyle w:val="CETCaption"/>
        <w:spacing w:before="0"/>
        <w:rPr>
          <w:rFonts w:cs="Arial"/>
          <w:lang w:val="en-US"/>
        </w:rPr>
      </w:pPr>
      <w:r w:rsidRPr="00F529A2">
        <w:t xml:space="preserve">Figure </w:t>
      </w:r>
      <w:r w:rsidRPr="00F529A2">
        <w:fldChar w:fldCharType="begin"/>
      </w:r>
      <w:r w:rsidRPr="00F529A2">
        <w:instrText xml:space="preserve"> SEQ Figure \* ARABIC </w:instrText>
      </w:r>
      <w:r w:rsidRPr="00F529A2">
        <w:fldChar w:fldCharType="separate"/>
      </w:r>
      <w:r w:rsidR="007C6944">
        <w:rPr>
          <w:noProof/>
        </w:rPr>
        <w:t>1</w:t>
      </w:r>
      <w:r w:rsidRPr="00F529A2">
        <w:fldChar w:fldCharType="end"/>
      </w:r>
      <w:r w:rsidRPr="00F529A2">
        <w:t xml:space="preserve">. Comparison between </w:t>
      </w:r>
      <w:r w:rsidR="003F5F3C" w:rsidRPr="005A5218">
        <w:t>CO</w:t>
      </w:r>
      <w:r w:rsidR="003F5F3C" w:rsidRPr="005A5218">
        <w:rPr>
          <w:rFonts w:ascii="Cambria Math" w:hAnsi="Cambria Math" w:cs="Cambria Math"/>
        </w:rPr>
        <w:t>₂</w:t>
      </w:r>
      <w:r w:rsidR="003F5F3C">
        <w:rPr>
          <w:rFonts w:ascii="Cambria Math" w:hAnsi="Cambria Math" w:cs="Cambria Math"/>
        </w:rPr>
        <w:t xml:space="preserve"> </w:t>
      </w:r>
      <w:r w:rsidRPr="00F529A2">
        <w:t xml:space="preserve">solubility experimental data provided by Kerleaux et al. </w:t>
      </w:r>
      <w:r w:rsidRPr="00F529A2">
        <w:rPr>
          <w:lang w:val="en-US"/>
        </w:rPr>
        <w:t>(2022) (</w:t>
      </w:r>
      <w:r w:rsidRPr="009F3080">
        <w:rPr>
          <w:color w:val="FF0000"/>
        </w:rPr>
        <w:sym w:font="Wingdings 2" w:char="F098"/>
      </w:r>
      <w:r w:rsidRPr="00F529A2">
        <w:rPr>
          <w:lang w:val="en-US"/>
        </w:rPr>
        <w:t xml:space="preserve">) </w:t>
      </w:r>
      <w:r w:rsidRPr="00F529A2">
        <w:t>and</w:t>
      </w:r>
      <w:r w:rsidRPr="00F529A2">
        <w:rPr>
          <w:lang w:val="en-US"/>
        </w:rPr>
        <w:t xml:space="preserve"> CO</w:t>
      </w:r>
      <w:r w:rsidRPr="003F5F3C">
        <w:rPr>
          <w:vertAlign w:val="subscript"/>
          <w:lang w:val="en-US"/>
        </w:rPr>
        <w:t>2</w:t>
      </w:r>
      <w:r w:rsidRPr="00F529A2">
        <w:rPr>
          <w:lang w:val="en-US"/>
        </w:rPr>
        <w:t xml:space="preserve"> solubility profile calculated via COSMO-RS</w:t>
      </w:r>
      <w:r>
        <w:rPr>
          <w:lang w:val="en-US"/>
        </w:rPr>
        <w:t xml:space="preserve"> (</w:t>
      </w:r>
      <w:r w:rsidRPr="00F529A2">
        <w:rPr>
          <w:rFonts w:cs="Arial"/>
          <w:b/>
          <w:bCs/>
          <w:lang w:val="en-US"/>
        </w:rPr>
        <w:t>—</w:t>
      </w:r>
      <w:r w:rsidRPr="00F529A2">
        <w:rPr>
          <w:rFonts w:cs="Arial"/>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9"/>
        <w:gridCol w:w="2929"/>
      </w:tblGrid>
      <w:tr w:rsidR="00E44E63" w14:paraId="19513BDF" w14:textId="77777777" w:rsidTr="00F955BC">
        <w:tc>
          <w:tcPr>
            <w:tcW w:w="2948" w:type="dxa"/>
          </w:tcPr>
          <w:p w14:paraId="01C9BFBF" w14:textId="0A7BD4B2" w:rsidR="00E44E63" w:rsidRPr="00620A27" w:rsidRDefault="00E44E63" w:rsidP="00620A27">
            <w:pPr>
              <w:pStyle w:val="CETBodytext"/>
              <w:rPr>
                <w:i/>
                <w:iCs/>
              </w:rPr>
            </w:pPr>
            <w:r w:rsidRPr="00620A27">
              <w:rPr>
                <w:i/>
                <w:iCs/>
                <w:noProof/>
              </w:rPr>
              <w:lastRenderedPageBreak/>
              <w:drawing>
                <wp:inline distT="0" distB="0" distL="0" distR="0" wp14:anchorId="4B9B6F61" wp14:editId="3D799D2D">
                  <wp:extent cx="1800000" cy="1800000"/>
                  <wp:effectExtent l="0" t="0" r="0" b="0"/>
                  <wp:docPr id="915028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54E93B0F" w14:textId="00AAA753" w:rsidR="00E44E63" w:rsidRPr="00620A27" w:rsidRDefault="00620A27" w:rsidP="007E0574">
            <w:pPr>
              <w:pStyle w:val="CETBodytext"/>
              <w:spacing w:after="240"/>
              <w:rPr>
                <w:i/>
                <w:iCs/>
              </w:rPr>
            </w:pPr>
            <w:r w:rsidRPr="00620A27">
              <w:rPr>
                <w:i/>
                <w:iCs/>
              </w:rPr>
              <w:t xml:space="preserve">a) 303.15 K: </w:t>
            </w:r>
            <w:r w:rsidRPr="00620A27">
              <w:rPr>
                <w:i/>
                <w:iCs/>
                <w:color w:val="3333FF"/>
              </w:rPr>
              <w:sym w:font="Wingdings 2" w:char="F098"/>
            </w:r>
            <w:r w:rsidRPr="00620A27">
              <w:rPr>
                <w:i/>
                <w:iCs/>
                <w:color w:val="FF0000"/>
              </w:rPr>
              <w:t xml:space="preserve"> </w:t>
            </w:r>
            <w:r w:rsidRPr="00620A27">
              <w:rPr>
                <w:i/>
                <w:iCs/>
              </w:rPr>
              <w:t xml:space="preserve">Cyrene from COSMO-RS; </w:t>
            </w:r>
            <w:r w:rsidRPr="00620A27">
              <w:rPr>
                <w:i/>
                <w:iCs/>
                <w:color w:val="FF3399"/>
              </w:rPr>
              <w:sym w:font="Wingdings 2" w:char="F0A2"/>
            </w:r>
            <w:r w:rsidRPr="00620A27">
              <w:rPr>
                <w:rFonts w:cs="Arial"/>
                <w:i/>
                <w:iCs/>
              </w:rPr>
              <w:t xml:space="preserve"> </w:t>
            </w:r>
            <w:r w:rsidRPr="00620A27">
              <w:rPr>
                <w:i/>
                <w:iCs/>
              </w:rPr>
              <w:t>NMP from Shokouhi et al. (2021).</w:t>
            </w:r>
          </w:p>
        </w:tc>
        <w:tc>
          <w:tcPr>
            <w:tcW w:w="2755" w:type="dxa"/>
          </w:tcPr>
          <w:p w14:paraId="77649E55" w14:textId="6A5689D5" w:rsidR="00E44E63" w:rsidRPr="00620A27" w:rsidRDefault="00E44E63" w:rsidP="00620A27">
            <w:pPr>
              <w:pStyle w:val="CETBodytext"/>
              <w:rPr>
                <w:i/>
                <w:iCs/>
              </w:rPr>
            </w:pPr>
            <w:r w:rsidRPr="00620A27">
              <w:rPr>
                <w:i/>
                <w:iCs/>
                <w:noProof/>
              </w:rPr>
              <w:drawing>
                <wp:inline distT="0" distB="0" distL="0" distR="0" wp14:anchorId="14F29948" wp14:editId="17E2CB90">
                  <wp:extent cx="1800000" cy="1800000"/>
                  <wp:effectExtent l="0" t="0" r="0" b="0"/>
                  <wp:docPr id="190504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28B8EBD" w14:textId="2DE1BF32" w:rsidR="00E44E63" w:rsidRPr="00620A27" w:rsidRDefault="00620A27" w:rsidP="007E0574">
            <w:pPr>
              <w:pStyle w:val="CETBodytext"/>
              <w:spacing w:after="240"/>
              <w:rPr>
                <w:i/>
                <w:iCs/>
              </w:rPr>
            </w:pPr>
            <w:r w:rsidRPr="00620A27">
              <w:rPr>
                <w:i/>
                <w:iCs/>
              </w:rPr>
              <w:t>b) 308.</w:t>
            </w:r>
            <w:r w:rsidR="00BD3147">
              <w:rPr>
                <w:i/>
                <w:iCs/>
              </w:rPr>
              <w:t>2</w:t>
            </w:r>
            <w:r w:rsidRPr="00620A27">
              <w:rPr>
                <w:i/>
                <w:iCs/>
              </w:rPr>
              <w:t xml:space="preserve"> K: </w:t>
            </w:r>
            <w:r w:rsidRPr="00620A27">
              <w:rPr>
                <w:i/>
                <w:iCs/>
                <w:color w:val="3333FF"/>
              </w:rPr>
              <w:sym w:font="Wingdings 2" w:char="F098"/>
            </w:r>
            <w:r w:rsidRPr="00620A27">
              <w:rPr>
                <w:i/>
                <w:iCs/>
              </w:rPr>
              <w:t xml:space="preserve"> Cyrene from COSMO-RS; </w:t>
            </w:r>
            <w:r w:rsidRPr="00620A27">
              <w:rPr>
                <w:i/>
                <w:iCs/>
                <w:color w:val="FF3399"/>
              </w:rPr>
              <w:sym w:font="Wingdings 2" w:char="F0A2"/>
            </w:r>
            <w:r w:rsidRPr="00620A27">
              <w:rPr>
                <w:i/>
                <w:iCs/>
              </w:rPr>
              <w:t xml:space="preserve"> NMP from </w:t>
            </w:r>
            <w:r w:rsidR="005D795D">
              <w:rPr>
                <w:i/>
                <w:iCs/>
                <w:noProof/>
              </w:rPr>
              <w:t>Rajasingam</w:t>
            </w:r>
            <w:r w:rsidRPr="00620A27">
              <w:rPr>
                <w:i/>
                <w:iCs/>
              </w:rPr>
              <w:t xml:space="preserve"> et al. (2004).</w:t>
            </w:r>
          </w:p>
        </w:tc>
        <w:tc>
          <w:tcPr>
            <w:tcW w:w="3011" w:type="dxa"/>
          </w:tcPr>
          <w:p w14:paraId="2ECD066A" w14:textId="2318D9E6" w:rsidR="00E44E63" w:rsidRPr="00620A27" w:rsidRDefault="00620A27" w:rsidP="00620A27">
            <w:pPr>
              <w:pStyle w:val="CETBodytext"/>
              <w:rPr>
                <w:i/>
                <w:iCs/>
              </w:rPr>
            </w:pPr>
            <w:r w:rsidRPr="00620A27">
              <w:rPr>
                <w:i/>
                <w:iCs/>
                <w:noProof/>
              </w:rPr>
              <w:drawing>
                <wp:inline distT="0" distB="0" distL="0" distR="0" wp14:anchorId="0B6C1803" wp14:editId="1AF082BB">
                  <wp:extent cx="1800000" cy="1800000"/>
                  <wp:effectExtent l="0" t="0" r="0" b="0"/>
                  <wp:docPr id="1196462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EEF9C70" w14:textId="087B7D21" w:rsidR="00E44E63" w:rsidRPr="00620A27" w:rsidRDefault="00433112" w:rsidP="007E0574">
            <w:pPr>
              <w:pStyle w:val="CETBodytext"/>
              <w:spacing w:after="120"/>
              <w:rPr>
                <w:i/>
                <w:iCs/>
              </w:rPr>
            </w:pPr>
            <w:r>
              <w:rPr>
                <w:i/>
                <w:iCs/>
                <w:lang w:val="fr-FR"/>
              </w:rPr>
              <w:t>c</w:t>
            </w:r>
            <w:r w:rsidR="00620A27" w:rsidRPr="00622A62">
              <w:rPr>
                <w:i/>
                <w:iCs/>
                <w:lang w:val="fr-FR"/>
              </w:rPr>
              <w:t xml:space="preserve">) 313.15 K: </w:t>
            </w:r>
            <w:r w:rsidR="00620A27" w:rsidRPr="00620A27">
              <w:rPr>
                <w:i/>
                <w:iCs/>
                <w:color w:val="3333FF"/>
              </w:rPr>
              <w:sym w:font="Wingdings 3" w:char="F070"/>
            </w:r>
            <w:r w:rsidR="00620A27" w:rsidRPr="00622A62">
              <w:rPr>
                <w:i/>
                <w:iCs/>
                <w:lang w:val="fr-FR"/>
              </w:rPr>
              <w:t xml:space="preserve"> Cyrene from </w:t>
            </w:r>
            <w:r w:rsidR="005D795D" w:rsidRPr="00622A62">
              <w:rPr>
                <w:i/>
                <w:iCs/>
                <w:noProof/>
                <w:lang w:val="fr-FR"/>
              </w:rPr>
              <w:t>Kerleaux</w:t>
            </w:r>
            <w:r w:rsidR="00620A27" w:rsidRPr="00622A62">
              <w:rPr>
                <w:i/>
                <w:iCs/>
                <w:lang w:val="fr-FR"/>
              </w:rPr>
              <w:t xml:space="preserve"> et al. </w:t>
            </w:r>
            <w:r w:rsidR="00620A27" w:rsidRPr="00620A27">
              <w:rPr>
                <w:i/>
                <w:iCs/>
              </w:rPr>
              <w:t xml:space="preserve">(2022); </w:t>
            </w:r>
            <w:r w:rsidR="00620A27" w:rsidRPr="00620A27">
              <w:rPr>
                <w:i/>
                <w:iCs/>
                <w:color w:val="3333FF"/>
              </w:rPr>
              <w:sym w:font="Wingdings 2" w:char="F098"/>
            </w:r>
            <w:r w:rsidR="00620A27" w:rsidRPr="00620A27">
              <w:rPr>
                <w:i/>
                <w:iCs/>
              </w:rPr>
              <w:t xml:space="preserve"> Cyrene from COSMO-RS; </w:t>
            </w:r>
            <w:r w:rsidR="00620A27" w:rsidRPr="00620A27">
              <w:rPr>
                <w:i/>
                <w:iCs/>
                <w:color w:val="FF3399"/>
              </w:rPr>
              <w:sym w:font="Wingdings" w:char="F075"/>
            </w:r>
            <w:r w:rsidR="00620A27" w:rsidRPr="00620A27">
              <w:rPr>
                <w:i/>
                <w:iCs/>
              </w:rPr>
              <w:t xml:space="preserve"> NMP from </w:t>
            </w:r>
            <w:r w:rsidR="005D795D">
              <w:rPr>
                <w:i/>
                <w:iCs/>
                <w:noProof/>
              </w:rPr>
              <w:t>Bohloul</w:t>
            </w:r>
            <w:r w:rsidR="00620A27" w:rsidRPr="00620A27">
              <w:rPr>
                <w:i/>
                <w:iCs/>
              </w:rPr>
              <w:t xml:space="preserve"> et al. (2014); </w:t>
            </w:r>
            <w:r w:rsidR="00620A27" w:rsidRPr="00620A27">
              <w:rPr>
                <w:i/>
                <w:iCs/>
                <w:color w:val="FF3399"/>
              </w:rPr>
              <w:sym w:font="Wingdings 2" w:char="F0A2"/>
            </w:r>
            <w:r w:rsidR="00620A27" w:rsidRPr="00620A27">
              <w:rPr>
                <w:i/>
                <w:iCs/>
              </w:rPr>
              <w:t xml:space="preserve"> NMP from Shokouhi et al. (2021)</w:t>
            </w:r>
            <w:r w:rsidR="005D795D">
              <w:rPr>
                <w:i/>
                <w:iCs/>
              </w:rPr>
              <w:t>.</w:t>
            </w:r>
          </w:p>
        </w:tc>
      </w:tr>
    </w:tbl>
    <w:p w14:paraId="3B21F3CC" w14:textId="1525DB3A" w:rsidR="00AB455F" w:rsidRDefault="003821F0" w:rsidP="007E0574">
      <w:pPr>
        <w:pStyle w:val="CETTabletitle"/>
        <w:spacing w:before="0" w:after="240"/>
      </w:pPr>
      <w:bookmarkStart w:id="7" w:name="_Ref182231941"/>
      <w:r>
        <w:t xml:space="preserve">Figure </w:t>
      </w:r>
      <w:r>
        <w:fldChar w:fldCharType="begin"/>
      </w:r>
      <w:r>
        <w:instrText xml:space="preserve"> SEQ Figure \* ARABIC </w:instrText>
      </w:r>
      <w:r>
        <w:fldChar w:fldCharType="separate"/>
      </w:r>
      <w:r w:rsidR="007C6944">
        <w:rPr>
          <w:noProof/>
        </w:rPr>
        <w:t>2</w:t>
      </w:r>
      <w:r>
        <w:fldChar w:fldCharType="end"/>
      </w:r>
      <w:bookmarkEnd w:id="7"/>
      <w:r w:rsidR="005D53B4">
        <w:t>. C</w:t>
      </w:r>
      <w:r w:rsidR="00593A5D">
        <w:t>omparison between CO</w:t>
      </w:r>
      <w:r w:rsidR="00593A5D" w:rsidRPr="003F5F3C">
        <w:rPr>
          <w:vertAlign w:val="subscript"/>
        </w:rPr>
        <w:t>2</w:t>
      </w:r>
      <w:r w:rsidR="00593A5D">
        <w:t xml:space="preserve"> solubility in NMP and </w:t>
      </w:r>
      <w:r w:rsidR="00965FC3">
        <w:t>C</w:t>
      </w:r>
      <w:r w:rsidR="00593A5D">
        <w:t>yrene at</w:t>
      </w:r>
      <w:r w:rsidR="008E65C7">
        <w:t>:</w:t>
      </w:r>
      <w:r w:rsidR="00593A5D">
        <w:t xml:space="preserve"> </w:t>
      </w:r>
      <w:r w:rsidR="005D53B4">
        <w:t xml:space="preserve">a) </w:t>
      </w:r>
      <w:r w:rsidR="00593A5D">
        <w:t xml:space="preserve">303.15 K; </w:t>
      </w:r>
      <w:r w:rsidR="009F3080">
        <w:t>b) 308.</w:t>
      </w:r>
      <w:r w:rsidR="00BD3147">
        <w:t>2</w:t>
      </w:r>
      <w:r w:rsidR="009F3080">
        <w:t xml:space="preserve"> K; </w:t>
      </w:r>
      <w:r w:rsidR="005D53B4">
        <w:t>c</w:t>
      </w:r>
      <w:r w:rsidR="009F3080">
        <w:t>) 313.15 K</w:t>
      </w:r>
      <w:r w:rsidR="00972CAF">
        <w:t>.</w:t>
      </w:r>
    </w:p>
    <w:p w14:paraId="68D26B83" w14:textId="77777777" w:rsidR="00600535" w:rsidRPr="00B57B36" w:rsidRDefault="00600535" w:rsidP="00600535">
      <w:pPr>
        <w:pStyle w:val="CETHeading1"/>
        <w:rPr>
          <w:lang w:val="en-GB"/>
        </w:rPr>
      </w:pPr>
      <w:r w:rsidRPr="00B57B36">
        <w:rPr>
          <w:lang w:val="en-GB"/>
        </w:rPr>
        <w:t>Conclusions</w:t>
      </w:r>
    </w:p>
    <w:p w14:paraId="1959019F" w14:textId="4AADA2DF" w:rsidR="00F4089B" w:rsidRPr="00F4089B" w:rsidRDefault="00F4089B" w:rsidP="00600535">
      <w:pPr>
        <w:pStyle w:val="CETBodytext"/>
      </w:pPr>
      <w:r w:rsidRPr="00F4089B">
        <w:t xml:space="preserve">This study </w:t>
      </w:r>
      <w:r w:rsidR="00F609B8">
        <w:t xml:space="preserve">is the first one in the literature, to the authors’ knowledge, </w:t>
      </w:r>
      <w:r w:rsidR="00F609B8" w:rsidRPr="00F4089B">
        <w:t>present</w:t>
      </w:r>
      <w:r w:rsidR="00F609B8">
        <w:t>ing</w:t>
      </w:r>
      <w:r w:rsidR="00F609B8" w:rsidRPr="00F4089B">
        <w:t xml:space="preserve"> </w:t>
      </w:r>
      <w:r w:rsidRPr="00F4089B">
        <w:t xml:space="preserve">a </w:t>
      </w:r>
      <w:r w:rsidR="00F609B8">
        <w:t xml:space="preserve">detailed </w:t>
      </w:r>
      <w:r w:rsidRPr="00F4089B">
        <w:t xml:space="preserve">comparative analysis between </w:t>
      </w:r>
      <w:r w:rsidR="00965FC3">
        <w:t>C</w:t>
      </w:r>
      <w:r w:rsidRPr="00F4089B">
        <w:t xml:space="preserve">yrene and NMP, focusing on the potential of </w:t>
      </w:r>
      <w:r w:rsidR="00965FC3">
        <w:t>C</w:t>
      </w:r>
      <w:r w:rsidRPr="00F4089B">
        <w:t>yrene as a bio-based alternative</w:t>
      </w:r>
      <w:r w:rsidR="005D795D">
        <w:t xml:space="preserve"> solvent</w:t>
      </w:r>
      <w:r w:rsidRPr="00F4089B">
        <w:t xml:space="preserve"> to </w:t>
      </w:r>
      <w:r w:rsidR="00F609B8">
        <w:t xml:space="preserve">the toxic </w:t>
      </w:r>
      <w:r w:rsidRPr="00F4089B">
        <w:t xml:space="preserve">NMP physical absorption process. Given that several studies </w:t>
      </w:r>
      <w:r w:rsidR="00F609B8">
        <w:t>mention</w:t>
      </w:r>
      <w:r w:rsidR="00F609B8" w:rsidRPr="00F4089B">
        <w:t xml:space="preserve"> </w:t>
      </w:r>
      <w:r w:rsidR="00965FC3">
        <w:t>C</w:t>
      </w:r>
      <w:r w:rsidRPr="00F4089B">
        <w:t>yrene as a replacement for NMP, this work examines its viability in applications related to CO</w:t>
      </w:r>
      <w:r w:rsidRPr="00F4089B">
        <w:rPr>
          <w:rFonts w:ascii="Cambria Math" w:hAnsi="Cambria Math" w:cs="Cambria Math"/>
        </w:rPr>
        <w:t>₂</w:t>
      </w:r>
      <w:r w:rsidRPr="00F4089B">
        <w:t xml:space="preserve"> removal, such as </w:t>
      </w:r>
      <w:r w:rsidR="00F955BC">
        <w:t>hydrogen</w:t>
      </w:r>
      <w:r w:rsidRPr="00F4089B">
        <w:t xml:space="preserve"> production from syngas streams and natural gas treatment. The analysis considers physical properties, toxicological indices and solubility data.</w:t>
      </w:r>
      <w:r>
        <w:t xml:space="preserve"> </w:t>
      </w:r>
      <w:r w:rsidR="00F609B8">
        <w:t xml:space="preserve">As for the </w:t>
      </w:r>
      <w:r w:rsidRPr="00F4089B">
        <w:t xml:space="preserve">physical properties, the main distinction between the two molecules lies in their molecular structure. </w:t>
      </w:r>
      <w:r w:rsidR="00F609B8">
        <w:t>As for the</w:t>
      </w:r>
      <w:r w:rsidR="00F609B8" w:rsidRPr="00F4089B">
        <w:t xml:space="preserve"> </w:t>
      </w:r>
      <w:r w:rsidRPr="00F4089B">
        <w:t>toxicological profiles, NMP is toxic in terms of both reproductive impact and L</w:t>
      </w:r>
      <w:r>
        <w:t xml:space="preserve">ethal </w:t>
      </w:r>
      <w:r w:rsidRPr="00F4089B">
        <w:t>D</w:t>
      </w:r>
      <w:r>
        <w:t xml:space="preserve">ose </w:t>
      </w:r>
      <w:r w:rsidRPr="00F4089B">
        <w:t xml:space="preserve">50, whereas </w:t>
      </w:r>
      <w:r w:rsidR="00965FC3">
        <w:t>C</w:t>
      </w:r>
      <w:r w:rsidRPr="00F4089B">
        <w:t>yrene does not exhibit these toxic properties. Finally, in terms of solubility, a comparison of the experimental CO</w:t>
      </w:r>
      <w:r w:rsidRPr="00F4089B">
        <w:rPr>
          <w:rFonts w:ascii="Cambria Math" w:hAnsi="Cambria Math" w:cs="Cambria Math"/>
        </w:rPr>
        <w:t>₂</w:t>
      </w:r>
      <w:r w:rsidRPr="00F4089B">
        <w:t xml:space="preserve"> solubility data for NMP with calculated data for </w:t>
      </w:r>
      <w:r w:rsidR="00965FC3">
        <w:t>C</w:t>
      </w:r>
      <w:r w:rsidRPr="00F4089B">
        <w:t xml:space="preserve">yrene shows that the two molecules </w:t>
      </w:r>
      <w:r w:rsidR="00F609B8">
        <w:t>are characterized by</w:t>
      </w:r>
      <w:r w:rsidR="00F609B8" w:rsidRPr="00F4089B">
        <w:t xml:space="preserve"> </w:t>
      </w:r>
      <w:r w:rsidR="00F609B8">
        <w:t xml:space="preserve">a </w:t>
      </w:r>
      <w:r w:rsidRPr="00F4089B">
        <w:t xml:space="preserve">similar solubility </w:t>
      </w:r>
      <w:r>
        <w:t>profile</w:t>
      </w:r>
      <w:r w:rsidR="00F609B8">
        <w:t xml:space="preserve"> at the typical conditions of the absorption section</w:t>
      </w:r>
      <w:r w:rsidRPr="00F4089B">
        <w:t>.</w:t>
      </w:r>
      <w:r>
        <w:t xml:space="preserve"> </w:t>
      </w:r>
      <w:r w:rsidRPr="00F4089B">
        <w:t xml:space="preserve">In conclusion, </w:t>
      </w:r>
      <w:r w:rsidR="00965FC3">
        <w:t>C</w:t>
      </w:r>
      <w:r w:rsidRPr="00F4089B">
        <w:t>yrene</w:t>
      </w:r>
      <w:r>
        <w:t xml:space="preserve"> could be considered as </w:t>
      </w:r>
      <w:r w:rsidRPr="00F4089B">
        <w:t xml:space="preserve">a </w:t>
      </w:r>
      <w:r w:rsidR="009E28AC">
        <w:t xml:space="preserve">possible </w:t>
      </w:r>
      <w:r w:rsidRPr="00F4089B">
        <w:t xml:space="preserve">bio-based alternative </w:t>
      </w:r>
      <w:r>
        <w:t xml:space="preserve">solvent </w:t>
      </w:r>
      <w:r w:rsidRPr="00F4089B">
        <w:t>for CO</w:t>
      </w:r>
      <w:r w:rsidRPr="00F4089B">
        <w:rPr>
          <w:rFonts w:ascii="Cambria Math" w:hAnsi="Cambria Math" w:cs="Cambria Math"/>
        </w:rPr>
        <w:t>₂</w:t>
      </w:r>
      <w:r w:rsidRPr="00F4089B">
        <w:t xml:space="preserve"> </w:t>
      </w:r>
      <w:r w:rsidR="00D85D97" w:rsidRPr="00F4089B">
        <w:t>removal and</w:t>
      </w:r>
      <w:r w:rsidR="00F609B8">
        <w:t xml:space="preserve"> is expected to </w:t>
      </w:r>
      <w:r w:rsidRPr="00F4089B">
        <w:t xml:space="preserve">align well with </w:t>
      </w:r>
      <w:r w:rsidR="00F609B8">
        <w:t xml:space="preserve">the </w:t>
      </w:r>
      <w:r w:rsidRPr="00F4089B">
        <w:t xml:space="preserve">NMP performance in </w:t>
      </w:r>
      <w:r w:rsidR="00F609B8">
        <w:t>CO</w:t>
      </w:r>
      <w:r w:rsidR="00F609B8" w:rsidRPr="00D85D97">
        <w:rPr>
          <w:vertAlign w:val="subscript"/>
        </w:rPr>
        <w:t>2</w:t>
      </w:r>
      <w:r w:rsidR="00F609B8">
        <w:t xml:space="preserve"> </w:t>
      </w:r>
      <w:r w:rsidRPr="00F4089B">
        <w:t>physical absorption applications.</w:t>
      </w:r>
    </w:p>
    <w:p w14:paraId="459D05E6" w14:textId="77777777" w:rsidR="00600535" w:rsidRPr="00B57B36" w:rsidRDefault="00600535" w:rsidP="00842601">
      <w:pPr>
        <w:pStyle w:val="CETAcknowledgementstitle"/>
      </w:pPr>
      <w:r w:rsidRPr="00B57B36">
        <w:t>Acknowledgments</w:t>
      </w:r>
    </w:p>
    <w:p w14:paraId="576E569F" w14:textId="77777777" w:rsidR="00C86A74" w:rsidRPr="006818E0" w:rsidRDefault="00C86A74" w:rsidP="000024D2">
      <w:pPr>
        <w:pStyle w:val="CETBodytext"/>
      </w:pPr>
      <w:r w:rsidRPr="006818E0">
        <w:t>We acknowledge financial support under the National Recovery and Resilience Plan (NRRP), Mission 4, Component C2, Call for tender No. 104 published on 2.2.2022 by the Italian Ministry of University and Research (MUR), funded by the European Union – NextGenerationEU– Project Title “GREEN-based water-lean SOLvent for CO</w:t>
      </w:r>
      <w:r w:rsidRPr="006818E0">
        <w:rPr>
          <w:vertAlign w:val="subscript"/>
        </w:rPr>
        <w:t>2</w:t>
      </w:r>
      <w:r w:rsidRPr="006818E0">
        <w:t xml:space="preserve"> capture” (GREENSOL) – CUP D53D23003100001 - Grant Assignment Decree No. 961 adopted on 30.6.2023 by the Italian Ministry of Ministry of University and Research (MUR).</w:t>
      </w:r>
    </w:p>
    <w:p w14:paraId="5DD1ECBC" w14:textId="77777777" w:rsidR="00842601" w:rsidRDefault="00600535" w:rsidP="00842601">
      <w:pPr>
        <w:pStyle w:val="EndNoteBibliography"/>
        <w:spacing w:before="200" w:after="120"/>
        <w:ind w:left="720" w:hanging="720"/>
        <w:rPr>
          <w:b/>
          <w:bCs/>
        </w:rPr>
      </w:pPr>
      <w:r w:rsidRPr="00842601">
        <w:rPr>
          <w:b/>
          <w:bCs/>
        </w:rPr>
        <w:t>References</w:t>
      </w:r>
    </w:p>
    <w:p w14:paraId="39C36341" w14:textId="77777777" w:rsidR="00724269" w:rsidRDefault="00724269" w:rsidP="00724269">
      <w:pPr>
        <w:pStyle w:val="CETReferencetext"/>
      </w:pPr>
      <w:r w:rsidRPr="0001076A">
        <w:t>Alves Costa Pacheco, A., Sherwood, J., Zhenova, A., McElroy, C.R., Hunt, A.J., Parker, H.L., Farmer, T.J., Constantinou, A., De Bruyn, M., Whitwood, A.C., 2016, Intelligent approach to solvent substitution: the identification of a new class of levoglucosenone derivatives, ChemSusChem, 9, 3503-3512.</w:t>
      </w:r>
    </w:p>
    <w:p w14:paraId="3CB09E09" w14:textId="4738AB66" w:rsidR="00186A2A" w:rsidRPr="0001076A" w:rsidRDefault="00186A2A" w:rsidP="00724269">
      <w:pPr>
        <w:pStyle w:val="CETReferencetext"/>
      </w:pPr>
      <w:r w:rsidRPr="00186A2A">
        <w:t>Aspen Technology, 2022, Aspen Plus</w:t>
      </w:r>
      <w:r w:rsidRPr="0001094E">
        <w:rPr>
          <w:vertAlign w:val="superscript"/>
        </w:rPr>
        <w:t>®</w:t>
      </w:r>
      <w:r w:rsidRPr="00186A2A">
        <w:t xml:space="preserve"> V14</w:t>
      </w:r>
      <w:r>
        <w:t>.</w:t>
      </w:r>
    </w:p>
    <w:p w14:paraId="17C38B9C" w14:textId="77777777" w:rsidR="00724269" w:rsidRPr="0001076A" w:rsidRDefault="00724269" w:rsidP="00724269">
      <w:pPr>
        <w:pStyle w:val="CETReferencetext"/>
      </w:pPr>
      <w:r w:rsidRPr="0001076A">
        <w:t>Ban, Z.H., Keong, L.K., Mohd Shariff, A., 2014, Physical absorption of CO</w:t>
      </w:r>
      <w:r w:rsidRPr="0001094E">
        <w:rPr>
          <w:vertAlign w:val="subscript"/>
        </w:rPr>
        <w:t>2</w:t>
      </w:r>
      <w:r w:rsidRPr="0001076A">
        <w:t xml:space="preserve"> capture: a review, Advanced Materials Research, 917, 134-143.</w:t>
      </w:r>
    </w:p>
    <w:p w14:paraId="43CF8EBA" w14:textId="77777777" w:rsidR="00724269" w:rsidRPr="0001076A" w:rsidRDefault="00724269" w:rsidP="00724269">
      <w:pPr>
        <w:pStyle w:val="CETReferencetext"/>
      </w:pPr>
      <w:r w:rsidRPr="0001076A">
        <w:t>Basma, N.S., Headen, T.F., Shaffer, M.S., Skipper, N.T., Howard, C.A., 2018, Local structure and polar order in liquid N-methyl-2-pyrrolidone (NMP), The Journal of Physical Chemistry B, 122, 8963-8971.</w:t>
      </w:r>
    </w:p>
    <w:p w14:paraId="0CA3521C" w14:textId="77777777" w:rsidR="00724269" w:rsidRDefault="00724269" w:rsidP="00724269">
      <w:pPr>
        <w:pStyle w:val="CETReferencetext"/>
      </w:pPr>
      <w:r w:rsidRPr="0001076A">
        <w:t>Bohloul, M., Vatani, A., Peyghambarzadeh, S., 2014, Experimental and theoretical study of CO</w:t>
      </w:r>
      <w:r w:rsidRPr="0001094E">
        <w:rPr>
          <w:vertAlign w:val="subscript"/>
        </w:rPr>
        <w:t>2</w:t>
      </w:r>
      <w:r w:rsidRPr="0001076A">
        <w:t xml:space="preserve"> solubility in N-methyl-2-pyrrolidone (NMP), Fluid Phase Equilibria, 365, 106-111.</w:t>
      </w:r>
    </w:p>
    <w:p w14:paraId="7091BC28" w14:textId="77777777" w:rsidR="00724269" w:rsidRPr="0001076A" w:rsidRDefault="00724269" w:rsidP="00724269">
      <w:pPr>
        <w:pStyle w:val="CETReferencetext"/>
      </w:pPr>
      <w:r w:rsidRPr="0001076A">
        <w:t>Chemical Book (CB), 2024, How to synthesis N-Methyl-2-pyrrolidone [Online], Available: www.chemicalbook.com/article/how-to-synthesis-n-methyl-2-pyrrolidone.htm [Accessed 28/10/2024].</w:t>
      </w:r>
    </w:p>
    <w:p w14:paraId="21EC4F62" w14:textId="77777777" w:rsidR="00724269" w:rsidRPr="0001076A" w:rsidRDefault="00724269" w:rsidP="00724269">
      <w:pPr>
        <w:pStyle w:val="CETReferencetext"/>
      </w:pPr>
      <w:r w:rsidRPr="0001076A">
        <w:t>European Chemical Agency, 2011, Member state committee support document for identification of 1-Methyl-2-Pyrrolidone as a substance of very high concern because of its CMR properties [Online], Available: echa.europa.eu/documents/10162/1c4e3474-34ee-4c15-aaef-dafd1cb47779 [Accessed 11/11/2024].</w:t>
      </w:r>
    </w:p>
    <w:p w14:paraId="01AE1808" w14:textId="77777777" w:rsidR="00724269" w:rsidRPr="0001076A" w:rsidRDefault="00724269" w:rsidP="00724269">
      <w:pPr>
        <w:pStyle w:val="CETReferencetext"/>
      </w:pPr>
      <w:r w:rsidRPr="0001076A">
        <w:lastRenderedPageBreak/>
        <w:t>Environmental Health Analysis Center, 2012, Criteria used by the PBT Profiler [Online], Available: web.archive.org/web/20160501194153/http://www.pbtprofiler.net/criteria.asp [Accessed 07/11/2024].</w:t>
      </w:r>
    </w:p>
    <w:p w14:paraId="0EDC8B94" w14:textId="77777777" w:rsidR="00724269" w:rsidRPr="0001076A" w:rsidRDefault="00724269" w:rsidP="00724269">
      <w:pPr>
        <w:pStyle w:val="CETReferencetext"/>
      </w:pPr>
      <w:r w:rsidRPr="0001076A">
        <w:t>United States Environmental Protection Agency, 2024, Toxicity Categories [Online], Available: www3.epa.gov/pesticides/endanger/litstatus/effects/redleg-frog/naled/appendix-i.pdf [Accessed 07/11/2024].</w:t>
      </w:r>
    </w:p>
    <w:p w14:paraId="3DE367BD" w14:textId="77777777" w:rsidR="00724269" w:rsidRPr="0001076A" w:rsidRDefault="00724269" w:rsidP="00724269">
      <w:pPr>
        <w:pStyle w:val="CETReferencetext"/>
      </w:pPr>
      <w:r w:rsidRPr="0001076A">
        <w:t>Eskandari, M., Elhambakhsh, A., Rasaie, M., Keshavarz, P., Mowla, D., 2022, Absorption of carbon dioxide in mixture of N-Methyl-2-Pyrrolidone and six different chemical solvents, Journal of Molecular Liquids, 364, 119939.</w:t>
      </w:r>
    </w:p>
    <w:p w14:paraId="580F8644" w14:textId="77777777" w:rsidR="00724269" w:rsidRPr="0001076A" w:rsidRDefault="00724269" w:rsidP="00724269">
      <w:pPr>
        <w:pStyle w:val="CETReferencetext"/>
      </w:pPr>
      <w:r w:rsidRPr="0001076A">
        <w:t>Fernandes, J., Nemala, S.S., De Bellis, G., Capasso, A., 2022, Green solvents for the liquid phase exfoliation production of graphene: the promising case of cyrene, Frontiers in chemistry, 10, 878799.</w:t>
      </w:r>
    </w:p>
    <w:p w14:paraId="669EB8EA" w14:textId="77777777" w:rsidR="00724269" w:rsidRPr="0001076A" w:rsidRDefault="00724269" w:rsidP="00724269">
      <w:pPr>
        <w:pStyle w:val="CETReferencetext"/>
      </w:pPr>
      <w:r w:rsidRPr="0001076A">
        <w:t>Hajlaoui, A., Salat, L., Rodier, L., Andanson, J.-M., Coulier, Y. Thermodynamic study of working fluid pairs for an absorption refrigeration process.  International Conference of Refrigeration, 2023.</w:t>
      </w:r>
    </w:p>
    <w:p w14:paraId="7228DD85" w14:textId="047C0CAB" w:rsidR="00724269" w:rsidRPr="0001076A" w:rsidRDefault="00724269" w:rsidP="00724269">
      <w:pPr>
        <w:pStyle w:val="CETReferencetext"/>
      </w:pPr>
      <w:r w:rsidRPr="0001076A">
        <w:t>Hansen, C.M., 1967, The three</w:t>
      </w:r>
      <w:r w:rsidR="008B1F74">
        <w:t>-</w:t>
      </w:r>
      <w:r w:rsidRPr="0001076A">
        <w:t>dimensional solubility parameter, Danish Technical: Copenhagen, 14.</w:t>
      </w:r>
    </w:p>
    <w:p w14:paraId="24C72277" w14:textId="77777777" w:rsidR="00724269" w:rsidRPr="0001076A" w:rsidRDefault="00724269" w:rsidP="00724269">
      <w:pPr>
        <w:pStyle w:val="CETReferencetext"/>
      </w:pPr>
      <w:r w:rsidRPr="0001076A">
        <w:t>Hansen, C.M. 2007, Hansen solubility parameters: a user's handbook, CRC press.</w:t>
      </w:r>
    </w:p>
    <w:p w14:paraId="0681FF7C" w14:textId="77777777" w:rsidR="00724269" w:rsidRPr="0001076A" w:rsidRDefault="00724269" w:rsidP="00724269">
      <w:pPr>
        <w:pStyle w:val="CETReferencetext"/>
      </w:pPr>
      <w:r w:rsidRPr="0001076A">
        <w:t>Hochgesand, G., 1970, Rectisol and purisol, Industrial &amp; Engineering Chemistry, 62, 37-43.</w:t>
      </w:r>
    </w:p>
    <w:p w14:paraId="4432D9C4" w14:textId="77777777" w:rsidR="00724269" w:rsidRPr="0001076A" w:rsidRDefault="00724269" w:rsidP="00724269">
      <w:pPr>
        <w:pStyle w:val="CETReferencetext"/>
      </w:pPr>
      <w:r w:rsidRPr="0001076A">
        <w:t>Jin, S., Byrne, F., McElroy, C.R., Sherwood, J., Clark, J.H., Hunt, A.J., 2017, Challenges in the development of bio-based solvents: a case study on methyl (2,2-dimethyl-1,3-dioxolan-4-yl) methyl carbonate as an alternative aprotic solvent, Faraday Discussions, 202, 157-173.</w:t>
      </w:r>
    </w:p>
    <w:p w14:paraId="6DD90400" w14:textId="77777777" w:rsidR="00724269" w:rsidRPr="0001076A" w:rsidRDefault="00724269" w:rsidP="00724269">
      <w:pPr>
        <w:pStyle w:val="CETReferencetext"/>
      </w:pPr>
      <w:r w:rsidRPr="0001076A">
        <w:t>Kamlet, M.J., Abboud, J., Taft, R., 1981, An examination of linear solvation energy relationships, Progress in physical organic chemistry, 485-630.</w:t>
      </w:r>
    </w:p>
    <w:p w14:paraId="397B5F00" w14:textId="3918D5EF" w:rsidR="00724269" w:rsidRPr="0001076A" w:rsidRDefault="00724269" w:rsidP="00724269">
      <w:pPr>
        <w:pStyle w:val="CETReferencetext"/>
      </w:pPr>
      <w:r w:rsidRPr="0001076A">
        <w:t>Kamlet, M.J., Taft, R., 1976, The solvatochromic comparison method. I. The beta-scale of solvent hydrogen-bond acceptor (HBA) basicities, Journal of the American chemical Society, 98, 377-383.</w:t>
      </w:r>
    </w:p>
    <w:p w14:paraId="4CF84529" w14:textId="77777777" w:rsidR="00724269" w:rsidRPr="0001076A" w:rsidRDefault="00724269" w:rsidP="00724269">
      <w:pPr>
        <w:pStyle w:val="CETReferencetext"/>
      </w:pPr>
      <w:r w:rsidRPr="0001076A">
        <w:t>Kerleaux, M., Rodier, L., Andanson, J.-M., Dequidt, A., Coulier, Y. Natural Working Fluids for Absorption Refrigeration.  15th IIR-Gustav Lorentzen Conference on Natural Refrigerants (GL2022). 2022.</w:t>
      </w:r>
    </w:p>
    <w:p w14:paraId="6B821EA4" w14:textId="77777777" w:rsidR="00724269" w:rsidRPr="0001076A" w:rsidRDefault="00724269" w:rsidP="00724269">
      <w:pPr>
        <w:pStyle w:val="CETReferencetext"/>
      </w:pPr>
      <w:r w:rsidRPr="0001076A">
        <w:t>Klamt, A., 1995, Conductor-like screening model for real solvents: a new approach to the quantitative calculation of solvation phenomena, The Journal of Physical Chemistry, 99, 2224-2235.</w:t>
      </w:r>
    </w:p>
    <w:p w14:paraId="79DE773B" w14:textId="77777777" w:rsidR="00724269" w:rsidRPr="0001076A" w:rsidRDefault="00724269" w:rsidP="00724269">
      <w:pPr>
        <w:pStyle w:val="CETReferencetext"/>
      </w:pPr>
      <w:r w:rsidRPr="0001076A">
        <w:t>Kohl, A.L., Nielsen, R. 1997, Gas purification, Elsevier.</w:t>
      </w:r>
    </w:p>
    <w:p w14:paraId="669103CC" w14:textId="77777777" w:rsidR="00724269" w:rsidRPr="0001076A" w:rsidRDefault="00724269" w:rsidP="00724269">
      <w:pPr>
        <w:pStyle w:val="CETReferencetext"/>
      </w:pPr>
      <w:r w:rsidRPr="0001076A">
        <w:t>Kong, D., Dolzhenko, A.V., 2022, Cyrene: A bio-based sustainable solvent for organic synthesis, Sustainable Chemistry and Pharmacy, 25, 100591.</w:t>
      </w:r>
    </w:p>
    <w:p w14:paraId="644BA291" w14:textId="77777777" w:rsidR="00724269" w:rsidRPr="00F44081" w:rsidRDefault="00724269" w:rsidP="00724269">
      <w:pPr>
        <w:pStyle w:val="CETReferencetext"/>
        <w:rPr>
          <w:lang w:val="de-DE"/>
        </w:rPr>
      </w:pPr>
      <w:r w:rsidRPr="0001076A">
        <w:t xml:space="preserve">Kriebel, M. 1989. Ullmann’s encyclopedia of industrial chemistry, gas production. </w:t>
      </w:r>
      <w:r w:rsidRPr="00F44081">
        <w:rPr>
          <w:lang w:val="de-DE"/>
        </w:rPr>
        <w:t>VCH Verlagsgesellschaft mbH, Weinheim.</w:t>
      </w:r>
    </w:p>
    <w:p w14:paraId="44A87F60" w14:textId="77777777" w:rsidR="00724269" w:rsidRPr="0001076A" w:rsidRDefault="00724269" w:rsidP="00724269">
      <w:pPr>
        <w:pStyle w:val="CETReferencetext"/>
      </w:pPr>
      <w:r w:rsidRPr="00F44081">
        <w:rPr>
          <w:lang w:val="de-DE"/>
        </w:rPr>
        <w:t xml:space="preserve">Martin, T., 2021, User’s Guide for T.E.S.T.  </w:t>
      </w:r>
      <w:r w:rsidRPr="0001076A">
        <w:t xml:space="preserve">(Toxicity Estimation Software Tool) </w:t>
      </w:r>
    </w:p>
    <w:p w14:paraId="0F2B5288" w14:textId="77777777" w:rsidR="00724269" w:rsidRPr="0001076A" w:rsidRDefault="00724269" w:rsidP="00724269">
      <w:pPr>
        <w:pStyle w:val="CETReferencetext"/>
      </w:pPr>
      <w:r w:rsidRPr="0001076A">
        <w:t>Milescu, R.A. 2021. Applications of the novel bio-derived solvent Cyrene™ in polymer chemistry. University of York.</w:t>
      </w:r>
    </w:p>
    <w:p w14:paraId="0C09D7EB" w14:textId="77777777" w:rsidR="00724269" w:rsidRPr="0001076A" w:rsidRDefault="00724269" w:rsidP="00724269">
      <w:pPr>
        <w:pStyle w:val="CETReferencetext"/>
      </w:pPr>
      <w:r w:rsidRPr="0001076A">
        <w:t>Murrieta-Guevara, F., Trejo Rodriguez, A., 1984, Solubility of carbon dioxide, hydrogen sulfide, and methane in pure and mixed solvents, Journal of Chemical and Engineering Data, 29, 456-460.</w:t>
      </w:r>
    </w:p>
    <w:p w14:paraId="70AD01CC" w14:textId="77777777" w:rsidR="00724269" w:rsidRPr="0001076A" w:rsidRDefault="00724269" w:rsidP="00724269">
      <w:pPr>
        <w:pStyle w:val="CETReferencetext"/>
      </w:pPr>
      <w:r w:rsidRPr="0001076A">
        <w:t>Rajasingam, R., Lioe, L., Pham, Q.T., Lucien, F.P., 2004, Solubility of carbon dioxide in dimethylsulfoxide and N-methyl-2-pyrrolidone at elevated pressure, The Journal of Supercritical Fluids, 31, 227-234.</w:t>
      </w:r>
    </w:p>
    <w:p w14:paraId="382AEE7D" w14:textId="77777777" w:rsidR="00724269" w:rsidRPr="0001076A" w:rsidRDefault="00724269" w:rsidP="00724269">
      <w:pPr>
        <w:pStyle w:val="CETReferencetext"/>
      </w:pPr>
      <w:r w:rsidRPr="0001076A">
        <w:t>Ranjkesh, A., Parast, M.H., Strzeżysz, O., Zakerhamidi, M.S., Yoon, T.-H., 2018, New linear solvation energy relationships for empirical solvent scales using the Kamlet–Abboud–Taft parameter sets in nematic liquid crystals, RSC advances, 8, 22835-22845.</w:t>
      </w:r>
    </w:p>
    <w:p w14:paraId="01E1F5E5" w14:textId="77777777" w:rsidR="00724269" w:rsidRPr="0001076A" w:rsidRDefault="00724269" w:rsidP="00724269">
      <w:pPr>
        <w:pStyle w:val="CETReferencetext"/>
      </w:pPr>
      <w:r w:rsidRPr="0001076A">
        <w:t>Sherwood, J., Constantinou, A., Moity, L., McElroy, C.R., Farmer, T.J., Duncan, T., Raverty, W., Hunt, A.J., Clark, J.H., 2014, Dihydrolevoglucosenone (Cyrene) as a bio-based alternative for dipolar aprotic solvents, Chemical communications, 50, 9650-9652.</w:t>
      </w:r>
    </w:p>
    <w:p w14:paraId="54A2F5EE" w14:textId="77777777" w:rsidR="00724269" w:rsidRDefault="00724269" w:rsidP="00724269">
      <w:pPr>
        <w:pStyle w:val="CETReferencetext"/>
      </w:pPr>
      <w:r w:rsidRPr="0001076A">
        <w:t>Shokouhi, M., Jalili, A.H., Babakhani, E.G., 2021, Carbon dioxide solubility in aqueous N-Methylpyrrolidone solution, Fluid Phase Equilibria, 546, 113122.</w:t>
      </w:r>
    </w:p>
    <w:p w14:paraId="0AC19DF5" w14:textId="77777777" w:rsidR="00724269" w:rsidRPr="0001076A" w:rsidRDefault="00724269" w:rsidP="00724269">
      <w:pPr>
        <w:pStyle w:val="CETReferencetext"/>
      </w:pPr>
      <w:r w:rsidRPr="0001076A">
        <w:t>Sigma Aldrich, SDS - Cyrene [Online], Available: www.sigmaaldrich.com/IT/en/sds/sial/807796?userType=anonymous [Accessed 21/08/2024].</w:t>
      </w:r>
    </w:p>
    <w:p w14:paraId="40D57919" w14:textId="77777777" w:rsidR="00724269" w:rsidRPr="0001076A" w:rsidRDefault="00724269" w:rsidP="00724269">
      <w:pPr>
        <w:pStyle w:val="CETReferencetext"/>
      </w:pPr>
      <w:r w:rsidRPr="0001076A">
        <w:t>Sigma Aldrich, SDS - N-methyl-2-pyrrolidone [Online], Available: www.sigmaaldrich.com/IT/en/sds/sigald/443778?userType=anonymous [Accessed 21/08/2024].</w:t>
      </w:r>
    </w:p>
    <w:p w14:paraId="58939DA8" w14:textId="77777777" w:rsidR="00724269" w:rsidRPr="0001076A" w:rsidRDefault="00724269" w:rsidP="00724269">
      <w:pPr>
        <w:pStyle w:val="CETReferencetext"/>
      </w:pPr>
      <w:r w:rsidRPr="0001076A">
        <w:t>Stini, N.A., Gkizis, P.L., Kokotos, C.G., 2022, Cyrene: a bio-based novel and sustainable solvent for organic synthesis, Green Chemistry, 24, 6435-6449.</w:t>
      </w:r>
    </w:p>
    <w:p w14:paraId="32140D40" w14:textId="77777777" w:rsidR="00724269" w:rsidRPr="0001076A" w:rsidRDefault="00724269" w:rsidP="00724269">
      <w:pPr>
        <w:pStyle w:val="CETReferencetext"/>
      </w:pPr>
      <w:r w:rsidRPr="0001076A">
        <w:t>Taft, R.W., Abboud, J.-L.M., Kamlet, M.J., Abraham, M.H., 1985, Linear solvation energy relations, Journal of Solution Chemistry, 14, 153-186.</w:t>
      </w:r>
    </w:p>
    <w:p w14:paraId="464D1436" w14:textId="77777777" w:rsidR="00724269" w:rsidRPr="0001076A" w:rsidRDefault="00724269" w:rsidP="00724269">
      <w:pPr>
        <w:pStyle w:val="CETReferencetext"/>
      </w:pPr>
      <w:r w:rsidRPr="0001076A">
        <w:t>Usula, M., Porcedda, S., Mocci, F., Gontrani, L., Caminiti, R., Cesare Marincola, F., 2014, NMR, calorimetry, and computational studies of aqueous solutions of N-methyl-2-pyrrolidone, The Journal of Physical Chemistry B, 118, 10493-10502.</w:t>
      </w:r>
    </w:p>
    <w:p w14:paraId="6228EB8F" w14:textId="0578D5A7" w:rsidR="00842601" w:rsidRDefault="00724269" w:rsidP="00724269">
      <w:pPr>
        <w:pStyle w:val="CETReferencetext"/>
        <w:ind w:left="0" w:firstLine="0"/>
      </w:pPr>
      <w:r w:rsidRPr="0001076A">
        <w:t>Zhou, H., Pei, B., Fan, Q., Xin, F., Whittingham, M.S., 2021, Can greener cyrene replace NMP for electrode preparation of NMC 811 cathodes?, Journal of The Electrochemical Society, 168, 040536.</w:t>
      </w:r>
    </w:p>
    <w:sectPr w:rsidR="00842601" w:rsidSect="00DC73EE">
      <w:footerReference w:type="default" r:id="rId14"/>
      <w:footerReference w:type="first" r:id="rId1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A5E7" w14:textId="77777777" w:rsidR="006C33C5" w:rsidRDefault="006C33C5" w:rsidP="004F5E36">
      <w:r>
        <w:separator/>
      </w:r>
    </w:p>
  </w:endnote>
  <w:endnote w:type="continuationSeparator" w:id="0">
    <w:p w14:paraId="33B16584" w14:textId="77777777" w:rsidR="006C33C5" w:rsidRDefault="006C33C5" w:rsidP="004F5E36">
      <w:r>
        <w:continuationSeparator/>
      </w:r>
    </w:p>
  </w:endnote>
  <w:endnote w:type="continuationNotice" w:id="1">
    <w:p w14:paraId="35B6D393" w14:textId="77777777" w:rsidR="006C33C5" w:rsidRDefault="006C33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dvTT7b515deb">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20362"/>
      <w:docPartObj>
        <w:docPartGallery w:val="Page Numbers (Bottom of Page)"/>
        <w:docPartUnique/>
      </w:docPartObj>
    </w:sdtPr>
    <w:sdtEndPr>
      <w:rPr>
        <w:noProof/>
      </w:rPr>
    </w:sdtEndPr>
    <w:sdtContent>
      <w:p w14:paraId="6087467E" w14:textId="30005161" w:rsidR="00E20C32" w:rsidRDefault="0070399E">
        <w:pPr>
          <w:pStyle w:val="Pidipagina"/>
          <w:jc w:val="right"/>
        </w:pPr>
      </w:p>
    </w:sdtContent>
  </w:sdt>
  <w:p w14:paraId="525D9974" w14:textId="77777777" w:rsidR="00E20C32" w:rsidRDefault="00E20C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33B5" w14:textId="3776C1A4" w:rsidR="00E20C32" w:rsidRDefault="00E20C32">
    <w:pPr>
      <w:pStyle w:val="Pidipagina"/>
      <w:jc w:val="right"/>
    </w:pPr>
  </w:p>
  <w:p w14:paraId="76310DED" w14:textId="77777777" w:rsidR="00E20C32" w:rsidRDefault="00E20C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5E2E" w14:textId="77777777" w:rsidR="006C33C5" w:rsidRDefault="006C33C5" w:rsidP="004F5E36">
      <w:r>
        <w:separator/>
      </w:r>
    </w:p>
  </w:footnote>
  <w:footnote w:type="continuationSeparator" w:id="0">
    <w:p w14:paraId="4896DDB6" w14:textId="77777777" w:rsidR="006C33C5" w:rsidRDefault="006C33C5" w:rsidP="004F5E36">
      <w:r>
        <w:continuationSeparator/>
      </w:r>
    </w:p>
  </w:footnote>
  <w:footnote w:type="continuationNotice" w:id="1">
    <w:p w14:paraId="320F18C0" w14:textId="77777777" w:rsidR="006C33C5" w:rsidRDefault="006C33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765FFE"/>
    <w:multiLevelType w:val="hybridMultilevel"/>
    <w:tmpl w:val="825C9822"/>
    <w:lvl w:ilvl="0" w:tplc="08366462">
      <w:start w:val="29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174C284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7802218"/>
    <w:multiLevelType w:val="hybridMultilevel"/>
    <w:tmpl w:val="D526BC80"/>
    <w:lvl w:ilvl="0" w:tplc="F31873E6">
      <w:start w:val="774"/>
      <w:numFmt w:val="bullet"/>
      <w:lvlText w:val=""/>
      <w:lvlJc w:val="left"/>
      <w:pPr>
        <w:ind w:left="405" w:hanging="360"/>
      </w:pPr>
      <w:rPr>
        <w:rFonts w:ascii="Wingdings" w:eastAsia="Times New Roman" w:hAnsi="Wingdings"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7E4D6F"/>
    <w:multiLevelType w:val="hybridMultilevel"/>
    <w:tmpl w:val="E8440A48"/>
    <w:lvl w:ilvl="0" w:tplc="7B527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24471"/>
    <w:multiLevelType w:val="hybridMultilevel"/>
    <w:tmpl w:val="2F485B6A"/>
    <w:lvl w:ilvl="0" w:tplc="DA826CB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213951"/>
    <w:multiLevelType w:val="hybridMultilevel"/>
    <w:tmpl w:val="9828D3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8"/>
  </w:num>
  <w:num w:numId="22">
    <w:abstractNumId w:val="17"/>
  </w:num>
  <w:num w:numId="23">
    <w:abstractNumId w:val="11"/>
  </w:num>
  <w:num w:numId="24">
    <w:abstractNumId w:val="16"/>
  </w:num>
  <w:num w:numId="25">
    <w:abstractNumId w:val="13"/>
  </w:num>
  <w:num w:numId="26">
    <w:abstractNumId w:val="26"/>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E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5wwtzs652saherdptxawzqdrxf255xasv0&quot;&gt;My EndNote Library&lt;record-ids&gt;&lt;item&gt;3&lt;/item&gt;&lt;item&gt;8&lt;/item&gt;&lt;item&gt;20&lt;/item&gt;&lt;item&gt;25&lt;/item&gt;&lt;item&gt;27&lt;/item&gt;&lt;item&gt;63&lt;/item&gt;&lt;item&gt;163&lt;/item&gt;&lt;item&gt;165&lt;/item&gt;&lt;item&gt;172&lt;/item&gt;&lt;item&gt;183&lt;/item&gt;&lt;item&gt;222&lt;/item&gt;&lt;item&gt;223&lt;/item&gt;&lt;item&gt;224&lt;/item&gt;&lt;item&gt;225&lt;/item&gt;&lt;item&gt;226&lt;/item&gt;&lt;item&gt;227&lt;/item&gt;&lt;item&gt;244&lt;/item&gt;&lt;item&gt;245&lt;/item&gt;&lt;item&gt;246&lt;/item&gt;&lt;item&gt;247&lt;/item&gt;&lt;item&gt;248&lt;/item&gt;&lt;item&gt;249&lt;/item&gt;&lt;item&gt;250&lt;/item&gt;&lt;item&gt;256&lt;/item&gt;&lt;item&gt;257&lt;/item&gt;&lt;item&gt;25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0E414A"/>
    <w:rsid w:val="00001C12"/>
    <w:rsid w:val="000024D2"/>
    <w:rsid w:val="000027C0"/>
    <w:rsid w:val="0000304F"/>
    <w:rsid w:val="00003A46"/>
    <w:rsid w:val="00003FED"/>
    <w:rsid w:val="00004CF4"/>
    <w:rsid w:val="000052FB"/>
    <w:rsid w:val="00005A19"/>
    <w:rsid w:val="0001094E"/>
    <w:rsid w:val="000117CB"/>
    <w:rsid w:val="00015329"/>
    <w:rsid w:val="0002355E"/>
    <w:rsid w:val="0002641B"/>
    <w:rsid w:val="00027E1E"/>
    <w:rsid w:val="00030F32"/>
    <w:rsid w:val="0003148D"/>
    <w:rsid w:val="00031EEC"/>
    <w:rsid w:val="00033404"/>
    <w:rsid w:val="00041DA2"/>
    <w:rsid w:val="000447F9"/>
    <w:rsid w:val="00051566"/>
    <w:rsid w:val="000562A9"/>
    <w:rsid w:val="0006070F"/>
    <w:rsid w:val="00060D4E"/>
    <w:rsid w:val="00062A9A"/>
    <w:rsid w:val="00065058"/>
    <w:rsid w:val="00070C55"/>
    <w:rsid w:val="00074FF0"/>
    <w:rsid w:val="00076B35"/>
    <w:rsid w:val="00080DED"/>
    <w:rsid w:val="0008531D"/>
    <w:rsid w:val="00086C39"/>
    <w:rsid w:val="000A03B2"/>
    <w:rsid w:val="000A2CCD"/>
    <w:rsid w:val="000A4BBC"/>
    <w:rsid w:val="000B0053"/>
    <w:rsid w:val="000B1550"/>
    <w:rsid w:val="000C79D4"/>
    <w:rsid w:val="000D0268"/>
    <w:rsid w:val="000D34BE"/>
    <w:rsid w:val="000D74E0"/>
    <w:rsid w:val="000E0B3C"/>
    <w:rsid w:val="000E102F"/>
    <w:rsid w:val="000E36F1"/>
    <w:rsid w:val="000E3A73"/>
    <w:rsid w:val="000E414A"/>
    <w:rsid w:val="000E75FD"/>
    <w:rsid w:val="000F093C"/>
    <w:rsid w:val="000F0E56"/>
    <w:rsid w:val="000F4E11"/>
    <w:rsid w:val="000F787B"/>
    <w:rsid w:val="00100009"/>
    <w:rsid w:val="001141A8"/>
    <w:rsid w:val="00116348"/>
    <w:rsid w:val="0012091F"/>
    <w:rsid w:val="0012401F"/>
    <w:rsid w:val="001243CD"/>
    <w:rsid w:val="00126BC2"/>
    <w:rsid w:val="001300DF"/>
    <w:rsid w:val="00130408"/>
    <w:rsid w:val="001308B6"/>
    <w:rsid w:val="00130F56"/>
    <w:rsid w:val="0013121F"/>
    <w:rsid w:val="00131FE6"/>
    <w:rsid w:val="0013263F"/>
    <w:rsid w:val="001331DF"/>
    <w:rsid w:val="00134DE4"/>
    <w:rsid w:val="0013695A"/>
    <w:rsid w:val="0014034D"/>
    <w:rsid w:val="00140FE3"/>
    <w:rsid w:val="00144D16"/>
    <w:rsid w:val="00150E59"/>
    <w:rsid w:val="00152DE3"/>
    <w:rsid w:val="00156B64"/>
    <w:rsid w:val="0015755C"/>
    <w:rsid w:val="00160BF5"/>
    <w:rsid w:val="00164CF9"/>
    <w:rsid w:val="0016668E"/>
    <w:rsid w:val="001667A6"/>
    <w:rsid w:val="00175DD7"/>
    <w:rsid w:val="0018171E"/>
    <w:rsid w:val="00184AD6"/>
    <w:rsid w:val="00185E99"/>
    <w:rsid w:val="00186505"/>
    <w:rsid w:val="00186A2A"/>
    <w:rsid w:val="001958CF"/>
    <w:rsid w:val="001A2621"/>
    <w:rsid w:val="001A4AF7"/>
    <w:rsid w:val="001A60EA"/>
    <w:rsid w:val="001B0349"/>
    <w:rsid w:val="001B1E93"/>
    <w:rsid w:val="001B29A8"/>
    <w:rsid w:val="001B65C1"/>
    <w:rsid w:val="001B7DBA"/>
    <w:rsid w:val="001C050D"/>
    <w:rsid w:val="001C260F"/>
    <w:rsid w:val="001C3867"/>
    <w:rsid w:val="001C5C3A"/>
    <w:rsid w:val="001C63F4"/>
    <w:rsid w:val="001C684B"/>
    <w:rsid w:val="001D0CFB"/>
    <w:rsid w:val="001D2075"/>
    <w:rsid w:val="001D21AF"/>
    <w:rsid w:val="001D2B32"/>
    <w:rsid w:val="001D382D"/>
    <w:rsid w:val="001D3D32"/>
    <w:rsid w:val="001D53FC"/>
    <w:rsid w:val="001E4F5C"/>
    <w:rsid w:val="001F1D78"/>
    <w:rsid w:val="001F24FD"/>
    <w:rsid w:val="001F429C"/>
    <w:rsid w:val="001F42A5"/>
    <w:rsid w:val="001F7B9D"/>
    <w:rsid w:val="00201C93"/>
    <w:rsid w:val="002022E8"/>
    <w:rsid w:val="00203044"/>
    <w:rsid w:val="00210640"/>
    <w:rsid w:val="002123E2"/>
    <w:rsid w:val="0022109D"/>
    <w:rsid w:val="002224B4"/>
    <w:rsid w:val="00224738"/>
    <w:rsid w:val="00225799"/>
    <w:rsid w:val="002279B8"/>
    <w:rsid w:val="00234EB4"/>
    <w:rsid w:val="0023577F"/>
    <w:rsid w:val="00237466"/>
    <w:rsid w:val="002447EF"/>
    <w:rsid w:val="00251550"/>
    <w:rsid w:val="00251E6C"/>
    <w:rsid w:val="00257C54"/>
    <w:rsid w:val="00261529"/>
    <w:rsid w:val="00263B05"/>
    <w:rsid w:val="00266222"/>
    <w:rsid w:val="002708FA"/>
    <w:rsid w:val="00271E66"/>
    <w:rsid w:val="0027221A"/>
    <w:rsid w:val="002736FB"/>
    <w:rsid w:val="00273759"/>
    <w:rsid w:val="002741A3"/>
    <w:rsid w:val="00275B61"/>
    <w:rsid w:val="00276BB4"/>
    <w:rsid w:val="00277C9F"/>
    <w:rsid w:val="00280FAF"/>
    <w:rsid w:val="00282656"/>
    <w:rsid w:val="00296B83"/>
    <w:rsid w:val="002B27CD"/>
    <w:rsid w:val="002B293D"/>
    <w:rsid w:val="002B4015"/>
    <w:rsid w:val="002B6897"/>
    <w:rsid w:val="002B78CE"/>
    <w:rsid w:val="002C0EFC"/>
    <w:rsid w:val="002C2FB6"/>
    <w:rsid w:val="002C64E4"/>
    <w:rsid w:val="002D0411"/>
    <w:rsid w:val="002D0D3D"/>
    <w:rsid w:val="002D42BD"/>
    <w:rsid w:val="002D5839"/>
    <w:rsid w:val="002E4C79"/>
    <w:rsid w:val="002E5FA7"/>
    <w:rsid w:val="002E6896"/>
    <w:rsid w:val="002E6CBD"/>
    <w:rsid w:val="002F218A"/>
    <w:rsid w:val="002F3309"/>
    <w:rsid w:val="002F5465"/>
    <w:rsid w:val="003008CE"/>
    <w:rsid w:val="003009B7"/>
    <w:rsid w:val="00300E56"/>
    <w:rsid w:val="0030152C"/>
    <w:rsid w:val="0030469C"/>
    <w:rsid w:val="00304CE8"/>
    <w:rsid w:val="00314504"/>
    <w:rsid w:val="00316B5A"/>
    <w:rsid w:val="00321178"/>
    <w:rsid w:val="00321CA6"/>
    <w:rsid w:val="00322BDF"/>
    <w:rsid w:val="00323763"/>
    <w:rsid w:val="0032377B"/>
    <w:rsid w:val="00323C5F"/>
    <w:rsid w:val="00331F32"/>
    <w:rsid w:val="00334C09"/>
    <w:rsid w:val="003547DF"/>
    <w:rsid w:val="00354AF7"/>
    <w:rsid w:val="003614F9"/>
    <w:rsid w:val="0036174A"/>
    <w:rsid w:val="0037177D"/>
    <w:rsid w:val="003723D4"/>
    <w:rsid w:val="00381905"/>
    <w:rsid w:val="003821F0"/>
    <w:rsid w:val="00384C39"/>
    <w:rsid w:val="00384CC8"/>
    <w:rsid w:val="003871FD"/>
    <w:rsid w:val="00391585"/>
    <w:rsid w:val="00391AD3"/>
    <w:rsid w:val="003965F4"/>
    <w:rsid w:val="00396E8A"/>
    <w:rsid w:val="003A09E0"/>
    <w:rsid w:val="003A1E30"/>
    <w:rsid w:val="003A2829"/>
    <w:rsid w:val="003A2BE2"/>
    <w:rsid w:val="003A42CC"/>
    <w:rsid w:val="003A6CE4"/>
    <w:rsid w:val="003A7D1C"/>
    <w:rsid w:val="003B0DFC"/>
    <w:rsid w:val="003B304B"/>
    <w:rsid w:val="003B3146"/>
    <w:rsid w:val="003B382D"/>
    <w:rsid w:val="003B49CD"/>
    <w:rsid w:val="003C23DD"/>
    <w:rsid w:val="003C3E84"/>
    <w:rsid w:val="003C566E"/>
    <w:rsid w:val="003C7F62"/>
    <w:rsid w:val="003D177E"/>
    <w:rsid w:val="003D1E02"/>
    <w:rsid w:val="003E4665"/>
    <w:rsid w:val="003E71D8"/>
    <w:rsid w:val="003F015E"/>
    <w:rsid w:val="003F060D"/>
    <w:rsid w:val="003F2628"/>
    <w:rsid w:val="003F38BC"/>
    <w:rsid w:val="003F5F3C"/>
    <w:rsid w:val="00400414"/>
    <w:rsid w:val="00403355"/>
    <w:rsid w:val="004125A5"/>
    <w:rsid w:val="0041446B"/>
    <w:rsid w:val="00430CE5"/>
    <w:rsid w:val="0043225B"/>
    <w:rsid w:val="00432A36"/>
    <w:rsid w:val="00433112"/>
    <w:rsid w:val="0044071E"/>
    <w:rsid w:val="0044329C"/>
    <w:rsid w:val="00444A05"/>
    <w:rsid w:val="0044604F"/>
    <w:rsid w:val="00452D8D"/>
    <w:rsid w:val="004535BA"/>
    <w:rsid w:val="00453CB6"/>
    <w:rsid w:val="00453E24"/>
    <w:rsid w:val="00455F83"/>
    <w:rsid w:val="00457456"/>
    <w:rsid w:val="004577FE"/>
    <w:rsid w:val="00457B9C"/>
    <w:rsid w:val="00460CA4"/>
    <w:rsid w:val="0046164A"/>
    <w:rsid w:val="004628D2"/>
    <w:rsid w:val="00462DCD"/>
    <w:rsid w:val="004648AD"/>
    <w:rsid w:val="004703A9"/>
    <w:rsid w:val="00471919"/>
    <w:rsid w:val="004760DE"/>
    <w:rsid w:val="004763D7"/>
    <w:rsid w:val="00485D61"/>
    <w:rsid w:val="00497B1F"/>
    <w:rsid w:val="004A004E"/>
    <w:rsid w:val="004A24CF"/>
    <w:rsid w:val="004A338D"/>
    <w:rsid w:val="004A36B4"/>
    <w:rsid w:val="004B2017"/>
    <w:rsid w:val="004B7BFA"/>
    <w:rsid w:val="004C3D1D"/>
    <w:rsid w:val="004C3D84"/>
    <w:rsid w:val="004C6C92"/>
    <w:rsid w:val="004C7913"/>
    <w:rsid w:val="004D620C"/>
    <w:rsid w:val="004D6DA7"/>
    <w:rsid w:val="004E15B0"/>
    <w:rsid w:val="004E18EA"/>
    <w:rsid w:val="004E4DD6"/>
    <w:rsid w:val="004F27FF"/>
    <w:rsid w:val="004F5E36"/>
    <w:rsid w:val="00504404"/>
    <w:rsid w:val="00504C52"/>
    <w:rsid w:val="00505B83"/>
    <w:rsid w:val="00507B47"/>
    <w:rsid w:val="00507BEF"/>
    <w:rsid w:val="00507CC9"/>
    <w:rsid w:val="005119A5"/>
    <w:rsid w:val="00516899"/>
    <w:rsid w:val="00521FDF"/>
    <w:rsid w:val="005268A8"/>
    <w:rsid w:val="005278B7"/>
    <w:rsid w:val="00532016"/>
    <w:rsid w:val="005346C8"/>
    <w:rsid w:val="00535A51"/>
    <w:rsid w:val="0054329D"/>
    <w:rsid w:val="00543E7D"/>
    <w:rsid w:val="00547A68"/>
    <w:rsid w:val="005520E9"/>
    <w:rsid w:val="005531C9"/>
    <w:rsid w:val="00554879"/>
    <w:rsid w:val="005554FF"/>
    <w:rsid w:val="00557BCD"/>
    <w:rsid w:val="0056236D"/>
    <w:rsid w:val="00563F26"/>
    <w:rsid w:val="0056756C"/>
    <w:rsid w:val="00570C43"/>
    <w:rsid w:val="0057410C"/>
    <w:rsid w:val="0058386B"/>
    <w:rsid w:val="00587324"/>
    <w:rsid w:val="00592274"/>
    <w:rsid w:val="00593A5D"/>
    <w:rsid w:val="005961A1"/>
    <w:rsid w:val="005A01C2"/>
    <w:rsid w:val="005A1357"/>
    <w:rsid w:val="005A4C11"/>
    <w:rsid w:val="005A51A6"/>
    <w:rsid w:val="005A5218"/>
    <w:rsid w:val="005B2110"/>
    <w:rsid w:val="005B350B"/>
    <w:rsid w:val="005B36FB"/>
    <w:rsid w:val="005B61E6"/>
    <w:rsid w:val="005C2BE5"/>
    <w:rsid w:val="005C49DB"/>
    <w:rsid w:val="005C6960"/>
    <w:rsid w:val="005C6C36"/>
    <w:rsid w:val="005C77E1"/>
    <w:rsid w:val="005D38C7"/>
    <w:rsid w:val="005D3A7B"/>
    <w:rsid w:val="005D53B4"/>
    <w:rsid w:val="005D62C0"/>
    <w:rsid w:val="005D668A"/>
    <w:rsid w:val="005D6A2F"/>
    <w:rsid w:val="005D795D"/>
    <w:rsid w:val="005E0592"/>
    <w:rsid w:val="005E1A82"/>
    <w:rsid w:val="005E3F85"/>
    <w:rsid w:val="005E490B"/>
    <w:rsid w:val="005E5B34"/>
    <w:rsid w:val="005E794C"/>
    <w:rsid w:val="005F0A28"/>
    <w:rsid w:val="005F0C6E"/>
    <w:rsid w:val="005F0E5E"/>
    <w:rsid w:val="005F25B6"/>
    <w:rsid w:val="005F2ACE"/>
    <w:rsid w:val="005F4645"/>
    <w:rsid w:val="00600535"/>
    <w:rsid w:val="0060358C"/>
    <w:rsid w:val="00610CD6"/>
    <w:rsid w:val="00611317"/>
    <w:rsid w:val="00613A9F"/>
    <w:rsid w:val="00620028"/>
    <w:rsid w:val="00620942"/>
    <w:rsid w:val="00620A27"/>
    <w:rsid w:val="00620DEE"/>
    <w:rsid w:val="00621F92"/>
    <w:rsid w:val="0062280A"/>
    <w:rsid w:val="00622A62"/>
    <w:rsid w:val="006231E1"/>
    <w:rsid w:val="00625639"/>
    <w:rsid w:val="00626342"/>
    <w:rsid w:val="00631B33"/>
    <w:rsid w:val="006340AC"/>
    <w:rsid w:val="006355E4"/>
    <w:rsid w:val="0064141D"/>
    <w:rsid w:val="0064184D"/>
    <w:rsid w:val="006422CC"/>
    <w:rsid w:val="00647A33"/>
    <w:rsid w:val="00651D18"/>
    <w:rsid w:val="0065219F"/>
    <w:rsid w:val="00652420"/>
    <w:rsid w:val="00652765"/>
    <w:rsid w:val="00654631"/>
    <w:rsid w:val="006568CC"/>
    <w:rsid w:val="00660E3E"/>
    <w:rsid w:val="00662E74"/>
    <w:rsid w:val="00677029"/>
    <w:rsid w:val="006774BA"/>
    <w:rsid w:val="00680B89"/>
    <w:rsid w:val="00680C23"/>
    <w:rsid w:val="00683E23"/>
    <w:rsid w:val="00686DC9"/>
    <w:rsid w:val="00691414"/>
    <w:rsid w:val="00693766"/>
    <w:rsid w:val="00696D26"/>
    <w:rsid w:val="006A1AD7"/>
    <w:rsid w:val="006A3281"/>
    <w:rsid w:val="006A4BC7"/>
    <w:rsid w:val="006A5FD2"/>
    <w:rsid w:val="006A6DE5"/>
    <w:rsid w:val="006B291B"/>
    <w:rsid w:val="006B2B8F"/>
    <w:rsid w:val="006B4888"/>
    <w:rsid w:val="006B4C86"/>
    <w:rsid w:val="006B5DD5"/>
    <w:rsid w:val="006C22BE"/>
    <w:rsid w:val="006C2A6D"/>
    <w:rsid w:val="006C2E45"/>
    <w:rsid w:val="006C33C5"/>
    <w:rsid w:val="006C359C"/>
    <w:rsid w:val="006C516B"/>
    <w:rsid w:val="006C5579"/>
    <w:rsid w:val="006C5C44"/>
    <w:rsid w:val="006D4C88"/>
    <w:rsid w:val="006D4CFF"/>
    <w:rsid w:val="006D548B"/>
    <w:rsid w:val="006D5C1E"/>
    <w:rsid w:val="006D6E8B"/>
    <w:rsid w:val="006D7209"/>
    <w:rsid w:val="006E2928"/>
    <w:rsid w:val="006E604F"/>
    <w:rsid w:val="006E737D"/>
    <w:rsid w:val="006F11D0"/>
    <w:rsid w:val="006F2902"/>
    <w:rsid w:val="006F3B31"/>
    <w:rsid w:val="006F4C6F"/>
    <w:rsid w:val="006F4DA7"/>
    <w:rsid w:val="007002B5"/>
    <w:rsid w:val="00701CBA"/>
    <w:rsid w:val="007053AA"/>
    <w:rsid w:val="00707DD1"/>
    <w:rsid w:val="00713973"/>
    <w:rsid w:val="00720A24"/>
    <w:rsid w:val="00724269"/>
    <w:rsid w:val="00732386"/>
    <w:rsid w:val="0073514D"/>
    <w:rsid w:val="00736507"/>
    <w:rsid w:val="0074097A"/>
    <w:rsid w:val="00744090"/>
    <w:rsid w:val="007447F3"/>
    <w:rsid w:val="007472F2"/>
    <w:rsid w:val="00754116"/>
    <w:rsid w:val="0075499F"/>
    <w:rsid w:val="0075549C"/>
    <w:rsid w:val="007564A6"/>
    <w:rsid w:val="00756F74"/>
    <w:rsid w:val="0076031A"/>
    <w:rsid w:val="00760C7B"/>
    <w:rsid w:val="00761C3C"/>
    <w:rsid w:val="0076286A"/>
    <w:rsid w:val="00763DF6"/>
    <w:rsid w:val="007661C8"/>
    <w:rsid w:val="00766F73"/>
    <w:rsid w:val="0077098D"/>
    <w:rsid w:val="00775BC5"/>
    <w:rsid w:val="00776E6A"/>
    <w:rsid w:val="00777D3F"/>
    <w:rsid w:val="00785BF9"/>
    <w:rsid w:val="007931FA"/>
    <w:rsid w:val="007935ED"/>
    <w:rsid w:val="007A00DE"/>
    <w:rsid w:val="007A47B4"/>
    <w:rsid w:val="007A4861"/>
    <w:rsid w:val="007A7BBA"/>
    <w:rsid w:val="007B0C50"/>
    <w:rsid w:val="007B48F9"/>
    <w:rsid w:val="007B6CCB"/>
    <w:rsid w:val="007B7ACF"/>
    <w:rsid w:val="007C1A43"/>
    <w:rsid w:val="007C30F4"/>
    <w:rsid w:val="007C5737"/>
    <w:rsid w:val="007C6944"/>
    <w:rsid w:val="007D0951"/>
    <w:rsid w:val="007D16C0"/>
    <w:rsid w:val="007D2A88"/>
    <w:rsid w:val="007D610D"/>
    <w:rsid w:val="007E0574"/>
    <w:rsid w:val="007E05E2"/>
    <w:rsid w:val="007E36AC"/>
    <w:rsid w:val="007E4BB0"/>
    <w:rsid w:val="007F0F41"/>
    <w:rsid w:val="007F145E"/>
    <w:rsid w:val="007F3B4C"/>
    <w:rsid w:val="007F63A8"/>
    <w:rsid w:val="0080013E"/>
    <w:rsid w:val="008013F6"/>
    <w:rsid w:val="00801759"/>
    <w:rsid w:val="008035D4"/>
    <w:rsid w:val="00813288"/>
    <w:rsid w:val="00813F58"/>
    <w:rsid w:val="008168FC"/>
    <w:rsid w:val="00822A41"/>
    <w:rsid w:val="00823C33"/>
    <w:rsid w:val="00824CBC"/>
    <w:rsid w:val="00830996"/>
    <w:rsid w:val="00830A69"/>
    <w:rsid w:val="00831EFB"/>
    <w:rsid w:val="008345F1"/>
    <w:rsid w:val="00834C42"/>
    <w:rsid w:val="00842601"/>
    <w:rsid w:val="00851101"/>
    <w:rsid w:val="00865B07"/>
    <w:rsid w:val="008667EA"/>
    <w:rsid w:val="00871EA0"/>
    <w:rsid w:val="0087637F"/>
    <w:rsid w:val="008802A9"/>
    <w:rsid w:val="00885F01"/>
    <w:rsid w:val="00887943"/>
    <w:rsid w:val="00887B4F"/>
    <w:rsid w:val="00890816"/>
    <w:rsid w:val="0089153B"/>
    <w:rsid w:val="00892768"/>
    <w:rsid w:val="00892839"/>
    <w:rsid w:val="00892AD5"/>
    <w:rsid w:val="00893495"/>
    <w:rsid w:val="008937D8"/>
    <w:rsid w:val="0089561F"/>
    <w:rsid w:val="008A1512"/>
    <w:rsid w:val="008A5B6C"/>
    <w:rsid w:val="008B0C14"/>
    <w:rsid w:val="008B1F74"/>
    <w:rsid w:val="008B21AA"/>
    <w:rsid w:val="008B2ED7"/>
    <w:rsid w:val="008B4EC0"/>
    <w:rsid w:val="008C0553"/>
    <w:rsid w:val="008C103A"/>
    <w:rsid w:val="008C560A"/>
    <w:rsid w:val="008D0FF7"/>
    <w:rsid w:val="008D32B9"/>
    <w:rsid w:val="008D433B"/>
    <w:rsid w:val="008D4A16"/>
    <w:rsid w:val="008D4AE2"/>
    <w:rsid w:val="008D7241"/>
    <w:rsid w:val="008E5401"/>
    <w:rsid w:val="008E566E"/>
    <w:rsid w:val="008E65C7"/>
    <w:rsid w:val="008E75F6"/>
    <w:rsid w:val="0090050B"/>
    <w:rsid w:val="0090161A"/>
    <w:rsid w:val="00901EB6"/>
    <w:rsid w:val="009041F8"/>
    <w:rsid w:val="00904C62"/>
    <w:rsid w:val="0090633F"/>
    <w:rsid w:val="00906DD6"/>
    <w:rsid w:val="00910CF8"/>
    <w:rsid w:val="0091206B"/>
    <w:rsid w:val="009123E1"/>
    <w:rsid w:val="00914D49"/>
    <w:rsid w:val="00920CFC"/>
    <w:rsid w:val="00922BA8"/>
    <w:rsid w:val="00924DAC"/>
    <w:rsid w:val="00924F0F"/>
    <w:rsid w:val="00927058"/>
    <w:rsid w:val="0092715D"/>
    <w:rsid w:val="00942750"/>
    <w:rsid w:val="009444FE"/>
    <w:rsid w:val="009450CE"/>
    <w:rsid w:val="009459BB"/>
    <w:rsid w:val="00947179"/>
    <w:rsid w:val="0095164B"/>
    <w:rsid w:val="0095266E"/>
    <w:rsid w:val="00954090"/>
    <w:rsid w:val="009573E7"/>
    <w:rsid w:val="00957992"/>
    <w:rsid w:val="00960C82"/>
    <w:rsid w:val="0096362B"/>
    <w:rsid w:val="00963E05"/>
    <w:rsid w:val="00964A45"/>
    <w:rsid w:val="00965CFF"/>
    <w:rsid w:val="00965FC3"/>
    <w:rsid w:val="00967843"/>
    <w:rsid w:val="00967D54"/>
    <w:rsid w:val="00970BEF"/>
    <w:rsid w:val="00971028"/>
    <w:rsid w:val="00972CAF"/>
    <w:rsid w:val="0097633B"/>
    <w:rsid w:val="00977EA4"/>
    <w:rsid w:val="00984A05"/>
    <w:rsid w:val="0098647A"/>
    <w:rsid w:val="00987A71"/>
    <w:rsid w:val="00992581"/>
    <w:rsid w:val="00993B84"/>
    <w:rsid w:val="0099417E"/>
    <w:rsid w:val="00994C6A"/>
    <w:rsid w:val="00996483"/>
    <w:rsid w:val="009965A7"/>
    <w:rsid w:val="00996983"/>
    <w:rsid w:val="00996F5A"/>
    <w:rsid w:val="009A004B"/>
    <w:rsid w:val="009A0DE6"/>
    <w:rsid w:val="009A41E5"/>
    <w:rsid w:val="009A5769"/>
    <w:rsid w:val="009B041A"/>
    <w:rsid w:val="009B6E57"/>
    <w:rsid w:val="009C37C3"/>
    <w:rsid w:val="009C7C86"/>
    <w:rsid w:val="009D2FF7"/>
    <w:rsid w:val="009D47D3"/>
    <w:rsid w:val="009E2096"/>
    <w:rsid w:val="009E26E1"/>
    <w:rsid w:val="009E28AC"/>
    <w:rsid w:val="009E7884"/>
    <w:rsid w:val="009E788A"/>
    <w:rsid w:val="009F0E08"/>
    <w:rsid w:val="009F17D2"/>
    <w:rsid w:val="009F3080"/>
    <w:rsid w:val="00A04668"/>
    <w:rsid w:val="00A079AE"/>
    <w:rsid w:val="00A1763D"/>
    <w:rsid w:val="00A17CEC"/>
    <w:rsid w:val="00A224BC"/>
    <w:rsid w:val="00A27EC7"/>
    <w:rsid w:val="00A27EF0"/>
    <w:rsid w:val="00A30FB9"/>
    <w:rsid w:val="00A31A4D"/>
    <w:rsid w:val="00A349DC"/>
    <w:rsid w:val="00A40D89"/>
    <w:rsid w:val="00A42361"/>
    <w:rsid w:val="00A456EB"/>
    <w:rsid w:val="00A47FF3"/>
    <w:rsid w:val="00A50B20"/>
    <w:rsid w:val="00A51390"/>
    <w:rsid w:val="00A54F06"/>
    <w:rsid w:val="00A60D13"/>
    <w:rsid w:val="00A62E53"/>
    <w:rsid w:val="00A71AD6"/>
    <w:rsid w:val="00A7223D"/>
    <w:rsid w:val="00A72745"/>
    <w:rsid w:val="00A7528F"/>
    <w:rsid w:val="00A76EFC"/>
    <w:rsid w:val="00A800A0"/>
    <w:rsid w:val="00A81F8E"/>
    <w:rsid w:val="00A878EE"/>
    <w:rsid w:val="00A87D50"/>
    <w:rsid w:val="00A91010"/>
    <w:rsid w:val="00A91A90"/>
    <w:rsid w:val="00A9281B"/>
    <w:rsid w:val="00A94C7D"/>
    <w:rsid w:val="00A97F29"/>
    <w:rsid w:val="00AA0B24"/>
    <w:rsid w:val="00AA702E"/>
    <w:rsid w:val="00AA7D26"/>
    <w:rsid w:val="00AB0964"/>
    <w:rsid w:val="00AB1580"/>
    <w:rsid w:val="00AB455F"/>
    <w:rsid w:val="00AB5011"/>
    <w:rsid w:val="00AB5ED7"/>
    <w:rsid w:val="00AC30F2"/>
    <w:rsid w:val="00AC7368"/>
    <w:rsid w:val="00AC7729"/>
    <w:rsid w:val="00AD16B9"/>
    <w:rsid w:val="00AD50EA"/>
    <w:rsid w:val="00AD789B"/>
    <w:rsid w:val="00AE2DF7"/>
    <w:rsid w:val="00AE2FD6"/>
    <w:rsid w:val="00AE377D"/>
    <w:rsid w:val="00AF0EBA"/>
    <w:rsid w:val="00AF2463"/>
    <w:rsid w:val="00B02C8A"/>
    <w:rsid w:val="00B14433"/>
    <w:rsid w:val="00B17FBD"/>
    <w:rsid w:val="00B247B5"/>
    <w:rsid w:val="00B2486A"/>
    <w:rsid w:val="00B2521F"/>
    <w:rsid w:val="00B315A6"/>
    <w:rsid w:val="00B31813"/>
    <w:rsid w:val="00B324E4"/>
    <w:rsid w:val="00B33365"/>
    <w:rsid w:val="00B37DFE"/>
    <w:rsid w:val="00B42358"/>
    <w:rsid w:val="00B47876"/>
    <w:rsid w:val="00B50DDF"/>
    <w:rsid w:val="00B53B81"/>
    <w:rsid w:val="00B57B36"/>
    <w:rsid w:val="00B57E6F"/>
    <w:rsid w:val="00B64379"/>
    <w:rsid w:val="00B65318"/>
    <w:rsid w:val="00B660A8"/>
    <w:rsid w:val="00B66334"/>
    <w:rsid w:val="00B67E0F"/>
    <w:rsid w:val="00B7135C"/>
    <w:rsid w:val="00B735D1"/>
    <w:rsid w:val="00B749C4"/>
    <w:rsid w:val="00B80819"/>
    <w:rsid w:val="00B80E27"/>
    <w:rsid w:val="00B8144D"/>
    <w:rsid w:val="00B8686D"/>
    <w:rsid w:val="00B87A98"/>
    <w:rsid w:val="00B93F69"/>
    <w:rsid w:val="00BA7E76"/>
    <w:rsid w:val="00BB1DDC"/>
    <w:rsid w:val="00BC30C9"/>
    <w:rsid w:val="00BD077D"/>
    <w:rsid w:val="00BD3147"/>
    <w:rsid w:val="00BD5CC1"/>
    <w:rsid w:val="00BD7B9C"/>
    <w:rsid w:val="00BE0AD0"/>
    <w:rsid w:val="00BE12DB"/>
    <w:rsid w:val="00BE3182"/>
    <w:rsid w:val="00BE3E58"/>
    <w:rsid w:val="00BF13CE"/>
    <w:rsid w:val="00BF5293"/>
    <w:rsid w:val="00C01616"/>
    <w:rsid w:val="00C0162B"/>
    <w:rsid w:val="00C02171"/>
    <w:rsid w:val="00C03DB5"/>
    <w:rsid w:val="00C068ED"/>
    <w:rsid w:val="00C178D2"/>
    <w:rsid w:val="00C211FE"/>
    <w:rsid w:val="00C22E0C"/>
    <w:rsid w:val="00C30298"/>
    <w:rsid w:val="00C345B1"/>
    <w:rsid w:val="00C40142"/>
    <w:rsid w:val="00C41C2A"/>
    <w:rsid w:val="00C52C3C"/>
    <w:rsid w:val="00C53A92"/>
    <w:rsid w:val="00C56754"/>
    <w:rsid w:val="00C57182"/>
    <w:rsid w:val="00C57863"/>
    <w:rsid w:val="00C63618"/>
    <w:rsid w:val="00C640AF"/>
    <w:rsid w:val="00C6515A"/>
    <w:rsid w:val="00C655FD"/>
    <w:rsid w:val="00C75407"/>
    <w:rsid w:val="00C77948"/>
    <w:rsid w:val="00C779F0"/>
    <w:rsid w:val="00C841C6"/>
    <w:rsid w:val="00C8620D"/>
    <w:rsid w:val="00C86A74"/>
    <w:rsid w:val="00C870A8"/>
    <w:rsid w:val="00C94434"/>
    <w:rsid w:val="00C975ED"/>
    <w:rsid w:val="00CA0B00"/>
    <w:rsid w:val="00CA0D75"/>
    <w:rsid w:val="00CA1C95"/>
    <w:rsid w:val="00CA5A9C"/>
    <w:rsid w:val="00CB407D"/>
    <w:rsid w:val="00CB6C94"/>
    <w:rsid w:val="00CC3DF7"/>
    <w:rsid w:val="00CC4C20"/>
    <w:rsid w:val="00CC7DDE"/>
    <w:rsid w:val="00CD091F"/>
    <w:rsid w:val="00CD3517"/>
    <w:rsid w:val="00CD4A71"/>
    <w:rsid w:val="00CD5FE2"/>
    <w:rsid w:val="00CE25AC"/>
    <w:rsid w:val="00CE309F"/>
    <w:rsid w:val="00CE7C68"/>
    <w:rsid w:val="00CF10E7"/>
    <w:rsid w:val="00CF46AE"/>
    <w:rsid w:val="00D02B4C"/>
    <w:rsid w:val="00D040C4"/>
    <w:rsid w:val="00D07767"/>
    <w:rsid w:val="00D13367"/>
    <w:rsid w:val="00D1345F"/>
    <w:rsid w:val="00D13FBA"/>
    <w:rsid w:val="00D16D6E"/>
    <w:rsid w:val="00D20AD1"/>
    <w:rsid w:val="00D22C75"/>
    <w:rsid w:val="00D2582C"/>
    <w:rsid w:val="00D30252"/>
    <w:rsid w:val="00D349B4"/>
    <w:rsid w:val="00D40552"/>
    <w:rsid w:val="00D46B7E"/>
    <w:rsid w:val="00D47DEC"/>
    <w:rsid w:val="00D510FE"/>
    <w:rsid w:val="00D54B58"/>
    <w:rsid w:val="00D57C84"/>
    <w:rsid w:val="00D6057D"/>
    <w:rsid w:val="00D65614"/>
    <w:rsid w:val="00D71640"/>
    <w:rsid w:val="00D82893"/>
    <w:rsid w:val="00D836C5"/>
    <w:rsid w:val="00D84576"/>
    <w:rsid w:val="00D85D97"/>
    <w:rsid w:val="00D9069A"/>
    <w:rsid w:val="00D90D54"/>
    <w:rsid w:val="00D9444A"/>
    <w:rsid w:val="00D94994"/>
    <w:rsid w:val="00DA1399"/>
    <w:rsid w:val="00DA1655"/>
    <w:rsid w:val="00DA24C6"/>
    <w:rsid w:val="00DA4789"/>
    <w:rsid w:val="00DA4D7B"/>
    <w:rsid w:val="00DB0716"/>
    <w:rsid w:val="00DB3B71"/>
    <w:rsid w:val="00DC2840"/>
    <w:rsid w:val="00DC73EE"/>
    <w:rsid w:val="00DC7ABE"/>
    <w:rsid w:val="00DC7FFE"/>
    <w:rsid w:val="00DD271C"/>
    <w:rsid w:val="00DE1C4C"/>
    <w:rsid w:val="00DE264A"/>
    <w:rsid w:val="00DE623F"/>
    <w:rsid w:val="00DE6F52"/>
    <w:rsid w:val="00DF4C11"/>
    <w:rsid w:val="00DF5072"/>
    <w:rsid w:val="00E01048"/>
    <w:rsid w:val="00E015BF"/>
    <w:rsid w:val="00E02D18"/>
    <w:rsid w:val="00E041E7"/>
    <w:rsid w:val="00E20C32"/>
    <w:rsid w:val="00E23CA1"/>
    <w:rsid w:val="00E247A7"/>
    <w:rsid w:val="00E25728"/>
    <w:rsid w:val="00E32CAA"/>
    <w:rsid w:val="00E36B26"/>
    <w:rsid w:val="00E37FB5"/>
    <w:rsid w:val="00E409A8"/>
    <w:rsid w:val="00E42498"/>
    <w:rsid w:val="00E44E63"/>
    <w:rsid w:val="00E50C12"/>
    <w:rsid w:val="00E6137B"/>
    <w:rsid w:val="00E61F64"/>
    <w:rsid w:val="00E624DF"/>
    <w:rsid w:val="00E630D3"/>
    <w:rsid w:val="00E65B91"/>
    <w:rsid w:val="00E709D5"/>
    <w:rsid w:val="00E7209D"/>
    <w:rsid w:val="00E72EAD"/>
    <w:rsid w:val="00E77223"/>
    <w:rsid w:val="00E807C8"/>
    <w:rsid w:val="00E841F6"/>
    <w:rsid w:val="00E8528B"/>
    <w:rsid w:val="00E85B94"/>
    <w:rsid w:val="00E910CB"/>
    <w:rsid w:val="00E9293C"/>
    <w:rsid w:val="00E978D0"/>
    <w:rsid w:val="00EA2B18"/>
    <w:rsid w:val="00EA4613"/>
    <w:rsid w:val="00EA7F91"/>
    <w:rsid w:val="00EB01D9"/>
    <w:rsid w:val="00EB1523"/>
    <w:rsid w:val="00EB3892"/>
    <w:rsid w:val="00EB4F03"/>
    <w:rsid w:val="00EC0E49"/>
    <w:rsid w:val="00EC101F"/>
    <w:rsid w:val="00EC1D9F"/>
    <w:rsid w:val="00ED16FA"/>
    <w:rsid w:val="00ED6B30"/>
    <w:rsid w:val="00EE0131"/>
    <w:rsid w:val="00EE17B0"/>
    <w:rsid w:val="00EE35B3"/>
    <w:rsid w:val="00EF06D9"/>
    <w:rsid w:val="00EF5DFD"/>
    <w:rsid w:val="00F02A54"/>
    <w:rsid w:val="00F04E46"/>
    <w:rsid w:val="00F06D71"/>
    <w:rsid w:val="00F075F9"/>
    <w:rsid w:val="00F132EB"/>
    <w:rsid w:val="00F145F7"/>
    <w:rsid w:val="00F17F55"/>
    <w:rsid w:val="00F3049E"/>
    <w:rsid w:val="00F30C64"/>
    <w:rsid w:val="00F32BA2"/>
    <w:rsid w:val="00F32CDB"/>
    <w:rsid w:val="00F34918"/>
    <w:rsid w:val="00F35070"/>
    <w:rsid w:val="00F4089B"/>
    <w:rsid w:val="00F41EE4"/>
    <w:rsid w:val="00F44081"/>
    <w:rsid w:val="00F52282"/>
    <w:rsid w:val="00F529A2"/>
    <w:rsid w:val="00F565FE"/>
    <w:rsid w:val="00F574EE"/>
    <w:rsid w:val="00F609B8"/>
    <w:rsid w:val="00F63A70"/>
    <w:rsid w:val="00F63D8C"/>
    <w:rsid w:val="00F65507"/>
    <w:rsid w:val="00F71BF4"/>
    <w:rsid w:val="00F7534E"/>
    <w:rsid w:val="00F753E2"/>
    <w:rsid w:val="00F82F19"/>
    <w:rsid w:val="00F919B3"/>
    <w:rsid w:val="00F93EDF"/>
    <w:rsid w:val="00F9553C"/>
    <w:rsid w:val="00F955BC"/>
    <w:rsid w:val="00F95BCE"/>
    <w:rsid w:val="00FA0A00"/>
    <w:rsid w:val="00FA1802"/>
    <w:rsid w:val="00FA1892"/>
    <w:rsid w:val="00FA21D0"/>
    <w:rsid w:val="00FA5F5F"/>
    <w:rsid w:val="00FB346F"/>
    <w:rsid w:val="00FB43B0"/>
    <w:rsid w:val="00FB4654"/>
    <w:rsid w:val="00FB7309"/>
    <w:rsid w:val="00FB730C"/>
    <w:rsid w:val="00FB7A2E"/>
    <w:rsid w:val="00FC12F8"/>
    <w:rsid w:val="00FC1763"/>
    <w:rsid w:val="00FC19D4"/>
    <w:rsid w:val="00FC2695"/>
    <w:rsid w:val="00FC3E03"/>
    <w:rsid w:val="00FC3FC1"/>
    <w:rsid w:val="00FD2ED7"/>
    <w:rsid w:val="00FD78CD"/>
    <w:rsid w:val="00FE3F0F"/>
    <w:rsid w:val="00FE4220"/>
    <w:rsid w:val="00FE6F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F060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F060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EndNoteBibliographyTitle">
    <w:name w:val="EndNote Bibliography Title"/>
    <w:basedOn w:val="Normale"/>
    <w:link w:val="EndNoteBibliographyTitleChar"/>
    <w:rsid w:val="00696D26"/>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696D26"/>
    <w:rPr>
      <w:rFonts w:ascii="Arial" w:eastAsia="Times New Roman" w:hAnsi="Arial" w:cs="Arial"/>
      <w:noProof/>
      <w:sz w:val="20"/>
      <w:szCs w:val="20"/>
      <w:lang w:val="en-US"/>
    </w:rPr>
  </w:style>
  <w:style w:type="paragraph" w:customStyle="1" w:styleId="EndNoteBibliography">
    <w:name w:val="EndNote Bibliography"/>
    <w:basedOn w:val="Normale"/>
    <w:link w:val="EndNoteBibliographyChar"/>
    <w:rsid w:val="00696D26"/>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696D26"/>
    <w:rPr>
      <w:rFonts w:ascii="Arial" w:eastAsia="Times New Roman" w:hAnsi="Arial" w:cs="Arial"/>
      <w:noProof/>
      <w:sz w:val="20"/>
      <w:szCs w:val="20"/>
      <w:lang w:val="en-US"/>
    </w:rPr>
  </w:style>
  <w:style w:type="character" w:styleId="Menzionenonrisolta">
    <w:name w:val="Unresolved Mention"/>
    <w:basedOn w:val="Carpredefinitoparagrafo"/>
    <w:uiPriority w:val="99"/>
    <w:semiHidden/>
    <w:unhideWhenUsed/>
    <w:rsid w:val="00AB5ED7"/>
    <w:rPr>
      <w:color w:val="605E5C"/>
      <w:shd w:val="clear" w:color="auto" w:fill="E1DFDD"/>
    </w:rPr>
  </w:style>
  <w:style w:type="character" w:styleId="Testosegnaposto">
    <w:name w:val="Placeholder Text"/>
    <w:basedOn w:val="Carpredefinitoparagrafo"/>
    <w:uiPriority w:val="99"/>
    <w:semiHidden/>
    <w:rsid w:val="00076B35"/>
    <w:rPr>
      <w:color w:val="666666"/>
    </w:rPr>
  </w:style>
  <w:style w:type="character" w:styleId="Collegamentovisitato">
    <w:name w:val="FollowedHyperlink"/>
    <w:basedOn w:val="Carpredefinitoparagrafo"/>
    <w:uiPriority w:val="99"/>
    <w:semiHidden/>
    <w:unhideWhenUsed/>
    <w:rsid w:val="006C5C44"/>
    <w:rPr>
      <w:color w:val="800080" w:themeColor="followedHyperlink"/>
      <w:u w:val="single"/>
    </w:rPr>
  </w:style>
  <w:style w:type="paragraph" w:customStyle="1" w:styleId="EndNoteCategoryHeading">
    <w:name w:val="EndNote Category Heading"/>
    <w:basedOn w:val="Normale"/>
    <w:link w:val="EndNoteCategoryHeadingChar"/>
    <w:rsid w:val="00B37DFE"/>
    <w:pPr>
      <w:spacing w:before="120" w:after="120"/>
      <w:jc w:val="left"/>
    </w:pPr>
    <w:rPr>
      <w:b/>
      <w:noProof/>
      <w:lang w:val="en-US"/>
    </w:rPr>
  </w:style>
  <w:style w:type="character" w:customStyle="1" w:styleId="EndNoteCategoryHeadingChar">
    <w:name w:val="EndNote Category Heading Char"/>
    <w:basedOn w:val="CETBodytextCarattere"/>
    <w:link w:val="EndNoteCategoryHeading"/>
    <w:rsid w:val="00B37DFE"/>
    <w:rPr>
      <w:rFonts w:ascii="Arial" w:eastAsia="Times New Roman" w:hAnsi="Arial" w:cs="Times New Roman"/>
      <w:b/>
      <w:noProof/>
      <w:sz w:val="18"/>
      <w:szCs w:val="20"/>
      <w:lang w:val="en-US"/>
    </w:rPr>
  </w:style>
  <w:style w:type="paragraph" w:styleId="Revisione">
    <w:name w:val="Revision"/>
    <w:hidden/>
    <w:uiPriority w:val="99"/>
    <w:semiHidden/>
    <w:rsid w:val="005C6C3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937">
      <w:bodyDiv w:val="1"/>
      <w:marLeft w:val="0"/>
      <w:marRight w:val="0"/>
      <w:marTop w:val="0"/>
      <w:marBottom w:val="0"/>
      <w:divBdr>
        <w:top w:val="none" w:sz="0" w:space="0" w:color="auto"/>
        <w:left w:val="none" w:sz="0" w:space="0" w:color="auto"/>
        <w:bottom w:val="none" w:sz="0" w:space="0" w:color="auto"/>
        <w:right w:val="none" w:sz="0" w:space="0" w:color="auto"/>
      </w:divBdr>
    </w:div>
    <w:div w:id="243607292">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69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2380097">
      <w:bodyDiv w:val="1"/>
      <w:marLeft w:val="0"/>
      <w:marRight w:val="0"/>
      <w:marTop w:val="0"/>
      <w:marBottom w:val="0"/>
      <w:divBdr>
        <w:top w:val="none" w:sz="0" w:space="0" w:color="auto"/>
        <w:left w:val="none" w:sz="0" w:space="0" w:color="auto"/>
        <w:bottom w:val="none" w:sz="0" w:space="0" w:color="auto"/>
        <w:right w:val="none" w:sz="0" w:space="0" w:color="auto"/>
      </w:divBdr>
    </w:div>
    <w:div w:id="146974078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27118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41133813">
      <w:bodyDiv w:val="1"/>
      <w:marLeft w:val="0"/>
      <w:marRight w:val="0"/>
      <w:marTop w:val="0"/>
      <w:marBottom w:val="0"/>
      <w:divBdr>
        <w:top w:val="none" w:sz="0" w:space="0" w:color="auto"/>
        <w:left w:val="none" w:sz="0" w:space="0" w:color="auto"/>
        <w:bottom w:val="none" w:sz="0" w:space="0" w:color="auto"/>
        <w:right w:val="none" w:sz="0" w:space="0" w:color="auto"/>
      </w:divBdr>
    </w:div>
    <w:div w:id="2006467040">
      <w:bodyDiv w:val="1"/>
      <w:marLeft w:val="0"/>
      <w:marRight w:val="0"/>
      <w:marTop w:val="0"/>
      <w:marBottom w:val="0"/>
      <w:divBdr>
        <w:top w:val="none" w:sz="0" w:space="0" w:color="auto"/>
        <w:left w:val="none" w:sz="0" w:space="0" w:color="auto"/>
        <w:bottom w:val="none" w:sz="0" w:space="0" w:color="auto"/>
        <w:right w:val="none" w:sz="0" w:space="0" w:color="auto"/>
      </w:divBdr>
    </w:div>
    <w:div w:id="207901057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2A03-4B54-4AE8-9862-CE4C7476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6</Pages>
  <Words>9062</Words>
  <Characters>51655</Characters>
  <Application>Microsoft Office Word</Application>
  <DocSecurity>0</DocSecurity>
  <Lines>430</Lines>
  <Paragraphs>121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GASP</cp:lastModifiedBy>
  <cp:revision>124</cp:revision>
  <cp:lastPrinted>2015-05-12T18:31:00Z</cp:lastPrinted>
  <dcterms:created xsi:type="dcterms:W3CDTF">2024-11-15T10:51:00Z</dcterms:created>
  <dcterms:modified xsi:type="dcterms:W3CDTF">2025-02-07T17:06:00Z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