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45981">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45981">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45981">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7532D947" w14:textId="1A07F1D7" w:rsidR="00845981" w:rsidRPr="00845981" w:rsidRDefault="00845981" w:rsidP="00845981">
      <w:pPr>
        <w:pStyle w:val="CETTitle"/>
      </w:pPr>
      <w:r w:rsidRPr="00845981">
        <w:t xml:space="preserve">Quality Enhancement of a Sewage Sludge Derived Biocrude Under Hydrothermal Conditions: an Explorative Study Using Zero-valent Metals as </w:t>
      </w:r>
      <w:r>
        <w:t>Hydrogen Generators</w:t>
      </w:r>
    </w:p>
    <w:p w14:paraId="45FAAA33" w14:textId="4CD60262" w:rsidR="00845981" w:rsidRPr="00845981" w:rsidRDefault="00845981" w:rsidP="00B57E6F">
      <w:pPr>
        <w:pStyle w:val="CETAuthors"/>
        <w:rPr>
          <w:lang w:val="it-IT"/>
        </w:rPr>
      </w:pPr>
      <w:r w:rsidRPr="00845981">
        <w:rPr>
          <w:lang w:val="it-IT"/>
        </w:rPr>
        <w:t>Alessandro Amadei</w:t>
      </w:r>
      <w:r w:rsidRPr="00845981">
        <w:rPr>
          <w:vertAlign w:val="superscript"/>
          <w:lang w:val="it-IT"/>
        </w:rPr>
        <w:t>a,</w:t>
      </w:r>
      <w:r w:rsidRPr="00845981">
        <w:rPr>
          <w:lang w:val="it-IT"/>
        </w:rPr>
        <w:t>*, Riccardo Tuffi</w:t>
      </w:r>
      <w:r w:rsidRPr="00845981">
        <w:rPr>
          <w:vertAlign w:val="superscript"/>
          <w:lang w:val="it-IT"/>
        </w:rPr>
        <w:t>b</w:t>
      </w:r>
      <w:r w:rsidRPr="00845981">
        <w:rPr>
          <w:lang w:val="it-IT"/>
        </w:rPr>
        <w:t>, D</w:t>
      </w:r>
      <w:r>
        <w:rPr>
          <w:lang w:val="it-IT"/>
        </w:rPr>
        <w:t>oina De Angelis</w:t>
      </w:r>
      <w:r w:rsidRPr="00845981">
        <w:rPr>
          <w:vertAlign w:val="superscript"/>
          <w:lang w:val="it-IT"/>
        </w:rPr>
        <w:t>b</w:t>
      </w:r>
      <w:r>
        <w:rPr>
          <w:lang w:val="it-IT"/>
        </w:rPr>
        <w:t>, Benedetta de Caprariis</w:t>
      </w:r>
      <w:r w:rsidRPr="00845981">
        <w:rPr>
          <w:vertAlign w:val="superscript"/>
          <w:lang w:val="it-IT"/>
        </w:rPr>
        <w:t>a</w:t>
      </w:r>
      <w:r>
        <w:rPr>
          <w:lang w:val="it-IT"/>
        </w:rPr>
        <w:t>,</w:t>
      </w:r>
      <w:r w:rsidR="00166A6D">
        <w:rPr>
          <w:lang w:val="it-IT"/>
        </w:rPr>
        <w:t xml:space="preserve"> Martina Damizia</w:t>
      </w:r>
      <w:r w:rsidR="00166A6D" w:rsidRPr="00166A6D">
        <w:rPr>
          <w:vertAlign w:val="superscript"/>
          <w:lang w:val="it-IT"/>
        </w:rPr>
        <w:t>a</w:t>
      </w:r>
      <w:r w:rsidR="00166A6D">
        <w:rPr>
          <w:lang w:val="it-IT"/>
        </w:rPr>
        <w:t>,</w:t>
      </w:r>
      <w:r>
        <w:rPr>
          <w:lang w:val="it-IT"/>
        </w:rPr>
        <w:t xml:space="preserve"> </w:t>
      </w:r>
      <w:r w:rsidR="00C72F38">
        <w:rPr>
          <w:lang w:val="it-IT"/>
        </w:rPr>
        <w:t>Paolo De Filippis</w:t>
      </w:r>
      <w:r w:rsidR="00C72F38" w:rsidRPr="00C72F38">
        <w:rPr>
          <w:vertAlign w:val="superscript"/>
          <w:lang w:val="it-IT"/>
        </w:rPr>
        <w:t>a</w:t>
      </w:r>
      <w:r w:rsidR="00C72F38">
        <w:rPr>
          <w:lang w:val="it-IT"/>
        </w:rPr>
        <w:t xml:space="preserve">, </w:t>
      </w:r>
      <w:r>
        <w:rPr>
          <w:lang w:val="it-IT"/>
        </w:rPr>
        <w:t>Marco Scarsella</w:t>
      </w:r>
      <w:r w:rsidRPr="00845981">
        <w:rPr>
          <w:vertAlign w:val="superscript"/>
          <w:lang w:val="it-IT"/>
        </w:rPr>
        <w:t>a</w:t>
      </w:r>
    </w:p>
    <w:p w14:paraId="6B2D21B3" w14:textId="414C6297" w:rsidR="00B57E6F" w:rsidRPr="00845981" w:rsidRDefault="00B57E6F" w:rsidP="00B57E6F">
      <w:pPr>
        <w:pStyle w:val="CETAddress"/>
        <w:rPr>
          <w:lang w:val="it-IT"/>
        </w:rPr>
      </w:pPr>
      <w:r w:rsidRPr="00845981">
        <w:rPr>
          <w:vertAlign w:val="superscript"/>
          <w:lang w:val="it-IT"/>
        </w:rPr>
        <w:t>a</w:t>
      </w:r>
      <w:r w:rsidR="00845981" w:rsidRPr="00845981">
        <w:rPr>
          <w:lang w:val="it-IT"/>
        </w:rPr>
        <w:t xml:space="preserve"> Università di Roma La Sapienza, Via Eudossiana, 18, 00184, Rom</w:t>
      </w:r>
      <w:r w:rsidR="00845981">
        <w:rPr>
          <w:lang w:val="it-IT"/>
        </w:rPr>
        <w:t>a, Italia</w:t>
      </w:r>
      <w:r w:rsidRPr="00845981">
        <w:rPr>
          <w:lang w:val="it-IT"/>
        </w:rPr>
        <w:t xml:space="preserve"> </w:t>
      </w:r>
    </w:p>
    <w:p w14:paraId="3D72B0B0" w14:textId="6FEC21BA" w:rsidR="00B57E6F" w:rsidRPr="000052BC" w:rsidRDefault="00B57E6F" w:rsidP="00B57E6F">
      <w:pPr>
        <w:pStyle w:val="CETAddress"/>
      </w:pPr>
      <w:r w:rsidRPr="000052BC">
        <w:rPr>
          <w:vertAlign w:val="superscript"/>
        </w:rPr>
        <w:t>b</w:t>
      </w:r>
      <w:r w:rsidR="00845981" w:rsidRPr="000052BC">
        <w:t xml:space="preserve"> </w:t>
      </w:r>
      <w:r w:rsidR="00F43548" w:rsidRPr="000052BC">
        <w:t>Department for Sustainability, ENEA, Casaccia Research Center, Via Anguillarese 301, S. Maria di Galeria, 00123 Rome, Italy</w:t>
      </w:r>
    </w:p>
    <w:p w14:paraId="73F1267A" w14:textId="3AF8D490" w:rsidR="00B57E6F" w:rsidRPr="000052BC" w:rsidRDefault="00845981" w:rsidP="00B57E6F">
      <w:pPr>
        <w:pStyle w:val="CETemail"/>
      </w:pPr>
      <w:r w:rsidRPr="000052BC">
        <w:t>alessandro.amadei@uniroma1.it</w:t>
      </w:r>
    </w:p>
    <w:p w14:paraId="5EAE8A70" w14:textId="4BDA65BB" w:rsidR="006A27D1" w:rsidRDefault="00E2742F" w:rsidP="006703B4">
      <w:pPr>
        <w:pStyle w:val="CETBodytext"/>
        <w:rPr>
          <w:lang w:val="en-GB"/>
        </w:rPr>
      </w:pPr>
      <w:r>
        <w:rPr>
          <w:lang w:val="en-GB"/>
        </w:rPr>
        <w:t>Hydrothermal liquefaction (HTL</w:t>
      </w:r>
      <w:r w:rsidR="00E833D7">
        <w:rPr>
          <w:lang w:val="en-GB"/>
        </w:rPr>
        <w:t>)</w:t>
      </w:r>
      <w:r w:rsidR="00B30E8B" w:rsidRPr="00B30E8B">
        <w:rPr>
          <w:lang w:val="en-GB"/>
        </w:rPr>
        <w:t xml:space="preserve"> is one of the most suitable processes for the thermochemical conversion of moist biomass to produce liquid biofuel precursor</w:t>
      </w:r>
      <w:r>
        <w:rPr>
          <w:lang w:val="en-GB"/>
        </w:rPr>
        <w:t xml:space="preserve">s. </w:t>
      </w:r>
      <w:r w:rsidR="00B30E8B" w:rsidRPr="00B30E8B">
        <w:rPr>
          <w:lang w:val="en-GB"/>
        </w:rPr>
        <w:t>Despite its potential, this technology is still not mature enough to be extensively applied, mainly due to the inadequate quality of the obtained biocrude</w:t>
      </w:r>
      <w:r w:rsidR="00E833D7">
        <w:rPr>
          <w:lang w:val="en-GB"/>
        </w:rPr>
        <w:t>.</w:t>
      </w:r>
      <w:r w:rsidR="00E833D7" w:rsidRPr="00E833D7">
        <w:rPr>
          <w:lang w:val="en-GB"/>
        </w:rPr>
        <w:t xml:space="preserve"> </w:t>
      </w:r>
      <w:r w:rsidR="00E833D7">
        <w:rPr>
          <w:lang w:val="en-GB"/>
        </w:rPr>
        <w:t>Its high viscosity and the excessive presence of heteroatoms as nitrogen and oxygen strongly hinders the application of HTL biocrude as drop in fuel, leading to the necessity of a downstream upgrading process.</w:t>
      </w:r>
      <w:r w:rsidR="00405189">
        <w:rPr>
          <w:lang w:val="en-GB"/>
        </w:rPr>
        <w:t xml:space="preserve"> Conventional upgrading methods often require harsh conditions and significant </w:t>
      </w:r>
      <w:r w:rsidR="00E833D7">
        <w:rPr>
          <w:lang w:val="en-GB"/>
        </w:rPr>
        <w:t xml:space="preserve">consume of </w:t>
      </w:r>
      <w:r w:rsidR="00405189">
        <w:rPr>
          <w:lang w:val="en-GB"/>
        </w:rPr>
        <w:t xml:space="preserve">hydrogen, </w:t>
      </w:r>
      <w:r w:rsidR="00E833D7">
        <w:rPr>
          <w:lang w:val="en-GB"/>
        </w:rPr>
        <w:t>which reduce</w:t>
      </w:r>
      <w:r w:rsidR="00405189">
        <w:rPr>
          <w:lang w:val="en-GB"/>
        </w:rPr>
        <w:t xml:space="preserve"> the overall sustainability of the process.</w:t>
      </w:r>
      <w:r w:rsidR="00C04F17">
        <w:rPr>
          <w:lang w:val="en-GB"/>
        </w:rPr>
        <w:t xml:space="preserve"> </w:t>
      </w:r>
      <w:r w:rsidR="00D2693D">
        <w:rPr>
          <w:lang w:val="en-GB"/>
        </w:rPr>
        <w:t xml:space="preserve">This </w:t>
      </w:r>
      <w:r w:rsidR="00405189">
        <w:rPr>
          <w:lang w:val="en-GB"/>
        </w:rPr>
        <w:t xml:space="preserve">study </w:t>
      </w:r>
      <w:r w:rsidR="00E833D7">
        <w:rPr>
          <w:lang w:val="en-GB"/>
        </w:rPr>
        <w:t>aims to explore</w:t>
      </w:r>
      <w:r w:rsidR="00405189">
        <w:rPr>
          <w:lang w:val="en-GB"/>
        </w:rPr>
        <w:t xml:space="preserve"> an alternative upgrading approach </w:t>
      </w:r>
      <w:r w:rsidR="00E833D7">
        <w:rPr>
          <w:lang w:val="en-GB"/>
        </w:rPr>
        <w:t>based on</w:t>
      </w:r>
      <w:r w:rsidR="006A27D1">
        <w:rPr>
          <w:lang w:val="en-GB"/>
        </w:rPr>
        <w:t xml:space="preserve"> the redox potential of</w:t>
      </w:r>
      <w:r w:rsidR="00405189">
        <w:rPr>
          <w:lang w:val="en-GB"/>
        </w:rPr>
        <w:t xml:space="preserve"> zero-valent metals (ZVMs) to generate hydrogen in</w:t>
      </w:r>
      <w:r w:rsidR="00E833D7">
        <w:rPr>
          <w:lang w:val="en-GB"/>
        </w:rPr>
        <w:t xml:space="preserve"> </w:t>
      </w:r>
      <w:r w:rsidR="00405189">
        <w:rPr>
          <w:lang w:val="en-GB"/>
        </w:rPr>
        <w:t xml:space="preserve">situ under hydrothermal conditions, </w:t>
      </w:r>
      <w:r w:rsidR="00E833D7">
        <w:rPr>
          <w:lang w:val="en-GB"/>
        </w:rPr>
        <w:t>without</w:t>
      </w:r>
      <w:r w:rsidR="00405189">
        <w:rPr>
          <w:lang w:val="en-GB"/>
        </w:rPr>
        <w:t xml:space="preserve"> external hydrogen supplies. </w:t>
      </w:r>
      <w:r w:rsidR="006A27D1">
        <w:rPr>
          <w:lang w:val="en-GB"/>
        </w:rPr>
        <w:t>The u</w:t>
      </w:r>
      <w:r w:rsidR="00405189">
        <w:rPr>
          <w:lang w:val="en-GB"/>
        </w:rPr>
        <w:t xml:space="preserve">pgrading experiments were conducted on biocrude </w:t>
      </w:r>
      <w:r w:rsidR="00E833D7">
        <w:rPr>
          <w:lang w:val="en-GB"/>
        </w:rPr>
        <w:t>obtained</w:t>
      </w:r>
      <w:r w:rsidR="00405189">
        <w:rPr>
          <w:lang w:val="en-GB"/>
        </w:rPr>
        <w:t xml:space="preserve"> from the HTL of digested sewage sludge, using Fe and Zn as hydrogen </w:t>
      </w:r>
      <w:r w:rsidR="006A27D1">
        <w:rPr>
          <w:lang w:val="en-GB"/>
        </w:rPr>
        <w:t>generators.</w:t>
      </w:r>
      <w:r w:rsidR="00E833D7">
        <w:rPr>
          <w:lang w:val="en-GB"/>
        </w:rPr>
        <w:t xml:space="preserve"> </w:t>
      </w:r>
      <w:r w:rsidR="006A27D1">
        <w:rPr>
          <w:lang w:val="en-GB"/>
        </w:rPr>
        <w:t>While h</w:t>
      </w:r>
      <w:r w:rsidR="00173596">
        <w:rPr>
          <w:lang w:val="en-GB"/>
        </w:rPr>
        <w:t xml:space="preserve">ydrothermal conditions alone </w:t>
      </w:r>
      <w:r w:rsidR="00E833D7">
        <w:rPr>
          <w:lang w:val="en-GB"/>
        </w:rPr>
        <w:t>appeared to notably reduce</w:t>
      </w:r>
      <w:r w:rsidR="006A27D1">
        <w:rPr>
          <w:lang w:val="en-GB"/>
        </w:rPr>
        <w:t xml:space="preserve"> nitrogen and oxygen content, by 20 % and 35 % respectively, </w:t>
      </w:r>
      <w:r w:rsidR="00BD2B63">
        <w:rPr>
          <w:lang w:val="en-GB"/>
        </w:rPr>
        <w:t xml:space="preserve">ZVMs appeared to enhance the </w:t>
      </w:r>
      <w:r w:rsidR="006703B4">
        <w:rPr>
          <w:lang w:val="en-GB"/>
        </w:rPr>
        <w:t>upgraded biocrude recovery after the process. GC-MS analysis also revealed interesting results</w:t>
      </w:r>
      <w:r w:rsidR="00532220">
        <w:rPr>
          <w:lang w:val="en-GB"/>
        </w:rPr>
        <w:t xml:space="preserve"> when using ZVMs, </w:t>
      </w:r>
      <w:r w:rsidR="006703B4">
        <w:rPr>
          <w:lang w:val="en-GB"/>
        </w:rPr>
        <w:t>which produced a significant decrease of</w:t>
      </w:r>
      <w:r w:rsidR="00BD2B63">
        <w:rPr>
          <w:lang w:val="en-GB"/>
        </w:rPr>
        <w:t xml:space="preserve"> fatty acids </w:t>
      </w:r>
      <w:r w:rsidR="006703B4">
        <w:rPr>
          <w:lang w:val="en-GB"/>
        </w:rPr>
        <w:t>concentration, increasing</w:t>
      </w:r>
      <w:r w:rsidR="006A27D1">
        <w:rPr>
          <w:lang w:val="en-GB"/>
        </w:rPr>
        <w:t xml:space="preserve"> their corresponding</w:t>
      </w:r>
      <w:r w:rsidR="00532220">
        <w:rPr>
          <w:lang w:val="en-GB"/>
        </w:rPr>
        <w:t xml:space="preserve"> reduction products, as</w:t>
      </w:r>
      <w:r w:rsidR="006A27D1">
        <w:rPr>
          <w:lang w:val="en-GB"/>
        </w:rPr>
        <w:t xml:space="preserve"> aldehydes, alcohol and aliphatic hydrocarbons</w:t>
      </w:r>
      <w:r w:rsidR="0003274D">
        <w:rPr>
          <w:lang w:val="en-GB"/>
        </w:rPr>
        <w:t xml:space="preserve">. These results </w:t>
      </w:r>
      <w:r w:rsidR="00A062E5">
        <w:rPr>
          <w:lang w:val="en-GB"/>
        </w:rPr>
        <w:t>indicate a potential exploitation of</w:t>
      </w:r>
      <w:r w:rsidR="006703B4">
        <w:rPr>
          <w:lang w:val="en-GB"/>
        </w:rPr>
        <w:t xml:space="preserve"> ZVMs </w:t>
      </w:r>
      <w:r w:rsidR="00A062E5">
        <w:rPr>
          <w:lang w:val="en-GB"/>
        </w:rPr>
        <w:t>conditions to improve hydrothermal upgrading processes.</w:t>
      </w:r>
    </w:p>
    <w:p w14:paraId="37F7A571" w14:textId="77777777" w:rsidR="00AD4977" w:rsidRPr="00B57B36" w:rsidRDefault="00AD4977" w:rsidP="00AD4977">
      <w:pPr>
        <w:pStyle w:val="CETHeading1"/>
        <w:rPr>
          <w:lang w:val="en-GB"/>
        </w:rPr>
      </w:pPr>
      <w:r w:rsidRPr="00B57B36">
        <w:rPr>
          <w:lang w:val="en-GB"/>
        </w:rPr>
        <w:t>Introduction</w:t>
      </w:r>
    </w:p>
    <w:p w14:paraId="4DCE84D0" w14:textId="30D3A0BB" w:rsidR="00297BC1" w:rsidRPr="00922B43" w:rsidRDefault="00AD4977" w:rsidP="0048257F">
      <w:pPr>
        <w:pStyle w:val="CETBodytext"/>
      </w:pPr>
      <w:r>
        <w:t xml:space="preserve">Hydrothermal liquefaction (HTL) </w:t>
      </w:r>
      <w:r w:rsidR="005C5B1B">
        <w:t>is among</w:t>
      </w:r>
      <w:r>
        <w:t xml:space="preserve"> the most promising thermochemical processes </w:t>
      </w:r>
      <w:r w:rsidR="00D03C8B">
        <w:t>to produce</w:t>
      </w:r>
      <w:r w:rsidR="00A062E5">
        <w:t xml:space="preserve"> liquid biofuel precursors from</w:t>
      </w:r>
      <w:r w:rsidR="005C5B1B">
        <w:t xml:space="preserve"> biogenic feedstocks</w:t>
      </w:r>
      <w:r>
        <w:t xml:space="preserve">. It </w:t>
      </w:r>
      <w:r w:rsidR="005C5B1B">
        <w:t>operates</w:t>
      </w:r>
      <w:r>
        <w:t xml:space="preserve"> in presence of hot pressurized water</w:t>
      </w:r>
      <w:r w:rsidR="00F622FE">
        <w:t xml:space="preserve"> in its subcritical region</w:t>
      </w:r>
      <w:r>
        <w:t xml:space="preserve">, </w:t>
      </w:r>
      <w:r w:rsidR="005C5B1B">
        <w:t xml:space="preserve">typically </w:t>
      </w:r>
      <w:r>
        <w:t xml:space="preserve">at temperature </w:t>
      </w:r>
      <w:r w:rsidR="00D03C8B">
        <w:t>of</w:t>
      </w:r>
      <w:r>
        <w:t xml:space="preserve"> 2</w:t>
      </w:r>
      <w:r w:rsidR="0009278C">
        <w:t>5</w:t>
      </w:r>
      <w:r>
        <w:t xml:space="preserve">0 </w:t>
      </w:r>
      <w:r w:rsidR="00D03C8B">
        <w:rPr>
          <w:rFonts w:cs="Arial"/>
        </w:rPr>
        <w:t>÷</w:t>
      </w:r>
      <w:r w:rsidR="00D03C8B">
        <w:t xml:space="preserve"> </w:t>
      </w:r>
      <w:r>
        <w:t>3</w:t>
      </w:r>
      <w:r w:rsidR="0009278C">
        <w:t>74</w:t>
      </w:r>
      <w:r>
        <w:t xml:space="preserve"> °C and pressure</w:t>
      </w:r>
      <w:r w:rsidR="00D03C8B">
        <w:t>s</w:t>
      </w:r>
      <w:r>
        <w:t xml:space="preserve"> </w:t>
      </w:r>
      <w:r w:rsidR="0009278C">
        <w:t>up</w:t>
      </w:r>
      <w:r>
        <w:t xml:space="preserve"> to 2</w:t>
      </w:r>
      <w:r w:rsidR="0009278C">
        <w:t>2</w:t>
      </w:r>
      <w:r>
        <w:t xml:space="preserve"> MPa</w:t>
      </w:r>
      <w:r w:rsidR="0009278C">
        <w:t xml:space="preserve"> </w:t>
      </w:r>
      <w:r w:rsidR="0009278C">
        <w:fldChar w:fldCharType="begin"/>
      </w:r>
      <w:r w:rsidR="00B369B5">
        <w:instrText xml:space="preserve"> ADDIN ZOTERO_ITEM CSL_CITATION {"citationID":"49ZgCzPp","properties":{"formattedCitation":"(Gollakota et al., 2018)","plainCitation":"(Gollakota et al., 2018)","noteIndex":0},"citationItems":[{"id":587,"uris":["http://zotero.org/users/11880198/items/LQQXADYK"],"itemData":{"id":587,"type":"article-journal","abstract":"The rapid depletion of conventional fossil fuels and day-by-day growth of environmental pollution due to extensive use of fossil fuels have raised concerns over the use of the fossil fuels; and thus search for alternate renewable and sustainable sources for fuels has started in the last few decades. In this context biomass derived fuels seems to be the promising path; and various routes are available for the biomass processing such as pyrolysis, transesteriﬁcation, hydrothermal liquefaction, steam reforming, etc.; and the hydrothermal liquefaction (HTL) of wet biomass seems to be the promising route. Therefore, this article brieﬂy enlightened a few concepts of HTL such as the elemental composition of bio-crude obtained by HTL, diﬀerent types of feedstock adopted for HTL, mechanism of HTL processes, possible process ﬂow diagrams for HTL of both wet and dry biomass and energy eﬃciency of the process. In addition, this article also enlisted possible future research scope for concerned researchers and a few of them are setting up HTL plant suitable for both wet and dry biomass feedstock; analyzing inﬂuence of parameters such as temperature, pressure, residence time, catalytic eﬀects, etc.; deriving optimized pathways for better conversion; and development of theoretical models representing the process to the best possible accuracy depending on nature of feedstock.","container-title":"Renewable and Sustainable Energy Reviews","DOI":"10.1016/j.rser.2017.05.178","ISSN":"1364-0321","language":"en","license":"https://www.elsevier.com/tdm/userlicense/1.0/","note":"publisher: Elsevier BV","page":"1378-1392","source":"Crossref","title":"A review on hydrothermal liquefaction of biomass","volume":"81","author":[{"family":"Gollakota","given":"A.R.K."},{"family":"Kishore","given":"Nanda"},{"family":"Gu","given":"Sai"}],"issued":{"date-parts":[["2018",1]]}}}],"schema":"https://github.com/citation-style-language/schema/raw/master/csl-citation.json"} </w:instrText>
      </w:r>
      <w:r w:rsidR="0009278C">
        <w:fldChar w:fldCharType="separate"/>
      </w:r>
      <w:r w:rsidR="00B369B5" w:rsidRPr="00B369B5">
        <w:rPr>
          <w:rFonts w:cs="Arial"/>
        </w:rPr>
        <w:t>(Gollakota et al., 2018)</w:t>
      </w:r>
      <w:r w:rsidR="0009278C">
        <w:fldChar w:fldCharType="end"/>
      </w:r>
      <w:r w:rsidR="00D03C8B">
        <w:t>, under which liquid water exhibits a reduced</w:t>
      </w:r>
      <w:r>
        <w:t xml:space="preserve"> dielectric constant, lower viscosity and </w:t>
      </w:r>
      <w:r w:rsidR="005C5B1B">
        <w:t>increased</w:t>
      </w:r>
      <w:r>
        <w:t xml:space="preserve"> </w:t>
      </w:r>
      <w:r w:rsidR="003539CD">
        <w:t>ionic dissociation product K</w:t>
      </w:r>
      <w:r w:rsidR="003539CD" w:rsidRPr="003539CD">
        <w:rPr>
          <w:vertAlign w:val="subscript"/>
        </w:rPr>
        <w:t>w</w:t>
      </w:r>
      <w:r w:rsidR="003539CD">
        <w:t xml:space="preserve"> compared to </w:t>
      </w:r>
      <w:r w:rsidR="005C5B1B">
        <w:t>ambient conditions</w:t>
      </w:r>
      <w:r w:rsidR="00D46212">
        <w:t xml:space="preserve"> </w:t>
      </w:r>
      <w:r w:rsidR="00D46212">
        <w:fldChar w:fldCharType="begin"/>
      </w:r>
      <w:r w:rsidR="00B369B5">
        <w:instrText xml:space="preserve"> ADDIN ZOTERO_ITEM CSL_CITATION {"citationID":"DkKSrnGS","properties":{"formattedCitation":"(Zhi et al., 2024)","plainCitation":"(Zhi et al., 2024)","noteIndex":0},"citationItems":[{"id":455,"uris":["http://zotero.org/users/11880198/items/98MWP2AL"],"itemData":{"id":455,"type":"article-journal","abstract":"Phosphorus (P), as a crucial resource, has attracted more attention for its recycling. Products from hydrothermal reaction of sewage sludge (SS), represent promising sources for efficient P recovery. This work systematically summarizes reaction mechanisms of SS hydrothermal reactions and corresponding distribution, migration, and morphological transformation pathways of P during reactions. The formation of hydrochar is mainly attributed to the polymerization, aromatization, and condensation of remarkably reactive intermediates generated through the degradation of biopolymers in SS, as well as the solid-solid conversion of part of lignin and the precipitation of insoluble humic substances. P in SS is mostly concentrated in solid-phase products (hydrochar) after hydro­ thermal reaction. Orthophosphate is the dominant P species in hydrochar. The distribution and migration transformation pathways of P are notably influenced by reaction conditions (i.e., reaction temperature, reaction time, initial pH and additives). The reaction time had a small effect on P conversion. Wet chemical extraction is widely used to extract P from hydrochar. The P extraction efficiency of acid extraction is higher than that of alkaline extraction. However, the precipitation of heavy metals in hydrochar limits industrial application of acid leaching. Ultimately, some prospects for the optimization of the P recovery process are put forward.","container-title":"Process Safety and Environmental Protection","DOI":"10.1016/j.psep.2023.12.053","ISSN":"09575820","journalAbbreviation":"Process Safety and Environmental Protection","language":"en","page":"1024-1034","source":"DOI.org (Crossref)","title":"Phosphorus recovery from hydrothermal conversion products of sewage sludge through wet-chemical methods","volume":"182","author":[{"family":"Zhi","given":"Youwei"},{"family":"Wang","given":"Yu"},{"family":"Xu","given":"Donghai"},{"family":"Jiang","given":"Guanyu"},{"family":"Leng","given":"Lijian"},{"family":"Kapusta","given":"Krzysztof"}],"issued":{"date-parts":[["2024",2]]}}}],"schema":"https://github.com/citation-style-language/schema/raw/master/csl-citation.json"} </w:instrText>
      </w:r>
      <w:r w:rsidR="00D46212">
        <w:fldChar w:fldCharType="separate"/>
      </w:r>
      <w:r w:rsidR="00B369B5" w:rsidRPr="00B369B5">
        <w:rPr>
          <w:rFonts w:cs="Arial"/>
        </w:rPr>
        <w:t>(Zhi et al., 2024)</w:t>
      </w:r>
      <w:r w:rsidR="00D46212">
        <w:fldChar w:fldCharType="end"/>
      </w:r>
      <w:r w:rsidR="003539CD">
        <w:t>. Th</w:t>
      </w:r>
      <w:r w:rsidR="00D03C8B">
        <w:t>ese characteristics produce</w:t>
      </w:r>
      <w:r w:rsidR="003539CD">
        <w:t xml:space="preserve"> a reducing environment</w:t>
      </w:r>
      <w:r w:rsidR="00F622FE">
        <w:t xml:space="preserve"> with </w:t>
      </w:r>
      <w:r w:rsidR="005C5B1B">
        <w:t>minimal</w:t>
      </w:r>
      <w:r w:rsidR="00F622FE">
        <w:t xml:space="preserve"> mass transfer limitations</w:t>
      </w:r>
      <w:r w:rsidR="003539CD">
        <w:t xml:space="preserve">, </w:t>
      </w:r>
      <w:r w:rsidR="005C5B1B">
        <w:t>enabling</w:t>
      </w:r>
      <w:r w:rsidR="003539CD">
        <w:t xml:space="preserve"> the conversion of biomass </w:t>
      </w:r>
      <w:r w:rsidR="005C5B1B">
        <w:t>in</w:t>
      </w:r>
      <w:r w:rsidR="003539CD">
        <w:t xml:space="preserve">to </w:t>
      </w:r>
      <w:r w:rsidR="00F622FE">
        <w:t>non-polar</w:t>
      </w:r>
      <w:r w:rsidR="003539CD">
        <w:t xml:space="preserve"> molecules</w:t>
      </w:r>
      <w:r w:rsidR="005C5B1B">
        <w:t>,</w:t>
      </w:r>
      <w:r w:rsidR="003539CD">
        <w:t xml:space="preserve"> such as hydrocarbons, using water as solvent, that is unexpensive, non-toxic and highly available in nature. </w:t>
      </w:r>
      <w:r w:rsidR="00D03C8B">
        <w:t xml:space="preserve">The possibility </w:t>
      </w:r>
      <w:r w:rsidR="00AC432F">
        <w:t xml:space="preserve">of using biomass moisture as </w:t>
      </w:r>
      <w:r w:rsidR="00597C9F">
        <w:t>a reactant</w:t>
      </w:r>
      <w:r w:rsidR="00AC432F">
        <w:t xml:space="preserve"> in the process is a key advantage of HTL among other thermochemical processes, </w:t>
      </w:r>
      <w:r w:rsidR="005C5B1B">
        <w:t>eliminating the need for energy-intensive dewatering pretreatments</w:t>
      </w:r>
      <w:r w:rsidR="00AC432F">
        <w:t>.</w:t>
      </w:r>
      <w:r w:rsidR="005C5B1B">
        <w:t xml:space="preserve"> </w:t>
      </w:r>
      <w:r w:rsidR="00AC432F">
        <w:t>Along with the biocrude, the valuable oily product of the HTL process, three byproducts are obtained: a gaseous phase (mainly CO</w:t>
      </w:r>
      <w:r w:rsidR="00AC432F" w:rsidRPr="00597C9F">
        <w:rPr>
          <w:vertAlign w:val="subscript"/>
        </w:rPr>
        <w:t>2</w:t>
      </w:r>
      <w:r w:rsidR="00AC432F">
        <w:t>), an aqueous phase enriched w</w:t>
      </w:r>
      <w:r w:rsidR="00597C9F">
        <w:t>ith polar</w:t>
      </w:r>
      <w:r w:rsidR="00AC432F">
        <w:t xml:space="preserve"> organic compounds, and a solid residue</w:t>
      </w:r>
      <w:r w:rsidR="00597C9F">
        <w:t xml:space="preserve">. </w:t>
      </w:r>
      <w:r w:rsidR="00AF6AA7">
        <w:t>Although biocrude has a moderate heating value, typically ranging between 30 and</w:t>
      </w:r>
      <w:r w:rsidR="00373875">
        <w:t xml:space="preserve"> </w:t>
      </w:r>
      <w:r w:rsidR="006A0006">
        <w:t>40</w:t>
      </w:r>
      <w:r w:rsidR="00373875">
        <w:t xml:space="preserve"> MJ kg</w:t>
      </w:r>
      <w:r w:rsidR="00373875" w:rsidRPr="00373875">
        <w:rPr>
          <w:vertAlign w:val="superscript"/>
        </w:rPr>
        <w:t>-1</w:t>
      </w:r>
      <w:r w:rsidR="006A0006">
        <w:t xml:space="preserve"> </w:t>
      </w:r>
      <w:r w:rsidR="006A0006">
        <w:fldChar w:fldCharType="begin"/>
      </w:r>
      <w:r w:rsidR="00B369B5">
        <w:instrText xml:space="preserve"> ADDIN ZOTERO_ITEM CSL_CITATION {"citationID":"6R8nB4dv","properties":{"formattedCitation":"(Chand et al., 2019)","plainCitation":"(Chand et al., 2019)","noteIndex":0},"citationItems":[{"id":585,"uris":["http://zotero.org/users/11880198/items/4XHLGE4A"],"itemData":{"id":585,"type":"article-journal","abstract":"In the present study, three different solvents – ethyl acetate, tetrahydrofuran and petroleum ether – were used to extract bio-crude from a hydrothermal liquefaction product mixture obtained from canola meal and waste wheat flour. The bio-crude yields and the ease of extraction were compared for each of the solvents to evaluate the efficacy of the solvent-extraction process and to determine the most suitable solvent for the same. Among the three solvents, ethyl acetate was identified as the most favourable option for solvent-extraction. The extraction carried out using ethyl acetate yielded significantly large amounts (bio-crude yield: 31.8 wt%) of an easy-tohandle, high quality bio-crude that is most suitable for further upgrading processes and eventual bio-diesel applications. The bio-crude extracted using ethyl acetate had a higher heating value of 46.0 MJ/kg, an oxygen content of 9.2 wt% and an ash content of 0.1 wt%. The aforementioned bio-crude exhibited the highest oxidation stability at room temperature with an induction period of 86.5 days and had a significant percentage of its compounds in the C13-C24 carbon range. The amounts of nitrogen and sulphur were quite low in all the bio-crude samples. Silica polymorphs such as quartz and α-cristobalite, along with calcium mica, were the dominant phases in all the bio-residue samples. The bio-residue obtained using ethyl acetate had the highest specific surface area (249 m2/g) among the three bio-residue samples with an average pore volume of 0.37 cm3/g and an average pore size of 7 nm.","container-title":"Applied Energy","DOI":"10.1016/j.apenergy.2019.113679","ISSN":"0306-2619","language":"en","license":"https://www.elsevier.com/tdm/userlicense/1.0/","note":"publisher: Elsevier BV","page":"113679","source":"Crossref","title":"Evaluating the potential for bio-fuel upgrading: A comprehensive analysis of bio-crude and bio-residue from hydrothermal liquefaction of agricultural biomass","title-short":"Evaluating the potential for bio-fuel upgrading","volume":"254","author":[{"family":"Chand","given":"Rishav"},{"family":"Babu Borugadda","given":"Venu"},{"family":"Qiu","given":"Michael"},{"family":"Dalai","given":"Ajay K."}],"issued":{"date-parts":[["2019",11]]}}}],"schema":"https://github.com/citation-style-language/schema/raw/master/csl-citation.json"} </w:instrText>
      </w:r>
      <w:r w:rsidR="006A0006">
        <w:fldChar w:fldCharType="separate"/>
      </w:r>
      <w:r w:rsidR="00B369B5" w:rsidRPr="00B369B5">
        <w:rPr>
          <w:rFonts w:cs="Arial"/>
        </w:rPr>
        <w:t>(Chand et al., 2019)</w:t>
      </w:r>
      <w:r w:rsidR="006A0006">
        <w:fldChar w:fldCharType="end"/>
      </w:r>
      <w:r w:rsidR="00D46212">
        <w:t>, its high</w:t>
      </w:r>
      <w:r w:rsidR="00597C9F">
        <w:t xml:space="preserve"> viscosity and its excessive</w:t>
      </w:r>
      <w:r w:rsidR="00D46212">
        <w:t xml:space="preserve"> content of heteroatoms,</w:t>
      </w:r>
      <w:r w:rsidR="00AF6AA7">
        <w:t xml:space="preserve"> as</w:t>
      </w:r>
      <w:r w:rsidR="00D46212">
        <w:t xml:space="preserve"> nitrogen, sulfur and oxygen,</w:t>
      </w:r>
      <w:r w:rsidR="00AF6AA7">
        <w:t xml:space="preserve"> render</w:t>
      </w:r>
      <w:r w:rsidR="00D46212">
        <w:t xml:space="preserve"> it </w:t>
      </w:r>
      <w:r w:rsidR="00AF6AA7">
        <w:t>unsuitable as</w:t>
      </w:r>
      <w:r w:rsidR="00D46212">
        <w:t xml:space="preserve"> drop in fuel. </w:t>
      </w:r>
      <w:r w:rsidR="00AF6AA7">
        <w:t>To meet fuel specifications, a</w:t>
      </w:r>
      <w:r w:rsidR="00505095">
        <w:t xml:space="preserve"> series of upgrading operations, </w:t>
      </w:r>
      <w:r w:rsidR="00AF6AA7">
        <w:t>including</w:t>
      </w:r>
      <w:r w:rsidR="00505095">
        <w:t xml:space="preserve"> hydrodesulfurization</w:t>
      </w:r>
      <w:r w:rsidR="0085520D">
        <w:t xml:space="preserve"> (HDS)</w:t>
      </w:r>
      <w:r w:rsidR="00505095">
        <w:t>, hydrodenit</w:t>
      </w:r>
      <w:r w:rsidR="00AF6AA7">
        <w:t>rogenation</w:t>
      </w:r>
      <w:r w:rsidR="0085520D">
        <w:t xml:space="preserve"> (HDN)</w:t>
      </w:r>
      <w:r w:rsidR="00505095">
        <w:t xml:space="preserve"> and hydrodeoxygenation</w:t>
      </w:r>
      <w:r w:rsidR="0085520D">
        <w:t xml:space="preserve"> (HDO)</w:t>
      </w:r>
      <w:r w:rsidR="00AF6AA7">
        <w:t>, is essential.</w:t>
      </w:r>
      <w:r w:rsidR="00505095">
        <w:t xml:space="preserve"> </w:t>
      </w:r>
      <w:r w:rsidR="0048257F">
        <w:t>These processes rely on hydrogen</w:t>
      </w:r>
      <w:r w:rsidR="00505095">
        <w:t xml:space="preserve">, </w:t>
      </w:r>
      <w:r w:rsidR="0048257F">
        <w:t xml:space="preserve">supplied </w:t>
      </w:r>
      <w:r w:rsidR="00505095">
        <w:t xml:space="preserve">directly or </w:t>
      </w:r>
      <w:r w:rsidR="0048257F">
        <w:t xml:space="preserve">via </w:t>
      </w:r>
      <w:r w:rsidR="00505095">
        <w:t xml:space="preserve">hydrogen donors or generators. </w:t>
      </w:r>
      <w:r w:rsidR="00597C9F">
        <w:t>Among other heteroatoms, nitrogen removal</w:t>
      </w:r>
      <w:r w:rsidR="0048257F">
        <w:t xml:space="preserve"> </w:t>
      </w:r>
      <w:r w:rsidR="00597C9F">
        <w:t xml:space="preserve">appears </w:t>
      </w:r>
      <w:r w:rsidR="0048257F">
        <w:t>particularly challenging</w:t>
      </w:r>
      <w:r w:rsidR="00836148">
        <w:t xml:space="preserve">, as nitrogen-containing heterocyclic </w:t>
      </w:r>
      <w:r w:rsidR="0048257F">
        <w:t>compounds</w:t>
      </w:r>
      <w:r w:rsidR="00836148">
        <w:t xml:space="preserve">, </w:t>
      </w:r>
      <w:r w:rsidR="0048257F">
        <w:t>formed during</w:t>
      </w:r>
      <w:r w:rsidR="00836148">
        <w:t xml:space="preserve"> HTL</w:t>
      </w:r>
      <w:r w:rsidR="0048257F">
        <w:t xml:space="preserve"> via amino acid</w:t>
      </w:r>
      <w:r w:rsidR="00836148">
        <w:t xml:space="preserve"> </w:t>
      </w:r>
      <w:r w:rsidR="00836148">
        <w:lastRenderedPageBreak/>
        <w:t xml:space="preserve">cyclodimerization and Maillard reactions, are often recalcitrant to </w:t>
      </w:r>
      <w:r w:rsidR="0048257F">
        <w:t>HDN</w:t>
      </w:r>
      <w:r w:rsidR="00836148">
        <w:t xml:space="preserve"> process</w:t>
      </w:r>
      <w:r w:rsidR="0085520D">
        <w:t xml:space="preserve"> </w:t>
      </w:r>
      <w:r w:rsidR="0085520D">
        <w:fldChar w:fldCharType="begin"/>
      </w:r>
      <w:r w:rsidR="00B369B5">
        <w:instrText xml:space="preserve"> ADDIN ZOTERO_ITEM CSL_CITATION {"citationID":"aD3EaP5o","properties":{"formattedCitation":"(Castello et al., 2024)","plainCitation":"(Castello et al., 2024)","noteIndex":0},"citationItems":[{"id":528,"uris":["http://zotero.org/users/11880198/items/4Y78LA5S"],"itemData":{"id":528,"type":"article-journal","abstract":"Hydrothermal liquefaction biocrude from non-lignocellulosic feedstocks often shows properties, such as a high presence of inorganics, oxygen and especially a high nitrogen content, which are challenging in view of hydroprocessing for the production of drop-in biofuels. In particular, nitrogen removal requires severe condi­ tions, that might compromise continuous operations and affect the yield of the different hydrocarbon fractions. This work demonstrates the possibility of successful long-time continuous operations for microalgae biocrude, a feed with a high content of metals and nitrogen, thanks to a multi-stage approach with different sulfided cata­ lysts. Whereas hydrodeoxygenation was achieved at relatively mild conditions, nitrogen removal was chal­ lenging. By using a number of advanced characterization techniques, among which FTICR-MS, it was possible to unveil how nitrogen removal takes place at different reaction severities, in terms of temperature, WHSV and pressure. High nitrogen removal needs high temperature (~400 ◦C) and low space velocities and is associated with a high H2 consumption. This causes also a remarkable change in the boiling point distribution, which is shifted to products in the gasoline range, while the yields of middle distillates are marginally affected by hydrotreating severity. This seems to be a consequence of the denitrogenation mechanism, promoting the fragmentation of larger molecules in the heavy fractions of biocrude.","container-title":"Chemical Engineering Journal","DOI":"10.1016/j.cej.2023.148333","ISSN":"13858947","journalAbbreviation":"Chemical Engineering Journal","language":"en","page":"148333","source":"DOI.org (Crossref)","title":"Understanding catalytic hydrotreating of hydrothermal liquefaction nitrogen-rich biocrude in a two-stage continuous hydrotreater","volume":"481","author":[{"family":"Castello","given":"Daniele"},{"family":"Salman Haider","given":"Muhammad"},{"family":"Chiaberge","given":"Stefano"},{"family":"Aistrup Rosendahl","given":"Lasse"}],"issued":{"date-parts":[["2024",2]]}}}],"schema":"https://github.com/citation-style-language/schema/raw/master/csl-citation.json"} </w:instrText>
      </w:r>
      <w:r w:rsidR="0085520D">
        <w:fldChar w:fldCharType="separate"/>
      </w:r>
      <w:r w:rsidR="00B369B5" w:rsidRPr="00B369B5">
        <w:rPr>
          <w:rFonts w:cs="Arial"/>
        </w:rPr>
        <w:t>(Castello et al., 2024)</w:t>
      </w:r>
      <w:r w:rsidR="0085520D">
        <w:fldChar w:fldCharType="end"/>
      </w:r>
      <w:r w:rsidR="00836148">
        <w:t xml:space="preserve">. This </w:t>
      </w:r>
      <w:r w:rsidR="0048257F">
        <w:t>poses a barrier</w:t>
      </w:r>
      <w:r w:rsidR="00836148">
        <w:t xml:space="preserve"> </w:t>
      </w:r>
      <w:r w:rsidR="00597C9F">
        <w:t>for</w:t>
      </w:r>
      <w:r w:rsidR="00836148">
        <w:t xml:space="preserve"> biofuel</w:t>
      </w:r>
      <w:r w:rsidR="0048257F">
        <w:t xml:space="preserve"> production from protein-rich</w:t>
      </w:r>
      <w:r w:rsidR="00836148">
        <w:t xml:space="preserve"> </w:t>
      </w:r>
      <w:r w:rsidR="008B3850">
        <w:t xml:space="preserve">renewable </w:t>
      </w:r>
      <w:r w:rsidR="00836148">
        <w:t>biomass</w:t>
      </w:r>
      <w:r w:rsidR="0048257F">
        <w:t>, such as sewage sludge and food waste, which</w:t>
      </w:r>
      <w:r w:rsidR="00597C9F">
        <w:t>, despite their</w:t>
      </w:r>
      <w:r w:rsidR="00297BC1">
        <w:t xml:space="preserve"> high</w:t>
      </w:r>
      <w:r w:rsidR="00597C9F">
        <w:t xml:space="preserve"> nitrogen content,</w:t>
      </w:r>
      <w:r w:rsidR="0048257F">
        <w:t xml:space="preserve"> are otherwise promising feedstock</w:t>
      </w:r>
      <w:r w:rsidR="0085520D">
        <w:t xml:space="preserve"> for HTL</w:t>
      </w:r>
      <w:r w:rsidR="0048257F">
        <w:t>.</w:t>
      </w:r>
      <w:r w:rsidR="00297BC1">
        <w:t xml:space="preserve"> The topic of bio-oils upgrading was extensively studied in scientific literature. Yet, the best results in the remotion of heteroatoms are still obtained via hydrotreating. Castello et al. (2024) developed a continuous</w:t>
      </w:r>
      <w:r w:rsidR="00987607">
        <w:t xml:space="preserve"> catalytic</w:t>
      </w:r>
      <w:r w:rsidR="00297BC1">
        <w:t xml:space="preserve"> hydrotreating system</w:t>
      </w:r>
      <w:r w:rsidR="00987607">
        <w:t xml:space="preserve"> that managed to obtain complete removal of oxygen and a maximum nitrogen reduction of </w:t>
      </w:r>
      <w:r w:rsidR="00987607">
        <w:rPr>
          <w:rFonts w:cs="Arial"/>
        </w:rPr>
        <w:t>~</w:t>
      </w:r>
      <w:r w:rsidR="00987607">
        <w:t xml:space="preserve"> 90% on a microalgae derived HTL biocrude, using relatively severe conditions (400 °C, H</w:t>
      </w:r>
      <w:r w:rsidR="00987607" w:rsidRPr="00987607">
        <w:rPr>
          <w:vertAlign w:val="subscript"/>
        </w:rPr>
        <w:t>2</w:t>
      </w:r>
      <w:r w:rsidR="00987607">
        <w:t xml:space="preserve"> consumption of </w:t>
      </w:r>
      <w:r w:rsidR="00987607">
        <w:rPr>
          <w:rFonts w:cs="Arial"/>
        </w:rPr>
        <w:t>~</w:t>
      </w:r>
      <w:r w:rsidR="00987607">
        <w:t xml:space="preserve"> 45g/kg of oil). </w:t>
      </w:r>
      <w:r w:rsidR="00922B43">
        <w:t xml:space="preserve">Moderate results were also obtained by </w:t>
      </w:r>
      <w:r w:rsidR="00922B43">
        <w:fldChar w:fldCharType="begin"/>
      </w:r>
      <w:r w:rsidR="002512CE">
        <w:instrText xml:space="preserve"> ADDIN ZOTERO_ITEM CSL_CITATION {"citationID":"rm9jjVtg","properties":{"formattedCitation":"(Wang et al., 2022)","plainCitation":"(Wang et al., 2022)","dontUpdate":true,"noteIndex":0},"citationItems":[{"id":593,"uris":["http://zotero.org/users/11880198/items/FA5LYZD3"],"itemData":{"id":593,"type":"article-journal","abstract":"In this study, a high-boiling point fraction (HBF, 141-220 ◦C) from vacuum distillation of a biocrude produced from hydrothermal liquefaction of soybean straw was hydrotreated in a hydrogen donor solvent (HDS) mixture consisting of tetralin and decalin at a mass ratio of 1:1. Effects of temperature (300–450 ◦C), time (1–6 h), H2 pressure (0.01–10 MPa), and Pt/C loading (0–40 wt%) on the products distribution and properties of the treated oil were examined. Increasing the temperature, time, and catalyst loading or decreasing the H2 pressure would reduce the treated oil yield and increase the gas and solid product yields. The presence of HDS mixture played a critical role in favoring the production of treated oil, reducing the formation of gas and solid products, and the removal of N, O, and S from the HBF. Under optimal reaction conditions, 96.3% of N, 87.1% of O, and 98.5% of S were removed from the initial feedstock. The treated oil mainly consisted of saturated hydrocarbon(~40%, C8C20) and aromatics(~41%, naphthalene and benzene derivatives), which was had a comparable cetane number and better combustion characteristics relative to the market 0# diesel.","container-title":"Fuel","DOI":"10.1016/j.fuel.2021.122126","ISSN":"00162361","journalAbbreviation":"Fuel","language":"en","page":"122126","source":"DOI.org (Crossref)","title":"Catalytic hydrotreatment of the high-boiling-point fraction of soybean straw biocrude in a mixed hydrogen donor","volume":"310","author":[{"family":"Wang","given":"Zhi-Cong"},{"family":"Chen","given":"Dabo"},{"family":"Shan","given":"Ya-Qi"},{"family":"Lin","given":"Lin-Xin"},{"family":"Duan","given":"Pei-Gao"}],"issued":{"date-parts":[["2022",2]]}}}],"schema":"https://github.com/citation-style-language/schema/raw/master/csl-citation.json"} </w:instrText>
      </w:r>
      <w:r w:rsidR="00922B43">
        <w:fldChar w:fldCharType="separate"/>
      </w:r>
      <w:r w:rsidR="00922B43" w:rsidRPr="00B369B5">
        <w:rPr>
          <w:rFonts w:cs="Arial"/>
        </w:rPr>
        <w:t xml:space="preserve">Wang et al. </w:t>
      </w:r>
      <w:r w:rsidR="00922B43">
        <w:rPr>
          <w:rFonts w:cs="Arial"/>
        </w:rPr>
        <w:t>(</w:t>
      </w:r>
      <w:r w:rsidR="00922B43" w:rsidRPr="00B369B5">
        <w:rPr>
          <w:rFonts w:cs="Arial"/>
        </w:rPr>
        <w:t>2022)</w:t>
      </w:r>
      <w:r w:rsidR="00922B43">
        <w:fldChar w:fldCharType="end"/>
      </w:r>
      <w:r w:rsidR="00922B43">
        <w:t xml:space="preserve"> by combining gaseous H</w:t>
      </w:r>
      <w:r w:rsidR="00922B43" w:rsidRPr="00922B43">
        <w:rPr>
          <w:vertAlign w:val="subscript"/>
        </w:rPr>
        <w:t>2</w:t>
      </w:r>
      <w:r w:rsidR="00922B43">
        <w:t xml:space="preserve"> with hydrogen donor reactants in a batch catalytic hydrotreating process</w:t>
      </w:r>
      <w:r w:rsidR="009B7A80">
        <w:t>,</w:t>
      </w:r>
      <w:r w:rsidR="00922B43">
        <w:t xml:space="preserve"> resulting in maximum oxygen and nitrogen removal of 77.8% and 56.4%, respectively. Other studies explored the effects of in-situ hydrogen donors or producers during HTL, without supplying external hydrogen</w:t>
      </w:r>
      <w:r w:rsidR="00F61C03">
        <w:t xml:space="preserve">. </w:t>
      </w:r>
      <w:r w:rsidR="00B03D64">
        <w:t xml:space="preserve">For example, </w:t>
      </w:r>
      <w:r w:rsidR="00B03D64">
        <w:fldChar w:fldCharType="begin"/>
      </w:r>
      <w:r w:rsidR="00B03D64">
        <w:instrText xml:space="preserve"> ADDIN ZOTERO_ITEM CSL_CITATION {"citationID":"7156kw59","properties":{"formattedCitation":"(Li et al., 2020)","plainCitation":"(Li et al., 2020)","noteIndex":0},"citationItems":[{"id":595,"uris":["http://zotero.org/users/11880198/items/ME5ZWJGP"],"itemData":{"id":595,"type":"article-journal","abstract":"Catalytic Hydrothermal liquefaction (HTL) of Ulva lactuca (UL) macroalgae over various amount of formic acid (FA) with solvents (water, ethanol and methanol) at different reaction temperatures (260, 280 and 300 °C), reaction holding times (15, 30 and 45 min.) with acidic ZSM-5 and basic MgO catalyst were investigated. Without catalyst, the maximum bio-oil yield was obtained 43.8 wt.% in ethanol-FA mixture at 280 °C for 30 min reaction time. However, the maximum bio-oil (55.2 wt.%) was obtained with basic metal MgO catalyst in the ethanol-FA solvent mixture compared to the acidic ZSM-5 catalyst (48.7 wt.%). When ethanol solvent used with MgO and ZSM-5 catalyst, the highest bio-oil yield 46.7 and 48.7 wt.% were observed. Selectively higher derivatives of hydrocarbon compounds were obtained with MgO in ethanol-FA solvent. However the phenolic compounds majorly were found with ZSM-5 catalyst. The higher carbon (69.5 %) and higher high heating value (HHV) (35.8 MJ/kg) was observed in case of MgO catalytic HTL bio-oil compared to the other HTL bio-oil. The use of catalysts in HTL increased the boiling point range of bio-oil and the higher boiling point range was observed in case of MgO and ZSM-5 catalytic bio-oil.","container-title":"Industrial Crops and Products","DOI":"10.1016/j.indcrop.2020.112513","ISSN":"09266690","journalAbbreviation":"Industrial Crops and Products","language":"en","page":"112513","source":"DOI.org (Crossref)","title":"Hydrothermal liquefaction of macroalgae with in-situ-hydrogen donor formic acid: Effects of process parameters on products yield and characterizations","title-short":"Hydrothermal liquefaction of macroalgae with in-situ-hydrogen donor formic acid","volume":"153","author":[{"family":"Li","given":"Yunlin"},{"family":"Zhu","given":"Chaosheng"},{"family":"Jiang","given":"Jing"},{"family":"Yang","given":"Zhiguang"},{"family":"Feng","given":"Wenli"},{"family":"Li","given":"Lili"},{"family":"Guo","given":"Yifei"},{"family":"Hu","given":"Jianli"}],"issued":{"date-parts":[["2020",10]]}}}],"schema":"https://github.com/citation-style-language/schema/raw/master/csl-citation.json"} </w:instrText>
      </w:r>
      <w:r w:rsidR="00B03D64">
        <w:fldChar w:fldCharType="separate"/>
      </w:r>
      <w:r w:rsidR="002512CE" w:rsidRPr="002512CE">
        <w:rPr>
          <w:rFonts w:cs="Arial"/>
        </w:rPr>
        <w:t>(Li et al., 2020)</w:t>
      </w:r>
      <w:r w:rsidR="00B03D64">
        <w:fldChar w:fldCharType="end"/>
      </w:r>
      <w:r w:rsidR="00B03D64">
        <w:t xml:space="preserve"> conducted batch liquefaction of macroalgae using ethanol as solvent and formic acid as in-situ hydrogen donor, achieving a</w:t>
      </w:r>
      <w:r w:rsidR="009B7A80">
        <w:t>n</w:t>
      </w:r>
      <w:r w:rsidR="00B03D64">
        <w:t xml:space="preserve"> increase in biocrude yield</w:t>
      </w:r>
      <w:r w:rsidR="009B7A80">
        <w:t xml:space="preserve"> and</w:t>
      </w:r>
      <w:r w:rsidR="00B03D64">
        <w:t xml:space="preserve"> HHV, and reductions of oxygen and nitrogen of 47% and 45%, respectively, compared to blank tests. </w:t>
      </w:r>
      <w:r w:rsidR="00B03D64">
        <w:fldChar w:fldCharType="begin"/>
      </w:r>
      <w:r w:rsidR="00B03D64">
        <w:instrText xml:space="preserve"> ADDIN ZOTERO_ITEM CSL_CITATION {"citationID":"gOU3DfVD","properties":{"formattedCitation":"(Tai et al., 2021)","plainCitation":"(Tai et al., 2021)","noteIndex":0},"citationItems":[{"id":521,"uris":["http://zotero.org/users/11880198/items/J58DF8GF"],"itemData":{"id":521,"type":"article-journal","abstract":"The production of bio-fuels is becoming one of the biggest challenges of this decade. In this context, the interest on hydrothermal liquefaction (HTL) is continuously growing. In this work, the HTL of oak wood to produce a high-quality bio-crude is proposed. The eﬀect of the use of zero-valent metals (ZVMs) as hydrogen producers (Fe and Zn) and hydrodeoxygenation catalysts (Ni and Co) on bio-crude quality is investigated. The tests were conducted at 330 °C in micro-batch reactors at diﬀerent reaction times in the presence of ZVMs. Fe and Zn are oxidized by subcritical water producing active hydrogen, which is used to stabilize biomass fragments during the process and to be used in hydrodeoxygenation reactions in the presence of Ni and Co. The results show that the use of hydrogen producers signiﬁcantly aﬀects bio-crude yields, which increase by 20% with respect to the blank test when Fe is used. Furthermore, the synergic eﬀect between the hydrogen producers (Fe and Zn) and the catalysts (Ni and Co) was tested. The results pointed out an enhancement of the bio-crude quality with an increase in the H/C ratio and a decrease in the O/C ratio, and also, looking at the bio-crude composition, the hydrogenation extent is clearly proven, for example, 2-cyclopenten-1-ones increase at the expense of furan derivatives.","container-title":"Energy &amp; Fuels","DOI":"10.1021/acs.energyfuels.1c00889","ISSN":"0887-0624, 1520-5029","issue":"12","journalAbbreviation":"Energy Fuels","language":"en","license":"https://doi.org/10.15223/policy-029","page":"10023-10034","source":"DOI.org (Crossref)","title":"Improved Quality Bio-Crude from Hydrothermal Liquefaction of Oak Wood Assisted by Zero-Valent Metals","volume":"35","author":[{"family":"Tai","given":"Lingyu"},{"family":"De Caprariis","given":"Benedetta"},{"family":"Scarsella","given":"Marco"},{"family":"De Filippis","given":"Paolo"},{"family":"Marra","given":"Francesco"}],"issued":{"date-parts":[["2021",6,17]]}}}],"schema":"https://github.com/citation-style-language/schema/raw/master/csl-citation.json"} </w:instrText>
      </w:r>
      <w:r w:rsidR="00B03D64">
        <w:fldChar w:fldCharType="separate"/>
      </w:r>
      <w:r w:rsidR="002512CE" w:rsidRPr="002512CE">
        <w:rPr>
          <w:rFonts w:cs="Arial"/>
        </w:rPr>
        <w:t>(Tai et al., 2021)</w:t>
      </w:r>
      <w:r w:rsidR="00B03D64">
        <w:fldChar w:fldCharType="end"/>
      </w:r>
      <w:r w:rsidR="00B03D64">
        <w:t xml:space="preserve"> studied the effects of zero-valent iron and zinc, as in-situ hydrogen producers by their redox potential in presence of water during HTL of oakwood. They observed significant increase in biocrude yields, moderate H/C ratio improvements and reductions in O/C ratios (</w:t>
      </w:r>
      <w:r w:rsidR="00B03D64">
        <w:rPr>
          <w:rFonts w:cs="Arial"/>
        </w:rPr>
        <w:t>~</w:t>
      </w:r>
      <w:r w:rsidR="00B03D64">
        <w:t xml:space="preserve"> 12% for both Fe and Zn) compared to blank tests.</w:t>
      </w:r>
      <w:r w:rsidR="004E5B39">
        <w:t xml:space="preserve"> In a follow-up study, </w:t>
      </w:r>
      <w:r w:rsidR="004E5B39">
        <w:fldChar w:fldCharType="begin"/>
      </w:r>
      <w:r w:rsidR="004E5B39">
        <w:instrText xml:space="preserve"> ADDIN ZOTERO_ITEM CSL_CITATION {"citationID":"TTcdf5Am","properties":{"formattedCitation":"(Hamidi et al., 2022)","plainCitation":"(Hamidi et al., 2022)","noteIndex":0},"citationItems":[{"id":520,"uris":["http://zotero.org/users/11880198/items/WM5FCWGP"],"itemData":{"id":520,"type":"article-journal","abstract":"Hydrotreating is an effective method for bio-crude upgrading. However, the high cost of catalysts and gaseous hydrogen consumption limits its application. In this research, oak wood hydrothermal liquefaction bio-crude upgrading was conducted by using Zn as heterogeneous hydrogen producer and low-cost Ni supported Y zeolite synthesized from rice husk as catalyst. The Y zeolite was obtained by two-step synthetic route, using different Tetramethylammonium hydroxide (TMAOH)/silica mole ratios of 0, 0.03 and 0.08. Synthesized Y zeolite showed better performance than commercial one due to the higher total acid sites (24–28% higher). Compared with template-free Y zeolite, the introduction of TMAOH template brings more mesopore structure to the synthesized zeolite, improving its catalytic activity. The yield of upgraded oil increased from 65.5% of blank upgrading test to 80.0% of the synthesized 10%Ni/HY (0.08), and the coke amount reduced from 14.3% to 3.9%. The H/C ratio increased, and the O/C ratio decreased, consequently the higher heating value (HHV) raised from 30.04 to 33.13 MJ/kg. The area percentages of hydrogenation products: cyclopentanones and hydrogenated lignin-derived compounds increased in the catalytic upgraded oil samples consuming furan derivatives and lignin-derived compounds. Deactivation of the synthesized catalyst was observed due to the zeolite structure collapse, Ni active site oxidation, coke deposition and presence of ZnO impurity. The one-pot catalytic hydro­ thermal treatment of oak wood was also conducted with interesting result, bio-crude yield of 39.0% and HHV of 32.61 MJ/kg, which greatly simplified the process by combining the bio-crude production and upgrading steps together.","container-title":"Energy Conversion and Management","DOI":"10.1016/j.enconman.2022.115348","ISSN":"01968904","journalAbbreviation":"Energy Conversion and Management","language":"en","page":"115348","source":"DOI.org (Crossref)","title":"Hydrotreating of oak wood bio-crude using heterogeneous hydrogen producer over Y zeolite catalyst synthesized from rice husk","volume":"255","author":[{"family":"Hamidi","given":"Roya"},{"family":"Tai","given":"Lingyu"},{"family":"Paglia","given":"Laura"},{"family":"Scarsella","given":"Marco"},{"family":"Damizia","given":"Martina"},{"family":"De Filippis","given":"Paolo"},{"family":"Musivand","given":"Sogand"},{"family":"De Caprariis","given":"Benedetta"}],"issued":{"date-parts":[["2022",3]]}}}],"schema":"https://github.com/citation-style-language/schema/raw/master/csl-citation.json"} </w:instrText>
      </w:r>
      <w:r w:rsidR="004E5B39">
        <w:fldChar w:fldCharType="separate"/>
      </w:r>
      <w:r w:rsidR="002512CE" w:rsidRPr="002512CE">
        <w:rPr>
          <w:rFonts w:cs="Arial"/>
        </w:rPr>
        <w:t>(Hamidi et al., 2022)</w:t>
      </w:r>
      <w:r w:rsidR="004E5B39">
        <w:fldChar w:fldCharType="end"/>
      </w:r>
      <w:r w:rsidR="004E5B39">
        <w:t xml:space="preserve"> investigated the effects of Fe and Zn as hydrogen generators during hydrothermal upgrading of oakwood-derived HTL biocrude, using supported Ni as catalyst. While mild upgrading results</w:t>
      </w:r>
      <w:r w:rsidR="00E5100E">
        <w:t xml:space="preserve"> are reported</w:t>
      </w:r>
      <w:r w:rsidR="00685720">
        <w:t xml:space="preserve">, </w:t>
      </w:r>
      <w:r w:rsidR="00360677">
        <w:t>with</w:t>
      </w:r>
      <w:r w:rsidR="00E5100E">
        <w:t xml:space="preserve"> an achieved</w:t>
      </w:r>
      <w:r w:rsidR="00360677">
        <w:t xml:space="preserve"> maximum</w:t>
      </w:r>
      <w:r w:rsidR="00E5100E">
        <w:t xml:space="preserve"> reduction of</w:t>
      </w:r>
      <w:r w:rsidR="008967A6">
        <w:t xml:space="preserve"> </w:t>
      </w:r>
      <w:r w:rsidR="00360677">
        <w:t>O/C</w:t>
      </w:r>
      <w:r w:rsidR="008967A6">
        <w:t xml:space="preserve"> molar</w:t>
      </w:r>
      <w:r w:rsidR="00360677">
        <w:t xml:space="preserve"> ratio </w:t>
      </w:r>
      <w:r w:rsidR="00E5100E">
        <w:t>of</w:t>
      </w:r>
      <w:r w:rsidR="00360677">
        <w:t xml:space="preserve"> 25.7%</w:t>
      </w:r>
      <w:r w:rsidR="004E5B39">
        <w:t>, the study did not address nitrogen removal</w:t>
      </w:r>
      <w:r w:rsidR="00E5100E">
        <w:t>,</w:t>
      </w:r>
      <w:r w:rsidR="004E5B39">
        <w:t xml:space="preserve"> due to the lignocellulosic nature of the feedstock used.</w:t>
      </w:r>
      <w:r w:rsidR="00E5100E">
        <w:t xml:space="preserve"> The </w:t>
      </w:r>
      <w:r w:rsidR="00253857">
        <w:t>scope</w:t>
      </w:r>
      <w:r w:rsidR="00E5100E">
        <w:t xml:space="preserve"> of this work is to extend the research of Hamidi et al. (2022) to protein</w:t>
      </w:r>
      <w:r w:rsidR="00CC3D0E">
        <w:t>-</w:t>
      </w:r>
      <w:r w:rsidR="00E5100E">
        <w:t>rich biomass, as municipal sewage sludge, to investigate the fate of nitrogen containing molecules</w:t>
      </w:r>
      <w:r w:rsidR="00CC3D0E">
        <w:t>,</w:t>
      </w:r>
      <w:r w:rsidR="00E5100E">
        <w:t xml:space="preserve"> during hydrothermal upgrading in presence of zero valent Fe and Zn as in-situ hydrogen generators</w:t>
      </w:r>
      <w:r w:rsidR="00CC3D0E">
        <w:t xml:space="preserve">. </w:t>
      </w:r>
      <w:r w:rsidR="009B7A80">
        <w:t xml:space="preserve">This study also </w:t>
      </w:r>
      <w:r w:rsidR="008F4B50">
        <w:t>monitors the fate of</w:t>
      </w:r>
      <w:r w:rsidR="009B7A80">
        <w:t xml:space="preserve"> the main detected key compounds involved in the process, </w:t>
      </w:r>
      <w:r w:rsidR="008F4B50">
        <w:t>trying to recognize differences that can be addressed to the use of ZVMs in the reaction medium.</w:t>
      </w:r>
    </w:p>
    <w:p w14:paraId="1F70E628" w14:textId="127559DF" w:rsidR="00130BEB" w:rsidRDefault="00130BEB" w:rsidP="00130BEB">
      <w:pPr>
        <w:pStyle w:val="CETHeading1"/>
        <w:rPr>
          <w:lang w:val="en-GB"/>
        </w:rPr>
      </w:pPr>
      <w:r>
        <w:rPr>
          <w:lang w:val="en-GB"/>
        </w:rPr>
        <w:t>Materials and methods</w:t>
      </w:r>
    </w:p>
    <w:p w14:paraId="20D39C62" w14:textId="2A13783A" w:rsidR="0058406E" w:rsidRPr="0058406E" w:rsidRDefault="0058406E" w:rsidP="0058406E">
      <w:pPr>
        <w:pStyle w:val="CETheadingx"/>
      </w:pPr>
      <w:r>
        <w:t>Materials</w:t>
      </w:r>
    </w:p>
    <w:p w14:paraId="156C513C" w14:textId="6365367C" w:rsidR="00254406" w:rsidRDefault="007E7915" w:rsidP="007E7915">
      <w:pPr>
        <w:pStyle w:val="CETBodytext"/>
        <w:rPr>
          <w:lang w:val="en-GB"/>
        </w:rPr>
      </w:pPr>
      <w:r>
        <w:rPr>
          <w:lang w:val="en-GB"/>
        </w:rPr>
        <w:t>Anaerobically d</w:t>
      </w:r>
      <w:r w:rsidR="00C72F38">
        <w:rPr>
          <w:lang w:val="en-GB"/>
        </w:rPr>
        <w:t xml:space="preserve">igested sewage sludge was </w:t>
      </w:r>
      <w:r w:rsidR="000052BC">
        <w:rPr>
          <w:lang w:val="en-GB"/>
        </w:rPr>
        <w:t>sourced from</w:t>
      </w:r>
      <w:r w:rsidR="00C72F38">
        <w:rPr>
          <w:lang w:val="en-GB"/>
        </w:rPr>
        <w:t xml:space="preserve"> a municipal wastewater treatment</w:t>
      </w:r>
      <w:r w:rsidR="000052BC">
        <w:rPr>
          <w:lang w:val="en-GB"/>
        </w:rPr>
        <w:t xml:space="preserve"> plant in</w:t>
      </w:r>
      <w:r w:rsidR="00C72F38">
        <w:rPr>
          <w:lang w:val="en-GB"/>
        </w:rPr>
        <w:t xml:space="preserve"> central Italy and used as</w:t>
      </w:r>
      <w:r w:rsidR="000052BC">
        <w:rPr>
          <w:lang w:val="en-GB"/>
        </w:rPr>
        <w:t xml:space="preserve"> the</w:t>
      </w:r>
      <w:r w:rsidR="00C72F38">
        <w:rPr>
          <w:lang w:val="en-GB"/>
        </w:rPr>
        <w:t xml:space="preserve"> feedstock for this </w:t>
      </w:r>
      <w:r w:rsidR="000052BC">
        <w:rPr>
          <w:lang w:val="en-GB"/>
        </w:rPr>
        <w:t>study</w:t>
      </w:r>
      <w:r w:rsidR="00C72F38">
        <w:rPr>
          <w:lang w:val="en-GB"/>
        </w:rPr>
        <w:t>. Acetone (</w:t>
      </w:r>
      <w:r w:rsidR="00C72F38">
        <w:rPr>
          <w:rFonts w:ascii="Calibri" w:hAnsi="Calibri" w:cs="Calibri"/>
          <w:lang w:val="en-GB"/>
        </w:rPr>
        <w:t>≥</w:t>
      </w:r>
      <w:r>
        <w:rPr>
          <w:lang w:val="en-GB"/>
        </w:rPr>
        <w:t xml:space="preserve"> 99.5%)</w:t>
      </w:r>
      <w:r w:rsidR="00C72F38">
        <w:rPr>
          <w:lang w:val="en-GB"/>
        </w:rPr>
        <w:t xml:space="preserve"> was purchased by </w:t>
      </w:r>
      <w:r>
        <w:rPr>
          <w:lang w:val="en-GB"/>
        </w:rPr>
        <w:t xml:space="preserve">Honeywell Chemicals and used as received. </w:t>
      </w:r>
      <w:r w:rsidR="000052BC">
        <w:rPr>
          <w:lang w:val="en-GB"/>
        </w:rPr>
        <w:t>Before processing</w:t>
      </w:r>
      <w:r>
        <w:rPr>
          <w:lang w:val="en-GB"/>
        </w:rPr>
        <w:t>, the sludge was</w:t>
      </w:r>
      <w:r w:rsidR="002512CE">
        <w:rPr>
          <w:lang w:val="en-GB"/>
        </w:rPr>
        <w:t xml:space="preserve"> oven-</w:t>
      </w:r>
      <w:r>
        <w:rPr>
          <w:lang w:val="en-GB"/>
        </w:rPr>
        <w:t>dried at 105 °C for 24 hours</w:t>
      </w:r>
      <w:r w:rsidR="002512CE">
        <w:rPr>
          <w:lang w:val="en-GB"/>
        </w:rPr>
        <w:t xml:space="preserve">, following a widely used procedure based on ASTM D4442-07 </w:t>
      </w:r>
      <w:r w:rsidR="002512CE">
        <w:rPr>
          <w:lang w:val="en-GB"/>
        </w:rPr>
        <w:fldChar w:fldCharType="begin"/>
      </w:r>
      <w:r w:rsidR="002512CE">
        <w:rPr>
          <w:lang w:val="en-GB"/>
        </w:rPr>
        <w:instrText xml:space="preserve"> ADDIN ZOTERO_ITEM CSL_CITATION {"citationID":"ZyZwAXhX","properties":{"formattedCitation":"(Chen et al., 2014)","plainCitation":"(Chen et al., 2014)","noteIndex":0},"citationItems":[{"id":603,"uris":["http://zotero.org/users/11880198/items/PPHC4YBX"],"itemData":{"id":603,"type":"article-journal","abstract":"The purpose of this study was to investigate the effect of Microwave (MW) power levels (480 to 1080 W) and sample mass (90 to 150 g) on the drying characteristics of the sewage sludge. The drying tests were carried out using a modified domestic microwave unit with a process control system. The results showed that drying rate was directly proportional to the MW power, but inversely proportional to the sample mass. The desired temperature could be achieved in short period of time at higher power level. MW drying showed a significant increase (from 5.65 MJ/kg to 18.75 MJ/kg) in calorific value of sewage sludge.","container-title":"Journal of Clean Energy Technologies","DOI":"10.7763/JOCET.2014.V2.140","ISSN":"1793821X","journalAbbreviation":"JOCET","language":"en","page":"282-286","source":"DOI.org (Crossref)","title":"Microwave Drying of Wastewater Sewage Sludge","author":[{"family":"Chen","given":"Zhenyu"},{"family":"Afzal","given":"Muhammad T."},{"family":"Salema","given":"Arshad Adam"}],"issued":{"date-parts":[["2014"]]}}}],"schema":"https://github.com/citation-style-language/schema/raw/master/csl-citation.json"} </w:instrText>
      </w:r>
      <w:r w:rsidR="002512CE">
        <w:rPr>
          <w:lang w:val="en-GB"/>
        </w:rPr>
        <w:fldChar w:fldCharType="separate"/>
      </w:r>
      <w:r w:rsidR="002512CE" w:rsidRPr="002512CE">
        <w:rPr>
          <w:rFonts w:cs="Arial"/>
        </w:rPr>
        <w:t>(Chen et al., 2014)</w:t>
      </w:r>
      <w:r w:rsidR="002512CE">
        <w:rPr>
          <w:lang w:val="en-GB"/>
        </w:rPr>
        <w:fldChar w:fldCharType="end"/>
      </w:r>
      <w:r w:rsidR="002512CE">
        <w:rPr>
          <w:lang w:val="en-GB"/>
        </w:rPr>
        <w:t>,</w:t>
      </w:r>
      <w:r>
        <w:rPr>
          <w:lang w:val="en-GB"/>
        </w:rPr>
        <w:t xml:space="preserve"> and characterized </w:t>
      </w:r>
      <w:r w:rsidR="000052BC">
        <w:rPr>
          <w:lang w:val="en-GB"/>
        </w:rPr>
        <w:t>through</w:t>
      </w:r>
      <w:r>
        <w:rPr>
          <w:lang w:val="en-GB"/>
        </w:rPr>
        <w:t xml:space="preserve"> proximate</w:t>
      </w:r>
      <w:r w:rsidR="000052BC">
        <w:rPr>
          <w:lang w:val="en-GB"/>
        </w:rPr>
        <w:t xml:space="preserve"> and</w:t>
      </w:r>
      <w:r>
        <w:rPr>
          <w:lang w:val="en-GB"/>
        </w:rPr>
        <w:t xml:space="preserve"> ultimate analysis. </w:t>
      </w:r>
      <w:r w:rsidR="00F97053">
        <w:rPr>
          <w:lang w:val="en-GB"/>
        </w:rPr>
        <w:t xml:space="preserve">Proximate analysis was </w:t>
      </w:r>
      <w:r w:rsidR="000052BC">
        <w:rPr>
          <w:lang w:val="en-GB"/>
        </w:rPr>
        <w:t>conducted</w:t>
      </w:r>
      <w:r w:rsidR="00F97053">
        <w:rPr>
          <w:lang w:val="en-GB"/>
        </w:rPr>
        <w:t xml:space="preserve"> via thermogravimetric analysis</w:t>
      </w:r>
      <w:r w:rsidR="000052BC">
        <w:rPr>
          <w:lang w:val="en-GB"/>
        </w:rPr>
        <w:t xml:space="preserve"> (TGA)</w:t>
      </w:r>
      <w:r w:rsidR="00F97053">
        <w:rPr>
          <w:lang w:val="en-GB"/>
        </w:rPr>
        <w:t xml:space="preserve"> using a</w:t>
      </w:r>
      <w:r w:rsidR="000052BC">
        <w:rPr>
          <w:lang w:val="en-GB"/>
        </w:rPr>
        <w:t xml:space="preserve"> Mettler-Toledo</w:t>
      </w:r>
      <w:r w:rsidR="00F97053">
        <w:rPr>
          <w:lang w:val="en-GB"/>
        </w:rPr>
        <w:t xml:space="preserve"> TGA/DSC1</w:t>
      </w:r>
      <w:r w:rsidR="000052BC">
        <w:rPr>
          <w:lang w:val="en-GB"/>
        </w:rPr>
        <w:t>, measuring</w:t>
      </w:r>
      <w:r w:rsidR="00F97053">
        <w:rPr>
          <w:lang w:val="en-GB"/>
        </w:rPr>
        <w:t xml:space="preserve"> the mass fraction </w:t>
      </w:r>
      <w:r w:rsidR="000052BC">
        <w:rPr>
          <w:lang w:val="en-GB"/>
        </w:rPr>
        <w:t>of</w:t>
      </w:r>
      <w:r w:rsidR="00F97053">
        <w:rPr>
          <w:lang w:val="en-GB"/>
        </w:rPr>
        <w:t xml:space="preserve"> moisture, volatile matter, fixed carbon and ash </w:t>
      </w:r>
      <w:r w:rsidR="000052BC">
        <w:rPr>
          <w:lang w:val="en-GB"/>
        </w:rPr>
        <w:t>in</w:t>
      </w:r>
      <w:r w:rsidR="00F97053">
        <w:rPr>
          <w:lang w:val="en-GB"/>
        </w:rPr>
        <w:t xml:space="preserve"> the dried sludge. Ultimate analysis was </w:t>
      </w:r>
      <w:r w:rsidR="00064064">
        <w:rPr>
          <w:lang w:val="en-GB"/>
        </w:rPr>
        <w:t xml:space="preserve">performed with </w:t>
      </w:r>
      <w:r w:rsidR="00F97053">
        <w:rPr>
          <w:lang w:val="en-GB"/>
        </w:rPr>
        <w:t>a</w:t>
      </w:r>
      <w:r w:rsidR="00064064">
        <w:rPr>
          <w:lang w:val="en-GB"/>
        </w:rPr>
        <w:t xml:space="preserve"> </w:t>
      </w:r>
      <w:proofErr w:type="spellStart"/>
      <w:r w:rsidR="00064064">
        <w:rPr>
          <w:lang w:val="en-GB"/>
        </w:rPr>
        <w:t>Eurovector</w:t>
      </w:r>
      <w:proofErr w:type="spellEnd"/>
      <w:r w:rsidR="00BE580F">
        <w:rPr>
          <w:lang w:val="en-GB"/>
        </w:rPr>
        <w:t xml:space="preserve"> EA3000 elemental </w:t>
      </w:r>
      <w:proofErr w:type="spellStart"/>
      <w:r w:rsidR="00BE580F">
        <w:rPr>
          <w:lang w:val="en-GB"/>
        </w:rPr>
        <w:t>analy</w:t>
      </w:r>
      <w:r w:rsidR="00064064">
        <w:rPr>
          <w:lang w:val="en-GB"/>
        </w:rPr>
        <w:t>z</w:t>
      </w:r>
      <w:r w:rsidR="00BE580F">
        <w:rPr>
          <w:lang w:val="en-GB"/>
        </w:rPr>
        <w:t>er</w:t>
      </w:r>
      <w:proofErr w:type="spellEnd"/>
      <w:r w:rsidR="00F97053">
        <w:rPr>
          <w:lang w:val="en-GB"/>
        </w:rPr>
        <w:t>, using sulphanilamide as</w:t>
      </w:r>
      <w:r w:rsidR="00064064">
        <w:rPr>
          <w:lang w:val="en-GB"/>
        </w:rPr>
        <w:t xml:space="preserve"> </w:t>
      </w:r>
      <w:r w:rsidR="00F97053">
        <w:rPr>
          <w:lang w:val="en-GB"/>
        </w:rPr>
        <w:t xml:space="preserve">CHNS </w:t>
      </w:r>
      <w:r w:rsidR="00064064">
        <w:rPr>
          <w:lang w:val="en-GB"/>
        </w:rPr>
        <w:t>standard</w:t>
      </w:r>
      <w:r w:rsidR="00F97053">
        <w:rPr>
          <w:lang w:val="en-GB"/>
        </w:rPr>
        <w:t>. The</w:t>
      </w:r>
      <w:r w:rsidR="00981C16">
        <w:rPr>
          <w:lang w:val="en-GB"/>
        </w:rPr>
        <w:t xml:space="preserve"> higher heating value</w:t>
      </w:r>
      <w:r w:rsidR="00F97053">
        <w:rPr>
          <w:lang w:val="en-GB"/>
        </w:rPr>
        <w:t xml:space="preserve"> </w:t>
      </w:r>
      <w:r w:rsidR="00981C16">
        <w:rPr>
          <w:lang w:val="en-GB"/>
        </w:rPr>
        <w:t>(</w:t>
      </w:r>
      <w:r w:rsidR="00F97053">
        <w:rPr>
          <w:lang w:val="en-GB"/>
        </w:rPr>
        <w:t>HHV</w:t>
      </w:r>
      <w:r w:rsidR="00981C16">
        <w:rPr>
          <w:lang w:val="en-GB"/>
        </w:rPr>
        <w:t>)</w:t>
      </w:r>
      <w:r w:rsidR="00F97053">
        <w:rPr>
          <w:lang w:val="en-GB"/>
        </w:rPr>
        <w:t xml:space="preserve"> was </w:t>
      </w:r>
      <w:r w:rsidR="00064064">
        <w:rPr>
          <w:lang w:val="en-GB"/>
        </w:rPr>
        <w:t>estimated</w:t>
      </w:r>
      <w:r w:rsidR="00254406">
        <w:rPr>
          <w:lang w:val="en-GB"/>
        </w:rPr>
        <w:t xml:space="preserve"> from the elemental composition using Dulong</w:t>
      </w:r>
      <w:r w:rsidR="00D25B80">
        <w:rPr>
          <w:lang w:val="en-GB"/>
        </w:rPr>
        <w:t>’s</w:t>
      </w:r>
      <w:r w:rsidR="00254406">
        <w:rPr>
          <w:lang w:val="en-GB"/>
        </w:rPr>
        <w:t xml:space="preserve"> formula </w:t>
      </w:r>
      <w:r w:rsidR="00254406">
        <w:rPr>
          <w:lang w:val="en-GB"/>
        </w:rPr>
        <w:fldChar w:fldCharType="begin"/>
      </w:r>
      <w:r w:rsidR="00254406">
        <w:rPr>
          <w:lang w:val="en-GB"/>
        </w:rPr>
        <w:instrText xml:space="preserve"> ADDIN ZOTERO_ITEM CSL_CITATION {"citationID":"VZGvck74","properties":{"formattedCitation":"(Wang et al., 2022)","plainCitation":"(Wang et al., 2022)","noteIndex":0},"citationItems":[{"id":593,"uris":["http://zotero.org/users/11880198/items/FA5LYZD3"],"itemData":{"id":593,"type":"article-journal","abstract":"In this study, a high-boiling point fraction (HBF, 141-220 ◦C) from vacuum distillation of a biocrude produced from hydrothermal liquefaction of soybean straw was hydrotreated in a hydrogen donor solvent (HDS) mixture consisting of tetralin and decalin at a mass ratio of 1:1. Effects of temperature (300–450 ◦C), time (1–6 h), H2 pressure (0.01–10 MPa), and Pt/C loading (0–40 wt%) on the products distribution and properties of the treated oil were examined. Increasing the temperature, time, and catalyst loading or decreasing the H2 pressure would reduce the treated oil yield and increase the gas and solid product yields. The presence of HDS mixture played a critical role in favoring the production of treated oil, reducing the formation of gas and solid products, and the removal of N, O, and S from the HBF. Under optimal reaction conditions, 96.3% of N, 87.1% of O, and 98.5% of S were removed from the initial feedstock. The treated oil mainly consisted of saturated hydrocarbon(~40%, C8C20) and aromatics(~41%, naphthalene and benzene derivatives), which was had a comparable cetane number and better combustion characteristics relative to the market 0# diesel.","container-title":"Fuel","DOI":"10.1016/j.fuel.2021.122126","ISSN":"00162361","journalAbbreviation":"Fuel","language":"en","page":"122126","source":"DOI.org (Crossref)","title":"Catalytic hydrotreatment of the high-boiling-point fraction of soybean straw biocrude in a mixed hydrogen donor","volume":"310","author":[{"family":"Wang","given":"Zhi-Cong"},{"family":"Chen","given":"Dabo"},{"family":"Shan","given":"Ya-Qi"},{"family":"Lin","given":"Lin-Xin"},{"family":"Duan","given":"Pei-Gao"}],"issued":{"date-parts":[["2022",2]]}}}],"schema":"https://github.com/citation-style-language/schema/raw/master/csl-citation.json"} </w:instrText>
      </w:r>
      <w:r w:rsidR="00254406">
        <w:rPr>
          <w:lang w:val="en-GB"/>
        </w:rPr>
        <w:fldChar w:fldCharType="separate"/>
      </w:r>
      <w:r w:rsidR="00254406" w:rsidRPr="00254406">
        <w:rPr>
          <w:rFonts w:cs="Arial"/>
        </w:rPr>
        <w:t>(Wang et al., 2022)</w:t>
      </w:r>
      <w:r w:rsidR="00254406">
        <w:rPr>
          <w:lang w:val="en-GB"/>
        </w:rPr>
        <w:fldChar w:fldCharType="end"/>
      </w:r>
      <w:r w:rsidR="00254406">
        <w:rPr>
          <w:lang w:val="en-GB"/>
        </w:rPr>
        <w:t xml:space="preserve">, reported in </w:t>
      </w:r>
      <w:proofErr w:type="spellStart"/>
      <w:r w:rsidR="00254406">
        <w:rPr>
          <w:lang w:val="en-GB"/>
        </w:rPr>
        <w:t>Eq</w:t>
      </w:r>
      <w:proofErr w:type="spellEnd"/>
      <w:r w:rsidR="00254406">
        <w:rPr>
          <w:lang w:val="en-GB"/>
        </w:rPr>
        <w:t>(1)</w:t>
      </w:r>
      <w:r w:rsidR="006342C8">
        <w:rPr>
          <w:lang w:val="en-GB"/>
        </w:rPr>
        <w:t>.</w:t>
      </w:r>
    </w:p>
    <w:tbl>
      <w:tblPr>
        <w:tblW w:w="5000" w:type="pct"/>
        <w:tblLook w:val="04A0" w:firstRow="1" w:lastRow="0" w:firstColumn="1" w:lastColumn="0" w:noHBand="0" w:noVBand="1"/>
      </w:tblPr>
      <w:tblGrid>
        <w:gridCol w:w="7983"/>
        <w:gridCol w:w="804"/>
      </w:tblGrid>
      <w:tr w:rsidR="00254406" w:rsidRPr="00B57B36" w14:paraId="29E7A0E5" w14:textId="77777777" w:rsidTr="00254406">
        <w:tc>
          <w:tcPr>
            <w:tcW w:w="7983" w:type="dxa"/>
            <w:shd w:val="clear" w:color="auto" w:fill="auto"/>
            <w:vAlign w:val="center"/>
          </w:tcPr>
          <w:p w14:paraId="3408D3E0" w14:textId="449BBF75" w:rsidR="00254406" w:rsidRPr="00B57B36" w:rsidRDefault="00254406">
            <w:pPr>
              <w:pStyle w:val="CETEquation"/>
            </w:pPr>
            <m:oMath>
              <m:r>
                <w:rPr>
                  <w:rFonts w:ascii="Cambria Math" w:hAnsi="Cambria Math"/>
                </w:rPr>
                <m:t xml:space="preserve">HHV </m:t>
              </m:r>
              <m:d>
                <m:dPr>
                  <m:ctrlPr>
                    <w:rPr>
                      <w:rFonts w:ascii="Cambria Math" w:hAnsi="Cambria Math"/>
                      <w:i/>
                    </w:rPr>
                  </m:ctrlPr>
                </m:dPr>
                <m:e>
                  <m:r>
                    <w:rPr>
                      <w:rFonts w:ascii="Cambria Math" w:hAnsi="Cambria Math"/>
                    </w:rPr>
                    <m:t xml:space="preserve">MJ </m:t>
                  </m:r>
                  <m:sSup>
                    <m:sSupPr>
                      <m:ctrlPr>
                        <w:rPr>
                          <w:rFonts w:ascii="Cambria Math" w:hAnsi="Cambria Math"/>
                          <w:i/>
                        </w:rPr>
                      </m:ctrlPr>
                    </m:sSupPr>
                    <m:e>
                      <m:r>
                        <w:rPr>
                          <w:rFonts w:ascii="Cambria Math" w:hAnsi="Cambria Math"/>
                        </w:rPr>
                        <m:t>kg</m:t>
                      </m:r>
                    </m:e>
                    <m:sup>
                      <m:r>
                        <w:rPr>
                          <w:rFonts w:ascii="Cambria Math" w:hAnsi="Cambria Math"/>
                        </w:rPr>
                        <m:t>-1</m:t>
                      </m:r>
                    </m:sup>
                  </m:sSup>
                </m:e>
              </m:d>
              <m:r>
                <w:rPr>
                  <w:rFonts w:ascii="Cambria Math" w:hAnsi="Cambria Math"/>
                </w:rPr>
                <m:t>=0.338 ∙ C</m:t>
              </m:r>
              <m:d>
                <m:dPr>
                  <m:ctrlPr>
                    <w:rPr>
                      <w:rFonts w:ascii="Cambria Math" w:hAnsi="Cambria Math"/>
                      <w:i/>
                    </w:rPr>
                  </m:ctrlPr>
                </m:dPr>
                <m:e>
                  <m:r>
                    <w:rPr>
                      <w:rFonts w:ascii="Cambria Math" w:hAnsi="Cambria Math"/>
                    </w:rPr>
                    <m:t>%</m:t>
                  </m:r>
                </m:e>
              </m:d>
              <m:r>
                <w:rPr>
                  <w:rFonts w:ascii="Cambria Math" w:hAnsi="Cambria Math"/>
                </w:rPr>
                <m:t>+1.428 ∙</m:t>
              </m:r>
              <m:d>
                <m:dPr>
                  <m:ctrlPr>
                    <w:rPr>
                      <w:rFonts w:ascii="Cambria Math" w:hAnsi="Cambria Math"/>
                      <w:i/>
                    </w:rPr>
                  </m:ctrlPr>
                </m:dPr>
                <m:e>
                  <m:r>
                    <w:rPr>
                      <w:rFonts w:ascii="Cambria Math" w:hAnsi="Cambria Math"/>
                    </w:rPr>
                    <m:t>H</m:t>
                  </m:r>
                  <m:d>
                    <m:dPr>
                      <m:ctrlPr>
                        <w:rPr>
                          <w:rFonts w:ascii="Cambria Math" w:hAnsi="Cambria Math"/>
                          <w:i/>
                        </w:rPr>
                      </m:ctrlPr>
                    </m:dPr>
                    <m:e>
                      <m:r>
                        <w:rPr>
                          <w:rFonts w:ascii="Cambria Math" w:hAnsi="Cambria Math"/>
                        </w:rPr>
                        <m:t>%</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∙O</m:t>
                  </m:r>
                  <m:d>
                    <m:dPr>
                      <m:ctrlPr>
                        <w:rPr>
                          <w:rFonts w:ascii="Cambria Math" w:hAnsi="Cambria Math"/>
                          <w:i/>
                        </w:rPr>
                      </m:ctrlPr>
                    </m:dPr>
                    <m:e>
                      <m:r>
                        <w:rPr>
                          <w:rFonts w:ascii="Cambria Math" w:hAnsi="Cambria Math"/>
                        </w:rPr>
                        <m:t>%</m:t>
                      </m:r>
                    </m:e>
                  </m:d>
                </m:e>
              </m:d>
              <m:r>
                <w:rPr>
                  <w:rFonts w:ascii="Cambria Math" w:hAnsi="Cambria Math"/>
                </w:rPr>
                <m:t>+0.095 ∙S(%)</m:t>
              </m:r>
            </m:oMath>
            <w:r>
              <w:t xml:space="preserve"> </w:t>
            </w:r>
          </w:p>
        </w:tc>
        <w:tc>
          <w:tcPr>
            <w:tcW w:w="804" w:type="dxa"/>
            <w:shd w:val="clear" w:color="auto" w:fill="auto"/>
            <w:vAlign w:val="center"/>
          </w:tcPr>
          <w:p w14:paraId="51B50E04" w14:textId="77777777" w:rsidR="00254406" w:rsidRPr="00B57B36" w:rsidRDefault="00254406">
            <w:pPr>
              <w:pStyle w:val="CETEquation"/>
              <w:jc w:val="right"/>
            </w:pPr>
            <w:r w:rsidRPr="00B57B36">
              <w:t>(1)</w:t>
            </w:r>
          </w:p>
        </w:tc>
      </w:tr>
    </w:tbl>
    <w:p w14:paraId="2147B359" w14:textId="4CBAC877" w:rsidR="00010B49" w:rsidRDefault="006342C8" w:rsidP="007E7915">
      <w:pPr>
        <w:pStyle w:val="CETBodytext"/>
        <w:rPr>
          <w:lang w:val="en-GB"/>
        </w:rPr>
      </w:pPr>
      <w:r>
        <w:rPr>
          <w:lang w:val="en-GB"/>
        </w:rPr>
        <w:t>The results</w:t>
      </w:r>
      <w:r w:rsidR="0058406E">
        <w:rPr>
          <w:lang w:val="en-GB"/>
        </w:rPr>
        <w:t xml:space="preserve"> of the proximate analysis are reported in </w:t>
      </w:r>
      <w:r w:rsidR="00C87CED">
        <w:rPr>
          <w:lang w:val="en-GB"/>
        </w:rPr>
        <w:t>T</w:t>
      </w:r>
      <w:r w:rsidR="0058406E">
        <w:rPr>
          <w:lang w:val="en-GB"/>
        </w:rPr>
        <w:t>able 1, while the results of ultimate analysis and</w:t>
      </w:r>
      <w:r w:rsidR="00010B49">
        <w:rPr>
          <w:lang w:val="en-GB"/>
        </w:rPr>
        <w:t xml:space="preserve"> calculated HHVs</w:t>
      </w:r>
      <w:r w:rsidR="0058406E">
        <w:rPr>
          <w:lang w:val="en-GB"/>
        </w:rPr>
        <w:t xml:space="preserve"> are reported in </w:t>
      </w:r>
      <w:r w:rsidR="00C87CED">
        <w:rPr>
          <w:lang w:val="en-GB"/>
        </w:rPr>
        <w:t>T</w:t>
      </w:r>
      <w:r w:rsidR="0058406E">
        <w:rPr>
          <w:lang w:val="en-GB"/>
        </w:rPr>
        <w:t>able 2</w:t>
      </w:r>
      <w:r>
        <w:rPr>
          <w:lang w:val="en-GB"/>
        </w:rPr>
        <w:t>.</w:t>
      </w:r>
    </w:p>
    <w:p w14:paraId="27E9DC8C" w14:textId="089822DA" w:rsidR="00914747" w:rsidRDefault="006342C8" w:rsidP="006342C8">
      <w:pPr>
        <w:pStyle w:val="CETTabletitle"/>
      </w:pPr>
      <w:r>
        <w:t>Table 1</w:t>
      </w:r>
      <w:r w:rsidR="00EA7BA6">
        <w:t>:</w:t>
      </w:r>
      <w:r>
        <w:t xml:space="preserve"> </w:t>
      </w:r>
      <w:r w:rsidR="0058406E">
        <w:t>Proximate analysis of the dry feedstock</w:t>
      </w:r>
    </w:p>
    <w:tbl>
      <w:tblPr>
        <w:tblW w:w="8648"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49"/>
        <w:gridCol w:w="2176"/>
        <w:gridCol w:w="2147"/>
        <w:gridCol w:w="2176"/>
      </w:tblGrid>
      <w:tr w:rsidR="00914747" w:rsidRPr="00B57B36" w14:paraId="68EB4B1B" w14:textId="77777777" w:rsidTr="00914747">
        <w:trPr>
          <w:trHeight w:val="496"/>
        </w:trPr>
        <w:tc>
          <w:tcPr>
            <w:tcW w:w="2149" w:type="dxa"/>
            <w:tcBorders>
              <w:top w:val="single" w:sz="12" w:space="0" w:color="008000"/>
              <w:bottom w:val="single" w:sz="6" w:space="0" w:color="008000"/>
            </w:tcBorders>
            <w:shd w:val="clear" w:color="auto" w:fill="FFFFFF"/>
            <w:vAlign w:val="center"/>
          </w:tcPr>
          <w:p w14:paraId="7BE79AEF" w14:textId="0A25E870" w:rsidR="00914747" w:rsidRPr="00B57B36" w:rsidRDefault="00914747" w:rsidP="00914747">
            <w:pPr>
              <w:pStyle w:val="CETBodytext"/>
              <w:jc w:val="left"/>
              <w:rPr>
                <w:lang w:val="en-GB"/>
              </w:rPr>
            </w:pPr>
            <w:r>
              <w:rPr>
                <w:lang w:val="en-GB"/>
              </w:rPr>
              <w:t>Moisture (% wt.)</w:t>
            </w:r>
          </w:p>
        </w:tc>
        <w:tc>
          <w:tcPr>
            <w:tcW w:w="2176" w:type="dxa"/>
            <w:tcBorders>
              <w:top w:val="single" w:sz="12" w:space="0" w:color="008000"/>
              <w:bottom w:val="single" w:sz="6" w:space="0" w:color="008000"/>
            </w:tcBorders>
            <w:shd w:val="clear" w:color="auto" w:fill="FFFFFF"/>
            <w:vAlign w:val="center"/>
          </w:tcPr>
          <w:p w14:paraId="7F2FC20D" w14:textId="646F8C12" w:rsidR="00914747" w:rsidRPr="00B57B36" w:rsidRDefault="00914747" w:rsidP="00914747">
            <w:pPr>
              <w:pStyle w:val="CETBodytext"/>
              <w:jc w:val="left"/>
              <w:rPr>
                <w:lang w:val="en-GB"/>
              </w:rPr>
            </w:pPr>
            <w:r>
              <w:rPr>
                <w:lang w:val="en-GB"/>
              </w:rPr>
              <w:t>Volatile matter (% wt.)</w:t>
            </w:r>
          </w:p>
        </w:tc>
        <w:tc>
          <w:tcPr>
            <w:tcW w:w="2147" w:type="dxa"/>
            <w:tcBorders>
              <w:top w:val="single" w:sz="12" w:space="0" w:color="008000"/>
              <w:bottom w:val="single" w:sz="6" w:space="0" w:color="008000"/>
            </w:tcBorders>
            <w:shd w:val="clear" w:color="auto" w:fill="FFFFFF"/>
            <w:vAlign w:val="center"/>
          </w:tcPr>
          <w:p w14:paraId="6634570B" w14:textId="6AA20A14" w:rsidR="00914747" w:rsidRPr="00B57B36" w:rsidRDefault="00914747" w:rsidP="00914747">
            <w:pPr>
              <w:pStyle w:val="CETBodytext"/>
              <w:jc w:val="left"/>
              <w:rPr>
                <w:lang w:val="en-GB"/>
              </w:rPr>
            </w:pPr>
            <w:r>
              <w:rPr>
                <w:lang w:val="en-GB"/>
              </w:rPr>
              <w:t>Fixed carbon (% wt.)</w:t>
            </w:r>
          </w:p>
        </w:tc>
        <w:tc>
          <w:tcPr>
            <w:tcW w:w="2176" w:type="dxa"/>
            <w:tcBorders>
              <w:top w:val="single" w:sz="12" w:space="0" w:color="008000"/>
              <w:bottom w:val="single" w:sz="6" w:space="0" w:color="008000"/>
            </w:tcBorders>
            <w:shd w:val="clear" w:color="auto" w:fill="FFFFFF"/>
            <w:vAlign w:val="center"/>
          </w:tcPr>
          <w:p w14:paraId="00FC379D" w14:textId="1CBB346E" w:rsidR="00914747" w:rsidRPr="00B57B36" w:rsidRDefault="00914747" w:rsidP="00914747">
            <w:pPr>
              <w:pStyle w:val="CETBodytext"/>
              <w:ind w:right="-1"/>
              <w:jc w:val="left"/>
              <w:rPr>
                <w:rFonts w:cs="Arial"/>
                <w:szCs w:val="18"/>
                <w:lang w:val="en-GB"/>
              </w:rPr>
            </w:pPr>
            <w:r>
              <w:rPr>
                <w:rFonts w:cs="Arial"/>
                <w:szCs w:val="18"/>
                <w:lang w:val="en-GB"/>
              </w:rPr>
              <w:t>Ashes (% wt.)</w:t>
            </w:r>
          </w:p>
        </w:tc>
      </w:tr>
      <w:tr w:rsidR="00914747" w:rsidRPr="00B57B36" w14:paraId="2A95AA5A" w14:textId="77777777" w:rsidTr="00914747">
        <w:trPr>
          <w:trHeight w:val="383"/>
        </w:trPr>
        <w:tc>
          <w:tcPr>
            <w:tcW w:w="2149" w:type="dxa"/>
            <w:shd w:val="clear" w:color="auto" w:fill="FFFFFF"/>
            <w:vAlign w:val="center"/>
          </w:tcPr>
          <w:p w14:paraId="25AD2B51" w14:textId="5A1D00D7" w:rsidR="00914747" w:rsidRPr="00B57B36" w:rsidRDefault="00914747" w:rsidP="00914747">
            <w:pPr>
              <w:pStyle w:val="CETBodytext"/>
              <w:jc w:val="left"/>
              <w:rPr>
                <w:lang w:val="en-GB"/>
              </w:rPr>
            </w:pPr>
            <w:r>
              <w:rPr>
                <w:lang w:val="en-GB"/>
              </w:rPr>
              <w:t xml:space="preserve">0.9 </w:t>
            </w:r>
            <w:r>
              <w:rPr>
                <w:rFonts w:ascii="Calibri" w:hAnsi="Calibri" w:cs="Calibri"/>
                <w:lang w:val="en-GB"/>
              </w:rPr>
              <w:t>±</w:t>
            </w:r>
            <w:r>
              <w:rPr>
                <w:lang w:val="en-GB"/>
              </w:rPr>
              <w:t xml:space="preserve"> 0.2</w:t>
            </w:r>
          </w:p>
        </w:tc>
        <w:tc>
          <w:tcPr>
            <w:tcW w:w="2176" w:type="dxa"/>
            <w:shd w:val="clear" w:color="auto" w:fill="FFFFFF"/>
            <w:vAlign w:val="center"/>
          </w:tcPr>
          <w:p w14:paraId="7F639A77" w14:textId="58115D99" w:rsidR="00914747" w:rsidRPr="00B57B36" w:rsidRDefault="00914747" w:rsidP="00914747">
            <w:pPr>
              <w:pStyle w:val="CETBodytext"/>
              <w:jc w:val="left"/>
              <w:rPr>
                <w:lang w:val="en-GB"/>
              </w:rPr>
            </w:pPr>
            <w:r>
              <w:rPr>
                <w:lang w:val="en-GB"/>
              </w:rPr>
              <w:t xml:space="preserve">52.4 </w:t>
            </w:r>
            <w:r>
              <w:rPr>
                <w:rFonts w:ascii="Calibri" w:hAnsi="Calibri" w:cs="Calibri"/>
                <w:lang w:val="en-GB"/>
              </w:rPr>
              <w:t>±</w:t>
            </w:r>
            <w:r>
              <w:rPr>
                <w:lang w:val="en-GB"/>
              </w:rPr>
              <w:t xml:space="preserve"> 0.2</w:t>
            </w:r>
          </w:p>
        </w:tc>
        <w:tc>
          <w:tcPr>
            <w:tcW w:w="2147" w:type="dxa"/>
            <w:shd w:val="clear" w:color="auto" w:fill="FFFFFF"/>
            <w:vAlign w:val="center"/>
          </w:tcPr>
          <w:p w14:paraId="2B29B17B" w14:textId="22783F52" w:rsidR="00914747" w:rsidRPr="00B57B36" w:rsidRDefault="00914747" w:rsidP="00914747">
            <w:pPr>
              <w:pStyle w:val="CETBodytext"/>
              <w:jc w:val="left"/>
              <w:rPr>
                <w:lang w:val="en-GB"/>
              </w:rPr>
            </w:pPr>
            <w:r>
              <w:rPr>
                <w:lang w:val="en-GB"/>
              </w:rPr>
              <w:t xml:space="preserve">9.9 </w:t>
            </w:r>
            <w:r>
              <w:rPr>
                <w:rFonts w:ascii="Calibri" w:hAnsi="Calibri" w:cs="Calibri"/>
                <w:lang w:val="en-GB"/>
              </w:rPr>
              <w:t>±</w:t>
            </w:r>
            <w:r>
              <w:rPr>
                <w:lang w:val="en-GB"/>
              </w:rPr>
              <w:t xml:space="preserve"> 0.2</w:t>
            </w:r>
          </w:p>
        </w:tc>
        <w:tc>
          <w:tcPr>
            <w:tcW w:w="2176" w:type="dxa"/>
            <w:shd w:val="clear" w:color="auto" w:fill="FFFFFF"/>
            <w:vAlign w:val="center"/>
          </w:tcPr>
          <w:p w14:paraId="798A8509" w14:textId="02D3094A" w:rsidR="00914747" w:rsidRPr="00B57B36" w:rsidRDefault="00914747" w:rsidP="00914747">
            <w:pPr>
              <w:pStyle w:val="CETBodytext"/>
              <w:ind w:right="-1"/>
              <w:jc w:val="left"/>
              <w:rPr>
                <w:rFonts w:cs="Arial"/>
                <w:szCs w:val="18"/>
                <w:lang w:val="en-GB"/>
              </w:rPr>
            </w:pPr>
            <w:r>
              <w:rPr>
                <w:rFonts w:cs="Arial"/>
                <w:szCs w:val="18"/>
                <w:lang w:val="en-GB"/>
              </w:rPr>
              <w:t xml:space="preserve">36.8 </w:t>
            </w:r>
            <w:r>
              <w:rPr>
                <w:rFonts w:ascii="Calibri" w:hAnsi="Calibri" w:cs="Calibri"/>
                <w:szCs w:val="18"/>
                <w:lang w:val="en-GB"/>
              </w:rPr>
              <w:t>±</w:t>
            </w:r>
            <w:r>
              <w:rPr>
                <w:rFonts w:cs="Arial"/>
                <w:szCs w:val="18"/>
                <w:lang w:val="en-GB"/>
              </w:rPr>
              <w:t xml:space="preserve"> 0.3</w:t>
            </w:r>
          </w:p>
        </w:tc>
      </w:tr>
    </w:tbl>
    <w:p w14:paraId="1CB6C875" w14:textId="4C2AFD74" w:rsidR="00914747" w:rsidRDefault="00EE6F2F" w:rsidP="006342C8">
      <w:pPr>
        <w:pStyle w:val="CETTabletitle"/>
      </w:pPr>
      <w:r>
        <w:t>Table 2</w:t>
      </w:r>
      <w:r w:rsidR="00EA7BA6">
        <w:t>:</w:t>
      </w:r>
      <w:r>
        <w:t xml:space="preserve"> Ultimate analysis and </w:t>
      </w:r>
      <w:r w:rsidR="00F43548">
        <w:t xml:space="preserve">calculated </w:t>
      </w:r>
      <w:r>
        <w:t>HHV of the dry feedstock</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78"/>
        <w:gridCol w:w="1497"/>
        <w:gridCol w:w="1477"/>
        <w:gridCol w:w="1497"/>
        <w:gridCol w:w="1383"/>
        <w:gridCol w:w="1455"/>
      </w:tblGrid>
      <w:tr w:rsidR="00EE6F2F" w:rsidRPr="00B57B36" w14:paraId="5D10B9DB" w14:textId="530B0166" w:rsidTr="00EE6F2F">
        <w:trPr>
          <w:trHeight w:val="472"/>
        </w:trPr>
        <w:tc>
          <w:tcPr>
            <w:tcW w:w="1478" w:type="dxa"/>
            <w:tcBorders>
              <w:top w:val="single" w:sz="12" w:space="0" w:color="008000"/>
              <w:bottom w:val="single" w:sz="6" w:space="0" w:color="008000"/>
            </w:tcBorders>
            <w:shd w:val="clear" w:color="auto" w:fill="FFFFFF"/>
            <w:vAlign w:val="center"/>
          </w:tcPr>
          <w:p w14:paraId="4DD496AC" w14:textId="49089C49" w:rsidR="00EE6F2F" w:rsidRPr="00B57B36" w:rsidRDefault="00EE6F2F">
            <w:pPr>
              <w:pStyle w:val="CETBodytext"/>
              <w:jc w:val="left"/>
              <w:rPr>
                <w:lang w:val="en-GB"/>
              </w:rPr>
            </w:pPr>
            <w:r>
              <w:rPr>
                <w:lang w:val="en-GB"/>
              </w:rPr>
              <w:t>C (% wt.)</w:t>
            </w:r>
          </w:p>
        </w:tc>
        <w:tc>
          <w:tcPr>
            <w:tcW w:w="1497" w:type="dxa"/>
            <w:tcBorders>
              <w:top w:val="single" w:sz="12" w:space="0" w:color="008000"/>
              <w:bottom w:val="single" w:sz="6" w:space="0" w:color="008000"/>
            </w:tcBorders>
            <w:shd w:val="clear" w:color="auto" w:fill="FFFFFF"/>
            <w:vAlign w:val="center"/>
          </w:tcPr>
          <w:p w14:paraId="6FA52F8E" w14:textId="60403471" w:rsidR="00EE6F2F" w:rsidRPr="00B57B36" w:rsidRDefault="00EE6F2F">
            <w:pPr>
              <w:pStyle w:val="CETBodytext"/>
              <w:jc w:val="left"/>
              <w:rPr>
                <w:lang w:val="en-GB"/>
              </w:rPr>
            </w:pPr>
            <w:r>
              <w:rPr>
                <w:lang w:val="en-GB"/>
              </w:rPr>
              <w:t>H (% wt.)</w:t>
            </w:r>
          </w:p>
        </w:tc>
        <w:tc>
          <w:tcPr>
            <w:tcW w:w="1477" w:type="dxa"/>
            <w:tcBorders>
              <w:top w:val="single" w:sz="12" w:space="0" w:color="008000"/>
              <w:bottom w:val="single" w:sz="6" w:space="0" w:color="008000"/>
            </w:tcBorders>
            <w:shd w:val="clear" w:color="auto" w:fill="FFFFFF"/>
            <w:vAlign w:val="center"/>
          </w:tcPr>
          <w:p w14:paraId="2F1E4A15" w14:textId="26CCF48A" w:rsidR="00EE6F2F" w:rsidRPr="00B57B36" w:rsidRDefault="00EE6F2F">
            <w:pPr>
              <w:pStyle w:val="CETBodytext"/>
              <w:jc w:val="left"/>
              <w:rPr>
                <w:lang w:val="en-GB"/>
              </w:rPr>
            </w:pPr>
            <w:r>
              <w:rPr>
                <w:lang w:val="en-GB"/>
              </w:rPr>
              <w:t>N (% wt.)</w:t>
            </w:r>
          </w:p>
        </w:tc>
        <w:tc>
          <w:tcPr>
            <w:tcW w:w="1497" w:type="dxa"/>
            <w:tcBorders>
              <w:top w:val="single" w:sz="12" w:space="0" w:color="008000"/>
              <w:bottom w:val="single" w:sz="6" w:space="0" w:color="008000"/>
            </w:tcBorders>
            <w:shd w:val="clear" w:color="auto" w:fill="FFFFFF"/>
            <w:vAlign w:val="center"/>
          </w:tcPr>
          <w:p w14:paraId="380CC5E5" w14:textId="7CE6119F" w:rsidR="00EE6F2F" w:rsidRPr="00B57B36" w:rsidRDefault="00EE6F2F">
            <w:pPr>
              <w:pStyle w:val="CETBodytext"/>
              <w:ind w:right="-1"/>
              <w:jc w:val="left"/>
              <w:rPr>
                <w:rFonts w:cs="Arial"/>
                <w:szCs w:val="18"/>
                <w:lang w:val="en-GB"/>
              </w:rPr>
            </w:pPr>
            <w:r>
              <w:rPr>
                <w:rFonts w:cs="Arial"/>
                <w:szCs w:val="18"/>
                <w:lang w:val="en-GB"/>
              </w:rPr>
              <w:t>S (% wt.)</w:t>
            </w:r>
          </w:p>
        </w:tc>
        <w:tc>
          <w:tcPr>
            <w:tcW w:w="1383" w:type="dxa"/>
            <w:tcBorders>
              <w:top w:val="single" w:sz="12" w:space="0" w:color="008000"/>
              <w:bottom w:val="single" w:sz="6" w:space="0" w:color="008000"/>
            </w:tcBorders>
            <w:shd w:val="clear" w:color="auto" w:fill="FFFFFF"/>
            <w:vAlign w:val="center"/>
          </w:tcPr>
          <w:p w14:paraId="58194395" w14:textId="5DD559F1" w:rsidR="00EE6F2F" w:rsidRDefault="00EE6F2F" w:rsidP="00EE6F2F">
            <w:pPr>
              <w:pStyle w:val="CETBodytext"/>
              <w:ind w:right="-1"/>
              <w:jc w:val="left"/>
              <w:rPr>
                <w:rFonts w:cs="Arial"/>
                <w:szCs w:val="18"/>
                <w:lang w:val="en-GB"/>
              </w:rPr>
            </w:pPr>
            <w:r>
              <w:rPr>
                <w:rFonts w:cs="Arial"/>
                <w:szCs w:val="18"/>
                <w:lang w:val="en-GB"/>
              </w:rPr>
              <w:t>O* (% wt.)</w:t>
            </w:r>
          </w:p>
        </w:tc>
        <w:tc>
          <w:tcPr>
            <w:tcW w:w="1455" w:type="dxa"/>
            <w:tcBorders>
              <w:top w:val="single" w:sz="12" w:space="0" w:color="008000"/>
              <w:bottom w:val="single" w:sz="6" w:space="0" w:color="008000"/>
            </w:tcBorders>
            <w:shd w:val="clear" w:color="auto" w:fill="FFFFFF"/>
            <w:vAlign w:val="center"/>
          </w:tcPr>
          <w:p w14:paraId="68418C08" w14:textId="5F263702" w:rsidR="00EE6F2F" w:rsidRDefault="00EE6F2F" w:rsidP="00EE6F2F">
            <w:pPr>
              <w:pStyle w:val="CETBodytext"/>
              <w:ind w:right="-1"/>
              <w:jc w:val="left"/>
              <w:rPr>
                <w:rFonts w:cs="Arial"/>
                <w:szCs w:val="18"/>
                <w:lang w:val="en-GB"/>
              </w:rPr>
            </w:pPr>
            <w:r w:rsidRPr="004F7290">
              <w:rPr>
                <w:rFonts w:cs="Arial"/>
                <w:szCs w:val="18"/>
                <w:lang w:val="en-GB"/>
              </w:rPr>
              <w:t>HHV (MJ kg</w:t>
            </w:r>
            <w:r w:rsidRPr="004F7290">
              <w:rPr>
                <w:rFonts w:cs="Arial"/>
                <w:szCs w:val="18"/>
                <w:vertAlign w:val="superscript"/>
                <w:lang w:val="en-GB"/>
              </w:rPr>
              <w:t>-1</w:t>
            </w:r>
            <w:r w:rsidRPr="004F7290">
              <w:rPr>
                <w:rFonts w:cs="Arial"/>
                <w:szCs w:val="18"/>
                <w:lang w:val="en-GB"/>
              </w:rPr>
              <w:t>)</w:t>
            </w:r>
          </w:p>
        </w:tc>
      </w:tr>
      <w:tr w:rsidR="00BE580F" w:rsidRPr="00B57B36" w14:paraId="71CA541F" w14:textId="35A5F0EA" w:rsidTr="00BE580F">
        <w:trPr>
          <w:trHeight w:val="365"/>
        </w:trPr>
        <w:tc>
          <w:tcPr>
            <w:tcW w:w="1478" w:type="dxa"/>
            <w:shd w:val="clear" w:color="auto" w:fill="FFFFFF"/>
            <w:vAlign w:val="center"/>
          </w:tcPr>
          <w:p w14:paraId="65B6F454" w14:textId="08896973" w:rsidR="00BE580F" w:rsidRPr="00B57B36" w:rsidRDefault="00BE580F" w:rsidP="00BE580F">
            <w:pPr>
              <w:pStyle w:val="CETBodytext"/>
              <w:jc w:val="left"/>
              <w:rPr>
                <w:lang w:val="en-GB"/>
              </w:rPr>
            </w:pPr>
            <w:r w:rsidRPr="006F37E0">
              <w:t>31.6</w:t>
            </w:r>
            <w:r>
              <w:t>2</w:t>
            </w:r>
          </w:p>
        </w:tc>
        <w:tc>
          <w:tcPr>
            <w:tcW w:w="1497" w:type="dxa"/>
            <w:shd w:val="clear" w:color="auto" w:fill="FFFFFF"/>
            <w:vAlign w:val="center"/>
          </w:tcPr>
          <w:p w14:paraId="36C81854" w14:textId="04C51888" w:rsidR="00BE580F" w:rsidRPr="00B57B36" w:rsidRDefault="00BE580F" w:rsidP="00BE580F">
            <w:pPr>
              <w:pStyle w:val="CETBodytext"/>
              <w:jc w:val="left"/>
              <w:rPr>
                <w:lang w:val="en-GB"/>
              </w:rPr>
            </w:pPr>
            <w:r w:rsidRPr="006F37E0">
              <w:t>4.3</w:t>
            </w:r>
            <w:r>
              <w:t>5</w:t>
            </w:r>
          </w:p>
        </w:tc>
        <w:tc>
          <w:tcPr>
            <w:tcW w:w="1477" w:type="dxa"/>
            <w:shd w:val="clear" w:color="auto" w:fill="FFFFFF"/>
            <w:vAlign w:val="center"/>
          </w:tcPr>
          <w:p w14:paraId="355A11E1" w14:textId="55F4E737" w:rsidR="00BE580F" w:rsidRPr="00B57B36" w:rsidRDefault="00BE580F" w:rsidP="00BE580F">
            <w:pPr>
              <w:pStyle w:val="CETBodytext"/>
              <w:jc w:val="left"/>
              <w:rPr>
                <w:lang w:val="en-GB"/>
              </w:rPr>
            </w:pPr>
            <w:r>
              <w:t>5.00</w:t>
            </w:r>
          </w:p>
        </w:tc>
        <w:tc>
          <w:tcPr>
            <w:tcW w:w="1497" w:type="dxa"/>
            <w:shd w:val="clear" w:color="auto" w:fill="FFFFFF"/>
            <w:vAlign w:val="center"/>
          </w:tcPr>
          <w:p w14:paraId="5B6CA387" w14:textId="59365012" w:rsidR="00BE580F" w:rsidRPr="00B57B36" w:rsidRDefault="00BE580F" w:rsidP="00BE580F">
            <w:pPr>
              <w:pStyle w:val="CETBodytext"/>
              <w:ind w:right="-1"/>
              <w:jc w:val="left"/>
              <w:rPr>
                <w:rFonts w:cs="Arial"/>
                <w:szCs w:val="18"/>
                <w:lang w:val="en-GB"/>
              </w:rPr>
            </w:pPr>
            <w:r w:rsidRPr="006F37E0">
              <w:t>0.4</w:t>
            </w:r>
            <w:r>
              <w:t>3</w:t>
            </w:r>
          </w:p>
        </w:tc>
        <w:tc>
          <w:tcPr>
            <w:tcW w:w="1383" w:type="dxa"/>
            <w:shd w:val="clear" w:color="auto" w:fill="FFFFFF"/>
            <w:vAlign w:val="center"/>
          </w:tcPr>
          <w:p w14:paraId="0066BF16" w14:textId="602156A2" w:rsidR="00BE580F" w:rsidRDefault="00BE580F" w:rsidP="00BE580F">
            <w:pPr>
              <w:pStyle w:val="CETBodytext"/>
              <w:ind w:right="-1"/>
              <w:jc w:val="left"/>
              <w:rPr>
                <w:rFonts w:cs="Arial"/>
                <w:szCs w:val="18"/>
                <w:lang w:val="en-GB"/>
              </w:rPr>
            </w:pPr>
            <w:r w:rsidRPr="006F37E0">
              <w:t>21.</w:t>
            </w:r>
            <w:r>
              <w:t>80</w:t>
            </w:r>
          </w:p>
        </w:tc>
        <w:tc>
          <w:tcPr>
            <w:tcW w:w="1455" w:type="dxa"/>
            <w:shd w:val="clear" w:color="auto" w:fill="FFFFFF"/>
            <w:vAlign w:val="center"/>
          </w:tcPr>
          <w:p w14:paraId="3A180AF6" w14:textId="2625BB4B" w:rsidR="00BE580F" w:rsidRDefault="00BE580F" w:rsidP="00BE580F">
            <w:pPr>
              <w:pStyle w:val="CETBodytext"/>
              <w:ind w:right="-1"/>
              <w:jc w:val="left"/>
              <w:rPr>
                <w:rFonts w:cs="Arial"/>
                <w:szCs w:val="18"/>
                <w:lang w:val="en-GB"/>
              </w:rPr>
            </w:pPr>
            <w:r>
              <w:rPr>
                <w:rFonts w:cs="Arial"/>
                <w:szCs w:val="18"/>
                <w:lang w:val="en-GB"/>
              </w:rPr>
              <w:t>13.</w:t>
            </w:r>
            <w:r w:rsidR="004F7290">
              <w:rPr>
                <w:rFonts w:cs="Arial"/>
                <w:szCs w:val="18"/>
                <w:lang w:val="en-GB"/>
              </w:rPr>
              <w:t>01</w:t>
            </w:r>
          </w:p>
        </w:tc>
      </w:tr>
    </w:tbl>
    <w:p w14:paraId="76C317E5" w14:textId="3C979EF2" w:rsidR="00EE6F2F" w:rsidRPr="007E7915" w:rsidRDefault="00EE6F2F" w:rsidP="00EE6F2F">
      <w:pPr>
        <w:pStyle w:val="CETBodytextItalic"/>
      </w:pPr>
      <w:r>
        <w:t xml:space="preserve">* Calculated by difference (O % = 100 % – C % – H % – N % – S % – ashes %) </w:t>
      </w:r>
    </w:p>
    <w:p w14:paraId="778CC962" w14:textId="7306908A" w:rsidR="006A0006" w:rsidRDefault="00EE6F2F" w:rsidP="00EE6F2F">
      <w:pPr>
        <w:pStyle w:val="CETheadingx"/>
      </w:pPr>
      <w:r>
        <w:lastRenderedPageBreak/>
        <w:t>Experimental section</w:t>
      </w:r>
    </w:p>
    <w:p w14:paraId="7B557A07" w14:textId="33D08F1F" w:rsidR="00EA7BA6" w:rsidRDefault="008D23D4" w:rsidP="007C33D0">
      <w:pPr>
        <w:pStyle w:val="CETBodytext"/>
      </w:pPr>
      <w:r>
        <w:t xml:space="preserve">HTL </w:t>
      </w:r>
      <w:r w:rsidR="00D25B80">
        <w:t>experiments</w:t>
      </w:r>
      <w:r>
        <w:t xml:space="preserve"> for biocrude production from sewage sludge were </w:t>
      </w:r>
      <w:r w:rsidR="00D25B80">
        <w:t>conducted</w:t>
      </w:r>
      <w:r>
        <w:t xml:space="preserve"> in batch using a cylindrical stainless-steel autoclave with an internal volume of 250 mL equipped with a mechanical stirrer and a</w:t>
      </w:r>
      <w:r w:rsidR="00D25B80">
        <w:t>n external</w:t>
      </w:r>
      <w:r>
        <w:t xml:space="preserve"> heating resistance. The internal temperature was </w:t>
      </w:r>
      <w:r w:rsidR="00D25B80">
        <w:t>regulated</w:t>
      </w:r>
      <w:r>
        <w:t xml:space="preserve"> by a PID controller connected to a thermocouple</w:t>
      </w:r>
      <w:r w:rsidR="003D4240">
        <w:t xml:space="preserve">, </w:t>
      </w:r>
      <w:r w:rsidR="00D25B80">
        <w:t>adjusting</w:t>
      </w:r>
      <w:r w:rsidR="003D4240">
        <w:t xml:space="preserve"> the current in the heating resistance. This</w:t>
      </w:r>
      <w:r w:rsidR="00D25B80">
        <w:t xml:space="preserve"> setup allowed </w:t>
      </w:r>
      <w:r w:rsidR="00184B99">
        <w:t>the system to be heated with an</w:t>
      </w:r>
      <w:r w:rsidR="003D4240">
        <w:t xml:space="preserve"> average heating rate of </w:t>
      </w:r>
      <w:r w:rsidR="00184B99">
        <w:rPr>
          <w:rFonts w:cs="Arial"/>
        </w:rPr>
        <w:t>~</w:t>
      </w:r>
      <w:r w:rsidR="003D4240">
        <w:t xml:space="preserve"> 5 °C/min. The autoclave was </w:t>
      </w:r>
      <w:r w:rsidR="00184B99">
        <w:t>loaded</w:t>
      </w:r>
      <w:r w:rsidR="003D4240">
        <w:t xml:space="preserve"> with 30 g of dry sludge and 150 mL of </w:t>
      </w:r>
      <w:r w:rsidR="007C33D0">
        <w:t xml:space="preserve">deionized </w:t>
      </w:r>
      <w:r w:rsidR="003D4240">
        <w:t xml:space="preserve">water, </w:t>
      </w:r>
      <w:r w:rsidR="00184B99">
        <w:t>achieving</w:t>
      </w:r>
      <w:r w:rsidR="003D4240">
        <w:t xml:space="preserve"> a water</w:t>
      </w:r>
      <w:r w:rsidR="00184B99">
        <w:t>-</w:t>
      </w:r>
      <w:r w:rsidR="003D4240">
        <w:t>to</w:t>
      </w:r>
      <w:r w:rsidR="00184B99">
        <w:t>-</w:t>
      </w:r>
      <w:r w:rsidR="003D4240">
        <w:t>dry feedstock mass ratio of 5:1.</w:t>
      </w:r>
      <w:r w:rsidR="0053101B">
        <w:t xml:space="preserve"> The autoclave was closed without </w:t>
      </w:r>
      <w:r w:rsidR="00184B99">
        <w:t>pre-</w:t>
      </w:r>
      <w:r w:rsidR="0053101B">
        <w:t>pressurizing it</w:t>
      </w:r>
      <w:r w:rsidR="00184B99">
        <w:t>, and the</w:t>
      </w:r>
      <w:r w:rsidR="0053101B">
        <w:t xml:space="preserve"> reaction was </w:t>
      </w:r>
      <w:r w:rsidR="00184B99">
        <w:t>performed at</w:t>
      </w:r>
      <w:r w:rsidR="0053101B">
        <w:t xml:space="preserve"> a set temperature of 280 °C, the maximum </w:t>
      </w:r>
      <w:r w:rsidR="00184B99">
        <w:t xml:space="preserve">allowable </w:t>
      </w:r>
      <w:r w:rsidR="0053101B">
        <w:t>temperature</w:t>
      </w:r>
      <w:r w:rsidR="00184B99">
        <w:t xml:space="preserve"> to prevent leakage from the </w:t>
      </w:r>
      <w:r w:rsidR="0053101B">
        <w:t xml:space="preserve">used autoclave, </w:t>
      </w:r>
      <w:r w:rsidR="00184B99">
        <w:t>held isothermally for</w:t>
      </w:r>
      <w:r w:rsidR="0053101B">
        <w:t xml:space="preserve"> 30 minutes. After reaction, the </w:t>
      </w:r>
      <w:r w:rsidR="00184B99">
        <w:t>autoclave</w:t>
      </w:r>
      <w:r w:rsidR="002512CE">
        <w:t xml:space="preserve"> </w:t>
      </w:r>
      <w:r w:rsidR="0079461C">
        <w:t>cooled</w:t>
      </w:r>
      <w:r w:rsidR="002512CE">
        <w:t xml:space="preserve"> down at ambient temperature and the</w:t>
      </w:r>
      <w:r w:rsidR="00184B99">
        <w:t xml:space="preserve"> </w:t>
      </w:r>
      <w:r w:rsidR="0028617C">
        <w:t>valves were opened to release</w:t>
      </w:r>
      <w:r w:rsidR="00184B99">
        <w:t xml:space="preserve"> the gaseous phase over</w:t>
      </w:r>
      <w:r w:rsidR="0028617C">
        <w:t xml:space="preserve"> 20 minutes. </w:t>
      </w:r>
      <w:r w:rsidR="00184B99">
        <w:t>T</w:t>
      </w:r>
      <w:r w:rsidR="0028617C">
        <w:t>he aqueous phase was</w:t>
      </w:r>
      <w:r w:rsidR="00184B99">
        <w:t xml:space="preserve"> then</w:t>
      </w:r>
      <w:r w:rsidR="0028617C">
        <w:t xml:space="preserve"> separated from the water-insoluble slurry </w:t>
      </w:r>
      <w:r w:rsidR="00184B99">
        <w:t>by</w:t>
      </w:r>
      <w:r w:rsidR="0028617C">
        <w:t xml:space="preserve"> gravitational filtration. The slurry was </w:t>
      </w:r>
      <w:r w:rsidR="00184B99">
        <w:t>placed</w:t>
      </w:r>
      <w:r w:rsidR="0028617C">
        <w:t xml:space="preserve"> in a Soxhlet thimble</w:t>
      </w:r>
      <w:r w:rsidR="00184B99">
        <w:t>,</w:t>
      </w:r>
      <w:r w:rsidR="0028617C">
        <w:t xml:space="preserve"> and biocrude was extracted </w:t>
      </w:r>
      <w:r w:rsidR="00184B99">
        <w:t>using</w:t>
      </w:r>
      <w:r w:rsidR="0028617C">
        <w:t xml:space="preserve"> a Soxhlet </w:t>
      </w:r>
      <w:r w:rsidR="00184B99">
        <w:t>apparatus with</w:t>
      </w:r>
      <w:r w:rsidR="0028617C">
        <w:t xml:space="preserve"> 150 mL of acetone. The extraction was carried out for 4 hours and the acetone was</w:t>
      </w:r>
      <w:r w:rsidR="00184B99">
        <w:t xml:space="preserve"> subsequently</w:t>
      </w:r>
      <w:r w:rsidR="0028617C">
        <w:t xml:space="preserve"> separated by vacuum evaporation, while the solid residue was</w:t>
      </w:r>
      <w:r w:rsidR="007C33D0">
        <w:t xml:space="preserve"> </w:t>
      </w:r>
      <w:r w:rsidR="0083003C">
        <w:t>oven dried</w:t>
      </w:r>
      <w:r w:rsidR="0028617C">
        <w:t xml:space="preserve">. This </w:t>
      </w:r>
      <w:r w:rsidR="0083003C">
        <w:t>procedure</w:t>
      </w:r>
      <w:r w:rsidR="0028617C">
        <w:t xml:space="preserve"> </w:t>
      </w:r>
      <w:r w:rsidR="0083003C">
        <w:t>yielded</w:t>
      </w:r>
      <w:r w:rsidR="0028617C">
        <w:t xml:space="preserve"> approximately 5 g of biocrude for </w:t>
      </w:r>
      <w:r w:rsidR="0083003C">
        <w:t>subsequent</w:t>
      </w:r>
      <w:r w:rsidR="0028617C">
        <w:t xml:space="preserve"> upgrading tests.</w:t>
      </w:r>
      <w:r w:rsidR="002512CE">
        <w:t xml:space="preserve"> </w:t>
      </w:r>
      <w:r w:rsidR="0083003C">
        <w:t>U</w:t>
      </w:r>
      <w:r w:rsidR="007C33D0">
        <w:t>pgrading tests were</w:t>
      </w:r>
      <w:r w:rsidR="0079461C">
        <w:t xml:space="preserve"> conducted</w:t>
      </w:r>
      <w:r w:rsidR="007C33D0">
        <w:t xml:space="preserve"> </w:t>
      </w:r>
      <w:r w:rsidR="0083003C">
        <w:t>following the</w:t>
      </w:r>
      <w:r w:rsidR="007C33D0">
        <w:t xml:space="preserve"> procedure </w:t>
      </w:r>
      <w:r w:rsidR="0083003C">
        <w:t>of</w:t>
      </w:r>
      <w:r w:rsidR="007C33D0">
        <w:t xml:space="preserve"> Hamidi et al. (2022)</w:t>
      </w:r>
      <w:r w:rsidR="0083003C">
        <w:t>. A</w:t>
      </w:r>
      <w:r w:rsidR="007C33D0">
        <w:t xml:space="preserve"> stainless-steel autoclave </w:t>
      </w:r>
      <w:r w:rsidR="0083003C">
        <w:t>with</w:t>
      </w:r>
      <w:r w:rsidR="007C33D0">
        <w:t xml:space="preserve"> an internal volume of 10 mL</w:t>
      </w:r>
      <w:r w:rsidR="0083003C">
        <w:t xml:space="preserve"> was loaded</w:t>
      </w:r>
      <w:r w:rsidR="007C33D0">
        <w:t xml:space="preserve"> with 1 g of biocrude and 5 mL of deionized water, maintaining </w:t>
      </w:r>
      <w:r w:rsidR="0083003C">
        <w:t>a</w:t>
      </w:r>
      <w:r w:rsidR="007C33D0">
        <w:t xml:space="preserve"> water</w:t>
      </w:r>
      <w:r w:rsidR="0083003C">
        <w:t>-</w:t>
      </w:r>
      <w:r w:rsidR="007C33D0">
        <w:t>to</w:t>
      </w:r>
      <w:r w:rsidR="0083003C">
        <w:t>-</w:t>
      </w:r>
      <w:r w:rsidR="007C33D0">
        <w:t>dry feedstock mass ratio of 5:1.</w:t>
      </w:r>
      <w:r w:rsidR="0083003C">
        <w:t xml:space="preserve"> Additionally,</w:t>
      </w:r>
      <w:r w:rsidR="004E46BD">
        <w:t xml:space="preserve"> 0.5 g of zero</w:t>
      </w:r>
      <w:r w:rsidR="0083003C">
        <w:t>-</w:t>
      </w:r>
      <w:r w:rsidR="004E46BD">
        <w:t>valent</w:t>
      </w:r>
      <w:r w:rsidR="0083003C">
        <w:t xml:space="preserve"> iron</w:t>
      </w:r>
      <w:r w:rsidR="004E46BD">
        <w:t xml:space="preserve"> </w:t>
      </w:r>
      <w:r w:rsidR="0083003C">
        <w:t>(</w:t>
      </w:r>
      <w:r w:rsidR="004E46BD">
        <w:t>Fe</w:t>
      </w:r>
      <w:r w:rsidR="0083003C">
        <w:t>)</w:t>
      </w:r>
      <w:r w:rsidR="004E46BD">
        <w:t xml:space="preserve"> or</w:t>
      </w:r>
      <w:r w:rsidR="0083003C">
        <w:t xml:space="preserve"> zinc</w:t>
      </w:r>
      <w:r w:rsidR="004E46BD">
        <w:t xml:space="preserve"> </w:t>
      </w:r>
      <w:r w:rsidR="0083003C">
        <w:t>(Zn)</w:t>
      </w:r>
      <w:r w:rsidR="004E46BD">
        <w:t xml:space="preserve"> w</w:t>
      </w:r>
      <w:r w:rsidR="0083003C">
        <w:t>as added, achieving</w:t>
      </w:r>
      <w:r w:rsidR="004E46BD">
        <w:t xml:space="preserve"> a ZVM</w:t>
      </w:r>
      <w:r w:rsidR="0083003C">
        <w:t>-</w:t>
      </w:r>
      <w:r w:rsidR="004E46BD">
        <w:t>to</w:t>
      </w:r>
      <w:r w:rsidR="0083003C">
        <w:t>-</w:t>
      </w:r>
      <w:r w:rsidR="004E46BD">
        <w:t xml:space="preserve">dry feedstock mass ratio of 1:2. Two blank tests were </w:t>
      </w:r>
      <w:r w:rsidR="0083003C">
        <w:t>performed</w:t>
      </w:r>
      <w:r w:rsidR="004E46BD">
        <w:t xml:space="preserve"> </w:t>
      </w:r>
      <w:r w:rsidR="0083003C">
        <w:t>for</w:t>
      </w:r>
      <w:r w:rsidR="004E46BD">
        <w:t xml:space="preserve"> comparison</w:t>
      </w:r>
      <w:r w:rsidR="0083003C">
        <w:t>:</w:t>
      </w:r>
      <w:r w:rsidR="004E46BD">
        <w:t xml:space="preserve"> one with 1 g of biocrude and 5 mL of water, and </w:t>
      </w:r>
      <w:r w:rsidR="0083003C">
        <w:t>another</w:t>
      </w:r>
      <w:r w:rsidR="004E46BD">
        <w:t xml:space="preserve"> with 1 g of dry sludge and 5 mL of water.</w:t>
      </w:r>
      <w:r w:rsidR="0002051C">
        <w:t xml:space="preserve"> </w:t>
      </w:r>
      <w:r w:rsidR="0083003C">
        <w:t>After sealing</w:t>
      </w:r>
      <w:r w:rsidR="0002051C">
        <w:t xml:space="preserve">, the autoclave was mounted on a mechanical stirrer and </w:t>
      </w:r>
      <w:r w:rsidR="0083003C">
        <w:t>immersed</w:t>
      </w:r>
      <w:r w:rsidR="0002051C">
        <w:t xml:space="preserve"> in a </w:t>
      </w:r>
      <w:r w:rsidR="0083003C">
        <w:t xml:space="preserve">pre-heated </w:t>
      </w:r>
      <w:r w:rsidR="0002051C">
        <w:t xml:space="preserve">fluidized sand bath </w:t>
      </w:r>
      <w:r w:rsidR="0083003C">
        <w:t>at</w:t>
      </w:r>
      <w:r w:rsidR="0002051C">
        <w:t xml:space="preserve"> 330 °C</w:t>
      </w:r>
      <w:r w:rsidR="0083003C">
        <w:t xml:space="preserve">. </w:t>
      </w:r>
      <w:r w:rsidR="0002051C">
        <w:t>This</w:t>
      </w:r>
      <w:r w:rsidR="0083003C">
        <w:t xml:space="preserve"> system enabled rapid heating (</w:t>
      </w:r>
      <w:r w:rsidR="0083003C">
        <w:rPr>
          <w:rFonts w:cs="Arial"/>
        </w:rPr>
        <w:t>~</w:t>
      </w:r>
      <w:r w:rsidR="0083003C">
        <w:t xml:space="preserve"> 110 °C/min)</w:t>
      </w:r>
      <w:r w:rsidR="000E6046">
        <w:t>, minimizing biocrude</w:t>
      </w:r>
      <w:r w:rsidR="00CA091A">
        <w:t xml:space="preserve"> repolymerization to acetone-insoluble compounds, </w:t>
      </w:r>
      <w:r w:rsidR="000E6046">
        <w:t>which is more pronounced at</w:t>
      </w:r>
      <w:r w:rsidR="00CA091A">
        <w:t xml:space="preserve"> lower temperatures</w:t>
      </w:r>
      <w:r w:rsidR="000E6046">
        <w:t>, due to carbonization mechanisms</w:t>
      </w:r>
      <w:r w:rsidR="00CA091A">
        <w:t>. T</w:t>
      </w:r>
      <w:r w:rsidR="000E6046">
        <w:t>he experimental setup</w:t>
      </w:r>
      <w:r w:rsidR="00CA091A">
        <w:t xml:space="preserve"> </w:t>
      </w:r>
      <w:r w:rsidR="009B6881">
        <w:t>is</w:t>
      </w:r>
      <w:r w:rsidR="000E6046">
        <w:t xml:space="preserve"> </w:t>
      </w:r>
      <w:r w:rsidR="00CA091A">
        <w:t xml:space="preserve">described </w:t>
      </w:r>
      <w:r w:rsidR="00BD2623">
        <w:t>with a higher level of details</w:t>
      </w:r>
      <w:r w:rsidR="000E6046">
        <w:t xml:space="preserve"> </w:t>
      </w:r>
      <w:r w:rsidR="00CA091A">
        <w:t xml:space="preserve">in </w:t>
      </w:r>
      <w:r w:rsidR="0007632C">
        <w:t>our</w:t>
      </w:r>
      <w:r w:rsidR="00CA091A">
        <w:t xml:space="preserve"> previous work </w:t>
      </w:r>
      <w:r w:rsidR="00CA091A">
        <w:fldChar w:fldCharType="begin"/>
      </w:r>
      <w:r w:rsidR="00B369B5">
        <w:instrText xml:space="preserve"> ADDIN ZOTERO_ITEM CSL_CITATION {"citationID":"si864hoA","properties":{"formattedCitation":"(Amadei et al., 2024)","plainCitation":"(Amadei et al., 2024)","noteIndex":0},"citationItems":[{"id":534,"uris":["http://zotero.org/users/11880198/items/ANJF4PSX"],"itemData":{"id":534,"type":"article-journal","abstract":"Hydrothermal liquefaction (HTL) is a promising technology for the conversion of high-moisture biomass into a liquid biofuel precursor without predrying treatment. This study investigated the effects of the heating rate (20−110 °C/min) and feedstock composition on phase repartition of the HTL products. HTL tests were carried out using as feedstocks cellulose, egg albumin, and sunflower oil as model compounds for carbohydrates, proteins, and lipids, alone and in binary mixtures. The biocrude, solid residue, and aqueous phase were characterized in terms of composition and elemental percentage. The effects of binary interactions were studied in terms of product yields and compositions. It was observed that higher heating rates resulted in lower solid yields from all the cellulose-containing feedstocks and, in most cases, in higher biocrude yields and higher energy recovery. The results showed that the heating rate influences also the oil composition. Biocrude and solid yields were compared with their prediction based on the combination of the yields of single model compounds, showing a general increase in biocrude yields and a decrease in solid yields. The most significant deviation is observed with the mixture cellulose−albumin both for the biocrude and solid yields. In fact, the main interactions were recognized for carbohydrate−protein mixtures followed by carbohydrate−lipid and protein−lipid mixtures.","container-title":"ACS Omega","DOI":"10.1021/acsomega.4c01510","ISSN":"2470-1343, 2470-1343","journalAbbreviation":"ACS Omega","language":"en","license":"https://creativecommons.org/licenses/by-nc-nd/4.0/","page":"acsomega.4c01510","source":"DOI.org (Crossref)","title":"Hydrothermal Liquefaction of Organic Waste Model Compounds: The Effect of the Heating Rate on Biocrude Yield and Quality from Mixtures of Cellulose–Albumin–Sunflower Oil","title-short":"Hydrothermal Liquefaction of Organic Waste Model Compounds","author":[{"family":"Amadei","given":"Alessandro"},{"family":"Bracciale","given":"Maria Paola"},{"family":"Damizia","given":"Martina"},{"family":"De Filippis","given":"Paolo"},{"family":"De Caprariis","given":"Benedetta"},{"family":"Ferrasse","given":"Jean-Henry"},{"family":"Scarsella","given":"Marco"}],"issued":{"date-parts":[["2024",9,27]]}}}],"schema":"https://github.com/citation-style-language/schema/raw/master/csl-citation.json"} </w:instrText>
      </w:r>
      <w:r w:rsidR="00CA091A">
        <w:fldChar w:fldCharType="separate"/>
      </w:r>
      <w:r w:rsidR="00B369B5" w:rsidRPr="00B369B5">
        <w:rPr>
          <w:rFonts w:cs="Arial"/>
        </w:rPr>
        <w:t>(Amadei et al., 2024)</w:t>
      </w:r>
      <w:r w:rsidR="00CA091A">
        <w:fldChar w:fldCharType="end"/>
      </w:r>
      <w:r w:rsidR="00CA091A">
        <w:t>. The</w:t>
      </w:r>
      <w:r w:rsidR="000E6046">
        <w:t xml:space="preserve"> upgrading reactions were carried out at 330 °C for an isothermal holding time of</w:t>
      </w:r>
      <w:r w:rsidR="00CA091A">
        <w:t xml:space="preserve"> 3 hours, </w:t>
      </w:r>
      <w:r w:rsidR="000E6046">
        <w:t>consistent with</w:t>
      </w:r>
      <w:r w:rsidR="00CA091A">
        <w:t xml:space="preserve"> Hamidi et al. (2022).</w:t>
      </w:r>
      <w:r w:rsidR="00914747">
        <w:t xml:space="preserve"> </w:t>
      </w:r>
      <w:r w:rsidR="00EA7BA6">
        <w:t xml:space="preserve">After </w:t>
      </w:r>
      <w:r w:rsidR="000E6046">
        <w:t xml:space="preserve">the </w:t>
      </w:r>
      <w:r w:rsidR="00EA7BA6">
        <w:t xml:space="preserve">reaction, the autoclave was quenched in a cold-water bath </w:t>
      </w:r>
      <w:r w:rsidR="0007632C">
        <w:t xml:space="preserve">to room temperature. </w:t>
      </w:r>
      <w:r w:rsidR="000E6046">
        <w:t>Product</w:t>
      </w:r>
      <w:r w:rsidR="0007632C">
        <w:t xml:space="preserve"> separation </w:t>
      </w:r>
      <w:r w:rsidR="000E6046">
        <w:t>followed the procedure outlined in our previous work:</w:t>
      </w:r>
      <w:r w:rsidR="0007632C">
        <w:t xml:space="preserve"> </w:t>
      </w:r>
      <w:r w:rsidR="000E6046">
        <w:t xml:space="preserve">acetone was used </w:t>
      </w:r>
      <w:r w:rsidR="0007632C">
        <w:t xml:space="preserve">to </w:t>
      </w:r>
      <w:r w:rsidR="00B369B5">
        <w:t>extract the upgraded oil from the water-insoluble slurry</w:t>
      </w:r>
      <w:r w:rsidR="000E6046">
        <w:t>, which also contained</w:t>
      </w:r>
      <w:r w:rsidR="00B369B5">
        <w:t xml:space="preserve"> the reacted ZVMs and the repolymerized biocrude.</w:t>
      </w:r>
      <w:r w:rsidR="0007632C">
        <w:t xml:space="preserve"> </w:t>
      </w:r>
      <w:r w:rsidR="00940EEF">
        <w:t>The product yields were</w:t>
      </w:r>
      <w:r w:rsidR="000E6046">
        <w:t xml:space="preserve"> determined</w:t>
      </w:r>
      <w:r w:rsidR="00940EEF">
        <w:t xml:space="preserve"> gravimetrically after their separation, while the water-soluble organic fraction in the aqueous phase was measured </w:t>
      </w:r>
      <w:r w:rsidR="00785FA0">
        <w:t xml:space="preserve">by evaporating a pre-weighed sample at </w:t>
      </w:r>
      <w:r w:rsidR="00940EEF">
        <w:t xml:space="preserve">room temperature </w:t>
      </w:r>
      <w:r w:rsidR="00785FA0">
        <w:t>for 24 hours and weighing the residue</w:t>
      </w:r>
      <w:r w:rsidR="00940EEF">
        <w:t>.</w:t>
      </w:r>
      <w:r w:rsidR="00785FA0">
        <w:t xml:space="preserve"> Thermogravimetric analyses were performed on the solid residues to quantify their inorganic content, consisting in the reacted ZVMs after hydrothermal upgrading.</w:t>
      </w:r>
    </w:p>
    <w:p w14:paraId="59D73252" w14:textId="3DFF5995" w:rsidR="007C33D0" w:rsidRDefault="00914747" w:rsidP="007C33D0">
      <w:pPr>
        <w:pStyle w:val="CETBodytext"/>
      </w:pPr>
      <w:r>
        <w:t>A schem</w:t>
      </w:r>
      <w:r w:rsidR="00785FA0">
        <w:t>atic</w:t>
      </w:r>
      <w:r>
        <w:t xml:space="preserve"> summar</w:t>
      </w:r>
      <w:r w:rsidR="00785FA0">
        <w:t>y of</w:t>
      </w:r>
      <w:r>
        <w:t xml:space="preserve"> the experimental procedure is </w:t>
      </w:r>
      <w:r w:rsidR="00785FA0">
        <w:t>provided</w:t>
      </w:r>
      <w:r>
        <w:t xml:space="preserve"> in </w:t>
      </w:r>
      <w:r w:rsidR="009B6881">
        <w:t>F</w:t>
      </w:r>
      <w:r>
        <w:t>igure 1.</w:t>
      </w:r>
    </w:p>
    <w:p w14:paraId="30B977DD" w14:textId="77777777" w:rsidR="00D4788E" w:rsidRDefault="00D4788E" w:rsidP="007C33D0">
      <w:pPr>
        <w:pStyle w:val="CETBodytext"/>
      </w:pPr>
    </w:p>
    <w:p w14:paraId="44842A81" w14:textId="7AE22881" w:rsidR="00D4788E" w:rsidRDefault="00EA7BA6" w:rsidP="007C33D0">
      <w:pPr>
        <w:pStyle w:val="CETBodytext"/>
      </w:pPr>
      <w:r>
        <w:rPr>
          <w:noProof/>
        </w:rPr>
        <w:drawing>
          <wp:inline distT="0" distB="0" distL="0" distR="0" wp14:anchorId="5138E4DB" wp14:editId="7CA7C1DF">
            <wp:extent cx="5579745" cy="1891030"/>
            <wp:effectExtent l="0" t="0" r="0" b="0"/>
            <wp:docPr id="1800151662" name="Immagine 3" descr="Immagine che contien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51662" name="Immagine 3" descr="Immagine che contiene schermata&#10;&#10;Descrizione generata automaticamente"/>
                    <pic:cNvPicPr/>
                  </pic:nvPicPr>
                  <pic:blipFill>
                    <a:blip r:embed="rId10"/>
                    <a:stretch>
                      <a:fillRect/>
                    </a:stretch>
                  </pic:blipFill>
                  <pic:spPr>
                    <a:xfrm>
                      <a:off x="0" y="0"/>
                      <a:ext cx="5579745" cy="1891030"/>
                    </a:xfrm>
                    <a:prstGeom prst="rect">
                      <a:avLst/>
                    </a:prstGeom>
                  </pic:spPr>
                </pic:pic>
              </a:graphicData>
            </a:graphic>
          </wp:inline>
        </w:drawing>
      </w:r>
    </w:p>
    <w:p w14:paraId="180A2C17" w14:textId="5CF7B036" w:rsidR="00EA7BA6" w:rsidRDefault="00EA7BA6" w:rsidP="00EA7BA6">
      <w:pPr>
        <w:pStyle w:val="CETCaption"/>
      </w:pPr>
      <w:r>
        <w:t>Figure 1: scheme of the reaction and separation operations carried out in the experimental procedure.</w:t>
      </w:r>
    </w:p>
    <w:p w14:paraId="634B2302" w14:textId="60F87827" w:rsidR="00053857" w:rsidRPr="00D35B7A" w:rsidRDefault="00785FA0" w:rsidP="00B20616">
      <w:pPr>
        <w:pStyle w:val="CETBodytext"/>
        <w:rPr>
          <w:lang w:val="en-GB"/>
        </w:rPr>
      </w:pPr>
      <w:r>
        <w:t>Elemental analysis was performed on the raw biocrude, the biocrude upgraded in the blank test, and the samples treated with 0.5 g of Fe and Zn, following the previously described method. Additionally, a semi-</w:t>
      </w:r>
      <w:r w:rsidR="00B20616">
        <w:t xml:space="preserve">quantitative GC-MS analysis was conducted on the biocrudes using a </w:t>
      </w:r>
      <w:proofErr w:type="spellStart"/>
      <w:r w:rsidR="00B20616">
        <w:t>Thermo</w:t>
      </w:r>
      <w:proofErr w:type="spellEnd"/>
      <w:r w:rsidR="00B20616">
        <w:t xml:space="preserve"> Scientific Trace</w:t>
      </w:r>
      <w:r w:rsidR="003B678C">
        <w:t xml:space="preserve"> 1300 gas chromatograph coupled with</w:t>
      </w:r>
      <w:r w:rsidR="00B20616">
        <w:t xml:space="preserve"> a</w:t>
      </w:r>
      <w:r w:rsidR="003B678C">
        <w:t xml:space="preserve"> single quadrupole ISQ-QD</w:t>
      </w:r>
      <w:r w:rsidR="00B20616">
        <w:t xml:space="preserve"> mass spectrometer</w:t>
      </w:r>
      <w:r w:rsidR="003B678C">
        <w:t xml:space="preserve">. </w:t>
      </w:r>
      <w:r w:rsidR="00B20616">
        <w:t>The instrument was equipped with a</w:t>
      </w:r>
      <w:r w:rsidR="00D35B7A">
        <w:t xml:space="preserve"> </w:t>
      </w:r>
      <w:r w:rsidR="00D35B7A" w:rsidRPr="00D35B7A">
        <w:rPr>
          <w:lang w:val="en-GB"/>
        </w:rPr>
        <w:t>DB5-MS capillary column (30 m × 0.25 mm) coated with a 0.25 mm 5% Diphenyl/95% Dimethylpolysiloxane thick film</w:t>
      </w:r>
      <w:r w:rsidR="00D35B7A">
        <w:rPr>
          <w:lang w:val="en-GB"/>
        </w:rPr>
        <w:t xml:space="preserve">. </w:t>
      </w:r>
      <w:r w:rsidR="00B20616">
        <w:rPr>
          <w:lang w:val="en-GB"/>
        </w:rPr>
        <w:t>The m</w:t>
      </w:r>
      <w:r w:rsidR="00D35B7A" w:rsidRPr="00D35B7A">
        <w:rPr>
          <w:lang w:val="en-GB"/>
        </w:rPr>
        <w:t>ass spectrometer</w:t>
      </w:r>
      <w:r w:rsidR="00B20616">
        <w:rPr>
          <w:lang w:val="en-GB"/>
        </w:rPr>
        <w:t xml:space="preserve"> operated at an</w:t>
      </w:r>
      <w:r w:rsidR="00D35B7A" w:rsidRPr="00D35B7A">
        <w:rPr>
          <w:lang w:val="en-GB"/>
        </w:rPr>
        <w:t xml:space="preserve"> electron energy</w:t>
      </w:r>
      <w:r w:rsidR="00B20616">
        <w:rPr>
          <w:lang w:val="en-GB"/>
        </w:rPr>
        <w:t xml:space="preserve"> of</w:t>
      </w:r>
      <w:r w:rsidR="00D35B7A" w:rsidRPr="00D35B7A">
        <w:rPr>
          <w:lang w:val="en-GB"/>
        </w:rPr>
        <w:t xml:space="preserve"> 70 eV</w:t>
      </w:r>
      <w:r w:rsidR="00B20616">
        <w:rPr>
          <w:lang w:val="en-GB"/>
        </w:rPr>
        <w:t>, with</w:t>
      </w:r>
      <w:r w:rsidR="00D35B7A" w:rsidRPr="00D35B7A">
        <w:rPr>
          <w:lang w:val="en-GB"/>
        </w:rPr>
        <w:t xml:space="preserve"> the ion source and transfer line </w:t>
      </w:r>
      <w:r w:rsidR="00B20616">
        <w:rPr>
          <w:lang w:val="en-GB"/>
        </w:rPr>
        <w:t>maintained at</w:t>
      </w:r>
      <w:r w:rsidR="00D35B7A" w:rsidRPr="00D35B7A">
        <w:rPr>
          <w:lang w:val="en-GB"/>
        </w:rPr>
        <w:t xml:space="preserve"> 250 </w:t>
      </w:r>
      <w:r w:rsidR="00D35B7A">
        <w:rPr>
          <w:lang w:val="en-GB"/>
        </w:rPr>
        <w:t>°</w:t>
      </w:r>
      <w:r w:rsidR="00D35B7A" w:rsidRPr="00D35B7A">
        <w:rPr>
          <w:lang w:val="en-GB"/>
        </w:rPr>
        <w:t xml:space="preserve">C and 280 </w:t>
      </w:r>
      <w:r w:rsidR="00D35B7A">
        <w:rPr>
          <w:lang w:val="en-GB"/>
        </w:rPr>
        <w:t>°</w:t>
      </w:r>
      <w:r w:rsidR="00D35B7A" w:rsidRPr="00D35B7A">
        <w:rPr>
          <w:lang w:val="en-GB"/>
        </w:rPr>
        <w:t>C, respectively. </w:t>
      </w:r>
      <w:r w:rsidR="00B20616">
        <w:rPr>
          <w:lang w:val="en-GB"/>
        </w:rPr>
        <w:t>For</w:t>
      </w:r>
      <w:r w:rsidR="00D35B7A">
        <w:rPr>
          <w:lang w:val="en-GB"/>
        </w:rPr>
        <w:t xml:space="preserve"> comparison</w:t>
      </w:r>
      <w:r w:rsidR="00B20616">
        <w:rPr>
          <w:lang w:val="en-GB"/>
        </w:rPr>
        <w:t xml:space="preserve">, elemental analysis was also performed on </w:t>
      </w:r>
      <w:r w:rsidR="00D35B7A">
        <w:rPr>
          <w:lang w:val="en-GB"/>
        </w:rPr>
        <w:t xml:space="preserve">the biocrude obtained from the HTL of sewage sludge </w:t>
      </w:r>
      <w:r w:rsidR="00B20616">
        <w:rPr>
          <w:lang w:val="en-GB"/>
        </w:rPr>
        <w:t>under</w:t>
      </w:r>
      <w:r w:rsidR="00D35B7A">
        <w:rPr>
          <w:lang w:val="en-GB"/>
        </w:rPr>
        <w:t xml:space="preserve"> the same reaction conditions </w:t>
      </w:r>
      <w:r w:rsidR="00B20616">
        <w:rPr>
          <w:lang w:val="en-GB"/>
        </w:rPr>
        <w:t>as</w:t>
      </w:r>
      <w:r w:rsidR="00D35B7A">
        <w:rPr>
          <w:lang w:val="en-GB"/>
        </w:rPr>
        <w:t xml:space="preserve"> the upgrading </w:t>
      </w:r>
      <w:r w:rsidR="00B20616">
        <w:rPr>
          <w:lang w:val="en-GB"/>
        </w:rPr>
        <w:t>tests</w:t>
      </w:r>
      <w:r w:rsidR="00D35B7A">
        <w:rPr>
          <w:lang w:val="en-GB"/>
        </w:rPr>
        <w:t xml:space="preserve"> (330 °C</w:t>
      </w:r>
      <w:r w:rsidR="00B20616">
        <w:rPr>
          <w:lang w:val="en-GB"/>
        </w:rPr>
        <w:t>,</w:t>
      </w:r>
      <w:r w:rsidR="00D35B7A">
        <w:rPr>
          <w:lang w:val="en-GB"/>
        </w:rPr>
        <w:t xml:space="preserve"> 3 h).</w:t>
      </w:r>
    </w:p>
    <w:p w14:paraId="6FA9E443" w14:textId="0CC67387" w:rsidR="00914747" w:rsidRDefault="00B369B5" w:rsidP="00B369B5">
      <w:pPr>
        <w:pStyle w:val="CETHeading1"/>
      </w:pPr>
      <w:r>
        <w:lastRenderedPageBreak/>
        <w:t>Results and discussion</w:t>
      </w:r>
    </w:p>
    <w:p w14:paraId="30A9C66C" w14:textId="6BE40BC7" w:rsidR="00B369B5" w:rsidRDefault="00940EEF" w:rsidP="00B369B5">
      <w:pPr>
        <w:pStyle w:val="CETBodytext"/>
      </w:pPr>
      <w:r>
        <w:t xml:space="preserve">The </w:t>
      </w:r>
      <w:r w:rsidR="00B20616">
        <w:t xml:space="preserve">recovery of </w:t>
      </w:r>
      <w:r>
        <w:t xml:space="preserve">upgraded biocrude after the upgrading reaction was </w:t>
      </w:r>
      <w:r w:rsidR="00B20616">
        <w:t>not quantitative</w:t>
      </w:r>
      <w:r>
        <w:t>, as part of it was converted into water-soluble organics and dissolved in the aqueous phase</w:t>
      </w:r>
      <w:r w:rsidR="00B20616">
        <w:t>. Additionally, a significant fraction underwent repolymerization into</w:t>
      </w:r>
      <w:r>
        <w:t xml:space="preserve"> acetone-insoluble heavy </w:t>
      </w:r>
      <w:r w:rsidR="00542B37">
        <w:t>oil</w:t>
      </w:r>
      <w:r w:rsidR="00B20616">
        <w:t>, which</w:t>
      </w:r>
      <w:r>
        <w:t xml:space="preserve"> was accounted </w:t>
      </w:r>
      <w:r w:rsidR="00B20616">
        <w:t xml:space="preserve">for </w:t>
      </w:r>
      <w:r>
        <w:t xml:space="preserve">as </w:t>
      </w:r>
      <w:r w:rsidR="00B20616">
        <w:t xml:space="preserve">solid </w:t>
      </w:r>
      <w:r>
        <w:t xml:space="preserve">residue after the extraction process. </w:t>
      </w:r>
      <w:r w:rsidR="00F01E13">
        <w:t>This result highlights one of the main limits of hydrothermal upgrading, as the quality enhancement of the final biocrude is negatively compensated by</w:t>
      </w:r>
      <w:r w:rsidR="00D672CC">
        <w:t xml:space="preserve"> the</w:t>
      </w:r>
      <w:r w:rsidR="00F01E13">
        <w:t xml:space="preserve"> mass losses in byproducts. </w:t>
      </w:r>
      <w:r w:rsidR="00BC57A0">
        <w:t xml:space="preserve">The yields of the four products are plotted in </w:t>
      </w:r>
      <w:r w:rsidR="00C87CED">
        <w:t>F</w:t>
      </w:r>
      <w:r w:rsidR="00BC57A0">
        <w:t xml:space="preserve">igure 2. </w:t>
      </w:r>
    </w:p>
    <w:p w14:paraId="1BDD3DF2" w14:textId="77777777" w:rsidR="00B75151" w:rsidRDefault="00B75151" w:rsidP="00B369B5">
      <w:pPr>
        <w:pStyle w:val="CETBodytext"/>
      </w:pPr>
    </w:p>
    <w:p w14:paraId="1ADA1E92" w14:textId="4835E551" w:rsidR="00BC57A0" w:rsidRPr="00B369B5" w:rsidRDefault="00B75151" w:rsidP="00B369B5">
      <w:pPr>
        <w:pStyle w:val="CETBodytext"/>
      </w:pPr>
      <w:r>
        <w:rPr>
          <w:noProof/>
        </w:rPr>
        <w:drawing>
          <wp:inline distT="0" distB="0" distL="0" distR="0" wp14:anchorId="006BAB29" wp14:editId="183C771D">
            <wp:extent cx="5471160" cy="2179320"/>
            <wp:effectExtent l="0" t="0" r="0" b="0"/>
            <wp:docPr id="35253000" name="Grafico 1">
              <a:extLst xmlns:a="http://schemas.openxmlformats.org/drawingml/2006/main">
                <a:ext uri="{FF2B5EF4-FFF2-40B4-BE49-F238E27FC236}">
                  <a16:creationId xmlns:a16="http://schemas.microsoft.com/office/drawing/2014/main" id="{5967AA71-014D-4D78-964D-16D207D2EA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63396B" w14:textId="691A063A" w:rsidR="00914747" w:rsidRDefault="00542B37" w:rsidP="00542B37">
      <w:pPr>
        <w:pStyle w:val="CETCaption"/>
      </w:pPr>
      <w:r>
        <w:t xml:space="preserve">Figure 2: Dry based yields obtained from the conversion of 1 g of biocrude without and in presence of ZVMs as hydrogen generators. </w:t>
      </w:r>
      <w:proofErr w:type="spellStart"/>
      <w:r>
        <w:t>d.b.</w:t>
      </w:r>
      <w:proofErr w:type="spellEnd"/>
      <w:r>
        <w:t xml:space="preserve"> = on dry basis.</w:t>
      </w:r>
    </w:p>
    <w:p w14:paraId="0BDE3AF4" w14:textId="3B713BDA" w:rsidR="00561D5F" w:rsidRDefault="00542B37" w:rsidP="00561D5F">
      <w:pPr>
        <w:pStyle w:val="CETBodytext"/>
      </w:pPr>
      <w:r>
        <w:t xml:space="preserve">The upgraded biocrude yield without hydrogen generators was </w:t>
      </w:r>
      <w:r w:rsidR="008879EC">
        <w:t>60</w:t>
      </w:r>
      <w:r>
        <w:t xml:space="preserve"> %, while a</w:t>
      </w:r>
      <w:r w:rsidR="00B20616">
        <w:t>pproximately</w:t>
      </w:r>
      <w:r>
        <w:t xml:space="preserve"> </w:t>
      </w:r>
      <w:r w:rsidR="008879EC">
        <w:t>24</w:t>
      </w:r>
      <w:r>
        <w:t xml:space="preserve"> % of the initial biocrude </w:t>
      </w:r>
      <w:r w:rsidR="00463CC1">
        <w:t>repolymerized in</w:t>
      </w:r>
      <w:r>
        <w:t xml:space="preserve">to </w:t>
      </w:r>
      <w:r w:rsidR="00D35696">
        <w:t xml:space="preserve">acetone-insoluble </w:t>
      </w:r>
      <w:r w:rsidR="00463CC1">
        <w:t xml:space="preserve">heavy </w:t>
      </w:r>
      <w:r w:rsidR="00D35696">
        <w:t xml:space="preserve">oil. The </w:t>
      </w:r>
      <w:r w:rsidR="00463CC1">
        <w:t>addition</w:t>
      </w:r>
      <w:r w:rsidR="00D35696">
        <w:t xml:space="preserve"> of Fe significantly </w:t>
      </w:r>
      <w:r w:rsidR="00463CC1">
        <w:t>enhanced</w:t>
      </w:r>
      <w:r w:rsidR="00D35696">
        <w:t xml:space="preserve"> the</w:t>
      </w:r>
      <w:r w:rsidR="00463CC1">
        <w:t xml:space="preserve"> </w:t>
      </w:r>
      <w:r w:rsidR="00D35696">
        <w:t xml:space="preserve">biocrude recovery, </w:t>
      </w:r>
      <w:r w:rsidR="00463CC1">
        <w:t xml:space="preserve">increasing it </w:t>
      </w:r>
      <w:r w:rsidR="00D35696">
        <w:t>to 72 %, wh</w:t>
      </w:r>
      <w:r w:rsidR="00463CC1">
        <w:t xml:space="preserve">ereas Zn led to a more moderate improvement, reaching 67 %. </w:t>
      </w:r>
      <w:r w:rsidR="00053857">
        <w:t xml:space="preserve">These results </w:t>
      </w:r>
      <w:r w:rsidR="00463CC1">
        <w:t>align with those reported by</w:t>
      </w:r>
      <w:r w:rsidR="00053857">
        <w:t xml:space="preserve"> Hamidi et al. (2022), </w:t>
      </w:r>
      <w:r w:rsidR="00463CC1">
        <w:t>who observed similar trends when using Fe and Zn</w:t>
      </w:r>
      <w:r w:rsidR="00053857">
        <w:t>.</w:t>
      </w:r>
      <w:r w:rsidR="0037012B">
        <w:t xml:space="preserve"> </w:t>
      </w:r>
    </w:p>
    <w:p w14:paraId="6788487A" w14:textId="62C92908" w:rsidR="00561D5F" w:rsidRDefault="00561D5F" w:rsidP="00561D5F">
      <w:pPr>
        <w:pStyle w:val="CETBodytext"/>
      </w:pPr>
      <w:r>
        <w:t>According to the work of Tai et al. (2021)</w:t>
      </w:r>
      <w:r w:rsidR="00463CC1">
        <w:t>,</w:t>
      </w:r>
      <w:r>
        <w:t xml:space="preserve"> Fe and Zn</w:t>
      </w:r>
      <w:r w:rsidR="00463CC1">
        <w:t xml:space="preserve"> undergo oxidation reacting with water under</w:t>
      </w:r>
      <w:r>
        <w:t xml:space="preserve"> hydrothermal</w:t>
      </w:r>
      <w:r w:rsidR="00463CC1">
        <w:t xml:space="preserve"> conditions, generating hydrogen while forming</w:t>
      </w:r>
      <w:r>
        <w:t xml:space="preserve"> Fe</w:t>
      </w:r>
      <w:r w:rsidRPr="008670FA">
        <w:rPr>
          <w:vertAlign w:val="subscript"/>
        </w:rPr>
        <w:t>3</w:t>
      </w:r>
      <w:r>
        <w:t>O</w:t>
      </w:r>
      <w:r w:rsidRPr="008670FA">
        <w:rPr>
          <w:vertAlign w:val="subscript"/>
        </w:rPr>
        <w:t>4</w:t>
      </w:r>
      <w:r>
        <w:t xml:space="preserve"> and </w:t>
      </w:r>
      <w:proofErr w:type="spellStart"/>
      <w:r>
        <w:t>ZnO</w:t>
      </w:r>
      <w:proofErr w:type="spellEnd"/>
      <w:r>
        <w:t xml:space="preserve"> respectively</w:t>
      </w:r>
      <w:r w:rsidR="00463CC1">
        <w:t>, as described by the simplified reactions in Eq(2) and Eq(3).</w:t>
      </w:r>
    </w:p>
    <w:tbl>
      <w:tblPr>
        <w:tblW w:w="5000" w:type="pct"/>
        <w:tblLook w:val="04A0" w:firstRow="1" w:lastRow="0" w:firstColumn="1" w:lastColumn="0" w:noHBand="0" w:noVBand="1"/>
      </w:tblPr>
      <w:tblGrid>
        <w:gridCol w:w="7983"/>
        <w:gridCol w:w="804"/>
      </w:tblGrid>
      <w:tr w:rsidR="00561D5F" w:rsidRPr="00B57B36" w14:paraId="6997555B" w14:textId="77777777" w:rsidTr="00E8569B">
        <w:tc>
          <w:tcPr>
            <w:tcW w:w="8188" w:type="dxa"/>
            <w:shd w:val="clear" w:color="auto" w:fill="auto"/>
            <w:vAlign w:val="center"/>
          </w:tcPr>
          <w:p w14:paraId="7251661B" w14:textId="77777777" w:rsidR="00561D5F" w:rsidRPr="00B57B36" w:rsidRDefault="00561D5F" w:rsidP="00E8569B">
            <w:pPr>
              <w:pStyle w:val="CETEquation"/>
            </w:pPr>
            <m:oMath>
              <m:r>
                <w:rPr>
                  <w:rFonts w:ascii="Cambria Math" w:hAnsi="Cambria Math"/>
                </w:rPr>
                <m:t xml:space="preserve">3Fe+ </m:t>
              </m:r>
              <m:sSub>
                <m:sSubPr>
                  <m:ctrlPr>
                    <w:rPr>
                      <w:rFonts w:ascii="Cambria Math" w:hAnsi="Cambria Math"/>
                      <w:i/>
                    </w:rPr>
                  </m:ctrlPr>
                </m:sSubPr>
                <m:e>
                  <m:r>
                    <w:rPr>
                      <w:rFonts w:ascii="Cambria Math" w:hAnsi="Cambria Math"/>
                    </w:rPr>
                    <m:t>4H</m:t>
                  </m:r>
                </m:e>
                <m:sub>
                  <m:r>
                    <w:rPr>
                      <w:rFonts w:ascii="Cambria Math" w:hAnsi="Cambria Math"/>
                    </w:rPr>
                    <m:t>2</m:t>
                  </m:r>
                </m:sub>
              </m:sSub>
              <m:r>
                <w:rPr>
                  <w:rFonts w:ascii="Cambria Math" w:hAnsi="Cambria Math"/>
                </w:rPr>
                <m:t xml:space="preserve">O → </m:t>
              </m:r>
              <m:sSub>
                <m:sSubPr>
                  <m:ctrlPr>
                    <w:rPr>
                      <w:rFonts w:ascii="Cambria Math" w:hAnsi="Cambria Math"/>
                      <w:i/>
                    </w:rPr>
                  </m:ctrlPr>
                </m:sSubPr>
                <m:e>
                  <m:r>
                    <w:rPr>
                      <w:rFonts w:ascii="Cambria Math" w:hAnsi="Cambria Math"/>
                    </w:rPr>
                    <m:t>Fe</m:t>
                  </m:r>
                </m:e>
                <m:sub>
                  <m:r>
                    <w:rPr>
                      <w:rFonts w:ascii="Cambria Math" w:hAnsi="Cambria Math"/>
                    </w:rPr>
                    <m:t>3</m:t>
                  </m:r>
                </m:sub>
              </m:sSub>
              <m:sSub>
                <m:sSubPr>
                  <m:ctrlPr>
                    <w:rPr>
                      <w:rFonts w:ascii="Cambria Math" w:hAnsi="Cambria Math"/>
                      <w:i/>
                    </w:rPr>
                  </m:ctrlPr>
                </m:sSubPr>
                <m:e>
                  <m:r>
                    <w:rPr>
                      <w:rFonts w:ascii="Cambria Math" w:hAnsi="Cambria Math"/>
                    </w:rPr>
                    <m:t>O</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4H</m:t>
                  </m:r>
                </m:e>
                <m:sub>
                  <m:r>
                    <w:rPr>
                      <w:rFonts w:ascii="Cambria Math" w:hAnsi="Cambria Math"/>
                    </w:rPr>
                    <m:t>2</m:t>
                  </m:r>
                </m:sub>
              </m:sSub>
            </m:oMath>
            <w:r>
              <w:t xml:space="preserve"> </w:t>
            </w:r>
          </w:p>
        </w:tc>
        <w:tc>
          <w:tcPr>
            <w:tcW w:w="815" w:type="dxa"/>
            <w:shd w:val="clear" w:color="auto" w:fill="auto"/>
            <w:vAlign w:val="center"/>
          </w:tcPr>
          <w:p w14:paraId="37C70854" w14:textId="77777777" w:rsidR="00561D5F" w:rsidRPr="00B57B36" w:rsidRDefault="00561D5F" w:rsidP="00E8569B">
            <w:pPr>
              <w:pStyle w:val="CETEquation"/>
              <w:jc w:val="right"/>
            </w:pPr>
            <w:r w:rsidRPr="00B57B36">
              <w:t>(</w:t>
            </w:r>
            <w:r>
              <w:t>2</w:t>
            </w:r>
            <w:r w:rsidRPr="00B57B36">
              <w:t>)</w:t>
            </w:r>
          </w:p>
        </w:tc>
      </w:tr>
      <w:tr w:rsidR="00561D5F" w:rsidRPr="00B57B36" w14:paraId="363D8558" w14:textId="77777777" w:rsidTr="00E8569B">
        <w:tc>
          <w:tcPr>
            <w:tcW w:w="8188" w:type="dxa"/>
            <w:shd w:val="clear" w:color="auto" w:fill="auto"/>
            <w:vAlign w:val="center"/>
          </w:tcPr>
          <w:p w14:paraId="6DB271E7" w14:textId="77777777" w:rsidR="00561D5F" w:rsidRDefault="00561D5F" w:rsidP="00E8569B">
            <w:pPr>
              <w:pStyle w:val="CETEquation"/>
            </w:pPr>
            <m:oMath>
              <m:r>
                <w:rPr>
                  <w:rFonts w:ascii="Cambria Math" w:hAnsi="Cambria Math"/>
                </w:rPr>
                <m:t>Zn+</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 →ZnO+ </m:t>
              </m:r>
              <m:sSub>
                <m:sSubPr>
                  <m:ctrlPr>
                    <w:rPr>
                      <w:rFonts w:ascii="Cambria Math" w:hAnsi="Cambria Math"/>
                      <w:i/>
                    </w:rPr>
                  </m:ctrlPr>
                </m:sSubPr>
                <m:e>
                  <m:r>
                    <w:rPr>
                      <w:rFonts w:ascii="Cambria Math" w:hAnsi="Cambria Math"/>
                    </w:rPr>
                    <m:t>H</m:t>
                  </m:r>
                </m:e>
                <m:sub>
                  <m:r>
                    <w:rPr>
                      <w:rFonts w:ascii="Cambria Math" w:hAnsi="Cambria Math"/>
                    </w:rPr>
                    <m:t>2</m:t>
                  </m:r>
                </m:sub>
              </m:sSub>
            </m:oMath>
            <w:r>
              <w:t xml:space="preserve"> </w:t>
            </w:r>
          </w:p>
        </w:tc>
        <w:tc>
          <w:tcPr>
            <w:tcW w:w="815" w:type="dxa"/>
            <w:shd w:val="clear" w:color="auto" w:fill="auto"/>
            <w:vAlign w:val="center"/>
          </w:tcPr>
          <w:p w14:paraId="71C88FB2" w14:textId="77777777" w:rsidR="00561D5F" w:rsidRPr="00B57B36" w:rsidRDefault="00561D5F" w:rsidP="00E8569B">
            <w:pPr>
              <w:pStyle w:val="CETEquation"/>
              <w:jc w:val="right"/>
            </w:pPr>
            <w:r>
              <w:t>(3)</w:t>
            </w:r>
          </w:p>
        </w:tc>
      </w:tr>
    </w:tbl>
    <w:p w14:paraId="77FBBA4E" w14:textId="15A61869" w:rsidR="00D672CC" w:rsidRDefault="00967A00" w:rsidP="00542B37">
      <w:pPr>
        <w:pStyle w:val="CETBodytext"/>
      </w:pPr>
      <w:r>
        <w:t>The repolymerized biocrude, accounted</w:t>
      </w:r>
      <w:r w:rsidR="00CE2D76">
        <w:t xml:space="preserve"> for</w:t>
      </w:r>
      <w:r>
        <w:t xml:space="preserve"> as organic solid residue, was </w:t>
      </w:r>
      <w:r w:rsidR="00CE2D76">
        <w:t>quantified</w:t>
      </w:r>
      <w:r w:rsidR="00561D5F">
        <w:t xml:space="preserve"> by</w:t>
      </w:r>
      <w:r>
        <w:t xml:space="preserve"> subtracting the ash content</w:t>
      </w:r>
      <w:r w:rsidR="00CE2D76">
        <w:t>, comprising oxidized metals, from the total</w:t>
      </w:r>
      <w:r>
        <w:t xml:space="preserve"> solid residue</w:t>
      </w:r>
      <w:r w:rsidR="00CE2D76">
        <w:t xml:space="preserve"> weight,</w:t>
      </w:r>
      <w:r>
        <w:t xml:space="preserve"> using </w:t>
      </w:r>
      <w:r w:rsidR="00CE2D76">
        <w:t>thermogravimetric analysis data</w:t>
      </w:r>
      <w:r>
        <w:t xml:space="preserve">. </w:t>
      </w:r>
      <w:r w:rsidR="00CE2D76">
        <w:t>After this correction, it was possible to observe that the</w:t>
      </w:r>
      <w:r w:rsidR="00B75151">
        <w:t xml:space="preserve"> </w:t>
      </w:r>
      <w:r w:rsidR="00CE2D76">
        <w:t>presence</w:t>
      </w:r>
      <w:r w:rsidR="00B75151">
        <w:t xml:space="preserve"> of ZVMs significant</w:t>
      </w:r>
      <w:r w:rsidR="00CE2D76">
        <w:t>ly</w:t>
      </w:r>
      <w:r w:rsidR="00B75151">
        <w:t xml:space="preserve"> reduc</w:t>
      </w:r>
      <w:r w:rsidR="00CE2D76">
        <w:t>ed</w:t>
      </w:r>
      <w:r w:rsidR="00B75151">
        <w:t xml:space="preserve"> organic solid residue when Fe</w:t>
      </w:r>
      <w:r w:rsidR="00561D5F">
        <w:t xml:space="preserve"> </w:t>
      </w:r>
      <w:r w:rsidR="0058098C">
        <w:t xml:space="preserve">was used </w:t>
      </w:r>
      <w:r w:rsidR="00561D5F">
        <w:t>(4.5 %)</w:t>
      </w:r>
      <w:r w:rsidR="0058098C">
        <w:t>, whereas</w:t>
      </w:r>
      <w:r>
        <w:t xml:space="preserve"> Zn</w:t>
      </w:r>
      <w:r w:rsidR="0058098C">
        <w:t xml:space="preserve"> resulted in a residue amount similar to the blank test</w:t>
      </w:r>
      <w:r w:rsidR="00561D5F">
        <w:t xml:space="preserve"> (21.9 %)</w:t>
      </w:r>
      <w:r>
        <w:t>.</w:t>
      </w:r>
      <w:r w:rsidR="008D6CDC">
        <w:t xml:space="preserve"> This difference </w:t>
      </w:r>
      <w:r w:rsidR="00685F0B">
        <w:t>aligns with what</w:t>
      </w:r>
      <w:r w:rsidR="008D6CDC">
        <w:t xml:space="preserve"> </w:t>
      </w:r>
      <w:r w:rsidR="00685F0B">
        <w:t>was observed</w:t>
      </w:r>
      <w:r w:rsidR="008D6CDC">
        <w:t xml:space="preserve"> by Tai et al. (2021</w:t>
      </w:r>
      <w:r w:rsidR="00685F0B">
        <w:t xml:space="preserve">) and was </w:t>
      </w:r>
      <w:r w:rsidR="008D6CDC">
        <w:t xml:space="preserve">attributed to the different oxidation mechanisms for the two metals. Iron particles undergo slower oxidation compared to zinc, forming incoherent layers of iron oxide that detach from the zero valent </w:t>
      </w:r>
      <w:r w:rsidR="00685F0B">
        <w:t xml:space="preserve">core, that continue to react and generate active hydrogen that stabilize the biocrude, preventing its repolymerization. Zinc, on the other hand, rapidly undergoes complete oxidation and generates hydrogen for a shorter period, that is not sufficient to prevent repolymerization mechanisms. </w:t>
      </w:r>
      <w:r w:rsidR="00561D5F">
        <w:t xml:space="preserve">Both Fe and Zn </w:t>
      </w:r>
      <w:r w:rsidR="008F5777">
        <w:t>led to</w:t>
      </w:r>
      <w:r w:rsidR="00561D5F">
        <w:t xml:space="preserve"> a slight increase in gaseous phase production, </w:t>
      </w:r>
      <w:r w:rsidR="008F5777">
        <w:t xml:space="preserve">rising </w:t>
      </w:r>
      <w:r w:rsidR="00561D5F">
        <w:t>from 5.7 % to 9.6 % and 10.4 %</w:t>
      </w:r>
      <w:r w:rsidR="008F5777">
        <w:t>,</w:t>
      </w:r>
      <w:r w:rsidR="00561D5F">
        <w:t xml:space="preserve"> respectively</w:t>
      </w:r>
      <w:r w:rsidR="00D672CC">
        <w:t>, suggesting an enhancement of decarboxylation mechanisms.</w:t>
      </w:r>
      <w:r w:rsidR="008F5777">
        <w:t xml:space="preserve"> Additionally,</w:t>
      </w:r>
      <w:r w:rsidR="00561D5F">
        <w:t xml:space="preserve"> </w:t>
      </w:r>
      <w:r w:rsidR="00F43548">
        <w:t xml:space="preserve">Fe slightly </w:t>
      </w:r>
      <w:r w:rsidR="008F5777">
        <w:t>enhanced</w:t>
      </w:r>
      <w:r w:rsidR="00F43548">
        <w:t xml:space="preserve"> the yields in water-soluble organics</w:t>
      </w:r>
      <w:r w:rsidR="00D672CC">
        <w:t xml:space="preserve"> compared to the other tests, suggesting a higher production of light polar components. These results</w:t>
      </w:r>
      <w:r w:rsidR="0096128F">
        <w:t xml:space="preserve"> demonstrate a primary positive effect of the use of ZVMs in hydrothermal upgrading, resulting in an enhanced recovery of upgraded oil. Iron appeared more suitable than zinc for this purpose, as it significantly reduced repolymerization phenomena and maximized the yield of upgraded biocrude.</w:t>
      </w:r>
    </w:p>
    <w:p w14:paraId="7456A7E6" w14:textId="0F03F0C0" w:rsidR="00C020EF" w:rsidRDefault="009D269C" w:rsidP="00542B37">
      <w:pPr>
        <w:pStyle w:val="CETBodytext"/>
      </w:pPr>
      <w:r>
        <w:t>The elemental</w:t>
      </w:r>
      <w:r w:rsidR="008F5777">
        <w:t xml:space="preserve"> composition of</w:t>
      </w:r>
      <w:r>
        <w:t xml:space="preserve"> the biocrudes </w:t>
      </w:r>
      <w:r w:rsidR="00422ED9">
        <w:t xml:space="preserve">and their calculated HHVs </w:t>
      </w:r>
      <w:r>
        <w:t xml:space="preserve">are </w:t>
      </w:r>
      <w:r w:rsidR="008F5777">
        <w:t>summarized</w:t>
      </w:r>
      <w:r>
        <w:t xml:space="preserve"> in </w:t>
      </w:r>
      <w:r w:rsidR="00C87CED">
        <w:t>T</w:t>
      </w:r>
      <w:r>
        <w:t xml:space="preserve">able 3. </w:t>
      </w:r>
      <w:r w:rsidR="00D22D1A">
        <w:t xml:space="preserve">These results highlight a significant increase in carbon content and HHV, along with a reduction in heteroatom content of the hydrothermally upgraded biocrude, compared with the raw biocrude. The analysis of the raw biocrude obtained from the HTL of sewage sludge under the same operative condition used in upgrading tests, reported in Table </w:t>
      </w:r>
      <w:r w:rsidR="00D22D1A">
        <w:lastRenderedPageBreak/>
        <w:t>3 as “Raw 330 °C, 3 h”, served as comparison to correctly address these quality enhancements to the hydrothermal upgrading, rather than the higher severity.</w:t>
      </w:r>
    </w:p>
    <w:p w14:paraId="6FDD50C7" w14:textId="10C83800" w:rsidR="00422ED9" w:rsidRDefault="00C020EF" w:rsidP="00C020EF">
      <w:pPr>
        <w:pStyle w:val="CETTabletitle"/>
      </w:pPr>
      <w:r>
        <w:t>Table 3: Elemental weight percentages and calculated HHVs of the raw and upgraded biocrudes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992"/>
        <w:gridCol w:w="992"/>
        <w:gridCol w:w="993"/>
        <w:gridCol w:w="992"/>
        <w:gridCol w:w="1134"/>
        <w:gridCol w:w="1380"/>
      </w:tblGrid>
      <w:tr w:rsidR="00C020EF" w:rsidRPr="00B57B36" w14:paraId="7CAE402C" w14:textId="6D8A1780" w:rsidTr="00C020EF">
        <w:tc>
          <w:tcPr>
            <w:tcW w:w="1985" w:type="dxa"/>
            <w:tcBorders>
              <w:top w:val="single" w:sz="12" w:space="0" w:color="008000"/>
              <w:bottom w:val="single" w:sz="6" w:space="0" w:color="008000"/>
            </w:tcBorders>
            <w:shd w:val="clear" w:color="auto" w:fill="FFFFFF"/>
          </w:tcPr>
          <w:p w14:paraId="6C5A6EBC" w14:textId="38ECC868" w:rsidR="00C020EF" w:rsidRPr="00B57B36" w:rsidRDefault="00C020EF">
            <w:pPr>
              <w:pStyle w:val="CETBodytext"/>
              <w:rPr>
                <w:lang w:val="en-GB"/>
              </w:rPr>
            </w:pPr>
            <w:r>
              <w:rPr>
                <w:lang w:val="en-GB"/>
              </w:rPr>
              <w:t>Sample</w:t>
            </w:r>
            <w:r w:rsidRPr="00B57B36">
              <w:rPr>
                <w:lang w:val="en-GB"/>
              </w:rPr>
              <w:t xml:space="preserve"> </w:t>
            </w:r>
          </w:p>
        </w:tc>
        <w:tc>
          <w:tcPr>
            <w:tcW w:w="992" w:type="dxa"/>
            <w:tcBorders>
              <w:top w:val="single" w:sz="12" w:space="0" w:color="008000"/>
              <w:bottom w:val="single" w:sz="6" w:space="0" w:color="008000"/>
            </w:tcBorders>
            <w:shd w:val="clear" w:color="auto" w:fill="FFFFFF"/>
          </w:tcPr>
          <w:p w14:paraId="64571370" w14:textId="2675D9E6" w:rsidR="00C020EF" w:rsidRPr="00B57B36" w:rsidRDefault="00C020EF">
            <w:pPr>
              <w:pStyle w:val="CETBodytext"/>
              <w:rPr>
                <w:lang w:val="en-GB"/>
              </w:rPr>
            </w:pPr>
            <w:r>
              <w:rPr>
                <w:lang w:val="en-GB"/>
              </w:rPr>
              <w:t>C %</w:t>
            </w:r>
          </w:p>
        </w:tc>
        <w:tc>
          <w:tcPr>
            <w:tcW w:w="992" w:type="dxa"/>
            <w:tcBorders>
              <w:top w:val="single" w:sz="12" w:space="0" w:color="008000"/>
              <w:bottom w:val="single" w:sz="6" w:space="0" w:color="008000"/>
            </w:tcBorders>
            <w:shd w:val="clear" w:color="auto" w:fill="FFFFFF"/>
          </w:tcPr>
          <w:p w14:paraId="7B919450" w14:textId="03155A53" w:rsidR="00C020EF" w:rsidRPr="00B57B36" w:rsidRDefault="00C020EF">
            <w:pPr>
              <w:pStyle w:val="CETBodytext"/>
              <w:rPr>
                <w:lang w:val="en-GB"/>
              </w:rPr>
            </w:pPr>
            <w:r>
              <w:rPr>
                <w:lang w:val="en-GB"/>
              </w:rPr>
              <w:t>H %</w:t>
            </w:r>
          </w:p>
        </w:tc>
        <w:tc>
          <w:tcPr>
            <w:tcW w:w="993" w:type="dxa"/>
            <w:tcBorders>
              <w:top w:val="single" w:sz="12" w:space="0" w:color="008000"/>
              <w:bottom w:val="single" w:sz="6" w:space="0" w:color="008000"/>
            </w:tcBorders>
            <w:shd w:val="clear" w:color="auto" w:fill="FFFFFF"/>
          </w:tcPr>
          <w:p w14:paraId="1AF3BF18" w14:textId="39AF6874" w:rsidR="00C020EF" w:rsidRPr="00B57B36" w:rsidRDefault="00C020EF">
            <w:pPr>
              <w:pStyle w:val="CETBodytext"/>
              <w:ind w:right="-1"/>
              <w:rPr>
                <w:rFonts w:cs="Arial"/>
                <w:szCs w:val="18"/>
                <w:lang w:val="en-GB"/>
              </w:rPr>
            </w:pPr>
            <w:r>
              <w:rPr>
                <w:rFonts w:cs="Arial"/>
                <w:szCs w:val="18"/>
                <w:lang w:val="en-GB"/>
              </w:rPr>
              <w:t>N %</w:t>
            </w:r>
          </w:p>
        </w:tc>
        <w:tc>
          <w:tcPr>
            <w:tcW w:w="992" w:type="dxa"/>
            <w:tcBorders>
              <w:top w:val="single" w:sz="12" w:space="0" w:color="008000"/>
              <w:bottom w:val="single" w:sz="6" w:space="0" w:color="008000"/>
            </w:tcBorders>
            <w:shd w:val="clear" w:color="auto" w:fill="FFFFFF"/>
          </w:tcPr>
          <w:p w14:paraId="3709C476" w14:textId="03A5988C" w:rsidR="00C020EF" w:rsidRDefault="00C020EF">
            <w:pPr>
              <w:pStyle w:val="CETBodytext"/>
              <w:ind w:right="-1"/>
              <w:rPr>
                <w:rFonts w:cs="Arial"/>
                <w:szCs w:val="18"/>
                <w:lang w:val="en-GB"/>
              </w:rPr>
            </w:pPr>
            <w:r>
              <w:rPr>
                <w:rFonts w:cs="Arial"/>
                <w:szCs w:val="18"/>
                <w:lang w:val="en-GB"/>
              </w:rPr>
              <w:t>S %</w:t>
            </w:r>
          </w:p>
        </w:tc>
        <w:tc>
          <w:tcPr>
            <w:tcW w:w="1134" w:type="dxa"/>
            <w:tcBorders>
              <w:top w:val="single" w:sz="12" w:space="0" w:color="008000"/>
              <w:bottom w:val="single" w:sz="6" w:space="0" w:color="008000"/>
            </w:tcBorders>
            <w:shd w:val="clear" w:color="auto" w:fill="FFFFFF"/>
          </w:tcPr>
          <w:p w14:paraId="13F6C347" w14:textId="3F2CDC3C" w:rsidR="00C020EF" w:rsidRPr="00B57B36" w:rsidRDefault="00C020EF">
            <w:pPr>
              <w:pStyle w:val="CETBodytext"/>
              <w:ind w:right="-1"/>
              <w:rPr>
                <w:rFonts w:cs="Arial"/>
                <w:szCs w:val="18"/>
                <w:lang w:val="en-GB"/>
              </w:rPr>
            </w:pPr>
            <w:r>
              <w:rPr>
                <w:rFonts w:cs="Arial"/>
                <w:szCs w:val="18"/>
                <w:lang w:val="en-GB"/>
              </w:rPr>
              <w:t>O* %</w:t>
            </w:r>
          </w:p>
        </w:tc>
        <w:tc>
          <w:tcPr>
            <w:tcW w:w="1380" w:type="dxa"/>
            <w:tcBorders>
              <w:top w:val="single" w:sz="12" w:space="0" w:color="008000"/>
              <w:bottom w:val="single" w:sz="6" w:space="0" w:color="008000"/>
            </w:tcBorders>
            <w:shd w:val="clear" w:color="auto" w:fill="FFFFFF"/>
          </w:tcPr>
          <w:p w14:paraId="65B48787" w14:textId="7851288B" w:rsidR="00C020EF" w:rsidRDefault="00C020EF">
            <w:pPr>
              <w:pStyle w:val="CETBodytext"/>
              <w:ind w:right="-1"/>
              <w:rPr>
                <w:rFonts w:cs="Arial"/>
                <w:szCs w:val="18"/>
                <w:lang w:val="en-GB"/>
              </w:rPr>
            </w:pPr>
            <w:r>
              <w:rPr>
                <w:rFonts w:cs="Arial"/>
                <w:szCs w:val="18"/>
                <w:lang w:val="en-GB"/>
              </w:rPr>
              <w:t>HHV (MJ kg</w:t>
            </w:r>
            <w:r w:rsidRPr="00C020EF">
              <w:rPr>
                <w:rFonts w:cs="Arial"/>
                <w:szCs w:val="18"/>
                <w:vertAlign w:val="superscript"/>
                <w:lang w:val="en-GB"/>
              </w:rPr>
              <w:t>-1</w:t>
            </w:r>
            <w:r>
              <w:rPr>
                <w:rFonts w:cs="Arial"/>
                <w:szCs w:val="18"/>
                <w:lang w:val="en-GB"/>
              </w:rPr>
              <w:t>)</w:t>
            </w:r>
          </w:p>
        </w:tc>
      </w:tr>
      <w:tr w:rsidR="00254406" w:rsidRPr="00B57B36" w14:paraId="5346D945" w14:textId="59C033F6" w:rsidTr="00C020EF">
        <w:tc>
          <w:tcPr>
            <w:tcW w:w="1985" w:type="dxa"/>
            <w:shd w:val="clear" w:color="auto" w:fill="FFFFFF"/>
          </w:tcPr>
          <w:p w14:paraId="43E0DFD4" w14:textId="1268F4B0" w:rsidR="00254406" w:rsidRPr="00B57B36" w:rsidRDefault="00254406" w:rsidP="00254406">
            <w:pPr>
              <w:pStyle w:val="CETBodytext"/>
              <w:rPr>
                <w:lang w:val="en-GB"/>
              </w:rPr>
            </w:pPr>
            <w:r>
              <w:rPr>
                <w:lang w:val="en-GB"/>
              </w:rPr>
              <w:t>Raw 280 °C, 30 min</w:t>
            </w:r>
          </w:p>
        </w:tc>
        <w:tc>
          <w:tcPr>
            <w:tcW w:w="992" w:type="dxa"/>
            <w:shd w:val="clear" w:color="auto" w:fill="FFFFFF"/>
          </w:tcPr>
          <w:p w14:paraId="24F7ADFF" w14:textId="100AD6B9" w:rsidR="00254406" w:rsidRPr="00B57B36" w:rsidRDefault="00254406" w:rsidP="00254406">
            <w:pPr>
              <w:pStyle w:val="CETBodytext"/>
              <w:rPr>
                <w:lang w:val="en-GB"/>
              </w:rPr>
            </w:pPr>
            <w:r>
              <w:rPr>
                <w:lang w:val="en-GB"/>
              </w:rPr>
              <w:t>69.28</w:t>
            </w:r>
          </w:p>
        </w:tc>
        <w:tc>
          <w:tcPr>
            <w:tcW w:w="992" w:type="dxa"/>
            <w:shd w:val="clear" w:color="auto" w:fill="FFFFFF"/>
          </w:tcPr>
          <w:p w14:paraId="4CDACB47" w14:textId="01EBCDCD" w:rsidR="00254406" w:rsidRPr="00B57B36" w:rsidRDefault="00254406" w:rsidP="00254406">
            <w:pPr>
              <w:pStyle w:val="CETBodytext"/>
              <w:rPr>
                <w:lang w:val="en-GB"/>
              </w:rPr>
            </w:pPr>
            <w:r>
              <w:rPr>
                <w:lang w:val="en-GB"/>
              </w:rPr>
              <w:t>7.27</w:t>
            </w:r>
          </w:p>
        </w:tc>
        <w:tc>
          <w:tcPr>
            <w:tcW w:w="993" w:type="dxa"/>
            <w:shd w:val="clear" w:color="auto" w:fill="FFFFFF"/>
          </w:tcPr>
          <w:p w14:paraId="00B5531D" w14:textId="170221D8" w:rsidR="00254406" w:rsidRPr="00B57B36" w:rsidRDefault="00254406" w:rsidP="00254406">
            <w:pPr>
              <w:pStyle w:val="CETBodytext"/>
              <w:ind w:right="-1"/>
              <w:rPr>
                <w:rFonts w:cs="Arial"/>
                <w:szCs w:val="18"/>
                <w:lang w:val="en-GB"/>
              </w:rPr>
            </w:pPr>
            <w:r>
              <w:rPr>
                <w:rFonts w:cs="Arial"/>
                <w:szCs w:val="18"/>
                <w:lang w:val="en-GB"/>
              </w:rPr>
              <w:t>4.08</w:t>
            </w:r>
          </w:p>
        </w:tc>
        <w:tc>
          <w:tcPr>
            <w:tcW w:w="992" w:type="dxa"/>
            <w:shd w:val="clear" w:color="auto" w:fill="FFFFFF"/>
          </w:tcPr>
          <w:p w14:paraId="24920BA7" w14:textId="42A796A6" w:rsidR="00254406" w:rsidRPr="00B57B36" w:rsidRDefault="00254406" w:rsidP="00254406">
            <w:pPr>
              <w:pStyle w:val="CETBodytext"/>
              <w:ind w:right="-1"/>
              <w:rPr>
                <w:rFonts w:cs="Arial"/>
                <w:szCs w:val="18"/>
                <w:lang w:val="en-GB"/>
              </w:rPr>
            </w:pPr>
            <w:r>
              <w:rPr>
                <w:rFonts w:cs="Arial"/>
                <w:szCs w:val="18"/>
                <w:lang w:val="en-GB"/>
              </w:rPr>
              <w:t>N.</w:t>
            </w:r>
            <w:r w:rsidR="004F7290">
              <w:rPr>
                <w:rFonts w:cs="Arial"/>
                <w:szCs w:val="18"/>
                <w:lang w:val="en-GB"/>
              </w:rPr>
              <w:t>D</w:t>
            </w:r>
            <w:r>
              <w:rPr>
                <w:rFonts w:cs="Arial"/>
                <w:szCs w:val="18"/>
                <w:lang w:val="en-GB"/>
              </w:rPr>
              <w:t>.</w:t>
            </w:r>
          </w:p>
        </w:tc>
        <w:tc>
          <w:tcPr>
            <w:tcW w:w="1134" w:type="dxa"/>
            <w:shd w:val="clear" w:color="auto" w:fill="FFFFFF"/>
          </w:tcPr>
          <w:p w14:paraId="47423DBA" w14:textId="6CE7698F" w:rsidR="00254406" w:rsidRPr="00B57B36" w:rsidRDefault="00254406" w:rsidP="00254406">
            <w:pPr>
              <w:pStyle w:val="CETBodytext"/>
              <w:ind w:right="-1"/>
              <w:rPr>
                <w:rFonts w:cs="Arial"/>
                <w:szCs w:val="18"/>
                <w:lang w:val="en-GB"/>
              </w:rPr>
            </w:pPr>
            <w:r>
              <w:rPr>
                <w:rFonts w:cs="Arial"/>
                <w:szCs w:val="18"/>
                <w:lang w:val="en-GB"/>
              </w:rPr>
              <w:t>19.36</w:t>
            </w:r>
          </w:p>
        </w:tc>
        <w:tc>
          <w:tcPr>
            <w:tcW w:w="1380" w:type="dxa"/>
            <w:shd w:val="clear" w:color="auto" w:fill="FFFFFF"/>
          </w:tcPr>
          <w:p w14:paraId="3D96501D" w14:textId="0490E458" w:rsidR="00254406" w:rsidRPr="00B57B36" w:rsidRDefault="00254406" w:rsidP="00254406">
            <w:pPr>
              <w:pStyle w:val="CETBodytext"/>
              <w:ind w:right="-1"/>
              <w:rPr>
                <w:rFonts w:cs="Arial"/>
                <w:szCs w:val="18"/>
                <w:lang w:val="en-GB"/>
              </w:rPr>
            </w:pPr>
            <w:r w:rsidRPr="006E7597">
              <w:t>30.34</w:t>
            </w:r>
          </w:p>
        </w:tc>
      </w:tr>
      <w:tr w:rsidR="00254406" w:rsidRPr="00B57B36" w14:paraId="6C6B42C9" w14:textId="4A8C4A04" w:rsidTr="00C020EF">
        <w:tc>
          <w:tcPr>
            <w:tcW w:w="1985" w:type="dxa"/>
            <w:shd w:val="clear" w:color="auto" w:fill="FFFFFF"/>
          </w:tcPr>
          <w:p w14:paraId="407B753B" w14:textId="1EC57BB4" w:rsidR="00254406" w:rsidRDefault="00254406" w:rsidP="00254406">
            <w:pPr>
              <w:pStyle w:val="CETBodytext"/>
              <w:rPr>
                <w:lang w:val="en-GB"/>
              </w:rPr>
            </w:pPr>
            <w:r>
              <w:rPr>
                <w:lang w:val="en-GB"/>
              </w:rPr>
              <w:t>Raw 330 °C, 3 h</w:t>
            </w:r>
          </w:p>
        </w:tc>
        <w:tc>
          <w:tcPr>
            <w:tcW w:w="992" w:type="dxa"/>
            <w:shd w:val="clear" w:color="auto" w:fill="FFFFFF"/>
          </w:tcPr>
          <w:p w14:paraId="5B4D3172" w14:textId="1B8E249D" w:rsidR="00254406" w:rsidRPr="00B57B36" w:rsidRDefault="00254406" w:rsidP="00254406">
            <w:pPr>
              <w:pStyle w:val="CETBodytext"/>
              <w:rPr>
                <w:lang w:val="en-GB"/>
              </w:rPr>
            </w:pPr>
            <w:r>
              <w:rPr>
                <w:lang w:val="en-GB"/>
              </w:rPr>
              <w:t>73.14</w:t>
            </w:r>
          </w:p>
        </w:tc>
        <w:tc>
          <w:tcPr>
            <w:tcW w:w="992" w:type="dxa"/>
            <w:shd w:val="clear" w:color="auto" w:fill="FFFFFF"/>
          </w:tcPr>
          <w:p w14:paraId="3B6EDA86" w14:textId="57AB2EE1" w:rsidR="00254406" w:rsidRPr="00B57B36" w:rsidRDefault="00254406" w:rsidP="00254406">
            <w:pPr>
              <w:pStyle w:val="CETBodytext"/>
              <w:rPr>
                <w:lang w:val="en-GB"/>
              </w:rPr>
            </w:pPr>
            <w:r>
              <w:rPr>
                <w:lang w:val="en-GB"/>
              </w:rPr>
              <w:t>7.67</w:t>
            </w:r>
          </w:p>
        </w:tc>
        <w:tc>
          <w:tcPr>
            <w:tcW w:w="993" w:type="dxa"/>
            <w:shd w:val="clear" w:color="auto" w:fill="FFFFFF"/>
          </w:tcPr>
          <w:p w14:paraId="26C2270A" w14:textId="1E59C444" w:rsidR="00254406" w:rsidRPr="00B57B36" w:rsidRDefault="00254406" w:rsidP="00254406">
            <w:pPr>
              <w:pStyle w:val="CETBodytext"/>
              <w:ind w:right="-1"/>
              <w:rPr>
                <w:rFonts w:cs="Arial"/>
                <w:szCs w:val="18"/>
                <w:lang w:val="en-GB"/>
              </w:rPr>
            </w:pPr>
            <w:r>
              <w:rPr>
                <w:rFonts w:cs="Arial"/>
                <w:szCs w:val="18"/>
                <w:lang w:val="en-GB"/>
              </w:rPr>
              <w:t>5.96</w:t>
            </w:r>
          </w:p>
        </w:tc>
        <w:tc>
          <w:tcPr>
            <w:tcW w:w="992" w:type="dxa"/>
            <w:shd w:val="clear" w:color="auto" w:fill="FFFFFF"/>
          </w:tcPr>
          <w:p w14:paraId="53CCDCD5" w14:textId="0B0BF13D" w:rsidR="00254406" w:rsidRPr="00B57B36" w:rsidRDefault="00254406" w:rsidP="00254406">
            <w:pPr>
              <w:pStyle w:val="CETBodytext"/>
              <w:ind w:right="-1"/>
              <w:rPr>
                <w:rFonts w:cs="Arial"/>
                <w:szCs w:val="18"/>
                <w:lang w:val="en-GB"/>
              </w:rPr>
            </w:pPr>
            <w:r>
              <w:rPr>
                <w:rFonts w:cs="Arial"/>
                <w:szCs w:val="18"/>
                <w:lang w:val="en-GB"/>
              </w:rPr>
              <w:t>N.</w:t>
            </w:r>
            <w:r w:rsidR="004F7290">
              <w:rPr>
                <w:rFonts w:cs="Arial"/>
                <w:szCs w:val="18"/>
                <w:lang w:val="en-GB"/>
              </w:rPr>
              <w:t>D</w:t>
            </w:r>
            <w:r>
              <w:rPr>
                <w:rFonts w:cs="Arial"/>
                <w:szCs w:val="18"/>
                <w:lang w:val="en-GB"/>
              </w:rPr>
              <w:t>.</w:t>
            </w:r>
          </w:p>
        </w:tc>
        <w:tc>
          <w:tcPr>
            <w:tcW w:w="1134" w:type="dxa"/>
            <w:shd w:val="clear" w:color="auto" w:fill="FFFFFF"/>
          </w:tcPr>
          <w:p w14:paraId="016074BE" w14:textId="5729A587" w:rsidR="00254406" w:rsidRPr="00B57B36" w:rsidRDefault="00254406" w:rsidP="00254406">
            <w:pPr>
              <w:pStyle w:val="CETBodytext"/>
              <w:ind w:right="-1"/>
              <w:rPr>
                <w:rFonts w:cs="Arial"/>
                <w:szCs w:val="18"/>
                <w:lang w:val="en-GB"/>
              </w:rPr>
            </w:pPr>
            <w:r>
              <w:rPr>
                <w:rFonts w:cs="Arial"/>
                <w:szCs w:val="18"/>
                <w:lang w:val="en-GB"/>
              </w:rPr>
              <w:t>13.23</w:t>
            </w:r>
          </w:p>
        </w:tc>
        <w:tc>
          <w:tcPr>
            <w:tcW w:w="1380" w:type="dxa"/>
            <w:shd w:val="clear" w:color="auto" w:fill="FFFFFF"/>
          </w:tcPr>
          <w:p w14:paraId="0300615C" w14:textId="082A0B02" w:rsidR="00254406" w:rsidRPr="00B57B36" w:rsidRDefault="00254406" w:rsidP="00254406">
            <w:pPr>
              <w:pStyle w:val="CETBodytext"/>
              <w:ind w:right="-1"/>
              <w:rPr>
                <w:rFonts w:cs="Arial"/>
                <w:szCs w:val="18"/>
                <w:lang w:val="en-GB"/>
              </w:rPr>
            </w:pPr>
            <w:r w:rsidRPr="006E7597">
              <w:t>33.31</w:t>
            </w:r>
          </w:p>
        </w:tc>
      </w:tr>
      <w:tr w:rsidR="00254406" w:rsidRPr="00B57B36" w14:paraId="21BF6EE3" w14:textId="40A3BB19" w:rsidTr="00C020EF">
        <w:tc>
          <w:tcPr>
            <w:tcW w:w="1985" w:type="dxa"/>
            <w:shd w:val="clear" w:color="auto" w:fill="FFFFFF"/>
          </w:tcPr>
          <w:p w14:paraId="646508BC" w14:textId="0B2655EB" w:rsidR="00254406" w:rsidRDefault="00254406" w:rsidP="00254406">
            <w:pPr>
              <w:pStyle w:val="CETBodytext"/>
              <w:rPr>
                <w:lang w:val="en-GB"/>
              </w:rPr>
            </w:pPr>
            <w:r>
              <w:rPr>
                <w:lang w:val="en-GB"/>
              </w:rPr>
              <w:t>Upgraded blank</w:t>
            </w:r>
          </w:p>
        </w:tc>
        <w:tc>
          <w:tcPr>
            <w:tcW w:w="992" w:type="dxa"/>
            <w:shd w:val="clear" w:color="auto" w:fill="FFFFFF"/>
          </w:tcPr>
          <w:p w14:paraId="130D0E5C" w14:textId="4C752354" w:rsidR="00254406" w:rsidRPr="00B57B36" w:rsidRDefault="00254406" w:rsidP="00254406">
            <w:pPr>
              <w:pStyle w:val="CETBodytext"/>
              <w:rPr>
                <w:lang w:val="en-GB"/>
              </w:rPr>
            </w:pPr>
            <w:r w:rsidRPr="00661D1B">
              <w:t>76.41</w:t>
            </w:r>
          </w:p>
        </w:tc>
        <w:tc>
          <w:tcPr>
            <w:tcW w:w="992" w:type="dxa"/>
            <w:shd w:val="clear" w:color="auto" w:fill="FFFFFF"/>
          </w:tcPr>
          <w:p w14:paraId="76EC8EC6" w14:textId="7196C784" w:rsidR="00254406" w:rsidRPr="00B57B36" w:rsidRDefault="00254406" w:rsidP="00254406">
            <w:pPr>
              <w:pStyle w:val="CETBodytext"/>
              <w:rPr>
                <w:lang w:val="en-GB"/>
              </w:rPr>
            </w:pPr>
            <w:r w:rsidRPr="00661D1B">
              <w:t>7.7</w:t>
            </w:r>
            <w:r>
              <w:t>4</w:t>
            </w:r>
          </w:p>
        </w:tc>
        <w:tc>
          <w:tcPr>
            <w:tcW w:w="993" w:type="dxa"/>
            <w:shd w:val="clear" w:color="auto" w:fill="FFFFFF"/>
          </w:tcPr>
          <w:p w14:paraId="6C2E3A56" w14:textId="12DB2C29" w:rsidR="00254406" w:rsidRPr="00B57B36" w:rsidRDefault="00254406" w:rsidP="00254406">
            <w:pPr>
              <w:pStyle w:val="CETBodytext"/>
              <w:ind w:right="-1"/>
              <w:rPr>
                <w:rFonts w:cs="Arial"/>
                <w:szCs w:val="18"/>
                <w:lang w:val="en-GB"/>
              </w:rPr>
            </w:pPr>
            <w:r w:rsidRPr="00661D1B">
              <w:t>3.2</w:t>
            </w:r>
            <w:r>
              <w:t>8</w:t>
            </w:r>
          </w:p>
        </w:tc>
        <w:tc>
          <w:tcPr>
            <w:tcW w:w="992" w:type="dxa"/>
            <w:shd w:val="clear" w:color="auto" w:fill="FFFFFF"/>
          </w:tcPr>
          <w:p w14:paraId="4C4ED4DD" w14:textId="7AF2A267" w:rsidR="00254406" w:rsidRPr="00B57B36" w:rsidRDefault="00254406" w:rsidP="00254406">
            <w:pPr>
              <w:pStyle w:val="CETBodytext"/>
              <w:ind w:right="-1"/>
              <w:rPr>
                <w:rFonts w:cs="Arial"/>
                <w:szCs w:val="18"/>
                <w:lang w:val="en-GB"/>
              </w:rPr>
            </w:pPr>
            <w:r>
              <w:t>N.</w:t>
            </w:r>
            <w:r w:rsidR="004F7290">
              <w:t>D</w:t>
            </w:r>
            <w:r>
              <w:t>.</w:t>
            </w:r>
          </w:p>
        </w:tc>
        <w:tc>
          <w:tcPr>
            <w:tcW w:w="1134" w:type="dxa"/>
            <w:shd w:val="clear" w:color="auto" w:fill="FFFFFF"/>
          </w:tcPr>
          <w:p w14:paraId="4480F18C" w14:textId="7916ED07" w:rsidR="00254406" w:rsidRPr="00B57B36" w:rsidRDefault="00254406" w:rsidP="00254406">
            <w:pPr>
              <w:pStyle w:val="CETBodytext"/>
              <w:ind w:right="-1"/>
              <w:rPr>
                <w:rFonts w:cs="Arial"/>
                <w:szCs w:val="18"/>
                <w:lang w:val="en-GB"/>
              </w:rPr>
            </w:pPr>
            <w:r w:rsidRPr="00661D1B">
              <w:t>12.57</w:t>
            </w:r>
          </w:p>
        </w:tc>
        <w:tc>
          <w:tcPr>
            <w:tcW w:w="1380" w:type="dxa"/>
            <w:shd w:val="clear" w:color="auto" w:fill="FFFFFF"/>
          </w:tcPr>
          <w:p w14:paraId="644D7C28" w14:textId="28681427" w:rsidR="00254406" w:rsidRPr="00B57B36" w:rsidRDefault="00254406" w:rsidP="00254406">
            <w:pPr>
              <w:pStyle w:val="CETBodytext"/>
              <w:ind w:right="-1"/>
              <w:rPr>
                <w:rFonts w:cs="Arial"/>
                <w:szCs w:val="18"/>
                <w:lang w:val="en-GB"/>
              </w:rPr>
            </w:pPr>
            <w:r w:rsidRPr="006E7597">
              <w:t>34.6</w:t>
            </w:r>
            <w:r>
              <w:t>4</w:t>
            </w:r>
          </w:p>
        </w:tc>
      </w:tr>
      <w:tr w:rsidR="00254406" w:rsidRPr="00B57B36" w14:paraId="5F930042" w14:textId="0BA105B8" w:rsidTr="00C020EF">
        <w:tc>
          <w:tcPr>
            <w:tcW w:w="1985" w:type="dxa"/>
            <w:shd w:val="clear" w:color="auto" w:fill="FFFFFF"/>
          </w:tcPr>
          <w:p w14:paraId="38951222" w14:textId="45C574A4" w:rsidR="00254406" w:rsidRDefault="00254406" w:rsidP="00254406">
            <w:pPr>
              <w:pStyle w:val="CETBodytext"/>
              <w:rPr>
                <w:lang w:val="en-GB"/>
              </w:rPr>
            </w:pPr>
            <w:r>
              <w:rPr>
                <w:lang w:val="en-GB"/>
              </w:rPr>
              <w:t>Upgraded 0.5 g of Fe</w:t>
            </w:r>
          </w:p>
        </w:tc>
        <w:tc>
          <w:tcPr>
            <w:tcW w:w="992" w:type="dxa"/>
            <w:shd w:val="clear" w:color="auto" w:fill="FFFFFF"/>
          </w:tcPr>
          <w:p w14:paraId="49E58029" w14:textId="2626EB30" w:rsidR="00254406" w:rsidRPr="00B57B36" w:rsidRDefault="00254406" w:rsidP="00254406">
            <w:pPr>
              <w:pStyle w:val="CETBodytext"/>
              <w:rPr>
                <w:lang w:val="en-GB"/>
              </w:rPr>
            </w:pPr>
            <w:r>
              <w:rPr>
                <w:lang w:val="en-GB"/>
              </w:rPr>
              <w:t>75.31</w:t>
            </w:r>
          </w:p>
        </w:tc>
        <w:tc>
          <w:tcPr>
            <w:tcW w:w="992" w:type="dxa"/>
            <w:shd w:val="clear" w:color="auto" w:fill="FFFFFF"/>
          </w:tcPr>
          <w:p w14:paraId="04728E9F" w14:textId="0FC1A361" w:rsidR="00254406" w:rsidRPr="00B57B36" w:rsidRDefault="00254406" w:rsidP="00254406">
            <w:pPr>
              <w:pStyle w:val="CETBodytext"/>
              <w:rPr>
                <w:lang w:val="en-GB"/>
              </w:rPr>
            </w:pPr>
            <w:r>
              <w:rPr>
                <w:lang w:val="en-GB"/>
              </w:rPr>
              <w:t>7.67</w:t>
            </w:r>
          </w:p>
        </w:tc>
        <w:tc>
          <w:tcPr>
            <w:tcW w:w="993" w:type="dxa"/>
            <w:shd w:val="clear" w:color="auto" w:fill="FFFFFF"/>
          </w:tcPr>
          <w:p w14:paraId="39D6288D" w14:textId="382BC349" w:rsidR="00254406" w:rsidRPr="00B57B36" w:rsidRDefault="00254406" w:rsidP="00254406">
            <w:pPr>
              <w:pStyle w:val="CETBodytext"/>
              <w:ind w:right="-1"/>
              <w:rPr>
                <w:rFonts w:cs="Arial"/>
                <w:szCs w:val="18"/>
                <w:lang w:val="en-GB"/>
              </w:rPr>
            </w:pPr>
            <w:r>
              <w:rPr>
                <w:rFonts w:cs="Arial"/>
                <w:szCs w:val="18"/>
                <w:lang w:val="en-GB"/>
              </w:rPr>
              <w:t>3.27</w:t>
            </w:r>
          </w:p>
        </w:tc>
        <w:tc>
          <w:tcPr>
            <w:tcW w:w="992" w:type="dxa"/>
            <w:shd w:val="clear" w:color="auto" w:fill="FFFFFF"/>
          </w:tcPr>
          <w:p w14:paraId="14E935B7" w14:textId="345BF287" w:rsidR="00254406" w:rsidRPr="00B57B36" w:rsidRDefault="00254406" w:rsidP="00254406">
            <w:pPr>
              <w:pStyle w:val="CETBodytext"/>
              <w:ind w:right="-1"/>
              <w:rPr>
                <w:rFonts w:cs="Arial"/>
                <w:szCs w:val="18"/>
                <w:lang w:val="en-GB"/>
              </w:rPr>
            </w:pPr>
            <w:r>
              <w:rPr>
                <w:rFonts w:cs="Arial"/>
                <w:szCs w:val="18"/>
                <w:lang w:val="en-GB"/>
              </w:rPr>
              <w:t>N.</w:t>
            </w:r>
            <w:r w:rsidR="004F7290">
              <w:rPr>
                <w:rFonts w:cs="Arial"/>
                <w:szCs w:val="18"/>
                <w:lang w:val="en-GB"/>
              </w:rPr>
              <w:t>D</w:t>
            </w:r>
            <w:r>
              <w:rPr>
                <w:rFonts w:cs="Arial"/>
                <w:szCs w:val="18"/>
                <w:lang w:val="en-GB"/>
              </w:rPr>
              <w:t>.</w:t>
            </w:r>
          </w:p>
        </w:tc>
        <w:tc>
          <w:tcPr>
            <w:tcW w:w="1134" w:type="dxa"/>
            <w:shd w:val="clear" w:color="auto" w:fill="FFFFFF"/>
          </w:tcPr>
          <w:p w14:paraId="67DE8B4D" w14:textId="0D2091FF" w:rsidR="00254406" w:rsidRPr="00B57B36" w:rsidRDefault="00254406" w:rsidP="00254406">
            <w:pPr>
              <w:pStyle w:val="CETBodytext"/>
              <w:ind w:right="-1"/>
              <w:rPr>
                <w:rFonts w:cs="Arial"/>
                <w:szCs w:val="18"/>
                <w:lang w:val="en-GB"/>
              </w:rPr>
            </w:pPr>
            <w:r>
              <w:rPr>
                <w:rFonts w:cs="Arial"/>
                <w:szCs w:val="18"/>
                <w:lang w:val="en-GB"/>
              </w:rPr>
              <w:t>13.75</w:t>
            </w:r>
          </w:p>
        </w:tc>
        <w:tc>
          <w:tcPr>
            <w:tcW w:w="1380" w:type="dxa"/>
            <w:shd w:val="clear" w:color="auto" w:fill="FFFFFF"/>
          </w:tcPr>
          <w:p w14:paraId="3B6508A2" w14:textId="2A29CAFC" w:rsidR="00254406" w:rsidRPr="00B57B36" w:rsidRDefault="00254406" w:rsidP="00254406">
            <w:pPr>
              <w:pStyle w:val="CETBodytext"/>
              <w:ind w:right="-1"/>
              <w:rPr>
                <w:rFonts w:cs="Arial"/>
                <w:szCs w:val="18"/>
                <w:lang w:val="en-GB"/>
              </w:rPr>
            </w:pPr>
            <w:r w:rsidRPr="006E7597">
              <w:t>33.95</w:t>
            </w:r>
          </w:p>
        </w:tc>
      </w:tr>
      <w:tr w:rsidR="00254406" w:rsidRPr="00B57B36" w14:paraId="3DC2483B" w14:textId="2E090FCF" w:rsidTr="00C020EF">
        <w:tc>
          <w:tcPr>
            <w:tcW w:w="1985" w:type="dxa"/>
            <w:shd w:val="clear" w:color="auto" w:fill="FFFFFF"/>
          </w:tcPr>
          <w:p w14:paraId="600A030E" w14:textId="3C4664B2" w:rsidR="00254406" w:rsidRPr="00B57B36" w:rsidRDefault="00254406" w:rsidP="00254406">
            <w:pPr>
              <w:pStyle w:val="CETBodytext"/>
              <w:ind w:right="-1"/>
              <w:rPr>
                <w:rFonts w:cs="Arial"/>
                <w:szCs w:val="18"/>
                <w:lang w:val="en-GB"/>
              </w:rPr>
            </w:pPr>
            <w:r>
              <w:rPr>
                <w:rFonts w:cs="Arial"/>
                <w:szCs w:val="18"/>
                <w:lang w:val="en-GB"/>
              </w:rPr>
              <w:t>Upgraded 0.5 g of Zn</w:t>
            </w:r>
          </w:p>
        </w:tc>
        <w:tc>
          <w:tcPr>
            <w:tcW w:w="992" w:type="dxa"/>
            <w:shd w:val="clear" w:color="auto" w:fill="FFFFFF"/>
          </w:tcPr>
          <w:p w14:paraId="7B242BDD" w14:textId="6055FAE6" w:rsidR="00254406" w:rsidRPr="00B57B36" w:rsidRDefault="00254406" w:rsidP="00254406">
            <w:pPr>
              <w:pStyle w:val="CETBodytext"/>
              <w:ind w:right="-1"/>
              <w:rPr>
                <w:rFonts w:cs="Arial"/>
                <w:szCs w:val="18"/>
                <w:lang w:val="en-GB"/>
              </w:rPr>
            </w:pPr>
            <w:r>
              <w:rPr>
                <w:rFonts w:cs="Arial"/>
                <w:szCs w:val="18"/>
                <w:lang w:val="en-GB"/>
              </w:rPr>
              <w:t>76.67</w:t>
            </w:r>
          </w:p>
        </w:tc>
        <w:tc>
          <w:tcPr>
            <w:tcW w:w="992" w:type="dxa"/>
            <w:shd w:val="clear" w:color="auto" w:fill="FFFFFF"/>
          </w:tcPr>
          <w:p w14:paraId="35B3C030" w14:textId="36D49D7F" w:rsidR="00254406" w:rsidRPr="00B57B36" w:rsidRDefault="00254406" w:rsidP="00254406">
            <w:pPr>
              <w:pStyle w:val="CETBodytext"/>
              <w:ind w:right="-1"/>
              <w:rPr>
                <w:rFonts w:cs="Arial"/>
                <w:szCs w:val="18"/>
                <w:lang w:val="en-GB"/>
              </w:rPr>
            </w:pPr>
            <w:r>
              <w:rPr>
                <w:rFonts w:cs="Arial"/>
                <w:szCs w:val="18"/>
                <w:lang w:val="en-GB"/>
              </w:rPr>
              <w:t>7.87</w:t>
            </w:r>
          </w:p>
        </w:tc>
        <w:tc>
          <w:tcPr>
            <w:tcW w:w="993" w:type="dxa"/>
            <w:shd w:val="clear" w:color="auto" w:fill="FFFFFF"/>
          </w:tcPr>
          <w:p w14:paraId="4BE0B180" w14:textId="0023F850" w:rsidR="00254406" w:rsidRPr="00B57B36" w:rsidRDefault="00254406" w:rsidP="00254406">
            <w:pPr>
              <w:pStyle w:val="CETBodytext"/>
              <w:ind w:right="-1"/>
              <w:rPr>
                <w:rFonts w:cs="Arial"/>
                <w:szCs w:val="18"/>
                <w:lang w:val="en-GB"/>
              </w:rPr>
            </w:pPr>
            <w:r>
              <w:rPr>
                <w:rFonts w:cs="Arial"/>
                <w:szCs w:val="18"/>
                <w:lang w:val="en-GB"/>
              </w:rPr>
              <w:t>3.51</w:t>
            </w:r>
          </w:p>
        </w:tc>
        <w:tc>
          <w:tcPr>
            <w:tcW w:w="992" w:type="dxa"/>
            <w:shd w:val="clear" w:color="auto" w:fill="FFFFFF"/>
          </w:tcPr>
          <w:p w14:paraId="115514C3" w14:textId="6A0BE106" w:rsidR="00254406" w:rsidRPr="00B57B36" w:rsidRDefault="00254406" w:rsidP="00254406">
            <w:pPr>
              <w:pStyle w:val="CETBodytext"/>
              <w:ind w:right="-1"/>
              <w:rPr>
                <w:rFonts w:cs="Arial"/>
                <w:szCs w:val="18"/>
                <w:lang w:val="en-GB"/>
              </w:rPr>
            </w:pPr>
            <w:r>
              <w:rPr>
                <w:rFonts w:cs="Arial"/>
                <w:szCs w:val="18"/>
                <w:lang w:val="en-GB"/>
              </w:rPr>
              <w:t>N.</w:t>
            </w:r>
            <w:r w:rsidR="004F7290">
              <w:rPr>
                <w:rFonts w:cs="Arial"/>
                <w:szCs w:val="18"/>
                <w:lang w:val="en-GB"/>
              </w:rPr>
              <w:t>D</w:t>
            </w:r>
            <w:r>
              <w:rPr>
                <w:rFonts w:cs="Arial"/>
                <w:szCs w:val="18"/>
                <w:lang w:val="en-GB"/>
              </w:rPr>
              <w:t>.</w:t>
            </w:r>
          </w:p>
        </w:tc>
        <w:tc>
          <w:tcPr>
            <w:tcW w:w="1134" w:type="dxa"/>
            <w:shd w:val="clear" w:color="auto" w:fill="FFFFFF"/>
          </w:tcPr>
          <w:p w14:paraId="060660F5" w14:textId="785F155F" w:rsidR="00254406" w:rsidRPr="00B57B36" w:rsidRDefault="00254406" w:rsidP="00254406">
            <w:pPr>
              <w:pStyle w:val="CETBodytext"/>
              <w:ind w:right="-1"/>
              <w:rPr>
                <w:rFonts w:cs="Arial"/>
                <w:szCs w:val="18"/>
                <w:lang w:val="en-GB"/>
              </w:rPr>
            </w:pPr>
            <w:r>
              <w:rPr>
                <w:rFonts w:cs="Arial"/>
                <w:szCs w:val="18"/>
                <w:lang w:val="en-GB"/>
              </w:rPr>
              <w:t>11.95</w:t>
            </w:r>
          </w:p>
        </w:tc>
        <w:tc>
          <w:tcPr>
            <w:tcW w:w="1380" w:type="dxa"/>
            <w:shd w:val="clear" w:color="auto" w:fill="FFFFFF"/>
          </w:tcPr>
          <w:p w14:paraId="2CB053B0" w14:textId="0EE7B4A0" w:rsidR="00254406" w:rsidRPr="00B57B36" w:rsidRDefault="00254406" w:rsidP="00254406">
            <w:pPr>
              <w:pStyle w:val="CETBodytext"/>
              <w:ind w:right="-1"/>
              <w:rPr>
                <w:rFonts w:cs="Arial"/>
                <w:szCs w:val="18"/>
                <w:lang w:val="en-GB"/>
              </w:rPr>
            </w:pPr>
            <w:r w:rsidRPr="006E7597">
              <w:t>35.0</w:t>
            </w:r>
            <w:r>
              <w:t>2</w:t>
            </w:r>
          </w:p>
        </w:tc>
      </w:tr>
    </w:tbl>
    <w:p w14:paraId="3D85B5B2" w14:textId="2E3EC7DE" w:rsidR="00422ED9" w:rsidRDefault="004F7290" w:rsidP="00542B37">
      <w:pPr>
        <w:pStyle w:val="CETBodytext"/>
      </w:pPr>
      <w:r>
        <w:t>* Calculated by difference (O % = 100 % – C % – H % – N % – S % – ashes %). N.D. = not detected</w:t>
      </w:r>
    </w:p>
    <w:p w14:paraId="70342400" w14:textId="77777777" w:rsidR="004F7290" w:rsidRDefault="004F7290" w:rsidP="00542B37">
      <w:pPr>
        <w:pStyle w:val="CETBodytext"/>
      </w:pPr>
    </w:p>
    <w:p w14:paraId="0BAA11E7" w14:textId="4AA7D30A" w:rsidR="00BD525B" w:rsidRDefault="00FE10E0" w:rsidP="00542B37">
      <w:pPr>
        <w:pStyle w:val="CETBodytext"/>
      </w:pPr>
      <w:r>
        <w:t xml:space="preserve">A moderately higher </w:t>
      </w:r>
      <w:r w:rsidR="00966FCB">
        <w:t xml:space="preserve">biocrude </w:t>
      </w:r>
      <w:r>
        <w:t>quality was observed in this case, with higher</w:t>
      </w:r>
      <w:r w:rsidR="00966FCB">
        <w:t xml:space="preserve"> HHV and</w:t>
      </w:r>
      <w:r>
        <w:t xml:space="preserve"> carbon and hydrogen percentages</w:t>
      </w:r>
      <w:r w:rsidR="00966FCB">
        <w:t xml:space="preserve">, although slightly lower compared with other upgrading tests. </w:t>
      </w:r>
      <w:r w:rsidR="008F5777">
        <w:t>However,</w:t>
      </w:r>
      <w:r w:rsidR="007052CD">
        <w:t xml:space="preserve"> </w:t>
      </w:r>
      <w:r w:rsidR="00966FCB">
        <w:t>that test gave the</w:t>
      </w:r>
      <w:r w:rsidR="009F3100">
        <w:t xml:space="preserve"> highe</w:t>
      </w:r>
      <w:r w:rsidR="00966FCB">
        <w:t xml:space="preserve">st nitrogen content </w:t>
      </w:r>
      <w:r w:rsidR="009F3100">
        <w:t>compared to</w:t>
      </w:r>
      <w:r w:rsidR="00966FCB">
        <w:t xml:space="preserve"> the others</w:t>
      </w:r>
      <w:r w:rsidR="008F5777">
        <w:t xml:space="preserve">, </w:t>
      </w:r>
      <w:r w:rsidR="00966FCB">
        <w:t>attributed</w:t>
      </w:r>
      <w:r w:rsidR="008F5777">
        <w:t xml:space="preserve"> to the transfer of nitrogen-containing compounds from the aqueous phase to the biocrude at elevated temperatures and prolonged reaction times</w:t>
      </w:r>
      <w:r w:rsidR="00F531D6">
        <w:t xml:space="preserve">. </w:t>
      </w:r>
      <w:r w:rsidR="00966FCB">
        <w:t xml:space="preserve">This result indicates that a second hydrothermal step is more effective on biocrude quality respect to a prolonged HTL directly from sewage sludge. </w:t>
      </w:r>
      <w:r w:rsidR="008F5777">
        <w:t>In all biocrude samples</w:t>
      </w:r>
      <w:r w:rsidR="00F531D6">
        <w:t xml:space="preserve">, sulfur content was below the </w:t>
      </w:r>
      <w:r w:rsidR="00E52D18">
        <w:t>detection limit</w:t>
      </w:r>
      <w:r w:rsidR="00F531D6">
        <w:t xml:space="preserve"> of the instrument. </w:t>
      </w:r>
      <w:r w:rsidR="00E52D18">
        <w:t xml:space="preserve">Regarding </w:t>
      </w:r>
      <w:r w:rsidR="00F531D6">
        <w:t xml:space="preserve">the upgraded biocrudes, </w:t>
      </w:r>
      <w:r w:rsidR="00E52D18">
        <w:t>the addition of ZVMs did not induce significant changes in elemental composition compared to the blank test.</w:t>
      </w:r>
      <w:r w:rsidR="00F531D6">
        <w:t xml:space="preserve"> </w:t>
      </w:r>
      <w:r w:rsidR="00677B80">
        <w:t>For all the upgrading tests, c</w:t>
      </w:r>
      <w:r w:rsidR="00E52D18">
        <w:t xml:space="preserve">arbon content increased by </w:t>
      </w:r>
      <w:r w:rsidR="00A579FC">
        <w:t xml:space="preserve">9 </w:t>
      </w:r>
      <w:r w:rsidR="00A579FC">
        <w:rPr>
          <w:rFonts w:cs="Arial"/>
        </w:rPr>
        <w:t xml:space="preserve">÷ </w:t>
      </w:r>
      <w:r w:rsidR="00A579FC">
        <w:t>10 %</w:t>
      </w:r>
      <w:r w:rsidR="00E52D18">
        <w:t>, hydrogen content by</w:t>
      </w:r>
      <w:r w:rsidR="00A579FC">
        <w:t xml:space="preserve"> 5 </w:t>
      </w:r>
      <w:r w:rsidR="00A579FC">
        <w:rPr>
          <w:rFonts w:cs="Arial"/>
        </w:rPr>
        <w:t>÷</w:t>
      </w:r>
      <w:r w:rsidR="00A579FC">
        <w:t xml:space="preserve"> 8 %, </w:t>
      </w:r>
      <w:r w:rsidR="00E52D18">
        <w:t xml:space="preserve">while nitrogen and oxygen content decreased by </w:t>
      </w:r>
      <w:r w:rsidR="00A579FC">
        <w:t xml:space="preserve">14 </w:t>
      </w:r>
      <w:r w:rsidR="00A579FC">
        <w:rPr>
          <w:rFonts w:cs="Arial"/>
        </w:rPr>
        <w:t>÷</w:t>
      </w:r>
      <w:r w:rsidR="00A579FC">
        <w:t xml:space="preserve"> 20 % and 29 </w:t>
      </w:r>
      <w:r w:rsidR="00A579FC">
        <w:rPr>
          <w:rFonts w:cs="Arial"/>
        </w:rPr>
        <w:t>÷</w:t>
      </w:r>
      <w:r w:rsidR="00A579FC">
        <w:t xml:space="preserve"> 38 %</w:t>
      </w:r>
      <w:r w:rsidR="00E52D18">
        <w:t>, respectively.</w:t>
      </w:r>
      <w:r w:rsidR="00A579FC">
        <w:t xml:space="preserve"> Th</w:t>
      </w:r>
      <w:r w:rsidR="00C15D51">
        <w:t>ese findings</w:t>
      </w:r>
      <w:r w:rsidR="00A579FC">
        <w:t xml:space="preserve"> </w:t>
      </w:r>
      <w:r w:rsidR="00E52D18">
        <w:t>suggest that the effect of</w:t>
      </w:r>
      <w:r w:rsidR="00A579FC">
        <w:t xml:space="preserve"> ZVMs</w:t>
      </w:r>
      <w:r w:rsidR="00E52D18">
        <w:t xml:space="preserve"> </w:t>
      </w:r>
      <w:r w:rsidR="00D22D1A">
        <w:t xml:space="preserve">in hydrothermal upgrading </w:t>
      </w:r>
      <w:r w:rsidR="00E52D18">
        <w:t>is</w:t>
      </w:r>
      <w:r w:rsidR="00D22D1A">
        <w:t xml:space="preserve"> limited</w:t>
      </w:r>
      <w:r w:rsidR="00E52D18">
        <w:t xml:space="preserve"> </w:t>
      </w:r>
      <w:r w:rsidR="00D22D1A">
        <w:t>to enhanced</w:t>
      </w:r>
      <w:r w:rsidR="00E52D18">
        <w:t xml:space="preserve"> biocrude recovery</w:t>
      </w:r>
      <w:r w:rsidR="00D22D1A">
        <w:t>,</w:t>
      </w:r>
      <w:r w:rsidR="00E52D18">
        <w:t xml:space="preserve"> rather than substantial changes in </w:t>
      </w:r>
      <w:r w:rsidR="00D22D1A">
        <w:t xml:space="preserve">biocrude </w:t>
      </w:r>
      <w:r w:rsidR="00E52D18">
        <w:t>elemental composition.</w:t>
      </w:r>
      <w:r w:rsidR="00D22D1A">
        <w:t xml:space="preserve"> </w:t>
      </w:r>
      <w:r w:rsidR="00C15D51">
        <w:t xml:space="preserve">However, </w:t>
      </w:r>
      <w:r w:rsidR="00E52D18">
        <w:t xml:space="preserve">GC-MS analysis provided valuable insights into the chemical transformations occurring during hydrothermal upgrading. The </w:t>
      </w:r>
      <w:r w:rsidR="00C15D51">
        <w:t>detected compounds were c</w:t>
      </w:r>
      <w:r w:rsidR="00E52D18">
        <w:t>ategorized based on their</w:t>
      </w:r>
      <w:r w:rsidR="00C15D51">
        <w:t xml:space="preserve"> functional groups</w:t>
      </w:r>
      <w:r w:rsidR="00E52D18">
        <w:t>,</w:t>
      </w:r>
      <w:r w:rsidR="00C15D51">
        <w:t xml:space="preserve"> and their </w:t>
      </w:r>
      <w:r w:rsidR="00E52D18">
        <w:t xml:space="preserve">relative </w:t>
      </w:r>
      <w:r w:rsidR="00C15D51">
        <w:t xml:space="preserve">signal area </w:t>
      </w:r>
      <w:r w:rsidR="00E52D18">
        <w:t>(</w:t>
      </w:r>
      <w:r w:rsidR="00C15D51">
        <w:t>%</w:t>
      </w:r>
      <w:r w:rsidR="00E52D18">
        <w:t>)</w:t>
      </w:r>
      <w:r w:rsidR="00C15D51">
        <w:t xml:space="preserve"> were re</w:t>
      </w:r>
      <w:r w:rsidR="00E52D18">
        <w:t>corded</w:t>
      </w:r>
      <w:r w:rsidR="00C15D51">
        <w:t xml:space="preserve">. Figure 3 summarizes the most relevant variations </w:t>
      </w:r>
      <w:r w:rsidR="00E52D18">
        <w:t>among key compound classes under</w:t>
      </w:r>
      <w:r w:rsidR="00EB0527">
        <w:t xml:space="preserve"> different upgrading condition</w:t>
      </w:r>
      <w:r w:rsidR="00BD525B">
        <w:t>s.</w:t>
      </w:r>
    </w:p>
    <w:p w14:paraId="5AF985B1" w14:textId="77777777" w:rsidR="00BD525B" w:rsidRDefault="00BD525B" w:rsidP="00542B37">
      <w:pPr>
        <w:pStyle w:val="CETBodytext"/>
      </w:pPr>
    </w:p>
    <w:p w14:paraId="3A92EC74" w14:textId="77EE2963" w:rsidR="00BD525B" w:rsidRDefault="000A14E1" w:rsidP="00542B37">
      <w:pPr>
        <w:pStyle w:val="CETBodytext"/>
      </w:pPr>
      <w:r>
        <w:rPr>
          <w:noProof/>
        </w:rPr>
        <w:drawing>
          <wp:inline distT="0" distB="0" distL="0" distR="0" wp14:anchorId="06B6A8E3" wp14:editId="347C2C60">
            <wp:extent cx="5213350" cy="1813560"/>
            <wp:effectExtent l="0" t="0" r="6350" b="0"/>
            <wp:docPr id="1283763863" name="Grafico 1">
              <a:extLst xmlns:a="http://schemas.openxmlformats.org/drawingml/2006/main">
                <a:ext uri="{FF2B5EF4-FFF2-40B4-BE49-F238E27FC236}">
                  <a16:creationId xmlns:a16="http://schemas.microsoft.com/office/drawing/2014/main" id="{16CD3A55-8410-4713-9153-D2DF7E7CF8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BC46B1" w14:textId="6C24F176" w:rsidR="00BD525B" w:rsidRDefault="00BD525B" w:rsidP="00BD525B">
      <w:pPr>
        <w:pStyle w:val="CETCaption"/>
      </w:pPr>
      <w:r>
        <w:t>Figure 3: Area % of the most relevant classes of compounds detected by GC-MS analysis of the biocrudes</w:t>
      </w:r>
      <w:r w:rsidR="000A14E1">
        <w:t>, with their variations for different upgrading conditions.</w:t>
      </w:r>
    </w:p>
    <w:p w14:paraId="3A656071" w14:textId="3C0AF948" w:rsidR="0034237D" w:rsidRDefault="00E02351" w:rsidP="000A14E1">
      <w:pPr>
        <w:pStyle w:val="CETBodytext"/>
        <w:rPr>
          <w:lang w:val="en-GB"/>
        </w:rPr>
      </w:pPr>
      <w:r>
        <w:rPr>
          <w:lang w:val="en-GB"/>
        </w:rPr>
        <w:t xml:space="preserve">A significant increase </w:t>
      </w:r>
      <w:r w:rsidR="00E52D18">
        <w:rPr>
          <w:lang w:val="en-GB"/>
        </w:rPr>
        <w:t>in</w:t>
      </w:r>
      <w:r>
        <w:rPr>
          <w:lang w:val="en-GB"/>
        </w:rPr>
        <w:t xml:space="preserve"> fatty acid</w:t>
      </w:r>
      <w:r w:rsidR="00E52D18">
        <w:rPr>
          <w:lang w:val="en-GB"/>
        </w:rPr>
        <w:t>s, such</w:t>
      </w:r>
      <w:r>
        <w:rPr>
          <w:lang w:val="en-GB"/>
        </w:rPr>
        <w:t xml:space="preserve"> as hexadecenoic and octadecenoic acid</w:t>
      </w:r>
      <w:r w:rsidR="00E52D18">
        <w:rPr>
          <w:lang w:val="en-GB"/>
        </w:rPr>
        <w:t>,</w:t>
      </w:r>
      <w:r>
        <w:rPr>
          <w:lang w:val="en-GB"/>
        </w:rPr>
        <w:t xml:space="preserve"> was </w:t>
      </w:r>
      <w:r w:rsidR="00E52D18">
        <w:rPr>
          <w:lang w:val="en-GB"/>
        </w:rPr>
        <w:t>observed</w:t>
      </w:r>
      <w:r>
        <w:rPr>
          <w:lang w:val="en-GB"/>
        </w:rPr>
        <w:t xml:space="preserve"> in the blank test, </w:t>
      </w:r>
      <w:r w:rsidR="00E52D18">
        <w:rPr>
          <w:lang w:val="en-GB"/>
        </w:rPr>
        <w:t>likely</w:t>
      </w:r>
      <w:r>
        <w:rPr>
          <w:lang w:val="en-GB"/>
        </w:rPr>
        <w:t xml:space="preserve"> due to the completion of the hydrolysis of the glycerides, </w:t>
      </w:r>
      <w:r w:rsidR="00E52D18">
        <w:rPr>
          <w:lang w:val="en-GB"/>
        </w:rPr>
        <w:t>which</w:t>
      </w:r>
      <w:r>
        <w:rPr>
          <w:lang w:val="en-GB"/>
        </w:rPr>
        <w:t xml:space="preserve"> are </w:t>
      </w:r>
      <w:r w:rsidR="00E52D18">
        <w:rPr>
          <w:lang w:val="en-GB"/>
        </w:rPr>
        <w:t>typically difficult to detect via</w:t>
      </w:r>
      <w:r w:rsidR="00974C45">
        <w:rPr>
          <w:lang w:val="en-GB"/>
        </w:rPr>
        <w:t xml:space="preserve"> GC-MS analysis. Th</w:t>
      </w:r>
      <w:r w:rsidR="002D7E4E">
        <w:rPr>
          <w:lang w:val="en-GB"/>
        </w:rPr>
        <w:t>is</w:t>
      </w:r>
      <w:r w:rsidR="00974C45">
        <w:rPr>
          <w:lang w:val="en-GB"/>
        </w:rPr>
        <w:t xml:space="preserve"> increase was not observed in</w:t>
      </w:r>
      <w:r w:rsidR="002D7E4E">
        <w:rPr>
          <w:lang w:val="en-GB"/>
        </w:rPr>
        <w:t xml:space="preserve"> the</w:t>
      </w:r>
      <w:r w:rsidR="00974C45">
        <w:rPr>
          <w:lang w:val="en-GB"/>
        </w:rPr>
        <w:t xml:space="preserve"> presence of Fe and Zn, </w:t>
      </w:r>
      <w:r w:rsidR="002D7E4E">
        <w:rPr>
          <w:lang w:val="en-GB"/>
        </w:rPr>
        <w:t>where</w:t>
      </w:r>
      <w:r w:rsidR="00974C45">
        <w:rPr>
          <w:lang w:val="en-GB"/>
        </w:rPr>
        <w:t xml:space="preserve"> fatty acid concentration</w:t>
      </w:r>
      <w:r w:rsidR="002D7E4E">
        <w:rPr>
          <w:lang w:val="en-GB"/>
        </w:rPr>
        <w:t>s</w:t>
      </w:r>
      <w:r w:rsidR="00974C45">
        <w:rPr>
          <w:lang w:val="en-GB"/>
        </w:rPr>
        <w:t xml:space="preserve"> </w:t>
      </w:r>
      <w:r w:rsidR="002D7E4E">
        <w:rPr>
          <w:lang w:val="en-GB"/>
        </w:rPr>
        <w:t>were</w:t>
      </w:r>
      <w:r w:rsidR="00974C45">
        <w:rPr>
          <w:lang w:val="en-GB"/>
        </w:rPr>
        <w:t xml:space="preserve"> lower </w:t>
      </w:r>
      <w:r w:rsidR="002D7E4E">
        <w:rPr>
          <w:lang w:val="en-GB"/>
        </w:rPr>
        <w:t>than in the</w:t>
      </w:r>
      <w:r w:rsidR="00974C45">
        <w:rPr>
          <w:lang w:val="en-GB"/>
        </w:rPr>
        <w:t xml:space="preserve"> raw biocrude. </w:t>
      </w:r>
      <w:r w:rsidR="00203470">
        <w:rPr>
          <w:lang w:val="en-GB"/>
        </w:rPr>
        <w:t xml:space="preserve">This detail suggests that ZVMs also significantly affects the composition of the biocrude, during hydrothermal upgrading. </w:t>
      </w:r>
      <w:r w:rsidR="00974C45">
        <w:rPr>
          <w:lang w:val="en-GB"/>
        </w:rPr>
        <w:t>The amide class,</w:t>
      </w:r>
      <w:r w:rsidR="00203470">
        <w:rPr>
          <w:lang w:val="en-GB"/>
        </w:rPr>
        <w:t xml:space="preserve"> which was among the dominant compound classes in the raw biocrude, including fatty acid derived amides such as </w:t>
      </w:r>
      <w:proofErr w:type="spellStart"/>
      <w:r w:rsidR="00974C45">
        <w:rPr>
          <w:lang w:val="en-GB"/>
        </w:rPr>
        <w:t>hexadecanamide</w:t>
      </w:r>
      <w:proofErr w:type="spellEnd"/>
      <w:r w:rsidR="00974C45">
        <w:rPr>
          <w:lang w:val="en-GB"/>
        </w:rPr>
        <w:t xml:space="preserve"> and </w:t>
      </w:r>
      <w:proofErr w:type="spellStart"/>
      <w:r w:rsidR="00974C45">
        <w:rPr>
          <w:lang w:val="en-GB"/>
        </w:rPr>
        <w:t>octadecenamide</w:t>
      </w:r>
      <w:proofErr w:type="spellEnd"/>
      <w:r w:rsidR="00203470">
        <w:rPr>
          <w:lang w:val="en-GB"/>
        </w:rPr>
        <w:t xml:space="preserve">, </w:t>
      </w:r>
      <w:r w:rsidR="002D7E4E">
        <w:rPr>
          <w:lang w:val="en-GB"/>
        </w:rPr>
        <w:t>showed a</w:t>
      </w:r>
      <w:r w:rsidR="00203470">
        <w:rPr>
          <w:lang w:val="en-GB"/>
        </w:rPr>
        <w:t xml:space="preserve"> significant</w:t>
      </w:r>
      <w:r w:rsidR="002D7E4E">
        <w:rPr>
          <w:lang w:val="en-GB"/>
        </w:rPr>
        <w:t xml:space="preserve"> reduction</w:t>
      </w:r>
      <w:r w:rsidR="00F6471B">
        <w:rPr>
          <w:lang w:val="en-GB"/>
        </w:rPr>
        <w:t xml:space="preserve"> in the upgraded </w:t>
      </w:r>
      <w:r w:rsidR="002D7E4E">
        <w:rPr>
          <w:lang w:val="en-GB"/>
        </w:rPr>
        <w:t>samples</w:t>
      </w:r>
      <w:r w:rsidR="00D26D94">
        <w:rPr>
          <w:lang w:val="en-GB"/>
        </w:rPr>
        <w:t xml:space="preserve">. This </w:t>
      </w:r>
      <w:r w:rsidR="002D7E4E">
        <w:rPr>
          <w:lang w:val="en-GB"/>
        </w:rPr>
        <w:t>reduction may explain the observed decrease in nitrogen content, suggesting nitrogen migration to the aqueous phase</w:t>
      </w:r>
      <w:r w:rsidR="00646220">
        <w:rPr>
          <w:lang w:val="en-GB"/>
        </w:rPr>
        <w:t xml:space="preserve">. </w:t>
      </w:r>
      <w:r w:rsidR="00203470">
        <w:rPr>
          <w:lang w:val="en-GB"/>
        </w:rPr>
        <w:t>Finally, b</w:t>
      </w:r>
      <w:r w:rsidR="00646220">
        <w:rPr>
          <w:lang w:val="en-GB"/>
        </w:rPr>
        <w:t>iocrudes upgraded with ZVMs</w:t>
      </w:r>
      <w:r w:rsidR="002D7E4E">
        <w:rPr>
          <w:lang w:val="en-GB"/>
        </w:rPr>
        <w:t xml:space="preserve"> exhibited an increased</w:t>
      </w:r>
      <w:r w:rsidR="00646220">
        <w:rPr>
          <w:lang w:val="en-GB"/>
        </w:rPr>
        <w:t xml:space="preserve"> concentration of alcohols and aldehydes, </w:t>
      </w:r>
      <w:r w:rsidR="002D7E4E">
        <w:rPr>
          <w:lang w:val="en-GB"/>
        </w:rPr>
        <w:t>identified</w:t>
      </w:r>
      <w:r w:rsidR="00646220">
        <w:rPr>
          <w:lang w:val="en-GB"/>
        </w:rPr>
        <w:t xml:space="preserve"> as reduction products of </w:t>
      </w:r>
      <w:r w:rsidR="00964CC3">
        <w:rPr>
          <w:lang w:val="en-GB"/>
        </w:rPr>
        <w:t>fatty acids</w:t>
      </w:r>
      <w:r w:rsidR="00CF10BC">
        <w:rPr>
          <w:lang w:val="en-GB"/>
        </w:rPr>
        <w:t xml:space="preserve"> </w:t>
      </w:r>
      <w:r w:rsidR="002D7E4E">
        <w:rPr>
          <w:lang w:val="en-GB"/>
        </w:rPr>
        <w:t xml:space="preserve">(e.g. </w:t>
      </w:r>
      <w:r w:rsidR="00CF10BC">
        <w:rPr>
          <w:lang w:val="en-GB"/>
        </w:rPr>
        <w:t>1-hexadecanol and 17-Octadecenal</w:t>
      </w:r>
      <w:r w:rsidR="00203470">
        <w:rPr>
          <w:lang w:val="en-GB"/>
        </w:rPr>
        <w:t>, respectively</w:t>
      </w:r>
      <w:r w:rsidR="002D7E4E">
        <w:rPr>
          <w:lang w:val="en-GB"/>
        </w:rPr>
        <w:t>)</w:t>
      </w:r>
      <w:r w:rsidR="00CF10BC">
        <w:rPr>
          <w:lang w:val="en-GB"/>
        </w:rPr>
        <w:t>,</w:t>
      </w:r>
      <w:r w:rsidR="002D7E4E">
        <w:rPr>
          <w:lang w:val="en-GB"/>
        </w:rPr>
        <w:t xml:space="preserve"> as well as</w:t>
      </w:r>
      <w:r w:rsidR="00CF10BC">
        <w:rPr>
          <w:lang w:val="en-GB"/>
        </w:rPr>
        <w:t xml:space="preserve"> aliphatic hydrocarbons</w:t>
      </w:r>
      <w:r w:rsidR="002D7E4E">
        <w:rPr>
          <w:lang w:val="en-GB"/>
        </w:rPr>
        <w:t>, which were</w:t>
      </w:r>
      <w:r w:rsidR="00CF10BC">
        <w:rPr>
          <w:lang w:val="en-GB"/>
        </w:rPr>
        <w:t xml:space="preserve"> recognised as decarboxylation products from fatty acids</w:t>
      </w:r>
      <w:r w:rsidR="002D7E4E">
        <w:rPr>
          <w:lang w:val="en-GB"/>
        </w:rPr>
        <w:t xml:space="preserve"> (e.g. </w:t>
      </w:r>
      <w:r w:rsidR="00CF10BC">
        <w:rPr>
          <w:lang w:val="en-GB"/>
        </w:rPr>
        <w:t xml:space="preserve">pentadecane and </w:t>
      </w:r>
      <w:r w:rsidR="00CF10BC" w:rsidRPr="00CF10BC">
        <w:rPr>
          <w:lang w:val="en-GB"/>
        </w:rPr>
        <w:t>3-Heptadecene, (Z)-</w:t>
      </w:r>
      <w:r w:rsidR="002D7E4E">
        <w:rPr>
          <w:lang w:val="en-GB"/>
        </w:rPr>
        <w:t>)</w:t>
      </w:r>
      <w:r w:rsidR="00CF10BC">
        <w:rPr>
          <w:lang w:val="en-GB"/>
        </w:rPr>
        <w:t xml:space="preserve">. The relative increase in aliphatic hydrocarbons was </w:t>
      </w:r>
      <w:r w:rsidR="002D7E4E">
        <w:rPr>
          <w:lang w:val="en-GB"/>
        </w:rPr>
        <w:t>quantified at</w:t>
      </w:r>
      <w:r w:rsidR="00CF10BC">
        <w:rPr>
          <w:lang w:val="en-GB"/>
        </w:rPr>
        <w:t xml:space="preserve"> + 480 % for Fe and + 520 % for Zn</w:t>
      </w:r>
      <w:r w:rsidR="0034237D">
        <w:rPr>
          <w:lang w:val="en-GB"/>
        </w:rPr>
        <w:t xml:space="preserve">, </w:t>
      </w:r>
      <w:r w:rsidR="002D7E4E">
        <w:rPr>
          <w:lang w:val="en-GB"/>
        </w:rPr>
        <w:t>compared</w:t>
      </w:r>
      <w:r w:rsidR="0034237D">
        <w:rPr>
          <w:lang w:val="en-GB"/>
        </w:rPr>
        <w:t xml:space="preserve"> to</w:t>
      </w:r>
      <w:r w:rsidR="002D7E4E">
        <w:rPr>
          <w:lang w:val="en-GB"/>
        </w:rPr>
        <w:t xml:space="preserve"> the</w:t>
      </w:r>
      <w:r w:rsidR="0034237D">
        <w:rPr>
          <w:lang w:val="en-GB"/>
        </w:rPr>
        <w:t xml:space="preserve"> not upgraded biocrude</w:t>
      </w:r>
      <w:r w:rsidR="00CF10BC">
        <w:rPr>
          <w:lang w:val="en-GB"/>
        </w:rPr>
        <w:t>.</w:t>
      </w:r>
      <w:r w:rsidR="00D22D1A">
        <w:rPr>
          <w:lang w:val="en-GB"/>
        </w:rPr>
        <w:t xml:space="preserve"> Th</w:t>
      </w:r>
      <w:r w:rsidR="00E67B72">
        <w:rPr>
          <w:lang w:val="en-GB"/>
        </w:rPr>
        <w:t>ese</w:t>
      </w:r>
      <w:r w:rsidR="00D22D1A">
        <w:rPr>
          <w:lang w:val="en-GB"/>
        </w:rPr>
        <w:t xml:space="preserve"> last result</w:t>
      </w:r>
      <w:r w:rsidR="00E67B72">
        <w:rPr>
          <w:lang w:val="en-GB"/>
        </w:rPr>
        <w:t>s</w:t>
      </w:r>
      <w:r w:rsidR="00D22D1A">
        <w:rPr>
          <w:lang w:val="en-GB"/>
        </w:rPr>
        <w:t xml:space="preserve"> </w:t>
      </w:r>
      <w:r w:rsidR="00E67B72">
        <w:rPr>
          <w:lang w:val="en-GB"/>
        </w:rPr>
        <w:t>are particularly noteworthy</w:t>
      </w:r>
      <w:r w:rsidR="00D22D1A">
        <w:rPr>
          <w:lang w:val="en-GB"/>
        </w:rPr>
        <w:t xml:space="preserve">, as </w:t>
      </w:r>
      <w:r w:rsidR="00E67B72">
        <w:rPr>
          <w:lang w:val="en-GB"/>
        </w:rPr>
        <w:t>they</w:t>
      </w:r>
      <w:r w:rsidR="00D22D1A">
        <w:rPr>
          <w:lang w:val="en-GB"/>
        </w:rPr>
        <w:t xml:space="preserve"> demonstrate the effect</w:t>
      </w:r>
      <w:r w:rsidR="00E67B72">
        <w:rPr>
          <w:lang w:val="en-GB"/>
        </w:rPr>
        <w:t xml:space="preserve">iveness, </w:t>
      </w:r>
      <w:r w:rsidR="00E67B72">
        <w:rPr>
          <w:lang w:val="en-GB"/>
        </w:rPr>
        <w:lastRenderedPageBreak/>
        <w:t>although limited, of ZVMs to reduce oxygenated compounds as fatty acids to “diesel-like” compounds</w:t>
      </w:r>
      <w:r w:rsidR="00A65183">
        <w:rPr>
          <w:lang w:val="en-GB"/>
        </w:rPr>
        <w:t xml:space="preserve"> such</w:t>
      </w:r>
      <w:r w:rsidR="00E67B72">
        <w:rPr>
          <w:lang w:val="en-GB"/>
        </w:rPr>
        <w:t xml:space="preserve"> as C15 - C17 linear hydrocarbons. This opens interesting perspectives in combining ZVMs with hydrogenation catalysts, to enhance their effectiveness and maximize th</w:t>
      </w:r>
      <w:r w:rsidR="00A65183">
        <w:rPr>
          <w:lang w:val="en-GB"/>
        </w:rPr>
        <w:t>e</w:t>
      </w:r>
      <w:r w:rsidR="00E67B72">
        <w:rPr>
          <w:lang w:val="en-GB"/>
        </w:rPr>
        <w:t xml:space="preserve"> conversion</w:t>
      </w:r>
      <w:r w:rsidR="00A65183">
        <w:rPr>
          <w:lang w:val="en-GB"/>
        </w:rPr>
        <w:t xml:space="preserve"> of these upgrading mechanisms</w:t>
      </w:r>
      <w:r w:rsidR="00E67B72">
        <w:rPr>
          <w:lang w:val="en-GB"/>
        </w:rPr>
        <w:t xml:space="preserve">, in order to </w:t>
      </w:r>
      <w:r w:rsidR="00203470">
        <w:rPr>
          <w:lang w:val="en-GB"/>
        </w:rPr>
        <w:t>gradually fill the gap between HTL biocrude and commercial liquid fuels.</w:t>
      </w:r>
    </w:p>
    <w:p w14:paraId="33E0D0B7" w14:textId="3B9687BA" w:rsidR="0034237D" w:rsidRDefault="0034237D" w:rsidP="0034237D">
      <w:pPr>
        <w:pStyle w:val="CETHeading1"/>
      </w:pPr>
      <w:r>
        <w:t>Conclusions</w:t>
      </w:r>
    </w:p>
    <w:p w14:paraId="23E4CC42" w14:textId="48E074B8" w:rsidR="002F7B10" w:rsidRDefault="0034237D" w:rsidP="000A14E1">
      <w:pPr>
        <w:pStyle w:val="CETBodytext"/>
        <w:rPr>
          <w:lang w:val="en-GB"/>
        </w:rPr>
      </w:pPr>
      <w:r>
        <w:t>This explorat</w:t>
      </w:r>
      <w:r w:rsidR="002D7E4E">
        <w:t>ory</w:t>
      </w:r>
      <w:r>
        <w:t xml:space="preserve"> study </w:t>
      </w:r>
      <w:r w:rsidR="00757DBF">
        <w:t>provides valuable insights into the hydrothermal upgrading</w:t>
      </w:r>
      <w:r>
        <w:t xml:space="preserve"> of HTL biocrude</w:t>
      </w:r>
      <w:r w:rsidR="002F7B10">
        <w:t xml:space="preserve"> </w:t>
      </w:r>
      <w:r>
        <w:t>assisted by zero</w:t>
      </w:r>
      <w:r w:rsidR="00757DBF">
        <w:t>-</w:t>
      </w:r>
      <w:r>
        <w:t>valent metals as in-situ hydrogen generators.</w:t>
      </w:r>
      <w:r w:rsidR="00173416">
        <w:t xml:space="preserve"> The</w:t>
      </w:r>
      <w:r w:rsidR="00757DBF">
        <w:t xml:space="preserve"> effects </w:t>
      </w:r>
      <w:r w:rsidR="00173416">
        <w:t>of zero</w:t>
      </w:r>
      <w:r w:rsidR="00757DBF">
        <w:t>-</w:t>
      </w:r>
      <w:r w:rsidR="00173416">
        <w:t>valent Fe and Zn</w:t>
      </w:r>
      <w:r w:rsidR="002F7B10">
        <w:t xml:space="preserve"> on </w:t>
      </w:r>
      <w:r w:rsidR="00757DBF">
        <w:t xml:space="preserve">biocrude derived from </w:t>
      </w:r>
      <w:r w:rsidR="002F7B10">
        <w:t xml:space="preserve">digested sewage sludge </w:t>
      </w:r>
      <w:r w:rsidR="00173416">
        <w:t>w</w:t>
      </w:r>
      <w:r w:rsidR="00757DBF">
        <w:t>ere</w:t>
      </w:r>
      <w:r w:rsidR="00173416">
        <w:t xml:space="preserve"> investigated in</w:t>
      </w:r>
      <w:r w:rsidR="00757DBF">
        <w:t xml:space="preserve"> terms of</w:t>
      </w:r>
      <w:r w:rsidR="00173416">
        <w:t xml:space="preserve"> upgraded biocrude recovery and composition, in</w:t>
      </w:r>
      <w:r w:rsidR="00757DBF">
        <w:t>cluding elemental analysis and GC-MS characterization.</w:t>
      </w:r>
      <w:r w:rsidR="003745F3">
        <w:t xml:space="preserve"> All the upgrading tests revealed a relative increase </w:t>
      </w:r>
      <w:r w:rsidR="009C1473">
        <w:t>in</w:t>
      </w:r>
      <w:r w:rsidR="003745F3">
        <w:t xml:space="preserve"> biocrude quality,</w:t>
      </w:r>
      <w:r w:rsidR="009C1473">
        <w:t xml:space="preserve"> with maximum enhancements reaching a</w:t>
      </w:r>
      <w:r w:rsidR="003745F3">
        <w:t xml:space="preserve"> 10.7 % </w:t>
      </w:r>
      <w:r w:rsidR="009C1473">
        <w:t>increase in</w:t>
      </w:r>
      <w:r w:rsidR="003745F3">
        <w:t xml:space="preserve"> carbon content </w:t>
      </w:r>
      <w:r w:rsidR="009C1473">
        <w:t>and 38.3 % decrease in</w:t>
      </w:r>
      <w:r w:rsidR="003745F3">
        <w:t xml:space="preserve"> oxygen content, </w:t>
      </w:r>
      <w:r w:rsidR="009C1473">
        <w:t>leading to a</w:t>
      </w:r>
      <w:r w:rsidR="003745F3">
        <w:t xml:space="preserve"> corresponding </w:t>
      </w:r>
      <w:r w:rsidR="009C1473">
        <w:t xml:space="preserve">relative </w:t>
      </w:r>
      <w:r w:rsidR="003745F3">
        <w:t>increase of HHV up to 15.4 %.</w:t>
      </w:r>
      <w:r w:rsidR="00173416">
        <w:t xml:space="preserve"> Compared </w:t>
      </w:r>
      <w:r w:rsidR="00757DBF">
        <w:t>to the</w:t>
      </w:r>
      <w:r w:rsidR="00173416">
        <w:t xml:space="preserve"> blank test, the</w:t>
      </w:r>
      <w:r w:rsidR="00757DBF">
        <w:t xml:space="preserve"> primary impact of</w:t>
      </w:r>
      <w:r w:rsidR="00173416">
        <w:t xml:space="preserve"> ZVMs was </w:t>
      </w:r>
      <w:r w:rsidR="00757DBF">
        <w:t>an increase in upgraded</w:t>
      </w:r>
      <w:r w:rsidR="00173416">
        <w:t xml:space="preserve"> biocrude recovery</w:t>
      </w:r>
      <w:r w:rsidR="00757DBF">
        <w:t xml:space="preserve">, rising </w:t>
      </w:r>
      <w:r w:rsidR="007F1AB8">
        <w:t xml:space="preserve">from 60% </w:t>
      </w:r>
      <w:r w:rsidR="00757DBF">
        <w:t>in</w:t>
      </w:r>
      <w:r w:rsidR="007F1AB8">
        <w:t xml:space="preserve"> the blank test to 72 % </w:t>
      </w:r>
      <w:r w:rsidR="00757DBF">
        <w:t>with</w:t>
      </w:r>
      <w:r w:rsidR="007F1AB8">
        <w:t xml:space="preserve"> Fe and 67 % </w:t>
      </w:r>
      <w:r w:rsidR="00757DBF">
        <w:t>with</w:t>
      </w:r>
      <w:r w:rsidR="007F1AB8">
        <w:t xml:space="preserve"> Zn. </w:t>
      </w:r>
      <w:r w:rsidR="00757DBF">
        <w:t>This improvement was</w:t>
      </w:r>
      <w:r w:rsidR="00173416">
        <w:t xml:space="preserve"> attributed to </w:t>
      </w:r>
      <w:r w:rsidR="00757DBF">
        <w:t xml:space="preserve">the </w:t>
      </w:r>
      <w:r w:rsidR="00A65183">
        <w:t>stabilization of the oil-like molecules in</w:t>
      </w:r>
      <w:r w:rsidR="007F1AB8">
        <w:t xml:space="preserve"> </w:t>
      </w:r>
      <w:r w:rsidR="009C1473">
        <w:t>the presence</w:t>
      </w:r>
      <w:r w:rsidR="007F1AB8">
        <w:t xml:space="preserve"> of active hydrogen generated by </w:t>
      </w:r>
      <w:r w:rsidR="00A65183">
        <w:t>the</w:t>
      </w:r>
      <w:r w:rsidR="007F1AB8">
        <w:t xml:space="preserve"> oxidation</w:t>
      </w:r>
      <w:r w:rsidR="00757DBF">
        <w:t xml:space="preserve"> </w:t>
      </w:r>
      <w:r w:rsidR="00A65183">
        <w:t xml:space="preserve">of metals </w:t>
      </w:r>
      <w:r w:rsidR="00757DBF">
        <w:t>in water, with Fe exhibiting a particularly pronounced effect.</w:t>
      </w:r>
      <w:r w:rsidR="007F1AB8">
        <w:t xml:space="preserve"> </w:t>
      </w:r>
      <w:r w:rsidR="00757DBF">
        <w:t>Although</w:t>
      </w:r>
      <w:r w:rsidR="007F1AB8">
        <w:t xml:space="preserve"> no significant </w:t>
      </w:r>
      <w:r w:rsidR="00757DBF">
        <w:t>changes in the elemental composition</w:t>
      </w:r>
      <w:r w:rsidR="007F1AB8">
        <w:t xml:space="preserve"> of the upgraded biocrude</w:t>
      </w:r>
      <w:r w:rsidR="00757DBF">
        <w:t xml:space="preserve"> were observed compared with the blank test</w:t>
      </w:r>
      <w:r w:rsidR="007F1AB8">
        <w:t>,</w:t>
      </w:r>
      <w:r w:rsidR="00166A6D">
        <w:t xml:space="preserve"> GC-MS analysis revealed several reduction products in samples treated with ZVMs. Notably, fatty acid concentrations decreased, while aliphatic hydrocarbons, identified as decarboxylation products of fatty acids, increased by a factor of five compared with the non-upgraded biocrude.</w:t>
      </w:r>
      <w:r w:rsidR="007F1AB8">
        <w:t xml:space="preserve"> </w:t>
      </w:r>
      <w:r w:rsidR="00CF10BC">
        <w:rPr>
          <w:lang w:val="en-GB"/>
        </w:rPr>
        <w:t>These</w:t>
      </w:r>
      <w:r w:rsidR="008455A5">
        <w:rPr>
          <w:lang w:val="en-GB"/>
        </w:rPr>
        <w:t xml:space="preserve"> preliminary</w:t>
      </w:r>
      <w:r w:rsidR="00CF10BC">
        <w:rPr>
          <w:lang w:val="en-GB"/>
        </w:rPr>
        <w:t xml:space="preserve"> findings </w:t>
      </w:r>
      <w:r w:rsidR="00166A6D">
        <w:rPr>
          <w:lang w:val="en-GB"/>
        </w:rPr>
        <w:t>suggest that further research should explore</w:t>
      </w:r>
      <w:r>
        <w:rPr>
          <w:lang w:val="en-GB"/>
        </w:rPr>
        <w:t xml:space="preserve"> the effects of the use of ZVMs </w:t>
      </w:r>
      <w:r w:rsidR="00166A6D">
        <w:rPr>
          <w:lang w:val="en-GB"/>
        </w:rPr>
        <w:t>under</w:t>
      </w:r>
      <w:r>
        <w:rPr>
          <w:lang w:val="en-GB"/>
        </w:rPr>
        <w:t xml:space="preserve"> </w:t>
      </w:r>
      <w:r w:rsidR="008455A5">
        <w:rPr>
          <w:lang w:val="en-GB"/>
        </w:rPr>
        <w:t>hydrothermal conditions</w:t>
      </w:r>
      <w:r w:rsidR="00166A6D">
        <w:rPr>
          <w:lang w:val="en-GB"/>
        </w:rPr>
        <w:t xml:space="preserve"> in combination with hydrogenation catalysts, aiming to develop sustainable biobased fuel upgrading strategies that minimize hydrogen consumption.</w:t>
      </w:r>
    </w:p>
    <w:p w14:paraId="1B8CC8D7" w14:textId="44E76794" w:rsidR="002F7B10" w:rsidRDefault="002F7B10" w:rsidP="002F7B10">
      <w:pPr>
        <w:pStyle w:val="CETAcknowledgementstitle"/>
      </w:pPr>
      <w:r>
        <w:t>Acknowledgements and fundings</w:t>
      </w:r>
    </w:p>
    <w:p w14:paraId="72B3E0B6" w14:textId="7A51AF3B" w:rsidR="002F7B10" w:rsidRPr="002F7B10" w:rsidRDefault="00A5590A" w:rsidP="00A5590A">
      <w:pPr>
        <w:pStyle w:val="CETBodytext"/>
        <w:rPr>
          <w:lang w:val="en-GB"/>
        </w:rPr>
      </w:pPr>
      <w:r w:rsidRPr="00A5590A">
        <w:rPr>
          <w:lang w:val="en-GB"/>
        </w:rPr>
        <w:t>This research was funded by the Project “Energy efficiency of industrial products and processes”</w:t>
      </w:r>
      <w:r>
        <w:rPr>
          <w:lang w:val="en-GB"/>
        </w:rPr>
        <w:t xml:space="preserve"> </w:t>
      </w:r>
      <w:r w:rsidRPr="00A5590A">
        <w:rPr>
          <w:lang w:val="en-GB"/>
        </w:rPr>
        <w:t>–</w:t>
      </w:r>
      <w:r>
        <w:rPr>
          <w:lang w:val="en-GB"/>
        </w:rPr>
        <w:t xml:space="preserve"> </w:t>
      </w:r>
      <w:r w:rsidRPr="00A5590A">
        <w:rPr>
          <w:lang w:val="en-GB"/>
        </w:rPr>
        <w:t xml:space="preserve">Research program: “Piano Triennale </w:t>
      </w:r>
      <w:proofErr w:type="spellStart"/>
      <w:r w:rsidRPr="00A5590A">
        <w:rPr>
          <w:lang w:val="en-GB"/>
        </w:rPr>
        <w:t>della</w:t>
      </w:r>
      <w:proofErr w:type="spellEnd"/>
      <w:r w:rsidRPr="00A5590A">
        <w:rPr>
          <w:lang w:val="en-GB"/>
        </w:rPr>
        <w:t xml:space="preserve"> </w:t>
      </w:r>
      <w:proofErr w:type="spellStart"/>
      <w:r w:rsidRPr="00A5590A">
        <w:rPr>
          <w:lang w:val="en-GB"/>
        </w:rPr>
        <w:t>Ricerca</w:t>
      </w:r>
      <w:proofErr w:type="spellEnd"/>
      <w:r w:rsidRPr="00A5590A">
        <w:rPr>
          <w:lang w:val="en-GB"/>
        </w:rPr>
        <w:t xml:space="preserve"> del Sistema </w:t>
      </w:r>
      <w:proofErr w:type="spellStart"/>
      <w:r w:rsidRPr="00A5590A">
        <w:rPr>
          <w:lang w:val="en-GB"/>
        </w:rPr>
        <w:t>ElettricoNazionale</w:t>
      </w:r>
      <w:proofErr w:type="spellEnd"/>
      <w:r w:rsidRPr="00A5590A">
        <w:rPr>
          <w:lang w:val="en-GB"/>
        </w:rPr>
        <w:t xml:space="preserve"> 2022–2024”</w:t>
      </w:r>
      <w:r>
        <w:rPr>
          <w:lang w:val="en-GB"/>
        </w:rPr>
        <w:t xml:space="preserve"> </w:t>
      </w:r>
      <w:r w:rsidRPr="00A5590A">
        <w:rPr>
          <w:lang w:val="en-GB"/>
        </w:rPr>
        <w:t>funded by the Italian Ministry of Economic Development</w:t>
      </w:r>
      <w:r>
        <w:rPr>
          <w:lang w:val="en-GB"/>
        </w:rPr>
        <w:t xml:space="preserve">. </w:t>
      </w:r>
    </w:p>
    <w:p w14:paraId="179EFBDA" w14:textId="4781726D" w:rsidR="006A0006" w:rsidRPr="00E2742F" w:rsidRDefault="006A0006" w:rsidP="006A0006">
      <w:pPr>
        <w:pStyle w:val="CETReference"/>
        <w:rPr>
          <w:lang w:val="it-IT"/>
        </w:rPr>
      </w:pPr>
      <w:proofErr w:type="spellStart"/>
      <w:r w:rsidRPr="00E2742F">
        <w:rPr>
          <w:lang w:val="it-IT"/>
        </w:rPr>
        <w:t>References</w:t>
      </w:r>
      <w:proofErr w:type="spellEnd"/>
    </w:p>
    <w:p w14:paraId="0AE4FB6A" w14:textId="77777777" w:rsidR="002512CE" w:rsidRPr="002512CE" w:rsidRDefault="006A0006" w:rsidP="002512CE">
      <w:pPr>
        <w:pStyle w:val="Bibliografia"/>
        <w:rPr>
          <w:rFonts w:cs="Arial"/>
          <w:lang w:val="it-IT"/>
        </w:rPr>
      </w:pPr>
      <w:r>
        <w:fldChar w:fldCharType="begin"/>
      </w:r>
      <w:r w:rsidR="00B369B5" w:rsidRPr="00B369B5">
        <w:rPr>
          <w:lang w:val="it-IT"/>
        </w:rPr>
        <w:instrText xml:space="preserve"> ADDIN ZOTERO_BIBL {"uncited":[],"omitted":[],"custom":[]} CSL_BIBLIOGRAPHY </w:instrText>
      </w:r>
      <w:r>
        <w:fldChar w:fldCharType="separate"/>
      </w:r>
      <w:r w:rsidR="002512CE" w:rsidRPr="002512CE">
        <w:rPr>
          <w:rFonts w:cs="Arial"/>
          <w:lang w:val="it-IT"/>
        </w:rPr>
        <w:t xml:space="preserve">Amadei, A., Bracciale, M.P., Damizia, M., De Filippis, P., De Caprariis, B., Ferrasse, J.-H., Scarsella, M., 2024. </w:t>
      </w:r>
      <w:r w:rsidR="002512CE" w:rsidRPr="002512CE">
        <w:rPr>
          <w:rFonts w:cs="Arial"/>
        </w:rPr>
        <w:t xml:space="preserve">Hydrothermal Liquefaction of Organic Waste Model Compounds: The Effect of the Heating Rate on Biocrude Yield and Quality from Mixtures of Cellulose–Albumin–Sunflower Oil. </w:t>
      </w:r>
      <w:r w:rsidR="002512CE" w:rsidRPr="002512CE">
        <w:rPr>
          <w:rFonts w:cs="Arial"/>
          <w:lang w:val="it-IT"/>
        </w:rPr>
        <w:t>ACS Omega acsomega.4c01510. https://doi.org/10.1021/acsomega.4c01510</w:t>
      </w:r>
    </w:p>
    <w:p w14:paraId="0D8DD758" w14:textId="77777777" w:rsidR="002512CE" w:rsidRPr="002512CE" w:rsidRDefault="002512CE" w:rsidP="002512CE">
      <w:pPr>
        <w:pStyle w:val="Bibliografia"/>
        <w:rPr>
          <w:rFonts w:cs="Arial"/>
        </w:rPr>
      </w:pPr>
      <w:r w:rsidRPr="002512CE">
        <w:rPr>
          <w:rFonts w:cs="Arial"/>
          <w:lang w:val="it-IT"/>
        </w:rPr>
        <w:t xml:space="preserve">Castello, D., Salman Haider, M., Chiaberge, S., Aistrup Rosendahl, L., 2024. </w:t>
      </w:r>
      <w:r w:rsidRPr="002512CE">
        <w:rPr>
          <w:rFonts w:cs="Arial"/>
        </w:rPr>
        <w:t>Understanding catalytic hydrotreating of hydrothermal liquefaction nitrogen-rich biocrude in a two-stage continuous hydrotreater. Chemical Engineering Journal 481, 148333. https://doi.org/10.1016/j.cej.2023.148333</w:t>
      </w:r>
    </w:p>
    <w:p w14:paraId="158B0989" w14:textId="77777777" w:rsidR="002512CE" w:rsidRPr="002512CE" w:rsidRDefault="002512CE" w:rsidP="002512CE">
      <w:pPr>
        <w:pStyle w:val="Bibliografia"/>
        <w:rPr>
          <w:rFonts w:cs="Arial"/>
        </w:rPr>
      </w:pPr>
      <w:r w:rsidRPr="002512CE">
        <w:rPr>
          <w:rFonts w:cs="Arial"/>
        </w:rPr>
        <w:t>Chand, R., Babu Borugadda, V., Qiu, M., Dalai, A.K., 2019. Evaluating the potential for bio-fuel upgrading: A comprehensive analysis of bio-crude and bio-residue from hydrothermal liquefaction of agricultural biomass. Applied Energy 254, 113679. https://doi.org/10.1016/j.apenergy.2019.113679</w:t>
      </w:r>
    </w:p>
    <w:p w14:paraId="11F999F3" w14:textId="77777777" w:rsidR="002512CE" w:rsidRPr="002512CE" w:rsidRDefault="002512CE" w:rsidP="002512CE">
      <w:pPr>
        <w:pStyle w:val="Bibliografia"/>
        <w:rPr>
          <w:rFonts w:cs="Arial"/>
        </w:rPr>
      </w:pPr>
      <w:r w:rsidRPr="002512CE">
        <w:rPr>
          <w:rFonts w:cs="Arial"/>
        </w:rPr>
        <w:t>Chen, Z., Afzal, M.T., Salema, A.A., 2014. Microwave Drying of Wastewater Sewage Sludge. JOCET 282–286. https://doi.org/10.7763/JOCET.2014.V2.140</w:t>
      </w:r>
    </w:p>
    <w:p w14:paraId="2F93B633" w14:textId="77777777" w:rsidR="002512CE" w:rsidRPr="002512CE" w:rsidRDefault="002512CE" w:rsidP="002512CE">
      <w:pPr>
        <w:pStyle w:val="Bibliografia"/>
        <w:rPr>
          <w:rFonts w:cs="Arial"/>
        </w:rPr>
      </w:pPr>
      <w:r w:rsidRPr="002512CE">
        <w:rPr>
          <w:rFonts w:cs="Arial"/>
        </w:rPr>
        <w:t>Gollakota, A.R.K., Kishore, N., Gu, S., 2018. A review on hydrothermal liquefaction of biomass. Renewable and Sustainable Energy Reviews 81, 1378–1392. https://doi.org/10.1016/j.rser.2017.05.178</w:t>
      </w:r>
    </w:p>
    <w:p w14:paraId="50C1A1D6" w14:textId="77777777" w:rsidR="002512CE" w:rsidRPr="002512CE" w:rsidRDefault="002512CE" w:rsidP="002512CE">
      <w:pPr>
        <w:pStyle w:val="Bibliografia"/>
        <w:rPr>
          <w:rFonts w:cs="Arial"/>
        </w:rPr>
      </w:pPr>
      <w:r w:rsidRPr="002512CE">
        <w:rPr>
          <w:rFonts w:cs="Arial"/>
          <w:lang w:val="it-IT"/>
        </w:rPr>
        <w:t xml:space="preserve">Hamidi, R., Tai, L., Paglia, L., Scarsella, M., Damizia, M., De Filippis, P., Musivand, S., De Caprariis, B., 2022. </w:t>
      </w:r>
      <w:r w:rsidRPr="002512CE">
        <w:rPr>
          <w:rFonts w:cs="Arial"/>
        </w:rPr>
        <w:t>Hydrotreating of oak wood bio-crude using heterogeneous hydrogen producer over Y zeolite catalyst synthesized from rice husk. Energy Conversion and Management 255, 115348. https://doi.org/10.1016/j.enconman.2022.115348</w:t>
      </w:r>
    </w:p>
    <w:p w14:paraId="2F6A6A61" w14:textId="77777777" w:rsidR="002512CE" w:rsidRPr="002512CE" w:rsidRDefault="002512CE" w:rsidP="002512CE">
      <w:pPr>
        <w:pStyle w:val="Bibliografia"/>
        <w:rPr>
          <w:rFonts w:cs="Arial"/>
        </w:rPr>
      </w:pPr>
      <w:r w:rsidRPr="002512CE">
        <w:rPr>
          <w:rFonts w:cs="Arial"/>
        </w:rPr>
        <w:t>Li, Y., Zhu, C., Jiang, J., Yang, Z., Feng, W., Li, L., Guo, Y., Hu, J., 2020. Hydrothermal liquefaction of macroalgae with in-situ-hydrogen donor formic acid: Effects of process parameters on products yield and characterizations. Industrial Crops and Products 153, 112513. https://doi.org/10.1016/j.indcrop.2020.112513</w:t>
      </w:r>
    </w:p>
    <w:p w14:paraId="207FEAB3" w14:textId="77777777" w:rsidR="002512CE" w:rsidRPr="002512CE" w:rsidRDefault="002512CE" w:rsidP="002512CE">
      <w:pPr>
        <w:pStyle w:val="Bibliografia"/>
        <w:rPr>
          <w:rFonts w:cs="Arial"/>
        </w:rPr>
      </w:pPr>
      <w:r w:rsidRPr="002512CE">
        <w:rPr>
          <w:rFonts w:cs="Arial"/>
        </w:rPr>
        <w:t>Tai, L., De Caprariis, B., Scarsella, M., De Filippis, P., Marra, F., 2021. Improved Quality Bio-Crude from Hydrothermal Liquefaction of Oak Wood Assisted by Zero-Valent Metals. Energy Fuels 35, 10023–10034. https://doi.org/10.1021/acs.energyfuels.1c00889</w:t>
      </w:r>
    </w:p>
    <w:p w14:paraId="665B983C" w14:textId="77777777" w:rsidR="002512CE" w:rsidRPr="002512CE" w:rsidRDefault="002512CE" w:rsidP="002512CE">
      <w:pPr>
        <w:pStyle w:val="Bibliografia"/>
        <w:rPr>
          <w:rFonts w:cs="Arial"/>
        </w:rPr>
      </w:pPr>
      <w:r w:rsidRPr="002512CE">
        <w:rPr>
          <w:rFonts w:cs="Arial"/>
        </w:rPr>
        <w:t>Wang, Z.-C., Chen, D., Shan, Y.-Q., Lin, L.-X., Duan, P.-G., 2022. Catalytic hydrotreatment of the high-boiling-point fraction of soybean straw biocrude in a mixed hydrogen donor. Fuel 310, 122126. https://doi.org/10.1016/j.fuel.2021.122126</w:t>
      </w:r>
    </w:p>
    <w:p w14:paraId="69B74EA0" w14:textId="2357F7EF" w:rsidR="006A0006" w:rsidRPr="006A0006" w:rsidRDefault="002512CE" w:rsidP="00677B80">
      <w:pPr>
        <w:pStyle w:val="Bibliografia"/>
      </w:pPr>
      <w:r w:rsidRPr="002512CE">
        <w:rPr>
          <w:rFonts w:cs="Arial"/>
        </w:rPr>
        <w:t>Zhi, Y., Wang, Y., Xu, D., Jiang, G., Leng, L., Kapusta, K., 2024. Phosphorus recovery from hydrothermal conversion products of sewage sludge through wet-chemical methods. Process Safety and Environmental Protection 182, 1024–1034. https://doi.org/10.1016/j.psep.2023.12.053</w:t>
      </w:r>
      <w:r w:rsidR="006A0006">
        <w:fldChar w:fldCharType="end"/>
      </w:r>
    </w:p>
    <w:sectPr w:rsidR="006A0006" w:rsidRPr="006A0006"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5FF3E" w14:textId="77777777" w:rsidR="0016669D" w:rsidRDefault="0016669D" w:rsidP="004F5E36">
      <w:r>
        <w:separator/>
      </w:r>
    </w:p>
  </w:endnote>
  <w:endnote w:type="continuationSeparator" w:id="0">
    <w:p w14:paraId="01FD17BB" w14:textId="77777777" w:rsidR="0016669D" w:rsidRDefault="0016669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F43D1" w14:textId="77777777" w:rsidR="0016669D" w:rsidRDefault="0016669D" w:rsidP="004F5E36">
      <w:r>
        <w:separator/>
      </w:r>
    </w:p>
  </w:footnote>
  <w:footnote w:type="continuationSeparator" w:id="0">
    <w:p w14:paraId="155CC238" w14:textId="77777777" w:rsidR="0016669D" w:rsidRDefault="0016669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4F73F9"/>
    <w:multiLevelType w:val="hybridMultilevel"/>
    <w:tmpl w:val="E8942E0E"/>
    <w:lvl w:ilvl="0" w:tplc="04100001">
      <w:start w:val="36"/>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76346C"/>
    <w:multiLevelType w:val="hybridMultilevel"/>
    <w:tmpl w:val="80F6FBF8"/>
    <w:lvl w:ilvl="0" w:tplc="04100001">
      <w:start w:val="36"/>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3"/>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5"/>
  </w:num>
  <w:num w:numId="14" w16cid:durableId="145903400">
    <w:abstractNumId w:val="21"/>
  </w:num>
  <w:num w:numId="15" w16cid:durableId="19162326">
    <w:abstractNumId w:val="23"/>
  </w:num>
  <w:num w:numId="16" w16cid:durableId="1977102699">
    <w:abstractNumId w:val="22"/>
  </w:num>
  <w:num w:numId="17" w16cid:durableId="860774865">
    <w:abstractNumId w:val="14"/>
  </w:num>
  <w:num w:numId="18" w16cid:durableId="313221457">
    <w:abstractNumId w:val="15"/>
    <w:lvlOverride w:ilvl="0">
      <w:startOverride w:val="1"/>
    </w:lvlOverride>
  </w:num>
  <w:num w:numId="19" w16cid:durableId="534971577">
    <w:abstractNumId w:val="19"/>
  </w:num>
  <w:num w:numId="20" w16cid:durableId="1150947773">
    <w:abstractNumId w:val="18"/>
  </w:num>
  <w:num w:numId="21" w16cid:durableId="124660497">
    <w:abstractNumId w:val="17"/>
  </w:num>
  <w:num w:numId="22" w16cid:durableId="2099861471">
    <w:abstractNumId w:val="16"/>
  </w:num>
  <w:num w:numId="23" w16cid:durableId="84351335">
    <w:abstractNumId w:val="10"/>
  </w:num>
  <w:num w:numId="24" w16cid:durableId="601453408">
    <w:abstractNumId w:val="11"/>
  </w:num>
  <w:num w:numId="25" w16cid:durableId="10530393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BC"/>
    <w:rsid w:val="000052FB"/>
    <w:rsid w:val="00005A19"/>
    <w:rsid w:val="00010B49"/>
    <w:rsid w:val="000117CB"/>
    <w:rsid w:val="0002051C"/>
    <w:rsid w:val="0003148D"/>
    <w:rsid w:val="00031EEC"/>
    <w:rsid w:val="0003274D"/>
    <w:rsid w:val="000355EA"/>
    <w:rsid w:val="00051566"/>
    <w:rsid w:val="00053857"/>
    <w:rsid w:val="000562A9"/>
    <w:rsid w:val="00062A9A"/>
    <w:rsid w:val="00064064"/>
    <w:rsid w:val="00065058"/>
    <w:rsid w:val="0007632C"/>
    <w:rsid w:val="00086C39"/>
    <w:rsid w:val="00087916"/>
    <w:rsid w:val="0009278C"/>
    <w:rsid w:val="000A03B2"/>
    <w:rsid w:val="000A14E1"/>
    <w:rsid w:val="000A5B41"/>
    <w:rsid w:val="000D0268"/>
    <w:rsid w:val="000D34BE"/>
    <w:rsid w:val="000D6050"/>
    <w:rsid w:val="000D698D"/>
    <w:rsid w:val="000E0B3C"/>
    <w:rsid w:val="000E102F"/>
    <w:rsid w:val="000E2580"/>
    <w:rsid w:val="000E36F1"/>
    <w:rsid w:val="000E3A73"/>
    <w:rsid w:val="000E414A"/>
    <w:rsid w:val="000E6046"/>
    <w:rsid w:val="000E75FD"/>
    <w:rsid w:val="000F093C"/>
    <w:rsid w:val="000F1AC3"/>
    <w:rsid w:val="000F787B"/>
    <w:rsid w:val="0012091F"/>
    <w:rsid w:val="001269DC"/>
    <w:rsid w:val="00126BC2"/>
    <w:rsid w:val="001308B6"/>
    <w:rsid w:val="00130BEB"/>
    <w:rsid w:val="0013121F"/>
    <w:rsid w:val="00131FE6"/>
    <w:rsid w:val="0013263F"/>
    <w:rsid w:val="001331DF"/>
    <w:rsid w:val="00134DE4"/>
    <w:rsid w:val="0014034D"/>
    <w:rsid w:val="00140FE3"/>
    <w:rsid w:val="00144D16"/>
    <w:rsid w:val="00150E59"/>
    <w:rsid w:val="00152DE3"/>
    <w:rsid w:val="001632E7"/>
    <w:rsid w:val="00164CF9"/>
    <w:rsid w:val="0016668E"/>
    <w:rsid w:val="0016669D"/>
    <w:rsid w:val="001667A6"/>
    <w:rsid w:val="00166A6D"/>
    <w:rsid w:val="00173416"/>
    <w:rsid w:val="00173596"/>
    <w:rsid w:val="0018171E"/>
    <w:rsid w:val="00184AD6"/>
    <w:rsid w:val="00184B99"/>
    <w:rsid w:val="00194351"/>
    <w:rsid w:val="001A4AF7"/>
    <w:rsid w:val="001B0349"/>
    <w:rsid w:val="001B1E93"/>
    <w:rsid w:val="001B65C1"/>
    <w:rsid w:val="001C260F"/>
    <w:rsid w:val="001C5C3A"/>
    <w:rsid w:val="001C684B"/>
    <w:rsid w:val="001D0CFB"/>
    <w:rsid w:val="001D21AF"/>
    <w:rsid w:val="001D3D32"/>
    <w:rsid w:val="001D53FC"/>
    <w:rsid w:val="001F42A5"/>
    <w:rsid w:val="001F736A"/>
    <w:rsid w:val="001F7B9D"/>
    <w:rsid w:val="00201C93"/>
    <w:rsid w:val="00203470"/>
    <w:rsid w:val="00213752"/>
    <w:rsid w:val="002224B4"/>
    <w:rsid w:val="002447EF"/>
    <w:rsid w:val="002512CE"/>
    <w:rsid w:val="00251550"/>
    <w:rsid w:val="00253857"/>
    <w:rsid w:val="00253F7E"/>
    <w:rsid w:val="00254406"/>
    <w:rsid w:val="00263B05"/>
    <w:rsid w:val="00265957"/>
    <w:rsid w:val="0027221A"/>
    <w:rsid w:val="00275B61"/>
    <w:rsid w:val="00280FAF"/>
    <w:rsid w:val="00282656"/>
    <w:rsid w:val="0028607E"/>
    <w:rsid w:val="0028617C"/>
    <w:rsid w:val="00296B83"/>
    <w:rsid w:val="00297976"/>
    <w:rsid w:val="00297BC1"/>
    <w:rsid w:val="002B4015"/>
    <w:rsid w:val="002B78CE"/>
    <w:rsid w:val="002C2FB6"/>
    <w:rsid w:val="002D7E4E"/>
    <w:rsid w:val="002E5FA7"/>
    <w:rsid w:val="002F3309"/>
    <w:rsid w:val="002F7B10"/>
    <w:rsid w:val="003008CE"/>
    <w:rsid w:val="003009B7"/>
    <w:rsid w:val="00300E56"/>
    <w:rsid w:val="0030152C"/>
    <w:rsid w:val="0030469C"/>
    <w:rsid w:val="00304CA3"/>
    <w:rsid w:val="00304CE8"/>
    <w:rsid w:val="00321CA6"/>
    <w:rsid w:val="00323763"/>
    <w:rsid w:val="00323C5F"/>
    <w:rsid w:val="00334C09"/>
    <w:rsid w:val="0034237D"/>
    <w:rsid w:val="003539CD"/>
    <w:rsid w:val="00360677"/>
    <w:rsid w:val="0037012B"/>
    <w:rsid w:val="003723D4"/>
    <w:rsid w:val="00373875"/>
    <w:rsid w:val="003745F3"/>
    <w:rsid w:val="00381905"/>
    <w:rsid w:val="00384CC8"/>
    <w:rsid w:val="003871FD"/>
    <w:rsid w:val="00397CAB"/>
    <w:rsid w:val="003A1E30"/>
    <w:rsid w:val="003A2829"/>
    <w:rsid w:val="003A7D1C"/>
    <w:rsid w:val="003B304B"/>
    <w:rsid w:val="003B3146"/>
    <w:rsid w:val="003B49CD"/>
    <w:rsid w:val="003B678C"/>
    <w:rsid w:val="003D1E02"/>
    <w:rsid w:val="003D4240"/>
    <w:rsid w:val="003F015E"/>
    <w:rsid w:val="003F6822"/>
    <w:rsid w:val="00400414"/>
    <w:rsid w:val="00402C41"/>
    <w:rsid w:val="00405189"/>
    <w:rsid w:val="00405E5D"/>
    <w:rsid w:val="0041446B"/>
    <w:rsid w:val="00422ED9"/>
    <w:rsid w:val="0044071E"/>
    <w:rsid w:val="0044329C"/>
    <w:rsid w:val="00453E24"/>
    <w:rsid w:val="00457456"/>
    <w:rsid w:val="004577FE"/>
    <w:rsid w:val="00457B9C"/>
    <w:rsid w:val="0046164A"/>
    <w:rsid w:val="004628D2"/>
    <w:rsid w:val="00462DCD"/>
    <w:rsid w:val="00463CC1"/>
    <w:rsid w:val="004648AD"/>
    <w:rsid w:val="004703A9"/>
    <w:rsid w:val="004760DE"/>
    <w:rsid w:val="004763D7"/>
    <w:rsid w:val="0048257F"/>
    <w:rsid w:val="004929AC"/>
    <w:rsid w:val="004A004E"/>
    <w:rsid w:val="004A24CF"/>
    <w:rsid w:val="004B2575"/>
    <w:rsid w:val="004C05CC"/>
    <w:rsid w:val="004C3D1D"/>
    <w:rsid w:val="004C3D84"/>
    <w:rsid w:val="004C7913"/>
    <w:rsid w:val="004E46BD"/>
    <w:rsid w:val="004E4DD6"/>
    <w:rsid w:val="004E5B39"/>
    <w:rsid w:val="004F5E36"/>
    <w:rsid w:val="004F7290"/>
    <w:rsid w:val="00505095"/>
    <w:rsid w:val="00507B47"/>
    <w:rsid w:val="00507BEF"/>
    <w:rsid w:val="00507CC9"/>
    <w:rsid w:val="005119A5"/>
    <w:rsid w:val="00516A14"/>
    <w:rsid w:val="005278B7"/>
    <w:rsid w:val="0053101B"/>
    <w:rsid w:val="00532016"/>
    <w:rsid w:val="00532220"/>
    <w:rsid w:val="005346C8"/>
    <w:rsid w:val="00542B37"/>
    <w:rsid w:val="00543E7D"/>
    <w:rsid w:val="00547A68"/>
    <w:rsid w:val="005531C9"/>
    <w:rsid w:val="00554879"/>
    <w:rsid w:val="0055790C"/>
    <w:rsid w:val="00561D5F"/>
    <w:rsid w:val="00570C43"/>
    <w:rsid w:val="0058098C"/>
    <w:rsid w:val="0058406E"/>
    <w:rsid w:val="00592274"/>
    <w:rsid w:val="00597C9F"/>
    <w:rsid w:val="005B2110"/>
    <w:rsid w:val="005B350B"/>
    <w:rsid w:val="005B61E6"/>
    <w:rsid w:val="005C5B1B"/>
    <w:rsid w:val="005C77E1"/>
    <w:rsid w:val="005D1983"/>
    <w:rsid w:val="005D668A"/>
    <w:rsid w:val="005D6A2F"/>
    <w:rsid w:val="005E0592"/>
    <w:rsid w:val="005E1A82"/>
    <w:rsid w:val="005E1DCB"/>
    <w:rsid w:val="005E794C"/>
    <w:rsid w:val="005F0A28"/>
    <w:rsid w:val="005F0E5E"/>
    <w:rsid w:val="00600535"/>
    <w:rsid w:val="00610CD6"/>
    <w:rsid w:val="00620DEE"/>
    <w:rsid w:val="00621F92"/>
    <w:rsid w:val="0062280A"/>
    <w:rsid w:val="006231E1"/>
    <w:rsid w:val="00625639"/>
    <w:rsid w:val="00626342"/>
    <w:rsid w:val="00631B33"/>
    <w:rsid w:val="006336CE"/>
    <w:rsid w:val="006342C8"/>
    <w:rsid w:val="0064184D"/>
    <w:rsid w:val="006422CC"/>
    <w:rsid w:val="00645DE6"/>
    <w:rsid w:val="00646220"/>
    <w:rsid w:val="00647BC9"/>
    <w:rsid w:val="00651D18"/>
    <w:rsid w:val="00660E3E"/>
    <w:rsid w:val="00662E74"/>
    <w:rsid w:val="006703B4"/>
    <w:rsid w:val="00677B80"/>
    <w:rsid w:val="00680C23"/>
    <w:rsid w:val="00683E23"/>
    <w:rsid w:val="00685720"/>
    <w:rsid w:val="00685F0B"/>
    <w:rsid w:val="00693766"/>
    <w:rsid w:val="00697B84"/>
    <w:rsid w:val="006A0006"/>
    <w:rsid w:val="006A27D1"/>
    <w:rsid w:val="006A3281"/>
    <w:rsid w:val="006A5EAF"/>
    <w:rsid w:val="006A6DE5"/>
    <w:rsid w:val="006B4888"/>
    <w:rsid w:val="006C2E45"/>
    <w:rsid w:val="006C359C"/>
    <w:rsid w:val="006C5579"/>
    <w:rsid w:val="006C64E7"/>
    <w:rsid w:val="006D6E8B"/>
    <w:rsid w:val="006D7209"/>
    <w:rsid w:val="006E737D"/>
    <w:rsid w:val="007052CD"/>
    <w:rsid w:val="00707DD1"/>
    <w:rsid w:val="00713973"/>
    <w:rsid w:val="00720A24"/>
    <w:rsid w:val="0072468F"/>
    <w:rsid w:val="00732386"/>
    <w:rsid w:val="0073514D"/>
    <w:rsid w:val="007447F3"/>
    <w:rsid w:val="0075499F"/>
    <w:rsid w:val="00757DBF"/>
    <w:rsid w:val="007661C8"/>
    <w:rsid w:val="0076713B"/>
    <w:rsid w:val="0077098D"/>
    <w:rsid w:val="00785BF9"/>
    <w:rsid w:val="00785FA0"/>
    <w:rsid w:val="007931FA"/>
    <w:rsid w:val="0079461C"/>
    <w:rsid w:val="007A4861"/>
    <w:rsid w:val="007A7BBA"/>
    <w:rsid w:val="007B0C50"/>
    <w:rsid w:val="007B48F9"/>
    <w:rsid w:val="007C1A43"/>
    <w:rsid w:val="007C33D0"/>
    <w:rsid w:val="007D0951"/>
    <w:rsid w:val="007D2A18"/>
    <w:rsid w:val="007D610D"/>
    <w:rsid w:val="007E7915"/>
    <w:rsid w:val="007F1AB8"/>
    <w:rsid w:val="0080013E"/>
    <w:rsid w:val="00801759"/>
    <w:rsid w:val="008041EA"/>
    <w:rsid w:val="00813288"/>
    <w:rsid w:val="008168FC"/>
    <w:rsid w:val="0083003C"/>
    <w:rsid w:val="00830996"/>
    <w:rsid w:val="008345F1"/>
    <w:rsid w:val="00836148"/>
    <w:rsid w:val="008455A5"/>
    <w:rsid w:val="00845981"/>
    <w:rsid w:val="00852728"/>
    <w:rsid w:val="0085520D"/>
    <w:rsid w:val="00865B07"/>
    <w:rsid w:val="008667EA"/>
    <w:rsid w:val="008670FA"/>
    <w:rsid w:val="0087637F"/>
    <w:rsid w:val="008879EC"/>
    <w:rsid w:val="00892AD5"/>
    <w:rsid w:val="00893F4E"/>
    <w:rsid w:val="008967A6"/>
    <w:rsid w:val="008973B0"/>
    <w:rsid w:val="008A1512"/>
    <w:rsid w:val="008A67D4"/>
    <w:rsid w:val="008B3850"/>
    <w:rsid w:val="008C617E"/>
    <w:rsid w:val="008C672A"/>
    <w:rsid w:val="008D23D4"/>
    <w:rsid w:val="008D32B9"/>
    <w:rsid w:val="008D433B"/>
    <w:rsid w:val="008D4A16"/>
    <w:rsid w:val="008D6CDC"/>
    <w:rsid w:val="008E5401"/>
    <w:rsid w:val="008E566E"/>
    <w:rsid w:val="008F039D"/>
    <w:rsid w:val="008F4B50"/>
    <w:rsid w:val="008F5777"/>
    <w:rsid w:val="0090161A"/>
    <w:rsid w:val="00901EB6"/>
    <w:rsid w:val="009041F8"/>
    <w:rsid w:val="00904C62"/>
    <w:rsid w:val="00914747"/>
    <w:rsid w:val="00922B43"/>
    <w:rsid w:val="00922BA8"/>
    <w:rsid w:val="00924DAC"/>
    <w:rsid w:val="00927058"/>
    <w:rsid w:val="00940EEF"/>
    <w:rsid w:val="00942750"/>
    <w:rsid w:val="009450CE"/>
    <w:rsid w:val="009459BB"/>
    <w:rsid w:val="00946FB1"/>
    <w:rsid w:val="00947179"/>
    <w:rsid w:val="0095164B"/>
    <w:rsid w:val="00954090"/>
    <w:rsid w:val="009573E7"/>
    <w:rsid w:val="0096128F"/>
    <w:rsid w:val="00963E05"/>
    <w:rsid w:val="00964A45"/>
    <w:rsid w:val="00964CC3"/>
    <w:rsid w:val="00966FCB"/>
    <w:rsid w:val="00967843"/>
    <w:rsid w:val="00967A00"/>
    <w:rsid w:val="00967D54"/>
    <w:rsid w:val="00971028"/>
    <w:rsid w:val="00974C45"/>
    <w:rsid w:val="0098065D"/>
    <w:rsid w:val="00981C16"/>
    <w:rsid w:val="00987607"/>
    <w:rsid w:val="00993B84"/>
    <w:rsid w:val="00994C6A"/>
    <w:rsid w:val="00996483"/>
    <w:rsid w:val="00996F5A"/>
    <w:rsid w:val="009B041A"/>
    <w:rsid w:val="009B6881"/>
    <w:rsid w:val="009B6E57"/>
    <w:rsid w:val="009B7A80"/>
    <w:rsid w:val="009C1473"/>
    <w:rsid w:val="009C1AAB"/>
    <w:rsid w:val="009C37C3"/>
    <w:rsid w:val="009C5C43"/>
    <w:rsid w:val="009C6D1E"/>
    <w:rsid w:val="009C7C86"/>
    <w:rsid w:val="009D269C"/>
    <w:rsid w:val="009D2FF7"/>
    <w:rsid w:val="009E37C3"/>
    <w:rsid w:val="009E4C9D"/>
    <w:rsid w:val="009E7884"/>
    <w:rsid w:val="009E788A"/>
    <w:rsid w:val="009F0E08"/>
    <w:rsid w:val="009F1EBF"/>
    <w:rsid w:val="009F3100"/>
    <w:rsid w:val="00A062E5"/>
    <w:rsid w:val="00A079AE"/>
    <w:rsid w:val="00A1763D"/>
    <w:rsid w:val="00A17CEC"/>
    <w:rsid w:val="00A27EF0"/>
    <w:rsid w:val="00A42361"/>
    <w:rsid w:val="00A50B20"/>
    <w:rsid w:val="00A51390"/>
    <w:rsid w:val="00A5590A"/>
    <w:rsid w:val="00A579FC"/>
    <w:rsid w:val="00A60D13"/>
    <w:rsid w:val="00A65183"/>
    <w:rsid w:val="00A7223D"/>
    <w:rsid w:val="00A72745"/>
    <w:rsid w:val="00A76EFC"/>
    <w:rsid w:val="00A857BA"/>
    <w:rsid w:val="00A87D50"/>
    <w:rsid w:val="00A91010"/>
    <w:rsid w:val="00A97F29"/>
    <w:rsid w:val="00AA702E"/>
    <w:rsid w:val="00AA7D26"/>
    <w:rsid w:val="00AB0964"/>
    <w:rsid w:val="00AB5011"/>
    <w:rsid w:val="00AC432F"/>
    <w:rsid w:val="00AC57A6"/>
    <w:rsid w:val="00AC7368"/>
    <w:rsid w:val="00AD16B9"/>
    <w:rsid w:val="00AD4977"/>
    <w:rsid w:val="00AE377D"/>
    <w:rsid w:val="00AF0EBA"/>
    <w:rsid w:val="00AF2463"/>
    <w:rsid w:val="00AF6AA7"/>
    <w:rsid w:val="00B02C8A"/>
    <w:rsid w:val="00B03D64"/>
    <w:rsid w:val="00B17FBD"/>
    <w:rsid w:val="00B20616"/>
    <w:rsid w:val="00B22517"/>
    <w:rsid w:val="00B30E8B"/>
    <w:rsid w:val="00B315A6"/>
    <w:rsid w:val="00B31813"/>
    <w:rsid w:val="00B33365"/>
    <w:rsid w:val="00B34118"/>
    <w:rsid w:val="00B369B5"/>
    <w:rsid w:val="00B57B36"/>
    <w:rsid w:val="00B57E6F"/>
    <w:rsid w:val="00B75151"/>
    <w:rsid w:val="00B765AE"/>
    <w:rsid w:val="00B8686D"/>
    <w:rsid w:val="00B91543"/>
    <w:rsid w:val="00B93F69"/>
    <w:rsid w:val="00BB1DDC"/>
    <w:rsid w:val="00BC30C9"/>
    <w:rsid w:val="00BC57A0"/>
    <w:rsid w:val="00BD077D"/>
    <w:rsid w:val="00BD2623"/>
    <w:rsid w:val="00BD2B63"/>
    <w:rsid w:val="00BD525B"/>
    <w:rsid w:val="00BE347A"/>
    <w:rsid w:val="00BE3E58"/>
    <w:rsid w:val="00BE580F"/>
    <w:rsid w:val="00BF006E"/>
    <w:rsid w:val="00BF13CE"/>
    <w:rsid w:val="00C010AD"/>
    <w:rsid w:val="00C01616"/>
    <w:rsid w:val="00C0162B"/>
    <w:rsid w:val="00C020EF"/>
    <w:rsid w:val="00C023B5"/>
    <w:rsid w:val="00C04F17"/>
    <w:rsid w:val="00C068ED"/>
    <w:rsid w:val="00C13B71"/>
    <w:rsid w:val="00C15D51"/>
    <w:rsid w:val="00C22E0C"/>
    <w:rsid w:val="00C345B1"/>
    <w:rsid w:val="00C40142"/>
    <w:rsid w:val="00C52C3C"/>
    <w:rsid w:val="00C57182"/>
    <w:rsid w:val="00C57863"/>
    <w:rsid w:val="00C640AF"/>
    <w:rsid w:val="00C655FD"/>
    <w:rsid w:val="00C72F38"/>
    <w:rsid w:val="00C75407"/>
    <w:rsid w:val="00C841C6"/>
    <w:rsid w:val="00C870A8"/>
    <w:rsid w:val="00C87CED"/>
    <w:rsid w:val="00C94434"/>
    <w:rsid w:val="00CA091A"/>
    <w:rsid w:val="00CA0D75"/>
    <w:rsid w:val="00CA1C95"/>
    <w:rsid w:val="00CA5A9C"/>
    <w:rsid w:val="00CC3D0E"/>
    <w:rsid w:val="00CC4C20"/>
    <w:rsid w:val="00CD2CB9"/>
    <w:rsid w:val="00CD3517"/>
    <w:rsid w:val="00CD5E21"/>
    <w:rsid w:val="00CD5FE2"/>
    <w:rsid w:val="00CE2D76"/>
    <w:rsid w:val="00CE7C68"/>
    <w:rsid w:val="00CF10BC"/>
    <w:rsid w:val="00CF1C15"/>
    <w:rsid w:val="00D02B4C"/>
    <w:rsid w:val="00D03C8B"/>
    <w:rsid w:val="00D040C4"/>
    <w:rsid w:val="00D0549A"/>
    <w:rsid w:val="00D20AD1"/>
    <w:rsid w:val="00D22D1A"/>
    <w:rsid w:val="00D2582C"/>
    <w:rsid w:val="00D25B80"/>
    <w:rsid w:val="00D2693D"/>
    <w:rsid w:val="00D26D94"/>
    <w:rsid w:val="00D31E68"/>
    <w:rsid w:val="00D35696"/>
    <w:rsid w:val="00D35B7A"/>
    <w:rsid w:val="00D4519B"/>
    <w:rsid w:val="00D46212"/>
    <w:rsid w:val="00D46B7E"/>
    <w:rsid w:val="00D4788E"/>
    <w:rsid w:val="00D541B0"/>
    <w:rsid w:val="00D57C84"/>
    <w:rsid w:val="00D6057D"/>
    <w:rsid w:val="00D672CC"/>
    <w:rsid w:val="00D71640"/>
    <w:rsid w:val="00D77EB0"/>
    <w:rsid w:val="00D836C5"/>
    <w:rsid w:val="00D84576"/>
    <w:rsid w:val="00DA1399"/>
    <w:rsid w:val="00DA24C6"/>
    <w:rsid w:val="00DA4D7B"/>
    <w:rsid w:val="00DC2840"/>
    <w:rsid w:val="00DC3796"/>
    <w:rsid w:val="00DC73EE"/>
    <w:rsid w:val="00DD271C"/>
    <w:rsid w:val="00DE0BD2"/>
    <w:rsid w:val="00DE264A"/>
    <w:rsid w:val="00DF28DD"/>
    <w:rsid w:val="00DF5072"/>
    <w:rsid w:val="00E02351"/>
    <w:rsid w:val="00E02D18"/>
    <w:rsid w:val="00E041E7"/>
    <w:rsid w:val="00E16F42"/>
    <w:rsid w:val="00E23CA1"/>
    <w:rsid w:val="00E2742F"/>
    <w:rsid w:val="00E409A8"/>
    <w:rsid w:val="00E50C12"/>
    <w:rsid w:val="00E5100E"/>
    <w:rsid w:val="00E52D18"/>
    <w:rsid w:val="00E65B91"/>
    <w:rsid w:val="00E67B72"/>
    <w:rsid w:val="00E7209D"/>
    <w:rsid w:val="00E72EAD"/>
    <w:rsid w:val="00E77223"/>
    <w:rsid w:val="00E833D7"/>
    <w:rsid w:val="00E8528B"/>
    <w:rsid w:val="00E85B94"/>
    <w:rsid w:val="00E978D0"/>
    <w:rsid w:val="00EA4613"/>
    <w:rsid w:val="00EA7BA6"/>
    <w:rsid w:val="00EA7F91"/>
    <w:rsid w:val="00EB0527"/>
    <w:rsid w:val="00EB1523"/>
    <w:rsid w:val="00EC0372"/>
    <w:rsid w:val="00EC0E49"/>
    <w:rsid w:val="00EC101F"/>
    <w:rsid w:val="00EC1D9F"/>
    <w:rsid w:val="00EC4EBE"/>
    <w:rsid w:val="00EE0131"/>
    <w:rsid w:val="00EE17B0"/>
    <w:rsid w:val="00EE6F2F"/>
    <w:rsid w:val="00EF06D9"/>
    <w:rsid w:val="00F01E13"/>
    <w:rsid w:val="00F03216"/>
    <w:rsid w:val="00F3049E"/>
    <w:rsid w:val="00F30C64"/>
    <w:rsid w:val="00F32BA2"/>
    <w:rsid w:val="00F32CDB"/>
    <w:rsid w:val="00F400C9"/>
    <w:rsid w:val="00F41EE4"/>
    <w:rsid w:val="00F43548"/>
    <w:rsid w:val="00F531D6"/>
    <w:rsid w:val="00F565FE"/>
    <w:rsid w:val="00F57AA1"/>
    <w:rsid w:val="00F61C03"/>
    <w:rsid w:val="00F622FE"/>
    <w:rsid w:val="00F63A70"/>
    <w:rsid w:val="00F63D8C"/>
    <w:rsid w:val="00F6471B"/>
    <w:rsid w:val="00F6536E"/>
    <w:rsid w:val="00F7534E"/>
    <w:rsid w:val="00F93EDF"/>
    <w:rsid w:val="00F94DC0"/>
    <w:rsid w:val="00F97053"/>
    <w:rsid w:val="00FA1802"/>
    <w:rsid w:val="00FA21D0"/>
    <w:rsid w:val="00FA5F5F"/>
    <w:rsid w:val="00FB730C"/>
    <w:rsid w:val="00FC2695"/>
    <w:rsid w:val="00FC3E03"/>
    <w:rsid w:val="00FC3FC1"/>
    <w:rsid w:val="00FC68A8"/>
    <w:rsid w:val="00FE10E0"/>
    <w:rsid w:val="00FE681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A2C2EA74-5DE5-4E9D-B129-8E77E915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paragraph" w:styleId="Nessunaspaziatura">
    <w:name w:val="No Spacing"/>
    <w:uiPriority w:val="1"/>
    <w:qFormat/>
    <w:rsid w:val="00EE6F2F"/>
    <w:pPr>
      <w:tabs>
        <w:tab w:val="right" w:pos="7100"/>
      </w:tabs>
      <w:spacing w:after="0" w:line="240" w:lineRule="auto"/>
      <w:jc w:val="both"/>
    </w:pPr>
    <w:rPr>
      <w:rFonts w:ascii="Arial" w:eastAsia="Times New Roman" w:hAnsi="Arial" w:cs="Times New Roman"/>
      <w:sz w:val="18"/>
      <w:szCs w:val="20"/>
      <w:lang w:val="en-GB"/>
    </w:rPr>
  </w:style>
  <w:style w:type="character" w:styleId="Testosegnaposto">
    <w:name w:val="Placeholder Text"/>
    <w:basedOn w:val="Carpredefinitoparagrafo"/>
    <w:uiPriority w:val="99"/>
    <w:semiHidden/>
    <w:rsid w:val="008670F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3354">
      <w:bodyDiv w:val="1"/>
      <w:marLeft w:val="0"/>
      <w:marRight w:val="0"/>
      <w:marTop w:val="0"/>
      <w:marBottom w:val="0"/>
      <w:divBdr>
        <w:top w:val="none" w:sz="0" w:space="0" w:color="auto"/>
        <w:left w:val="none" w:sz="0" w:space="0" w:color="auto"/>
        <w:bottom w:val="none" w:sz="0" w:space="0" w:color="auto"/>
        <w:right w:val="none" w:sz="0" w:space="0" w:color="auto"/>
      </w:divBdr>
    </w:div>
    <w:div w:id="147594777">
      <w:bodyDiv w:val="1"/>
      <w:marLeft w:val="0"/>
      <w:marRight w:val="0"/>
      <w:marTop w:val="0"/>
      <w:marBottom w:val="0"/>
      <w:divBdr>
        <w:top w:val="none" w:sz="0" w:space="0" w:color="auto"/>
        <w:left w:val="none" w:sz="0" w:space="0" w:color="auto"/>
        <w:bottom w:val="none" w:sz="0" w:space="0" w:color="auto"/>
        <w:right w:val="none" w:sz="0" w:space="0" w:color="auto"/>
      </w:divBdr>
    </w:div>
    <w:div w:id="350836897">
      <w:bodyDiv w:val="1"/>
      <w:marLeft w:val="0"/>
      <w:marRight w:val="0"/>
      <w:marTop w:val="0"/>
      <w:marBottom w:val="0"/>
      <w:divBdr>
        <w:top w:val="none" w:sz="0" w:space="0" w:color="auto"/>
        <w:left w:val="none" w:sz="0" w:space="0" w:color="auto"/>
        <w:bottom w:val="none" w:sz="0" w:space="0" w:color="auto"/>
        <w:right w:val="none" w:sz="0" w:space="0" w:color="auto"/>
      </w:divBdr>
    </w:div>
    <w:div w:id="485054267">
      <w:bodyDiv w:val="1"/>
      <w:marLeft w:val="0"/>
      <w:marRight w:val="0"/>
      <w:marTop w:val="0"/>
      <w:marBottom w:val="0"/>
      <w:divBdr>
        <w:top w:val="none" w:sz="0" w:space="0" w:color="auto"/>
        <w:left w:val="none" w:sz="0" w:space="0" w:color="auto"/>
        <w:bottom w:val="none" w:sz="0" w:space="0" w:color="auto"/>
        <w:right w:val="none" w:sz="0" w:space="0" w:color="auto"/>
      </w:divBdr>
    </w:div>
    <w:div w:id="599874280">
      <w:bodyDiv w:val="1"/>
      <w:marLeft w:val="0"/>
      <w:marRight w:val="0"/>
      <w:marTop w:val="0"/>
      <w:marBottom w:val="0"/>
      <w:divBdr>
        <w:top w:val="none" w:sz="0" w:space="0" w:color="auto"/>
        <w:left w:val="none" w:sz="0" w:space="0" w:color="auto"/>
        <w:bottom w:val="none" w:sz="0" w:space="0" w:color="auto"/>
        <w:right w:val="none" w:sz="0" w:space="0" w:color="auto"/>
      </w:divBdr>
    </w:div>
    <w:div w:id="73913404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3738">
      <w:bodyDiv w:val="1"/>
      <w:marLeft w:val="0"/>
      <w:marRight w:val="0"/>
      <w:marTop w:val="0"/>
      <w:marBottom w:val="0"/>
      <w:divBdr>
        <w:top w:val="none" w:sz="0" w:space="0" w:color="auto"/>
        <w:left w:val="none" w:sz="0" w:space="0" w:color="auto"/>
        <w:bottom w:val="none" w:sz="0" w:space="0" w:color="auto"/>
        <w:right w:val="none" w:sz="0" w:space="0" w:color="auto"/>
      </w:divBdr>
    </w:div>
    <w:div w:id="1268462789">
      <w:bodyDiv w:val="1"/>
      <w:marLeft w:val="0"/>
      <w:marRight w:val="0"/>
      <w:marTop w:val="0"/>
      <w:marBottom w:val="0"/>
      <w:divBdr>
        <w:top w:val="none" w:sz="0" w:space="0" w:color="auto"/>
        <w:left w:val="none" w:sz="0" w:space="0" w:color="auto"/>
        <w:bottom w:val="none" w:sz="0" w:space="0" w:color="auto"/>
        <w:right w:val="none" w:sz="0" w:space="0" w:color="auto"/>
      </w:divBdr>
    </w:div>
    <w:div w:id="1352031469">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8393982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35607690">
      <w:bodyDiv w:val="1"/>
      <w:marLeft w:val="0"/>
      <w:marRight w:val="0"/>
      <w:marTop w:val="0"/>
      <w:marBottom w:val="0"/>
      <w:divBdr>
        <w:top w:val="none" w:sz="0" w:space="0" w:color="auto"/>
        <w:left w:val="none" w:sz="0" w:space="0" w:color="auto"/>
        <w:bottom w:val="none" w:sz="0" w:space="0" w:color="auto"/>
        <w:right w:val="none" w:sz="0" w:space="0" w:color="auto"/>
      </w:divBdr>
    </w:div>
    <w:div w:id="184747426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ess\Pictures\Desktop\ACEA%20las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ess\Pictures\Desktop\Articoli%20ENEA%20pirolisi-HTL-Upgrading\Materiale\Oli%20upgrading\GC-MS%20cobra\Confronto%20HT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'Upgrading mass balances'!$A$70</c:f>
              <c:strCache>
                <c:ptCount val="1"/>
                <c:pt idx="0">
                  <c:v>Upgraded oil</c:v>
                </c:pt>
              </c:strCache>
            </c:strRef>
          </c:tx>
          <c:spPr>
            <a:solidFill>
              <a:schemeClr val="accent1"/>
            </a:solidFill>
            <a:ln>
              <a:solidFill>
                <a:schemeClr val="tx1"/>
              </a:solidFill>
            </a:ln>
            <a:effectLst/>
          </c:spPr>
          <c:invertIfNegative val="0"/>
          <c:cat>
            <c:strRef>
              <c:f>('Upgrading mass balances'!$B$69,'Upgrading mass balances'!$D$69,'Upgrading mass balances'!$F$69)</c:f>
              <c:strCache>
                <c:ptCount val="3"/>
                <c:pt idx="0">
                  <c:v>Blank</c:v>
                </c:pt>
                <c:pt idx="1">
                  <c:v>0.5 g of Fe</c:v>
                </c:pt>
                <c:pt idx="2">
                  <c:v>0.5 g of Zn</c:v>
                </c:pt>
              </c:strCache>
              <c:extLst/>
            </c:strRef>
          </c:cat>
          <c:val>
            <c:numRef>
              <c:f>('Upgrading mass balances'!$B$70,'Upgrading mass balances'!$D$70,'Upgrading mass balances'!$F$70)</c:f>
              <c:numCache>
                <c:formatCode>General</c:formatCode>
                <c:ptCount val="3"/>
                <c:pt idx="0">
                  <c:v>0.59889999999998622</c:v>
                </c:pt>
                <c:pt idx="1">
                  <c:v>0.71989999999999554</c:v>
                </c:pt>
                <c:pt idx="2">
                  <c:v>0.66870000000000118</c:v>
                </c:pt>
              </c:numCache>
              <c:extLst/>
            </c:numRef>
          </c:val>
          <c:extLst>
            <c:ext xmlns:c16="http://schemas.microsoft.com/office/drawing/2014/chart" uri="{C3380CC4-5D6E-409C-BE32-E72D297353CC}">
              <c16:uniqueId val="{00000000-782D-40B2-B327-F886EE24500D}"/>
            </c:ext>
          </c:extLst>
        </c:ser>
        <c:ser>
          <c:idx val="3"/>
          <c:order val="3"/>
          <c:tx>
            <c:strRef>
              <c:f>'Upgrading mass balances'!$A$73</c:f>
              <c:strCache>
                <c:ptCount val="1"/>
                <c:pt idx="0">
                  <c:v>Organic solid residue</c:v>
                </c:pt>
              </c:strCache>
            </c:strRef>
          </c:tx>
          <c:spPr>
            <a:solidFill>
              <a:schemeClr val="accent2"/>
            </a:solidFill>
            <a:ln>
              <a:solidFill>
                <a:schemeClr val="tx1"/>
              </a:solidFill>
            </a:ln>
            <a:effectLst/>
          </c:spPr>
          <c:invertIfNegative val="0"/>
          <c:cat>
            <c:strRef>
              <c:f>('Upgrading mass balances'!$B$69,'Upgrading mass balances'!$D$69,'Upgrading mass balances'!$F$69)</c:f>
              <c:strCache>
                <c:ptCount val="3"/>
                <c:pt idx="0">
                  <c:v>Blank</c:v>
                </c:pt>
                <c:pt idx="1">
                  <c:v>0.5 g of Fe</c:v>
                </c:pt>
                <c:pt idx="2">
                  <c:v>0.5 g of Zn</c:v>
                </c:pt>
              </c:strCache>
              <c:extLst/>
            </c:strRef>
          </c:cat>
          <c:val>
            <c:numRef>
              <c:f>('Upgrading mass balances'!$B$73,'Upgrading mass balances'!$D$73,'Upgrading mass balances'!$F$73)</c:f>
              <c:numCache>
                <c:formatCode>General</c:formatCode>
                <c:ptCount val="3"/>
                <c:pt idx="0">
                  <c:v>0.24029999999999774</c:v>
                </c:pt>
                <c:pt idx="1">
                  <c:v>4.5200429999999181E-2</c:v>
                </c:pt>
                <c:pt idx="2">
                  <c:v>0.21891800000000072</c:v>
                </c:pt>
              </c:numCache>
              <c:extLst/>
            </c:numRef>
          </c:val>
          <c:extLst>
            <c:ext xmlns:c16="http://schemas.microsoft.com/office/drawing/2014/chart" uri="{C3380CC4-5D6E-409C-BE32-E72D297353CC}">
              <c16:uniqueId val="{00000001-782D-40B2-B327-F886EE24500D}"/>
            </c:ext>
          </c:extLst>
        </c:ser>
        <c:ser>
          <c:idx val="4"/>
          <c:order val="4"/>
          <c:tx>
            <c:strRef>
              <c:f>'Upgrading mass balances'!$A$74</c:f>
              <c:strCache>
                <c:ptCount val="1"/>
                <c:pt idx="0">
                  <c:v>Gaseous phase</c:v>
                </c:pt>
              </c:strCache>
            </c:strRef>
          </c:tx>
          <c:spPr>
            <a:solidFill>
              <a:schemeClr val="accent3"/>
            </a:solidFill>
            <a:ln>
              <a:solidFill>
                <a:schemeClr val="tx1"/>
              </a:solidFill>
            </a:ln>
            <a:effectLst/>
          </c:spPr>
          <c:invertIfNegative val="0"/>
          <c:cat>
            <c:strRef>
              <c:f>('Upgrading mass balances'!$B$69,'Upgrading mass balances'!$D$69,'Upgrading mass balances'!$F$69)</c:f>
              <c:strCache>
                <c:ptCount val="3"/>
                <c:pt idx="0">
                  <c:v>Blank</c:v>
                </c:pt>
                <c:pt idx="1">
                  <c:v>0.5 g of Fe</c:v>
                </c:pt>
                <c:pt idx="2">
                  <c:v>0.5 g of Zn</c:v>
                </c:pt>
              </c:strCache>
              <c:extLst/>
            </c:strRef>
          </c:cat>
          <c:val>
            <c:numRef>
              <c:f>('Upgrading mass balances'!$B$74,'Upgrading mass balances'!$D$74,'Upgrading mass balances'!$F$74)</c:f>
              <c:numCache>
                <c:formatCode>General</c:formatCode>
                <c:ptCount val="3"/>
                <c:pt idx="0">
                  <c:v>5.7800000000002183E-2</c:v>
                </c:pt>
                <c:pt idx="1">
                  <c:v>9.6200000000004615E-2</c:v>
                </c:pt>
                <c:pt idx="2">
                  <c:v>0.10429999999999551</c:v>
                </c:pt>
              </c:numCache>
              <c:extLst/>
            </c:numRef>
          </c:val>
          <c:extLst>
            <c:ext xmlns:c16="http://schemas.microsoft.com/office/drawing/2014/chart" uri="{C3380CC4-5D6E-409C-BE32-E72D297353CC}">
              <c16:uniqueId val="{00000002-782D-40B2-B327-F886EE24500D}"/>
            </c:ext>
          </c:extLst>
        </c:ser>
        <c:ser>
          <c:idx val="5"/>
          <c:order val="5"/>
          <c:tx>
            <c:strRef>
              <c:f>'Upgrading mass balances'!$A$75</c:f>
              <c:strCache>
                <c:ptCount val="1"/>
                <c:pt idx="0">
                  <c:v>Water-soluble organics</c:v>
                </c:pt>
              </c:strCache>
            </c:strRef>
          </c:tx>
          <c:spPr>
            <a:solidFill>
              <a:schemeClr val="accent4"/>
            </a:solidFill>
            <a:ln>
              <a:solidFill>
                <a:schemeClr val="tx1"/>
              </a:solidFill>
            </a:ln>
            <a:effectLst/>
          </c:spPr>
          <c:invertIfNegative val="0"/>
          <c:cat>
            <c:strRef>
              <c:f>('Upgrading mass balances'!$B$69,'Upgrading mass balances'!$D$69,'Upgrading mass balances'!$F$69)</c:f>
              <c:strCache>
                <c:ptCount val="3"/>
                <c:pt idx="0">
                  <c:v>Blank</c:v>
                </c:pt>
                <c:pt idx="1">
                  <c:v>0.5 g of Fe</c:v>
                </c:pt>
                <c:pt idx="2">
                  <c:v>0.5 g of Zn</c:v>
                </c:pt>
              </c:strCache>
              <c:extLst/>
            </c:strRef>
          </c:cat>
          <c:val>
            <c:numRef>
              <c:f>('Upgrading mass balances'!$B$75,'Upgrading mass balances'!$D$75,'Upgrading mass balances'!$F$75)</c:f>
              <c:numCache>
                <c:formatCode>General</c:formatCode>
                <c:ptCount val="3"/>
                <c:pt idx="0">
                  <c:v>2.6626646010833852E-2</c:v>
                </c:pt>
                <c:pt idx="1">
                  <c:v>4.0004796437665857E-2</c:v>
                </c:pt>
                <c:pt idx="2">
                  <c:v>2.4258507599131909E-2</c:v>
                </c:pt>
              </c:numCache>
              <c:extLst/>
            </c:numRef>
          </c:val>
          <c:extLst>
            <c:ext xmlns:c16="http://schemas.microsoft.com/office/drawing/2014/chart" uri="{C3380CC4-5D6E-409C-BE32-E72D297353CC}">
              <c16:uniqueId val="{00000003-782D-40B2-B327-F886EE24500D}"/>
            </c:ext>
          </c:extLst>
        </c:ser>
        <c:dLbls>
          <c:showLegendKey val="0"/>
          <c:showVal val="0"/>
          <c:showCatName val="0"/>
          <c:showSerName val="0"/>
          <c:showPercent val="0"/>
          <c:showBubbleSize val="0"/>
        </c:dLbls>
        <c:gapWidth val="219"/>
        <c:overlap val="-27"/>
        <c:axId val="1188109423"/>
        <c:axId val="1188100783"/>
        <c:extLst>
          <c:ext xmlns:c15="http://schemas.microsoft.com/office/drawing/2012/chart" uri="{02D57815-91ED-43cb-92C2-25804820EDAC}">
            <c15:filteredBarSeries>
              <c15:ser>
                <c:idx val="1"/>
                <c:order val="1"/>
                <c:tx>
                  <c:strRef>
                    <c:extLst>
                      <c:ext uri="{02D57815-91ED-43cb-92C2-25804820EDAC}">
                        <c15:formulaRef>
                          <c15:sqref>'Upgrading mass balances'!$A$71</c15:sqref>
                        </c15:formulaRef>
                      </c:ext>
                    </c:extLst>
                    <c:strCache>
                      <c:ptCount val="1"/>
                      <c:pt idx="0">
                        <c:v>Solid residue</c:v>
                      </c:pt>
                    </c:strCache>
                  </c:strRef>
                </c:tx>
                <c:spPr>
                  <a:solidFill>
                    <a:schemeClr val="accent2"/>
                  </a:solidFill>
                  <a:ln>
                    <a:noFill/>
                  </a:ln>
                  <a:effectLst/>
                </c:spPr>
                <c:invertIfNegative val="0"/>
                <c:cat>
                  <c:strRef>
                    <c:extLst>
                      <c:ext uri="{02D57815-91ED-43cb-92C2-25804820EDAC}">
                        <c15:formulaRef>
                          <c15:sqref>('Upgrading mass balances'!$B$69,'Upgrading mass balances'!$D$69,'Upgrading mass balances'!$F$69)</c15:sqref>
                        </c15:formulaRef>
                      </c:ext>
                    </c:extLst>
                    <c:strCache>
                      <c:ptCount val="3"/>
                      <c:pt idx="0">
                        <c:v>Blank</c:v>
                      </c:pt>
                      <c:pt idx="1">
                        <c:v>0.5 g of Fe</c:v>
                      </c:pt>
                      <c:pt idx="2">
                        <c:v>0.5 g of Zn</c:v>
                      </c:pt>
                    </c:strCache>
                  </c:strRef>
                </c:cat>
                <c:val>
                  <c:numRef>
                    <c:extLst>
                      <c:ext uri="{02D57815-91ED-43cb-92C2-25804820EDAC}">
                        <c15:formulaRef>
                          <c15:sqref>('Upgrading mass balances'!$B$71,'Upgrading mass balances'!$D$71,'Upgrading mass balances'!$F$71)</c15:sqref>
                        </c15:formulaRef>
                      </c:ext>
                    </c:extLst>
                    <c:numCache>
                      <c:formatCode>General</c:formatCode>
                      <c:ptCount val="3"/>
                      <c:pt idx="0">
                        <c:v>0.24029999999999774</c:v>
                      </c:pt>
                      <c:pt idx="1">
                        <c:v>0.56429999999999048</c:v>
                      </c:pt>
                      <c:pt idx="2">
                        <c:v>0.82300000000000251</c:v>
                      </c:pt>
                    </c:numCache>
                  </c:numRef>
                </c:val>
                <c:extLst>
                  <c:ext xmlns:c16="http://schemas.microsoft.com/office/drawing/2014/chart" uri="{C3380CC4-5D6E-409C-BE32-E72D297353CC}">
                    <c16:uniqueId val="{00000004-782D-40B2-B327-F886EE24500D}"/>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'Upgrading mass balances'!$A$72</c15:sqref>
                        </c15:formulaRef>
                      </c:ext>
                    </c:extLst>
                    <c:strCache>
                      <c:ptCount val="1"/>
                      <c:pt idx="0">
                        <c:v>Oxydized metal</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('Upgrading mass balances'!$B$69,'Upgrading mass balances'!$D$69,'Upgrading mass balances'!$F$69)</c15:sqref>
                        </c15:formulaRef>
                      </c:ext>
                    </c:extLst>
                    <c:strCache>
                      <c:ptCount val="3"/>
                      <c:pt idx="0">
                        <c:v>Blank</c:v>
                      </c:pt>
                      <c:pt idx="1">
                        <c:v>0.5 g of Fe</c:v>
                      </c:pt>
                      <c:pt idx="2">
                        <c:v>0.5 g of Zn</c:v>
                      </c:pt>
                    </c:strCache>
                  </c:strRef>
                </c:cat>
                <c:val>
                  <c:numRef>
                    <c:extLst xmlns:c15="http://schemas.microsoft.com/office/drawing/2012/chart">
                      <c:ext xmlns:c15="http://schemas.microsoft.com/office/drawing/2012/chart" uri="{02D57815-91ED-43cb-92C2-25804820EDAC}">
                        <c15:formulaRef>
                          <c15:sqref>('Upgrading mass balances'!$B$72,'Upgrading mass balances'!$D$72,'Upgrading mass balances'!$F$72)</c15:sqref>
                        </c15:formulaRef>
                      </c:ext>
                    </c:extLst>
                    <c:numCache>
                      <c:formatCode>General</c:formatCode>
                      <c:ptCount val="3"/>
                      <c:pt idx="1">
                        <c:v>0.51909956999999129</c:v>
                      </c:pt>
                      <c:pt idx="2">
                        <c:v>0.60408200000000178</c:v>
                      </c:pt>
                    </c:numCache>
                  </c:numRef>
                </c:val>
                <c:extLst xmlns:c15="http://schemas.microsoft.com/office/drawing/2012/chart">
                  <c:ext xmlns:c16="http://schemas.microsoft.com/office/drawing/2014/chart" uri="{C3380CC4-5D6E-409C-BE32-E72D297353CC}">
                    <c16:uniqueId val="{00000005-782D-40B2-B327-F886EE24500D}"/>
                  </c:ext>
                </c:extLst>
              </c15:ser>
            </c15:filteredBarSeries>
          </c:ext>
        </c:extLst>
      </c:barChart>
      <c:catAx>
        <c:axId val="1188109423"/>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1188100783"/>
        <c:crosses val="autoZero"/>
        <c:auto val="1"/>
        <c:lblAlgn val="ctr"/>
        <c:lblOffset val="100"/>
        <c:noMultiLvlLbl val="0"/>
      </c:catAx>
      <c:valAx>
        <c:axId val="1188100783"/>
        <c:scaling>
          <c:orientation val="minMax"/>
          <c:max val="0.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sz="900"/>
                  <a:t>Product yield % (on organic base)</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1188109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Grafici!$B$16</c:f>
              <c:strCache>
                <c:ptCount val="1"/>
                <c:pt idx="0">
                  <c:v>Fatty acids</c:v>
                </c:pt>
              </c:strCache>
            </c:strRef>
          </c:tx>
          <c:spPr>
            <a:solidFill>
              <a:srgbClr val="6FBDD1"/>
            </a:solidFill>
            <a:ln>
              <a:solidFill>
                <a:schemeClr val="tx1"/>
              </a:solidFill>
            </a:ln>
            <a:effectLst/>
          </c:spPr>
          <c:invertIfNegative val="0"/>
          <c:cat>
            <c:strRef>
              <c:f>(Grafici!$A$17:$A$18,Grafici!$A$22,Grafici!$A$25)</c:f>
              <c:strCache>
                <c:ptCount val="4"/>
                <c:pt idx="0">
                  <c:v>Raw biocrude</c:v>
                </c:pt>
                <c:pt idx="1">
                  <c:v>Blank</c:v>
                </c:pt>
                <c:pt idx="2">
                  <c:v>0.5 g Fe</c:v>
                </c:pt>
                <c:pt idx="3">
                  <c:v>0.5 g Zn</c:v>
                </c:pt>
              </c:strCache>
              <c:extLst/>
            </c:strRef>
          </c:cat>
          <c:val>
            <c:numRef>
              <c:f>(Grafici!$B$17:$B$18,Grafici!$B$22,Grafici!$B$25)</c:f>
              <c:numCache>
                <c:formatCode>0.00</c:formatCode>
                <c:ptCount val="4"/>
                <c:pt idx="0">
                  <c:v>9.599027946537058</c:v>
                </c:pt>
                <c:pt idx="1">
                  <c:v>27.376195665334791</c:v>
                </c:pt>
                <c:pt idx="2">
                  <c:v>7.3694605604246384</c:v>
                </c:pt>
                <c:pt idx="3">
                  <c:v>5.2485840151038392</c:v>
                </c:pt>
              </c:numCache>
              <c:extLst/>
            </c:numRef>
          </c:val>
          <c:extLst>
            <c:ext xmlns:c16="http://schemas.microsoft.com/office/drawing/2014/chart" uri="{C3380CC4-5D6E-409C-BE32-E72D297353CC}">
              <c16:uniqueId val="{00000000-AFB9-444E-BD28-CB711A38AB36}"/>
            </c:ext>
          </c:extLst>
        </c:ser>
        <c:ser>
          <c:idx val="3"/>
          <c:order val="1"/>
          <c:tx>
            <c:strRef>
              <c:f>Grafici!$E$16</c:f>
              <c:strCache>
                <c:ptCount val="1"/>
                <c:pt idx="0">
                  <c:v>Amides</c:v>
                </c:pt>
              </c:strCache>
            </c:strRef>
          </c:tx>
          <c:spPr>
            <a:solidFill>
              <a:srgbClr val="9BBB59"/>
            </a:solidFill>
            <a:ln>
              <a:solidFill>
                <a:schemeClr val="tx1"/>
              </a:solidFill>
            </a:ln>
            <a:effectLst/>
          </c:spPr>
          <c:invertIfNegative val="0"/>
          <c:cat>
            <c:strRef>
              <c:f>(Grafici!$A$17:$A$18,Grafici!$A$22,Grafici!$A$25)</c:f>
              <c:strCache>
                <c:ptCount val="4"/>
                <c:pt idx="0">
                  <c:v>Raw biocrude</c:v>
                </c:pt>
                <c:pt idx="1">
                  <c:v>Blank</c:v>
                </c:pt>
                <c:pt idx="2">
                  <c:v>0.5 g Fe</c:v>
                </c:pt>
                <c:pt idx="3">
                  <c:v>0.5 g Zn</c:v>
                </c:pt>
              </c:strCache>
              <c:extLst/>
            </c:strRef>
          </c:cat>
          <c:val>
            <c:numRef>
              <c:f>(Grafici!$E$17:$E$18,Grafici!$E$22,Grafici!$E$25)</c:f>
              <c:numCache>
                <c:formatCode>0.00</c:formatCode>
                <c:ptCount val="4"/>
                <c:pt idx="0">
                  <c:v>24.763061968408262</c:v>
                </c:pt>
                <c:pt idx="1">
                  <c:v>11.805303305484925</c:v>
                </c:pt>
                <c:pt idx="2">
                  <c:v>12.837921244290825</c:v>
                </c:pt>
                <c:pt idx="3">
                  <c:v>12.032724984266839</c:v>
                </c:pt>
              </c:numCache>
              <c:extLst/>
            </c:numRef>
          </c:val>
          <c:extLst>
            <c:ext xmlns:c16="http://schemas.microsoft.com/office/drawing/2014/chart" uri="{C3380CC4-5D6E-409C-BE32-E72D297353CC}">
              <c16:uniqueId val="{00000001-AFB9-444E-BD28-CB711A38AB36}"/>
            </c:ext>
          </c:extLst>
        </c:ser>
        <c:ser>
          <c:idx val="2"/>
          <c:order val="3"/>
          <c:tx>
            <c:strRef>
              <c:f>Grafici!$D$16</c:f>
              <c:strCache>
                <c:ptCount val="1"/>
                <c:pt idx="0">
                  <c:v>Aldehydes/ketones</c:v>
                </c:pt>
              </c:strCache>
            </c:strRef>
          </c:tx>
          <c:spPr>
            <a:solidFill>
              <a:srgbClr val="FFC000"/>
            </a:solidFill>
            <a:ln>
              <a:solidFill>
                <a:schemeClr val="tx1"/>
              </a:solidFill>
            </a:ln>
            <a:effectLst/>
          </c:spPr>
          <c:invertIfNegative val="0"/>
          <c:cat>
            <c:strRef>
              <c:f>(Grafici!$A$17:$A$18,Grafici!$A$22,Grafici!$A$25)</c:f>
              <c:strCache>
                <c:ptCount val="4"/>
                <c:pt idx="0">
                  <c:v>Raw biocrude</c:v>
                </c:pt>
                <c:pt idx="1">
                  <c:v>Blank</c:v>
                </c:pt>
                <c:pt idx="2">
                  <c:v>0.5 g Fe</c:v>
                </c:pt>
                <c:pt idx="3">
                  <c:v>0.5 g Zn</c:v>
                </c:pt>
              </c:strCache>
              <c:extLst/>
            </c:strRef>
          </c:cat>
          <c:val>
            <c:numRef>
              <c:f>(Grafici!$D$17:$D$18,Grafici!$D$22,Grafici!$D$25)</c:f>
              <c:numCache>
                <c:formatCode>0.00</c:formatCode>
                <c:ptCount val="4"/>
                <c:pt idx="0">
                  <c:v>3.3049817739975702</c:v>
                </c:pt>
                <c:pt idx="1">
                  <c:v>2.7606247729749365</c:v>
                </c:pt>
                <c:pt idx="2">
                  <c:v>5.5548697691643003</c:v>
                </c:pt>
                <c:pt idx="3">
                  <c:v>5.3241032095657657</c:v>
                </c:pt>
              </c:numCache>
              <c:extLst/>
            </c:numRef>
          </c:val>
          <c:extLst>
            <c:ext xmlns:c16="http://schemas.microsoft.com/office/drawing/2014/chart" uri="{C3380CC4-5D6E-409C-BE32-E72D297353CC}">
              <c16:uniqueId val="{00000003-AFB9-444E-BD28-CB711A38AB36}"/>
            </c:ext>
          </c:extLst>
        </c:ser>
        <c:ser>
          <c:idx val="1"/>
          <c:order val="4"/>
          <c:tx>
            <c:strRef>
              <c:f>Grafici!$C$16</c:f>
              <c:strCache>
                <c:ptCount val="1"/>
                <c:pt idx="0">
                  <c:v>Alcohols</c:v>
                </c:pt>
              </c:strCache>
            </c:strRef>
          </c:tx>
          <c:spPr>
            <a:solidFill>
              <a:srgbClr val="4F81BD"/>
            </a:solidFill>
            <a:ln>
              <a:solidFill>
                <a:schemeClr val="tx1"/>
              </a:solidFill>
            </a:ln>
            <a:effectLst/>
          </c:spPr>
          <c:invertIfNegative val="0"/>
          <c:cat>
            <c:strRef>
              <c:f>(Grafici!$A$17:$A$18,Grafici!$A$22,Grafici!$A$25)</c:f>
              <c:strCache>
                <c:ptCount val="4"/>
                <c:pt idx="0">
                  <c:v>Raw biocrude</c:v>
                </c:pt>
                <c:pt idx="1">
                  <c:v>Blank</c:v>
                </c:pt>
                <c:pt idx="2">
                  <c:v>0.5 g Fe</c:v>
                </c:pt>
                <c:pt idx="3">
                  <c:v>0.5 g Zn</c:v>
                </c:pt>
              </c:strCache>
              <c:extLst/>
            </c:strRef>
          </c:cat>
          <c:val>
            <c:numRef>
              <c:f>(Grafici!$C$17:$C$18,Grafici!$C$22,Grafici!$C$25)</c:f>
              <c:numCache>
                <c:formatCode>0.00</c:formatCode>
                <c:ptCount val="4"/>
                <c:pt idx="0">
                  <c:v>6.026731470230863</c:v>
                </c:pt>
                <c:pt idx="1">
                  <c:v>7.01053396294951</c:v>
                </c:pt>
                <c:pt idx="2">
                  <c:v>10.060486359708678</c:v>
                </c:pt>
                <c:pt idx="3">
                  <c:v>8.9616110761485217</c:v>
                </c:pt>
              </c:numCache>
              <c:extLst/>
            </c:numRef>
          </c:val>
          <c:extLst>
            <c:ext xmlns:c16="http://schemas.microsoft.com/office/drawing/2014/chart" uri="{C3380CC4-5D6E-409C-BE32-E72D297353CC}">
              <c16:uniqueId val="{00000004-AFB9-444E-BD28-CB711A38AB36}"/>
            </c:ext>
          </c:extLst>
        </c:ser>
        <c:ser>
          <c:idx val="16"/>
          <c:order val="5"/>
          <c:tx>
            <c:strRef>
              <c:f>Grafici!$R$16</c:f>
              <c:strCache>
                <c:ptCount val="1"/>
                <c:pt idx="0">
                  <c:v>Alifatic hydrocarbons</c:v>
                </c:pt>
              </c:strCache>
            </c:strRef>
          </c:tx>
          <c:spPr>
            <a:solidFill>
              <a:srgbClr val="C0504D"/>
            </a:solidFill>
            <a:ln>
              <a:solidFill>
                <a:schemeClr val="tx1"/>
              </a:solidFill>
            </a:ln>
            <a:effectLst/>
          </c:spPr>
          <c:invertIfNegative val="0"/>
          <c:cat>
            <c:strRef>
              <c:f>(Grafici!$A$17:$A$18,Grafici!$A$22,Grafici!$A$25)</c:f>
              <c:strCache>
                <c:ptCount val="4"/>
                <c:pt idx="0">
                  <c:v>Raw biocrude</c:v>
                </c:pt>
                <c:pt idx="1">
                  <c:v>Blank</c:v>
                </c:pt>
                <c:pt idx="2">
                  <c:v>0.5 g Fe</c:v>
                </c:pt>
                <c:pt idx="3">
                  <c:v>0.5 g Zn</c:v>
                </c:pt>
              </c:strCache>
              <c:extLst/>
            </c:strRef>
          </c:cat>
          <c:val>
            <c:numRef>
              <c:f>(Grafici!$R$17:$R$18,Grafici!$R$22,Grafici!$R$25)</c:f>
              <c:numCache>
                <c:formatCode>0.00</c:formatCode>
                <c:ptCount val="4"/>
                <c:pt idx="0">
                  <c:v>1.4945321992709601</c:v>
                </c:pt>
                <c:pt idx="1">
                  <c:v>5.920813657827825</c:v>
                </c:pt>
                <c:pt idx="2">
                  <c:v>8.6655968398963097</c:v>
                </c:pt>
                <c:pt idx="3">
                  <c:v>9.2385147891755839</c:v>
                </c:pt>
              </c:numCache>
              <c:extLst/>
            </c:numRef>
          </c:val>
          <c:extLst>
            <c:ext xmlns:c16="http://schemas.microsoft.com/office/drawing/2014/chart" uri="{C3380CC4-5D6E-409C-BE32-E72D297353CC}">
              <c16:uniqueId val="{00000005-AFB9-444E-BD28-CB711A38AB36}"/>
            </c:ext>
          </c:extLst>
        </c:ser>
        <c:dLbls>
          <c:showLegendKey val="0"/>
          <c:showVal val="0"/>
          <c:showCatName val="0"/>
          <c:showSerName val="0"/>
          <c:showPercent val="0"/>
          <c:showBubbleSize val="0"/>
        </c:dLbls>
        <c:gapWidth val="219"/>
        <c:overlap val="-27"/>
        <c:axId val="317068176"/>
        <c:axId val="317069616"/>
        <c:extLst>
          <c:ext xmlns:c15="http://schemas.microsoft.com/office/drawing/2012/chart" uri="{02D57815-91ED-43cb-92C2-25804820EDAC}">
            <c15:filteredBarSeries>
              <c15:ser>
                <c:idx val="10"/>
                <c:order val="2"/>
                <c:tx>
                  <c:strRef>
                    <c:extLst>
                      <c:ext uri="{02D57815-91ED-43cb-92C2-25804820EDAC}">
                        <c15:formulaRef>
                          <c15:sqref>Grafici!$L$16</c15:sqref>
                        </c15:formulaRef>
                      </c:ext>
                    </c:extLst>
                    <c:strCache>
                      <c:ptCount val="1"/>
                      <c:pt idx="0">
                        <c:v>N-containing heterocycles</c:v>
                      </c:pt>
                    </c:strCache>
                  </c:strRef>
                </c:tx>
                <c:spPr>
                  <a:solidFill>
                    <a:srgbClr val="8064A2"/>
                  </a:solidFill>
                  <a:ln>
                    <a:solidFill>
                      <a:schemeClr val="tx1"/>
                    </a:solidFill>
                  </a:ln>
                  <a:effectLst/>
                </c:spPr>
                <c:invertIfNegative val="0"/>
                <c:cat>
                  <c:strRef>
                    <c:extLst>
                      <c:ext uri="{02D57815-91ED-43cb-92C2-25804820EDAC}">
                        <c15:formulaRef>
                          <c15:sqref>(Grafici!$A$17:$A$18,Grafici!$A$22,Grafici!$A$25)</c15:sqref>
                        </c15:formulaRef>
                      </c:ext>
                    </c:extLst>
                    <c:strCache>
                      <c:ptCount val="4"/>
                      <c:pt idx="0">
                        <c:v>Raw biocrude</c:v>
                      </c:pt>
                      <c:pt idx="1">
                        <c:v>Blank</c:v>
                      </c:pt>
                      <c:pt idx="2">
                        <c:v>0.5 g Fe</c:v>
                      </c:pt>
                      <c:pt idx="3">
                        <c:v>0.5 g Zn</c:v>
                      </c:pt>
                    </c:strCache>
                  </c:strRef>
                </c:cat>
                <c:val>
                  <c:numRef>
                    <c:extLst>
                      <c:ext uri="{02D57815-91ED-43cb-92C2-25804820EDAC}">
                        <c15:formulaRef>
                          <c15:sqref>(Grafici!$L$17:$L$18,Grafici!$L$22,Grafici!$L$25)</c15:sqref>
                        </c15:formulaRef>
                      </c:ext>
                    </c:extLst>
                    <c:numCache>
                      <c:formatCode>0.00</c:formatCode>
                      <c:ptCount val="4"/>
                      <c:pt idx="0">
                        <c:v>9.2102065613608755</c:v>
                      </c:pt>
                      <c:pt idx="1">
                        <c:v>13.5125317835089</c:v>
                      </c:pt>
                      <c:pt idx="2">
                        <c:v>13.751388717442293</c:v>
                      </c:pt>
                      <c:pt idx="3">
                        <c:v>10.195091252359978</c:v>
                      </c:pt>
                    </c:numCache>
                  </c:numRef>
                </c:val>
                <c:extLst>
                  <c:ext xmlns:c16="http://schemas.microsoft.com/office/drawing/2014/chart" uri="{C3380CC4-5D6E-409C-BE32-E72D297353CC}">
                    <c16:uniqueId val="{00000002-AFB9-444E-BD28-CB711A38AB36}"/>
                  </c:ext>
                </c:extLst>
              </c15:ser>
            </c15:filteredBarSeries>
            <c15:filteredBarSeries>
              <c15:ser>
                <c:idx val="4"/>
                <c:order val="6"/>
                <c:tx>
                  <c:strRef>
                    <c:extLst xmlns:c15="http://schemas.microsoft.com/office/drawing/2012/chart">
                      <c:ext xmlns:c15="http://schemas.microsoft.com/office/drawing/2012/chart" uri="{02D57815-91ED-43cb-92C2-25804820EDAC}">
                        <c15:formulaRef>
                          <c15:sqref>Grafici!$F$16</c15:sqref>
                        </c15:formulaRef>
                      </c:ext>
                    </c:extLst>
                    <c:strCache>
                      <c:ptCount val="1"/>
                      <c:pt idx="0">
                        <c:v>Ammine</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(Grafici!$A$17:$A$18,Grafici!$A$22,Grafici!$A$25)</c15:sqref>
                        </c15:formulaRef>
                      </c:ext>
                    </c:extLst>
                    <c:strCache>
                      <c:ptCount val="4"/>
                      <c:pt idx="0">
                        <c:v>Raw biocrude</c:v>
                      </c:pt>
                      <c:pt idx="1">
                        <c:v>Blank</c:v>
                      </c:pt>
                      <c:pt idx="2">
                        <c:v>0.5 g Fe</c:v>
                      </c:pt>
                      <c:pt idx="3">
                        <c:v>0.5 g Zn</c:v>
                      </c:pt>
                    </c:strCache>
                  </c:strRef>
                </c:cat>
                <c:val>
                  <c:numRef>
                    <c:extLst xmlns:c15="http://schemas.microsoft.com/office/drawing/2012/chart">
                      <c:ext xmlns:c15="http://schemas.microsoft.com/office/drawing/2012/chart" uri="{02D57815-91ED-43cb-92C2-25804820EDAC}">
                        <c15:formulaRef>
                          <c15:sqref>(Grafici!$F$17:$F$18,Grafici!$F$22,Grafici!$F$25)</c15:sqref>
                        </c15:formulaRef>
                      </c:ext>
                    </c:extLst>
                    <c:numCache>
                      <c:formatCode>0.00</c:formatCode>
                      <c:ptCount val="4"/>
                      <c:pt idx="0">
                        <c:v>0.66828675577156738</c:v>
                      </c:pt>
                      <c:pt idx="1">
                        <c:v>6.0540016951204749E-2</c:v>
                      </c:pt>
                      <c:pt idx="2">
                        <c:v>0.16047401555363536</c:v>
                      </c:pt>
                      <c:pt idx="3">
                        <c:v>0</c:v>
                      </c:pt>
                    </c:numCache>
                  </c:numRef>
                </c:val>
                <c:extLst xmlns:c15="http://schemas.microsoft.com/office/drawing/2012/chart">
                  <c:ext xmlns:c16="http://schemas.microsoft.com/office/drawing/2014/chart" uri="{C3380CC4-5D6E-409C-BE32-E72D297353CC}">
                    <c16:uniqueId val="{00000006-AFB9-444E-BD28-CB711A38AB36}"/>
                  </c:ext>
                </c:extLst>
              </c15:ser>
            </c15:filteredBarSeries>
            <c15:filteredBarSeries>
              <c15:ser>
                <c:idx val="5"/>
                <c:order val="7"/>
                <c:tx>
                  <c:strRef>
                    <c:extLst xmlns:c15="http://schemas.microsoft.com/office/drawing/2012/chart">
                      <c:ext xmlns:c15="http://schemas.microsoft.com/office/drawing/2012/chart" uri="{02D57815-91ED-43cb-92C2-25804820EDAC}">
                        <c15:formulaRef>
                          <c15:sqref>Grafici!$G$16</c15:sqref>
                        </c15:formulaRef>
                      </c:ext>
                    </c:extLst>
                    <c:strCache>
                      <c:ptCount val="1"/>
                      <c:pt idx="0">
                        <c:v>Composti fenolici</c:v>
                      </c:pt>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(Grafici!$A$17:$A$18,Grafici!$A$22,Grafici!$A$25)</c15:sqref>
                        </c15:formulaRef>
                      </c:ext>
                    </c:extLst>
                    <c:strCache>
                      <c:ptCount val="4"/>
                      <c:pt idx="0">
                        <c:v>Raw biocrude</c:v>
                      </c:pt>
                      <c:pt idx="1">
                        <c:v>Blank</c:v>
                      </c:pt>
                      <c:pt idx="2">
                        <c:v>0.5 g Fe</c:v>
                      </c:pt>
                      <c:pt idx="3">
                        <c:v>0.5 g Zn</c:v>
                      </c:pt>
                    </c:strCache>
                  </c:strRef>
                </c:cat>
                <c:val>
                  <c:numRef>
                    <c:extLst xmlns:c15="http://schemas.microsoft.com/office/drawing/2012/chart">
                      <c:ext xmlns:c15="http://schemas.microsoft.com/office/drawing/2012/chart" uri="{02D57815-91ED-43cb-92C2-25804820EDAC}">
                        <c15:formulaRef>
                          <c15:sqref>(Grafici!$G$17:$G$18,Grafici!$G$22,Grafici!$G$25)</c15:sqref>
                        </c15:formulaRef>
                      </c:ext>
                    </c:extLst>
                    <c:numCache>
                      <c:formatCode>0.00</c:formatCode>
                      <c:ptCount val="4"/>
                      <c:pt idx="0">
                        <c:v>2.4179829890643987</c:v>
                      </c:pt>
                      <c:pt idx="1">
                        <c:v>4.5889332849013202</c:v>
                      </c:pt>
                      <c:pt idx="2">
                        <c:v>7.7274410566596732</c:v>
                      </c:pt>
                      <c:pt idx="3">
                        <c:v>6.0037759597230975</c:v>
                      </c:pt>
                    </c:numCache>
                  </c:numRef>
                </c:val>
                <c:extLst xmlns:c15="http://schemas.microsoft.com/office/drawing/2012/chart">
                  <c:ext xmlns:c16="http://schemas.microsoft.com/office/drawing/2014/chart" uri="{C3380CC4-5D6E-409C-BE32-E72D297353CC}">
                    <c16:uniqueId val="{00000007-AFB9-444E-BD28-CB711A38AB36}"/>
                  </c:ext>
                </c:extLst>
              </c15:ser>
            </c15:filteredBarSeries>
            <c15:filteredBarSeries>
              <c15:ser>
                <c:idx val="6"/>
                <c:order val="8"/>
                <c:tx>
                  <c:strRef>
                    <c:extLst xmlns:c15="http://schemas.microsoft.com/office/drawing/2012/chart">
                      <c:ext xmlns:c15="http://schemas.microsoft.com/office/drawing/2012/chart" uri="{02D57815-91ED-43cb-92C2-25804820EDAC}">
                        <c15:formulaRef>
                          <c15:sqref>Grafici!$H$16</c15:sqref>
                        </c15:formulaRef>
                      </c:ext>
                    </c:extLst>
                    <c:strCache>
                      <c:ptCount val="1"/>
                      <c:pt idx="0">
                        <c:v>Derivati da steroli</c:v>
                      </c:pt>
                    </c:strCache>
                  </c:strRef>
                </c:tx>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(Grafici!$A$17:$A$18,Grafici!$A$22,Grafici!$A$25)</c15:sqref>
                        </c15:formulaRef>
                      </c:ext>
                    </c:extLst>
                    <c:strCache>
                      <c:ptCount val="4"/>
                      <c:pt idx="0">
                        <c:v>Raw biocrude</c:v>
                      </c:pt>
                      <c:pt idx="1">
                        <c:v>Blank</c:v>
                      </c:pt>
                      <c:pt idx="2">
                        <c:v>0.5 g Fe</c:v>
                      </c:pt>
                      <c:pt idx="3">
                        <c:v>0.5 g Zn</c:v>
                      </c:pt>
                    </c:strCache>
                  </c:strRef>
                </c:cat>
                <c:val>
                  <c:numRef>
                    <c:extLst xmlns:c15="http://schemas.microsoft.com/office/drawing/2012/chart">
                      <c:ext xmlns:c15="http://schemas.microsoft.com/office/drawing/2012/chart" uri="{02D57815-91ED-43cb-92C2-25804820EDAC}">
                        <c15:formulaRef>
                          <c15:sqref>(Grafici!$H$17:$H$18,Grafici!$H$22,Grafici!$H$25)</c15:sqref>
                        </c15:formulaRef>
                      </c:ext>
                    </c:extLst>
                    <c:numCache>
                      <c:formatCode>0.00</c:formatCode>
                      <c:ptCount val="4"/>
                      <c:pt idx="0">
                        <c:v>33.256379100850545</c:v>
                      </c:pt>
                      <c:pt idx="1">
                        <c:v>16.236832546313106</c:v>
                      </c:pt>
                      <c:pt idx="2">
                        <c:v>23.256388100234538</c:v>
                      </c:pt>
                      <c:pt idx="3">
                        <c:v>31.302706104468225</c:v>
                      </c:pt>
                    </c:numCache>
                  </c:numRef>
                </c:val>
                <c:extLst xmlns:c15="http://schemas.microsoft.com/office/drawing/2012/chart">
                  <c:ext xmlns:c16="http://schemas.microsoft.com/office/drawing/2014/chart" uri="{C3380CC4-5D6E-409C-BE32-E72D297353CC}">
                    <c16:uniqueId val="{00000008-AFB9-444E-BD28-CB711A38AB36}"/>
                  </c:ext>
                </c:extLst>
              </c15:ser>
            </c15:filteredBarSeries>
            <c15:filteredBarSeries>
              <c15:ser>
                <c:idx val="7"/>
                <c:order val="9"/>
                <c:tx>
                  <c:strRef>
                    <c:extLst xmlns:c15="http://schemas.microsoft.com/office/drawing/2012/chart">
                      <c:ext xmlns:c15="http://schemas.microsoft.com/office/drawing/2012/chart" uri="{02D57815-91ED-43cb-92C2-25804820EDAC}">
                        <c15:formulaRef>
                          <c15:sqref>Grafici!$I$16</c15:sqref>
                        </c15:formulaRef>
                      </c:ext>
                    </c:extLst>
                    <c:strCache>
                      <c:ptCount val="1"/>
                      <c:pt idx="0">
                        <c:v>Epossidi</c:v>
                      </c:pt>
                    </c:strCache>
                  </c:strRef>
                </c:tx>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(Grafici!$A$17:$A$18,Grafici!$A$22,Grafici!$A$25)</c15:sqref>
                        </c15:formulaRef>
                      </c:ext>
                    </c:extLst>
                    <c:strCache>
                      <c:ptCount val="4"/>
                      <c:pt idx="0">
                        <c:v>Raw biocrude</c:v>
                      </c:pt>
                      <c:pt idx="1">
                        <c:v>Blank</c:v>
                      </c:pt>
                      <c:pt idx="2">
                        <c:v>0.5 g Fe</c:v>
                      </c:pt>
                      <c:pt idx="3">
                        <c:v>0.5 g Zn</c:v>
                      </c:pt>
                    </c:strCache>
                  </c:strRef>
                </c:cat>
                <c:val>
                  <c:numRef>
                    <c:extLst xmlns:c15="http://schemas.microsoft.com/office/drawing/2012/chart">
                      <c:ext xmlns:c15="http://schemas.microsoft.com/office/drawing/2012/chart" uri="{02D57815-91ED-43cb-92C2-25804820EDAC}">
                        <c15:formulaRef>
                          <c15:sqref>(Grafici!$I$17:$I$18,Grafici!$I$22,Grafici!$I$25)</c15:sqref>
                        </c15:formulaRef>
                      </c:ext>
                    </c:extLst>
                    <c:numCache>
                      <c:formatCode>0.00</c:formatCode>
                      <c:ptCount val="4"/>
                      <c:pt idx="0">
                        <c:v>0.42527339003645198</c:v>
                      </c:pt>
                      <c:pt idx="1">
                        <c:v>0</c:v>
                      </c:pt>
                      <c:pt idx="2">
                        <c:v>1.3702012097271943</c:v>
                      </c:pt>
                      <c:pt idx="3">
                        <c:v>0.85588420390182529</c:v>
                      </c:pt>
                    </c:numCache>
                  </c:numRef>
                </c:val>
                <c:extLst xmlns:c15="http://schemas.microsoft.com/office/drawing/2012/chart">
                  <c:ext xmlns:c16="http://schemas.microsoft.com/office/drawing/2014/chart" uri="{C3380CC4-5D6E-409C-BE32-E72D297353CC}">
                    <c16:uniqueId val="{00000009-AFB9-444E-BD28-CB711A38AB36}"/>
                  </c:ext>
                </c:extLst>
              </c15:ser>
            </c15:filteredBarSeries>
            <c15:filteredBarSeries>
              <c15:ser>
                <c:idx val="8"/>
                <c:order val="10"/>
                <c:tx>
                  <c:strRef>
                    <c:extLst xmlns:c15="http://schemas.microsoft.com/office/drawing/2012/chart">
                      <c:ext xmlns:c15="http://schemas.microsoft.com/office/drawing/2012/chart" uri="{02D57815-91ED-43cb-92C2-25804820EDAC}">
                        <c15:formulaRef>
                          <c15:sqref>Grafici!$J$16</c15:sqref>
                        </c15:formulaRef>
                      </c:ext>
                    </c:extLst>
                    <c:strCache>
                      <c:ptCount val="1"/>
                      <c:pt idx="0">
                        <c:v>Esteri</c:v>
                      </c:pt>
                    </c:strCache>
                  </c:strRef>
                </c:tx>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(Grafici!$A$17:$A$18,Grafici!$A$22,Grafici!$A$25)</c15:sqref>
                        </c15:formulaRef>
                      </c:ext>
                    </c:extLst>
                    <c:strCache>
                      <c:ptCount val="4"/>
                      <c:pt idx="0">
                        <c:v>Raw biocrude</c:v>
                      </c:pt>
                      <c:pt idx="1">
                        <c:v>Blank</c:v>
                      </c:pt>
                      <c:pt idx="2">
                        <c:v>0.5 g Fe</c:v>
                      </c:pt>
                      <c:pt idx="3">
                        <c:v>0.5 g Zn</c:v>
                      </c:pt>
                    </c:strCache>
                  </c:strRef>
                </c:cat>
                <c:val>
                  <c:numRef>
                    <c:extLst xmlns:c15="http://schemas.microsoft.com/office/drawing/2012/chart">
                      <c:ext xmlns:c15="http://schemas.microsoft.com/office/drawing/2012/chart" uri="{02D57815-91ED-43cb-92C2-25804820EDAC}">
                        <c15:formulaRef>
                          <c15:sqref>(Grafici!$J$17:$J$18,Grafici!$J$22,Grafici!$J$25)</c15:sqref>
                        </c15:formulaRef>
                      </c:ext>
                    </c:extLst>
                    <c:numCache>
                      <c:formatCode>0.00</c:formatCode>
                      <c:ptCount val="4"/>
                      <c:pt idx="0">
                        <c:v>7.0959902794653713</c:v>
                      </c:pt>
                      <c:pt idx="1">
                        <c:v>7.65225814263228</c:v>
                      </c:pt>
                      <c:pt idx="2">
                        <c:v>7.5916553511912106</c:v>
                      </c:pt>
                      <c:pt idx="3">
                        <c:v>6.9729389553178107</c:v>
                      </c:pt>
                    </c:numCache>
                  </c:numRef>
                </c:val>
                <c:extLst xmlns:c15="http://schemas.microsoft.com/office/drawing/2012/chart">
                  <c:ext xmlns:c16="http://schemas.microsoft.com/office/drawing/2014/chart" uri="{C3380CC4-5D6E-409C-BE32-E72D297353CC}">
                    <c16:uniqueId val="{0000000A-AFB9-444E-BD28-CB711A38AB36}"/>
                  </c:ext>
                </c:extLst>
              </c15:ser>
            </c15:filteredBarSeries>
            <c15:filteredBarSeries>
              <c15:ser>
                <c:idx val="9"/>
                <c:order val="11"/>
                <c:tx>
                  <c:strRef>
                    <c:extLst xmlns:c15="http://schemas.microsoft.com/office/drawing/2012/chart">
                      <c:ext xmlns:c15="http://schemas.microsoft.com/office/drawing/2012/chart" uri="{02D57815-91ED-43cb-92C2-25804820EDAC}">
                        <c15:formulaRef>
                          <c15:sqref>Grafici!$K$16</c15:sqref>
                        </c15:formulaRef>
                      </c:ext>
                    </c:extLst>
                    <c:strCache>
                      <c:ptCount val="1"/>
                      <c:pt idx="0">
                        <c:v>Eteri</c:v>
                      </c:pt>
                    </c:strCache>
                  </c:strRef>
                </c:tx>
                <c:spPr>
                  <a:solidFill>
                    <a:schemeClr val="accent4">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(Grafici!$A$17:$A$18,Grafici!$A$22,Grafici!$A$25)</c15:sqref>
                        </c15:formulaRef>
                      </c:ext>
                    </c:extLst>
                    <c:strCache>
                      <c:ptCount val="4"/>
                      <c:pt idx="0">
                        <c:v>Raw biocrude</c:v>
                      </c:pt>
                      <c:pt idx="1">
                        <c:v>Blank</c:v>
                      </c:pt>
                      <c:pt idx="2">
                        <c:v>0.5 g Fe</c:v>
                      </c:pt>
                      <c:pt idx="3">
                        <c:v>0.5 g Zn</c:v>
                      </c:pt>
                    </c:strCache>
                  </c:strRef>
                </c:cat>
                <c:val>
                  <c:numRef>
                    <c:extLst xmlns:c15="http://schemas.microsoft.com/office/drawing/2012/chart">
                      <c:ext xmlns:c15="http://schemas.microsoft.com/office/drawing/2012/chart" uri="{02D57815-91ED-43cb-92C2-25804820EDAC}">
                        <c15:formulaRef>
                          <c15:sqref>(Grafici!$K$17:$K$18,Grafici!$K$22,Grafici!$K$25)</c15:sqref>
                        </c15:formulaRef>
                      </c:ext>
                    </c:extLst>
                    <c:numCache>
                      <c:formatCode>0.00</c:formatCode>
                      <c:ptCount val="4"/>
                      <c:pt idx="0">
                        <c:v>0</c:v>
                      </c:pt>
                      <c:pt idx="1">
                        <c:v>0.75069621019493882</c:v>
                      </c:pt>
                      <c:pt idx="2">
                        <c:v>0</c:v>
                      </c:pt>
                      <c:pt idx="3">
                        <c:v>0.50346129641283832</c:v>
                      </c:pt>
                    </c:numCache>
                  </c:numRef>
                </c:val>
                <c:extLst xmlns:c15="http://schemas.microsoft.com/office/drawing/2012/chart">
                  <c:ext xmlns:c16="http://schemas.microsoft.com/office/drawing/2014/chart" uri="{C3380CC4-5D6E-409C-BE32-E72D297353CC}">
                    <c16:uniqueId val="{0000000B-AFB9-444E-BD28-CB711A38AB36}"/>
                  </c:ext>
                </c:extLst>
              </c15:ser>
            </c15:filteredBarSeries>
            <c15:filteredBarSeries>
              <c15:ser>
                <c:idx val="11"/>
                <c:order val="12"/>
                <c:tx>
                  <c:strRef>
                    <c:extLst xmlns:c15="http://schemas.microsoft.com/office/drawing/2012/chart">
                      <c:ext xmlns:c15="http://schemas.microsoft.com/office/drawing/2012/chart" uri="{02D57815-91ED-43cb-92C2-25804820EDAC}">
                        <c15:formulaRef>
                          <c15:sqref>Grafici!$M$16</c15:sqref>
                        </c15:formulaRef>
                      </c:ext>
                    </c:extLst>
                    <c:strCache>
                      <c:ptCount val="1"/>
                      <c:pt idx="0">
                        <c:v>Idrocarburi alifatici</c:v>
                      </c:pt>
                    </c:strCache>
                  </c:strRef>
                </c:tx>
                <c:spPr>
                  <a:solidFill>
                    <a:schemeClr val="accent6">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(Grafici!$A$17:$A$18,Grafici!$A$22,Grafici!$A$25)</c15:sqref>
                        </c15:formulaRef>
                      </c:ext>
                    </c:extLst>
                    <c:strCache>
                      <c:ptCount val="4"/>
                      <c:pt idx="0">
                        <c:v>Raw biocrude</c:v>
                      </c:pt>
                      <c:pt idx="1">
                        <c:v>Blank</c:v>
                      </c:pt>
                      <c:pt idx="2">
                        <c:v>0.5 g Fe</c:v>
                      </c:pt>
                      <c:pt idx="3">
                        <c:v>0.5 g Zn</c:v>
                      </c:pt>
                    </c:strCache>
                  </c:strRef>
                </c:cat>
                <c:val>
                  <c:numRef>
                    <c:extLst xmlns:c15="http://schemas.microsoft.com/office/drawing/2012/chart">
                      <c:ext xmlns:c15="http://schemas.microsoft.com/office/drawing/2012/chart" uri="{02D57815-91ED-43cb-92C2-25804820EDAC}">
                        <c15:formulaRef>
                          <c15:sqref>(Grafici!$M$17:$M$18,Grafici!$M$22,Grafici!$M$25)</c15:sqref>
                        </c15:formulaRef>
                      </c:ext>
                    </c:extLst>
                    <c:numCache>
                      <c:formatCode>0.00</c:formatCode>
                      <c:ptCount val="4"/>
                      <c:pt idx="0">
                        <c:v>0.36452004860267312</c:v>
                      </c:pt>
                      <c:pt idx="1">
                        <c:v>4.879525366267103</c:v>
                      </c:pt>
                      <c:pt idx="2">
                        <c:v>6.7275644982100982</c:v>
                      </c:pt>
                      <c:pt idx="3">
                        <c:v>7.5645059786028961</c:v>
                      </c:pt>
                    </c:numCache>
                  </c:numRef>
                </c:val>
                <c:extLst xmlns:c15="http://schemas.microsoft.com/office/drawing/2012/chart">
                  <c:ext xmlns:c16="http://schemas.microsoft.com/office/drawing/2014/chart" uri="{C3380CC4-5D6E-409C-BE32-E72D297353CC}">
                    <c16:uniqueId val="{0000000C-AFB9-444E-BD28-CB711A38AB36}"/>
                  </c:ext>
                </c:extLst>
              </c15:ser>
            </c15:filteredBarSeries>
            <c15:filteredBarSeries>
              <c15:ser>
                <c:idx val="12"/>
                <c:order val="13"/>
                <c:tx>
                  <c:strRef>
                    <c:extLst xmlns:c15="http://schemas.microsoft.com/office/drawing/2012/chart">
                      <c:ext xmlns:c15="http://schemas.microsoft.com/office/drawing/2012/chart" uri="{02D57815-91ED-43cb-92C2-25804820EDAC}">
                        <c15:formulaRef>
                          <c15:sqref>Grafici!$N$16</c15:sqref>
                        </c15:formulaRef>
                      </c:ext>
                    </c:extLst>
                    <c:strCache>
                      <c:ptCount val="1"/>
                      <c:pt idx="0">
                        <c:v>Idrocarburi aromatici</c:v>
                      </c:pt>
                    </c:strCache>
                  </c:strRef>
                </c:tx>
                <c:spPr>
                  <a:solidFill>
                    <a:schemeClr val="accent1">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(Grafici!$A$17:$A$18,Grafici!$A$22,Grafici!$A$25)</c15:sqref>
                        </c15:formulaRef>
                      </c:ext>
                    </c:extLst>
                    <c:strCache>
                      <c:ptCount val="4"/>
                      <c:pt idx="0">
                        <c:v>Raw biocrude</c:v>
                      </c:pt>
                      <c:pt idx="1">
                        <c:v>Blank</c:v>
                      </c:pt>
                      <c:pt idx="2">
                        <c:v>0.5 g Fe</c:v>
                      </c:pt>
                      <c:pt idx="3">
                        <c:v>0.5 g Zn</c:v>
                      </c:pt>
                    </c:strCache>
                  </c:strRef>
                </c:cat>
                <c:val>
                  <c:numRef>
                    <c:extLst xmlns:c15="http://schemas.microsoft.com/office/drawing/2012/chart">
                      <c:ext xmlns:c15="http://schemas.microsoft.com/office/drawing/2012/chart" uri="{02D57815-91ED-43cb-92C2-25804820EDAC}">
                        <c15:formulaRef>
                          <c15:sqref>(Grafici!$N$17:$N$18,Grafici!$N$22,Grafici!$N$25)</c15:sqref>
                        </c15:formulaRef>
                      </c:ext>
                    </c:extLst>
                    <c:numCache>
                      <c:formatCode>0.00</c:formatCode>
                      <c:ptCount val="4"/>
                      <c:pt idx="0">
                        <c:v>0.23086269744835966</c:v>
                      </c:pt>
                      <c:pt idx="1">
                        <c:v>0.42378011865843318</c:v>
                      </c:pt>
                      <c:pt idx="2">
                        <c:v>0.55548697691643001</c:v>
                      </c:pt>
                      <c:pt idx="3">
                        <c:v>8.8105726872246715E-2</c:v>
                      </c:pt>
                    </c:numCache>
                  </c:numRef>
                </c:val>
                <c:extLst xmlns:c15="http://schemas.microsoft.com/office/drawing/2012/chart">
                  <c:ext xmlns:c16="http://schemas.microsoft.com/office/drawing/2014/chart" uri="{C3380CC4-5D6E-409C-BE32-E72D297353CC}">
                    <c16:uniqueId val="{0000000D-AFB9-444E-BD28-CB711A38AB36}"/>
                  </c:ext>
                </c:extLst>
              </c15:ser>
            </c15:filteredBarSeries>
            <c15:filteredBarSeries>
              <c15:ser>
                <c:idx val="13"/>
                <c:order val="14"/>
                <c:tx>
                  <c:strRef>
                    <c:extLst xmlns:c15="http://schemas.microsoft.com/office/drawing/2012/chart">
                      <c:ext xmlns:c15="http://schemas.microsoft.com/office/drawing/2012/chart" uri="{02D57815-91ED-43cb-92C2-25804820EDAC}">
                        <c15:formulaRef>
                          <c15:sqref>Grafici!$O$16</c15:sqref>
                        </c15:formulaRef>
                      </c:ext>
                    </c:extLst>
                    <c:strCache>
                      <c:ptCount val="1"/>
                      <c:pt idx="0">
                        <c:v>Idrocarburi ciclici</c:v>
                      </c:pt>
                    </c:strCache>
                  </c:strRef>
                </c:tx>
                <c:spPr>
                  <a:solidFill>
                    <a:schemeClr val="accent2">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(Grafici!$A$17:$A$18,Grafici!$A$22,Grafici!$A$25)</c15:sqref>
                        </c15:formulaRef>
                      </c:ext>
                    </c:extLst>
                    <c:strCache>
                      <c:ptCount val="4"/>
                      <c:pt idx="0">
                        <c:v>Raw biocrude</c:v>
                      </c:pt>
                      <c:pt idx="1">
                        <c:v>Blank</c:v>
                      </c:pt>
                      <c:pt idx="2">
                        <c:v>0.5 g Fe</c:v>
                      </c:pt>
                      <c:pt idx="3">
                        <c:v>0.5 g Zn</c:v>
                      </c:pt>
                    </c:strCache>
                  </c:strRef>
                </c:cat>
                <c:val>
                  <c:numRef>
                    <c:extLst xmlns:c15="http://schemas.microsoft.com/office/drawing/2012/chart">
                      <c:ext xmlns:c15="http://schemas.microsoft.com/office/drawing/2012/chart" uri="{02D57815-91ED-43cb-92C2-25804820EDAC}">
                        <c15:formulaRef>
                          <c15:sqref>(Grafici!$O$17:$O$18,Grafici!$O$22,Grafici!$O$25)</c15:sqref>
                        </c15:formulaRef>
                      </c:ext>
                    </c:extLst>
                    <c:numCache>
                      <c:formatCode>0.00</c:formatCode>
                      <c:ptCount val="4"/>
                      <c:pt idx="0">
                        <c:v>1.130012150668287</c:v>
                      </c:pt>
                      <c:pt idx="1">
                        <c:v>1.0412882915607216</c:v>
                      </c:pt>
                      <c:pt idx="2">
                        <c:v>1.9380323416862113</c:v>
                      </c:pt>
                      <c:pt idx="3">
                        <c:v>1.6740088105726876</c:v>
                      </c:pt>
                    </c:numCache>
                  </c:numRef>
                </c:val>
                <c:extLst xmlns:c15="http://schemas.microsoft.com/office/drawing/2012/chart">
                  <c:ext xmlns:c16="http://schemas.microsoft.com/office/drawing/2014/chart" uri="{C3380CC4-5D6E-409C-BE32-E72D297353CC}">
                    <c16:uniqueId val="{0000000E-AFB9-444E-BD28-CB711A38AB36}"/>
                  </c:ext>
                </c:extLst>
              </c15:ser>
            </c15:filteredBarSeries>
            <c15:filteredBarSeries>
              <c15:ser>
                <c:idx val="14"/>
                <c:order val="15"/>
                <c:tx>
                  <c:strRef>
                    <c:extLst xmlns:c15="http://schemas.microsoft.com/office/drawing/2012/chart">
                      <c:ext xmlns:c15="http://schemas.microsoft.com/office/drawing/2012/chart" uri="{02D57815-91ED-43cb-92C2-25804820EDAC}">
                        <c15:formulaRef>
                          <c15:sqref>Grafici!$P$16</c15:sqref>
                        </c15:formulaRef>
                      </c:ext>
                    </c:extLst>
                    <c:strCache>
                      <c:ptCount val="1"/>
                      <c:pt idx="0">
                        <c:v>Incertezze/scarti</c:v>
                      </c:pt>
                    </c:strCache>
                  </c:strRef>
                </c:tx>
                <c:spPr>
                  <a:solidFill>
                    <a:schemeClr val="accent3">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(Grafici!$A$17:$A$18,Grafici!$A$22,Grafici!$A$25)</c15:sqref>
                        </c15:formulaRef>
                      </c:ext>
                    </c:extLst>
                    <c:strCache>
                      <c:ptCount val="4"/>
                      <c:pt idx="0">
                        <c:v>Raw biocrude</c:v>
                      </c:pt>
                      <c:pt idx="1">
                        <c:v>Blank</c:v>
                      </c:pt>
                      <c:pt idx="2">
                        <c:v>0.5 g Fe</c:v>
                      </c:pt>
                      <c:pt idx="3">
                        <c:v>0.5 g Zn</c:v>
                      </c:pt>
                    </c:strCache>
                  </c:strRef>
                </c:cat>
                <c:val>
                  <c:numRef>
                    <c:extLst xmlns:c15="http://schemas.microsoft.com/office/drawing/2012/chart">
                      <c:ext xmlns:c15="http://schemas.microsoft.com/office/drawing/2012/chart" uri="{02D57815-91ED-43cb-92C2-25804820EDAC}">
                        <c15:formulaRef>
                          <c15:sqref>(Grafici!$P$17:$P$18,Grafici!$P$22,Grafici!$P$25)</c15:sqref>
                        </c15:formulaRef>
                      </c:ext>
                    </c:extLst>
                    <c:numCache>
                      <c:formatCode>0.00</c:formatCode>
                      <c:ptCount val="4"/>
                      <c:pt idx="0">
                        <c:v>0.4374240583232078</c:v>
                      </c:pt>
                      <c:pt idx="1">
                        <c:v>0.8838842474875892</c:v>
                      </c:pt>
                      <c:pt idx="2">
                        <c:v>0</c:v>
                      </c:pt>
                      <c:pt idx="3">
                        <c:v>1.1453744493392071</c:v>
                      </c:pt>
                    </c:numCache>
                  </c:numRef>
                </c:val>
                <c:extLst xmlns:c15="http://schemas.microsoft.com/office/drawing/2012/chart">
                  <c:ext xmlns:c16="http://schemas.microsoft.com/office/drawing/2014/chart" uri="{C3380CC4-5D6E-409C-BE32-E72D297353CC}">
                    <c16:uniqueId val="{0000000F-AFB9-444E-BD28-CB711A38AB36}"/>
                  </c:ext>
                </c:extLst>
              </c15:ser>
            </c15:filteredBarSeries>
            <c15:filteredBarSeries>
              <c15:ser>
                <c:idx val="15"/>
                <c:order val="16"/>
                <c:tx>
                  <c:strRef>
                    <c:extLst xmlns:c15="http://schemas.microsoft.com/office/drawing/2012/chart">
                      <c:ext xmlns:c15="http://schemas.microsoft.com/office/drawing/2012/chart" uri="{02D57815-91ED-43cb-92C2-25804820EDAC}">
                        <c15:formulaRef>
                          <c15:sqref>Grafici!$Q$16</c15:sqref>
                        </c15:formulaRef>
                      </c:ext>
                    </c:extLst>
                    <c:strCache>
                      <c:ptCount val="1"/>
                      <c:pt idx="0">
                        <c:v>Nitrili</c:v>
                      </c:pt>
                    </c:strCache>
                  </c:strRef>
                </c:tx>
                <c:spPr>
                  <a:solidFill>
                    <a:schemeClr val="accent4">
                      <a:lumMod val="80000"/>
                      <a:lumOff val="20000"/>
                    </a:schemeClr>
                  </a:solidFill>
                  <a:ln>
                    <a:noFill/>
                  </a:ln>
                  <a:effectLst/>
                </c:spPr>
                <c:invertIfNegative val="0"/>
                <c:cat>
                  <c:strRef>
                    <c:extLst xmlns:c15="http://schemas.microsoft.com/office/drawing/2012/chart">
                      <c:ext xmlns:c15="http://schemas.microsoft.com/office/drawing/2012/chart" uri="{02D57815-91ED-43cb-92C2-25804820EDAC}">
                        <c15:formulaRef>
                          <c15:sqref>(Grafici!$A$17:$A$18,Grafici!$A$22,Grafici!$A$25)</c15:sqref>
                        </c15:formulaRef>
                      </c:ext>
                    </c:extLst>
                    <c:strCache>
                      <c:ptCount val="4"/>
                      <c:pt idx="0">
                        <c:v>Raw biocrude</c:v>
                      </c:pt>
                      <c:pt idx="1">
                        <c:v>Blank</c:v>
                      </c:pt>
                      <c:pt idx="2">
                        <c:v>0.5 g Fe</c:v>
                      </c:pt>
                      <c:pt idx="3">
                        <c:v>0.5 g Zn</c:v>
                      </c:pt>
                    </c:strCache>
                  </c:strRef>
                </c:cat>
                <c:val>
                  <c:numRef>
                    <c:extLst xmlns:c15="http://schemas.microsoft.com/office/drawing/2012/chart">
                      <c:ext xmlns:c15="http://schemas.microsoft.com/office/drawing/2012/chart" uri="{02D57815-91ED-43cb-92C2-25804820EDAC}">
                        <c15:formulaRef>
                          <c15:sqref>(Grafici!$Q$17:$Q$18,Grafici!$Q$22,Grafici!$Q$25)</c15:sqref>
                        </c15:formulaRef>
                      </c:ext>
                    </c:extLst>
                    <c:numCache>
                      <c:formatCode>0.00</c:formatCode>
                      <c:ptCount val="4"/>
                      <c:pt idx="0">
                        <c:v>1.0692588092345079</c:v>
                      </c:pt>
                      <c:pt idx="1">
                        <c:v>1.0170722847802396</c:v>
                      </c:pt>
                      <c:pt idx="2">
                        <c:v>1.0986297987902727</c:v>
                      </c:pt>
                      <c:pt idx="3">
                        <c:v>2.1271239773442421</c:v>
                      </c:pt>
                    </c:numCache>
                  </c:numRef>
                </c:val>
                <c:extLst xmlns:c15="http://schemas.microsoft.com/office/drawing/2012/chart">
                  <c:ext xmlns:c16="http://schemas.microsoft.com/office/drawing/2014/chart" uri="{C3380CC4-5D6E-409C-BE32-E72D297353CC}">
                    <c16:uniqueId val="{00000010-AFB9-444E-BD28-CB711A38AB36}"/>
                  </c:ext>
                </c:extLst>
              </c15:ser>
            </c15:filteredBarSeries>
          </c:ext>
        </c:extLst>
      </c:barChart>
      <c:catAx>
        <c:axId val="31706817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317069616"/>
        <c:crosses val="autoZero"/>
        <c:auto val="1"/>
        <c:lblAlgn val="ctr"/>
        <c:lblOffset val="100"/>
        <c:noMultiLvlLbl val="0"/>
      </c:catAx>
      <c:valAx>
        <c:axId val="317069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Area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it-IT"/>
            </a:p>
          </c:txPr>
        </c:title>
        <c:numFmt formatCode="General" sourceLinked="0"/>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317068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6</Pages>
  <Words>7657</Words>
  <Characters>43651</Characters>
  <Application>Microsoft Office Word</Application>
  <DocSecurity>0</DocSecurity>
  <Lines>363</Lines>
  <Paragraphs>102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Alessandro Amadei</cp:lastModifiedBy>
  <cp:revision>15</cp:revision>
  <cp:lastPrinted>2015-05-12T18:31:00Z</cp:lastPrinted>
  <dcterms:created xsi:type="dcterms:W3CDTF">2024-02-20T10:29:00Z</dcterms:created>
  <dcterms:modified xsi:type="dcterms:W3CDTF">2025-03-11T10:06:00Z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id="1cg5KUFK"/&gt;&lt;style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