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5B534B">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B534B">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B534B">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12CFFBF2" w:rsidR="00E978D0" w:rsidRPr="00B57B36" w:rsidRDefault="005B534B" w:rsidP="00E978D0">
      <w:pPr>
        <w:pStyle w:val="CETTitle"/>
      </w:pPr>
      <w:r w:rsidRPr="005B534B">
        <w:t xml:space="preserve">Hydrothermal Carbonization of Brewer’s Spent Grains: </w:t>
      </w:r>
      <w:proofErr w:type="gramStart"/>
      <w:r w:rsidRPr="005B534B">
        <w:t>a</w:t>
      </w:r>
      <w:proofErr w:type="gramEnd"/>
      <w:r w:rsidRPr="005B534B">
        <w:t xml:space="preserve"> Pathway for Brewery Waste Valorisation</w:t>
      </w:r>
    </w:p>
    <w:p w14:paraId="0488FED2" w14:textId="5D6F901D" w:rsidR="00B57E6F" w:rsidRPr="005B534B" w:rsidRDefault="005B534B" w:rsidP="00B57E6F">
      <w:pPr>
        <w:pStyle w:val="CETAuthors"/>
        <w:rPr>
          <w:lang w:val="it-IT"/>
        </w:rPr>
      </w:pPr>
      <w:r w:rsidRPr="005B534B">
        <w:rPr>
          <w:lang w:val="it-IT"/>
        </w:rPr>
        <w:t>Federica Barontini</w:t>
      </w:r>
      <w:r w:rsidRPr="005B534B">
        <w:rPr>
          <w:vertAlign w:val="superscript"/>
          <w:lang w:val="it-IT"/>
        </w:rPr>
        <w:t>a</w:t>
      </w:r>
      <w:r w:rsidR="00B57E6F" w:rsidRPr="005B534B">
        <w:rPr>
          <w:vertAlign w:val="superscript"/>
          <w:lang w:val="it-IT"/>
        </w:rPr>
        <w:t>,</w:t>
      </w:r>
      <w:r w:rsidR="00B57E6F" w:rsidRPr="005B534B">
        <w:rPr>
          <w:lang w:val="it-IT"/>
        </w:rPr>
        <w:t xml:space="preserve">*, </w:t>
      </w:r>
      <w:r w:rsidRPr="005B534B">
        <w:rPr>
          <w:lang w:val="it-IT"/>
        </w:rPr>
        <w:t>Marco Landi</w:t>
      </w:r>
      <w:r>
        <w:rPr>
          <w:vertAlign w:val="superscript"/>
          <w:lang w:val="it-IT"/>
        </w:rPr>
        <w:t>b</w:t>
      </w:r>
      <w:r w:rsidRPr="005B534B">
        <w:rPr>
          <w:lang w:val="it-IT"/>
        </w:rPr>
        <w:t>, Lorenzo D’Asaro</w:t>
      </w:r>
      <w:r>
        <w:rPr>
          <w:vertAlign w:val="superscript"/>
          <w:lang w:val="it-IT"/>
        </w:rPr>
        <w:t>b</w:t>
      </w:r>
      <w:r w:rsidRPr="005B534B">
        <w:rPr>
          <w:lang w:val="it-IT"/>
        </w:rPr>
        <w:t>, Eleonora Stefanelli</w:t>
      </w:r>
      <w:r w:rsidR="0032278D">
        <w:rPr>
          <w:vertAlign w:val="superscript"/>
          <w:lang w:val="it-IT"/>
        </w:rPr>
        <w:t>a</w:t>
      </w:r>
      <w:r w:rsidRPr="005B534B">
        <w:rPr>
          <w:lang w:val="it-IT"/>
        </w:rPr>
        <w:t>, Sandra Vitolo</w:t>
      </w:r>
      <w:r w:rsidR="0032278D">
        <w:rPr>
          <w:vertAlign w:val="superscript"/>
          <w:lang w:val="it-IT"/>
        </w:rPr>
        <w:t>a</w:t>
      </w:r>
      <w:r w:rsidRPr="005B534B">
        <w:rPr>
          <w:lang w:val="it-IT"/>
        </w:rPr>
        <w:t>, Monica Puccini</w:t>
      </w:r>
      <w:r w:rsidR="0032278D">
        <w:rPr>
          <w:vertAlign w:val="superscript"/>
          <w:lang w:val="it-IT"/>
        </w:rPr>
        <w:t>a</w:t>
      </w:r>
    </w:p>
    <w:p w14:paraId="065D62C8" w14:textId="210F953A" w:rsidR="00AF1CB8" w:rsidRDefault="00B57E6F" w:rsidP="00B57E6F">
      <w:pPr>
        <w:pStyle w:val="CETAddress"/>
        <w:rPr>
          <w:lang w:val="it-IT"/>
        </w:rPr>
      </w:pPr>
      <w:r w:rsidRPr="00AF1CB8">
        <w:rPr>
          <w:vertAlign w:val="superscript"/>
          <w:lang w:val="it-IT"/>
        </w:rPr>
        <w:t>a</w:t>
      </w:r>
      <w:r w:rsidR="00AF1CB8" w:rsidRPr="00AF1CB8">
        <w:rPr>
          <w:lang w:val="it-IT"/>
        </w:rPr>
        <w:t>Dipartimento di Ingegneria Civile e Industriale, Università di Pisa, Largo Lucio Lazzarino 2, 56122 Pisa, Italy.</w:t>
      </w:r>
    </w:p>
    <w:p w14:paraId="3D72B0B0" w14:textId="1736816B" w:rsidR="00B57E6F" w:rsidRPr="00AF1CB8" w:rsidRDefault="00B57E6F" w:rsidP="00B57E6F">
      <w:pPr>
        <w:pStyle w:val="CETAddress"/>
        <w:rPr>
          <w:lang w:val="it-IT"/>
        </w:rPr>
      </w:pPr>
      <w:r w:rsidRPr="00AF1CB8">
        <w:rPr>
          <w:vertAlign w:val="superscript"/>
          <w:lang w:val="it-IT"/>
        </w:rPr>
        <w:t>b</w:t>
      </w:r>
      <w:r w:rsidR="00AF1CB8">
        <w:rPr>
          <w:lang w:val="it-IT"/>
        </w:rPr>
        <w:t>D</w:t>
      </w:r>
      <w:r w:rsidR="00AF1CB8" w:rsidRPr="00AF1CB8">
        <w:rPr>
          <w:lang w:val="it-IT"/>
        </w:rPr>
        <w:t>ipartimento di Scienze Agrarie, Alimentari e Agro-ambientali, Università di Pisa, via del Borghetto 80, 56124 Pisa, Italy.</w:t>
      </w:r>
    </w:p>
    <w:p w14:paraId="73F1267A" w14:textId="17A946B7" w:rsidR="00B57E6F" w:rsidRPr="00B57B36" w:rsidRDefault="00B57E6F" w:rsidP="00B57E6F">
      <w:pPr>
        <w:pStyle w:val="CETemail"/>
      </w:pPr>
      <w:r w:rsidRPr="00AF1CB8">
        <w:rPr>
          <w:lang w:val="it-IT"/>
        </w:rPr>
        <w:t xml:space="preserve"> </w:t>
      </w:r>
      <w:r w:rsidR="0032278D">
        <w:t>federica.barontini</w:t>
      </w:r>
      <w:r w:rsidRPr="00B57B36">
        <w:t>@</w:t>
      </w:r>
      <w:r w:rsidR="0032278D">
        <w:t>unipi.it</w:t>
      </w:r>
    </w:p>
    <w:p w14:paraId="6893AF25" w14:textId="2B276650" w:rsidR="00600535" w:rsidRDefault="00A75E07" w:rsidP="00600535">
      <w:pPr>
        <w:pStyle w:val="CETBodytext"/>
        <w:rPr>
          <w:lang w:val="en-GB"/>
        </w:rPr>
      </w:pPr>
      <w:bookmarkStart w:id="1" w:name="_Hlk184900166"/>
      <w:r w:rsidRPr="00A75E07">
        <w:rPr>
          <w:lang w:val="en-GB"/>
        </w:rPr>
        <w:t xml:space="preserve">Brewer’s spent grains </w:t>
      </w:r>
      <w:bookmarkEnd w:id="1"/>
      <w:r w:rsidRPr="00A75E07">
        <w:rPr>
          <w:lang w:val="en-GB"/>
        </w:rPr>
        <w:t>(BSG), the primary byproduct of beer production, are typically used as animal feed but hold significant potential for sustainable valori</w:t>
      </w:r>
      <w:r w:rsidR="00847FEC">
        <w:rPr>
          <w:lang w:val="en-GB"/>
        </w:rPr>
        <w:t>s</w:t>
      </w:r>
      <w:r w:rsidRPr="00A75E07">
        <w:rPr>
          <w:lang w:val="en-GB"/>
        </w:rPr>
        <w:t>ation. Th</w:t>
      </w:r>
      <w:r w:rsidR="00304BEA">
        <w:rPr>
          <w:lang w:val="en-GB"/>
        </w:rPr>
        <w:t>e present</w:t>
      </w:r>
      <w:r w:rsidRPr="00A75E07">
        <w:rPr>
          <w:lang w:val="en-GB"/>
        </w:rPr>
        <w:t xml:space="preserve"> study explores the </w:t>
      </w:r>
      <w:r w:rsidR="00B8642F">
        <w:rPr>
          <w:lang w:val="en-GB"/>
        </w:rPr>
        <w:t>application</w:t>
      </w:r>
      <w:r w:rsidRPr="00A75E07">
        <w:rPr>
          <w:lang w:val="en-GB"/>
        </w:rPr>
        <w:t xml:space="preserve"> of </w:t>
      </w:r>
      <w:r w:rsidR="0049717C">
        <w:rPr>
          <w:lang w:val="en-GB"/>
        </w:rPr>
        <w:t xml:space="preserve">the </w:t>
      </w:r>
      <w:r w:rsidRPr="00A75E07">
        <w:rPr>
          <w:lang w:val="en-GB"/>
        </w:rPr>
        <w:t xml:space="preserve">hydrothermal carbonization (HTC) </w:t>
      </w:r>
      <w:r w:rsidR="0049717C">
        <w:rPr>
          <w:lang w:val="en-GB"/>
        </w:rPr>
        <w:t xml:space="preserve">process </w:t>
      </w:r>
      <w:r w:rsidRPr="00A75E07">
        <w:rPr>
          <w:lang w:val="en-GB"/>
        </w:rPr>
        <w:t xml:space="preserve">to transform high-moisture BSG into </w:t>
      </w:r>
      <w:proofErr w:type="spellStart"/>
      <w:r w:rsidRPr="00A75E07">
        <w:rPr>
          <w:lang w:val="en-GB"/>
        </w:rPr>
        <w:t>hydrochar</w:t>
      </w:r>
      <w:proofErr w:type="spellEnd"/>
      <w:r w:rsidRPr="00A75E07">
        <w:rPr>
          <w:lang w:val="en-GB"/>
        </w:rPr>
        <w:t>, a versatile carbonaceous material with applications in energy, agriculture, and environmental sectors. Using a Design of Experiments</w:t>
      </w:r>
      <w:r w:rsidR="00415627">
        <w:rPr>
          <w:lang w:val="en-GB"/>
        </w:rPr>
        <w:t xml:space="preserve"> – </w:t>
      </w:r>
      <w:r w:rsidRPr="00A75E07">
        <w:rPr>
          <w:lang w:val="en-GB"/>
        </w:rPr>
        <w:t xml:space="preserve">Response Surface Methodology (DoE-RSM), the combined effects of </w:t>
      </w:r>
      <w:r w:rsidR="007B3E74">
        <w:rPr>
          <w:lang w:val="en-GB"/>
        </w:rPr>
        <w:t>process operating conditions</w:t>
      </w:r>
      <w:r w:rsidRPr="00A75E07">
        <w:rPr>
          <w:lang w:val="en-GB"/>
        </w:rPr>
        <w:t xml:space="preserve"> on </w:t>
      </w:r>
      <w:proofErr w:type="spellStart"/>
      <w:r w:rsidRPr="00A75E07">
        <w:rPr>
          <w:lang w:val="en-GB"/>
        </w:rPr>
        <w:t>hydrochar</w:t>
      </w:r>
      <w:proofErr w:type="spellEnd"/>
      <w:r w:rsidRPr="00A75E07">
        <w:rPr>
          <w:lang w:val="en-GB"/>
        </w:rPr>
        <w:t xml:space="preserve"> yields and properties were </w:t>
      </w:r>
      <w:proofErr w:type="spellStart"/>
      <w:r w:rsidRPr="00A75E07">
        <w:rPr>
          <w:lang w:val="en-GB"/>
        </w:rPr>
        <w:t>analyzed</w:t>
      </w:r>
      <w:proofErr w:type="spellEnd"/>
      <w:r w:rsidRPr="00A75E07">
        <w:rPr>
          <w:lang w:val="en-GB"/>
        </w:rPr>
        <w:t xml:space="preserve">. HTC </w:t>
      </w:r>
      <w:r w:rsidR="00415627">
        <w:rPr>
          <w:lang w:val="en-GB"/>
        </w:rPr>
        <w:t>experiments</w:t>
      </w:r>
      <w:r w:rsidRPr="00A75E07">
        <w:rPr>
          <w:lang w:val="en-GB"/>
        </w:rPr>
        <w:t xml:space="preserve"> were </w:t>
      </w:r>
      <w:r w:rsidR="000114D6">
        <w:rPr>
          <w:lang w:val="en-GB"/>
        </w:rPr>
        <w:t>conducted</w:t>
      </w:r>
      <w:r w:rsidRPr="00A75E07">
        <w:rPr>
          <w:lang w:val="en-GB"/>
        </w:rPr>
        <w:t xml:space="preserve"> at </w:t>
      </w:r>
      <w:r w:rsidR="0049717C">
        <w:rPr>
          <w:lang w:val="en-GB"/>
        </w:rPr>
        <w:t>various</w:t>
      </w:r>
      <w:r w:rsidRPr="00A75E07">
        <w:rPr>
          <w:lang w:val="en-GB"/>
        </w:rPr>
        <w:t xml:space="preserve"> temperatures (200–260 °C), times (30–210 min), and solid content</w:t>
      </w:r>
      <w:r w:rsidR="000114D6">
        <w:rPr>
          <w:lang w:val="en-GB"/>
        </w:rPr>
        <w:t>s</w:t>
      </w:r>
      <w:r w:rsidRPr="00A75E07">
        <w:rPr>
          <w:lang w:val="en-GB"/>
        </w:rPr>
        <w:t xml:space="preserve"> (5–25 </w:t>
      </w:r>
      <w:proofErr w:type="spellStart"/>
      <w:r w:rsidRPr="00A75E07">
        <w:rPr>
          <w:lang w:val="en-GB"/>
        </w:rPr>
        <w:t>wt</w:t>
      </w:r>
      <w:proofErr w:type="spellEnd"/>
      <w:r w:rsidRPr="00A75E07">
        <w:rPr>
          <w:lang w:val="en-GB"/>
        </w:rPr>
        <w:t xml:space="preserve"> %). Results showed that </w:t>
      </w:r>
      <w:r w:rsidR="00DF0981">
        <w:rPr>
          <w:lang w:val="en-GB"/>
        </w:rPr>
        <w:t>rising</w:t>
      </w:r>
      <w:r w:rsidRPr="00A75E07">
        <w:rPr>
          <w:lang w:val="en-GB"/>
        </w:rPr>
        <w:t xml:space="preserve"> temperature and </w:t>
      </w:r>
      <w:r w:rsidR="004C663D">
        <w:rPr>
          <w:lang w:val="en-GB"/>
        </w:rPr>
        <w:t>extended</w:t>
      </w:r>
      <w:r w:rsidR="00DF0981">
        <w:rPr>
          <w:lang w:val="en-GB"/>
        </w:rPr>
        <w:t xml:space="preserve"> </w:t>
      </w:r>
      <w:r w:rsidRPr="00A75E07">
        <w:rPr>
          <w:lang w:val="en-GB"/>
        </w:rPr>
        <w:t xml:space="preserve">reaction time enhanced carbonization, reducing </w:t>
      </w:r>
      <w:r w:rsidR="00415627">
        <w:rPr>
          <w:lang w:val="en-GB"/>
        </w:rPr>
        <w:t xml:space="preserve">the </w:t>
      </w:r>
      <w:r w:rsidRPr="00A75E07">
        <w:rPr>
          <w:lang w:val="en-GB"/>
        </w:rPr>
        <w:t xml:space="preserve">H/C and O/C ratios, while enriching the energy content. </w:t>
      </w:r>
      <w:proofErr w:type="spellStart"/>
      <w:r w:rsidRPr="00A75E07">
        <w:rPr>
          <w:lang w:val="en-GB"/>
        </w:rPr>
        <w:t>Hydrochars</w:t>
      </w:r>
      <w:proofErr w:type="spellEnd"/>
      <w:r w:rsidRPr="00A75E07">
        <w:rPr>
          <w:lang w:val="en-GB"/>
        </w:rPr>
        <w:t xml:space="preserve"> with carbon contents up to 72 </w:t>
      </w:r>
      <w:proofErr w:type="spellStart"/>
      <w:r w:rsidRPr="00A75E07">
        <w:rPr>
          <w:lang w:val="en-GB"/>
        </w:rPr>
        <w:t>wt</w:t>
      </w:r>
      <w:proofErr w:type="spellEnd"/>
      <w:r w:rsidRPr="00A75E07">
        <w:rPr>
          <w:lang w:val="en-GB"/>
        </w:rPr>
        <w:t xml:space="preserve"> % and higher heating values up to 3</w:t>
      </w:r>
      <w:r w:rsidR="0049717C">
        <w:rPr>
          <w:lang w:val="en-GB"/>
        </w:rPr>
        <w:t>0.8</w:t>
      </w:r>
      <w:r w:rsidRPr="00A75E07">
        <w:rPr>
          <w:lang w:val="en-GB"/>
        </w:rPr>
        <w:t xml:space="preserve"> MJ/kg, were obtained. Optimization studies identified specific HTC conditions to maximize selected properties and process yields. </w:t>
      </w:r>
      <w:r w:rsidR="000114D6">
        <w:rPr>
          <w:lang w:val="en-GB"/>
        </w:rPr>
        <w:t>P</w:t>
      </w:r>
      <w:r w:rsidRPr="00A75E07">
        <w:rPr>
          <w:lang w:val="en-GB"/>
        </w:rPr>
        <w:t xml:space="preserve">rocessing at 215°C with 23.5 </w:t>
      </w:r>
      <w:proofErr w:type="spellStart"/>
      <w:r w:rsidRPr="00A75E07">
        <w:rPr>
          <w:lang w:val="en-GB"/>
        </w:rPr>
        <w:t>wt</w:t>
      </w:r>
      <w:proofErr w:type="spellEnd"/>
      <w:r w:rsidRPr="00A75E07">
        <w:rPr>
          <w:lang w:val="en-GB"/>
        </w:rPr>
        <w:t xml:space="preserve"> % solids for 30 minutes ensured maximum carbon yield, leading to a </w:t>
      </w:r>
      <w:proofErr w:type="spellStart"/>
      <w:r w:rsidRPr="00A75E07">
        <w:rPr>
          <w:lang w:val="en-GB"/>
        </w:rPr>
        <w:t>hydrochar</w:t>
      </w:r>
      <w:proofErr w:type="spellEnd"/>
      <w:r w:rsidRPr="00A75E07">
        <w:rPr>
          <w:lang w:val="en-GB"/>
        </w:rPr>
        <w:t xml:space="preserve"> with properties comparable to lignite. </w:t>
      </w:r>
      <w:r w:rsidR="00DF0981">
        <w:rPr>
          <w:lang w:val="en-GB"/>
        </w:rPr>
        <w:t>B</w:t>
      </w:r>
      <w:r w:rsidRPr="00A75E07">
        <w:rPr>
          <w:lang w:val="en-GB"/>
        </w:rPr>
        <w:t xml:space="preserve">ioassay tests </w:t>
      </w:r>
      <w:r w:rsidR="00DF0981">
        <w:rPr>
          <w:lang w:val="en-GB"/>
        </w:rPr>
        <w:t>confirmed</w:t>
      </w:r>
      <w:r w:rsidR="0049717C">
        <w:rPr>
          <w:lang w:val="en-GB"/>
        </w:rPr>
        <w:t xml:space="preserve"> the</w:t>
      </w:r>
      <w:r w:rsidRPr="00A75E07">
        <w:rPr>
          <w:lang w:val="en-GB"/>
        </w:rPr>
        <w:t xml:space="preserve"> potential agricultural utility</w:t>
      </w:r>
      <w:r w:rsidR="00415627">
        <w:rPr>
          <w:lang w:val="en-GB"/>
        </w:rPr>
        <w:t xml:space="preserve"> of </w:t>
      </w:r>
      <w:r w:rsidR="00415627" w:rsidRPr="00A75E07">
        <w:rPr>
          <w:lang w:val="en-GB"/>
        </w:rPr>
        <w:t xml:space="preserve">BSG-derived </w:t>
      </w:r>
      <w:proofErr w:type="spellStart"/>
      <w:r w:rsidR="00415627" w:rsidRPr="00A75E07">
        <w:rPr>
          <w:lang w:val="en-GB"/>
        </w:rPr>
        <w:t>hydrochar</w:t>
      </w:r>
      <w:proofErr w:type="spellEnd"/>
      <w:r w:rsidR="0049717C">
        <w:rPr>
          <w:lang w:val="en-GB"/>
        </w:rPr>
        <w:t xml:space="preserve"> as soil amendment</w:t>
      </w:r>
      <w:r w:rsidRPr="00A75E07">
        <w:rPr>
          <w:lang w:val="en-GB"/>
        </w:rPr>
        <w:t xml:space="preserve">. </w:t>
      </w:r>
      <w:r w:rsidR="000114D6" w:rsidRPr="000114D6">
        <w:rPr>
          <w:lang w:val="en-GB"/>
        </w:rPr>
        <w:t xml:space="preserve">HTC can therefore </w:t>
      </w:r>
      <w:r w:rsidR="00BF2AFE">
        <w:rPr>
          <w:lang w:val="en-GB"/>
        </w:rPr>
        <w:t>assume</w:t>
      </w:r>
      <w:r w:rsidR="000114D6" w:rsidRPr="000114D6">
        <w:rPr>
          <w:lang w:val="en-GB"/>
        </w:rPr>
        <w:t xml:space="preserve"> a</w:t>
      </w:r>
      <w:r w:rsidR="00BF2AFE">
        <w:rPr>
          <w:lang w:val="en-GB"/>
        </w:rPr>
        <w:t xml:space="preserve">n important </w:t>
      </w:r>
      <w:r w:rsidR="000114D6" w:rsidRPr="000114D6">
        <w:rPr>
          <w:lang w:val="en-GB"/>
        </w:rPr>
        <w:t xml:space="preserve">role </w:t>
      </w:r>
      <w:r w:rsidRPr="00A75E07">
        <w:rPr>
          <w:lang w:val="en-GB"/>
        </w:rPr>
        <w:t>in the valorisation of BSG, aiding in waste reduction and contributing to circular economy models by transforming brewery byproducts into a valuable resource for agriculture, energy, and environmental applications.</w:t>
      </w:r>
    </w:p>
    <w:p w14:paraId="476B2F2E" w14:textId="52B36035" w:rsidR="00600535" w:rsidRPr="00B57B36" w:rsidRDefault="00600535" w:rsidP="00600535">
      <w:pPr>
        <w:pStyle w:val="CETHeading1"/>
        <w:rPr>
          <w:lang w:val="en-GB"/>
        </w:rPr>
      </w:pPr>
      <w:r w:rsidRPr="00B57B36">
        <w:rPr>
          <w:lang w:val="en-GB"/>
        </w:rPr>
        <w:t>Introduction</w:t>
      </w:r>
    </w:p>
    <w:p w14:paraId="4F8F2924" w14:textId="39459ABA" w:rsidR="00C06842" w:rsidRPr="005D2A47" w:rsidRDefault="00C06842" w:rsidP="00C06842">
      <w:pPr>
        <w:pStyle w:val="CETBodytext"/>
        <w:rPr>
          <w:lang w:val="en-GB"/>
        </w:rPr>
      </w:pPr>
      <w:r w:rsidRPr="00C06842">
        <w:rPr>
          <w:lang w:val="en-GB"/>
        </w:rPr>
        <w:t>Brewer’s spent grains (BSG) are the main byproduct of beer brewing, consisting mostly of barley husks. BSG is traditionally used as animal feed, but its potential for more sustainable applications has gathered interest</w:t>
      </w:r>
      <w:r w:rsidR="00C628AA">
        <w:rPr>
          <w:lang w:val="en-GB"/>
        </w:rPr>
        <w:t xml:space="preserve"> </w:t>
      </w:r>
      <w:r w:rsidR="00C628AA" w:rsidRPr="005D2A47">
        <w:rPr>
          <w:lang w:val="en-GB"/>
        </w:rPr>
        <w:t>(</w:t>
      </w:r>
      <w:proofErr w:type="spellStart"/>
      <w:r w:rsidR="00C628AA" w:rsidRPr="005D2A47">
        <w:rPr>
          <w:lang w:val="en-GB"/>
        </w:rPr>
        <w:t>Mainardis</w:t>
      </w:r>
      <w:proofErr w:type="spellEnd"/>
      <w:r w:rsidR="00C628AA" w:rsidRPr="005D2A47">
        <w:rPr>
          <w:lang w:val="en-GB"/>
        </w:rPr>
        <w:t xml:space="preserve"> et al., 2024)</w:t>
      </w:r>
      <w:r w:rsidRPr="005D2A47">
        <w:rPr>
          <w:lang w:val="en-GB"/>
        </w:rPr>
        <w:t xml:space="preserve">, particularly due to the significant quantities produced globally (around 30 million tons annually). This significant volume of BSG presents both challenges and opportunities for waste management and resource utilization. </w:t>
      </w:r>
      <w:r w:rsidR="00F4131B" w:rsidRPr="005D2A47">
        <w:rPr>
          <w:lang w:val="en-GB"/>
        </w:rPr>
        <w:t xml:space="preserve">The greatest challenge in implementing any valorisation pathway lies in the material's high moisture content </w:t>
      </w:r>
      <w:r w:rsidRPr="005D2A47">
        <w:rPr>
          <w:lang w:val="en-GB"/>
        </w:rPr>
        <w:t>(typically 70–80%).</w:t>
      </w:r>
    </w:p>
    <w:p w14:paraId="422A1A7A" w14:textId="796081BC" w:rsidR="00C06842" w:rsidRPr="00C06842" w:rsidRDefault="00C06842" w:rsidP="00C06842">
      <w:pPr>
        <w:pStyle w:val="CETBodytext"/>
        <w:rPr>
          <w:lang w:val="en-GB"/>
        </w:rPr>
      </w:pPr>
      <w:r w:rsidRPr="005D2A47">
        <w:rPr>
          <w:lang w:val="en-GB"/>
        </w:rPr>
        <w:t xml:space="preserve">Hydrothermal carbonization (HTC) </w:t>
      </w:r>
      <w:r w:rsidR="00847F40" w:rsidRPr="005D2A47">
        <w:rPr>
          <w:lang w:val="en-GB"/>
        </w:rPr>
        <w:t>has proven to be a sustainable thermochemical technology</w:t>
      </w:r>
      <w:r w:rsidRPr="005D2A47">
        <w:rPr>
          <w:lang w:val="en-GB"/>
        </w:rPr>
        <w:t xml:space="preserve"> </w:t>
      </w:r>
      <w:r w:rsidR="00E7063F" w:rsidRPr="005D2A47">
        <w:rPr>
          <w:lang w:val="en-GB"/>
        </w:rPr>
        <w:t>to harness</w:t>
      </w:r>
      <w:r w:rsidRPr="005D2A47">
        <w:rPr>
          <w:lang w:val="en-GB"/>
        </w:rPr>
        <w:t xml:space="preserve"> waste biomass</w:t>
      </w:r>
      <w:r w:rsidR="00ED4429" w:rsidRPr="005D2A47">
        <w:rPr>
          <w:lang w:val="en-GB"/>
        </w:rPr>
        <w:t>es</w:t>
      </w:r>
      <w:r w:rsidRPr="005D2A47">
        <w:rPr>
          <w:lang w:val="en-GB"/>
        </w:rPr>
        <w:t xml:space="preserve"> with </w:t>
      </w:r>
      <w:r w:rsidR="00CC6802" w:rsidRPr="005D2A47">
        <w:rPr>
          <w:lang w:val="en-GB"/>
        </w:rPr>
        <w:t xml:space="preserve">elevated </w:t>
      </w:r>
      <w:r w:rsidR="001B3B8E" w:rsidRPr="005D2A47">
        <w:rPr>
          <w:lang w:val="en-GB"/>
        </w:rPr>
        <w:t>humidity</w:t>
      </w:r>
      <w:r w:rsidR="00CC6802" w:rsidRPr="005D2A47">
        <w:rPr>
          <w:lang w:val="en-GB"/>
        </w:rPr>
        <w:t xml:space="preserve"> level </w:t>
      </w:r>
      <w:r w:rsidR="00E01ECD" w:rsidRPr="005D2A47">
        <w:rPr>
          <w:lang w:val="en-GB"/>
        </w:rPr>
        <w:t>(Wang et al., 2018)</w:t>
      </w:r>
      <w:r w:rsidRPr="005D2A47">
        <w:rPr>
          <w:lang w:val="en-GB"/>
        </w:rPr>
        <w:t xml:space="preserve">. </w:t>
      </w:r>
      <w:r w:rsidR="001F7D6A" w:rsidRPr="005D2A47">
        <w:rPr>
          <w:lang w:val="en-GB"/>
        </w:rPr>
        <w:t xml:space="preserve">Conducted in aqueous environment at </w:t>
      </w:r>
      <w:r w:rsidR="00F9536C" w:rsidRPr="005D2A47">
        <w:rPr>
          <w:lang w:val="en-GB"/>
        </w:rPr>
        <w:t>mild</w:t>
      </w:r>
      <w:r w:rsidR="001F7D6A" w:rsidRPr="005D2A47">
        <w:rPr>
          <w:lang w:val="en-GB"/>
        </w:rPr>
        <w:t xml:space="preserve"> temperatures under self-generated pressure</w:t>
      </w:r>
      <w:r w:rsidRPr="005D2A47">
        <w:rPr>
          <w:lang w:val="en-GB"/>
        </w:rPr>
        <w:t>,</w:t>
      </w:r>
      <w:r w:rsidR="00F9536C" w:rsidRPr="005D2A47">
        <w:rPr>
          <w:lang w:val="en-GB"/>
        </w:rPr>
        <w:t xml:space="preserve"> it</w:t>
      </w:r>
      <w:r w:rsidRPr="005D2A47">
        <w:rPr>
          <w:lang w:val="en-GB"/>
        </w:rPr>
        <w:t xml:space="preserve"> </w:t>
      </w:r>
      <w:r w:rsidR="00A9376D" w:rsidRPr="005D2A47">
        <w:rPr>
          <w:lang w:val="en-GB"/>
        </w:rPr>
        <w:t>convert</w:t>
      </w:r>
      <w:r w:rsidRPr="005D2A47">
        <w:rPr>
          <w:lang w:val="en-GB"/>
        </w:rPr>
        <w:t xml:space="preserve">s biomass into a carbonaceous solid </w:t>
      </w:r>
      <w:r w:rsidR="00FB5B62" w:rsidRPr="005D2A47">
        <w:rPr>
          <w:lang w:val="en-GB"/>
        </w:rPr>
        <w:t>called</w:t>
      </w:r>
      <w:r w:rsidRPr="005D2A47">
        <w:rPr>
          <w:lang w:val="en-GB"/>
        </w:rPr>
        <w:t xml:space="preserve"> </w:t>
      </w:r>
      <w:proofErr w:type="spellStart"/>
      <w:r w:rsidRPr="005D2A47">
        <w:rPr>
          <w:lang w:val="en-GB"/>
        </w:rPr>
        <w:t>hydrochar</w:t>
      </w:r>
      <w:proofErr w:type="spellEnd"/>
      <w:r w:rsidRPr="005D2A47">
        <w:rPr>
          <w:lang w:val="en-GB"/>
        </w:rPr>
        <w:t xml:space="preserve">. The versatility of </w:t>
      </w:r>
      <w:proofErr w:type="spellStart"/>
      <w:r w:rsidRPr="005D2A47">
        <w:rPr>
          <w:lang w:val="en-GB"/>
        </w:rPr>
        <w:t>hydrochar</w:t>
      </w:r>
      <w:proofErr w:type="spellEnd"/>
      <w:r w:rsidRPr="005D2A47">
        <w:rPr>
          <w:lang w:val="en-GB"/>
        </w:rPr>
        <w:t xml:space="preserve"> has led to </w:t>
      </w:r>
      <w:r w:rsidR="00DF5BB3" w:rsidRPr="005D2A47">
        <w:rPr>
          <w:lang w:val="en-GB"/>
        </w:rPr>
        <w:t>a wide range of</w:t>
      </w:r>
      <w:r w:rsidRPr="005D2A47">
        <w:rPr>
          <w:lang w:val="en-GB"/>
        </w:rPr>
        <w:t xml:space="preserve"> applications, </w:t>
      </w:r>
      <w:r w:rsidR="00875D59" w:rsidRPr="005D2A47">
        <w:rPr>
          <w:lang w:val="en-GB"/>
        </w:rPr>
        <w:t>i.e.,</w:t>
      </w:r>
      <w:r w:rsidRPr="005D2A47">
        <w:rPr>
          <w:lang w:val="en-GB"/>
        </w:rPr>
        <w:t xml:space="preserve"> solid biofuel</w:t>
      </w:r>
      <w:r w:rsidR="00EC694B" w:rsidRPr="005D2A47">
        <w:rPr>
          <w:lang w:val="en-GB"/>
        </w:rPr>
        <w:t xml:space="preserve"> (Basso et al., 2016)</w:t>
      </w:r>
      <w:r w:rsidRPr="005D2A47">
        <w:rPr>
          <w:lang w:val="en-GB"/>
        </w:rPr>
        <w:t>, electrode material in energy storage devices</w:t>
      </w:r>
      <w:r w:rsidR="00FB393D" w:rsidRPr="005D2A47">
        <w:rPr>
          <w:lang w:val="en-GB"/>
        </w:rPr>
        <w:t xml:space="preserve"> (Nicolae et al., 2020)</w:t>
      </w:r>
      <w:r w:rsidRPr="005D2A47">
        <w:rPr>
          <w:lang w:val="en-GB"/>
        </w:rPr>
        <w:t>, adsorbent for wastewater treatment</w:t>
      </w:r>
      <w:r w:rsidR="00FB393D" w:rsidRPr="005D2A47">
        <w:rPr>
          <w:lang w:val="en-GB"/>
        </w:rPr>
        <w:t xml:space="preserve"> (Mahmood Al-</w:t>
      </w:r>
      <w:proofErr w:type="spellStart"/>
      <w:r w:rsidR="00FB393D" w:rsidRPr="005D2A47">
        <w:rPr>
          <w:lang w:val="en-GB"/>
        </w:rPr>
        <w:t>Nuaimy</w:t>
      </w:r>
      <w:proofErr w:type="spellEnd"/>
      <w:r w:rsidR="00FB393D" w:rsidRPr="005D2A47">
        <w:rPr>
          <w:lang w:val="en-GB"/>
        </w:rPr>
        <w:t xml:space="preserve"> et al., 2024)</w:t>
      </w:r>
      <w:r w:rsidRPr="005D2A47">
        <w:rPr>
          <w:lang w:val="en-GB"/>
        </w:rPr>
        <w:t>, and soil amendment</w:t>
      </w:r>
      <w:r w:rsidR="00DF661F" w:rsidRPr="005D2A47">
        <w:rPr>
          <w:lang w:val="en-GB"/>
        </w:rPr>
        <w:t xml:space="preserve"> (</w:t>
      </w:r>
      <w:r w:rsidR="00113B35" w:rsidRPr="005D2A47">
        <w:rPr>
          <w:lang w:val="en-GB"/>
        </w:rPr>
        <w:t>Khosravi</w:t>
      </w:r>
      <w:r w:rsidR="00DF661F" w:rsidRPr="005D2A47">
        <w:rPr>
          <w:lang w:val="en-GB"/>
        </w:rPr>
        <w:t xml:space="preserve"> et al., 202</w:t>
      </w:r>
      <w:r w:rsidR="00113B35" w:rsidRPr="005D2A47">
        <w:rPr>
          <w:lang w:val="en-GB"/>
        </w:rPr>
        <w:t>2</w:t>
      </w:r>
      <w:r w:rsidR="00DF661F" w:rsidRPr="005D2A47">
        <w:rPr>
          <w:lang w:val="en-GB"/>
        </w:rPr>
        <w:t>)</w:t>
      </w:r>
      <w:r w:rsidRPr="005D2A47">
        <w:rPr>
          <w:lang w:val="en-GB"/>
        </w:rPr>
        <w:t>. Unlike other thermochemical</w:t>
      </w:r>
      <w:r w:rsidRPr="00C06842">
        <w:rPr>
          <w:lang w:val="en-GB"/>
        </w:rPr>
        <w:t xml:space="preserve"> processes, HTC </w:t>
      </w:r>
      <w:r w:rsidR="005A63D9" w:rsidRPr="005A63D9">
        <w:rPr>
          <w:lang w:val="en-GB"/>
        </w:rPr>
        <w:t>bypasses</w:t>
      </w:r>
      <w:r w:rsidRPr="00C06842">
        <w:rPr>
          <w:lang w:val="en-GB"/>
        </w:rPr>
        <w:t xml:space="preserve"> the need for energy-intensive </w:t>
      </w:r>
      <w:r w:rsidR="005A63D9" w:rsidRPr="00C06842">
        <w:rPr>
          <w:lang w:val="en-GB"/>
        </w:rPr>
        <w:t xml:space="preserve">feedstock </w:t>
      </w:r>
      <w:r w:rsidRPr="00C06842">
        <w:rPr>
          <w:lang w:val="en-GB"/>
        </w:rPr>
        <w:t xml:space="preserve">pre-drying, </w:t>
      </w:r>
      <w:r w:rsidR="00E563F7" w:rsidRPr="00E563F7">
        <w:rPr>
          <w:lang w:val="en-GB"/>
        </w:rPr>
        <w:t>enabling its application</w:t>
      </w:r>
      <w:r w:rsidRPr="00C06842">
        <w:rPr>
          <w:lang w:val="en-GB"/>
        </w:rPr>
        <w:t xml:space="preserve"> to </w:t>
      </w:r>
      <w:r w:rsidR="00CD105B">
        <w:rPr>
          <w:lang w:val="en-GB"/>
        </w:rPr>
        <w:t>various</w:t>
      </w:r>
      <w:r w:rsidRPr="00C06842">
        <w:rPr>
          <w:lang w:val="en-GB"/>
        </w:rPr>
        <w:t xml:space="preserve"> high-moisture </w:t>
      </w:r>
      <w:r w:rsidR="00CD105B">
        <w:rPr>
          <w:lang w:val="en-GB"/>
        </w:rPr>
        <w:t xml:space="preserve">waste </w:t>
      </w:r>
      <w:r w:rsidRPr="00C06842">
        <w:rPr>
          <w:lang w:val="en-GB"/>
        </w:rPr>
        <w:t>biomasses.</w:t>
      </w:r>
    </w:p>
    <w:p w14:paraId="64469056" w14:textId="6DE4630B" w:rsidR="00C06842" w:rsidRPr="00C06842" w:rsidRDefault="00C06842" w:rsidP="00C06842">
      <w:pPr>
        <w:pStyle w:val="CETBodytext"/>
        <w:rPr>
          <w:lang w:val="en-GB"/>
        </w:rPr>
      </w:pPr>
      <w:r w:rsidRPr="00C06842">
        <w:rPr>
          <w:lang w:val="en-GB"/>
        </w:rPr>
        <w:t xml:space="preserve">The present study </w:t>
      </w:r>
      <w:r w:rsidR="00A9376D">
        <w:rPr>
          <w:lang w:val="en-GB"/>
        </w:rPr>
        <w:t>examined</w:t>
      </w:r>
      <w:r w:rsidRPr="00C06842">
        <w:rPr>
          <w:lang w:val="en-GB"/>
        </w:rPr>
        <w:t xml:space="preserve"> the effect of </w:t>
      </w:r>
      <w:r w:rsidR="00653AF8">
        <w:rPr>
          <w:lang w:val="en-GB"/>
        </w:rPr>
        <w:t>operative</w:t>
      </w:r>
      <w:r w:rsidRPr="00C06842">
        <w:rPr>
          <w:lang w:val="en-GB"/>
        </w:rPr>
        <w:t xml:space="preserve"> parameters on the yields and </w:t>
      </w:r>
      <w:r w:rsidR="0002550F">
        <w:rPr>
          <w:lang w:val="en-GB"/>
        </w:rPr>
        <w:t>characteristics</w:t>
      </w:r>
      <w:r w:rsidRPr="00C06842">
        <w:rPr>
          <w:lang w:val="en-GB"/>
        </w:rPr>
        <w:t xml:space="preserve"> of the </w:t>
      </w:r>
      <w:proofErr w:type="spellStart"/>
      <w:r w:rsidRPr="00C06842">
        <w:rPr>
          <w:lang w:val="en-GB"/>
        </w:rPr>
        <w:t>hydrochar</w:t>
      </w:r>
      <w:proofErr w:type="spellEnd"/>
      <w:r w:rsidRPr="00C06842">
        <w:rPr>
          <w:lang w:val="en-GB"/>
        </w:rPr>
        <w:t xml:space="preserve"> obtained from BSG. The </w:t>
      </w:r>
      <w:r w:rsidR="002A7B85">
        <w:rPr>
          <w:lang w:val="en-GB"/>
        </w:rPr>
        <w:t>influence</w:t>
      </w:r>
      <w:r w:rsidRPr="00C06842">
        <w:rPr>
          <w:lang w:val="en-GB"/>
        </w:rPr>
        <w:t xml:space="preserve"> of process </w:t>
      </w:r>
      <w:r w:rsidR="002A7B85">
        <w:rPr>
          <w:lang w:val="en-GB"/>
        </w:rPr>
        <w:t>variables</w:t>
      </w:r>
      <w:r w:rsidRPr="00C06842">
        <w:rPr>
          <w:lang w:val="en-GB"/>
        </w:rPr>
        <w:t xml:space="preserve"> was investigated through the Design of Experiments – Response Surface Methodology (DoE-RSM), a </w:t>
      </w:r>
      <w:r w:rsidR="00653AF8">
        <w:rPr>
          <w:lang w:val="en-GB"/>
        </w:rPr>
        <w:t>useful</w:t>
      </w:r>
      <w:r w:rsidRPr="00C06842">
        <w:rPr>
          <w:lang w:val="en-GB"/>
        </w:rPr>
        <w:t xml:space="preserve"> approach for process analysis, prediction, and optimization.</w:t>
      </w:r>
      <w:r w:rsidR="007470D0">
        <w:rPr>
          <w:lang w:val="en-GB"/>
        </w:rPr>
        <w:t xml:space="preserve"> </w:t>
      </w:r>
      <w:r w:rsidR="007470D0" w:rsidRPr="007470D0">
        <w:rPr>
          <w:lang w:val="en-GB"/>
        </w:rPr>
        <w:t>The optimal HTC process variables capable to ensure set goals were assessed.</w:t>
      </w:r>
    </w:p>
    <w:p w14:paraId="555A4FA5" w14:textId="5121BA78" w:rsidR="00C06842" w:rsidRDefault="00825A91" w:rsidP="00C06842">
      <w:pPr>
        <w:pStyle w:val="CETBodytext"/>
        <w:rPr>
          <w:lang w:val="en-GB"/>
        </w:rPr>
      </w:pPr>
      <w:r w:rsidRPr="00825A91">
        <w:rPr>
          <w:lang w:val="en-GB"/>
        </w:rPr>
        <w:lastRenderedPageBreak/>
        <w:t xml:space="preserve">Among the </w:t>
      </w:r>
      <w:r w:rsidR="00812276">
        <w:rPr>
          <w:lang w:val="en-GB"/>
        </w:rPr>
        <w:t xml:space="preserve">various </w:t>
      </w:r>
      <w:r w:rsidRPr="00825A91">
        <w:rPr>
          <w:lang w:val="en-GB"/>
        </w:rPr>
        <w:t xml:space="preserve">potential </w:t>
      </w:r>
      <w:r w:rsidR="00812276">
        <w:rPr>
          <w:lang w:val="en-GB"/>
        </w:rPr>
        <w:t>uses</w:t>
      </w:r>
      <w:r w:rsidRPr="00825A91">
        <w:rPr>
          <w:lang w:val="en-GB"/>
        </w:rPr>
        <w:t xml:space="preserve"> of </w:t>
      </w:r>
      <w:proofErr w:type="spellStart"/>
      <w:r w:rsidRPr="00825A91">
        <w:rPr>
          <w:lang w:val="en-GB"/>
        </w:rPr>
        <w:t>hydrochar</w:t>
      </w:r>
      <w:proofErr w:type="spellEnd"/>
      <w:r w:rsidRPr="00825A91">
        <w:rPr>
          <w:lang w:val="en-GB"/>
        </w:rPr>
        <w:t xml:space="preserve">, there is increasing interest in its use as an organic growing medium in </w:t>
      </w:r>
      <w:r w:rsidR="00BC0E8A" w:rsidRPr="00825A91">
        <w:rPr>
          <w:lang w:val="en-GB"/>
        </w:rPr>
        <w:t xml:space="preserve">gardening </w:t>
      </w:r>
      <w:r w:rsidR="00BC0E8A">
        <w:rPr>
          <w:lang w:val="en-GB"/>
        </w:rPr>
        <w:t xml:space="preserve">and </w:t>
      </w:r>
      <w:r w:rsidRPr="00825A91">
        <w:rPr>
          <w:lang w:val="en-GB"/>
        </w:rPr>
        <w:t>horticulture (as a peat substitute in potting mixes) or as a soil amendment in open-</w:t>
      </w:r>
      <w:r w:rsidRPr="005D2A47">
        <w:rPr>
          <w:lang w:val="en-GB"/>
        </w:rPr>
        <w:t>field agriculture</w:t>
      </w:r>
      <w:r w:rsidR="004A57EC" w:rsidRPr="005D2A47">
        <w:rPr>
          <w:lang w:val="en-GB"/>
        </w:rPr>
        <w:t xml:space="preserve"> (Islam et al., 2021)</w:t>
      </w:r>
      <w:r w:rsidR="00C06842" w:rsidRPr="005D2A47">
        <w:rPr>
          <w:lang w:val="en-GB"/>
        </w:rPr>
        <w:t xml:space="preserve">. In the present study the suitability of the </w:t>
      </w:r>
      <w:proofErr w:type="spellStart"/>
      <w:r w:rsidR="00C06842" w:rsidRPr="005D2A47">
        <w:rPr>
          <w:lang w:val="en-GB"/>
        </w:rPr>
        <w:t>hydrochar</w:t>
      </w:r>
      <w:proofErr w:type="spellEnd"/>
      <w:r w:rsidR="00C06842" w:rsidRPr="005D2A47">
        <w:rPr>
          <w:lang w:val="en-GB"/>
        </w:rPr>
        <w:t xml:space="preserve"> produced from BSG for agronomic applications was investigated. The suitability of BSG </w:t>
      </w:r>
      <w:proofErr w:type="spellStart"/>
      <w:r w:rsidR="00C06842" w:rsidRPr="005D2A47">
        <w:rPr>
          <w:lang w:val="en-GB"/>
        </w:rPr>
        <w:t>hydrochar</w:t>
      </w:r>
      <w:proofErr w:type="spellEnd"/>
      <w:r w:rsidR="00C06842" w:rsidRPr="005D2A47">
        <w:rPr>
          <w:lang w:val="en-GB"/>
        </w:rPr>
        <w:t xml:space="preserve"> was </w:t>
      </w:r>
      <w:r w:rsidR="00BE33EA" w:rsidRPr="005D2A47">
        <w:rPr>
          <w:lang w:val="en-GB"/>
        </w:rPr>
        <w:t>assessed</w:t>
      </w:r>
      <w:r w:rsidR="00C06842" w:rsidRPr="005D2A47">
        <w:rPr>
          <w:lang w:val="en-GB"/>
        </w:rPr>
        <w:t xml:space="preserve"> in terms of potential phytotoxicity through </w:t>
      </w:r>
      <w:r w:rsidR="00C94DFF" w:rsidRPr="005D2A47">
        <w:rPr>
          <w:lang w:val="en-GB"/>
        </w:rPr>
        <w:t>bioassay</w:t>
      </w:r>
      <w:r w:rsidR="00C06842" w:rsidRPr="005D2A47">
        <w:rPr>
          <w:lang w:val="en-GB"/>
        </w:rPr>
        <w:t xml:space="preserve"> tests according to the Italian </w:t>
      </w:r>
      <w:r w:rsidR="00BE33EA" w:rsidRPr="005D2A47">
        <w:rPr>
          <w:lang w:val="en-GB"/>
        </w:rPr>
        <w:t>l</w:t>
      </w:r>
      <w:r w:rsidR="00EB789D" w:rsidRPr="005D2A47">
        <w:rPr>
          <w:lang w:val="en-GB"/>
        </w:rPr>
        <w:t>aw</w:t>
      </w:r>
      <w:r w:rsidR="00C06842" w:rsidRPr="005D2A47">
        <w:rPr>
          <w:lang w:val="en-GB"/>
        </w:rPr>
        <w:t xml:space="preserve"> (</w:t>
      </w:r>
      <w:proofErr w:type="spellStart"/>
      <w:r w:rsidR="00D3042B" w:rsidRPr="005D2A47">
        <w:rPr>
          <w:lang w:val="en-GB"/>
        </w:rPr>
        <w:t>Decreto</w:t>
      </w:r>
      <w:proofErr w:type="spellEnd"/>
      <w:r w:rsidR="00D3042B" w:rsidRPr="005D2A47">
        <w:rPr>
          <w:lang w:val="en-GB"/>
        </w:rPr>
        <w:t xml:space="preserve"> </w:t>
      </w:r>
      <w:proofErr w:type="spellStart"/>
      <w:r w:rsidR="00D3042B" w:rsidRPr="005D2A47">
        <w:rPr>
          <w:lang w:val="en-GB"/>
        </w:rPr>
        <w:t>Legislativo</w:t>
      </w:r>
      <w:proofErr w:type="spellEnd"/>
      <w:r w:rsidR="00D3042B" w:rsidRPr="005D2A47">
        <w:rPr>
          <w:lang w:val="en-GB"/>
        </w:rPr>
        <w:t xml:space="preserve"> 29 Aprile 2010, n. 75, 2010</w:t>
      </w:r>
      <w:r w:rsidR="00C06842" w:rsidRPr="005D2A47">
        <w:rPr>
          <w:lang w:val="en-GB"/>
        </w:rPr>
        <w:t>).</w:t>
      </w:r>
    </w:p>
    <w:p w14:paraId="5741900F" w14:textId="76F944D1" w:rsidR="00453E24" w:rsidRDefault="00B5418A" w:rsidP="00453E24">
      <w:pPr>
        <w:pStyle w:val="CETHeading1"/>
      </w:pPr>
      <w:r w:rsidRPr="00B5418A">
        <w:t>Materials and Methods</w:t>
      </w:r>
    </w:p>
    <w:p w14:paraId="0636B784" w14:textId="18F62EF4" w:rsidR="00453E24" w:rsidRDefault="00AA1A8A" w:rsidP="00453E24">
      <w:pPr>
        <w:pStyle w:val="CETheadingx"/>
      </w:pPr>
      <w:r>
        <w:t>Feedstock</w:t>
      </w:r>
    </w:p>
    <w:p w14:paraId="15A29217" w14:textId="07D815C8" w:rsidR="00B0571A" w:rsidRDefault="00882C4F" w:rsidP="009F0108">
      <w:pPr>
        <w:pStyle w:val="CETBodytext"/>
        <w:rPr>
          <w:lang w:val="en-GB"/>
        </w:rPr>
      </w:pPr>
      <w:r w:rsidRPr="00C06842">
        <w:rPr>
          <w:lang w:val="en-GB"/>
        </w:rPr>
        <w:t>Brewer’s spent grains (BSG</w:t>
      </w:r>
      <w:r>
        <w:rPr>
          <w:lang w:val="en-GB"/>
        </w:rPr>
        <w:t xml:space="preserve">) were </w:t>
      </w:r>
      <w:r w:rsidR="008B034C">
        <w:rPr>
          <w:lang w:val="en-GB"/>
        </w:rPr>
        <w:t>provided</w:t>
      </w:r>
      <w:r>
        <w:rPr>
          <w:lang w:val="en-GB"/>
        </w:rPr>
        <w:t xml:space="preserve"> by a local</w:t>
      </w:r>
      <w:r w:rsidRPr="00882C4F">
        <w:t xml:space="preserve"> </w:t>
      </w:r>
      <w:r w:rsidRPr="00882C4F">
        <w:rPr>
          <w:lang w:val="en-GB"/>
        </w:rPr>
        <w:t>craft brewery</w:t>
      </w:r>
      <w:r>
        <w:rPr>
          <w:lang w:val="en-GB"/>
        </w:rPr>
        <w:t xml:space="preserve"> (</w:t>
      </w:r>
      <w:proofErr w:type="spellStart"/>
      <w:r w:rsidRPr="00882C4F">
        <w:rPr>
          <w:lang w:val="en-GB"/>
        </w:rPr>
        <w:t>Birrificio</w:t>
      </w:r>
      <w:proofErr w:type="spellEnd"/>
      <w:r w:rsidRPr="00882C4F">
        <w:rPr>
          <w:lang w:val="en-GB"/>
        </w:rPr>
        <w:t xml:space="preserve"> </w:t>
      </w:r>
      <w:proofErr w:type="spellStart"/>
      <w:r w:rsidRPr="00882C4F">
        <w:rPr>
          <w:lang w:val="en-GB"/>
        </w:rPr>
        <w:t>Artigianale</w:t>
      </w:r>
      <w:proofErr w:type="spellEnd"/>
      <w:r w:rsidRPr="00882C4F">
        <w:rPr>
          <w:lang w:val="en-GB"/>
        </w:rPr>
        <w:t xml:space="preserve"> La </w:t>
      </w:r>
      <w:proofErr w:type="spellStart"/>
      <w:r w:rsidRPr="00882C4F">
        <w:rPr>
          <w:lang w:val="en-GB"/>
        </w:rPr>
        <w:t>Staffetta</w:t>
      </w:r>
      <w:proofErr w:type="spellEnd"/>
      <w:r>
        <w:rPr>
          <w:lang w:val="en-GB"/>
        </w:rPr>
        <w:t xml:space="preserve">, </w:t>
      </w:r>
      <w:proofErr w:type="spellStart"/>
      <w:r w:rsidRPr="00882C4F">
        <w:rPr>
          <w:lang w:val="en-GB"/>
        </w:rPr>
        <w:t>Calci</w:t>
      </w:r>
      <w:proofErr w:type="spellEnd"/>
      <w:r>
        <w:rPr>
          <w:lang w:val="en-GB"/>
        </w:rPr>
        <w:t xml:space="preserve">, Pisa, Italy). </w:t>
      </w:r>
      <w:r w:rsidR="002164B0">
        <w:rPr>
          <w:lang w:val="en-GB"/>
        </w:rPr>
        <w:t xml:space="preserve">The as-received sample </w:t>
      </w:r>
      <w:r w:rsidR="00423722">
        <w:rPr>
          <w:lang w:val="en-GB"/>
        </w:rPr>
        <w:t xml:space="preserve">had a moisture content of 70.8 </w:t>
      </w:r>
      <w:proofErr w:type="spellStart"/>
      <w:r w:rsidR="00423722">
        <w:rPr>
          <w:lang w:val="en-GB"/>
        </w:rPr>
        <w:t>wt</w:t>
      </w:r>
      <w:proofErr w:type="spellEnd"/>
      <w:r w:rsidR="00F12650">
        <w:rPr>
          <w:lang w:val="en-GB"/>
        </w:rPr>
        <w:t xml:space="preserve"> </w:t>
      </w:r>
      <w:r w:rsidR="00423722">
        <w:rPr>
          <w:lang w:val="en-GB"/>
        </w:rPr>
        <w:t xml:space="preserve">%. </w:t>
      </w:r>
      <w:r w:rsidR="002164B0">
        <w:rPr>
          <w:lang w:val="en-GB"/>
        </w:rPr>
        <w:t>T</w:t>
      </w:r>
      <w:r w:rsidR="002164B0" w:rsidRPr="002164B0">
        <w:rPr>
          <w:lang w:val="en-GB"/>
        </w:rPr>
        <w:t>o improve sample preservation for the experimental campaign</w:t>
      </w:r>
      <w:r w:rsidR="002164B0">
        <w:rPr>
          <w:lang w:val="en-GB"/>
        </w:rPr>
        <w:t xml:space="preserve">, </w:t>
      </w:r>
      <w:r w:rsidR="00423722">
        <w:rPr>
          <w:lang w:val="en-GB"/>
        </w:rPr>
        <w:t>BSG</w:t>
      </w:r>
      <w:r w:rsidR="002164B0">
        <w:rPr>
          <w:lang w:val="en-GB"/>
        </w:rPr>
        <w:t xml:space="preserve"> w</w:t>
      </w:r>
      <w:r w:rsidR="00423722">
        <w:rPr>
          <w:lang w:val="en-GB"/>
        </w:rPr>
        <w:t>ere</w:t>
      </w:r>
      <w:r w:rsidR="002164B0">
        <w:rPr>
          <w:lang w:val="en-GB"/>
        </w:rPr>
        <w:t xml:space="preserve"> dried at 105 °</w:t>
      </w:r>
      <w:r w:rsidR="004D6352">
        <w:rPr>
          <w:lang w:val="en-GB"/>
        </w:rPr>
        <w:t>C</w:t>
      </w:r>
      <w:r w:rsidR="00423722">
        <w:rPr>
          <w:lang w:val="en-GB"/>
        </w:rPr>
        <w:t xml:space="preserve">. </w:t>
      </w:r>
      <w:r w:rsidR="009F0108">
        <w:rPr>
          <w:lang w:val="en-GB"/>
        </w:rPr>
        <w:t>The main physicochemical</w:t>
      </w:r>
      <w:r w:rsidR="009F0108" w:rsidRPr="009F0108">
        <w:rPr>
          <w:lang w:val="en-GB"/>
        </w:rPr>
        <w:t xml:space="preserve"> charac</w:t>
      </w:r>
      <w:r w:rsidR="009F0108">
        <w:rPr>
          <w:lang w:val="en-GB"/>
        </w:rPr>
        <w:t>teristics</w:t>
      </w:r>
      <w:r w:rsidR="009F0108" w:rsidRPr="009F0108">
        <w:rPr>
          <w:lang w:val="en-GB"/>
        </w:rPr>
        <w:t xml:space="preserve"> of the feedstock, including </w:t>
      </w:r>
      <w:r w:rsidR="00B0571A">
        <w:rPr>
          <w:lang w:val="en-GB"/>
        </w:rPr>
        <w:t>V</w:t>
      </w:r>
      <w:r w:rsidR="009F0108" w:rsidRPr="009F0108">
        <w:rPr>
          <w:lang w:val="en-GB"/>
        </w:rPr>
        <w:t xml:space="preserve">olatile </w:t>
      </w:r>
      <w:r w:rsidR="00B0571A">
        <w:rPr>
          <w:lang w:val="en-GB"/>
        </w:rPr>
        <w:t>M</w:t>
      </w:r>
      <w:r w:rsidR="009F0108" w:rsidRPr="009F0108">
        <w:rPr>
          <w:lang w:val="en-GB"/>
        </w:rPr>
        <w:t xml:space="preserve">atter (VM), </w:t>
      </w:r>
      <w:r w:rsidR="00B0571A">
        <w:rPr>
          <w:lang w:val="en-GB"/>
        </w:rPr>
        <w:t>F</w:t>
      </w:r>
      <w:r w:rsidR="009F0108" w:rsidRPr="009F0108">
        <w:rPr>
          <w:lang w:val="en-GB"/>
        </w:rPr>
        <w:t xml:space="preserve">ixed </w:t>
      </w:r>
      <w:r w:rsidR="00B0571A">
        <w:rPr>
          <w:lang w:val="en-GB"/>
        </w:rPr>
        <w:t>C</w:t>
      </w:r>
      <w:r w:rsidR="009F0108" w:rsidRPr="009F0108">
        <w:rPr>
          <w:lang w:val="en-GB"/>
        </w:rPr>
        <w:t xml:space="preserve">arbon (FC), </w:t>
      </w:r>
      <w:r w:rsidR="009F0108">
        <w:rPr>
          <w:lang w:val="en-GB"/>
        </w:rPr>
        <w:t>A</w:t>
      </w:r>
      <w:r w:rsidR="009F0108" w:rsidRPr="009F0108">
        <w:rPr>
          <w:lang w:val="en-GB"/>
        </w:rPr>
        <w:t xml:space="preserve">sh, </w:t>
      </w:r>
      <w:r w:rsidR="00B0571A">
        <w:rPr>
          <w:lang w:val="en-GB"/>
        </w:rPr>
        <w:t>C</w:t>
      </w:r>
      <w:r w:rsidR="009F0108" w:rsidRPr="009F0108">
        <w:rPr>
          <w:lang w:val="en-GB"/>
        </w:rPr>
        <w:t>, H, N and O content</w:t>
      </w:r>
      <w:r w:rsidR="00B0571A">
        <w:rPr>
          <w:lang w:val="en-GB"/>
        </w:rPr>
        <w:t>s</w:t>
      </w:r>
      <w:r w:rsidR="009F0108" w:rsidRPr="009F0108">
        <w:rPr>
          <w:lang w:val="en-GB"/>
        </w:rPr>
        <w:t>, and Higher Heating Value (HHV)</w:t>
      </w:r>
      <w:r w:rsidR="00B0571A">
        <w:rPr>
          <w:lang w:val="en-GB"/>
        </w:rPr>
        <w:t>, are listed in Tab</w:t>
      </w:r>
      <w:r w:rsidR="007A6116">
        <w:rPr>
          <w:lang w:val="en-GB"/>
        </w:rPr>
        <w:t>le</w:t>
      </w:r>
      <w:r w:rsidR="00B0571A">
        <w:rPr>
          <w:lang w:val="en-GB"/>
        </w:rPr>
        <w:t xml:space="preserve"> 1.</w:t>
      </w:r>
    </w:p>
    <w:p w14:paraId="33FC08FC" w14:textId="6EBCCF22" w:rsidR="00AF5479" w:rsidRPr="00B57B36" w:rsidRDefault="00AF5479" w:rsidP="00AF5479">
      <w:pPr>
        <w:pStyle w:val="CETTabletitle"/>
      </w:pPr>
      <w:r w:rsidRPr="00B57B36">
        <w:t xml:space="preserve">Table 1: </w:t>
      </w:r>
      <w:r>
        <w:t>BSG</w:t>
      </w:r>
      <w:r w:rsidRPr="001E22AB">
        <w:t xml:space="preserve"> characteri</w:t>
      </w:r>
      <w:r w:rsidR="0032373D">
        <w:t>z</w:t>
      </w:r>
      <w:r w:rsidRPr="001E22AB">
        <w:t>ation (dry basis)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8"/>
        <w:gridCol w:w="1114"/>
        <w:gridCol w:w="1115"/>
        <w:gridCol w:w="1088"/>
        <w:gridCol w:w="1088"/>
        <w:gridCol w:w="1088"/>
        <w:gridCol w:w="1088"/>
        <w:gridCol w:w="1088"/>
      </w:tblGrid>
      <w:tr w:rsidR="00AF5479" w:rsidRPr="00B57B36" w14:paraId="5725E0CF" w14:textId="77777777" w:rsidTr="00C64F90">
        <w:tc>
          <w:tcPr>
            <w:tcW w:w="1118" w:type="dxa"/>
            <w:tcBorders>
              <w:top w:val="single" w:sz="12" w:space="0" w:color="008000"/>
              <w:bottom w:val="single" w:sz="6" w:space="0" w:color="008000"/>
            </w:tcBorders>
            <w:shd w:val="clear" w:color="auto" w:fill="FFFFFF"/>
          </w:tcPr>
          <w:p w14:paraId="66F186F5" w14:textId="0F257F74" w:rsidR="00AF5479" w:rsidRPr="00B57B36" w:rsidRDefault="00AF5479" w:rsidP="00C64F90">
            <w:pPr>
              <w:pStyle w:val="CETBodytext"/>
              <w:rPr>
                <w:lang w:val="en-GB"/>
              </w:rPr>
            </w:pPr>
            <w:r w:rsidRPr="007D1197">
              <w:t xml:space="preserve">VM </w:t>
            </w:r>
            <w:r w:rsidR="00A044F0">
              <w:t>(</w:t>
            </w:r>
            <w:proofErr w:type="spellStart"/>
            <w:r w:rsidRPr="007D1197">
              <w:t>wt</w:t>
            </w:r>
            <w:proofErr w:type="spellEnd"/>
            <w:r w:rsidRPr="007D1197">
              <w:t xml:space="preserve"> %</w:t>
            </w:r>
            <w:r w:rsidR="00A044F0">
              <w:t>)</w:t>
            </w:r>
          </w:p>
        </w:tc>
        <w:tc>
          <w:tcPr>
            <w:tcW w:w="1114" w:type="dxa"/>
            <w:tcBorders>
              <w:top w:val="single" w:sz="12" w:space="0" w:color="008000"/>
              <w:bottom w:val="single" w:sz="6" w:space="0" w:color="008000"/>
            </w:tcBorders>
            <w:shd w:val="clear" w:color="auto" w:fill="FFFFFF"/>
          </w:tcPr>
          <w:p w14:paraId="5AD355EB" w14:textId="16D7C14D" w:rsidR="00AF5479" w:rsidRPr="00B57B36" w:rsidRDefault="00AF5479" w:rsidP="00C64F90">
            <w:pPr>
              <w:pStyle w:val="CETBodytext"/>
              <w:rPr>
                <w:lang w:val="en-GB"/>
              </w:rPr>
            </w:pPr>
            <w:r w:rsidRPr="007D1197">
              <w:t xml:space="preserve">FC </w:t>
            </w:r>
            <w:r w:rsidR="00A044F0">
              <w:t>(</w:t>
            </w:r>
            <w:proofErr w:type="spellStart"/>
            <w:r w:rsidRPr="007D1197">
              <w:t>wt</w:t>
            </w:r>
            <w:proofErr w:type="spellEnd"/>
            <w:r w:rsidRPr="007D1197">
              <w:t xml:space="preserve"> %</w:t>
            </w:r>
            <w:r w:rsidR="00A044F0">
              <w:t>)</w:t>
            </w:r>
          </w:p>
        </w:tc>
        <w:tc>
          <w:tcPr>
            <w:tcW w:w="1115" w:type="dxa"/>
            <w:tcBorders>
              <w:top w:val="single" w:sz="12" w:space="0" w:color="008000"/>
              <w:bottom w:val="single" w:sz="6" w:space="0" w:color="008000"/>
            </w:tcBorders>
            <w:shd w:val="clear" w:color="auto" w:fill="FFFFFF"/>
          </w:tcPr>
          <w:p w14:paraId="78940E4E" w14:textId="6AF7FB91" w:rsidR="00AF5479" w:rsidRPr="00B57B36" w:rsidRDefault="00AF5479" w:rsidP="00C64F90">
            <w:pPr>
              <w:pStyle w:val="CETBodytext"/>
              <w:rPr>
                <w:lang w:val="en-GB"/>
              </w:rPr>
            </w:pPr>
            <w:r w:rsidRPr="007D1197">
              <w:t xml:space="preserve">Ash </w:t>
            </w:r>
            <w:r w:rsidR="00A044F0">
              <w:t>(</w:t>
            </w:r>
            <w:proofErr w:type="spellStart"/>
            <w:r w:rsidRPr="007D1197">
              <w:t>wt</w:t>
            </w:r>
            <w:proofErr w:type="spellEnd"/>
            <w:r w:rsidRPr="007D1197">
              <w:t xml:space="preserve"> %</w:t>
            </w:r>
            <w:r w:rsidR="00A044F0">
              <w:t>)</w:t>
            </w:r>
          </w:p>
        </w:tc>
        <w:tc>
          <w:tcPr>
            <w:tcW w:w="1088" w:type="dxa"/>
            <w:tcBorders>
              <w:top w:val="single" w:sz="12" w:space="0" w:color="008000"/>
              <w:bottom w:val="single" w:sz="6" w:space="0" w:color="008000"/>
            </w:tcBorders>
            <w:shd w:val="clear" w:color="auto" w:fill="FFFFFF"/>
          </w:tcPr>
          <w:p w14:paraId="62F5C2CA" w14:textId="4DFF6A24" w:rsidR="00AF5479" w:rsidRPr="00B57B36" w:rsidRDefault="00AF5479" w:rsidP="00C64F90">
            <w:pPr>
              <w:pStyle w:val="CETBodytext"/>
              <w:ind w:right="-1"/>
              <w:rPr>
                <w:rFonts w:cs="Arial"/>
                <w:szCs w:val="18"/>
                <w:lang w:val="en-GB"/>
              </w:rPr>
            </w:pPr>
            <w:r w:rsidRPr="007D1197">
              <w:t xml:space="preserve">C </w:t>
            </w:r>
            <w:r w:rsidR="00A044F0">
              <w:t>(</w:t>
            </w:r>
            <w:proofErr w:type="spellStart"/>
            <w:r w:rsidRPr="007D1197">
              <w:t>wt</w:t>
            </w:r>
            <w:proofErr w:type="spellEnd"/>
            <w:r w:rsidRPr="007D1197">
              <w:t xml:space="preserve"> %</w:t>
            </w:r>
            <w:r w:rsidR="00A044F0">
              <w:t>)</w:t>
            </w:r>
          </w:p>
        </w:tc>
        <w:tc>
          <w:tcPr>
            <w:tcW w:w="1088" w:type="dxa"/>
            <w:tcBorders>
              <w:top w:val="single" w:sz="12" w:space="0" w:color="008000"/>
              <w:bottom w:val="single" w:sz="6" w:space="0" w:color="008000"/>
            </w:tcBorders>
            <w:shd w:val="clear" w:color="auto" w:fill="FFFFFF"/>
          </w:tcPr>
          <w:p w14:paraId="093EB459" w14:textId="476E3A2E" w:rsidR="00AF5479" w:rsidRPr="00B57B36" w:rsidRDefault="00AF5479" w:rsidP="00C64F90">
            <w:pPr>
              <w:pStyle w:val="CETBodytext"/>
              <w:ind w:right="-1"/>
              <w:rPr>
                <w:rFonts w:cs="Arial"/>
                <w:szCs w:val="18"/>
                <w:lang w:val="en-GB"/>
              </w:rPr>
            </w:pPr>
            <w:r w:rsidRPr="007D1197">
              <w:t xml:space="preserve">H </w:t>
            </w:r>
            <w:r w:rsidR="00A044F0">
              <w:t>(</w:t>
            </w:r>
            <w:proofErr w:type="spellStart"/>
            <w:r w:rsidRPr="007D1197">
              <w:t>wt</w:t>
            </w:r>
            <w:proofErr w:type="spellEnd"/>
            <w:r w:rsidRPr="007D1197">
              <w:t xml:space="preserve"> %</w:t>
            </w:r>
            <w:r w:rsidR="00A044F0">
              <w:t>)</w:t>
            </w:r>
          </w:p>
        </w:tc>
        <w:tc>
          <w:tcPr>
            <w:tcW w:w="1088" w:type="dxa"/>
            <w:tcBorders>
              <w:top w:val="single" w:sz="12" w:space="0" w:color="008000"/>
              <w:bottom w:val="single" w:sz="6" w:space="0" w:color="008000"/>
            </w:tcBorders>
            <w:shd w:val="clear" w:color="auto" w:fill="FFFFFF"/>
          </w:tcPr>
          <w:p w14:paraId="45998290" w14:textId="505B8D10" w:rsidR="00AF5479" w:rsidRPr="00B57B36" w:rsidRDefault="00AF5479" w:rsidP="00C64F90">
            <w:pPr>
              <w:pStyle w:val="CETBodytext"/>
              <w:ind w:right="-1"/>
              <w:rPr>
                <w:rFonts w:cs="Arial"/>
                <w:szCs w:val="18"/>
                <w:lang w:val="en-GB"/>
              </w:rPr>
            </w:pPr>
            <w:r w:rsidRPr="007D1197">
              <w:t xml:space="preserve">N </w:t>
            </w:r>
            <w:r w:rsidR="00A044F0">
              <w:t>(</w:t>
            </w:r>
            <w:proofErr w:type="spellStart"/>
            <w:r w:rsidRPr="007D1197">
              <w:t>wt</w:t>
            </w:r>
            <w:proofErr w:type="spellEnd"/>
            <w:r w:rsidRPr="007D1197">
              <w:t xml:space="preserve"> %</w:t>
            </w:r>
            <w:r w:rsidR="00A044F0">
              <w:t>)</w:t>
            </w:r>
          </w:p>
        </w:tc>
        <w:tc>
          <w:tcPr>
            <w:tcW w:w="1088" w:type="dxa"/>
            <w:tcBorders>
              <w:top w:val="single" w:sz="12" w:space="0" w:color="008000"/>
              <w:bottom w:val="single" w:sz="6" w:space="0" w:color="008000"/>
            </w:tcBorders>
            <w:shd w:val="clear" w:color="auto" w:fill="FFFFFF"/>
          </w:tcPr>
          <w:p w14:paraId="2D32AC0D" w14:textId="73FA735B" w:rsidR="00AF5479" w:rsidRPr="00B57B36" w:rsidRDefault="00AF5479" w:rsidP="00C64F90">
            <w:pPr>
              <w:pStyle w:val="CETBodytext"/>
              <w:ind w:right="-1"/>
              <w:rPr>
                <w:rFonts w:cs="Arial"/>
                <w:szCs w:val="18"/>
                <w:lang w:val="en-GB"/>
              </w:rPr>
            </w:pPr>
            <w:r w:rsidRPr="007D1197">
              <w:t xml:space="preserve">O </w:t>
            </w:r>
            <w:r w:rsidR="00A044F0">
              <w:t>(</w:t>
            </w:r>
            <w:proofErr w:type="spellStart"/>
            <w:r w:rsidRPr="007D1197">
              <w:t>wt</w:t>
            </w:r>
            <w:proofErr w:type="spellEnd"/>
            <w:r w:rsidRPr="007D1197">
              <w:t xml:space="preserve"> %</w:t>
            </w:r>
            <w:r w:rsidR="00A044F0">
              <w:t>)</w:t>
            </w:r>
          </w:p>
        </w:tc>
        <w:tc>
          <w:tcPr>
            <w:tcW w:w="1088" w:type="dxa"/>
            <w:tcBorders>
              <w:top w:val="single" w:sz="12" w:space="0" w:color="008000"/>
              <w:bottom w:val="single" w:sz="6" w:space="0" w:color="008000"/>
            </w:tcBorders>
            <w:shd w:val="clear" w:color="auto" w:fill="FFFFFF"/>
          </w:tcPr>
          <w:p w14:paraId="0BFF2B1E" w14:textId="5C2C9C27" w:rsidR="00AF5479" w:rsidRPr="00B57B36" w:rsidRDefault="00AF5479" w:rsidP="00C64F90">
            <w:pPr>
              <w:pStyle w:val="CETBodytext"/>
              <w:ind w:right="-1"/>
              <w:rPr>
                <w:rFonts w:cs="Arial"/>
                <w:szCs w:val="18"/>
                <w:lang w:val="en-GB"/>
              </w:rPr>
            </w:pPr>
            <w:r w:rsidRPr="007D1197">
              <w:t xml:space="preserve">HHV </w:t>
            </w:r>
            <w:r w:rsidR="00A044F0">
              <w:t>(</w:t>
            </w:r>
            <w:r w:rsidRPr="007D1197">
              <w:t>MJ/kg</w:t>
            </w:r>
            <w:r w:rsidR="00A044F0">
              <w:t>)</w:t>
            </w:r>
          </w:p>
        </w:tc>
      </w:tr>
      <w:tr w:rsidR="00AF5479" w:rsidRPr="00B57B36" w14:paraId="6805D1F1" w14:textId="77777777" w:rsidTr="00C64F90">
        <w:tc>
          <w:tcPr>
            <w:tcW w:w="1118" w:type="dxa"/>
            <w:shd w:val="clear" w:color="auto" w:fill="FFFFFF"/>
          </w:tcPr>
          <w:p w14:paraId="632E46E7" w14:textId="77777777" w:rsidR="00AF5479" w:rsidRPr="00B57B36" w:rsidRDefault="00AF5479" w:rsidP="00C64F90">
            <w:pPr>
              <w:pStyle w:val="CETBodytext"/>
              <w:rPr>
                <w:lang w:val="en-GB"/>
              </w:rPr>
            </w:pPr>
            <w:r>
              <w:rPr>
                <w:lang w:val="en-GB"/>
              </w:rPr>
              <w:t>79.07</w:t>
            </w:r>
          </w:p>
        </w:tc>
        <w:tc>
          <w:tcPr>
            <w:tcW w:w="1114" w:type="dxa"/>
            <w:shd w:val="clear" w:color="auto" w:fill="FFFFFF"/>
          </w:tcPr>
          <w:p w14:paraId="016306BB" w14:textId="77777777" w:rsidR="00AF5479" w:rsidRPr="00B57B36" w:rsidRDefault="00AF5479" w:rsidP="00C64F90">
            <w:pPr>
              <w:pStyle w:val="CETBodytext"/>
              <w:rPr>
                <w:lang w:val="en-GB"/>
              </w:rPr>
            </w:pPr>
            <w:r>
              <w:rPr>
                <w:lang w:val="en-GB"/>
              </w:rPr>
              <w:t>17.49</w:t>
            </w:r>
          </w:p>
        </w:tc>
        <w:tc>
          <w:tcPr>
            <w:tcW w:w="1115" w:type="dxa"/>
            <w:shd w:val="clear" w:color="auto" w:fill="FFFFFF"/>
          </w:tcPr>
          <w:p w14:paraId="4F05DC3F" w14:textId="77777777" w:rsidR="00AF5479" w:rsidRPr="00B57B36" w:rsidRDefault="00AF5479" w:rsidP="00C64F90">
            <w:pPr>
              <w:pStyle w:val="CETBodytext"/>
              <w:rPr>
                <w:lang w:val="en-GB"/>
              </w:rPr>
            </w:pPr>
            <w:r>
              <w:rPr>
                <w:lang w:val="en-GB"/>
              </w:rPr>
              <w:t>3.44</w:t>
            </w:r>
          </w:p>
        </w:tc>
        <w:tc>
          <w:tcPr>
            <w:tcW w:w="1088" w:type="dxa"/>
            <w:shd w:val="clear" w:color="auto" w:fill="FFFFFF"/>
          </w:tcPr>
          <w:p w14:paraId="2EDF2C17" w14:textId="77777777" w:rsidR="00AF5479" w:rsidRPr="00B57B36" w:rsidRDefault="00AF5479" w:rsidP="00C64F90">
            <w:pPr>
              <w:pStyle w:val="CETBodytext"/>
              <w:ind w:right="-1"/>
              <w:rPr>
                <w:rFonts w:cs="Arial"/>
                <w:szCs w:val="18"/>
                <w:lang w:val="en-GB"/>
              </w:rPr>
            </w:pPr>
            <w:r>
              <w:rPr>
                <w:rFonts w:cs="Arial"/>
                <w:szCs w:val="18"/>
                <w:lang w:val="en-GB"/>
              </w:rPr>
              <w:t>47.56</w:t>
            </w:r>
          </w:p>
        </w:tc>
        <w:tc>
          <w:tcPr>
            <w:tcW w:w="1088" w:type="dxa"/>
            <w:shd w:val="clear" w:color="auto" w:fill="FFFFFF"/>
          </w:tcPr>
          <w:p w14:paraId="42AB2D12" w14:textId="77777777" w:rsidR="00AF5479" w:rsidRPr="00B57B36" w:rsidRDefault="00AF5479" w:rsidP="00C64F90">
            <w:pPr>
              <w:pStyle w:val="CETBodytext"/>
              <w:ind w:right="-1"/>
              <w:rPr>
                <w:rFonts w:cs="Arial"/>
                <w:szCs w:val="18"/>
                <w:lang w:val="en-GB"/>
              </w:rPr>
            </w:pPr>
            <w:r>
              <w:rPr>
                <w:rFonts w:cs="Arial"/>
                <w:szCs w:val="18"/>
                <w:lang w:val="en-GB"/>
              </w:rPr>
              <w:t>6.57</w:t>
            </w:r>
          </w:p>
        </w:tc>
        <w:tc>
          <w:tcPr>
            <w:tcW w:w="1088" w:type="dxa"/>
            <w:shd w:val="clear" w:color="auto" w:fill="FFFFFF"/>
          </w:tcPr>
          <w:p w14:paraId="3BECE6A7" w14:textId="77777777" w:rsidR="00AF5479" w:rsidRPr="00B57B36" w:rsidRDefault="00AF5479" w:rsidP="00C64F90">
            <w:pPr>
              <w:pStyle w:val="CETBodytext"/>
              <w:ind w:right="-1"/>
              <w:rPr>
                <w:rFonts w:cs="Arial"/>
                <w:szCs w:val="18"/>
                <w:lang w:val="en-GB"/>
              </w:rPr>
            </w:pPr>
            <w:r>
              <w:rPr>
                <w:rFonts w:cs="Arial"/>
                <w:szCs w:val="18"/>
                <w:lang w:val="en-GB"/>
              </w:rPr>
              <w:t>3.16</w:t>
            </w:r>
          </w:p>
        </w:tc>
        <w:tc>
          <w:tcPr>
            <w:tcW w:w="1088" w:type="dxa"/>
            <w:shd w:val="clear" w:color="auto" w:fill="FFFFFF"/>
          </w:tcPr>
          <w:p w14:paraId="0A5969B7" w14:textId="77777777" w:rsidR="00AF5479" w:rsidRPr="00B57B36" w:rsidRDefault="00AF5479" w:rsidP="00C64F90">
            <w:pPr>
              <w:pStyle w:val="CETBodytext"/>
              <w:ind w:right="-1"/>
              <w:rPr>
                <w:rFonts w:cs="Arial"/>
                <w:szCs w:val="18"/>
                <w:lang w:val="en-GB"/>
              </w:rPr>
            </w:pPr>
            <w:r>
              <w:rPr>
                <w:rFonts w:cs="Arial"/>
                <w:szCs w:val="18"/>
                <w:lang w:val="en-GB"/>
              </w:rPr>
              <w:t>39.27</w:t>
            </w:r>
          </w:p>
        </w:tc>
        <w:tc>
          <w:tcPr>
            <w:tcW w:w="1088" w:type="dxa"/>
            <w:shd w:val="clear" w:color="auto" w:fill="FFFFFF"/>
          </w:tcPr>
          <w:p w14:paraId="23394B2D" w14:textId="77777777" w:rsidR="00AF5479" w:rsidRPr="00B57B36" w:rsidRDefault="00AF5479" w:rsidP="00C64F90">
            <w:pPr>
              <w:pStyle w:val="CETBodytext"/>
              <w:ind w:right="-1"/>
              <w:rPr>
                <w:rFonts w:cs="Arial"/>
                <w:szCs w:val="18"/>
                <w:lang w:val="en-GB"/>
              </w:rPr>
            </w:pPr>
            <w:r>
              <w:rPr>
                <w:rFonts w:cs="Arial"/>
                <w:szCs w:val="18"/>
                <w:lang w:val="en-GB"/>
              </w:rPr>
              <w:t>19.55</w:t>
            </w:r>
          </w:p>
        </w:tc>
      </w:tr>
    </w:tbl>
    <w:p w14:paraId="4253E72A" w14:textId="77777777" w:rsidR="00AF5479" w:rsidRDefault="00AF5479" w:rsidP="00AF5479">
      <w:pPr>
        <w:pStyle w:val="CETBodytext"/>
        <w:rPr>
          <w:lang w:val="en-GB"/>
        </w:rPr>
      </w:pPr>
    </w:p>
    <w:p w14:paraId="18BAFA6F" w14:textId="6CB48079" w:rsidR="00453E24" w:rsidRPr="00B57B36" w:rsidRDefault="00956456" w:rsidP="00453E24">
      <w:pPr>
        <w:pStyle w:val="CETheadingx"/>
      </w:pPr>
      <w:r>
        <w:t>Experimental design</w:t>
      </w:r>
    </w:p>
    <w:p w14:paraId="523EB2DD" w14:textId="3D6E4BCC" w:rsidR="00353AD5" w:rsidRDefault="007A6116" w:rsidP="007A6116">
      <w:pPr>
        <w:pStyle w:val="CETBodytext"/>
        <w:rPr>
          <w:lang w:val="en-GB"/>
        </w:rPr>
      </w:pPr>
      <w:r>
        <w:rPr>
          <w:lang w:val="en-GB"/>
        </w:rPr>
        <w:t>T</w:t>
      </w:r>
      <w:r w:rsidRPr="007A6116">
        <w:rPr>
          <w:lang w:val="en-GB"/>
        </w:rPr>
        <w:t>he DoE-RSM approach</w:t>
      </w:r>
      <w:r>
        <w:rPr>
          <w:lang w:val="en-GB"/>
        </w:rPr>
        <w:t xml:space="preserve"> was used to plan the </w:t>
      </w:r>
      <w:r w:rsidR="001C374E">
        <w:rPr>
          <w:lang w:val="en-GB"/>
        </w:rPr>
        <w:t xml:space="preserve">HTC </w:t>
      </w:r>
      <w:r>
        <w:rPr>
          <w:lang w:val="en-GB"/>
        </w:rPr>
        <w:t xml:space="preserve">experimental campaign. The following process variables were </w:t>
      </w:r>
      <w:r w:rsidR="00A45041">
        <w:rPr>
          <w:lang w:val="en-GB"/>
        </w:rPr>
        <w:t>recognized</w:t>
      </w:r>
      <w:r>
        <w:rPr>
          <w:lang w:val="en-GB"/>
        </w:rPr>
        <w:t xml:space="preserve"> as </w:t>
      </w:r>
      <w:r w:rsidRPr="007A6116">
        <w:rPr>
          <w:lang w:val="en-GB"/>
        </w:rPr>
        <w:t>independent variables (factors)</w:t>
      </w:r>
      <w:r>
        <w:rPr>
          <w:lang w:val="en-GB"/>
        </w:rPr>
        <w:t xml:space="preserve">, </w:t>
      </w:r>
      <w:r w:rsidR="00353AD5">
        <w:rPr>
          <w:lang w:val="en-GB"/>
        </w:rPr>
        <w:t xml:space="preserve">with the </w:t>
      </w:r>
      <w:r w:rsidR="00194A80">
        <w:rPr>
          <w:lang w:val="en-GB"/>
        </w:rPr>
        <w:t>chosen</w:t>
      </w:r>
      <w:r>
        <w:rPr>
          <w:lang w:val="en-GB"/>
        </w:rPr>
        <w:t xml:space="preserve"> levels </w:t>
      </w:r>
      <w:r w:rsidR="00353AD5">
        <w:rPr>
          <w:lang w:val="en-GB"/>
        </w:rPr>
        <w:t>indicated in parentheses:</w:t>
      </w:r>
    </w:p>
    <w:p w14:paraId="72573011" w14:textId="4F3F05A0" w:rsidR="00353AD5" w:rsidRPr="00B57B36" w:rsidRDefault="00353AD5" w:rsidP="00353AD5">
      <w:pPr>
        <w:pStyle w:val="CETnumberingbullets"/>
      </w:pPr>
      <w:r>
        <w:t>A: Temperature (low level: 200 °C; high level: 260 °C)</w:t>
      </w:r>
    </w:p>
    <w:p w14:paraId="15DBEF58" w14:textId="3FC7B11A" w:rsidR="00353AD5" w:rsidRDefault="00F12650" w:rsidP="00353AD5">
      <w:pPr>
        <w:pStyle w:val="CETListbullets"/>
        <w:numPr>
          <w:ilvl w:val="0"/>
          <w:numId w:val="13"/>
        </w:numPr>
      </w:pPr>
      <w:r>
        <w:t>B: Time (low level: 30 min; high level: 210 min)</w:t>
      </w:r>
    </w:p>
    <w:p w14:paraId="3179BD7D" w14:textId="075C036A" w:rsidR="00353AD5" w:rsidRPr="00B57B36" w:rsidRDefault="00F12650" w:rsidP="00353AD5">
      <w:pPr>
        <w:pStyle w:val="CETnumberingbullets"/>
      </w:pPr>
      <w:r>
        <w:t xml:space="preserve">C: Solid content (low level: 5 </w:t>
      </w:r>
      <w:proofErr w:type="spellStart"/>
      <w:r>
        <w:t>wt</w:t>
      </w:r>
      <w:proofErr w:type="spellEnd"/>
      <w:r>
        <w:t xml:space="preserve"> %; high level: 25 </w:t>
      </w:r>
      <w:proofErr w:type="spellStart"/>
      <w:r>
        <w:t>wt</w:t>
      </w:r>
      <w:proofErr w:type="spellEnd"/>
      <w:r>
        <w:t xml:space="preserve"> %)</w:t>
      </w:r>
      <w:r w:rsidR="00353AD5" w:rsidRPr="007E2973">
        <w:t>.</w:t>
      </w:r>
    </w:p>
    <w:p w14:paraId="34BD3144" w14:textId="38EBF614" w:rsidR="00F00184" w:rsidRPr="00F00184" w:rsidRDefault="00D44884" w:rsidP="00194A80">
      <w:pPr>
        <w:pStyle w:val="CETBodytext"/>
        <w:rPr>
          <w:lang w:val="en-GB"/>
        </w:rPr>
      </w:pPr>
      <w:r w:rsidRPr="00D44884">
        <w:rPr>
          <w:lang w:val="en-GB"/>
        </w:rPr>
        <w:t>The independent variable levels were selected based on insights from literature (Wang et al., 2018), preliminary trials, and inherent process limitations. This ensure</w:t>
      </w:r>
      <w:r w:rsidR="007B1EA5">
        <w:rPr>
          <w:lang w:val="en-GB"/>
        </w:rPr>
        <w:t>d</w:t>
      </w:r>
      <w:r w:rsidRPr="00D44884">
        <w:rPr>
          <w:lang w:val="en-GB"/>
        </w:rPr>
        <w:t xml:space="preserve"> </w:t>
      </w:r>
      <w:r w:rsidR="007B1EA5">
        <w:rPr>
          <w:lang w:val="en-GB"/>
        </w:rPr>
        <w:t>an</w:t>
      </w:r>
      <w:r w:rsidRPr="00D44884">
        <w:rPr>
          <w:lang w:val="en-GB"/>
        </w:rPr>
        <w:t xml:space="preserve"> experimental design space representative of practical operating conditions while being sufficiently broad to </w:t>
      </w:r>
      <w:r>
        <w:rPr>
          <w:lang w:val="en-GB"/>
        </w:rPr>
        <w:t>capture</w:t>
      </w:r>
      <w:r w:rsidRPr="00D44884">
        <w:rPr>
          <w:lang w:val="en-GB"/>
        </w:rPr>
        <w:t xml:space="preserve"> trends in </w:t>
      </w:r>
      <w:proofErr w:type="spellStart"/>
      <w:r w:rsidRPr="00D44884">
        <w:rPr>
          <w:lang w:val="en-GB"/>
        </w:rPr>
        <w:t>hydrochar</w:t>
      </w:r>
      <w:proofErr w:type="spellEnd"/>
      <w:r w:rsidRPr="00D44884">
        <w:rPr>
          <w:lang w:val="en-GB"/>
        </w:rPr>
        <w:t xml:space="preserve"> yield and properties, thereby allowing for process optimization.</w:t>
      </w:r>
      <w:r>
        <w:rPr>
          <w:lang w:val="en-GB"/>
        </w:rPr>
        <w:t xml:space="preserve"> </w:t>
      </w:r>
      <w:r w:rsidR="00F00184" w:rsidRPr="00F00184">
        <w:rPr>
          <w:lang w:val="en-GB"/>
        </w:rPr>
        <w:t xml:space="preserve">An RSM approach with a </w:t>
      </w:r>
      <w:r w:rsidR="00194A80" w:rsidRPr="00F00184">
        <w:rPr>
          <w:lang w:val="en-GB"/>
        </w:rPr>
        <w:t xml:space="preserve">face-centred </w:t>
      </w:r>
      <w:r w:rsidR="00F00184" w:rsidRPr="00F00184">
        <w:rPr>
          <w:lang w:val="en-GB"/>
        </w:rPr>
        <w:t xml:space="preserve">Central Composite Design (CCD) was </w:t>
      </w:r>
      <w:r w:rsidR="00194A80">
        <w:rPr>
          <w:lang w:val="en-GB"/>
        </w:rPr>
        <w:t>selected</w:t>
      </w:r>
      <w:r w:rsidR="00F00184" w:rsidRPr="00F00184">
        <w:rPr>
          <w:lang w:val="en-GB"/>
        </w:rPr>
        <w:t xml:space="preserve"> to</w:t>
      </w:r>
      <w:r w:rsidR="009E266A">
        <w:rPr>
          <w:lang w:val="en-GB"/>
        </w:rPr>
        <w:t xml:space="preserve"> unveil</w:t>
      </w:r>
      <w:r w:rsidR="00F00184" w:rsidRPr="00F00184">
        <w:rPr>
          <w:lang w:val="en-GB"/>
        </w:rPr>
        <w:t xml:space="preserve"> potential non-linear</w:t>
      </w:r>
      <w:r w:rsidR="00194A80">
        <w:rPr>
          <w:lang w:val="en-GB"/>
        </w:rPr>
        <w:t xml:space="preserve"> </w:t>
      </w:r>
      <w:r w:rsidR="00F00184" w:rsidRPr="00F00184">
        <w:rPr>
          <w:lang w:val="en-GB"/>
        </w:rPr>
        <w:t xml:space="preserve">interactions between factors. </w:t>
      </w:r>
      <w:r w:rsidR="00194A80" w:rsidRPr="00F00184">
        <w:rPr>
          <w:lang w:val="en-GB"/>
        </w:rPr>
        <w:t xml:space="preserve">The </w:t>
      </w:r>
      <w:r w:rsidR="00194A80">
        <w:rPr>
          <w:lang w:val="en-GB"/>
        </w:rPr>
        <w:t>randomi</w:t>
      </w:r>
      <w:r w:rsidR="00AF79B3">
        <w:rPr>
          <w:lang w:val="en-GB"/>
        </w:rPr>
        <w:t>s</w:t>
      </w:r>
      <w:r w:rsidR="00194A80">
        <w:rPr>
          <w:lang w:val="en-GB"/>
        </w:rPr>
        <w:t>ed</w:t>
      </w:r>
      <w:r w:rsidR="00194A80" w:rsidRPr="00F00184">
        <w:rPr>
          <w:lang w:val="en-GB"/>
        </w:rPr>
        <w:t xml:space="preserve"> design matrix</w:t>
      </w:r>
      <w:r w:rsidR="00194A80">
        <w:rPr>
          <w:lang w:val="en-GB"/>
        </w:rPr>
        <w:t xml:space="preserve">, comprising </w:t>
      </w:r>
      <w:r w:rsidR="00194A80" w:rsidRPr="00F00184">
        <w:rPr>
          <w:lang w:val="en-GB"/>
        </w:rPr>
        <w:t>20 runs</w:t>
      </w:r>
      <w:r w:rsidR="00F045D2">
        <w:rPr>
          <w:lang w:val="en-GB"/>
        </w:rPr>
        <w:t>,</w:t>
      </w:r>
      <w:r w:rsidR="00194A80">
        <w:rPr>
          <w:lang w:val="en-GB"/>
        </w:rPr>
        <w:t xml:space="preserve"> </w:t>
      </w:r>
      <w:r w:rsidR="00194A80" w:rsidRPr="00F00184">
        <w:rPr>
          <w:lang w:val="en-GB"/>
        </w:rPr>
        <w:t xml:space="preserve">is reported in Table </w:t>
      </w:r>
      <w:r w:rsidR="00194A80">
        <w:rPr>
          <w:lang w:val="en-GB"/>
        </w:rPr>
        <w:t>2</w:t>
      </w:r>
      <w:r w:rsidR="00194A80" w:rsidRPr="00F00184">
        <w:rPr>
          <w:lang w:val="en-GB"/>
        </w:rPr>
        <w:t>.</w:t>
      </w:r>
    </w:p>
    <w:p w14:paraId="456ED20E" w14:textId="5318D6A2" w:rsidR="00E97832" w:rsidRDefault="00AF79B3" w:rsidP="007A6116">
      <w:pPr>
        <w:pStyle w:val="CETBodytext"/>
        <w:rPr>
          <w:lang w:val="en-GB"/>
        </w:rPr>
      </w:pPr>
      <w:r>
        <w:rPr>
          <w:lang w:val="en-GB"/>
        </w:rPr>
        <w:t>T</w:t>
      </w:r>
      <w:r w:rsidRPr="00AF79B3">
        <w:rPr>
          <w:lang w:val="en-GB"/>
        </w:rPr>
        <w:t>o assess process performance</w:t>
      </w:r>
      <w:r>
        <w:rPr>
          <w:lang w:val="en-GB"/>
        </w:rPr>
        <w:t>,</w:t>
      </w:r>
      <w:r w:rsidRPr="00AF79B3">
        <w:rPr>
          <w:lang w:val="en-GB"/>
        </w:rPr>
        <w:t xml:space="preserve"> </w:t>
      </w:r>
      <w:r>
        <w:rPr>
          <w:lang w:val="en-GB"/>
        </w:rPr>
        <w:t>t</w:t>
      </w:r>
      <w:r w:rsidRPr="00AF79B3">
        <w:rPr>
          <w:lang w:val="en-GB"/>
        </w:rPr>
        <w:t>he following responses</w:t>
      </w:r>
      <w:r>
        <w:rPr>
          <w:lang w:val="en-GB"/>
        </w:rPr>
        <w:t xml:space="preserve"> were evaluated:</w:t>
      </w:r>
      <w:r w:rsidR="00B66889">
        <w:rPr>
          <w:lang w:val="en-GB"/>
        </w:rPr>
        <w:t xml:space="preserve"> </w:t>
      </w:r>
      <w:proofErr w:type="spellStart"/>
      <w:r w:rsidR="00D25E07" w:rsidRPr="007A6116">
        <w:t>hydrochar</w:t>
      </w:r>
      <w:proofErr w:type="spellEnd"/>
      <w:r w:rsidR="00D25E07" w:rsidRPr="007A6116">
        <w:t xml:space="preserve"> yield (Y)</w:t>
      </w:r>
      <w:r w:rsidR="00B66889">
        <w:t xml:space="preserve">, </w:t>
      </w:r>
      <w:proofErr w:type="spellStart"/>
      <w:r w:rsidR="00D25E07" w:rsidRPr="007A6116">
        <w:t>hydrochar</w:t>
      </w:r>
      <w:proofErr w:type="spellEnd"/>
      <w:r w:rsidR="00D25E07" w:rsidRPr="007A6116">
        <w:t xml:space="preserve"> </w:t>
      </w:r>
      <w:r w:rsidR="00D25E07">
        <w:t>carbon</w:t>
      </w:r>
      <w:r w:rsidR="00D25E07" w:rsidRPr="007A6116">
        <w:t xml:space="preserve"> content</w:t>
      </w:r>
      <w:r w:rsidR="00B66889">
        <w:t xml:space="preserve">, </w:t>
      </w:r>
      <w:r w:rsidR="00D25E07" w:rsidRPr="007A6116">
        <w:t>carbon yield</w:t>
      </w:r>
      <w:r w:rsidR="00B66889">
        <w:t xml:space="preserve">, </w:t>
      </w:r>
      <w:proofErr w:type="spellStart"/>
      <w:r w:rsidR="00D25E07" w:rsidRPr="007A6116">
        <w:t>hydrochar</w:t>
      </w:r>
      <w:proofErr w:type="spellEnd"/>
      <w:r w:rsidR="00D25E07" w:rsidRPr="007A6116">
        <w:t xml:space="preserve"> H/C </w:t>
      </w:r>
      <w:r w:rsidR="00B66889">
        <w:t xml:space="preserve">and O/C </w:t>
      </w:r>
      <w:r w:rsidR="00D25E07" w:rsidRPr="007A6116">
        <w:t>atomic ratio</w:t>
      </w:r>
      <w:r w:rsidR="00B66889">
        <w:t xml:space="preserve">s, </w:t>
      </w:r>
      <w:proofErr w:type="spellStart"/>
      <w:r w:rsidR="00D25E07" w:rsidRPr="007A6116">
        <w:t>hydrochar</w:t>
      </w:r>
      <w:proofErr w:type="spellEnd"/>
      <w:r w:rsidR="00D25E07" w:rsidRPr="007A6116">
        <w:t xml:space="preserve"> ash content</w:t>
      </w:r>
      <w:r w:rsidR="00B66889">
        <w:t xml:space="preserve">, </w:t>
      </w:r>
      <w:proofErr w:type="spellStart"/>
      <w:r w:rsidR="00BE5EBB" w:rsidRPr="007A6116">
        <w:t>hydrochar</w:t>
      </w:r>
      <w:proofErr w:type="spellEnd"/>
      <w:r w:rsidR="00BE5EBB" w:rsidRPr="007A6116">
        <w:t xml:space="preserve"> higher heating value (HHV)</w:t>
      </w:r>
      <w:r w:rsidR="00B66889">
        <w:t xml:space="preserve">, </w:t>
      </w:r>
      <w:r w:rsidR="00BE5EBB" w:rsidRPr="007A6116">
        <w:t>energy densification (ED)</w:t>
      </w:r>
      <w:r w:rsidR="00B66889">
        <w:t xml:space="preserve">, and </w:t>
      </w:r>
      <w:r w:rsidR="00BE5EBB" w:rsidRPr="007A6116">
        <w:t>energy yield (EY)</w:t>
      </w:r>
      <w:r w:rsidR="006923DF">
        <w:t>.</w:t>
      </w:r>
      <w:r w:rsidR="00B66889">
        <w:t xml:space="preserve"> </w:t>
      </w:r>
      <w:proofErr w:type="spellStart"/>
      <w:r w:rsidR="00960640">
        <w:rPr>
          <w:lang w:val="en-GB"/>
        </w:rPr>
        <w:t>H</w:t>
      </w:r>
      <w:r w:rsidR="00FE5760" w:rsidRPr="006A5401">
        <w:rPr>
          <w:lang w:val="en-GB"/>
        </w:rPr>
        <w:t>ydrochar</w:t>
      </w:r>
      <w:proofErr w:type="spellEnd"/>
      <w:r w:rsidR="00FE5760" w:rsidRPr="006A5401">
        <w:rPr>
          <w:lang w:val="en-GB"/>
        </w:rPr>
        <w:t xml:space="preserve"> yield, carbon yield, </w:t>
      </w:r>
      <w:r w:rsidR="00960640">
        <w:rPr>
          <w:lang w:val="en-GB"/>
        </w:rPr>
        <w:t>ED</w:t>
      </w:r>
      <w:r w:rsidR="00FE5760" w:rsidRPr="006A5401">
        <w:rPr>
          <w:lang w:val="en-GB"/>
        </w:rPr>
        <w:t xml:space="preserve">, and </w:t>
      </w:r>
      <w:r w:rsidR="00960640">
        <w:rPr>
          <w:lang w:val="en-GB"/>
        </w:rPr>
        <w:t>EY were defined as</w:t>
      </w:r>
      <w:r w:rsidR="00FE5760" w:rsidRPr="006A5401">
        <w:rPr>
          <w:lang w:val="en-GB"/>
        </w:rPr>
        <w:t xml:space="preserve"> </w:t>
      </w:r>
      <w:r w:rsidR="00AA22B9">
        <w:rPr>
          <w:lang w:val="en-GB"/>
        </w:rPr>
        <w:t>stated</w:t>
      </w:r>
      <w:r w:rsidR="00FE5760" w:rsidRPr="006A5401">
        <w:rPr>
          <w:lang w:val="en-GB"/>
        </w:rPr>
        <w:t xml:space="preserve"> in </w:t>
      </w:r>
      <w:proofErr w:type="spellStart"/>
      <w:r w:rsidR="00FE5760" w:rsidRPr="006A5401">
        <w:rPr>
          <w:lang w:val="en-GB"/>
        </w:rPr>
        <w:t>Eqs</w:t>
      </w:r>
      <w:proofErr w:type="spellEnd"/>
      <w:r w:rsidR="00FE5760" w:rsidRPr="006A5401">
        <w:rPr>
          <w:lang w:val="en-GB"/>
        </w:rPr>
        <w:t xml:space="preserve"> (1)</w:t>
      </w:r>
      <w:r w:rsidR="00285EF3">
        <w:rPr>
          <w:lang w:val="en-GB"/>
        </w:rPr>
        <w:t xml:space="preserve"> to </w:t>
      </w:r>
      <w:r w:rsidR="00FE5760" w:rsidRPr="006A5401">
        <w:rPr>
          <w:lang w:val="en-GB"/>
        </w:rPr>
        <w:t>(4).</w:t>
      </w:r>
    </w:p>
    <w:tbl>
      <w:tblPr>
        <w:tblW w:w="5000" w:type="pct"/>
        <w:tblLook w:val="04A0" w:firstRow="1" w:lastRow="0" w:firstColumn="1" w:lastColumn="0" w:noHBand="0" w:noVBand="1"/>
      </w:tblPr>
      <w:tblGrid>
        <w:gridCol w:w="7985"/>
        <w:gridCol w:w="802"/>
      </w:tblGrid>
      <w:tr w:rsidR="002125C8" w:rsidRPr="00023AC4" w14:paraId="2716C5F5" w14:textId="77777777" w:rsidTr="00F96C1B">
        <w:tc>
          <w:tcPr>
            <w:tcW w:w="7985" w:type="dxa"/>
            <w:shd w:val="clear" w:color="auto" w:fill="auto"/>
            <w:vAlign w:val="center"/>
          </w:tcPr>
          <w:p w14:paraId="3C0A49B7" w14:textId="77777777" w:rsidR="002125C8" w:rsidRPr="0074734C" w:rsidRDefault="002125C8" w:rsidP="0074734C">
            <w:pPr>
              <w:pStyle w:val="CETEquation"/>
            </w:pPr>
            <m:oMathPara>
              <m:oMathParaPr>
                <m:jc m:val="left"/>
              </m:oMathParaPr>
              <m:oMath>
                <m:r>
                  <w:rPr>
                    <w:rFonts w:ascii="Cambria Math" w:hAnsi="Cambria Math"/>
                  </w:rPr>
                  <m:t>Y</m:t>
                </m:r>
                <m:r>
                  <m:rPr>
                    <m:sty m:val="p"/>
                  </m:rPr>
                  <w:rPr>
                    <w:rFonts w:ascii="Cambria Math" w:hAnsi="Cambria Math"/>
                  </w:rPr>
                  <m:t>=</m:t>
                </m:r>
                <m:f>
                  <m:fPr>
                    <m:ctrlPr>
                      <w:rPr>
                        <w:rFonts w:ascii="Cambria Math" w:hAnsi="Cambria Math"/>
                      </w:rPr>
                    </m:ctrlPr>
                  </m:fPr>
                  <m:num>
                    <m:r>
                      <w:rPr>
                        <w:rFonts w:ascii="Cambria Math" w:hAnsi="Cambria Math"/>
                      </w:rPr>
                      <m:t>mass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dry</m:t>
                    </m:r>
                    <m:r>
                      <m:rPr>
                        <m:sty m:val="p"/>
                      </m:rPr>
                      <w:rPr>
                        <w:rFonts w:ascii="Cambria Math" w:hAnsi="Cambria Math"/>
                      </w:rPr>
                      <m:t xml:space="preserve"> </m:t>
                    </m:r>
                    <m:r>
                      <w:rPr>
                        <w:rFonts w:ascii="Cambria Math" w:hAnsi="Cambria Math"/>
                      </w:rPr>
                      <m:t>hydrochar</m:t>
                    </m:r>
                  </m:num>
                  <m:den>
                    <m:r>
                      <w:rPr>
                        <w:rFonts w:ascii="Cambria Math" w:hAnsi="Cambria Math"/>
                      </w:rPr>
                      <m:t>mass</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dry</m:t>
                    </m:r>
                    <m:r>
                      <m:rPr>
                        <m:sty m:val="p"/>
                      </m:rPr>
                      <w:rPr>
                        <w:rFonts w:ascii="Cambria Math" w:hAnsi="Cambria Math"/>
                      </w:rPr>
                      <m:t xml:space="preserve"> </m:t>
                    </m:r>
                    <m:r>
                      <w:rPr>
                        <w:rFonts w:ascii="Cambria Math" w:hAnsi="Cambria Math"/>
                      </w:rPr>
                      <m:t>biomass</m:t>
                    </m:r>
                  </m:den>
                </m:f>
                <m:r>
                  <m:rPr>
                    <m:sty m:val="p"/>
                  </m:rPr>
                  <w:rPr>
                    <w:rFonts w:ascii="Cambria Math" w:hAnsi="Cambria Math"/>
                  </w:rPr>
                  <m:t>∙100</m:t>
                </m:r>
              </m:oMath>
            </m:oMathPara>
          </w:p>
        </w:tc>
        <w:tc>
          <w:tcPr>
            <w:tcW w:w="802" w:type="dxa"/>
            <w:shd w:val="clear" w:color="auto" w:fill="auto"/>
            <w:vAlign w:val="center"/>
          </w:tcPr>
          <w:p w14:paraId="71BAD1FD" w14:textId="77777777" w:rsidR="002125C8" w:rsidRPr="0074734C" w:rsidRDefault="002125C8" w:rsidP="0074734C">
            <w:pPr>
              <w:pStyle w:val="CETEquation"/>
              <w:jc w:val="right"/>
            </w:pPr>
            <w:r w:rsidRPr="0074734C">
              <w:t>(1)</w:t>
            </w:r>
          </w:p>
        </w:tc>
      </w:tr>
      <w:tr w:rsidR="002125C8" w:rsidRPr="00023AC4" w14:paraId="03DE2C85" w14:textId="77777777" w:rsidTr="00F96C1B">
        <w:tc>
          <w:tcPr>
            <w:tcW w:w="7985" w:type="dxa"/>
            <w:shd w:val="clear" w:color="auto" w:fill="auto"/>
            <w:vAlign w:val="center"/>
          </w:tcPr>
          <w:p w14:paraId="2FB502F9" w14:textId="0AD6513D" w:rsidR="002125C8" w:rsidRPr="0074734C" w:rsidRDefault="002125C8" w:rsidP="00D8163E">
            <w:pPr>
              <w:pStyle w:val="CETEquation"/>
              <w:spacing w:before="0"/>
              <w:rPr>
                <w:rFonts w:ascii="Cambria Math" w:hAnsi="Cambria Math"/>
                <w:oMath/>
              </w:rPr>
            </w:pPr>
            <m:oMathPara>
              <m:oMathParaPr>
                <m:jc m:val="left"/>
              </m:oMathParaPr>
              <m:oMath>
                <m:r>
                  <w:rPr>
                    <w:rFonts w:ascii="Cambria Math" w:hAnsi="Cambria Math"/>
                  </w:rPr>
                  <m:t>Carbon</m:t>
                </m:r>
                <m:r>
                  <m:rPr>
                    <m:sty m:val="p"/>
                  </m:rPr>
                  <w:rPr>
                    <w:rFonts w:ascii="Cambria Math" w:hAnsi="Cambria Math"/>
                  </w:rPr>
                  <m:t xml:space="preserve"> </m:t>
                </m:r>
                <m:r>
                  <w:rPr>
                    <w:rFonts w:ascii="Cambria Math" w:hAnsi="Cambria Math"/>
                  </w:rPr>
                  <m:t>yield</m:t>
                </m:r>
                <m:r>
                  <m:rPr>
                    <m:sty m:val="p"/>
                  </m:rPr>
                  <w:rPr>
                    <w:rFonts w:ascii="Cambria Math" w:hAnsi="Cambria Math"/>
                  </w:rPr>
                  <m:t>=</m:t>
                </m:r>
                <m:r>
                  <w:rPr>
                    <w:rFonts w:ascii="Cambria Math" w:hAnsi="Cambria Math"/>
                  </w:rPr>
                  <m:t>Y</m:t>
                </m:r>
                <m:r>
                  <m:rPr>
                    <m:sty m:val="p"/>
                  </m:rPr>
                  <w:rPr>
                    <w:rFonts w:ascii="Cambria Math" w:hAnsi="Cambria Math"/>
                  </w:rPr>
                  <m:t>∙</m:t>
                </m:r>
                <m:f>
                  <m:fPr>
                    <m:ctrlPr>
                      <w:rPr>
                        <w:rFonts w:ascii="Cambria Math" w:hAnsi="Cambria Math"/>
                      </w:rPr>
                    </m:ctrlPr>
                  </m:fPr>
                  <m:num>
                    <m:r>
                      <w:rPr>
                        <w:rFonts w:ascii="Cambria Math" w:hAnsi="Cambria Math"/>
                      </w:rPr>
                      <m:t>C</m:t>
                    </m:r>
                    <m:r>
                      <m:rPr>
                        <m:sty m:val="p"/>
                      </m:rPr>
                      <w:rPr>
                        <w:rFonts w:ascii="Cambria Math" w:hAnsi="Cambria Math"/>
                      </w:rPr>
                      <m:t xml:space="preserve"> </m:t>
                    </m:r>
                    <m:r>
                      <w:rPr>
                        <w:rFonts w:ascii="Cambria Math" w:hAnsi="Cambria Math"/>
                      </w:rPr>
                      <m:t>content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dry</m:t>
                    </m:r>
                    <m:r>
                      <m:rPr>
                        <m:sty m:val="p"/>
                      </m:rPr>
                      <w:rPr>
                        <w:rFonts w:ascii="Cambria Math" w:hAnsi="Cambria Math"/>
                      </w:rPr>
                      <m:t xml:space="preserve"> </m:t>
                    </m:r>
                    <m:r>
                      <w:rPr>
                        <w:rFonts w:ascii="Cambria Math" w:hAnsi="Cambria Math"/>
                      </w:rPr>
                      <m:t>hydrochar</m:t>
                    </m:r>
                  </m:num>
                  <m:den>
                    <m:r>
                      <w:rPr>
                        <w:rFonts w:ascii="Cambria Math" w:hAnsi="Cambria Math"/>
                      </w:rPr>
                      <m:t>C</m:t>
                    </m:r>
                    <m:r>
                      <m:rPr>
                        <m:sty m:val="p"/>
                      </m:rPr>
                      <w:rPr>
                        <w:rFonts w:ascii="Cambria Math" w:hAnsi="Cambria Math"/>
                      </w:rPr>
                      <m:t xml:space="preserve"> </m:t>
                    </m:r>
                    <m:r>
                      <w:rPr>
                        <w:rFonts w:ascii="Cambria Math" w:hAnsi="Cambria Math"/>
                      </w:rPr>
                      <m:t>content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dry</m:t>
                    </m:r>
                    <m:r>
                      <m:rPr>
                        <m:sty m:val="p"/>
                      </m:rPr>
                      <w:rPr>
                        <w:rFonts w:ascii="Cambria Math" w:hAnsi="Cambria Math"/>
                      </w:rPr>
                      <m:t xml:space="preserve"> </m:t>
                    </m:r>
                    <m:r>
                      <w:rPr>
                        <w:rFonts w:ascii="Cambria Math" w:hAnsi="Cambria Math"/>
                      </w:rPr>
                      <m:t>biomass</m:t>
                    </m:r>
                  </m:den>
                </m:f>
                <m:r>
                  <m:rPr>
                    <m:sty m:val="p"/>
                  </m:rPr>
                  <w:rPr>
                    <w:rFonts w:ascii="Cambria Math" w:hAnsi="Cambria Math"/>
                  </w:rPr>
                  <m:t>∙100</m:t>
                </m:r>
              </m:oMath>
            </m:oMathPara>
          </w:p>
        </w:tc>
        <w:tc>
          <w:tcPr>
            <w:tcW w:w="802" w:type="dxa"/>
            <w:shd w:val="clear" w:color="auto" w:fill="auto"/>
            <w:vAlign w:val="center"/>
          </w:tcPr>
          <w:p w14:paraId="4E3FE26C" w14:textId="77777777" w:rsidR="002125C8" w:rsidRPr="0074734C" w:rsidRDefault="002125C8" w:rsidP="0074734C">
            <w:pPr>
              <w:pStyle w:val="CETEquation"/>
              <w:jc w:val="right"/>
            </w:pPr>
            <w:r w:rsidRPr="0074734C">
              <w:t>(2)</w:t>
            </w:r>
          </w:p>
        </w:tc>
      </w:tr>
      <w:tr w:rsidR="002125C8" w:rsidRPr="00023AC4" w14:paraId="61233C98" w14:textId="77777777" w:rsidTr="00F96C1B">
        <w:tc>
          <w:tcPr>
            <w:tcW w:w="7985" w:type="dxa"/>
            <w:shd w:val="clear" w:color="auto" w:fill="auto"/>
            <w:vAlign w:val="center"/>
          </w:tcPr>
          <w:p w14:paraId="7D5E9147" w14:textId="77777777" w:rsidR="002125C8" w:rsidRPr="0074734C" w:rsidRDefault="002125C8" w:rsidP="00D8163E">
            <w:pPr>
              <w:pStyle w:val="CETEquation"/>
              <w:spacing w:before="0"/>
              <w:rPr>
                <w:rFonts w:ascii="Cambria Math" w:hAnsi="Cambria Math"/>
                <w:oMath/>
              </w:rPr>
            </w:pPr>
            <m:oMathPara>
              <m:oMathParaPr>
                <m:jc m:val="left"/>
              </m:oMathParaPr>
              <m:oMath>
                <m:r>
                  <w:rPr>
                    <w:rFonts w:ascii="Cambria Math" w:hAnsi="Cambria Math"/>
                  </w:rPr>
                  <m:t>ED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HHV</m:t>
                        </m:r>
                      </m:e>
                      <m:sub>
                        <m:r>
                          <w:rPr>
                            <w:rFonts w:ascii="Cambria Math" w:hAnsi="Cambria Math"/>
                          </w:rPr>
                          <m:t>dry</m:t>
                        </m:r>
                        <m:r>
                          <m:rPr>
                            <m:sty m:val="p"/>
                          </m:rPr>
                          <w:rPr>
                            <w:rFonts w:ascii="Cambria Math" w:hAnsi="Cambria Math"/>
                          </w:rPr>
                          <m:t xml:space="preserve"> </m:t>
                        </m:r>
                        <m:r>
                          <w:rPr>
                            <w:rFonts w:ascii="Cambria Math" w:hAnsi="Cambria Math"/>
                          </w:rPr>
                          <m:t>hydrochar</m:t>
                        </m:r>
                      </m:sub>
                    </m:sSub>
                  </m:num>
                  <m:den>
                    <m:sSub>
                      <m:sSubPr>
                        <m:ctrlPr>
                          <w:rPr>
                            <w:rFonts w:ascii="Cambria Math" w:hAnsi="Cambria Math"/>
                          </w:rPr>
                        </m:ctrlPr>
                      </m:sSubPr>
                      <m:e>
                        <m:r>
                          <w:rPr>
                            <w:rFonts w:ascii="Cambria Math" w:hAnsi="Cambria Math"/>
                          </w:rPr>
                          <m:t>HHV</m:t>
                        </m:r>
                      </m:e>
                      <m:sub>
                        <m:r>
                          <w:rPr>
                            <w:rFonts w:ascii="Cambria Math" w:hAnsi="Cambria Math"/>
                          </w:rPr>
                          <m:t>dry</m:t>
                        </m:r>
                        <m:r>
                          <m:rPr>
                            <m:sty m:val="p"/>
                          </m:rPr>
                          <w:rPr>
                            <w:rFonts w:ascii="Cambria Math" w:hAnsi="Cambria Math"/>
                          </w:rPr>
                          <m:t xml:space="preserve"> </m:t>
                        </m:r>
                        <m:r>
                          <w:rPr>
                            <w:rFonts w:ascii="Cambria Math" w:hAnsi="Cambria Math"/>
                          </w:rPr>
                          <m:t>biomass</m:t>
                        </m:r>
                      </m:sub>
                    </m:sSub>
                  </m:den>
                </m:f>
              </m:oMath>
            </m:oMathPara>
          </w:p>
        </w:tc>
        <w:tc>
          <w:tcPr>
            <w:tcW w:w="802" w:type="dxa"/>
            <w:shd w:val="clear" w:color="auto" w:fill="auto"/>
            <w:vAlign w:val="center"/>
          </w:tcPr>
          <w:p w14:paraId="2FF83C04" w14:textId="77777777" w:rsidR="002125C8" w:rsidRPr="0074734C" w:rsidRDefault="002125C8" w:rsidP="0074734C">
            <w:pPr>
              <w:pStyle w:val="CETEquation"/>
              <w:jc w:val="right"/>
            </w:pPr>
            <w:r w:rsidRPr="0074734C">
              <w:t>(3)</w:t>
            </w:r>
          </w:p>
        </w:tc>
      </w:tr>
      <w:tr w:rsidR="002125C8" w:rsidRPr="0074734C" w14:paraId="7D65C8C3" w14:textId="77777777" w:rsidTr="00F96C1B">
        <w:tc>
          <w:tcPr>
            <w:tcW w:w="7985" w:type="dxa"/>
            <w:shd w:val="clear" w:color="auto" w:fill="auto"/>
            <w:vAlign w:val="center"/>
          </w:tcPr>
          <w:p w14:paraId="1FD87693" w14:textId="2475C467" w:rsidR="002125C8" w:rsidRPr="0074734C" w:rsidRDefault="002125C8" w:rsidP="0074734C">
            <w:pPr>
              <w:pStyle w:val="CETEquation"/>
              <w:rPr>
                <w:rFonts w:ascii="Cambria Math" w:hAnsi="Cambria Math"/>
                <w:oMath/>
              </w:rPr>
            </w:pPr>
            <m:oMathPara>
              <m:oMathParaPr>
                <m:jc m:val="left"/>
              </m:oMathParaPr>
              <m:oMath>
                <m:r>
                  <w:rPr>
                    <w:rFonts w:ascii="Cambria Math" w:hAnsi="Cambria Math"/>
                  </w:rPr>
                  <m:t>EY</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ED</m:t>
                </m:r>
              </m:oMath>
            </m:oMathPara>
          </w:p>
        </w:tc>
        <w:tc>
          <w:tcPr>
            <w:tcW w:w="802" w:type="dxa"/>
            <w:shd w:val="clear" w:color="auto" w:fill="auto"/>
            <w:vAlign w:val="center"/>
          </w:tcPr>
          <w:p w14:paraId="4E49B9B2" w14:textId="77777777" w:rsidR="002125C8" w:rsidRPr="0074734C" w:rsidRDefault="002125C8" w:rsidP="0074734C">
            <w:pPr>
              <w:pStyle w:val="CETEquation"/>
              <w:jc w:val="right"/>
            </w:pPr>
            <w:r w:rsidRPr="0074734C">
              <w:t>(4)</w:t>
            </w:r>
          </w:p>
        </w:tc>
      </w:tr>
    </w:tbl>
    <w:p w14:paraId="47CE8F23" w14:textId="3DF451F4" w:rsidR="00357AFC" w:rsidRDefault="007A6116" w:rsidP="007A6116">
      <w:pPr>
        <w:pStyle w:val="CETBodytext"/>
        <w:rPr>
          <w:lang w:val="en-GB"/>
        </w:rPr>
      </w:pPr>
      <w:r w:rsidRPr="007A6116">
        <w:rPr>
          <w:lang w:val="en-GB"/>
        </w:rPr>
        <w:t>The Design Expert® 13 software</w:t>
      </w:r>
      <w:r w:rsidR="002902E6">
        <w:rPr>
          <w:lang w:val="en-GB"/>
        </w:rPr>
        <w:t xml:space="preserve"> </w:t>
      </w:r>
      <w:r w:rsidR="002902E6" w:rsidRPr="007A6116">
        <w:rPr>
          <w:lang w:val="en-GB"/>
        </w:rPr>
        <w:t>(Stat-Ease</w:t>
      </w:r>
      <w:r w:rsidR="002902E6">
        <w:rPr>
          <w:lang w:val="en-GB"/>
        </w:rPr>
        <w:t>, USA</w:t>
      </w:r>
      <w:r w:rsidR="002902E6" w:rsidRPr="007A6116">
        <w:rPr>
          <w:lang w:val="en-GB"/>
        </w:rPr>
        <w:t xml:space="preserve">) </w:t>
      </w:r>
      <w:r w:rsidR="00B03A45" w:rsidRPr="007A6116">
        <w:rPr>
          <w:lang w:val="en-GB"/>
        </w:rPr>
        <w:t xml:space="preserve">was </w:t>
      </w:r>
      <w:r w:rsidR="00F267A6">
        <w:rPr>
          <w:lang w:val="en-GB"/>
        </w:rPr>
        <w:t>use</w:t>
      </w:r>
      <w:r w:rsidR="00B03A45">
        <w:rPr>
          <w:lang w:val="en-GB"/>
        </w:rPr>
        <w:t>d</w:t>
      </w:r>
      <w:r w:rsidR="00B03A45" w:rsidRPr="007A6116">
        <w:rPr>
          <w:lang w:val="en-GB"/>
        </w:rPr>
        <w:t xml:space="preserve"> to </w:t>
      </w:r>
      <w:r w:rsidR="00B03A45">
        <w:rPr>
          <w:lang w:val="en-GB"/>
        </w:rPr>
        <w:t>identify</w:t>
      </w:r>
      <w:r w:rsidR="00B03A45" w:rsidRPr="007A6116">
        <w:rPr>
          <w:lang w:val="en-GB"/>
        </w:rPr>
        <w:t xml:space="preserve"> </w:t>
      </w:r>
      <w:r w:rsidR="00B03A45">
        <w:rPr>
          <w:lang w:val="en-GB"/>
        </w:rPr>
        <w:t>significant</w:t>
      </w:r>
      <w:r w:rsidR="00B03A45" w:rsidRPr="007A6116">
        <w:rPr>
          <w:lang w:val="en-GB"/>
        </w:rPr>
        <w:t xml:space="preserve"> models for each response</w:t>
      </w:r>
      <w:r w:rsidR="00357AFC">
        <w:rPr>
          <w:lang w:val="en-GB"/>
        </w:rPr>
        <w:t>.</w:t>
      </w:r>
    </w:p>
    <w:p w14:paraId="061E3515" w14:textId="2D871EAA" w:rsidR="00840163" w:rsidRPr="00B57B36" w:rsidRDefault="00840163" w:rsidP="00840163">
      <w:pPr>
        <w:pStyle w:val="CETheadingx"/>
      </w:pPr>
      <w:r w:rsidRPr="00840163">
        <w:t xml:space="preserve">Hydrothermal </w:t>
      </w:r>
      <w:r w:rsidR="003B0ED5">
        <w:t>c</w:t>
      </w:r>
      <w:r w:rsidRPr="00840163">
        <w:t>arbonization experiment</w:t>
      </w:r>
      <w:r w:rsidR="00F879DE">
        <w:t>al tests</w:t>
      </w:r>
    </w:p>
    <w:p w14:paraId="77055901" w14:textId="77777777" w:rsidR="0082287F" w:rsidRDefault="00AC2992" w:rsidP="00F82B4E">
      <w:pPr>
        <w:pStyle w:val="CETBodytext"/>
        <w:rPr>
          <w:lang w:val="en-GB"/>
        </w:rPr>
      </w:pPr>
      <w:r w:rsidRPr="00AC2992">
        <w:rPr>
          <w:lang w:val="en-GB"/>
        </w:rPr>
        <w:t>HTC experiment</w:t>
      </w:r>
      <w:r w:rsidR="00B35199">
        <w:rPr>
          <w:lang w:val="en-GB"/>
        </w:rPr>
        <w:t>al tests</w:t>
      </w:r>
      <w:r w:rsidRPr="00AC2992">
        <w:rPr>
          <w:lang w:val="en-GB"/>
        </w:rPr>
        <w:t xml:space="preserve"> were </w:t>
      </w:r>
      <w:r w:rsidR="0033267C">
        <w:rPr>
          <w:lang w:val="en-GB"/>
        </w:rPr>
        <w:t>performed</w:t>
      </w:r>
      <w:r w:rsidRPr="00AC2992">
        <w:rPr>
          <w:lang w:val="en-GB"/>
        </w:rPr>
        <w:t xml:space="preserve"> using a </w:t>
      </w:r>
      <w:r w:rsidR="00AC48F9">
        <w:rPr>
          <w:lang w:val="en-GB"/>
        </w:rPr>
        <w:t>0.3</w:t>
      </w:r>
      <w:r w:rsidRPr="00AC2992">
        <w:rPr>
          <w:lang w:val="en-GB"/>
        </w:rPr>
        <w:t xml:space="preserve"> L reactor</w:t>
      </w:r>
      <w:r w:rsidR="0033267C">
        <w:rPr>
          <w:lang w:val="en-GB"/>
        </w:rPr>
        <w:t xml:space="preserve"> (Parr, USA)</w:t>
      </w:r>
      <w:r w:rsidR="0033267C" w:rsidRPr="0033267C">
        <w:rPr>
          <w:lang w:val="en-GB"/>
        </w:rPr>
        <w:t>, equipped with mechanical stirring, heating system, temperature and pressure</w:t>
      </w:r>
      <w:r w:rsidR="0033267C">
        <w:rPr>
          <w:lang w:val="en-GB"/>
        </w:rPr>
        <w:t xml:space="preserve"> </w:t>
      </w:r>
      <w:r w:rsidR="0033267C" w:rsidRPr="0033267C">
        <w:rPr>
          <w:lang w:val="en-GB"/>
        </w:rPr>
        <w:t xml:space="preserve">sensors, and a </w:t>
      </w:r>
      <w:r w:rsidR="0033267C">
        <w:rPr>
          <w:lang w:val="en-GB"/>
        </w:rPr>
        <w:t>p</w:t>
      </w:r>
      <w:r w:rsidR="0033267C" w:rsidRPr="0033267C">
        <w:rPr>
          <w:lang w:val="en-GB"/>
        </w:rPr>
        <w:t xml:space="preserve">rocess </w:t>
      </w:r>
      <w:r w:rsidR="0033267C">
        <w:rPr>
          <w:lang w:val="en-GB"/>
        </w:rPr>
        <w:t>c</w:t>
      </w:r>
      <w:r w:rsidR="0033267C" w:rsidRPr="0033267C">
        <w:rPr>
          <w:lang w:val="en-GB"/>
        </w:rPr>
        <w:t>ontroller</w:t>
      </w:r>
      <w:r w:rsidR="0033267C">
        <w:rPr>
          <w:lang w:val="en-GB"/>
        </w:rPr>
        <w:t xml:space="preserve"> (Parr, USA). </w:t>
      </w:r>
      <w:r w:rsidRPr="00AC2992">
        <w:rPr>
          <w:lang w:val="en-GB"/>
        </w:rPr>
        <w:t xml:space="preserve">Tests were </w:t>
      </w:r>
      <w:r w:rsidR="003852C8">
        <w:rPr>
          <w:lang w:val="en-GB"/>
        </w:rPr>
        <w:t>conducted</w:t>
      </w:r>
      <w:r w:rsidRPr="00AC2992">
        <w:rPr>
          <w:lang w:val="en-GB"/>
        </w:rPr>
        <w:t xml:space="preserve"> at </w:t>
      </w:r>
      <w:r w:rsidR="0033267C">
        <w:rPr>
          <w:lang w:val="en-GB"/>
        </w:rPr>
        <w:t>different</w:t>
      </w:r>
      <w:r w:rsidRPr="00AC2992">
        <w:rPr>
          <w:lang w:val="en-GB"/>
        </w:rPr>
        <w:t xml:space="preserve"> reaction temperatures, reaction times, and solid contents, </w:t>
      </w:r>
      <w:r w:rsidR="0033267C">
        <w:rPr>
          <w:lang w:val="en-GB"/>
        </w:rPr>
        <w:t>following the</w:t>
      </w:r>
      <w:r w:rsidRPr="00AC2992">
        <w:rPr>
          <w:lang w:val="en-GB"/>
        </w:rPr>
        <w:t xml:space="preserve"> design matrix </w:t>
      </w:r>
      <w:r w:rsidR="00014A4C">
        <w:rPr>
          <w:lang w:val="en-GB"/>
        </w:rPr>
        <w:t>displayed</w:t>
      </w:r>
      <w:r w:rsidR="0033267C">
        <w:rPr>
          <w:lang w:val="en-GB"/>
        </w:rPr>
        <w:t xml:space="preserve"> in Table 2</w:t>
      </w:r>
      <w:r w:rsidRPr="00AC2992">
        <w:rPr>
          <w:lang w:val="en-GB"/>
        </w:rPr>
        <w:t xml:space="preserve">. </w:t>
      </w:r>
      <w:r w:rsidR="006E5E0A">
        <w:rPr>
          <w:lang w:val="en-GB"/>
        </w:rPr>
        <w:t>At the beginning of</w:t>
      </w:r>
      <w:r w:rsidR="00FD150C">
        <w:rPr>
          <w:lang w:val="en-GB"/>
        </w:rPr>
        <w:t xml:space="preserve"> each</w:t>
      </w:r>
      <w:r w:rsidRPr="00AC2992">
        <w:rPr>
          <w:lang w:val="en-GB"/>
        </w:rPr>
        <w:t xml:space="preserve"> </w:t>
      </w:r>
      <w:r w:rsidR="00AC48F9">
        <w:rPr>
          <w:lang w:val="en-GB"/>
        </w:rPr>
        <w:t>test</w:t>
      </w:r>
      <w:r w:rsidR="009D0C84">
        <w:rPr>
          <w:lang w:val="en-GB"/>
        </w:rPr>
        <w:t>,</w:t>
      </w:r>
      <w:r w:rsidRPr="00AC2992">
        <w:rPr>
          <w:lang w:val="en-GB"/>
        </w:rPr>
        <w:t xml:space="preserve"> the reactor</w:t>
      </w:r>
      <w:r w:rsidR="00FD150C">
        <w:rPr>
          <w:lang w:val="en-GB"/>
        </w:rPr>
        <w:t xml:space="preserve"> was loaded</w:t>
      </w:r>
      <w:r w:rsidRPr="00AC2992">
        <w:rPr>
          <w:lang w:val="en-GB"/>
        </w:rPr>
        <w:t xml:space="preserve"> with </w:t>
      </w:r>
      <w:r w:rsidR="00FD150C">
        <w:rPr>
          <w:lang w:val="en-GB"/>
        </w:rPr>
        <w:t>BSG</w:t>
      </w:r>
      <w:r w:rsidRPr="00AC2992">
        <w:rPr>
          <w:lang w:val="en-GB"/>
        </w:rPr>
        <w:t xml:space="preserve"> and </w:t>
      </w:r>
      <w:r w:rsidR="006E5E0A">
        <w:rPr>
          <w:lang w:val="en-GB"/>
        </w:rPr>
        <w:t>deionised</w:t>
      </w:r>
      <w:r w:rsidRPr="00AC2992">
        <w:rPr>
          <w:lang w:val="en-GB"/>
        </w:rPr>
        <w:t xml:space="preserve"> water to </w:t>
      </w:r>
      <w:r w:rsidR="00761CA6">
        <w:rPr>
          <w:lang w:val="en-GB"/>
        </w:rPr>
        <w:t>achieve</w:t>
      </w:r>
      <w:r w:rsidRPr="00AC2992">
        <w:rPr>
          <w:lang w:val="en-GB"/>
        </w:rPr>
        <w:t xml:space="preserve"> the desired solid </w:t>
      </w:r>
      <w:r w:rsidR="00761CA6">
        <w:rPr>
          <w:lang w:val="en-GB"/>
        </w:rPr>
        <w:t>load</w:t>
      </w:r>
      <w:r w:rsidRPr="00AC2992">
        <w:rPr>
          <w:lang w:val="en-GB"/>
        </w:rPr>
        <w:t xml:space="preserve">. </w:t>
      </w:r>
      <w:r w:rsidR="006E5E0A">
        <w:rPr>
          <w:lang w:val="en-GB"/>
        </w:rPr>
        <w:t>A</w:t>
      </w:r>
      <w:r w:rsidR="006E5E0A" w:rsidRPr="006E5E0A">
        <w:rPr>
          <w:lang w:val="en-GB"/>
        </w:rPr>
        <w:t>t the end of the test</w:t>
      </w:r>
      <w:r w:rsidRPr="00AC2992">
        <w:rPr>
          <w:lang w:val="en-GB"/>
        </w:rPr>
        <w:t xml:space="preserve">, the obtained slurry was </w:t>
      </w:r>
      <w:r w:rsidR="009D0C84">
        <w:rPr>
          <w:lang w:val="en-GB"/>
        </w:rPr>
        <w:t>recovered</w:t>
      </w:r>
      <w:r w:rsidRPr="00AC2992">
        <w:rPr>
          <w:lang w:val="en-GB"/>
        </w:rPr>
        <w:t xml:space="preserve">, and the solid </w:t>
      </w:r>
      <w:r w:rsidR="009D0C84">
        <w:rPr>
          <w:lang w:val="en-GB"/>
        </w:rPr>
        <w:t xml:space="preserve">product (i.e., </w:t>
      </w:r>
      <w:proofErr w:type="spellStart"/>
      <w:r w:rsidR="009D0C84">
        <w:rPr>
          <w:lang w:val="en-GB"/>
        </w:rPr>
        <w:t>hydrochar</w:t>
      </w:r>
      <w:proofErr w:type="spellEnd"/>
      <w:r w:rsidR="009D0C84">
        <w:rPr>
          <w:lang w:val="en-GB"/>
        </w:rPr>
        <w:t>)</w:t>
      </w:r>
      <w:r w:rsidRPr="00AC2992">
        <w:rPr>
          <w:lang w:val="en-GB"/>
        </w:rPr>
        <w:t xml:space="preserve"> was separated </w:t>
      </w:r>
      <w:r w:rsidR="009D0C84">
        <w:rPr>
          <w:lang w:val="en-GB"/>
        </w:rPr>
        <w:t>by</w:t>
      </w:r>
      <w:r w:rsidRPr="00AC2992">
        <w:rPr>
          <w:lang w:val="en-GB"/>
        </w:rPr>
        <w:t xml:space="preserve"> filtration</w:t>
      </w:r>
      <w:r w:rsidR="009D0C84">
        <w:rPr>
          <w:lang w:val="en-GB"/>
        </w:rPr>
        <w:t xml:space="preserve">, rinsed with </w:t>
      </w:r>
      <w:r w:rsidR="002C1ABD">
        <w:rPr>
          <w:lang w:val="en-GB"/>
        </w:rPr>
        <w:t xml:space="preserve">deionised </w:t>
      </w:r>
      <w:r w:rsidR="009D0C84">
        <w:rPr>
          <w:lang w:val="en-GB"/>
        </w:rPr>
        <w:t xml:space="preserve">water, dried at </w:t>
      </w:r>
      <w:r w:rsidRPr="00AC2992">
        <w:rPr>
          <w:lang w:val="en-GB"/>
        </w:rPr>
        <w:t xml:space="preserve">105 °C, </w:t>
      </w:r>
      <w:r w:rsidR="00F82B4E">
        <w:rPr>
          <w:lang w:val="en-GB"/>
        </w:rPr>
        <w:t>and weighed.</w:t>
      </w:r>
      <w:r w:rsidRPr="00AC2992">
        <w:rPr>
          <w:lang w:val="en-GB"/>
        </w:rPr>
        <w:t xml:space="preserve"> </w:t>
      </w:r>
      <w:proofErr w:type="spellStart"/>
      <w:r w:rsidR="00F82B4E">
        <w:rPr>
          <w:lang w:val="en-GB"/>
        </w:rPr>
        <w:t>Hydrochar</w:t>
      </w:r>
      <w:proofErr w:type="spellEnd"/>
      <w:r w:rsidR="00F82B4E">
        <w:rPr>
          <w:lang w:val="en-GB"/>
        </w:rPr>
        <w:t xml:space="preserve"> samples </w:t>
      </w:r>
      <w:r w:rsidR="00343F34">
        <w:rPr>
          <w:lang w:val="en-GB"/>
        </w:rPr>
        <w:t>were characteri</w:t>
      </w:r>
      <w:r w:rsidR="0032373D">
        <w:rPr>
          <w:lang w:val="en-GB"/>
        </w:rPr>
        <w:t>z</w:t>
      </w:r>
      <w:r w:rsidR="00343F34">
        <w:rPr>
          <w:lang w:val="en-GB"/>
        </w:rPr>
        <w:t>ed by proximate analysis, ultimate analysis and HHV determination.</w:t>
      </w:r>
    </w:p>
    <w:p w14:paraId="1D0B0B2E" w14:textId="25D17C2A" w:rsidR="002853DE" w:rsidRPr="00B57B36" w:rsidRDefault="002853DE" w:rsidP="002853DE">
      <w:pPr>
        <w:pStyle w:val="CETTabletitle"/>
      </w:pPr>
      <w:r w:rsidRPr="00B57B36">
        <w:lastRenderedPageBreak/>
        <w:t xml:space="preserve">Table </w:t>
      </w:r>
      <w:r>
        <w:t>2</w:t>
      </w:r>
      <w:r w:rsidRPr="00B57B36">
        <w:t xml:space="preserve">: </w:t>
      </w:r>
      <w:r w:rsidRPr="002853DE">
        <w:t>Experimental design matrix for HTC tests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871"/>
        <w:gridCol w:w="1871"/>
        <w:gridCol w:w="1871"/>
      </w:tblGrid>
      <w:tr w:rsidR="00810E85" w:rsidRPr="00B57B36" w14:paraId="2D38A351" w14:textId="77777777" w:rsidTr="005E13CE">
        <w:tc>
          <w:tcPr>
            <w:tcW w:w="851" w:type="dxa"/>
            <w:tcBorders>
              <w:top w:val="single" w:sz="12" w:space="0" w:color="008000"/>
              <w:bottom w:val="single" w:sz="6" w:space="0" w:color="008000"/>
            </w:tcBorders>
            <w:shd w:val="clear" w:color="auto" w:fill="FFFFFF"/>
          </w:tcPr>
          <w:p w14:paraId="4BB8A280" w14:textId="5EDF049F" w:rsidR="00810E85" w:rsidRPr="00B57B36" w:rsidRDefault="00810E85" w:rsidP="00C64F90">
            <w:pPr>
              <w:pStyle w:val="CETBodytext"/>
              <w:rPr>
                <w:lang w:val="en-GB"/>
              </w:rPr>
            </w:pPr>
            <w:r>
              <w:rPr>
                <w:lang w:val="en-GB"/>
              </w:rPr>
              <w:t>Run</w:t>
            </w:r>
          </w:p>
        </w:tc>
        <w:tc>
          <w:tcPr>
            <w:tcW w:w="1871" w:type="dxa"/>
            <w:tcBorders>
              <w:top w:val="single" w:sz="12" w:space="0" w:color="008000"/>
              <w:bottom w:val="single" w:sz="6" w:space="0" w:color="008000"/>
            </w:tcBorders>
            <w:shd w:val="clear" w:color="auto" w:fill="FFFFFF"/>
          </w:tcPr>
          <w:p w14:paraId="59BA270D" w14:textId="4623B1B1" w:rsidR="00810E85" w:rsidRPr="00B57B36" w:rsidRDefault="00810E85" w:rsidP="00D1406B">
            <w:pPr>
              <w:pStyle w:val="CETBodytext"/>
              <w:jc w:val="center"/>
              <w:rPr>
                <w:lang w:val="en-GB"/>
              </w:rPr>
            </w:pPr>
            <w:r>
              <w:rPr>
                <w:lang w:val="en-GB"/>
              </w:rPr>
              <w:t>A: Temperature (°C)</w:t>
            </w:r>
          </w:p>
        </w:tc>
        <w:tc>
          <w:tcPr>
            <w:tcW w:w="1871" w:type="dxa"/>
            <w:tcBorders>
              <w:top w:val="single" w:sz="12" w:space="0" w:color="008000"/>
              <w:bottom w:val="single" w:sz="6" w:space="0" w:color="008000"/>
            </w:tcBorders>
            <w:shd w:val="clear" w:color="auto" w:fill="FFFFFF"/>
          </w:tcPr>
          <w:p w14:paraId="5578FE28" w14:textId="54D8965F" w:rsidR="00810E85" w:rsidRPr="00B57B36" w:rsidRDefault="00810E85" w:rsidP="00D1406B">
            <w:pPr>
              <w:pStyle w:val="CETBodytext"/>
              <w:ind w:right="-1"/>
              <w:jc w:val="center"/>
              <w:rPr>
                <w:rFonts w:cs="Arial"/>
                <w:szCs w:val="18"/>
                <w:lang w:val="en-GB"/>
              </w:rPr>
            </w:pPr>
            <w:r>
              <w:rPr>
                <w:rFonts w:cs="Arial"/>
                <w:szCs w:val="18"/>
                <w:lang w:val="en-GB"/>
              </w:rPr>
              <w:t>B: Time (min)</w:t>
            </w:r>
          </w:p>
        </w:tc>
        <w:tc>
          <w:tcPr>
            <w:tcW w:w="1871" w:type="dxa"/>
            <w:tcBorders>
              <w:top w:val="single" w:sz="12" w:space="0" w:color="008000"/>
              <w:bottom w:val="single" w:sz="6" w:space="0" w:color="008000"/>
            </w:tcBorders>
            <w:shd w:val="clear" w:color="auto" w:fill="FFFFFF"/>
          </w:tcPr>
          <w:p w14:paraId="1DBB159B" w14:textId="07DECC20" w:rsidR="00810E85" w:rsidRPr="00B57B36" w:rsidRDefault="00810E85" w:rsidP="00D1406B">
            <w:pPr>
              <w:pStyle w:val="CETBodytext"/>
              <w:ind w:right="-1"/>
              <w:jc w:val="center"/>
              <w:rPr>
                <w:rFonts w:cs="Arial"/>
                <w:szCs w:val="18"/>
                <w:lang w:val="en-GB"/>
              </w:rPr>
            </w:pPr>
            <w:r>
              <w:rPr>
                <w:rFonts w:cs="Arial"/>
                <w:szCs w:val="18"/>
                <w:lang w:val="en-GB"/>
              </w:rPr>
              <w:t>C: Solid content (</w:t>
            </w:r>
            <w:proofErr w:type="spellStart"/>
            <w:r>
              <w:rPr>
                <w:rFonts w:cs="Arial"/>
                <w:szCs w:val="18"/>
                <w:lang w:val="en-GB"/>
              </w:rPr>
              <w:t>wt</w:t>
            </w:r>
            <w:proofErr w:type="spellEnd"/>
            <w:r>
              <w:rPr>
                <w:rFonts w:cs="Arial"/>
                <w:szCs w:val="18"/>
                <w:lang w:val="en-GB"/>
              </w:rPr>
              <w:t xml:space="preserve"> %)</w:t>
            </w:r>
          </w:p>
        </w:tc>
      </w:tr>
      <w:tr w:rsidR="00810E85" w:rsidRPr="00B57B36" w14:paraId="244B447A" w14:textId="77777777" w:rsidTr="005E13CE">
        <w:tc>
          <w:tcPr>
            <w:tcW w:w="851" w:type="dxa"/>
            <w:shd w:val="clear" w:color="auto" w:fill="FFFFFF"/>
          </w:tcPr>
          <w:p w14:paraId="70DE2341" w14:textId="182B837A" w:rsidR="00810E85" w:rsidRPr="00B57B36" w:rsidRDefault="00810E85" w:rsidP="00C64F90">
            <w:pPr>
              <w:pStyle w:val="CETBodytext"/>
              <w:rPr>
                <w:lang w:val="en-GB"/>
              </w:rPr>
            </w:pPr>
            <w:r>
              <w:rPr>
                <w:lang w:val="en-GB"/>
              </w:rPr>
              <w:t>1</w:t>
            </w:r>
          </w:p>
        </w:tc>
        <w:tc>
          <w:tcPr>
            <w:tcW w:w="1871" w:type="dxa"/>
            <w:shd w:val="clear" w:color="auto" w:fill="FFFFFF"/>
          </w:tcPr>
          <w:p w14:paraId="0B2DE52A" w14:textId="708EA4DA" w:rsidR="00810E85" w:rsidRPr="00B57B36" w:rsidRDefault="00810E85" w:rsidP="00D1406B">
            <w:pPr>
              <w:pStyle w:val="CETBodytext"/>
              <w:jc w:val="center"/>
              <w:rPr>
                <w:lang w:val="en-GB"/>
              </w:rPr>
            </w:pPr>
            <w:r>
              <w:rPr>
                <w:lang w:val="en-GB"/>
              </w:rPr>
              <w:t>260</w:t>
            </w:r>
          </w:p>
        </w:tc>
        <w:tc>
          <w:tcPr>
            <w:tcW w:w="1871" w:type="dxa"/>
            <w:shd w:val="clear" w:color="auto" w:fill="FFFFFF"/>
          </w:tcPr>
          <w:p w14:paraId="7ABD22C5" w14:textId="0BF2BA40" w:rsidR="00810E85" w:rsidRPr="00B57B36" w:rsidRDefault="00810E85" w:rsidP="00D1406B">
            <w:pPr>
              <w:pStyle w:val="CETBodytext"/>
              <w:ind w:right="-1"/>
              <w:jc w:val="center"/>
              <w:rPr>
                <w:rFonts w:cs="Arial"/>
                <w:szCs w:val="18"/>
                <w:lang w:val="en-GB"/>
              </w:rPr>
            </w:pPr>
            <w:r>
              <w:rPr>
                <w:rFonts w:cs="Arial"/>
                <w:szCs w:val="18"/>
                <w:lang w:val="en-GB"/>
              </w:rPr>
              <w:t>30</w:t>
            </w:r>
          </w:p>
        </w:tc>
        <w:tc>
          <w:tcPr>
            <w:tcW w:w="1871" w:type="dxa"/>
            <w:shd w:val="clear" w:color="auto" w:fill="FFFFFF"/>
          </w:tcPr>
          <w:p w14:paraId="44EBC758" w14:textId="4BDEB560" w:rsidR="00810E85" w:rsidRPr="00B57B36" w:rsidRDefault="00810E85" w:rsidP="00D1406B">
            <w:pPr>
              <w:pStyle w:val="CETBodytext"/>
              <w:ind w:right="-1"/>
              <w:jc w:val="center"/>
              <w:rPr>
                <w:rFonts w:cs="Arial"/>
                <w:szCs w:val="18"/>
                <w:lang w:val="en-GB"/>
              </w:rPr>
            </w:pPr>
            <w:r>
              <w:rPr>
                <w:rFonts w:cs="Arial"/>
                <w:szCs w:val="18"/>
                <w:lang w:val="en-GB"/>
              </w:rPr>
              <w:t>25</w:t>
            </w:r>
          </w:p>
        </w:tc>
      </w:tr>
      <w:tr w:rsidR="00810E85" w:rsidRPr="00B57B36" w14:paraId="6D40ECC1" w14:textId="77777777" w:rsidTr="005E13CE">
        <w:tc>
          <w:tcPr>
            <w:tcW w:w="851" w:type="dxa"/>
            <w:shd w:val="clear" w:color="auto" w:fill="FFFFFF"/>
          </w:tcPr>
          <w:p w14:paraId="1E0A35E9" w14:textId="585FB0FE" w:rsidR="00810E85" w:rsidRPr="00B57B36" w:rsidRDefault="00810E85" w:rsidP="00C64F90">
            <w:pPr>
              <w:pStyle w:val="CETBodytext"/>
              <w:rPr>
                <w:lang w:val="en-GB"/>
              </w:rPr>
            </w:pPr>
            <w:r>
              <w:rPr>
                <w:lang w:val="en-GB"/>
              </w:rPr>
              <w:t>2</w:t>
            </w:r>
          </w:p>
        </w:tc>
        <w:tc>
          <w:tcPr>
            <w:tcW w:w="1871" w:type="dxa"/>
            <w:shd w:val="clear" w:color="auto" w:fill="FFFFFF"/>
          </w:tcPr>
          <w:p w14:paraId="394C5F09" w14:textId="37D8CC54" w:rsidR="00810E85" w:rsidRPr="00B57B36" w:rsidRDefault="00810E85" w:rsidP="00D1406B">
            <w:pPr>
              <w:pStyle w:val="CETBodytext"/>
              <w:jc w:val="center"/>
              <w:rPr>
                <w:lang w:val="en-GB"/>
              </w:rPr>
            </w:pPr>
            <w:r>
              <w:rPr>
                <w:lang w:val="en-GB"/>
              </w:rPr>
              <w:t>230</w:t>
            </w:r>
          </w:p>
        </w:tc>
        <w:tc>
          <w:tcPr>
            <w:tcW w:w="1871" w:type="dxa"/>
            <w:shd w:val="clear" w:color="auto" w:fill="FFFFFF"/>
          </w:tcPr>
          <w:p w14:paraId="41E6A879" w14:textId="562F9A43"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48D9F961" w14:textId="5C494633" w:rsidR="00810E85" w:rsidRPr="00B57B36" w:rsidRDefault="00810E85" w:rsidP="00D1406B">
            <w:pPr>
              <w:pStyle w:val="CETBodytext"/>
              <w:ind w:right="-1"/>
              <w:jc w:val="center"/>
              <w:rPr>
                <w:rFonts w:cs="Arial"/>
                <w:szCs w:val="18"/>
                <w:lang w:val="en-GB"/>
              </w:rPr>
            </w:pPr>
            <w:r>
              <w:rPr>
                <w:rFonts w:cs="Arial"/>
                <w:szCs w:val="18"/>
                <w:lang w:val="en-GB"/>
              </w:rPr>
              <w:t>5</w:t>
            </w:r>
          </w:p>
        </w:tc>
      </w:tr>
      <w:tr w:rsidR="00810E85" w:rsidRPr="00B57B36" w14:paraId="0C54E139" w14:textId="77777777" w:rsidTr="005E13CE">
        <w:tc>
          <w:tcPr>
            <w:tcW w:w="851" w:type="dxa"/>
            <w:shd w:val="clear" w:color="auto" w:fill="FFFFFF"/>
          </w:tcPr>
          <w:p w14:paraId="6A4FF5A8" w14:textId="6A15D9A9" w:rsidR="00810E85" w:rsidRPr="00B57B36" w:rsidRDefault="00810E85" w:rsidP="00973FDF">
            <w:pPr>
              <w:pStyle w:val="CETBodytext"/>
              <w:rPr>
                <w:lang w:val="en-GB"/>
              </w:rPr>
            </w:pPr>
            <w:r>
              <w:rPr>
                <w:lang w:val="en-GB"/>
              </w:rPr>
              <w:t>3</w:t>
            </w:r>
          </w:p>
        </w:tc>
        <w:tc>
          <w:tcPr>
            <w:tcW w:w="1871" w:type="dxa"/>
            <w:shd w:val="clear" w:color="auto" w:fill="FFFFFF"/>
          </w:tcPr>
          <w:p w14:paraId="6E6FE3C9" w14:textId="6D4C4EC8" w:rsidR="00810E85" w:rsidRPr="00B57B36" w:rsidRDefault="00810E85" w:rsidP="00D1406B">
            <w:pPr>
              <w:pStyle w:val="CETBodytext"/>
              <w:jc w:val="center"/>
              <w:rPr>
                <w:lang w:val="en-GB"/>
              </w:rPr>
            </w:pPr>
            <w:r>
              <w:rPr>
                <w:lang w:val="en-GB"/>
              </w:rPr>
              <w:t>200</w:t>
            </w:r>
          </w:p>
        </w:tc>
        <w:tc>
          <w:tcPr>
            <w:tcW w:w="1871" w:type="dxa"/>
            <w:shd w:val="clear" w:color="auto" w:fill="FFFFFF"/>
          </w:tcPr>
          <w:p w14:paraId="55828690" w14:textId="0E571400" w:rsidR="00810E85" w:rsidRPr="00B57B36" w:rsidRDefault="00810E85" w:rsidP="00D1406B">
            <w:pPr>
              <w:pStyle w:val="CETBodytext"/>
              <w:ind w:right="-1"/>
              <w:jc w:val="center"/>
              <w:rPr>
                <w:rFonts w:cs="Arial"/>
                <w:szCs w:val="18"/>
                <w:lang w:val="en-GB"/>
              </w:rPr>
            </w:pPr>
            <w:r>
              <w:rPr>
                <w:rFonts w:cs="Arial"/>
                <w:szCs w:val="18"/>
                <w:lang w:val="en-GB"/>
              </w:rPr>
              <w:t>30</w:t>
            </w:r>
          </w:p>
        </w:tc>
        <w:tc>
          <w:tcPr>
            <w:tcW w:w="1871" w:type="dxa"/>
            <w:shd w:val="clear" w:color="auto" w:fill="FFFFFF"/>
          </w:tcPr>
          <w:p w14:paraId="0B711590" w14:textId="09C4C1BE" w:rsidR="00810E85" w:rsidRPr="00B57B36" w:rsidRDefault="00810E85" w:rsidP="00D1406B">
            <w:pPr>
              <w:pStyle w:val="CETBodytext"/>
              <w:ind w:right="-1"/>
              <w:jc w:val="center"/>
              <w:rPr>
                <w:rFonts w:cs="Arial"/>
                <w:szCs w:val="18"/>
                <w:lang w:val="en-GB"/>
              </w:rPr>
            </w:pPr>
            <w:r>
              <w:rPr>
                <w:rFonts w:cs="Arial"/>
                <w:szCs w:val="18"/>
                <w:lang w:val="en-GB"/>
              </w:rPr>
              <w:t>5</w:t>
            </w:r>
          </w:p>
        </w:tc>
      </w:tr>
      <w:tr w:rsidR="00810E85" w:rsidRPr="00B57B36" w14:paraId="3709D41D" w14:textId="77777777" w:rsidTr="005E13CE">
        <w:tc>
          <w:tcPr>
            <w:tcW w:w="851" w:type="dxa"/>
            <w:shd w:val="clear" w:color="auto" w:fill="FFFFFF"/>
          </w:tcPr>
          <w:p w14:paraId="2F510C1E" w14:textId="67FAB49D" w:rsidR="00810E85" w:rsidRPr="00B57B36" w:rsidRDefault="00810E85" w:rsidP="00973FDF">
            <w:pPr>
              <w:pStyle w:val="CETBodytext"/>
              <w:rPr>
                <w:lang w:val="en-GB"/>
              </w:rPr>
            </w:pPr>
            <w:r>
              <w:rPr>
                <w:lang w:val="en-GB"/>
              </w:rPr>
              <w:t>4</w:t>
            </w:r>
          </w:p>
        </w:tc>
        <w:tc>
          <w:tcPr>
            <w:tcW w:w="1871" w:type="dxa"/>
            <w:shd w:val="clear" w:color="auto" w:fill="FFFFFF"/>
          </w:tcPr>
          <w:p w14:paraId="7315F310" w14:textId="5A1CF3A5" w:rsidR="00810E85" w:rsidRPr="00B57B36" w:rsidRDefault="00810E85" w:rsidP="00D1406B">
            <w:pPr>
              <w:pStyle w:val="CETBodytext"/>
              <w:jc w:val="center"/>
              <w:rPr>
                <w:lang w:val="en-GB"/>
              </w:rPr>
            </w:pPr>
            <w:r>
              <w:rPr>
                <w:lang w:val="en-GB"/>
              </w:rPr>
              <w:t>260</w:t>
            </w:r>
          </w:p>
        </w:tc>
        <w:tc>
          <w:tcPr>
            <w:tcW w:w="1871" w:type="dxa"/>
            <w:shd w:val="clear" w:color="auto" w:fill="FFFFFF"/>
          </w:tcPr>
          <w:p w14:paraId="2C1AA958" w14:textId="4DE59C40"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15DF6A9D" w14:textId="49088F2F" w:rsidR="00810E85" w:rsidRPr="00B57B36" w:rsidRDefault="00810E85" w:rsidP="00D1406B">
            <w:pPr>
              <w:pStyle w:val="CETBodytext"/>
              <w:ind w:right="-1"/>
              <w:jc w:val="center"/>
              <w:rPr>
                <w:rFonts w:cs="Arial"/>
                <w:szCs w:val="18"/>
                <w:lang w:val="en-GB"/>
              </w:rPr>
            </w:pPr>
            <w:r>
              <w:rPr>
                <w:rFonts w:cs="Arial"/>
                <w:szCs w:val="18"/>
                <w:lang w:val="en-GB"/>
              </w:rPr>
              <w:t>15</w:t>
            </w:r>
          </w:p>
        </w:tc>
      </w:tr>
      <w:tr w:rsidR="00810E85" w:rsidRPr="00B57B36" w14:paraId="775D3E01" w14:textId="77777777" w:rsidTr="005E13CE">
        <w:tc>
          <w:tcPr>
            <w:tcW w:w="851" w:type="dxa"/>
            <w:shd w:val="clear" w:color="auto" w:fill="FFFFFF"/>
          </w:tcPr>
          <w:p w14:paraId="3B8851B1" w14:textId="64D0B200" w:rsidR="00810E85" w:rsidRPr="00B57B36" w:rsidRDefault="00810E85" w:rsidP="00C64F90">
            <w:pPr>
              <w:pStyle w:val="CETBodytext"/>
              <w:rPr>
                <w:lang w:val="en-GB"/>
              </w:rPr>
            </w:pPr>
            <w:r>
              <w:rPr>
                <w:lang w:val="en-GB"/>
              </w:rPr>
              <w:t>5</w:t>
            </w:r>
          </w:p>
        </w:tc>
        <w:tc>
          <w:tcPr>
            <w:tcW w:w="1871" w:type="dxa"/>
            <w:shd w:val="clear" w:color="auto" w:fill="FFFFFF"/>
          </w:tcPr>
          <w:p w14:paraId="23129D21" w14:textId="631FB861" w:rsidR="00810E85" w:rsidRPr="00B57B36" w:rsidRDefault="00810E85" w:rsidP="00D1406B">
            <w:pPr>
              <w:pStyle w:val="CETBodytext"/>
              <w:jc w:val="center"/>
              <w:rPr>
                <w:lang w:val="en-GB"/>
              </w:rPr>
            </w:pPr>
            <w:r>
              <w:rPr>
                <w:lang w:val="en-GB"/>
              </w:rPr>
              <w:t>230</w:t>
            </w:r>
          </w:p>
        </w:tc>
        <w:tc>
          <w:tcPr>
            <w:tcW w:w="1871" w:type="dxa"/>
            <w:shd w:val="clear" w:color="auto" w:fill="FFFFFF"/>
          </w:tcPr>
          <w:p w14:paraId="1C22C28C" w14:textId="29B03AEE"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7C8E3A3D" w14:textId="4116E2F7" w:rsidR="00810E85" w:rsidRPr="00B57B36" w:rsidRDefault="00810E85" w:rsidP="00D1406B">
            <w:pPr>
              <w:pStyle w:val="CETBodytext"/>
              <w:ind w:right="-1"/>
              <w:jc w:val="center"/>
              <w:rPr>
                <w:rFonts w:cs="Arial"/>
                <w:szCs w:val="18"/>
                <w:lang w:val="en-GB"/>
              </w:rPr>
            </w:pPr>
            <w:r>
              <w:rPr>
                <w:rFonts w:cs="Arial"/>
                <w:szCs w:val="18"/>
                <w:lang w:val="en-GB"/>
              </w:rPr>
              <w:t>15</w:t>
            </w:r>
          </w:p>
        </w:tc>
      </w:tr>
      <w:tr w:rsidR="00810E85" w:rsidRPr="00B57B36" w14:paraId="43B5915C" w14:textId="77777777" w:rsidTr="005E13CE">
        <w:tc>
          <w:tcPr>
            <w:tcW w:w="851" w:type="dxa"/>
            <w:shd w:val="clear" w:color="auto" w:fill="FFFFFF"/>
          </w:tcPr>
          <w:p w14:paraId="4F209257" w14:textId="64EB4BE2" w:rsidR="00810E85" w:rsidRPr="00B57B36" w:rsidRDefault="00810E85" w:rsidP="00BA23E5">
            <w:pPr>
              <w:pStyle w:val="CETBodytext"/>
              <w:rPr>
                <w:lang w:val="en-GB"/>
              </w:rPr>
            </w:pPr>
            <w:r>
              <w:rPr>
                <w:lang w:val="en-GB"/>
              </w:rPr>
              <w:t>6</w:t>
            </w:r>
          </w:p>
        </w:tc>
        <w:tc>
          <w:tcPr>
            <w:tcW w:w="1871" w:type="dxa"/>
            <w:shd w:val="clear" w:color="auto" w:fill="FFFFFF"/>
          </w:tcPr>
          <w:p w14:paraId="66D031DC" w14:textId="68A6A265" w:rsidR="00810E85" w:rsidRPr="00B57B36" w:rsidRDefault="00810E85" w:rsidP="00D1406B">
            <w:pPr>
              <w:pStyle w:val="CETBodytext"/>
              <w:jc w:val="center"/>
              <w:rPr>
                <w:lang w:val="en-GB"/>
              </w:rPr>
            </w:pPr>
            <w:r>
              <w:rPr>
                <w:lang w:val="en-GB"/>
              </w:rPr>
              <w:t>230</w:t>
            </w:r>
          </w:p>
        </w:tc>
        <w:tc>
          <w:tcPr>
            <w:tcW w:w="1871" w:type="dxa"/>
            <w:shd w:val="clear" w:color="auto" w:fill="FFFFFF"/>
          </w:tcPr>
          <w:p w14:paraId="5C15A55A" w14:textId="5BB0F639"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45756522" w14:textId="2EE2DA60" w:rsidR="00810E85" w:rsidRPr="00B57B36" w:rsidRDefault="00810E85" w:rsidP="00D1406B">
            <w:pPr>
              <w:pStyle w:val="CETBodytext"/>
              <w:ind w:right="-1"/>
              <w:jc w:val="center"/>
              <w:rPr>
                <w:rFonts w:cs="Arial"/>
                <w:szCs w:val="18"/>
                <w:lang w:val="en-GB"/>
              </w:rPr>
            </w:pPr>
            <w:r>
              <w:rPr>
                <w:rFonts w:cs="Arial"/>
                <w:szCs w:val="18"/>
                <w:lang w:val="en-GB"/>
              </w:rPr>
              <w:t>15</w:t>
            </w:r>
          </w:p>
        </w:tc>
      </w:tr>
      <w:tr w:rsidR="00810E85" w:rsidRPr="00B57B36" w14:paraId="185ABA4B" w14:textId="77777777" w:rsidTr="005E13CE">
        <w:tc>
          <w:tcPr>
            <w:tcW w:w="851" w:type="dxa"/>
            <w:shd w:val="clear" w:color="auto" w:fill="FFFFFF"/>
          </w:tcPr>
          <w:p w14:paraId="44522345" w14:textId="52BDE9BB" w:rsidR="00810E85" w:rsidRPr="00B57B36" w:rsidRDefault="00810E85" w:rsidP="00C64F90">
            <w:pPr>
              <w:pStyle w:val="CETBodytext"/>
              <w:rPr>
                <w:lang w:val="en-GB"/>
              </w:rPr>
            </w:pPr>
            <w:r>
              <w:rPr>
                <w:lang w:val="en-GB"/>
              </w:rPr>
              <w:t>7</w:t>
            </w:r>
          </w:p>
        </w:tc>
        <w:tc>
          <w:tcPr>
            <w:tcW w:w="1871" w:type="dxa"/>
            <w:shd w:val="clear" w:color="auto" w:fill="FFFFFF"/>
          </w:tcPr>
          <w:p w14:paraId="49A5FA3A" w14:textId="08C6F77A" w:rsidR="00810E85" w:rsidRPr="00B57B36" w:rsidRDefault="00810E85" w:rsidP="00D1406B">
            <w:pPr>
              <w:pStyle w:val="CETBodytext"/>
              <w:jc w:val="center"/>
              <w:rPr>
                <w:lang w:val="en-GB"/>
              </w:rPr>
            </w:pPr>
            <w:r>
              <w:rPr>
                <w:lang w:val="en-GB"/>
              </w:rPr>
              <w:t>260</w:t>
            </w:r>
          </w:p>
        </w:tc>
        <w:tc>
          <w:tcPr>
            <w:tcW w:w="1871" w:type="dxa"/>
            <w:shd w:val="clear" w:color="auto" w:fill="FFFFFF"/>
          </w:tcPr>
          <w:p w14:paraId="7F7D6C57" w14:textId="45BBAB0C" w:rsidR="00810E85" w:rsidRPr="00B57B36" w:rsidRDefault="00810E85" w:rsidP="00D1406B">
            <w:pPr>
              <w:pStyle w:val="CETBodytext"/>
              <w:ind w:right="-1"/>
              <w:jc w:val="center"/>
              <w:rPr>
                <w:rFonts w:cs="Arial"/>
                <w:szCs w:val="18"/>
                <w:lang w:val="en-GB"/>
              </w:rPr>
            </w:pPr>
            <w:r>
              <w:rPr>
                <w:rFonts w:cs="Arial"/>
                <w:szCs w:val="18"/>
                <w:lang w:val="en-GB"/>
              </w:rPr>
              <w:t>210</w:t>
            </w:r>
          </w:p>
        </w:tc>
        <w:tc>
          <w:tcPr>
            <w:tcW w:w="1871" w:type="dxa"/>
            <w:shd w:val="clear" w:color="auto" w:fill="FFFFFF"/>
          </w:tcPr>
          <w:p w14:paraId="09B24DAE" w14:textId="20C6622D" w:rsidR="00810E85" w:rsidRPr="00B57B36" w:rsidRDefault="00810E85" w:rsidP="00D1406B">
            <w:pPr>
              <w:pStyle w:val="CETBodytext"/>
              <w:ind w:right="-1"/>
              <w:jc w:val="center"/>
              <w:rPr>
                <w:rFonts w:cs="Arial"/>
                <w:szCs w:val="18"/>
                <w:lang w:val="en-GB"/>
              </w:rPr>
            </w:pPr>
            <w:r>
              <w:rPr>
                <w:rFonts w:cs="Arial"/>
                <w:szCs w:val="18"/>
                <w:lang w:val="en-GB"/>
              </w:rPr>
              <w:t>25</w:t>
            </w:r>
          </w:p>
        </w:tc>
      </w:tr>
      <w:tr w:rsidR="00810E85" w:rsidRPr="00B57B36" w14:paraId="04550598" w14:textId="77777777" w:rsidTr="005E13CE">
        <w:tc>
          <w:tcPr>
            <w:tcW w:w="851" w:type="dxa"/>
            <w:shd w:val="clear" w:color="auto" w:fill="FFFFFF"/>
          </w:tcPr>
          <w:p w14:paraId="6BA99DEB" w14:textId="5ABC8825" w:rsidR="00810E85" w:rsidRPr="00B57B36" w:rsidRDefault="00810E85" w:rsidP="00C64F90">
            <w:pPr>
              <w:pStyle w:val="CETBodytext"/>
              <w:rPr>
                <w:lang w:val="en-GB"/>
              </w:rPr>
            </w:pPr>
            <w:r>
              <w:rPr>
                <w:lang w:val="en-GB"/>
              </w:rPr>
              <w:t>8</w:t>
            </w:r>
          </w:p>
        </w:tc>
        <w:tc>
          <w:tcPr>
            <w:tcW w:w="1871" w:type="dxa"/>
            <w:shd w:val="clear" w:color="auto" w:fill="FFFFFF"/>
          </w:tcPr>
          <w:p w14:paraId="064DEB84" w14:textId="59534535" w:rsidR="00810E85" w:rsidRPr="00B57B36" w:rsidRDefault="00810E85" w:rsidP="00D1406B">
            <w:pPr>
              <w:pStyle w:val="CETBodytext"/>
              <w:jc w:val="center"/>
              <w:rPr>
                <w:lang w:val="en-GB"/>
              </w:rPr>
            </w:pPr>
            <w:r>
              <w:rPr>
                <w:lang w:val="en-GB"/>
              </w:rPr>
              <w:t>200</w:t>
            </w:r>
          </w:p>
        </w:tc>
        <w:tc>
          <w:tcPr>
            <w:tcW w:w="1871" w:type="dxa"/>
            <w:shd w:val="clear" w:color="auto" w:fill="FFFFFF"/>
          </w:tcPr>
          <w:p w14:paraId="7650EAAF" w14:textId="7D8F139C" w:rsidR="00810E85" w:rsidRPr="00B57B36" w:rsidRDefault="00810E85" w:rsidP="00D1406B">
            <w:pPr>
              <w:pStyle w:val="CETBodytext"/>
              <w:ind w:right="-1"/>
              <w:jc w:val="center"/>
              <w:rPr>
                <w:rFonts w:cs="Arial"/>
                <w:szCs w:val="18"/>
                <w:lang w:val="en-GB"/>
              </w:rPr>
            </w:pPr>
            <w:r>
              <w:rPr>
                <w:rFonts w:cs="Arial"/>
                <w:szCs w:val="18"/>
                <w:lang w:val="en-GB"/>
              </w:rPr>
              <w:t>30</w:t>
            </w:r>
          </w:p>
        </w:tc>
        <w:tc>
          <w:tcPr>
            <w:tcW w:w="1871" w:type="dxa"/>
            <w:shd w:val="clear" w:color="auto" w:fill="FFFFFF"/>
          </w:tcPr>
          <w:p w14:paraId="19484392" w14:textId="24BD8837" w:rsidR="00810E85" w:rsidRPr="00B57B36" w:rsidRDefault="00810E85" w:rsidP="00D1406B">
            <w:pPr>
              <w:pStyle w:val="CETBodytext"/>
              <w:ind w:right="-1"/>
              <w:jc w:val="center"/>
              <w:rPr>
                <w:rFonts w:cs="Arial"/>
                <w:szCs w:val="18"/>
                <w:lang w:val="en-GB"/>
              </w:rPr>
            </w:pPr>
            <w:r>
              <w:rPr>
                <w:rFonts w:cs="Arial"/>
                <w:szCs w:val="18"/>
                <w:lang w:val="en-GB"/>
              </w:rPr>
              <w:t>25</w:t>
            </w:r>
          </w:p>
        </w:tc>
      </w:tr>
      <w:tr w:rsidR="00810E85" w:rsidRPr="00B57B36" w14:paraId="73427DE2" w14:textId="77777777" w:rsidTr="005E13CE">
        <w:tc>
          <w:tcPr>
            <w:tcW w:w="851" w:type="dxa"/>
            <w:shd w:val="clear" w:color="auto" w:fill="FFFFFF"/>
          </w:tcPr>
          <w:p w14:paraId="4CC44B9E" w14:textId="0DBFCBC9" w:rsidR="00810E85" w:rsidRPr="00B57B36" w:rsidRDefault="00810E85" w:rsidP="00BA23E5">
            <w:pPr>
              <w:pStyle w:val="CETBodytext"/>
              <w:rPr>
                <w:lang w:val="en-GB"/>
              </w:rPr>
            </w:pPr>
            <w:r>
              <w:rPr>
                <w:lang w:val="en-GB"/>
              </w:rPr>
              <w:t>9</w:t>
            </w:r>
          </w:p>
        </w:tc>
        <w:tc>
          <w:tcPr>
            <w:tcW w:w="1871" w:type="dxa"/>
            <w:shd w:val="clear" w:color="auto" w:fill="FFFFFF"/>
          </w:tcPr>
          <w:p w14:paraId="0D5DFBBF" w14:textId="611C2CAF" w:rsidR="00810E85" w:rsidRPr="00B57B36" w:rsidRDefault="00810E85" w:rsidP="00D1406B">
            <w:pPr>
              <w:pStyle w:val="CETBodytext"/>
              <w:jc w:val="center"/>
              <w:rPr>
                <w:lang w:val="en-GB"/>
              </w:rPr>
            </w:pPr>
            <w:r>
              <w:rPr>
                <w:lang w:val="en-GB"/>
              </w:rPr>
              <w:t>230</w:t>
            </w:r>
          </w:p>
        </w:tc>
        <w:tc>
          <w:tcPr>
            <w:tcW w:w="1871" w:type="dxa"/>
            <w:shd w:val="clear" w:color="auto" w:fill="FFFFFF"/>
          </w:tcPr>
          <w:p w14:paraId="698F75DF" w14:textId="10EB2EBD"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3FA9E1A6" w14:textId="296CC820" w:rsidR="00810E85" w:rsidRPr="00B57B36" w:rsidRDefault="00810E85" w:rsidP="00D1406B">
            <w:pPr>
              <w:pStyle w:val="CETBodytext"/>
              <w:ind w:right="-1"/>
              <w:jc w:val="center"/>
              <w:rPr>
                <w:rFonts w:cs="Arial"/>
                <w:szCs w:val="18"/>
                <w:lang w:val="en-GB"/>
              </w:rPr>
            </w:pPr>
            <w:r>
              <w:rPr>
                <w:rFonts w:cs="Arial"/>
                <w:szCs w:val="18"/>
                <w:lang w:val="en-GB"/>
              </w:rPr>
              <w:t>15</w:t>
            </w:r>
          </w:p>
        </w:tc>
      </w:tr>
      <w:tr w:rsidR="00810E85" w:rsidRPr="00B57B36" w14:paraId="15A348C3" w14:textId="77777777" w:rsidTr="005E13CE">
        <w:tc>
          <w:tcPr>
            <w:tcW w:w="851" w:type="dxa"/>
            <w:shd w:val="clear" w:color="auto" w:fill="FFFFFF"/>
          </w:tcPr>
          <w:p w14:paraId="58E44C79" w14:textId="2F329C98" w:rsidR="00810E85" w:rsidRPr="00B57B36" w:rsidRDefault="00810E85" w:rsidP="00C64F90">
            <w:pPr>
              <w:pStyle w:val="CETBodytext"/>
              <w:rPr>
                <w:lang w:val="en-GB"/>
              </w:rPr>
            </w:pPr>
            <w:r>
              <w:rPr>
                <w:lang w:val="en-GB"/>
              </w:rPr>
              <w:t>10</w:t>
            </w:r>
          </w:p>
        </w:tc>
        <w:tc>
          <w:tcPr>
            <w:tcW w:w="1871" w:type="dxa"/>
            <w:shd w:val="clear" w:color="auto" w:fill="FFFFFF"/>
          </w:tcPr>
          <w:p w14:paraId="1BE1A993" w14:textId="01733D8B" w:rsidR="00810E85" w:rsidRPr="00B57B36" w:rsidRDefault="00810E85" w:rsidP="00D1406B">
            <w:pPr>
              <w:pStyle w:val="CETBodytext"/>
              <w:jc w:val="center"/>
              <w:rPr>
                <w:lang w:val="en-GB"/>
              </w:rPr>
            </w:pPr>
            <w:r>
              <w:rPr>
                <w:lang w:val="en-GB"/>
              </w:rPr>
              <w:t>260</w:t>
            </w:r>
          </w:p>
        </w:tc>
        <w:tc>
          <w:tcPr>
            <w:tcW w:w="1871" w:type="dxa"/>
            <w:shd w:val="clear" w:color="auto" w:fill="FFFFFF"/>
          </w:tcPr>
          <w:p w14:paraId="3B332E1D" w14:textId="42BCDA35" w:rsidR="00810E85" w:rsidRPr="00B57B36" w:rsidRDefault="00810E85" w:rsidP="00D1406B">
            <w:pPr>
              <w:pStyle w:val="CETBodytext"/>
              <w:ind w:right="-1"/>
              <w:jc w:val="center"/>
              <w:rPr>
                <w:rFonts w:cs="Arial"/>
                <w:szCs w:val="18"/>
                <w:lang w:val="en-GB"/>
              </w:rPr>
            </w:pPr>
            <w:r>
              <w:rPr>
                <w:rFonts w:cs="Arial"/>
                <w:szCs w:val="18"/>
                <w:lang w:val="en-GB"/>
              </w:rPr>
              <w:t>30</w:t>
            </w:r>
          </w:p>
        </w:tc>
        <w:tc>
          <w:tcPr>
            <w:tcW w:w="1871" w:type="dxa"/>
            <w:shd w:val="clear" w:color="auto" w:fill="FFFFFF"/>
          </w:tcPr>
          <w:p w14:paraId="357CF3D7" w14:textId="4C3069BE" w:rsidR="00810E85" w:rsidRPr="00B57B36" w:rsidRDefault="00810E85" w:rsidP="00D1406B">
            <w:pPr>
              <w:pStyle w:val="CETBodytext"/>
              <w:ind w:right="-1"/>
              <w:jc w:val="center"/>
              <w:rPr>
                <w:rFonts w:cs="Arial"/>
                <w:szCs w:val="18"/>
                <w:lang w:val="en-GB"/>
              </w:rPr>
            </w:pPr>
            <w:r>
              <w:rPr>
                <w:rFonts w:cs="Arial"/>
                <w:szCs w:val="18"/>
                <w:lang w:val="en-GB"/>
              </w:rPr>
              <w:t>15</w:t>
            </w:r>
          </w:p>
        </w:tc>
      </w:tr>
      <w:tr w:rsidR="00810E85" w:rsidRPr="00B57B36" w14:paraId="35433684" w14:textId="77777777" w:rsidTr="005E13CE">
        <w:tc>
          <w:tcPr>
            <w:tcW w:w="851" w:type="dxa"/>
            <w:shd w:val="clear" w:color="auto" w:fill="FFFFFF"/>
          </w:tcPr>
          <w:p w14:paraId="342B2985" w14:textId="0DF20B1A" w:rsidR="00810E85" w:rsidRPr="00B57B36" w:rsidRDefault="00810E85" w:rsidP="00C64F90">
            <w:pPr>
              <w:pStyle w:val="CETBodytext"/>
              <w:rPr>
                <w:lang w:val="en-GB"/>
              </w:rPr>
            </w:pPr>
            <w:r>
              <w:rPr>
                <w:lang w:val="en-GB"/>
              </w:rPr>
              <w:t>11</w:t>
            </w:r>
          </w:p>
        </w:tc>
        <w:tc>
          <w:tcPr>
            <w:tcW w:w="1871" w:type="dxa"/>
            <w:shd w:val="clear" w:color="auto" w:fill="FFFFFF"/>
          </w:tcPr>
          <w:p w14:paraId="3EED5C88" w14:textId="1F8384DE" w:rsidR="00810E85" w:rsidRPr="00B57B36" w:rsidRDefault="00810E85" w:rsidP="00D1406B">
            <w:pPr>
              <w:pStyle w:val="CETBodytext"/>
              <w:jc w:val="center"/>
              <w:rPr>
                <w:lang w:val="en-GB"/>
              </w:rPr>
            </w:pPr>
            <w:r>
              <w:rPr>
                <w:lang w:val="en-GB"/>
              </w:rPr>
              <w:t>200</w:t>
            </w:r>
          </w:p>
        </w:tc>
        <w:tc>
          <w:tcPr>
            <w:tcW w:w="1871" w:type="dxa"/>
            <w:shd w:val="clear" w:color="auto" w:fill="FFFFFF"/>
          </w:tcPr>
          <w:p w14:paraId="33039291" w14:textId="1FBE657E" w:rsidR="00810E85" w:rsidRPr="00B57B36" w:rsidRDefault="00810E85" w:rsidP="00D1406B">
            <w:pPr>
              <w:pStyle w:val="CETBodytext"/>
              <w:ind w:right="-1"/>
              <w:jc w:val="center"/>
              <w:rPr>
                <w:rFonts w:cs="Arial"/>
                <w:szCs w:val="18"/>
                <w:lang w:val="en-GB"/>
              </w:rPr>
            </w:pPr>
            <w:r>
              <w:rPr>
                <w:rFonts w:cs="Arial"/>
                <w:szCs w:val="18"/>
                <w:lang w:val="en-GB"/>
              </w:rPr>
              <w:t>210</w:t>
            </w:r>
          </w:p>
        </w:tc>
        <w:tc>
          <w:tcPr>
            <w:tcW w:w="1871" w:type="dxa"/>
            <w:shd w:val="clear" w:color="auto" w:fill="FFFFFF"/>
          </w:tcPr>
          <w:p w14:paraId="2B1A9141" w14:textId="78558A24" w:rsidR="00810E85" w:rsidRPr="00B57B36" w:rsidRDefault="00810E85" w:rsidP="00D1406B">
            <w:pPr>
              <w:pStyle w:val="CETBodytext"/>
              <w:ind w:right="-1"/>
              <w:jc w:val="center"/>
              <w:rPr>
                <w:rFonts w:cs="Arial"/>
                <w:szCs w:val="18"/>
                <w:lang w:val="en-GB"/>
              </w:rPr>
            </w:pPr>
            <w:r>
              <w:rPr>
                <w:rFonts w:cs="Arial"/>
                <w:szCs w:val="18"/>
                <w:lang w:val="en-GB"/>
              </w:rPr>
              <w:t>5</w:t>
            </w:r>
          </w:p>
        </w:tc>
      </w:tr>
      <w:tr w:rsidR="00810E85" w:rsidRPr="00B57B36" w14:paraId="6C0A64E6" w14:textId="77777777" w:rsidTr="005E13CE">
        <w:tc>
          <w:tcPr>
            <w:tcW w:w="851" w:type="dxa"/>
            <w:shd w:val="clear" w:color="auto" w:fill="FFFFFF"/>
          </w:tcPr>
          <w:p w14:paraId="1D7FAB0D" w14:textId="43219130" w:rsidR="00810E85" w:rsidRPr="00B57B36" w:rsidRDefault="00810E85" w:rsidP="00C64F90">
            <w:pPr>
              <w:pStyle w:val="CETBodytext"/>
              <w:rPr>
                <w:lang w:val="en-GB"/>
              </w:rPr>
            </w:pPr>
            <w:r>
              <w:rPr>
                <w:lang w:val="en-GB"/>
              </w:rPr>
              <w:t>12</w:t>
            </w:r>
          </w:p>
        </w:tc>
        <w:tc>
          <w:tcPr>
            <w:tcW w:w="1871" w:type="dxa"/>
            <w:shd w:val="clear" w:color="auto" w:fill="FFFFFF"/>
          </w:tcPr>
          <w:p w14:paraId="1C55FDE4" w14:textId="07371EBF" w:rsidR="00810E85" w:rsidRPr="00B57B36" w:rsidRDefault="00810E85" w:rsidP="00D1406B">
            <w:pPr>
              <w:pStyle w:val="CETBodytext"/>
              <w:jc w:val="center"/>
              <w:rPr>
                <w:lang w:val="en-GB"/>
              </w:rPr>
            </w:pPr>
            <w:r>
              <w:rPr>
                <w:lang w:val="en-GB"/>
              </w:rPr>
              <w:t>260</w:t>
            </w:r>
          </w:p>
        </w:tc>
        <w:tc>
          <w:tcPr>
            <w:tcW w:w="1871" w:type="dxa"/>
            <w:shd w:val="clear" w:color="auto" w:fill="FFFFFF"/>
          </w:tcPr>
          <w:p w14:paraId="29F9D10C" w14:textId="4103A5E4" w:rsidR="00810E85" w:rsidRPr="00B57B36" w:rsidRDefault="00810E85" w:rsidP="00D1406B">
            <w:pPr>
              <w:pStyle w:val="CETBodytext"/>
              <w:ind w:right="-1"/>
              <w:jc w:val="center"/>
              <w:rPr>
                <w:rFonts w:cs="Arial"/>
                <w:szCs w:val="18"/>
                <w:lang w:val="en-GB"/>
              </w:rPr>
            </w:pPr>
            <w:r>
              <w:rPr>
                <w:rFonts w:cs="Arial"/>
                <w:szCs w:val="18"/>
                <w:lang w:val="en-GB"/>
              </w:rPr>
              <w:t>210</w:t>
            </w:r>
          </w:p>
        </w:tc>
        <w:tc>
          <w:tcPr>
            <w:tcW w:w="1871" w:type="dxa"/>
            <w:shd w:val="clear" w:color="auto" w:fill="FFFFFF"/>
          </w:tcPr>
          <w:p w14:paraId="6FD57C31" w14:textId="446DBFDD" w:rsidR="00810E85" w:rsidRPr="00B57B36" w:rsidRDefault="00810E85" w:rsidP="00D1406B">
            <w:pPr>
              <w:pStyle w:val="CETBodytext"/>
              <w:ind w:right="-1"/>
              <w:jc w:val="center"/>
              <w:rPr>
                <w:rFonts w:cs="Arial"/>
                <w:szCs w:val="18"/>
                <w:lang w:val="en-GB"/>
              </w:rPr>
            </w:pPr>
            <w:r>
              <w:rPr>
                <w:rFonts w:cs="Arial"/>
                <w:szCs w:val="18"/>
                <w:lang w:val="en-GB"/>
              </w:rPr>
              <w:t>25</w:t>
            </w:r>
          </w:p>
        </w:tc>
      </w:tr>
      <w:tr w:rsidR="00810E85" w:rsidRPr="00B57B36" w14:paraId="1AC6268E" w14:textId="77777777" w:rsidTr="005E13CE">
        <w:tc>
          <w:tcPr>
            <w:tcW w:w="851" w:type="dxa"/>
            <w:shd w:val="clear" w:color="auto" w:fill="FFFFFF"/>
          </w:tcPr>
          <w:p w14:paraId="09DBD2BB" w14:textId="63D44B60" w:rsidR="00810E85" w:rsidRPr="00B57B36" w:rsidRDefault="00810E85" w:rsidP="00C64F90">
            <w:pPr>
              <w:pStyle w:val="CETBodytext"/>
              <w:rPr>
                <w:lang w:val="en-GB"/>
              </w:rPr>
            </w:pPr>
            <w:r>
              <w:rPr>
                <w:lang w:val="en-GB"/>
              </w:rPr>
              <w:t>13</w:t>
            </w:r>
          </w:p>
        </w:tc>
        <w:tc>
          <w:tcPr>
            <w:tcW w:w="1871" w:type="dxa"/>
            <w:shd w:val="clear" w:color="auto" w:fill="FFFFFF"/>
          </w:tcPr>
          <w:p w14:paraId="3C8F0755" w14:textId="66406E04" w:rsidR="00810E85" w:rsidRPr="00B57B36" w:rsidRDefault="00810E85" w:rsidP="00D1406B">
            <w:pPr>
              <w:pStyle w:val="CETBodytext"/>
              <w:jc w:val="center"/>
              <w:rPr>
                <w:lang w:val="en-GB"/>
              </w:rPr>
            </w:pPr>
            <w:r>
              <w:rPr>
                <w:lang w:val="en-GB"/>
              </w:rPr>
              <w:t>230</w:t>
            </w:r>
          </w:p>
        </w:tc>
        <w:tc>
          <w:tcPr>
            <w:tcW w:w="1871" w:type="dxa"/>
            <w:shd w:val="clear" w:color="auto" w:fill="FFFFFF"/>
          </w:tcPr>
          <w:p w14:paraId="56190E63" w14:textId="4D04EF5B" w:rsidR="00810E85" w:rsidRPr="00B57B36" w:rsidRDefault="00810E85" w:rsidP="00D1406B">
            <w:pPr>
              <w:pStyle w:val="CETBodytext"/>
              <w:ind w:right="-1"/>
              <w:jc w:val="center"/>
              <w:rPr>
                <w:rFonts w:cs="Arial"/>
                <w:szCs w:val="18"/>
                <w:lang w:val="en-GB"/>
              </w:rPr>
            </w:pPr>
            <w:r>
              <w:rPr>
                <w:rFonts w:cs="Arial"/>
                <w:szCs w:val="18"/>
                <w:lang w:val="en-GB"/>
              </w:rPr>
              <w:t>30</w:t>
            </w:r>
          </w:p>
        </w:tc>
        <w:tc>
          <w:tcPr>
            <w:tcW w:w="1871" w:type="dxa"/>
            <w:shd w:val="clear" w:color="auto" w:fill="FFFFFF"/>
          </w:tcPr>
          <w:p w14:paraId="1A49C2E2" w14:textId="41666C22" w:rsidR="00810E85" w:rsidRPr="00B57B36" w:rsidRDefault="00810E85" w:rsidP="00D1406B">
            <w:pPr>
              <w:pStyle w:val="CETBodytext"/>
              <w:ind w:right="-1"/>
              <w:jc w:val="center"/>
              <w:rPr>
                <w:rFonts w:cs="Arial"/>
                <w:szCs w:val="18"/>
                <w:lang w:val="en-GB"/>
              </w:rPr>
            </w:pPr>
            <w:r>
              <w:rPr>
                <w:rFonts w:cs="Arial"/>
                <w:szCs w:val="18"/>
                <w:lang w:val="en-GB"/>
              </w:rPr>
              <w:t>5</w:t>
            </w:r>
          </w:p>
        </w:tc>
      </w:tr>
      <w:tr w:rsidR="00810E85" w:rsidRPr="00B57B36" w14:paraId="3BA4A14E" w14:textId="77777777" w:rsidTr="005E13CE">
        <w:tc>
          <w:tcPr>
            <w:tcW w:w="851" w:type="dxa"/>
            <w:shd w:val="clear" w:color="auto" w:fill="FFFFFF"/>
          </w:tcPr>
          <w:p w14:paraId="3EC1CFE1" w14:textId="096F402F" w:rsidR="00810E85" w:rsidRPr="00B57B36" w:rsidRDefault="00810E85" w:rsidP="00BA23E5">
            <w:pPr>
              <w:pStyle w:val="CETBodytext"/>
              <w:rPr>
                <w:lang w:val="en-GB"/>
              </w:rPr>
            </w:pPr>
            <w:r>
              <w:rPr>
                <w:lang w:val="en-GB"/>
              </w:rPr>
              <w:t>14</w:t>
            </w:r>
          </w:p>
        </w:tc>
        <w:tc>
          <w:tcPr>
            <w:tcW w:w="1871" w:type="dxa"/>
            <w:shd w:val="clear" w:color="auto" w:fill="FFFFFF"/>
          </w:tcPr>
          <w:p w14:paraId="3363DE7D" w14:textId="1F74F061" w:rsidR="00810E85" w:rsidRPr="00B57B36" w:rsidRDefault="00810E85" w:rsidP="00D1406B">
            <w:pPr>
              <w:pStyle w:val="CETBodytext"/>
              <w:jc w:val="center"/>
              <w:rPr>
                <w:lang w:val="en-GB"/>
              </w:rPr>
            </w:pPr>
            <w:r>
              <w:rPr>
                <w:lang w:val="en-GB"/>
              </w:rPr>
              <w:t>230</w:t>
            </w:r>
          </w:p>
        </w:tc>
        <w:tc>
          <w:tcPr>
            <w:tcW w:w="1871" w:type="dxa"/>
            <w:shd w:val="clear" w:color="auto" w:fill="FFFFFF"/>
          </w:tcPr>
          <w:p w14:paraId="195B2B5E" w14:textId="64367CF9"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599B7356" w14:textId="19653E17" w:rsidR="00810E85" w:rsidRPr="00B57B36" w:rsidRDefault="00810E85" w:rsidP="00D1406B">
            <w:pPr>
              <w:pStyle w:val="CETBodytext"/>
              <w:ind w:right="-1"/>
              <w:jc w:val="center"/>
              <w:rPr>
                <w:rFonts w:cs="Arial"/>
                <w:szCs w:val="18"/>
                <w:lang w:val="en-GB"/>
              </w:rPr>
            </w:pPr>
            <w:r>
              <w:rPr>
                <w:rFonts w:cs="Arial"/>
                <w:szCs w:val="18"/>
                <w:lang w:val="en-GB"/>
              </w:rPr>
              <w:t>15</w:t>
            </w:r>
          </w:p>
        </w:tc>
      </w:tr>
      <w:tr w:rsidR="00810E85" w:rsidRPr="00B57B36" w14:paraId="39F38B1F" w14:textId="77777777" w:rsidTr="005E13CE">
        <w:tc>
          <w:tcPr>
            <w:tcW w:w="851" w:type="dxa"/>
            <w:shd w:val="clear" w:color="auto" w:fill="FFFFFF"/>
          </w:tcPr>
          <w:p w14:paraId="06BABA8A" w14:textId="311CDA1F" w:rsidR="00810E85" w:rsidRPr="00B57B36" w:rsidRDefault="00810E85" w:rsidP="00C64F90">
            <w:pPr>
              <w:pStyle w:val="CETBodytext"/>
              <w:rPr>
                <w:lang w:val="en-GB"/>
              </w:rPr>
            </w:pPr>
            <w:r>
              <w:rPr>
                <w:lang w:val="en-GB"/>
              </w:rPr>
              <w:t>15</w:t>
            </w:r>
          </w:p>
        </w:tc>
        <w:tc>
          <w:tcPr>
            <w:tcW w:w="1871" w:type="dxa"/>
            <w:shd w:val="clear" w:color="auto" w:fill="FFFFFF"/>
          </w:tcPr>
          <w:p w14:paraId="53C6A2C9" w14:textId="13D99FDA" w:rsidR="00810E85" w:rsidRPr="00B57B36" w:rsidRDefault="00810E85" w:rsidP="00D1406B">
            <w:pPr>
              <w:pStyle w:val="CETBodytext"/>
              <w:jc w:val="center"/>
              <w:rPr>
                <w:lang w:val="en-GB"/>
              </w:rPr>
            </w:pPr>
            <w:r>
              <w:rPr>
                <w:lang w:val="en-GB"/>
              </w:rPr>
              <w:t>230</w:t>
            </w:r>
          </w:p>
        </w:tc>
        <w:tc>
          <w:tcPr>
            <w:tcW w:w="1871" w:type="dxa"/>
            <w:shd w:val="clear" w:color="auto" w:fill="FFFFFF"/>
          </w:tcPr>
          <w:p w14:paraId="065FCC58" w14:textId="0A83ADB0"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242EFED9" w14:textId="25C89E2E" w:rsidR="00810E85" w:rsidRPr="00B57B36" w:rsidRDefault="00810E85" w:rsidP="00D1406B">
            <w:pPr>
              <w:pStyle w:val="CETBodytext"/>
              <w:ind w:right="-1"/>
              <w:jc w:val="center"/>
              <w:rPr>
                <w:rFonts w:cs="Arial"/>
                <w:szCs w:val="18"/>
                <w:lang w:val="en-GB"/>
              </w:rPr>
            </w:pPr>
            <w:r>
              <w:rPr>
                <w:rFonts w:cs="Arial"/>
                <w:szCs w:val="18"/>
                <w:lang w:val="en-GB"/>
              </w:rPr>
              <w:t>25</w:t>
            </w:r>
          </w:p>
        </w:tc>
      </w:tr>
      <w:tr w:rsidR="00810E85" w:rsidRPr="00B57B36" w14:paraId="7521E85F" w14:textId="77777777" w:rsidTr="005E13CE">
        <w:tc>
          <w:tcPr>
            <w:tcW w:w="851" w:type="dxa"/>
            <w:shd w:val="clear" w:color="auto" w:fill="FFFFFF"/>
          </w:tcPr>
          <w:p w14:paraId="4F2CF841" w14:textId="35AC5424" w:rsidR="00810E85" w:rsidRPr="00B57B36" w:rsidRDefault="00810E85" w:rsidP="00C64F90">
            <w:pPr>
              <w:pStyle w:val="CETBodytext"/>
              <w:rPr>
                <w:lang w:val="en-GB"/>
              </w:rPr>
            </w:pPr>
            <w:r>
              <w:rPr>
                <w:lang w:val="en-GB"/>
              </w:rPr>
              <w:t>16</w:t>
            </w:r>
          </w:p>
        </w:tc>
        <w:tc>
          <w:tcPr>
            <w:tcW w:w="1871" w:type="dxa"/>
            <w:shd w:val="clear" w:color="auto" w:fill="FFFFFF"/>
          </w:tcPr>
          <w:p w14:paraId="35B2FDD1" w14:textId="33CB7444" w:rsidR="00810E85" w:rsidRPr="00B57B36" w:rsidRDefault="00810E85" w:rsidP="00D1406B">
            <w:pPr>
              <w:pStyle w:val="CETBodytext"/>
              <w:jc w:val="center"/>
              <w:rPr>
                <w:lang w:val="en-GB"/>
              </w:rPr>
            </w:pPr>
            <w:r>
              <w:rPr>
                <w:lang w:val="en-GB"/>
              </w:rPr>
              <w:t>200</w:t>
            </w:r>
          </w:p>
        </w:tc>
        <w:tc>
          <w:tcPr>
            <w:tcW w:w="1871" w:type="dxa"/>
            <w:shd w:val="clear" w:color="auto" w:fill="FFFFFF"/>
          </w:tcPr>
          <w:p w14:paraId="2EC0124B" w14:textId="217F7D3C" w:rsidR="00810E85" w:rsidRPr="00B57B36" w:rsidRDefault="00810E85" w:rsidP="00D1406B">
            <w:pPr>
              <w:pStyle w:val="CETBodytext"/>
              <w:ind w:right="-1"/>
              <w:jc w:val="center"/>
              <w:rPr>
                <w:rFonts w:cs="Arial"/>
                <w:szCs w:val="18"/>
                <w:lang w:val="en-GB"/>
              </w:rPr>
            </w:pPr>
            <w:r>
              <w:rPr>
                <w:rFonts w:cs="Arial"/>
                <w:szCs w:val="18"/>
                <w:lang w:val="en-GB"/>
              </w:rPr>
              <w:t>210</w:t>
            </w:r>
          </w:p>
        </w:tc>
        <w:tc>
          <w:tcPr>
            <w:tcW w:w="1871" w:type="dxa"/>
            <w:shd w:val="clear" w:color="auto" w:fill="FFFFFF"/>
          </w:tcPr>
          <w:p w14:paraId="198A9925" w14:textId="1C692141" w:rsidR="00810E85" w:rsidRPr="00B57B36" w:rsidRDefault="00810E85" w:rsidP="00D1406B">
            <w:pPr>
              <w:pStyle w:val="CETBodytext"/>
              <w:ind w:right="-1"/>
              <w:jc w:val="center"/>
              <w:rPr>
                <w:rFonts w:cs="Arial"/>
                <w:szCs w:val="18"/>
                <w:lang w:val="en-GB"/>
              </w:rPr>
            </w:pPr>
            <w:r>
              <w:rPr>
                <w:rFonts w:cs="Arial"/>
                <w:szCs w:val="18"/>
                <w:lang w:val="en-GB"/>
              </w:rPr>
              <w:t>5</w:t>
            </w:r>
          </w:p>
        </w:tc>
      </w:tr>
      <w:tr w:rsidR="00810E85" w:rsidRPr="00B57B36" w14:paraId="3D286BBB" w14:textId="77777777" w:rsidTr="005E13CE">
        <w:tc>
          <w:tcPr>
            <w:tcW w:w="851" w:type="dxa"/>
            <w:shd w:val="clear" w:color="auto" w:fill="FFFFFF"/>
          </w:tcPr>
          <w:p w14:paraId="30DC6CBD" w14:textId="28B3A699" w:rsidR="00810E85" w:rsidRPr="00B57B36" w:rsidRDefault="00810E85" w:rsidP="00BA23E5">
            <w:pPr>
              <w:pStyle w:val="CETBodytext"/>
              <w:rPr>
                <w:lang w:val="en-GB"/>
              </w:rPr>
            </w:pPr>
            <w:r>
              <w:rPr>
                <w:lang w:val="en-GB"/>
              </w:rPr>
              <w:t>17</w:t>
            </w:r>
          </w:p>
        </w:tc>
        <w:tc>
          <w:tcPr>
            <w:tcW w:w="1871" w:type="dxa"/>
            <w:shd w:val="clear" w:color="auto" w:fill="FFFFFF"/>
          </w:tcPr>
          <w:p w14:paraId="407B5E6B" w14:textId="28BD25BC" w:rsidR="00810E85" w:rsidRPr="00B57B36" w:rsidRDefault="00810E85" w:rsidP="00D1406B">
            <w:pPr>
              <w:pStyle w:val="CETBodytext"/>
              <w:jc w:val="center"/>
              <w:rPr>
                <w:lang w:val="en-GB"/>
              </w:rPr>
            </w:pPr>
            <w:r>
              <w:rPr>
                <w:lang w:val="en-GB"/>
              </w:rPr>
              <w:t>230</w:t>
            </w:r>
          </w:p>
        </w:tc>
        <w:tc>
          <w:tcPr>
            <w:tcW w:w="1871" w:type="dxa"/>
            <w:shd w:val="clear" w:color="auto" w:fill="FFFFFF"/>
          </w:tcPr>
          <w:p w14:paraId="57E1F42E" w14:textId="7B5D55A4"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1261633A" w14:textId="46AB6532" w:rsidR="00810E85" w:rsidRPr="00B57B36" w:rsidRDefault="00810E85" w:rsidP="00D1406B">
            <w:pPr>
              <w:pStyle w:val="CETBodytext"/>
              <w:ind w:right="-1"/>
              <w:jc w:val="center"/>
              <w:rPr>
                <w:rFonts w:cs="Arial"/>
                <w:szCs w:val="18"/>
                <w:lang w:val="en-GB"/>
              </w:rPr>
            </w:pPr>
            <w:r>
              <w:rPr>
                <w:rFonts w:cs="Arial"/>
                <w:szCs w:val="18"/>
                <w:lang w:val="en-GB"/>
              </w:rPr>
              <w:t>15</w:t>
            </w:r>
          </w:p>
        </w:tc>
      </w:tr>
      <w:tr w:rsidR="00810E85" w:rsidRPr="00B57B36" w14:paraId="6863DA47" w14:textId="77777777" w:rsidTr="005E13CE">
        <w:tc>
          <w:tcPr>
            <w:tcW w:w="851" w:type="dxa"/>
            <w:shd w:val="clear" w:color="auto" w:fill="FFFFFF"/>
          </w:tcPr>
          <w:p w14:paraId="52B9BF99" w14:textId="753B7FF8" w:rsidR="00810E85" w:rsidRPr="00B57B36" w:rsidRDefault="00810E85" w:rsidP="00BA23E5">
            <w:pPr>
              <w:pStyle w:val="CETBodytext"/>
              <w:rPr>
                <w:lang w:val="en-GB"/>
              </w:rPr>
            </w:pPr>
            <w:r>
              <w:rPr>
                <w:lang w:val="en-GB"/>
              </w:rPr>
              <w:t>18</w:t>
            </w:r>
          </w:p>
        </w:tc>
        <w:tc>
          <w:tcPr>
            <w:tcW w:w="1871" w:type="dxa"/>
            <w:shd w:val="clear" w:color="auto" w:fill="FFFFFF"/>
          </w:tcPr>
          <w:p w14:paraId="5C441121" w14:textId="34E6128F" w:rsidR="00810E85" w:rsidRPr="00B57B36" w:rsidRDefault="00810E85" w:rsidP="00D1406B">
            <w:pPr>
              <w:pStyle w:val="CETBodytext"/>
              <w:jc w:val="center"/>
              <w:rPr>
                <w:lang w:val="en-GB"/>
              </w:rPr>
            </w:pPr>
            <w:r>
              <w:rPr>
                <w:lang w:val="en-GB"/>
              </w:rPr>
              <w:t>230</w:t>
            </w:r>
          </w:p>
        </w:tc>
        <w:tc>
          <w:tcPr>
            <w:tcW w:w="1871" w:type="dxa"/>
            <w:shd w:val="clear" w:color="auto" w:fill="FFFFFF"/>
          </w:tcPr>
          <w:p w14:paraId="3A5217B3" w14:textId="7962B9F5"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7A63F967" w14:textId="5B84ED2E" w:rsidR="00810E85" w:rsidRPr="00B57B36" w:rsidRDefault="00810E85" w:rsidP="00D1406B">
            <w:pPr>
              <w:pStyle w:val="CETBodytext"/>
              <w:ind w:right="-1"/>
              <w:jc w:val="center"/>
              <w:rPr>
                <w:rFonts w:cs="Arial"/>
                <w:szCs w:val="18"/>
                <w:lang w:val="en-GB"/>
              </w:rPr>
            </w:pPr>
            <w:r>
              <w:rPr>
                <w:rFonts w:cs="Arial"/>
                <w:szCs w:val="18"/>
                <w:lang w:val="en-GB"/>
              </w:rPr>
              <w:t>15</w:t>
            </w:r>
          </w:p>
        </w:tc>
      </w:tr>
      <w:tr w:rsidR="00810E85" w:rsidRPr="00B57B36" w14:paraId="712CF91A" w14:textId="77777777" w:rsidTr="005E13CE">
        <w:tc>
          <w:tcPr>
            <w:tcW w:w="851" w:type="dxa"/>
            <w:shd w:val="clear" w:color="auto" w:fill="FFFFFF"/>
          </w:tcPr>
          <w:p w14:paraId="59B9CB5B" w14:textId="5AE9C11D" w:rsidR="00810E85" w:rsidRPr="00B57B36" w:rsidRDefault="00810E85" w:rsidP="00C64F90">
            <w:pPr>
              <w:pStyle w:val="CETBodytext"/>
              <w:rPr>
                <w:lang w:val="en-GB"/>
              </w:rPr>
            </w:pPr>
            <w:r>
              <w:rPr>
                <w:lang w:val="en-GB"/>
              </w:rPr>
              <w:t>19</w:t>
            </w:r>
          </w:p>
        </w:tc>
        <w:tc>
          <w:tcPr>
            <w:tcW w:w="1871" w:type="dxa"/>
            <w:shd w:val="clear" w:color="auto" w:fill="FFFFFF"/>
          </w:tcPr>
          <w:p w14:paraId="74ED189D" w14:textId="6BA102AD" w:rsidR="00810E85" w:rsidRPr="00B57B36" w:rsidRDefault="00810E85" w:rsidP="00D1406B">
            <w:pPr>
              <w:pStyle w:val="CETBodytext"/>
              <w:jc w:val="center"/>
              <w:rPr>
                <w:lang w:val="en-GB"/>
              </w:rPr>
            </w:pPr>
            <w:r>
              <w:rPr>
                <w:lang w:val="en-GB"/>
              </w:rPr>
              <w:t>230</w:t>
            </w:r>
          </w:p>
        </w:tc>
        <w:tc>
          <w:tcPr>
            <w:tcW w:w="1871" w:type="dxa"/>
            <w:shd w:val="clear" w:color="auto" w:fill="FFFFFF"/>
          </w:tcPr>
          <w:p w14:paraId="46D624CA" w14:textId="3F9AF1DD" w:rsidR="00810E85" w:rsidRPr="00B57B36" w:rsidRDefault="00810E85" w:rsidP="00D1406B">
            <w:pPr>
              <w:pStyle w:val="CETBodytext"/>
              <w:ind w:right="-1"/>
              <w:jc w:val="center"/>
              <w:rPr>
                <w:rFonts w:cs="Arial"/>
                <w:szCs w:val="18"/>
                <w:lang w:val="en-GB"/>
              </w:rPr>
            </w:pPr>
            <w:r>
              <w:rPr>
                <w:rFonts w:cs="Arial"/>
                <w:szCs w:val="18"/>
                <w:lang w:val="en-GB"/>
              </w:rPr>
              <w:t>210</w:t>
            </w:r>
          </w:p>
        </w:tc>
        <w:tc>
          <w:tcPr>
            <w:tcW w:w="1871" w:type="dxa"/>
            <w:shd w:val="clear" w:color="auto" w:fill="FFFFFF"/>
          </w:tcPr>
          <w:p w14:paraId="204E26A3" w14:textId="56772564" w:rsidR="00810E85" w:rsidRPr="00B57B36" w:rsidRDefault="00810E85" w:rsidP="00D1406B">
            <w:pPr>
              <w:pStyle w:val="CETBodytext"/>
              <w:ind w:right="-1"/>
              <w:jc w:val="center"/>
              <w:rPr>
                <w:rFonts w:cs="Arial"/>
                <w:szCs w:val="18"/>
                <w:lang w:val="en-GB"/>
              </w:rPr>
            </w:pPr>
            <w:r>
              <w:rPr>
                <w:rFonts w:cs="Arial"/>
                <w:szCs w:val="18"/>
                <w:lang w:val="en-GB"/>
              </w:rPr>
              <w:t>15</w:t>
            </w:r>
          </w:p>
        </w:tc>
      </w:tr>
      <w:tr w:rsidR="00810E85" w:rsidRPr="00B57B36" w14:paraId="110E0672" w14:textId="77777777" w:rsidTr="005E13CE">
        <w:tc>
          <w:tcPr>
            <w:tcW w:w="851" w:type="dxa"/>
            <w:shd w:val="clear" w:color="auto" w:fill="FFFFFF"/>
          </w:tcPr>
          <w:p w14:paraId="76330234" w14:textId="17A5AAC0" w:rsidR="00810E85" w:rsidRPr="00B57B36" w:rsidRDefault="00810E85" w:rsidP="00C64F90">
            <w:pPr>
              <w:pStyle w:val="CETBodytext"/>
              <w:rPr>
                <w:lang w:val="en-GB"/>
              </w:rPr>
            </w:pPr>
            <w:r>
              <w:rPr>
                <w:lang w:val="en-GB"/>
              </w:rPr>
              <w:t>20</w:t>
            </w:r>
          </w:p>
        </w:tc>
        <w:tc>
          <w:tcPr>
            <w:tcW w:w="1871" w:type="dxa"/>
            <w:shd w:val="clear" w:color="auto" w:fill="FFFFFF"/>
          </w:tcPr>
          <w:p w14:paraId="782AAACC" w14:textId="1A1B5442" w:rsidR="00810E85" w:rsidRPr="00B57B36" w:rsidRDefault="00810E85" w:rsidP="00D1406B">
            <w:pPr>
              <w:pStyle w:val="CETBodytext"/>
              <w:jc w:val="center"/>
              <w:rPr>
                <w:lang w:val="en-GB"/>
              </w:rPr>
            </w:pPr>
            <w:r>
              <w:rPr>
                <w:lang w:val="en-GB"/>
              </w:rPr>
              <w:t>200</w:t>
            </w:r>
          </w:p>
        </w:tc>
        <w:tc>
          <w:tcPr>
            <w:tcW w:w="1871" w:type="dxa"/>
            <w:shd w:val="clear" w:color="auto" w:fill="FFFFFF"/>
          </w:tcPr>
          <w:p w14:paraId="17E7409C" w14:textId="79A3AC06" w:rsidR="00810E85" w:rsidRPr="00B57B36" w:rsidRDefault="00810E85" w:rsidP="00D1406B">
            <w:pPr>
              <w:pStyle w:val="CETBodytext"/>
              <w:ind w:right="-1"/>
              <w:jc w:val="center"/>
              <w:rPr>
                <w:rFonts w:cs="Arial"/>
                <w:szCs w:val="18"/>
                <w:lang w:val="en-GB"/>
              </w:rPr>
            </w:pPr>
            <w:r>
              <w:rPr>
                <w:rFonts w:cs="Arial"/>
                <w:szCs w:val="18"/>
                <w:lang w:val="en-GB"/>
              </w:rPr>
              <w:t>120</w:t>
            </w:r>
          </w:p>
        </w:tc>
        <w:tc>
          <w:tcPr>
            <w:tcW w:w="1871" w:type="dxa"/>
            <w:shd w:val="clear" w:color="auto" w:fill="FFFFFF"/>
          </w:tcPr>
          <w:p w14:paraId="1DA654C0" w14:textId="0C5ADC94" w:rsidR="00810E85" w:rsidRPr="00B57B36" w:rsidRDefault="00810E85" w:rsidP="00D1406B">
            <w:pPr>
              <w:pStyle w:val="CETBodytext"/>
              <w:ind w:right="-1"/>
              <w:jc w:val="center"/>
              <w:rPr>
                <w:rFonts w:cs="Arial"/>
                <w:szCs w:val="18"/>
                <w:lang w:val="en-GB"/>
              </w:rPr>
            </w:pPr>
            <w:r>
              <w:rPr>
                <w:rFonts w:cs="Arial"/>
                <w:szCs w:val="18"/>
                <w:lang w:val="en-GB"/>
              </w:rPr>
              <w:t>15</w:t>
            </w:r>
          </w:p>
        </w:tc>
      </w:tr>
    </w:tbl>
    <w:p w14:paraId="64E19F6F" w14:textId="77777777" w:rsidR="008F7123" w:rsidRDefault="008F7123" w:rsidP="008F7123">
      <w:pPr>
        <w:pStyle w:val="CETBodytext"/>
        <w:rPr>
          <w:lang w:val="en-GB"/>
        </w:rPr>
      </w:pPr>
    </w:p>
    <w:p w14:paraId="1F40B1D2" w14:textId="0FF27E3D" w:rsidR="008F7123" w:rsidRDefault="008F7123" w:rsidP="008F7123">
      <w:pPr>
        <w:pStyle w:val="CETBodytext"/>
        <w:rPr>
          <w:lang w:val="en-GB"/>
        </w:rPr>
      </w:pPr>
      <w:r>
        <w:rPr>
          <w:lang w:val="en-GB"/>
        </w:rPr>
        <w:t>A</w:t>
      </w:r>
      <w:r w:rsidRPr="004E1F53">
        <w:rPr>
          <w:lang w:val="en-GB"/>
        </w:rPr>
        <w:t xml:space="preserve"> thermogravimetric Q-500 analy</w:t>
      </w:r>
      <w:r>
        <w:rPr>
          <w:lang w:val="en-GB"/>
        </w:rPr>
        <w:t>s</w:t>
      </w:r>
      <w:r w:rsidRPr="004E1F53">
        <w:rPr>
          <w:lang w:val="en-GB"/>
        </w:rPr>
        <w:t xml:space="preserve">er </w:t>
      </w:r>
      <w:r>
        <w:rPr>
          <w:lang w:val="en-GB"/>
        </w:rPr>
        <w:t>(</w:t>
      </w:r>
      <w:r w:rsidRPr="004E1F53">
        <w:rPr>
          <w:lang w:val="en-GB"/>
        </w:rPr>
        <w:t>TA Instruments</w:t>
      </w:r>
      <w:r>
        <w:rPr>
          <w:lang w:val="en-GB"/>
        </w:rPr>
        <w:t xml:space="preserve">, USA) and a </w:t>
      </w:r>
      <w:proofErr w:type="spellStart"/>
      <w:r w:rsidRPr="004E1F53">
        <w:rPr>
          <w:lang w:val="en-GB"/>
        </w:rPr>
        <w:t>TruSpec</w:t>
      </w:r>
      <w:proofErr w:type="spellEnd"/>
      <w:r w:rsidRPr="004E1F53">
        <w:rPr>
          <w:lang w:val="en-GB"/>
        </w:rPr>
        <w:t xml:space="preserve"> CHN Elemental Analy</w:t>
      </w:r>
      <w:r>
        <w:rPr>
          <w:lang w:val="en-GB"/>
        </w:rPr>
        <w:t>s</w:t>
      </w:r>
      <w:r w:rsidRPr="004E1F53">
        <w:rPr>
          <w:lang w:val="en-GB"/>
        </w:rPr>
        <w:t>er</w:t>
      </w:r>
      <w:r>
        <w:rPr>
          <w:lang w:val="en-GB"/>
        </w:rPr>
        <w:t xml:space="preserve"> (LECO, USA) were employed for proximate and ultimate analysis, respectively</w:t>
      </w:r>
      <w:r w:rsidRPr="004E1F53">
        <w:rPr>
          <w:lang w:val="en-GB"/>
        </w:rPr>
        <w:t>. A</w:t>
      </w:r>
      <w:r>
        <w:rPr>
          <w:lang w:val="en-GB"/>
        </w:rPr>
        <w:t>n</w:t>
      </w:r>
      <w:r w:rsidRPr="004E1F53">
        <w:rPr>
          <w:lang w:val="en-GB"/>
        </w:rPr>
        <w:t xml:space="preserve"> AC-500 Calorimeter </w:t>
      </w:r>
      <w:r>
        <w:rPr>
          <w:lang w:val="en-GB"/>
        </w:rPr>
        <w:t>(</w:t>
      </w:r>
      <w:r w:rsidRPr="004E1F53">
        <w:rPr>
          <w:lang w:val="en-GB"/>
        </w:rPr>
        <w:t>LECO</w:t>
      </w:r>
      <w:r>
        <w:rPr>
          <w:lang w:val="en-GB"/>
        </w:rPr>
        <w:t>, USA)</w:t>
      </w:r>
      <w:r w:rsidRPr="004E1F53">
        <w:rPr>
          <w:lang w:val="en-GB"/>
        </w:rPr>
        <w:t xml:space="preserve"> was </w:t>
      </w:r>
      <w:r>
        <w:rPr>
          <w:lang w:val="en-GB"/>
        </w:rPr>
        <w:t>used</w:t>
      </w:r>
      <w:r w:rsidRPr="004E1F53">
        <w:rPr>
          <w:lang w:val="en-GB"/>
        </w:rPr>
        <w:t xml:space="preserve"> for </w:t>
      </w:r>
      <w:r>
        <w:rPr>
          <w:lang w:val="en-GB"/>
        </w:rPr>
        <w:t>HHV</w:t>
      </w:r>
      <w:r w:rsidRPr="004E1F53">
        <w:rPr>
          <w:lang w:val="en-GB"/>
        </w:rPr>
        <w:t xml:space="preserve"> </w:t>
      </w:r>
      <w:r>
        <w:rPr>
          <w:lang w:val="en-GB"/>
        </w:rPr>
        <w:t>measurement</w:t>
      </w:r>
      <w:r w:rsidRPr="004E1F53">
        <w:rPr>
          <w:lang w:val="en-GB"/>
        </w:rPr>
        <w:t>.</w:t>
      </w:r>
    </w:p>
    <w:p w14:paraId="3CCE49A1" w14:textId="1E6E2955" w:rsidR="00693996" w:rsidRPr="00C6196D" w:rsidRDefault="00693996" w:rsidP="00693996">
      <w:pPr>
        <w:pStyle w:val="CETheadingx"/>
      </w:pPr>
      <w:r w:rsidRPr="00C6196D">
        <w:t>Phytotoxicity test</w:t>
      </w:r>
      <w:r w:rsidR="008E64C5">
        <w:t>s</w:t>
      </w:r>
    </w:p>
    <w:p w14:paraId="1B8AA566" w14:textId="2DA8E819" w:rsidR="00C6196D" w:rsidRPr="005D2A47" w:rsidRDefault="00940DA2" w:rsidP="00C6196D">
      <w:pPr>
        <w:pStyle w:val="CETBodytext"/>
      </w:pPr>
      <w:proofErr w:type="spellStart"/>
      <w:r w:rsidRPr="005D2A47">
        <w:t>Hydrochar</w:t>
      </w:r>
      <w:proofErr w:type="spellEnd"/>
      <w:r w:rsidRPr="005D2A47">
        <w:t xml:space="preserve"> phytotoxicity was </w:t>
      </w:r>
      <w:r w:rsidR="00EB789D" w:rsidRPr="005D2A47">
        <w:t>evaluated</w:t>
      </w:r>
      <w:r w:rsidRPr="005D2A47">
        <w:t xml:space="preserve"> through bioassays </w:t>
      </w:r>
      <w:r w:rsidR="00736327" w:rsidRPr="005D2A47">
        <w:t>employing</w:t>
      </w:r>
      <w:r w:rsidRPr="005D2A47">
        <w:t xml:space="preserve"> </w:t>
      </w:r>
      <w:r w:rsidRPr="005D2A47">
        <w:rPr>
          <w:i/>
          <w:iCs/>
        </w:rPr>
        <w:t>Lepidium sativum</w:t>
      </w:r>
      <w:r w:rsidRPr="005D2A47">
        <w:t xml:space="preserve"> L. </w:t>
      </w:r>
      <w:r w:rsidR="00D41DA5" w:rsidRPr="005D2A47">
        <w:t xml:space="preserve">(cress) </w:t>
      </w:r>
      <w:r w:rsidRPr="005D2A47">
        <w:t xml:space="preserve">as a model species, </w:t>
      </w:r>
      <w:r w:rsidR="008A14E7" w:rsidRPr="005D2A47">
        <w:t>in accordance with</w:t>
      </w:r>
      <w:r w:rsidRPr="005D2A47">
        <w:t xml:space="preserve"> </w:t>
      </w:r>
      <w:r w:rsidR="008A14E7" w:rsidRPr="005D2A47">
        <w:t>t</w:t>
      </w:r>
      <w:r w:rsidRPr="005D2A47">
        <w:t>he Italian regulation (</w:t>
      </w:r>
      <w:proofErr w:type="spellStart"/>
      <w:r w:rsidR="00E1689D" w:rsidRPr="005D2A47">
        <w:t>Decreto</w:t>
      </w:r>
      <w:proofErr w:type="spellEnd"/>
      <w:r w:rsidR="00E1689D" w:rsidRPr="005D2A47">
        <w:t xml:space="preserve"> </w:t>
      </w:r>
      <w:proofErr w:type="spellStart"/>
      <w:r w:rsidR="00E1689D" w:rsidRPr="005D2A47">
        <w:t>Legislativo</w:t>
      </w:r>
      <w:proofErr w:type="spellEnd"/>
      <w:r w:rsidR="00E1689D" w:rsidRPr="005D2A47">
        <w:t xml:space="preserve"> 29 Aprile 2010, n. 75, 2010</w:t>
      </w:r>
      <w:r w:rsidRPr="005D2A47">
        <w:t xml:space="preserve">) and the methodology </w:t>
      </w:r>
      <w:r w:rsidR="008A14E7" w:rsidRPr="005D2A47">
        <w:t xml:space="preserve">outlined </w:t>
      </w:r>
      <w:r w:rsidRPr="005D2A47">
        <w:t>by APAT (APAT</w:t>
      </w:r>
      <w:r w:rsidR="00EF47DC" w:rsidRPr="005D2A47">
        <w:t>,</w:t>
      </w:r>
      <w:r w:rsidRPr="005D2A47">
        <w:t xml:space="preserve"> 2003)</w:t>
      </w:r>
      <w:r w:rsidR="00C6196D" w:rsidRPr="005D2A47">
        <w:t xml:space="preserve">. </w:t>
      </w:r>
      <w:r w:rsidR="00C6196D" w:rsidRPr="005D2A47">
        <w:rPr>
          <w:lang w:val="en-GB"/>
        </w:rPr>
        <w:t>Germination and growth test</w:t>
      </w:r>
      <w:r w:rsidR="00C97567" w:rsidRPr="005D2A47">
        <w:rPr>
          <w:lang w:val="en-GB"/>
        </w:rPr>
        <w:t>s</w:t>
      </w:r>
      <w:r w:rsidR="00C6196D" w:rsidRPr="005D2A47">
        <w:rPr>
          <w:lang w:val="en-GB"/>
        </w:rPr>
        <w:t xml:space="preserve"> were performed as reported by Barontini et al. (2024). </w:t>
      </w:r>
      <w:r w:rsidR="008A14E7" w:rsidRPr="005D2A47">
        <w:rPr>
          <w:lang w:val="en-GB"/>
        </w:rPr>
        <w:t xml:space="preserve">The </w:t>
      </w:r>
      <w:r w:rsidR="00C97567" w:rsidRPr="005D2A47">
        <w:rPr>
          <w:szCs w:val="18"/>
        </w:rPr>
        <w:t>germination</w:t>
      </w:r>
      <w:r w:rsidR="00C6196D" w:rsidRPr="005D2A47">
        <w:rPr>
          <w:szCs w:val="18"/>
        </w:rPr>
        <w:t xml:space="preserve"> index (I</w:t>
      </w:r>
      <w:r w:rsidR="00C6196D" w:rsidRPr="005D2A47">
        <w:rPr>
          <w:szCs w:val="18"/>
          <w:vertAlign w:val="subscript"/>
        </w:rPr>
        <w:t>g</w:t>
      </w:r>
      <w:r w:rsidR="00C6196D" w:rsidRPr="005D2A47">
        <w:rPr>
          <w:szCs w:val="18"/>
        </w:rPr>
        <w:t xml:space="preserve">) was </w:t>
      </w:r>
      <w:r w:rsidR="008A14E7" w:rsidRPr="005D2A47">
        <w:rPr>
          <w:szCs w:val="18"/>
        </w:rPr>
        <w:t xml:space="preserve">computed according to the </w:t>
      </w:r>
      <w:r w:rsidR="00EF47DC" w:rsidRPr="005D2A47">
        <w:rPr>
          <w:szCs w:val="18"/>
        </w:rPr>
        <w:t>expression</w:t>
      </w:r>
      <w:r w:rsidR="00D41DA5" w:rsidRPr="005D2A47">
        <w:rPr>
          <w:szCs w:val="18"/>
        </w:rPr>
        <w:t xml:space="preserve"> in </w:t>
      </w:r>
      <w:proofErr w:type="gramStart"/>
      <w:r w:rsidR="00D41DA5" w:rsidRPr="005D2A47">
        <w:rPr>
          <w:szCs w:val="18"/>
        </w:rPr>
        <w:t>Eq(</w:t>
      </w:r>
      <w:proofErr w:type="gramEnd"/>
      <w:r w:rsidR="00D41DA5" w:rsidRPr="005D2A47">
        <w:rPr>
          <w:szCs w:val="18"/>
        </w:rPr>
        <w:t>5)</w:t>
      </w:r>
      <w:r w:rsidR="00C6196D" w:rsidRPr="005D2A47">
        <w:rPr>
          <w:szCs w:val="18"/>
        </w:rPr>
        <w:t>:</w:t>
      </w:r>
    </w:p>
    <w:tbl>
      <w:tblPr>
        <w:tblW w:w="5000" w:type="pct"/>
        <w:tblLook w:val="04A0" w:firstRow="1" w:lastRow="0" w:firstColumn="1" w:lastColumn="0" w:noHBand="0" w:noVBand="1"/>
      </w:tblPr>
      <w:tblGrid>
        <w:gridCol w:w="7983"/>
        <w:gridCol w:w="804"/>
      </w:tblGrid>
      <w:tr w:rsidR="00C6196D" w:rsidRPr="00B57B36" w14:paraId="1CF24AAC" w14:textId="77777777" w:rsidTr="00604097">
        <w:tc>
          <w:tcPr>
            <w:tcW w:w="8188" w:type="dxa"/>
            <w:shd w:val="clear" w:color="auto" w:fill="auto"/>
            <w:vAlign w:val="center"/>
          </w:tcPr>
          <w:p w14:paraId="30F80A4E" w14:textId="7992C806" w:rsidR="00C6196D" w:rsidRPr="005D2A47" w:rsidRDefault="00000000" w:rsidP="00604097">
            <w:pPr>
              <w:pStyle w:val="CETEquation"/>
            </w:pPr>
            <m:oMathPara>
              <m:oMathParaPr>
                <m:jc m:val="left"/>
              </m:oMathParaPr>
              <m:oMath>
                <m:sSub>
                  <m:sSubPr>
                    <m:ctrlPr>
                      <w:rPr>
                        <w:rFonts w:ascii="Cambria Math" w:eastAsiaTheme="minorEastAsia" w:hAnsi="Cambria Math"/>
                        <w:i/>
                        <w:szCs w:val="18"/>
                        <w:lang w:val="en-US"/>
                      </w:rPr>
                    </m:ctrlPr>
                  </m:sSubPr>
                  <m:e>
                    <m:r>
                      <w:rPr>
                        <w:rFonts w:ascii="Cambria Math" w:eastAsiaTheme="minorEastAsia" w:hAnsi="Cambria Math"/>
                        <w:szCs w:val="18"/>
                        <w:lang w:val="en-US"/>
                      </w:rPr>
                      <m:t>I</m:t>
                    </m:r>
                  </m:e>
                  <m:sub>
                    <m:r>
                      <w:rPr>
                        <w:rFonts w:ascii="Cambria Math" w:eastAsiaTheme="minorEastAsia" w:hAnsi="Cambria Math"/>
                        <w:szCs w:val="18"/>
                        <w:lang w:val="en-US"/>
                      </w:rPr>
                      <m:t>g</m:t>
                    </m:r>
                  </m:sub>
                </m:sSub>
                <m:r>
                  <w:rPr>
                    <w:rFonts w:ascii="Cambria Math" w:eastAsiaTheme="minorEastAsia" w:hAnsi="Cambria Math"/>
                    <w:szCs w:val="18"/>
                    <w:lang w:val="en-US"/>
                  </w:rPr>
                  <m:t xml:space="preserve"> (%)</m:t>
                </m:r>
                <m:r>
                  <w:rPr>
                    <w:rFonts w:ascii="Cambria Math" w:hAnsi="Cambria Math"/>
                    <w:szCs w:val="18"/>
                    <w:lang w:val="en-US"/>
                  </w:rPr>
                  <m:t>=</m:t>
                </m:r>
                <m:f>
                  <m:fPr>
                    <m:ctrlPr>
                      <w:rPr>
                        <w:rFonts w:ascii="Cambria Math" w:hAnsi="Cambria Math"/>
                        <w:i/>
                        <w:szCs w:val="18"/>
                        <w:vertAlign w:val="subscript"/>
                        <w:lang w:val="en-US"/>
                      </w:rPr>
                    </m:ctrlPr>
                  </m:fPr>
                  <m:num>
                    <m:r>
                      <w:rPr>
                        <w:rFonts w:ascii="Cambria Math" w:hAnsi="Cambria Math"/>
                        <w:szCs w:val="18"/>
                        <w:lang w:val="en-US"/>
                      </w:rPr>
                      <m:t>G</m:t>
                    </m:r>
                    <m:r>
                      <w:rPr>
                        <w:rFonts w:ascii="Cambria Math" w:hAnsi="Cambria Math"/>
                        <w:szCs w:val="18"/>
                        <w:vertAlign w:val="subscript"/>
                        <w:lang w:val="en-US"/>
                      </w:rPr>
                      <m:t>t∙</m:t>
                    </m:r>
                    <m:r>
                      <w:rPr>
                        <w:rFonts w:ascii="Cambria Math" w:hAnsi="Cambria Math"/>
                        <w:szCs w:val="18"/>
                        <w:lang w:val="en-US"/>
                      </w:rPr>
                      <m:t>L</m:t>
                    </m:r>
                    <m:r>
                      <w:rPr>
                        <w:rFonts w:ascii="Cambria Math" w:hAnsi="Cambria Math"/>
                        <w:szCs w:val="18"/>
                        <w:vertAlign w:val="subscript"/>
                        <w:lang w:val="en-US"/>
                      </w:rPr>
                      <m:t xml:space="preserve">t </m:t>
                    </m:r>
                  </m:num>
                  <m:den>
                    <m:r>
                      <w:rPr>
                        <w:rFonts w:ascii="Cambria Math" w:hAnsi="Cambria Math"/>
                        <w:szCs w:val="18"/>
                        <w:lang w:val="en-US"/>
                      </w:rPr>
                      <m:t>G</m:t>
                    </m:r>
                    <m:r>
                      <w:rPr>
                        <w:rFonts w:ascii="Cambria Math" w:hAnsi="Cambria Math"/>
                        <w:szCs w:val="18"/>
                        <w:vertAlign w:val="subscript"/>
                        <w:lang w:val="en-US"/>
                      </w:rPr>
                      <m:t>c∙</m:t>
                    </m:r>
                    <m:r>
                      <w:rPr>
                        <w:rFonts w:ascii="Cambria Math" w:hAnsi="Cambria Math"/>
                        <w:szCs w:val="18"/>
                        <w:lang w:val="en-US"/>
                      </w:rPr>
                      <m:t>L</m:t>
                    </m:r>
                    <m:r>
                      <w:rPr>
                        <w:rFonts w:ascii="Cambria Math" w:hAnsi="Cambria Math"/>
                        <w:szCs w:val="18"/>
                        <w:vertAlign w:val="subscript"/>
                        <w:lang w:val="en-US"/>
                      </w:rPr>
                      <m:t xml:space="preserve">c </m:t>
                    </m:r>
                  </m:den>
                </m:f>
                <m:r>
                  <w:rPr>
                    <w:rFonts w:ascii="Cambria Math" w:hAnsi="Cambria Math"/>
                    <w:szCs w:val="18"/>
                    <w:vertAlign w:val="subscript"/>
                    <w:lang w:val="en-US"/>
                  </w:rPr>
                  <m:t>∙100</m:t>
                </m:r>
              </m:oMath>
            </m:oMathPara>
          </w:p>
        </w:tc>
        <w:tc>
          <w:tcPr>
            <w:tcW w:w="815" w:type="dxa"/>
            <w:shd w:val="clear" w:color="auto" w:fill="auto"/>
            <w:vAlign w:val="center"/>
          </w:tcPr>
          <w:p w14:paraId="36B01A6B" w14:textId="186C0FBC" w:rsidR="00C6196D" w:rsidRPr="00B57B36" w:rsidRDefault="004E282E" w:rsidP="004E282E">
            <w:pPr>
              <w:pStyle w:val="CETEquation"/>
              <w:jc w:val="right"/>
            </w:pPr>
            <w:r w:rsidRPr="005D2A47">
              <w:t>(5)</w:t>
            </w:r>
          </w:p>
        </w:tc>
      </w:tr>
    </w:tbl>
    <w:p w14:paraId="16276D1F" w14:textId="017F307B" w:rsidR="00C6196D" w:rsidRDefault="00C6196D" w:rsidP="00C6196D">
      <w:pPr>
        <w:pStyle w:val="Paragrafoelenco"/>
        <w:tabs>
          <w:tab w:val="left" w:pos="3585"/>
        </w:tabs>
        <w:ind w:left="0"/>
        <w:rPr>
          <w:szCs w:val="18"/>
          <w:lang w:val="en-US"/>
        </w:rPr>
      </w:pPr>
      <w:r w:rsidRPr="00BC0780">
        <w:rPr>
          <w:szCs w:val="18"/>
          <w:lang w:val="en-US"/>
        </w:rPr>
        <w:t xml:space="preserve">where </w:t>
      </w:r>
      <w:r w:rsidRPr="00BC0780">
        <w:rPr>
          <w:i/>
          <w:szCs w:val="18"/>
          <w:lang w:val="en-US"/>
        </w:rPr>
        <w:t>Gt</w:t>
      </w:r>
      <w:r w:rsidRPr="00BC0780">
        <w:rPr>
          <w:szCs w:val="18"/>
          <w:lang w:val="en-US"/>
        </w:rPr>
        <w:t xml:space="preserve"> and </w:t>
      </w:r>
      <w:r w:rsidRPr="00BC0780">
        <w:rPr>
          <w:i/>
          <w:szCs w:val="18"/>
          <w:lang w:val="en-US"/>
        </w:rPr>
        <w:t>Gc</w:t>
      </w:r>
      <w:r w:rsidRPr="00BC0780">
        <w:rPr>
          <w:szCs w:val="18"/>
          <w:lang w:val="en-US"/>
        </w:rPr>
        <w:t xml:space="preserve"> </w:t>
      </w:r>
      <w:r w:rsidR="008A14E7">
        <w:rPr>
          <w:szCs w:val="18"/>
          <w:lang w:val="en-US"/>
        </w:rPr>
        <w:t>are</w:t>
      </w:r>
      <w:r w:rsidRPr="00BC0780">
        <w:rPr>
          <w:szCs w:val="18"/>
          <w:lang w:val="en-US"/>
        </w:rPr>
        <w:t xml:space="preserve"> the average number of germinated seeds in the treated and the control Petri dishes,</w:t>
      </w:r>
      <w:r w:rsidR="00D87AA1">
        <w:rPr>
          <w:szCs w:val="18"/>
          <w:lang w:val="en-US"/>
        </w:rPr>
        <w:t xml:space="preserve"> </w:t>
      </w:r>
      <w:r w:rsidR="00D87AA1" w:rsidRPr="00BC0780">
        <w:rPr>
          <w:szCs w:val="18"/>
          <w:lang w:val="en-US"/>
        </w:rPr>
        <w:t>respectively</w:t>
      </w:r>
      <w:r w:rsidR="00D87AA1">
        <w:rPr>
          <w:szCs w:val="18"/>
          <w:lang w:val="en-US"/>
        </w:rPr>
        <w:t>,</w:t>
      </w:r>
      <w:r w:rsidR="00D87AA1" w:rsidRPr="00BC0780">
        <w:rPr>
          <w:szCs w:val="18"/>
          <w:lang w:val="en-US"/>
        </w:rPr>
        <w:t xml:space="preserve"> </w:t>
      </w:r>
      <w:r w:rsidRPr="00BC0780">
        <w:rPr>
          <w:szCs w:val="18"/>
          <w:lang w:val="en-US"/>
        </w:rPr>
        <w:t xml:space="preserve">while </w:t>
      </w:r>
      <w:r w:rsidRPr="00BC0780">
        <w:rPr>
          <w:i/>
          <w:szCs w:val="18"/>
          <w:lang w:val="en-US"/>
        </w:rPr>
        <w:t>Lt</w:t>
      </w:r>
      <w:r w:rsidRPr="00BC0780">
        <w:rPr>
          <w:szCs w:val="18"/>
          <w:lang w:val="en-US"/>
        </w:rPr>
        <w:t xml:space="preserve"> and </w:t>
      </w:r>
      <w:r w:rsidRPr="00BC0780">
        <w:rPr>
          <w:i/>
          <w:szCs w:val="18"/>
          <w:lang w:val="en-US"/>
        </w:rPr>
        <w:t>Lc</w:t>
      </w:r>
      <w:r w:rsidRPr="00BC0780">
        <w:rPr>
          <w:szCs w:val="18"/>
          <w:lang w:val="en-US"/>
        </w:rPr>
        <w:t xml:space="preserve"> </w:t>
      </w:r>
      <w:r w:rsidR="008A14E7">
        <w:rPr>
          <w:szCs w:val="18"/>
          <w:lang w:val="en-US"/>
        </w:rPr>
        <w:t>are</w:t>
      </w:r>
      <w:r w:rsidRPr="00BC0780">
        <w:rPr>
          <w:szCs w:val="18"/>
          <w:lang w:val="en-US"/>
        </w:rPr>
        <w:t xml:space="preserve"> the average root lengths of the treated and control samples.</w:t>
      </w:r>
    </w:p>
    <w:p w14:paraId="0DCF7354" w14:textId="7D55FA7B" w:rsidR="00C6196D" w:rsidRDefault="00C6196D" w:rsidP="00C6196D">
      <w:pPr>
        <w:pStyle w:val="Paragrafoelenco"/>
        <w:ind w:left="0"/>
        <w:rPr>
          <w:szCs w:val="18"/>
          <w:lang w:val="en-US"/>
        </w:rPr>
      </w:pPr>
      <w:r w:rsidRPr="00BC0780">
        <w:rPr>
          <w:szCs w:val="18"/>
          <w:lang w:val="en-US"/>
        </w:rPr>
        <w:t>The growth index (G</w:t>
      </w:r>
      <w:r w:rsidRPr="00BC0780">
        <w:rPr>
          <w:szCs w:val="18"/>
          <w:vertAlign w:val="subscript"/>
          <w:lang w:val="en-US"/>
        </w:rPr>
        <w:t>m</w:t>
      </w:r>
      <w:r w:rsidRPr="00BC0780">
        <w:rPr>
          <w:szCs w:val="18"/>
          <w:lang w:val="en-US"/>
        </w:rPr>
        <w:t xml:space="preserve">) was </w:t>
      </w:r>
      <w:r w:rsidR="008A14E7" w:rsidRPr="008A14E7">
        <w:rPr>
          <w:szCs w:val="18"/>
          <w:lang w:val="en-US"/>
        </w:rPr>
        <w:t xml:space="preserve">determined using the </w:t>
      </w:r>
      <w:r w:rsidR="00EF47DC" w:rsidRPr="008A14E7">
        <w:rPr>
          <w:szCs w:val="18"/>
          <w:lang w:val="en-US"/>
        </w:rPr>
        <w:t>expression</w:t>
      </w:r>
      <w:r w:rsidR="00D41DA5">
        <w:rPr>
          <w:szCs w:val="18"/>
          <w:lang w:val="en-US"/>
        </w:rPr>
        <w:t xml:space="preserve"> in </w:t>
      </w:r>
      <w:proofErr w:type="gramStart"/>
      <w:r w:rsidR="00D41DA5">
        <w:rPr>
          <w:szCs w:val="18"/>
          <w:lang w:val="en-US"/>
        </w:rPr>
        <w:t>Eq(</w:t>
      </w:r>
      <w:proofErr w:type="gramEnd"/>
      <w:r w:rsidR="00D41DA5">
        <w:rPr>
          <w:szCs w:val="18"/>
          <w:lang w:val="en-US"/>
        </w:rPr>
        <w:t>6)</w:t>
      </w:r>
      <w:r w:rsidRPr="00BC0780">
        <w:rPr>
          <w:szCs w:val="18"/>
          <w:lang w:val="en-US"/>
        </w:rPr>
        <w:t>:</w:t>
      </w:r>
    </w:p>
    <w:tbl>
      <w:tblPr>
        <w:tblW w:w="5000" w:type="pct"/>
        <w:tblLook w:val="04A0" w:firstRow="1" w:lastRow="0" w:firstColumn="1" w:lastColumn="0" w:noHBand="0" w:noVBand="1"/>
      </w:tblPr>
      <w:tblGrid>
        <w:gridCol w:w="7983"/>
        <w:gridCol w:w="804"/>
      </w:tblGrid>
      <w:tr w:rsidR="00C6196D" w:rsidRPr="00B57B36" w14:paraId="538BBF3A" w14:textId="77777777" w:rsidTr="00604097">
        <w:tc>
          <w:tcPr>
            <w:tcW w:w="8188" w:type="dxa"/>
            <w:shd w:val="clear" w:color="auto" w:fill="auto"/>
            <w:vAlign w:val="center"/>
          </w:tcPr>
          <w:p w14:paraId="6A881735" w14:textId="0A864817" w:rsidR="00C6196D" w:rsidRPr="00AD6D0F" w:rsidRDefault="00000000" w:rsidP="00604097">
            <w:pPr>
              <w:pStyle w:val="CETEquation"/>
            </w:pPr>
            <m:oMathPara>
              <m:oMathParaPr>
                <m:jc m:val="left"/>
              </m:oMathParaPr>
              <m:oMath>
                <m:sSub>
                  <m:sSubPr>
                    <m:ctrlPr>
                      <w:rPr>
                        <w:rFonts w:ascii="Cambria Math" w:hAnsi="Cambria Math"/>
                        <w:i/>
                        <w:szCs w:val="18"/>
                      </w:rPr>
                    </m:ctrlPr>
                  </m:sSubPr>
                  <m:e>
                    <m:r>
                      <w:rPr>
                        <w:rFonts w:ascii="Cambria Math" w:hAnsi="Cambria Math"/>
                        <w:szCs w:val="18"/>
                      </w:rPr>
                      <m:t>G</m:t>
                    </m:r>
                  </m:e>
                  <m:sub>
                    <m:r>
                      <w:rPr>
                        <w:rFonts w:ascii="Cambria Math" w:hAnsi="Cambria Math"/>
                        <w:szCs w:val="18"/>
                      </w:rPr>
                      <m:t>m</m:t>
                    </m:r>
                  </m:sub>
                </m:sSub>
                <m:r>
                  <w:rPr>
                    <w:rFonts w:ascii="Cambria Math" w:hAnsi="Cambria Math"/>
                    <w:szCs w:val="18"/>
                  </w:rPr>
                  <m:t xml:space="preserve"> (%)=</m:t>
                </m:r>
                <m:f>
                  <m:fPr>
                    <m:ctrlPr>
                      <w:rPr>
                        <w:rFonts w:ascii="Cambria Math" w:hAnsi="Cambria Math"/>
                        <w:i/>
                        <w:szCs w:val="18"/>
                      </w:rPr>
                    </m:ctrlPr>
                  </m:fPr>
                  <m:num>
                    <m:r>
                      <w:rPr>
                        <w:rFonts w:ascii="Cambria Math" w:hAnsi="Cambria Math"/>
                        <w:szCs w:val="18"/>
                      </w:rPr>
                      <m:t>Gt</m:t>
                    </m:r>
                  </m:num>
                  <m:den>
                    <m:r>
                      <w:rPr>
                        <w:rFonts w:ascii="Cambria Math" w:hAnsi="Cambria Math"/>
                        <w:szCs w:val="18"/>
                      </w:rPr>
                      <m:t>Gc</m:t>
                    </m:r>
                  </m:den>
                </m:f>
                <m:r>
                  <w:rPr>
                    <w:rFonts w:ascii="Cambria Math" w:hAnsi="Cambria Math"/>
                    <w:szCs w:val="18"/>
                    <w:vertAlign w:val="subscript"/>
                    <w:lang w:val="en-US"/>
                  </w:rPr>
                  <m:t>∙</m:t>
                </m:r>
                <m:r>
                  <w:rPr>
                    <w:rFonts w:ascii="Cambria Math" w:hAnsi="Cambria Math"/>
                    <w:szCs w:val="18"/>
                  </w:rPr>
                  <m:t>100</m:t>
                </m:r>
              </m:oMath>
            </m:oMathPara>
          </w:p>
        </w:tc>
        <w:tc>
          <w:tcPr>
            <w:tcW w:w="815" w:type="dxa"/>
            <w:shd w:val="clear" w:color="auto" w:fill="auto"/>
            <w:vAlign w:val="center"/>
          </w:tcPr>
          <w:p w14:paraId="01EF4737" w14:textId="10CCD222" w:rsidR="00C6196D" w:rsidRPr="00B57B36" w:rsidRDefault="004E282E" w:rsidP="004E282E">
            <w:pPr>
              <w:pStyle w:val="CETEquation"/>
              <w:jc w:val="right"/>
            </w:pPr>
            <w:r w:rsidRPr="00B57B36">
              <w:t>(</w:t>
            </w:r>
            <w:r>
              <w:t>6</w:t>
            </w:r>
            <w:r w:rsidRPr="00B57B36">
              <w:t>)</w:t>
            </w:r>
          </w:p>
        </w:tc>
      </w:tr>
    </w:tbl>
    <w:p w14:paraId="76C6267D" w14:textId="375BFEC4" w:rsidR="00693996" w:rsidRDefault="00C6196D" w:rsidP="00C6196D">
      <w:pPr>
        <w:pStyle w:val="Paragrafoelenco"/>
        <w:ind w:left="0"/>
        <w:rPr>
          <w:szCs w:val="18"/>
          <w:lang w:val="en-US"/>
        </w:rPr>
      </w:pPr>
      <w:r w:rsidRPr="00BC0780">
        <w:rPr>
          <w:szCs w:val="18"/>
          <w:lang w:val="en-US"/>
        </w:rPr>
        <w:t xml:space="preserve">where </w:t>
      </w:r>
      <w:r w:rsidRPr="00BC0780">
        <w:rPr>
          <w:i/>
          <w:iCs/>
          <w:szCs w:val="18"/>
          <w:lang w:val="en-US"/>
        </w:rPr>
        <w:t>Gt</w:t>
      </w:r>
      <w:r w:rsidRPr="00BC0780">
        <w:rPr>
          <w:szCs w:val="18"/>
          <w:lang w:val="en-US"/>
        </w:rPr>
        <w:t xml:space="preserve"> and </w:t>
      </w:r>
      <w:r w:rsidRPr="00BC0780">
        <w:rPr>
          <w:i/>
          <w:iCs/>
          <w:szCs w:val="18"/>
          <w:lang w:val="en-US"/>
        </w:rPr>
        <w:t>Gc</w:t>
      </w:r>
      <w:r w:rsidRPr="00BC0780">
        <w:rPr>
          <w:szCs w:val="18"/>
          <w:lang w:val="en-US"/>
        </w:rPr>
        <w:t xml:space="preserve"> represent the </w:t>
      </w:r>
      <w:r w:rsidR="00691C3E">
        <w:rPr>
          <w:szCs w:val="18"/>
          <w:lang w:val="en-US"/>
        </w:rPr>
        <w:t>mean</w:t>
      </w:r>
      <w:r w:rsidRPr="00BC0780">
        <w:rPr>
          <w:szCs w:val="18"/>
          <w:lang w:val="en-US"/>
        </w:rPr>
        <w:t xml:space="preserve"> plant dry weight in </w:t>
      </w:r>
      <w:r w:rsidR="00691C3E">
        <w:rPr>
          <w:szCs w:val="18"/>
          <w:lang w:val="en-US"/>
        </w:rPr>
        <w:t xml:space="preserve">the </w:t>
      </w:r>
      <w:r w:rsidRPr="00BC0780">
        <w:rPr>
          <w:szCs w:val="18"/>
          <w:lang w:val="en-US"/>
        </w:rPr>
        <w:t>treated and in the control pots, respectively.</w:t>
      </w:r>
    </w:p>
    <w:p w14:paraId="4C0F677B" w14:textId="4542D45C" w:rsidR="00C6196D" w:rsidRPr="00C6196D" w:rsidRDefault="00FC6A2B" w:rsidP="008C1FA7">
      <w:pPr>
        <w:pStyle w:val="Paragrafoelenco"/>
        <w:ind w:left="0"/>
        <w:rPr>
          <w:szCs w:val="18"/>
          <w:lang w:val="en-US"/>
        </w:rPr>
      </w:pPr>
      <w:r>
        <w:rPr>
          <w:szCs w:val="18"/>
          <w:lang w:val="en-US"/>
        </w:rPr>
        <w:t xml:space="preserve">The </w:t>
      </w:r>
      <w:r w:rsidR="008C1FA7" w:rsidRPr="00AE6A63">
        <w:rPr>
          <w:szCs w:val="18"/>
          <w:lang w:val="en-US"/>
        </w:rPr>
        <w:t>Shapiro-Wilk test</w:t>
      </w:r>
      <w:r w:rsidR="008C1FA7">
        <w:rPr>
          <w:szCs w:val="18"/>
          <w:lang w:val="en-US"/>
        </w:rPr>
        <w:t xml:space="preserve"> (</w:t>
      </w:r>
      <w:r w:rsidR="008C1FA7" w:rsidRPr="00AE6A63">
        <w:rPr>
          <w:szCs w:val="18"/>
          <w:lang w:val="en-US"/>
        </w:rPr>
        <w:t>95% confidence interval)</w:t>
      </w:r>
      <w:r w:rsidR="008C1FA7">
        <w:rPr>
          <w:szCs w:val="18"/>
          <w:lang w:val="en-US"/>
        </w:rPr>
        <w:t xml:space="preserve"> was used to check normal distribution of data. Then,</w:t>
      </w:r>
      <w:r w:rsidR="008C1FA7" w:rsidRPr="00AE6A63">
        <w:rPr>
          <w:szCs w:val="18"/>
          <w:lang w:val="en-US"/>
        </w:rPr>
        <w:t xml:space="preserve"> the difference between the control </w:t>
      </w:r>
      <w:r w:rsidR="00691C3E" w:rsidRPr="00AE6A63">
        <w:rPr>
          <w:szCs w:val="18"/>
          <w:lang w:val="en-US"/>
        </w:rPr>
        <w:t xml:space="preserve">and the treatment </w:t>
      </w:r>
      <w:r w:rsidR="008C1FA7" w:rsidRPr="00AE6A63">
        <w:rPr>
          <w:szCs w:val="18"/>
          <w:lang w:val="en-US"/>
        </w:rPr>
        <w:t xml:space="preserve">in the germination </w:t>
      </w:r>
      <w:r w:rsidR="008C1FA7">
        <w:rPr>
          <w:szCs w:val="18"/>
          <w:lang w:val="en-US"/>
        </w:rPr>
        <w:t xml:space="preserve">and growth </w:t>
      </w:r>
      <w:r w:rsidR="008C1FA7" w:rsidRPr="00AE6A63">
        <w:rPr>
          <w:szCs w:val="18"/>
          <w:lang w:val="en-US"/>
        </w:rPr>
        <w:t>test</w:t>
      </w:r>
      <w:r w:rsidR="00691C3E">
        <w:rPr>
          <w:szCs w:val="18"/>
          <w:lang w:val="en-US"/>
        </w:rPr>
        <w:t>s</w:t>
      </w:r>
      <w:r w:rsidR="008C1FA7" w:rsidRPr="00AE6A63">
        <w:rPr>
          <w:szCs w:val="18"/>
          <w:lang w:val="en-US"/>
        </w:rPr>
        <w:t xml:space="preserve"> w</w:t>
      </w:r>
      <w:r w:rsidR="008C1FA7">
        <w:rPr>
          <w:szCs w:val="18"/>
          <w:lang w:val="en-US"/>
        </w:rPr>
        <w:t>ere</w:t>
      </w:r>
      <w:r w:rsidR="008C1FA7" w:rsidRPr="00AE6A63">
        <w:rPr>
          <w:szCs w:val="18"/>
          <w:lang w:val="en-US"/>
        </w:rPr>
        <w:t xml:space="preserve"> analyzed by unpaired </w:t>
      </w:r>
      <w:r w:rsidR="008C1FA7" w:rsidRPr="008C1FA7">
        <w:rPr>
          <w:i/>
          <w:iCs/>
          <w:szCs w:val="18"/>
          <w:lang w:val="en-US"/>
        </w:rPr>
        <w:t>t</w:t>
      </w:r>
      <w:r w:rsidR="008C1FA7" w:rsidRPr="00AE6A63">
        <w:rPr>
          <w:szCs w:val="18"/>
          <w:lang w:val="en-US"/>
        </w:rPr>
        <w:t>-test</w:t>
      </w:r>
      <w:r w:rsidR="008C1FA7">
        <w:rPr>
          <w:szCs w:val="18"/>
          <w:lang w:val="en-US"/>
        </w:rPr>
        <w:t xml:space="preserve"> (</w:t>
      </w:r>
      <w:r w:rsidR="003C56E9">
        <w:rPr>
          <w:lang w:val="en-US"/>
        </w:rPr>
        <w:t>p</w:t>
      </w:r>
      <w:r w:rsidR="00A00EE3">
        <w:rPr>
          <w:lang w:val="en-US"/>
        </w:rPr>
        <w:t xml:space="preserve"> </w:t>
      </w:r>
      <w:r w:rsidR="00A00EE3" w:rsidRPr="00E23661">
        <w:rPr>
          <w:iCs/>
          <w:lang w:val="en-US"/>
        </w:rPr>
        <w:t>≤ 0.05</w:t>
      </w:r>
      <w:r w:rsidR="008C1FA7">
        <w:rPr>
          <w:szCs w:val="18"/>
          <w:lang w:val="en-US"/>
        </w:rPr>
        <w:t>)</w:t>
      </w:r>
      <w:r w:rsidR="008C1FA7" w:rsidRPr="00AE6A63">
        <w:rPr>
          <w:szCs w:val="18"/>
          <w:lang w:val="en-US"/>
        </w:rPr>
        <w:t xml:space="preserve">. </w:t>
      </w:r>
      <w:r w:rsidR="00183800" w:rsidRPr="00183800">
        <w:rPr>
          <w:szCs w:val="18"/>
          <w:lang w:val="en-US"/>
        </w:rPr>
        <w:t xml:space="preserve">Statistical analysis of the bioassays was </w:t>
      </w:r>
      <w:r w:rsidR="00691C3E">
        <w:rPr>
          <w:szCs w:val="18"/>
          <w:lang w:val="en-US"/>
        </w:rPr>
        <w:t>accomplished</w:t>
      </w:r>
      <w:r w:rsidR="00183800" w:rsidRPr="00183800">
        <w:rPr>
          <w:szCs w:val="18"/>
          <w:lang w:val="en-US"/>
        </w:rPr>
        <w:t xml:space="preserve"> using</w:t>
      </w:r>
      <w:r w:rsidR="00183800">
        <w:rPr>
          <w:szCs w:val="18"/>
          <w:lang w:val="en-US"/>
        </w:rPr>
        <w:t xml:space="preserve"> </w:t>
      </w:r>
      <w:r w:rsidR="008C1FA7" w:rsidRPr="00AE6A63">
        <w:rPr>
          <w:szCs w:val="18"/>
          <w:lang w:val="en-US"/>
        </w:rPr>
        <w:t>GraphPad software (GraphPad, USA)</w:t>
      </w:r>
      <w:r w:rsidR="003C56E9">
        <w:rPr>
          <w:szCs w:val="18"/>
          <w:lang w:val="en-US"/>
        </w:rPr>
        <w:t>.</w:t>
      </w:r>
    </w:p>
    <w:p w14:paraId="677EBFF0" w14:textId="15F34826" w:rsidR="00600535" w:rsidRDefault="00491B1D" w:rsidP="00600535">
      <w:pPr>
        <w:pStyle w:val="CETHeading1"/>
        <w:tabs>
          <w:tab w:val="clear" w:pos="360"/>
          <w:tab w:val="right" w:pos="7100"/>
        </w:tabs>
        <w:jc w:val="both"/>
        <w:rPr>
          <w:lang w:val="en-GB"/>
        </w:rPr>
      </w:pPr>
      <w:r>
        <w:rPr>
          <w:lang w:val="en-GB"/>
        </w:rPr>
        <w:t>Results and Discussion</w:t>
      </w:r>
    </w:p>
    <w:p w14:paraId="5E42CBC3" w14:textId="10DE7F04" w:rsidR="003B0ED5" w:rsidRPr="00B57B36" w:rsidRDefault="002E23A4" w:rsidP="003B0ED5">
      <w:pPr>
        <w:pStyle w:val="CETheadingx"/>
      </w:pPr>
      <w:proofErr w:type="spellStart"/>
      <w:r w:rsidRPr="002E23A4">
        <w:t>Hydrochar</w:t>
      </w:r>
      <w:proofErr w:type="spellEnd"/>
      <w:r w:rsidRPr="002E23A4">
        <w:t xml:space="preserve"> </w:t>
      </w:r>
      <w:r>
        <w:t>p</w:t>
      </w:r>
      <w:r w:rsidRPr="002E23A4">
        <w:t xml:space="preserve">roduction and </w:t>
      </w:r>
      <w:r>
        <w:t>process o</w:t>
      </w:r>
      <w:r w:rsidRPr="002E23A4">
        <w:t>ptimi</w:t>
      </w:r>
      <w:r w:rsidR="0032373D">
        <w:t>z</w:t>
      </w:r>
      <w:r w:rsidRPr="002E23A4">
        <w:t>ation</w:t>
      </w:r>
    </w:p>
    <w:p w14:paraId="438FEA55" w14:textId="2E5F9100" w:rsidR="003B0ED5" w:rsidRDefault="00AC284C" w:rsidP="003B0ED5">
      <w:pPr>
        <w:pStyle w:val="CETBodytext"/>
        <w:rPr>
          <w:lang w:val="en-GB"/>
        </w:rPr>
      </w:pPr>
      <w:r>
        <w:rPr>
          <w:lang w:val="en-GB"/>
        </w:rPr>
        <w:t xml:space="preserve">The DoE-RSM approach was employed to investigate </w:t>
      </w:r>
      <w:proofErr w:type="spellStart"/>
      <w:r w:rsidR="00CC38B5">
        <w:rPr>
          <w:lang w:val="en-GB"/>
        </w:rPr>
        <w:t>hydrochar</w:t>
      </w:r>
      <w:proofErr w:type="spellEnd"/>
      <w:r w:rsidR="00CC38B5">
        <w:rPr>
          <w:lang w:val="en-GB"/>
        </w:rPr>
        <w:t xml:space="preserve"> </w:t>
      </w:r>
      <w:r w:rsidR="00350E0D">
        <w:rPr>
          <w:lang w:val="en-GB"/>
        </w:rPr>
        <w:t>production from</w:t>
      </w:r>
      <w:r>
        <w:rPr>
          <w:lang w:val="en-GB"/>
        </w:rPr>
        <w:t xml:space="preserve"> </w:t>
      </w:r>
      <w:r w:rsidRPr="00AC284C">
        <w:rPr>
          <w:lang w:val="en-GB"/>
        </w:rPr>
        <w:t>BSG</w:t>
      </w:r>
      <w:r w:rsidR="00350E0D">
        <w:rPr>
          <w:lang w:val="en-GB"/>
        </w:rPr>
        <w:t>,</w:t>
      </w:r>
      <w:r w:rsidR="006825C2">
        <w:rPr>
          <w:lang w:val="en-GB"/>
        </w:rPr>
        <w:t xml:space="preserve"> </w:t>
      </w:r>
      <w:r w:rsidR="006825C2" w:rsidRPr="006825C2">
        <w:rPr>
          <w:lang w:val="en-GB"/>
        </w:rPr>
        <w:t>focusing on its suitability for various applications</w:t>
      </w:r>
      <w:r w:rsidR="006825C2">
        <w:rPr>
          <w:lang w:val="en-GB"/>
        </w:rPr>
        <w:t>.</w:t>
      </w:r>
      <w:r w:rsidR="006825C2" w:rsidRPr="006825C2">
        <w:rPr>
          <w:lang w:val="en-GB"/>
        </w:rPr>
        <w:t xml:space="preserve"> </w:t>
      </w:r>
      <w:r>
        <w:rPr>
          <w:lang w:val="en-GB"/>
        </w:rPr>
        <w:t xml:space="preserve">HTC process yields and </w:t>
      </w:r>
      <w:proofErr w:type="spellStart"/>
      <w:r>
        <w:rPr>
          <w:lang w:val="en-GB"/>
        </w:rPr>
        <w:t>hydrochar</w:t>
      </w:r>
      <w:proofErr w:type="spellEnd"/>
      <w:r>
        <w:rPr>
          <w:lang w:val="en-GB"/>
        </w:rPr>
        <w:t xml:space="preserve"> properties </w:t>
      </w:r>
      <w:r w:rsidR="006825C2">
        <w:rPr>
          <w:lang w:val="en-GB"/>
        </w:rPr>
        <w:t xml:space="preserve">were examined </w:t>
      </w:r>
      <w:r>
        <w:rPr>
          <w:lang w:val="en-GB"/>
        </w:rPr>
        <w:t>in relation to operating conditions.</w:t>
      </w:r>
    </w:p>
    <w:p w14:paraId="78885556" w14:textId="0E84BD75" w:rsidR="00940CC8" w:rsidRDefault="00A52273" w:rsidP="00940CC8">
      <w:pPr>
        <w:pStyle w:val="CETBodytext"/>
        <w:rPr>
          <w:lang w:val="en-GB"/>
        </w:rPr>
      </w:pPr>
      <w:r w:rsidRPr="006568C9">
        <w:rPr>
          <w:lang w:val="en-GB"/>
        </w:rPr>
        <w:t xml:space="preserve">The HTC process was shown to effectively transform BSG into </w:t>
      </w:r>
      <w:proofErr w:type="spellStart"/>
      <w:r w:rsidRPr="006568C9">
        <w:rPr>
          <w:lang w:val="en-GB"/>
        </w:rPr>
        <w:t>hydrochar</w:t>
      </w:r>
      <w:proofErr w:type="spellEnd"/>
      <w:r w:rsidRPr="006568C9">
        <w:rPr>
          <w:lang w:val="en-GB"/>
        </w:rPr>
        <w:t xml:space="preserve">, reducing volatile matter and enriching </w:t>
      </w:r>
      <w:r>
        <w:rPr>
          <w:lang w:val="en-GB"/>
        </w:rPr>
        <w:t xml:space="preserve">both the fixed </w:t>
      </w:r>
      <w:r w:rsidRPr="006568C9">
        <w:rPr>
          <w:lang w:val="en-GB"/>
        </w:rPr>
        <w:t xml:space="preserve">carbon </w:t>
      </w:r>
      <w:r>
        <w:rPr>
          <w:lang w:val="en-GB"/>
        </w:rPr>
        <w:t xml:space="preserve">and carbon </w:t>
      </w:r>
      <w:r w:rsidRPr="006568C9">
        <w:rPr>
          <w:lang w:val="en-GB"/>
        </w:rPr>
        <w:t>content</w:t>
      </w:r>
      <w:r>
        <w:rPr>
          <w:lang w:val="en-GB"/>
        </w:rPr>
        <w:t>s</w:t>
      </w:r>
      <w:r w:rsidRPr="006568C9">
        <w:rPr>
          <w:lang w:val="en-GB"/>
        </w:rPr>
        <w:t xml:space="preserve">. These transformations are attributed to </w:t>
      </w:r>
      <w:r>
        <w:rPr>
          <w:lang w:val="en-GB"/>
        </w:rPr>
        <w:t xml:space="preserve">the </w:t>
      </w:r>
      <w:r w:rsidRPr="006568C9">
        <w:rPr>
          <w:lang w:val="en-GB"/>
        </w:rPr>
        <w:t>key reaction</w:t>
      </w:r>
      <w:r w:rsidR="004E2B0A">
        <w:rPr>
          <w:lang w:val="en-GB"/>
        </w:rPr>
        <w:t xml:space="preserve">s </w:t>
      </w:r>
      <w:r w:rsidR="00F54F15">
        <w:rPr>
          <w:lang w:val="en-GB"/>
        </w:rPr>
        <w:t xml:space="preserve">involving biomass </w:t>
      </w:r>
      <w:proofErr w:type="spellStart"/>
      <w:r w:rsidR="00F54F15">
        <w:rPr>
          <w:lang w:val="en-GB"/>
        </w:rPr>
        <w:t>macrocomponents</w:t>
      </w:r>
      <w:proofErr w:type="spellEnd"/>
      <w:r w:rsidR="00F54F15">
        <w:rPr>
          <w:lang w:val="en-GB"/>
        </w:rPr>
        <w:t>,</w:t>
      </w:r>
      <w:r w:rsidR="00F54F15" w:rsidRPr="006568C9">
        <w:rPr>
          <w:lang w:val="en-GB"/>
        </w:rPr>
        <w:t xml:space="preserve"> </w:t>
      </w:r>
      <w:r w:rsidR="00941F04">
        <w:rPr>
          <w:lang w:val="en-GB"/>
        </w:rPr>
        <w:t>like</w:t>
      </w:r>
      <w:r w:rsidRPr="006568C9">
        <w:rPr>
          <w:lang w:val="en-GB"/>
        </w:rPr>
        <w:t xml:space="preserve"> hydrolysis, dehydration, decarboxylation, condensation, aromatisation, and </w:t>
      </w:r>
      <w:r w:rsidRPr="005D2A47">
        <w:rPr>
          <w:lang w:val="en-GB"/>
        </w:rPr>
        <w:t xml:space="preserve">polymerisation </w:t>
      </w:r>
      <w:r w:rsidR="003E0A0D" w:rsidRPr="005D2A47">
        <w:rPr>
          <w:lang w:val="en-GB"/>
        </w:rPr>
        <w:t>(</w:t>
      </w:r>
      <w:r w:rsidR="00504E71" w:rsidRPr="005D2A47">
        <w:rPr>
          <w:lang w:val="en-GB"/>
        </w:rPr>
        <w:t>Funke and Ziegler, 2010</w:t>
      </w:r>
      <w:r w:rsidR="003E0A0D" w:rsidRPr="005D2A47">
        <w:rPr>
          <w:lang w:val="en-GB"/>
        </w:rPr>
        <w:t>)</w:t>
      </w:r>
      <w:r w:rsidRPr="005D2A47">
        <w:rPr>
          <w:lang w:val="en-GB"/>
        </w:rPr>
        <w:t>.</w:t>
      </w:r>
      <w:r w:rsidR="00D77376" w:rsidRPr="005D2A47">
        <w:rPr>
          <w:lang w:val="en-GB"/>
        </w:rPr>
        <w:t xml:space="preserve"> </w:t>
      </w:r>
      <w:r w:rsidR="004E2B0A" w:rsidRPr="005D2A47">
        <w:rPr>
          <w:lang w:val="en-GB"/>
        </w:rPr>
        <w:t xml:space="preserve">Carbon content in the </w:t>
      </w:r>
      <w:proofErr w:type="spellStart"/>
      <w:r w:rsidR="004E2B0A" w:rsidRPr="005D2A47">
        <w:rPr>
          <w:lang w:val="en-GB"/>
        </w:rPr>
        <w:t>hydrochars</w:t>
      </w:r>
      <w:proofErr w:type="spellEnd"/>
      <w:r w:rsidR="004E2B0A" w:rsidRPr="005D2A47">
        <w:rPr>
          <w:lang w:val="en-GB"/>
        </w:rPr>
        <w:t xml:space="preserve"> varied between 60.7</w:t>
      </w:r>
      <w:r w:rsidR="00D77376" w:rsidRPr="005D2A47">
        <w:rPr>
          <w:lang w:val="en-GB"/>
        </w:rPr>
        <w:t xml:space="preserve"> </w:t>
      </w:r>
      <w:proofErr w:type="spellStart"/>
      <w:r w:rsidR="00D77376" w:rsidRPr="005D2A47">
        <w:rPr>
          <w:lang w:val="en-GB"/>
        </w:rPr>
        <w:t>wt</w:t>
      </w:r>
      <w:proofErr w:type="spellEnd"/>
      <w:r w:rsidR="00D77376" w:rsidRPr="005D2A47">
        <w:rPr>
          <w:lang w:val="en-GB"/>
        </w:rPr>
        <w:t xml:space="preserve"> </w:t>
      </w:r>
      <w:r w:rsidR="004E2B0A" w:rsidRPr="005D2A47">
        <w:rPr>
          <w:lang w:val="en-GB"/>
        </w:rPr>
        <w:t>% (Run 8)</w:t>
      </w:r>
      <w:r w:rsidR="004E2B0A" w:rsidRPr="004E2B0A">
        <w:rPr>
          <w:lang w:val="en-GB"/>
        </w:rPr>
        <w:t xml:space="preserve"> and 72</w:t>
      </w:r>
      <w:r w:rsidR="00D77376">
        <w:rPr>
          <w:lang w:val="en-GB"/>
        </w:rPr>
        <w:t xml:space="preserve">.0 </w:t>
      </w:r>
      <w:proofErr w:type="spellStart"/>
      <w:r w:rsidR="00D77376">
        <w:rPr>
          <w:lang w:val="en-GB"/>
        </w:rPr>
        <w:t>wt</w:t>
      </w:r>
      <w:proofErr w:type="spellEnd"/>
      <w:r w:rsidR="00D77376">
        <w:rPr>
          <w:lang w:val="en-GB"/>
        </w:rPr>
        <w:t xml:space="preserve"> </w:t>
      </w:r>
      <w:r w:rsidR="004E2B0A" w:rsidRPr="004E2B0A">
        <w:rPr>
          <w:lang w:val="en-GB"/>
        </w:rPr>
        <w:t>% (Run 7), indicating enrichment relative to the raw BSG</w:t>
      </w:r>
      <w:r w:rsidR="004E2B0A">
        <w:rPr>
          <w:lang w:val="en-GB"/>
        </w:rPr>
        <w:t xml:space="preserve"> (Table 1)</w:t>
      </w:r>
      <w:r w:rsidR="004E2B0A" w:rsidRPr="004E2B0A">
        <w:rPr>
          <w:lang w:val="en-GB"/>
        </w:rPr>
        <w:t xml:space="preserve">. </w:t>
      </w:r>
      <w:r w:rsidR="00D77376">
        <w:rPr>
          <w:lang w:val="en-GB"/>
        </w:rPr>
        <w:t>The C</w:t>
      </w:r>
      <w:r w:rsidR="004E2B0A">
        <w:rPr>
          <w:lang w:val="en-GB"/>
        </w:rPr>
        <w:t xml:space="preserve"> content increased with </w:t>
      </w:r>
      <w:r w:rsidR="00941F04">
        <w:rPr>
          <w:lang w:val="en-GB"/>
        </w:rPr>
        <w:lastRenderedPageBreak/>
        <w:t xml:space="preserve">rising </w:t>
      </w:r>
      <w:r w:rsidR="004E2B0A">
        <w:rPr>
          <w:lang w:val="en-GB"/>
        </w:rPr>
        <w:t>temper</w:t>
      </w:r>
      <w:r w:rsidR="00D77376">
        <w:rPr>
          <w:lang w:val="en-GB"/>
        </w:rPr>
        <w:t>ature</w:t>
      </w:r>
      <w:r w:rsidR="00DE7283">
        <w:rPr>
          <w:lang w:val="en-GB"/>
        </w:rPr>
        <w:t>s</w:t>
      </w:r>
      <w:r w:rsidR="00D77376">
        <w:rPr>
          <w:lang w:val="en-GB"/>
        </w:rPr>
        <w:t xml:space="preserve"> and </w:t>
      </w:r>
      <w:r w:rsidR="00941F04">
        <w:rPr>
          <w:lang w:val="en-GB"/>
        </w:rPr>
        <w:t xml:space="preserve">prolonged residence </w:t>
      </w:r>
      <w:r w:rsidR="00D77376">
        <w:rPr>
          <w:lang w:val="en-GB"/>
        </w:rPr>
        <w:t>time</w:t>
      </w:r>
      <w:r w:rsidR="00DE7283">
        <w:rPr>
          <w:lang w:val="en-GB"/>
        </w:rPr>
        <w:t>s</w:t>
      </w:r>
      <w:r w:rsidR="00D77376">
        <w:rPr>
          <w:lang w:val="en-GB"/>
        </w:rPr>
        <w:t>, with</w:t>
      </w:r>
      <w:r w:rsidR="004E2B0A">
        <w:rPr>
          <w:lang w:val="en-GB"/>
        </w:rPr>
        <w:t xml:space="preserve"> </w:t>
      </w:r>
      <w:r w:rsidR="004E2B0A" w:rsidRPr="004E2B0A">
        <w:rPr>
          <w:lang w:val="en-GB"/>
        </w:rPr>
        <w:t xml:space="preserve">temperature </w:t>
      </w:r>
      <w:r w:rsidR="00D77376">
        <w:rPr>
          <w:lang w:val="en-GB"/>
        </w:rPr>
        <w:t>having</w:t>
      </w:r>
      <w:r w:rsidR="004E2B0A" w:rsidRPr="004E2B0A">
        <w:rPr>
          <w:lang w:val="en-GB"/>
        </w:rPr>
        <w:t xml:space="preserve"> a more pronounced </w:t>
      </w:r>
      <w:r w:rsidR="00D77376">
        <w:rPr>
          <w:lang w:val="en-GB"/>
        </w:rPr>
        <w:t>effect</w:t>
      </w:r>
      <w:r w:rsidR="004E2B0A" w:rsidRPr="004E2B0A">
        <w:rPr>
          <w:lang w:val="en-GB"/>
        </w:rPr>
        <w:t xml:space="preserve"> than reaction time.</w:t>
      </w:r>
      <w:r w:rsidR="00D77376">
        <w:rPr>
          <w:lang w:val="en-GB"/>
        </w:rPr>
        <w:t xml:space="preserve"> Conversely, h</w:t>
      </w:r>
      <w:r w:rsidR="00D77376" w:rsidRPr="004E2B0A">
        <w:rPr>
          <w:lang w:val="en-GB"/>
        </w:rPr>
        <w:t>ydrogen and oxygen content</w:t>
      </w:r>
      <w:r w:rsidR="00D77376">
        <w:rPr>
          <w:lang w:val="en-GB"/>
        </w:rPr>
        <w:t>s</w:t>
      </w:r>
      <w:r w:rsidR="00D77376" w:rsidRPr="004E2B0A">
        <w:rPr>
          <w:lang w:val="en-GB"/>
        </w:rPr>
        <w:t xml:space="preserve"> exhibited </w:t>
      </w:r>
      <w:r w:rsidR="00F54F15">
        <w:rPr>
          <w:lang w:val="en-GB"/>
        </w:rPr>
        <w:t>a</w:t>
      </w:r>
      <w:r w:rsidR="00D77376" w:rsidRPr="004E2B0A">
        <w:rPr>
          <w:lang w:val="en-GB"/>
        </w:rPr>
        <w:t xml:space="preserve"> decline</w:t>
      </w:r>
      <w:r w:rsidR="00F54F15">
        <w:rPr>
          <w:lang w:val="en-GB"/>
        </w:rPr>
        <w:t xml:space="preserve"> with increasing process severity</w:t>
      </w:r>
      <w:r w:rsidR="00D77376" w:rsidRPr="004E2B0A">
        <w:rPr>
          <w:lang w:val="en-GB"/>
        </w:rPr>
        <w:t xml:space="preserve">, </w:t>
      </w:r>
      <w:r w:rsidR="00941F04">
        <w:rPr>
          <w:lang w:val="en-GB"/>
        </w:rPr>
        <w:t>because of</w:t>
      </w:r>
      <w:r w:rsidR="00D77376" w:rsidRPr="004E2B0A">
        <w:rPr>
          <w:lang w:val="en-GB"/>
        </w:rPr>
        <w:t xml:space="preserve"> dehydration and decarboxylation </w:t>
      </w:r>
      <w:r w:rsidR="00A11874">
        <w:rPr>
          <w:lang w:val="en-GB"/>
        </w:rPr>
        <w:t>mechanism</w:t>
      </w:r>
      <w:r w:rsidR="00D77376" w:rsidRPr="004E2B0A">
        <w:rPr>
          <w:lang w:val="en-GB"/>
        </w:rPr>
        <w:t>s.</w:t>
      </w:r>
      <w:r w:rsidR="004D7D4D" w:rsidRPr="004D7D4D">
        <w:t xml:space="preserve"> </w:t>
      </w:r>
      <w:r w:rsidR="00B44924">
        <w:t>Therefore</w:t>
      </w:r>
      <w:r w:rsidR="004D7D4D">
        <w:t xml:space="preserve">, </w:t>
      </w:r>
      <w:r w:rsidR="0047593D" w:rsidRPr="0047593D">
        <w:rPr>
          <w:lang w:val="en-GB"/>
        </w:rPr>
        <w:t>increases in the</w:t>
      </w:r>
      <w:r w:rsidR="0047593D">
        <w:rPr>
          <w:lang w:val="en-GB"/>
        </w:rPr>
        <w:t xml:space="preserve"> </w:t>
      </w:r>
      <w:r w:rsidR="0047593D" w:rsidRPr="0047593D">
        <w:rPr>
          <w:lang w:val="en-GB"/>
        </w:rPr>
        <w:t xml:space="preserve">temperature </w:t>
      </w:r>
      <w:r w:rsidR="0047593D">
        <w:rPr>
          <w:lang w:val="en-GB"/>
        </w:rPr>
        <w:t>and residence</w:t>
      </w:r>
      <w:r w:rsidR="0047593D" w:rsidRPr="0047593D">
        <w:rPr>
          <w:lang w:val="en-GB"/>
        </w:rPr>
        <w:t xml:space="preserve"> time le</w:t>
      </w:r>
      <w:r w:rsidR="0047593D">
        <w:rPr>
          <w:lang w:val="en-GB"/>
        </w:rPr>
        <w:t>d</w:t>
      </w:r>
      <w:r w:rsidR="0047593D" w:rsidRPr="0047593D">
        <w:rPr>
          <w:lang w:val="en-GB"/>
        </w:rPr>
        <w:t xml:space="preserve"> to decreases in </w:t>
      </w:r>
      <w:r w:rsidR="004D7D4D">
        <w:rPr>
          <w:lang w:val="en-GB"/>
        </w:rPr>
        <w:t>t</w:t>
      </w:r>
      <w:r w:rsidR="004D7D4D" w:rsidRPr="004D7D4D">
        <w:rPr>
          <w:lang w:val="en-GB"/>
        </w:rPr>
        <w:t>he H/C and O/C ratio</w:t>
      </w:r>
      <w:r w:rsidR="0047593D">
        <w:rPr>
          <w:lang w:val="en-GB"/>
        </w:rPr>
        <w:t>s</w:t>
      </w:r>
      <w:r w:rsidR="004D7D4D" w:rsidRPr="004D7D4D">
        <w:rPr>
          <w:lang w:val="en-GB"/>
        </w:rPr>
        <w:t>, reflecting the development of aromatic structures</w:t>
      </w:r>
      <w:r w:rsidR="00914F66">
        <w:rPr>
          <w:lang w:val="en-GB"/>
        </w:rPr>
        <w:t xml:space="preserve"> in the carbonization process</w:t>
      </w:r>
      <w:r w:rsidR="004D7D4D" w:rsidRPr="004D7D4D">
        <w:rPr>
          <w:lang w:val="en-GB"/>
        </w:rPr>
        <w:t xml:space="preserve">. </w:t>
      </w:r>
      <w:r w:rsidR="008F2B06">
        <w:rPr>
          <w:lang w:val="en-GB"/>
        </w:rPr>
        <w:t>HTC</w:t>
      </w:r>
      <w:r w:rsidR="00854EF0" w:rsidRPr="00600182">
        <w:rPr>
          <w:lang w:val="en-GB"/>
        </w:rPr>
        <w:t xml:space="preserve"> le</w:t>
      </w:r>
      <w:r w:rsidR="00854EF0">
        <w:rPr>
          <w:lang w:val="en-GB"/>
        </w:rPr>
        <w:t>d</w:t>
      </w:r>
      <w:r w:rsidR="00854EF0" w:rsidRPr="00600182">
        <w:rPr>
          <w:lang w:val="en-GB"/>
        </w:rPr>
        <w:t xml:space="preserve"> to a change in the </w:t>
      </w:r>
      <w:r w:rsidR="00D4582D">
        <w:rPr>
          <w:lang w:val="en-GB"/>
        </w:rPr>
        <w:t xml:space="preserve">biomass </w:t>
      </w:r>
      <w:r w:rsidR="00854EF0" w:rsidRPr="00600182">
        <w:rPr>
          <w:lang w:val="en-GB"/>
        </w:rPr>
        <w:t xml:space="preserve">elemental composition </w:t>
      </w:r>
      <w:r w:rsidR="006B7BBF">
        <w:rPr>
          <w:lang w:val="en-GB"/>
        </w:rPr>
        <w:t>shown</w:t>
      </w:r>
      <w:r w:rsidR="00854EF0" w:rsidRPr="00600182">
        <w:rPr>
          <w:lang w:val="en-GB"/>
        </w:rPr>
        <w:t xml:space="preserve"> in Fig</w:t>
      </w:r>
      <w:r w:rsidR="00854EF0">
        <w:rPr>
          <w:lang w:val="en-GB"/>
        </w:rPr>
        <w:t>ure 1</w:t>
      </w:r>
      <w:r w:rsidR="00854EF0" w:rsidRPr="00600182">
        <w:rPr>
          <w:lang w:val="en-GB"/>
        </w:rPr>
        <w:t xml:space="preserve"> according to the </w:t>
      </w:r>
      <w:r w:rsidR="008521F0">
        <w:rPr>
          <w:lang w:val="en-GB"/>
        </w:rPr>
        <w:t>V</w:t>
      </w:r>
      <w:r w:rsidR="008521F0" w:rsidRPr="00600182">
        <w:rPr>
          <w:lang w:val="en-GB"/>
        </w:rPr>
        <w:t xml:space="preserve">an </w:t>
      </w:r>
      <w:proofErr w:type="spellStart"/>
      <w:r w:rsidR="008521F0" w:rsidRPr="00600182">
        <w:rPr>
          <w:lang w:val="en-GB"/>
        </w:rPr>
        <w:t>Krevelen</w:t>
      </w:r>
      <w:proofErr w:type="spellEnd"/>
      <w:r w:rsidR="008521F0" w:rsidRPr="00600182">
        <w:rPr>
          <w:lang w:val="en-GB"/>
        </w:rPr>
        <w:t xml:space="preserve"> </w:t>
      </w:r>
      <w:r w:rsidR="00854EF0" w:rsidRPr="00600182">
        <w:rPr>
          <w:lang w:val="en-GB"/>
        </w:rPr>
        <w:t>method</w:t>
      </w:r>
      <w:r w:rsidR="00854EF0">
        <w:rPr>
          <w:lang w:val="en-GB"/>
        </w:rPr>
        <w:t>.</w:t>
      </w:r>
      <w:r w:rsidR="00854EF0" w:rsidRPr="00854EF0">
        <w:rPr>
          <w:lang w:val="en-GB"/>
        </w:rPr>
        <w:t xml:space="preserve"> </w:t>
      </w:r>
      <w:r w:rsidR="00854EF0">
        <w:rPr>
          <w:lang w:val="en-GB"/>
        </w:rPr>
        <w:t>The</w:t>
      </w:r>
      <w:r w:rsidR="00854EF0" w:rsidRPr="00403837">
        <w:rPr>
          <w:lang w:val="en-GB"/>
        </w:rPr>
        <w:t xml:space="preserve"> Van </w:t>
      </w:r>
      <w:proofErr w:type="spellStart"/>
      <w:r w:rsidR="00854EF0" w:rsidRPr="00403837">
        <w:rPr>
          <w:lang w:val="en-GB"/>
        </w:rPr>
        <w:t>Krevelen</w:t>
      </w:r>
      <w:proofErr w:type="spellEnd"/>
      <w:r w:rsidR="00854EF0" w:rsidRPr="00403837">
        <w:rPr>
          <w:lang w:val="en-GB"/>
        </w:rPr>
        <w:t xml:space="preserve"> diagram</w:t>
      </w:r>
      <w:r w:rsidR="002674F9">
        <w:rPr>
          <w:lang w:val="en-GB"/>
        </w:rPr>
        <w:t xml:space="preserve"> in Figure 1 </w:t>
      </w:r>
      <w:r w:rsidR="00854EF0" w:rsidRPr="00403837">
        <w:rPr>
          <w:lang w:val="en-GB"/>
        </w:rPr>
        <w:t>plot</w:t>
      </w:r>
      <w:r w:rsidR="002674F9">
        <w:rPr>
          <w:lang w:val="en-GB"/>
        </w:rPr>
        <w:t>s</w:t>
      </w:r>
      <w:r w:rsidR="00854EF0" w:rsidRPr="00403837">
        <w:rPr>
          <w:lang w:val="en-GB"/>
        </w:rPr>
        <w:t xml:space="preserve"> the</w:t>
      </w:r>
      <w:r w:rsidR="00854EF0">
        <w:rPr>
          <w:lang w:val="en-GB"/>
        </w:rPr>
        <w:t xml:space="preserve"> atomic</w:t>
      </w:r>
      <w:r w:rsidR="00854EF0" w:rsidRPr="00403837">
        <w:rPr>
          <w:lang w:val="en-GB"/>
        </w:rPr>
        <w:t xml:space="preserve"> H/C and O/C ratios for the </w:t>
      </w:r>
      <w:proofErr w:type="spellStart"/>
      <w:r w:rsidR="00854EF0" w:rsidRPr="00403837">
        <w:rPr>
          <w:lang w:val="en-GB"/>
        </w:rPr>
        <w:t>hydrochar</w:t>
      </w:r>
      <w:proofErr w:type="spellEnd"/>
      <w:r w:rsidR="00854EF0" w:rsidRPr="00403837">
        <w:rPr>
          <w:lang w:val="en-GB"/>
        </w:rPr>
        <w:t xml:space="preserve"> produced </w:t>
      </w:r>
      <w:r w:rsidR="00DB4247">
        <w:rPr>
          <w:lang w:val="en-GB"/>
        </w:rPr>
        <w:t>in</w:t>
      </w:r>
      <w:r w:rsidR="00854EF0" w:rsidRPr="00403837">
        <w:rPr>
          <w:lang w:val="en-GB"/>
        </w:rPr>
        <w:t xml:space="preserve"> different conditions, </w:t>
      </w:r>
      <w:r w:rsidR="008521F0">
        <w:rPr>
          <w:lang w:val="en-GB"/>
        </w:rPr>
        <w:t xml:space="preserve">compared </w:t>
      </w:r>
      <w:r w:rsidR="00854EF0" w:rsidRPr="00403837">
        <w:rPr>
          <w:lang w:val="en-GB"/>
        </w:rPr>
        <w:t>with the</w:t>
      </w:r>
      <w:r w:rsidR="008521F0">
        <w:rPr>
          <w:lang w:val="en-GB"/>
        </w:rPr>
        <w:t xml:space="preserve"> same</w:t>
      </w:r>
      <w:r w:rsidR="00854EF0">
        <w:rPr>
          <w:lang w:val="en-GB"/>
        </w:rPr>
        <w:t xml:space="preserve"> </w:t>
      </w:r>
      <w:r w:rsidR="00854EF0" w:rsidRPr="00403837">
        <w:rPr>
          <w:lang w:val="en-GB"/>
        </w:rPr>
        <w:t>ratios in the original BSG.</w:t>
      </w:r>
      <w:r w:rsidR="00940CC8">
        <w:rPr>
          <w:lang w:val="en-GB"/>
        </w:rPr>
        <w:t xml:space="preserve"> </w:t>
      </w:r>
      <w:r w:rsidR="0032373D" w:rsidRPr="0032373D">
        <w:rPr>
          <w:lang w:val="en-GB"/>
        </w:rPr>
        <w:t>Lower ratios signify enhanced carboni</w:t>
      </w:r>
      <w:r w:rsidR="0032373D">
        <w:rPr>
          <w:lang w:val="en-GB"/>
        </w:rPr>
        <w:t>z</w:t>
      </w:r>
      <w:r w:rsidR="0032373D" w:rsidRPr="0032373D">
        <w:rPr>
          <w:lang w:val="en-GB"/>
        </w:rPr>
        <w:t>ation and the formation of coal-like structures.</w:t>
      </w:r>
      <w:r w:rsidR="0032373D">
        <w:rPr>
          <w:lang w:val="en-GB"/>
        </w:rPr>
        <w:t xml:space="preserve"> </w:t>
      </w:r>
      <w:r w:rsidR="002B1FAB">
        <w:rPr>
          <w:lang w:val="en-GB"/>
        </w:rPr>
        <w:t>The results in Figure 1 clearly highlight that HTC converted the</w:t>
      </w:r>
      <w:r w:rsidR="00940CC8" w:rsidRPr="00940CC8">
        <w:rPr>
          <w:lang w:val="en-GB"/>
        </w:rPr>
        <w:t xml:space="preserve"> lignocellulosic biomass into </w:t>
      </w:r>
      <w:r w:rsidR="002B1FAB">
        <w:rPr>
          <w:lang w:val="en-GB"/>
        </w:rPr>
        <w:t>products</w:t>
      </w:r>
      <w:r w:rsidR="00940CC8" w:rsidRPr="00940CC8">
        <w:rPr>
          <w:lang w:val="en-GB"/>
        </w:rPr>
        <w:t xml:space="preserve"> resembling lignite or sub-bituminous coal.</w:t>
      </w:r>
    </w:p>
    <w:p w14:paraId="07E03209" w14:textId="34A4AF96" w:rsidR="00DB3EAC" w:rsidRDefault="00AF2316" w:rsidP="002A7735">
      <w:pPr>
        <w:pStyle w:val="CETBodytext"/>
        <w:rPr>
          <w:lang w:val="en-GB"/>
        </w:rPr>
      </w:pPr>
      <w:r>
        <w:rPr>
          <w:lang w:val="en-GB"/>
        </w:rPr>
        <w:t>T</w:t>
      </w:r>
      <w:r w:rsidRPr="00AF2316">
        <w:rPr>
          <w:lang w:val="en-GB"/>
        </w:rPr>
        <w:t>he</w:t>
      </w:r>
      <w:r w:rsidR="002968C8">
        <w:rPr>
          <w:lang w:val="en-GB"/>
        </w:rPr>
        <w:t xml:space="preserve"> </w:t>
      </w:r>
      <w:r>
        <w:rPr>
          <w:lang w:val="en-GB"/>
        </w:rPr>
        <w:t xml:space="preserve">variations in the elemental composition also </w:t>
      </w:r>
      <w:r w:rsidR="002968C8">
        <w:rPr>
          <w:lang w:val="en-GB"/>
        </w:rPr>
        <w:t>enhanced</w:t>
      </w:r>
      <w:r w:rsidRPr="00AF2316">
        <w:rPr>
          <w:lang w:val="en-GB"/>
        </w:rPr>
        <w:t xml:space="preserve"> the HHV of the</w:t>
      </w:r>
      <w:r>
        <w:rPr>
          <w:lang w:val="en-GB"/>
        </w:rPr>
        <w:t xml:space="preserve"> </w:t>
      </w:r>
      <w:proofErr w:type="spellStart"/>
      <w:r w:rsidRPr="00AF2316">
        <w:rPr>
          <w:lang w:val="en-GB"/>
        </w:rPr>
        <w:t>hydrochar</w:t>
      </w:r>
      <w:proofErr w:type="spellEnd"/>
      <w:r w:rsidRPr="00AF2316">
        <w:rPr>
          <w:lang w:val="en-GB"/>
        </w:rPr>
        <w:t xml:space="preserve"> </w:t>
      </w:r>
      <w:r>
        <w:rPr>
          <w:lang w:val="en-GB"/>
        </w:rPr>
        <w:t>with respect to</w:t>
      </w:r>
      <w:r w:rsidRPr="00AF2316">
        <w:rPr>
          <w:lang w:val="en-GB"/>
        </w:rPr>
        <w:t xml:space="preserve"> the origina</w:t>
      </w:r>
      <w:r>
        <w:rPr>
          <w:lang w:val="en-GB"/>
        </w:rPr>
        <w:t xml:space="preserve">l </w:t>
      </w:r>
      <w:r w:rsidRPr="00AF2316">
        <w:rPr>
          <w:lang w:val="en-GB"/>
        </w:rPr>
        <w:t>BSG</w:t>
      </w:r>
      <w:r>
        <w:rPr>
          <w:lang w:val="en-GB"/>
        </w:rPr>
        <w:t>.</w:t>
      </w:r>
      <w:r w:rsidR="002968C8">
        <w:rPr>
          <w:lang w:val="en-GB"/>
        </w:rPr>
        <w:t xml:space="preserve"> </w:t>
      </w:r>
      <w:r w:rsidR="00111330" w:rsidRPr="006568C9">
        <w:rPr>
          <w:lang w:val="en-GB"/>
        </w:rPr>
        <w:t xml:space="preserve">The HHV of </w:t>
      </w:r>
      <w:proofErr w:type="spellStart"/>
      <w:r w:rsidR="00111330" w:rsidRPr="006568C9">
        <w:rPr>
          <w:lang w:val="en-GB"/>
        </w:rPr>
        <w:t>hydrochar</w:t>
      </w:r>
      <w:proofErr w:type="spellEnd"/>
      <w:r w:rsidR="00111330" w:rsidRPr="006568C9">
        <w:rPr>
          <w:lang w:val="en-GB"/>
        </w:rPr>
        <w:t xml:space="preserve"> improved with increased </w:t>
      </w:r>
      <w:r w:rsidR="00111330">
        <w:rPr>
          <w:lang w:val="en-GB"/>
        </w:rPr>
        <w:t>reaction temperature and time</w:t>
      </w:r>
      <w:r w:rsidR="00111330" w:rsidRPr="006568C9">
        <w:rPr>
          <w:lang w:val="en-GB"/>
        </w:rPr>
        <w:t>, reaching up to 30.</w:t>
      </w:r>
      <w:r w:rsidR="00111330">
        <w:rPr>
          <w:lang w:val="en-GB"/>
        </w:rPr>
        <w:t>8</w:t>
      </w:r>
      <w:r w:rsidR="00111330" w:rsidRPr="006568C9">
        <w:rPr>
          <w:lang w:val="en-GB"/>
        </w:rPr>
        <w:t xml:space="preserve"> MJ/kg</w:t>
      </w:r>
      <w:r w:rsidR="00111330">
        <w:rPr>
          <w:lang w:val="en-GB"/>
        </w:rPr>
        <w:t xml:space="preserve"> (run 7)</w:t>
      </w:r>
      <w:r w:rsidR="00111330" w:rsidRPr="006568C9">
        <w:rPr>
          <w:lang w:val="en-GB"/>
        </w:rPr>
        <w:t>. Energy densification ratios ranged from 1.32 to 1.57, indicative of enhanced fuel quality.</w:t>
      </w:r>
      <w:r w:rsidR="001933EE">
        <w:rPr>
          <w:lang w:val="en-GB"/>
        </w:rPr>
        <w:t xml:space="preserve"> </w:t>
      </w:r>
      <w:r w:rsidR="00F2109F">
        <w:rPr>
          <w:lang w:val="en-GB"/>
        </w:rPr>
        <w:t xml:space="preserve">It is </w:t>
      </w:r>
      <w:r w:rsidR="00153AC3">
        <w:rPr>
          <w:lang w:val="en-GB"/>
        </w:rPr>
        <w:t xml:space="preserve">also </w:t>
      </w:r>
      <w:r w:rsidR="00F2109F">
        <w:rPr>
          <w:lang w:val="en-GB"/>
        </w:rPr>
        <w:t>worthwhile noting that</w:t>
      </w:r>
      <w:r w:rsidR="00153AC3">
        <w:rPr>
          <w:lang w:val="en-GB"/>
        </w:rPr>
        <w:t xml:space="preserve"> </w:t>
      </w:r>
      <w:proofErr w:type="spellStart"/>
      <w:r w:rsidR="00153AC3" w:rsidRPr="00434930">
        <w:rPr>
          <w:lang w:val="en-GB"/>
        </w:rPr>
        <w:t>hydrochar</w:t>
      </w:r>
      <w:proofErr w:type="spellEnd"/>
      <w:r w:rsidR="00153AC3" w:rsidRPr="00434930">
        <w:rPr>
          <w:lang w:val="en-GB"/>
        </w:rPr>
        <w:t xml:space="preserve"> </w:t>
      </w:r>
      <w:r w:rsidR="00153AC3">
        <w:rPr>
          <w:lang w:val="en-GB"/>
        </w:rPr>
        <w:t>exhibited</w:t>
      </w:r>
      <w:r w:rsidR="00153AC3" w:rsidRPr="00434930">
        <w:rPr>
          <w:lang w:val="en-GB"/>
        </w:rPr>
        <w:t xml:space="preserve"> a reduction in the ash content compared to that of the raw</w:t>
      </w:r>
      <w:r w:rsidR="00153AC3">
        <w:rPr>
          <w:lang w:val="en-GB"/>
        </w:rPr>
        <w:t xml:space="preserve"> </w:t>
      </w:r>
      <w:r w:rsidR="00DB3EAC">
        <w:rPr>
          <w:lang w:val="en-GB"/>
        </w:rPr>
        <w:t>BSG</w:t>
      </w:r>
      <w:r w:rsidR="00DB3EAC" w:rsidRPr="00DB3EAC">
        <w:rPr>
          <w:lang w:val="en-GB"/>
        </w:rPr>
        <w:t xml:space="preserve">, with some </w:t>
      </w:r>
      <w:proofErr w:type="spellStart"/>
      <w:r w:rsidR="00DB3EAC" w:rsidRPr="00DB3EAC">
        <w:rPr>
          <w:lang w:val="en-GB"/>
        </w:rPr>
        <w:t>hydrochars</w:t>
      </w:r>
      <w:proofErr w:type="spellEnd"/>
      <w:r w:rsidR="00DB3EAC" w:rsidRPr="00DB3EAC">
        <w:rPr>
          <w:lang w:val="en-GB"/>
        </w:rPr>
        <w:t xml:space="preserve"> achieving values as low as 1.</w:t>
      </w:r>
      <w:r w:rsidR="00F2109F">
        <w:rPr>
          <w:lang w:val="en-GB"/>
        </w:rPr>
        <w:t>1</w:t>
      </w:r>
      <w:r w:rsidR="00DB3EAC">
        <w:rPr>
          <w:lang w:val="en-GB"/>
        </w:rPr>
        <w:t xml:space="preserve"> </w:t>
      </w:r>
      <w:proofErr w:type="spellStart"/>
      <w:r w:rsidR="00F2109F">
        <w:rPr>
          <w:lang w:val="en-GB"/>
        </w:rPr>
        <w:t>wt</w:t>
      </w:r>
      <w:proofErr w:type="spellEnd"/>
      <w:r w:rsidR="00F2109F">
        <w:rPr>
          <w:lang w:val="en-GB"/>
        </w:rPr>
        <w:t xml:space="preserve"> </w:t>
      </w:r>
      <w:r w:rsidR="00DB3EAC" w:rsidRPr="00DB3EAC">
        <w:rPr>
          <w:lang w:val="en-GB"/>
        </w:rPr>
        <w:t>%</w:t>
      </w:r>
      <w:r w:rsidR="00153AC3" w:rsidRPr="00434930">
        <w:rPr>
          <w:lang w:val="en-GB"/>
        </w:rPr>
        <w:t xml:space="preserve">. </w:t>
      </w:r>
      <w:r w:rsidR="00DB3EAC" w:rsidRPr="00DB3EAC">
        <w:rPr>
          <w:lang w:val="en-GB"/>
        </w:rPr>
        <w:t xml:space="preserve">These properties highlight the potential of </w:t>
      </w:r>
      <w:r w:rsidR="00F2109F">
        <w:rPr>
          <w:lang w:val="en-GB"/>
        </w:rPr>
        <w:t xml:space="preserve">BSG </w:t>
      </w:r>
      <w:proofErr w:type="spellStart"/>
      <w:r w:rsidR="00DB3EAC" w:rsidRPr="00DB3EAC">
        <w:rPr>
          <w:lang w:val="en-GB"/>
        </w:rPr>
        <w:t>hydrochar</w:t>
      </w:r>
      <w:proofErr w:type="spellEnd"/>
      <w:r w:rsidR="00DB3EAC" w:rsidRPr="00DB3EAC">
        <w:rPr>
          <w:lang w:val="en-GB"/>
        </w:rPr>
        <w:t xml:space="preserve"> </w:t>
      </w:r>
      <w:r w:rsidR="00DB3EAC" w:rsidRPr="005D2A47">
        <w:rPr>
          <w:lang w:val="en-GB"/>
        </w:rPr>
        <w:t xml:space="preserve">as a low-ash solid </w:t>
      </w:r>
      <w:r w:rsidR="002968C8" w:rsidRPr="005D2A47">
        <w:rPr>
          <w:lang w:val="en-GB"/>
        </w:rPr>
        <w:t>bio</w:t>
      </w:r>
      <w:r w:rsidR="00DB3EAC" w:rsidRPr="005D2A47">
        <w:rPr>
          <w:lang w:val="en-GB"/>
        </w:rPr>
        <w:t>fuel.</w:t>
      </w:r>
      <w:r w:rsidR="003330C1" w:rsidRPr="005D2A47">
        <w:rPr>
          <w:lang w:val="en-GB"/>
        </w:rPr>
        <w:t xml:space="preserve"> </w:t>
      </w:r>
      <w:r w:rsidR="002A7735" w:rsidRPr="005D2A47">
        <w:rPr>
          <w:lang w:val="en-GB"/>
        </w:rPr>
        <w:t>Th</w:t>
      </w:r>
      <w:r w:rsidR="00CE0970" w:rsidRPr="005D2A47">
        <w:rPr>
          <w:lang w:val="en-GB"/>
        </w:rPr>
        <w:t>e</w:t>
      </w:r>
      <w:r w:rsidR="002A7735" w:rsidRPr="005D2A47">
        <w:rPr>
          <w:lang w:val="en-GB"/>
        </w:rPr>
        <w:t xml:space="preserve"> observed </w:t>
      </w:r>
      <w:r w:rsidR="00CE0970" w:rsidRPr="005D2A47">
        <w:rPr>
          <w:lang w:val="en-GB"/>
        </w:rPr>
        <w:t xml:space="preserve">values and trends </w:t>
      </w:r>
      <w:r w:rsidR="0032491D" w:rsidRPr="005D2A47">
        <w:rPr>
          <w:lang w:val="en-GB"/>
        </w:rPr>
        <w:t xml:space="preserve">are consistent with the findings </w:t>
      </w:r>
      <w:r w:rsidR="00CE0970" w:rsidRPr="005D2A47">
        <w:rPr>
          <w:lang w:val="en-GB"/>
        </w:rPr>
        <w:t xml:space="preserve">of </w:t>
      </w:r>
      <w:r w:rsidR="002A7735" w:rsidRPr="005D2A47">
        <w:rPr>
          <w:lang w:val="en-GB"/>
        </w:rPr>
        <w:t xml:space="preserve">previous studies </w:t>
      </w:r>
      <w:r w:rsidR="003E0A0D" w:rsidRPr="005D2A47">
        <w:rPr>
          <w:lang w:val="en-GB"/>
        </w:rPr>
        <w:t>(</w:t>
      </w:r>
      <w:proofErr w:type="spellStart"/>
      <w:r w:rsidR="00F023E3" w:rsidRPr="005D2A47">
        <w:rPr>
          <w:lang w:val="en-GB"/>
        </w:rPr>
        <w:t>Poerschmann</w:t>
      </w:r>
      <w:proofErr w:type="spellEnd"/>
      <w:r w:rsidR="003E0A0D" w:rsidRPr="005D2A47">
        <w:rPr>
          <w:lang w:val="en-GB"/>
        </w:rPr>
        <w:t xml:space="preserve"> et al., 2014)</w:t>
      </w:r>
      <w:r w:rsidR="002A7735" w:rsidRPr="005D2A47">
        <w:rPr>
          <w:lang w:val="en-GB"/>
        </w:rPr>
        <w:t>.</w:t>
      </w:r>
    </w:p>
    <w:p w14:paraId="4CAD8AA0" w14:textId="23240081" w:rsidR="00E04C33" w:rsidRPr="00B57B36" w:rsidRDefault="00D420DD" w:rsidP="00E04C33">
      <w:pPr>
        <w:pStyle w:val="CETCaption"/>
      </w:pPr>
      <w:r>
        <w:rPr>
          <w:noProof/>
        </w:rPr>
        <w:drawing>
          <wp:inline distT="0" distB="0" distL="0" distR="0" wp14:anchorId="37341740" wp14:editId="03E1BE66">
            <wp:extent cx="4801235" cy="2832513"/>
            <wp:effectExtent l="0" t="0" r="0" b="6350"/>
            <wp:docPr id="732522700" name="Immagine 2" descr="Immagine che contiene testo, diagramma,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22700" name="Immagine 2" descr="Immagine che contiene testo, diagramma, schermata, linea&#10;&#10;Descrizione generata automaticamente"/>
                    <pic:cNvPicPr/>
                  </pic:nvPicPr>
                  <pic:blipFill rotWithShape="1">
                    <a:blip r:embed="rId10"/>
                    <a:srcRect t="7418" b="5908"/>
                    <a:stretch/>
                  </pic:blipFill>
                  <pic:spPr bwMode="auto">
                    <a:xfrm>
                      <a:off x="0" y="0"/>
                      <a:ext cx="4802400" cy="2833200"/>
                    </a:xfrm>
                    <a:prstGeom prst="rect">
                      <a:avLst/>
                    </a:prstGeom>
                    <a:ln>
                      <a:noFill/>
                    </a:ln>
                    <a:extLst>
                      <a:ext uri="{53640926-AAD7-44D8-BBD7-CCE9431645EC}">
                        <a14:shadowObscured xmlns:a14="http://schemas.microsoft.com/office/drawing/2010/main"/>
                      </a:ext>
                    </a:extLst>
                  </pic:spPr>
                </pic:pic>
              </a:graphicData>
            </a:graphic>
          </wp:inline>
        </w:drawing>
      </w:r>
    </w:p>
    <w:p w14:paraId="38ABE8DA" w14:textId="564B6393" w:rsidR="00E04C33" w:rsidRPr="00BD077D" w:rsidRDefault="00E04C33" w:rsidP="00E04C33">
      <w:pPr>
        <w:pStyle w:val="CETCaption"/>
      </w:pPr>
      <w:r w:rsidRPr="00BD077D">
        <w:rPr>
          <w:rStyle w:val="CETCaptionCarattere"/>
          <w:i/>
        </w:rPr>
        <w:t xml:space="preserve">Figure 1: </w:t>
      </w:r>
      <w:r w:rsidR="00E27FEC" w:rsidRPr="00E27FEC">
        <w:rPr>
          <w:rStyle w:val="CETCaptionCarattere"/>
          <w:i/>
        </w:rPr>
        <w:t xml:space="preserve">Van </w:t>
      </w:r>
      <w:proofErr w:type="spellStart"/>
      <w:r w:rsidR="00E27FEC" w:rsidRPr="00E27FEC">
        <w:rPr>
          <w:rStyle w:val="CETCaptionCarattere"/>
          <w:i/>
        </w:rPr>
        <w:t>Krevelen</w:t>
      </w:r>
      <w:proofErr w:type="spellEnd"/>
      <w:r w:rsidR="00E27FEC" w:rsidRPr="00E27FEC">
        <w:rPr>
          <w:rStyle w:val="CETCaptionCarattere"/>
          <w:i/>
        </w:rPr>
        <w:t xml:space="preserve"> diagram</w:t>
      </w:r>
      <w:r w:rsidR="00E27FEC">
        <w:rPr>
          <w:rStyle w:val="CETCaptionCarattere"/>
          <w:i/>
        </w:rPr>
        <w:t xml:space="preserve"> obtained for BSG and BSG-derived </w:t>
      </w:r>
      <w:proofErr w:type="spellStart"/>
      <w:r w:rsidR="00E27FEC">
        <w:rPr>
          <w:rStyle w:val="CETCaptionCarattere"/>
          <w:i/>
        </w:rPr>
        <w:t>hydrochars</w:t>
      </w:r>
      <w:proofErr w:type="spellEnd"/>
      <w:r w:rsidR="00E27FEC">
        <w:rPr>
          <w:rStyle w:val="CETCaptionCarattere"/>
          <w:i/>
        </w:rPr>
        <w:t xml:space="preserve"> (run details in Table 2</w:t>
      </w:r>
      <w:r w:rsidR="00E27FEC" w:rsidRPr="00E27FEC">
        <w:rPr>
          <w:rStyle w:val="CETCaptionCarattere"/>
          <w:i/>
        </w:rPr>
        <w:t>).</w:t>
      </w:r>
    </w:p>
    <w:p w14:paraId="6F4A250C" w14:textId="249DC059" w:rsidR="00991882" w:rsidRDefault="00991882" w:rsidP="00991882">
      <w:pPr>
        <w:pStyle w:val="CETBodytext"/>
        <w:rPr>
          <w:lang w:val="en-GB"/>
        </w:rPr>
      </w:pPr>
      <w:r w:rsidRPr="00A60DEF">
        <w:rPr>
          <w:lang w:val="en-GB"/>
        </w:rPr>
        <w:t xml:space="preserve">The </w:t>
      </w:r>
      <w:r>
        <w:rPr>
          <w:lang w:val="en-GB"/>
        </w:rPr>
        <w:t>operating</w:t>
      </w:r>
      <w:r w:rsidRPr="00A60DEF">
        <w:rPr>
          <w:lang w:val="en-GB"/>
        </w:rPr>
        <w:t xml:space="preserve"> conditions not only</w:t>
      </w:r>
      <w:r>
        <w:rPr>
          <w:lang w:val="en-GB"/>
        </w:rPr>
        <w:t xml:space="preserve"> </w:t>
      </w:r>
      <w:r w:rsidRPr="00A60DEF">
        <w:rPr>
          <w:lang w:val="en-GB"/>
        </w:rPr>
        <w:t xml:space="preserve">influence the physicochemical properties of </w:t>
      </w:r>
      <w:r>
        <w:rPr>
          <w:lang w:val="en-GB"/>
        </w:rPr>
        <w:t xml:space="preserve">the produced </w:t>
      </w:r>
      <w:proofErr w:type="spellStart"/>
      <w:r w:rsidR="00F22693">
        <w:rPr>
          <w:lang w:val="en-GB"/>
        </w:rPr>
        <w:t>hydrochar</w:t>
      </w:r>
      <w:proofErr w:type="spellEnd"/>
      <w:r w:rsidR="00F22693">
        <w:rPr>
          <w:lang w:val="en-GB"/>
        </w:rPr>
        <w:t xml:space="preserve"> but</w:t>
      </w:r>
      <w:r w:rsidRPr="00A60DEF">
        <w:rPr>
          <w:lang w:val="en-GB"/>
        </w:rPr>
        <w:t xml:space="preserve"> also exert a significant impact</w:t>
      </w:r>
      <w:r>
        <w:rPr>
          <w:lang w:val="en-GB"/>
        </w:rPr>
        <w:t xml:space="preserve"> </w:t>
      </w:r>
      <w:r w:rsidRPr="00A60DEF">
        <w:rPr>
          <w:lang w:val="en-GB"/>
        </w:rPr>
        <w:t xml:space="preserve">on </w:t>
      </w:r>
      <w:r>
        <w:rPr>
          <w:lang w:val="en-GB"/>
        </w:rPr>
        <w:t>process</w:t>
      </w:r>
      <w:r w:rsidRPr="00A60DEF">
        <w:rPr>
          <w:lang w:val="en-GB"/>
        </w:rPr>
        <w:t xml:space="preserve"> yield</w:t>
      </w:r>
      <w:r>
        <w:rPr>
          <w:lang w:val="en-GB"/>
        </w:rPr>
        <w:t>s</w:t>
      </w:r>
      <w:r w:rsidRPr="00A60DEF">
        <w:rPr>
          <w:lang w:val="en-GB"/>
        </w:rPr>
        <w:t>.</w:t>
      </w:r>
    </w:p>
    <w:p w14:paraId="3D56DE69" w14:textId="47D6F621" w:rsidR="002C07C9" w:rsidRDefault="00991882" w:rsidP="00B470FF">
      <w:pPr>
        <w:pStyle w:val="CETBodytext"/>
        <w:rPr>
          <w:lang w:val="en-GB"/>
        </w:rPr>
      </w:pPr>
      <w:r w:rsidRPr="00CE0970">
        <w:rPr>
          <w:lang w:val="en-GB"/>
        </w:rPr>
        <w:t xml:space="preserve">The </w:t>
      </w:r>
      <w:proofErr w:type="spellStart"/>
      <w:r>
        <w:rPr>
          <w:lang w:val="en-GB"/>
        </w:rPr>
        <w:t>hydrochar</w:t>
      </w:r>
      <w:proofErr w:type="spellEnd"/>
      <w:r w:rsidRPr="00CE0970">
        <w:rPr>
          <w:lang w:val="en-GB"/>
        </w:rPr>
        <w:t xml:space="preserve"> yield show</w:t>
      </w:r>
      <w:r>
        <w:rPr>
          <w:lang w:val="en-GB"/>
        </w:rPr>
        <w:t>ed</w:t>
      </w:r>
      <w:r w:rsidRPr="00CE0970">
        <w:rPr>
          <w:lang w:val="en-GB"/>
        </w:rPr>
        <w:t xml:space="preserve"> a significant sensitivity to</w:t>
      </w:r>
      <w:r>
        <w:rPr>
          <w:lang w:val="en-GB"/>
        </w:rPr>
        <w:t xml:space="preserve"> </w:t>
      </w:r>
      <w:r w:rsidRPr="00CE0970">
        <w:rPr>
          <w:lang w:val="en-GB"/>
        </w:rPr>
        <w:t xml:space="preserve">temperature </w:t>
      </w:r>
      <w:r>
        <w:rPr>
          <w:lang w:val="en-GB"/>
        </w:rPr>
        <w:t>and solid content</w:t>
      </w:r>
      <w:r w:rsidRPr="00CE0970">
        <w:rPr>
          <w:lang w:val="en-GB"/>
        </w:rPr>
        <w:t>.</w:t>
      </w:r>
      <w:r>
        <w:rPr>
          <w:lang w:val="en-GB"/>
        </w:rPr>
        <w:t xml:space="preserve"> The mass y</w:t>
      </w:r>
      <w:r w:rsidRPr="006568C9">
        <w:rPr>
          <w:lang w:val="en-GB"/>
        </w:rPr>
        <w:t xml:space="preserve">ield increased with higher </w:t>
      </w:r>
      <w:r>
        <w:rPr>
          <w:lang w:val="en-GB"/>
        </w:rPr>
        <w:t>solid contents,</w:t>
      </w:r>
      <w:r w:rsidRPr="006568C9">
        <w:rPr>
          <w:lang w:val="en-GB"/>
        </w:rPr>
        <w:t xml:space="preserve"> but decreased at elevated temperatures, consistent</w:t>
      </w:r>
      <w:r>
        <w:rPr>
          <w:lang w:val="en-GB"/>
        </w:rPr>
        <w:t>ly</w:t>
      </w:r>
      <w:r w:rsidRPr="006568C9">
        <w:rPr>
          <w:lang w:val="en-GB"/>
        </w:rPr>
        <w:t xml:space="preserve"> with the degradation of biomass components.</w:t>
      </w:r>
      <w:r w:rsidR="000C0946">
        <w:rPr>
          <w:lang w:val="en-GB"/>
        </w:rPr>
        <w:t xml:space="preserve"> </w:t>
      </w:r>
      <w:r w:rsidR="00910681" w:rsidRPr="00910681">
        <w:rPr>
          <w:lang w:val="en-GB"/>
        </w:rPr>
        <w:t xml:space="preserve">Carbon yield relies on both </w:t>
      </w:r>
      <w:proofErr w:type="spellStart"/>
      <w:r w:rsidR="000C0946" w:rsidRPr="00910681">
        <w:rPr>
          <w:lang w:val="en-GB"/>
        </w:rPr>
        <w:t>hydrochar</w:t>
      </w:r>
      <w:proofErr w:type="spellEnd"/>
      <w:r w:rsidR="000C0946" w:rsidRPr="00910681">
        <w:rPr>
          <w:lang w:val="en-GB"/>
        </w:rPr>
        <w:t xml:space="preserve"> mass yield </w:t>
      </w:r>
      <w:r w:rsidR="000C0946">
        <w:rPr>
          <w:lang w:val="en-GB"/>
        </w:rPr>
        <w:t xml:space="preserve">and </w:t>
      </w:r>
      <w:proofErr w:type="spellStart"/>
      <w:r w:rsidR="00910681" w:rsidRPr="00910681">
        <w:rPr>
          <w:lang w:val="en-GB"/>
        </w:rPr>
        <w:t>hydrochar</w:t>
      </w:r>
      <w:proofErr w:type="spellEnd"/>
      <w:r w:rsidR="00910681" w:rsidRPr="00910681">
        <w:rPr>
          <w:lang w:val="en-GB"/>
        </w:rPr>
        <w:t xml:space="preserve"> carbon content</w:t>
      </w:r>
      <w:r w:rsidR="00095E4E">
        <w:rPr>
          <w:lang w:val="en-GB"/>
        </w:rPr>
        <w:t xml:space="preserve">, as </w:t>
      </w:r>
      <w:r w:rsidR="000C0946">
        <w:rPr>
          <w:lang w:val="en-GB"/>
        </w:rPr>
        <w:t>defined in</w:t>
      </w:r>
      <w:r w:rsidR="00095E4E" w:rsidRPr="00095E4E">
        <w:rPr>
          <w:lang w:val="en-GB"/>
        </w:rPr>
        <w:t xml:space="preserve"> </w:t>
      </w:r>
      <w:proofErr w:type="spellStart"/>
      <w:proofErr w:type="gramStart"/>
      <w:r w:rsidR="00095E4E" w:rsidRPr="006A5401">
        <w:rPr>
          <w:lang w:val="en-GB"/>
        </w:rPr>
        <w:t>Eq</w:t>
      </w:r>
      <w:proofErr w:type="spellEnd"/>
      <w:r w:rsidR="00095E4E" w:rsidRPr="006A5401">
        <w:rPr>
          <w:lang w:val="en-GB"/>
        </w:rPr>
        <w:t>(</w:t>
      </w:r>
      <w:proofErr w:type="gramEnd"/>
      <w:r w:rsidR="00095E4E">
        <w:rPr>
          <w:lang w:val="en-GB"/>
        </w:rPr>
        <w:t>2</w:t>
      </w:r>
      <w:r w:rsidR="00095E4E" w:rsidRPr="006A5401">
        <w:rPr>
          <w:lang w:val="en-GB"/>
        </w:rPr>
        <w:t>)</w:t>
      </w:r>
      <w:r w:rsidR="000C0946">
        <w:rPr>
          <w:lang w:val="en-GB"/>
        </w:rPr>
        <w:t xml:space="preserve">. </w:t>
      </w:r>
      <w:r w:rsidR="002C07C9" w:rsidRPr="002C07C9">
        <w:rPr>
          <w:lang w:val="en-GB"/>
        </w:rPr>
        <w:t>The Analysis of Variance indicated temperature and solid</w:t>
      </w:r>
      <w:r w:rsidR="008A3816">
        <w:rPr>
          <w:lang w:val="en-GB"/>
        </w:rPr>
        <w:t xml:space="preserve"> content as </w:t>
      </w:r>
      <w:r w:rsidR="002C07C9" w:rsidRPr="002C07C9">
        <w:rPr>
          <w:lang w:val="en-GB"/>
        </w:rPr>
        <w:t>significant factors</w:t>
      </w:r>
      <w:r w:rsidR="007F6987" w:rsidRPr="007F6987">
        <w:rPr>
          <w:lang w:val="en-GB"/>
        </w:rPr>
        <w:t xml:space="preserve"> </w:t>
      </w:r>
      <w:r w:rsidR="007F6987">
        <w:rPr>
          <w:lang w:val="en-GB"/>
        </w:rPr>
        <w:t>for carbon yield, with</w:t>
      </w:r>
      <w:r w:rsidR="00B470FF" w:rsidRPr="00B470FF">
        <w:rPr>
          <w:lang w:val="en-GB"/>
        </w:rPr>
        <w:t xml:space="preserve"> </w:t>
      </w:r>
      <w:r w:rsidR="007F6987">
        <w:rPr>
          <w:lang w:val="en-GB"/>
        </w:rPr>
        <w:t>t</w:t>
      </w:r>
      <w:r w:rsidR="00B470FF" w:rsidRPr="00B470FF">
        <w:rPr>
          <w:lang w:val="en-GB"/>
        </w:rPr>
        <w:t xml:space="preserve">he Design Expert® software </w:t>
      </w:r>
      <w:r w:rsidR="00EE538B">
        <w:rPr>
          <w:lang w:val="en-GB"/>
        </w:rPr>
        <w:t>suggest</w:t>
      </w:r>
      <w:r w:rsidR="007F6987">
        <w:rPr>
          <w:lang w:val="en-GB"/>
        </w:rPr>
        <w:t>ing</w:t>
      </w:r>
      <w:r w:rsidR="00EE538B">
        <w:rPr>
          <w:lang w:val="en-GB"/>
        </w:rPr>
        <w:t xml:space="preserve"> a r</w:t>
      </w:r>
      <w:r w:rsidR="00EE538B" w:rsidRPr="00A24648">
        <w:rPr>
          <w:lang w:val="en-GB"/>
        </w:rPr>
        <w:t xml:space="preserve">educed </w:t>
      </w:r>
      <w:r w:rsidR="00EE538B">
        <w:rPr>
          <w:lang w:val="en-GB"/>
        </w:rPr>
        <w:t>q</w:t>
      </w:r>
      <w:r w:rsidR="00EE538B" w:rsidRPr="00A24648">
        <w:rPr>
          <w:lang w:val="en-GB"/>
        </w:rPr>
        <w:t>uadratic model</w:t>
      </w:r>
      <w:r w:rsidR="007F6987">
        <w:rPr>
          <w:lang w:val="en-GB"/>
        </w:rPr>
        <w:t xml:space="preserve">. </w:t>
      </w:r>
      <w:r w:rsidR="00B470FF" w:rsidRPr="00B470FF">
        <w:rPr>
          <w:lang w:val="en-GB"/>
        </w:rPr>
        <w:t xml:space="preserve">The mathematical model, expressed in coded values, is shown in </w:t>
      </w:r>
      <w:proofErr w:type="spellStart"/>
      <w:proofErr w:type="gramStart"/>
      <w:r w:rsidR="00B470FF" w:rsidRPr="00B470FF">
        <w:rPr>
          <w:lang w:val="en-GB"/>
        </w:rPr>
        <w:t>Eq</w:t>
      </w:r>
      <w:proofErr w:type="spellEnd"/>
      <w:r w:rsidR="000B25B7">
        <w:rPr>
          <w:lang w:val="en-GB"/>
        </w:rPr>
        <w:t>(</w:t>
      </w:r>
      <w:proofErr w:type="gramEnd"/>
      <w:r w:rsidR="00946C72">
        <w:rPr>
          <w:lang w:val="en-GB"/>
        </w:rPr>
        <w:t>7</w:t>
      </w:r>
      <w:r w:rsidR="000B25B7">
        <w:rPr>
          <w:lang w:val="en-GB"/>
        </w:rPr>
        <w:t>):</w:t>
      </w:r>
    </w:p>
    <w:tbl>
      <w:tblPr>
        <w:tblW w:w="5000" w:type="pct"/>
        <w:tblLook w:val="04A0" w:firstRow="1" w:lastRow="0" w:firstColumn="1" w:lastColumn="0" w:noHBand="0" w:noVBand="1"/>
      </w:tblPr>
      <w:tblGrid>
        <w:gridCol w:w="7983"/>
        <w:gridCol w:w="804"/>
      </w:tblGrid>
      <w:tr w:rsidR="00442B7A" w:rsidRPr="00B57B36" w14:paraId="2BB4B978" w14:textId="77777777" w:rsidTr="000B25B7">
        <w:tc>
          <w:tcPr>
            <w:tcW w:w="7983" w:type="dxa"/>
            <w:shd w:val="clear" w:color="auto" w:fill="auto"/>
            <w:vAlign w:val="center"/>
          </w:tcPr>
          <w:p w14:paraId="2CE4983F" w14:textId="77777777" w:rsidR="00442B7A" w:rsidRPr="00A24648" w:rsidRDefault="00442B7A" w:rsidP="00B77994">
            <w:pPr>
              <w:pStyle w:val="CETEquation"/>
              <w:rPr>
                <w:i/>
                <w:iCs/>
              </w:rPr>
            </w:pPr>
            <m:oMathPara>
              <m:oMathParaPr>
                <m:jc m:val="left"/>
              </m:oMathParaPr>
              <m:oMath>
                <m:r>
                  <w:rPr>
                    <w:rFonts w:ascii="Cambria Math" w:hAnsi="Cambria Math" w:cs="Arial"/>
                  </w:rPr>
                  <m:t>Carbon yield=65.63-1.55A+11.07C-1.58</m:t>
                </m:r>
                <m:sSup>
                  <m:sSupPr>
                    <m:ctrlPr>
                      <w:rPr>
                        <w:rFonts w:ascii="Cambria Math" w:hAnsi="Cambria Math" w:cs="Arial"/>
                        <w:i/>
                        <w:iCs/>
                      </w:rPr>
                    </m:ctrlPr>
                  </m:sSupPr>
                  <m:e>
                    <m:r>
                      <w:rPr>
                        <w:rFonts w:ascii="Cambria Math" w:hAnsi="Cambria Math" w:cs="Arial"/>
                      </w:rPr>
                      <m:t>A</m:t>
                    </m:r>
                  </m:e>
                  <m:sup>
                    <m:r>
                      <w:rPr>
                        <w:rFonts w:ascii="Cambria Math" w:hAnsi="Cambria Math" w:cs="Arial"/>
                      </w:rPr>
                      <m:t>2</m:t>
                    </m:r>
                  </m:sup>
                </m:sSup>
                <m:r>
                  <w:rPr>
                    <w:rFonts w:ascii="Cambria Math" w:hAnsi="Cambria Math" w:cs="Arial"/>
                  </w:rPr>
                  <m:t>-6.44</m:t>
                </m:r>
                <m:sSup>
                  <m:sSupPr>
                    <m:ctrlPr>
                      <w:rPr>
                        <w:rFonts w:ascii="Cambria Math" w:hAnsi="Cambria Math" w:cs="Arial"/>
                        <w:i/>
                        <w:iCs/>
                      </w:rPr>
                    </m:ctrlPr>
                  </m:sSupPr>
                  <m:e>
                    <m:r>
                      <w:rPr>
                        <w:rFonts w:ascii="Cambria Math" w:hAnsi="Cambria Math" w:cs="Arial"/>
                      </w:rPr>
                      <m:t>C</m:t>
                    </m:r>
                  </m:e>
                  <m:sup>
                    <m:r>
                      <w:rPr>
                        <w:rFonts w:ascii="Cambria Math" w:hAnsi="Cambria Math" w:cs="Arial"/>
                      </w:rPr>
                      <m:t>2</m:t>
                    </m:r>
                  </m:sup>
                </m:sSup>
              </m:oMath>
            </m:oMathPara>
          </w:p>
        </w:tc>
        <w:tc>
          <w:tcPr>
            <w:tcW w:w="804" w:type="dxa"/>
            <w:shd w:val="clear" w:color="auto" w:fill="auto"/>
            <w:vAlign w:val="center"/>
          </w:tcPr>
          <w:p w14:paraId="58B17A7C" w14:textId="38FCA944" w:rsidR="00442B7A" w:rsidRPr="00B57B36" w:rsidRDefault="00442B7A" w:rsidP="00B77994">
            <w:pPr>
              <w:pStyle w:val="CETEquation"/>
              <w:jc w:val="right"/>
            </w:pPr>
            <w:r w:rsidRPr="00B57B36">
              <w:t>(</w:t>
            </w:r>
            <w:r w:rsidR="00946C72">
              <w:t>7</w:t>
            </w:r>
            <w:r w:rsidRPr="00B57B36">
              <w:t>)</w:t>
            </w:r>
          </w:p>
        </w:tc>
      </w:tr>
    </w:tbl>
    <w:p w14:paraId="2A6022C2" w14:textId="3EE600D9" w:rsidR="007C15E0" w:rsidRDefault="001A1D49" w:rsidP="007C15E0">
      <w:pPr>
        <w:pStyle w:val="CETBodytext"/>
        <w:rPr>
          <w:lang w:val="en-GB"/>
        </w:rPr>
      </w:pPr>
      <w:r w:rsidRPr="001A1D49">
        <w:rPr>
          <w:lang w:val="en-GB"/>
        </w:rPr>
        <w:t>The equation expressed in coded factors is helpful for assessing the relative influence of the factors by comparing their coefficients</w:t>
      </w:r>
      <w:r w:rsidR="00152584">
        <w:rPr>
          <w:lang w:val="en-GB"/>
        </w:rPr>
        <w:t xml:space="preserve">. </w:t>
      </w:r>
      <w:r w:rsidR="001C20E1" w:rsidRPr="001C20E1">
        <w:rPr>
          <w:lang w:val="en-GB"/>
        </w:rPr>
        <w:t xml:space="preserve">The correlation between </w:t>
      </w:r>
      <w:r w:rsidR="001C20E1">
        <w:rPr>
          <w:lang w:val="en-GB"/>
        </w:rPr>
        <w:t xml:space="preserve">the </w:t>
      </w:r>
      <w:r w:rsidR="001C20E1" w:rsidRPr="001C20E1">
        <w:rPr>
          <w:lang w:val="en-GB"/>
        </w:rPr>
        <w:t xml:space="preserve">factors and </w:t>
      </w:r>
      <w:r w:rsidR="001C20E1">
        <w:rPr>
          <w:lang w:val="en-GB"/>
        </w:rPr>
        <w:t xml:space="preserve">the </w:t>
      </w:r>
      <w:r w:rsidR="001C20E1" w:rsidRPr="001C20E1">
        <w:rPr>
          <w:lang w:val="en-GB"/>
        </w:rPr>
        <w:t>response can be visually represented using response surface</w:t>
      </w:r>
      <w:r w:rsidR="001C20E1">
        <w:rPr>
          <w:lang w:val="en-GB"/>
        </w:rPr>
        <w:t xml:space="preserve"> </w:t>
      </w:r>
      <w:r w:rsidR="001C20E1" w:rsidRPr="001C20E1">
        <w:rPr>
          <w:lang w:val="en-GB"/>
        </w:rPr>
        <w:t xml:space="preserve">graphs. Figure </w:t>
      </w:r>
      <w:r w:rsidR="001C20E1">
        <w:rPr>
          <w:lang w:val="en-GB"/>
        </w:rPr>
        <w:t>2a</w:t>
      </w:r>
      <w:r w:rsidR="001C20E1" w:rsidRPr="001C20E1">
        <w:rPr>
          <w:lang w:val="en-GB"/>
        </w:rPr>
        <w:t xml:space="preserve"> </w:t>
      </w:r>
      <w:r w:rsidR="00262517">
        <w:rPr>
          <w:lang w:val="en-GB"/>
        </w:rPr>
        <w:t>shows</w:t>
      </w:r>
      <w:r w:rsidR="001C20E1" w:rsidRPr="001C20E1">
        <w:rPr>
          <w:lang w:val="en-GB"/>
        </w:rPr>
        <w:t xml:space="preserve"> the response surface for </w:t>
      </w:r>
      <w:r w:rsidR="00262517">
        <w:rPr>
          <w:lang w:val="en-GB"/>
        </w:rPr>
        <w:t xml:space="preserve">carbon </w:t>
      </w:r>
      <w:r w:rsidR="001C20E1" w:rsidRPr="001C20E1">
        <w:rPr>
          <w:lang w:val="en-GB"/>
        </w:rPr>
        <w:t xml:space="preserve">yield </w:t>
      </w:r>
      <w:r w:rsidR="00262517" w:rsidRPr="00262517">
        <w:rPr>
          <w:lang w:val="en-GB"/>
        </w:rPr>
        <w:t>as a function of temperature and solid content</w:t>
      </w:r>
      <w:r w:rsidR="00547D6D">
        <w:rPr>
          <w:lang w:val="en-GB"/>
        </w:rPr>
        <w:t xml:space="preserve"> (time is not </w:t>
      </w:r>
      <w:r w:rsidR="00547D6D" w:rsidRPr="002C07C9">
        <w:rPr>
          <w:lang w:val="en-GB"/>
        </w:rPr>
        <w:t>significant</w:t>
      </w:r>
      <w:r w:rsidR="00547D6D">
        <w:rPr>
          <w:lang w:val="en-GB"/>
        </w:rPr>
        <w:t xml:space="preserve">). </w:t>
      </w:r>
      <w:r w:rsidR="00A06C92" w:rsidRPr="00A06C92">
        <w:rPr>
          <w:lang w:val="en-GB"/>
        </w:rPr>
        <w:t xml:space="preserve">The adequacy of the model was verified by diagnostic plots. </w:t>
      </w:r>
      <w:r w:rsidR="00E40015" w:rsidRPr="00E40015">
        <w:rPr>
          <w:lang w:val="en-GB"/>
        </w:rPr>
        <w:t xml:space="preserve">The agreement between the experimental </w:t>
      </w:r>
      <w:r w:rsidR="00814FBB">
        <w:rPr>
          <w:lang w:val="en-GB"/>
        </w:rPr>
        <w:t>values</w:t>
      </w:r>
      <w:r w:rsidR="00E40015" w:rsidRPr="00E40015">
        <w:rPr>
          <w:lang w:val="en-GB"/>
        </w:rPr>
        <w:t xml:space="preserve"> and the predicted model values was </w:t>
      </w:r>
      <w:r w:rsidR="00E40015">
        <w:rPr>
          <w:lang w:val="en-GB"/>
        </w:rPr>
        <w:t>demonstrated</w:t>
      </w:r>
      <w:r w:rsidR="00E40015" w:rsidRPr="00E40015">
        <w:rPr>
          <w:lang w:val="en-GB"/>
        </w:rPr>
        <w:t xml:space="preserve"> by the close clustering of points along the straight line </w:t>
      </w:r>
      <w:r w:rsidR="007C15E0">
        <w:rPr>
          <w:lang w:val="en-GB"/>
        </w:rPr>
        <w:t xml:space="preserve">in the </w:t>
      </w:r>
      <w:r w:rsidR="007C15E0" w:rsidRPr="007C15E0">
        <w:rPr>
          <w:lang w:val="en-GB"/>
        </w:rPr>
        <w:t xml:space="preserve">predicted </w:t>
      </w:r>
      <w:r w:rsidR="007C15E0">
        <w:rPr>
          <w:lang w:val="en-GB"/>
        </w:rPr>
        <w:t xml:space="preserve">versus actual </w:t>
      </w:r>
      <w:r w:rsidR="007C15E0" w:rsidRPr="007C15E0">
        <w:rPr>
          <w:lang w:val="en-GB"/>
        </w:rPr>
        <w:t>value</w:t>
      </w:r>
      <w:r w:rsidR="007C15E0">
        <w:rPr>
          <w:lang w:val="en-GB"/>
        </w:rPr>
        <w:t>s plot in Figure 2b.</w:t>
      </w:r>
    </w:p>
    <w:p w14:paraId="5DDCA5FD" w14:textId="230032D6" w:rsidR="00991882" w:rsidRDefault="00914B9F" w:rsidP="00D67FB1">
      <w:pPr>
        <w:pStyle w:val="CETBodytext"/>
        <w:rPr>
          <w:lang w:val="en-GB"/>
        </w:rPr>
      </w:pPr>
      <w:r w:rsidRPr="00914B9F">
        <w:rPr>
          <w:lang w:val="en-GB"/>
        </w:rPr>
        <w:t>Optimi</w:t>
      </w:r>
      <w:r w:rsidR="00F764D1">
        <w:rPr>
          <w:lang w:val="en-GB"/>
        </w:rPr>
        <w:t>z</w:t>
      </w:r>
      <w:r w:rsidRPr="00914B9F">
        <w:rPr>
          <w:lang w:val="en-GB"/>
        </w:rPr>
        <w:t>ation studies identified specific HTC conditions for</w:t>
      </w:r>
      <w:r w:rsidR="008675A5">
        <w:rPr>
          <w:lang w:val="en-GB"/>
        </w:rPr>
        <w:t xml:space="preserve"> the maximization of selected responses</w:t>
      </w:r>
      <w:r w:rsidRPr="00914B9F">
        <w:rPr>
          <w:lang w:val="en-GB"/>
        </w:rPr>
        <w:t>.</w:t>
      </w:r>
      <w:r w:rsidR="008675A5">
        <w:rPr>
          <w:lang w:val="en-GB"/>
        </w:rPr>
        <w:t xml:space="preserve"> </w:t>
      </w:r>
      <w:r w:rsidR="008675A5" w:rsidRPr="008675A5">
        <w:rPr>
          <w:lang w:val="en-GB"/>
        </w:rPr>
        <w:t xml:space="preserve">Regarding carbon yield, </w:t>
      </w:r>
      <w:r w:rsidR="008675A5">
        <w:rPr>
          <w:lang w:val="en-GB"/>
        </w:rPr>
        <w:t xml:space="preserve">its maximization </w:t>
      </w:r>
      <w:r w:rsidR="008675A5" w:rsidRPr="008675A5">
        <w:rPr>
          <w:lang w:val="en-GB"/>
        </w:rPr>
        <w:t xml:space="preserve">could be </w:t>
      </w:r>
      <w:r w:rsidR="008675A5">
        <w:rPr>
          <w:lang w:val="en-GB"/>
        </w:rPr>
        <w:t>useful</w:t>
      </w:r>
      <w:r w:rsidR="008675A5" w:rsidRPr="008675A5">
        <w:rPr>
          <w:lang w:val="en-GB"/>
        </w:rPr>
        <w:t xml:space="preserve"> </w:t>
      </w:r>
      <w:r w:rsidR="00D848C2">
        <w:rPr>
          <w:lang w:val="en-GB"/>
        </w:rPr>
        <w:t>in</w:t>
      </w:r>
      <w:r w:rsidR="008675A5" w:rsidRPr="008675A5">
        <w:rPr>
          <w:lang w:val="en-GB"/>
        </w:rPr>
        <w:t xml:space="preserve"> the perspective of a potential</w:t>
      </w:r>
      <w:r w:rsidR="00D848C2">
        <w:rPr>
          <w:lang w:val="en-GB"/>
        </w:rPr>
        <w:t xml:space="preserve"> </w:t>
      </w:r>
      <w:r w:rsidR="008675A5" w:rsidRPr="008675A5">
        <w:rPr>
          <w:lang w:val="en-GB"/>
        </w:rPr>
        <w:t xml:space="preserve">use of </w:t>
      </w:r>
      <w:proofErr w:type="spellStart"/>
      <w:r w:rsidR="008675A5" w:rsidRPr="008675A5">
        <w:rPr>
          <w:lang w:val="en-GB"/>
        </w:rPr>
        <w:t>hydrochar</w:t>
      </w:r>
      <w:proofErr w:type="spellEnd"/>
      <w:r w:rsidR="008675A5" w:rsidRPr="008675A5">
        <w:rPr>
          <w:lang w:val="en-GB"/>
        </w:rPr>
        <w:t xml:space="preserve"> </w:t>
      </w:r>
      <w:r w:rsidR="00FF5CC6">
        <w:rPr>
          <w:lang w:val="en-GB"/>
        </w:rPr>
        <w:t>to produce</w:t>
      </w:r>
      <w:r w:rsidR="008675A5" w:rsidRPr="008675A5">
        <w:rPr>
          <w:lang w:val="en-GB"/>
        </w:rPr>
        <w:t xml:space="preserve"> </w:t>
      </w:r>
      <w:r w:rsidR="00D848C2">
        <w:rPr>
          <w:lang w:val="en-GB"/>
        </w:rPr>
        <w:t xml:space="preserve">high </w:t>
      </w:r>
      <w:r w:rsidR="00D848C2">
        <w:rPr>
          <w:lang w:val="en-GB"/>
        </w:rPr>
        <w:lastRenderedPageBreak/>
        <w:t xml:space="preserve">value-added </w:t>
      </w:r>
      <w:r w:rsidR="008675A5" w:rsidRPr="008675A5">
        <w:rPr>
          <w:lang w:val="en-GB"/>
        </w:rPr>
        <w:t>carbonaceous materials</w:t>
      </w:r>
      <w:r w:rsidR="00D848C2">
        <w:rPr>
          <w:lang w:val="en-GB"/>
        </w:rPr>
        <w:t>, or for soil applications.</w:t>
      </w:r>
      <w:r w:rsidR="00D67FB1">
        <w:rPr>
          <w:lang w:val="en-GB"/>
        </w:rPr>
        <w:t xml:space="preserve"> </w:t>
      </w:r>
      <w:r w:rsidR="00D67FB1" w:rsidRPr="00D67FB1">
        <w:rPr>
          <w:lang w:val="en-GB"/>
        </w:rPr>
        <w:t>The</w:t>
      </w:r>
      <w:r w:rsidR="00D67FB1">
        <w:rPr>
          <w:lang w:val="en-GB"/>
        </w:rPr>
        <w:t xml:space="preserve"> </w:t>
      </w:r>
      <w:r w:rsidR="00D67FB1" w:rsidRPr="00D67FB1">
        <w:rPr>
          <w:lang w:val="en-GB"/>
        </w:rPr>
        <w:t>optimi</w:t>
      </w:r>
      <w:r w:rsidR="00D67FB1">
        <w:rPr>
          <w:lang w:val="en-GB"/>
        </w:rPr>
        <w:t>z</w:t>
      </w:r>
      <w:r w:rsidR="00D67FB1" w:rsidRPr="00D67FB1">
        <w:rPr>
          <w:lang w:val="en-GB"/>
        </w:rPr>
        <w:t xml:space="preserve">ation of the </w:t>
      </w:r>
      <w:r w:rsidR="00D67FB1">
        <w:rPr>
          <w:lang w:val="en-GB"/>
        </w:rPr>
        <w:t>carbon yield</w:t>
      </w:r>
      <w:r w:rsidR="00D67FB1" w:rsidRPr="00D67FB1">
        <w:rPr>
          <w:lang w:val="en-GB"/>
        </w:rPr>
        <w:t xml:space="preserve"> generated the following set of operating conditions: </w:t>
      </w:r>
      <w:r w:rsidR="001A6A97">
        <w:rPr>
          <w:lang w:val="en-GB"/>
        </w:rPr>
        <w:t>215</w:t>
      </w:r>
      <w:r w:rsidR="00D67FB1" w:rsidRPr="00D67FB1">
        <w:rPr>
          <w:lang w:val="en-GB"/>
        </w:rPr>
        <w:t xml:space="preserve"> °C</w:t>
      </w:r>
      <w:r w:rsidR="001A6A97">
        <w:rPr>
          <w:lang w:val="en-GB"/>
        </w:rPr>
        <w:t xml:space="preserve"> </w:t>
      </w:r>
      <w:r w:rsidR="00D67FB1" w:rsidRPr="00D67FB1">
        <w:rPr>
          <w:lang w:val="en-GB"/>
        </w:rPr>
        <w:t>reaction temperature and 2</w:t>
      </w:r>
      <w:r w:rsidR="001A6A97">
        <w:rPr>
          <w:lang w:val="en-GB"/>
        </w:rPr>
        <w:t>3.</w:t>
      </w:r>
      <w:r w:rsidR="00D67FB1" w:rsidRPr="00D67FB1">
        <w:rPr>
          <w:lang w:val="en-GB"/>
        </w:rPr>
        <w:t xml:space="preserve">5 </w:t>
      </w:r>
      <w:proofErr w:type="spellStart"/>
      <w:r w:rsidR="00D67FB1" w:rsidRPr="00D67FB1">
        <w:rPr>
          <w:lang w:val="en-GB"/>
        </w:rPr>
        <w:t>wt</w:t>
      </w:r>
      <w:proofErr w:type="spellEnd"/>
      <w:r w:rsidR="00D67FB1" w:rsidRPr="00D67FB1">
        <w:rPr>
          <w:lang w:val="en-GB"/>
        </w:rPr>
        <w:t xml:space="preserve"> % solid </w:t>
      </w:r>
      <w:r w:rsidR="001A6A97">
        <w:rPr>
          <w:lang w:val="en-GB"/>
        </w:rPr>
        <w:t xml:space="preserve">content. </w:t>
      </w:r>
    </w:p>
    <w:p w14:paraId="665B4DE4" w14:textId="7A7D2B7C" w:rsidR="001315F3" w:rsidRDefault="001315F3" w:rsidP="008675A5">
      <w:pPr>
        <w:pStyle w:val="CETBodytext"/>
        <w:rPr>
          <w:lang w:val="en-GB"/>
        </w:rPr>
      </w:pPr>
      <w:r w:rsidRPr="001315F3">
        <w:rPr>
          <w:lang w:val="en-GB"/>
        </w:rPr>
        <w:t>To verify the model prediction capability, validation runs were carried out</w:t>
      </w:r>
      <w:r>
        <w:rPr>
          <w:lang w:val="en-GB"/>
        </w:rPr>
        <w:t xml:space="preserve"> in </w:t>
      </w:r>
      <w:r w:rsidRPr="001315F3">
        <w:rPr>
          <w:lang w:val="en-GB"/>
        </w:rPr>
        <w:t>the optimal conditions identified</w:t>
      </w:r>
      <w:r>
        <w:rPr>
          <w:lang w:val="en-GB"/>
        </w:rPr>
        <w:t xml:space="preserve"> </w:t>
      </w:r>
      <w:r w:rsidRPr="001315F3">
        <w:rPr>
          <w:lang w:val="en-GB"/>
        </w:rPr>
        <w:t>(</w:t>
      </w:r>
      <w:r>
        <w:rPr>
          <w:lang w:val="en-GB"/>
        </w:rPr>
        <w:t xml:space="preserve">since </w:t>
      </w:r>
      <w:r w:rsidRPr="001315F3">
        <w:rPr>
          <w:lang w:val="en-GB"/>
        </w:rPr>
        <w:t xml:space="preserve">time </w:t>
      </w:r>
      <w:r>
        <w:rPr>
          <w:lang w:val="en-GB"/>
        </w:rPr>
        <w:t>is a not significant factor</w:t>
      </w:r>
      <w:r w:rsidRPr="001315F3">
        <w:rPr>
          <w:lang w:val="en-GB"/>
        </w:rPr>
        <w:t>, the minimum re</w:t>
      </w:r>
      <w:r>
        <w:rPr>
          <w:lang w:val="en-GB"/>
        </w:rPr>
        <w:t>action</w:t>
      </w:r>
      <w:r w:rsidRPr="001315F3">
        <w:rPr>
          <w:lang w:val="en-GB"/>
        </w:rPr>
        <w:t xml:space="preserve"> time, i.e., </w:t>
      </w:r>
      <w:r>
        <w:rPr>
          <w:lang w:val="en-GB"/>
        </w:rPr>
        <w:t>3</w:t>
      </w:r>
      <w:r w:rsidRPr="001315F3">
        <w:rPr>
          <w:lang w:val="en-GB"/>
        </w:rPr>
        <w:t xml:space="preserve">0 min, </w:t>
      </w:r>
      <w:r>
        <w:rPr>
          <w:lang w:val="en-GB"/>
        </w:rPr>
        <w:t>was</w:t>
      </w:r>
      <w:r w:rsidRPr="001315F3">
        <w:rPr>
          <w:lang w:val="en-GB"/>
        </w:rPr>
        <w:t xml:space="preserve"> </w:t>
      </w:r>
      <w:r>
        <w:rPr>
          <w:lang w:val="en-GB"/>
        </w:rPr>
        <w:t>chosen</w:t>
      </w:r>
      <w:r w:rsidRPr="001315F3">
        <w:rPr>
          <w:lang w:val="en-GB"/>
        </w:rPr>
        <w:t>).</w:t>
      </w:r>
      <w:r w:rsidR="00396E20">
        <w:rPr>
          <w:lang w:val="en-GB"/>
        </w:rPr>
        <w:t xml:space="preserve"> For all the validation runs carried out, </w:t>
      </w:r>
      <w:r w:rsidR="001F6FD2" w:rsidRPr="001F6FD2">
        <w:rPr>
          <w:lang w:val="en-GB"/>
        </w:rPr>
        <w:t>the observed responses fell within the ranges predicted by the model</w:t>
      </w:r>
      <w:r w:rsidRPr="001315F3">
        <w:rPr>
          <w:lang w:val="en-GB"/>
        </w:rPr>
        <w:t>.</w:t>
      </w:r>
    </w:p>
    <w:p w14:paraId="17439A81" w14:textId="222EC920" w:rsidR="00991882" w:rsidRPr="006568C9" w:rsidRDefault="00396E20" w:rsidP="00991882">
      <w:pPr>
        <w:pStyle w:val="CETBodytext"/>
        <w:rPr>
          <w:lang w:val="en-GB"/>
        </w:rPr>
      </w:pPr>
      <w:r>
        <w:rPr>
          <w:lang w:val="en-GB"/>
        </w:rPr>
        <w:t>P</w:t>
      </w:r>
      <w:r w:rsidR="00991882" w:rsidRPr="006568C9">
        <w:rPr>
          <w:lang w:val="en-GB"/>
        </w:rPr>
        <w:t xml:space="preserve">rocessing </w:t>
      </w:r>
      <w:r>
        <w:rPr>
          <w:lang w:val="en-GB"/>
        </w:rPr>
        <w:t xml:space="preserve">BSG </w:t>
      </w:r>
      <w:r w:rsidR="00991882" w:rsidRPr="006568C9">
        <w:rPr>
          <w:lang w:val="en-GB"/>
        </w:rPr>
        <w:t xml:space="preserve">at 215°C with 23.5 </w:t>
      </w:r>
      <w:proofErr w:type="spellStart"/>
      <w:r w:rsidR="00991882" w:rsidRPr="006568C9">
        <w:rPr>
          <w:lang w:val="en-GB"/>
        </w:rPr>
        <w:t>wt</w:t>
      </w:r>
      <w:proofErr w:type="spellEnd"/>
      <w:r>
        <w:rPr>
          <w:lang w:val="en-GB"/>
        </w:rPr>
        <w:t xml:space="preserve"> </w:t>
      </w:r>
      <w:r w:rsidR="00991882" w:rsidRPr="006568C9">
        <w:rPr>
          <w:lang w:val="en-GB"/>
        </w:rPr>
        <w:t>% solid</w:t>
      </w:r>
      <w:r>
        <w:rPr>
          <w:lang w:val="en-GB"/>
        </w:rPr>
        <w:t xml:space="preserve"> content</w:t>
      </w:r>
      <w:r w:rsidR="00991882" w:rsidRPr="006568C9">
        <w:rPr>
          <w:lang w:val="en-GB"/>
        </w:rPr>
        <w:t xml:space="preserve"> for 30 minutes yielded a </w:t>
      </w:r>
      <w:proofErr w:type="spellStart"/>
      <w:r w:rsidR="00991882" w:rsidRPr="006568C9">
        <w:rPr>
          <w:lang w:val="en-GB"/>
        </w:rPr>
        <w:t>hydrochar</w:t>
      </w:r>
      <w:proofErr w:type="spellEnd"/>
      <w:r w:rsidR="00991882" w:rsidRPr="006568C9">
        <w:rPr>
          <w:lang w:val="en-GB"/>
        </w:rPr>
        <w:t xml:space="preserve"> with properties comparable to lignite, </w:t>
      </w:r>
      <w:r>
        <w:rPr>
          <w:lang w:val="en-GB"/>
        </w:rPr>
        <w:t xml:space="preserve">potentially </w:t>
      </w:r>
      <w:r w:rsidR="00991882" w:rsidRPr="006568C9">
        <w:rPr>
          <w:lang w:val="en-GB"/>
        </w:rPr>
        <w:t>suitable for soil applications.</w:t>
      </w:r>
      <w:r>
        <w:rPr>
          <w:lang w:val="en-GB"/>
        </w:rPr>
        <w:t xml:space="preserve"> </w:t>
      </w:r>
      <w:r w:rsidRPr="00396E20">
        <w:rPr>
          <w:lang w:val="en-GB"/>
        </w:rPr>
        <w:t xml:space="preserve">The suitability of </w:t>
      </w:r>
      <w:r>
        <w:rPr>
          <w:lang w:val="en-GB"/>
        </w:rPr>
        <w:t xml:space="preserve">the </w:t>
      </w:r>
      <w:r w:rsidRPr="00396E20">
        <w:rPr>
          <w:lang w:val="en-GB"/>
        </w:rPr>
        <w:t xml:space="preserve">BSG </w:t>
      </w:r>
      <w:proofErr w:type="spellStart"/>
      <w:r w:rsidRPr="00396E20">
        <w:rPr>
          <w:lang w:val="en-GB"/>
        </w:rPr>
        <w:t>hydrochar</w:t>
      </w:r>
      <w:proofErr w:type="spellEnd"/>
      <w:r w:rsidRPr="00396E20">
        <w:rPr>
          <w:lang w:val="en-GB"/>
        </w:rPr>
        <w:t xml:space="preserve"> for agronomic applications was </w:t>
      </w:r>
      <w:r>
        <w:rPr>
          <w:lang w:val="en-GB"/>
        </w:rPr>
        <w:t>investigated</w:t>
      </w:r>
      <w:r w:rsidRPr="00396E20">
        <w:rPr>
          <w:lang w:val="en-GB"/>
        </w:rPr>
        <w:t xml:space="preserve"> </w:t>
      </w:r>
      <w:r>
        <w:rPr>
          <w:lang w:val="en-GB"/>
        </w:rPr>
        <w:t xml:space="preserve">through </w:t>
      </w:r>
      <w:r w:rsidRPr="00396E20">
        <w:rPr>
          <w:lang w:val="en-GB"/>
        </w:rPr>
        <w:t xml:space="preserve">phytotoxicity </w:t>
      </w:r>
      <w:r>
        <w:rPr>
          <w:lang w:val="en-GB"/>
        </w:rPr>
        <w:t>assessment.</w:t>
      </w:r>
    </w:p>
    <w:p w14:paraId="2965E9FE" w14:textId="2D1F48D7" w:rsidR="00EF627A" w:rsidRPr="00B57B36" w:rsidRDefault="00A64BAA" w:rsidP="00EF627A">
      <w:pPr>
        <w:pStyle w:val="CETCaption"/>
      </w:pPr>
      <w:r>
        <w:rPr>
          <w:noProof/>
        </w:rPr>
        <w:drawing>
          <wp:inline distT="0" distB="0" distL="0" distR="0" wp14:anchorId="243A21F8" wp14:editId="5693062F">
            <wp:extent cx="5691600" cy="2570400"/>
            <wp:effectExtent l="0" t="0" r="4445" b="1905"/>
            <wp:docPr id="712195727" name="Immagine 1" descr="Immagine che contiene diagramma, schermata, line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195727" name="Immagine 1" descr="Immagine che contiene diagramma, schermata, linea, design&#10;&#10;Descrizione generata automaticamente"/>
                    <pic:cNvPicPr/>
                  </pic:nvPicPr>
                  <pic:blipFill>
                    <a:blip r:embed="rId11"/>
                    <a:stretch>
                      <a:fillRect/>
                    </a:stretch>
                  </pic:blipFill>
                  <pic:spPr>
                    <a:xfrm>
                      <a:off x="0" y="0"/>
                      <a:ext cx="5691600" cy="2570400"/>
                    </a:xfrm>
                    <a:prstGeom prst="rect">
                      <a:avLst/>
                    </a:prstGeom>
                  </pic:spPr>
                </pic:pic>
              </a:graphicData>
            </a:graphic>
          </wp:inline>
        </w:drawing>
      </w:r>
    </w:p>
    <w:p w14:paraId="45CE81A0" w14:textId="385D3D56" w:rsidR="00EF627A" w:rsidRPr="00BD077D" w:rsidRDefault="00EF627A" w:rsidP="00EF627A">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0073408B">
        <w:rPr>
          <w:rStyle w:val="CETCaptionCarattere"/>
          <w:i/>
        </w:rPr>
        <w:t>R</w:t>
      </w:r>
      <w:r w:rsidR="001E2F7E" w:rsidRPr="001E2F7E">
        <w:rPr>
          <w:rStyle w:val="CETCaptionCarattere"/>
          <w:i/>
        </w:rPr>
        <w:t xml:space="preserve">esponse surface </w:t>
      </w:r>
      <w:r w:rsidR="001E2F7E">
        <w:rPr>
          <w:rStyle w:val="CETCaptionCarattere"/>
          <w:i/>
        </w:rPr>
        <w:t xml:space="preserve">plot </w:t>
      </w:r>
      <w:r w:rsidR="001E2F7E" w:rsidRPr="001E2F7E">
        <w:rPr>
          <w:rStyle w:val="CETCaptionCarattere"/>
          <w:i/>
        </w:rPr>
        <w:t xml:space="preserve">for </w:t>
      </w:r>
      <w:r w:rsidR="001E2F7E">
        <w:rPr>
          <w:rStyle w:val="CETCaptionCarattere"/>
          <w:i/>
        </w:rPr>
        <w:t>carbon</w:t>
      </w:r>
      <w:r w:rsidR="001E2F7E" w:rsidRPr="001E2F7E">
        <w:rPr>
          <w:rStyle w:val="CETCaptionCarattere"/>
          <w:i/>
        </w:rPr>
        <w:t xml:space="preserve"> yield as a function of temperature and</w:t>
      </w:r>
      <w:r w:rsidR="001E2F7E">
        <w:rPr>
          <w:rStyle w:val="CETCaptionCarattere"/>
          <w:i/>
        </w:rPr>
        <w:t xml:space="preserve"> solid content (a) and </w:t>
      </w:r>
      <w:r w:rsidR="009235B8">
        <w:rPr>
          <w:rStyle w:val="CETCaptionCarattere"/>
          <w:i/>
        </w:rPr>
        <w:t>d</w:t>
      </w:r>
      <w:r w:rsidR="009235B8" w:rsidRPr="009235B8">
        <w:rPr>
          <w:rStyle w:val="CETCaptionCarattere"/>
          <w:i/>
        </w:rPr>
        <w:t>iagnostic plot of predicted model values v</w:t>
      </w:r>
      <w:r w:rsidR="0073408B">
        <w:rPr>
          <w:rStyle w:val="CETCaptionCarattere"/>
          <w:i/>
        </w:rPr>
        <w:t>s.</w:t>
      </w:r>
      <w:r w:rsidR="009235B8" w:rsidRPr="009235B8">
        <w:rPr>
          <w:rStyle w:val="CETCaptionCarattere"/>
          <w:i/>
        </w:rPr>
        <w:t xml:space="preserve"> experimental data fo</w:t>
      </w:r>
      <w:r w:rsidR="009235B8">
        <w:rPr>
          <w:rStyle w:val="CETCaptionCarattere"/>
          <w:i/>
        </w:rPr>
        <w:t>r carbon yield (b).</w:t>
      </w:r>
    </w:p>
    <w:p w14:paraId="24BBE02F" w14:textId="509A158A" w:rsidR="00D02CEF" w:rsidRPr="00C6196D" w:rsidRDefault="00D02CEF" w:rsidP="00D02CEF">
      <w:pPr>
        <w:pStyle w:val="CETheadingx"/>
      </w:pPr>
      <w:r w:rsidRPr="00C6196D">
        <w:t xml:space="preserve">Phytotoxicity assessment of </w:t>
      </w:r>
      <w:bookmarkStart w:id="2" w:name="OLE_LINK1"/>
      <w:r w:rsidRPr="00C6196D">
        <w:t xml:space="preserve">BSG-derived </w:t>
      </w:r>
      <w:proofErr w:type="spellStart"/>
      <w:r w:rsidRPr="00C6196D">
        <w:t>hydrochar</w:t>
      </w:r>
      <w:bookmarkEnd w:id="2"/>
      <w:proofErr w:type="spellEnd"/>
    </w:p>
    <w:p w14:paraId="0A0C36AE" w14:textId="41F6526F" w:rsidR="00AF1DB0" w:rsidRDefault="008C1FA7" w:rsidP="000A6E40">
      <w:pPr>
        <w:pStyle w:val="CETBodytext"/>
      </w:pPr>
      <w:r>
        <w:rPr>
          <w:lang w:val="en-GB"/>
        </w:rPr>
        <w:t>As show</w:t>
      </w:r>
      <w:r w:rsidR="00820044">
        <w:rPr>
          <w:lang w:val="en-GB"/>
        </w:rPr>
        <w:t>n</w:t>
      </w:r>
      <w:r>
        <w:rPr>
          <w:lang w:val="en-GB"/>
        </w:rPr>
        <w:t xml:space="preserve"> in Figure </w:t>
      </w:r>
      <w:r w:rsidR="00A00EE3">
        <w:rPr>
          <w:lang w:val="en-GB"/>
        </w:rPr>
        <w:t>3</w:t>
      </w:r>
      <w:r>
        <w:rPr>
          <w:lang w:val="en-GB"/>
        </w:rPr>
        <w:t>a, the I</w:t>
      </w:r>
      <w:r w:rsidRPr="008C1FA7">
        <w:rPr>
          <w:vertAlign w:val="subscript"/>
          <w:lang w:val="en-GB"/>
        </w:rPr>
        <w:t>g</w:t>
      </w:r>
      <w:r>
        <w:rPr>
          <w:vertAlign w:val="subscript"/>
          <w:lang w:val="en-GB"/>
        </w:rPr>
        <w:t xml:space="preserve"> </w:t>
      </w:r>
      <w:r>
        <w:rPr>
          <w:lang w:val="en-GB"/>
        </w:rPr>
        <w:t xml:space="preserve">was lower in </w:t>
      </w:r>
      <w:r w:rsidRPr="008C1FA7">
        <w:rPr>
          <w:i/>
          <w:iCs/>
          <w:lang w:val="en-GB"/>
        </w:rPr>
        <w:t>L. sativum</w:t>
      </w:r>
      <w:r>
        <w:rPr>
          <w:lang w:val="en-GB"/>
        </w:rPr>
        <w:t xml:space="preserve"> plants </w:t>
      </w:r>
      <w:r>
        <w:t xml:space="preserve">treated with water extract of </w:t>
      </w:r>
      <w:r w:rsidRPr="00E23661">
        <w:t>BSG</w:t>
      </w:r>
      <w:r w:rsidR="00AC2463">
        <w:t xml:space="preserve"> </w:t>
      </w:r>
      <w:proofErr w:type="spellStart"/>
      <w:r w:rsidR="00AC2463">
        <w:t>hydrochar</w:t>
      </w:r>
      <w:proofErr w:type="spellEnd"/>
      <w:r>
        <w:t xml:space="preserve"> (</w:t>
      </w:r>
      <w:r w:rsidR="003D076C">
        <w:t>85</w:t>
      </w:r>
      <w:r w:rsidR="00083373">
        <w:t>.</w:t>
      </w:r>
      <w:r w:rsidR="003D076C">
        <w:t xml:space="preserve">2 </w:t>
      </w:r>
      <w:r>
        <w:t xml:space="preserve">vs </w:t>
      </w:r>
      <w:r w:rsidR="003D076C">
        <w:t>100</w:t>
      </w:r>
      <w:r w:rsidR="00E1689D">
        <w:t xml:space="preserve"> </w:t>
      </w:r>
      <w:r w:rsidR="003D076C">
        <w:t>%</w:t>
      </w:r>
      <w:r>
        <w:t>) and a similar reduction was also observed in terms of G</w:t>
      </w:r>
      <w:r w:rsidRPr="008C1FA7">
        <w:rPr>
          <w:vertAlign w:val="subscript"/>
        </w:rPr>
        <w:t>m</w:t>
      </w:r>
      <w:r>
        <w:rPr>
          <w:vertAlign w:val="subscript"/>
        </w:rPr>
        <w:t xml:space="preserve"> </w:t>
      </w:r>
      <w:r w:rsidRPr="008C1FA7">
        <w:t>(</w:t>
      </w:r>
      <w:r w:rsidR="003D076C">
        <w:t>78</w:t>
      </w:r>
      <w:r w:rsidR="00083373">
        <w:t>.</w:t>
      </w:r>
      <w:r w:rsidR="003D076C">
        <w:t>5</w:t>
      </w:r>
      <w:r w:rsidR="00E77316">
        <w:t xml:space="preserve"> vs </w:t>
      </w:r>
      <w:r w:rsidR="003D076C">
        <w:t>100</w:t>
      </w:r>
      <w:r w:rsidR="00E1689D">
        <w:t xml:space="preserve"> </w:t>
      </w:r>
      <w:r w:rsidR="003D076C">
        <w:t>%</w:t>
      </w:r>
      <w:r w:rsidR="00E77316">
        <w:t xml:space="preserve">, </w:t>
      </w:r>
      <w:r w:rsidRPr="008C1FA7">
        <w:t xml:space="preserve">Figure </w:t>
      </w:r>
      <w:r w:rsidR="00A00EE3">
        <w:t>3</w:t>
      </w:r>
      <w:r w:rsidRPr="008C1FA7">
        <w:t>b).</w:t>
      </w:r>
      <w:r>
        <w:t xml:space="preserve"> This suggest</w:t>
      </w:r>
      <w:r w:rsidR="00402E1C">
        <w:t>s</w:t>
      </w:r>
      <w:r>
        <w:t xml:space="preserve"> the presence of some </w:t>
      </w:r>
      <w:r w:rsidR="00E77316">
        <w:t xml:space="preserve">phytotoxic </w:t>
      </w:r>
      <w:r>
        <w:t xml:space="preserve">compounds generated by the HTC process which influence both the germination (acute effect) and the growth of </w:t>
      </w:r>
      <w:r w:rsidRPr="00E77316">
        <w:rPr>
          <w:i/>
          <w:iCs/>
        </w:rPr>
        <w:t>L. sativum</w:t>
      </w:r>
      <w:r>
        <w:t xml:space="preserve"> plants (chronic exposure for 21 days).</w:t>
      </w:r>
      <w:r w:rsidR="00AF1DB0">
        <w:t xml:space="preserve"> </w:t>
      </w:r>
      <w:r w:rsidR="00AF1DB0">
        <w:t xml:space="preserve">However, for both the indexes values are higher than those allowed by the Italian regulation (&gt;60 % </w:t>
      </w:r>
      <w:r w:rsidR="00AF1DB0" w:rsidRPr="00402E1C">
        <w:rPr>
          <w:i/>
          <w:iCs/>
        </w:rPr>
        <w:t>sensu</w:t>
      </w:r>
      <w:r w:rsidR="00AF1DB0">
        <w:t xml:space="preserve"> </w:t>
      </w:r>
      <w:proofErr w:type="spellStart"/>
      <w:r w:rsidR="00AF1DB0" w:rsidRPr="00E1689D">
        <w:t>Decreto</w:t>
      </w:r>
      <w:proofErr w:type="spellEnd"/>
      <w:r w:rsidR="00AF1DB0" w:rsidRPr="00E1689D">
        <w:t xml:space="preserve"> </w:t>
      </w:r>
      <w:proofErr w:type="spellStart"/>
      <w:r w:rsidR="00AF1DB0" w:rsidRPr="00E1689D">
        <w:t>Legislativo</w:t>
      </w:r>
      <w:proofErr w:type="spellEnd"/>
      <w:r w:rsidR="00AF1DB0" w:rsidRPr="00E1689D">
        <w:t xml:space="preserve"> </w:t>
      </w:r>
      <w:r w:rsidR="00AF1DB0">
        <w:t xml:space="preserve">75/2010 and </w:t>
      </w:r>
      <w:proofErr w:type="spellStart"/>
      <w:r w:rsidR="00AF1DB0">
        <w:t>s.m.a</w:t>
      </w:r>
      <w:proofErr w:type="spellEnd"/>
      <w:r w:rsidR="00AF1DB0">
        <w:t>.) for a soil amendment.</w:t>
      </w:r>
    </w:p>
    <w:p w14:paraId="5E8E3C20" w14:textId="2A54034E" w:rsidR="003B0ED5" w:rsidRDefault="006E6EBE" w:rsidP="00E77316">
      <w:pPr>
        <w:pStyle w:val="CETCaption"/>
        <w:jc w:val="center"/>
      </w:pPr>
      <w:r>
        <w:rPr>
          <w:noProof/>
        </w:rPr>
        <w:drawing>
          <wp:inline distT="0" distB="0" distL="0" distR="0" wp14:anchorId="52DEACDE" wp14:editId="07C0C751">
            <wp:extent cx="2952000" cy="2034000"/>
            <wp:effectExtent l="0" t="0" r="1270" b="4445"/>
            <wp:docPr id="17870388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38885" name="Immagine 1"/>
                    <pic:cNvPicPr>
                      <a:picLocks noChangeAspect="1" noChangeArrowheads="1"/>
                    </pic:cNvPicPr>
                  </pic:nvPicPr>
                  <pic:blipFill>
                    <a:blip r:embed="rId12"/>
                    <a:stretch>
                      <a:fillRect/>
                    </a:stretch>
                  </pic:blipFill>
                  <pic:spPr bwMode="auto">
                    <a:xfrm>
                      <a:off x="0" y="0"/>
                      <a:ext cx="2952000" cy="2034000"/>
                    </a:xfrm>
                    <a:prstGeom prst="rect">
                      <a:avLst/>
                    </a:prstGeom>
                    <a:noFill/>
                    <a:ln>
                      <a:noFill/>
                    </a:ln>
                  </pic:spPr>
                </pic:pic>
              </a:graphicData>
            </a:graphic>
          </wp:inline>
        </w:drawing>
      </w:r>
    </w:p>
    <w:p w14:paraId="133DF10F" w14:textId="7617E8C3" w:rsidR="003B0ED5" w:rsidRDefault="006E6EBE" w:rsidP="00C6196D">
      <w:pPr>
        <w:pStyle w:val="CETCaption"/>
        <w:rPr>
          <w:iCs/>
          <w:lang w:val="en-US"/>
        </w:rPr>
      </w:pPr>
      <w:r>
        <w:t xml:space="preserve">Figure 3: </w:t>
      </w:r>
      <w:r w:rsidR="00CD609B">
        <w:t xml:space="preserve">a) </w:t>
      </w:r>
      <w:r w:rsidR="00AF21C0">
        <w:t>Germination index (I</w:t>
      </w:r>
      <w:r w:rsidR="00AF21C0" w:rsidRPr="00AF21C0">
        <w:rPr>
          <w:vertAlign w:val="subscript"/>
        </w:rPr>
        <w:t>g</w:t>
      </w:r>
      <w:r w:rsidR="00AF21C0">
        <w:t xml:space="preserve">) of </w:t>
      </w:r>
      <w:r w:rsidR="00AF21C0" w:rsidRPr="00F90D4E">
        <w:rPr>
          <w:i w:val="0"/>
          <w:iCs/>
        </w:rPr>
        <w:t>Lepidium sativum</w:t>
      </w:r>
      <w:r w:rsidR="00AF21C0">
        <w:t xml:space="preserve"> under control conditions (CTRL) or treated with </w:t>
      </w:r>
      <w:r w:rsidR="00801A98">
        <w:t xml:space="preserve">the </w:t>
      </w:r>
      <w:r w:rsidR="00AF21C0">
        <w:t xml:space="preserve">water extract </w:t>
      </w:r>
      <w:bookmarkStart w:id="3" w:name="_Hlk184901644"/>
      <w:r w:rsidR="00AF21C0">
        <w:t>of</w:t>
      </w:r>
      <w:r w:rsidR="00C368AE">
        <w:t xml:space="preserve"> </w:t>
      </w:r>
      <w:r w:rsidR="00C368AE" w:rsidRPr="00E23661">
        <w:t xml:space="preserve">Brewer’s spent grains-derived </w:t>
      </w:r>
      <w:proofErr w:type="spellStart"/>
      <w:r w:rsidR="00AF21C0" w:rsidRPr="00E23661">
        <w:t>hydrochar</w:t>
      </w:r>
      <w:proofErr w:type="spellEnd"/>
      <w:r w:rsidR="00C368AE" w:rsidRPr="00E23661">
        <w:t xml:space="preserve"> (BSG-HC)</w:t>
      </w:r>
      <w:bookmarkEnd w:id="3"/>
      <w:r w:rsidR="00C368AE" w:rsidRPr="00E23661">
        <w:t xml:space="preserve">. </w:t>
      </w:r>
      <w:r w:rsidR="00CD609B">
        <w:t xml:space="preserve">b) </w:t>
      </w:r>
      <w:r w:rsidR="00E23661" w:rsidRPr="00E23661">
        <w:t>Growth index (G</w:t>
      </w:r>
      <w:r w:rsidR="00E23661" w:rsidRPr="00E23661">
        <w:rPr>
          <w:vertAlign w:val="subscript"/>
        </w:rPr>
        <w:t>m</w:t>
      </w:r>
      <w:r w:rsidR="00E23661" w:rsidRPr="00E23661">
        <w:t>) of</w:t>
      </w:r>
      <w:r w:rsidR="00E23661">
        <w:t xml:space="preserve"> </w:t>
      </w:r>
      <w:r w:rsidR="00E23661">
        <w:rPr>
          <w:i w:val="0"/>
          <w:iCs/>
        </w:rPr>
        <w:t>L</w:t>
      </w:r>
      <w:r w:rsidR="0062786C">
        <w:rPr>
          <w:i w:val="0"/>
          <w:iCs/>
        </w:rPr>
        <w:t>.</w:t>
      </w:r>
      <w:r w:rsidR="00E23661">
        <w:rPr>
          <w:i w:val="0"/>
          <w:iCs/>
        </w:rPr>
        <w:t xml:space="preserve"> sativum </w:t>
      </w:r>
      <w:r w:rsidR="00E23661">
        <w:t>in control condition</w:t>
      </w:r>
      <w:r w:rsidR="00CD609B">
        <w:t>s</w:t>
      </w:r>
      <w:r w:rsidR="00E23661">
        <w:t xml:space="preserve"> </w:t>
      </w:r>
      <w:r w:rsidR="00CD609B">
        <w:t xml:space="preserve">(CTRL) </w:t>
      </w:r>
      <w:r w:rsidR="00E23661">
        <w:t>and after treatment with</w:t>
      </w:r>
      <w:r w:rsidR="00E23661" w:rsidRPr="00E23661">
        <w:t xml:space="preserve"> BSG-HC</w:t>
      </w:r>
      <w:r w:rsidR="00E23661">
        <w:t xml:space="preserve">. </w:t>
      </w:r>
      <w:r w:rsidR="00E23661" w:rsidRPr="00E23661">
        <w:rPr>
          <w:iCs/>
          <w:lang w:val="en-US"/>
        </w:rPr>
        <w:t xml:space="preserve">Different letters indicate significant differences between </w:t>
      </w:r>
      <w:r w:rsidR="00E1689D" w:rsidRPr="00E23661">
        <w:rPr>
          <w:iCs/>
          <w:lang w:val="en-US"/>
        </w:rPr>
        <w:t xml:space="preserve">controls </w:t>
      </w:r>
      <w:r w:rsidR="00E1689D">
        <w:rPr>
          <w:iCs/>
          <w:lang w:val="en-US"/>
        </w:rPr>
        <w:t xml:space="preserve">and </w:t>
      </w:r>
      <w:r w:rsidR="00E23661" w:rsidRPr="00E23661">
        <w:rPr>
          <w:iCs/>
          <w:lang w:val="en-US"/>
        </w:rPr>
        <w:t>treated samples.</w:t>
      </w:r>
    </w:p>
    <w:p w14:paraId="18B435B9" w14:textId="789BD4C8" w:rsidR="00AF1DB0" w:rsidRPr="00246457" w:rsidRDefault="00AF1DB0" w:rsidP="00AF1DB0">
      <w:pPr>
        <w:pStyle w:val="CETBodytext"/>
      </w:pPr>
      <w:r>
        <w:lastRenderedPageBreak/>
        <w:t xml:space="preserve">This indicates that the </w:t>
      </w:r>
      <w:proofErr w:type="spellStart"/>
      <w:r>
        <w:t>hydrochar</w:t>
      </w:r>
      <w:proofErr w:type="spellEnd"/>
      <w:r>
        <w:t xml:space="preserve"> derived from BSG could still be considered suitable for agronomic applications. </w:t>
      </w:r>
      <w:r w:rsidRPr="00697142">
        <w:rPr>
          <w:lang w:val="en-GB"/>
        </w:rPr>
        <w:t>Recent studies, such as</w:t>
      </w:r>
      <w:r>
        <w:rPr>
          <w:lang w:val="en-GB"/>
        </w:rPr>
        <w:t xml:space="preserve"> those by</w:t>
      </w:r>
      <w:r w:rsidRPr="00697142">
        <w:rPr>
          <w:lang w:val="en-GB"/>
        </w:rPr>
        <w:t xml:space="preserve"> Kar</w:t>
      </w:r>
      <w:r>
        <w:rPr>
          <w:lang w:val="en-GB"/>
        </w:rPr>
        <w:t>a</w:t>
      </w:r>
      <w:r w:rsidRPr="00697142">
        <w:rPr>
          <w:lang w:val="en-GB"/>
        </w:rPr>
        <w:t>ta</w:t>
      </w:r>
      <w:r>
        <w:rPr>
          <w:lang w:val="en-GB"/>
        </w:rPr>
        <w:t>s et al.</w:t>
      </w:r>
      <w:r w:rsidRPr="00697142">
        <w:rPr>
          <w:lang w:val="en-GB"/>
        </w:rPr>
        <w:t xml:space="preserve"> (</w:t>
      </w:r>
      <w:r>
        <w:rPr>
          <w:lang w:val="en-GB"/>
        </w:rPr>
        <w:t>2022</w:t>
      </w:r>
      <w:r w:rsidRPr="00697142">
        <w:rPr>
          <w:lang w:val="en-GB"/>
        </w:rPr>
        <w:t>)</w:t>
      </w:r>
      <w:r>
        <w:rPr>
          <w:lang w:val="en-GB"/>
        </w:rPr>
        <w:t>, have made significant</w:t>
      </w:r>
      <w:r w:rsidRPr="00697142">
        <w:rPr>
          <w:lang w:val="en-GB"/>
        </w:rPr>
        <w:t xml:space="preserve"> advances in understanding </w:t>
      </w:r>
      <w:proofErr w:type="spellStart"/>
      <w:r w:rsidRPr="00697142">
        <w:rPr>
          <w:lang w:val="en-GB"/>
        </w:rPr>
        <w:t>hydrochar</w:t>
      </w:r>
      <w:proofErr w:type="spellEnd"/>
      <w:r w:rsidRPr="00697142">
        <w:rPr>
          <w:lang w:val="en-GB"/>
        </w:rPr>
        <w:t xml:space="preserve"> phytotoxicity and methods to reduce its toxic</w:t>
      </w:r>
      <w:r>
        <w:rPr>
          <w:lang w:val="en-GB"/>
        </w:rPr>
        <w:t xml:space="preserve"> effects, aiming to minimize the formation </w:t>
      </w:r>
      <w:r>
        <w:t xml:space="preserve">of phytotoxic compounds and improve the effectiveness and safety of </w:t>
      </w:r>
      <w:proofErr w:type="spellStart"/>
      <w:r>
        <w:t>hydrochar</w:t>
      </w:r>
      <w:proofErr w:type="spellEnd"/>
      <w:r>
        <w:t>.</w:t>
      </w:r>
    </w:p>
    <w:p w14:paraId="68D26B83" w14:textId="77777777" w:rsidR="00600535" w:rsidRPr="00333C48" w:rsidRDefault="00600535" w:rsidP="00600535">
      <w:pPr>
        <w:pStyle w:val="CETHeading1"/>
        <w:rPr>
          <w:lang w:val="en-GB"/>
        </w:rPr>
      </w:pPr>
      <w:r w:rsidRPr="00333C48">
        <w:rPr>
          <w:lang w:val="en-GB"/>
        </w:rPr>
        <w:t>Conclusions</w:t>
      </w:r>
    </w:p>
    <w:p w14:paraId="038DD6FF" w14:textId="21229A0E" w:rsidR="00676D28" w:rsidRDefault="00783B85" w:rsidP="00783B85">
      <w:pPr>
        <w:pStyle w:val="CETBodytext"/>
        <w:rPr>
          <w:lang w:val="en-GB"/>
        </w:rPr>
      </w:pPr>
      <w:r w:rsidRPr="00783B85">
        <w:rPr>
          <w:lang w:val="en-GB"/>
        </w:rPr>
        <w:t xml:space="preserve">HTC enables the production of a high-quality </w:t>
      </w:r>
      <w:proofErr w:type="spellStart"/>
      <w:r w:rsidRPr="00783B85">
        <w:rPr>
          <w:lang w:val="en-GB"/>
        </w:rPr>
        <w:t>hydrochar</w:t>
      </w:r>
      <w:proofErr w:type="spellEnd"/>
      <w:r w:rsidRPr="00783B85">
        <w:rPr>
          <w:lang w:val="en-GB"/>
        </w:rPr>
        <w:t xml:space="preserve"> with di</w:t>
      </w:r>
      <w:r>
        <w:rPr>
          <w:lang w:val="en-GB"/>
        </w:rPr>
        <w:t>fferent</w:t>
      </w:r>
      <w:r w:rsidRPr="00783B85">
        <w:rPr>
          <w:lang w:val="en-GB"/>
        </w:rPr>
        <w:t xml:space="preserve"> potential applications, ranging from energy generation to soil improvement, while leveraging BSG as a sustainable waste feedstock. This highlights that HTC </w:t>
      </w:r>
      <w:r w:rsidR="000C1AE7" w:rsidRPr="000C1AE7">
        <w:rPr>
          <w:lang w:val="en-GB"/>
        </w:rPr>
        <w:t>can make a significant contribution to the valori</w:t>
      </w:r>
      <w:r w:rsidR="000C1AE7">
        <w:rPr>
          <w:lang w:val="en-GB"/>
        </w:rPr>
        <w:t>s</w:t>
      </w:r>
      <w:r w:rsidR="000C1AE7" w:rsidRPr="000C1AE7">
        <w:rPr>
          <w:lang w:val="en-GB"/>
        </w:rPr>
        <w:t>ation</w:t>
      </w:r>
      <w:r w:rsidRPr="00783B85">
        <w:rPr>
          <w:lang w:val="en-GB"/>
        </w:rPr>
        <w:t xml:space="preserve"> of BSG, aiding in waste reduction and contributing to circular economy models by transforming brewery byproducts into valuable resources for agriculture, energy, and environmental purposes.</w:t>
      </w:r>
    </w:p>
    <w:p w14:paraId="459D05E6" w14:textId="77777777" w:rsidR="00600535" w:rsidRPr="00B57B36" w:rsidRDefault="00600535" w:rsidP="00600535">
      <w:pPr>
        <w:pStyle w:val="CETAcknowledgementstitle"/>
      </w:pPr>
      <w:r w:rsidRPr="00B57B36">
        <w:t>Acknowledgments</w:t>
      </w:r>
    </w:p>
    <w:p w14:paraId="33F8138F" w14:textId="0CF45AD4" w:rsidR="00600535" w:rsidRDefault="007F243A" w:rsidP="00600535">
      <w:pPr>
        <w:pStyle w:val="CETBodytext"/>
        <w:rPr>
          <w:lang w:val="en-GB"/>
        </w:rPr>
      </w:pPr>
      <w:r w:rsidRPr="007F243A">
        <w:rPr>
          <w:lang w:val="en-GB"/>
        </w:rPr>
        <w:t xml:space="preserve">The study has been funded under the National Recovery and Resilience Plan (NRRP), Mission 4 Component 2 Investment 1.3 - Call for tender No. 1561 of 11.10.2022 of </w:t>
      </w:r>
      <w:proofErr w:type="spellStart"/>
      <w:r w:rsidRPr="007F243A">
        <w:rPr>
          <w:lang w:val="en-GB"/>
        </w:rPr>
        <w:t>Ministero</w:t>
      </w:r>
      <w:proofErr w:type="spellEnd"/>
      <w:r w:rsidRPr="007F243A">
        <w:rPr>
          <w:lang w:val="en-GB"/>
        </w:rPr>
        <w:t xml:space="preserve"> </w:t>
      </w:r>
      <w:proofErr w:type="spellStart"/>
      <w:r w:rsidRPr="007F243A">
        <w:rPr>
          <w:lang w:val="en-GB"/>
        </w:rPr>
        <w:t>dell’Università</w:t>
      </w:r>
      <w:proofErr w:type="spellEnd"/>
      <w:r w:rsidRPr="007F243A">
        <w:rPr>
          <w:lang w:val="en-GB"/>
        </w:rPr>
        <w:t xml:space="preserve"> e </w:t>
      </w:r>
      <w:proofErr w:type="spellStart"/>
      <w:r w:rsidRPr="007F243A">
        <w:rPr>
          <w:lang w:val="en-GB"/>
        </w:rPr>
        <w:t>della</w:t>
      </w:r>
      <w:proofErr w:type="spellEnd"/>
      <w:r w:rsidRPr="007F243A">
        <w:rPr>
          <w:lang w:val="en-GB"/>
        </w:rPr>
        <w:t xml:space="preserve"> </w:t>
      </w:r>
      <w:proofErr w:type="spellStart"/>
      <w:r w:rsidRPr="007F243A">
        <w:rPr>
          <w:lang w:val="en-GB"/>
        </w:rPr>
        <w:t>Ricerca</w:t>
      </w:r>
      <w:proofErr w:type="spellEnd"/>
      <w:r w:rsidRPr="007F243A">
        <w:rPr>
          <w:lang w:val="en-GB"/>
        </w:rPr>
        <w:t xml:space="preserve"> (MUR); funded by the European Union – </w:t>
      </w:r>
      <w:proofErr w:type="spellStart"/>
      <w:r w:rsidRPr="007F243A">
        <w:rPr>
          <w:lang w:val="en-GB"/>
        </w:rPr>
        <w:t>NextGenerationEU</w:t>
      </w:r>
      <w:proofErr w:type="spellEnd"/>
      <w:r w:rsidRPr="007F243A">
        <w:rPr>
          <w:lang w:val="en-GB"/>
        </w:rPr>
        <w:t xml:space="preserve">; Project code PE0000021, Concession Decree No. 1561 of 11.10.2022 adopted by </w:t>
      </w:r>
      <w:proofErr w:type="spellStart"/>
      <w:r w:rsidRPr="007F243A">
        <w:rPr>
          <w:lang w:val="en-GB"/>
        </w:rPr>
        <w:t>Ministero</w:t>
      </w:r>
      <w:proofErr w:type="spellEnd"/>
      <w:r w:rsidRPr="007F243A">
        <w:rPr>
          <w:lang w:val="en-GB"/>
        </w:rPr>
        <w:t xml:space="preserve"> </w:t>
      </w:r>
      <w:proofErr w:type="spellStart"/>
      <w:r w:rsidRPr="007F243A">
        <w:rPr>
          <w:lang w:val="en-GB"/>
        </w:rPr>
        <w:t>dell’Università</w:t>
      </w:r>
      <w:proofErr w:type="spellEnd"/>
      <w:r w:rsidRPr="007F243A">
        <w:rPr>
          <w:lang w:val="en-GB"/>
        </w:rPr>
        <w:t xml:space="preserve"> e </w:t>
      </w:r>
      <w:proofErr w:type="spellStart"/>
      <w:r w:rsidRPr="007F243A">
        <w:rPr>
          <w:lang w:val="en-GB"/>
        </w:rPr>
        <w:t>della</w:t>
      </w:r>
      <w:proofErr w:type="spellEnd"/>
      <w:r w:rsidRPr="007F243A">
        <w:rPr>
          <w:lang w:val="en-GB"/>
        </w:rPr>
        <w:t xml:space="preserve"> </w:t>
      </w:r>
      <w:proofErr w:type="spellStart"/>
      <w:r w:rsidRPr="007F243A">
        <w:rPr>
          <w:lang w:val="en-GB"/>
        </w:rPr>
        <w:t>Ricerca</w:t>
      </w:r>
      <w:proofErr w:type="spellEnd"/>
      <w:r w:rsidRPr="007F243A">
        <w:rPr>
          <w:lang w:val="en-GB"/>
        </w:rPr>
        <w:t xml:space="preserve"> (MUR), CUP I53C22001450006, Project title “Network 4 Energy Sustainable Transition – NEST”.</w:t>
      </w:r>
    </w:p>
    <w:p w14:paraId="5651B4DA" w14:textId="55E1FFF0" w:rsidR="005C2850" w:rsidRPr="00B57B36" w:rsidRDefault="005C2850" w:rsidP="005C2850">
      <w:pPr>
        <w:pStyle w:val="CETBodytext"/>
        <w:rPr>
          <w:lang w:val="en-GB"/>
        </w:rPr>
      </w:pPr>
      <w:r w:rsidRPr="005C2850">
        <w:rPr>
          <w:lang w:val="en-GB"/>
        </w:rPr>
        <w:t xml:space="preserve">The authors wish to thank </w:t>
      </w:r>
      <w:r w:rsidR="001C30C6">
        <w:rPr>
          <w:lang w:val="en-GB"/>
        </w:rPr>
        <w:t xml:space="preserve">Dr. Matteo Iannone </w:t>
      </w:r>
      <w:r w:rsidR="00C6196D">
        <w:rPr>
          <w:lang w:val="en-GB"/>
        </w:rPr>
        <w:t xml:space="preserve">and Davide Brondi </w:t>
      </w:r>
      <w:r w:rsidR="001C30C6">
        <w:rPr>
          <w:lang w:val="en-GB"/>
        </w:rPr>
        <w:t xml:space="preserve">from </w:t>
      </w:r>
      <w:proofErr w:type="spellStart"/>
      <w:r w:rsidRPr="005C2850">
        <w:rPr>
          <w:lang w:val="en-GB"/>
        </w:rPr>
        <w:t>Birrificio</w:t>
      </w:r>
      <w:proofErr w:type="spellEnd"/>
      <w:r w:rsidRPr="005C2850">
        <w:rPr>
          <w:lang w:val="en-GB"/>
        </w:rPr>
        <w:t xml:space="preserve"> </w:t>
      </w:r>
      <w:proofErr w:type="spellStart"/>
      <w:r w:rsidRPr="005C2850">
        <w:rPr>
          <w:lang w:val="en-GB"/>
        </w:rPr>
        <w:t>Artigianale</w:t>
      </w:r>
      <w:proofErr w:type="spellEnd"/>
      <w:r w:rsidRPr="005C2850">
        <w:rPr>
          <w:lang w:val="en-GB"/>
        </w:rPr>
        <w:t xml:space="preserve"> La </w:t>
      </w:r>
      <w:proofErr w:type="spellStart"/>
      <w:r w:rsidRPr="005C2850">
        <w:rPr>
          <w:lang w:val="en-GB"/>
        </w:rPr>
        <w:t>Staffetta</w:t>
      </w:r>
      <w:proofErr w:type="spellEnd"/>
      <w:r w:rsidR="00D016F6">
        <w:rPr>
          <w:lang w:val="en-GB"/>
        </w:rPr>
        <w:t xml:space="preserve"> (</w:t>
      </w:r>
      <w:proofErr w:type="spellStart"/>
      <w:r w:rsidRPr="005C2850">
        <w:rPr>
          <w:lang w:val="en-GB"/>
        </w:rPr>
        <w:t>Calci</w:t>
      </w:r>
      <w:proofErr w:type="spellEnd"/>
      <w:r w:rsidRPr="005C2850">
        <w:rPr>
          <w:lang w:val="en-GB"/>
        </w:rPr>
        <w:t>, Pisa, Italy)</w:t>
      </w:r>
      <w:r>
        <w:rPr>
          <w:lang w:val="en-GB"/>
        </w:rPr>
        <w:t xml:space="preserve"> </w:t>
      </w:r>
      <w:r w:rsidRPr="005C2850">
        <w:rPr>
          <w:lang w:val="en-GB"/>
        </w:rPr>
        <w:t xml:space="preserve">for providing </w:t>
      </w:r>
      <w:r>
        <w:rPr>
          <w:lang w:val="en-GB"/>
        </w:rPr>
        <w:t>b</w:t>
      </w:r>
      <w:r w:rsidRPr="005C2850">
        <w:rPr>
          <w:lang w:val="en-GB"/>
        </w:rPr>
        <w:t>rewer’s spent grains</w:t>
      </w:r>
      <w:r>
        <w:rPr>
          <w:lang w:val="en-GB"/>
        </w:rPr>
        <w:t>.</w:t>
      </w:r>
    </w:p>
    <w:p w14:paraId="4F1327F8" w14:textId="77777777" w:rsidR="00600535" w:rsidRPr="00D3042B" w:rsidRDefault="00600535" w:rsidP="00600535">
      <w:pPr>
        <w:pStyle w:val="CETReference"/>
        <w:rPr>
          <w:lang w:val="it-IT"/>
        </w:rPr>
      </w:pPr>
      <w:proofErr w:type="spellStart"/>
      <w:r w:rsidRPr="00D3042B">
        <w:rPr>
          <w:lang w:val="it-IT"/>
        </w:rPr>
        <w:t>References</w:t>
      </w:r>
      <w:proofErr w:type="spellEnd"/>
    </w:p>
    <w:p w14:paraId="384C21CD" w14:textId="4D73B2A6" w:rsidR="009246AB" w:rsidRDefault="009246AB" w:rsidP="009246AB">
      <w:pPr>
        <w:pStyle w:val="CETReferencetext"/>
        <w:rPr>
          <w:lang w:val="it-IT"/>
        </w:rPr>
      </w:pPr>
      <w:r w:rsidRPr="009246AB">
        <w:rPr>
          <w:lang w:val="it-IT"/>
        </w:rPr>
        <w:t>APAT (Agenzia per la protezione dell’ambiente e per i servizi tecnici), 20</w:t>
      </w:r>
      <w:r>
        <w:rPr>
          <w:lang w:val="it-IT"/>
        </w:rPr>
        <w:t xml:space="preserve">03, </w:t>
      </w:r>
      <w:r w:rsidRPr="009246AB">
        <w:rPr>
          <w:lang w:val="it-IT"/>
        </w:rPr>
        <w:t>Metodi microbiologici di analisi del compost. Manuali e Linee Guida 20/2003. www.isprambiente.gov.it/contentfiles/00003500/3544-manuali-2003-20.pdf/</w:t>
      </w:r>
    </w:p>
    <w:p w14:paraId="6F08EE45" w14:textId="00C831F5" w:rsidR="008A4E12" w:rsidRPr="008A4E12" w:rsidRDefault="008A4E12" w:rsidP="008A4E12">
      <w:pPr>
        <w:pStyle w:val="CETReferencetext"/>
      </w:pPr>
      <w:r w:rsidRPr="008A4E12">
        <w:t xml:space="preserve">Barontini F., Landi M., Silvestri N., Puccini M., 2024, Hydrothermal Carbonization of Aquatic Biomass: </w:t>
      </w:r>
      <w:proofErr w:type="gramStart"/>
      <w:r w:rsidRPr="008A4E12">
        <w:t>a</w:t>
      </w:r>
      <w:proofErr w:type="gramEnd"/>
      <w:r w:rsidRPr="008A4E12">
        <w:t xml:space="preserve"> Promising</w:t>
      </w:r>
      <w:r>
        <w:t xml:space="preserve"> </w:t>
      </w:r>
      <w:r w:rsidRPr="008A4E12">
        <w:t xml:space="preserve">Solution for the Invasive Species </w:t>
      </w:r>
      <w:proofErr w:type="spellStart"/>
      <w:r w:rsidRPr="008A4E12">
        <w:rPr>
          <w:i/>
          <w:iCs/>
        </w:rPr>
        <w:t>Myriophyllum</w:t>
      </w:r>
      <w:proofErr w:type="spellEnd"/>
      <w:r w:rsidRPr="008A4E12">
        <w:rPr>
          <w:i/>
          <w:iCs/>
        </w:rPr>
        <w:t xml:space="preserve"> Aquaticum</w:t>
      </w:r>
      <w:r w:rsidRPr="008A4E12">
        <w:t>, Chemical Engineering Transactions, 109, 553</w:t>
      </w:r>
      <w:r w:rsidRPr="00783B85">
        <w:t>–</w:t>
      </w:r>
      <w:r w:rsidRPr="008A4E12">
        <w:t>558</w:t>
      </w:r>
      <w:r>
        <w:t>.</w:t>
      </w:r>
    </w:p>
    <w:p w14:paraId="5EDB59F9" w14:textId="2F2BA455" w:rsidR="003E6935" w:rsidRPr="00783B85" w:rsidRDefault="003E6935" w:rsidP="003E6935">
      <w:pPr>
        <w:pStyle w:val="CETReferencetext"/>
      </w:pPr>
      <w:r w:rsidRPr="00783B85">
        <w:t xml:space="preserve">Basso D., </w:t>
      </w:r>
      <w:proofErr w:type="spellStart"/>
      <w:r w:rsidRPr="00783B85">
        <w:t>Patuzzi</w:t>
      </w:r>
      <w:proofErr w:type="spellEnd"/>
      <w:r w:rsidRPr="00783B85">
        <w:t xml:space="preserve"> F., Castello D., </w:t>
      </w:r>
      <w:proofErr w:type="spellStart"/>
      <w:r w:rsidRPr="00783B85">
        <w:t>Baratieri</w:t>
      </w:r>
      <w:proofErr w:type="spellEnd"/>
      <w:r w:rsidRPr="00783B85">
        <w:t xml:space="preserve"> M., Rada E.C., Weiss-</w:t>
      </w:r>
      <w:proofErr w:type="spellStart"/>
      <w:r w:rsidRPr="00783B85">
        <w:t>Hortala</w:t>
      </w:r>
      <w:proofErr w:type="spellEnd"/>
      <w:r w:rsidRPr="00783B85">
        <w:t xml:space="preserve"> E., Fiori L., 2016, </w:t>
      </w:r>
      <w:proofErr w:type="spellStart"/>
      <w:r w:rsidRPr="00783B85">
        <w:t>Agroindustrial</w:t>
      </w:r>
      <w:proofErr w:type="spellEnd"/>
      <w:r w:rsidRPr="00783B85">
        <w:t xml:space="preserve"> waste to solid biofuel through hydrothermal carbonization, Waste Management, 47, 114–121.</w:t>
      </w:r>
    </w:p>
    <w:p w14:paraId="199381EB" w14:textId="56F2209B" w:rsidR="001874E0" w:rsidRPr="001874E0" w:rsidRDefault="001874E0" w:rsidP="001874E0">
      <w:pPr>
        <w:pStyle w:val="CETReferencetext"/>
        <w:rPr>
          <w:lang w:val="it-IT"/>
        </w:rPr>
      </w:pPr>
      <w:bookmarkStart w:id="4" w:name="_Hlk185192275"/>
      <w:r w:rsidRPr="001874E0">
        <w:rPr>
          <w:lang w:val="it-IT"/>
        </w:rPr>
        <w:t xml:space="preserve">Decreto Legislativo 29 </w:t>
      </w:r>
      <w:proofErr w:type="gramStart"/>
      <w:r w:rsidRPr="001874E0">
        <w:rPr>
          <w:lang w:val="it-IT"/>
        </w:rPr>
        <w:t>Aprile</w:t>
      </w:r>
      <w:proofErr w:type="gramEnd"/>
      <w:r w:rsidRPr="001874E0">
        <w:rPr>
          <w:lang w:val="it-IT"/>
        </w:rPr>
        <w:t xml:space="preserve"> 2010, n. 75, 2010</w:t>
      </w:r>
      <w:bookmarkEnd w:id="4"/>
      <w:r>
        <w:rPr>
          <w:lang w:val="it-IT"/>
        </w:rPr>
        <w:t>,</w:t>
      </w:r>
      <w:r w:rsidRPr="001874E0">
        <w:rPr>
          <w:lang w:val="it-IT"/>
        </w:rPr>
        <w:t xml:space="preserve"> Riordino e revisione della disciplina in</w:t>
      </w:r>
      <w:r>
        <w:rPr>
          <w:lang w:val="it-IT"/>
        </w:rPr>
        <w:t xml:space="preserve"> </w:t>
      </w:r>
      <w:r w:rsidRPr="001874E0">
        <w:rPr>
          <w:lang w:val="it-IT"/>
        </w:rPr>
        <w:t>materia di fertilizzanti, a norma dell’articolo 13 della legge 7 luglio 2009, n. 88, Supplemento</w:t>
      </w:r>
      <w:r>
        <w:rPr>
          <w:lang w:val="it-IT"/>
        </w:rPr>
        <w:t xml:space="preserve"> </w:t>
      </w:r>
      <w:r w:rsidRPr="001874E0">
        <w:rPr>
          <w:lang w:val="it-IT"/>
        </w:rPr>
        <w:t>ordinario n. 106/L alla Gazzetta Ufficiale della Repubblica Italiana, Serie Generale n. 121,</w:t>
      </w:r>
      <w:r>
        <w:rPr>
          <w:lang w:val="it-IT"/>
        </w:rPr>
        <w:t xml:space="preserve"> </w:t>
      </w:r>
      <w:r w:rsidRPr="001874E0">
        <w:rPr>
          <w:lang w:val="it-IT"/>
        </w:rPr>
        <w:t>26.05.2010.</w:t>
      </w:r>
      <w:r w:rsidR="00992BED">
        <w:rPr>
          <w:lang w:val="it-IT"/>
        </w:rPr>
        <w:t xml:space="preserve"> </w:t>
      </w:r>
      <w:r w:rsidR="00992BED" w:rsidRPr="00992BED">
        <w:rPr>
          <w:lang w:val="it-IT"/>
        </w:rPr>
        <w:t>www.gazzettaufficiale.it/eli/id/2010/05/26/010G0096/sg</w:t>
      </w:r>
    </w:p>
    <w:p w14:paraId="0A3F9AB1" w14:textId="4AEBE179" w:rsidR="007D2ADC" w:rsidRDefault="007D2ADC" w:rsidP="007D2ADC">
      <w:pPr>
        <w:pStyle w:val="CETReferencetext"/>
      </w:pPr>
      <w:r w:rsidRPr="00DF7CFF">
        <w:t>Funke A., Ziegler F., 2010, Hydrothermal carbonization of biomass: a summary and discussion of chemical mechanisms for process engineering, Biofuels</w:t>
      </w:r>
      <w:r>
        <w:t>,</w:t>
      </w:r>
      <w:r w:rsidRPr="00DF7CFF">
        <w:t xml:space="preserve"> Bioprod</w:t>
      </w:r>
      <w:r>
        <w:t>ucts and</w:t>
      </w:r>
      <w:r w:rsidRPr="00DF7CFF">
        <w:t xml:space="preserve"> Biorefining</w:t>
      </w:r>
      <w:r>
        <w:t>,</w:t>
      </w:r>
      <w:r w:rsidRPr="00DF7CFF">
        <w:t xml:space="preserve"> 4, 160–177.</w:t>
      </w:r>
    </w:p>
    <w:p w14:paraId="63E8C206" w14:textId="52A83EA1" w:rsidR="00B118BB" w:rsidRDefault="00B118BB" w:rsidP="006B4888">
      <w:pPr>
        <w:pStyle w:val="CETReferencetext"/>
      </w:pPr>
      <w:r w:rsidRPr="00B118BB">
        <w:t xml:space="preserve">Islam </w:t>
      </w:r>
      <w:proofErr w:type="spellStart"/>
      <w:r w:rsidRPr="00B118BB">
        <w:t>Md.A</w:t>
      </w:r>
      <w:proofErr w:type="spellEnd"/>
      <w:r w:rsidRPr="00B118BB">
        <w:t xml:space="preserve">., Limon </w:t>
      </w:r>
      <w:proofErr w:type="spellStart"/>
      <w:r w:rsidRPr="00B118BB">
        <w:t>Md.S.H</w:t>
      </w:r>
      <w:proofErr w:type="spellEnd"/>
      <w:r w:rsidRPr="00B118BB">
        <w:t xml:space="preserve">., Romić M., Islam </w:t>
      </w:r>
      <w:proofErr w:type="spellStart"/>
      <w:r w:rsidRPr="00B118BB">
        <w:t>Md.A</w:t>
      </w:r>
      <w:proofErr w:type="spellEnd"/>
      <w:r w:rsidRPr="00B118BB">
        <w:t xml:space="preserve">., 2021, </w:t>
      </w:r>
      <w:proofErr w:type="spellStart"/>
      <w:r w:rsidRPr="00B118BB">
        <w:t>Hydrochar</w:t>
      </w:r>
      <w:proofErr w:type="spellEnd"/>
      <w:r w:rsidRPr="00B118BB">
        <w:t>-based soil amendments for agriculture: a review of recent progress, Arabian Journal of Geosciences, 14, 102.</w:t>
      </w:r>
    </w:p>
    <w:p w14:paraId="54292533" w14:textId="4BBA881E" w:rsidR="008E2464" w:rsidRPr="000F3FCB" w:rsidRDefault="008E2464" w:rsidP="000F3FCB">
      <w:pPr>
        <w:pStyle w:val="CETReferencetext"/>
      </w:pPr>
      <w:r w:rsidRPr="000F3FCB">
        <w:t xml:space="preserve">Karatas O., </w:t>
      </w:r>
      <w:proofErr w:type="spellStart"/>
      <w:r w:rsidRPr="000F3FCB">
        <w:t>Khataee</w:t>
      </w:r>
      <w:proofErr w:type="spellEnd"/>
      <w:r w:rsidRPr="000F3FCB">
        <w:t xml:space="preserve"> A., </w:t>
      </w:r>
      <w:proofErr w:type="spellStart"/>
      <w:r w:rsidRPr="000F3FCB">
        <w:t>Kalderis</w:t>
      </w:r>
      <w:proofErr w:type="spellEnd"/>
      <w:r w:rsidRPr="000F3FCB">
        <w:t xml:space="preserve"> D</w:t>
      </w:r>
      <w:r w:rsidR="000F3FCB">
        <w:t>.</w:t>
      </w:r>
      <w:r w:rsidRPr="000F3FCB">
        <w:t xml:space="preserve">, 2022, </w:t>
      </w:r>
      <w:r w:rsidR="000F3FCB" w:rsidRPr="000F3FCB">
        <w:t xml:space="preserve">Recent progress on the phytotoxic effects of </w:t>
      </w:r>
      <w:proofErr w:type="spellStart"/>
      <w:r w:rsidR="000F3FCB" w:rsidRPr="000F3FCB">
        <w:t>hydrochars</w:t>
      </w:r>
      <w:proofErr w:type="spellEnd"/>
      <w:r w:rsidR="000F3FCB" w:rsidRPr="000F3FCB">
        <w:t xml:space="preserve"> and toxicity</w:t>
      </w:r>
      <w:r w:rsidR="000F3FCB">
        <w:t xml:space="preserve"> </w:t>
      </w:r>
      <w:r w:rsidR="000F3FCB" w:rsidRPr="000F3FCB">
        <w:t>reduction approaches</w:t>
      </w:r>
      <w:r w:rsidR="000F3FCB">
        <w:t xml:space="preserve">, </w:t>
      </w:r>
      <w:r w:rsidR="000F3FCB" w:rsidRPr="000F3FCB">
        <w:t>Chemosphere</w:t>
      </w:r>
      <w:r w:rsidR="000F3FCB">
        <w:t>,</w:t>
      </w:r>
      <w:r w:rsidR="000F3FCB" w:rsidRPr="000F3FCB">
        <w:t xml:space="preserve"> 298</w:t>
      </w:r>
      <w:r w:rsidR="000F3FCB">
        <w:t>,</w:t>
      </w:r>
      <w:r w:rsidR="000F3FCB" w:rsidRPr="000F3FCB">
        <w:t xml:space="preserve"> 134357</w:t>
      </w:r>
      <w:r w:rsidR="000F3FCB">
        <w:t>.</w:t>
      </w:r>
    </w:p>
    <w:p w14:paraId="6E9E8B14" w14:textId="214D5388" w:rsidR="00E73BDE" w:rsidRDefault="00E73BDE" w:rsidP="006B4888">
      <w:pPr>
        <w:pStyle w:val="CETReferencetext"/>
      </w:pPr>
      <w:r w:rsidRPr="00E73BDE">
        <w:t>Khosravi A., Zheng H., Liu Q., Hashemi M., Tang Y., Xing B., 2022</w:t>
      </w:r>
      <w:r>
        <w:t>,</w:t>
      </w:r>
      <w:r w:rsidRPr="00E73BDE">
        <w:t xml:space="preserve"> Production and characterization of </w:t>
      </w:r>
      <w:proofErr w:type="spellStart"/>
      <w:r w:rsidRPr="00E73BDE">
        <w:t>hydrochars</w:t>
      </w:r>
      <w:proofErr w:type="spellEnd"/>
      <w:r w:rsidRPr="00E73BDE">
        <w:t xml:space="preserve"> and their application in soil improvement and environmental remediation</w:t>
      </w:r>
      <w:r>
        <w:t>,</w:t>
      </w:r>
      <w:r w:rsidRPr="00E73BDE">
        <w:t xml:space="preserve"> Chemical Engineering Journal</w:t>
      </w:r>
      <w:r>
        <w:t>,</w:t>
      </w:r>
      <w:r w:rsidRPr="00E73BDE">
        <w:t xml:space="preserve"> 430</w:t>
      </w:r>
      <w:r>
        <w:t xml:space="preserve">, </w:t>
      </w:r>
      <w:r w:rsidRPr="00E73BDE">
        <w:t>133142.</w:t>
      </w:r>
    </w:p>
    <w:p w14:paraId="7DC0E7E3" w14:textId="7D6D17E5" w:rsidR="00492B4C" w:rsidRDefault="00AE0696" w:rsidP="006B4888">
      <w:pPr>
        <w:pStyle w:val="CETReferencetext"/>
      </w:pPr>
      <w:r w:rsidRPr="00AE0696">
        <w:t>Mahmood Al-</w:t>
      </w:r>
      <w:proofErr w:type="spellStart"/>
      <w:r w:rsidRPr="00AE0696">
        <w:t>Nuaimy</w:t>
      </w:r>
      <w:proofErr w:type="spellEnd"/>
      <w:r w:rsidRPr="00AE0696">
        <w:t xml:space="preserve"> M.N., Azizi N., Nural Y., </w:t>
      </w:r>
      <w:proofErr w:type="spellStart"/>
      <w:r w:rsidRPr="00AE0696">
        <w:t>Yabalak</w:t>
      </w:r>
      <w:proofErr w:type="spellEnd"/>
      <w:r w:rsidRPr="00AE0696">
        <w:t xml:space="preserve"> E., 2024</w:t>
      </w:r>
      <w:r>
        <w:t>,</w:t>
      </w:r>
      <w:r w:rsidRPr="00AE0696">
        <w:t xml:space="preserve"> Recent advances in environmental and agricultural applications of </w:t>
      </w:r>
      <w:proofErr w:type="spellStart"/>
      <w:r w:rsidRPr="00AE0696">
        <w:t>hydrochars</w:t>
      </w:r>
      <w:proofErr w:type="spellEnd"/>
      <w:r w:rsidRPr="00AE0696">
        <w:t>: A review</w:t>
      </w:r>
      <w:r>
        <w:t>,</w:t>
      </w:r>
      <w:r w:rsidRPr="00AE0696">
        <w:t xml:space="preserve"> Environmental Research</w:t>
      </w:r>
      <w:r>
        <w:t>,</w:t>
      </w:r>
      <w:r w:rsidRPr="00AE0696">
        <w:t xml:space="preserve"> 250</w:t>
      </w:r>
      <w:r>
        <w:t>,</w:t>
      </w:r>
      <w:r w:rsidRPr="00AE0696">
        <w:t xml:space="preserve"> 117923</w:t>
      </w:r>
      <w:r>
        <w:t>.</w:t>
      </w:r>
    </w:p>
    <w:p w14:paraId="0A1B00A2" w14:textId="7CB12025" w:rsidR="00F2787E" w:rsidRDefault="00F2787E" w:rsidP="006B4888">
      <w:pPr>
        <w:pStyle w:val="CETReferencetext"/>
      </w:pPr>
      <w:proofErr w:type="spellStart"/>
      <w:r w:rsidRPr="00F2787E">
        <w:t>Mainardis</w:t>
      </w:r>
      <w:proofErr w:type="spellEnd"/>
      <w:r>
        <w:t xml:space="preserve"> M.</w:t>
      </w:r>
      <w:r w:rsidRPr="00F2787E">
        <w:t>,</w:t>
      </w:r>
      <w:r>
        <w:t xml:space="preserve"> </w:t>
      </w:r>
      <w:r w:rsidRPr="00F2787E">
        <w:t>Hickey</w:t>
      </w:r>
      <w:r>
        <w:t xml:space="preserve"> M.</w:t>
      </w:r>
      <w:r w:rsidRPr="00F2787E">
        <w:t>, Dereli</w:t>
      </w:r>
      <w:r>
        <w:t xml:space="preserve"> R.K., 2024, </w:t>
      </w:r>
      <w:r w:rsidRPr="00F2787E">
        <w:t>Lifting craft breweries sustainability through spent grain valorisation and renewable energy integration: A critical review in the circular economy framework</w:t>
      </w:r>
      <w:r>
        <w:t xml:space="preserve">, </w:t>
      </w:r>
      <w:r w:rsidRPr="00F2787E">
        <w:t>Journal of Cleaner Production 447</w:t>
      </w:r>
      <w:r>
        <w:t>,</w:t>
      </w:r>
      <w:r w:rsidRPr="00F2787E">
        <w:t xml:space="preserve"> 141527</w:t>
      </w:r>
      <w:r>
        <w:t>.</w:t>
      </w:r>
    </w:p>
    <w:p w14:paraId="5AB00F3C" w14:textId="3A53C7CD" w:rsidR="003A366E" w:rsidRDefault="003A366E" w:rsidP="006B4888">
      <w:pPr>
        <w:pStyle w:val="CETReferencetext"/>
      </w:pPr>
      <w:r w:rsidRPr="003A366E">
        <w:t xml:space="preserve">Nicolae S.A., Au H., Modugno P., Luo H., </w:t>
      </w:r>
      <w:proofErr w:type="spellStart"/>
      <w:r w:rsidRPr="003A366E">
        <w:t>Szego</w:t>
      </w:r>
      <w:proofErr w:type="spellEnd"/>
      <w:r w:rsidRPr="003A366E">
        <w:t xml:space="preserve"> A.E., Qiao M., Li L., Yin W., Heeres H.J., Berge N., </w:t>
      </w:r>
      <w:proofErr w:type="spellStart"/>
      <w:r w:rsidRPr="003A366E">
        <w:t>Titirici</w:t>
      </w:r>
      <w:proofErr w:type="spellEnd"/>
      <w:r w:rsidRPr="003A366E">
        <w:t xml:space="preserve"> M.M., 2020, Recent advances in hydrothermal carbonisation: From tailored carbon materials and biochemicals to applications and bioenergy</w:t>
      </w:r>
      <w:r>
        <w:t>,</w:t>
      </w:r>
      <w:r w:rsidRPr="003A366E">
        <w:t xml:space="preserve"> Green Chemistry</w:t>
      </w:r>
      <w:r>
        <w:t>,</w:t>
      </w:r>
      <w:r w:rsidRPr="003A366E">
        <w:t xml:space="preserve"> 22, 4747–4800.</w:t>
      </w:r>
    </w:p>
    <w:p w14:paraId="27E9CE6E" w14:textId="3800BDAB" w:rsidR="007D2ADC" w:rsidRDefault="00D418A9" w:rsidP="006B4888">
      <w:pPr>
        <w:pStyle w:val="CETReferencetext"/>
      </w:pPr>
      <w:proofErr w:type="spellStart"/>
      <w:r w:rsidRPr="00D418A9">
        <w:t>Poerschmann</w:t>
      </w:r>
      <w:proofErr w:type="spellEnd"/>
      <w:r w:rsidRPr="00D418A9">
        <w:t xml:space="preserve"> </w:t>
      </w:r>
      <w:r>
        <w:t>J.</w:t>
      </w:r>
      <w:r w:rsidRPr="00D418A9">
        <w:t>,</w:t>
      </w:r>
      <w:r>
        <w:t xml:space="preserve"> </w:t>
      </w:r>
      <w:r w:rsidRPr="00D418A9">
        <w:t xml:space="preserve">Weiner </w:t>
      </w:r>
      <w:r>
        <w:t>B.</w:t>
      </w:r>
      <w:r w:rsidRPr="00D418A9">
        <w:t xml:space="preserve">, </w:t>
      </w:r>
      <w:proofErr w:type="spellStart"/>
      <w:r w:rsidRPr="00D418A9">
        <w:t>Wedwitschka</w:t>
      </w:r>
      <w:proofErr w:type="spellEnd"/>
      <w:r w:rsidRPr="00D418A9">
        <w:t xml:space="preserve"> </w:t>
      </w:r>
      <w:r>
        <w:t>H.</w:t>
      </w:r>
      <w:r w:rsidRPr="00D418A9">
        <w:t xml:space="preserve">, </w:t>
      </w:r>
      <w:proofErr w:type="spellStart"/>
      <w:r w:rsidRPr="00D418A9">
        <w:t>Baskyr</w:t>
      </w:r>
      <w:proofErr w:type="spellEnd"/>
      <w:r w:rsidRPr="00D418A9">
        <w:t xml:space="preserve"> </w:t>
      </w:r>
      <w:r>
        <w:t>I.</w:t>
      </w:r>
      <w:r w:rsidRPr="00D418A9">
        <w:t xml:space="preserve">, Koehler </w:t>
      </w:r>
      <w:r>
        <w:t>R.</w:t>
      </w:r>
      <w:r w:rsidRPr="00D418A9">
        <w:t xml:space="preserve">, </w:t>
      </w:r>
      <w:proofErr w:type="spellStart"/>
      <w:r w:rsidRPr="00D418A9">
        <w:t>Kopinke</w:t>
      </w:r>
      <w:proofErr w:type="spellEnd"/>
      <w:r w:rsidRPr="00D418A9">
        <w:t xml:space="preserve"> F.-D.</w:t>
      </w:r>
      <w:r>
        <w:t xml:space="preserve">, 2014, </w:t>
      </w:r>
      <w:r w:rsidR="004F0A0A" w:rsidRPr="004F0A0A">
        <w:t xml:space="preserve">Characterization of </w:t>
      </w:r>
      <w:proofErr w:type="spellStart"/>
      <w:r w:rsidR="004F0A0A" w:rsidRPr="004F0A0A">
        <w:t>biocoals</w:t>
      </w:r>
      <w:proofErr w:type="spellEnd"/>
      <w:r w:rsidR="004F0A0A" w:rsidRPr="004F0A0A">
        <w:t xml:space="preserve"> and dissolved organic matter phases obtained upon hydrothermal carbonization of brewer’s spent grain</w:t>
      </w:r>
      <w:r w:rsidR="004F0A0A">
        <w:t xml:space="preserve">, </w:t>
      </w:r>
      <w:r w:rsidR="004F0A0A" w:rsidRPr="004F0A0A">
        <w:t>Bioresource Technology</w:t>
      </w:r>
      <w:r w:rsidR="004F0A0A">
        <w:t>,</w:t>
      </w:r>
      <w:r w:rsidR="004F0A0A" w:rsidRPr="004F0A0A">
        <w:t xml:space="preserve"> 164</w:t>
      </w:r>
      <w:r w:rsidR="004F0A0A">
        <w:t>,</w:t>
      </w:r>
      <w:r w:rsidR="004F0A0A" w:rsidRPr="004F0A0A">
        <w:t xml:space="preserve"> 162–169</w:t>
      </w:r>
      <w:r w:rsidR="004F0A0A">
        <w:t>.</w:t>
      </w:r>
    </w:p>
    <w:p w14:paraId="74BD07C4" w14:textId="4D6C67FD" w:rsidR="004F0A0A" w:rsidRDefault="00442BCC" w:rsidP="006B4888">
      <w:pPr>
        <w:pStyle w:val="CETReferencetext"/>
      </w:pPr>
      <w:r w:rsidRPr="00442BCC">
        <w:t xml:space="preserve">Wang T., Zhai Y., Zhu Y., Li C., Zeng G., 2018, A review of the hydrothermal carbonization of biomass waste for </w:t>
      </w:r>
      <w:proofErr w:type="spellStart"/>
      <w:r w:rsidRPr="00442BCC">
        <w:t>hydrochar</w:t>
      </w:r>
      <w:proofErr w:type="spellEnd"/>
      <w:r w:rsidRPr="00442BCC">
        <w:t xml:space="preserve"> formation: Process conditions, fundamentals, and physicochemical properties, Renewable and Sustainable Energy Reviews, 90, 223-247.</w:t>
      </w:r>
    </w:p>
    <w:sectPr w:rsidR="004F0A0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F63B7" w14:textId="77777777" w:rsidR="00084C9D" w:rsidRDefault="00084C9D" w:rsidP="004F5E36">
      <w:r>
        <w:separator/>
      </w:r>
    </w:p>
  </w:endnote>
  <w:endnote w:type="continuationSeparator" w:id="0">
    <w:p w14:paraId="2650010D" w14:textId="77777777" w:rsidR="00084C9D" w:rsidRDefault="00084C9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16CAC" w14:textId="77777777" w:rsidR="00084C9D" w:rsidRDefault="00084C9D" w:rsidP="004F5E36">
      <w:r>
        <w:separator/>
      </w:r>
    </w:p>
  </w:footnote>
  <w:footnote w:type="continuationSeparator" w:id="0">
    <w:p w14:paraId="2736EDA0" w14:textId="77777777" w:rsidR="00084C9D" w:rsidRDefault="00084C9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4D6"/>
    <w:rsid w:val="000117CB"/>
    <w:rsid w:val="00014A4C"/>
    <w:rsid w:val="000164C2"/>
    <w:rsid w:val="00023AC4"/>
    <w:rsid w:val="0002550F"/>
    <w:rsid w:val="0003148D"/>
    <w:rsid w:val="00031EEC"/>
    <w:rsid w:val="00051566"/>
    <w:rsid w:val="000562A9"/>
    <w:rsid w:val="00062A9A"/>
    <w:rsid w:val="000636DB"/>
    <w:rsid w:val="00065058"/>
    <w:rsid w:val="000661A8"/>
    <w:rsid w:val="00083373"/>
    <w:rsid w:val="00084C9D"/>
    <w:rsid w:val="00086C39"/>
    <w:rsid w:val="00094896"/>
    <w:rsid w:val="00095E4E"/>
    <w:rsid w:val="000A03B2"/>
    <w:rsid w:val="000A52A9"/>
    <w:rsid w:val="000A6E40"/>
    <w:rsid w:val="000A7E58"/>
    <w:rsid w:val="000B25B7"/>
    <w:rsid w:val="000C0268"/>
    <w:rsid w:val="000C0946"/>
    <w:rsid w:val="000C1AE7"/>
    <w:rsid w:val="000D0268"/>
    <w:rsid w:val="000D34BE"/>
    <w:rsid w:val="000D63E0"/>
    <w:rsid w:val="000E0B3C"/>
    <w:rsid w:val="000E102F"/>
    <w:rsid w:val="000E1DBF"/>
    <w:rsid w:val="000E36F1"/>
    <w:rsid w:val="000E3A73"/>
    <w:rsid w:val="000E414A"/>
    <w:rsid w:val="000E5E92"/>
    <w:rsid w:val="000E75FD"/>
    <w:rsid w:val="000F093C"/>
    <w:rsid w:val="000F3587"/>
    <w:rsid w:val="000F3FCB"/>
    <w:rsid w:val="000F787B"/>
    <w:rsid w:val="0010481B"/>
    <w:rsid w:val="00107E1F"/>
    <w:rsid w:val="001112B5"/>
    <w:rsid w:val="00111330"/>
    <w:rsid w:val="00113B35"/>
    <w:rsid w:val="0011499A"/>
    <w:rsid w:val="0012091F"/>
    <w:rsid w:val="00126BC2"/>
    <w:rsid w:val="001308B6"/>
    <w:rsid w:val="0013121F"/>
    <w:rsid w:val="001315F3"/>
    <w:rsid w:val="00131FE6"/>
    <w:rsid w:val="0013263F"/>
    <w:rsid w:val="001331DF"/>
    <w:rsid w:val="00134DE4"/>
    <w:rsid w:val="0014034D"/>
    <w:rsid w:val="00140FE3"/>
    <w:rsid w:val="00141798"/>
    <w:rsid w:val="00144D16"/>
    <w:rsid w:val="00150E59"/>
    <w:rsid w:val="00151C41"/>
    <w:rsid w:val="00152584"/>
    <w:rsid w:val="00152DE3"/>
    <w:rsid w:val="00153AC3"/>
    <w:rsid w:val="001559FA"/>
    <w:rsid w:val="001621C2"/>
    <w:rsid w:val="00164CF9"/>
    <w:rsid w:val="0016668E"/>
    <w:rsid w:val="001667A6"/>
    <w:rsid w:val="0018171E"/>
    <w:rsid w:val="00183800"/>
    <w:rsid w:val="00184AD6"/>
    <w:rsid w:val="0018688D"/>
    <w:rsid w:val="001874E0"/>
    <w:rsid w:val="001933EE"/>
    <w:rsid w:val="00194A80"/>
    <w:rsid w:val="001A1A54"/>
    <w:rsid w:val="001A1D49"/>
    <w:rsid w:val="001A4AF7"/>
    <w:rsid w:val="001A6A97"/>
    <w:rsid w:val="001B0349"/>
    <w:rsid w:val="001B1E93"/>
    <w:rsid w:val="001B2D0C"/>
    <w:rsid w:val="001B3B8E"/>
    <w:rsid w:val="001B5210"/>
    <w:rsid w:val="001B65C1"/>
    <w:rsid w:val="001C1992"/>
    <w:rsid w:val="001C20E1"/>
    <w:rsid w:val="001C260F"/>
    <w:rsid w:val="001C30C6"/>
    <w:rsid w:val="001C374E"/>
    <w:rsid w:val="001C3B1D"/>
    <w:rsid w:val="001C5C3A"/>
    <w:rsid w:val="001C684B"/>
    <w:rsid w:val="001D08D3"/>
    <w:rsid w:val="001D0CFB"/>
    <w:rsid w:val="001D21AF"/>
    <w:rsid w:val="001D3D32"/>
    <w:rsid w:val="001D48C6"/>
    <w:rsid w:val="001D53FC"/>
    <w:rsid w:val="001E1CA7"/>
    <w:rsid w:val="001E22AB"/>
    <w:rsid w:val="001E282B"/>
    <w:rsid w:val="001E2F7E"/>
    <w:rsid w:val="001F42A5"/>
    <w:rsid w:val="001F63A1"/>
    <w:rsid w:val="001F6FD2"/>
    <w:rsid w:val="001F7B9D"/>
    <w:rsid w:val="001F7D6A"/>
    <w:rsid w:val="00201C93"/>
    <w:rsid w:val="00204A1F"/>
    <w:rsid w:val="002124E5"/>
    <w:rsid w:val="002125C8"/>
    <w:rsid w:val="002164B0"/>
    <w:rsid w:val="002224B4"/>
    <w:rsid w:val="002353CB"/>
    <w:rsid w:val="002428E2"/>
    <w:rsid w:val="00242D69"/>
    <w:rsid w:val="002447EF"/>
    <w:rsid w:val="00244A75"/>
    <w:rsid w:val="00246457"/>
    <w:rsid w:val="00251550"/>
    <w:rsid w:val="0026211B"/>
    <w:rsid w:val="00262517"/>
    <w:rsid w:val="00263B05"/>
    <w:rsid w:val="002674F9"/>
    <w:rsid w:val="0027221A"/>
    <w:rsid w:val="00275B61"/>
    <w:rsid w:val="00277391"/>
    <w:rsid w:val="00280FAF"/>
    <w:rsid w:val="00282656"/>
    <w:rsid w:val="002853DE"/>
    <w:rsid w:val="00285EF3"/>
    <w:rsid w:val="002902E6"/>
    <w:rsid w:val="0029053F"/>
    <w:rsid w:val="002928F2"/>
    <w:rsid w:val="002968C8"/>
    <w:rsid w:val="00296B83"/>
    <w:rsid w:val="002A7735"/>
    <w:rsid w:val="002A7B85"/>
    <w:rsid w:val="002A7F59"/>
    <w:rsid w:val="002B1FAB"/>
    <w:rsid w:val="002B4015"/>
    <w:rsid w:val="002B71A5"/>
    <w:rsid w:val="002B78CE"/>
    <w:rsid w:val="002C07C9"/>
    <w:rsid w:val="002C1ABD"/>
    <w:rsid w:val="002C2FB6"/>
    <w:rsid w:val="002D5884"/>
    <w:rsid w:val="002E23A4"/>
    <w:rsid w:val="002E5FA7"/>
    <w:rsid w:val="002F3309"/>
    <w:rsid w:val="002F6F9C"/>
    <w:rsid w:val="002F74A7"/>
    <w:rsid w:val="003008CE"/>
    <w:rsid w:val="003009B7"/>
    <w:rsid w:val="00300E56"/>
    <w:rsid w:val="0030152C"/>
    <w:rsid w:val="0030469C"/>
    <w:rsid w:val="00304BEA"/>
    <w:rsid w:val="00304CE8"/>
    <w:rsid w:val="00321CA6"/>
    <w:rsid w:val="0032278D"/>
    <w:rsid w:val="00322A5F"/>
    <w:rsid w:val="0032373D"/>
    <w:rsid w:val="00323763"/>
    <w:rsid w:val="00323C5F"/>
    <w:rsid w:val="0032491D"/>
    <w:rsid w:val="0032519E"/>
    <w:rsid w:val="00325314"/>
    <w:rsid w:val="00330D65"/>
    <w:rsid w:val="0033267C"/>
    <w:rsid w:val="003330C1"/>
    <w:rsid w:val="00333C48"/>
    <w:rsid w:val="00334C09"/>
    <w:rsid w:val="0034005A"/>
    <w:rsid w:val="00343F34"/>
    <w:rsid w:val="00350E0D"/>
    <w:rsid w:val="00353AD5"/>
    <w:rsid w:val="00356034"/>
    <w:rsid w:val="00357AFC"/>
    <w:rsid w:val="003723D4"/>
    <w:rsid w:val="003748A6"/>
    <w:rsid w:val="00381905"/>
    <w:rsid w:val="00384CC8"/>
    <w:rsid w:val="003852C8"/>
    <w:rsid w:val="003869F9"/>
    <w:rsid w:val="003871FD"/>
    <w:rsid w:val="003901B6"/>
    <w:rsid w:val="0039524D"/>
    <w:rsid w:val="003957C8"/>
    <w:rsid w:val="00395ECF"/>
    <w:rsid w:val="00396E20"/>
    <w:rsid w:val="003A1A3D"/>
    <w:rsid w:val="003A1E30"/>
    <w:rsid w:val="003A2829"/>
    <w:rsid w:val="003A366E"/>
    <w:rsid w:val="003A5742"/>
    <w:rsid w:val="003A7D1C"/>
    <w:rsid w:val="003B0ED5"/>
    <w:rsid w:val="003B2C90"/>
    <w:rsid w:val="003B304B"/>
    <w:rsid w:val="003B3146"/>
    <w:rsid w:val="003B3B79"/>
    <w:rsid w:val="003B49CD"/>
    <w:rsid w:val="003C01ED"/>
    <w:rsid w:val="003C3236"/>
    <w:rsid w:val="003C56E9"/>
    <w:rsid w:val="003D076C"/>
    <w:rsid w:val="003D1E02"/>
    <w:rsid w:val="003D3853"/>
    <w:rsid w:val="003D4CF0"/>
    <w:rsid w:val="003E0A0D"/>
    <w:rsid w:val="003E1065"/>
    <w:rsid w:val="003E6935"/>
    <w:rsid w:val="003F015E"/>
    <w:rsid w:val="003F0311"/>
    <w:rsid w:val="003F6F9D"/>
    <w:rsid w:val="00400414"/>
    <w:rsid w:val="00400BBE"/>
    <w:rsid w:val="00402E1C"/>
    <w:rsid w:val="00403837"/>
    <w:rsid w:val="00406275"/>
    <w:rsid w:val="0041446B"/>
    <w:rsid w:val="00415627"/>
    <w:rsid w:val="00423722"/>
    <w:rsid w:val="00434930"/>
    <w:rsid w:val="0044071E"/>
    <w:rsid w:val="004421B2"/>
    <w:rsid w:val="00442B7A"/>
    <w:rsid w:val="00442BCC"/>
    <w:rsid w:val="0044329C"/>
    <w:rsid w:val="0044661F"/>
    <w:rsid w:val="00452208"/>
    <w:rsid w:val="00453E24"/>
    <w:rsid w:val="00457456"/>
    <w:rsid w:val="004577FE"/>
    <w:rsid w:val="00457B9C"/>
    <w:rsid w:val="0046164A"/>
    <w:rsid w:val="00461C51"/>
    <w:rsid w:val="004628D2"/>
    <w:rsid w:val="00462DCD"/>
    <w:rsid w:val="004648AD"/>
    <w:rsid w:val="004703A9"/>
    <w:rsid w:val="00473D42"/>
    <w:rsid w:val="0047593D"/>
    <w:rsid w:val="004760DE"/>
    <w:rsid w:val="004763D7"/>
    <w:rsid w:val="00487E34"/>
    <w:rsid w:val="00487E36"/>
    <w:rsid w:val="00491B1D"/>
    <w:rsid w:val="00492B4C"/>
    <w:rsid w:val="0049717C"/>
    <w:rsid w:val="00497F2B"/>
    <w:rsid w:val="004A004E"/>
    <w:rsid w:val="004A24CF"/>
    <w:rsid w:val="004A57EC"/>
    <w:rsid w:val="004B4BC6"/>
    <w:rsid w:val="004B4C51"/>
    <w:rsid w:val="004B55A1"/>
    <w:rsid w:val="004C1BE3"/>
    <w:rsid w:val="004C3D1D"/>
    <w:rsid w:val="004C3D84"/>
    <w:rsid w:val="004C663D"/>
    <w:rsid w:val="004C6B86"/>
    <w:rsid w:val="004C7913"/>
    <w:rsid w:val="004C7D51"/>
    <w:rsid w:val="004D4A0C"/>
    <w:rsid w:val="004D5C4D"/>
    <w:rsid w:val="004D6352"/>
    <w:rsid w:val="004D7D4D"/>
    <w:rsid w:val="004E1F53"/>
    <w:rsid w:val="004E282E"/>
    <w:rsid w:val="004E2B0A"/>
    <w:rsid w:val="004E4DD6"/>
    <w:rsid w:val="004F0A0A"/>
    <w:rsid w:val="004F5E36"/>
    <w:rsid w:val="004F5F27"/>
    <w:rsid w:val="00504E71"/>
    <w:rsid w:val="0050522D"/>
    <w:rsid w:val="00507B47"/>
    <w:rsid w:val="00507BEF"/>
    <w:rsid w:val="00507CC9"/>
    <w:rsid w:val="005119A5"/>
    <w:rsid w:val="00522AF2"/>
    <w:rsid w:val="00523546"/>
    <w:rsid w:val="005278B7"/>
    <w:rsid w:val="00532016"/>
    <w:rsid w:val="005346C8"/>
    <w:rsid w:val="005409BF"/>
    <w:rsid w:val="00543E7D"/>
    <w:rsid w:val="00547A68"/>
    <w:rsid w:val="00547D6D"/>
    <w:rsid w:val="005531C9"/>
    <w:rsid w:val="00554879"/>
    <w:rsid w:val="00570C43"/>
    <w:rsid w:val="00576960"/>
    <w:rsid w:val="00592274"/>
    <w:rsid w:val="005933C7"/>
    <w:rsid w:val="005A06B9"/>
    <w:rsid w:val="005A4E49"/>
    <w:rsid w:val="005A63D9"/>
    <w:rsid w:val="005B2110"/>
    <w:rsid w:val="005B26ED"/>
    <w:rsid w:val="005B350B"/>
    <w:rsid w:val="005B534B"/>
    <w:rsid w:val="005B61B0"/>
    <w:rsid w:val="005B61E6"/>
    <w:rsid w:val="005B6CEE"/>
    <w:rsid w:val="005C1AD3"/>
    <w:rsid w:val="005C2850"/>
    <w:rsid w:val="005C388B"/>
    <w:rsid w:val="005C5698"/>
    <w:rsid w:val="005C63DF"/>
    <w:rsid w:val="005C77E1"/>
    <w:rsid w:val="005D1F7A"/>
    <w:rsid w:val="005D2A47"/>
    <w:rsid w:val="005D668A"/>
    <w:rsid w:val="005D6A2F"/>
    <w:rsid w:val="005D785B"/>
    <w:rsid w:val="005E0592"/>
    <w:rsid w:val="005E13CE"/>
    <w:rsid w:val="005E1A82"/>
    <w:rsid w:val="005E489B"/>
    <w:rsid w:val="005E4E08"/>
    <w:rsid w:val="005E794C"/>
    <w:rsid w:val="005F0A28"/>
    <w:rsid w:val="005F0E5E"/>
    <w:rsid w:val="00600182"/>
    <w:rsid w:val="00600535"/>
    <w:rsid w:val="00604503"/>
    <w:rsid w:val="00610CD6"/>
    <w:rsid w:val="006124CC"/>
    <w:rsid w:val="006147FF"/>
    <w:rsid w:val="00615087"/>
    <w:rsid w:val="00620898"/>
    <w:rsid w:val="00620DEE"/>
    <w:rsid w:val="00621F92"/>
    <w:rsid w:val="0062280A"/>
    <w:rsid w:val="006231E1"/>
    <w:rsid w:val="00625639"/>
    <w:rsid w:val="00626342"/>
    <w:rsid w:val="0062786C"/>
    <w:rsid w:val="00631B33"/>
    <w:rsid w:val="006337C7"/>
    <w:rsid w:val="00633C25"/>
    <w:rsid w:val="0063685C"/>
    <w:rsid w:val="0064184D"/>
    <w:rsid w:val="006422CC"/>
    <w:rsid w:val="00651D18"/>
    <w:rsid w:val="00653AF8"/>
    <w:rsid w:val="006568C9"/>
    <w:rsid w:val="00660E3E"/>
    <w:rsid w:val="00662E74"/>
    <w:rsid w:val="00663133"/>
    <w:rsid w:val="00676D28"/>
    <w:rsid w:val="00680C23"/>
    <w:rsid w:val="00682324"/>
    <w:rsid w:val="006825C2"/>
    <w:rsid w:val="00682E7C"/>
    <w:rsid w:val="00683E23"/>
    <w:rsid w:val="00691C3E"/>
    <w:rsid w:val="006923DF"/>
    <w:rsid w:val="00693766"/>
    <w:rsid w:val="00693996"/>
    <w:rsid w:val="00697142"/>
    <w:rsid w:val="00697DF7"/>
    <w:rsid w:val="006A3281"/>
    <w:rsid w:val="006A6DE5"/>
    <w:rsid w:val="006A77B9"/>
    <w:rsid w:val="006B0EDD"/>
    <w:rsid w:val="006B137B"/>
    <w:rsid w:val="006B4888"/>
    <w:rsid w:val="006B7BBF"/>
    <w:rsid w:val="006C2E45"/>
    <w:rsid w:val="006C359C"/>
    <w:rsid w:val="006C5579"/>
    <w:rsid w:val="006D1380"/>
    <w:rsid w:val="006D25C6"/>
    <w:rsid w:val="006D6E8B"/>
    <w:rsid w:val="006D7209"/>
    <w:rsid w:val="006E26DC"/>
    <w:rsid w:val="006E59B7"/>
    <w:rsid w:val="006E5E0A"/>
    <w:rsid w:val="006E6EBE"/>
    <w:rsid w:val="006E737D"/>
    <w:rsid w:val="007007AC"/>
    <w:rsid w:val="00707DD1"/>
    <w:rsid w:val="00713973"/>
    <w:rsid w:val="00716086"/>
    <w:rsid w:val="00720A24"/>
    <w:rsid w:val="0072681A"/>
    <w:rsid w:val="00727C11"/>
    <w:rsid w:val="007304F1"/>
    <w:rsid w:val="00732386"/>
    <w:rsid w:val="0073408B"/>
    <w:rsid w:val="0073514D"/>
    <w:rsid w:val="00736327"/>
    <w:rsid w:val="007447F3"/>
    <w:rsid w:val="007470D0"/>
    <w:rsid w:val="0074734C"/>
    <w:rsid w:val="007517B9"/>
    <w:rsid w:val="007538BF"/>
    <w:rsid w:val="0075499F"/>
    <w:rsid w:val="00761CA6"/>
    <w:rsid w:val="00765636"/>
    <w:rsid w:val="007661C8"/>
    <w:rsid w:val="0077098D"/>
    <w:rsid w:val="007828FA"/>
    <w:rsid w:val="00783B85"/>
    <w:rsid w:val="00785BF9"/>
    <w:rsid w:val="00791354"/>
    <w:rsid w:val="007931FA"/>
    <w:rsid w:val="007A4861"/>
    <w:rsid w:val="007A6116"/>
    <w:rsid w:val="007A64D3"/>
    <w:rsid w:val="007A7BBA"/>
    <w:rsid w:val="007B0137"/>
    <w:rsid w:val="007B0C50"/>
    <w:rsid w:val="007B1EA5"/>
    <w:rsid w:val="007B3E74"/>
    <w:rsid w:val="007B48F9"/>
    <w:rsid w:val="007B5A97"/>
    <w:rsid w:val="007B76DE"/>
    <w:rsid w:val="007B7900"/>
    <w:rsid w:val="007C15E0"/>
    <w:rsid w:val="007C1A43"/>
    <w:rsid w:val="007D0951"/>
    <w:rsid w:val="007D2ADC"/>
    <w:rsid w:val="007D610D"/>
    <w:rsid w:val="007E467A"/>
    <w:rsid w:val="007F243A"/>
    <w:rsid w:val="007F465F"/>
    <w:rsid w:val="007F6987"/>
    <w:rsid w:val="0080013E"/>
    <w:rsid w:val="00801759"/>
    <w:rsid w:val="00801A98"/>
    <w:rsid w:val="00810E85"/>
    <w:rsid w:val="00812276"/>
    <w:rsid w:val="00813288"/>
    <w:rsid w:val="00814FBB"/>
    <w:rsid w:val="008168FC"/>
    <w:rsid w:val="00820044"/>
    <w:rsid w:val="008202C1"/>
    <w:rsid w:val="0082287F"/>
    <w:rsid w:val="00825A91"/>
    <w:rsid w:val="00830996"/>
    <w:rsid w:val="008345F1"/>
    <w:rsid w:val="00840163"/>
    <w:rsid w:val="00847F40"/>
    <w:rsid w:val="00847FEC"/>
    <w:rsid w:val="008521F0"/>
    <w:rsid w:val="00854EF0"/>
    <w:rsid w:val="00860D56"/>
    <w:rsid w:val="0086503B"/>
    <w:rsid w:val="00865B07"/>
    <w:rsid w:val="008667EA"/>
    <w:rsid w:val="008675A5"/>
    <w:rsid w:val="00875D59"/>
    <w:rsid w:val="0087637F"/>
    <w:rsid w:val="0088206D"/>
    <w:rsid w:val="00882C4F"/>
    <w:rsid w:val="0088481B"/>
    <w:rsid w:val="008913D3"/>
    <w:rsid w:val="00892AD5"/>
    <w:rsid w:val="008A14E7"/>
    <w:rsid w:val="008A1512"/>
    <w:rsid w:val="008A3816"/>
    <w:rsid w:val="008A4E12"/>
    <w:rsid w:val="008B034C"/>
    <w:rsid w:val="008B1098"/>
    <w:rsid w:val="008B12B6"/>
    <w:rsid w:val="008C1FA7"/>
    <w:rsid w:val="008C271C"/>
    <w:rsid w:val="008D32B9"/>
    <w:rsid w:val="008D433B"/>
    <w:rsid w:val="008D4A16"/>
    <w:rsid w:val="008E009D"/>
    <w:rsid w:val="008E2464"/>
    <w:rsid w:val="008E5401"/>
    <w:rsid w:val="008E566E"/>
    <w:rsid w:val="008E64C5"/>
    <w:rsid w:val="008F2B06"/>
    <w:rsid w:val="008F7123"/>
    <w:rsid w:val="0090161A"/>
    <w:rsid w:val="00901EB6"/>
    <w:rsid w:val="00903A1A"/>
    <w:rsid w:val="009041F8"/>
    <w:rsid w:val="00904C62"/>
    <w:rsid w:val="00910681"/>
    <w:rsid w:val="00910BAB"/>
    <w:rsid w:val="00912A4D"/>
    <w:rsid w:val="00914B9F"/>
    <w:rsid w:val="00914F66"/>
    <w:rsid w:val="00922B42"/>
    <w:rsid w:val="00922BA8"/>
    <w:rsid w:val="009235B8"/>
    <w:rsid w:val="009246AB"/>
    <w:rsid w:val="00924DAC"/>
    <w:rsid w:val="00927058"/>
    <w:rsid w:val="00927296"/>
    <w:rsid w:val="00931BA3"/>
    <w:rsid w:val="00935652"/>
    <w:rsid w:val="0093589B"/>
    <w:rsid w:val="00935DE6"/>
    <w:rsid w:val="00940CC8"/>
    <w:rsid w:val="00940DA2"/>
    <w:rsid w:val="00941F04"/>
    <w:rsid w:val="00942750"/>
    <w:rsid w:val="009450CE"/>
    <w:rsid w:val="009459BB"/>
    <w:rsid w:val="00946C72"/>
    <w:rsid w:val="00947179"/>
    <w:rsid w:val="00950971"/>
    <w:rsid w:val="0095164B"/>
    <w:rsid w:val="009523D5"/>
    <w:rsid w:val="00954090"/>
    <w:rsid w:val="009547AD"/>
    <w:rsid w:val="00955F8C"/>
    <w:rsid w:val="00956456"/>
    <w:rsid w:val="009573E7"/>
    <w:rsid w:val="00960640"/>
    <w:rsid w:val="00961691"/>
    <w:rsid w:val="00963E05"/>
    <w:rsid w:val="00964A45"/>
    <w:rsid w:val="009657F5"/>
    <w:rsid w:val="00967843"/>
    <w:rsid w:val="00967D54"/>
    <w:rsid w:val="00971028"/>
    <w:rsid w:val="00972152"/>
    <w:rsid w:val="00973FDF"/>
    <w:rsid w:val="009768EB"/>
    <w:rsid w:val="0098085B"/>
    <w:rsid w:val="00991882"/>
    <w:rsid w:val="00992BED"/>
    <w:rsid w:val="00993B84"/>
    <w:rsid w:val="009948AF"/>
    <w:rsid w:val="00994C6A"/>
    <w:rsid w:val="009955D4"/>
    <w:rsid w:val="00996483"/>
    <w:rsid w:val="00996F5A"/>
    <w:rsid w:val="009B041A"/>
    <w:rsid w:val="009B04EE"/>
    <w:rsid w:val="009B1241"/>
    <w:rsid w:val="009B4EAE"/>
    <w:rsid w:val="009B6E57"/>
    <w:rsid w:val="009B7CBE"/>
    <w:rsid w:val="009C37C3"/>
    <w:rsid w:val="009C7C86"/>
    <w:rsid w:val="009D0C84"/>
    <w:rsid w:val="009D2FF7"/>
    <w:rsid w:val="009D4228"/>
    <w:rsid w:val="009E266A"/>
    <w:rsid w:val="009E7884"/>
    <w:rsid w:val="009E788A"/>
    <w:rsid w:val="009F0108"/>
    <w:rsid w:val="009F0DCB"/>
    <w:rsid w:val="009F0E08"/>
    <w:rsid w:val="009F557E"/>
    <w:rsid w:val="009F7EA6"/>
    <w:rsid w:val="00A00EE3"/>
    <w:rsid w:val="00A044F0"/>
    <w:rsid w:val="00A06C92"/>
    <w:rsid w:val="00A079AE"/>
    <w:rsid w:val="00A11874"/>
    <w:rsid w:val="00A1763D"/>
    <w:rsid w:val="00A17CEC"/>
    <w:rsid w:val="00A23618"/>
    <w:rsid w:val="00A24648"/>
    <w:rsid w:val="00A27EF0"/>
    <w:rsid w:val="00A31ECF"/>
    <w:rsid w:val="00A400A9"/>
    <w:rsid w:val="00A412F2"/>
    <w:rsid w:val="00A42361"/>
    <w:rsid w:val="00A45041"/>
    <w:rsid w:val="00A50B20"/>
    <w:rsid w:val="00A51390"/>
    <w:rsid w:val="00A52273"/>
    <w:rsid w:val="00A60D13"/>
    <w:rsid w:val="00A60DEF"/>
    <w:rsid w:val="00A64BAA"/>
    <w:rsid w:val="00A66477"/>
    <w:rsid w:val="00A7223D"/>
    <w:rsid w:val="00A72745"/>
    <w:rsid w:val="00A72A99"/>
    <w:rsid w:val="00A75E07"/>
    <w:rsid w:val="00A76EFC"/>
    <w:rsid w:val="00A87D50"/>
    <w:rsid w:val="00A91010"/>
    <w:rsid w:val="00A9376D"/>
    <w:rsid w:val="00A96762"/>
    <w:rsid w:val="00A96F3E"/>
    <w:rsid w:val="00A97F29"/>
    <w:rsid w:val="00AA1A8A"/>
    <w:rsid w:val="00AA22B9"/>
    <w:rsid w:val="00AA5885"/>
    <w:rsid w:val="00AA702E"/>
    <w:rsid w:val="00AA7D26"/>
    <w:rsid w:val="00AB0964"/>
    <w:rsid w:val="00AB382E"/>
    <w:rsid w:val="00AB5011"/>
    <w:rsid w:val="00AC0FEE"/>
    <w:rsid w:val="00AC2463"/>
    <w:rsid w:val="00AC284C"/>
    <w:rsid w:val="00AC2992"/>
    <w:rsid w:val="00AC408D"/>
    <w:rsid w:val="00AC48F9"/>
    <w:rsid w:val="00AC4B12"/>
    <w:rsid w:val="00AC7368"/>
    <w:rsid w:val="00AD16B9"/>
    <w:rsid w:val="00AD7C0D"/>
    <w:rsid w:val="00AE0696"/>
    <w:rsid w:val="00AE377D"/>
    <w:rsid w:val="00AF0EBA"/>
    <w:rsid w:val="00AF13B5"/>
    <w:rsid w:val="00AF1CB8"/>
    <w:rsid w:val="00AF1DB0"/>
    <w:rsid w:val="00AF1F86"/>
    <w:rsid w:val="00AF21C0"/>
    <w:rsid w:val="00AF2316"/>
    <w:rsid w:val="00AF2463"/>
    <w:rsid w:val="00AF261C"/>
    <w:rsid w:val="00AF5479"/>
    <w:rsid w:val="00AF5E5A"/>
    <w:rsid w:val="00AF79B3"/>
    <w:rsid w:val="00B002BD"/>
    <w:rsid w:val="00B015FE"/>
    <w:rsid w:val="00B0173E"/>
    <w:rsid w:val="00B02C8A"/>
    <w:rsid w:val="00B03A45"/>
    <w:rsid w:val="00B05143"/>
    <w:rsid w:val="00B0571A"/>
    <w:rsid w:val="00B118BB"/>
    <w:rsid w:val="00B15AAB"/>
    <w:rsid w:val="00B17FBD"/>
    <w:rsid w:val="00B2040D"/>
    <w:rsid w:val="00B315A6"/>
    <w:rsid w:val="00B31813"/>
    <w:rsid w:val="00B33365"/>
    <w:rsid w:val="00B35199"/>
    <w:rsid w:val="00B44623"/>
    <w:rsid w:val="00B44924"/>
    <w:rsid w:val="00B470FF"/>
    <w:rsid w:val="00B5142C"/>
    <w:rsid w:val="00B52BDC"/>
    <w:rsid w:val="00B5418A"/>
    <w:rsid w:val="00B57B36"/>
    <w:rsid w:val="00B57E6F"/>
    <w:rsid w:val="00B6677F"/>
    <w:rsid w:val="00B66889"/>
    <w:rsid w:val="00B80BB4"/>
    <w:rsid w:val="00B82D75"/>
    <w:rsid w:val="00B85E80"/>
    <w:rsid w:val="00B8642F"/>
    <w:rsid w:val="00B8686D"/>
    <w:rsid w:val="00B93F69"/>
    <w:rsid w:val="00BA23E5"/>
    <w:rsid w:val="00BA33BA"/>
    <w:rsid w:val="00BB1DDC"/>
    <w:rsid w:val="00BC0E8A"/>
    <w:rsid w:val="00BC30C9"/>
    <w:rsid w:val="00BD077D"/>
    <w:rsid w:val="00BD7231"/>
    <w:rsid w:val="00BD7583"/>
    <w:rsid w:val="00BE21EB"/>
    <w:rsid w:val="00BE33EA"/>
    <w:rsid w:val="00BE3E58"/>
    <w:rsid w:val="00BE5EBB"/>
    <w:rsid w:val="00BF01B6"/>
    <w:rsid w:val="00BF032C"/>
    <w:rsid w:val="00BF13CE"/>
    <w:rsid w:val="00BF2AFE"/>
    <w:rsid w:val="00C01616"/>
    <w:rsid w:val="00C0162B"/>
    <w:rsid w:val="00C06842"/>
    <w:rsid w:val="00C068ED"/>
    <w:rsid w:val="00C22E0C"/>
    <w:rsid w:val="00C24AE8"/>
    <w:rsid w:val="00C268AC"/>
    <w:rsid w:val="00C345B1"/>
    <w:rsid w:val="00C368AE"/>
    <w:rsid w:val="00C40142"/>
    <w:rsid w:val="00C454CC"/>
    <w:rsid w:val="00C52C3C"/>
    <w:rsid w:val="00C5568E"/>
    <w:rsid w:val="00C57182"/>
    <w:rsid w:val="00C57863"/>
    <w:rsid w:val="00C6006C"/>
    <w:rsid w:val="00C6196D"/>
    <w:rsid w:val="00C628AA"/>
    <w:rsid w:val="00C640AF"/>
    <w:rsid w:val="00C655FD"/>
    <w:rsid w:val="00C66011"/>
    <w:rsid w:val="00C74114"/>
    <w:rsid w:val="00C75407"/>
    <w:rsid w:val="00C75524"/>
    <w:rsid w:val="00C841C6"/>
    <w:rsid w:val="00C870A8"/>
    <w:rsid w:val="00C94434"/>
    <w:rsid w:val="00C94DFF"/>
    <w:rsid w:val="00C9753E"/>
    <w:rsid w:val="00C97567"/>
    <w:rsid w:val="00CA0D75"/>
    <w:rsid w:val="00CA1C95"/>
    <w:rsid w:val="00CA5A9C"/>
    <w:rsid w:val="00CB70E5"/>
    <w:rsid w:val="00CC38B5"/>
    <w:rsid w:val="00CC4C20"/>
    <w:rsid w:val="00CC6802"/>
    <w:rsid w:val="00CD105B"/>
    <w:rsid w:val="00CD1A90"/>
    <w:rsid w:val="00CD3517"/>
    <w:rsid w:val="00CD5FE2"/>
    <w:rsid w:val="00CD609B"/>
    <w:rsid w:val="00CD79B5"/>
    <w:rsid w:val="00CE0970"/>
    <w:rsid w:val="00CE4578"/>
    <w:rsid w:val="00CE7C68"/>
    <w:rsid w:val="00D00E2E"/>
    <w:rsid w:val="00D016F6"/>
    <w:rsid w:val="00D01C23"/>
    <w:rsid w:val="00D02B4C"/>
    <w:rsid w:val="00D02CEF"/>
    <w:rsid w:val="00D040C4"/>
    <w:rsid w:val="00D077C8"/>
    <w:rsid w:val="00D1406B"/>
    <w:rsid w:val="00D202BB"/>
    <w:rsid w:val="00D20AD1"/>
    <w:rsid w:val="00D22358"/>
    <w:rsid w:val="00D245D5"/>
    <w:rsid w:val="00D2582C"/>
    <w:rsid w:val="00D25E07"/>
    <w:rsid w:val="00D3042B"/>
    <w:rsid w:val="00D33301"/>
    <w:rsid w:val="00D4115A"/>
    <w:rsid w:val="00D418A9"/>
    <w:rsid w:val="00D41DA5"/>
    <w:rsid w:val="00D420DD"/>
    <w:rsid w:val="00D447DF"/>
    <w:rsid w:val="00D44884"/>
    <w:rsid w:val="00D4582D"/>
    <w:rsid w:val="00D46B7E"/>
    <w:rsid w:val="00D57C84"/>
    <w:rsid w:val="00D6057D"/>
    <w:rsid w:val="00D6495D"/>
    <w:rsid w:val="00D67FB1"/>
    <w:rsid w:val="00D71640"/>
    <w:rsid w:val="00D75157"/>
    <w:rsid w:val="00D77376"/>
    <w:rsid w:val="00D8163E"/>
    <w:rsid w:val="00D836C5"/>
    <w:rsid w:val="00D84576"/>
    <w:rsid w:val="00D848C2"/>
    <w:rsid w:val="00D87AA1"/>
    <w:rsid w:val="00D9152B"/>
    <w:rsid w:val="00DA1399"/>
    <w:rsid w:val="00DA24C6"/>
    <w:rsid w:val="00DA4D7B"/>
    <w:rsid w:val="00DB3EAC"/>
    <w:rsid w:val="00DB4247"/>
    <w:rsid w:val="00DC059D"/>
    <w:rsid w:val="00DC2840"/>
    <w:rsid w:val="00DC673B"/>
    <w:rsid w:val="00DC73EE"/>
    <w:rsid w:val="00DD271C"/>
    <w:rsid w:val="00DE264A"/>
    <w:rsid w:val="00DE7283"/>
    <w:rsid w:val="00DE7CC7"/>
    <w:rsid w:val="00DF0981"/>
    <w:rsid w:val="00DF49B9"/>
    <w:rsid w:val="00DF5072"/>
    <w:rsid w:val="00DF5BB3"/>
    <w:rsid w:val="00DF661F"/>
    <w:rsid w:val="00E01ECD"/>
    <w:rsid w:val="00E02D18"/>
    <w:rsid w:val="00E041E7"/>
    <w:rsid w:val="00E04C33"/>
    <w:rsid w:val="00E058F8"/>
    <w:rsid w:val="00E0675E"/>
    <w:rsid w:val="00E06D10"/>
    <w:rsid w:val="00E1349C"/>
    <w:rsid w:val="00E1689D"/>
    <w:rsid w:val="00E22044"/>
    <w:rsid w:val="00E23661"/>
    <w:rsid w:val="00E23CA1"/>
    <w:rsid w:val="00E27FEC"/>
    <w:rsid w:val="00E40015"/>
    <w:rsid w:val="00E409A8"/>
    <w:rsid w:val="00E509FE"/>
    <w:rsid w:val="00E50C12"/>
    <w:rsid w:val="00E563F7"/>
    <w:rsid w:val="00E6047F"/>
    <w:rsid w:val="00E635FF"/>
    <w:rsid w:val="00E651DC"/>
    <w:rsid w:val="00E65B91"/>
    <w:rsid w:val="00E7063F"/>
    <w:rsid w:val="00E7209D"/>
    <w:rsid w:val="00E72EAD"/>
    <w:rsid w:val="00E73BDE"/>
    <w:rsid w:val="00E745A5"/>
    <w:rsid w:val="00E77223"/>
    <w:rsid w:val="00E77316"/>
    <w:rsid w:val="00E812A5"/>
    <w:rsid w:val="00E823CC"/>
    <w:rsid w:val="00E82CC3"/>
    <w:rsid w:val="00E8528B"/>
    <w:rsid w:val="00E85B94"/>
    <w:rsid w:val="00E9296A"/>
    <w:rsid w:val="00E97832"/>
    <w:rsid w:val="00E978D0"/>
    <w:rsid w:val="00EA4613"/>
    <w:rsid w:val="00EA7F91"/>
    <w:rsid w:val="00EB1523"/>
    <w:rsid w:val="00EB1D7E"/>
    <w:rsid w:val="00EB3D88"/>
    <w:rsid w:val="00EB5D04"/>
    <w:rsid w:val="00EB789D"/>
    <w:rsid w:val="00EC0E49"/>
    <w:rsid w:val="00EC101F"/>
    <w:rsid w:val="00EC1D9F"/>
    <w:rsid w:val="00EC694B"/>
    <w:rsid w:val="00ED110C"/>
    <w:rsid w:val="00ED4429"/>
    <w:rsid w:val="00ED5A36"/>
    <w:rsid w:val="00EE0131"/>
    <w:rsid w:val="00EE17B0"/>
    <w:rsid w:val="00EE538B"/>
    <w:rsid w:val="00EE53C9"/>
    <w:rsid w:val="00EF06D9"/>
    <w:rsid w:val="00EF47DC"/>
    <w:rsid w:val="00EF627A"/>
    <w:rsid w:val="00F00184"/>
    <w:rsid w:val="00F01C8F"/>
    <w:rsid w:val="00F023E3"/>
    <w:rsid w:val="00F037D9"/>
    <w:rsid w:val="00F045D2"/>
    <w:rsid w:val="00F10D0D"/>
    <w:rsid w:val="00F12650"/>
    <w:rsid w:val="00F13E19"/>
    <w:rsid w:val="00F2109F"/>
    <w:rsid w:val="00F22693"/>
    <w:rsid w:val="00F267A6"/>
    <w:rsid w:val="00F2787E"/>
    <w:rsid w:val="00F3049E"/>
    <w:rsid w:val="00F30C08"/>
    <w:rsid w:val="00F30C64"/>
    <w:rsid w:val="00F31C3D"/>
    <w:rsid w:val="00F32BA2"/>
    <w:rsid w:val="00F32CDB"/>
    <w:rsid w:val="00F33B2F"/>
    <w:rsid w:val="00F33EE0"/>
    <w:rsid w:val="00F4131B"/>
    <w:rsid w:val="00F41EE4"/>
    <w:rsid w:val="00F447FA"/>
    <w:rsid w:val="00F54F15"/>
    <w:rsid w:val="00F55C12"/>
    <w:rsid w:val="00F565FE"/>
    <w:rsid w:val="00F63A70"/>
    <w:rsid w:val="00F63D8C"/>
    <w:rsid w:val="00F669D3"/>
    <w:rsid w:val="00F7534E"/>
    <w:rsid w:val="00F764D1"/>
    <w:rsid w:val="00F82B4E"/>
    <w:rsid w:val="00F85F26"/>
    <w:rsid w:val="00F879DE"/>
    <w:rsid w:val="00F90D4E"/>
    <w:rsid w:val="00F93EDF"/>
    <w:rsid w:val="00F9536C"/>
    <w:rsid w:val="00FA1802"/>
    <w:rsid w:val="00FA21D0"/>
    <w:rsid w:val="00FA5F5F"/>
    <w:rsid w:val="00FB393D"/>
    <w:rsid w:val="00FB5B62"/>
    <w:rsid w:val="00FB730C"/>
    <w:rsid w:val="00FC2695"/>
    <w:rsid w:val="00FC3E03"/>
    <w:rsid w:val="00FC3FC1"/>
    <w:rsid w:val="00FC6A2B"/>
    <w:rsid w:val="00FC6DDD"/>
    <w:rsid w:val="00FD150C"/>
    <w:rsid w:val="00FE34AD"/>
    <w:rsid w:val="00FE5760"/>
    <w:rsid w:val="00FF3594"/>
    <w:rsid w:val="00FF5CC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9246AB"/>
    <w:rPr>
      <w:color w:val="605E5C"/>
      <w:shd w:val="clear" w:color="auto" w:fill="E1DFDD"/>
    </w:rPr>
  </w:style>
  <w:style w:type="paragraph" w:styleId="Revisione">
    <w:name w:val="Revision"/>
    <w:hidden/>
    <w:uiPriority w:val="99"/>
    <w:semiHidden/>
    <w:rsid w:val="00663133"/>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3075</Words>
  <Characters>17529</Characters>
  <Application>Microsoft Office Word</Application>
  <DocSecurity>0</DocSecurity>
  <Lines>146</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Federica Barontini</cp:lastModifiedBy>
  <cp:revision>2</cp:revision>
  <cp:lastPrinted>2015-05-12T18:31:00Z</cp:lastPrinted>
  <dcterms:created xsi:type="dcterms:W3CDTF">2025-04-11T10:37:00Z</dcterms:created>
  <dcterms:modified xsi:type="dcterms:W3CDTF">2025-04-11T10:37:00Z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