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FA674E">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FA674E">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FA674E">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B6C6A70" w:rsidR="00E978D0" w:rsidRPr="00B57B36" w:rsidRDefault="00FA674E" w:rsidP="00E978D0">
      <w:pPr>
        <w:pStyle w:val="CETTitle"/>
      </w:pPr>
      <w:r w:rsidRPr="00FA674E">
        <w:t>The first application of CO</w:t>
      </w:r>
      <w:r w:rsidRPr="00FA674E">
        <w:rPr>
          <w:vertAlign w:val="subscript"/>
        </w:rPr>
        <w:t>2</w:t>
      </w:r>
      <w:r w:rsidRPr="00FA674E">
        <w:t xml:space="preserve"> removal in a </w:t>
      </w:r>
      <w:proofErr w:type="spellStart"/>
      <w:r w:rsidRPr="00FA674E">
        <w:t>WtE</w:t>
      </w:r>
      <w:proofErr w:type="spellEnd"/>
      <w:r w:rsidRPr="00FA674E">
        <w:t xml:space="preserve"> plant in Italy</w:t>
      </w:r>
    </w:p>
    <w:p w14:paraId="72766FCA" w14:textId="77777777" w:rsidR="00FA674E" w:rsidRPr="00FA674E" w:rsidRDefault="00FA674E" w:rsidP="00FA674E">
      <w:pPr>
        <w:pStyle w:val="CETAuthors"/>
        <w:rPr>
          <w:lang w:val="it-IT"/>
        </w:rPr>
      </w:pPr>
      <w:r w:rsidRPr="00FA674E">
        <w:rPr>
          <w:lang w:val="it-IT"/>
        </w:rPr>
        <w:t>Laura A. Pellegrini</w:t>
      </w:r>
      <w:r w:rsidRPr="00FA674E">
        <w:rPr>
          <w:vertAlign w:val="superscript"/>
          <w:lang w:val="it-IT"/>
        </w:rPr>
        <w:t>a</w:t>
      </w:r>
      <w:r w:rsidRPr="00FA674E">
        <w:rPr>
          <w:lang w:val="it-IT"/>
        </w:rPr>
        <w:t>, Stefania Moioli</w:t>
      </w:r>
      <w:r w:rsidRPr="00FA674E">
        <w:rPr>
          <w:vertAlign w:val="superscript"/>
          <w:lang w:val="it-IT"/>
        </w:rPr>
        <w:t>a,</w:t>
      </w:r>
      <w:r w:rsidRPr="00FA674E">
        <w:rPr>
          <w:lang w:val="it-IT"/>
        </w:rPr>
        <w:t>*</w:t>
      </w:r>
    </w:p>
    <w:p w14:paraId="0488FED2" w14:textId="44AB8D59" w:rsidR="00B57E6F" w:rsidRPr="00FA674E" w:rsidRDefault="00FA674E" w:rsidP="00FA674E">
      <w:pPr>
        <w:pStyle w:val="CETAuthors"/>
        <w:rPr>
          <w:lang w:val="it-IT"/>
        </w:rPr>
      </w:pPr>
      <w:r w:rsidRPr="00FA674E">
        <w:rPr>
          <w:lang w:val="it-IT"/>
        </w:rPr>
        <w:t>Davide Alberti</w:t>
      </w:r>
      <w:r w:rsidRPr="00FA674E">
        <w:rPr>
          <w:vertAlign w:val="superscript"/>
          <w:lang w:val="it-IT"/>
        </w:rPr>
        <w:t>b</w:t>
      </w:r>
      <w:r w:rsidRPr="00FA674E">
        <w:rPr>
          <w:lang w:val="it-IT"/>
        </w:rPr>
        <w:t>, Adriano Carrara</w:t>
      </w:r>
      <w:r w:rsidRPr="00FA674E">
        <w:rPr>
          <w:vertAlign w:val="superscript"/>
          <w:lang w:val="it-IT"/>
        </w:rPr>
        <w:t>b,</w:t>
      </w:r>
      <w:r w:rsidRPr="00FA674E">
        <w:rPr>
          <w:lang w:val="it-IT"/>
        </w:rPr>
        <w:t>*, Elena Redolfi Riva</w:t>
      </w:r>
      <w:r w:rsidRPr="00FA674E">
        <w:rPr>
          <w:vertAlign w:val="superscript"/>
          <w:lang w:val="it-IT"/>
        </w:rPr>
        <w:t>c,</w:t>
      </w:r>
      <w:r w:rsidRPr="00FA674E">
        <w:rPr>
          <w:lang w:val="it-IT"/>
        </w:rPr>
        <w:t>*</w:t>
      </w:r>
    </w:p>
    <w:p w14:paraId="15DCF862" w14:textId="77777777" w:rsidR="00FA674E" w:rsidRPr="00FA674E" w:rsidRDefault="00FA674E" w:rsidP="00FA674E">
      <w:pPr>
        <w:pStyle w:val="CETAddress"/>
        <w:rPr>
          <w:lang w:val="it-IT"/>
        </w:rPr>
      </w:pPr>
      <w:r w:rsidRPr="00FA674E">
        <w:rPr>
          <w:vertAlign w:val="superscript"/>
          <w:lang w:val="it-IT"/>
        </w:rPr>
        <w:t>a</w:t>
      </w:r>
      <w:r w:rsidRPr="00FA674E">
        <w:rPr>
          <w:lang w:val="it-IT"/>
        </w:rPr>
        <w:t>GASP - Group on Advanced Separation Processes &amp; GAS Processing, Dipartimento di Chimica, Materiali e Ingegneria Chimica “G. Natta”, Politecnico di Milano, Piazza Leonardo da Vinci 32, 20133 Milano, Italy</w:t>
      </w:r>
    </w:p>
    <w:p w14:paraId="6B2D21B3" w14:textId="59317289" w:rsidR="00B57E6F" w:rsidRPr="00B57B36" w:rsidRDefault="00FA674E" w:rsidP="00FA674E">
      <w:pPr>
        <w:pStyle w:val="CETAddress"/>
      </w:pPr>
      <w:r w:rsidRPr="00FA674E">
        <w:t>*corresponding author (stefania.moioli@polimi.it; phone: +39 02 2399 4721; fax: +39 02 2399 3280)</w:t>
      </w:r>
    </w:p>
    <w:p w14:paraId="36E928A7" w14:textId="6CA7FCD0" w:rsidR="00FA674E" w:rsidRPr="00FA674E" w:rsidRDefault="00FA674E" w:rsidP="00FA674E">
      <w:pPr>
        <w:pStyle w:val="CETAddress"/>
        <w:rPr>
          <w:lang w:val="it-IT"/>
        </w:rPr>
      </w:pPr>
      <w:r w:rsidRPr="00FA674E">
        <w:rPr>
          <w:vertAlign w:val="superscript"/>
          <w:lang w:val="it-IT"/>
        </w:rPr>
        <w:t>b</w:t>
      </w:r>
      <w:r w:rsidR="00510AFA">
        <w:rPr>
          <w:lang w:val="it-IT"/>
        </w:rPr>
        <w:t>A</w:t>
      </w:r>
      <w:r w:rsidRPr="00FA674E">
        <w:rPr>
          <w:lang w:val="it-IT"/>
        </w:rPr>
        <w:t>2</w:t>
      </w:r>
      <w:r w:rsidR="00510AFA">
        <w:rPr>
          <w:lang w:val="it-IT"/>
        </w:rPr>
        <w:t>A</w:t>
      </w:r>
      <w:r w:rsidRPr="00FA674E">
        <w:rPr>
          <w:lang w:val="it-IT"/>
        </w:rPr>
        <w:t xml:space="preserve"> S.p.A, via Lamarmora 230 - 25124 Brescia, Italy</w:t>
      </w:r>
    </w:p>
    <w:p w14:paraId="3D72B0B0" w14:textId="52AE4C6E" w:rsidR="00B57E6F" w:rsidRDefault="00FA674E" w:rsidP="00FA674E">
      <w:pPr>
        <w:pStyle w:val="CETAddress"/>
      </w:pPr>
      <w:r w:rsidRPr="00FA674E">
        <w:t>*corresponding author (</w:t>
      </w:r>
      <w:hyperlink r:id="rId10" w:history="1">
        <w:r w:rsidRPr="007C74BB">
          <w:rPr>
            <w:rStyle w:val="Collegamentoipertestuale"/>
          </w:rPr>
          <w:t>adriano.carrara@a2a.eu</w:t>
        </w:r>
      </w:hyperlink>
      <w:r w:rsidRPr="00FA674E">
        <w:t>)</w:t>
      </w:r>
    </w:p>
    <w:p w14:paraId="382FF2B1" w14:textId="77777777" w:rsidR="00FA674E" w:rsidRPr="00FA674E" w:rsidRDefault="00FA674E" w:rsidP="00FA674E">
      <w:pPr>
        <w:pStyle w:val="CETAddress"/>
        <w:rPr>
          <w:lang w:val="it-IT"/>
        </w:rPr>
      </w:pPr>
      <w:r w:rsidRPr="00FA674E">
        <w:rPr>
          <w:vertAlign w:val="superscript"/>
          <w:lang w:val="it-IT"/>
        </w:rPr>
        <w:t>c</w:t>
      </w:r>
      <w:r w:rsidRPr="00FA674E">
        <w:rPr>
          <w:lang w:val="it-IT"/>
        </w:rPr>
        <w:t>Acinque Ambiente Srl – Waste to Energy Plant, via Scalabrini 123 – 22100 Como, Italy</w:t>
      </w:r>
    </w:p>
    <w:p w14:paraId="1C8C7577" w14:textId="227E3D8E" w:rsidR="00FA674E" w:rsidRPr="00FA674E" w:rsidRDefault="00FA674E" w:rsidP="00FA674E">
      <w:pPr>
        <w:pStyle w:val="CETAddress"/>
      </w:pPr>
      <w:r w:rsidRPr="00FA674E">
        <w:t>*corresponding author (elena.redolfi@acinque.it)</w:t>
      </w:r>
    </w:p>
    <w:p w14:paraId="3BAED70C" w14:textId="77777777" w:rsidR="00FA674E" w:rsidRPr="00B57B36" w:rsidRDefault="00FA674E" w:rsidP="00FA674E">
      <w:pPr>
        <w:pStyle w:val="CETAddress"/>
      </w:pPr>
    </w:p>
    <w:p w14:paraId="54C6349E" w14:textId="28B83C3C" w:rsidR="00FA674E" w:rsidRPr="00F94FD5" w:rsidRDefault="00FA674E" w:rsidP="00FA674E">
      <w:pPr>
        <w:pStyle w:val="CETBodytext"/>
      </w:pPr>
      <w:r>
        <w:t>T</w:t>
      </w:r>
      <w:r w:rsidRPr="00F94FD5">
        <w:t xml:space="preserve">he amounts of </w:t>
      </w:r>
      <w:r w:rsidR="00EA5639">
        <w:t>M</w:t>
      </w:r>
      <w:r w:rsidRPr="00F94FD5">
        <w:t xml:space="preserve">unicipal </w:t>
      </w:r>
      <w:r w:rsidR="00EA5639">
        <w:t>S</w:t>
      </w:r>
      <w:r w:rsidRPr="00F94FD5">
        <w:t xml:space="preserve">olid </w:t>
      </w:r>
      <w:r w:rsidR="00EA5639">
        <w:t>W</w:t>
      </w:r>
      <w:r w:rsidRPr="00F94FD5">
        <w:t>aste (MSW) produced and the greenhouse gas emissions (including CO</w:t>
      </w:r>
      <w:r w:rsidRPr="008C5AE9">
        <w:rPr>
          <w:vertAlign w:val="subscript"/>
        </w:rPr>
        <w:t>2</w:t>
      </w:r>
      <w:r w:rsidRPr="00F94FD5">
        <w:t>) from human activities</w:t>
      </w:r>
      <w:r>
        <w:t xml:space="preserve"> are</w:t>
      </w:r>
      <w:r w:rsidRPr="00F94FD5">
        <w:t xml:space="preserve"> increasing with the growing of the global population</w:t>
      </w:r>
      <w:r>
        <w:t xml:space="preserve"> and their environmental impact needs to be reduced</w:t>
      </w:r>
      <w:r w:rsidRPr="00F94FD5">
        <w:t>.</w:t>
      </w:r>
      <w:r w:rsidR="004A4EDD">
        <w:t xml:space="preserve"> </w:t>
      </w:r>
      <w:r>
        <w:t>P</w:t>
      </w:r>
      <w:r w:rsidRPr="00F94FD5">
        <w:t xml:space="preserve">rocessing </w:t>
      </w:r>
      <w:r>
        <w:t>MSW</w:t>
      </w:r>
      <w:r w:rsidRPr="00F94FD5">
        <w:t xml:space="preserve"> in Waste-to-Energy (</w:t>
      </w:r>
      <w:proofErr w:type="spellStart"/>
      <w:r w:rsidRPr="00F94FD5">
        <w:t>WtE</w:t>
      </w:r>
      <w:proofErr w:type="spellEnd"/>
      <w:r w:rsidRPr="00F94FD5">
        <w:t>) plants</w:t>
      </w:r>
      <w:r>
        <w:t xml:space="preserve"> presents the twofold advantage of managing the </w:t>
      </w:r>
      <w:r w:rsidRPr="00F94FD5">
        <w:t>MSW recovery</w:t>
      </w:r>
      <w:r>
        <w:t xml:space="preserve"> and of producing </w:t>
      </w:r>
      <w:r w:rsidRPr="00F94FD5">
        <w:t xml:space="preserve">energy, in the form of electricity and heat, </w:t>
      </w:r>
      <w:r>
        <w:t>avoiding the use of fossil fuels</w:t>
      </w:r>
      <w:r w:rsidRPr="00F94FD5">
        <w:t xml:space="preserve">. </w:t>
      </w:r>
      <w:r>
        <w:t>In addition, f</w:t>
      </w:r>
      <w:r w:rsidRPr="00F94FD5">
        <w:t xml:space="preserve">or </w:t>
      </w:r>
      <w:proofErr w:type="spellStart"/>
      <w:r w:rsidRPr="00F94FD5">
        <w:t>WtE</w:t>
      </w:r>
      <w:proofErr w:type="spellEnd"/>
      <w:r w:rsidRPr="00F94FD5">
        <w:t xml:space="preserve"> plants operating on MSW with a significant biogenic component, Carbon Capture, Utilization and Storage (CCUS) can provide a path to negative CO</w:t>
      </w:r>
      <w:r w:rsidRPr="00CC3EBA">
        <w:rPr>
          <w:vertAlign w:val="subscript"/>
        </w:rPr>
        <w:t>2</w:t>
      </w:r>
      <w:r w:rsidRPr="00F94FD5">
        <w:t xml:space="preserve"> emissions.</w:t>
      </w:r>
      <w:r w:rsidR="004A4EDD">
        <w:t xml:space="preserve"> </w:t>
      </w:r>
      <w:r w:rsidRPr="00F94FD5">
        <w:t xml:space="preserve">This research project results from a collaboration among </w:t>
      </w:r>
      <w:r w:rsidR="005C3C26">
        <w:t>A</w:t>
      </w:r>
      <w:r w:rsidRPr="00F94FD5">
        <w:t>2</w:t>
      </w:r>
      <w:r w:rsidR="005C3C26">
        <w:t>A</w:t>
      </w:r>
      <w:r w:rsidRPr="00F94FD5">
        <w:t xml:space="preserve"> </w:t>
      </w:r>
      <w:proofErr w:type="spellStart"/>
      <w:r w:rsidRPr="00F94FD5">
        <w:t>SpA</w:t>
      </w:r>
      <w:proofErr w:type="spellEnd"/>
      <w:r w:rsidRPr="00F94FD5">
        <w:t xml:space="preserve">, </w:t>
      </w:r>
      <w:proofErr w:type="spellStart"/>
      <w:r w:rsidRPr="00F94FD5">
        <w:t>Acinque</w:t>
      </w:r>
      <w:proofErr w:type="spellEnd"/>
      <w:r w:rsidRPr="00F94FD5">
        <w:t xml:space="preserve"> </w:t>
      </w:r>
      <w:proofErr w:type="spellStart"/>
      <w:r w:rsidRPr="00F94FD5">
        <w:t>Ambiente</w:t>
      </w:r>
      <w:proofErr w:type="spellEnd"/>
      <w:r w:rsidRPr="00F94FD5">
        <w:t xml:space="preserve"> </w:t>
      </w:r>
      <w:proofErr w:type="spellStart"/>
      <w:r w:rsidRPr="00F94FD5">
        <w:t>Srl</w:t>
      </w:r>
      <w:proofErr w:type="spellEnd"/>
      <w:r w:rsidRPr="00F94FD5">
        <w:t xml:space="preserve"> and the “Group on Advanced Separation Processes &amp; GAS Processing” (GASP) of </w:t>
      </w:r>
      <w:proofErr w:type="spellStart"/>
      <w:r w:rsidRPr="00F94FD5">
        <w:t>Politecnico</w:t>
      </w:r>
      <w:proofErr w:type="spellEnd"/>
      <w:r w:rsidRPr="00F94FD5">
        <w:t xml:space="preserve"> di Milano and aims at installing and operating the first CCUS plant in a </w:t>
      </w:r>
      <w:proofErr w:type="spellStart"/>
      <w:r w:rsidRPr="00F94FD5">
        <w:t>WtE</w:t>
      </w:r>
      <w:proofErr w:type="spellEnd"/>
      <w:r w:rsidRPr="00F94FD5">
        <w:t xml:space="preserve"> in Italy, as part of a larger </w:t>
      </w:r>
      <w:r w:rsidR="00385C95">
        <w:t>A</w:t>
      </w:r>
      <w:r w:rsidRPr="00F94FD5">
        <w:t>2</w:t>
      </w:r>
      <w:r w:rsidR="00385C95">
        <w:t>A</w:t>
      </w:r>
      <w:r w:rsidRPr="00F94FD5">
        <w:t xml:space="preserve"> </w:t>
      </w:r>
      <w:proofErr w:type="spellStart"/>
      <w:r w:rsidRPr="00F94FD5">
        <w:t>SpA</w:t>
      </w:r>
      <w:proofErr w:type="spellEnd"/>
      <w:r w:rsidRPr="00F94FD5">
        <w:t xml:space="preserve"> project for achieving </w:t>
      </w:r>
      <w:r w:rsidR="00EA5639">
        <w:t xml:space="preserve">the </w:t>
      </w:r>
      <w:r w:rsidR="00385C95">
        <w:t>A</w:t>
      </w:r>
      <w:r w:rsidRPr="00F94FD5">
        <w:t>2</w:t>
      </w:r>
      <w:r w:rsidR="00385C95">
        <w:t>A</w:t>
      </w:r>
      <w:r w:rsidRPr="00F94FD5">
        <w:t xml:space="preserve"> </w:t>
      </w:r>
      <w:proofErr w:type="spellStart"/>
      <w:r w:rsidRPr="00F94FD5">
        <w:t>SpA's</w:t>
      </w:r>
      <w:proofErr w:type="spellEnd"/>
      <w:r w:rsidRPr="00F94FD5">
        <w:t xml:space="preserve"> decarbonization targets.</w:t>
      </w:r>
    </w:p>
    <w:p w14:paraId="38F76186" w14:textId="7A63E78F" w:rsidR="006A6DE5" w:rsidRDefault="00FA674E" w:rsidP="00FA674E">
      <w:pPr>
        <w:pStyle w:val="CETBodytext"/>
      </w:pPr>
      <w:r>
        <w:t>The</w:t>
      </w:r>
      <w:r w:rsidRPr="00F94FD5">
        <w:t xml:space="preserve"> work focuses on the section for CO</w:t>
      </w:r>
      <w:r w:rsidRPr="00CC3EBA">
        <w:rPr>
          <w:vertAlign w:val="subscript"/>
        </w:rPr>
        <w:t>2</w:t>
      </w:r>
      <w:r w:rsidRPr="00F94FD5">
        <w:t xml:space="preserve"> removal</w:t>
      </w:r>
      <w:r>
        <w:t xml:space="preserve"> from the incinerator flue gas</w:t>
      </w:r>
      <w:r w:rsidRPr="00F94FD5">
        <w:t xml:space="preserve">, performed with chemical absorption by an amine-based solvent. The design has been carried out by optimizing the main process parameters and by estimating the energy requirements </w:t>
      </w:r>
      <w:r w:rsidRPr="0059510C">
        <w:t xml:space="preserve">considering the specificities of </w:t>
      </w:r>
      <w:r>
        <w:t>the flue gas to be treated, which contains</w:t>
      </w:r>
      <w:r w:rsidRPr="00F94FD5">
        <w:t xml:space="preserve"> about 7 mol % CO</w:t>
      </w:r>
      <w:r w:rsidRPr="00CD1DBA">
        <w:rPr>
          <w:vertAlign w:val="subscript"/>
        </w:rPr>
        <w:t>2</w:t>
      </w:r>
      <w:r w:rsidRPr="00F94FD5">
        <w:t xml:space="preserve">. Then, </w:t>
      </w:r>
      <w:r w:rsidRPr="00292C83">
        <w:t>the considerations for choosing the appropriate size</w:t>
      </w:r>
      <w:r>
        <w:t xml:space="preserve"> and design</w:t>
      </w:r>
      <w:r w:rsidRPr="00292C83">
        <w:t xml:space="preserve"> of the pilot plant</w:t>
      </w:r>
      <w:r w:rsidRPr="00F94FD5">
        <w:t xml:space="preserve"> planned to be installed in the next few years at the </w:t>
      </w:r>
      <w:proofErr w:type="spellStart"/>
      <w:r w:rsidRPr="00F94FD5">
        <w:t>WtE</w:t>
      </w:r>
      <w:proofErr w:type="spellEnd"/>
      <w:r w:rsidRPr="00F94FD5">
        <w:t xml:space="preserve"> plant in Como</w:t>
      </w:r>
      <w:r>
        <w:t xml:space="preserve"> (Italy)</w:t>
      </w:r>
      <w:r w:rsidRPr="00292C83">
        <w:t xml:space="preserve"> are reported and discussed</w:t>
      </w:r>
      <w:r>
        <w:t>.</w:t>
      </w:r>
    </w:p>
    <w:p w14:paraId="476B2F2E" w14:textId="52B36035" w:rsidR="00600535" w:rsidRPr="00B57B36" w:rsidRDefault="00600535" w:rsidP="00600535">
      <w:pPr>
        <w:pStyle w:val="CETHeading1"/>
        <w:rPr>
          <w:lang w:val="en-GB"/>
        </w:rPr>
      </w:pPr>
      <w:r w:rsidRPr="00B57B36">
        <w:rPr>
          <w:lang w:val="en-GB"/>
        </w:rPr>
        <w:t>Introduction</w:t>
      </w:r>
    </w:p>
    <w:p w14:paraId="2C332F5A" w14:textId="6D9E9C2A" w:rsidR="00755F63" w:rsidRDefault="00983300" w:rsidP="00755F63">
      <w:pPr>
        <w:pStyle w:val="CETBodytext"/>
      </w:pPr>
      <w:r>
        <w:t xml:space="preserve">Due to the high biogenic content in </w:t>
      </w:r>
      <w:r w:rsidR="002A4D09">
        <w:t>Municipal Solid Waste (</w:t>
      </w:r>
      <w:r>
        <w:t>MSW</w:t>
      </w:r>
      <w:r w:rsidR="002A4D09">
        <w:t>)</w:t>
      </w:r>
      <w:r>
        <w:t>, typically within a range from 50 % to 70 %</w:t>
      </w:r>
      <w:r w:rsidR="00755F63">
        <w:t xml:space="preserve"> </w:t>
      </w:r>
      <w:r w:rsidR="00755F63">
        <w:fldChar w:fldCharType="begin"/>
      </w:r>
      <w:r w:rsidR="00755F63">
        <w:instrText xml:space="preserve"> ADDIN EN.CITE &lt;EndNote&gt;&lt;Cite&gt;&lt;Author&gt;Su&lt;/Author&gt;&lt;Year&gt;2023&lt;/Year&gt;&lt;RecNum&gt;4089&lt;/RecNum&gt;&lt;DisplayText&gt;(Su et al., 2023)&lt;/DisplayText&gt;&lt;record&gt;&lt;rec-number&gt;4089&lt;/rec-number&gt;&lt;foreign-keys&gt;&lt;key app="EN" db-id="vdep529fssfr24ertz15wt2bvrvzfeta5w5v" timestamp="1729843905"&gt;4089&lt;/key&gt;&lt;/foreign-keys&gt;&lt;ref-type name="Journal Article"&gt;17&lt;/ref-type&gt;&lt;contributors&gt;&lt;authors&gt;&lt;author&gt;Su, Dan&lt;/author&gt;&lt;author&gt;Herraiz, Laura&lt;/author&gt;&lt;author&gt;Lucquiaud, Mathieu&lt;/author&gt;&lt;author&gt;Thomson, Camilla&lt;/author&gt;&lt;author&gt;Chalmers, Hannah&lt;/author&gt;&lt;/authors&gt;&lt;/contributors&gt;&lt;titles&gt;&lt;title&gt;&lt;style face="normal" font="default" size="100%"&gt;Thermal integration of waste to energy plants with Post-combustion CO&lt;/style&gt;&lt;style face="subscript" font="default" size="100%"&gt;2&lt;/style&gt;&lt;style face="normal" font="default" size="100%"&gt; capture&lt;/style&gt;&lt;/title&gt;&lt;secondary-title&gt;Fuel&lt;/secondary-title&gt;&lt;/titles&gt;&lt;periodical&gt;&lt;full-title&gt;Fuel&lt;/full-title&gt;&lt;abbr-1&gt;Fuel&lt;/abbr-1&gt;&lt;abbr-2&gt;Fuel&lt;/abbr-2&gt;&lt;/periodical&gt;&lt;pages&gt;126004&lt;/pages&gt;&lt;volume&gt;332&lt;/volume&gt;&lt;section&gt;126004&lt;/section&gt;&lt;keywords&gt;&lt;keyword&gt;Waste to Energy&lt;/keyword&gt;&lt;keyword&gt;Post-combustion CO capture&lt;/keyword&gt;&lt;keyword&gt;Zero-residual emission&lt;/keyword&gt;&lt;keyword&gt;CHP&lt;/keyword&gt;&lt;keyword&gt;Advanced thermal integration&lt;/keyword&gt;&lt;keyword&gt;Ultra-high CO capture&lt;/keyword&gt;&lt;/keywords&gt;&lt;dates&gt;&lt;year&gt;2023&lt;/year&gt;&lt;pub-dates&gt;&lt;date&gt;2023/01/15/&lt;/date&gt;&lt;/pub-dates&gt;&lt;/dates&gt;&lt;isbn&gt;0016-2361&lt;/isbn&gt;&lt;urls&gt;&lt;related-urls&gt;&lt;url&gt;https://www.sciencedirect.com/science/article/pii/S0016236122028289&lt;/url&gt;&lt;/related-urls&gt;&lt;/urls&gt;&lt;electronic-resource-num&gt;https://doi.org/10.1016/j.fuel.2022.126004&lt;/electronic-resource-num&gt;&lt;/record&gt;&lt;/Cite&gt;&lt;/EndNote&gt;</w:instrText>
      </w:r>
      <w:r w:rsidR="00755F63">
        <w:fldChar w:fldCharType="separate"/>
      </w:r>
      <w:r w:rsidR="00755F63">
        <w:rPr>
          <w:noProof/>
        </w:rPr>
        <w:t>(Su et al., 2023)</w:t>
      </w:r>
      <w:r w:rsidR="00755F63">
        <w:fldChar w:fldCharType="end"/>
      </w:r>
      <w:r>
        <w:t>, the adoption of Carbon Capture</w:t>
      </w:r>
      <w:r w:rsidR="007B2584">
        <w:t xml:space="preserve">, </w:t>
      </w:r>
      <w:r>
        <w:t xml:space="preserve">Storage </w:t>
      </w:r>
      <w:r w:rsidR="007B2584">
        <w:t xml:space="preserve">and Utilization </w:t>
      </w:r>
      <w:r>
        <w:t>(CC</w:t>
      </w:r>
      <w:r w:rsidR="007B2584">
        <w:t>U</w:t>
      </w:r>
      <w:r>
        <w:t>S)</w:t>
      </w:r>
      <w:r w:rsidR="00755F63">
        <w:t xml:space="preserve"> </w:t>
      </w:r>
      <w:r>
        <w:t xml:space="preserve">in the </w:t>
      </w:r>
      <w:r w:rsidR="00755F63">
        <w:t>Waste to Energy (</w:t>
      </w:r>
      <w:proofErr w:type="spellStart"/>
      <w:r>
        <w:t>WtE</w:t>
      </w:r>
      <w:proofErr w:type="spellEnd"/>
      <w:r w:rsidR="00755F63">
        <w:t>)</w:t>
      </w:r>
      <w:r>
        <w:t xml:space="preserve"> sector can play a promising role in the sustainable development of urban waste management strategies and in delivering ‘negative carbon emissions’ for climate change mitigation. </w:t>
      </w:r>
      <w:r w:rsidR="00755F63">
        <w:t xml:space="preserve">The negative carbon emissions are related to </w:t>
      </w:r>
      <w:r w:rsidR="001E6078">
        <w:t xml:space="preserve">the </w:t>
      </w:r>
      <w:r w:rsidR="00755F63">
        <w:t xml:space="preserve">significant bioenergy </w:t>
      </w:r>
      <w:r w:rsidR="00755F63" w:rsidRPr="00674DF5">
        <w:t>resource</w:t>
      </w:r>
      <w:r w:rsidR="001E6078" w:rsidRPr="00674DF5">
        <w:t xml:space="preserve"> represented by</w:t>
      </w:r>
      <w:r w:rsidR="00755F63" w:rsidRPr="00674DF5">
        <w:t xml:space="preserve"> </w:t>
      </w:r>
      <w:r w:rsidR="001C4148" w:rsidRPr="00674DF5">
        <w:t>the</w:t>
      </w:r>
      <w:r w:rsidR="00755F63" w:rsidRPr="00674DF5">
        <w:t xml:space="preserve"> organic</w:t>
      </w:r>
      <w:r w:rsidR="00755F63">
        <w:t xml:space="preserve"> waste.</w:t>
      </w:r>
    </w:p>
    <w:p w14:paraId="51779239" w14:textId="49DA01A0" w:rsidR="00941885" w:rsidRDefault="00983300" w:rsidP="002A4D09">
      <w:pPr>
        <w:pStyle w:val="CETBodytext"/>
      </w:pPr>
      <w:r>
        <w:t xml:space="preserve">Solvent-based </w:t>
      </w:r>
      <w:r w:rsidR="001C4148">
        <w:t>CO</w:t>
      </w:r>
      <w:r w:rsidR="001C4148">
        <w:rPr>
          <w:vertAlign w:val="subscript"/>
        </w:rPr>
        <w:t>2</w:t>
      </w:r>
      <w:r w:rsidR="001C4148">
        <w:t xml:space="preserve"> absorption</w:t>
      </w:r>
      <w:r>
        <w:t xml:space="preserve"> is one of </w:t>
      </w:r>
      <w:r w:rsidR="002A4D09">
        <w:t xml:space="preserve">the </w:t>
      </w:r>
      <w:r>
        <w:t xml:space="preserve">several </w:t>
      </w:r>
      <w:r w:rsidR="002A4D09">
        <w:t>technologies</w:t>
      </w:r>
      <w:r>
        <w:t xml:space="preserve"> for removing CO</w:t>
      </w:r>
      <w:r w:rsidRPr="001C4148">
        <w:rPr>
          <w:vertAlign w:val="subscript"/>
        </w:rPr>
        <w:t>2</w:t>
      </w:r>
      <w:r>
        <w:t xml:space="preserve"> from</w:t>
      </w:r>
      <w:r w:rsidR="001C4148">
        <w:t xml:space="preserve"> the</w:t>
      </w:r>
      <w:r>
        <w:t xml:space="preserve"> exhaust flue gases in power plants. It has been proposed for </w:t>
      </w:r>
      <w:proofErr w:type="spellStart"/>
      <w:r>
        <w:t>WtE</w:t>
      </w:r>
      <w:proofErr w:type="spellEnd"/>
      <w:r>
        <w:t xml:space="preserve"> plants since it is the most proven technology for CO</w:t>
      </w:r>
      <w:r w:rsidRPr="001C4148">
        <w:rPr>
          <w:vertAlign w:val="subscript"/>
        </w:rPr>
        <w:t>2</w:t>
      </w:r>
      <w:r>
        <w:t xml:space="preserve"> capture and no significant modifications to the original plant are required </w:t>
      </w:r>
      <w:r w:rsidR="001C4148">
        <w:fldChar w:fldCharType="begin"/>
      </w:r>
      <w:r w:rsidR="001C4148">
        <w:instrText xml:space="preserve"> ADDIN EN.CITE &lt;EndNote&gt;&lt;Cite&gt;&lt;Author&gt;Zanco&lt;/Author&gt;&lt;Year&gt;2021&lt;/Year&gt;&lt;RecNum&gt;4122&lt;/RecNum&gt;&lt;DisplayText&gt;(Zanco et al., 2021)&lt;/DisplayText&gt;&lt;record&gt;&lt;rec-number&gt;4122&lt;/rec-number&gt;&lt;foreign-keys&gt;&lt;key app="EN" db-id="vdep529fssfr24ertz15wt2bvrvzfeta5w5v" timestamp="1733732951"&gt;4122&lt;/key&gt;&lt;/foreign-keys&gt;&lt;ref-type name="Journal Article"&gt;17&lt;/ref-type&gt;&lt;contributors&gt;&lt;authors&gt;&lt;author&gt;Zanco, Stefano E.&lt;/author&gt;&lt;author&gt;Pérez-Calvo, José-Francisco&lt;/author&gt;&lt;author&gt;Gasós, Antonio&lt;/author&gt;&lt;author&gt;Cordiano, Beatrice&lt;/author&gt;&lt;author&gt;Becattini, Viola&lt;/author&gt;&lt;author&gt;Mazzotti, Marco&lt;/author&gt;&lt;/authors&gt;&lt;/contributors&gt;&lt;titles&gt;&lt;title&gt;&lt;style face="normal" font="default" size="100%"&gt;Postcombustion CO&lt;/style&gt;&lt;style face="subscript" font="default" size="100%"&gt;2&lt;/style&gt;&lt;style face="normal" font="default" size="100%"&gt; Capture: A Comparative Techno-Economic Assessment of Three Technologies Using a Solvent, an Adsorbent, and a Membrane&lt;/style&gt;&lt;/title&gt;&lt;secondary-title&gt;ACS Engineering Au&lt;/secondary-title&gt;&lt;/titles&gt;&lt;periodical&gt;&lt;full-title&gt;ACS Engineering Au&lt;/full-title&gt;&lt;/periodical&gt;&lt;pages&gt;50-72&lt;/pages&gt;&lt;volume&gt;1&lt;/volume&gt;&lt;number&gt;1&lt;/number&gt;&lt;section&gt;50&lt;/section&gt;&lt;dates&gt;&lt;year&gt;2021&lt;/year&gt;&lt;pub-dates&gt;&lt;date&gt;2021/10/20&lt;/date&gt;&lt;/pub-dates&gt;&lt;/dates&gt;&lt;publisher&gt;American Chemical Society&lt;/publisher&gt;&lt;urls&gt;&lt;related-urls&gt;&lt;url&gt;https://doi.org/10.1021/acsengineeringau.1c00002&lt;/url&gt;&lt;/related-urls&gt;&lt;/urls&gt;&lt;electronic-resource-num&gt;10.1021/acsengineeringau.1c00002&lt;/electronic-resource-num&gt;&lt;/record&gt;&lt;/Cite&gt;&lt;/EndNote&gt;</w:instrText>
      </w:r>
      <w:r w:rsidR="001C4148">
        <w:fldChar w:fldCharType="separate"/>
      </w:r>
      <w:r w:rsidR="001C4148">
        <w:rPr>
          <w:noProof/>
        </w:rPr>
        <w:t>(Zanco et al., 2021)</w:t>
      </w:r>
      <w:r w:rsidR="001C4148">
        <w:fldChar w:fldCharType="end"/>
      </w:r>
      <w:r w:rsidR="001C4148">
        <w:t>. The i</w:t>
      </w:r>
      <w:r>
        <w:t xml:space="preserve">ntegration in </w:t>
      </w:r>
      <w:r w:rsidR="001C4148">
        <w:t xml:space="preserve">the </w:t>
      </w:r>
      <w:proofErr w:type="spellStart"/>
      <w:r>
        <w:t>WtE</w:t>
      </w:r>
      <w:proofErr w:type="spellEnd"/>
      <w:r>
        <w:t xml:space="preserve"> facili</w:t>
      </w:r>
      <w:r w:rsidR="001C4148">
        <w:t>ty</w:t>
      </w:r>
      <w:r w:rsidR="002A4D09">
        <w:t xml:space="preserve">, as for coal-fired and </w:t>
      </w:r>
      <w:r w:rsidR="00EA5639">
        <w:t>N</w:t>
      </w:r>
      <w:r w:rsidR="002A4D09">
        <w:t xml:space="preserve">atural </w:t>
      </w:r>
      <w:r w:rsidR="00EA5639">
        <w:t xml:space="preserve">Gas Combined Cycle </w:t>
      </w:r>
      <w:r w:rsidR="000603BA">
        <w:t xml:space="preserve">(NGCC) </w:t>
      </w:r>
      <w:r w:rsidR="002A4D09">
        <w:t>power plants, requires that part of</w:t>
      </w:r>
      <w:r>
        <w:t xml:space="preserve"> steam </w:t>
      </w:r>
      <w:r w:rsidR="002A4D09">
        <w:t xml:space="preserve">is extracted </w:t>
      </w:r>
      <w:r>
        <w:t xml:space="preserve">from the power cycle for solvent regeneration, which causes an energy penalty to the </w:t>
      </w:r>
      <w:proofErr w:type="spellStart"/>
      <w:r>
        <w:t>WtE</w:t>
      </w:r>
      <w:proofErr w:type="spellEnd"/>
      <w:r>
        <w:t xml:space="preserve"> plant</w:t>
      </w:r>
      <w:r w:rsidR="007B2584">
        <w:t>.</w:t>
      </w:r>
    </w:p>
    <w:p w14:paraId="5212FA76" w14:textId="039F71A5" w:rsidR="007B2584" w:rsidRPr="00F94FD5" w:rsidRDefault="007B2584" w:rsidP="007B2584">
      <w:pPr>
        <w:pStyle w:val="CETBodytext"/>
      </w:pPr>
      <w:r w:rsidRPr="00F94FD5">
        <w:t xml:space="preserve">This </w:t>
      </w:r>
      <w:r>
        <w:t>work focuses on part of a research project within</w:t>
      </w:r>
      <w:r w:rsidRPr="00F94FD5">
        <w:t xml:space="preserve"> a collaboration among </w:t>
      </w:r>
      <w:r>
        <w:t>A</w:t>
      </w:r>
      <w:r w:rsidRPr="00F94FD5">
        <w:t>2</w:t>
      </w:r>
      <w:r>
        <w:t>A</w:t>
      </w:r>
      <w:r w:rsidRPr="00F94FD5">
        <w:t xml:space="preserve"> </w:t>
      </w:r>
      <w:proofErr w:type="spellStart"/>
      <w:r w:rsidRPr="00F94FD5">
        <w:t>SpA</w:t>
      </w:r>
      <w:proofErr w:type="spellEnd"/>
      <w:r w:rsidRPr="00F94FD5">
        <w:t xml:space="preserve">, </w:t>
      </w:r>
      <w:proofErr w:type="spellStart"/>
      <w:r w:rsidRPr="00F94FD5">
        <w:t>Acinque</w:t>
      </w:r>
      <w:proofErr w:type="spellEnd"/>
      <w:r w:rsidRPr="00F94FD5">
        <w:t xml:space="preserve"> </w:t>
      </w:r>
      <w:proofErr w:type="spellStart"/>
      <w:r w:rsidRPr="00F94FD5">
        <w:t>Ambiente</w:t>
      </w:r>
      <w:proofErr w:type="spellEnd"/>
      <w:r w:rsidRPr="00F94FD5">
        <w:t xml:space="preserve"> </w:t>
      </w:r>
      <w:proofErr w:type="spellStart"/>
      <w:r w:rsidRPr="00F94FD5">
        <w:t>Srl</w:t>
      </w:r>
      <w:proofErr w:type="spellEnd"/>
      <w:r w:rsidRPr="00F94FD5">
        <w:t xml:space="preserve"> and the “Group on Advanced Separation Processes &amp; GAS Processing” (GASP) of </w:t>
      </w:r>
      <w:proofErr w:type="spellStart"/>
      <w:r w:rsidRPr="00F94FD5">
        <w:t>Politecnico</w:t>
      </w:r>
      <w:proofErr w:type="spellEnd"/>
      <w:r w:rsidRPr="00F94FD5">
        <w:t xml:space="preserve"> di Milano and aims at installing and operating the first CCUS plant in a </w:t>
      </w:r>
      <w:proofErr w:type="spellStart"/>
      <w:r w:rsidRPr="00F94FD5">
        <w:t>WtE</w:t>
      </w:r>
      <w:proofErr w:type="spellEnd"/>
      <w:r w:rsidRPr="00F94FD5">
        <w:t xml:space="preserve"> in Italy, as part of a larger </w:t>
      </w:r>
      <w:r w:rsidR="00385C95">
        <w:t>A</w:t>
      </w:r>
      <w:r w:rsidRPr="00F94FD5">
        <w:t>2</w:t>
      </w:r>
      <w:r w:rsidR="00385C95">
        <w:t>A</w:t>
      </w:r>
      <w:r w:rsidRPr="00F94FD5">
        <w:t xml:space="preserve"> </w:t>
      </w:r>
      <w:proofErr w:type="spellStart"/>
      <w:r w:rsidRPr="00F94FD5">
        <w:t>SpA</w:t>
      </w:r>
      <w:proofErr w:type="spellEnd"/>
      <w:r w:rsidRPr="00F94FD5">
        <w:t xml:space="preserve"> project for achieving </w:t>
      </w:r>
      <w:r w:rsidR="000603BA">
        <w:t xml:space="preserve">the </w:t>
      </w:r>
      <w:r w:rsidR="00385C95">
        <w:t>A</w:t>
      </w:r>
      <w:r w:rsidRPr="00F94FD5">
        <w:t>2</w:t>
      </w:r>
      <w:r w:rsidR="00385C95">
        <w:t>A</w:t>
      </w:r>
      <w:r w:rsidRPr="00F94FD5">
        <w:t xml:space="preserve"> </w:t>
      </w:r>
      <w:proofErr w:type="spellStart"/>
      <w:r w:rsidRPr="00F94FD5">
        <w:t>SpA's</w:t>
      </w:r>
      <w:proofErr w:type="spellEnd"/>
      <w:r w:rsidRPr="00F94FD5">
        <w:t xml:space="preserve"> decarbonization targets.</w:t>
      </w:r>
    </w:p>
    <w:p w14:paraId="0CE4B6AB" w14:textId="3A6B21AF" w:rsidR="00AB5840" w:rsidRPr="00A5221A" w:rsidRDefault="003C48D0" w:rsidP="00600535">
      <w:pPr>
        <w:pStyle w:val="CETBodytext"/>
        <w:rPr>
          <w:lang w:val="en-GB"/>
        </w:rPr>
      </w:pPr>
      <w:r>
        <w:t>The</w:t>
      </w:r>
      <w:r w:rsidRPr="00F94FD5">
        <w:t xml:space="preserve"> work </w:t>
      </w:r>
      <w:r>
        <w:t>aims at analyzing</w:t>
      </w:r>
      <w:r w:rsidRPr="00F94FD5">
        <w:t xml:space="preserve"> the section for CO</w:t>
      </w:r>
      <w:r w:rsidRPr="00CC3EBA">
        <w:rPr>
          <w:vertAlign w:val="subscript"/>
        </w:rPr>
        <w:t>2</w:t>
      </w:r>
      <w:r w:rsidRPr="00F94FD5">
        <w:t xml:space="preserve"> removal</w:t>
      </w:r>
      <w:r>
        <w:t xml:space="preserve"> from the incinerator flue gas</w:t>
      </w:r>
      <w:r w:rsidRPr="00F94FD5">
        <w:t>, performed with chemical absorption by an amine-based solvent.</w:t>
      </w:r>
      <w:r>
        <w:t xml:space="preserve"> After t</w:t>
      </w:r>
      <w:r w:rsidRPr="00F94FD5">
        <w:t>he design</w:t>
      </w:r>
      <w:r>
        <w:t xml:space="preserve">, performed </w:t>
      </w:r>
      <w:r w:rsidRPr="00F94FD5">
        <w:t xml:space="preserve">by optimizing the main process parameters </w:t>
      </w:r>
      <w:r w:rsidRPr="00F94FD5">
        <w:lastRenderedPageBreak/>
        <w:t xml:space="preserve">and by estimating the energy requirements </w:t>
      </w:r>
      <w:r w:rsidRPr="0059510C">
        <w:t xml:space="preserve">considering the specificities of </w:t>
      </w:r>
      <w:r>
        <w:t>the flue gas to be treated</w:t>
      </w:r>
      <w:r w:rsidRPr="00F94FD5">
        <w:t xml:space="preserve">, </w:t>
      </w:r>
      <w:r w:rsidRPr="00292C83">
        <w:t>the considerations for choosing the appropriate size</w:t>
      </w:r>
      <w:r>
        <w:t xml:space="preserve"> </w:t>
      </w:r>
      <w:r w:rsidRPr="00292C83">
        <w:t>of the pilot plant</w:t>
      </w:r>
      <w:r w:rsidRPr="00F94FD5">
        <w:t xml:space="preserve"> planned to be installed in the next few years at the </w:t>
      </w:r>
      <w:proofErr w:type="spellStart"/>
      <w:r w:rsidRPr="00F94FD5">
        <w:t>WtE</w:t>
      </w:r>
      <w:proofErr w:type="spellEnd"/>
      <w:r w:rsidRPr="00F94FD5">
        <w:t xml:space="preserve"> plant in Como</w:t>
      </w:r>
      <w:r>
        <w:t xml:space="preserve"> (Italy)</w:t>
      </w:r>
      <w:r w:rsidRPr="00292C83">
        <w:t xml:space="preserve"> </w:t>
      </w:r>
      <w:r>
        <w:t xml:space="preserve">have been carried out. In detail, </w:t>
      </w:r>
      <w:r w:rsidR="00AB5840">
        <w:rPr>
          <w:lang w:val="en-GB"/>
        </w:rPr>
        <w:t xml:space="preserve">two </w:t>
      </w:r>
      <w:r w:rsidR="00A5221A">
        <w:rPr>
          <w:lang w:val="en-GB"/>
        </w:rPr>
        <w:t>different sizes for the pilot plant</w:t>
      </w:r>
      <w:r>
        <w:rPr>
          <w:lang w:val="en-GB"/>
        </w:rPr>
        <w:t xml:space="preserve"> have been considered</w:t>
      </w:r>
      <w:r w:rsidR="00A5221A">
        <w:rPr>
          <w:lang w:val="en-GB"/>
        </w:rPr>
        <w:t xml:space="preserve">, one </w:t>
      </w:r>
      <w:r>
        <w:rPr>
          <w:lang w:val="en-GB"/>
        </w:rPr>
        <w:t xml:space="preserve">size </w:t>
      </w:r>
      <w:r w:rsidR="00A5221A">
        <w:rPr>
          <w:lang w:val="en-GB"/>
        </w:rPr>
        <w:t>aimed at removing 2500 t of CO</w:t>
      </w:r>
      <w:r w:rsidR="00A5221A">
        <w:rPr>
          <w:vertAlign w:val="subscript"/>
          <w:lang w:val="en-GB"/>
        </w:rPr>
        <w:t>2</w:t>
      </w:r>
      <w:r w:rsidR="00A5221A">
        <w:rPr>
          <w:lang w:val="en-GB"/>
        </w:rPr>
        <w:t xml:space="preserve">/y </w:t>
      </w:r>
      <w:r w:rsidR="00C32FB0">
        <w:rPr>
          <w:lang w:val="en-GB"/>
        </w:rPr>
        <w:t xml:space="preserve">(case A) </w:t>
      </w:r>
      <w:r w:rsidR="00A5221A">
        <w:rPr>
          <w:lang w:val="en-GB"/>
        </w:rPr>
        <w:t>and the other one being characterized by a diameter &lt; 0.5 m</w:t>
      </w:r>
      <w:r w:rsidR="00C32FB0">
        <w:rPr>
          <w:lang w:val="en-GB"/>
        </w:rPr>
        <w:t xml:space="preserve"> (case B)</w:t>
      </w:r>
      <w:r w:rsidR="00A5221A">
        <w:rPr>
          <w:lang w:val="en-GB"/>
        </w:rPr>
        <w:t>, as for other plants in the literature.</w:t>
      </w:r>
    </w:p>
    <w:p w14:paraId="29AD1A8E" w14:textId="3AF812D0" w:rsidR="00AB5840" w:rsidRDefault="00C32FB0" w:rsidP="00AB5840">
      <w:pPr>
        <w:pStyle w:val="CETHeading1"/>
        <w:rPr>
          <w:lang w:val="en-GB"/>
        </w:rPr>
      </w:pPr>
      <w:bookmarkStart w:id="1" w:name="_Ref184645071"/>
      <w:r>
        <w:rPr>
          <w:lang w:val="en-GB"/>
        </w:rPr>
        <w:t>Review on p</w:t>
      </w:r>
      <w:r w:rsidR="00AB5840">
        <w:rPr>
          <w:lang w:val="en-GB"/>
        </w:rPr>
        <w:t>lants for CO</w:t>
      </w:r>
      <w:r w:rsidR="00AB5840" w:rsidRPr="00173E58">
        <w:rPr>
          <w:vertAlign w:val="subscript"/>
          <w:lang w:val="en-GB"/>
        </w:rPr>
        <w:t>2</w:t>
      </w:r>
      <w:r w:rsidR="00AB5840">
        <w:rPr>
          <w:lang w:val="en-GB"/>
        </w:rPr>
        <w:t xml:space="preserve"> removal</w:t>
      </w:r>
      <w:bookmarkEnd w:id="1"/>
    </w:p>
    <w:p w14:paraId="6E573E60" w14:textId="4AF6B019" w:rsidR="00AB5840" w:rsidRDefault="004266AA" w:rsidP="00AB5840">
      <w:r w:rsidRPr="00674DF5">
        <w:t>According to</w:t>
      </w:r>
      <w:r>
        <w:t xml:space="preserve"> </w:t>
      </w:r>
      <w:r w:rsidR="00AB5840" w:rsidRPr="00173E58">
        <w:t xml:space="preserve">what is reported in the literature, </w:t>
      </w:r>
      <w:r w:rsidR="00AB5840" w:rsidRPr="00674DF5">
        <w:t xml:space="preserve">there </w:t>
      </w:r>
      <w:r w:rsidRPr="00674DF5">
        <w:t xml:space="preserve">is </w:t>
      </w:r>
      <w:r w:rsidR="00AB5840" w:rsidRPr="00674DF5">
        <w:t>a limited</w:t>
      </w:r>
      <w:r w:rsidR="00AB5840" w:rsidRPr="00173E58">
        <w:t xml:space="preserve"> number of Waste-to-Energy plants with Carbon Capture, Utilization and Storage (</w:t>
      </w:r>
      <w:proofErr w:type="spellStart"/>
      <w:r w:rsidR="00AB5840" w:rsidRPr="00173E58">
        <w:t>WtE+CCUS</w:t>
      </w:r>
      <w:proofErr w:type="spellEnd"/>
      <w:r w:rsidR="00AB5840" w:rsidRPr="00173E58">
        <w:t xml:space="preserve">) in the world. The </w:t>
      </w:r>
      <w:proofErr w:type="spellStart"/>
      <w:r w:rsidR="00AB5840" w:rsidRPr="00173E58">
        <w:t>WtE+CCUS</w:t>
      </w:r>
      <w:proofErr w:type="spellEnd"/>
      <w:r w:rsidR="00AB5840" w:rsidRPr="00173E58">
        <w:t xml:space="preserve"> plants </w:t>
      </w:r>
      <w:r w:rsidR="00AB5840">
        <w:t>for</w:t>
      </w:r>
      <w:r w:rsidR="00AB5840" w:rsidRPr="00173E58">
        <w:t xml:space="preserve"> which information </w:t>
      </w:r>
      <w:r w:rsidR="00AB5840">
        <w:t>is available</w:t>
      </w:r>
      <w:r w:rsidR="00AB5840" w:rsidRPr="00173E58">
        <w:t xml:space="preserve"> are located in Saga City (Japan), </w:t>
      </w:r>
      <w:proofErr w:type="spellStart"/>
      <w:r w:rsidR="00AB5840" w:rsidRPr="00173E58">
        <w:t>Twence</w:t>
      </w:r>
      <w:proofErr w:type="spellEnd"/>
      <w:r w:rsidR="00AB5840" w:rsidRPr="00173E58">
        <w:t xml:space="preserve"> (Netherlands), </w:t>
      </w:r>
      <w:proofErr w:type="spellStart"/>
      <w:r w:rsidR="00AB5840" w:rsidRPr="00173E58">
        <w:t>Klemetsrud</w:t>
      </w:r>
      <w:proofErr w:type="spellEnd"/>
      <w:r w:rsidR="00AB5840" w:rsidRPr="00173E58">
        <w:t xml:space="preserve"> (Norway), </w:t>
      </w:r>
      <w:proofErr w:type="spellStart"/>
      <w:r w:rsidR="00AB5840" w:rsidRPr="00173E58">
        <w:t>Duiven</w:t>
      </w:r>
      <w:proofErr w:type="spellEnd"/>
      <w:r w:rsidR="00AB5840" w:rsidRPr="00173E58">
        <w:t xml:space="preserve"> (Netherlands) and Copenhagen (Denmark). The limited information relating to CCUS systems in </w:t>
      </w:r>
      <w:proofErr w:type="spellStart"/>
      <w:r w:rsidR="000603BA">
        <w:t>WtE</w:t>
      </w:r>
      <w:proofErr w:type="spellEnd"/>
      <w:r w:rsidR="00AB5840" w:rsidRPr="00173E58">
        <w:t xml:space="preserve"> plants </w:t>
      </w:r>
      <w:r w:rsidR="00AB5840">
        <w:t>has been</w:t>
      </w:r>
      <w:r w:rsidR="00AB5840" w:rsidRPr="00173E58">
        <w:t xml:space="preserve"> </w:t>
      </w:r>
      <w:proofErr w:type="spellStart"/>
      <w:r w:rsidR="00AB5840" w:rsidRPr="00173E58">
        <w:t>analyzed</w:t>
      </w:r>
      <w:proofErr w:type="spellEnd"/>
      <w:r w:rsidR="00AB5840" w:rsidRPr="00173E58">
        <w:t xml:space="preserve"> to better understand the size of the systems considered. The only two facilities for which </w:t>
      </w:r>
      <w:r w:rsidR="000A3362">
        <w:t xml:space="preserve">the </w:t>
      </w:r>
      <w:r w:rsidR="00AB5840" w:rsidRPr="00173E58">
        <w:t xml:space="preserve">size information is available are </w:t>
      </w:r>
      <w:r w:rsidR="000A3362">
        <w:t>the ones of</w:t>
      </w:r>
      <w:r w:rsidR="00AB5840" w:rsidRPr="00173E58">
        <w:t xml:space="preserve"> </w:t>
      </w:r>
      <w:proofErr w:type="spellStart"/>
      <w:r w:rsidR="00AB5840" w:rsidRPr="00173E58">
        <w:t>Twence</w:t>
      </w:r>
      <w:proofErr w:type="spellEnd"/>
      <w:r w:rsidR="00AB5840" w:rsidRPr="00173E58">
        <w:t xml:space="preserve"> </w:t>
      </w:r>
      <w:r w:rsidR="00AB5840">
        <w:fldChar w:fldCharType="begin"/>
      </w:r>
      <w:r w:rsidR="00AB5840">
        <w:instrText xml:space="preserve"> ADDIN EN.CITE &lt;EndNote&gt;&lt;Cite&gt;&lt;Author&gt;Skylogianni&lt;/Author&gt;&lt;Year&gt;2022&lt;/Year&gt;&lt;RecNum&gt;3967&lt;/RecNum&gt;&lt;DisplayText&gt;(Skylogianni et al., 2022)&lt;/DisplayText&gt;&lt;record&gt;&lt;rec-number&gt;3967&lt;/rec-number&gt;&lt;foreign-keys&gt;&lt;key app="EN" db-id="vdep529fssfr24ertz15wt2bvrvzfeta5w5v" timestamp="1702851739"&gt;3967&lt;/key&gt;&lt;/foreign-keys&gt;&lt;ref-type name="Conference Proceedings"&gt;10&lt;/ref-type&gt;&lt;contributors&gt;&lt;authors&gt;&lt;author&gt;Skylogianni, Eirini&lt;/author&gt;&lt;author&gt;Veronezi Figueiredo, Roberta&lt;/author&gt;&lt;author&gt;van Os, Peter&lt;/author&gt;&lt;author&gt;Frost, James&lt;/author&gt;&lt;author&gt;Hall, James&lt;/author&gt;&lt;author&gt;Yelland, Thomas S.&lt;/author&gt;&lt;author&gt;Kiewik, Joost&lt;/author&gt;&lt;author&gt;Vos, Mathijs&lt;/author&gt;&lt;author&gt;Garcia Moretz-Sohn Monteiro, Juliana&lt;/author&gt;&lt;/authors&gt;&lt;/contributors&gt;&lt;titles&gt;&lt;title&gt;Demonstration of Solvent Performance at an Industrial WtE Facility&lt;/title&gt;&lt;secondary-title&gt;16th Greenhouse Gas Control Technologies Conference (GHGT-16)&lt;/secondary-title&gt;&lt;/titles&gt;&lt;dates&gt;&lt;year&gt;2022&lt;/year&gt;&lt;pub-dates&gt;&lt;date&gt;&lt;style face="normal" font="default" size="100%"&gt;October 23&lt;/style&gt;&lt;style face="superscript" font="default" size="100%"&gt;th&lt;/style&gt;&lt;style face="normal" font="default" size="100%"&gt;-24&lt;/style&gt;&lt;style face="superscript" font="default" size="100%"&gt;th&lt;/style&gt;&lt;style face="normal" font="default" size="100%"&gt;, 2022&lt;/style&gt;&lt;/date&gt;&lt;/pub-dates&gt;&lt;/dates&gt;&lt;pub-location&gt;Lyon, France&lt;/pub-location&gt;&lt;urls&gt;&lt;/urls&gt;&lt;electronic-resource-num&gt;http://dx.doi.org/10.2139/ssrn.4286070&lt;/electronic-resource-num&gt;&lt;/record&gt;&lt;/Cite&gt;&lt;/EndNote&gt;</w:instrText>
      </w:r>
      <w:r w:rsidR="00AB5840">
        <w:fldChar w:fldCharType="separate"/>
      </w:r>
      <w:r w:rsidR="00AB5840">
        <w:rPr>
          <w:noProof/>
        </w:rPr>
        <w:t>(Skylogianni et al., 2022)</w:t>
      </w:r>
      <w:r w:rsidR="00AB5840">
        <w:fldChar w:fldCharType="end"/>
      </w:r>
      <w:r w:rsidR="00AB5840">
        <w:t xml:space="preserve"> </w:t>
      </w:r>
      <w:r w:rsidR="00AB5840" w:rsidRPr="00173E58">
        <w:t xml:space="preserve">and </w:t>
      </w:r>
      <w:r w:rsidR="000A3362">
        <w:t xml:space="preserve">of </w:t>
      </w:r>
      <w:proofErr w:type="spellStart"/>
      <w:r w:rsidR="00AB5840" w:rsidRPr="00173E58">
        <w:t>Klemetsrud</w:t>
      </w:r>
      <w:proofErr w:type="spellEnd"/>
      <w:r w:rsidR="00AB5840">
        <w:t xml:space="preserve"> </w:t>
      </w:r>
      <w:r w:rsidR="00AB5840">
        <w:fldChar w:fldCharType="begin"/>
      </w:r>
      <w:r w:rsidR="00AB5840">
        <w:instrText xml:space="preserve"> ADDIN EN.CITE &lt;EndNote&gt;&lt;Cite&gt;&lt;Author&gt;Fagerlund&lt;/Author&gt;&lt;Year&gt;2021&lt;/Year&gt;&lt;RecNum&gt;3718&lt;/RecNum&gt;&lt;DisplayText&gt;(Fagerlund et al., 2021)&lt;/DisplayText&gt;&lt;record&gt;&lt;rec-number&gt;3718&lt;/rec-number&gt;&lt;foreign-keys&gt;&lt;key app="EN" db-id="vdep529fssfr24ertz15wt2bvrvzfeta5w5v" timestamp="1676584074"&gt;3718&lt;/key&gt;&lt;/foreign-keys&gt;&lt;ref-type name="Journal Article"&gt;17&lt;/ref-type&gt;&lt;contributors&gt;&lt;authors&gt;&lt;author&gt;Fagerlund, Johan&lt;/author&gt;&lt;author&gt;Zevenhoven, Ron&lt;/author&gt;&lt;author&gt;Thomassen, Jørgen&lt;/author&gt;&lt;author&gt;Tednes, Marius&lt;/author&gt;&lt;author&gt;Abdollahi, Farhang&lt;/author&gt;&lt;author&gt;Thomas, Laurent&lt;/author&gt;&lt;author&gt;Nielsen, Claus Jørgen&lt;/author&gt;&lt;author&gt;Mikoviny, Tomas&lt;/author&gt;&lt;author&gt;Wisthaler, Armin&lt;/author&gt;&lt;author&gt;Zhu, Liang&lt;/author&gt;&lt;author&gt;Biliyok, Chet&lt;/author&gt;&lt;author&gt;Zhurkin, Andrey&lt;/author&gt;&lt;/authors&gt;&lt;/contributors&gt;&lt;titles&gt;&lt;title&gt;&lt;style face="normal" font="default" size="100%"&gt;Performance of an amine-based CO&lt;/style&gt;&lt;style face="subscript" font="default" size="100%"&gt;2&lt;/style&gt;&lt;style face="normal" font="default" size="100%"&gt; capture pilot plant at the Fortum Oslo Varme Waste to Energy plant in Oslo, Norway&lt;/style&gt;&lt;/title&gt;&lt;secondary-title&gt;International Journal of Greenhouse Gas Control&lt;/secondary-title&gt;&lt;/titles&gt;&lt;periodical&gt;&lt;full-title&gt;International Journal of Greenhouse Gas Control&lt;/full-title&gt;&lt;abbr-1&gt;Int J Greenh Gas Control&lt;/abbr-1&gt;&lt;abbr-2&gt;Int. J. Greenh. Gas Control&lt;/abbr-2&gt;&lt;/periodical&gt;&lt;pages&gt;103242&lt;/pages&gt;&lt;volume&gt;106&lt;/volume&gt;&lt;section&gt;103242&lt;/section&gt;&lt;keywords&gt;&lt;keyword&gt;CO capture&lt;/keyword&gt;&lt;keyword&gt;Post combustion&lt;/keyword&gt;&lt;keyword&gt;Emissions&lt;/keyword&gt;&lt;keyword&gt;Solvent degradation&lt;/keyword&gt;&lt;keyword&gt;Amines&lt;/keyword&gt;&lt;keyword&gt;Waste incineration&lt;/keyword&gt;&lt;keyword&gt;PTR-TOF-MS&lt;/keyword&gt;&lt;/keywords&gt;&lt;dates&gt;&lt;year&gt;2021&lt;/year&gt;&lt;pub-dates&gt;&lt;date&gt;2021/03/01/&lt;/date&gt;&lt;/pub-dates&gt;&lt;/dates&gt;&lt;isbn&gt;1750-5836&lt;/isbn&gt;&lt;urls&gt;&lt;related-urls&gt;&lt;url&gt;https://www.sciencedirect.com/science/article/pii/S1750583620306678&lt;/url&gt;&lt;/related-urls&gt;&lt;/urls&gt;&lt;electronic-resource-num&gt;https://doi.org/10.1016/j.ijggc.2020.103242&lt;/electronic-resource-num&gt;&lt;/record&gt;&lt;/Cite&gt;&lt;/EndNote&gt;</w:instrText>
      </w:r>
      <w:r w:rsidR="00AB5840">
        <w:fldChar w:fldCharType="separate"/>
      </w:r>
      <w:r w:rsidR="00AB5840">
        <w:rPr>
          <w:noProof/>
        </w:rPr>
        <w:t>(Fagerlund et al., 2021)</w:t>
      </w:r>
      <w:r w:rsidR="00AB5840">
        <w:fldChar w:fldCharType="end"/>
      </w:r>
      <w:r w:rsidR="00AB5840" w:rsidRPr="00173E58">
        <w:t>.</w:t>
      </w:r>
    </w:p>
    <w:p w14:paraId="2400E748" w14:textId="511336BE" w:rsidR="00AB5840" w:rsidRPr="000A3362" w:rsidRDefault="00AB5840" w:rsidP="00AB5840">
      <w:r w:rsidRPr="00173E58">
        <w:t xml:space="preserve">Over the last two decades there has been a notable increase in the installation and operation of plants, mainly pilot and demonstration, for the </w:t>
      </w:r>
      <w:r w:rsidR="000603BA">
        <w:t>removal</w:t>
      </w:r>
      <w:r w:rsidRPr="00173E58">
        <w:t xml:space="preserve"> of post-combustion CO</w:t>
      </w:r>
      <w:r w:rsidRPr="00173E58">
        <w:rPr>
          <w:vertAlign w:val="subscript"/>
        </w:rPr>
        <w:t>2</w:t>
      </w:r>
      <w:r w:rsidRPr="00173E58">
        <w:t xml:space="preserve"> through chemical absorption</w:t>
      </w:r>
      <w:r>
        <w:t xml:space="preserve">, though most of them being applied to flue gas from coal-fired power plant or from </w:t>
      </w:r>
      <w:r w:rsidR="000603BA">
        <w:t xml:space="preserve">NGCC </w:t>
      </w:r>
      <w:r>
        <w:t>power plant</w:t>
      </w:r>
      <w:r w:rsidRPr="00173E58">
        <w:t>.</w:t>
      </w:r>
      <w:r>
        <w:t xml:space="preserve"> Some plants are characterized by a base configuration, with the absorption column and the regeneration column, and others are characterized by the addition of units for improving the process, as for instance the intercooling. </w:t>
      </w:r>
      <w:r w:rsidR="000A3362" w:rsidRPr="000A3362">
        <w:t>A review of the size of all these plants h</w:t>
      </w:r>
      <w:r w:rsidR="000A3362">
        <w:t xml:space="preserve">as been carried out, with most of the pilot units being characterized by the absorption column with a diameter &lt; 0.5 m, as the ones of </w:t>
      </w:r>
      <w:r w:rsidR="000A3362" w:rsidRPr="000A3362">
        <w:t>SINTEF Tiller (</w:t>
      </w:r>
      <w:r w:rsidR="000A3362">
        <w:t>Norway</w:t>
      </w:r>
      <w:r w:rsidR="000A3362" w:rsidRPr="000A3362">
        <w:t xml:space="preserve">) </w:t>
      </w:r>
      <w:r w:rsidR="000A3362">
        <w:rPr>
          <w:lang w:val="it-IT"/>
        </w:rPr>
        <w:fldChar w:fldCharType="begin"/>
      </w:r>
      <w:r w:rsidR="000603BA" w:rsidRPr="000603BA">
        <w:instrText xml:space="preserve"> ADDIN EN.CITE &lt;EndNote&gt;&lt;Cite&gt;&lt;Author&gt;Knudsen&lt;/Author&gt;&lt;Year&gt;2017&lt;/Year&gt;&lt;RecNum&gt;3613&lt;/RecNum&gt;&lt;DisplayText&gt;(Knudsen et al., 2017)&lt;/DisplayText&gt;&lt;record&gt;&lt;rec-number&gt;3613&lt;/rec-number&gt;&lt;foreign-keys&gt;&lt;key app="EN" db-id="vdep529fssfr24ertz15wt2bvrvzfeta5w5v" timestamp="1668073896"&gt;3613&lt;/key&gt;&lt;/foreign-keys&gt;&lt;ref-type name="Journal Article"&gt;17&lt;/ref-type&gt;&lt;contributors&gt;&lt;authors&gt;&lt;author&gt;Knudsen, Jacob N.&lt;/author&gt;&lt;author&gt;Wærnes, Ole&lt;/author&gt;&lt;author&gt;Svendsen, Hallvard F.&lt;/author&gt;&lt;author&gt;Graff, Oscar&lt;/author&gt;&lt;/authors&gt;&lt;/contributors&gt;&lt;titles&gt;&lt;title&gt;Highlights and Main Findings from the 8 Year SOLVit R&amp;amp;D Programme – Bringing Solvents and Technology from Laboratory to Industry&lt;/title&gt;&lt;secondary-title&gt;Energy Procedia&lt;/secondary-title&gt;&lt;/titles&gt;&lt;periodical&gt;&lt;full-title&gt;Energy Procedia&lt;/full-title&gt;&lt;abbr-1&gt;Energy Procedia&lt;/abbr-1&gt;&lt;abbr-2&gt;Energy Procedia&lt;/abbr-2&gt;&lt;/periodical&gt;&lt;pages&gt;5701-5710&lt;/pages&gt;&lt;volume&gt;114&lt;/volume&gt;&lt;section&gt;5701&lt;/section&gt;&lt;keywords&gt;&lt;keyword&gt;Research programme&lt;/keyword&gt;&lt;keyword&gt;Solvent development&lt;/keyword&gt;&lt;keyword&gt;Pilot plant testing&lt;/keyword&gt;&lt;/keywords&gt;&lt;dates&gt;&lt;year&gt;2017&lt;/year&gt;&lt;pub-dates&gt;&lt;date&gt;2017/07/01/&lt;/date&gt;&lt;/pub-dates&gt;&lt;/dates&gt;&lt;isbn&gt;1876-6102&lt;/isbn&gt;&lt;urls&gt;&lt;related-urls&gt;&lt;url&gt;https://www.sciencedirect.com/science/article/pii/S1876610217319100&lt;/url&gt;&lt;/related-urls&gt;&lt;/urls&gt;&lt;electronic-resource-num&gt;https://doi.org/10.1016/j.egypro.2017.03.1709&lt;/electronic-resource-num&gt;&lt;/record&gt;&lt;/Cite&gt;&lt;/EndNote&gt;</w:instrText>
      </w:r>
      <w:r w:rsidR="000A3362">
        <w:rPr>
          <w:lang w:val="it-IT"/>
        </w:rPr>
        <w:fldChar w:fldCharType="separate"/>
      </w:r>
      <w:r w:rsidR="000603BA" w:rsidRPr="000603BA">
        <w:rPr>
          <w:noProof/>
        </w:rPr>
        <w:t>(Knudsen et al., 2017)</w:t>
      </w:r>
      <w:r w:rsidR="000A3362">
        <w:rPr>
          <w:lang w:val="it-IT"/>
        </w:rPr>
        <w:fldChar w:fldCharType="end"/>
      </w:r>
      <w:r w:rsidR="000A3362" w:rsidRPr="000A3362">
        <w:t xml:space="preserve">, </w:t>
      </w:r>
      <w:r w:rsidR="000A3362" w:rsidRPr="004F5185">
        <w:t>The University of Texas, Austin (Texas, USA)</w:t>
      </w:r>
      <w:r w:rsidR="000A3362">
        <w:t xml:space="preserve"> </w:t>
      </w:r>
      <w:r w:rsidR="000A3362">
        <w:rPr>
          <w:lang w:val="it-IT"/>
        </w:rPr>
        <w:fldChar w:fldCharType="begin"/>
      </w:r>
      <w:r w:rsidR="000603BA" w:rsidRPr="000603BA">
        <w:instrText xml:space="preserve"> ADDIN EN.CITE &lt;EndNote&gt;&lt;Cite&gt;&lt;Author&gt;Lin&lt;/Author&gt;&lt;Year&gt;2016&lt;/Year&gt;&lt;RecNum&gt;3560&lt;/RecNum&gt;&lt;DisplayText&gt;(Lin et al., 2016)&lt;/DisplayText&gt;&lt;record&gt;&lt;rec-number&gt;3560&lt;/rec-number&gt;&lt;foreign-keys&gt;&lt;key app="EN" db-id="vdep529fssfr24ertz15wt2bvrvzfeta5w5v" timestamp="1665384136"&gt;3560&lt;/key&gt;&lt;/foreign-keys&gt;&lt;ref-type name="Journal Article"&gt;17&lt;/ref-type&gt;&lt;contributors&gt;&lt;authors&gt;&lt;author&gt;Lin, Y.-J.&lt;/author&gt;&lt;author&gt;Chen, E.&lt;/author&gt;&lt;author&gt;Rochelle, G.T.&lt;/author&gt;&lt;/authors&gt;&lt;/contributors&gt;&lt;titles&gt;&lt;title&gt;&lt;style face="normal" font="default" size="100%"&gt;Pilot plant test of the advanced flash stripper for CO&lt;/style&gt;&lt;style face="subscript" font="default" size="100%"&gt;2&lt;/style&gt;&lt;style face="normal" font="default" size="100%"&gt; capture&lt;/style&gt;&lt;/title&gt;&lt;secondary-title&gt;Faraday Discussions&lt;/secondary-title&gt;&lt;/titles&gt;&lt;periodical&gt;&lt;full-title&gt;Faraday Discussions&lt;/full-title&gt;&lt;abbr-1&gt;Faraday Discuss&lt;/abbr-1&gt;&lt;abbr-2&gt;Faraday Discuss.&lt;/abbr-2&gt;&lt;/periodical&gt;&lt;pages&gt;37-58&lt;/pages&gt;&lt;volume&gt;192&lt;/volume&gt;&lt;dates&gt;&lt;year&gt;2016&lt;/year&gt;&lt;/dates&gt;&lt;urls&gt;&lt;/urls&gt;&lt;/record&gt;&lt;/Cite&gt;&lt;/EndNote&gt;</w:instrText>
      </w:r>
      <w:r w:rsidR="000A3362">
        <w:rPr>
          <w:lang w:val="it-IT"/>
        </w:rPr>
        <w:fldChar w:fldCharType="separate"/>
      </w:r>
      <w:r w:rsidR="000603BA" w:rsidRPr="000603BA">
        <w:rPr>
          <w:noProof/>
        </w:rPr>
        <w:t>(Lin et al., 2016)</w:t>
      </w:r>
      <w:r w:rsidR="000A3362">
        <w:rPr>
          <w:lang w:val="it-IT"/>
        </w:rPr>
        <w:fldChar w:fldCharType="end"/>
      </w:r>
      <w:r w:rsidR="000A3362" w:rsidRPr="000A3362">
        <w:t xml:space="preserve">, CSIRO Loy Yang power station (Australia) </w:t>
      </w:r>
      <w:r w:rsidR="000A3362">
        <w:rPr>
          <w:lang w:val="it-IT"/>
        </w:rPr>
        <w:fldChar w:fldCharType="begin"/>
      </w:r>
      <w:r w:rsidR="000603BA" w:rsidRPr="000603BA">
        <w:instrText xml:space="preserve"> ADDIN EN.CITE &lt;EndNote&gt;&lt;Cite&gt;&lt;Author&gt;Bui&lt;/Author&gt;&lt;Year&gt;2016&lt;/Year&gt;&lt;RecNum&gt;3630&lt;/RecNum&gt;&lt;DisplayText&gt;(Bui et al., 2016)&lt;/DisplayText&gt;&lt;record&gt;&lt;rec-number&gt;3630&lt;/rec-number&gt;&lt;foreign-keys&gt;&lt;key app="EN" db-id="vdep529fssfr24ertz15wt2bvrvzfeta5w5v" timestamp="1668465609"&gt;3630&lt;/key&gt;&lt;/foreign-keys&gt;&lt;ref-type name="Journal Article"&gt;17&lt;/ref-type&gt;&lt;contributors&gt;&lt;authors&gt;&lt;author&gt;Bui, Mai&lt;/author&gt;&lt;author&gt;Gunawan, Indra&lt;/author&gt;&lt;author&gt;Verheyen, Vincent&lt;/author&gt;&lt;author&gt;Feron, Paul&lt;/author&gt;&lt;author&gt;Meuleman, Erik&lt;/author&gt;&lt;/authors&gt;&lt;/contributors&gt;&lt;titles&gt;&lt;title&gt;&lt;style face="normal" font="default" size="100%"&gt;Flexible operation of CSIRO&amp;apos;s post-combustion CO&lt;/style&gt;&lt;style face="subscript" font="default" size="100%"&gt;2&lt;/style&gt;&lt;style face="normal" font="default" size="100%"&gt; capture pilot plant at the AGL Loy Yang power station&lt;/style&gt;&lt;/title&gt;&lt;secondary-title&gt;International Journal of Greenhouse Gas Control&lt;/secondary-title&gt;&lt;/titles&gt;&lt;periodical&gt;&lt;full-title&gt;International Journal of Greenhouse Gas Control&lt;/full-title&gt;&lt;abbr-1&gt;Int J Greenh Gas Control&lt;/abbr-1&gt;&lt;abbr-2&gt;Int. J. Greenh. Gas Control&lt;/abbr-2&gt;&lt;/periodical&gt;&lt;pages&gt;188-203&lt;/pages&gt;&lt;volume&gt;48&lt;/volume&gt;&lt;section&gt;188&lt;/section&gt;&lt;keywords&gt;&lt;keyword&gt;Post-combustion CO capture&lt;/keyword&gt;&lt;keyword&gt;Flexible operation&lt;/keyword&gt;&lt;keyword&gt;Pilot plant&lt;/keyword&gt;&lt;keyword&gt;Transient&lt;/keyword&gt;&lt;keyword&gt;Dynamic modelling&lt;/keyword&gt;&lt;/keywords&gt;&lt;dates&gt;&lt;year&gt;2016&lt;/year&gt;&lt;pub-dates&gt;&lt;date&gt;2016/05/01/&lt;/date&gt;&lt;/pub-dat</w:instrText>
      </w:r>
      <w:r w:rsidR="000603BA">
        <w:rPr>
          <w:lang w:val="it-IT"/>
        </w:rPr>
        <w:instrText>es&gt;&lt;/dates&gt;&lt;isbn&gt;1750-5836&lt;/isbn&gt;&lt;urls&gt;&lt;related-urls&gt;&lt;url&gt;https://www.sciencedirect.com/science/article/pii/S1750583615301687&lt;/url&gt;&lt;/related-urls&gt;&lt;/urls&gt;&lt;electronic-resource-num&gt;https://doi.org/10.1016/j.ijggc.2015.12.016&lt;/electronic-resource-num&gt;&lt;/record&gt;&lt;/Cite&gt;&lt;/EndNote&gt;</w:instrText>
      </w:r>
      <w:r w:rsidR="000A3362">
        <w:rPr>
          <w:lang w:val="it-IT"/>
        </w:rPr>
        <w:fldChar w:fldCharType="separate"/>
      </w:r>
      <w:r w:rsidR="000603BA">
        <w:rPr>
          <w:noProof/>
          <w:lang w:val="it-IT"/>
        </w:rPr>
        <w:t>(Bui et al., 2016)</w:t>
      </w:r>
      <w:r w:rsidR="000A3362">
        <w:rPr>
          <w:lang w:val="it-IT"/>
        </w:rPr>
        <w:fldChar w:fldCharType="end"/>
      </w:r>
      <w:r w:rsidR="000A3362" w:rsidRPr="000A3362">
        <w:t xml:space="preserve">, </w:t>
      </w:r>
      <w:r w:rsidR="000A3362" w:rsidRPr="007B764C">
        <w:t xml:space="preserve">CSIRO </w:t>
      </w:r>
      <w:proofErr w:type="spellStart"/>
      <w:r w:rsidR="000A3362" w:rsidRPr="007B764C">
        <w:t>Tarong</w:t>
      </w:r>
      <w:proofErr w:type="spellEnd"/>
      <w:r w:rsidR="000A3362" w:rsidRPr="007B764C">
        <w:t xml:space="preserve"> power station (Australia) </w:t>
      </w:r>
      <w:r w:rsidR="000A3362">
        <w:rPr>
          <w:lang w:val="it-IT"/>
        </w:rPr>
        <w:fldChar w:fldCharType="begin"/>
      </w:r>
      <w:r w:rsidR="000603BA">
        <w:rPr>
          <w:lang w:val="it-IT"/>
        </w:rPr>
        <w:instrText xml:space="preserve"> ADDIN EN.CITE &lt;EndNote&gt;&lt;Cite&gt;&lt;Author&gt;Cousins&lt;/Author&gt;&lt;Year&gt;2015&lt;/Year&gt;&lt;RecNum&gt;3633&lt;/RecNum&gt;&lt;DisplayText&gt;(Cousins et al., 2015)&lt;/DisplayText&gt;&lt;record&gt;&lt;rec-number&gt;3633&lt;/rec-number&gt;&lt;foreign-keys&gt;&lt;key app="EN" db-id="vdep529fssfr24ertz15wt2bvrvzfeta5w5v" timestamp="1668515937"&gt;3633&lt;/key&gt;&lt;/foreign-keys&gt;&lt;ref-type name="Journal Article"&gt;17&lt;/ref-type&gt;&lt;contributors&gt;&lt;authors&gt;&lt;author&gt;Cousins, Ashleigh&lt;/author&gt;&lt;author&gt;Huang, Sanger&lt;/author&gt;&lt;author&gt;Cottrell, Aaron&lt;/author&gt;&lt;author&gt;Feron, Paul H. M.&lt;/author&gt;&lt;author&gt;Chen, Eric&lt;/author&gt;&lt;author&gt;Rochelle, Gary T.&lt;/author&gt;&lt;/authors&gt;&lt;/contributors&gt;&lt;titles&gt;&lt;title&gt;&lt;style face="normal" font="default" size="100%"&gt;Pilot-scale parametric evaluation of concentrated piperazine for CO&lt;/style&gt;&lt;style face="subscript" font="default" size="100%"&gt;2&lt;/style&gt;&lt;style face="normal" font="default" size="100%"&gt; capture at an Australian coal-fired power station&lt;/style&gt;&lt;/title&gt;&lt;secondary-title&gt;Greenhouse Gases: Science and Technology&lt;/secondary-title&gt;&lt;/titles&gt;&lt;periodical&gt;&lt;full-title&gt;Greenhouse Gases: Science and Technology&lt;/full-title&gt;&lt;abbr-1&gt;Greenh Gases: Sci Technol&lt;/abbr-1&gt;&lt;abbr-2&gt;Greenh. Gases: Sci. Technol.&lt;/abbr-2&gt;&lt;/periodical&gt;&lt;pages&gt;7-16&lt;/pages&gt;&lt;volume&gt;5&lt;/volume&gt;&lt;number&gt;1&lt;/number&gt;&lt;section&gt;7&lt;/section&gt;&lt;keywords&gt;&lt;keyword&gt;carbon dioxide&lt;/keyword&gt;&lt;keyword&gt;pilot scale&lt;/keyword&gt;&lt;keyword&gt;piperazine&lt;/keyword&gt;&lt;keyword&gt;post-combustion capture&lt;/keyword&gt;&lt;/keywords&gt;&lt;dates&gt;&lt;year&gt;2015&lt;/year&gt;&lt;pub-dates&gt;&lt;date&gt;2015/02/01&lt;/date&gt;&lt;/pub-dates&gt;&lt;/dates&gt;&lt;publisher&gt;John Wiley &amp;amp; Sons, Ltd&lt;/publisher&gt;&lt;isbn&gt;2152-3878&lt;/isbn&gt;&lt;work-type&gt;https://doi.org/10.1002/ghg.1462&lt;/work-type&gt;&lt;urls&gt;&lt;related-urls&gt;&lt;url&gt;https://doi.org/10.1002/ghg.1462&lt;/url&gt;&lt;/related-urls&gt;&lt;/urls&gt;&lt;electronic-resource-num&gt;https://doi.org/10.1002/ghg.1462&lt;/electronic-resource-num&gt;&lt;access-date&gt;2022/11/15&lt;/access-date&gt;&lt;/record&gt;&lt;/Cite&gt;&lt;/EndNote&gt;</w:instrText>
      </w:r>
      <w:r w:rsidR="000A3362">
        <w:rPr>
          <w:lang w:val="it-IT"/>
        </w:rPr>
        <w:fldChar w:fldCharType="separate"/>
      </w:r>
      <w:r w:rsidR="000603BA">
        <w:rPr>
          <w:noProof/>
          <w:lang w:val="it-IT"/>
        </w:rPr>
        <w:t>(Cousins et al., 2015)</w:t>
      </w:r>
      <w:r w:rsidR="000A3362">
        <w:rPr>
          <w:lang w:val="it-IT"/>
        </w:rPr>
        <w:fldChar w:fldCharType="end"/>
      </w:r>
      <w:r w:rsidR="000A3362" w:rsidRPr="003C48D0">
        <w:t xml:space="preserve"> and </w:t>
      </w:r>
      <w:proofErr w:type="spellStart"/>
      <w:r w:rsidR="000A3362" w:rsidRPr="003C48D0">
        <w:t>IchPW</w:t>
      </w:r>
      <w:proofErr w:type="spellEnd"/>
      <w:r w:rsidR="000A3362" w:rsidRPr="003C48D0">
        <w:t xml:space="preserve"> mobile (Polonia) </w:t>
      </w:r>
      <w:r w:rsidR="000A3362">
        <w:rPr>
          <w:lang w:val="it-IT"/>
        </w:rPr>
        <w:fldChar w:fldCharType="begin"/>
      </w:r>
      <w:r w:rsidR="000603BA">
        <w:rPr>
          <w:lang w:val="it-IT"/>
        </w:rPr>
        <w:instrText xml:space="preserve"> ADDIN EN.CITE &lt;EndNote&gt;&lt;Cite&gt;&lt;Author&gt;Krótki&lt;/Author&gt;&lt;Year&gt;2020&lt;/Year&gt;&lt;RecNum&gt;3637&lt;/RecNum&gt;&lt;DisplayText&gt;(Krótki et al., 2020)&lt;/DisplayText&gt;&lt;record&gt;&lt;rec-number&gt;3637&lt;/rec-number&gt;&lt;foreign-keys&gt;&lt;key app="EN" db-id="vdep529fssfr24ertz15wt2bvrvzfeta5w5v" timestamp="1668548349"&gt;3637&lt;/key&gt;&lt;/foreign-keys&gt;&lt;ref-type name="Journal Article"&gt;17&lt;/ref-type&gt;&lt;contributors&gt;&lt;authors&gt;&lt;author&gt;Krótki, Aleksander&lt;/author&gt;&lt;author&gt;Więcław Solny, Lucyna&lt;/author&gt;&lt;author&gt;Stec, Marcin&lt;/author&gt;&lt;author&gt;Spietz, Tomasz&lt;/author&gt;&lt;author&gt;Wilk, Andrzej&lt;/author&gt;&lt;author&gt;Chwoła, Tadeusz&lt;/author&gt;&lt;author&gt;Jastrząb, Krzysztof&lt;/author&gt;&lt;/authors&gt;&lt;/contributors&gt;&lt;titles&gt;&lt;title&gt;&lt;style face="normal" font="default" size="100%"&gt;Experimental results of advanced technological modifications for a CO&lt;/style&gt;&lt;style face="subscript" font="default" size="100%"&gt;2&lt;/style&gt;&lt;style face="normal" font="default" size="100%"&gt; capture process using amine scrubbing&lt;/style&gt;&lt;/title&gt;&lt;secondary-title&gt;International Journal of Greenhouse Gas Control&lt;/secondary-title&gt;&lt;/titles&gt;&lt;periodical&gt;&lt;full-title&gt;International Journal of Greenhouse Gas Control&lt;/full-title&gt;&lt;abbr-1&gt;Int J Greenh Gas Control&lt;/abbr-1&gt;&lt;abbr-2&gt;Int. J. Greenh. Gas Control&lt;/abbr-2&gt;&lt;/periodical&gt;&lt;pages&gt;103014&lt;/pages&gt;&lt;volume&gt;96&lt;/volume&gt;&lt;section&gt;103014&lt;/section&gt;&lt;keywords&gt;&lt;keyword&gt;Split flow&lt;/keyword&gt;&lt;keyword&gt;CO capture&lt;/keyword&gt;&lt;keyword&gt;Pilot plant&lt;/keyword&gt;&lt;keyword&gt;Interheating (do 5 max)&lt;/keyword&gt;&lt;/keywords&gt;&lt;dates&gt;&lt;year&gt;2020&lt;/year&gt;&lt;pub-dates&gt;&lt;date&gt;2020/05/01/&lt;/date&gt;&lt;/pub-dates&gt;&lt;/dates&gt;&lt;isbn&gt;1750-5836&lt;/isbn&gt;&lt;urls&gt;&lt;related-urls&gt;&lt;url&gt;https://www.sciencedirect.com/science/article/pii/S1750583619307534&lt;/url&gt;&lt;/related-urls&gt;&lt;/urls&gt;&lt;electronic-resource-num&gt;https://doi.org/10.1016/j.ijggc.2020.103014&lt;/electronic-resource-num&gt;&lt;/record&gt;&lt;/Cite&gt;&lt;/EndNote&gt;</w:instrText>
      </w:r>
      <w:r w:rsidR="000A3362">
        <w:rPr>
          <w:lang w:val="it-IT"/>
        </w:rPr>
        <w:fldChar w:fldCharType="separate"/>
      </w:r>
      <w:r w:rsidR="000603BA">
        <w:rPr>
          <w:noProof/>
          <w:lang w:val="it-IT"/>
        </w:rPr>
        <w:t>(Krótki et al., 2020)</w:t>
      </w:r>
      <w:r w:rsidR="000A3362">
        <w:rPr>
          <w:lang w:val="it-IT"/>
        </w:rPr>
        <w:fldChar w:fldCharType="end"/>
      </w:r>
      <w:r w:rsidR="000A3362">
        <w:t>.</w:t>
      </w:r>
    </w:p>
    <w:p w14:paraId="4F4FF310" w14:textId="37E287BB" w:rsidR="00951E97" w:rsidRDefault="00951E97" w:rsidP="00951E97">
      <w:pPr>
        <w:pStyle w:val="CETHeading1"/>
        <w:rPr>
          <w:lang w:val="en-GB"/>
        </w:rPr>
      </w:pPr>
      <w:r>
        <w:rPr>
          <w:lang w:val="en-GB"/>
        </w:rPr>
        <w:t>Methodology</w:t>
      </w:r>
    </w:p>
    <w:p w14:paraId="40C1E664" w14:textId="03EB2AF8" w:rsidR="00173E58" w:rsidRPr="00B57B36" w:rsidRDefault="00173E58" w:rsidP="00173E58">
      <w:pPr>
        <w:pStyle w:val="CETheadingx"/>
      </w:pPr>
      <w:r>
        <w:t>The considered scheme</w:t>
      </w:r>
    </w:p>
    <w:p w14:paraId="51BD22FB" w14:textId="45EAF9AE" w:rsidR="00A62587" w:rsidRDefault="00A62587" w:rsidP="00A62587">
      <w:pPr>
        <w:pStyle w:val="CETBodytext"/>
      </w:pPr>
      <w:r>
        <w:t>The plant for the CO</w:t>
      </w:r>
      <w:r w:rsidRPr="00A62587">
        <w:rPr>
          <w:vertAlign w:val="subscript"/>
        </w:rPr>
        <w:t>2</w:t>
      </w:r>
      <w:r>
        <w:t xml:space="preserve"> removal from the </w:t>
      </w:r>
      <w:proofErr w:type="spellStart"/>
      <w:r>
        <w:t>WtE</w:t>
      </w:r>
      <w:proofErr w:type="spellEnd"/>
      <w:r>
        <w:t xml:space="preserve"> flue gas stream </w:t>
      </w:r>
      <w:r>
        <w:rPr>
          <w:lang w:val="en-GB"/>
        </w:rPr>
        <w:t>by</w:t>
      </w:r>
      <w:r w:rsidRPr="00A62587">
        <w:rPr>
          <w:lang w:val="en-GB"/>
        </w:rPr>
        <w:t xml:space="preserve"> a 30</w:t>
      </w:r>
      <w:r w:rsidR="007A0376">
        <w:rPr>
          <w:lang w:val="en-GB"/>
        </w:rPr>
        <w:t xml:space="preserve"> </w:t>
      </w:r>
      <w:r w:rsidRPr="00A62587">
        <w:rPr>
          <w:lang w:val="en-GB"/>
        </w:rPr>
        <w:t xml:space="preserve">% wt. </w:t>
      </w:r>
      <w:proofErr w:type="spellStart"/>
      <w:r w:rsidRPr="00A62587">
        <w:rPr>
          <w:lang w:val="en-GB"/>
        </w:rPr>
        <w:t>MonoEthanolAmine</w:t>
      </w:r>
      <w:proofErr w:type="spellEnd"/>
      <w:r w:rsidRPr="00A62587">
        <w:rPr>
          <w:lang w:val="en-GB"/>
        </w:rPr>
        <w:t xml:space="preserve"> (MEA) aqueous solution</w:t>
      </w:r>
      <w:r>
        <w:t xml:space="preserve"> is assumed to be located downstream the power production plant and the treatments for the removal of the other impurities from the flue gas.</w:t>
      </w:r>
    </w:p>
    <w:p w14:paraId="087DDD11" w14:textId="62795503" w:rsidR="00951E97" w:rsidRDefault="00A62587" w:rsidP="00A62587">
      <w:pPr>
        <w:pStyle w:val="CETBodytext"/>
      </w:pPr>
      <w:r w:rsidRPr="003E7F1F">
        <w:t xml:space="preserve">The characteristics of the flue gas emitted by the considered </w:t>
      </w:r>
      <w:proofErr w:type="spellStart"/>
      <w:r w:rsidRPr="003E7F1F">
        <w:t>WtE</w:t>
      </w:r>
      <w:proofErr w:type="spellEnd"/>
      <w:r w:rsidRPr="003E7F1F">
        <w:t xml:space="preserve"> facility are </w:t>
      </w:r>
      <w:r w:rsidR="003E7F1F" w:rsidRPr="003E7F1F">
        <w:t xml:space="preserve">the ones considered in </w:t>
      </w:r>
      <w:r w:rsidR="003E7F1F" w:rsidRPr="003E7F1F">
        <w:fldChar w:fldCharType="begin"/>
      </w:r>
      <w:r w:rsidR="003E7F1F" w:rsidRPr="003E7F1F">
        <w:instrText xml:space="preserve"> ADDIN EN.CITE &lt;EndNote&gt;&lt;Cite AuthorYear="1"&gt;&lt;Author&gt;Moioli&lt;/Author&gt;&lt;Year&gt;2024&lt;/Year&gt;&lt;RecNum&gt;3971&lt;/RecNum&gt;&lt;DisplayText&gt;Moioli et al. (2024)&lt;/DisplayText&gt;&lt;record&gt;&lt;rec-number&gt;3971&lt;/rec-number&gt;&lt;foreign-keys&gt;&lt;key app="EN" db-id="vdep529fssfr24ertz15wt2bvrvzfeta5w5v" timestamp="1713885279"&gt;3971&lt;/key&gt;&lt;/foreign-keys&gt;&lt;ref-type name="Journal Article"&gt;17&lt;/ref-type&gt;&lt;contributors&gt;&lt;authors&gt;&lt;author&gt;Moioli, Stefania&lt;/author&gt;&lt;author&gt;De Guido, Giorgia&lt;/author&gt;&lt;author&gt;Pellegrini, Laura A.&lt;/author&gt;&lt;author&gt;Fasola, Elisabetta&lt;/author&gt;&lt;author&gt;Riva, Elena Redolfi&lt;/author&gt;&lt;author&gt;Alberti, Davide&lt;/author&gt;&lt;author&gt;Carrara, Adriano&lt;/author&gt;&lt;/authors&gt;&lt;/contributors&gt;&lt;titles&gt;&lt;title&gt;&lt;style face="normal" font="default" size="100%"&gt;Techno-economic assessment of the CO&lt;/style&gt;&lt;style face="subscript" font="default" size="100%"&gt;2&lt;/style&gt;&lt;style face="normal" font="default" size="100%"&gt; value chain with CCUS applied to a waste-to-energy Italian plant&lt;/style&gt;&lt;/title&gt;&lt;secondary-title&gt;Chemical Engineering Science&lt;/secondary-title&gt;&lt;/titles&gt;&lt;periodical&gt;&lt;full-title&gt;Chemical Engineering Science&lt;/full-title&gt;&lt;abbr-1&gt;Chem Eng Sci&lt;/abbr-1&gt;&lt;abbr-2&gt;Chem. Eng. Sci.&lt;/abbr-2&gt;&lt;/periodical&gt;&lt;pages&gt;119717&lt;/pages&gt;&lt;volume&gt;287&lt;/volume&gt;&lt;section&gt;119717&lt;/section&gt;&lt;keywords&gt;&lt;keyword&gt;CCUS&lt;/keyword&gt;&lt;keyword&gt;WtE&lt;/keyword&gt;&lt;keyword&gt;Process design&lt;/keyword&gt;&lt;keyword&gt;CO value chain&lt;/keyword&gt;&lt;/keywords&gt;&lt;dates&gt;&lt;year&gt;2024&lt;/year&gt;&lt;pub-dates&gt;&lt;date&gt;2024/04/05/&lt;/date&gt;&lt;/pub-dates&gt;&lt;/dates&gt;&lt;isbn&gt;0009-2509&lt;/isbn&gt;&lt;urls&gt;&lt;related-urls&gt;&lt;url&gt;https://www.sciencedirect.com/science/article/pii/S0009250924000174&lt;/url&gt;&lt;/related-urls&gt;&lt;/urls&gt;&lt;electronic-resource-num&gt;https://doi.org/10.1016/j.ces.2024.119717&lt;/electronic-resource-num&gt;&lt;/record&gt;&lt;/Cite&gt;&lt;/EndNote&gt;</w:instrText>
      </w:r>
      <w:r w:rsidR="003E7F1F" w:rsidRPr="003E7F1F">
        <w:fldChar w:fldCharType="separate"/>
      </w:r>
      <w:r w:rsidR="003E7F1F" w:rsidRPr="003E7F1F">
        <w:rPr>
          <w:noProof/>
        </w:rPr>
        <w:t>Moioli et al. (2024)</w:t>
      </w:r>
      <w:r w:rsidR="003E7F1F" w:rsidRPr="003E7F1F">
        <w:fldChar w:fldCharType="end"/>
      </w:r>
      <w:r w:rsidRPr="003E7F1F">
        <w:t>.</w:t>
      </w:r>
      <w:r>
        <w:t xml:space="preserve"> The CO</w:t>
      </w:r>
      <w:r w:rsidRPr="00A62587">
        <w:rPr>
          <w:vertAlign w:val="subscript"/>
        </w:rPr>
        <w:t>2</w:t>
      </w:r>
      <w:r>
        <w:t xml:space="preserve"> content</w:t>
      </w:r>
      <w:r w:rsidR="003E7F1F">
        <w:t xml:space="preserve"> (about 7</w:t>
      </w:r>
      <w:r w:rsidR="007A0376">
        <w:t xml:space="preserve"> </w:t>
      </w:r>
      <w:r w:rsidR="003E7F1F">
        <w:t>%)</w:t>
      </w:r>
      <w:r>
        <w:t xml:space="preserve"> is between the typical one in the flue gas exiting from a </w:t>
      </w:r>
      <w:r w:rsidR="000603BA">
        <w:t>NGCC</w:t>
      </w:r>
      <w:r>
        <w:t xml:space="preserve"> power plant and the one of a flue </w:t>
      </w:r>
      <w:proofErr w:type="gramStart"/>
      <w:r>
        <w:t>gas</w:t>
      </w:r>
      <w:proofErr w:type="gramEnd"/>
      <w:r>
        <w:t xml:space="preserve"> emitted from a coal-fired power plant.</w:t>
      </w:r>
    </w:p>
    <w:p w14:paraId="697C0928" w14:textId="5144C3A0" w:rsidR="00AB5840" w:rsidRDefault="00AB5840" w:rsidP="00A62587">
      <w:pPr>
        <w:pStyle w:val="CETBodytext"/>
      </w:pPr>
      <w:r>
        <w:t>The considered scheme is reported in</w:t>
      </w:r>
      <w:r w:rsidR="000A3362">
        <w:t xml:space="preserve"> </w:t>
      </w:r>
      <w:r w:rsidR="000A3362">
        <w:fldChar w:fldCharType="begin"/>
      </w:r>
      <w:r w:rsidR="000A3362">
        <w:instrText xml:space="preserve"> REF _Ref184400095 \h </w:instrText>
      </w:r>
      <w:r w:rsidR="000A3362">
        <w:fldChar w:fldCharType="separate"/>
      </w:r>
      <w:r w:rsidR="000A3362">
        <w:t xml:space="preserve">Figure </w:t>
      </w:r>
      <w:r w:rsidR="000A3362">
        <w:rPr>
          <w:noProof/>
        </w:rPr>
        <w:t>1</w:t>
      </w:r>
      <w:r w:rsidR="000A3362">
        <w:fldChar w:fldCharType="end"/>
      </w:r>
      <w:r w:rsidR="000A3362">
        <w:t>.</w:t>
      </w:r>
    </w:p>
    <w:p w14:paraId="0A06AF74" w14:textId="3D85AF23" w:rsidR="00AB5840" w:rsidRDefault="00AB5840" w:rsidP="00A62587">
      <w:pPr>
        <w:pStyle w:val="CETBodytext"/>
      </w:pPr>
    </w:p>
    <w:p w14:paraId="4C9C9BD2" w14:textId="39D3D9A5" w:rsidR="00AB5840" w:rsidRDefault="000A3362" w:rsidP="00A62587">
      <w:pPr>
        <w:pStyle w:val="CETBodytext"/>
      </w:pPr>
      <w:r w:rsidRPr="00354674">
        <w:rPr>
          <w:noProof/>
        </w:rPr>
        <w:drawing>
          <wp:inline distT="0" distB="0" distL="0" distR="0" wp14:anchorId="0F5160C4" wp14:editId="5CC5A974">
            <wp:extent cx="4392000" cy="1884780"/>
            <wp:effectExtent l="0" t="0" r="8890" b="1270"/>
            <wp:docPr id="149" name="Immagine 9">
              <a:extLst xmlns:a="http://schemas.openxmlformats.org/drawingml/2006/main">
                <a:ext uri="{FF2B5EF4-FFF2-40B4-BE49-F238E27FC236}">
                  <a16:creationId xmlns:a16="http://schemas.microsoft.com/office/drawing/2014/main" id="{6EA283D4-DA25-451A-8AA5-E02F7C18AE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a:extLst>
                        <a:ext uri="{FF2B5EF4-FFF2-40B4-BE49-F238E27FC236}">
                          <a16:creationId xmlns:a16="http://schemas.microsoft.com/office/drawing/2014/main" id="{6EA283D4-DA25-451A-8AA5-E02F7C18AE66}"/>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2000" cy="1884780"/>
                    </a:xfrm>
                    <a:prstGeom prst="rect">
                      <a:avLst/>
                    </a:prstGeom>
                    <a:noFill/>
                    <a:ln>
                      <a:noFill/>
                    </a:ln>
                  </pic:spPr>
                </pic:pic>
              </a:graphicData>
            </a:graphic>
          </wp:inline>
        </w:drawing>
      </w:r>
    </w:p>
    <w:p w14:paraId="1487B9ED" w14:textId="09724CF0" w:rsidR="000A3362" w:rsidRPr="005E655D" w:rsidRDefault="000A3362" w:rsidP="000A3362">
      <w:pPr>
        <w:pStyle w:val="CETCaption"/>
        <w:rPr>
          <w:b/>
        </w:rPr>
      </w:pPr>
      <w:bookmarkStart w:id="2" w:name="_Ref184400095"/>
      <w:r>
        <w:t xml:space="preserve">Figure </w:t>
      </w:r>
      <w:r>
        <w:fldChar w:fldCharType="begin"/>
      </w:r>
      <w:r>
        <w:instrText xml:space="preserve"> SEQ Figure \* ARABIC </w:instrText>
      </w:r>
      <w:r>
        <w:fldChar w:fldCharType="separate"/>
      </w:r>
      <w:r>
        <w:rPr>
          <w:noProof/>
        </w:rPr>
        <w:t>1</w:t>
      </w:r>
      <w:r>
        <w:fldChar w:fldCharType="end"/>
      </w:r>
      <w:bookmarkEnd w:id="2"/>
      <w:r>
        <w:rPr>
          <w:noProof/>
        </w:rPr>
        <w:t>:</w:t>
      </w:r>
      <w:r w:rsidRPr="005E655D">
        <w:rPr>
          <w:noProof/>
        </w:rPr>
        <w:t xml:space="preserve"> </w:t>
      </w:r>
      <w:r>
        <w:rPr>
          <w:noProof/>
        </w:rPr>
        <w:t>Scheme of the pilot plant</w:t>
      </w:r>
    </w:p>
    <w:p w14:paraId="2E0A7124" w14:textId="4E4FD9A4" w:rsidR="007C06BB" w:rsidRPr="00A62587" w:rsidRDefault="007C06BB" w:rsidP="007C06BB">
      <w:pPr>
        <w:pStyle w:val="CETBodytext"/>
      </w:pPr>
      <w:r>
        <w:t xml:space="preserve">The gas is pre-cooled by heat exchange </w:t>
      </w:r>
      <w:r w:rsidR="00AB5840">
        <w:t xml:space="preserve">in the </w:t>
      </w:r>
      <w:r>
        <w:t xml:space="preserve">unit </w:t>
      </w:r>
      <w:r w:rsidRPr="00254030">
        <w:rPr>
          <w:i/>
          <w:iCs/>
        </w:rPr>
        <w:t>E-104</w:t>
      </w:r>
      <w:r>
        <w:t xml:space="preserve"> with the purified gas exiting from the water-wash unit of the absorber section and, after increasing its pressure in a blower (</w:t>
      </w:r>
      <w:r w:rsidRPr="00254030">
        <w:rPr>
          <w:i/>
          <w:iCs/>
        </w:rPr>
        <w:t>K-101</w:t>
      </w:r>
      <w:r>
        <w:t xml:space="preserve">) </w:t>
      </w:r>
      <w:r w:rsidRPr="00674DF5">
        <w:t xml:space="preserve">in order to </w:t>
      </w:r>
      <w:r w:rsidR="00674DF5" w:rsidRPr="00674DF5">
        <w:t xml:space="preserve">overcome the pressure drops in the columns and </w:t>
      </w:r>
      <w:r w:rsidRPr="00674DF5">
        <w:t xml:space="preserve">emit </w:t>
      </w:r>
      <w:r w:rsidR="00674DF5">
        <w:t>the</w:t>
      </w:r>
      <w:r w:rsidRPr="00674DF5">
        <w:t xml:space="preserve"> clean gas at atmospheric pressur</w:t>
      </w:r>
      <w:r w:rsidR="002D7259" w:rsidRPr="00674DF5">
        <w:t>e</w:t>
      </w:r>
      <w:r w:rsidRPr="00674DF5">
        <w:t>, it is f</w:t>
      </w:r>
      <w:r>
        <w:t xml:space="preserve">urther cooled in the unit </w:t>
      </w:r>
      <w:r w:rsidRPr="00254030">
        <w:rPr>
          <w:i/>
          <w:iCs/>
        </w:rPr>
        <w:t>T-101</w:t>
      </w:r>
      <w:r>
        <w:t>, a Direct Contact Cooler (</w:t>
      </w:r>
      <w:r w:rsidRPr="00254030">
        <w:rPr>
          <w:i/>
          <w:iCs/>
        </w:rPr>
        <w:t>DCC</w:t>
      </w:r>
      <w:r>
        <w:t>). It is, then, fed to the absorption column (</w:t>
      </w:r>
      <w:r w:rsidRPr="00254030">
        <w:rPr>
          <w:i/>
          <w:iCs/>
        </w:rPr>
        <w:t>T-102</w:t>
      </w:r>
      <w:r>
        <w:t>)</w:t>
      </w:r>
      <w:r w:rsidR="004266AA">
        <w:t>,</w:t>
      </w:r>
      <w:r>
        <w:t xml:space="preserve"> </w:t>
      </w:r>
      <w:r w:rsidR="004266AA" w:rsidRPr="00674DF5">
        <w:t>where 90 % of the CO</w:t>
      </w:r>
      <w:r w:rsidR="004266AA" w:rsidRPr="00674DF5">
        <w:rPr>
          <w:vertAlign w:val="subscript"/>
        </w:rPr>
        <w:t>2</w:t>
      </w:r>
      <w:r w:rsidR="004266AA" w:rsidRPr="00674DF5">
        <w:t xml:space="preserve"> present in the gaseous stream fed to this unit is removed, </w:t>
      </w:r>
      <w:r w:rsidRPr="00674DF5">
        <w:t>for countercurrent contact with the lean amine solvent entering from the top. The solvent</w:t>
      </w:r>
      <w:r w:rsidR="00C32FB0">
        <w:t xml:space="preserve"> </w:t>
      </w:r>
      <w:r w:rsidRPr="00674DF5">
        <w:t xml:space="preserve">exiting from the bottom of the absorber is </w:t>
      </w:r>
      <w:r w:rsidR="00C32FB0" w:rsidRPr="00674DF5">
        <w:t>rich in CO</w:t>
      </w:r>
      <w:r w:rsidR="00C32FB0" w:rsidRPr="00674DF5">
        <w:rPr>
          <w:vertAlign w:val="subscript"/>
        </w:rPr>
        <w:t>2</w:t>
      </w:r>
      <w:r w:rsidR="00C32FB0">
        <w:t xml:space="preserve">. It is </w:t>
      </w:r>
      <w:r w:rsidRPr="00674DF5">
        <w:t>pumped (</w:t>
      </w:r>
      <w:r w:rsidRPr="00674DF5">
        <w:rPr>
          <w:i/>
          <w:iCs/>
        </w:rPr>
        <w:t>P-101</w:t>
      </w:r>
      <w:r w:rsidRPr="00674DF5">
        <w:t>) and enters a lean-rich process-</w:t>
      </w:r>
      <w:r>
        <w:t>process heat exchanger (</w:t>
      </w:r>
      <w:r w:rsidRPr="00254030">
        <w:rPr>
          <w:i/>
          <w:iCs/>
        </w:rPr>
        <w:t>E-102</w:t>
      </w:r>
      <w:r>
        <w:t>) for heat recovery. In the regeneration column (</w:t>
      </w:r>
      <w:r w:rsidRPr="00254030">
        <w:rPr>
          <w:i/>
          <w:iCs/>
        </w:rPr>
        <w:t>T-103</w:t>
      </w:r>
      <w:r>
        <w:t xml:space="preserve">) the </w:t>
      </w:r>
      <w:r>
        <w:lastRenderedPageBreak/>
        <w:t>solvent is separated from the absorbed CO</w:t>
      </w:r>
      <w:r w:rsidRPr="000A3362">
        <w:rPr>
          <w:vertAlign w:val="subscript"/>
        </w:rPr>
        <w:t>2</w:t>
      </w:r>
      <w:r>
        <w:t xml:space="preserve">, that is recovered at the top of the unit at the exit of the partial condenser operating at 30 °C. The obtained lean solvent, after heat-exchange in the unit </w:t>
      </w:r>
      <w:r w:rsidRPr="00254030">
        <w:rPr>
          <w:i/>
          <w:iCs/>
        </w:rPr>
        <w:t>E-102</w:t>
      </w:r>
      <w:r>
        <w:t xml:space="preserve">, is mixed with the MEA-rich water stream coming from the water wash section and with a make-up stream. It is further cooled in the unit </w:t>
      </w:r>
      <w:r w:rsidRPr="00254030">
        <w:rPr>
          <w:i/>
          <w:iCs/>
        </w:rPr>
        <w:t>E-103</w:t>
      </w:r>
      <w:r>
        <w:t xml:space="preserve"> and is recycled to the absorber.</w:t>
      </w:r>
      <w:r w:rsidR="003E2759">
        <w:t xml:space="preserve"> </w:t>
      </w:r>
      <w:r>
        <w:t>In the DCC a lot of water is separated from the flue gas. It is assumed that this water is employed for the washing of the clean gas to reduce the amine emissions to the atmosphere according to Italian Regulations and for the make-up. Experimental tests on a pilot plant could confirm whether the level of impurities in water is suitable to make its utilization possible for these purposes.</w:t>
      </w:r>
    </w:p>
    <w:p w14:paraId="1B57009E" w14:textId="45A26A50" w:rsidR="005C3C26" w:rsidRPr="00B57B36" w:rsidRDefault="005C3C26" w:rsidP="005C3C26">
      <w:pPr>
        <w:pStyle w:val="CETheadingx"/>
      </w:pPr>
      <w:bookmarkStart w:id="3" w:name="_Ref184393929"/>
      <w:r>
        <w:t>Design of the pilot plant</w:t>
      </w:r>
      <w:bookmarkEnd w:id="3"/>
    </w:p>
    <w:p w14:paraId="2713343D" w14:textId="3AF8DE71" w:rsidR="00A5221A" w:rsidRDefault="00A62587" w:rsidP="00A62587">
      <w:pPr>
        <w:pStyle w:val="CETBodytext"/>
        <w:rPr>
          <w:lang w:val="en-GB"/>
        </w:rPr>
      </w:pPr>
      <w:r>
        <w:rPr>
          <w:lang w:val="en-GB"/>
        </w:rPr>
        <w:t>T</w:t>
      </w:r>
      <w:r w:rsidRPr="00A62587">
        <w:rPr>
          <w:lang w:val="en-GB"/>
        </w:rPr>
        <w:t xml:space="preserve">he pilot plant has been designed </w:t>
      </w:r>
      <w:r>
        <w:rPr>
          <w:lang w:val="en-GB"/>
        </w:rPr>
        <w:t>on the basis of the study carried out for a</w:t>
      </w:r>
      <w:r w:rsidRPr="00A62587">
        <w:rPr>
          <w:lang w:val="en-GB"/>
        </w:rPr>
        <w:t xml:space="preserve"> full scale plant aimed at removing all the non-biogenic CO</w:t>
      </w:r>
      <w:r w:rsidRPr="00A62587">
        <w:rPr>
          <w:vertAlign w:val="subscript"/>
          <w:lang w:val="en-GB"/>
        </w:rPr>
        <w:t>2</w:t>
      </w:r>
      <w:r w:rsidRPr="00A62587">
        <w:rPr>
          <w:lang w:val="en-GB"/>
        </w:rPr>
        <w:t xml:space="preserve"> emitted by the </w:t>
      </w:r>
      <w:proofErr w:type="spellStart"/>
      <w:r w:rsidRPr="00A62587">
        <w:rPr>
          <w:lang w:val="en-GB"/>
        </w:rPr>
        <w:t>WtE</w:t>
      </w:r>
      <w:proofErr w:type="spellEnd"/>
      <w:r w:rsidRPr="00A62587">
        <w:rPr>
          <w:lang w:val="en-GB"/>
        </w:rPr>
        <w:t xml:space="preserve"> plant, </w:t>
      </w:r>
      <w:r>
        <w:rPr>
          <w:lang w:val="en-GB"/>
        </w:rPr>
        <w:t xml:space="preserve">that </w:t>
      </w:r>
      <w:r w:rsidRPr="00674DF5">
        <w:rPr>
          <w:lang w:val="en-GB"/>
        </w:rPr>
        <w:t xml:space="preserve">amounts </w:t>
      </w:r>
      <w:r w:rsidR="00FC674F" w:rsidRPr="00674DF5">
        <w:rPr>
          <w:lang w:val="en-GB"/>
        </w:rPr>
        <w:t xml:space="preserve">to </w:t>
      </w:r>
      <w:r w:rsidRPr="00674DF5">
        <w:rPr>
          <w:lang w:val="en-GB"/>
        </w:rPr>
        <w:t>50</w:t>
      </w:r>
      <w:r w:rsidR="007A0376" w:rsidRPr="00674DF5">
        <w:rPr>
          <w:lang w:val="en-GB"/>
        </w:rPr>
        <w:t xml:space="preserve"> </w:t>
      </w:r>
      <w:r w:rsidRPr="00674DF5">
        <w:rPr>
          <w:lang w:val="en-GB"/>
        </w:rPr>
        <w:t>%</w:t>
      </w:r>
      <w:r w:rsidRPr="00A62587">
        <w:rPr>
          <w:lang w:val="en-GB"/>
        </w:rPr>
        <w:t xml:space="preserve"> of the total</w:t>
      </w:r>
      <w:r>
        <w:rPr>
          <w:lang w:val="en-GB"/>
        </w:rPr>
        <w:t xml:space="preserve"> </w:t>
      </w:r>
      <w:r>
        <w:rPr>
          <w:lang w:val="en-GB"/>
        </w:rPr>
        <w:fldChar w:fldCharType="begin"/>
      </w:r>
      <w:r>
        <w:rPr>
          <w:lang w:val="en-GB"/>
        </w:rPr>
        <w:instrText xml:space="preserve"> ADDIN EN.CITE &lt;EndNote&gt;&lt;Cite&gt;&lt;Author&gt;Moioli&lt;/Author&gt;&lt;Year&gt;2024&lt;/Year&gt;&lt;RecNum&gt;3971&lt;/RecNum&gt;&lt;DisplayText&gt;(Moioli et al., 2024)&lt;/DisplayText&gt;&lt;record&gt;&lt;rec-number&gt;3971&lt;/rec-number&gt;&lt;foreign-keys&gt;&lt;key app="EN" db-id="vdep529fssfr24ertz15wt2bvrvzfeta5w5v" timestamp="1713885279"&gt;3971&lt;/key&gt;&lt;/foreign-keys&gt;&lt;ref-type name="Journal Article"&gt;17&lt;/ref-type&gt;&lt;contributors&gt;&lt;authors&gt;&lt;author&gt;Moioli, Stefania&lt;/author&gt;&lt;author&gt;De Guido, Giorgia&lt;/author&gt;&lt;author&gt;Pellegrini, Laura A.&lt;/author&gt;&lt;author&gt;Fasola, Elisabetta&lt;/author&gt;&lt;author&gt;Riva, Elena Redolfi&lt;/author&gt;&lt;author&gt;Alberti, Davide&lt;/author&gt;&lt;author&gt;Carrara, Adriano&lt;/author&gt;&lt;/authors&gt;&lt;/contributors&gt;&lt;titles&gt;&lt;title&gt;&lt;style face="normal" font="default" size="100%"&gt;Techno-economic assessment of the CO&lt;/style&gt;&lt;style face="subscript" font="default" size="100%"&gt;2&lt;/style&gt;&lt;style face="normal" font="default" size="100%"&gt; value chain with CCUS applied to a waste-to-energy Italian plant&lt;/style&gt;&lt;/title&gt;&lt;secondary-title&gt;Chemical Engineering Science&lt;/secondary-title&gt;&lt;/titles&gt;&lt;periodical&gt;&lt;full-title&gt;Chemical Engineering Science&lt;/full-title&gt;&lt;abbr-1&gt;Chem Eng Sci&lt;/abbr-1&gt;&lt;abbr-2&gt;Chem. Eng. Sci.&lt;/abbr-2&gt;&lt;/periodical&gt;&lt;pages&gt;119717&lt;/pages&gt;&lt;volume&gt;287&lt;/volume&gt;&lt;section&gt;119717&lt;/section&gt;&lt;keywords&gt;&lt;keyword&gt;CCUS&lt;/keyword&gt;&lt;keyword&gt;WtE&lt;/keyword&gt;&lt;keyword&gt;Process design&lt;/keyword&gt;&lt;keyword&gt;CO value chain&lt;/keyword&gt;&lt;/keywords&gt;&lt;dates&gt;&lt;year&gt;2024&lt;/year&gt;&lt;pub-dates&gt;&lt;date&gt;2024/04/05/&lt;/date&gt;&lt;/pub-dates&gt;&lt;/dates&gt;&lt;isbn&gt;0009-2509&lt;/isbn&gt;&lt;urls&gt;&lt;related-urls&gt;&lt;url&gt;https://www.sciencedirect.com/science/article/pii/S0009250924000174&lt;/url&gt;&lt;/related-urls&gt;&lt;/urls&gt;&lt;electronic-resource-num&gt;https://doi.org/10.1016/j.ces.2024.119717&lt;/electronic-resource-num&gt;&lt;/record&gt;&lt;/Cite&gt;&lt;/EndNote&gt;</w:instrText>
      </w:r>
      <w:r>
        <w:rPr>
          <w:lang w:val="en-GB"/>
        </w:rPr>
        <w:fldChar w:fldCharType="separate"/>
      </w:r>
      <w:r>
        <w:rPr>
          <w:noProof/>
          <w:lang w:val="en-GB"/>
        </w:rPr>
        <w:t>(Moioli et al., 2024)</w:t>
      </w:r>
      <w:r>
        <w:rPr>
          <w:lang w:val="en-GB"/>
        </w:rPr>
        <w:fldChar w:fldCharType="end"/>
      </w:r>
      <w:r w:rsidR="005D7CF9">
        <w:rPr>
          <w:lang w:val="en-GB"/>
        </w:rPr>
        <w:t xml:space="preserve"> by </w:t>
      </w:r>
      <w:r w:rsidR="00A05A36">
        <w:rPr>
          <w:lang w:val="en-GB"/>
        </w:rPr>
        <w:t xml:space="preserve">   </w:t>
      </w:r>
      <w:r w:rsidR="005D7CF9">
        <w:rPr>
          <w:lang w:val="en-GB"/>
        </w:rPr>
        <w:t>rate-based simulations in ASPEN Plus</w:t>
      </w:r>
      <w:r w:rsidR="005D7CF9" w:rsidRPr="005D7CF9">
        <w:rPr>
          <w:vertAlign w:val="superscript"/>
          <w:lang w:val="en-GB"/>
        </w:rPr>
        <w:t>®</w:t>
      </w:r>
      <w:r w:rsidR="005D7CF9">
        <w:rPr>
          <w:lang w:val="en-GB"/>
        </w:rPr>
        <w:t xml:space="preserve"> with the thermodynamic model ENRTL-RK</w:t>
      </w:r>
      <w:r w:rsidRPr="00A62587">
        <w:rPr>
          <w:lang w:val="en-GB"/>
        </w:rPr>
        <w:t xml:space="preserve">. </w:t>
      </w:r>
      <w:r>
        <w:rPr>
          <w:lang w:val="en-GB"/>
        </w:rPr>
        <w:t xml:space="preserve">A </w:t>
      </w:r>
      <w:r w:rsidRPr="00A62587">
        <w:rPr>
          <w:lang w:val="en-GB"/>
        </w:rPr>
        <w:t>90</w:t>
      </w:r>
      <w:r w:rsidR="007A0376">
        <w:rPr>
          <w:lang w:val="en-GB"/>
        </w:rPr>
        <w:t xml:space="preserve"> </w:t>
      </w:r>
      <w:r w:rsidRPr="00A62587">
        <w:rPr>
          <w:lang w:val="en-GB"/>
        </w:rPr>
        <w:t>% CO</w:t>
      </w:r>
      <w:r w:rsidRPr="00A62587">
        <w:rPr>
          <w:vertAlign w:val="subscript"/>
          <w:lang w:val="en-GB"/>
        </w:rPr>
        <w:t>2</w:t>
      </w:r>
      <w:r w:rsidRPr="00A62587">
        <w:rPr>
          <w:lang w:val="en-GB"/>
        </w:rPr>
        <w:t xml:space="preserve"> removal has been selected for sizing the units, by analogy to CO</w:t>
      </w:r>
      <w:r w:rsidRPr="00AB5840">
        <w:rPr>
          <w:vertAlign w:val="subscript"/>
          <w:lang w:val="en-GB"/>
        </w:rPr>
        <w:t>2</w:t>
      </w:r>
      <w:r w:rsidRPr="00A62587">
        <w:rPr>
          <w:lang w:val="en-GB"/>
        </w:rPr>
        <w:t xml:space="preserve"> removal sections in coal-fired and NGCC power plants</w:t>
      </w:r>
      <w:r>
        <w:rPr>
          <w:lang w:val="en-GB"/>
        </w:rPr>
        <w:t xml:space="preserve"> </w:t>
      </w:r>
      <w:r>
        <w:rPr>
          <w:lang w:val="en-GB"/>
        </w:rPr>
        <w:fldChar w:fldCharType="begin"/>
      </w:r>
      <w:r>
        <w:rPr>
          <w:lang w:val="en-GB"/>
        </w:rPr>
        <w:instrText xml:space="preserve"> ADDIN EN.CITE &lt;EndNote&gt;&lt;Cite&gt;&lt;Author&gt;Moioli&lt;/Author&gt;&lt;Year&gt;2023&lt;/Year&gt;&lt;RecNum&gt;4120&lt;/RecNum&gt;&lt;DisplayText&gt;(Moioli, 2023)&lt;/DisplayText&gt;&lt;record&gt;&lt;rec-number&gt;4120&lt;/rec-number&gt;&lt;foreign-keys&gt;&lt;key app="EN" db-id="vdep529fssfr24ertz15wt2bvrvzfeta5w5v" timestamp="1733496647"&gt;4120&lt;/key&gt;&lt;/foreign-keys&gt;&lt;ref-type name="Journal Article"&gt;17&lt;/ref-type&gt;&lt;contributors&gt;&lt;authors&gt;&lt;author&gt;Moioli, Stefania&lt;/author&gt;&lt;/authors&gt;&lt;/contributors&gt;&lt;titles&gt;&lt;title&gt;&lt;style face="normal" font="default" size="100%"&gt;Design of the process of CO&lt;/style&gt;&lt;style face="subscript" font="default" size="100%"&gt;2&lt;/style&gt;&lt;style face="normal" font="default" size="100%"&gt; removal in NGCC by potassium taurate solvent&lt;/style&gt;&lt;/title&gt;&lt;secondary-title&gt;Chemical Engineering Research and Design&lt;/secondary-title&gt;&lt;/titles&gt;&lt;periodical&gt;&lt;full-title&gt;Chemical Engineering Research and Design&lt;/full-title&gt;&lt;abbr-1&gt;Chem Eng Res Des&lt;/abbr-1&gt;&lt;abbr-2&gt;Chem. Eng. Res. Des.&lt;/abbr-2&gt;&lt;/periodical&gt;&lt;pages&gt;96-105&lt;/pages&gt;&lt;volume&gt;195&lt;/volume&gt;&lt;section&gt;96&lt;/section&gt;&lt;keywords&gt;&lt;keyword&gt;CO removal&lt;/keyword&gt;&lt;keyword&gt;Potassium taurate solvent&lt;/keyword&gt;&lt;keyword&gt;Process design&lt;/keyword&gt;&lt;keyword&gt;Energy requirement&lt;/keyword&gt;&lt;/keywords&gt;&lt;dates&gt;&lt;year&gt;2023&lt;/year&gt;&lt;pub-dates&gt;&lt;date&gt;2023/07/01/&lt;/date&gt;&lt;/pub-dates&gt;&lt;/dates&gt;&lt;isbn&gt;0263-8762&lt;/isbn&gt;&lt;urls&gt;&lt;related-urls&gt;&lt;url&gt;https://www.sciencedirect.com/science/article/pii/S0263876223003179&lt;/url&gt;&lt;/related-urls&gt;&lt;/urls&gt;&lt;electronic-resource-num&gt;https://doi.org/10.1016/j.cherd.2023.05.027&lt;/electronic-resource-num&gt;&lt;/record&gt;&lt;/Cite&gt;&lt;/EndNote&gt;</w:instrText>
      </w:r>
      <w:r>
        <w:rPr>
          <w:lang w:val="en-GB"/>
        </w:rPr>
        <w:fldChar w:fldCharType="separate"/>
      </w:r>
      <w:r>
        <w:rPr>
          <w:noProof/>
          <w:lang w:val="en-GB"/>
        </w:rPr>
        <w:t>(Moioli, 2023)</w:t>
      </w:r>
      <w:r>
        <w:rPr>
          <w:lang w:val="en-GB"/>
        </w:rPr>
        <w:fldChar w:fldCharType="end"/>
      </w:r>
      <w:r w:rsidRPr="00A62587">
        <w:rPr>
          <w:lang w:val="en-GB"/>
        </w:rPr>
        <w:t>.</w:t>
      </w:r>
      <w:r w:rsidR="00A5221A">
        <w:rPr>
          <w:lang w:val="en-GB"/>
        </w:rPr>
        <w:t xml:space="preserve"> </w:t>
      </w:r>
      <w:r w:rsidRPr="00A62587">
        <w:rPr>
          <w:lang w:val="en-GB"/>
        </w:rPr>
        <w:t xml:space="preserve">The </w:t>
      </w:r>
      <w:r w:rsidR="007C06BB">
        <w:rPr>
          <w:lang w:val="en-GB"/>
        </w:rPr>
        <w:t xml:space="preserve">full-scale </w:t>
      </w:r>
      <w:r w:rsidRPr="00A62587">
        <w:rPr>
          <w:lang w:val="en-GB"/>
        </w:rPr>
        <w:t xml:space="preserve">plant has been </w:t>
      </w:r>
      <w:r w:rsidRPr="00674DF5">
        <w:rPr>
          <w:lang w:val="en-GB"/>
        </w:rPr>
        <w:t>designed</w:t>
      </w:r>
      <w:r w:rsidR="00FC674F" w:rsidRPr="00674DF5">
        <w:rPr>
          <w:lang w:val="en-GB"/>
        </w:rPr>
        <w:t xml:space="preserve"> for minimizing</w:t>
      </w:r>
      <w:r w:rsidRPr="00674DF5">
        <w:rPr>
          <w:lang w:val="en-GB"/>
        </w:rPr>
        <w:t xml:space="preserve"> both the energy consumption and the water consumption in order to limit</w:t>
      </w:r>
      <w:r w:rsidR="00FC674F" w:rsidRPr="00674DF5">
        <w:rPr>
          <w:lang w:val="en-GB"/>
        </w:rPr>
        <w:t xml:space="preserve"> </w:t>
      </w:r>
      <w:r w:rsidRPr="00674DF5">
        <w:rPr>
          <w:lang w:val="en-GB"/>
        </w:rPr>
        <w:t>the reduction of the net power production</w:t>
      </w:r>
      <w:r w:rsidRPr="00A62587">
        <w:rPr>
          <w:lang w:val="en-GB"/>
        </w:rPr>
        <w:t xml:space="preserve"> of the </w:t>
      </w:r>
      <w:proofErr w:type="spellStart"/>
      <w:r w:rsidRPr="00A62587">
        <w:rPr>
          <w:lang w:val="en-GB"/>
        </w:rPr>
        <w:t>WtE</w:t>
      </w:r>
      <w:proofErr w:type="spellEnd"/>
      <w:r w:rsidRPr="00A62587">
        <w:rPr>
          <w:lang w:val="en-GB"/>
        </w:rPr>
        <w:t xml:space="preserve"> plant </w:t>
      </w:r>
      <w:r>
        <w:rPr>
          <w:lang w:val="en-GB"/>
        </w:rPr>
        <w:t xml:space="preserve">and </w:t>
      </w:r>
      <w:r w:rsidRPr="00A62587">
        <w:rPr>
          <w:lang w:val="en-GB"/>
        </w:rPr>
        <w:t>the water consumption. The latter is not usually considered in literature works dealing with the optimization of CO</w:t>
      </w:r>
      <w:r w:rsidRPr="00A62587">
        <w:rPr>
          <w:vertAlign w:val="subscript"/>
          <w:lang w:val="en-GB"/>
        </w:rPr>
        <w:t>2</w:t>
      </w:r>
      <w:r w:rsidRPr="00A62587">
        <w:rPr>
          <w:lang w:val="en-GB"/>
        </w:rPr>
        <w:t xml:space="preserve"> removal schemes</w:t>
      </w:r>
      <w:r w:rsidR="00FC674F" w:rsidRPr="00674DF5">
        <w:rPr>
          <w:lang w:val="en-GB"/>
        </w:rPr>
        <w:t>;</w:t>
      </w:r>
      <w:r w:rsidRPr="00674DF5">
        <w:rPr>
          <w:lang w:val="en-GB"/>
        </w:rPr>
        <w:t xml:space="preserve"> it i</w:t>
      </w:r>
      <w:r w:rsidRPr="00A62587">
        <w:rPr>
          <w:lang w:val="en-GB"/>
        </w:rPr>
        <w:t xml:space="preserve">s taken into account in this </w:t>
      </w:r>
      <w:r>
        <w:rPr>
          <w:lang w:val="en-GB"/>
        </w:rPr>
        <w:t>research project</w:t>
      </w:r>
      <w:r w:rsidRPr="00A62587">
        <w:rPr>
          <w:lang w:val="en-GB"/>
        </w:rPr>
        <w:t xml:space="preserve"> due to the increased attention paid to the environmental issues related to the use and waste of high amounts of water in Italy.</w:t>
      </w:r>
    </w:p>
    <w:p w14:paraId="7C2D3D25" w14:textId="458F331B" w:rsidR="007C06BB" w:rsidRDefault="007C06BB" w:rsidP="00A62587">
      <w:pPr>
        <w:pStyle w:val="CETBodytext"/>
        <w:rPr>
          <w:lang w:val="en-GB"/>
        </w:rPr>
      </w:pPr>
      <w:r w:rsidRPr="007C06BB">
        <w:rPr>
          <w:lang w:val="en-GB"/>
        </w:rPr>
        <w:t xml:space="preserve">The </w:t>
      </w:r>
      <w:r>
        <w:rPr>
          <w:lang w:val="en-GB"/>
        </w:rPr>
        <w:t xml:space="preserve">full-scale </w:t>
      </w:r>
      <w:r w:rsidRPr="007C06BB">
        <w:rPr>
          <w:lang w:val="en-GB"/>
        </w:rPr>
        <w:t>plant, sized for the removal of all the non-biogenic CO</w:t>
      </w:r>
      <w:r w:rsidRPr="007C06BB">
        <w:rPr>
          <w:vertAlign w:val="subscript"/>
          <w:lang w:val="en-GB"/>
        </w:rPr>
        <w:t>2</w:t>
      </w:r>
      <w:r w:rsidRPr="007C06BB">
        <w:rPr>
          <w:lang w:val="en-GB"/>
        </w:rPr>
        <w:t xml:space="preserve"> present in the flue gas assumed to be the 50</w:t>
      </w:r>
      <w:r w:rsidR="00DC2E45">
        <w:rPr>
          <w:lang w:val="en-GB"/>
        </w:rPr>
        <w:t xml:space="preserve"> </w:t>
      </w:r>
      <w:r w:rsidRPr="007C06BB">
        <w:rPr>
          <w:lang w:val="en-GB"/>
        </w:rPr>
        <w:t xml:space="preserve">% of the total, has then been scaled down </w:t>
      </w:r>
      <w:r w:rsidR="0010536A">
        <w:rPr>
          <w:lang w:val="en-GB"/>
        </w:rPr>
        <w:fldChar w:fldCharType="begin"/>
      </w:r>
      <w:r w:rsidR="0010536A">
        <w:rPr>
          <w:lang w:val="en-GB"/>
        </w:rPr>
        <w:instrText xml:space="preserve"> ADDIN EN.CITE &lt;EndNote&gt;&lt;Cite&gt;&lt;Author&gt;Moioli&lt;/Author&gt;&lt;Year&gt;2023&lt;/Year&gt;&lt;RecNum&gt;3954&lt;/RecNum&gt;&lt;DisplayText&gt;(Moioli et al., 2023)&lt;/DisplayText&gt;&lt;record&gt;&lt;rec-number&gt;3954&lt;/rec-number&gt;&lt;foreign-keys&gt;&lt;key app="EN" db-id="vdep529fssfr24ertz15wt2bvrvzfeta5w5v" timestamp="1689946268"&gt;3954&lt;/key&gt;&lt;/foreign-keys&gt;&lt;ref-type name="Conference Proceedings"&gt;10&lt;/ref-type&gt;&lt;contributors&gt;&lt;authors&gt;&lt;author&gt;Moioli, S.&lt;/author&gt;&lt;author&gt;De Guido, G.&lt;/author&gt;&lt;author&gt;Pellegrini, L.A.&lt;/author&gt;&lt;author&gt;Fasola, E.&lt;/author&gt;&lt;author&gt;Alberti, D.&lt;/author&gt;&lt;author&gt;Carrara, A.&lt;/author&gt;&lt;/authors&gt;&lt;/contributors&gt;&lt;titles&gt;&lt;title&gt;Case Study for the Application of CCUS to a Waste-to-Energy Italian Plant&lt;/title&gt;&lt;secondary-title&gt;&lt;style face="normal" font="default" size="100%"&gt;9&lt;/style&gt;&lt;style face="superscript" font="default" size="100%"&gt;th&lt;/style&gt;&lt;style face="normal" font="default" size="100%"&gt; International Acid Gas Injection, CCS, CCUS, CO&lt;/style&gt;&lt;style face="subscript" font="default" size="100%"&gt;2&lt;/style&gt;&lt;style face="normal" font="default" size="100%"&gt; EOR Symposium (AGIS IX)&lt;/style&gt;&lt;/secondary-title&gt;&lt;/titles&gt;&lt;dates&gt;&lt;year&gt;2023&lt;/year&gt;&lt;/dates&gt;&lt;pub-location&gt;Calgary, Alberta&lt;/pub-location&gt;&lt;urls&gt;&lt;/urls&gt;&lt;/record&gt;&lt;/Cite&gt;&lt;/EndNote&gt;</w:instrText>
      </w:r>
      <w:r w:rsidR="0010536A">
        <w:rPr>
          <w:lang w:val="en-GB"/>
        </w:rPr>
        <w:fldChar w:fldCharType="separate"/>
      </w:r>
      <w:r w:rsidR="0010536A">
        <w:rPr>
          <w:noProof/>
          <w:lang w:val="en-GB"/>
        </w:rPr>
        <w:t>(Moioli et al., 2023)</w:t>
      </w:r>
      <w:r w:rsidR="0010536A">
        <w:rPr>
          <w:lang w:val="en-GB"/>
        </w:rPr>
        <w:fldChar w:fldCharType="end"/>
      </w:r>
      <w:r w:rsidR="0010536A">
        <w:rPr>
          <w:lang w:val="en-GB"/>
        </w:rPr>
        <w:t xml:space="preserve"> </w:t>
      </w:r>
      <w:r w:rsidRPr="007C06BB">
        <w:rPr>
          <w:lang w:val="en-GB"/>
        </w:rPr>
        <w:t>for evaluating the performances of a pilot plant able to remove 2500 t of CO</w:t>
      </w:r>
      <w:r w:rsidRPr="007C06BB">
        <w:rPr>
          <w:vertAlign w:val="subscript"/>
          <w:lang w:val="en-GB"/>
        </w:rPr>
        <w:t>2</w:t>
      </w:r>
      <w:r w:rsidRPr="007C06BB">
        <w:rPr>
          <w:lang w:val="en-GB"/>
        </w:rPr>
        <w:t xml:space="preserve"> per year</w:t>
      </w:r>
      <w:r w:rsidR="006936FA">
        <w:rPr>
          <w:lang w:val="en-GB"/>
        </w:rPr>
        <w:t xml:space="preserve"> (a value close to the one of </w:t>
      </w:r>
      <w:proofErr w:type="spellStart"/>
      <w:r w:rsidR="006936FA" w:rsidRPr="00674DF5">
        <w:rPr>
          <w:lang w:val="en-GB"/>
        </w:rPr>
        <w:t>Twence</w:t>
      </w:r>
      <w:proofErr w:type="spellEnd"/>
      <w:r w:rsidR="00FC674F" w:rsidRPr="00674DF5">
        <w:rPr>
          <w:lang w:val="en-GB"/>
        </w:rPr>
        <w:t>:</w:t>
      </w:r>
      <w:r w:rsidR="00FC674F">
        <w:rPr>
          <w:lang w:val="en-GB"/>
        </w:rPr>
        <w:t xml:space="preserve"> </w:t>
      </w:r>
      <w:r w:rsidR="006936FA">
        <w:rPr>
          <w:lang w:val="en-GB"/>
        </w:rPr>
        <w:t>3</w:t>
      </w:r>
      <w:r w:rsidR="00167247" w:rsidRPr="00167247">
        <w:rPr>
          <w:lang w:val="en-GB"/>
        </w:rPr>
        <w:t xml:space="preserve"> </w:t>
      </w:r>
      <w:r w:rsidR="006936FA">
        <w:rPr>
          <w:lang w:val="en-GB"/>
        </w:rPr>
        <w:t>kt of CO</w:t>
      </w:r>
      <w:r w:rsidR="006936FA">
        <w:rPr>
          <w:vertAlign w:val="subscript"/>
          <w:lang w:val="en-GB"/>
        </w:rPr>
        <w:t>2</w:t>
      </w:r>
      <w:r w:rsidR="006936FA">
        <w:rPr>
          <w:lang w:val="en-GB"/>
        </w:rPr>
        <w:t xml:space="preserve"> per year </w:t>
      </w:r>
      <w:r w:rsidR="006936FA">
        <w:rPr>
          <w:lang w:val="en-GB"/>
        </w:rPr>
        <w:fldChar w:fldCharType="begin"/>
      </w:r>
      <w:r w:rsidR="006936FA">
        <w:rPr>
          <w:lang w:val="en-GB"/>
        </w:rPr>
        <w:instrText xml:space="preserve"> ADDIN EN.CITE &lt;EndNote&gt;&lt;Cite&gt;&lt;Author&gt;De Vries&lt;/Author&gt;&lt;Year&gt;2019&lt;/Year&gt;&lt;RecNum&gt;4121&lt;/RecNum&gt;&lt;DisplayText&gt;(De Vries and De Jong, 2019)&lt;/DisplayText&gt;&lt;record&gt;&lt;rec-number&gt;4121&lt;/rec-number&gt;&lt;foreign-keys&gt;&lt;key app="EN" db-id="vdep529fssfr24ertz15wt2bvrvzfeta5w5v" timestamp="1733504820"&gt;4121&lt;/key&gt;&lt;/foreign-keys&gt;&lt;ref-type name="Conference Proceedings"&gt;10&lt;/ref-type&gt;&lt;contributors&gt;&lt;authors&gt;&lt;author&gt;De Vries, R.&lt;/author&gt;&lt;author&gt;De Jong, W.&lt;/author&gt;&lt;/authors&gt;&lt;/contributors&gt;&lt;titles&gt;&lt;title&gt;CCU at Twence Status from Pilot to Demonstration&lt;/title&gt;&lt;secondary-title&gt;Workshop on EU funding opportunities for CCU projects&lt;/secondary-title&gt;&lt;/titles&gt;&lt;dates&gt;&lt;year&gt;2019&lt;/year&gt;&lt;pub-dates&gt;&lt;date&gt;&lt;style face="normal" font="default" size="100%"&gt;September 19&lt;/style&gt;&lt;style face="superscript" font="default" size="100%"&gt;th&lt;/style&gt;&lt;style face="normal" font="default" size="100%"&gt;, 2019&lt;/style&gt;&lt;/date&gt;&lt;/pub-dates&gt;&lt;/dates&gt;&lt;pub-location&gt;Brussels, Luxembourg&lt;/pub-location&gt;&lt;urls&gt;&lt;related-urls&gt;&lt;url&gt;https://co2value.eu/wp-content/uploads/2022/05/Twence.pdf&lt;/url&gt;&lt;/related-urls&gt;&lt;/urls&gt;&lt;/record&gt;&lt;/Cite&gt;&lt;/EndNote&gt;</w:instrText>
      </w:r>
      <w:r w:rsidR="006936FA">
        <w:rPr>
          <w:lang w:val="en-GB"/>
        </w:rPr>
        <w:fldChar w:fldCharType="separate"/>
      </w:r>
      <w:r w:rsidR="006936FA">
        <w:rPr>
          <w:noProof/>
          <w:lang w:val="en-GB"/>
        </w:rPr>
        <w:t>(De Vries and De Jong, 2019)</w:t>
      </w:r>
      <w:r w:rsidR="006936FA">
        <w:rPr>
          <w:lang w:val="en-GB"/>
        </w:rPr>
        <w:fldChar w:fldCharType="end"/>
      </w:r>
      <w:r w:rsidR="006936FA">
        <w:rPr>
          <w:lang w:val="en-GB"/>
        </w:rPr>
        <w:t>)</w:t>
      </w:r>
      <w:r w:rsidRPr="007C06BB">
        <w:rPr>
          <w:lang w:val="en-GB"/>
        </w:rPr>
        <w:t>, by maintaining the target of 90</w:t>
      </w:r>
      <w:r w:rsidR="007A0376">
        <w:rPr>
          <w:lang w:val="en-GB"/>
        </w:rPr>
        <w:t xml:space="preserve"> </w:t>
      </w:r>
      <w:r w:rsidRPr="007C06BB">
        <w:rPr>
          <w:lang w:val="en-GB"/>
        </w:rPr>
        <w:t>% CO</w:t>
      </w:r>
      <w:r w:rsidRPr="007C06BB">
        <w:rPr>
          <w:vertAlign w:val="subscript"/>
          <w:lang w:val="en-GB"/>
        </w:rPr>
        <w:t>2</w:t>
      </w:r>
      <w:r w:rsidRPr="007C06BB">
        <w:rPr>
          <w:lang w:val="en-GB"/>
        </w:rPr>
        <w:t xml:space="preserve"> removal for sizing the units</w:t>
      </w:r>
      <w:r w:rsidR="00C32FB0">
        <w:rPr>
          <w:lang w:val="en-GB"/>
        </w:rPr>
        <w:t xml:space="preserve"> (case A)</w:t>
      </w:r>
      <w:r w:rsidRPr="007C06BB">
        <w:rPr>
          <w:lang w:val="en-GB"/>
        </w:rPr>
        <w:t>.</w:t>
      </w:r>
      <w:r w:rsidR="006936FA">
        <w:rPr>
          <w:lang w:val="en-GB"/>
        </w:rPr>
        <w:t xml:space="preserve"> Then, the flue gas flowrate for an absorber with a smaller diameter (about 0.4 m) has been estimated and a smaller pilot plant has been considered</w:t>
      </w:r>
      <w:r w:rsidR="00C32FB0">
        <w:rPr>
          <w:lang w:val="en-GB"/>
        </w:rPr>
        <w:t xml:space="preserve"> (case B)</w:t>
      </w:r>
      <w:r w:rsidR="006936FA">
        <w:rPr>
          <w:lang w:val="en-GB"/>
        </w:rPr>
        <w:t>.</w:t>
      </w:r>
      <w:r w:rsidR="00DC2E45">
        <w:rPr>
          <w:lang w:val="en-GB"/>
        </w:rPr>
        <w:t xml:space="preserve"> </w:t>
      </w:r>
      <w:r w:rsidR="00DC2E45" w:rsidRPr="00A5221A">
        <w:rPr>
          <w:lang w:val="en-GB"/>
        </w:rPr>
        <w:t>The analysis of the fluid dynamics of the columns</w:t>
      </w:r>
      <w:r w:rsidR="00DC2E45">
        <w:rPr>
          <w:lang w:val="en-GB"/>
        </w:rPr>
        <w:t xml:space="preserve"> for both the two sizes has been carried out to evaluate the operating range of the pilot plant.</w:t>
      </w:r>
    </w:p>
    <w:p w14:paraId="72B732E8" w14:textId="03B80C07" w:rsidR="00951E97" w:rsidRDefault="00173E58" w:rsidP="00951E97">
      <w:pPr>
        <w:pStyle w:val="CETHeading1"/>
        <w:rPr>
          <w:lang w:val="en-GB"/>
        </w:rPr>
      </w:pPr>
      <w:r>
        <w:rPr>
          <w:lang w:val="en-GB"/>
        </w:rPr>
        <w:t>Results and Discussion</w:t>
      </w:r>
    </w:p>
    <w:p w14:paraId="4AF51CC2" w14:textId="77777777" w:rsidR="00C32FB0" w:rsidRDefault="00C32FB0" w:rsidP="00C32FB0">
      <w:pPr>
        <w:pStyle w:val="CETheadingx"/>
      </w:pPr>
      <w:r>
        <w:t>Case A</w:t>
      </w:r>
    </w:p>
    <w:p w14:paraId="57E97076" w14:textId="6AB86016" w:rsidR="007C06BB" w:rsidRPr="00B57B36" w:rsidRDefault="00C32FB0" w:rsidP="00417CD9">
      <w:pPr>
        <w:pStyle w:val="CETheadingx"/>
        <w:numPr>
          <w:ilvl w:val="0"/>
          <w:numId w:val="0"/>
        </w:numPr>
      </w:pPr>
      <w:r>
        <w:t xml:space="preserve">4.1.1 </w:t>
      </w:r>
      <w:r w:rsidR="007C06BB">
        <w:t>Sizing of the plant for removing 2500 t</w:t>
      </w:r>
      <w:r w:rsidR="007C06BB" w:rsidRPr="00C32FB0">
        <w:rPr>
          <w:vertAlign w:val="subscript"/>
        </w:rPr>
        <w:t>CO2</w:t>
      </w:r>
      <w:r w:rsidR="007C06BB">
        <w:t>/y</w:t>
      </w:r>
    </w:p>
    <w:p w14:paraId="069675D7" w14:textId="34C30BC4" w:rsidR="007C06BB" w:rsidRDefault="00411579" w:rsidP="00173E58">
      <w:pPr>
        <w:pStyle w:val="CETBodytext"/>
      </w:pPr>
      <w:r>
        <w:t>The main characteristics of the columns of the pilot plant for absorbing 2500 t</w:t>
      </w:r>
      <w:r w:rsidRPr="00411579">
        <w:rPr>
          <w:vertAlign w:val="subscript"/>
        </w:rPr>
        <w:t>CO2</w:t>
      </w:r>
      <w:r>
        <w:t>/y</w:t>
      </w:r>
      <w:r w:rsidR="00A5221A">
        <w:t xml:space="preserve"> </w:t>
      </w:r>
      <w:r w:rsidR="00A5221A">
        <w:fldChar w:fldCharType="begin"/>
      </w:r>
      <w:r w:rsidR="00A5221A">
        <w:instrText xml:space="preserve"> ADDIN EN.CITE &lt;EndNote&gt;&lt;Cite&gt;&lt;Author&gt;Moioli&lt;/Author&gt;&lt;Year&gt;2023&lt;/Year&gt;&lt;RecNum&gt;3954&lt;/RecNum&gt;&lt;DisplayText&gt;(Moioli et al., 2023)&lt;/DisplayText&gt;&lt;record&gt;&lt;rec-number&gt;3954&lt;/rec-number&gt;&lt;foreign-keys&gt;&lt;key app="EN" db-id="vdep529fssfr24ertz15wt2bvrvzfeta5w5v" timestamp="1689946268"&gt;3954&lt;/key&gt;&lt;/foreign-keys&gt;&lt;ref-type name="Conference Proceedings"&gt;10&lt;/ref-type&gt;&lt;contributors&gt;&lt;authors&gt;&lt;author&gt;Moioli, S.&lt;/author&gt;&lt;author&gt;De Guido, G.&lt;/author&gt;&lt;author&gt;Pellegrini, L.A.&lt;/author&gt;&lt;author&gt;Fasola, E.&lt;/author&gt;&lt;author&gt;Alberti, D.&lt;/author&gt;&lt;author&gt;Carrara, A.&lt;/author&gt;&lt;/authors&gt;&lt;/contributors&gt;&lt;titles&gt;&lt;title&gt;Case Study for the Application of CCUS to a Waste-to-Energy Italian Plant&lt;/title&gt;&lt;secondary-title&gt;&lt;style face="normal" font="default" size="100%"&gt;9&lt;/style&gt;&lt;style face="superscript" font="default" size="100%"&gt;th&lt;/style&gt;&lt;style face="normal" font="default" size="100%"&gt; International Acid Gas Injection, CCS, CCUS, CO&lt;/style&gt;&lt;style face="subscript" font="default" size="100%"&gt;2&lt;/style&gt;&lt;style face="normal" font="default" size="100%"&gt; EOR Symposium (AGIS IX)&lt;/style&gt;&lt;/secondary-title&gt;&lt;/titles&gt;&lt;dates&gt;&lt;year&gt;2023&lt;/year&gt;&lt;/dates&gt;&lt;pub-location&gt;Calgary, Alberta&lt;/pub-location&gt;&lt;urls&gt;&lt;/urls&gt;&lt;/record&gt;&lt;/Cite&gt;&lt;/EndNote&gt;</w:instrText>
      </w:r>
      <w:r w:rsidR="00A5221A">
        <w:fldChar w:fldCharType="separate"/>
      </w:r>
      <w:r w:rsidR="00A5221A">
        <w:rPr>
          <w:noProof/>
        </w:rPr>
        <w:t>(Moioli et al., 2023)</w:t>
      </w:r>
      <w:r w:rsidR="00A5221A">
        <w:fldChar w:fldCharType="end"/>
      </w:r>
      <w:r>
        <w:t xml:space="preserve">, determined as described in </w:t>
      </w:r>
      <w:r w:rsidRPr="00411579">
        <w:t>Section</w:t>
      </w:r>
      <w:r>
        <w:t xml:space="preserve"> </w:t>
      </w:r>
      <w:r>
        <w:fldChar w:fldCharType="begin"/>
      </w:r>
      <w:r>
        <w:instrText xml:space="preserve"> REF _Ref184393929 \r \h </w:instrText>
      </w:r>
      <w:r>
        <w:fldChar w:fldCharType="separate"/>
      </w:r>
      <w:r w:rsidR="000A3362">
        <w:t>3.2</w:t>
      </w:r>
      <w:r>
        <w:fldChar w:fldCharType="end"/>
      </w:r>
      <w:r>
        <w:t xml:space="preserve">, </w:t>
      </w:r>
      <w:r w:rsidRPr="00411579">
        <w:t>are</w:t>
      </w:r>
      <w:r>
        <w:t xml:space="preserve"> reported in </w:t>
      </w:r>
      <w:r>
        <w:fldChar w:fldCharType="begin"/>
      </w:r>
      <w:r>
        <w:instrText xml:space="preserve"> REF _Ref184393882 \h </w:instrText>
      </w:r>
      <w:r>
        <w:fldChar w:fldCharType="separate"/>
      </w:r>
      <w:r w:rsidR="000A3362">
        <w:t xml:space="preserve">Table </w:t>
      </w:r>
      <w:r w:rsidR="000A3362">
        <w:rPr>
          <w:noProof/>
        </w:rPr>
        <w:t>1</w:t>
      </w:r>
      <w:r>
        <w:fldChar w:fldCharType="end"/>
      </w:r>
      <w:r>
        <w:t>.</w:t>
      </w:r>
      <w:r w:rsidR="00254030">
        <w:t xml:space="preserve"> The flue gas flowrate is equal to 2942.79 kg/h and the solvent flowrate needed is 4949.67 kg/h.</w:t>
      </w:r>
    </w:p>
    <w:p w14:paraId="13F62355" w14:textId="63C3D333" w:rsidR="007C06BB" w:rsidRPr="007C06BB" w:rsidRDefault="00411579" w:rsidP="00411579">
      <w:pPr>
        <w:pStyle w:val="CETTabletitle"/>
        <w:rPr>
          <w:lang w:val="en-US"/>
        </w:rPr>
      </w:pPr>
      <w:bookmarkStart w:id="4" w:name="_Ref184393882"/>
      <w:r>
        <w:t xml:space="preserve">Table </w:t>
      </w:r>
      <w:r>
        <w:fldChar w:fldCharType="begin"/>
      </w:r>
      <w:r>
        <w:instrText xml:space="preserve"> SEQ Table \* ARABIC </w:instrText>
      </w:r>
      <w:r>
        <w:fldChar w:fldCharType="separate"/>
      </w:r>
      <w:r w:rsidR="000A3362">
        <w:rPr>
          <w:noProof/>
        </w:rPr>
        <w:t>1</w:t>
      </w:r>
      <w:r>
        <w:fldChar w:fldCharType="end"/>
      </w:r>
      <w:bookmarkEnd w:id="4"/>
      <w:r w:rsidRPr="00B57B36">
        <w:t xml:space="preserve">: </w:t>
      </w:r>
      <w:r>
        <w:t>Main characteristics of the columns of the pilot plant sized to remove 2500 t</w:t>
      </w:r>
      <w:r w:rsidRPr="00411579">
        <w:rPr>
          <w:vertAlign w:val="subscript"/>
        </w:rPr>
        <w:t>CO2</w:t>
      </w:r>
      <w:r>
        <w:t>/y</w:t>
      </w:r>
      <w:r w:rsidR="00C32FB0">
        <w:t xml:space="preserve"> (Case A)</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44"/>
        <w:gridCol w:w="1417"/>
        <w:gridCol w:w="1417"/>
        <w:gridCol w:w="1417"/>
        <w:gridCol w:w="1417"/>
      </w:tblGrid>
      <w:tr w:rsidR="007C06BB" w:rsidRPr="00B57B36" w14:paraId="66DC9874" w14:textId="77777777" w:rsidTr="007C06BB">
        <w:tc>
          <w:tcPr>
            <w:tcW w:w="1644" w:type="dxa"/>
            <w:tcBorders>
              <w:top w:val="single" w:sz="12" w:space="0" w:color="008000"/>
              <w:bottom w:val="single" w:sz="6" w:space="0" w:color="008000"/>
            </w:tcBorders>
            <w:shd w:val="clear" w:color="auto" w:fill="FFFFFF"/>
          </w:tcPr>
          <w:p w14:paraId="4A183E38" w14:textId="5ED46CB6" w:rsidR="007C06BB" w:rsidRPr="00B57B36" w:rsidRDefault="007C06BB" w:rsidP="007C06BB">
            <w:pPr>
              <w:pStyle w:val="CETBodytext"/>
              <w:rPr>
                <w:lang w:val="en-GB"/>
              </w:rPr>
            </w:pPr>
          </w:p>
        </w:tc>
        <w:tc>
          <w:tcPr>
            <w:tcW w:w="1417" w:type="dxa"/>
            <w:tcBorders>
              <w:top w:val="single" w:sz="12" w:space="0" w:color="008000"/>
              <w:bottom w:val="single" w:sz="6" w:space="0" w:color="008000"/>
            </w:tcBorders>
            <w:shd w:val="clear" w:color="auto" w:fill="FFFFFF"/>
          </w:tcPr>
          <w:p w14:paraId="1F17D38C" w14:textId="4D926D42" w:rsidR="007C06BB" w:rsidRPr="00B57B36" w:rsidRDefault="007C06BB" w:rsidP="007C06BB">
            <w:pPr>
              <w:pStyle w:val="CETBodytext"/>
              <w:rPr>
                <w:lang w:val="en-GB"/>
              </w:rPr>
            </w:pPr>
            <w:r w:rsidRPr="00FC7FAB">
              <w:t>T-101</w:t>
            </w:r>
          </w:p>
        </w:tc>
        <w:tc>
          <w:tcPr>
            <w:tcW w:w="1417" w:type="dxa"/>
            <w:tcBorders>
              <w:top w:val="single" w:sz="12" w:space="0" w:color="008000"/>
              <w:bottom w:val="single" w:sz="6" w:space="0" w:color="008000"/>
            </w:tcBorders>
            <w:shd w:val="clear" w:color="auto" w:fill="FFFFFF"/>
          </w:tcPr>
          <w:p w14:paraId="701B563B" w14:textId="268331E5" w:rsidR="007C06BB" w:rsidRPr="00B57B36" w:rsidRDefault="007C06BB" w:rsidP="007C06BB">
            <w:pPr>
              <w:pStyle w:val="CETBodytext"/>
              <w:rPr>
                <w:lang w:val="en-GB"/>
              </w:rPr>
            </w:pPr>
            <w:r w:rsidRPr="00FC7FAB">
              <w:t>T-102</w:t>
            </w:r>
          </w:p>
        </w:tc>
        <w:tc>
          <w:tcPr>
            <w:tcW w:w="1417" w:type="dxa"/>
            <w:tcBorders>
              <w:top w:val="single" w:sz="12" w:space="0" w:color="008000"/>
              <w:bottom w:val="single" w:sz="6" w:space="0" w:color="008000"/>
            </w:tcBorders>
            <w:shd w:val="clear" w:color="auto" w:fill="FFFFFF"/>
          </w:tcPr>
          <w:p w14:paraId="63C8145C" w14:textId="121DE5C0" w:rsidR="007C06BB" w:rsidRPr="00B57B36" w:rsidRDefault="007C06BB" w:rsidP="007C06BB">
            <w:pPr>
              <w:pStyle w:val="CETBodytext"/>
              <w:ind w:right="-1"/>
              <w:rPr>
                <w:rFonts w:cs="Arial"/>
                <w:szCs w:val="18"/>
                <w:lang w:val="en-GB"/>
              </w:rPr>
            </w:pPr>
            <w:r w:rsidRPr="00FC7FAB">
              <w:t>water-wash</w:t>
            </w:r>
          </w:p>
        </w:tc>
        <w:tc>
          <w:tcPr>
            <w:tcW w:w="1417" w:type="dxa"/>
            <w:tcBorders>
              <w:top w:val="single" w:sz="12" w:space="0" w:color="008000"/>
              <w:bottom w:val="single" w:sz="6" w:space="0" w:color="008000"/>
            </w:tcBorders>
            <w:shd w:val="clear" w:color="auto" w:fill="FFFFFF"/>
          </w:tcPr>
          <w:p w14:paraId="0DC2023D" w14:textId="2003BC23" w:rsidR="007C06BB" w:rsidRPr="00B57B36" w:rsidRDefault="007C06BB" w:rsidP="007C06BB">
            <w:pPr>
              <w:pStyle w:val="CETBodytext"/>
              <w:ind w:right="-1"/>
              <w:rPr>
                <w:rFonts w:cs="Arial"/>
                <w:szCs w:val="18"/>
                <w:lang w:val="en-GB"/>
              </w:rPr>
            </w:pPr>
            <w:r w:rsidRPr="00FC7FAB">
              <w:t>T-103</w:t>
            </w:r>
          </w:p>
        </w:tc>
      </w:tr>
      <w:tr w:rsidR="007C06BB" w:rsidRPr="00B57B36" w14:paraId="2A07691D" w14:textId="77777777" w:rsidTr="007C06BB">
        <w:tc>
          <w:tcPr>
            <w:tcW w:w="1644" w:type="dxa"/>
            <w:shd w:val="clear" w:color="auto" w:fill="FFFFFF"/>
          </w:tcPr>
          <w:p w14:paraId="37D1801E" w14:textId="4464E248" w:rsidR="007C06BB" w:rsidRPr="00B57B36" w:rsidRDefault="007C06BB" w:rsidP="007C06BB">
            <w:pPr>
              <w:pStyle w:val="CETBodytext"/>
              <w:rPr>
                <w:lang w:val="en-GB"/>
              </w:rPr>
            </w:pPr>
            <w:r w:rsidRPr="00FC7FAB">
              <w:t>Packing height [m]</w:t>
            </w:r>
          </w:p>
        </w:tc>
        <w:tc>
          <w:tcPr>
            <w:tcW w:w="1417" w:type="dxa"/>
            <w:shd w:val="clear" w:color="auto" w:fill="FFFFFF"/>
          </w:tcPr>
          <w:p w14:paraId="7B2CE0E7" w14:textId="6D49BF31" w:rsidR="007C06BB" w:rsidRPr="00B57B36" w:rsidRDefault="007C06BB" w:rsidP="007C06BB">
            <w:pPr>
              <w:pStyle w:val="CETBodytext"/>
              <w:rPr>
                <w:lang w:val="en-GB"/>
              </w:rPr>
            </w:pPr>
            <w:r w:rsidRPr="00FC7FAB">
              <w:t>5</w:t>
            </w:r>
          </w:p>
        </w:tc>
        <w:tc>
          <w:tcPr>
            <w:tcW w:w="1417" w:type="dxa"/>
            <w:shd w:val="clear" w:color="auto" w:fill="FFFFFF"/>
          </w:tcPr>
          <w:p w14:paraId="03BCEE3D" w14:textId="4138AF3D" w:rsidR="007C06BB" w:rsidRPr="00B57B36" w:rsidRDefault="007C06BB" w:rsidP="007C06BB">
            <w:pPr>
              <w:pStyle w:val="CETBodytext"/>
              <w:rPr>
                <w:lang w:val="en-GB"/>
              </w:rPr>
            </w:pPr>
            <w:r w:rsidRPr="00FC7FAB">
              <w:t>16</w:t>
            </w:r>
          </w:p>
        </w:tc>
        <w:tc>
          <w:tcPr>
            <w:tcW w:w="1417" w:type="dxa"/>
            <w:shd w:val="clear" w:color="auto" w:fill="FFFFFF"/>
          </w:tcPr>
          <w:p w14:paraId="020C586E" w14:textId="36A79B7D" w:rsidR="007C06BB" w:rsidRPr="00B57B36" w:rsidRDefault="007C06BB" w:rsidP="007C06BB">
            <w:pPr>
              <w:pStyle w:val="CETBodytext"/>
              <w:ind w:right="-1"/>
              <w:rPr>
                <w:rFonts w:cs="Arial"/>
                <w:szCs w:val="18"/>
                <w:lang w:val="en-GB"/>
              </w:rPr>
            </w:pPr>
            <w:r w:rsidRPr="00FC7FAB">
              <w:t>4</w:t>
            </w:r>
          </w:p>
        </w:tc>
        <w:tc>
          <w:tcPr>
            <w:tcW w:w="1417" w:type="dxa"/>
            <w:shd w:val="clear" w:color="auto" w:fill="FFFFFF"/>
          </w:tcPr>
          <w:p w14:paraId="2EA92544" w14:textId="5704EC91" w:rsidR="007C06BB" w:rsidRPr="00B57B36" w:rsidRDefault="007C06BB" w:rsidP="007C06BB">
            <w:pPr>
              <w:pStyle w:val="CETBodytext"/>
              <w:ind w:right="-1"/>
              <w:rPr>
                <w:rFonts w:cs="Arial"/>
                <w:szCs w:val="18"/>
                <w:lang w:val="en-GB"/>
              </w:rPr>
            </w:pPr>
            <w:r w:rsidRPr="00FC7FAB">
              <w:t>10</w:t>
            </w:r>
          </w:p>
        </w:tc>
      </w:tr>
      <w:tr w:rsidR="007C06BB" w:rsidRPr="00B57B36" w14:paraId="620CFE20" w14:textId="77777777" w:rsidTr="007C06BB">
        <w:tc>
          <w:tcPr>
            <w:tcW w:w="1644" w:type="dxa"/>
            <w:shd w:val="clear" w:color="auto" w:fill="FFFFFF"/>
          </w:tcPr>
          <w:p w14:paraId="7532C4AE" w14:textId="72F44E90" w:rsidR="007C06BB" w:rsidRPr="00B57B36" w:rsidRDefault="007C06BB" w:rsidP="007C06BB">
            <w:pPr>
              <w:pStyle w:val="CETBodytext"/>
              <w:rPr>
                <w:lang w:val="en-GB"/>
              </w:rPr>
            </w:pPr>
            <w:r w:rsidRPr="00FC7FAB">
              <w:t>Diameter [m]</w:t>
            </w:r>
          </w:p>
        </w:tc>
        <w:tc>
          <w:tcPr>
            <w:tcW w:w="1417" w:type="dxa"/>
            <w:shd w:val="clear" w:color="auto" w:fill="FFFFFF"/>
          </w:tcPr>
          <w:p w14:paraId="37B04F6E" w14:textId="2176ECFD" w:rsidR="007C06BB" w:rsidRPr="00B57B36" w:rsidRDefault="007C06BB" w:rsidP="007C06BB">
            <w:pPr>
              <w:pStyle w:val="CETBodytext"/>
              <w:rPr>
                <w:lang w:val="en-GB"/>
              </w:rPr>
            </w:pPr>
            <w:r w:rsidRPr="00FC7FAB">
              <w:t>0.55</w:t>
            </w:r>
          </w:p>
        </w:tc>
        <w:tc>
          <w:tcPr>
            <w:tcW w:w="1417" w:type="dxa"/>
            <w:shd w:val="clear" w:color="auto" w:fill="FFFFFF"/>
          </w:tcPr>
          <w:p w14:paraId="01E4117F" w14:textId="6A6E775B" w:rsidR="007C06BB" w:rsidRPr="00B57B36" w:rsidRDefault="007C06BB" w:rsidP="007C06BB">
            <w:pPr>
              <w:pStyle w:val="CETBodytext"/>
              <w:rPr>
                <w:lang w:val="en-GB"/>
              </w:rPr>
            </w:pPr>
            <w:r w:rsidRPr="00FC7FAB">
              <w:t>0.55</w:t>
            </w:r>
          </w:p>
        </w:tc>
        <w:tc>
          <w:tcPr>
            <w:tcW w:w="1417" w:type="dxa"/>
            <w:shd w:val="clear" w:color="auto" w:fill="FFFFFF"/>
          </w:tcPr>
          <w:p w14:paraId="257FE325" w14:textId="2AE5C8E8" w:rsidR="007C06BB" w:rsidRPr="00B57B36" w:rsidRDefault="007C06BB" w:rsidP="007C06BB">
            <w:pPr>
              <w:pStyle w:val="CETBodytext"/>
              <w:ind w:right="-1"/>
              <w:rPr>
                <w:rFonts w:cs="Arial"/>
                <w:szCs w:val="18"/>
                <w:lang w:val="en-GB"/>
              </w:rPr>
            </w:pPr>
            <w:r w:rsidRPr="00FC7FAB">
              <w:t>0.4</w:t>
            </w:r>
          </w:p>
        </w:tc>
        <w:tc>
          <w:tcPr>
            <w:tcW w:w="1417" w:type="dxa"/>
            <w:shd w:val="clear" w:color="auto" w:fill="FFFFFF"/>
          </w:tcPr>
          <w:p w14:paraId="3639CA27" w14:textId="4C5946DE" w:rsidR="007C06BB" w:rsidRPr="00B57B36" w:rsidRDefault="007C06BB" w:rsidP="007C06BB">
            <w:pPr>
              <w:pStyle w:val="CETBodytext"/>
              <w:ind w:right="-1"/>
              <w:rPr>
                <w:rFonts w:cs="Arial"/>
                <w:szCs w:val="18"/>
                <w:lang w:val="en-GB"/>
              </w:rPr>
            </w:pPr>
            <w:r w:rsidRPr="00FC7FAB">
              <w:t>0.28</w:t>
            </w:r>
          </w:p>
        </w:tc>
      </w:tr>
      <w:tr w:rsidR="007C06BB" w:rsidRPr="00B57B36" w14:paraId="0EB80DAA" w14:textId="77777777" w:rsidTr="007C06BB">
        <w:tc>
          <w:tcPr>
            <w:tcW w:w="1644" w:type="dxa"/>
            <w:shd w:val="clear" w:color="auto" w:fill="FFFFFF"/>
          </w:tcPr>
          <w:p w14:paraId="0C85594A" w14:textId="1800A3A5" w:rsidR="007C06BB" w:rsidRPr="00B57B36" w:rsidRDefault="007C06BB" w:rsidP="007C06BB">
            <w:pPr>
              <w:pStyle w:val="CETBodytext"/>
              <w:rPr>
                <w:lang w:val="en-GB"/>
              </w:rPr>
            </w:pPr>
            <w:r w:rsidRPr="00FC7FAB">
              <w:t>Packing type</w:t>
            </w:r>
          </w:p>
        </w:tc>
        <w:tc>
          <w:tcPr>
            <w:tcW w:w="1417" w:type="dxa"/>
            <w:shd w:val="clear" w:color="auto" w:fill="FFFFFF"/>
          </w:tcPr>
          <w:p w14:paraId="72BF2161" w14:textId="6B92A11E" w:rsidR="007C06BB" w:rsidRPr="00B57B36" w:rsidRDefault="007C06BB" w:rsidP="007C06BB">
            <w:pPr>
              <w:pStyle w:val="CETBodytext"/>
              <w:rPr>
                <w:lang w:val="en-GB"/>
              </w:rPr>
            </w:pPr>
            <w:r w:rsidRPr="00FC7FAB">
              <w:t>Norton Pall 3.5”</w:t>
            </w:r>
          </w:p>
        </w:tc>
        <w:tc>
          <w:tcPr>
            <w:tcW w:w="1417" w:type="dxa"/>
            <w:shd w:val="clear" w:color="auto" w:fill="FFFFFF"/>
          </w:tcPr>
          <w:p w14:paraId="29707A9B" w14:textId="733BF43B" w:rsidR="007C06BB" w:rsidRPr="00B57B36" w:rsidRDefault="007C06BB" w:rsidP="007C06BB">
            <w:pPr>
              <w:pStyle w:val="CETBodytext"/>
              <w:rPr>
                <w:lang w:val="en-GB"/>
              </w:rPr>
            </w:pPr>
            <w:proofErr w:type="spellStart"/>
            <w:r w:rsidRPr="00FC7FAB">
              <w:t>Mellapak</w:t>
            </w:r>
            <w:proofErr w:type="spellEnd"/>
            <w:r w:rsidRPr="00FC7FAB">
              <w:t xml:space="preserve"> 250X</w:t>
            </w:r>
          </w:p>
        </w:tc>
        <w:tc>
          <w:tcPr>
            <w:tcW w:w="1417" w:type="dxa"/>
            <w:shd w:val="clear" w:color="auto" w:fill="FFFFFF"/>
          </w:tcPr>
          <w:p w14:paraId="5B1C433B" w14:textId="5E1570D8" w:rsidR="007C06BB" w:rsidRPr="00B57B36" w:rsidRDefault="007C06BB" w:rsidP="007C06BB">
            <w:pPr>
              <w:pStyle w:val="CETBodytext"/>
              <w:ind w:right="-1"/>
              <w:rPr>
                <w:rFonts w:cs="Arial"/>
                <w:szCs w:val="18"/>
                <w:lang w:val="en-GB"/>
              </w:rPr>
            </w:pPr>
            <w:proofErr w:type="spellStart"/>
            <w:r w:rsidRPr="00FC7FAB">
              <w:t>Mellapak</w:t>
            </w:r>
            <w:proofErr w:type="spellEnd"/>
            <w:r w:rsidRPr="00FC7FAB">
              <w:t xml:space="preserve"> 250X</w:t>
            </w:r>
          </w:p>
        </w:tc>
        <w:tc>
          <w:tcPr>
            <w:tcW w:w="1417" w:type="dxa"/>
            <w:shd w:val="clear" w:color="auto" w:fill="FFFFFF"/>
          </w:tcPr>
          <w:p w14:paraId="664C0DBE" w14:textId="77970095" w:rsidR="007C06BB" w:rsidRPr="00B57B36" w:rsidRDefault="007C06BB" w:rsidP="007C06BB">
            <w:pPr>
              <w:pStyle w:val="CETBodytext"/>
              <w:ind w:right="-1"/>
              <w:rPr>
                <w:rFonts w:cs="Arial"/>
                <w:szCs w:val="18"/>
                <w:lang w:val="en-GB"/>
              </w:rPr>
            </w:pPr>
            <w:proofErr w:type="spellStart"/>
            <w:r w:rsidRPr="00FC7FAB">
              <w:t>Mellapak</w:t>
            </w:r>
            <w:proofErr w:type="spellEnd"/>
            <w:r w:rsidRPr="00FC7FAB">
              <w:t xml:space="preserve"> 250X</w:t>
            </w:r>
          </w:p>
        </w:tc>
      </w:tr>
    </w:tbl>
    <w:p w14:paraId="6211AB03" w14:textId="1CB9FAE2" w:rsidR="00254030" w:rsidRDefault="00254030" w:rsidP="00254030">
      <w:pPr>
        <w:pStyle w:val="CETBodytext"/>
      </w:pPr>
    </w:p>
    <w:p w14:paraId="25DA60CF" w14:textId="685D409E" w:rsidR="00254030" w:rsidRDefault="00254030" w:rsidP="00254030">
      <w:pPr>
        <w:pStyle w:val="CETBodytext"/>
      </w:pPr>
      <w:r w:rsidRPr="009D5FA7">
        <w:rPr>
          <w:lang w:val="en-GB"/>
        </w:rPr>
        <w:t xml:space="preserve">The water wash section has been sized in this section according to the </w:t>
      </w:r>
      <w:r>
        <w:rPr>
          <w:lang w:val="en-GB"/>
        </w:rPr>
        <w:t xml:space="preserve">scheme reported in </w:t>
      </w:r>
      <w:r>
        <w:rPr>
          <w:highlight w:val="green"/>
          <w:lang w:val="en-GB"/>
        </w:rPr>
        <w:fldChar w:fldCharType="begin"/>
      </w:r>
      <w:r>
        <w:rPr>
          <w:lang w:val="en-GB"/>
        </w:rPr>
        <w:instrText xml:space="preserve"> REF _Ref184400095 \h </w:instrText>
      </w:r>
      <w:r>
        <w:rPr>
          <w:highlight w:val="green"/>
          <w:lang w:val="en-GB"/>
        </w:rPr>
      </w:r>
      <w:r>
        <w:rPr>
          <w:highlight w:val="green"/>
          <w:lang w:val="en-GB"/>
        </w:rPr>
        <w:fldChar w:fldCharType="separate"/>
      </w:r>
      <w:r>
        <w:t xml:space="preserve">Figure </w:t>
      </w:r>
      <w:r>
        <w:rPr>
          <w:noProof/>
        </w:rPr>
        <w:t>1</w:t>
      </w:r>
      <w:r>
        <w:rPr>
          <w:highlight w:val="green"/>
          <w:lang w:val="en-GB"/>
        </w:rPr>
        <w:fldChar w:fldCharType="end"/>
      </w:r>
      <w:r w:rsidRPr="009D5FA7">
        <w:rPr>
          <w:lang w:val="en-GB"/>
        </w:rPr>
        <w:t xml:space="preserve">, considering </w:t>
      </w:r>
      <w:r>
        <w:rPr>
          <w:lang w:val="en-GB"/>
        </w:rPr>
        <w:t>the addition of</w:t>
      </w:r>
      <w:r w:rsidRPr="009D5FA7">
        <w:rPr>
          <w:lang w:val="en-GB"/>
        </w:rPr>
        <w:t xml:space="preserve"> the make-up water to stream </w:t>
      </w:r>
      <w:r w:rsidRPr="00254030">
        <w:rPr>
          <w:i/>
          <w:iCs/>
          <w:lang w:val="en-GB"/>
        </w:rPr>
        <w:t>1</w:t>
      </w:r>
      <w:r>
        <w:rPr>
          <w:i/>
          <w:iCs/>
          <w:lang w:val="en-GB"/>
        </w:rPr>
        <w:t>6</w:t>
      </w:r>
      <w:r w:rsidRPr="009D5FA7">
        <w:rPr>
          <w:lang w:val="en-GB"/>
        </w:rPr>
        <w:t xml:space="preserve">. In case of installation of the water wash section in the same column </w:t>
      </w:r>
      <w:r>
        <w:rPr>
          <w:lang w:val="en-GB"/>
        </w:rPr>
        <w:t>with</w:t>
      </w:r>
      <w:r w:rsidRPr="009D5FA7">
        <w:rPr>
          <w:lang w:val="en-GB"/>
        </w:rPr>
        <w:t xml:space="preserve"> the packing sections for the absorption of CO</w:t>
      </w:r>
      <w:r w:rsidRPr="0010536A">
        <w:rPr>
          <w:vertAlign w:val="subscript"/>
          <w:lang w:val="en-GB"/>
        </w:rPr>
        <w:t>2</w:t>
      </w:r>
      <w:r w:rsidRPr="009D5FA7">
        <w:rPr>
          <w:lang w:val="en-GB"/>
        </w:rPr>
        <w:t xml:space="preserve">, in order to avoid the reduction of the diameter of the </w:t>
      </w:r>
      <w:r w:rsidRPr="00674DF5">
        <w:rPr>
          <w:lang w:val="en-GB"/>
        </w:rPr>
        <w:t xml:space="preserve">unit </w:t>
      </w:r>
      <w:r w:rsidR="00FC674F" w:rsidRPr="00674DF5">
        <w:rPr>
          <w:lang w:val="en-GB"/>
        </w:rPr>
        <w:t>(</w:t>
      </w:r>
      <w:r w:rsidR="00C32FB0">
        <w:rPr>
          <w:lang w:val="en-GB"/>
        </w:rPr>
        <w:t>that</w:t>
      </w:r>
      <w:r w:rsidR="00C32FB0" w:rsidRPr="00674DF5">
        <w:rPr>
          <w:lang w:val="en-GB"/>
        </w:rPr>
        <w:t xml:space="preserve"> </w:t>
      </w:r>
      <w:r w:rsidRPr="00674DF5">
        <w:rPr>
          <w:lang w:val="en-GB"/>
        </w:rPr>
        <w:t>implies a higher installation cost and greater criticality in the construction of the unit for the pilot plant</w:t>
      </w:r>
      <w:r w:rsidR="00FC674F" w:rsidRPr="00674DF5">
        <w:rPr>
          <w:lang w:val="en-GB"/>
        </w:rPr>
        <w:t>)</w:t>
      </w:r>
      <w:r w:rsidRPr="00674DF5">
        <w:rPr>
          <w:lang w:val="en-GB"/>
        </w:rPr>
        <w:t>, it is</w:t>
      </w:r>
      <w:r w:rsidRPr="009D5FA7">
        <w:rPr>
          <w:lang w:val="en-GB"/>
        </w:rPr>
        <w:t xml:space="preserve"> possible to consider the </w:t>
      </w:r>
      <w:r>
        <w:rPr>
          <w:lang w:val="en-GB"/>
        </w:rPr>
        <w:t>make-up</w:t>
      </w:r>
      <w:r w:rsidRPr="009D5FA7">
        <w:rPr>
          <w:lang w:val="en-GB"/>
        </w:rPr>
        <w:t xml:space="preserve"> of all the water lost together with the water flow </w:t>
      </w:r>
      <w:r>
        <w:rPr>
          <w:lang w:val="en-GB"/>
        </w:rPr>
        <w:t>employed</w:t>
      </w:r>
      <w:r w:rsidRPr="009D5FA7">
        <w:rPr>
          <w:lang w:val="en-GB"/>
        </w:rPr>
        <w:t xml:space="preserve"> for the water wash, so </w:t>
      </w:r>
      <w:r>
        <w:rPr>
          <w:lang w:val="en-GB"/>
        </w:rPr>
        <w:t>to keep</w:t>
      </w:r>
      <w:r w:rsidRPr="009D5FA7">
        <w:rPr>
          <w:lang w:val="en-GB"/>
        </w:rPr>
        <w:t xml:space="preserve"> the same diameter as the absorption column for the water wash section.</w:t>
      </w:r>
    </w:p>
    <w:p w14:paraId="65611EDF" w14:textId="5C84D7A5" w:rsidR="005E655D" w:rsidRPr="00B57B36" w:rsidRDefault="00C32FB0" w:rsidP="00417CD9">
      <w:pPr>
        <w:pStyle w:val="CETHeadingxx"/>
      </w:pPr>
      <w:r>
        <w:t>4.1.2 Analysis of the fluid dynamics</w:t>
      </w:r>
    </w:p>
    <w:p w14:paraId="7EA7B2F8" w14:textId="1FE9A483" w:rsidR="00A5221A" w:rsidRDefault="00A5221A" w:rsidP="00A5221A">
      <w:pPr>
        <w:pStyle w:val="CETBodytext"/>
        <w:rPr>
          <w:lang w:val="en-GB"/>
        </w:rPr>
      </w:pPr>
      <w:r w:rsidRPr="00A5221A">
        <w:rPr>
          <w:lang w:val="en-GB"/>
        </w:rPr>
        <w:t>The analysis of the fluid dynamics of the columns for the pilot plant with an absorption column diameter equal to 0.55 m has been carried out in order to determine the operating range of flue gas flowrate without critical issues in fluid dynamics and the related energy consumptions.</w:t>
      </w:r>
    </w:p>
    <w:p w14:paraId="77EEF587" w14:textId="3BE84B16" w:rsidR="00A5221A" w:rsidRPr="005E655D" w:rsidRDefault="00A5221A" w:rsidP="00A5221A">
      <w:pPr>
        <w:pStyle w:val="CETBodytext"/>
        <w:rPr>
          <w:lang w:val="en-GB"/>
        </w:rPr>
      </w:pPr>
      <w:r w:rsidRPr="005E655D">
        <w:rPr>
          <w:lang w:val="en-GB"/>
        </w:rPr>
        <w:t>The plant sized to remove 2500 t</w:t>
      </w:r>
      <w:r w:rsidRPr="00EC2BAF">
        <w:rPr>
          <w:vertAlign w:val="subscript"/>
          <w:lang w:val="en-GB"/>
        </w:rPr>
        <w:t>CO</w:t>
      </w:r>
      <w:r w:rsidRPr="005E655D">
        <w:rPr>
          <w:vertAlign w:val="subscript"/>
          <w:lang w:val="en-GB"/>
        </w:rPr>
        <w:t>2</w:t>
      </w:r>
      <w:r w:rsidRPr="005E655D">
        <w:rPr>
          <w:lang w:val="en-GB"/>
        </w:rPr>
        <w:t xml:space="preserve">/year can operate, without critical issues in fluid dynamics, in a </w:t>
      </w:r>
      <w:r>
        <w:rPr>
          <w:lang w:val="en-GB"/>
        </w:rPr>
        <w:t>flue</w:t>
      </w:r>
      <w:r w:rsidRPr="005E655D">
        <w:rPr>
          <w:lang w:val="en-GB"/>
        </w:rPr>
        <w:t xml:space="preserve"> gas flow</w:t>
      </w:r>
      <w:r>
        <w:rPr>
          <w:lang w:val="en-GB"/>
        </w:rPr>
        <w:t>rate</w:t>
      </w:r>
      <w:r w:rsidRPr="005E655D">
        <w:rPr>
          <w:lang w:val="en-GB"/>
        </w:rPr>
        <w:t xml:space="preserve"> range between -8</w:t>
      </w:r>
      <w:r w:rsidR="007A0376">
        <w:rPr>
          <w:lang w:val="en-GB"/>
        </w:rPr>
        <w:t xml:space="preserve"> </w:t>
      </w:r>
      <w:r w:rsidRPr="005E655D">
        <w:rPr>
          <w:lang w:val="en-GB"/>
        </w:rPr>
        <w:t>% and +4</w:t>
      </w:r>
      <w:r w:rsidR="007A0376">
        <w:rPr>
          <w:lang w:val="en-GB"/>
        </w:rPr>
        <w:t xml:space="preserve"> </w:t>
      </w:r>
      <w:r w:rsidRPr="005E655D">
        <w:rPr>
          <w:lang w:val="en-GB"/>
        </w:rPr>
        <w:t xml:space="preserve">% compared to the </w:t>
      </w:r>
      <w:r>
        <w:rPr>
          <w:lang w:val="en-GB"/>
        </w:rPr>
        <w:t xml:space="preserve">base </w:t>
      </w:r>
      <w:r w:rsidRPr="005E655D">
        <w:rPr>
          <w:lang w:val="en-GB"/>
        </w:rPr>
        <w:t>case flowrate. The lean solvent flowrate varies to achieve 90</w:t>
      </w:r>
      <w:r w:rsidR="007A0376">
        <w:rPr>
          <w:lang w:val="en-GB"/>
        </w:rPr>
        <w:t xml:space="preserve"> </w:t>
      </w:r>
      <w:r w:rsidRPr="005E655D">
        <w:rPr>
          <w:lang w:val="en-GB"/>
        </w:rPr>
        <w:t>% CO</w:t>
      </w:r>
      <w:r w:rsidRPr="005E655D">
        <w:rPr>
          <w:vertAlign w:val="subscript"/>
          <w:lang w:val="en-GB"/>
        </w:rPr>
        <w:t>2</w:t>
      </w:r>
      <w:r w:rsidRPr="005E655D">
        <w:rPr>
          <w:lang w:val="en-GB"/>
        </w:rPr>
        <w:t xml:space="preserve"> removal in all </w:t>
      </w:r>
      <w:r w:rsidR="00EC2BAF">
        <w:rPr>
          <w:lang w:val="en-GB"/>
        </w:rPr>
        <w:t xml:space="preserve">the </w:t>
      </w:r>
      <w:r w:rsidRPr="005E655D">
        <w:rPr>
          <w:lang w:val="en-GB"/>
        </w:rPr>
        <w:t>cases.</w:t>
      </w:r>
    </w:p>
    <w:p w14:paraId="254E3DE5" w14:textId="6F51C482" w:rsidR="00A5221A" w:rsidRDefault="00A5221A" w:rsidP="00A5221A">
      <w:pPr>
        <w:pStyle w:val="CETBodytext"/>
        <w:rPr>
          <w:lang w:val="en-GB"/>
        </w:rPr>
      </w:pPr>
      <w:r w:rsidRPr="005E655D">
        <w:rPr>
          <w:lang w:val="en-GB"/>
        </w:rPr>
        <w:t>For -38</w:t>
      </w:r>
      <w:r w:rsidR="007A0376">
        <w:rPr>
          <w:lang w:val="en-GB"/>
        </w:rPr>
        <w:t xml:space="preserve"> </w:t>
      </w:r>
      <w:r w:rsidRPr="005E655D">
        <w:rPr>
          <w:lang w:val="en-GB"/>
        </w:rPr>
        <w:t>% ≤ f</w:t>
      </w:r>
      <w:r>
        <w:rPr>
          <w:lang w:val="en-GB"/>
        </w:rPr>
        <w:t>lue</w:t>
      </w:r>
      <w:r w:rsidRPr="005E655D">
        <w:rPr>
          <w:lang w:val="en-GB"/>
        </w:rPr>
        <w:t xml:space="preserve"> gas flowrate ≤ -9</w:t>
      </w:r>
      <w:r w:rsidR="007A0376">
        <w:rPr>
          <w:lang w:val="en-GB"/>
        </w:rPr>
        <w:t xml:space="preserve"> </w:t>
      </w:r>
      <w:r w:rsidRPr="005E655D">
        <w:rPr>
          <w:lang w:val="en-GB"/>
        </w:rPr>
        <w:t>% and for 5</w:t>
      </w:r>
      <w:r w:rsidR="007A0376">
        <w:rPr>
          <w:lang w:val="en-GB"/>
        </w:rPr>
        <w:t xml:space="preserve"> </w:t>
      </w:r>
      <w:r w:rsidRPr="005E655D">
        <w:rPr>
          <w:lang w:val="en-GB"/>
        </w:rPr>
        <w:t>% ≤ fl</w:t>
      </w:r>
      <w:r>
        <w:rPr>
          <w:lang w:val="en-GB"/>
        </w:rPr>
        <w:t>ue</w:t>
      </w:r>
      <w:r w:rsidRPr="005E655D">
        <w:rPr>
          <w:lang w:val="en-GB"/>
        </w:rPr>
        <w:t xml:space="preserve"> gas flowrate ≤ 18</w:t>
      </w:r>
      <w:r w:rsidR="007A0376">
        <w:rPr>
          <w:lang w:val="en-GB"/>
        </w:rPr>
        <w:t xml:space="preserve"> </w:t>
      </w:r>
      <w:r w:rsidRPr="005E655D">
        <w:rPr>
          <w:lang w:val="en-GB"/>
        </w:rPr>
        <w:t xml:space="preserve">%, the absorption column can operate without fluid dynamic </w:t>
      </w:r>
      <w:r>
        <w:rPr>
          <w:lang w:val="en-GB"/>
        </w:rPr>
        <w:t>issues</w:t>
      </w:r>
      <w:r w:rsidRPr="005E655D">
        <w:rPr>
          <w:lang w:val="en-GB"/>
        </w:rPr>
        <w:t xml:space="preserve">, </w:t>
      </w:r>
      <w:r w:rsidR="00C32FB0">
        <w:rPr>
          <w:lang w:val="en-GB"/>
        </w:rPr>
        <w:t>that</w:t>
      </w:r>
      <w:r w:rsidR="00C32FB0" w:rsidRPr="005E655D">
        <w:rPr>
          <w:lang w:val="en-GB"/>
        </w:rPr>
        <w:t xml:space="preserve"> </w:t>
      </w:r>
      <w:r w:rsidRPr="005E655D">
        <w:rPr>
          <w:lang w:val="en-GB"/>
        </w:rPr>
        <w:t>are found in the DCC and in the regeneration column. For fl</w:t>
      </w:r>
      <w:r>
        <w:rPr>
          <w:lang w:val="en-GB"/>
        </w:rPr>
        <w:t xml:space="preserve">ue </w:t>
      </w:r>
      <w:r w:rsidRPr="005E655D">
        <w:rPr>
          <w:lang w:val="en-GB"/>
        </w:rPr>
        <w:t>gas flowrates &lt; -38</w:t>
      </w:r>
      <w:r w:rsidR="007A0376">
        <w:rPr>
          <w:lang w:val="en-GB"/>
        </w:rPr>
        <w:t xml:space="preserve"> </w:t>
      </w:r>
      <w:r w:rsidRPr="005E655D">
        <w:rPr>
          <w:lang w:val="en-GB"/>
        </w:rPr>
        <w:t>% and for fl</w:t>
      </w:r>
      <w:r>
        <w:rPr>
          <w:lang w:val="en-GB"/>
        </w:rPr>
        <w:t>ue</w:t>
      </w:r>
      <w:r w:rsidRPr="005E655D">
        <w:rPr>
          <w:lang w:val="en-GB"/>
        </w:rPr>
        <w:t xml:space="preserve"> gas flowrates &gt; 18</w:t>
      </w:r>
      <w:r w:rsidR="007A0376">
        <w:rPr>
          <w:lang w:val="en-GB"/>
        </w:rPr>
        <w:t xml:space="preserve"> </w:t>
      </w:r>
      <w:r w:rsidRPr="005E655D">
        <w:rPr>
          <w:lang w:val="en-GB"/>
        </w:rPr>
        <w:t xml:space="preserve">%, fluid dynamic </w:t>
      </w:r>
      <w:r>
        <w:rPr>
          <w:lang w:val="en-GB"/>
        </w:rPr>
        <w:t>issues</w:t>
      </w:r>
      <w:r w:rsidRPr="005E655D">
        <w:rPr>
          <w:lang w:val="en-GB"/>
        </w:rPr>
        <w:t xml:space="preserve"> are also found for the absorption column.</w:t>
      </w:r>
    </w:p>
    <w:p w14:paraId="4B75D854" w14:textId="02F8F6BF" w:rsidR="00173E58" w:rsidRDefault="00173E58" w:rsidP="00173E58">
      <w:pPr>
        <w:pStyle w:val="CETBodytext"/>
        <w:rPr>
          <w:lang w:val="en-GB"/>
        </w:rPr>
      </w:pPr>
    </w:p>
    <w:p w14:paraId="6B9E0D93" w14:textId="77777777" w:rsidR="005E655D" w:rsidRPr="009D5FA7" w:rsidRDefault="005E655D" w:rsidP="005E655D">
      <w:pPr>
        <w:jc w:val="center"/>
      </w:pPr>
      <w:r w:rsidRPr="00E044BD">
        <w:rPr>
          <w:noProof/>
        </w:rPr>
        <w:drawing>
          <wp:inline distT="0" distB="0" distL="0" distR="0" wp14:anchorId="65D7D76C" wp14:editId="074B69F6">
            <wp:extent cx="2520000" cy="2009609"/>
            <wp:effectExtent l="0" t="0" r="0" b="0"/>
            <wp:docPr id="139" name="Immagine 1">
              <a:extLst xmlns:a="http://schemas.openxmlformats.org/drawingml/2006/main">
                <a:ext uri="{FF2B5EF4-FFF2-40B4-BE49-F238E27FC236}">
                  <a16:creationId xmlns:a16="http://schemas.microsoft.com/office/drawing/2014/main" id="{56BB7890-EA8D-4E69-9575-7D2C3DACE2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56BB7890-EA8D-4E69-9575-7D2C3DACE211}"/>
                        </a:ext>
                      </a:extLst>
                    </pic:cNvPr>
                    <pic:cNvPicPr>
                      <a:picLocks noChangeAspect="1"/>
                    </pic:cNvPicPr>
                  </pic:nvPicPr>
                  <pic:blipFill>
                    <a:blip r:embed="rId12"/>
                    <a:stretch>
                      <a:fillRect/>
                    </a:stretch>
                  </pic:blipFill>
                  <pic:spPr>
                    <a:xfrm>
                      <a:off x="0" y="0"/>
                      <a:ext cx="2520000" cy="2009609"/>
                    </a:xfrm>
                    <a:prstGeom prst="rect">
                      <a:avLst/>
                    </a:prstGeom>
                    <a:ln w="28575">
                      <a:noFill/>
                    </a:ln>
                  </pic:spPr>
                </pic:pic>
              </a:graphicData>
            </a:graphic>
          </wp:inline>
        </w:drawing>
      </w:r>
      <w:r w:rsidRPr="009D5FA7">
        <w:t>a)</w:t>
      </w:r>
      <w:r w:rsidRPr="007C1E28">
        <w:rPr>
          <w:noProof/>
        </w:rPr>
        <w:drawing>
          <wp:inline distT="0" distB="0" distL="0" distR="0" wp14:anchorId="02E47C5D" wp14:editId="72C7B0B8">
            <wp:extent cx="2520000" cy="2009609"/>
            <wp:effectExtent l="0" t="0" r="0" b="0"/>
            <wp:docPr id="141" name="Immagine 5">
              <a:extLst xmlns:a="http://schemas.openxmlformats.org/drawingml/2006/main">
                <a:ext uri="{FF2B5EF4-FFF2-40B4-BE49-F238E27FC236}">
                  <a16:creationId xmlns:a16="http://schemas.microsoft.com/office/drawing/2014/main" id="{0A2ED5A1-FA86-44B7-98C4-E68FF778BD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0A2ED5A1-FA86-44B7-98C4-E68FF778BDCE}"/>
                        </a:ext>
                      </a:extLst>
                    </pic:cNvPr>
                    <pic:cNvPicPr>
                      <a:picLocks noChangeAspect="1"/>
                    </pic:cNvPicPr>
                  </pic:nvPicPr>
                  <pic:blipFill>
                    <a:blip r:embed="rId13"/>
                    <a:stretch>
                      <a:fillRect/>
                    </a:stretch>
                  </pic:blipFill>
                  <pic:spPr>
                    <a:xfrm>
                      <a:off x="0" y="0"/>
                      <a:ext cx="2520000" cy="2009609"/>
                    </a:xfrm>
                    <a:prstGeom prst="rect">
                      <a:avLst/>
                    </a:prstGeom>
                    <a:ln w="28575">
                      <a:noFill/>
                    </a:ln>
                  </pic:spPr>
                </pic:pic>
              </a:graphicData>
            </a:graphic>
          </wp:inline>
        </w:drawing>
      </w:r>
      <w:r w:rsidRPr="009D5FA7">
        <w:rPr>
          <w:noProof/>
        </w:rPr>
        <w:t>b)</w:t>
      </w:r>
    </w:p>
    <w:p w14:paraId="297BB870" w14:textId="420AB873" w:rsidR="005E655D" w:rsidRPr="005E655D" w:rsidRDefault="005E655D" w:rsidP="005E655D">
      <w:pPr>
        <w:pStyle w:val="CETCaption"/>
        <w:rPr>
          <w:b/>
        </w:rPr>
      </w:pPr>
      <w:bookmarkStart w:id="5" w:name="_Ref167112389"/>
      <w:r>
        <w:t xml:space="preserve">Figure </w:t>
      </w:r>
      <w:r>
        <w:fldChar w:fldCharType="begin"/>
      </w:r>
      <w:r>
        <w:instrText xml:space="preserve"> SEQ Figure \* ARABIC </w:instrText>
      </w:r>
      <w:r>
        <w:fldChar w:fldCharType="separate"/>
      </w:r>
      <w:r w:rsidR="000A3362">
        <w:rPr>
          <w:noProof/>
        </w:rPr>
        <w:t>2</w:t>
      </w:r>
      <w:r>
        <w:fldChar w:fldCharType="end"/>
      </w:r>
      <w:bookmarkEnd w:id="5"/>
      <w:r>
        <w:rPr>
          <w:noProof/>
        </w:rPr>
        <w:t>:</w:t>
      </w:r>
      <w:r w:rsidRPr="005E655D">
        <w:rPr>
          <w:noProof/>
        </w:rPr>
        <w:t xml:space="preserve"> a) lean solvent flowrate and b) </w:t>
      </w:r>
      <w:r w:rsidRPr="005E655D">
        <w:rPr>
          <w:iCs/>
          <w:noProof/>
        </w:rPr>
        <w:t>Thermal Energy Requirement</w:t>
      </w:r>
      <w:r w:rsidRPr="005E655D">
        <w:rPr>
          <w:noProof/>
        </w:rPr>
        <w:t xml:space="preserve"> (TER) by</w:t>
      </w:r>
      <w:r>
        <w:rPr>
          <w:noProof/>
        </w:rPr>
        <w:t xml:space="preserve"> varying the </w:t>
      </w:r>
      <w:r w:rsidRPr="005E655D">
        <w:rPr>
          <w:iCs/>
          <w:noProof/>
        </w:rPr>
        <w:t>flue gas</w:t>
      </w:r>
      <w:r w:rsidRPr="005E655D">
        <w:rPr>
          <w:noProof/>
        </w:rPr>
        <w:t xml:space="preserve"> </w:t>
      </w:r>
      <w:r>
        <w:rPr>
          <w:noProof/>
        </w:rPr>
        <w:t>flowrate to the pilot plant</w:t>
      </w:r>
    </w:p>
    <w:p w14:paraId="3E14FE53" w14:textId="7AEDDB7C" w:rsidR="005E655D" w:rsidRDefault="005E655D" w:rsidP="005E655D">
      <w:r>
        <w:t>Maintaining the same dimensions of the pilot plant, for the same percentage of CO</w:t>
      </w:r>
      <w:r w:rsidRPr="005E655D">
        <w:rPr>
          <w:vertAlign w:val="subscript"/>
        </w:rPr>
        <w:t>2</w:t>
      </w:r>
      <w:r>
        <w:t xml:space="preserve"> removal the required solvent flowrate increases as the flue gas flowrate increases (</w:t>
      </w:r>
      <w:r>
        <w:fldChar w:fldCharType="begin"/>
      </w:r>
      <w:r>
        <w:instrText xml:space="preserve"> REF _Ref167112389 \h </w:instrText>
      </w:r>
      <w:r>
        <w:fldChar w:fldCharType="separate"/>
      </w:r>
      <w:r w:rsidR="000A3362">
        <w:t xml:space="preserve">Figure </w:t>
      </w:r>
      <w:r w:rsidR="000A3362">
        <w:rPr>
          <w:noProof/>
        </w:rPr>
        <w:t>2</w:t>
      </w:r>
      <w:r>
        <w:fldChar w:fldCharType="end"/>
      </w:r>
      <w:r>
        <w:t>a)). A greater amount (mass flowrate) of CO</w:t>
      </w:r>
      <w:r w:rsidRPr="005E655D">
        <w:rPr>
          <w:vertAlign w:val="subscript"/>
        </w:rPr>
        <w:t>2</w:t>
      </w:r>
      <w:r>
        <w:t xml:space="preserve"> is removed </w:t>
      </w:r>
      <w:r w:rsidRPr="00674DF5">
        <w:t xml:space="preserve">with a </w:t>
      </w:r>
      <w:r w:rsidR="00C37669" w:rsidRPr="00674DF5">
        <w:t xml:space="preserve">proportional </w:t>
      </w:r>
      <w:r w:rsidRPr="00674DF5">
        <w:t>greater</w:t>
      </w:r>
      <w:r>
        <w:t xml:space="preserve"> </w:t>
      </w:r>
      <w:r w:rsidR="00EC2BAF">
        <w:t>amount</w:t>
      </w:r>
      <w:r>
        <w:t xml:space="preserve"> of solvent</w:t>
      </w:r>
      <w:r w:rsidR="00C32FB0" w:rsidRPr="00C32FB0">
        <w:t xml:space="preserve"> </w:t>
      </w:r>
      <w:r>
        <w:t>and the TER (Thermal Energy Requirement), expressed per unit of CO</w:t>
      </w:r>
      <w:r w:rsidRPr="005E655D">
        <w:rPr>
          <w:vertAlign w:val="subscript"/>
        </w:rPr>
        <w:t>2</w:t>
      </w:r>
      <w:r>
        <w:t xml:space="preserve"> removed (</w:t>
      </w:r>
      <w:r>
        <w:fldChar w:fldCharType="begin"/>
      </w:r>
      <w:r>
        <w:instrText xml:space="preserve"> REF _Ref167112389 \h </w:instrText>
      </w:r>
      <w:r>
        <w:fldChar w:fldCharType="separate"/>
      </w:r>
      <w:r w:rsidR="000A3362">
        <w:t xml:space="preserve">Figure </w:t>
      </w:r>
      <w:r w:rsidR="000A3362">
        <w:rPr>
          <w:noProof/>
        </w:rPr>
        <w:t>2</w:t>
      </w:r>
      <w:r>
        <w:fldChar w:fldCharType="end"/>
      </w:r>
      <w:r>
        <w:t>b)), does not vary.</w:t>
      </w:r>
    </w:p>
    <w:p w14:paraId="0F8C0F7D" w14:textId="2EEC9AD3" w:rsidR="000C466F" w:rsidRDefault="005E655D" w:rsidP="005E655D">
      <w:r>
        <w:t xml:space="preserve">The steam consumption (estimated) increases as the flowrate of </w:t>
      </w:r>
      <w:r w:rsidR="00EC2BAF">
        <w:t xml:space="preserve">the flue </w:t>
      </w:r>
      <w:r>
        <w:t>gas increases (</w:t>
      </w:r>
      <w:r>
        <w:fldChar w:fldCharType="begin"/>
      </w:r>
      <w:r>
        <w:instrText xml:space="preserve"> REF _Ref184391499 \h </w:instrText>
      </w:r>
      <w:r>
        <w:fldChar w:fldCharType="separate"/>
      </w:r>
      <w:r w:rsidR="000A3362">
        <w:t xml:space="preserve">Figure </w:t>
      </w:r>
      <w:r w:rsidR="000A3362">
        <w:rPr>
          <w:noProof/>
        </w:rPr>
        <w:t>3</w:t>
      </w:r>
      <w:r>
        <w:fldChar w:fldCharType="end"/>
      </w:r>
      <w:r>
        <w:t xml:space="preserve">a)), due to the greater </w:t>
      </w:r>
      <w:r w:rsidR="00EC2BAF">
        <w:t>amount</w:t>
      </w:r>
      <w:r>
        <w:t xml:space="preserve"> (mass flowrate) of CO</w:t>
      </w:r>
      <w:r w:rsidRPr="005E655D">
        <w:rPr>
          <w:vertAlign w:val="subscript"/>
        </w:rPr>
        <w:t>2</w:t>
      </w:r>
      <w:r>
        <w:t xml:space="preserve"> removed</w:t>
      </w:r>
      <w:r w:rsidRPr="000C466F">
        <w:t>.</w:t>
      </w:r>
      <w:r w:rsidR="000C466F" w:rsidRPr="000C466F">
        <w:t xml:space="preserve"> The amount of steam has been estimated by assuming steam from 5.5 bar and 160</w:t>
      </w:r>
      <w:r w:rsidR="00417CD9">
        <w:t xml:space="preserve"> </w:t>
      </w:r>
      <w:r w:rsidR="000C466F" w:rsidRPr="000C466F">
        <w:t>°C to 4.5 bar and 130</w:t>
      </w:r>
      <w:r w:rsidR="00417CD9">
        <w:t xml:space="preserve"> </w:t>
      </w:r>
      <w:r w:rsidR="000C466F" w:rsidRPr="000C466F">
        <w:t>°C. In this paper, no pressure drops for the instrumentation before the Kettle reboiler that change the steam conditions from 5.5 bar and 160</w:t>
      </w:r>
      <w:r w:rsidR="00417CD9">
        <w:t xml:space="preserve"> </w:t>
      </w:r>
      <w:r w:rsidR="000C466F" w:rsidRPr="000C466F">
        <w:t xml:space="preserve">°C </w:t>
      </w:r>
      <w:r w:rsidR="00417CD9" w:rsidRPr="000C466F">
        <w:t>ha</w:t>
      </w:r>
      <w:r w:rsidR="00417CD9">
        <w:t>ve</w:t>
      </w:r>
      <w:r w:rsidR="00417CD9" w:rsidRPr="000C466F">
        <w:t xml:space="preserve"> </w:t>
      </w:r>
      <w:r w:rsidR="000C466F" w:rsidRPr="000C466F">
        <w:t xml:space="preserve">been considered. For the Kettle reboiler the use of steam has been assumed, for a pilot plant a different hot source (diathermic oil, etc.) could also be </w:t>
      </w:r>
      <w:r w:rsidR="000C466F">
        <w:t>taken into account</w:t>
      </w:r>
      <w:r w:rsidR="000C466F" w:rsidRPr="000C466F">
        <w:t>.</w:t>
      </w:r>
    </w:p>
    <w:p w14:paraId="0A5F7A3B" w14:textId="268320BF" w:rsidR="005E655D" w:rsidRDefault="005E655D" w:rsidP="005E655D">
      <w:r>
        <w:t>The total duty needed for cooling (</w:t>
      </w:r>
      <w:r>
        <w:fldChar w:fldCharType="begin"/>
      </w:r>
      <w:r>
        <w:instrText xml:space="preserve"> REF _Ref184391499 \h </w:instrText>
      </w:r>
      <w:r>
        <w:fldChar w:fldCharType="separate"/>
      </w:r>
      <w:r w:rsidR="000A3362">
        <w:t xml:space="preserve">Figure </w:t>
      </w:r>
      <w:r w:rsidR="000A3362">
        <w:rPr>
          <w:noProof/>
        </w:rPr>
        <w:t>3</w:t>
      </w:r>
      <w:r>
        <w:fldChar w:fldCharType="end"/>
      </w:r>
      <w:r>
        <w:t xml:space="preserve">b)), by keeping all other conditions equal, is influenced by the duties required by the condenser of the regeneration column and by the other two heat exchangers, </w:t>
      </w:r>
      <w:r w:rsidR="005C3C26">
        <w:t>that</w:t>
      </w:r>
      <w:r>
        <w:t xml:space="preserve"> increase as the flowrate of treated </w:t>
      </w:r>
      <w:r w:rsidR="00EC2BAF">
        <w:t>flue</w:t>
      </w:r>
      <w:r>
        <w:t xml:space="preserve"> gas increases.</w:t>
      </w:r>
    </w:p>
    <w:p w14:paraId="4DFE66D5" w14:textId="77777777" w:rsidR="005E655D" w:rsidRPr="005E655D" w:rsidRDefault="005E655D" w:rsidP="005E655D"/>
    <w:p w14:paraId="0BE0DF3C" w14:textId="77777777" w:rsidR="005E655D" w:rsidRPr="005E655D" w:rsidRDefault="005E655D" w:rsidP="005E655D">
      <w:pPr>
        <w:keepNext/>
        <w:jc w:val="center"/>
      </w:pPr>
      <w:r w:rsidRPr="0075623E">
        <w:rPr>
          <w:noProof/>
        </w:rPr>
        <w:drawing>
          <wp:inline distT="0" distB="0" distL="0" distR="0" wp14:anchorId="60D62FCA" wp14:editId="522F4C1F">
            <wp:extent cx="2520000" cy="2010249"/>
            <wp:effectExtent l="0" t="0" r="0" b="9525"/>
            <wp:docPr id="146" name="Immagine 6">
              <a:extLst xmlns:a="http://schemas.openxmlformats.org/drawingml/2006/main">
                <a:ext uri="{FF2B5EF4-FFF2-40B4-BE49-F238E27FC236}">
                  <a16:creationId xmlns:a16="http://schemas.microsoft.com/office/drawing/2014/main" id="{5B0F4DDA-65BE-4EE9-A13E-038F00C403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id="{5B0F4DDA-65BE-4EE9-A13E-038F00C40308}"/>
                        </a:ext>
                      </a:extLst>
                    </pic:cNvPr>
                    <pic:cNvPicPr>
                      <a:picLocks noChangeAspect="1"/>
                    </pic:cNvPicPr>
                  </pic:nvPicPr>
                  <pic:blipFill>
                    <a:blip r:embed="rId14"/>
                    <a:stretch>
                      <a:fillRect/>
                    </a:stretch>
                  </pic:blipFill>
                  <pic:spPr>
                    <a:xfrm>
                      <a:off x="0" y="0"/>
                      <a:ext cx="2520000" cy="2010249"/>
                    </a:xfrm>
                    <a:prstGeom prst="rect">
                      <a:avLst/>
                    </a:prstGeom>
                    <a:ln w="28575">
                      <a:noFill/>
                    </a:ln>
                  </pic:spPr>
                </pic:pic>
              </a:graphicData>
            </a:graphic>
          </wp:inline>
        </w:drawing>
      </w:r>
      <w:r w:rsidRPr="005E655D">
        <w:t>a)</w:t>
      </w:r>
      <w:r w:rsidRPr="0075623E">
        <w:rPr>
          <w:noProof/>
        </w:rPr>
        <w:drawing>
          <wp:inline distT="0" distB="0" distL="0" distR="0" wp14:anchorId="1B8D96FE" wp14:editId="43D5FEA7">
            <wp:extent cx="2520000" cy="2009554"/>
            <wp:effectExtent l="0" t="0" r="0" b="0"/>
            <wp:docPr id="147" name="Immagine 3">
              <a:extLst xmlns:a="http://schemas.openxmlformats.org/drawingml/2006/main">
                <a:ext uri="{FF2B5EF4-FFF2-40B4-BE49-F238E27FC236}">
                  <a16:creationId xmlns:a16="http://schemas.microsoft.com/office/drawing/2014/main" id="{E33574CC-7293-4288-9747-731246DEF0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E33574CC-7293-4288-9747-731246DEF021}"/>
                        </a:ext>
                      </a:extLst>
                    </pic:cNvPr>
                    <pic:cNvPicPr>
                      <a:picLocks noChangeAspect="1"/>
                    </pic:cNvPicPr>
                  </pic:nvPicPr>
                  <pic:blipFill>
                    <a:blip r:embed="rId15"/>
                    <a:stretch>
                      <a:fillRect/>
                    </a:stretch>
                  </pic:blipFill>
                  <pic:spPr>
                    <a:xfrm>
                      <a:off x="0" y="0"/>
                      <a:ext cx="2520000" cy="2009554"/>
                    </a:xfrm>
                    <a:prstGeom prst="rect">
                      <a:avLst/>
                    </a:prstGeom>
                    <a:ln w="28575">
                      <a:noFill/>
                    </a:ln>
                  </pic:spPr>
                </pic:pic>
              </a:graphicData>
            </a:graphic>
          </wp:inline>
        </w:drawing>
      </w:r>
      <w:r w:rsidRPr="005E655D">
        <w:rPr>
          <w:noProof/>
        </w:rPr>
        <w:t>b)</w:t>
      </w:r>
    </w:p>
    <w:p w14:paraId="6B3E2E21" w14:textId="6D4CB398" w:rsidR="005E655D" w:rsidRPr="005E655D" w:rsidRDefault="005E655D" w:rsidP="005E655D">
      <w:pPr>
        <w:pStyle w:val="CETCaption"/>
        <w:rPr>
          <w:b/>
        </w:rPr>
      </w:pPr>
      <w:bookmarkStart w:id="6" w:name="_Ref184391499"/>
      <w:r>
        <w:t xml:space="preserve">Figure </w:t>
      </w:r>
      <w:r>
        <w:fldChar w:fldCharType="begin"/>
      </w:r>
      <w:r>
        <w:instrText xml:space="preserve"> SEQ Figure \* ARABIC </w:instrText>
      </w:r>
      <w:r>
        <w:fldChar w:fldCharType="separate"/>
      </w:r>
      <w:r w:rsidR="000A3362">
        <w:rPr>
          <w:noProof/>
        </w:rPr>
        <w:t>3</w:t>
      </w:r>
      <w:r>
        <w:fldChar w:fldCharType="end"/>
      </w:r>
      <w:bookmarkEnd w:id="6"/>
      <w:r>
        <w:rPr>
          <w:noProof/>
        </w:rPr>
        <w:t>:</w:t>
      </w:r>
      <w:r w:rsidRPr="005E655D">
        <w:rPr>
          <w:noProof/>
        </w:rPr>
        <w:t xml:space="preserve"> a) </w:t>
      </w:r>
      <w:r>
        <w:rPr>
          <w:noProof/>
        </w:rPr>
        <w:t>steam consumption</w:t>
      </w:r>
      <w:r w:rsidRPr="005E655D">
        <w:rPr>
          <w:noProof/>
        </w:rPr>
        <w:t xml:space="preserve"> and b) </w:t>
      </w:r>
      <w:r>
        <w:rPr>
          <w:iCs/>
          <w:noProof/>
        </w:rPr>
        <w:t>cooling duty</w:t>
      </w:r>
      <w:r w:rsidRPr="005E655D">
        <w:rPr>
          <w:noProof/>
        </w:rPr>
        <w:t xml:space="preserve"> by</w:t>
      </w:r>
      <w:r>
        <w:rPr>
          <w:noProof/>
        </w:rPr>
        <w:t xml:space="preserve"> varying the </w:t>
      </w:r>
      <w:r w:rsidRPr="005E655D">
        <w:rPr>
          <w:iCs/>
          <w:noProof/>
        </w:rPr>
        <w:t>flue gas</w:t>
      </w:r>
      <w:r w:rsidRPr="005E655D">
        <w:rPr>
          <w:noProof/>
        </w:rPr>
        <w:t xml:space="preserve"> </w:t>
      </w:r>
      <w:r>
        <w:rPr>
          <w:noProof/>
        </w:rPr>
        <w:t>flowrate to the pilot plant</w:t>
      </w:r>
    </w:p>
    <w:p w14:paraId="08CC3F57" w14:textId="044D73B9" w:rsidR="00417CD9" w:rsidRDefault="00417CD9" w:rsidP="009D5FA7">
      <w:pPr>
        <w:pStyle w:val="CETheadingx"/>
      </w:pPr>
      <w:r>
        <w:t>Case B</w:t>
      </w:r>
    </w:p>
    <w:p w14:paraId="162B0F3C" w14:textId="500D4FA2" w:rsidR="009D5FA7" w:rsidRPr="00B57B36" w:rsidRDefault="00417CD9" w:rsidP="00417CD9">
      <w:pPr>
        <w:pStyle w:val="CETHeadingxx"/>
      </w:pPr>
      <w:r>
        <w:t xml:space="preserve">4.2.1 </w:t>
      </w:r>
      <w:r w:rsidR="009D5FA7">
        <w:t xml:space="preserve">Absorption column with a diameter of </w:t>
      </w:r>
      <w:r w:rsidR="00A5221A">
        <w:rPr>
          <w:rFonts w:cs="Arial"/>
        </w:rPr>
        <w:t>~</w:t>
      </w:r>
      <w:r w:rsidR="00A5221A">
        <w:t xml:space="preserve"> </w:t>
      </w:r>
      <w:r w:rsidR="009D5FA7">
        <w:t>0.40 m</w:t>
      </w:r>
    </w:p>
    <w:p w14:paraId="6DF184B9" w14:textId="2192CC13" w:rsidR="009D5FA7" w:rsidRPr="009D5FA7" w:rsidRDefault="009D5FA7" w:rsidP="009D5FA7">
      <w:pPr>
        <w:pStyle w:val="CETBodytext"/>
        <w:rPr>
          <w:lang w:val="en-GB"/>
        </w:rPr>
      </w:pPr>
      <w:r w:rsidRPr="009D5FA7">
        <w:rPr>
          <w:lang w:val="en-GB"/>
        </w:rPr>
        <w:t>In order to reduce</w:t>
      </w:r>
      <w:r w:rsidR="00A5221A">
        <w:rPr>
          <w:lang w:val="en-GB"/>
        </w:rPr>
        <w:t xml:space="preserve"> the</w:t>
      </w:r>
      <w:r w:rsidRPr="009D5FA7">
        <w:rPr>
          <w:lang w:val="en-GB"/>
        </w:rPr>
        <w:t xml:space="preserve"> energy consumption</w:t>
      </w:r>
      <w:r w:rsidR="00A5221A">
        <w:rPr>
          <w:lang w:val="en-GB"/>
        </w:rPr>
        <w:t>s</w:t>
      </w:r>
      <w:r w:rsidRPr="009D5FA7">
        <w:rPr>
          <w:lang w:val="en-GB"/>
        </w:rPr>
        <w:t>, on the basis of information relat</w:t>
      </w:r>
      <w:r w:rsidR="00A5221A">
        <w:rPr>
          <w:lang w:val="en-GB"/>
        </w:rPr>
        <w:t>ed</w:t>
      </w:r>
      <w:r w:rsidRPr="009D5FA7">
        <w:rPr>
          <w:lang w:val="en-GB"/>
        </w:rPr>
        <w:t xml:space="preserve"> to other post-combustion CO</w:t>
      </w:r>
      <w:r w:rsidRPr="009D5FA7">
        <w:rPr>
          <w:vertAlign w:val="subscript"/>
          <w:lang w:val="en-GB"/>
        </w:rPr>
        <w:t>2</w:t>
      </w:r>
      <w:r w:rsidRPr="009D5FA7">
        <w:rPr>
          <w:lang w:val="en-GB"/>
        </w:rPr>
        <w:t xml:space="preserve"> </w:t>
      </w:r>
      <w:r w:rsidR="00254030">
        <w:rPr>
          <w:lang w:val="en-GB"/>
        </w:rPr>
        <w:t>removal</w:t>
      </w:r>
      <w:r w:rsidRPr="009D5FA7">
        <w:rPr>
          <w:lang w:val="en-GB"/>
        </w:rPr>
        <w:t xml:space="preserve"> systems</w:t>
      </w:r>
      <w:r w:rsidR="00254030">
        <w:rPr>
          <w:lang w:val="en-GB"/>
        </w:rPr>
        <w:t xml:space="preserve"> (Section </w:t>
      </w:r>
      <w:r w:rsidR="00254030">
        <w:rPr>
          <w:lang w:val="en-GB"/>
        </w:rPr>
        <w:fldChar w:fldCharType="begin"/>
      </w:r>
      <w:r w:rsidR="00254030">
        <w:rPr>
          <w:lang w:val="en-GB"/>
        </w:rPr>
        <w:instrText xml:space="preserve"> REF _Ref184645071 \r \h </w:instrText>
      </w:r>
      <w:r w:rsidR="00254030">
        <w:rPr>
          <w:lang w:val="en-GB"/>
        </w:rPr>
      </w:r>
      <w:r w:rsidR="00254030">
        <w:rPr>
          <w:lang w:val="en-GB"/>
        </w:rPr>
        <w:fldChar w:fldCharType="separate"/>
      </w:r>
      <w:r w:rsidR="00254030">
        <w:rPr>
          <w:lang w:val="en-GB"/>
        </w:rPr>
        <w:t>2</w:t>
      </w:r>
      <w:r w:rsidR="00254030">
        <w:rPr>
          <w:lang w:val="en-GB"/>
        </w:rPr>
        <w:fldChar w:fldCharType="end"/>
      </w:r>
      <w:r w:rsidR="00254030">
        <w:rPr>
          <w:lang w:val="en-GB"/>
        </w:rPr>
        <w:t>),</w:t>
      </w:r>
      <w:r w:rsidRPr="009D5FA7">
        <w:rPr>
          <w:lang w:val="en-GB"/>
        </w:rPr>
        <w:t xml:space="preserve"> the performance of a pilot plant with an absorption column with a diameter of approximately 0.40 m </w:t>
      </w:r>
      <w:r>
        <w:rPr>
          <w:lang w:val="en-GB"/>
        </w:rPr>
        <w:t>has been</w:t>
      </w:r>
      <w:r w:rsidRPr="009D5FA7">
        <w:rPr>
          <w:lang w:val="en-GB"/>
        </w:rPr>
        <w:t xml:space="preserve"> analysed.</w:t>
      </w:r>
      <w:r w:rsidR="00A5221A">
        <w:rPr>
          <w:lang w:val="en-GB"/>
        </w:rPr>
        <w:t xml:space="preserve"> </w:t>
      </w:r>
      <w:r>
        <w:rPr>
          <w:lang w:val="en-GB"/>
        </w:rPr>
        <w:t>A</w:t>
      </w:r>
      <w:r w:rsidRPr="009D5FA7">
        <w:rPr>
          <w:lang w:val="en-GB"/>
        </w:rPr>
        <w:t xml:space="preserve"> nominal diameter of 16'', </w:t>
      </w:r>
      <w:r>
        <w:rPr>
          <w:lang w:val="en-GB"/>
        </w:rPr>
        <w:t>that</w:t>
      </w:r>
      <w:r w:rsidRPr="009D5FA7">
        <w:rPr>
          <w:lang w:val="en-GB"/>
        </w:rPr>
        <w:t xml:space="preserve"> corresponds to an external diameter equal to 406.40 mm, with a thickness equal to 6.35 mm (SCH 10)</w:t>
      </w:r>
      <w:r>
        <w:rPr>
          <w:lang w:val="en-GB"/>
        </w:rPr>
        <w:t>, has been considered (</w:t>
      </w:r>
      <w:r w:rsidRPr="009D5FA7">
        <w:rPr>
          <w:lang w:val="en-GB"/>
        </w:rPr>
        <w:t xml:space="preserve">the final choice </w:t>
      </w:r>
      <w:r>
        <w:rPr>
          <w:lang w:val="en-GB"/>
        </w:rPr>
        <w:t xml:space="preserve">of the </w:t>
      </w:r>
      <w:r>
        <w:rPr>
          <w:lang w:val="en-GB"/>
        </w:rPr>
        <w:lastRenderedPageBreak/>
        <w:t xml:space="preserve">thickness </w:t>
      </w:r>
      <w:r w:rsidRPr="009D5FA7">
        <w:rPr>
          <w:lang w:val="en-GB"/>
        </w:rPr>
        <w:t xml:space="preserve">is </w:t>
      </w:r>
      <w:r>
        <w:rPr>
          <w:lang w:val="en-GB"/>
        </w:rPr>
        <w:t xml:space="preserve">to be considered before the construction of the plant, </w:t>
      </w:r>
      <w:r w:rsidRPr="009D5FA7">
        <w:rPr>
          <w:lang w:val="en-GB"/>
        </w:rPr>
        <w:t>the thickness corresponding to schedule 10 may be too thin). The internal diameter of the column is equal to 393.70 mm.</w:t>
      </w:r>
    </w:p>
    <w:p w14:paraId="61EB2B68" w14:textId="45FC6433" w:rsidR="005C5EAB" w:rsidRDefault="009D5FA7" w:rsidP="005C5EAB">
      <w:pPr>
        <w:pStyle w:val="CETBodytext"/>
        <w:rPr>
          <w:lang w:val="en-GB"/>
        </w:rPr>
      </w:pPr>
      <w:r w:rsidRPr="009D5FA7">
        <w:rPr>
          <w:lang w:val="en-GB"/>
        </w:rPr>
        <w:t>The optimal fl</w:t>
      </w:r>
      <w:r>
        <w:rPr>
          <w:lang w:val="en-GB"/>
        </w:rPr>
        <w:t>ue</w:t>
      </w:r>
      <w:r w:rsidRPr="009D5FA7">
        <w:rPr>
          <w:lang w:val="en-GB"/>
        </w:rPr>
        <w:t xml:space="preserve"> gas flowrate </w:t>
      </w:r>
      <w:r w:rsidRPr="00674DF5">
        <w:rPr>
          <w:lang w:val="en-GB"/>
        </w:rPr>
        <w:t xml:space="preserve">has </w:t>
      </w:r>
      <w:r w:rsidR="00C37669" w:rsidRPr="00674DF5">
        <w:rPr>
          <w:lang w:val="en-GB"/>
        </w:rPr>
        <w:t xml:space="preserve">been </w:t>
      </w:r>
      <w:r w:rsidRPr="00674DF5">
        <w:rPr>
          <w:lang w:val="en-GB"/>
        </w:rPr>
        <w:t>determined</w:t>
      </w:r>
      <w:r>
        <w:rPr>
          <w:lang w:val="en-GB"/>
        </w:rPr>
        <w:t xml:space="preserve"> on the fluid dynamics of the absorption column (</w:t>
      </w:r>
      <w:r>
        <w:rPr>
          <w:lang w:val="en-GB"/>
        </w:rPr>
        <w:fldChar w:fldCharType="begin"/>
      </w:r>
      <w:r>
        <w:rPr>
          <w:lang w:val="en-GB"/>
        </w:rPr>
        <w:instrText xml:space="preserve"> REF _Ref184397514 \h </w:instrText>
      </w:r>
      <w:r>
        <w:rPr>
          <w:lang w:val="en-GB"/>
        </w:rPr>
      </w:r>
      <w:r>
        <w:rPr>
          <w:lang w:val="en-GB"/>
        </w:rPr>
        <w:fldChar w:fldCharType="separate"/>
      </w:r>
      <w:r w:rsidR="000A3362">
        <w:t xml:space="preserve">Figure </w:t>
      </w:r>
      <w:r w:rsidR="000A3362">
        <w:rPr>
          <w:noProof/>
        </w:rPr>
        <w:t>4</w:t>
      </w:r>
      <w:r>
        <w:rPr>
          <w:lang w:val="en-GB"/>
        </w:rPr>
        <w:fldChar w:fldCharType="end"/>
      </w:r>
      <w:r>
        <w:rPr>
          <w:lang w:val="en-GB"/>
        </w:rPr>
        <w:t xml:space="preserve"> reports the estimated diameter as a function of the flue gas flowrate)</w:t>
      </w:r>
      <w:r w:rsidRPr="009D5FA7">
        <w:rPr>
          <w:lang w:val="en-GB"/>
        </w:rPr>
        <w:t>. The</w:t>
      </w:r>
      <w:r>
        <w:rPr>
          <w:lang w:val="en-GB"/>
        </w:rPr>
        <w:t>n,</w:t>
      </w:r>
      <w:r w:rsidRPr="009D5FA7">
        <w:rPr>
          <w:lang w:val="en-GB"/>
        </w:rPr>
        <w:t xml:space="preserve"> </w:t>
      </w:r>
      <w:r w:rsidR="0010536A">
        <w:rPr>
          <w:lang w:val="en-GB"/>
        </w:rPr>
        <w:t xml:space="preserve">the </w:t>
      </w:r>
      <w:r w:rsidRPr="009D5FA7">
        <w:rPr>
          <w:lang w:val="en-GB"/>
        </w:rPr>
        <w:t xml:space="preserve">other units of the pilot plant </w:t>
      </w:r>
      <w:r>
        <w:rPr>
          <w:lang w:val="en-GB"/>
        </w:rPr>
        <w:t>have been</w:t>
      </w:r>
      <w:r w:rsidRPr="009D5FA7">
        <w:rPr>
          <w:lang w:val="en-GB"/>
        </w:rPr>
        <w:t xml:space="preserve"> sized for the determined flowrate, considering 90</w:t>
      </w:r>
      <w:r w:rsidR="007A0376">
        <w:rPr>
          <w:lang w:val="en-GB"/>
        </w:rPr>
        <w:t xml:space="preserve"> </w:t>
      </w:r>
      <w:r w:rsidRPr="009D5FA7">
        <w:rPr>
          <w:lang w:val="en-GB"/>
        </w:rPr>
        <w:t>% of CO</w:t>
      </w:r>
      <w:r w:rsidRPr="009D5FA7">
        <w:rPr>
          <w:vertAlign w:val="subscript"/>
          <w:lang w:val="en-GB"/>
        </w:rPr>
        <w:t>2</w:t>
      </w:r>
      <w:r w:rsidRPr="009D5FA7">
        <w:rPr>
          <w:lang w:val="en-GB"/>
        </w:rPr>
        <w:t xml:space="preserve"> removed, and the energy consumption </w:t>
      </w:r>
      <w:r>
        <w:rPr>
          <w:lang w:val="en-GB"/>
        </w:rPr>
        <w:t>has been</w:t>
      </w:r>
      <w:r w:rsidRPr="009D5FA7">
        <w:rPr>
          <w:lang w:val="en-GB"/>
        </w:rPr>
        <w:t xml:space="preserve"> determined.</w:t>
      </w:r>
      <w:r w:rsidR="005C5EAB">
        <w:rPr>
          <w:lang w:val="en-GB"/>
        </w:rPr>
        <w:t xml:space="preserve"> </w:t>
      </w:r>
      <w:r w:rsidR="0010536A">
        <w:rPr>
          <w:lang w:val="en-GB"/>
        </w:rPr>
        <w:t xml:space="preserve">The diameter of all the columns </w:t>
      </w:r>
      <w:r w:rsidR="00254030">
        <w:rPr>
          <w:lang w:val="en-GB"/>
        </w:rPr>
        <w:t>is</w:t>
      </w:r>
      <w:r w:rsidR="0010536A">
        <w:rPr>
          <w:lang w:val="en-GB"/>
        </w:rPr>
        <w:t xml:space="preserve"> reported in </w:t>
      </w:r>
      <w:r w:rsidR="0010536A">
        <w:rPr>
          <w:lang w:val="en-GB"/>
        </w:rPr>
        <w:fldChar w:fldCharType="begin"/>
      </w:r>
      <w:r w:rsidR="0010536A">
        <w:rPr>
          <w:lang w:val="en-GB"/>
        </w:rPr>
        <w:instrText xml:space="preserve"> REF _Ref184398087 \h </w:instrText>
      </w:r>
      <w:r w:rsidR="0010536A">
        <w:rPr>
          <w:lang w:val="en-GB"/>
        </w:rPr>
      </w:r>
      <w:r w:rsidR="0010536A">
        <w:rPr>
          <w:lang w:val="en-GB"/>
        </w:rPr>
        <w:fldChar w:fldCharType="separate"/>
      </w:r>
      <w:r w:rsidR="000A3362">
        <w:t xml:space="preserve">Table </w:t>
      </w:r>
      <w:r w:rsidR="000A3362">
        <w:rPr>
          <w:noProof/>
        </w:rPr>
        <w:t>2</w:t>
      </w:r>
      <w:r w:rsidR="0010536A">
        <w:rPr>
          <w:lang w:val="en-GB"/>
        </w:rPr>
        <w:fldChar w:fldCharType="end"/>
      </w:r>
      <w:r w:rsidR="0010536A">
        <w:rPr>
          <w:lang w:val="en-GB"/>
        </w:rPr>
        <w:t>.</w:t>
      </w:r>
      <w:r w:rsidR="005C5EAB">
        <w:rPr>
          <w:lang w:val="en-GB"/>
        </w:rPr>
        <w:t xml:space="preserve"> </w:t>
      </w:r>
      <w:r w:rsidR="005C5EAB" w:rsidRPr="009D5FA7">
        <w:rPr>
          <w:lang w:val="en-GB"/>
        </w:rPr>
        <w:t xml:space="preserve">The optimal flowrate of </w:t>
      </w:r>
      <w:r w:rsidR="005C5EAB">
        <w:rPr>
          <w:lang w:val="en-GB"/>
        </w:rPr>
        <w:t>the flue</w:t>
      </w:r>
      <w:r w:rsidR="005C5EAB" w:rsidRPr="009D5FA7">
        <w:rPr>
          <w:lang w:val="en-GB"/>
        </w:rPr>
        <w:t xml:space="preserve"> gas for an absorption column with an internal diameter of 0.3937 m is equal to 1471.40 kg/h, with a reduction of 50</w:t>
      </w:r>
      <w:r w:rsidR="005C5EAB">
        <w:rPr>
          <w:lang w:val="en-GB"/>
        </w:rPr>
        <w:t xml:space="preserve"> </w:t>
      </w:r>
      <w:r w:rsidR="005C5EAB" w:rsidRPr="009D5FA7">
        <w:rPr>
          <w:lang w:val="en-GB"/>
        </w:rPr>
        <w:t xml:space="preserve">% compared to the case with an internal diameter </w:t>
      </w:r>
      <w:r w:rsidR="005C5EAB">
        <w:rPr>
          <w:lang w:val="en-GB"/>
        </w:rPr>
        <w:t xml:space="preserve">(ID) </w:t>
      </w:r>
      <w:r w:rsidR="005C5EAB" w:rsidRPr="009D5FA7">
        <w:rPr>
          <w:lang w:val="en-GB"/>
        </w:rPr>
        <w:t xml:space="preserve">of the column </w:t>
      </w:r>
      <w:r w:rsidR="005C5EAB">
        <w:rPr>
          <w:lang w:val="en-GB"/>
        </w:rPr>
        <w:t xml:space="preserve">equal to </w:t>
      </w:r>
      <w:r w:rsidR="005C5EAB" w:rsidRPr="009D5FA7">
        <w:rPr>
          <w:lang w:val="en-GB"/>
        </w:rPr>
        <w:t>0.55 m.</w:t>
      </w:r>
    </w:p>
    <w:p w14:paraId="3674B126" w14:textId="35BCD6FF" w:rsidR="009D5FA7" w:rsidRDefault="009D5FA7" w:rsidP="00600535">
      <w:pPr>
        <w:pStyle w:val="CETBodytext"/>
        <w:rPr>
          <w:lang w:val="en-GB"/>
        </w:rPr>
      </w:pPr>
    </w:p>
    <w:p w14:paraId="2890C676" w14:textId="1834A7F0" w:rsidR="009D5FA7" w:rsidRDefault="009D5FA7" w:rsidP="00600535">
      <w:pPr>
        <w:pStyle w:val="CETBodytext"/>
        <w:rPr>
          <w:lang w:val="en-GB"/>
        </w:rPr>
      </w:pPr>
      <w:r w:rsidRPr="00EA246E">
        <w:rPr>
          <w:noProof/>
        </w:rPr>
        <w:drawing>
          <wp:inline distT="0" distB="0" distL="0" distR="0" wp14:anchorId="371B628D" wp14:editId="6E5BA069">
            <wp:extent cx="2520000" cy="2003770"/>
            <wp:effectExtent l="0" t="0" r="0" b="0"/>
            <wp:docPr id="142" name="Immagin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0000" cy="2003770"/>
                    </a:xfrm>
                    <a:prstGeom prst="rect">
                      <a:avLst/>
                    </a:prstGeom>
                    <a:noFill/>
                    <a:ln>
                      <a:noFill/>
                    </a:ln>
                  </pic:spPr>
                </pic:pic>
              </a:graphicData>
            </a:graphic>
          </wp:inline>
        </w:drawing>
      </w:r>
    </w:p>
    <w:p w14:paraId="319A58A2" w14:textId="4CAC6E7E" w:rsidR="009D5FA7" w:rsidRPr="005E655D" w:rsidRDefault="009D5FA7" w:rsidP="009D5FA7">
      <w:pPr>
        <w:pStyle w:val="CETCaption"/>
        <w:rPr>
          <w:b/>
        </w:rPr>
      </w:pPr>
      <w:bookmarkStart w:id="7" w:name="_Ref184397514"/>
      <w:r>
        <w:t xml:space="preserve">Figure </w:t>
      </w:r>
      <w:r>
        <w:fldChar w:fldCharType="begin"/>
      </w:r>
      <w:r>
        <w:instrText xml:space="preserve"> SEQ Figure \* ARABIC </w:instrText>
      </w:r>
      <w:r>
        <w:fldChar w:fldCharType="separate"/>
      </w:r>
      <w:r w:rsidR="000A3362">
        <w:rPr>
          <w:noProof/>
        </w:rPr>
        <w:t>4</w:t>
      </w:r>
      <w:r>
        <w:fldChar w:fldCharType="end"/>
      </w:r>
      <w:bookmarkEnd w:id="7"/>
      <w:r>
        <w:rPr>
          <w:noProof/>
        </w:rPr>
        <w:t>:</w:t>
      </w:r>
      <w:r w:rsidRPr="005E655D">
        <w:rPr>
          <w:noProof/>
        </w:rPr>
        <w:t xml:space="preserve"> </w:t>
      </w:r>
      <w:r>
        <w:rPr>
          <w:noProof/>
        </w:rPr>
        <w:t>Estimated diameter by varying the flue gas flowrate</w:t>
      </w:r>
    </w:p>
    <w:p w14:paraId="5D62FB2A" w14:textId="3D4F122E" w:rsidR="0010536A" w:rsidRPr="007C06BB" w:rsidRDefault="0010536A" w:rsidP="006936FA">
      <w:pPr>
        <w:pStyle w:val="CETTabletitle"/>
        <w:jc w:val="both"/>
        <w:rPr>
          <w:lang w:val="en-US"/>
        </w:rPr>
      </w:pPr>
      <w:bookmarkStart w:id="8" w:name="_Ref184398087"/>
      <w:r>
        <w:t xml:space="preserve">Table </w:t>
      </w:r>
      <w:r>
        <w:fldChar w:fldCharType="begin"/>
      </w:r>
      <w:r>
        <w:instrText xml:space="preserve"> SEQ Table \* ARABIC </w:instrText>
      </w:r>
      <w:r>
        <w:fldChar w:fldCharType="separate"/>
      </w:r>
      <w:r>
        <w:rPr>
          <w:noProof/>
        </w:rPr>
        <w:t>2</w:t>
      </w:r>
      <w:r>
        <w:fldChar w:fldCharType="end"/>
      </w:r>
      <w:bookmarkEnd w:id="8"/>
      <w:r w:rsidRPr="00B57B36">
        <w:t xml:space="preserve">: </w:t>
      </w:r>
      <w:r>
        <w:t>Main characteristics of the columns of the pilot plant sized considering a flue gas flowrate equal to 1471.40 kg/h</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44"/>
        <w:gridCol w:w="1417"/>
        <w:gridCol w:w="1417"/>
        <w:gridCol w:w="1417"/>
        <w:gridCol w:w="1417"/>
      </w:tblGrid>
      <w:tr w:rsidR="0010536A" w:rsidRPr="00B57B36" w14:paraId="6A2D425E" w14:textId="77777777" w:rsidTr="003706C7">
        <w:tc>
          <w:tcPr>
            <w:tcW w:w="1644" w:type="dxa"/>
            <w:tcBorders>
              <w:top w:val="single" w:sz="12" w:space="0" w:color="008000"/>
              <w:bottom w:val="single" w:sz="6" w:space="0" w:color="008000"/>
            </w:tcBorders>
            <w:shd w:val="clear" w:color="auto" w:fill="FFFFFF"/>
          </w:tcPr>
          <w:p w14:paraId="394A615C" w14:textId="77777777" w:rsidR="0010536A" w:rsidRPr="00B57B36" w:rsidRDefault="0010536A" w:rsidP="003706C7">
            <w:pPr>
              <w:pStyle w:val="CETBodytext"/>
              <w:rPr>
                <w:lang w:val="en-GB"/>
              </w:rPr>
            </w:pPr>
          </w:p>
        </w:tc>
        <w:tc>
          <w:tcPr>
            <w:tcW w:w="1417" w:type="dxa"/>
            <w:tcBorders>
              <w:top w:val="single" w:sz="12" w:space="0" w:color="008000"/>
              <w:bottom w:val="single" w:sz="6" w:space="0" w:color="008000"/>
            </w:tcBorders>
            <w:shd w:val="clear" w:color="auto" w:fill="FFFFFF"/>
          </w:tcPr>
          <w:p w14:paraId="7585DDDC" w14:textId="77777777" w:rsidR="0010536A" w:rsidRPr="00B57B36" w:rsidRDefault="0010536A" w:rsidP="003706C7">
            <w:pPr>
              <w:pStyle w:val="CETBodytext"/>
              <w:rPr>
                <w:lang w:val="en-GB"/>
              </w:rPr>
            </w:pPr>
            <w:r w:rsidRPr="00FC7FAB">
              <w:t>T-101</w:t>
            </w:r>
          </w:p>
        </w:tc>
        <w:tc>
          <w:tcPr>
            <w:tcW w:w="1417" w:type="dxa"/>
            <w:tcBorders>
              <w:top w:val="single" w:sz="12" w:space="0" w:color="008000"/>
              <w:bottom w:val="single" w:sz="6" w:space="0" w:color="008000"/>
            </w:tcBorders>
            <w:shd w:val="clear" w:color="auto" w:fill="FFFFFF"/>
          </w:tcPr>
          <w:p w14:paraId="2B9D4027" w14:textId="77777777" w:rsidR="0010536A" w:rsidRPr="00B57B36" w:rsidRDefault="0010536A" w:rsidP="003706C7">
            <w:pPr>
              <w:pStyle w:val="CETBodytext"/>
              <w:rPr>
                <w:lang w:val="en-GB"/>
              </w:rPr>
            </w:pPr>
            <w:r w:rsidRPr="00FC7FAB">
              <w:t>T-102</w:t>
            </w:r>
          </w:p>
        </w:tc>
        <w:tc>
          <w:tcPr>
            <w:tcW w:w="1417" w:type="dxa"/>
            <w:tcBorders>
              <w:top w:val="single" w:sz="12" w:space="0" w:color="008000"/>
              <w:bottom w:val="single" w:sz="6" w:space="0" w:color="008000"/>
            </w:tcBorders>
            <w:shd w:val="clear" w:color="auto" w:fill="FFFFFF"/>
          </w:tcPr>
          <w:p w14:paraId="4AB2DC21" w14:textId="77777777" w:rsidR="0010536A" w:rsidRPr="00B57B36" w:rsidRDefault="0010536A" w:rsidP="003706C7">
            <w:pPr>
              <w:pStyle w:val="CETBodytext"/>
              <w:ind w:right="-1"/>
              <w:rPr>
                <w:rFonts w:cs="Arial"/>
                <w:szCs w:val="18"/>
                <w:lang w:val="en-GB"/>
              </w:rPr>
            </w:pPr>
            <w:r w:rsidRPr="00FC7FAB">
              <w:t>water-wash</w:t>
            </w:r>
          </w:p>
        </w:tc>
        <w:tc>
          <w:tcPr>
            <w:tcW w:w="1417" w:type="dxa"/>
            <w:tcBorders>
              <w:top w:val="single" w:sz="12" w:space="0" w:color="008000"/>
              <w:bottom w:val="single" w:sz="6" w:space="0" w:color="008000"/>
            </w:tcBorders>
            <w:shd w:val="clear" w:color="auto" w:fill="FFFFFF"/>
          </w:tcPr>
          <w:p w14:paraId="4AB3AE29" w14:textId="77777777" w:rsidR="0010536A" w:rsidRPr="00B57B36" w:rsidRDefault="0010536A" w:rsidP="003706C7">
            <w:pPr>
              <w:pStyle w:val="CETBodytext"/>
              <w:ind w:right="-1"/>
              <w:rPr>
                <w:rFonts w:cs="Arial"/>
                <w:szCs w:val="18"/>
                <w:lang w:val="en-GB"/>
              </w:rPr>
            </w:pPr>
            <w:r w:rsidRPr="00FC7FAB">
              <w:t>T-103</w:t>
            </w:r>
          </w:p>
        </w:tc>
      </w:tr>
      <w:tr w:rsidR="0010536A" w:rsidRPr="00B57B36" w14:paraId="580F5E7F" w14:textId="77777777" w:rsidTr="003706C7">
        <w:tc>
          <w:tcPr>
            <w:tcW w:w="1644" w:type="dxa"/>
            <w:shd w:val="clear" w:color="auto" w:fill="FFFFFF"/>
          </w:tcPr>
          <w:p w14:paraId="65580A6E" w14:textId="77777777" w:rsidR="0010536A" w:rsidRPr="00B57B36" w:rsidRDefault="0010536A" w:rsidP="003706C7">
            <w:pPr>
              <w:pStyle w:val="CETBodytext"/>
              <w:rPr>
                <w:lang w:val="en-GB"/>
              </w:rPr>
            </w:pPr>
            <w:r w:rsidRPr="00FC7FAB">
              <w:t>Packing height [m]</w:t>
            </w:r>
          </w:p>
        </w:tc>
        <w:tc>
          <w:tcPr>
            <w:tcW w:w="1417" w:type="dxa"/>
            <w:shd w:val="clear" w:color="auto" w:fill="FFFFFF"/>
          </w:tcPr>
          <w:p w14:paraId="7D950895" w14:textId="77777777" w:rsidR="0010536A" w:rsidRPr="00B57B36" w:rsidRDefault="0010536A" w:rsidP="003706C7">
            <w:pPr>
              <w:pStyle w:val="CETBodytext"/>
              <w:rPr>
                <w:lang w:val="en-GB"/>
              </w:rPr>
            </w:pPr>
            <w:r w:rsidRPr="00FC7FAB">
              <w:t>5</w:t>
            </w:r>
          </w:p>
        </w:tc>
        <w:tc>
          <w:tcPr>
            <w:tcW w:w="1417" w:type="dxa"/>
            <w:shd w:val="clear" w:color="auto" w:fill="FFFFFF"/>
          </w:tcPr>
          <w:p w14:paraId="5977282D" w14:textId="77777777" w:rsidR="0010536A" w:rsidRPr="00B57B36" w:rsidRDefault="0010536A" w:rsidP="003706C7">
            <w:pPr>
              <w:pStyle w:val="CETBodytext"/>
              <w:rPr>
                <w:lang w:val="en-GB"/>
              </w:rPr>
            </w:pPr>
            <w:r w:rsidRPr="00FC7FAB">
              <w:t>16</w:t>
            </w:r>
          </w:p>
        </w:tc>
        <w:tc>
          <w:tcPr>
            <w:tcW w:w="1417" w:type="dxa"/>
            <w:shd w:val="clear" w:color="auto" w:fill="FFFFFF"/>
          </w:tcPr>
          <w:p w14:paraId="4B4D1D7D" w14:textId="77777777" w:rsidR="0010536A" w:rsidRPr="00B57B36" w:rsidRDefault="0010536A" w:rsidP="003706C7">
            <w:pPr>
              <w:pStyle w:val="CETBodytext"/>
              <w:ind w:right="-1"/>
              <w:rPr>
                <w:rFonts w:cs="Arial"/>
                <w:szCs w:val="18"/>
                <w:lang w:val="en-GB"/>
              </w:rPr>
            </w:pPr>
            <w:r w:rsidRPr="00FC7FAB">
              <w:t>4</w:t>
            </w:r>
          </w:p>
        </w:tc>
        <w:tc>
          <w:tcPr>
            <w:tcW w:w="1417" w:type="dxa"/>
            <w:shd w:val="clear" w:color="auto" w:fill="FFFFFF"/>
          </w:tcPr>
          <w:p w14:paraId="687127C3" w14:textId="77777777" w:rsidR="0010536A" w:rsidRPr="00B57B36" w:rsidRDefault="0010536A" w:rsidP="003706C7">
            <w:pPr>
              <w:pStyle w:val="CETBodytext"/>
              <w:ind w:right="-1"/>
              <w:rPr>
                <w:rFonts w:cs="Arial"/>
                <w:szCs w:val="18"/>
                <w:lang w:val="en-GB"/>
              </w:rPr>
            </w:pPr>
            <w:r w:rsidRPr="00FC7FAB">
              <w:t>10</w:t>
            </w:r>
          </w:p>
        </w:tc>
      </w:tr>
      <w:tr w:rsidR="0010536A" w:rsidRPr="00B57B36" w14:paraId="705431E3" w14:textId="77777777" w:rsidTr="003706C7">
        <w:tc>
          <w:tcPr>
            <w:tcW w:w="1644" w:type="dxa"/>
            <w:shd w:val="clear" w:color="auto" w:fill="FFFFFF"/>
          </w:tcPr>
          <w:p w14:paraId="60A9153D" w14:textId="77777777" w:rsidR="0010536A" w:rsidRPr="00B57B36" w:rsidRDefault="0010536A" w:rsidP="0010536A">
            <w:pPr>
              <w:pStyle w:val="CETBodytext"/>
              <w:rPr>
                <w:lang w:val="en-GB"/>
              </w:rPr>
            </w:pPr>
            <w:r w:rsidRPr="00FC7FAB">
              <w:t>Diameter [m]</w:t>
            </w:r>
          </w:p>
        </w:tc>
        <w:tc>
          <w:tcPr>
            <w:tcW w:w="1417" w:type="dxa"/>
            <w:shd w:val="clear" w:color="auto" w:fill="FFFFFF"/>
          </w:tcPr>
          <w:p w14:paraId="51A09C9A" w14:textId="7F50EB6E" w:rsidR="0010536A" w:rsidRPr="00B57B36" w:rsidRDefault="0010536A" w:rsidP="0010536A">
            <w:pPr>
              <w:pStyle w:val="CETBodytext"/>
              <w:rPr>
                <w:lang w:val="en-GB"/>
              </w:rPr>
            </w:pPr>
            <w:r w:rsidRPr="001B00C8">
              <w:t>0.3937</w:t>
            </w:r>
          </w:p>
        </w:tc>
        <w:tc>
          <w:tcPr>
            <w:tcW w:w="1417" w:type="dxa"/>
            <w:shd w:val="clear" w:color="auto" w:fill="FFFFFF"/>
          </w:tcPr>
          <w:p w14:paraId="19A498D0" w14:textId="5D66D585" w:rsidR="0010536A" w:rsidRPr="00B57B36" w:rsidRDefault="0010536A" w:rsidP="0010536A">
            <w:pPr>
              <w:pStyle w:val="CETBodytext"/>
              <w:rPr>
                <w:lang w:val="en-GB"/>
              </w:rPr>
            </w:pPr>
            <w:r w:rsidRPr="001B00C8">
              <w:t>0.3937</w:t>
            </w:r>
          </w:p>
        </w:tc>
        <w:tc>
          <w:tcPr>
            <w:tcW w:w="1417" w:type="dxa"/>
            <w:shd w:val="clear" w:color="auto" w:fill="FFFFFF"/>
          </w:tcPr>
          <w:p w14:paraId="5A87275F" w14:textId="00C64867" w:rsidR="0010536A" w:rsidRPr="00B57B36" w:rsidRDefault="0010536A" w:rsidP="0010536A">
            <w:pPr>
              <w:pStyle w:val="CETBodytext"/>
              <w:ind w:right="-1"/>
              <w:rPr>
                <w:rFonts w:cs="Arial"/>
                <w:szCs w:val="18"/>
                <w:lang w:val="en-GB"/>
              </w:rPr>
            </w:pPr>
            <w:r w:rsidRPr="001B00C8">
              <w:t>0.28</w:t>
            </w:r>
          </w:p>
        </w:tc>
        <w:tc>
          <w:tcPr>
            <w:tcW w:w="1417" w:type="dxa"/>
            <w:shd w:val="clear" w:color="auto" w:fill="FFFFFF"/>
          </w:tcPr>
          <w:p w14:paraId="0DFE501D" w14:textId="5A524D75" w:rsidR="0010536A" w:rsidRPr="00B57B36" w:rsidRDefault="0010536A" w:rsidP="0010536A">
            <w:pPr>
              <w:pStyle w:val="CETBodytext"/>
              <w:ind w:right="-1"/>
              <w:rPr>
                <w:rFonts w:cs="Arial"/>
                <w:szCs w:val="18"/>
                <w:lang w:val="en-GB"/>
              </w:rPr>
            </w:pPr>
            <w:r w:rsidRPr="001B00C8">
              <w:t>0.21</w:t>
            </w:r>
          </w:p>
        </w:tc>
      </w:tr>
      <w:tr w:rsidR="0010536A" w:rsidRPr="00B57B36" w14:paraId="5D481060" w14:textId="77777777" w:rsidTr="003706C7">
        <w:tc>
          <w:tcPr>
            <w:tcW w:w="1644" w:type="dxa"/>
            <w:shd w:val="clear" w:color="auto" w:fill="FFFFFF"/>
          </w:tcPr>
          <w:p w14:paraId="690ACAFF" w14:textId="77777777" w:rsidR="0010536A" w:rsidRPr="00B57B36" w:rsidRDefault="0010536A" w:rsidP="003706C7">
            <w:pPr>
              <w:pStyle w:val="CETBodytext"/>
              <w:rPr>
                <w:lang w:val="en-GB"/>
              </w:rPr>
            </w:pPr>
            <w:r w:rsidRPr="00FC7FAB">
              <w:t>Packing type</w:t>
            </w:r>
          </w:p>
        </w:tc>
        <w:tc>
          <w:tcPr>
            <w:tcW w:w="1417" w:type="dxa"/>
            <w:shd w:val="clear" w:color="auto" w:fill="FFFFFF"/>
          </w:tcPr>
          <w:p w14:paraId="5E1A8A74" w14:textId="77777777" w:rsidR="0010536A" w:rsidRPr="00B57B36" w:rsidRDefault="0010536A" w:rsidP="003706C7">
            <w:pPr>
              <w:pStyle w:val="CETBodytext"/>
              <w:rPr>
                <w:lang w:val="en-GB"/>
              </w:rPr>
            </w:pPr>
            <w:r w:rsidRPr="00FC7FAB">
              <w:t>Norton Pall 3.5”</w:t>
            </w:r>
          </w:p>
        </w:tc>
        <w:tc>
          <w:tcPr>
            <w:tcW w:w="1417" w:type="dxa"/>
            <w:shd w:val="clear" w:color="auto" w:fill="FFFFFF"/>
          </w:tcPr>
          <w:p w14:paraId="3B3E5A9C" w14:textId="77777777" w:rsidR="0010536A" w:rsidRPr="00B57B36" w:rsidRDefault="0010536A" w:rsidP="003706C7">
            <w:pPr>
              <w:pStyle w:val="CETBodytext"/>
              <w:rPr>
                <w:lang w:val="en-GB"/>
              </w:rPr>
            </w:pPr>
            <w:proofErr w:type="spellStart"/>
            <w:r w:rsidRPr="00FC7FAB">
              <w:t>Mellapak</w:t>
            </w:r>
            <w:proofErr w:type="spellEnd"/>
            <w:r w:rsidRPr="00FC7FAB">
              <w:t xml:space="preserve"> 250X</w:t>
            </w:r>
          </w:p>
        </w:tc>
        <w:tc>
          <w:tcPr>
            <w:tcW w:w="1417" w:type="dxa"/>
            <w:shd w:val="clear" w:color="auto" w:fill="FFFFFF"/>
          </w:tcPr>
          <w:p w14:paraId="6226DDAC" w14:textId="77777777" w:rsidR="0010536A" w:rsidRPr="00B57B36" w:rsidRDefault="0010536A" w:rsidP="003706C7">
            <w:pPr>
              <w:pStyle w:val="CETBodytext"/>
              <w:ind w:right="-1"/>
              <w:rPr>
                <w:rFonts w:cs="Arial"/>
                <w:szCs w:val="18"/>
                <w:lang w:val="en-GB"/>
              </w:rPr>
            </w:pPr>
            <w:proofErr w:type="spellStart"/>
            <w:r w:rsidRPr="00FC7FAB">
              <w:t>Mellapak</w:t>
            </w:r>
            <w:proofErr w:type="spellEnd"/>
            <w:r w:rsidRPr="00FC7FAB">
              <w:t xml:space="preserve"> 250X</w:t>
            </w:r>
          </w:p>
        </w:tc>
        <w:tc>
          <w:tcPr>
            <w:tcW w:w="1417" w:type="dxa"/>
            <w:shd w:val="clear" w:color="auto" w:fill="FFFFFF"/>
          </w:tcPr>
          <w:p w14:paraId="081308DF" w14:textId="77777777" w:rsidR="0010536A" w:rsidRPr="00B57B36" w:rsidRDefault="0010536A" w:rsidP="003706C7">
            <w:pPr>
              <w:pStyle w:val="CETBodytext"/>
              <w:ind w:right="-1"/>
              <w:rPr>
                <w:rFonts w:cs="Arial"/>
                <w:szCs w:val="18"/>
                <w:lang w:val="en-GB"/>
              </w:rPr>
            </w:pPr>
            <w:proofErr w:type="spellStart"/>
            <w:r w:rsidRPr="00FC7FAB">
              <w:t>Mellapak</w:t>
            </w:r>
            <w:proofErr w:type="spellEnd"/>
            <w:r w:rsidRPr="00FC7FAB">
              <w:t xml:space="preserve"> 250X</w:t>
            </w:r>
          </w:p>
        </w:tc>
      </w:tr>
    </w:tbl>
    <w:p w14:paraId="74A04843" w14:textId="4A724BC6" w:rsidR="0010536A" w:rsidRDefault="0010536A" w:rsidP="0010536A">
      <w:pPr>
        <w:pStyle w:val="CETBodytext"/>
        <w:rPr>
          <w:lang w:val="en-GB"/>
        </w:rPr>
      </w:pPr>
    </w:p>
    <w:p w14:paraId="1BD90011" w14:textId="6CF9BBDE" w:rsidR="00417CD9" w:rsidRDefault="00417CD9" w:rsidP="00417CD9">
      <w:pPr>
        <w:pStyle w:val="CETHeadingxx"/>
      </w:pPr>
      <w:r>
        <w:t>4.2.2 Analysis of the fluid dynamics</w:t>
      </w:r>
    </w:p>
    <w:p w14:paraId="1DD1D3E8" w14:textId="29B4E59A" w:rsidR="0010536A" w:rsidRDefault="0015361B" w:rsidP="0010536A">
      <w:pPr>
        <w:pStyle w:val="CETBodytext"/>
        <w:rPr>
          <w:lang w:val="en-GB"/>
        </w:rPr>
      </w:pPr>
      <w:r w:rsidRPr="0015361B">
        <w:rPr>
          <w:lang w:val="en-GB"/>
        </w:rPr>
        <w:t xml:space="preserve">The pilot plant with the absorption column with a diameter of ~ 0.40 m can operate, without critical issues in the fluid dynamics, in range </w:t>
      </w:r>
      <w:r>
        <w:rPr>
          <w:lang w:val="en-GB"/>
        </w:rPr>
        <w:t xml:space="preserve">of flue gas flowrate </w:t>
      </w:r>
      <w:r w:rsidRPr="0015361B">
        <w:rPr>
          <w:lang w:val="en-GB"/>
        </w:rPr>
        <w:t>between -1</w:t>
      </w:r>
      <w:r w:rsidR="00254030">
        <w:rPr>
          <w:lang w:val="en-GB"/>
        </w:rPr>
        <w:t xml:space="preserve"> </w:t>
      </w:r>
      <w:r w:rsidRPr="0015361B">
        <w:rPr>
          <w:lang w:val="en-GB"/>
        </w:rPr>
        <w:t>% and +5</w:t>
      </w:r>
      <w:r w:rsidR="00254030">
        <w:rPr>
          <w:lang w:val="en-GB"/>
        </w:rPr>
        <w:t xml:space="preserve"> </w:t>
      </w:r>
      <w:r w:rsidRPr="0015361B">
        <w:rPr>
          <w:lang w:val="en-GB"/>
        </w:rPr>
        <w:t>% compared to the base case flowrate. The lean solvent flowrate varies to achieve 90</w:t>
      </w:r>
      <w:r w:rsidR="00254030">
        <w:rPr>
          <w:lang w:val="en-GB"/>
        </w:rPr>
        <w:t xml:space="preserve"> </w:t>
      </w:r>
      <w:r w:rsidRPr="0015361B">
        <w:rPr>
          <w:lang w:val="en-GB"/>
        </w:rPr>
        <w:t>% CO</w:t>
      </w:r>
      <w:r w:rsidRPr="00254030">
        <w:rPr>
          <w:vertAlign w:val="subscript"/>
          <w:lang w:val="en-GB"/>
        </w:rPr>
        <w:t>2</w:t>
      </w:r>
      <w:r w:rsidRPr="0015361B">
        <w:rPr>
          <w:lang w:val="en-GB"/>
        </w:rPr>
        <w:t xml:space="preserve"> removal in all </w:t>
      </w:r>
      <w:r>
        <w:rPr>
          <w:lang w:val="en-GB"/>
        </w:rPr>
        <w:t xml:space="preserve">the </w:t>
      </w:r>
      <w:r w:rsidRPr="0015361B">
        <w:rPr>
          <w:lang w:val="en-GB"/>
        </w:rPr>
        <w:t>cases.</w:t>
      </w:r>
      <w:r>
        <w:rPr>
          <w:lang w:val="en-GB"/>
        </w:rPr>
        <w:t xml:space="preserve"> </w:t>
      </w:r>
      <w:r w:rsidRPr="0015361B">
        <w:rPr>
          <w:lang w:val="en-GB"/>
        </w:rPr>
        <w:t>For -38</w:t>
      </w:r>
      <w:r w:rsidR="00254030">
        <w:rPr>
          <w:lang w:val="en-GB"/>
        </w:rPr>
        <w:t xml:space="preserve"> </w:t>
      </w:r>
      <w:r w:rsidRPr="0015361B">
        <w:rPr>
          <w:lang w:val="en-GB"/>
        </w:rPr>
        <w:t xml:space="preserve">% ≤ </w:t>
      </w:r>
      <w:r>
        <w:rPr>
          <w:lang w:val="en-GB"/>
        </w:rPr>
        <w:t>flue</w:t>
      </w:r>
      <w:r w:rsidRPr="0015361B">
        <w:rPr>
          <w:lang w:val="en-GB"/>
        </w:rPr>
        <w:t xml:space="preserve"> gas flowrate ≤ -2</w:t>
      </w:r>
      <w:r w:rsidR="00254030">
        <w:rPr>
          <w:lang w:val="en-GB"/>
        </w:rPr>
        <w:t xml:space="preserve"> </w:t>
      </w:r>
      <w:r w:rsidRPr="0015361B">
        <w:rPr>
          <w:lang w:val="en-GB"/>
        </w:rPr>
        <w:t>% and for 6</w:t>
      </w:r>
      <w:r w:rsidR="00254030">
        <w:rPr>
          <w:lang w:val="en-GB"/>
        </w:rPr>
        <w:t xml:space="preserve"> </w:t>
      </w:r>
      <w:r w:rsidRPr="0015361B">
        <w:rPr>
          <w:lang w:val="en-GB"/>
        </w:rPr>
        <w:t xml:space="preserve">% ≤ </w:t>
      </w:r>
      <w:r>
        <w:rPr>
          <w:lang w:val="en-GB"/>
        </w:rPr>
        <w:t>flue</w:t>
      </w:r>
      <w:r w:rsidRPr="0015361B">
        <w:rPr>
          <w:lang w:val="en-GB"/>
        </w:rPr>
        <w:t xml:space="preserve"> gas flowrate ≤ 16</w:t>
      </w:r>
      <w:r w:rsidR="00254030">
        <w:rPr>
          <w:lang w:val="en-GB"/>
        </w:rPr>
        <w:t xml:space="preserve"> </w:t>
      </w:r>
      <w:r w:rsidRPr="0015361B">
        <w:rPr>
          <w:lang w:val="en-GB"/>
        </w:rPr>
        <w:t>%, the absorption column can operate without flui</w:t>
      </w:r>
      <w:r>
        <w:rPr>
          <w:lang w:val="en-GB"/>
        </w:rPr>
        <w:t>d</w:t>
      </w:r>
      <w:r w:rsidRPr="0015361B">
        <w:rPr>
          <w:lang w:val="en-GB"/>
        </w:rPr>
        <w:t xml:space="preserve"> dynamic </w:t>
      </w:r>
      <w:r>
        <w:rPr>
          <w:lang w:val="en-GB"/>
        </w:rPr>
        <w:t>issues</w:t>
      </w:r>
      <w:r w:rsidRPr="0015361B">
        <w:rPr>
          <w:lang w:val="en-GB"/>
        </w:rPr>
        <w:t xml:space="preserve">, </w:t>
      </w:r>
      <w:r>
        <w:rPr>
          <w:lang w:val="en-GB"/>
        </w:rPr>
        <w:t>that occur</w:t>
      </w:r>
      <w:r w:rsidRPr="0015361B">
        <w:rPr>
          <w:lang w:val="en-GB"/>
        </w:rPr>
        <w:t xml:space="preserve"> in the </w:t>
      </w:r>
      <w:r w:rsidRPr="00254030">
        <w:rPr>
          <w:i/>
          <w:iCs/>
          <w:lang w:val="en-GB"/>
        </w:rPr>
        <w:t>DCC</w:t>
      </w:r>
      <w:r w:rsidRPr="0015361B">
        <w:rPr>
          <w:lang w:val="en-GB"/>
        </w:rPr>
        <w:t xml:space="preserve"> and in the regeneration column. For </w:t>
      </w:r>
      <w:r>
        <w:rPr>
          <w:lang w:val="en-GB"/>
        </w:rPr>
        <w:t>flue</w:t>
      </w:r>
      <w:r w:rsidRPr="0015361B">
        <w:rPr>
          <w:lang w:val="en-GB"/>
        </w:rPr>
        <w:t xml:space="preserve"> gas flowrates &lt; -38</w:t>
      </w:r>
      <w:r w:rsidR="00254030">
        <w:rPr>
          <w:lang w:val="en-GB"/>
        </w:rPr>
        <w:t xml:space="preserve"> </w:t>
      </w:r>
      <w:r w:rsidRPr="0015361B">
        <w:rPr>
          <w:lang w:val="en-GB"/>
        </w:rPr>
        <w:t xml:space="preserve">% and for </w:t>
      </w:r>
      <w:r w:rsidR="003E7F1F">
        <w:rPr>
          <w:lang w:val="en-GB"/>
        </w:rPr>
        <w:t>flue</w:t>
      </w:r>
      <w:r w:rsidRPr="0015361B">
        <w:rPr>
          <w:lang w:val="en-GB"/>
        </w:rPr>
        <w:t xml:space="preserve"> gas flowrates </w:t>
      </w:r>
      <w:r w:rsidR="00254030">
        <w:rPr>
          <w:lang w:val="en-GB"/>
        </w:rPr>
        <w:t xml:space="preserve">         </w:t>
      </w:r>
      <w:r w:rsidRPr="0015361B">
        <w:rPr>
          <w:lang w:val="en-GB"/>
        </w:rPr>
        <w:t xml:space="preserve">&gt; 16%, fluid dynamic </w:t>
      </w:r>
      <w:r w:rsidR="003E7F1F">
        <w:rPr>
          <w:lang w:val="en-GB"/>
        </w:rPr>
        <w:t>issues</w:t>
      </w:r>
      <w:r w:rsidRPr="0015361B">
        <w:rPr>
          <w:lang w:val="en-GB"/>
        </w:rPr>
        <w:t xml:space="preserve"> are also found for the absorption column.</w:t>
      </w:r>
    </w:p>
    <w:p w14:paraId="47740F0D" w14:textId="4D3719A4" w:rsidR="0010536A" w:rsidRPr="00B57B36" w:rsidRDefault="0010536A" w:rsidP="0010536A">
      <w:pPr>
        <w:pStyle w:val="CETheadingx"/>
      </w:pPr>
      <w:r>
        <w:t xml:space="preserve">Comparison </w:t>
      </w:r>
      <w:r w:rsidR="00254030">
        <w:t>between</w:t>
      </w:r>
      <w:r>
        <w:t xml:space="preserve"> the two sizes of the pilot plant</w:t>
      </w:r>
    </w:p>
    <w:p w14:paraId="3ABB8898" w14:textId="4AC9BD1D" w:rsidR="0010536A" w:rsidRDefault="0015361B" w:rsidP="0010536A">
      <w:pPr>
        <w:pStyle w:val="CETBodytext"/>
      </w:pPr>
      <w:r>
        <w:t>The energy requirements of the pilot plant for the two considered sizes have been evaluated and compared (</w:t>
      </w:r>
      <w:r>
        <w:fldChar w:fldCharType="begin"/>
      </w:r>
      <w:r>
        <w:instrText xml:space="preserve"> REF _Ref184398704 \h </w:instrText>
      </w:r>
      <w:r>
        <w:fldChar w:fldCharType="separate"/>
      </w:r>
      <w:r>
        <w:t xml:space="preserve">Table </w:t>
      </w:r>
      <w:r>
        <w:rPr>
          <w:noProof/>
        </w:rPr>
        <w:t>3</w:t>
      </w:r>
      <w:r>
        <w:fldChar w:fldCharType="end"/>
      </w:r>
      <w:r>
        <w:t xml:space="preserve"> and </w:t>
      </w:r>
      <w:r>
        <w:fldChar w:fldCharType="begin"/>
      </w:r>
      <w:r>
        <w:instrText xml:space="preserve"> REF _Ref184398711 \h </w:instrText>
      </w:r>
      <w:r>
        <w:fldChar w:fldCharType="separate"/>
      </w:r>
      <w:r>
        <w:t xml:space="preserve">Table </w:t>
      </w:r>
      <w:r>
        <w:rPr>
          <w:noProof/>
        </w:rPr>
        <w:t>4</w:t>
      </w:r>
      <w:r>
        <w:fldChar w:fldCharType="end"/>
      </w:r>
      <w:r>
        <w:t>). In the case of feeding 1471.40 kg/h of flue gas to the absorption column (for a diameter of the absorber of about 0.40 m), the energy requirements are much lower and correspond to about 50</w:t>
      </w:r>
      <w:r w:rsidR="00254030">
        <w:t xml:space="preserve"> </w:t>
      </w:r>
      <w:r>
        <w:t>% of the ones for the pilot plant of larger size.</w:t>
      </w:r>
    </w:p>
    <w:p w14:paraId="3868D7EE" w14:textId="52FCFEC8" w:rsidR="000C466F" w:rsidRDefault="000C466F" w:rsidP="0010536A">
      <w:pPr>
        <w:pStyle w:val="CETBodytext"/>
      </w:pPr>
      <w:r>
        <w:t xml:space="preserve">The smaller size </w:t>
      </w:r>
      <w:r w:rsidR="00417CD9">
        <w:t xml:space="preserve">(Case B) </w:t>
      </w:r>
      <w:r>
        <w:t xml:space="preserve">is in line with some of </w:t>
      </w:r>
      <w:r w:rsidRPr="00674DF5">
        <w:t>the</w:t>
      </w:r>
      <w:r w:rsidR="00C37669" w:rsidRPr="00674DF5">
        <w:t xml:space="preserve"> most used</w:t>
      </w:r>
      <w:r w:rsidRPr="00674DF5">
        <w:t xml:space="preserve"> pilot plant</w:t>
      </w:r>
      <w:r>
        <w:t xml:space="preserve"> for CO</w:t>
      </w:r>
      <w:r w:rsidRPr="00081386">
        <w:rPr>
          <w:vertAlign w:val="subscript"/>
        </w:rPr>
        <w:t>2</w:t>
      </w:r>
      <w:r>
        <w:t xml:space="preserve"> removal reported in the literature and can </w:t>
      </w:r>
      <w:r w:rsidR="00081386">
        <w:t xml:space="preserve">be chosen as size of the experimental plant to be built for testing the technology on the flue </w:t>
      </w:r>
      <w:r w:rsidR="00081386" w:rsidRPr="00674DF5">
        <w:t>gas of th</w:t>
      </w:r>
      <w:r w:rsidR="002D7259" w:rsidRPr="00674DF5">
        <w:t>e</w:t>
      </w:r>
      <w:r w:rsidR="00081386" w:rsidRPr="00674DF5">
        <w:t xml:space="preserve"> </w:t>
      </w:r>
      <w:proofErr w:type="spellStart"/>
      <w:r w:rsidR="00081386" w:rsidRPr="00674DF5">
        <w:t>WtE</w:t>
      </w:r>
      <w:proofErr w:type="spellEnd"/>
      <w:r w:rsidR="00081386">
        <w:t xml:space="preserve"> plant of Como (Italy), the first one of this type in this country.</w:t>
      </w:r>
    </w:p>
    <w:p w14:paraId="404B070D" w14:textId="6C4DFBA4" w:rsidR="0010536A" w:rsidRPr="007C06BB" w:rsidRDefault="0010536A" w:rsidP="00A5221A">
      <w:pPr>
        <w:pStyle w:val="CETTabletitle"/>
        <w:jc w:val="both"/>
        <w:rPr>
          <w:lang w:val="en-US"/>
        </w:rPr>
      </w:pPr>
      <w:bookmarkStart w:id="9" w:name="_Ref184398704"/>
      <w:r>
        <w:t xml:space="preserve">Table </w:t>
      </w:r>
      <w:r>
        <w:fldChar w:fldCharType="begin"/>
      </w:r>
      <w:r>
        <w:instrText xml:space="preserve"> SEQ Table \* ARABIC </w:instrText>
      </w:r>
      <w:r>
        <w:fldChar w:fldCharType="separate"/>
      </w:r>
      <w:r w:rsidR="0015361B">
        <w:rPr>
          <w:noProof/>
        </w:rPr>
        <w:t>3</w:t>
      </w:r>
      <w:r>
        <w:fldChar w:fldCharType="end"/>
      </w:r>
      <w:bookmarkEnd w:id="9"/>
      <w:r w:rsidRPr="00B57B36">
        <w:t xml:space="preserve">: </w:t>
      </w:r>
      <w:r>
        <w:t>Consumption of the electric power for the main units of the process for CO</w:t>
      </w:r>
      <w:r w:rsidRPr="0015361B">
        <w:rPr>
          <w:vertAlign w:val="subscript"/>
        </w:rPr>
        <w:t>2</w:t>
      </w:r>
      <w:r>
        <w:t xml:space="preserve"> removal for the two different sizes of the pilot plant</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118"/>
        <w:gridCol w:w="1417"/>
        <w:gridCol w:w="1417"/>
        <w:gridCol w:w="1417"/>
        <w:gridCol w:w="1417"/>
      </w:tblGrid>
      <w:tr w:rsidR="0015361B" w:rsidRPr="00B57B36" w14:paraId="7AF92E21" w14:textId="77777777" w:rsidTr="0015361B">
        <w:trPr>
          <w:jc w:val="center"/>
        </w:trPr>
        <w:tc>
          <w:tcPr>
            <w:tcW w:w="3118" w:type="dxa"/>
            <w:tcBorders>
              <w:top w:val="single" w:sz="12" w:space="0" w:color="008000"/>
              <w:bottom w:val="single" w:sz="6" w:space="0" w:color="008000"/>
            </w:tcBorders>
            <w:shd w:val="clear" w:color="auto" w:fill="FFFFFF"/>
          </w:tcPr>
          <w:p w14:paraId="1223720B" w14:textId="77777777" w:rsidR="0015361B" w:rsidRPr="00B57B36" w:rsidRDefault="0015361B" w:rsidP="00A5221A">
            <w:pPr>
              <w:pStyle w:val="CETBodytext"/>
              <w:keepNext/>
              <w:rPr>
                <w:lang w:val="en-GB"/>
              </w:rPr>
            </w:pPr>
          </w:p>
        </w:tc>
        <w:tc>
          <w:tcPr>
            <w:tcW w:w="1417" w:type="dxa"/>
            <w:tcBorders>
              <w:top w:val="single" w:sz="12" w:space="0" w:color="008000"/>
              <w:bottom w:val="single" w:sz="6" w:space="0" w:color="008000"/>
            </w:tcBorders>
            <w:shd w:val="clear" w:color="auto" w:fill="FFFFFF"/>
          </w:tcPr>
          <w:p w14:paraId="74DAC08C" w14:textId="05F1763D" w:rsidR="0015361B" w:rsidRPr="00B57B36" w:rsidRDefault="0015361B" w:rsidP="00A5221A">
            <w:pPr>
              <w:pStyle w:val="CETBodytext"/>
              <w:keepNext/>
              <w:rPr>
                <w:lang w:val="en-GB"/>
              </w:rPr>
            </w:pPr>
            <w:r w:rsidRPr="00267C98">
              <w:t>K-101 [kW]</w:t>
            </w:r>
          </w:p>
        </w:tc>
        <w:tc>
          <w:tcPr>
            <w:tcW w:w="1417" w:type="dxa"/>
            <w:tcBorders>
              <w:top w:val="single" w:sz="12" w:space="0" w:color="008000"/>
              <w:bottom w:val="single" w:sz="6" w:space="0" w:color="008000"/>
            </w:tcBorders>
            <w:shd w:val="clear" w:color="auto" w:fill="FFFFFF"/>
          </w:tcPr>
          <w:p w14:paraId="0719AFAD" w14:textId="2B4CE1E2" w:rsidR="0015361B" w:rsidRPr="00B57B36" w:rsidRDefault="0015361B" w:rsidP="00A5221A">
            <w:pPr>
              <w:pStyle w:val="CETBodytext"/>
              <w:keepNext/>
              <w:rPr>
                <w:lang w:val="en-GB"/>
              </w:rPr>
            </w:pPr>
            <w:r w:rsidRPr="00267C98">
              <w:t>P-101 [kW]</w:t>
            </w:r>
          </w:p>
        </w:tc>
        <w:tc>
          <w:tcPr>
            <w:tcW w:w="1417" w:type="dxa"/>
            <w:tcBorders>
              <w:top w:val="single" w:sz="12" w:space="0" w:color="008000"/>
              <w:bottom w:val="single" w:sz="6" w:space="0" w:color="008000"/>
            </w:tcBorders>
            <w:shd w:val="clear" w:color="auto" w:fill="FFFFFF"/>
          </w:tcPr>
          <w:p w14:paraId="7F753A37" w14:textId="0B2ECED4" w:rsidR="0015361B" w:rsidRPr="00B57B36" w:rsidRDefault="0015361B" w:rsidP="00A5221A">
            <w:pPr>
              <w:pStyle w:val="CETBodytext"/>
              <w:keepNext/>
              <w:ind w:right="-1"/>
              <w:rPr>
                <w:rFonts w:cs="Arial"/>
                <w:szCs w:val="18"/>
                <w:lang w:val="en-GB"/>
              </w:rPr>
            </w:pPr>
            <w:r w:rsidRPr="00267C98">
              <w:t>P-102 [kW]</w:t>
            </w:r>
          </w:p>
        </w:tc>
        <w:tc>
          <w:tcPr>
            <w:tcW w:w="1417" w:type="dxa"/>
            <w:tcBorders>
              <w:top w:val="single" w:sz="12" w:space="0" w:color="008000"/>
              <w:bottom w:val="single" w:sz="6" w:space="0" w:color="008000"/>
            </w:tcBorders>
            <w:shd w:val="clear" w:color="auto" w:fill="FFFFFF"/>
          </w:tcPr>
          <w:p w14:paraId="4F473CED" w14:textId="1DDB7334" w:rsidR="0015361B" w:rsidRPr="00B57B36" w:rsidRDefault="0015361B" w:rsidP="00A5221A">
            <w:pPr>
              <w:pStyle w:val="CETBodytext"/>
              <w:keepNext/>
              <w:ind w:right="-1"/>
              <w:rPr>
                <w:rFonts w:cs="Arial"/>
                <w:szCs w:val="18"/>
                <w:lang w:val="en-GB"/>
              </w:rPr>
            </w:pPr>
            <w:r w:rsidRPr="00267C98">
              <w:t>P-103 [kW]</w:t>
            </w:r>
          </w:p>
        </w:tc>
      </w:tr>
      <w:tr w:rsidR="0015361B" w:rsidRPr="00B57B36" w14:paraId="00468BBA" w14:textId="77777777" w:rsidTr="0015361B">
        <w:trPr>
          <w:jc w:val="center"/>
        </w:trPr>
        <w:tc>
          <w:tcPr>
            <w:tcW w:w="3118" w:type="dxa"/>
            <w:shd w:val="clear" w:color="auto" w:fill="FFFFFF"/>
          </w:tcPr>
          <w:p w14:paraId="446BA69E" w14:textId="29050604" w:rsidR="0015361B" w:rsidRPr="00B57B36" w:rsidRDefault="0015361B" w:rsidP="0015361B">
            <w:pPr>
              <w:pStyle w:val="CETBodytext"/>
              <w:rPr>
                <w:lang w:val="en-GB"/>
              </w:rPr>
            </w:pPr>
            <w:r>
              <w:t>ID of the absorption column = 0.55 m</w:t>
            </w:r>
          </w:p>
        </w:tc>
        <w:tc>
          <w:tcPr>
            <w:tcW w:w="1417" w:type="dxa"/>
            <w:shd w:val="clear" w:color="auto" w:fill="FFFFFF"/>
          </w:tcPr>
          <w:p w14:paraId="70E3D456" w14:textId="416616F0" w:rsidR="0015361B" w:rsidRPr="00B57B36" w:rsidRDefault="0015361B" w:rsidP="0015361B">
            <w:pPr>
              <w:pStyle w:val="CETBodytext"/>
              <w:rPr>
                <w:lang w:val="en-GB"/>
              </w:rPr>
            </w:pPr>
            <w:r w:rsidRPr="00267C98">
              <w:t>37.26</w:t>
            </w:r>
          </w:p>
        </w:tc>
        <w:tc>
          <w:tcPr>
            <w:tcW w:w="1417" w:type="dxa"/>
            <w:shd w:val="clear" w:color="auto" w:fill="FFFFFF"/>
          </w:tcPr>
          <w:p w14:paraId="6F55D862" w14:textId="5B4F1B8F" w:rsidR="0015361B" w:rsidRPr="00B57B36" w:rsidRDefault="0015361B" w:rsidP="0015361B">
            <w:pPr>
              <w:pStyle w:val="CETBodytext"/>
              <w:rPr>
                <w:lang w:val="en-GB"/>
              </w:rPr>
            </w:pPr>
            <w:r w:rsidRPr="00267C98">
              <w:t>0.32</w:t>
            </w:r>
          </w:p>
        </w:tc>
        <w:tc>
          <w:tcPr>
            <w:tcW w:w="1417" w:type="dxa"/>
            <w:shd w:val="clear" w:color="auto" w:fill="FFFFFF"/>
          </w:tcPr>
          <w:p w14:paraId="4B5B0C3B" w14:textId="4D8CAE84" w:rsidR="0015361B" w:rsidRPr="00B57B36" w:rsidRDefault="0015361B" w:rsidP="0015361B">
            <w:pPr>
              <w:pStyle w:val="CETBodytext"/>
              <w:ind w:right="-1"/>
              <w:rPr>
                <w:rFonts w:cs="Arial"/>
                <w:szCs w:val="18"/>
                <w:lang w:val="en-GB"/>
              </w:rPr>
            </w:pPr>
            <w:r w:rsidRPr="00267C98">
              <w:t>0.13</w:t>
            </w:r>
          </w:p>
        </w:tc>
        <w:tc>
          <w:tcPr>
            <w:tcW w:w="1417" w:type="dxa"/>
            <w:shd w:val="clear" w:color="auto" w:fill="FFFFFF"/>
          </w:tcPr>
          <w:p w14:paraId="7EF10B2C" w14:textId="5FB3D9F8" w:rsidR="0015361B" w:rsidRPr="00B57B36" w:rsidRDefault="0015361B" w:rsidP="0015361B">
            <w:pPr>
              <w:pStyle w:val="CETBodytext"/>
              <w:ind w:right="-1"/>
              <w:rPr>
                <w:rFonts w:cs="Arial"/>
                <w:szCs w:val="18"/>
                <w:lang w:val="en-GB"/>
              </w:rPr>
            </w:pPr>
            <w:r w:rsidRPr="00267C98">
              <w:t>0.23</w:t>
            </w:r>
          </w:p>
        </w:tc>
      </w:tr>
      <w:tr w:rsidR="0015361B" w:rsidRPr="00B57B36" w14:paraId="22B8D42A" w14:textId="77777777" w:rsidTr="0015361B">
        <w:trPr>
          <w:jc w:val="center"/>
        </w:trPr>
        <w:tc>
          <w:tcPr>
            <w:tcW w:w="3118" w:type="dxa"/>
            <w:shd w:val="clear" w:color="auto" w:fill="FFFFFF"/>
          </w:tcPr>
          <w:p w14:paraId="061B6279" w14:textId="488A0C92" w:rsidR="0015361B" w:rsidRPr="00B57B36" w:rsidRDefault="0015361B" w:rsidP="0015361B">
            <w:pPr>
              <w:pStyle w:val="CETBodytext"/>
              <w:rPr>
                <w:lang w:val="en-GB"/>
              </w:rPr>
            </w:pPr>
            <w:r>
              <w:t xml:space="preserve">ID of the absorption column </w:t>
            </w:r>
            <w:r>
              <w:rPr>
                <w:rFonts w:cs="Arial"/>
              </w:rPr>
              <w:t>~</w:t>
            </w:r>
            <w:r>
              <w:t xml:space="preserve"> 0.40 m</w:t>
            </w:r>
          </w:p>
        </w:tc>
        <w:tc>
          <w:tcPr>
            <w:tcW w:w="1417" w:type="dxa"/>
            <w:shd w:val="clear" w:color="auto" w:fill="FFFFFF"/>
          </w:tcPr>
          <w:p w14:paraId="639D61CB" w14:textId="3CD04822" w:rsidR="0015361B" w:rsidRPr="00B57B36" w:rsidRDefault="0015361B" w:rsidP="0015361B">
            <w:pPr>
              <w:pStyle w:val="CETBodytext"/>
              <w:rPr>
                <w:lang w:val="en-GB"/>
              </w:rPr>
            </w:pPr>
            <w:r w:rsidRPr="00267C98">
              <w:t>18.63</w:t>
            </w:r>
          </w:p>
        </w:tc>
        <w:tc>
          <w:tcPr>
            <w:tcW w:w="1417" w:type="dxa"/>
            <w:shd w:val="clear" w:color="auto" w:fill="FFFFFF"/>
          </w:tcPr>
          <w:p w14:paraId="27BD9E89" w14:textId="55AEAD0F" w:rsidR="0015361B" w:rsidRPr="00B57B36" w:rsidRDefault="0015361B" w:rsidP="0015361B">
            <w:pPr>
              <w:pStyle w:val="CETBodytext"/>
              <w:rPr>
                <w:lang w:val="en-GB"/>
              </w:rPr>
            </w:pPr>
            <w:r w:rsidRPr="00267C98">
              <w:t>0.16</w:t>
            </w:r>
          </w:p>
        </w:tc>
        <w:tc>
          <w:tcPr>
            <w:tcW w:w="1417" w:type="dxa"/>
            <w:shd w:val="clear" w:color="auto" w:fill="FFFFFF"/>
          </w:tcPr>
          <w:p w14:paraId="3077B5ED" w14:textId="7F986AFA" w:rsidR="0015361B" w:rsidRPr="00B57B36" w:rsidRDefault="0015361B" w:rsidP="0015361B">
            <w:pPr>
              <w:pStyle w:val="CETBodytext"/>
              <w:ind w:right="-1"/>
              <w:rPr>
                <w:rFonts w:cs="Arial"/>
                <w:szCs w:val="18"/>
                <w:lang w:val="en-GB"/>
              </w:rPr>
            </w:pPr>
            <w:r w:rsidRPr="00267C98">
              <w:t>0.06</w:t>
            </w:r>
          </w:p>
        </w:tc>
        <w:tc>
          <w:tcPr>
            <w:tcW w:w="1417" w:type="dxa"/>
            <w:shd w:val="clear" w:color="auto" w:fill="FFFFFF"/>
          </w:tcPr>
          <w:p w14:paraId="7B8B1BDC" w14:textId="45A6A52B" w:rsidR="0015361B" w:rsidRPr="00B57B36" w:rsidRDefault="0015361B" w:rsidP="0015361B">
            <w:pPr>
              <w:pStyle w:val="CETBodytext"/>
              <w:ind w:right="-1"/>
              <w:rPr>
                <w:rFonts w:cs="Arial"/>
                <w:szCs w:val="18"/>
                <w:lang w:val="en-GB"/>
              </w:rPr>
            </w:pPr>
            <w:r w:rsidRPr="00267C98">
              <w:t>0.12</w:t>
            </w:r>
          </w:p>
        </w:tc>
      </w:tr>
    </w:tbl>
    <w:p w14:paraId="415138DC" w14:textId="113FF7CA" w:rsidR="0015361B" w:rsidRPr="007C06BB" w:rsidRDefault="0015361B" w:rsidP="00A5221A">
      <w:pPr>
        <w:pStyle w:val="CETTabletitle"/>
        <w:jc w:val="both"/>
        <w:rPr>
          <w:lang w:val="en-US"/>
        </w:rPr>
      </w:pPr>
      <w:bookmarkStart w:id="10" w:name="_Ref184398711"/>
      <w:r>
        <w:lastRenderedPageBreak/>
        <w:t xml:space="preserve">Table </w:t>
      </w:r>
      <w:r>
        <w:fldChar w:fldCharType="begin"/>
      </w:r>
      <w:r>
        <w:instrText xml:space="preserve"> SEQ Table \* ARABIC </w:instrText>
      </w:r>
      <w:r>
        <w:fldChar w:fldCharType="separate"/>
      </w:r>
      <w:r>
        <w:rPr>
          <w:noProof/>
        </w:rPr>
        <w:t>4</w:t>
      </w:r>
      <w:r>
        <w:fldChar w:fldCharType="end"/>
      </w:r>
      <w:bookmarkEnd w:id="10"/>
      <w:r w:rsidRPr="00B57B36">
        <w:t xml:space="preserve">: </w:t>
      </w:r>
      <w:r>
        <w:t>Consumption of the thermal duty for cooling (negative) or for heating (positive) for the main units of the process for CO</w:t>
      </w:r>
      <w:r w:rsidRPr="0015361B">
        <w:rPr>
          <w:vertAlign w:val="subscript"/>
        </w:rPr>
        <w:t>2</w:t>
      </w:r>
      <w:r>
        <w:t xml:space="preserve"> removal for the two different sizes of the pilot plant</w:t>
      </w:r>
    </w:p>
    <w:tbl>
      <w:tblPr>
        <w:tblW w:w="9354" w:type="dxa"/>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118"/>
        <w:gridCol w:w="1134"/>
        <w:gridCol w:w="1134"/>
        <w:gridCol w:w="1984"/>
        <w:gridCol w:w="1984"/>
      </w:tblGrid>
      <w:tr w:rsidR="00417CD9" w:rsidRPr="00B57B36" w14:paraId="4D9B8127" w14:textId="77777777" w:rsidTr="00417CD9">
        <w:trPr>
          <w:jc w:val="center"/>
        </w:trPr>
        <w:tc>
          <w:tcPr>
            <w:tcW w:w="3118" w:type="dxa"/>
            <w:tcBorders>
              <w:top w:val="single" w:sz="12" w:space="0" w:color="008000"/>
              <w:bottom w:val="single" w:sz="6" w:space="0" w:color="008000"/>
            </w:tcBorders>
            <w:shd w:val="clear" w:color="auto" w:fill="FFFFFF"/>
          </w:tcPr>
          <w:p w14:paraId="63FF27A9" w14:textId="77777777" w:rsidR="0015361B" w:rsidRPr="00B57B36" w:rsidRDefault="0015361B" w:rsidP="0015361B">
            <w:pPr>
              <w:pStyle w:val="CETBodytext"/>
              <w:rPr>
                <w:lang w:val="en-GB"/>
              </w:rPr>
            </w:pPr>
          </w:p>
        </w:tc>
        <w:tc>
          <w:tcPr>
            <w:tcW w:w="1134" w:type="dxa"/>
            <w:tcBorders>
              <w:top w:val="single" w:sz="12" w:space="0" w:color="008000"/>
              <w:bottom w:val="single" w:sz="6" w:space="0" w:color="008000"/>
            </w:tcBorders>
            <w:shd w:val="clear" w:color="auto" w:fill="FFFFFF"/>
          </w:tcPr>
          <w:p w14:paraId="4EA17322" w14:textId="3E18C89A" w:rsidR="0015361B" w:rsidRPr="00B57B36" w:rsidRDefault="0015361B" w:rsidP="0015361B">
            <w:pPr>
              <w:pStyle w:val="CETBodytext"/>
              <w:rPr>
                <w:lang w:val="en-GB"/>
              </w:rPr>
            </w:pPr>
            <w:r w:rsidRPr="00AB76CD">
              <w:t>E-101</w:t>
            </w:r>
            <w:r w:rsidR="00417CD9">
              <w:t xml:space="preserve"> [kW]</w:t>
            </w:r>
          </w:p>
        </w:tc>
        <w:tc>
          <w:tcPr>
            <w:tcW w:w="1134" w:type="dxa"/>
            <w:tcBorders>
              <w:top w:val="single" w:sz="12" w:space="0" w:color="008000"/>
              <w:bottom w:val="single" w:sz="6" w:space="0" w:color="008000"/>
            </w:tcBorders>
            <w:shd w:val="clear" w:color="auto" w:fill="FFFFFF"/>
          </w:tcPr>
          <w:p w14:paraId="22CAB90B" w14:textId="229D65AF" w:rsidR="0015361B" w:rsidRPr="00B57B36" w:rsidRDefault="0015361B" w:rsidP="0015361B">
            <w:pPr>
              <w:pStyle w:val="CETBodytext"/>
              <w:rPr>
                <w:lang w:val="en-GB"/>
              </w:rPr>
            </w:pPr>
            <w:r w:rsidRPr="00AB76CD">
              <w:t>E-103</w:t>
            </w:r>
            <w:r w:rsidR="00417CD9">
              <w:t xml:space="preserve"> [kW]</w:t>
            </w:r>
          </w:p>
        </w:tc>
        <w:tc>
          <w:tcPr>
            <w:tcW w:w="1984" w:type="dxa"/>
            <w:tcBorders>
              <w:top w:val="single" w:sz="12" w:space="0" w:color="008000"/>
              <w:bottom w:val="single" w:sz="6" w:space="0" w:color="008000"/>
            </w:tcBorders>
            <w:shd w:val="clear" w:color="auto" w:fill="FFFFFF"/>
          </w:tcPr>
          <w:p w14:paraId="56299EBB" w14:textId="2613E458" w:rsidR="0015361B" w:rsidRPr="00B57B36" w:rsidRDefault="0015361B" w:rsidP="0015361B">
            <w:pPr>
              <w:pStyle w:val="CETBodytext"/>
              <w:ind w:right="-1"/>
              <w:rPr>
                <w:rFonts w:cs="Arial"/>
                <w:szCs w:val="18"/>
                <w:lang w:val="en-GB"/>
              </w:rPr>
            </w:pPr>
            <w:r w:rsidRPr="00AB76CD">
              <w:t>Condens</w:t>
            </w:r>
            <w:r>
              <w:t>er</w:t>
            </w:r>
            <w:r w:rsidRPr="00AB76CD">
              <w:t xml:space="preserve"> (E-105)</w:t>
            </w:r>
            <w:r w:rsidR="00417CD9">
              <w:t xml:space="preserve"> [kW]</w:t>
            </w:r>
          </w:p>
        </w:tc>
        <w:tc>
          <w:tcPr>
            <w:tcW w:w="1984" w:type="dxa"/>
            <w:tcBorders>
              <w:top w:val="single" w:sz="12" w:space="0" w:color="008000"/>
              <w:bottom w:val="single" w:sz="6" w:space="0" w:color="008000"/>
            </w:tcBorders>
            <w:shd w:val="clear" w:color="auto" w:fill="FFFFFF"/>
          </w:tcPr>
          <w:p w14:paraId="15BB4D91" w14:textId="31D54B45" w:rsidR="0015361B" w:rsidRPr="00B57B36" w:rsidRDefault="0015361B" w:rsidP="0015361B">
            <w:pPr>
              <w:pStyle w:val="CETBodytext"/>
              <w:ind w:right="-1"/>
              <w:rPr>
                <w:rFonts w:cs="Arial"/>
                <w:szCs w:val="18"/>
                <w:lang w:val="en-GB"/>
              </w:rPr>
            </w:pPr>
            <w:r w:rsidRPr="00AB76CD">
              <w:t>R</w:t>
            </w:r>
            <w:r>
              <w:t>eboiler</w:t>
            </w:r>
            <w:r w:rsidRPr="00AB76CD">
              <w:t xml:space="preserve"> (E-106)</w:t>
            </w:r>
            <w:r w:rsidR="00417CD9">
              <w:t xml:space="preserve"> [kW]</w:t>
            </w:r>
          </w:p>
        </w:tc>
      </w:tr>
      <w:tr w:rsidR="00417CD9" w:rsidRPr="00B57B36" w14:paraId="043340A8" w14:textId="77777777" w:rsidTr="00417CD9">
        <w:trPr>
          <w:jc w:val="center"/>
        </w:trPr>
        <w:tc>
          <w:tcPr>
            <w:tcW w:w="3118" w:type="dxa"/>
            <w:shd w:val="clear" w:color="auto" w:fill="FFFFFF"/>
          </w:tcPr>
          <w:p w14:paraId="61B687F6" w14:textId="77777777" w:rsidR="0015361B" w:rsidRPr="00B57B36" w:rsidRDefault="0015361B" w:rsidP="0015361B">
            <w:pPr>
              <w:pStyle w:val="CETBodytext"/>
              <w:rPr>
                <w:lang w:val="en-GB"/>
              </w:rPr>
            </w:pPr>
            <w:r>
              <w:t>ID of the absorption column = 0.55 m</w:t>
            </w:r>
          </w:p>
        </w:tc>
        <w:tc>
          <w:tcPr>
            <w:tcW w:w="1134" w:type="dxa"/>
            <w:shd w:val="clear" w:color="auto" w:fill="FFFFFF"/>
          </w:tcPr>
          <w:p w14:paraId="328ADD8E" w14:textId="1DE7678B" w:rsidR="0015361B" w:rsidRPr="00B57B36" w:rsidRDefault="0015361B" w:rsidP="0015361B">
            <w:pPr>
              <w:pStyle w:val="CETBodytext"/>
              <w:rPr>
                <w:lang w:val="en-GB"/>
              </w:rPr>
            </w:pPr>
            <w:r w:rsidRPr="00AB76CD">
              <w:t>-262.55</w:t>
            </w:r>
          </w:p>
        </w:tc>
        <w:tc>
          <w:tcPr>
            <w:tcW w:w="1134" w:type="dxa"/>
            <w:shd w:val="clear" w:color="auto" w:fill="FFFFFF"/>
          </w:tcPr>
          <w:p w14:paraId="14626DBA" w14:textId="1CA07B0F" w:rsidR="0015361B" w:rsidRPr="00B57B36" w:rsidRDefault="0015361B" w:rsidP="0015361B">
            <w:pPr>
              <w:pStyle w:val="CETBodytext"/>
              <w:rPr>
                <w:lang w:val="en-GB"/>
              </w:rPr>
            </w:pPr>
            <w:r w:rsidRPr="00AB76CD">
              <w:t>-27.76</w:t>
            </w:r>
          </w:p>
        </w:tc>
        <w:tc>
          <w:tcPr>
            <w:tcW w:w="1984" w:type="dxa"/>
            <w:shd w:val="clear" w:color="auto" w:fill="FFFFFF"/>
          </w:tcPr>
          <w:p w14:paraId="1F182395" w14:textId="65FFDD3A" w:rsidR="0015361B" w:rsidRPr="00B57B36" w:rsidRDefault="0015361B" w:rsidP="0015361B">
            <w:pPr>
              <w:pStyle w:val="CETBodytext"/>
              <w:ind w:right="-1"/>
              <w:rPr>
                <w:rFonts w:cs="Arial"/>
                <w:szCs w:val="18"/>
                <w:lang w:val="en-GB"/>
              </w:rPr>
            </w:pPr>
            <w:r w:rsidRPr="00AB76CD">
              <w:t>-110.08</w:t>
            </w:r>
          </w:p>
        </w:tc>
        <w:tc>
          <w:tcPr>
            <w:tcW w:w="1984" w:type="dxa"/>
            <w:shd w:val="clear" w:color="auto" w:fill="FFFFFF"/>
          </w:tcPr>
          <w:p w14:paraId="7C19C8A4" w14:textId="0683412E" w:rsidR="0015361B" w:rsidRPr="00B57B36" w:rsidRDefault="0015361B" w:rsidP="0015361B">
            <w:pPr>
              <w:pStyle w:val="CETBodytext"/>
              <w:ind w:right="-1"/>
              <w:rPr>
                <w:rFonts w:cs="Arial"/>
                <w:szCs w:val="18"/>
                <w:lang w:val="en-GB"/>
              </w:rPr>
            </w:pPr>
            <w:r w:rsidRPr="00AB76CD">
              <w:t>+321.87</w:t>
            </w:r>
          </w:p>
        </w:tc>
      </w:tr>
      <w:tr w:rsidR="00417CD9" w:rsidRPr="00B57B36" w14:paraId="52DC72A7" w14:textId="77777777" w:rsidTr="00417CD9">
        <w:trPr>
          <w:jc w:val="center"/>
        </w:trPr>
        <w:tc>
          <w:tcPr>
            <w:tcW w:w="3118" w:type="dxa"/>
            <w:shd w:val="clear" w:color="auto" w:fill="FFFFFF"/>
          </w:tcPr>
          <w:p w14:paraId="3D4410EC" w14:textId="77777777" w:rsidR="0015361B" w:rsidRPr="00B57B36" w:rsidRDefault="0015361B" w:rsidP="0015361B">
            <w:pPr>
              <w:pStyle w:val="CETBodytext"/>
              <w:rPr>
                <w:lang w:val="en-GB"/>
              </w:rPr>
            </w:pPr>
            <w:r>
              <w:t xml:space="preserve">ID of the absorption column </w:t>
            </w:r>
            <w:r>
              <w:rPr>
                <w:rFonts w:cs="Arial"/>
              </w:rPr>
              <w:t>~</w:t>
            </w:r>
            <w:r>
              <w:t xml:space="preserve"> 0.40 m</w:t>
            </w:r>
          </w:p>
        </w:tc>
        <w:tc>
          <w:tcPr>
            <w:tcW w:w="1134" w:type="dxa"/>
            <w:shd w:val="clear" w:color="auto" w:fill="FFFFFF"/>
          </w:tcPr>
          <w:p w14:paraId="774A07CC" w14:textId="5AAB1CAE" w:rsidR="0015361B" w:rsidRPr="00B57B36" w:rsidRDefault="0015361B" w:rsidP="0015361B">
            <w:pPr>
              <w:pStyle w:val="CETBodytext"/>
              <w:rPr>
                <w:lang w:val="en-GB"/>
              </w:rPr>
            </w:pPr>
            <w:r w:rsidRPr="00AB76CD">
              <w:t>-131.29</w:t>
            </w:r>
          </w:p>
        </w:tc>
        <w:tc>
          <w:tcPr>
            <w:tcW w:w="1134" w:type="dxa"/>
            <w:shd w:val="clear" w:color="auto" w:fill="FFFFFF"/>
          </w:tcPr>
          <w:p w14:paraId="6E1A03AF" w14:textId="29B03F04" w:rsidR="0015361B" w:rsidRPr="00B57B36" w:rsidRDefault="0015361B" w:rsidP="0015361B">
            <w:pPr>
              <w:pStyle w:val="CETBodytext"/>
              <w:rPr>
                <w:lang w:val="en-GB"/>
              </w:rPr>
            </w:pPr>
            <w:r w:rsidRPr="00AB76CD">
              <w:t>-13.13</w:t>
            </w:r>
          </w:p>
        </w:tc>
        <w:tc>
          <w:tcPr>
            <w:tcW w:w="1984" w:type="dxa"/>
            <w:shd w:val="clear" w:color="auto" w:fill="FFFFFF"/>
          </w:tcPr>
          <w:p w14:paraId="770C4409" w14:textId="43A489F6" w:rsidR="0015361B" w:rsidRPr="00B57B36" w:rsidRDefault="0015361B" w:rsidP="0015361B">
            <w:pPr>
              <w:pStyle w:val="CETBodytext"/>
              <w:ind w:right="-1"/>
              <w:rPr>
                <w:rFonts w:cs="Arial"/>
                <w:szCs w:val="18"/>
                <w:lang w:val="en-GB"/>
              </w:rPr>
            </w:pPr>
            <w:r w:rsidRPr="00AB76CD">
              <w:t>-54.56</w:t>
            </w:r>
          </w:p>
        </w:tc>
        <w:tc>
          <w:tcPr>
            <w:tcW w:w="1984" w:type="dxa"/>
            <w:shd w:val="clear" w:color="auto" w:fill="FFFFFF"/>
          </w:tcPr>
          <w:p w14:paraId="2C9B0A07" w14:textId="27DCA35C" w:rsidR="0015361B" w:rsidRPr="00B57B36" w:rsidRDefault="0015361B" w:rsidP="0015361B">
            <w:pPr>
              <w:pStyle w:val="CETBodytext"/>
              <w:ind w:right="-1"/>
              <w:rPr>
                <w:rFonts w:cs="Arial"/>
                <w:szCs w:val="18"/>
                <w:lang w:val="en-GB"/>
              </w:rPr>
            </w:pPr>
            <w:r w:rsidRPr="00AB76CD">
              <w:t>+160.24</w:t>
            </w:r>
          </w:p>
        </w:tc>
      </w:tr>
    </w:tbl>
    <w:p w14:paraId="10AD04DC" w14:textId="77777777" w:rsidR="006936FA" w:rsidRPr="00B57B36" w:rsidRDefault="006936FA" w:rsidP="006936FA">
      <w:pPr>
        <w:pStyle w:val="CETHeading1"/>
        <w:rPr>
          <w:lang w:val="en-GB"/>
        </w:rPr>
      </w:pPr>
      <w:r w:rsidRPr="00B57B36">
        <w:rPr>
          <w:lang w:val="en-GB"/>
        </w:rPr>
        <w:t>Conclusions</w:t>
      </w:r>
    </w:p>
    <w:p w14:paraId="2EA7C452" w14:textId="3467E329" w:rsidR="0015361B" w:rsidRDefault="006936FA" w:rsidP="006936FA">
      <w:pPr>
        <w:pStyle w:val="CETBodytext"/>
      </w:pPr>
      <w:r>
        <w:rPr>
          <w:lang w:val="en-GB"/>
        </w:rPr>
        <w:t xml:space="preserve">This work focused on the definition of </w:t>
      </w:r>
      <w:r w:rsidRPr="006936FA">
        <w:rPr>
          <w:lang w:val="en-GB"/>
        </w:rPr>
        <w:t>the size of the</w:t>
      </w:r>
      <w:r>
        <w:rPr>
          <w:lang w:val="en-GB"/>
        </w:rPr>
        <w:t xml:space="preserve"> first</w:t>
      </w:r>
      <w:r w:rsidRPr="006936FA">
        <w:rPr>
          <w:lang w:val="en-GB"/>
        </w:rPr>
        <w:t xml:space="preserve"> pilot plant</w:t>
      </w:r>
      <w:r>
        <w:rPr>
          <w:lang w:val="en-GB"/>
        </w:rPr>
        <w:t xml:space="preserve"> applied to the removal of CO</w:t>
      </w:r>
      <w:r w:rsidRPr="006936FA">
        <w:rPr>
          <w:vertAlign w:val="subscript"/>
          <w:lang w:val="en-GB"/>
        </w:rPr>
        <w:t>2</w:t>
      </w:r>
      <w:r>
        <w:rPr>
          <w:lang w:val="en-GB"/>
        </w:rPr>
        <w:t xml:space="preserve"> from the </w:t>
      </w:r>
      <w:proofErr w:type="spellStart"/>
      <w:r>
        <w:rPr>
          <w:lang w:val="en-GB"/>
        </w:rPr>
        <w:t>WtE</w:t>
      </w:r>
      <w:proofErr w:type="spellEnd"/>
      <w:r>
        <w:rPr>
          <w:lang w:val="en-GB"/>
        </w:rPr>
        <w:t xml:space="preserve"> flue gases, to be built at the </w:t>
      </w:r>
      <w:proofErr w:type="spellStart"/>
      <w:r>
        <w:rPr>
          <w:lang w:val="en-GB"/>
        </w:rPr>
        <w:t>WtE</w:t>
      </w:r>
      <w:proofErr w:type="spellEnd"/>
      <w:r>
        <w:rPr>
          <w:lang w:val="en-GB"/>
        </w:rPr>
        <w:t xml:space="preserve"> plant in Como (Italy). </w:t>
      </w:r>
      <w:r w:rsidRPr="006936FA">
        <w:rPr>
          <w:lang w:val="en-GB"/>
        </w:rPr>
        <w:t xml:space="preserve">The operating flowrate range of </w:t>
      </w:r>
      <w:r>
        <w:rPr>
          <w:lang w:val="en-GB"/>
        </w:rPr>
        <w:t>flue</w:t>
      </w:r>
      <w:r w:rsidRPr="006936FA">
        <w:rPr>
          <w:lang w:val="en-GB"/>
        </w:rPr>
        <w:t xml:space="preserve"> gas and the related energy consumption </w:t>
      </w:r>
      <w:r>
        <w:rPr>
          <w:lang w:val="en-GB"/>
        </w:rPr>
        <w:t>have been firstly</w:t>
      </w:r>
      <w:r w:rsidRPr="006936FA">
        <w:rPr>
          <w:lang w:val="en-GB"/>
        </w:rPr>
        <w:t xml:space="preserve"> evaluated for </w:t>
      </w:r>
      <w:r>
        <w:rPr>
          <w:lang w:val="en-GB"/>
        </w:rPr>
        <w:t>the</w:t>
      </w:r>
      <w:r w:rsidRPr="006936FA">
        <w:rPr>
          <w:lang w:val="en-GB"/>
        </w:rPr>
        <w:t xml:space="preserve"> pilot plant with an internal diameter of the absorption column equal to 0.55 m</w:t>
      </w:r>
      <w:r w:rsidR="00417CD9">
        <w:rPr>
          <w:lang w:val="en-GB"/>
        </w:rPr>
        <w:t xml:space="preserve"> (Case A)</w:t>
      </w:r>
      <w:r w:rsidRPr="006936FA">
        <w:rPr>
          <w:lang w:val="en-GB"/>
        </w:rPr>
        <w:t>. The</w:t>
      </w:r>
      <w:r>
        <w:rPr>
          <w:lang w:val="en-GB"/>
        </w:rPr>
        <w:t xml:space="preserve">n, </w:t>
      </w:r>
      <w:r w:rsidRPr="006936FA">
        <w:rPr>
          <w:lang w:val="en-GB"/>
        </w:rPr>
        <w:t xml:space="preserve">the absorption column of the pilot plant with </w:t>
      </w:r>
      <w:r>
        <w:rPr>
          <w:lang w:val="en-GB"/>
        </w:rPr>
        <w:t>a lower</w:t>
      </w:r>
      <w:r w:rsidRPr="006936FA">
        <w:rPr>
          <w:lang w:val="en-GB"/>
        </w:rPr>
        <w:t xml:space="preserve"> diameter</w:t>
      </w:r>
      <w:r w:rsidR="00417CD9">
        <w:rPr>
          <w:lang w:val="en-GB"/>
        </w:rPr>
        <w:t>,</w:t>
      </w:r>
      <w:r w:rsidR="004449A6">
        <w:rPr>
          <w:lang w:val="en-GB"/>
        </w:rPr>
        <w:t xml:space="preserve"> </w:t>
      </w:r>
      <w:r>
        <w:rPr>
          <w:rFonts w:cs="Arial"/>
          <w:lang w:val="en-GB"/>
        </w:rPr>
        <w:t>~</w:t>
      </w:r>
      <w:r w:rsidRPr="006936FA">
        <w:rPr>
          <w:lang w:val="en-GB"/>
        </w:rPr>
        <w:t xml:space="preserve"> 0.40 m</w:t>
      </w:r>
      <w:r w:rsidR="00417CD9">
        <w:rPr>
          <w:lang w:val="en-GB"/>
        </w:rPr>
        <w:t xml:space="preserve"> (Case B),</w:t>
      </w:r>
      <w:r>
        <w:rPr>
          <w:lang w:val="en-GB"/>
        </w:rPr>
        <w:t xml:space="preserve"> has been considered and the</w:t>
      </w:r>
      <w:r w:rsidRPr="006936FA">
        <w:rPr>
          <w:lang w:val="en-GB"/>
        </w:rPr>
        <w:t xml:space="preserve"> flowrate of </w:t>
      </w:r>
      <w:r>
        <w:rPr>
          <w:lang w:val="en-GB"/>
        </w:rPr>
        <w:t>the flue</w:t>
      </w:r>
      <w:r w:rsidRPr="006936FA">
        <w:rPr>
          <w:lang w:val="en-GB"/>
        </w:rPr>
        <w:t xml:space="preserve"> gas </w:t>
      </w:r>
      <w:r>
        <w:rPr>
          <w:lang w:val="en-GB"/>
        </w:rPr>
        <w:t>to be fed has been</w:t>
      </w:r>
      <w:r w:rsidRPr="006936FA">
        <w:rPr>
          <w:lang w:val="en-GB"/>
        </w:rPr>
        <w:t xml:space="preserve"> determined, the sizing of the other columns and the evaluation of the energy consumption of the plant </w:t>
      </w:r>
      <w:r>
        <w:rPr>
          <w:lang w:val="en-GB"/>
        </w:rPr>
        <w:t>have been</w:t>
      </w:r>
      <w:r w:rsidRPr="006936FA">
        <w:rPr>
          <w:lang w:val="en-GB"/>
        </w:rPr>
        <w:t xml:space="preserve"> carried out and </w:t>
      </w:r>
      <w:r>
        <w:rPr>
          <w:lang w:val="en-GB"/>
        </w:rPr>
        <w:t>t</w:t>
      </w:r>
      <w:r w:rsidRPr="006936FA">
        <w:rPr>
          <w:lang w:val="en-GB"/>
        </w:rPr>
        <w:t xml:space="preserve">he operating range of </w:t>
      </w:r>
      <w:r>
        <w:rPr>
          <w:lang w:val="en-GB"/>
        </w:rPr>
        <w:t>flue</w:t>
      </w:r>
      <w:r w:rsidRPr="006936FA">
        <w:rPr>
          <w:lang w:val="en-GB"/>
        </w:rPr>
        <w:t xml:space="preserve"> gas flowrate and </w:t>
      </w:r>
      <w:r>
        <w:rPr>
          <w:lang w:val="en-GB"/>
        </w:rPr>
        <w:t xml:space="preserve">the </w:t>
      </w:r>
      <w:r w:rsidRPr="006936FA">
        <w:rPr>
          <w:lang w:val="en-GB"/>
        </w:rPr>
        <w:t xml:space="preserve">related energy consumption </w:t>
      </w:r>
      <w:r>
        <w:rPr>
          <w:lang w:val="en-GB"/>
        </w:rPr>
        <w:t>have been</w:t>
      </w:r>
      <w:r w:rsidRPr="006936FA">
        <w:rPr>
          <w:lang w:val="en-GB"/>
        </w:rPr>
        <w:t xml:space="preserve"> evaluated. </w:t>
      </w:r>
      <w:r w:rsidR="000C466F">
        <w:rPr>
          <w:lang w:val="en-GB"/>
        </w:rPr>
        <w:t xml:space="preserve">A comparison between the two sizes has been carried out. </w:t>
      </w:r>
      <w:r>
        <w:rPr>
          <w:lang w:val="en-GB"/>
        </w:rPr>
        <w:t>On the basis of the obtained results,</w:t>
      </w:r>
      <w:r w:rsidRPr="006936FA">
        <w:rPr>
          <w:lang w:val="en-GB"/>
        </w:rPr>
        <w:t xml:space="preserve"> the size of the pilot plant </w:t>
      </w:r>
      <w:r>
        <w:rPr>
          <w:lang w:val="en-GB"/>
        </w:rPr>
        <w:t>to be built has been defined to be the smaller one</w:t>
      </w:r>
      <w:r w:rsidR="00417CD9">
        <w:rPr>
          <w:lang w:val="en-GB"/>
        </w:rPr>
        <w:t xml:space="preserve"> (Case B)</w:t>
      </w:r>
      <w:r>
        <w:rPr>
          <w:lang w:val="en-GB"/>
        </w:rPr>
        <w:t>,</w:t>
      </w:r>
      <w:r w:rsidRPr="006936FA">
        <w:rPr>
          <w:lang w:val="en-GB"/>
        </w:rPr>
        <w:t xml:space="preserve"> with a diameter of the absorption column equal to approximately 0.40 m, to treat a flowrate of </w:t>
      </w:r>
      <w:r w:rsidR="00BC3723">
        <w:rPr>
          <w:lang w:val="en-GB"/>
        </w:rPr>
        <w:t>flue</w:t>
      </w:r>
      <w:r w:rsidRPr="006936FA">
        <w:rPr>
          <w:lang w:val="en-GB"/>
        </w:rPr>
        <w:t xml:space="preserve"> gas equal to 1471.40 kg/h.</w:t>
      </w:r>
    </w:p>
    <w:p w14:paraId="4F1327F8" w14:textId="77777777" w:rsidR="00600535" w:rsidRPr="00B57B36" w:rsidRDefault="00600535" w:rsidP="00600535">
      <w:pPr>
        <w:pStyle w:val="CETReference"/>
      </w:pPr>
      <w:r w:rsidRPr="00B57B36">
        <w:t>References</w:t>
      </w:r>
    </w:p>
    <w:p w14:paraId="460544CD" w14:textId="77777777" w:rsidR="000603BA" w:rsidRPr="00254030" w:rsidRDefault="004134E4" w:rsidP="00254030">
      <w:pPr>
        <w:pStyle w:val="CETReferencetext"/>
        <w:rPr>
          <w:noProof/>
        </w:rPr>
      </w:pPr>
      <w:r w:rsidRPr="00254030">
        <w:rPr>
          <w:noProof/>
        </w:rPr>
        <w:fldChar w:fldCharType="begin"/>
      </w:r>
      <w:r w:rsidRPr="00254030">
        <w:instrText xml:space="preserve"> ADDIN EN.REFLIST </w:instrText>
      </w:r>
      <w:r w:rsidRPr="00254030">
        <w:rPr>
          <w:noProof/>
        </w:rPr>
        <w:fldChar w:fldCharType="separate"/>
      </w:r>
      <w:r w:rsidR="000603BA" w:rsidRPr="00254030">
        <w:rPr>
          <w:noProof/>
        </w:rPr>
        <w:t>Bui M., Gunawan I., Verheyen V., Feron P., Meuleman E., 2016, Flexible operation of CSIRO's post-combustion CO</w:t>
      </w:r>
      <w:r w:rsidR="000603BA" w:rsidRPr="00254030">
        <w:rPr>
          <w:noProof/>
          <w:vertAlign w:val="subscript"/>
        </w:rPr>
        <w:t>2</w:t>
      </w:r>
      <w:r w:rsidR="000603BA" w:rsidRPr="00254030">
        <w:rPr>
          <w:noProof/>
        </w:rPr>
        <w:t xml:space="preserve"> capture pilot plant at the AGL Loy Yang power station, International Journal of Greenhouse Gas Control 48, 188-203.</w:t>
      </w:r>
    </w:p>
    <w:p w14:paraId="341CC02E" w14:textId="77777777" w:rsidR="000603BA" w:rsidRPr="00254030" w:rsidRDefault="000603BA" w:rsidP="00254030">
      <w:pPr>
        <w:pStyle w:val="CETReferencetext"/>
        <w:rPr>
          <w:noProof/>
        </w:rPr>
      </w:pPr>
      <w:r w:rsidRPr="00254030">
        <w:rPr>
          <w:noProof/>
        </w:rPr>
        <w:t>Cousins A., Huang S., Cottrell A., Feron P.H.M., Chen E., Rochelle G.T., 2015, Pilot-scale parametric evaluation of concentrated piperazine for CO</w:t>
      </w:r>
      <w:r w:rsidRPr="00254030">
        <w:rPr>
          <w:noProof/>
          <w:vertAlign w:val="subscript"/>
        </w:rPr>
        <w:t>2</w:t>
      </w:r>
      <w:r w:rsidRPr="00254030">
        <w:rPr>
          <w:noProof/>
        </w:rPr>
        <w:t xml:space="preserve"> capture at an Australian coal-fired power station, Greenhouse Gases: Science and Technology 5, 7-16.</w:t>
      </w:r>
    </w:p>
    <w:p w14:paraId="062AFDF5" w14:textId="77777777" w:rsidR="000603BA" w:rsidRPr="00254030" w:rsidRDefault="000603BA" w:rsidP="00254030">
      <w:pPr>
        <w:pStyle w:val="CETReferencetext"/>
        <w:rPr>
          <w:noProof/>
        </w:rPr>
      </w:pPr>
      <w:r w:rsidRPr="00254030">
        <w:rPr>
          <w:noProof/>
        </w:rPr>
        <w:t>De Vries R., De Jong W., 2019, CCU at Twence Status from Pilot to Demonstration, Workshop on EU funding opportunities for CCU projects, Brussels, Luxembourg.</w:t>
      </w:r>
    </w:p>
    <w:p w14:paraId="08AC7B46" w14:textId="77777777" w:rsidR="000603BA" w:rsidRPr="00254030" w:rsidRDefault="000603BA" w:rsidP="00254030">
      <w:pPr>
        <w:pStyle w:val="CETReferencetext"/>
        <w:rPr>
          <w:noProof/>
        </w:rPr>
      </w:pPr>
      <w:r w:rsidRPr="00254030">
        <w:rPr>
          <w:noProof/>
        </w:rPr>
        <w:t>Fagerlund J., Zevenhoven R., Thomassen J., Tednes M., Abdollahi F., Thomas L., Nielsen C.J., Mikoviny T., Wisthaler A., Zhu L., Biliyok C., Zhurkin A., 2021, Performance of an amine-based CO</w:t>
      </w:r>
      <w:r w:rsidRPr="00254030">
        <w:rPr>
          <w:noProof/>
          <w:vertAlign w:val="subscript"/>
        </w:rPr>
        <w:t>2</w:t>
      </w:r>
      <w:r w:rsidRPr="00254030">
        <w:rPr>
          <w:noProof/>
        </w:rPr>
        <w:t xml:space="preserve"> capture pilot plant at the Fortum Oslo Varme Waste to Energy plant in Oslo, Norway, International Journal of Greenhouse Gas Control 106, 103242.</w:t>
      </w:r>
    </w:p>
    <w:p w14:paraId="4E8DF820" w14:textId="77777777" w:rsidR="000603BA" w:rsidRPr="00254030" w:rsidRDefault="000603BA" w:rsidP="00254030">
      <w:pPr>
        <w:pStyle w:val="CETReferencetext"/>
        <w:rPr>
          <w:noProof/>
        </w:rPr>
      </w:pPr>
      <w:r w:rsidRPr="00254030">
        <w:rPr>
          <w:noProof/>
        </w:rPr>
        <w:t>Knudsen J.N., Wærnes O., Svendsen H.F., Graff O., 2017, Highlights and Main Findings from the 8 Year SOLVit R&amp;D Programme – Bringing Solvents and Technology from Laboratory to Industry, Energy Procedia 114, 5701-5710.</w:t>
      </w:r>
    </w:p>
    <w:p w14:paraId="48C8BBBC" w14:textId="77777777" w:rsidR="000603BA" w:rsidRPr="00254030" w:rsidRDefault="000603BA" w:rsidP="00254030">
      <w:pPr>
        <w:pStyle w:val="CETReferencetext"/>
        <w:rPr>
          <w:noProof/>
        </w:rPr>
      </w:pPr>
      <w:r w:rsidRPr="00254030">
        <w:rPr>
          <w:noProof/>
        </w:rPr>
        <w:t>Krótki A., Więcław Solny L., Stec M., Spietz T., Wilk A., Chwoła T., Jastrząb K., 2020, Experimental results of advanced technological modifications for a CO</w:t>
      </w:r>
      <w:r w:rsidRPr="00254030">
        <w:rPr>
          <w:noProof/>
          <w:vertAlign w:val="subscript"/>
        </w:rPr>
        <w:t>2</w:t>
      </w:r>
      <w:r w:rsidRPr="00254030">
        <w:rPr>
          <w:noProof/>
        </w:rPr>
        <w:t xml:space="preserve"> capture process using amine scrubbing, International Journal of Greenhouse Gas Control 96, 103014.</w:t>
      </w:r>
    </w:p>
    <w:p w14:paraId="7364CE69" w14:textId="77777777" w:rsidR="000603BA" w:rsidRPr="00254030" w:rsidRDefault="000603BA" w:rsidP="00254030">
      <w:pPr>
        <w:pStyle w:val="CETReferencetext"/>
        <w:rPr>
          <w:noProof/>
        </w:rPr>
      </w:pPr>
      <w:r w:rsidRPr="00254030">
        <w:rPr>
          <w:noProof/>
        </w:rPr>
        <w:t>Lin Y.-J., Chen E., Rochelle G.T., 2016, Pilot plant test of the advanced flash stripper for CO</w:t>
      </w:r>
      <w:r w:rsidRPr="00254030">
        <w:rPr>
          <w:noProof/>
          <w:vertAlign w:val="subscript"/>
        </w:rPr>
        <w:t>2</w:t>
      </w:r>
      <w:r w:rsidRPr="00254030">
        <w:rPr>
          <w:noProof/>
        </w:rPr>
        <w:t xml:space="preserve"> capture, Faraday Discussions 192, 37-58.</w:t>
      </w:r>
    </w:p>
    <w:p w14:paraId="6F88FF44" w14:textId="77777777" w:rsidR="000603BA" w:rsidRPr="00254030" w:rsidRDefault="000603BA" w:rsidP="00254030">
      <w:pPr>
        <w:pStyle w:val="CETReferencetext"/>
        <w:rPr>
          <w:noProof/>
        </w:rPr>
      </w:pPr>
      <w:r w:rsidRPr="00254030">
        <w:rPr>
          <w:noProof/>
        </w:rPr>
        <w:t>Moioli S., 2023, Design of the process of CO</w:t>
      </w:r>
      <w:r w:rsidRPr="00254030">
        <w:rPr>
          <w:noProof/>
          <w:vertAlign w:val="subscript"/>
        </w:rPr>
        <w:t>2</w:t>
      </w:r>
      <w:r w:rsidRPr="00254030">
        <w:rPr>
          <w:noProof/>
        </w:rPr>
        <w:t xml:space="preserve"> removal in NGCC by potassium taurate solvent, Chemical Engineering Research and Design 195, 96-105.</w:t>
      </w:r>
    </w:p>
    <w:p w14:paraId="0F4C62C3" w14:textId="77777777" w:rsidR="000603BA" w:rsidRPr="00254030" w:rsidRDefault="000603BA" w:rsidP="00254030">
      <w:pPr>
        <w:pStyle w:val="CETReferencetext"/>
        <w:rPr>
          <w:noProof/>
        </w:rPr>
      </w:pPr>
      <w:r w:rsidRPr="00254030">
        <w:rPr>
          <w:noProof/>
        </w:rPr>
        <w:t>Moioli S., De Guido G., Pellegrini L.A., Fasola E., Alberti D., Carrara A., 2023, Case Study for the Application of CCUS to a Waste-to-Energy Italian Plant, 9</w:t>
      </w:r>
      <w:r w:rsidRPr="00254030">
        <w:rPr>
          <w:noProof/>
          <w:vertAlign w:val="superscript"/>
        </w:rPr>
        <w:t>th</w:t>
      </w:r>
      <w:r w:rsidRPr="00254030">
        <w:rPr>
          <w:noProof/>
        </w:rPr>
        <w:t xml:space="preserve"> International Acid Gas Injection, CCS, CCUS, CO</w:t>
      </w:r>
      <w:r w:rsidRPr="00254030">
        <w:rPr>
          <w:noProof/>
          <w:vertAlign w:val="subscript"/>
        </w:rPr>
        <w:t>2</w:t>
      </w:r>
      <w:r w:rsidRPr="00254030">
        <w:rPr>
          <w:noProof/>
        </w:rPr>
        <w:t xml:space="preserve"> EOR Symposium (AGIS IX), Calgary, Alberta.</w:t>
      </w:r>
    </w:p>
    <w:p w14:paraId="0249EA30" w14:textId="77777777" w:rsidR="000603BA" w:rsidRPr="00254030" w:rsidRDefault="000603BA" w:rsidP="00254030">
      <w:pPr>
        <w:pStyle w:val="CETReferencetext"/>
        <w:rPr>
          <w:noProof/>
        </w:rPr>
      </w:pPr>
      <w:r w:rsidRPr="00254030">
        <w:rPr>
          <w:noProof/>
        </w:rPr>
        <w:t>Moioli S., De Guido G., Pellegrini L.A., Fasola E., Riva E.R., Alberti D., Carrara A., 2024, Techno-economic assessment of the CO</w:t>
      </w:r>
      <w:r w:rsidRPr="00254030">
        <w:rPr>
          <w:noProof/>
          <w:vertAlign w:val="subscript"/>
        </w:rPr>
        <w:t>2</w:t>
      </w:r>
      <w:r w:rsidRPr="00254030">
        <w:rPr>
          <w:noProof/>
        </w:rPr>
        <w:t xml:space="preserve"> value chain with CCUS applied to a waste-to-energy Italian plant, Chemical Engineering Science 287, 119717.</w:t>
      </w:r>
    </w:p>
    <w:p w14:paraId="1A05D558" w14:textId="77777777" w:rsidR="000603BA" w:rsidRPr="00254030" w:rsidRDefault="000603BA" w:rsidP="00254030">
      <w:pPr>
        <w:pStyle w:val="CETReferencetext"/>
        <w:rPr>
          <w:noProof/>
        </w:rPr>
      </w:pPr>
      <w:r w:rsidRPr="00254030">
        <w:rPr>
          <w:noProof/>
        </w:rPr>
        <w:t>Skylogianni E., Veronezi Figueiredo R., van Os P., Frost J., Hall J., Yelland T.S., Kiewik J., Vos M., Garcia Moretz-Sohn Monteiro J., 2022, Demonstration of Solvent Performance at an Industrial WtE Facility, 16th Greenhouse Gas Control Technologies Conference (GHGT-16), Lyon, France.</w:t>
      </w:r>
    </w:p>
    <w:p w14:paraId="615EF350" w14:textId="77777777" w:rsidR="000603BA" w:rsidRPr="00254030" w:rsidRDefault="000603BA" w:rsidP="00254030">
      <w:pPr>
        <w:pStyle w:val="CETReferencetext"/>
        <w:rPr>
          <w:noProof/>
        </w:rPr>
      </w:pPr>
      <w:r w:rsidRPr="00254030">
        <w:rPr>
          <w:noProof/>
        </w:rPr>
        <w:t>Su D., Herraiz L., Lucquiaud M., Thomson C., Chalmers H., 2023, Thermal integration of waste to energy plants with Post-combustion CO</w:t>
      </w:r>
      <w:r w:rsidRPr="00254030">
        <w:rPr>
          <w:noProof/>
          <w:vertAlign w:val="subscript"/>
        </w:rPr>
        <w:t>2</w:t>
      </w:r>
      <w:r w:rsidRPr="00254030">
        <w:rPr>
          <w:noProof/>
        </w:rPr>
        <w:t xml:space="preserve"> capture, Fuel 332, 126004.</w:t>
      </w:r>
    </w:p>
    <w:p w14:paraId="7AB09936" w14:textId="77777777" w:rsidR="000603BA" w:rsidRPr="00254030" w:rsidRDefault="000603BA" w:rsidP="00254030">
      <w:pPr>
        <w:pStyle w:val="CETReferencetext"/>
        <w:rPr>
          <w:noProof/>
        </w:rPr>
      </w:pPr>
      <w:r w:rsidRPr="00254030">
        <w:rPr>
          <w:noProof/>
        </w:rPr>
        <w:t>Zanco S.E., Pérez-Calvo J.-F., Gasós A., Cordiano B., Becattini V., Mazzotti M., 2021, Postcombustion CO</w:t>
      </w:r>
      <w:r w:rsidRPr="00254030">
        <w:rPr>
          <w:noProof/>
          <w:vertAlign w:val="subscript"/>
        </w:rPr>
        <w:t>2</w:t>
      </w:r>
      <w:r w:rsidRPr="00254030">
        <w:rPr>
          <w:noProof/>
        </w:rPr>
        <w:t xml:space="preserve"> Capture: A Comparative Techno-Economic Assessment of Three Technologies Using a Solvent, an Adsorbent, and a Membrane, ACS Engineering Au 1, 50-72.</w:t>
      </w:r>
    </w:p>
    <w:p w14:paraId="19C4FC68" w14:textId="7431ED57" w:rsidR="004628D2" w:rsidRDefault="004134E4" w:rsidP="00254030">
      <w:pPr>
        <w:pStyle w:val="CETReferencetext"/>
      </w:pPr>
      <w:r w:rsidRPr="00254030">
        <w:fldChar w:fldCharType="end"/>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F0B2" w14:textId="77777777" w:rsidR="001A1D31" w:rsidRDefault="001A1D31" w:rsidP="004F5E36">
      <w:r>
        <w:separator/>
      </w:r>
    </w:p>
  </w:endnote>
  <w:endnote w:type="continuationSeparator" w:id="0">
    <w:p w14:paraId="0EB6B04F" w14:textId="77777777" w:rsidR="001A1D31" w:rsidRDefault="001A1D3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4CB8" w14:textId="77777777" w:rsidR="001A1D31" w:rsidRDefault="001A1D31" w:rsidP="004F5E36">
      <w:r>
        <w:separator/>
      </w:r>
    </w:p>
  </w:footnote>
  <w:footnote w:type="continuationSeparator" w:id="0">
    <w:p w14:paraId="21A823D1" w14:textId="77777777" w:rsidR="001A1D31" w:rsidRDefault="001A1D3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EDB1CAD"/>
    <w:multiLevelType w:val="hybridMultilevel"/>
    <w:tmpl w:val="BFCEF1BA"/>
    <w:lvl w:ilvl="0" w:tplc="04100001">
      <w:start w:val="1"/>
      <w:numFmt w:val="bullet"/>
      <w:lvlText w:val=""/>
      <w:lvlJc w:val="left"/>
      <w:pPr>
        <w:ind w:left="1141" w:hanging="360"/>
      </w:pPr>
      <w:rPr>
        <w:rFonts w:ascii="Symbol" w:hAnsi="Symbol" w:hint="default"/>
      </w:rPr>
    </w:lvl>
    <w:lvl w:ilvl="1" w:tplc="04100003" w:tentative="1">
      <w:start w:val="1"/>
      <w:numFmt w:val="bullet"/>
      <w:lvlText w:val="o"/>
      <w:lvlJc w:val="left"/>
      <w:pPr>
        <w:ind w:left="1861" w:hanging="360"/>
      </w:pPr>
      <w:rPr>
        <w:rFonts w:ascii="Courier New" w:hAnsi="Courier New" w:cs="Courier New" w:hint="default"/>
      </w:rPr>
    </w:lvl>
    <w:lvl w:ilvl="2" w:tplc="04100005" w:tentative="1">
      <w:start w:val="1"/>
      <w:numFmt w:val="bullet"/>
      <w:lvlText w:val=""/>
      <w:lvlJc w:val="left"/>
      <w:pPr>
        <w:ind w:left="2581" w:hanging="360"/>
      </w:pPr>
      <w:rPr>
        <w:rFonts w:ascii="Wingdings" w:hAnsi="Wingdings" w:hint="default"/>
      </w:rPr>
    </w:lvl>
    <w:lvl w:ilvl="3" w:tplc="04100001" w:tentative="1">
      <w:start w:val="1"/>
      <w:numFmt w:val="bullet"/>
      <w:lvlText w:val=""/>
      <w:lvlJc w:val="left"/>
      <w:pPr>
        <w:ind w:left="3301" w:hanging="360"/>
      </w:pPr>
      <w:rPr>
        <w:rFonts w:ascii="Symbol" w:hAnsi="Symbol" w:hint="default"/>
      </w:rPr>
    </w:lvl>
    <w:lvl w:ilvl="4" w:tplc="04100003" w:tentative="1">
      <w:start w:val="1"/>
      <w:numFmt w:val="bullet"/>
      <w:lvlText w:val="o"/>
      <w:lvlJc w:val="left"/>
      <w:pPr>
        <w:ind w:left="4021" w:hanging="360"/>
      </w:pPr>
      <w:rPr>
        <w:rFonts w:ascii="Courier New" w:hAnsi="Courier New" w:cs="Courier New" w:hint="default"/>
      </w:rPr>
    </w:lvl>
    <w:lvl w:ilvl="5" w:tplc="04100005" w:tentative="1">
      <w:start w:val="1"/>
      <w:numFmt w:val="bullet"/>
      <w:lvlText w:val=""/>
      <w:lvlJc w:val="left"/>
      <w:pPr>
        <w:ind w:left="4741" w:hanging="360"/>
      </w:pPr>
      <w:rPr>
        <w:rFonts w:ascii="Wingdings" w:hAnsi="Wingdings" w:hint="default"/>
      </w:rPr>
    </w:lvl>
    <w:lvl w:ilvl="6" w:tplc="04100001" w:tentative="1">
      <w:start w:val="1"/>
      <w:numFmt w:val="bullet"/>
      <w:lvlText w:val=""/>
      <w:lvlJc w:val="left"/>
      <w:pPr>
        <w:ind w:left="5461" w:hanging="360"/>
      </w:pPr>
      <w:rPr>
        <w:rFonts w:ascii="Symbol" w:hAnsi="Symbol" w:hint="default"/>
      </w:rPr>
    </w:lvl>
    <w:lvl w:ilvl="7" w:tplc="04100003" w:tentative="1">
      <w:start w:val="1"/>
      <w:numFmt w:val="bullet"/>
      <w:lvlText w:val="o"/>
      <w:lvlJc w:val="left"/>
      <w:pPr>
        <w:ind w:left="6181" w:hanging="360"/>
      </w:pPr>
      <w:rPr>
        <w:rFonts w:ascii="Courier New" w:hAnsi="Courier New" w:cs="Courier New" w:hint="default"/>
      </w:rPr>
    </w:lvl>
    <w:lvl w:ilvl="8" w:tplc="04100005" w:tentative="1">
      <w:start w:val="1"/>
      <w:numFmt w:val="bullet"/>
      <w:lvlText w:val=""/>
      <w:lvlJc w:val="left"/>
      <w:pPr>
        <w:ind w:left="6901" w:hanging="360"/>
      </w:pPr>
      <w:rPr>
        <w:rFonts w:ascii="Wingdings" w:hAnsi="Wingdings" w:hint="default"/>
      </w:rPr>
    </w:lvl>
  </w:abstractNum>
  <w:abstractNum w:abstractNumId="23" w15:restartNumberingAfterBreak="0">
    <w:nsid w:val="73E62216"/>
    <w:multiLevelType w:val="hybridMultilevel"/>
    <w:tmpl w:val="9AF67F12"/>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Chemical Engineering Transactions&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ep529fssfr24ertz15wt2bvrvzfeta5w5v&quot;&gt;My EndNote Library&lt;record-ids&gt;&lt;item&gt;3560&lt;/item&gt;&lt;item&gt;3613&lt;/item&gt;&lt;item&gt;3630&lt;/item&gt;&lt;item&gt;3633&lt;/item&gt;&lt;item&gt;3637&lt;/item&gt;&lt;item&gt;3718&lt;/item&gt;&lt;item&gt;3954&lt;/item&gt;&lt;item&gt;3967&lt;/item&gt;&lt;item&gt;3971&lt;/item&gt;&lt;item&gt;4089&lt;/item&gt;&lt;item&gt;4120&lt;/item&gt;&lt;item&gt;4121&lt;/item&gt;&lt;item&gt;4122&lt;/item&gt;&lt;/record-ids&gt;&lt;/item&gt;&lt;/Libraries&gt;"/>
  </w:docVars>
  <w:rsids>
    <w:rsidRoot w:val="000E414A"/>
    <w:rsid w:val="000027C0"/>
    <w:rsid w:val="000052FB"/>
    <w:rsid w:val="00005A19"/>
    <w:rsid w:val="000117CB"/>
    <w:rsid w:val="0003148D"/>
    <w:rsid w:val="00031EEC"/>
    <w:rsid w:val="00051566"/>
    <w:rsid w:val="000562A9"/>
    <w:rsid w:val="000603BA"/>
    <w:rsid w:val="00062A9A"/>
    <w:rsid w:val="00065058"/>
    <w:rsid w:val="00081386"/>
    <w:rsid w:val="00086C39"/>
    <w:rsid w:val="000A03B2"/>
    <w:rsid w:val="000A3362"/>
    <w:rsid w:val="000C466F"/>
    <w:rsid w:val="000D0268"/>
    <w:rsid w:val="000D34BE"/>
    <w:rsid w:val="000E0B3C"/>
    <w:rsid w:val="000E102F"/>
    <w:rsid w:val="000E36F1"/>
    <w:rsid w:val="000E3A73"/>
    <w:rsid w:val="000E414A"/>
    <w:rsid w:val="000E75FD"/>
    <w:rsid w:val="000F093C"/>
    <w:rsid w:val="000F787B"/>
    <w:rsid w:val="0010536A"/>
    <w:rsid w:val="0012091F"/>
    <w:rsid w:val="00126BC2"/>
    <w:rsid w:val="001308B6"/>
    <w:rsid w:val="0013121F"/>
    <w:rsid w:val="00131FE6"/>
    <w:rsid w:val="0013263F"/>
    <w:rsid w:val="001331DF"/>
    <w:rsid w:val="00134DE4"/>
    <w:rsid w:val="0014034D"/>
    <w:rsid w:val="00140FE3"/>
    <w:rsid w:val="00144D16"/>
    <w:rsid w:val="00150E59"/>
    <w:rsid w:val="00152DE3"/>
    <w:rsid w:val="0015361B"/>
    <w:rsid w:val="00164CF9"/>
    <w:rsid w:val="0016668E"/>
    <w:rsid w:val="001667A6"/>
    <w:rsid w:val="00167247"/>
    <w:rsid w:val="00173E58"/>
    <w:rsid w:val="0018171E"/>
    <w:rsid w:val="00184AD6"/>
    <w:rsid w:val="001A1D31"/>
    <w:rsid w:val="001A4AF7"/>
    <w:rsid w:val="001B0349"/>
    <w:rsid w:val="001B1E93"/>
    <w:rsid w:val="001B65C1"/>
    <w:rsid w:val="001C260F"/>
    <w:rsid w:val="001C4148"/>
    <w:rsid w:val="001C5C3A"/>
    <w:rsid w:val="001C684B"/>
    <w:rsid w:val="001D0CFB"/>
    <w:rsid w:val="001D21AF"/>
    <w:rsid w:val="001D3D32"/>
    <w:rsid w:val="001D53FC"/>
    <w:rsid w:val="001E6078"/>
    <w:rsid w:val="001F42A5"/>
    <w:rsid w:val="001F7B9D"/>
    <w:rsid w:val="00201C93"/>
    <w:rsid w:val="002224B4"/>
    <w:rsid w:val="002447EF"/>
    <w:rsid w:val="00251550"/>
    <w:rsid w:val="00254030"/>
    <w:rsid w:val="00263B05"/>
    <w:rsid w:val="0027221A"/>
    <w:rsid w:val="00275B61"/>
    <w:rsid w:val="00280FAF"/>
    <w:rsid w:val="00282656"/>
    <w:rsid w:val="00296B83"/>
    <w:rsid w:val="002A4D09"/>
    <w:rsid w:val="002B4015"/>
    <w:rsid w:val="002B78CE"/>
    <w:rsid w:val="002C2FB6"/>
    <w:rsid w:val="002D7259"/>
    <w:rsid w:val="002E5FA7"/>
    <w:rsid w:val="002F3309"/>
    <w:rsid w:val="003008CE"/>
    <w:rsid w:val="003009B7"/>
    <w:rsid w:val="00300E56"/>
    <w:rsid w:val="0030152C"/>
    <w:rsid w:val="0030469C"/>
    <w:rsid w:val="00304CE8"/>
    <w:rsid w:val="00321CA6"/>
    <w:rsid w:val="00323763"/>
    <w:rsid w:val="00323C5F"/>
    <w:rsid w:val="00334C09"/>
    <w:rsid w:val="00372119"/>
    <w:rsid w:val="003723D4"/>
    <w:rsid w:val="00381905"/>
    <w:rsid w:val="00384CC8"/>
    <w:rsid w:val="00385C95"/>
    <w:rsid w:val="003871FD"/>
    <w:rsid w:val="003A1E30"/>
    <w:rsid w:val="003A2829"/>
    <w:rsid w:val="003A7D1C"/>
    <w:rsid w:val="003B304B"/>
    <w:rsid w:val="003B3146"/>
    <w:rsid w:val="003B49CD"/>
    <w:rsid w:val="003C48D0"/>
    <w:rsid w:val="003D1E02"/>
    <w:rsid w:val="003E2759"/>
    <w:rsid w:val="003E7F1F"/>
    <w:rsid w:val="003F015E"/>
    <w:rsid w:val="00400414"/>
    <w:rsid w:val="00411579"/>
    <w:rsid w:val="004134E4"/>
    <w:rsid w:val="0041446B"/>
    <w:rsid w:val="00417CD9"/>
    <w:rsid w:val="004266AA"/>
    <w:rsid w:val="0044071E"/>
    <w:rsid w:val="0044329C"/>
    <w:rsid w:val="004449A6"/>
    <w:rsid w:val="00453E24"/>
    <w:rsid w:val="00457456"/>
    <w:rsid w:val="004577FE"/>
    <w:rsid w:val="00457B9C"/>
    <w:rsid w:val="0046164A"/>
    <w:rsid w:val="004628D2"/>
    <w:rsid w:val="00462DCD"/>
    <w:rsid w:val="004648AD"/>
    <w:rsid w:val="004703A9"/>
    <w:rsid w:val="004760DE"/>
    <w:rsid w:val="004763D7"/>
    <w:rsid w:val="00495D41"/>
    <w:rsid w:val="004A004E"/>
    <w:rsid w:val="004A24CF"/>
    <w:rsid w:val="004A4EDD"/>
    <w:rsid w:val="004C3D1D"/>
    <w:rsid w:val="004C3D84"/>
    <w:rsid w:val="004C7913"/>
    <w:rsid w:val="004E4DD6"/>
    <w:rsid w:val="004F5E36"/>
    <w:rsid w:val="00507B47"/>
    <w:rsid w:val="00507BEF"/>
    <w:rsid w:val="00507CC9"/>
    <w:rsid w:val="00510AFA"/>
    <w:rsid w:val="005119A5"/>
    <w:rsid w:val="005278B7"/>
    <w:rsid w:val="00532016"/>
    <w:rsid w:val="005346C8"/>
    <w:rsid w:val="00543E7D"/>
    <w:rsid w:val="00547A68"/>
    <w:rsid w:val="005531C9"/>
    <w:rsid w:val="00554879"/>
    <w:rsid w:val="00570C43"/>
    <w:rsid w:val="00581D71"/>
    <w:rsid w:val="00592274"/>
    <w:rsid w:val="005B2110"/>
    <w:rsid w:val="005B350B"/>
    <w:rsid w:val="005B61E6"/>
    <w:rsid w:val="005C3C26"/>
    <w:rsid w:val="005C5EAB"/>
    <w:rsid w:val="005C77E1"/>
    <w:rsid w:val="005D668A"/>
    <w:rsid w:val="005D6A2F"/>
    <w:rsid w:val="005D7CF9"/>
    <w:rsid w:val="005E0592"/>
    <w:rsid w:val="005E1A82"/>
    <w:rsid w:val="005E655D"/>
    <w:rsid w:val="005E794C"/>
    <w:rsid w:val="005F0A28"/>
    <w:rsid w:val="005F0E5E"/>
    <w:rsid w:val="00600535"/>
    <w:rsid w:val="00602165"/>
    <w:rsid w:val="00610CD6"/>
    <w:rsid w:val="00620DEE"/>
    <w:rsid w:val="00621F92"/>
    <w:rsid w:val="0062280A"/>
    <w:rsid w:val="006231E1"/>
    <w:rsid w:val="00625639"/>
    <w:rsid w:val="00626342"/>
    <w:rsid w:val="00631B33"/>
    <w:rsid w:val="0064184D"/>
    <w:rsid w:val="006422CC"/>
    <w:rsid w:val="00651D18"/>
    <w:rsid w:val="00660E3E"/>
    <w:rsid w:val="00662E74"/>
    <w:rsid w:val="00674DF5"/>
    <w:rsid w:val="00680C23"/>
    <w:rsid w:val="00683E23"/>
    <w:rsid w:val="006936FA"/>
    <w:rsid w:val="00693766"/>
    <w:rsid w:val="006A3281"/>
    <w:rsid w:val="006A6DE5"/>
    <w:rsid w:val="006B4888"/>
    <w:rsid w:val="006C2E45"/>
    <w:rsid w:val="006C359C"/>
    <w:rsid w:val="006C5579"/>
    <w:rsid w:val="006D6E8B"/>
    <w:rsid w:val="006D7209"/>
    <w:rsid w:val="006E737D"/>
    <w:rsid w:val="00707DD1"/>
    <w:rsid w:val="00713973"/>
    <w:rsid w:val="00720A24"/>
    <w:rsid w:val="00732386"/>
    <w:rsid w:val="0073514D"/>
    <w:rsid w:val="007447F3"/>
    <w:rsid w:val="0075499F"/>
    <w:rsid w:val="00755F63"/>
    <w:rsid w:val="007661C8"/>
    <w:rsid w:val="0077098D"/>
    <w:rsid w:val="00785BF9"/>
    <w:rsid w:val="007931FA"/>
    <w:rsid w:val="007A0376"/>
    <w:rsid w:val="007A4861"/>
    <w:rsid w:val="007A7BBA"/>
    <w:rsid w:val="007B0C50"/>
    <w:rsid w:val="007B2584"/>
    <w:rsid w:val="007B48F9"/>
    <w:rsid w:val="007C06BB"/>
    <w:rsid w:val="007C1A43"/>
    <w:rsid w:val="007D0951"/>
    <w:rsid w:val="007D610D"/>
    <w:rsid w:val="0080013E"/>
    <w:rsid w:val="00801759"/>
    <w:rsid w:val="00813288"/>
    <w:rsid w:val="008168FC"/>
    <w:rsid w:val="00830996"/>
    <w:rsid w:val="008345F1"/>
    <w:rsid w:val="00865B07"/>
    <w:rsid w:val="008667EA"/>
    <w:rsid w:val="0087637F"/>
    <w:rsid w:val="00892AD5"/>
    <w:rsid w:val="008A1512"/>
    <w:rsid w:val="008D32B9"/>
    <w:rsid w:val="008D433B"/>
    <w:rsid w:val="008D4A16"/>
    <w:rsid w:val="008E5401"/>
    <w:rsid w:val="008E566E"/>
    <w:rsid w:val="0090161A"/>
    <w:rsid w:val="00901EB6"/>
    <w:rsid w:val="009041F8"/>
    <w:rsid w:val="00904C62"/>
    <w:rsid w:val="00922BA8"/>
    <w:rsid w:val="00924DAC"/>
    <w:rsid w:val="00927058"/>
    <w:rsid w:val="00941885"/>
    <w:rsid w:val="00942750"/>
    <w:rsid w:val="009450CE"/>
    <w:rsid w:val="009459BB"/>
    <w:rsid w:val="00947179"/>
    <w:rsid w:val="0095164B"/>
    <w:rsid w:val="00951E97"/>
    <w:rsid w:val="00954090"/>
    <w:rsid w:val="009573E7"/>
    <w:rsid w:val="00963E05"/>
    <w:rsid w:val="00964A45"/>
    <w:rsid w:val="00967843"/>
    <w:rsid w:val="00967D54"/>
    <w:rsid w:val="00971028"/>
    <w:rsid w:val="00983300"/>
    <w:rsid w:val="00993B84"/>
    <w:rsid w:val="00994C6A"/>
    <w:rsid w:val="00996483"/>
    <w:rsid w:val="00996F5A"/>
    <w:rsid w:val="009B041A"/>
    <w:rsid w:val="009B6E57"/>
    <w:rsid w:val="009C37C3"/>
    <w:rsid w:val="009C7C86"/>
    <w:rsid w:val="009D2FF7"/>
    <w:rsid w:val="009D5FA7"/>
    <w:rsid w:val="009E7884"/>
    <w:rsid w:val="009E788A"/>
    <w:rsid w:val="009F0E08"/>
    <w:rsid w:val="00A05A36"/>
    <w:rsid w:val="00A079AE"/>
    <w:rsid w:val="00A1763D"/>
    <w:rsid w:val="00A17CEC"/>
    <w:rsid w:val="00A27EF0"/>
    <w:rsid w:val="00A42361"/>
    <w:rsid w:val="00A50B20"/>
    <w:rsid w:val="00A51390"/>
    <w:rsid w:val="00A5221A"/>
    <w:rsid w:val="00A60D13"/>
    <w:rsid w:val="00A62587"/>
    <w:rsid w:val="00A7223D"/>
    <w:rsid w:val="00A72745"/>
    <w:rsid w:val="00A76EFC"/>
    <w:rsid w:val="00A87D50"/>
    <w:rsid w:val="00A91010"/>
    <w:rsid w:val="00A97F29"/>
    <w:rsid w:val="00AA702E"/>
    <w:rsid w:val="00AA7D26"/>
    <w:rsid w:val="00AB0964"/>
    <w:rsid w:val="00AB5011"/>
    <w:rsid w:val="00AB5840"/>
    <w:rsid w:val="00AC7368"/>
    <w:rsid w:val="00AD16B9"/>
    <w:rsid w:val="00AE377D"/>
    <w:rsid w:val="00AF0EBA"/>
    <w:rsid w:val="00AF2463"/>
    <w:rsid w:val="00B02C8A"/>
    <w:rsid w:val="00B17FBD"/>
    <w:rsid w:val="00B315A6"/>
    <w:rsid w:val="00B31813"/>
    <w:rsid w:val="00B33365"/>
    <w:rsid w:val="00B57B36"/>
    <w:rsid w:val="00B57E6F"/>
    <w:rsid w:val="00B8686D"/>
    <w:rsid w:val="00B93F69"/>
    <w:rsid w:val="00BB1DDC"/>
    <w:rsid w:val="00BC30C9"/>
    <w:rsid w:val="00BC3723"/>
    <w:rsid w:val="00BD077D"/>
    <w:rsid w:val="00BE3E58"/>
    <w:rsid w:val="00BF13CE"/>
    <w:rsid w:val="00C01616"/>
    <w:rsid w:val="00C0162B"/>
    <w:rsid w:val="00C068ED"/>
    <w:rsid w:val="00C22E0C"/>
    <w:rsid w:val="00C32FB0"/>
    <w:rsid w:val="00C345B1"/>
    <w:rsid w:val="00C37669"/>
    <w:rsid w:val="00C40142"/>
    <w:rsid w:val="00C52C3C"/>
    <w:rsid w:val="00C57182"/>
    <w:rsid w:val="00C57863"/>
    <w:rsid w:val="00C640AF"/>
    <w:rsid w:val="00C655FD"/>
    <w:rsid w:val="00C75407"/>
    <w:rsid w:val="00C841C6"/>
    <w:rsid w:val="00C870A8"/>
    <w:rsid w:val="00C94434"/>
    <w:rsid w:val="00CA0D75"/>
    <w:rsid w:val="00CA1C95"/>
    <w:rsid w:val="00CA5A9C"/>
    <w:rsid w:val="00CC4C20"/>
    <w:rsid w:val="00CD3517"/>
    <w:rsid w:val="00CD5FE2"/>
    <w:rsid w:val="00CE7C68"/>
    <w:rsid w:val="00D02B4C"/>
    <w:rsid w:val="00D040C4"/>
    <w:rsid w:val="00D20AD1"/>
    <w:rsid w:val="00D2582C"/>
    <w:rsid w:val="00D46B7E"/>
    <w:rsid w:val="00D57C84"/>
    <w:rsid w:val="00D6057D"/>
    <w:rsid w:val="00D71640"/>
    <w:rsid w:val="00D836C5"/>
    <w:rsid w:val="00D84576"/>
    <w:rsid w:val="00DA1399"/>
    <w:rsid w:val="00DA24C6"/>
    <w:rsid w:val="00DA4D7B"/>
    <w:rsid w:val="00DC2840"/>
    <w:rsid w:val="00DC2E45"/>
    <w:rsid w:val="00DC73EE"/>
    <w:rsid w:val="00DD271C"/>
    <w:rsid w:val="00DE264A"/>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5639"/>
    <w:rsid w:val="00EA7F91"/>
    <w:rsid w:val="00EB1523"/>
    <w:rsid w:val="00EC0E49"/>
    <w:rsid w:val="00EC101F"/>
    <w:rsid w:val="00EC1D9F"/>
    <w:rsid w:val="00EC2BAF"/>
    <w:rsid w:val="00EE0131"/>
    <w:rsid w:val="00EE17B0"/>
    <w:rsid w:val="00EF06D9"/>
    <w:rsid w:val="00F174E1"/>
    <w:rsid w:val="00F25F07"/>
    <w:rsid w:val="00F3049E"/>
    <w:rsid w:val="00F30C64"/>
    <w:rsid w:val="00F32BA2"/>
    <w:rsid w:val="00F32CDB"/>
    <w:rsid w:val="00F41EE4"/>
    <w:rsid w:val="00F565FE"/>
    <w:rsid w:val="00F63A70"/>
    <w:rsid w:val="00F63D8C"/>
    <w:rsid w:val="00F7534E"/>
    <w:rsid w:val="00F93EDF"/>
    <w:rsid w:val="00FA1802"/>
    <w:rsid w:val="00FA21D0"/>
    <w:rsid w:val="00FA5F5F"/>
    <w:rsid w:val="00FA674E"/>
    <w:rsid w:val="00FB730C"/>
    <w:rsid w:val="00FC2695"/>
    <w:rsid w:val="00FC3E03"/>
    <w:rsid w:val="00FC3FC1"/>
    <w:rsid w:val="00FC674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link w:val="CETReferencetextCarattere"/>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FA674E"/>
    <w:rPr>
      <w:color w:val="605E5C"/>
      <w:shd w:val="clear" w:color="auto" w:fill="E1DFDD"/>
    </w:rPr>
  </w:style>
  <w:style w:type="paragraph" w:customStyle="1" w:styleId="EndNoteBibliographyTitle">
    <w:name w:val="EndNote Bibliography Title"/>
    <w:basedOn w:val="Normale"/>
    <w:link w:val="EndNoteBibliographyTitleCarattere"/>
    <w:rsid w:val="004134E4"/>
    <w:pPr>
      <w:jc w:val="center"/>
    </w:pPr>
    <w:rPr>
      <w:rFonts w:cs="Arial"/>
      <w:noProof/>
      <w:sz w:val="20"/>
      <w:lang w:val="en-US"/>
    </w:rPr>
  </w:style>
  <w:style w:type="character" w:customStyle="1" w:styleId="CETReferencetextCarattere">
    <w:name w:val="CET Reference text Carattere"/>
    <w:basedOn w:val="Carpredefinitoparagrafo"/>
    <w:link w:val="CETReferencetext"/>
    <w:rsid w:val="004134E4"/>
    <w:rPr>
      <w:rFonts w:ascii="Arial" w:eastAsia="Times New Roman" w:hAnsi="Arial" w:cs="Times New Roman"/>
      <w:sz w:val="18"/>
      <w:szCs w:val="20"/>
      <w:lang w:val="en-GB"/>
    </w:rPr>
  </w:style>
  <w:style w:type="character" w:customStyle="1" w:styleId="EndNoteBibliographyTitleCarattere">
    <w:name w:val="EndNote Bibliography Title Carattere"/>
    <w:basedOn w:val="CETReferencetextCarattere"/>
    <w:link w:val="EndNoteBibliographyTitle"/>
    <w:rsid w:val="004134E4"/>
    <w:rPr>
      <w:rFonts w:ascii="Arial" w:eastAsia="Times New Roman" w:hAnsi="Arial" w:cs="Arial"/>
      <w:noProof/>
      <w:sz w:val="20"/>
      <w:szCs w:val="20"/>
      <w:lang w:val="en-US"/>
    </w:rPr>
  </w:style>
  <w:style w:type="paragraph" w:customStyle="1" w:styleId="EndNoteBibliography">
    <w:name w:val="EndNote Bibliography"/>
    <w:basedOn w:val="Normale"/>
    <w:link w:val="EndNoteBibliographyCarattere"/>
    <w:rsid w:val="004134E4"/>
    <w:pPr>
      <w:spacing w:line="240" w:lineRule="auto"/>
      <w:jc w:val="left"/>
    </w:pPr>
    <w:rPr>
      <w:rFonts w:cs="Arial"/>
      <w:noProof/>
      <w:sz w:val="20"/>
      <w:lang w:val="en-US"/>
    </w:rPr>
  </w:style>
  <w:style w:type="character" w:customStyle="1" w:styleId="EndNoteBibliographyCarattere">
    <w:name w:val="EndNote Bibliography Carattere"/>
    <w:basedOn w:val="CETReferencetextCarattere"/>
    <w:link w:val="EndNoteBibliography"/>
    <w:rsid w:val="004134E4"/>
    <w:rPr>
      <w:rFonts w:ascii="Arial" w:eastAsia="Times New Roman" w:hAnsi="Arial" w:cs="Arial"/>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47768">
      <w:bodyDiv w:val="1"/>
      <w:marLeft w:val="0"/>
      <w:marRight w:val="0"/>
      <w:marTop w:val="0"/>
      <w:marBottom w:val="0"/>
      <w:divBdr>
        <w:top w:val="none" w:sz="0" w:space="0" w:color="auto"/>
        <w:left w:val="none" w:sz="0" w:space="0" w:color="auto"/>
        <w:bottom w:val="none" w:sz="0" w:space="0" w:color="auto"/>
        <w:right w:val="none" w:sz="0" w:space="0" w:color="auto"/>
      </w:divBdr>
    </w:div>
    <w:div w:id="42496020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4918">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71021698">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3475985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yperlink" Target="mailto:adriano.carrara@a2a.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6</Pages>
  <Words>6722</Words>
  <Characters>38318</Characters>
  <Application>Microsoft Office Word</Application>
  <DocSecurity>0</DocSecurity>
  <Lines>319</Lines>
  <Paragraphs>89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GASP</cp:lastModifiedBy>
  <cp:revision>47</cp:revision>
  <cp:lastPrinted>2015-05-12T18:31:00Z</cp:lastPrinted>
  <dcterms:created xsi:type="dcterms:W3CDTF">2024-02-20T10:29:00Z</dcterms:created>
  <dcterms:modified xsi:type="dcterms:W3CDTF">2025-01-24T08:39:00Z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