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98348D" w14:paraId="2A131A54" w14:textId="77777777" w:rsidTr="003B5F36">
        <w:trPr>
          <w:trHeight w:val="852"/>
          <w:jc w:val="center"/>
        </w:trPr>
        <w:tc>
          <w:tcPr>
            <w:tcW w:w="6940" w:type="dxa"/>
            <w:vMerge w:val="restart"/>
            <w:tcBorders>
              <w:right w:val="single" w:sz="4" w:space="0" w:color="auto"/>
            </w:tcBorders>
          </w:tcPr>
          <w:p w14:paraId="38C3D2BA" w14:textId="4A7A4CE3" w:rsidR="000A03B2" w:rsidRPr="0098348D" w:rsidRDefault="00FD7128" w:rsidP="00BF18B0">
            <w:pPr>
              <w:tabs>
                <w:tab w:val="left" w:pos="-108"/>
              </w:tabs>
              <w:jc w:val="left"/>
              <w:rPr>
                <w:rFonts w:cs="Arial"/>
                <w:b/>
                <w:bCs/>
                <w:i/>
                <w:iCs/>
                <w:color w:val="000066"/>
                <w:sz w:val="12"/>
                <w:szCs w:val="12"/>
                <w:lang w:eastAsia="it-IT"/>
              </w:rPr>
            </w:pPr>
            <w:bookmarkStart w:id="0" w:name="_Hlk145068772"/>
            <w:r w:rsidRPr="0098348D">
              <w:rPr>
                <w:rFonts w:ascii="AdvP6960" w:hAnsi="AdvP6960" w:cs="AdvP6960"/>
                <w:color w:val="241F20"/>
                <w:szCs w:val="18"/>
                <w:lang w:eastAsia="it-IT"/>
              </w:rPr>
              <w:t xml:space="preserve"> </w:t>
            </w:r>
            <w:r w:rsidR="000A03B2" w:rsidRPr="004C357D">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000A03B2" w:rsidRPr="0098348D">
              <w:rPr>
                <w:rFonts w:ascii="AdvP6960" w:hAnsi="AdvP6960" w:cs="AdvP6960"/>
                <w:color w:val="241F20"/>
                <w:szCs w:val="18"/>
                <w:lang w:eastAsia="it-IT"/>
              </w:rPr>
              <w:t xml:space="preserve"> </w:t>
            </w:r>
            <w:r w:rsidR="000A03B2" w:rsidRPr="0098348D">
              <w:rPr>
                <w:rFonts w:cs="Arial"/>
                <w:b/>
                <w:bCs/>
                <w:i/>
                <w:iCs/>
                <w:color w:val="000066"/>
                <w:sz w:val="24"/>
                <w:szCs w:val="24"/>
                <w:lang w:eastAsia="it-IT"/>
              </w:rPr>
              <w:t>CHEMICAL ENGINEERING</w:t>
            </w:r>
            <w:r w:rsidR="000A03B2" w:rsidRPr="0098348D">
              <w:rPr>
                <w:rFonts w:cs="Arial"/>
                <w:b/>
                <w:bCs/>
                <w:i/>
                <w:iCs/>
                <w:color w:val="0033FF"/>
                <w:sz w:val="24"/>
                <w:szCs w:val="24"/>
                <w:lang w:eastAsia="it-IT"/>
              </w:rPr>
              <w:t xml:space="preserve"> </w:t>
            </w:r>
            <w:r w:rsidR="000A03B2" w:rsidRPr="0098348D">
              <w:rPr>
                <w:rFonts w:cs="Arial"/>
                <w:b/>
                <w:bCs/>
                <w:i/>
                <w:iCs/>
                <w:color w:val="666666"/>
                <w:sz w:val="24"/>
                <w:szCs w:val="24"/>
                <w:lang w:eastAsia="it-IT"/>
              </w:rPr>
              <w:t>TRANSACTIONS</w:t>
            </w:r>
            <w:r w:rsidR="000A03B2" w:rsidRPr="0098348D">
              <w:rPr>
                <w:color w:val="333333"/>
                <w:sz w:val="24"/>
                <w:szCs w:val="24"/>
                <w:lang w:eastAsia="it-IT"/>
              </w:rPr>
              <w:t xml:space="preserve"> </w:t>
            </w:r>
            <w:r w:rsidR="000A03B2" w:rsidRPr="0098348D">
              <w:rPr>
                <w:rFonts w:cs="Arial"/>
                <w:b/>
                <w:bCs/>
                <w:i/>
                <w:iCs/>
                <w:color w:val="000066"/>
                <w:sz w:val="27"/>
                <w:szCs w:val="27"/>
                <w:lang w:eastAsia="it-IT"/>
              </w:rPr>
              <w:br/>
            </w:r>
          </w:p>
          <w:p w14:paraId="4B780582" w14:textId="47EF826C" w:rsidR="000A03B2" w:rsidRPr="0098348D" w:rsidRDefault="00A76EFC" w:rsidP="001D21AF">
            <w:pPr>
              <w:tabs>
                <w:tab w:val="left" w:pos="-108"/>
              </w:tabs>
              <w:ind w:left="-108"/>
              <w:rPr>
                <w:rFonts w:cs="Arial"/>
                <w:b/>
                <w:bCs/>
                <w:i/>
                <w:iCs/>
                <w:color w:val="000066"/>
                <w:sz w:val="22"/>
                <w:szCs w:val="22"/>
                <w:lang w:eastAsia="it-IT"/>
              </w:rPr>
            </w:pPr>
            <w:r w:rsidRPr="0098348D">
              <w:rPr>
                <w:rFonts w:cs="Arial"/>
                <w:b/>
                <w:bCs/>
                <w:i/>
                <w:iCs/>
                <w:color w:val="000066"/>
                <w:sz w:val="22"/>
                <w:szCs w:val="22"/>
                <w:lang w:eastAsia="it-IT"/>
              </w:rPr>
              <w:t>VOL.</w:t>
            </w:r>
            <w:r w:rsidR="00785BF9" w:rsidRPr="0098348D">
              <w:rPr>
                <w:rFonts w:cs="Arial"/>
                <w:b/>
                <w:bCs/>
                <w:i/>
                <w:iCs/>
                <w:color w:val="000066"/>
                <w:sz w:val="22"/>
                <w:szCs w:val="22"/>
                <w:lang w:eastAsia="it-IT"/>
              </w:rPr>
              <w:t xml:space="preserve"> </w:t>
            </w:r>
            <w:r w:rsidR="00994C6A" w:rsidRPr="0098348D">
              <w:rPr>
                <w:rFonts w:cs="Arial"/>
                <w:b/>
                <w:bCs/>
                <w:i/>
                <w:iCs/>
                <w:color w:val="000066"/>
                <w:sz w:val="22"/>
                <w:szCs w:val="22"/>
                <w:lang w:eastAsia="it-IT"/>
              </w:rPr>
              <w:t>xxx</w:t>
            </w:r>
            <w:r w:rsidR="007B48F9" w:rsidRPr="0098348D">
              <w:rPr>
                <w:rFonts w:cs="Arial"/>
                <w:b/>
                <w:bCs/>
                <w:i/>
                <w:iCs/>
                <w:color w:val="000066"/>
                <w:sz w:val="22"/>
                <w:szCs w:val="22"/>
                <w:lang w:eastAsia="it-IT"/>
              </w:rPr>
              <w:t>,</w:t>
            </w:r>
            <w:r w:rsidR="00FA5F5F" w:rsidRPr="0098348D">
              <w:rPr>
                <w:rFonts w:cs="Arial"/>
                <w:b/>
                <w:bCs/>
                <w:i/>
                <w:iCs/>
                <w:color w:val="000066"/>
                <w:sz w:val="22"/>
                <w:szCs w:val="22"/>
                <w:lang w:eastAsia="it-IT"/>
              </w:rPr>
              <w:t xml:space="preserve"> </w:t>
            </w:r>
            <w:r w:rsidR="0030152C" w:rsidRPr="0098348D">
              <w:rPr>
                <w:rFonts w:cs="Arial"/>
                <w:b/>
                <w:bCs/>
                <w:i/>
                <w:iCs/>
                <w:color w:val="000066"/>
                <w:sz w:val="22"/>
                <w:szCs w:val="22"/>
                <w:lang w:eastAsia="it-IT"/>
              </w:rPr>
              <w:t>202</w:t>
            </w:r>
            <w:r w:rsidR="00994C6A" w:rsidRPr="0098348D">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98348D" w:rsidRDefault="000A03B2" w:rsidP="00CD5FE2">
            <w:pPr>
              <w:spacing w:line="140" w:lineRule="atLeast"/>
              <w:jc w:val="right"/>
              <w:rPr>
                <w:rFonts w:cs="Arial"/>
                <w:sz w:val="14"/>
                <w:szCs w:val="14"/>
              </w:rPr>
            </w:pPr>
            <w:r w:rsidRPr="0098348D">
              <w:rPr>
                <w:rFonts w:cs="Arial"/>
                <w:sz w:val="14"/>
                <w:szCs w:val="14"/>
              </w:rPr>
              <w:t>A publication of</w:t>
            </w:r>
          </w:p>
          <w:p w14:paraId="599E5441" w14:textId="77777777" w:rsidR="000A03B2" w:rsidRPr="0098348D" w:rsidRDefault="000A03B2" w:rsidP="00CD5FE2">
            <w:pPr>
              <w:jc w:val="right"/>
            </w:pPr>
            <w:r w:rsidRPr="004C357D">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98348D" w14:paraId="380FA3CD" w14:textId="77777777" w:rsidTr="003B5F36">
        <w:trPr>
          <w:trHeight w:val="567"/>
          <w:jc w:val="center"/>
        </w:trPr>
        <w:tc>
          <w:tcPr>
            <w:tcW w:w="6940" w:type="dxa"/>
            <w:vMerge/>
            <w:tcBorders>
              <w:right w:val="single" w:sz="4" w:space="0" w:color="auto"/>
            </w:tcBorders>
          </w:tcPr>
          <w:p w14:paraId="39E5E4C1" w14:textId="77777777" w:rsidR="000A03B2" w:rsidRPr="0098348D"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98348D" w:rsidRDefault="000A03B2" w:rsidP="00CD5FE2">
            <w:pPr>
              <w:spacing w:line="140" w:lineRule="atLeast"/>
              <w:jc w:val="right"/>
              <w:rPr>
                <w:rFonts w:cs="Arial"/>
                <w:sz w:val="14"/>
                <w:szCs w:val="14"/>
              </w:rPr>
            </w:pPr>
            <w:r w:rsidRPr="0098348D">
              <w:rPr>
                <w:rFonts w:cs="Arial"/>
                <w:sz w:val="14"/>
                <w:szCs w:val="14"/>
              </w:rPr>
              <w:t>The Italian Association</w:t>
            </w:r>
          </w:p>
          <w:p w14:paraId="7522B1D2" w14:textId="77777777" w:rsidR="000A03B2" w:rsidRPr="0098348D" w:rsidRDefault="000A03B2" w:rsidP="00CD5FE2">
            <w:pPr>
              <w:spacing w:line="140" w:lineRule="atLeast"/>
              <w:jc w:val="right"/>
              <w:rPr>
                <w:rFonts w:cs="Arial"/>
                <w:sz w:val="14"/>
                <w:szCs w:val="14"/>
              </w:rPr>
            </w:pPr>
            <w:r w:rsidRPr="0098348D">
              <w:rPr>
                <w:rFonts w:cs="Arial"/>
                <w:sz w:val="14"/>
                <w:szCs w:val="14"/>
              </w:rPr>
              <w:t>of Chemical Engineering</w:t>
            </w:r>
          </w:p>
          <w:p w14:paraId="4F0CC5DE" w14:textId="47FDB2FC" w:rsidR="000A03B2" w:rsidRPr="0098348D" w:rsidRDefault="000D0268" w:rsidP="00CD5FE2">
            <w:pPr>
              <w:spacing w:line="140" w:lineRule="atLeast"/>
              <w:jc w:val="right"/>
              <w:rPr>
                <w:rFonts w:cs="Arial"/>
                <w:sz w:val="13"/>
                <w:szCs w:val="13"/>
              </w:rPr>
            </w:pPr>
            <w:r w:rsidRPr="0098348D">
              <w:rPr>
                <w:rFonts w:cs="Arial"/>
                <w:sz w:val="13"/>
                <w:szCs w:val="13"/>
              </w:rPr>
              <w:t>Online at www.cetjournal.it</w:t>
            </w:r>
          </w:p>
        </w:tc>
      </w:tr>
      <w:tr w:rsidR="000A03B2" w:rsidRPr="0098348D" w14:paraId="2D1B7169" w14:textId="77777777" w:rsidTr="003B5F36">
        <w:trPr>
          <w:trHeight w:val="68"/>
          <w:jc w:val="center"/>
        </w:trPr>
        <w:tc>
          <w:tcPr>
            <w:tcW w:w="8782" w:type="dxa"/>
            <w:gridSpan w:val="2"/>
          </w:tcPr>
          <w:p w14:paraId="1D8DD3C9" w14:textId="025D7B18" w:rsidR="00AA7D26" w:rsidRPr="004C357D" w:rsidRDefault="00AA7D26" w:rsidP="007D610D">
            <w:pPr>
              <w:ind w:left="-107"/>
              <w:outlineLvl w:val="2"/>
              <w:rPr>
                <w:rFonts w:ascii="Tahoma" w:hAnsi="Tahoma" w:cs="Tahoma"/>
                <w:color w:val="000000"/>
                <w:sz w:val="14"/>
                <w:szCs w:val="14"/>
                <w:shd w:val="clear" w:color="auto" w:fill="FFFFFF"/>
                <w:lang w:val="pt-BR"/>
              </w:rPr>
            </w:pPr>
            <w:r w:rsidRPr="004C357D">
              <w:rPr>
                <w:rFonts w:ascii="Tahoma" w:hAnsi="Tahoma" w:cs="Tahoma"/>
                <w:iCs/>
                <w:color w:val="333333"/>
                <w:sz w:val="14"/>
                <w:szCs w:val="14"/>
                <w:lang w:val="pt-BR" w:eastAsia="it-IT"/>
              </w:rPr>
              <w:t>Guest Editors:</w:t>
            </w:r>
            <w:r w:rsidR="007D610D" w:rsidRPr="004C357D">
              <w:rPr>
                <w:rFonts w:ascii="Aptos" w:eastAsiaTheme="minorHAnsi" w:hAnsi="Aptos" w:cs="Aptos"/>
                <w:sz w:val="22"/>
                <w:szCs w:val="22"/>
                <w:lang w:val="pt-BR"/>
                <w14:ligatures w14:val="standardContextual"/>
              </w:rPr>
              <w:t xml:space="preserve"> </w:t>
            </w:r>
            <w:r w:rsidR="007D610D" w:rsidRPr="004C357D">
              <w:rPr>
                <w:rFonts w:ascii="Tahoma" w:hAnsi="Tahoma" w:cs="Tahoma"/>
                <w:color w:val="000000"/>
                <w:sz w:val="14"/>
                <w:szCs w:val="14"/>
                <w:shd w:val="clear" w:color="auto" w:fill="FFFFFF"/>
                <w:lang w:val="pt-BR"/>
              </w:rPr>
              <w:t xml:space="preserve">Fabrizio Bezzo, </w:t>
            </w:r>
            <w:r w:rsidR="001D3D32" w:rsidRPr="004C357D">
              <w:rPr>
                <w:rFonts w:ascii="Tahoma" w:hAnsi="Tahoma" w:cs="Tahoma"/>
                <w:color w:val="000000"/>
                <w:sz w:val="14"/>
                <w:szCs w:val="14"/>
                <w:shd w:val="clear" w:color="auto" w:fill="FFFFFF"/>
                <w:lang w:val="pt-BR"/>
              </w:rPr>
              <w:t>Flavio Manenti</w:t>
            </w:r>
            <w:r w:rsidR="00304CE8" w:rsidRPr="004C357D">
              <w:rPr>
                <w:rFonts w:ascii="Tahoma" w:hAnsi="Tahoma" w:cs="Tahoma"/>
                <w:color w:val="000000"/>
                <w:sz w:val="14"/>
                <w:szCs w:val="14"/>
                <w:shd w:val="clear" w:color="auto" w:fill="FFFFFF"/>
                <w:lang w:val="pt-BR"/>
              </w:rPr>
              <w:t>,</w:t>
            </w:r>
            <w:r w:rsidR="001D3D32" w:rsidRPr="004C357D">
              <w:rPr>
                <w:rFonts w:ascii="Tahoma" w:hAnsi="Tahoma" w:cs="Tahoma"/>
                <w:color w:val="000000"/>
                <w:sz w:val="14"/>
                <w:szCs w:val="14"/>
                <w:shd w:val="clear" w:color="auto" w:fill="FFFFFF"/>
                <w:lang w:val="pt-BR"/>
              </w:rPr>
              <w:t xml:space="preserve"> </w:t>
            </w:r>
            <w:r w:rsidR="007D610D" w:rsidRPr="004C357D">
              <w:rPr>
                <w:rFonts w:ascii="Tahoma" w:hAnsi="Tahoma" w:cs="Tahoma"/>
                <w:color w:val="000000"/>
                <w:sz w:val="14"/>
                <w:szCs w:val="14"/>
                <w:shd w:val="clear" w:color="auto" w:fill="FFFFFF"/>
                <w:lang w:val="pt-BR"/>
              </w:rPr>
              <w:t>Gabriele Pannocchia, Almerinda di Benedetto</w:t>
            </w:r>
          </w:p>
          <w:p w14:paraId="1B0F1814" w14:textId="7C54DC3A" w:rsidR="000A03B2" w:rsidRPr="0098348D" w:rsidRDefault="00AA7D26" w:rsidP="00AA7D26">
            <w:pPr>
              <w:tabs>
                <w:tab w:val="left" w:pos="-108"/>
              </w:tabs>
              <w:spacing w:line="140" w:lineRule="atLeast"/>
              <w:ind w:left="-107"/>
              <w:jc w:val="left"/>
            </w:pPr>
            <w:r w:rsidRPr="0098348D">
              <w:rPr>
                <w:rFonts w:ascii="Tahoma" w:hAnsi="Tahoma" w:cs="Tahoma"/>
                <w:iCs/>
                <w:color w:val="333333"/>
                <w:sz w:val="14"/>
                <w:szCs w:val="14"/>
                <w:lang w:eastAsia="it-IT"/>
              </w:rPr>
              <w:t>Copyright © 202</w:t>
            </w:r>
            <w:r w:rsidR="00994C6A" w:rsidRPr="0098348D">
              <w:rPr>
                <w:rFonts w:ascii="Tahoma" w:hAnsi="Tahoma" w:cs="Tahoma"/>
                <w:iCs/>
                <w:color w:val="333333"/>
                <w:sz w:val="14"/>
                <w:szCs w:val="14"/>
                <w:lang w:eastAsia="it-IT"/>
              </w:rPr>
              <w:t>5</w:t>
            </w:r>
            <w:r w:rsidRPr="0098348D">
              <w:rPr>
                <w:rFonts w:ascii="Tahoma" w:hAnsi="Tahoma" w:cs="Tahoma"/>
                <w:iCs/>
                <w:color w:val="333333"/>
                <w:sz w:val="14"/>
                <w:szCs w:val="14"/>
                <w:lang w:eastAsia="it-IT"/>
              </w:rPr>
              <w:t>, AIDIC Servizi S.r.l.</w:t>
            </w:r>
            <w:r w:rsidRPr="0098348D">
              <w:rPr>
                <w:rFonts w:ascii="Tahoma" w:hAnsi="Tahoma" w:cs="Tahoma"/>
                <w:iCs/>
                <w:color w:val="333333"/>
                <w:sz w:val="14"/>
                <w:szCs w:val="14"/>
                <w:lang w:eastAsia="it-IT"/>
              </w:rPr>
              <w:br/>
            </w:r>
            <w:r w:rsidRPr="0098348D">
              <w:rPr>
                <w:rFonts w:ascii="Tahoma" w:hAnsi="Tahoma" w:cs="Tahoma"/>
                <w:b/>
                <w:iCs/>
                <w:color w:val="000000"/>
                <w:sz w:val="14"/>
                <w:szCs w:val="14"/>
                <w:lang w:eastAsia="it-IT"/>
              </w:rPr>
              <w:t>ISBN</w:t>
            </w:r>
            <w:r w:rsidRPr="0098348D">
              <w:rPr>
                <w:rFonts w:ascii="Tahoma" w:hAnsi="Tahoma" w:cs="Tahoma"/>
                <w:iCs/>
                <w:color w:val="000000"/>
                <w:sz w:val="14"/>
                <w:szCs w:val="14"/>
                <w:lang w:eastAsia="it-IT"/>
              </w:rPr>
              <w:t xml:space="preserve"> </w:t>
            </w:r>
            <w:r w:rsidR="003B49CD" w:rsidRPr="0098348D">
              <w:rPr>
                <w:rFonts w:ascii="Tahoma" w:hAnsi="Tahoma" w:cs="Tahoma"/>
                <w:sz w:val="14"/>
                <w:szCs w:val="14"/>
              </w:rPr>
              <w:t>979-12-81206-1</w:t>
            </w:r>
            <w:r w:rsidR="00994C6A" w:rsidRPr="0098348D">
              <w:rPr>
                <w:rFonts w:ascii="Tahoma" w:hAnsi="Tahoma" w:cs="Tahoma"/>
                <w:sz w:val="14"/>
                <w:szCs w:val="14"/>
              </w:rPr>
              <w:t>7</w:t>
            </w:r>
            <w:r w:rsidR="003B49CD" w:rsidRPr="0098348D">
              <w:rPr>
                <w:rFonts w:ascii="Tahoma" w:hAnsi="Tahoma" w:cs="Tahoma"/>
                <w:sz w:val="14"/>
                <w:szCs w:val="14"/>
              </w:rPr>
              <w:t>-</w:t>
            </w:r>
            <w:r w:rsidR="00994C6A" w:rsidRPr="0098348D">
              <w:rPr>
                <w:rFonts w:ascii="Tahoma" w:hAnsi="Tahoma" w:cs="Tahoma"/>
                <w:sz w:val="14"/>
                <w:szCs w:val="14"/>
              </w:rPr>
              <w:t>5</w:t>
            </w:r>
            <w:r w:rsidRPr="0098348D">
              <w:rPr>
                <w:rFonts w:ascii="Tahoma" w:hAnsi="Tahoma" w:cs="Tahoma"/>
                <w:iCs/>
                <w:color w:val="333333"/>
                <w:sz w:val="14"/>
                <w:szCs w:val="14"/>
                <w:lang w:eastAsia="it-IT"/>
              </w:rPr>
              <w:t xml:space="preserve">; </w:t>
            </w:r>
            <w:r w:rsidRPr="0098348D">
              <w:rPr>
                <w:rFonts w:ascii="Tahoma" w:hAnsi="Tahoma" w:cs="Tahoma"/>
                <w:b/>
                <w:iCs/>
                <w:color w:val="333333"/>
                <w:sz w:val="14"/>
                <w:szCs w:val="14"/>
                <w:lang w:eastAsia="it-IT"/>
              </w:rPr>
              <w:t>ISSN</w:t>
            </w:r>
            <w:r w:rsidRPr="0098348D">
              <w:rPr>
                <w:rFonts w:ascii="Tahoma" w:hAnsi="Tahoma" w:cs="Tahoma"/>
                <w:iCs/>
                <w:color w:val="333333"/>
                <w:sz w:val="14"/>
                <w:szCs w:val="14"/>
                <w:lang w:eastAsia="it-IT"/>
              </w:rPr>
              <w:t xml:space="preserve"> 2283-9216</w:t>
            </w:r>
          </w:p>
        </w:tc>
      </w:tr>
    </w:tbl>
    <w:bookmarkEnd w:id="0"/>
    <w:p w14:paraId="2E667253" w14:textId="5C34E7F1" w:rsidR="00E978D0" w:rsidRPr="004C357D" w:rsidRDefault="00DE4DA8" w:rsidP="00E978D0">
      <w:pPr>
        <w:pStyle w:val="CETTitle"/>
        <w:rPr>
          <w:lang w:val="en-US"/>
        </w:rPr>
      </w:pPr>
      <w:r w:rsidRPr="004C357D">
        <w:rPr>
          <w:lang w:val="en-US"/>
        </w:rPr>
        <w:t xml:space="preserve">Recovery of Volatile Fatty Acids </w:t>
      </w:r>
      <w:r w:rsidR="008E010B" w:rsidRPr="004C357D">
        <w:rPr>
          <w:lang w:val="en-US"/>
        </w:rPr>
        <w:t>from</w:t>
      </w:r>
      <w:r w:rsidRPr="004C357D">
        <w:rPr>
          <w:lang w:val="en-US"/>
        </w:rPr>
        <w:t xml:space="preserve"> Fermentation Broth Using Ethyl Acetate as Solvent</w:t>
      </w:r>
      <w:r w:rsidR="003B5F36" w:rsidRPr="004C357D">
        <w:rPr>
          <w:lang w:val="en-US"/>
        </w:rPr>
        <w:t xml:space="preserve"> </w:t>
      </w:r>
    </w:p>
    <w:p w14:paraId="0488FED2" w14:textId="2C39CC6F" w:rsidR="00B57E6F" w:rsidRPr="004C357D" w:rsidRDefault="003B5F36" w:rsidP="00BE2A38">
      <w:pPr>
        <w:pStyle w:val="CETAuthors"/>
        <w:jc w:val="center"/>
        <w:rPr>
          <w:noProof w:val="0"/>
          <w:vertAlign w:val="superscript"/>
          <w:lang w:val="pt-BR"/>
        </w:rPr>
      </w:pPr>
      <w:r w:rsidRPr="004C357D">
        <w:rPr>
          <w:noProof w:val="0"/>
          <w:lang w:val="pt-BR"/>
        </w:rPr>
        <w:t>Igor</w:t>
      </w:r>
      <w:r w:rsidRPr="004C357D">
        <w:rPr>
          <w:noProof w:val="0"/>
          <w:spacing w:val="-1"/>
          <w:lang w:val="pt-BR"/>
        </w:rPr>
        <w:t xml:space="preserve"> </w:t>
      </w:r>
      <w:r w:rsidRPr="004C357D">
        <w:rPr>
          <w:noProof w:val="0"/>
          <w:lang w:val="pt-BR"/>
        </w:rPr>
        <w:t>F.</w:t>
      </w:r>
      <w:r w:rsidRPr="004C357D">
        <w:rPr>
          <w:noProof w:val="0"/>
          <w:spacing w:val="-3"/>
          <w:lang w:val="pt-BR"/>
        </w:rPr>
        <w:t xml:space="preserve"> </w:t>
      </w:r>
      <w:r w:rsidRPr="004C357D">
        <w:rPr>
          <w:noProof w:val="0"/>
          <w:lang w:val="pt-BR"/>
        </w:rPr>
        <w:t>Fioravante</w:t>
      </w:r>
      <w:r w:rsidR="00FE4808" w:rsidRPr="004C357D">
        <w:rPr>
          <w:noProof w:val="0"/>
          <w:vertAlign w:val="superscript"/>
          <w:lang w:val="pt-BR"/>
        </w:rPr>
        <w:t>*</w:t>
      </w:r>
      <w:r w:rsidRPr="004C357D">
        <w:rPr>
          <w:noProof w:val="0"/>
          <w:lang w:val="pt-BR"/>
        </w:rPr>
        <w:t>, Riann de Q. Nóbrega</w:t>
      </w:r>
      <w:r w:rsidRPr="004C357D">
        <w:rPr>
          <w:noProof w:val="0"/>
          <w:spacing w:val="-1"/>
          <w:lang w:val="pt-BR"/>
        </w:rPr>
        <w:t xml:space="preserve"> </w:t>
      </w:r>
      <w:r w:rsidRPr="004C357D">
        <w:rPr>
          <w:noProof w:val="0"/>
          <w:lang w:val="pt-BR"/>
        </w:rPr>
        <w:t>and</w:t>
      </w:r>
      <w:r w:rsidRPr="004C357D">
        <w:rPr>
          <w:noProof w:val="0"/>
          <w:spacing w:val="-2"/>
          <w:lang w:val="pt-BR"/>
        </w:rPr>
        <w:t xml:space="preserve"> </w:t>
      </w:r>
      <w:r w:rsidRPr="004C357D">
        <w:rPr>
          <w:noProof w:val="0"/>
          <w:lang w:val="pt-BR"/>
        </w:rPr>
        <w:t>Jean Felipe Leal Silva</w:t>
      </w:r>
    </w:p>
    <w:p w14:paraId="3C0E774B" w14:textId="371E2D24" w:rsidR="003B5F36" w:rsidRPr="00907561" w:rsidRDefault="003B5F36" w:rsidP="004C357D">
      <w:pPr>
        <w:pStyle w:val="CETAddress"/>
      </w:pPr>
      <w:r w:rsidRPr="004C357D">
        <w:rPr>
          <w:noProof w:val="0"/>
          <w:lang w:val="en-US"/>
        </w:rPr>
        <w:t>School of Chemical Engineering, University</w:t>
      </w:r>
      <w:r w:rsidRPr="004C357D">
        <w:rPr>
          <w:noProof w:val="0"/>
          <w:spacing w:val="-3"/>
          <w:lang w:val="en-US"/>
        </w:rPr>
        <w:t xml:space="preserve"> </w:t>
      </w:r>
      <w:r w:rsidRPr="004C357D">
        <w:rPr>
          <w:noProof w:val="0"/>
          <w:lang w:val="en-US"/>
        </w:rPr>
        <w:t>of</w:t>
      </w:r>
      <w:r w:rsidRPr="004C357D">
        <w:rPr>
          <w:noProof w:val="0"/>
          <w:spacing w:val="-4"/>
          <w:lang w:val="en-US"/>
        </w:rPr>
        <w:t xml:space="preserve"> </w:t>
      </w:r>
      <w:r w:rsidRPr="004C357D">
        <w:rPr>
          <w:noProof w:val="0"/>
          <w:lang w:val="en-US"/>
        </w:rPr>
        <w:t>Campinas</w:t>
      </w:r>
      <w:r w:rsidRPr="004C357D">
        <w:rPr>
          <w:noProof w:val="0"/>
          <w:spacing w:val="-2"/>
          <w:lang w:val="en-US"/>
        </w:rPr>
        <w:t xml:space="preserve"> </w:t>
      </w:r>
      <w:r w:rsidR="008E010B" w:rsidRPr="004C357D">
        <w:rPr>
          <w:noProof w:val="0"/>
          <w:spacing w:val="-5"/>
          <w:lang w:val="en-US"/>
        </w:rPr>
        <w:t>(</w:t>
      </w:r>
      <w:r w:rsidRPr="004C357D">
        <w:rPr>
          <w:noProof w:val="0"/>
          <w:lang w:val="en-US"/>
        </w:rPr>
        <w:t>UNICAMP</w:t>
      </w:r>
      <w:r w:rsidR="008E010B" w:rsidRPr="004C357D">
        <w:rPr>
          <w:noProof w:val="0"/>
          <w:lang w:val="en-US"/>
        </w:rPr>
        <w:t>)</w:t>
      </w:r>
      <w:r w:rsidRPr="004C357D">
        <w:rPr>
          <w:noProof w:val="0"/>
          <w:lang w:val="en-US"/>
        </w:rPr>
        <w:t>,</w:t>
      </w:r>
      <w:r w:rsidRPr="004C357D">
        <w:rPr>
          <w:noProof w:val="0"/>
          <w:spacing w:val="-3"/>
          <w:lang w:val="en-US"/>
        </w:rPr>
        <w:t xml:space="preserve"> </w:t>
      </w:r>
      <w:r w:rsidR="008E010B" w:rsidRPr="004C357D">
        <w:rPr>
          <w:noProof w:val="0"/>
          <w:lang w:val="en-US"/>
        </w:rPr>
        <w:t>Av</w:t>
      </w:r>
      <w:r w:rsidR="008E010B" w:rsidRPr="004C357D">
        <w:rPr>
          <w:noProof w:val="0"/>
          <w:spacing w:val="-4"/>
          <w:lang w:val="en-US"/>
        </w:rPr>
        <w:t xml:space="preserve"> </w:t>
      </w:r>
      <w:r w:rsidRPr="004C357D">
        <w:rPr>
          <w:noProof w:val="0"/>
          <w:lang w:val="en-US"/>
        </w:rPr>
        <w:t>Albert</w:t>
      </w:r>
      <w:r w:rsidRPr="004C357D">
        <w:rPr>
          <w:noProof w:val="0"/>
          <w:spacing w:val="-2"/>
          <w:lang w:val="en-US"/>
        </w:rPr>
        <w:t xml:space="preserve"> </w:t>
      </w:r>
      <w:r w:rsidRPr="004C357D">
        <w:rPr>
          <w:noProof w:val="0"/>
          <w:lang w:val="en-US"/>
        </w:rPr>
        <w:t>Einstein,</w:t>
      </w:r>
      <w:r w:rsidRPr="004C357D">
        <w:rPr>
          <w:noProof w:val="0"/>
          <w:spacing w:val="-2"/>
          <w:lang w:val="en-US"/>
        </w:rPr>
        <w:t xml:space="preserve"> </w:t>
      </w:r>
      <w:r w:rsidRPr="004C357D">
        <w:rPr>
          <w:noProof w:val="0"/>
          <w:lang w:val="en-US"/>
        </w:rPr>
        <w:t>500,</w:t>
      </w:r>
      <w:r w:rsidRPr="004C357D">
        <w:rPr>
          <w:noProof w:val="0"/>
          <w:spacing w:val="-4"/>
          <w:lang w:val="en-US"/>
        </w:rPr>
        <w:t xml:space="preserve"> </w:t>
      </w:r>
      <w:r w:rsidRPr="004C357D">
        <w:rPr>
          <w:noProof w:val="0"/>
          <w:lang w:val="en-US"/>
        </w:rPr>
        <w:t>Campinas,</w:t>
      </w:r>
      <w:r w:rsidRPr="004C357D">
        <w:rPr>
          <w:noProof w:val="0"/>
          <w:spacing w:val="-3"/>
          <w:lang w:val="en-US"/>
        </w:rPr>
        <w:t xml:space="preserve"> </w:t>
      </w:r>
      <w:r w:rsidRPr="004C357D">
        <w:rPr>
          <w:noProof w:val="0"/>
          <w:lang w:val="en-US"/>
        </w:rPr>
        <w:t>SP,</w:t>
      </w:r>
      <w:r w:rsidRPr="004C357D">
        <w:rPr>
          <w:noProof w:val="0"/>
          <w:spacing w:val="-2"/>
          <w:lang w:val="en-US"/>
        </w:rPr>
        <w:t xml:space="preserve"> </w:t>
      </w:r>
      <w:r w:rsidRPr="004C357D">
        <w:rPr>
          <w:noProof w:val="0"/>
          <w:lang w:val="en-US"/>
        </w:rPr>
        <w:t>Brazil</w:t>
      </w:r>
    </w:p>
    <w:p w14:paraId="2ED462A5" w14:textId="3890D42B" w:rsidR="00FE4808" w:rsidRPr="00907561" w:rsidRDefault="008E010B" w:rsidP="004C357D">
      <w:pPr>
        <w:pStyle w:val="CETemail"/>
      </w:pPr>
      <w:r w:rsidRPr="004C357D">
        <w:rPr>
          <w:noProof w:val="0"/>
          <w:lang w:val="en-US"/>
        </w:rPr>
        <w:t xml:space="preserve">Corresponding author: </w:t>
      </w:r>
      <w:r w:rsidR="00FE4808" w:rsidRPr="004C357D">
        <w:rPr>
          <w:noProof w:val="0"/>
          <w:lang w:val="en-US"/>
        </w:rPr>
        <w:t>igorfioravante24@gmail.com</w:t>
      </w:r>
    </w:p>
    <w:p w14:paraId="4300D838" w14:textId="77777777" w:rsidR="00FE4808" w:rsidRPr="0098348D" w:rsidRDefault="00FE4808" w:rsidP="00FE4808">
      <w:pPr>
        <w:pStyle w:val="BodyText"/>
        <w:spacing w:after="0" w:line="240" w:lineRule="auto"/>
        <w:ind w:right="74"/>
      </w:pPr>
    </w:p>
    <w:p w14:paraId="2603B877" w14:textId="73751CBF" w:rsidR="0039075D" w:rsidRPr="0098348D" w:rsidRDefault="00FE4808" w:rsidP="004C357D">
      <w:pPr>
        <w:pStyle w:val="CETBodytext"/>
      </w:pPr>
      <w:r w:rsidRPr="0098348D">
        <w:t>Volatile fatty acids (VFAs), short-chain fatty acids (C2–C6), are recognized as platform chemicals with diverse industrial applications. VFAs can be produced through the acidogenic phase of biowaste fermentation</w:t>
      </w:r>
      <w:r w:rsidR="00224B3D" w:rsidRPr="0098348D">
        <w:t>, which</w:t>
      </w:r>
      <w:r w:rsidRPr="0098348D">
        <w:t xml:space="preserve"> yields several key VFAs including butyric, propionic, lactic, and acetic acids. However, downstream processing remains a major challenge in VFA production due to the complex composition of fermentation broths</w:t>
      </w:r>
      <w:r w:rsidR="00224B3D" w:rsidRPr="0098348D">
        <w:t xml:space="preserve"> (especially in the case of mixed culture fermentation)</w:t>
      </w:r>
      <w:r w:rsidRPr="0098348D">
        <w:t>, which complicates separation and increases costs</w:t>
      </w:r>
      <w:r w:rsidR="0010431B" w:rsidRPr="0098348D">
        <w:t>.</w:t>
      </w:r>
      <w:r w:rsidRPr="0098348D">
        <w:t xml:space="preserve"> Among the various recovery methods, liquid-liquid extraction is a </w:t>
      </w:r>
      <w:r w:rsidR="008E76E7" w:rsidRPr="0098348D">
        <w:t>promising technique</w:t>
      </w:r>
      <w:r w:rsidRPr="0098348D">
        <w:t xml:space="preserve"> due to its high yield and selective separation of VFAs. Ethyl acetate has been identified as a potential solvent for this extraction process, owing to its low cost and favorable partitioning coefficient for </w:t>
      </w:r>
      <w:r w:rsidR="0012352D" w:rsidRPr="0098348D">
        <w:t>VFAs</w:t>
      </w:r>
      <w:r w:rsidR="00224B3D" w:rsidRPr="0098348D">
        <w:t>.</w:t>
      </w:r>
      <w:r w:rsidR="003C7CAB" w:rsidRPr="0098348D">
        <w:t xml:space="preserve"> </w:t>
      </w:r>
      <w:r w:rsidR="00224B3D" w:rsidRPr="0098348D">
        <w:t>This work evaluates</w:t>
      </w:r>
      <w:r w:rsidRPr="0098348D">
        <w:t xml:space="preserve"> the efficiency of ethyl acetate for the liquid-liquid extraction of VFAs from fermentation broth</w:t>
      </w:r>
      <w:r w:rsidR="00224B3D" w:rsidRPr="0098348D">
        <w:t xml:space="preserve"> of mixed culture</w:t>
      </w:r>
      <w:r w:rsidR="00372DF6" w:rsidRPr="0098348D">
        <w:t xml:space="preserve"> and </w:t>
      </w:r>
      <w:r w:rsidR="00224B3D" w:rsidRPr="0098348D">
        <w:t>validates</w:t>
      </w:r>
      <w:r w:rsidR="00372DF6" w:rsidRPr="0098348D">
        <w:t xml:space="preserve"> the results </w:t>
      </w:r>
      <w:r w:rsidR="00267047" w:rsidRPr="0098348D">
        <w:t xml:space="preserve">using </w:t>
      </w:r>
      <w:r w:rsidR="00224B3D" w:rsidRPr="0098348D">
        <w:t xml:space="preserve">the </w:t>
      </w:r>
      <w:r w:rsidR="00267047" w:rsidRPr="0098348D">
        <w:t xml:space="preserve">UNIFAC model </w:t>
      </w:r>
      <w:r w:rsidR="006E3B5C" w:rsidRPr="0098348D">
        <w:t>for liquid activity in</w:t>
      </w:r>
      <w:r w:rsidR="00267047" w:rsidRPr="0098348D">
        <w:t xml:space="preserve"> </w:t>
      </w:r>
      <w:r w:rsidR="00372DF6" w:rsidRPr="0098348D">
        <w:t>Aspen Plus</w:t>
      </w:r>
      <w:r w:rsidR="00267047" w:rsidRPr="0098348D">
        <w:t xml:space="preserve"> </w:t>
      </w:r>
      <w:r w:rsidR="00372DF6" w:rsidRPr="0098348D">
        <w:t>®</w:t>
      </w:r>
      <w:r w:rsidR="00267047" w:rsidRPr="0098348D">
        <w:t xml:space="preserve"> software</w:t>
      </w:r>
      <w:r w:rsidRPr="0098348D">
        <w:t>.</w:t>
      </w:r>
      <w:r w:rsidRPr="0098348D">
        <w:rPr>
          <w:sz w:val="22"/>
          <w:szCs w:val="22"/>
        </w:rPr>
        <w:t xml:space="preserve"> </w:t>
      </w:r>
      <w:r w:rsidRPr="0098348D">
        <w:t xml:space="preserve">Experimental conditions were optimized by varying the pH (2.5–4.5) and stirring time (10–60 minutes). </w:t>
      </w:r>
      <w:r w:rsidR="00224B3D" w:rsidRPr="0098348D">
        <w:t>R</w:t>
      </w:r>
      <w:r w:rsidRPr="0098348D">
        <w:t>esults indicate that the highest separation efficiency for</w:t>
      </w:r>
      <w:r w:rsidR="00B67F02" w:rsidRPr="0098348D">
        <w:t xml:space="preserve"> </w:t>
      </w:r>
      <w:r w:rsidRPr="0098348D">
        <w:t xml:space="preserve">VFAs was achieved at a pH of 2.5 and a stirring time of at least </w:t>
      </w:r>
      <w:r w:rsidR="00C901E8" w:rsidRPr="0098348D">
        <w:t>3</w:t>
      </w:r>
      <w:r w:rsidRPr="0098348D">
        <w:t>0 mi</w:t>
      </w:r>
      <w:r w:rsidR="006B7A5E" w:rsidRPr="0098348D">
        <w:t>nutes</w:t>
      </w:r>
      <w:r w:rsidRPr="0098348D">
        <w:t xml:space="preserve">, with no significant improvement observed beyond </w:t>
      </w:r>
      <w:r w:rsidR="00C901E8" w:rsidRPr="0098348D">
        <w:t>4</w:t>
      </w:r>
      <w:r w:rsidRPr="0098348D">
        <w:t xml:space="preserve">0 minutes. Separation efficiencies of over 90% were obtained for butyric acid, while propionic acid exhibited efficiencies above </w:t>
      </w:r>
      <w:r w:rsidR="0039075D" w:rsidRPr="0098348D">
        <w:t>7</w:t>
      </w:r>
      <w:r w:rsidRPr="0098348D">
        <w:t>0</w:t>
      </w:r>
      <w:r w:rsidR="00B67F02" w:rsidRPr="0098348D">
        <w:t>%. Therefore</w:t>
      </w:r>
      <w:r w:rsidR="00B234EE" w:rsidRPr="0098348D">
        <w:t>,</w:t>
      </w:r>
      <w:r w:rsidR="0039075D" w:rsidRPr="0098348D">
        <w:t xml:space="preserve"> ethyl acetate may be a potential solvent for VFAs </w:t>
      </w:r>
      <w:r w:rsidR="006B7A5E" w:rsidRPr="0098348D">
        <w:t>recovery,</w:t>
      </w:r>
      <w:r w:rsidR="0039075D" w:rsidRPr="0098348D">
        <w:t xml:space="preserve"> and the UNIFAC model </w:t>
      </w:r>
      <w:r w:rsidR="000827DA" w:rsidRPr="0098348D">
        <w:t>describe</w:t>
      </w:r>
      <w:r w:rsidR="006E3B5C" w:rsidRPr="0098348D">
        <w:t>d</w:t>
      </w:r>
      <w:r w:rsidR="000827DA" w:rsidRPr="0098348D">
        <w:t xml:space="preserve"> with great accuracy the liquid-liquid equilibria of this mixture.</w:t>
      </w:r>
    </w:p>
    <w:p w14:paraId="476B2F2E" w14:textId="52B36035" w:rsidR="00600535" w:rsidRPr="004C357D" w:rsidRDefault="00600535" w:rsidP="00600535">
      <w:pPr>
        <w:pStyle w:val="CETHeading1"/>
      </w:pPr>
      <w:r w:rsidRPr="004C357D">
        <w:t>Introduction</w:t>
      </w:r>
    </w:p>
    <w:p w14:paraId="2A49376C" w14:textId="73B70C7E" w:rsidR="00492E13" w:rsidRPr="004C357D" w:rsidRDefault="00790282" w:rsidP="008E010B">
      <w:pPr>
        <w:pStyle w:val="CETBodytext"/>
      </w:pPr>
      <w:r w:rsidRPr="004C357D">
        <w:t xml:space="preserve">The increasing necessity to lessen global reliance on non-renewable resources, along with the creation of chemical products that do not utilize oil as a primary material, represents one of the most significant challenges facing society today. This issue is garnering growing interest from industries and researchers worldwide. As a result, sustainable alternatives are being investigated, with biomass fermentation emerging as a promising source for a variety of valuable products that would typically be derived from oil </w:t>
      </w:r>
      <w:r w:rsidR="00E53DC9" w:rsidRPr="004C357D">
        <w:t>(</w:t>
      </w:r>
      <w:r w:rsidR="00283ED8" w:rsidRPr="004C357D">
        <w:t>L</w:t>
      </w:r>
      <w:r w:rsidR="00283ED8" w:rsidRPr="0098348D">
        <w:t>ópez</w:t>
      </w:r>
      <w:r w:rsidR="00E53DC9" w:rsidRPr="004C357D">
        <w:t>-</w:t>
      </w:r>
      <w:r w:rsidR="00283ED8" w:rsidRPr="004C357D">
        <w:t>G</w:t>
      </w:r>
      <w:r w:rsidR="00283ED8" w:rsidRPr="0098348D">
        <w:t>arzón</w:t>
      </w:r>
      <w:r w:rsidR="00283ED8" w:rsidRPr="004C357D">
        <w:t xml:space="preserve"> </w:t>
      </w:r>
      <w:r w:rsidR="00E53DC9" w:rsidRPr="004C357D">
        <w:t>&amp; S</w:t>
      </w:r>
      <w:r w:rsidR="00283ED8" w:rsidRPr="0098348D">
        <w:t>traathof</w:t>
      </w:r>
      <w:r w:rsidR="00E53DC9" w:rsidRPr="004C357D">
        <w:t>, 2014).</w:t>
      </w:r>
      <w:r w:rsidR="00283ED8" w:rsidRPr="0098348D">
        <w:t xml:space="preserve"> </w:t>
      </w:r>
      <w:r w:rsidR="00E1532F" w:rsidRPr="004C357D">
        <w:t>VFA</w:t>
      </w:r>
      <w:r w:rsidR="00767580" w:rsidRPr="004C357D">
        <w:t>s</w:t>
      </w:r>
      <w:r w:rsidR="00E1532F" w:rsidRPr="004C357D">
        <w:t xml:space="preserve"> are short-chain fatty acids produced as intermediates during anaerobic fermentation, encompassing a range of acids such as acetic, butyric, propionic, lactic, and citric acids</w:t>
      </w:r>
      <w:r w:rsidR="005F496D" w:rsidRPr="004C357D">
        <w:t>.</w:t>
      </w:r>
      <w:r w:rsidR="00E1532F" w:rsidRPr="004C357D">
        <w:t xml:space="preserve"> While large-scale production of certain </w:t>
      </w:r>
      <w:r w:rsidR="00283ED8" w:rsidRPr="0098348D">
        <w:t xml:space="preserve">carboxylic </w:t>
      </w:r>
      <w:r w:rsidR="00E1532F" w:rsidRPr="004C357D">
        <w:t xml:space="preserve">acids via fermentation is already established, the industrial methods for synthesizing butyric and propionic acids are still being refined and continue to be a </w:t>
      </w:r>
      <w:r w:rsidR="00492E13" w:rsidRPr="004C357D">
        <w:t xml:space="preserve">key </w:t>
      </w:r>
      <w:r w:rsidR="00E1532F" w:rsidRPr="004C357D">
        <w:t xml:space="preserve">point of research in the literature </w:t>
      </w:r>
      <w:r w:rsidR="00E53DC9" w:rsidRPr="004C357D">
        <w:t>(</w:t>
      </w:r>
      <w:r w:rsidR="00283ED8" w:rsidRPr="004C357D">
        <w:t>S</w:t>
      </w:r>
      <w:r w:rsidR="00283ED8" w:rsidRPr="0098348D">
        <w:t>un</w:t>
      </w:r>
      <w:r w:rsidR="00283ED8" w:rsidRPr="004C357D">
        <w:t xml:space="preserve"> </w:t>
      </w:r>
      <w:r w:rsidR="00E53DC9" w:rsidRPr="004C357D">
        <w:t>et al.</w:t>
      </w:r>
      <w:r w:rsidR="00283ED8" w:rsidRPr="0098348D">
        <w:t>,</w:t>
      </w:r>
      <w:r w:rsidR="00E53DC9" w:rsidRPr="004C357D">
        <w:t xml:space="preserve"> 2024; </w:t>
      </w:r>
      <w:r w:rsidR="00283ED8" w:rsidRPr="0098348D">
        <w:t>López-Garzón &amp; Straathof</w:t>
      </w:r>
      <w:r w:rsidR="00E53DC9" w:rsidRPr="004C357D">
        <w:t>, 2014).</w:t>
      </w:r>
      <w:r w:rsidR="00492E13" w:rsidRPr="004C357D">
        <w:t xml:space="preserve"> </w:t>
      </w:r>
    </w:p>
    <w:p w14:paraId="78E2A828" w14:textId="189FE6D1" w:rsidR="006A086B" w:rsidRPr="004C357D" w:rsidRDefault="00283ED8" w:rsidP="008E010B">
      <w:pPr>
        <w:pStyle w:val="CETBodytext"/>
      </w:pPr>
      <w:r w:rsidRPr="0098348D">
        <w:t>With a global market v</w:t>
      </w:r>
      <w:r w:rsidR="00787403" w:rsidRPr="004C357D">
        <w:t>alued at USD 376.5 million in 2023, butyric acid has a wide array of applications across various industries. In the chemical sector, it is used as a precursor for producing thermoplastic cellulose acetate butyrate</w:t>
      </w:r>
      <w:r w:rsidRPr="0098348D">
        <w:t xml:space="preserve"> (CAB)</w:t>
      </w:r>
      <w:r w:rsidR="00787403" w:rsidRPr="004C357D">
        <w:t xml:space="preserve"> and butanol. In the food industry, it enhances </w:t>
      </w:r>
      <w:r w:rsidRPr="0098348D">
        <w:t>flavors</w:t>
      </w:r>
      <w:r w:rsidR="00787403" w:rsidRPr="004C357D">
        <w:t xml:space="preserve"> and serves as an additive in animal feed, alongside propionic acid. Additionally, in the pharmaceutical industry, butyric acid is recognized for its therapeutic properties. Given its diverse applications, </w:t>
      </w:r>
      <w:r w:rsidRPr="0098348D">
        <w:t xml:space="preserve">the </w:t>
      </w:r>
      <w:r w:rsidR="00787403" w:rsidRPr="004C357D">
        <w:t xml:space="preserve">butyric acid </w:t>
      </w:r>
      <w:r w:rsidRPr="0098348D">
        <w:t xml:space="preserve">market </w:t>
      </w:r>
      <w:r w:rsidR="00787403" w:rsidRPr="004C357D">
        <w:t xml:space="preserve">is expected to grow at an annual rate of 9.7% </w:t>
      </w:r>
      <w:r w:rsidRPr="0098348D">
        <w:t>up to</w:t>
      </w:r>
      <w:r w:rsidRPr="004C357D">
        <w:t xml:space="preserve"> </w:t>
      </w:r>
      <w:r w:rsidR="00787403" w:rsidRPr="004C357D">
        <w:t>2032. Similarly, the propionic acid market, valued at USD 1.1 billion in 2023, is projected to reach USD 1.42 billion by 2024. These growth trends highlight the importance of these acids as key building blocks for a future with reduced reliance on oil (</w:t>
      </w:r>
      <w:r w:rsidRPr="0098348D">
        <w:t>Technavio</w:t>
      </w:r>
      <w:r w:rsidR="00787403" w:rsidRPr="004C357D">
        <w:t xml:space="preserve">, 2024; </w:t>
      </w:r>
      <w:r w:rsidRPr="0098348D">
        <w:t>Market Research Future</w:t>
      </w:r>
      <w:r w:rsidR="00787403" w:rsidRPr="004C357D">
        <w:t xml:space="preserve">, 2024; </w:t>
      </w:r>
      <w:r w:rsidRPr="0098348D">
        <w:t>Gerunova</w:t>
      </w:r>
      <w:r w:rsidRPr="004C357D">
        <w:t xml:space="preserve"> </w:t>
      </w:r>
      <w:r w:rsidR="00787403" w:rsidRPr="004C357D">
        <w:t xml:space="preserve">et al., 2024; </w:t>
      </w:r>
      <w:r w:rsidRPr="0098348D">
        <w:t>Mazur-Kuśnirek</w:t>
      </w:r>
      <w:r w:rsidRPr="0098348D" w:rsidDel="00283ED8">
        <w:t xml:space="preserve"> </w:t>
      </w:r>
      <w:r w:rsidR="00787403" w:rsidRPr="004C357D">
        <w:t xml:space="preserve">et al., 2024; </w:t>
      </w:r>
      <w:r w:rsidRPr="0098348D">
        <w:t>Jiang</w:t>
      </w:r>
      <w:r w:rsidRPr="004C357D">
        <w:t xml:space="preserve"> </w:t>
      </w:r>
      <w:r w:rsidR="00787403" w:rsidRPr="004C357D">
        <w:t>et al., 2018).</w:t>
      </w:r>
    </w:p>
    <w:p w14:paraId="7DB0F8C7" w14:textId="511CE177" w:rsidR="00B33283" w:rsidRPr="004C357D" w:rsidRDefault="004612C1" w:rsidP="008E010B">
      <w:pPr>
        <w:pStyle w:val="CETBodytext"/>
      </w:pPr>
      <w:r w:rsidRPr="004C357D">
        <w:t xml:space="preserve">Despite the increasing demand and ongoing research, the large-scale bioproduction of </w:t>
      </w:r>
      <w:r w:rsidR="00A23489" w:rsidRPr="0098348D">
        <w:t>b</w:t>
      </w:r>
      <w:r w:rsidR="00283ED8" w:rsidRPr="0098348D">
        <w:t>utyric acid</w:t>
      </w:r>
      <w:r w:rsidR="00E84245" w:rsidRPr="004C357D">
        <w:t xml:space="preserve"> and </w:t>
      </w:r>
      <w:r w:rsidR="00A23489" w:rsidRPr="0098348D">
        <w:t>p</w:t>
      </w:r>
      <w:r w:rsidR="00283ED8" w:rsidRPr="0098348D">
        <w:t>ropionic acid</w:t>
      </w:r>
      <w:r w:rsidRPr="004C357D">
        <w:t xml:space="preserve"> </w:t>
      </w:r>
      <w:r w:rsidR="00A23489" w:rsidRPr="0098348D">
        <w:t xml:space="preserve">from renewable sources </w:t>
      </w:r>
      <w:r w:rsidRPr="004C357D">
        <w:t xml:space="preserve">remains economically uncompetitive with </w:t>
      </w:r>
      <w:r w:rsidR="00A23489" w:rsidRPr="0098348D">
        <w:t>traditional, non-renewable</w:t>
      </w:r>
      <w:r w:rsidR="00A23489" w:rsidRPr="004C357D">
        <w:t xml:space="preserve"> </w:t>
      </w:r>
      <w:r w:rsidRPr="004C357D">
        <w:lastRenderedPageBreak/>
        <w:t xml:space="preserve">methods. To address this challenge, several key issues must be tackled, including the low yield of </w:t>
      </w:r>
      <w:r w:rsidR="00A23489" w:rsidRPr="0098348D">
        <w:t>butyric acid</w:t>
      </w:r>
      <w:r w:rsidR="00EA1213" w:rsidRPr="004C357D">
        <w:t xml:space="preserve"> and </w:t>
      </w:r>
      <w:r w:rsidR="00A23489" w:rsidRPr="0098348D">
        <w:t>p</w:t>
      </w:r>
      <w:r w:rsidR="00283ED8" w:rsidRPr="0098348D">
        <w:t>ropionic acid</w:t>
      </w:r>
      <w:r w:rsidRPr="004C357D">
        <w:t xml:space="preserve"> production, the instability of the acid’s composition, and the complex, costly downstream processes required for extraction, purification, and final polishing (</w:t>
      </w:r>
      <w:r w:rsidR="00A23489" w:rsidRPr="0098348D">
        <w:t>Lou</w:t>
      </w:r>
      <w:r w:rsidR="00A23489" w:rsidRPr="004C357D">
        <w:t xml:space="preserve"> </w:t>
      </w:r>
      <w:r w:rsidRPr="004C357D">
        <w:t xml:space="preserve">et al., 2018; </w:t>
      </w:r>
      <w:r w:rsidR="00A23489" w:rsidRPr="0098348D">
        <w:t>Jiang</w:t>
      </w:r>
      <w:r w:rsidR="00A23489" w:rsidRPr="004C357D">
        <w:t xml:space="preserve"> </w:t>
      </w:r>
      <w:r w:rsidRPr="004C357D">
        <w:t xml:space="preserve">et al., 2018). Notably, downstream processes can </w:t>
      </w:r>
      <w:r w:rsidR="0012307D" w:rsidRPr="004C357D">
        <w:t>account for</w:t>
      </w:r>
      <w:r w:rsidRPr="004C357D">
        <w:t xml:space="preserve"> up to 50% of the total production cost, driving the investigation of various methods in the literature for concentrating, separating, and purifying </w:t>
      </w:r>
      <w:r w:rsidR="00EA1213" w:rsidRPr="004C357D">
        <w:t>VFAs</w:t>
      </w:r>
      <w:r w:rsidRPr="004C357D">
        <w:t xml:space="preserve"> (</w:t>
      </w:r>
      <w:r w:rsidR="00A23489" w:rsidRPr="0098348D">
        <w:t>Chen</w:t>
      </w:r>
      <w:r w:rsidR="00A23489" w:rsidRPr="004C357D">
        <w:t xml:space="preserve"> </w:t>
      </w:r>
      <w:r w:rsidRPr="004C357D">
        <w:t>et al., 2022</w:t>
      </w:r>
      <w:r w:rsidR="00BE2A38" w:rsidRPr="004C357D">
        <w:t>)</w:t>
      </w:r>
      <w:r w:rsidR="00935E25" w:rsidRPr="004C357D">
        <w:t>.</w:t>
      </w:r>
      <w:r w:rsidR="00E16116" w:rsidRPr="0098348D">
        <w:tab/>
      </w:r>
      <w:r w:rsidR="00E16116" w:rsidRPr="0098348D">
        <w:tab/>
      </w:r>
      <w:r w:rsidR="00E16116" w:rsidRPr="0098348D">
        <w:tab/>
      </w:r>
      <w:r w:rsidR="00B33283" w:rsidRPr="0098348D">
        <w:t xml:space="preserve">Among the various downstream processing technologies for VFA production, liquid-liquid extraction emerges as a promising technique. This method is based on the chemical equilibrium established between the </w:t>
      </w:r>
      <w:r w:rsidR="00A23489" w:rsidRPr="0098348D">
        <w:t xml:space="preserve">organic </w:t>
      </w:r>
      <w:r w:rsidR="00B33283" w:rsidRPr="0098348D">
        <w:t xml:space="preserve">acids </w:t>
      </w:r>
      <w:r w:rsidR="00A23489" w:rsidRPr="0098348D">
        <w:t xml:space="preserve">in liquid phase </w:t>
      </w:r>
      <w:r w:rsidR="00B33283" w:rsidRPr="0098348D">
        <w:t xml:space="preserve">and the </w:t>
      </w:r>
      <w:r w:rsidR="00A23489" w:rsidRPr="0098348D">
        <w:t xml:space="preserve">organic </w:t>
      </w:r>
      <w:r w:rsidR="00B33283" w:rsidRPr="0098348D">
        <w:t>solvent used as the extractant. The equilibrium is driven by the higher solubility of VFAs in the organic solvent compared to water, resulting in the transfer of the acids into the extract phase (</w:t>
      </w:r>
      <w:r w:rsidR="00A23489" w:rsidRPr="0098348D">
        <w:t xml:space="preserve">Chen </w:t>
      </w:r>
      <w:r w:rsidR="00B33283" w:rsidRPr="0098348D">
        <w:t xml:space="preserve">et al., 2022; </w:t>
      </w:r>
      <w:r w:rsidR="00A23489" w:rsidRPr="0098348D">
        <w:t xml:space="preserve">Atasoy </w:t>
      </w:r>
      <w:r w:rsidR="00B33283" w:rsidRPr="0098348D">
        <w:t>et al., 2018</w:t>
      </w:r>
      <w:r w:rsidR="00EB214E" w:rsidRPr="0098348D">
        <w:t>).</w:t>
      </w:r>
      <w:r w:rsidR="00CD36DB" w:rsidRPr="0098348D">
        <w:t xml:space="preserve"> One </w:t>
      </w:r>
      <w:r w:rsidR="00AA4419" w:rsidRPr="0098348D">
        <w:t xml:space="preserve">of the solvents proposed in the literature </w:t>
      </w:r>
      <w:r w:rsidR="00105B4E" w:rsidRPr="0098348D">
        <w:t xml:space="preserve">for </w:t>
      </w:r>
      <w:r w:rsidR="00EA0218" w:rsidRPr="004C357D">
        <w:t xml:space="preserve">liquid-liquid extraction of VFAs is ethyl acetate, due to its low cost and </w:t>
      </w:r>
      <w:r w:rsidR="00A23489" w:rsidRPr="0098348D">
        <w:t>favorable</w:t>
      </w:r>
      <w:r w:rsidR="00EA0218" w:rsidRPr="004C357D">
        <w:t xml:space="preserve"> partition coefficient for volatile fatty acids. Ethyl acetate extracts the acids from the aqueous phase by forming an organic phase, which can then undergo distillation to separate the target acids</w:t>
      </w:r>
      <w:r w:rsidR="00990030" w:rsidRPr="004C357D">
        <w:t xml:space="preserve"> (</w:t>
      </w:r>
      <w:r w:rsidR="00A23489" w:rsidRPr="0098348D">
        <w:t>Alao</w:t>
      </w:r>
      <w:r w:rsidR="00A23489" w:rsidRPr="004C357D">
        <w:t xml:space="preserve"> </w:t>
      </w:r>
      <w:r w:rsidR="00534320" w:rsidRPr="004C357D">
        <w:t>et al. 2023)</w:t>
      </w:r>
      <w:r w:rsidR="00C510AC" w:rsidRPr="004C357D">
        <w:t>.</w:t>
      </w:r>
    </w:p>
    <w:p w14:paraId="6135DC0C" w14:textId="045BE650" w:rsidR="0056686D" w:rsidRPr="0098348D" w:rsidRDefault="00B92936" w:rsidP="008E010B">
      <w:pPr>
        <w:pStyle w:val="CETBodytext"/>
      </w:pPr>
      <w:r w:rsidRPr="0098348D">
        <w:t>One effective approach to enhancing downstream efficiency is the simulation and optimization of processes using computational tools, which enable accurate modeling of process behavior</w:t>
      </w:r>
      <w:r w:rsidR="00A23489" w:rsidRPr="0098348D">
        <w:t xml:space="preserve"> in varied conditions</w:t>
      </w:r>
      <w:r w:rsidRPr="0098348D">
        <w:t xml:space="preserve">. Software such as Aspen Plus® provides a comprehensive set of models that can be employed to test, optimize, and monitor the performance of an entire industrial plant </w:t>
      </w:r>
      <w:r w:rsidR="0099009F">
        <w:t>with</w:t>
      </w:r>
      <w:r w:rsidR="0056686D" w:rsidRPr="0098348D">
        <w:t xml:space="preserve"> key advantages, including the ability to model both individual equipment and entire processes. It provides accurate descriptions of process behavior, supported by its robust and extensive database. The software excels in performing techno-economic analyses and comparing different process scenarios, making it a valuable tool for optimization</w:t>
      </w:r>
      <w:r w:rsidR="0099009F">
        <w:t xml:space="preserve"> (Leal Silva and Maciel Filho, 2024)</w:t>
      </w:r>
      <w:r w:rsidR="0056686D" w:rsidRPr="0098348D">
        <w:t>. Furthermore, it incorporates a comprehensive database</w:t>
      </w:r>
      <w:r w:rsidR="00A23489" w:rsidRPr="0098348D">
        <w:t xml:space="preserve"> to calculate phase equilibrium</w:t>
      </w:r>
      <w:r w:rsidR="0056686D" w:rsidRPr="0098348D">
        <w:t>, which enhances the accuracy and reliability of its simulations</w:t>
      </w:r>
      <w:r w:rsidR="0037189D" w:rsidRPr="0098348D">
        <w:t xml:space="preserve"> (</w:t>
      </w:r>
      <w:r w:rsidR="00A23489" w:rsidRPr="0098348D">
        <w:t xml:space="preserve">Malik </w:t>
      </w:r>
      <w:r w:rsidR="0037189D" w:rsidRPr="0098348D">
        <w:t xml:space="preserve">et al., 2023; </w:t>
      </w:r>
      <w:r w:rsidR="00A23489" w:rsidRPr="0098348D">
        <w:t xml:space="preserve">Corredor </w:t>
      </w:r>
      <w:r w:rsidR="0037189D" w:rsidRPr="0098348D">
        <w:t xml:space="preserve">et al., 2019; </w:t>
      </w:r>
      <w:r w:rsidR="00A23489" w:rsidRPr="0098348D">
        <w:t xml:space="preserve">Chaves </w:t>
      </w:r>
      <w:r w:rsidR="0037189D" w:rsidRPr="0098348D">
        <w:t>et al., 2016).</w:t>
      </w:r>
      <w:r w:rsidR="00A23489" w:rsidRPr="0098348D">
        <w:t xml:space="preserve"> A process model can be designed and conditions for extraction can be optimized, thus reducing efforts in process design.</w:t>
      </w:r>
    </w:p>
    <w:p w14:paraId="5283715A" w14:textId="6C99565E" w:rsidR="00EA0218" w:rsidRPr="0098348D" w:rsidRDefault="00A23489" w:rsidP="008E010B">
      <w:pPr>
        <w:pStyle w:val="CETBodytext"/>
      </w:pPr>
      <w:r w:rsidRPr="0098348D">
        <w:t xml:space="preserve">Nevertheless, conditions of the process demand experimental validation before the model can be extended to optimized conditions. </w:t>
      </w:r>
      <w:r w:rsidR="00E5232B" w:rsidRPr="0098348D">
        <w:t xml:space="preserve">Therefore, the aim of this work </w:t>
      </w:r>
      <w:r w:rsidRPr="0098348D">
        <w:t xml:space="preserve">was </w:t>
      </w:r>
      <w:r w:rsidR="00E5232B" w:rsidRPr="0098348D">
        <w:t>to evaluate ethyl acetate as a solvent for liquid-liquid extraction of VFAs from fermentation broth</w:t>
      </w:r>
      <w:r w:rsidR="00C808B6" w:rsidRPr="0098348D">
        <w:t xml:space="preserve"> and compare the experimental performance of the process with the performance modeled in Aspen Plus</w:t>
      </w:r>
      <w:r w:rsidRPr="0098348D">
        <w:t xml:space="preserve">. </w:t>
      </w:r>
      <w:r w:rsidR="00C808B6" w:rsidRPr="0098348D">
        <w:t xml:space="preserve">Different conditions of pH and </w:t>
      </w:r>
      <w:r w:rsidR="0099009F">
        <w:t>stirring</w:t>
      </w:r>
      <w:r w:rsidR="00C808B6" w:rsidRPr="0098348D">
        <w:t xml:space="preserve"> time were tested in extraction trials, and these results were compared to the results obtained via process simulation. Based on these results, the process can be expanded to determine conditions that optimize the recovery of different VFAs</w:t>
      </w:r>
      <w:r w:rsidR="00E5232B" w:rsidRPr="0098348D">
        <w:t>.</w:t>
      </w:r>
    </w:p>
    <w:p w14:paraId="3786D191" w14:textId="67C3D3F0" w:rsidR="001B3356" w:rsidRPr="0098348D" w:rsidRDefault="001B3356" w:rsidP="001B3356">
      <w:pPr>
        <w:pStyle w:val="CETHeading1"/>
      </w:pPr>
      <w:r w:rsidRPr="0098348D">
        <w:t>Materials and Methods</w:t>
      </w:r>
    </w:p>
    <w:p w14:paraId="133AB583" w14:textId="5F2B844A" w:rsidR="00520BDC" w:rsidRPr="0098348D" w:rsidRDefault="00520BDC" w:rsidP="00520BDC">
      <w:pPr>
        <w:pStyle w:val="CETheadingx"/>
      </w:pPr>
      <w:r w:rsidRPr="0098348D">
        <w:t>Materials</w:t>
      </w:r>
    </w:p>
    <w:p w14:paraId="086CF11A" w14:textId="1CD770BF" w:rsidR="000E0428" w:rsidRPr="0098348D" w:rsidRDefault="000E0428" w:rsidP="000E0428">
      <w:pPr>
        <w:pStyle w:val="CETBodytext"/>
      </w:pPr>
      <w:r w:rsidRPr="0098348D">
        <w:t>N-butyric acid and propionic acid were provided by Êxodo Científica (Brazil), sulfuric acid was purchased from Dinâmica (Brazil), ethyl acetate was obtained from Sigma-Aldrich (USA)</w:t>
      </w:r>
      <w:r w:rsidR="00C808B6" w:rsidRPr="0098348D">
        <w:t>,</w:t>
      </w:r>
      <w:r w:rsidRPr="0098348D">
        <w:t xml:space="preserve"> </w:t>
      </w:r>
      <w:r w:rsidR="00C808B6" w:rsidRPr="0098348D">
        <w:t xml:space="preserve">calcium </w:t>
      </w:r>
      <w:r w:rsidRPr="0098348D">
        <w:t xml:space="preserve">oxide was supplied by Anidrol (Brazil), and ultra-pure water was sourced from Master System MS20000 ALL (GEHAKA, Brazil). pH measurements were performed using a mPA2010 pH meter (MS Tecnopon® Instrumentação, Brazil). The </w:t>
      </w:r>
      <w:r w:rsidR="00C808B6" w:rsidRPr="0098348D">
        <w:t xml:space="preserve">trials </w:t>
      </w:r>
      <w:r w:rsidRPr="0098348D">
        <w:t xml:space="preserve">were </w:t>
      </w:r>
      <w:r w:rsidR="00C808B6" w:rsidRPr="0098348D">
        <w:t>carried out on</w:t>
      </w:r>
      <w:r w:rsidRPr="0098348D">
        <w:t xml:space="preserve"> an MA 505/5FEQ reactor system (MARCONI, Brazil)</w:t>
      </w:r>
      <w:r w:rsidR="00C808B6" w:rsidRPr="0098348D">
        <w:t>. The concentration of the samples was determined via</w:t>
      </w:r>
      <w:r w:rsidRPr="0098348D">
        <w:t xml:space="preserve"> HPLC using an Agilent 1260 Infinity II system (Agilent Technologies, USA).</w:t>
      </w:r>
    </w:p>
    <w:p w14:paraId="407C6B2B" w14:textId="4C35DB53" w:rsidR="008B58D9" w:rsidRPr="0098348D" w:rsidRDefault="008B58D9" w:rsidP="008B58D9">
      <w:pPr>
        <w:pStyle w:val="CETheadingx"/>
      </w:pPr>
      <w:r w:rsidRPr="0098348D">
        <w:t>Methods</w:t>
      </w:r>
    </w:p>
    <w:p w14:paraId="32C8B318" w14:textId="3304ECA7" w:rsidR="008B58D9" w:rsidRPr="0098348D" w:rsidRDefault="00F2744E" w:rsidP="00F2744E">
      <w:pPr>
        <w:pStyle w:val="CETHeadingxx"/>
      </w:pPr>
      <w:r w:rsidRPr="0098348D">
        <w:t>2.2</w:t>
      </w:r>
      <w:r w:rsidR="00194727" w:rsidRPr="0098348D">
        <w:t xml:space="preserve">.1 </w:t>
      </w:r>
      <w:r w:rsidR="004201A9" w:rsidRPr="0098348D">
        <w:t xml:space="preserve">Preparation of </w:t>
      </w:r>
      <w:r w:rsidR="00194727" w:rsidRPr="0098348D">
        <w:t>Butyric Acid and Propionic Acid</w:t>
      </w:r>
      <w:r w:rsidR="001D0159" w:rsidRPr="0098348D">
        <w:t xml:space="preserve"> (VFAs) </w:t>
      </w:r>
      <w:r w:rsidR="004201A9" w:rsidRPr="0098348D">
        <w:t>solution</w:t>
      </w:r>
    </w:p>
    <w:p w14:paraId="58B281A3" w14:textId="6F4DE99B" w:rsidR="004201A9" w:rsidRPr="0098348D" w:rsidRDefault="00431004" w:rsidP="004201A9">
      <w:pPr>
        <w:pStyle w:val="CETBodytext"/>
      </w:pPr>
      <w:r w:rsidRPr="0098348D">
        <w:t xml:space="preserve">The </w:t>
      </w:r>
      <w:r w:rsidR="003C675A" w:rsidRPr="0098348D">
        <w:t>synthetic</w:t>
      </w:r>
      <w:r w:rsidRPr="0098348D">
        <w:t xml:space="preserve"> VFA solution </w:t>
      </w:r>
      <w:r w:rsidR="003C675A" w:rsidRPr="0098348D">
        <w:t xml:space="preserve">with 33 g/L of butyric acid and 13 g/L of propionic acid </w:t>
      </w:r>
      <w:r w:rsidRPr="0098348D">
        <w:t xml:space="preserve">were prepared </w:t>
      </w:r>
      <w:r w:rsidR="00F51CF7" w:rsidRPr="0098348D">
        <w:t xml:space="preserve">with </w:t>
      </w:r>
      <w:r w:rsidR="002736D2" w:rsidRPr="0098348D">
        <w:t>M</w:t>
      </w:r>
      <w:r w:rsidR="00F51CF7" w:rsidRPr="0098348D">
        <w:t xml:space="preserve">ili-Q water </w:t>
      </w:r>
      <w:r w:rsidR="00CF5B2D" w:rsidRPr="0098348D">
        <w:t>and the pH was adjusted for</w:t>
      </w:r>
      <w:r w:rsidR="009A4CDD" w:rsidRPr="0098348D">
        <w:t xml:space="preserve"> 2.5, 3.5 and 4.5</w:t>
      </w:r>
      <w:r w:rsidR="009D0D09" w:rsidRPr="0098348D">
        <w:t xml:space="preserve"> using calcium oxide and sulfuric acid</w:t>
      </w:r>
      <w:r w:rsidR="00D9150F" w:rsidRPr="0098348D">
        <w:t xml:space="preserve"> and left at room temperature</w:t>
      </w:r>
      <w:r w:rsidR="00DE3483" w:rsidRPr="0098348D">
        <w:t>.</w:t>
      </w:r>
      <w:r w:rsidR="00C808B6" w:rsidRPr="0098348D">
        <w:t xml:space="preserve"> Th</w:t>
      </w:r>
      <w:r w:rsidR="00CC3AA1" w:rsidRPr="0098348D">
        <w:t>is</w:t>
      </w:r>
      <w:r w:rsidR="00C808B6" w:rsidRPr="0098348D">
        <w:t xml:space="preserve"> concentration of VFAs was </w:t>
      </w:r>
      <w:r w:rsidR="00CC3AA1" w:rsidRPr="0098348D">
        <w:t>chosen</w:t>
      </w:r>
      <w:r w:rsidR="00C808B6" w:rsidRPr="0098348D">
        <w:t xml:space="preserve"> to mimic the concentration of VFAs produced with a mixed culture </w:t>
      </w:r>
      <w:r w:rsidR="00CC3AA1" w:rsidRPr="0098348D">
        <w:t>based on residues from the production of organic sugar.</w:t>
      </w:r>
    </w:p>
    <w:p w14:paraId="4548BB60" w14:textId="55BA20CB" w:rsidR="0017058A" w:rsidRPr="0098348D" w:rsidRDefault="0017058A" w:rsidP="0017058A">
      <w:pPr>
        <w:pStyle w:val="CETHeadingxx"/>
      </w:pPr>
      <w:r w:rsidRPr="0098348D">
        <w:t xml:space="preserve">2.2.2 </w:t>
      </w:r>
      <w:r w:rsidR="0089614B" w:rsidRPr="0098348D">
        <w:t xml:space="preserve">VFAs extraction </w:t>
      </w:r>
    </w:p>
    <w:p w14:paraId="677DA2D1" w14:textId="58FB4B10" w:rsidR="00A65B0F" w:rsidRPr="0098348D" w:rsidRDefault="000267E1" w:rsidP="00E44A37">
      <w:pPr>
        <w:pStyle w:val="CETBodytext"/>
      </w:pPr>
      <w:r w:rsidRPr="0098348D">
        <w:t>Experimental</w:t>
      </w:r>
      <w:r w:rsidR="00B44C14" w:rsidRPr="0098348D">
        <w:t xml:space="preserve"> extraction trials from synthetic fermentation broth were conducted </w:t>
      </w:r>
      <w:r w:rsidR="00A022DE" w:rsidRPr="0098348D">
        <w:t xml:space="preserve">based on the methodology </w:t>
      </w:r>
      <w:r w:rsidR="00FC384E" w:rsidRPr="0098348D">
        <w:t>proposed</w:t>
      </w:r>
      <w:r w:rsidR="00A022DE" w:rsidRPr="0098348D">
        <w:t xml:space="preserve"> by Alao et al. (2023) and adapted </w:t>
      </w:r>
      <w:r w:rsidR="000743D7" w:rsidRPr="0098348D">
        <w:t>for this work to</w:t>
      </w:r>
      <w:r w:rsidR="0020166C" w:rsidRPr="0098348D">
        <w:t xml:space="preserve"> use</w:t>
      </w:r>
      <w:r w:rsidR="00B44C14" w:rsidRPr="0098348D">
        <w:t xml:space="preserve"> ethyl acetate</w:t>
      </w:r>
      <w:r w:rsidR="0087167E" w:rsidRPr="0098348D">
        <w:t xml:space="preserve"> </w:t>
      </w:r>
      <w:r w:rsidR="000743D7" w:rsidRPr="0098348D">
        <w:t>as solvent</w:t>
      </w:r>
      <w:r w:rsidR="00B44C14" w:rsidRPr="0098348D">
        <w:t>, with a sample volume of 25 mL and a solvent-to-</w:t>
      </w:r>
      <w:r w:rsidR="00CC3AA1" w:rsidRPr="0098348D">
        <w:t xml:space="preserve">feed </w:t>
      </w:r>
      <w:r w:rsidR="00B44C14" w:rsidRPr="0098348D">
        <w:t>ratio of 1:1. The pH was adjusted to 2.5, 3.5, and 4.5 before the extraction.</w:t>
      </w:r>
      <w:r w:rsidR="00CC3AA1" w:rsidRPr="0098348D">
        <w:t xml:space="preserve"> E</w:t>
      </w:r>
      <w:r w:rsidR="00B44C14" w:rsidRPr="0098348D">
        <w:t>xtraction was carried out at room temperature in a beaker</w:t>
      </w:r>
      <w:r w:rsidRPr="0098348D">
        <w:t>,</w:t>
      </w:r>
      <w:r w:rsidR="00B44C14" w:rsidRPr="0098348D">
        <w:t xml:space="preserve"> stirring at 150 RPM for 10 to 60 minutes</w:t>
      </w:r>
      <w:r w:rsidR="00CC3AA1" w:rsidRPr="0098348D">
        <w:t xml:space="preserve"> (in steps of 10 minutes)</w:t>
      </w:r>
      <w:r w:rsidR="00B44C14" w:rsidRPr="0098348D">
        <w:t xml:space="preserve">. </w:t>
      </w:r>
      <w:r w:rsidR="00CC3AA1" w:rsidRPr="0098348D">
        <w:t xml:space="preserve">Trials </w:t>
      </w:r>
      <w:r w:rsidR="00B44C14" w:rsidRPr="0098348D">
        <w:t xml:space="preserve">were </w:t>
      </w:r>
      <w:r w:rsidR="00C4445A" w:rsidRPr="0098348D">
        <w:t>carried out</w:t>
      </w:r>
      <w:r w:rsidR="00CC3AA1" w:rsidRPr="0098348D">
        <w:t xml:space="preserve"> </w:t>
      </w:r>
      <w:r w:rsidR="00B44C14" w:rsidRPr="0098348D">
        <w:t>for each pH value</w:t>
      </w:r>
      <w:r w:rsidR="00CC3AA1" w:rsidRPr="0098348D">
        <w:t xml:space="preserve"> and stirring time</w:t>
      </w:r>
      <w:r w:rsidR="000F0A68" w:rsidRPr="0098348D">
        <w:t xml:space="preserve">. </w:t>
      </w:r>
      <w:r w:rsidR="000F0A68" w:rsidRPr="004C357D">
        <w:t xml:space="preserve">Subsequently, the solutions were allowed to settle in </w:t>
      </w:r>
      <w:r w:rsidR="00CC3AA1" w:rsidRPr="004C357D">
        <w:t>different separatory funnels</w:t>
      </w:r>
      <w:r w:rsidR="000F0A68" w:rsidRPr="004C357D">
        <w:t xml:space="preserve"> for 30 minutes. Samples of 2 mL were collected from both the aqueous and organic phases in </w:t>
      </w:r>
      <w:r w:rsidR="00CC3AA1" w:rsidRPr="004C357D">
        <w:t>vials</w:t>
      </w:r>
      <w:r w:rsidR="000F0A68" w:rsidRPr="004C357D">
        <w:t xml:space="preserve"> and stored in a freezer for analysis</w:t>
      </w:r>
      <w:r w:rsidR="009F4475" w:rsidRPr="0098348D">
        <w:t>.</w:t>
      </w:r>
    </w:p>
    <w:p w14:paraId="7ED48A98" w14:textId="7F320AFD" w:rsidR="00CF042F" w:rsidRPr="0098348D" w:rsidRDefault="00CF042F" w:rsidP="00CF042F">
      <w:pPr>
        <w:pStyle w:val="CETHeadingxx"/>
      </w:pPr>
      <w:r w:rsidRPr="0098348D">
        <w:lastRenderedPageBreak/>
        <w:t xml:space="preserve">2.2.3 </w:t>
      </w:r>
      <w:r w:rsidR="00B464A0" w:rsidRPr="0098348D">
        <w:t>Quanti</w:t>
      </w:r>
      <w:r w:rsidR="00CC3AA1" w:rsidRPr="0098348D">
        <w:t>fication</w:t>
      </w:r>
    </w:p>
    <w:p w14:paraId="6AF74691" w14:textId="13DFF141" w:rsidR="0097455D" w:rsidRPr="0098348D" w:rsidRDefault="0097455D" w:rsidP="0097455D">
      <w:pPr>
        <w:pStyle w:val="CETBodytext"/>
      </w:pPr>
      <w:r w:rsidRPr="0098348D">
        <w:t xml:space="preserve">Samples from both the aqueous and organic phases were </w:t>
      </w:r>
      <w:r w:rsidR="00CC3AA1" w:rsidRPr="0098348D">
        <w:t>analyzed via HPLC</w:t>
      </w:r>
      <w:r w:rsidRPr="0098348D">
        <w:t xml:space="preserve"> using an Agilent 1260 Infinity II HPLC system (Agilent Technologies, USA) with an HPX-87H column (1.3 × 7.8 mm) at 15 ºC. The injection volume was 20 µL</w:t>
      </w:r>
      <w:r w:rsidR="00CC3AA1" w:rsidRPr="0098348D">
        <w:t xml:space="preserve"> </w:t>
      </w:r>
      <w:r w:rsidRPr="0098348D">
        <w:t>and the flow rate was 0.5 mL/min. A</w:t>
      </w:r>
      <w:r w:rsidR="00CC3AA1" w:rsidRPr="0098348D">
        <w:t>n aqueous solution of</w:t>
      </w:r>
      <w:r w:rsidRPr="0098348D">
        <w:t xml:space="preserve"> 3 mmol/L </w:t>
      </w:r>
      <w:r w:rsidR="00CC3AA1" w:rsidRPr="0098348D">
        <w:t xml:space="preserve">of </w:t>
      </w:r>
      <w:r w:rsidRPr="0098348D">
        <w:t>sulfuric acid was used as the mobile phase.</w:t>
      </w:r>
      <w:r w:rsidR="00CC3AA1" w:rsidRPr="0098348D">
        <w:t xml:space="preserve"> </w:t>
      </w:r>
      <w:r w:rsidR="00B83454" w:rsidRPr="0098348D">
        <w:t>For the c</w:t>
      </w:r>
      <w:r w:rsidRPr="0098348D">
        <w:t>alibration curves</w:t>
      </w:r>
      <w:r w:rsidR="00B83454" w:rsidRPr="0098348D">
        <w:t>,</w:t>
      </w:r>
      <w:r w:rsidRPr="0098348D">
        <w:t xml:space="preserve"> </w:t>
      </w:r>
      <w:r w:rsidR="00B83454" w:rsidRPr="0098348D">
        <w:t>so</w:t>
      </w:r>
      <w:r w:rsidRPr="0098348D">
        <w:t xml:space="preserve">lutions with concentrations of 8.0, 4.8, 3.2, 1.6, and 0.8 g/L of butyric acid and propionic acid were prepared and analyzed by HPLC. Equations 1 and 2 were </w:t>
      </w:r>
      <w:r w:rsidR="00A22DB1">
        <w:t xml:space="preserve">obtained </w:t>
      </w:r>
      <w:r w:rsidR="00C4445A">
        <w:t>via data regression of</w:t>
      </w:r>
      <w:r w:rsidR="00A22DB1">
        <w:t xml:space="preserve"> </w:t>
      </w:r>
      <w:r w:rsidR="006B62A7">
        <w:t xml:space="preserve">the calibration curves and </w:t>
      </w:r>
      <w:r w:rsidR="00B83454" w:rsidRPr="0098348D">
        <w:t xml:space="preserve">used </w:t>
      </w:r>
      <w:r w:rsidRPr="0098348D">
        <w:t>to determine the concentrations of butyric acid and propionic acid</w:t>
      </w:r>
      <w:r w:rsidR="00B83454" w:rsidRPr="0098348D">
        <w:t xml:space="preserve">, respectively. In these equations, </w:t>
      </w:r>
      <m:oMath>
        <m:sSub>
          <m:sSubPr>
            <m:ctrlPr>
              <w:rPr>
                <w:rFonts w:ascii="Cambria Math" w:hAnsi="Cambria Math"/>
                <w:i/>
              </w:rPr>
            </m:ctrlPr>
          </m:sSubPr>
          <m:e>
            <m:r>
              <w:rPr>
                <w:rFonts w:ascii="Cambria Math" w:hAnsi="Cambria Math"/>
              </w:rPr>
              <m:t>S</m:t>
            </m:r>
          </m:e>
          <m:sub>
            <m:r>
              <w:rPr>
                <w:rFonts w:ascii="Cambria Math" w:hAnsi="Cambria Math"/>
              </w:rPr>
              <m:t>HBu</m:t>
            </m:r>
          </m:sub>
        </m:sSub>
      </m:oMath>
      <w:r w:rsidR="00B83454" w:rsidRPr="0098348D">
        <w:t xml:space="preserve"> is the area of the peak of butyric acid, </w:t>
      </w:r>
      <m:oMath>
        <m:sSub>
          <m:sSubPr>
            <m:ctrlPr>
              <w:rPr>
                <w:rFonts w:ascii="Cambria Math" w:hAnsi="Cambria Math"/>
                <w:i/>
              </w:rPr>
            </m:ctrlPr>
          </m:sSubPr>
          <m:e>
            <m:r>
              <w:rPr>
                <w:rFonts w:ascii="Cambria Math" w:hAnsi="Cambria Math"/>
              </w:rPr>
              <m:t>S</m:t>
            </m:r>
          </m:e>
          <m:sub>
            <m:r>
              <w:rPr>
                <w:rFonts w:ascii="Cambria Math" w:hAnsi="Cambria Math"/>
              </w:rPr>
              <m:t>HPr</m:t>
            </m:r>
          </m:sub>
        </m:sSub>
      </m:oMath>
      <w:r w:rsidR="00B83454" w:rsidRPr="0098348D">
        <w:t xml:space="preserve"> is the area of the peak of propionic acid, </w:t>
      </w:r>
      <m:oMath>
        <m:sSub>
          <m:sSubPr>
            <m:ctrlPr>
              <w:rPr>
                <w:rFonts w:ascii="Cambria Math" w:hAnsi="Cambria Math"/>
                <w:i/>
              </w:rPr>
            </m:ctrlPr>
          </m:sSubPr>
          <m:e>
            <m:r>
              <w:rPr>
                <w:rFonts w:ascii="Cambria Math" w:hAnsi="Cambria Math"/>
              </w:rPr>
              <m:t>C</m:t>
            </m:r>
          </m:e>
          <m:sub>
            <m:r>
              <w:rPr>
                <w:rFonts w:ascii="Cambria Math" w:hAnsi="Cambria Math"/>
              </w:rPr>
              <m:t>HBu</m:t>
            </m:r>
          </m:sub>
        </m:sSub>
      </m:oMath>
      <w:r w:rsidR="00B83454" w:rsidRPr="0098348D">
        <w:t xml:space="preserve"> is the concentration of butyric acid, and </w:t>
      </w:r>
      <m:oMath>
        <m:sSub>
          <m:sSubPr>
            <m:ctrlPr>
              <w:rPr>
                <w:rFonts w:ascii="Cambria Math" w:hAnsi="Cambria Math"/>
                <w:i/>
              </w:rPr>
            </m:ctrlPr>
          </m:sSubPr>
          <m:e>
            <m:r>
              <w:rPr>
                <w:rFonts w:ascii="Cambria Math" w:hAnsi="Cambria Math"/>
              </w:rPr>
              <m:t>C</m:t>
            </m:r>
          </m:e>
          <m:sub>
            <m:r>
              <w:rPr>
                <w:rFonts w:ascii="Cambria Math" w:hAnsi="Cambria Math"/>
              </w:rPr>
              <m:t>HPr</m:t>
            </m:r>
          </m:sub>
        </m:sSub>
      </m:oMath>
      <w:r w:rsidR="00B83454" w:rsidRPr="0098348D">
        <w:t xml:space="preserve"> is the concentration of propionic acid.</w:t>
      </w:r>
    </w:p>
    <w:tbl>
      <w:tblPr>
        <w:tblW w:w="5000" w:type="pct"/>
        <w:tblLook w:val="04A0" w:firstRow="1" w:lastRow="0" w:firstColumn="1" w:lastColumn="0" w:noHBand="0" w:noVBand="1"/>
      </w:tblPr>
      <w:tblGrid>
        <w:gridCol w:w="7986"/>
        <w:gridCol w:w="801"/>
      </w:tblGrid>
      <w:tr w:rsidR="00B83454" w:rsidRPr="0098348D" w14:paraId="15D244A8" w14:textId="77777777" w:rsidTr="00B83454">
        <w:tc>
          <w:tcPr>
            <w:tcW w:w="7986" w:type="dxa"/>
            <w:shd w:val="clear" w:color="auto" w:fill="auto"/>
            <w:vAlign w:val="center"/>
          </w:tcPr>
          <w:p w14:paraId="5145469F" w14:textId="0615636B" w:rsidR="00B83454" w:rsidRPr="004C357D" w:rsidRDefault="00000000" w:rsidP="00A61223">
            <w:pPr>
              <w:pStyle w:val="CETEquation"/>
              <w:rPr>
                <w:lang w:val="en-US"/>
              </w:rPr>
            </w:pP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HBu</m:t>
                  </m:r>
                </m:sub>
              </m:sSub>
              <m:r>
                <w:rPr>
                  <w:rFonts w:ascii="Cambria Math" w:hAnsi="Cambria Math"/>
                  <w:lang w:val="en-US"/>
                </w:rPr>
                <m:t>=303278.</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HBu</m:t>
                  </m:r>
                </m:sub>
              </m:sSub>
              <m:r>
                <w:rPr>
                  <w:rFonts w:ascii="Cambria Math" w:hAnsi="Cambria Math"/>
                  <w:lang w:val="en-US"/>
                </w:rPr>
                <m:t>+13918</m:t>
              </m:r>
            </m:oMath>
            <w:r w:rsidR="00B83454" w:rsidRPr="004C357D">
              <w:rPr>
                <w:lang w:val="en-US"/>
              </w:rPr>
              <w:t xml:space="preserve"> </w:t>
            </w:r>
          </w:p>
        </w:tc>
        <w:tc>
          <w:tcPr>
            <w:tcW w:w="801" w:type="dxa"/>
            <w:shd w:val="clear" w:color="auto" w:fill="auto"/>
            <w:vAlign w:val="center"/>
          </w:tcPr>
          <w:p w14:paraId="69B3124F" w14:textId="77777777" w:rsidR="00B83454" w:rsidRPr="004C357D" w:rsidRDefault="00B83454" w:rsidP="00A61223">
            <w:pPr>
              <w:pStyle w:val="CETEquation"/>
              <w:jc w:val="right"/>
              <w:rPr>
                <w:lang w:val="en-US"/>
              </w:rPr>
            </w:pPr>
            <w:r w:rsidRPr="004C357D">
              <w:rPr>
                <w:lang w:val="en-US"/>
              </w:rPr>
              <w:t>(1)</w:t>
            </w:r>
          </w:p>
        </w:tc>
      </w:tr>
      <w:tr w:rsidR="00B83454" w:rsidRPr="0098348D" w14:paraId="34A8556E" w14:textId="77777777" w:rsidTr="00B83454">
        <w:tc>
          <w:tcPr>
            <w:tcW w:w="7986" w:type="dxa"/>
            <w:shd w:val="clear" w:color="auto" w:fill="auto"/>
            <w:vAlign w:val="center"/>
          </w:tcPr>
          <w:p w14:paraId="25050A49" w14:textId="6321CE98" w:rsidR="00B83454" w:rsidRPr="004C357D" w:rsidRDefault="00000000" w:rsidP="00A61223">
            <w:pPr>
              <w:pStyle w:val="CETEquation"/>
              <w:rPr>
                <w:lang w:val="en-US" w:eastAsia="it-IT"/>
              </w:rPr>
            </w:pP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HPr</m:t>
                  </m:r>
                </m:sub>
              </m:sSub>
              <m:r>
                <w:rPr>
                  <w:rFonts w:ascii="Cambria Math" w:hAnsi="Cambria Math"/>
                  <w:lang w:val="en-US"/>
                </w:rPr>
                <m:t>=263716.</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HPr</m:t>
                  </m:r>
                </m:sub>
              </m:sSub>
              <m:r>
                <w:rPr>
                  <w:rFonts w:ascii="Cambria Math" w:hAnsi="Cambria Math"/>
                  <w:lang w:val="en-US"/>
                </w:rPr>
                <m:t>+23882</m:t>
              </m:r>
            </m:oMath>
            <w:r w:rsidR="00B83454" w:rsidRPr="004C357D">
              <w:rPr>
                <w:lang w:val="en-US"/>
              </w:rPr>
              <w:t xml:space="preserve"> </w:t>
            </w:r>
          </w:p>
        </w:tc>
        <w:tc>
          <w:tcPr>
            <w:tcW w:w="801" w:type="dxa"/>
            <w:shd w:val="clear" w:color="auto" w:fill="auto"/>
            <w:vAlign w:val="center"/>
          </w:tcPr>
          <w:p w14:paraId="4D68483E" w14:textId="31E438EB" w:rsidR="00B83454" w:rsidRPr="004C357D" w:rsidRDefault="00B83454" w:rsidP="00A61223">
            <w:pPr>
              <w:pStyle w:val="CETEquation"/>
              <w:jc w:val="right"/>
              <w:rPr>
                <w:lang w:val="en-US"/>
              </w:rPr>
            </w:pPr>
            <w:r w:rsidRPr="004C357D">
              <w:rPr>
                <w:lang w:val="en-US"/>
              </w:rPr>
              <w:t>(2)</w:t>
            </w:r>
          </w:p>
        </w:tc>
      </w:tr>
    </w:tbl>
    <w:p w14:paraId="36FF2EBC" w14:textId="35508AF6" w:rsidR="001E4BCE" w:rsidRPr="0098348D" w:rsidRDefault="005B2895" w:rsidP="00E44A37">
      <w:pPr>
        <w:pStyle w:val="CETBodytext"/>
      </w:pPr>
      <w:r w:rsidRPr="004C357D">
        <w:t>To determine the percentage</w:t>
      </w:r>
      <w:r w:rsidR="00B83454" w:rsidRPr="004C357D">
        <w:t xml:space="preserve"> </w:t>
      </w:r>
      <w:r w:rsidRPr="004C357D">
        <w:t xml:space="preserve">of extraction for each </w:t>
      </w:r>
      <w:r w:rsidR="00B83454" w:rsidRPr="004C357D">
        <w:t xml:space="preserve">organic </w:t>
      </w:r>
      <w:r w:rsidRPr="004C357D">
        <w:t>acid, the concentration of acid in each sample</w:t>
      </w:r>
      <w:r w:rsidR="009611EB" w:rsidRPr="0098348D">
        <w:t xml:space="preserve"> </w:t>
      </w:r>
      <w:r w:rsidR="00C4780B" w:rsidRPr="0098348D">
        <w:t>(</w:t>
      </w:r>
      <m:oMath>
        <m:sSub>
          <m:sSubPr>
            <m:ctrlPr>
              <w:rPr>
                <w:rFonts w:ascii="Cambria Math" w:hAnsi="Cambria Math"/>
                <w:i/>
              </w:rPr>
            </m:ctrlPr>
          </m:sSubPr>
          <m:e>
            <m:r>
              <w:rPr>
                <w:rFonts w:ascii="Cambria Math" w:hAnsi="Cambria Math"/>
              </w:rPr>
              <m:t>C</m:t>
            </m:r>
          </m:e>
          <m:sub>
            <m:r>
              <w:rPr>
                <w:rFonts w:ascii="Cambria Math" w:hAnsi="Cambria Math"/>
              </w:rPr>
              <m:t>af</m:t>
            </m:r>
          </m:sub>
        </m:sSub>
      </m:oMath>
      <w:r w:rsidR="00E801F3" w:rsidRPr="004C357D">
        <w:t xml:space="preserve"> from the organic phase was divided by the concentration of the initial synthetic acid solution</w:t>
      </w:r>
      <w:r w:rsidR="0053618D" w:rsidRPr="0098348D">
        <w:t xml:space="preserve"> </w:t>
      </w:r>
      <m:oMath>
        <m:sSub>
          <m:sSubPr>
            <m:ctrlPr>
              <w:rPr>
                <w:rFonts w:ascii="Cambria Math" w:hAnsi="Cambria Math"/>
                <w:i/>
              </w:rPr>
            </m:ctrlPr>
          </m:sSubPr>
          <m:e>
            <m:r>
              <w:rPr>
                <w:rFonts w:ascii="Cambria Math" w:hAnsi="Cambria Math"/>
              </w:rPr>
              <m:t>(C</m:t>
            </m:r>
          </m:e>
          <m:sub>
            <m:r>
              <w:rPr>
                <w:rFonts w:ascii="Cambria Math" w:hAnsi="Cambria Math"/>
              </w:rPr>
              <m:t>ao</m:t>
            </m:r>
          </m:sub>
        </m:sSub>
        <m:r>
          <w:rPr>
            <w:rFonts w:ascii="Cambria Math" w:hAnsi="Cambria Math"/>
          </w:rPr>
          <m:t>)</m:t>
        </m:r>
      </m:oMath>
      <w:r w:rsidR="002153C1" w:rsidRPr="0098348D">
        <w:t xml:space="preserve"> </w:t>
      </w:r>
      <w:r w:rsidR="00E801F3" w:rsidRPr="004C357D">
        <w:t>as described by Equation 3</w:t>
      </w:r>
      <w:r w:rsidR="00B83454" w:rsidRPr="0098348D">
        <w:t>. This calculation assumes that the volume of extract and feed are the same, which is adequate because of the proportion between solvent and feed that was chosen.</w:t>
      </w:r>
    </w:p>
    <w:tbl>
      <w:tblPr>
        <w:tblW w:w="5000" w:type="pct"/>
        <w:tblLook w:val="04A0" w:firstRow="1" w:lastRow="0" w:firstColumn="1" w:lastColumn="0" w:noHBand="0" w:noVBand="1"/>
      </w:tblPr>
      <w:tblGrid>
        <w:gridCol w:w="7983"/>
        <w:gridCol w:w="804"/>
      </w:tblGrid>
      <w:tr w:rsidR="00B83454" w:rsidRPr="0098348D" w14:paraId="0C331C93" w14:textId="77777777" w:rsidTr="00A61223">
        <w:tc>
          <w:tcPr>
            <w:tcW w:w="8188" w:type="dxa"/>
            <w:shd w:val="clear" w:color="auto" w:fill="auto"/>
            <w:vAlign w:val="center"/>
          </w:tcPr>
          <w:p w14:paraId="50AF36BB" w14:textId="3F4BFBCB" w:rsidR="00B83454" w:rsidRPr="004C357D" w:rsidRDefault="00B83454" w:rsidP="00A61223">
            <w:pPr>
              <w:pStyle w:val="CETEquation"/>
              <w:rPr>
                <w:lang w:val="en-US"/>
              </w:rPr>
            </w:pPr>
            <m:oMath>
              <m:r>
                <w:rPr>
                  <w:rFonts w:ascii="Cambria Math" w:hAnsi="Cambria Math"/>
                  <w:lang w:val="en-US"/>
                </w:rPr>
                <m:t>y (%)=</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af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ao</m:t>
                  </m:r>
                </m:sub>
              </m:sSub>
            </m:oMath>
            <w:r w:rsidRPr="004C357D">
              <w:rPr>
                <w:lang w:val="en-US"/>
              </w:rPr>
              <w:t xml:space="preserve"> </w:t>
            </w:r>
          </w:p>
        </w:tc>
        <w:tc>
          <w:tcPr>
            <w:tcW w:w="815" w:type="dxa"/>
            <w:shd w:val="clear" w:color="auto" w:fill="auto"/>
            <w:vAlign w:val="center"/>
          </w:tcPr>
          <w:p w14:paraId="6CD3961F" w14:textId="7644E772" w:rsidR="00B83454" w:rsidRPr="004C357D" w:rsidRDefault="00B83454" w:rsidP="00A61223">
            <w:pPr>
              <w:pStyle w:val="CETEquation"/>
              <w:jc w:val="right"/>
              <w:rPr>
                <w:lang w:val="en-US"/>
              </w:rPr>
            </w:pPr>
            <w:r w:rsidRPr="004C357D">
              <w:rPr>
                <w:lang w:val="en-US"/>
              </w:rPr>
              <w:t>(3)</w:t>
            </w:r>
          </w:p>
        </w:tc>
      </w:tr>
    </w:tbl>
    <w:p w14:paraId="716B5399" w14:textId="77777777" w:rsidR="00B83454" w:rsidRPr="0098348D" w:rsidRDefault="00B83454" w:rsidP="00E44A37">
      <w:pPr>
        <w:pStyle w:val="CETBodytext"/>
      </w:pPr>
    </w:p>
    <w:p w14:paraId="3E7C9230" w14:textId="7C44A089" w:rsidR="00BF39E8" w:rsidRPr="0098348D" w:rsidRDefault="00C47095" w:rsidP="00F92EF5">
      <w:pPr>
        <w:pStyle w:val="CETHeadingxx"/>
      </w:pPr>
      <w:r w:rsidRPr="0098348D">
        <w:t>2.2.</w:t>
      </w:r>
      <w:r w:rsidR="00EF563F" w:rsidRPr="0098348D">
        <w:t>4</w:t>
      </w:r>
      <w:r w:rsidRPr="0098348D">
        <w:t xml:space="preserve"> </w:t>
      </w:r>
      <w:r w:rsidR="00B83454" w:rsidRPr="0098348D">
        <w:t>S</w:t>
      </w:r>
      <w:r w:rsidR="008A09B7" w:rsidRPr="0098348D">
        <w:t>imulation</w:t>
      </w:r>
      <w:r w:rsidR="00B83454" w:rsidRPr="0098348D">
        <w:t xml:space="preserve"> of extraction process</w:t>
      </w:r>
    </w:p>
    <w:p w14:paraId="7E4C2853" w14:textId="53E607B2" w:rsidR="006F50CA" w:rsidRPr="004C357D" w:rsidRDefault="00A57960" w:rsidP="00B44C14">
      <w:pPr>
        <w:pStyle w:val="CETBodytext"/>
      </w:pPr>
      <w:r w:rsidRPr="0098348D">
        <w:t xml:space="preserve">Mass balances were obtained using the </w:t>
      </w:r>
      <w:r w:rsidR="00754043" w:rsidRPr="0098348D">
        <w:t>Aspen Plus</w:t>
      </w:r>
      <w:r w:rsidR="000E06E2" w:rsidRPr="0098348D">
        <w:t xml:space="preserve"> ®</w:t>
      </w:r>
      <w:r w:rsidR="00754043" w:rsidRPr="0098348D">
        <w:t xml:space="preserve"> v14.0 (Aspen Technology INC, Bedford, MA, USA)</w:t>
      </w:r>
      <w:r w:rsidR="00795206" w:rsidRPr="0098348D">
        <w:t xml:space="preserve">. </w:t>
      </w:r>
      <w:r w:rsidR="0098348D" w:rsidRPr="0098348D">
        <w:t xml:space="preserve">The process was modeled using the </w:t>
      </w:r>
      <w:r w:rsidR="005F28F8" w:rsidRPr="0098348D">
        <w:t>UNIFAC</w:t>
      </w:r>
      <w:r w:rsidR="00D54878">
        <w:t>-LL</w:t>
      </w:r>
      <w:r w:rsidR="005F28F8" w:rsidRPr="0098348D">
        <w:t xml:space="preserve"> (UNIQUAC Functional-group Activity Coefficient)</w:t>
      </w:r>
      <w:r w:rsidR="000536DA" w:rsidRPr="0098348D">
        <w:t xml:space="preserve"> method</w:t>
      </w:r>
      <w:r w:rsidR="0098348D" w:rsidRPr="0098348D">
        <w:t xml:space="preserve"> to estimate liquid activity coefficients. Th</w:t>
      </w:r>
      <w:r w:rsidR="00C4445A">
        <w:t>is</w:t>
      </w:r>
      <w:r w:rsidR="0098348D" w:rsidRPr="0098348D">
        <w:t xml:space="preserve"> </w:t>
      </w:r>
      <w:r w:rsidR="00C4445A">
        <w:t>variation of UNIFAC</w:t>
      </w:r>
      <w:r w:rsidR="0098348D" w:rsidRPr="0098348D">
        <w:t xml:space="preserve"> </w:t>
      </w:r>
      <w:r w:rsidR="00C4445A">
        <w:t xml:space="preserve">has a dataset </w:t>
      </w:r>
      <w:r w:rsidR="0098348D" w:rsidRPr="0098348D">
        <w:t xml:space="preserve">focused </w:t>
      </w:r>
      <w:r w:rsidR="00C4445A">
        <w:t xml:space="preserve">on </w:t>
      </w:r>
      <w:r w:rsidR="0098348D" w:rsidRPr="0098348D">
        <w:t>liquid-liquid equilibria. Vapor phase calculation considered</w:t>
      </w:r>
      <w:r w:rsidR="00035E38" w:rsidRPr="004C357D">
        <w:t xml:space="preserve"> the Hayden-O’Connell </w:t>
      </w:r>
      <w:r w:rsidR="0098348D" w:rsidRPr="004C357D">
        <w:t>e</w:t>
      </w:r>
      <w:r w:rsidR="00035E38" w:rsidRPr="004C357D">
        <w:t xml:space="preserve">quation of </w:t>
      </w:r>
      <w:r w:rsidR="0098348D" w:rsidRPr="004C357D">
        <w:t>state</w:t>
      </w:r>
      <w:r w:rsidR="002E4D2D">
        <w:t xml:space="preserve"> (Leal Silva et al., 2018)</w:t>
      </w:r>
      <w:r w:rsidR="00035E38" w:rsidRPr="004C357D">
        <w:t>. The VFA extraction process was simulated based on the experimental parameters</w:t>
      </w:r>
      <w:r w:rsidR="0098348D" w:rsidRPr="004C357D">
        <w:t xml:space="preserve"> shown in </w:t>
      </w:r>
      <w:r w:rsidR="00035E38" w:rsidRPr="004C357D">
        <w:t xml:space="preserve">Table 1, and the </w:t>
      </w:r>
      <w:r w:rsidR="0098348D" w:rsidRPr="004C357D">
        <w:t xml:space="preserve">process </w:t>
      </w:r>
      <w:r w:rsidR="00035E38" w:rsidRPr="004C357D">
        <w:t>flowsheet is presented in Figure 1</w:t>
      </w:r>
      <w:r w:rsidR="0098348D" w:rsidRPr="004C357D">
        <w:t xml:space="preserve">. Both inlet streams were assumed to be 100 L/h </w:t>
      </w:r>
      <w:r w:rsidR="0098348D" w:rsidRPr="0098348D">
        <w:t>under</w:t>
      </w:r>
      <w:r w:rsidR="0098348D" w:rsidRPr="004C357D">
        <w:t xml:space="preserve"> standard conditions. This model is used to calculate equilibrium </w:t>
      </w:r>
      <w:r w:rsidR="0098348D" w:rsidRPr="0098348D">
        <w:t>conditions,</w:t>
      </w:r>
      <w:r w:rsidR="0098348D" w:rsidRPr="004C357D">
        <w:t xml:space="preserve"> and it does not </w:t>
      </w:r>
      <w:r w:rsidR="00A54949" w:rsidRPr="004C357D">
        <w:t>consider</w:t>
      </w:r>
      <w:r w:rsidR="0098348D" w:rsidRPr="004C357D">
        <w:t xml:space="preserve"> the electrolyte behavior of </w:t>
      </w:r>
      <w:r w:rsidR="0098348D">
        <w:t>organic acids in aqueous phase.</w:t>
      </w:r>
    </w:p>
    <w:p w14:paraId="1BB32DAA" w14:textId="77777777" w:rsidR="00035E38" w:rsidRPr="0098348D" w:rsidRDefault="00035E38" w:rsidP="00B44C14">
      <w:pPr>
        <w:pStyle w:val="CETBodytext"/>
      </w:pPr>
    </w:p>
    <w:p w14:paraId="6412489A" w14:textId="506D33FA" w:rsidR="006F50CA" w:rsidRPr="0098348D" w:rsidRDefault="006F50CA" w:rsidP="006F50CA">
      <w:pPr>
        <w:pStyle w:val="Caption"/>
        <w:keepNext/>
        <w:rPr>
          <w:b w:val="0"/>
          <w:bCs w:val="0"/>
          <w:i/>
          <w:iCs/>
          <w:color w:val="auto"/>
        </w:rPr>
      </w:pPr>
      <w:r w:rsidRPr="0098348D">
        <w:rPr>
          <w:b w:val="0"/>
          <w:bCs w:val="0"/>
          <w:i/>
          <w:iCs/>
          <w:color w:val="auto"/>
        </w:rPr>
        <w:t xml:space="preserve">Table </w:t>
      </w:r>
      <w:r w:rsidRPr="0098348D">
        <w:rPr>
          <w:b w:val="0"/>
          <w:bCs w:val="0"/>
          <w:i/>
          <w:iCs/>
          <w:color w:val="auto"/>
        </w:rPr>
        <w:fldChar w:fldCharType="begin"/>
      </w:r>
      <w:r w:rsidRPr="0098348D">
        <w:rPr>
          <w:b w:val="0"/>
          <w:bCs w:val="0"/>
          <w:i/>
          <w:iCs/>
          <w:color w:val="auto"/>
        </w:rPr>
        <w:instrText xml:space="preserve"> SEQ Table \* ARABIC </w:instrText>
      </w:r>
      <w:r w:rsidRPr="0098348D">
        <w:rPr>
          <w:b w:val="0"/>
          <w:bCs w:val="0"/>
          <w:i/>
          <w:iCs/>
          <w:color w:val="auto"/>
        </w:rPr>
        <w:fldChar w:fldCharType="separate"/>
      </w:r>
      <w:r w:rsidR="00673A00" w:rsidRPr="004C357D">
        <w:rPr>
          <w:b w:val="0"/>
          <w:bCs w:val="0"/>
          <w:i/>
          <w:iCs/>
          <w:color w:val="auto"/>
        </w:rPr>
        <w:t>1</w:t>
      </w:r>
      <w:r w:rsidRPr="0098348D">
        <w:rPr>
          <w:b w:val="0"/>
          <w:bCs w:val="0"/>
          <w:i/>
          <w:iCs/>
          <w:color w:val="auto"/>
        </w:rPr>
        <w:fldChar w:fldCharType="end"/>
      </w:r>
      <w:r w:rsidRPr="0098348D">
        <w:rPr>
          <w:b w:val="0"/>
          <w:bCs w:val="0"/>
          <w:i/>
          <w:iCs/>
          <w:color w:val="auto"/>
        </w:rPr>
        <w:t xml:space="preserve"> - Input parameters of the streams</w:t>
      </w:r>
    </w:p>
    <w:p w14:paraId="6AC8113D" w14:textId="1D2DA527" w:rsidR="006F50CA" w:rsidRPr="0098348D" w:rsidRDefault="006F50CA" w:rsidP="006F50CA"/>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00"/>
        <w:gridCol w:w="1127"/>
        <w:gridCol w:w="892"/>
        <w:gridCol w:w="1309"/>
        <w:gridCol w:w="817"/>
        <w:gridCol w:w="1134"/>
        <w:gridCol w:w="1348"/>
        <w:gridCol w:w="1060"/>
      </w:tblGrid>
      <w:tr w:rsidR="002F10FE" w:rsidRPr="0098348D" w14:paraId="7BC1ECCD" w14:textId="7ADA1DA8" w:rsidTr="00654B13">
        <w:tc>
          <w:tcPr>
            <w:tcW w:w="1100" w:type="dxa"/>
            <w:tcBorders>
              <w:top w:val="single" w:sz="12" w:space="0" w:color="008000"/>
              <w:bottom w:val="single" w:sz="6" w:space="0" w:color="008000"/>
            </w:tcBorders>
            <w:shd w:val="clear" w:color="auto" w:fill="FFFFFF"/>
          </w:tcPr>
          <w:p w14:paraId="493BA66B" w14:textId="28AA59B8" w:rsidR="002F10FE" w:rsidRPr="004C357D" w:rsidRDefault="002F10FE" w:rsidP="00F40BF1">
            <w:pPr>
              <w:pStyle w:val="CETBodytext"/>
            </w:pPr>
          </w:p>
        </w:tc>
        <w:tc>
          <w:tcPr>
            <w:tcW w:w="1127" w:type="dxa"/>
            <w:tcBorders>
              <w:top w:val="single" w:sz="12" w:space="0" w:color="008000"/>
              <w:bottom w:val="single" w:sz="6" w:space="0" w:color="008000"/>
            </w:tcBorders>
            <w:shd w:val="clear" w:color="auto" w:fill="FFFFFF"/>
          </w:tcPr>
          <w:p w14:paraId="13D0A68F" w14:textId="77777777" w:rsidR="002F10FE" w:rsidRPr="004C357D" w:rsidRDefault="002F10FE" w:rsidP="00654B13">
            <w:pPr>
              <w:pStyle w:val="CETBodytext"/>
              <w:jc w:val="center"/>
            </w:pPr>
            <w:r w:rsidRPr="004C357D">
              <w:t>Temperature</w:t>
            </w:r>
          </w:p>
          <w:p w14:paraId="106C44B8" w14:textId="68879C4D" w:rsidR="002F10FE" w:rsidRPr="004C357D" w:rsidRDefault="002F10FE" w:rsidP="00654B13">
            <w:pPr>
              <w:pStyle w:val="CETBodytext"/>
              <w:jc w:val="center"/>
            </w:pPr>
            <w:r w:rsidRPr="004C357D">
              <w:t>(</w:t>
            </w:r>
            <w:r w:rsidR="00654B13" w:rsidRPr="004C357D">
              <w:t>ºC</w:t>
            </w:r>
            <w:r w:rsidRPr="004C357D">
              <w:t>)</w:t>
            </w:r>
          </w:p>
        </w:tc>
        <w:tc>
          <w:tcPr>
            <w:tcW w:w="892" w:type="dxa"/>
            <w:tcBorders>
              <w:top w:val="single" w:sz="12" w:space="0" w:color="008000"/>
              <w:bottom w:val="single" w:sz="6" w:space="0" w:color="008000"/>
            </w:tcBorders>
            <w:shd w:val="clear" w:color="auto" w:fill="FFFFFF"/>
          </w:tcPr>
          <w:p w14:paraId="0B53CDD6" w14:textId="77777777" w:rsidR="002F10FE" w:rsidRPr="004C357D" w:rsidRDefault="002F10FE" w:rsidP="00654B13">
            <w:pPr>
              <w:pStyle w:val="CETBodytext"/>
              <w:jc w:val="center"/>
            </w:pPr>
            <w:r w:rsidRPr="004C357D">
              <w:t>Pressure</w:t>
            </w:r>
          </w:p>
          <w:p w14:paraId="24950543" w14:textId="6780C690" w:rsidR="00654B13" w:rsidRPr="004C357D" w:rsidRDefault="00654B13" w:rsidP="00654B13">
            <w:pPr>
              <w:pStyle w:val="CETBodytext"/>
              <w:jc w:val="center"/>
            </w:pPr>
            <w:r w:rsidRPr="004C357D">
              <w:t>(bar)</w:t>
            </w:r>
          </w:p>
        </w:tc>
        <w:tc>
          <w:tcPr>
            <w:tcW w:w="1309" w:type="dxa"/>
            <w:tcBorders>
              <w:top w:val="single" w:sz="12" w:space="0" w:color="008000"/>
              <w:bottom w:val="single" w:sz="6" w:space="0" w:color="008000"/>
            </w:tcBorders>
            <w:shd w:val="clear" w:color="auto" w:fill="FFFFFF"/>
          </w:tcPr>
          <w:p w14:paraId="14FDE540" w14:textId="6AA0D1C6" w:rsidR="002F10FE" w:rsidRPr="004C357D" w:rsidRDefault="002F10FE" w:rsidP="00654B13">
            <w:pPr>
              <w:pStyle w:val="CETBodytext"/>
              <w:ind w:right="-1"/>
              <w:jc w:val="center"/>
              <w:rPr>
                <w:rFonts w:cs="Arial"/>
                <w:szCs w:val="18"/>
              </w:rPr>
            </w:pPr>
            <w:r w:rsidRPr="004C357D">
              <w:rPr>
                <w:rFonts w:cs="Arial"/>
                <w:szCs w:val="18"/>
              </w:rPr>
              <w:t>Total flow</w:t>
            </w:r>
          </w:p>
          <w:p w14:paraId="03F79A95" w14:textId="17A422DA" w:rsidR="002F10FE" w:rsidRPr="004C357D" w:rsidRDefault="002F10FE" w:rsidP="00654B13">
            <w:pPr>
              <w:pStyle w:val="CETBodytext"/>
              <w:ind w:right="-1"/>
              <w:jc w:val="center"/>
              <w:rPr>
                <w:rFonts w:cs="Arial"/>
                <w:szCs w:val="18"/>
              </w:rPr>
            </w:pPr>
            <w:r w:rsidRPr="004C357D">
              <w:rPr>
                <w:rFonts w:cs="Arial"/>
                <w:szCs w:val="18"/>
              </w:rPr>
              <w:t>Rate (kg/h)</w:t>
            </w:r>
          </w:p>
        </w:tc>
        <w:tc>
          <w:tcPr>
            <w:tcW w:w="817" w:type="dxa"/>
            <w:tcBorders>
              <w:top w:val="single" w:sz="12" w:space="0" w:color="008000"/>
              <w:bottom w:val="single" w:sz="6" w:space="0" w:color="008000"/>
            </w:tcBorders>
            <w:shd w:val="clear" w:color="auto" w:fill="FFFFFF"/>
          </w:tcPr>
          <w:p w14:paraId="29955991" w14:textId="77777777" w:rsidR="002F10FE" w:rsidRPr="004C357D" w:rsidRDefault="002F10FE" w:rsidP="00654B13">
            <w:pPr>
              <w:pStyle w:val="CETBodytext"/>
              <w:ind w:right="-1"/>
              <w:jc w:val="center"/>
              <w:rPr>
                <w:rFonts w:cs="Arial"/>
                <w:szCs w:val="18"/>
              </w:rPr>
            </w:pPr>
            <w:r w:rsidRPr="004C357D">
              <w:rPr>
                <w:rFonts w:cs="Arial"/>
                <w:szCs w:val="18"/>
              </w:rPr>
              <w:t>Water</w:t>
            </w:r>
          </w:p>
          <w:p w14:paraId="4CF2054B" w14:textId="0ED9CDA8" w:rsidR="002F10FE" w:rsidRPr="004C357D" w:rsidRDefault="002F10FE" w:rsidP="00654B13">
            <w:pPr>
              <w:pStyle w:val="CETBodytext"/>
              <w:ind w:right="-1"/>
              <w:jc w:val="center"/>
              <w:rPr>
                <w:rFonts w:cs="Arial"/>
                <w:szCs w:val="18"/>
              </w:rPr>
            </w:pPr>
            <w:r w:rsidRPr="004C357D">
              <w:rPr>
                <w:rFonts w:cs="Arial"/>
                <w:szCs w:val="18"/>
              </w:rPr>
              <w:t>(kg/h)</w:t>
            </w:r>
          </w:p>
        </w:tc>
        <w:tc>
          <w:tcPr>
            <w:tcW w:w="1134" w:type="dxa"/>
            <w:tcBorders>
              <w:top w:val="single" w:sz="12" w:space="0" w:color="008000"/>
              <w:bottom w:val="single" w:sz="6" w:space="0" w:color="008000"/>
            </w:tcBorders>
            <w:shd w:val="clear" w:color="auto" w:fill="FFFFFF"/>
          </w:tcPr>
          <w:p w14:paraId="45D207BB" w14:textId="77777777" w:rsidR="002F10FE" w:rsidRPr="004C357D" w:rsidRDefault="002F10FE" w:rsidP="00654B13">
            <w:pPr>
              <w:pStyle w:val="CETBodytext"/>
              <w:ind w:right="-1"/>
              <w:jc w:val="center"/>
              <w:rPr>
                <w:rFonts w:cs="Arial"/>
                <w:szCs w:val="18"/>
              </w:rPr>
            </w:pPr>
            <w:r w:rsidRPr="004C357D">
              <w:rPr>
                <w:rFonts w:cs="Arial"/>
                <w:szCs w:val="18"/>
              </w:rPr>
              <w:t>Butyric acid</w:t>
            </w:r>
          </w:p>
          <w:p w14:paraId="54942288" w14:textId="54B34BF2" w:rsidR="002F10FE" w:rsidRPr="004C357D" w:rsidRDefault="002F10FE" w:rsidP="00654B13">
            <w:pPr>
              <w:pStyle w:val="CETBodytext"/>
              <w:ind w:right="-1"/>
              <w:jc w:val="center"/>
              <w:rPr>
                <w:rFonts w:cs="Arial"/>
                <w:szCs w:val="18"/>
              </w:rPr>
            </w:pPr>
            <w:r w:rsidRPr="004C357D">
              <w:rPr>
                <w:rFonts w:cs="Arial"/>
                <w:szCs w:val="18"/>
              </w:rPr>
              <w:t>(kg/h)</w:t>
            </w:r>
          </w:p>
        </w:tc>
        <w:tc>
          <w:tcPr>
            <w:tcW w:w="1348" w:type="dxa"/>
            <w:tcBorders>
              <w:top w:val="single" w:sz="12" w:space="0" w:color="008000"/>
              <w:bottom w:val="single" w:sz="6" w:space="0" w:color="008000"/>
            </w:tcBorders>
            <w:shd w:val="clear" w:color="auto" w:fill="FFFFFF"/>
          </w:tcPr>
          <w:p w14:paraId="69F58F4E" w14:textId="77777777" w:rsidR="002F10FE" w:rsidRPr="004C357D" w:rsidRDefault="002F10FE" w:rsidP="00654B13">
            <w:pPr>
              <w:pStyle w:val="CETBodytext"/>
              <w:ind w:right="-1"/>
              <w:jc w:val="center"/>
              <w:rPr>
                <w:rFonts w:cs="Arial"/>
                <w:szCs w:val="18"/>
              </w:rPr>
            </w:pPr>
            <w:r w:rsidRPr="004C357D">
              <w:rPr>
                <w:rFonts w:cs="Arial"/>
                <w:szCs w:val="18"/>
              </w:rPr>
              <w:t>Propionic acid</w:t>
            </w:r>
          </w:p>
          <w:p w14:paraId="5F901F21" w14:textId="7D75594E" w:rsidR="002F10FE" w:rsidRPr="004C357D" w:rsidRDefault="002F10FE" w:rsidP="00654B13">
            <w:pPr>
              <w:pStyle w:val="CETBodytext"/>
              <w:ind w:right="-1"/>
              <w:jc w:val="center"/>
              <w:rPr>
                <w:rFonts w:cs="Arial"/>
                <w:szCs w:val="18"/>
              </w:rPr>
            </w:pPr>
            <w:r w:rsidRPr="004C357D">
              <w:rPr>
                <w:rFonts w:cs="Arial"/>
                <w:szCs w:val="18"/>
              </w:rPr>
              <w:t>(kg/h)</w:t>
            </w:r>
          </w:p>
        </w:tc>
        <w:tc>
          <w:tcPr>
            <w:tcW w:w="1060" w:type="dxa"/>
            <w:tcBorders>
              <w:top w:val="single" w:sz="12" w:space="0" w:color="008000"/>
              <w:bottom w:val="single" w:sz="6" w:space="0" w:color="008000"/>
            </w:tcBorders>
            <w:shd w:val="clear" w:color="auto" w:fill="FFFFFF"/>
          </w:tcPr>
          <w:p w14:paraId="7D82B9E3" w14:textId="77777777" w:rsidR="002F10FE" w:rsidRPr="004C357D" w:rsidRDefault="00654B13" w:rsidP="00654B13">
            <w:pPr>
              <w:pStyle w:val="CETBodytext"/>
              <w:ind w:right="-1"/>
              <w:jc w:val="center"/>
              <w:rPr>
                <w:rFonts w:cs="Arial"/>
                <w:szCs w:val="18"/>
              </w:rPr>
            </w:pPr>
            <w:r w:rsidRPr="004C357D">
              <w:rPr>
                <w:rFonts w:cs="Arial"/>
                <w:szCs w:val="18"/>
              </w:rPr>
              <w:t>Ethyl acetate</w:t>
            </w:r>
          </w:p>
          <w:p w14:paraId="1CB0B470" w14:textId="19EFEFBD" w:rsidR="00654B13" w:rsidRPr="004C357D" w:rsidRDefault="00654B13" w:rsidP="00654B13">
            <w:pPr>
              <w:pStyle w:val="CETBodytext"/>
              <w:ind w:right="-1"/>
              <w:jc w:val="center"/>
              <w:rPr>
                <w:rFonts w:cs="Arial"/>
                <w:szCs w:val="18"/>
              </w:rPr>
            </w:pPr>
            <w:r w:rsidRPr="004C357D">
              <w:rPr>
                <w:rFonts w:cs="Arial"/>
                <w:szCs w:val="18"/>
              </w:rPr>
              <w:t>(kg/h)</w:t>
            </w:r>
          </w:p>
        </w:tc>
      </w:tr>
      <w:tr w:rsidR="002F10FE" w:rsidRPr="0098348D" w14:paraId="3A7EB37F" w14:textId="16928FCD" w:rsidTr="00654B13">
        <w:tc>
          <w:tcPr>
            <w:tcW w:w="1100" w:type="dxa"/>
            <w:shd w:val="clear" w:color="auto" w:fill="FFFFFF"/>
          </w:tcPr>
          <w:p w14:paraId="59A67D84" w14:textId="364023EA" w:rsidR="002F10FE" w:rsidRPr="004C357D" w:rsidRDefault="002F10FE" w:rsidP="00F40BF1">
            <w:pPr>
              <w:pStyle w:val="CETBodytext"/>
            </w:pPr>
            <w:r w:rsidRPr="004C357D">
              <w:t>Feed</w:t>
            </w:r>
          </w:p>
        </w:tc>
        <w:tc>
          <w:tcPr>
            <w:tcW w:w="1127" w:type="dxa"/>
            <w:shd w:val="clear" w:color="auto" w:fill="FFFFFF"/>
          </w:tcPr>
          <w:p w14:paraId="632A1355" w14:textId="26AECF76" w:rsidR="002F10FE" w:rsidRPr="004C357D" w:rsidRDefault="00654B13" w:rsidP="00654B13">
            <w:pPr>
              <w:pStyle w:val="CETBodytext"/>
              <w:jc w:val="center"/>
            </w:pPr>
            <w:r w:rsidRPr="004C357D">
              <w:t>25</w:t>
            </w:r>
          </w:p>
        </w:tc>
        <w:tc>
          <w:tcPr>
            <w:tcW w:w="892" w:type="dxa"/>
            <w:shd w:val="clear" w:color="auto" w:fill="FFFFFF"/>
          </w:tcPr>
          <w:p w14:paraId="603490AC" w14:textId="756961B4" w:rsidR="002F10FE" w:rsidRPr="004C357D" w:rsidRDefault="00654B13" w:rsidP="00654B13">
            <w:pPr>
              <w:pStyle w:val="CETBodytext"/>
              <w:jc w:val="center"/>
            </w:pPr>
            <w:r w:rsidRPr="004C357D">
              <w:t>1</w:t>
            </w:r>
          </w:p>
        </w:tc>
        <w:tc>
          <w:tcPr>
            <w:tcW w:w="1309" w:type="dxa"/>
            <w:shd w:val="clear" w:color="auto" w:fill="FFFFFF"/>
          </w:tcPr>
          <w:p w14:paraId="5B9F0CCB" w14:textId="0BF791C7" w:rsidR="002F10FE" w:rsidRPr="004C357D" w:rsidRDefault="006F50CA" w:rsidP="00654B13">
            <w:pPr>
              <w:pStyle w:val="CETBodytext"/>
              <w:ind w:right="-1"/>
              <w:jc w:val="center"/>
              <w:rPr>
                <w:rFonts w:cs="Arial"/>
                <w:szCs w:val="18"/>
              </w:rPr>
            </w:pPr>
            <w:r w:rsidRPr="004C357D">
              <w:rPr>
                <w:rFonts w:cs="Arial"/>
                <w:szCs w:val="18"/>
              </w:rPr>
              <w:t>98.83</w:t>
            </w:r>
          </w:p>
        </w:tc>
        <w:tc>
          <w:tcPr>
            <w:tcW w:w="817" w:type="dxa"/>
            <w:shd w:val="clear" w:color="auto" w:fill="FFFFFF"/>
          </w:tcPr>
          <w:p w14:paraId="7FBAC0AD" w14:textId="6301D857" w:rsidR="002F10FE" w:rsidRPr="004C357D" w:rsidRDefault="006F50CA" w:rsidP="00654B13">
            <w:pPr>
              <w:pStyle w:val="CETBodytext"/>
              <w:ind w:right="-1"/>
              <w:jc w:val="center"/>
              <w:rPr>
                <w:rFonts w:cs="Arial"/>
                <w:szCs w:val="18"/>
              </w:rPr>
            </w:pPr>
            <w:r w:rsidRPr="004C357D">
              <w:rPr>
                <w:rFonts w:cs="Arial"/>
                <w:szCs w:val="18"/>
              </w:rPr>
              <w:t>94.24</w:t>
            </w:r>
          </w:p>
        </w:tc>
        <w:tc>
          <w:tcPr>
            <w:tcW w:w="1134" w:type="dxa"/>
            <w:shd w:val="clear" w:color="auto" w:fill="FFFFFF"/>
          </w:tcPr>
          <w:p w14:paraId="0793E5F2" w14:textId="5CCA4C4B" w:rsidR="002F10FE" w:rsidRPr="004C357D" w:rsidRDefault="006F50CA" w:rsidP="00654B13">
            <w:pPr>
              <w:pStyle w:val="CETBodytext"/>
              <w:ind w:right="-1"/>
              <w:jc w:val="center"/>
              <w:rPr>
                <w:rFonts w:cs="Arial"/>
                <w:szCs w:val="18"/>
              </w:rPr>
            </w:pPr>
            <w:r w:rsidRPr="004C357D">
              <w:rPr>
                <w:rFonts w:cs="Arial"/>
                <w:szCs w:val="18"/>
              </w:rPr>
              <w:t>3.3</w:t>
            </w:r>
          </w:p>
        </w:tc>
        <w:tc>
          <w:tcPr>
            <w:tcW w:w="1348" w:type="dxa"/>
            <w:shd w:val="clear" w:color="auto" w:fill="FFFFFF"/>
          </w:tcPr>
          <w:p w14:paraId="79D3FBA3" w14:textId="5D79C0A5" w:rsidR="002F10FE" w:rsidRPr="004C357D" w:rsidRDefault="006F50CA" w:rsidP="00654B13">
            <w:pPr>
              <w:pStyle w:val="CETBodytext"/>
              <w:ind w:right="-1"/>
              <w:jc w:val="center"/>
              <w:rPr>
                <w:rFonts w:cs="Arial"/>
                <w:szCs w:val="18"/>
              </w:rPr>
            </w:pPr>
            <w:r w:rsidRPr="004C357D">
              <w:rPr>
                <w:rFonts w:cs="Arial"/>
                <w:szCs w:val="18"/>
              </w:rPr>
              <w:t>1.3</w:t>
            </w:r>
          </w:p>
        </w:tc>
        <w:tc>
          <w:tcPr>
            <w:tcW w:w="1060" w:type="dxa"/>
            <w:shd w:val="clear" w:color="auto" w:fill="FFFFFF"/>
          </w:tcPr>
          <w:p w14:paraId="0FA35908" w14:textId="22E06D8F" w:rsidR="002F10FE" w:rsidRPr="004C357D" w:rsidRDefault="006F50CA" w:rsidP="00654B13">
            <w:pPr>
              <w:pStyle w:val="CETBodytext"/>
              <w:ind w:right="-1"/>
              <w:jc w:val="center"/>
              <w:rPr>
                <w:rFonts w:cs="Arial"/>
                <w:szCs w:val="18"/>
              </w:rPr>
            </w:pPr>
            <w:r w:rsidRPr="004C357D">
              <w:rPr>
                <w:rFonts w:cs="Arial"/>
                <w:szCs w:val="18"/>
              </w:rPr>
              <w:t>0</w:t>
            </w:r>
          </w:p>
        </w:tc>
      </w:tr>
      <w:tr w:rsidR="002F10FE" w:rsidRPr="0098348D" w14:paraId="096F76EA" w14:textId="68482E53" w:rsidTr="00654B13">
        <w:tc>
          <w:tcPr>
            <w:tcW w:w="1100" w:type="dxa"/>
            <w:shd w:val="clear" w:color="auto" w:fill="FFFFFF"/>
          </w:tcPr>
          <w:p w14:paraId="4313275E" w14:textId="3799D623" w:rsidR="002F10FE" w:rsidRPr="004C357D" w:rsidRDefault="002F10FE" w:rsidP="00F40BF1">
            <w:pPr>
              <w:pStyle w:val="CETBodytext"/>
            </w:pPr>
            <w:r w:rsidRPr="004C357D">
              <w:t>Solvent</w:t>
            </w:r>
          </w:p>
        </w:tc>
        <w:tc>
          <w:tcPr>
            <w:tcW w:w="1127" w:type="dxa"/>
            <w:shd w:val="clear" w:color="auto" w:fill="FFFFFF"/>
          </w:tcPr>
          <w:p w14:paraId="50DA0B40" w14:textId="57EB3552" w:rsidR="002F10FE" w:rsidRPr="004C357D" w:rsidRDefault="00654B13" w:rsidP="00654B13">
            <w:pPr>
              <w:pStyle w:val="CETBodytext"/>
              <w:jc w:val="center"/>
            </w:pPr>
            <w:r w:rsidRPr="004C357D">
              <w:t>25</w:t>
            </w:r>
          </w:p>
        </w:tc>
        <w:tc>
          <w:tcPr>
            <w:tcW w:w="892" w:type="dxa"/>
            <w:shd w:val="clear" w:color="auto" w:fill="FFFFFF"/>
          </w:tcPr>
          <w:p w14:paraId="57EE88BD" w14:textId="66D62B34" w:rsidR="002F10FE" w:rsidRPr="004C357D" w:rsidRDefault="00654B13" w:rsidP="00654B13">
            <w:pPr>
              <w:pStyle w:val="CETBodytext"/>
              <w:jc w:val="center"/>
            </w:pPr>
            <w:r w:rsidRPr="004C357D">
              <w:t>1</w:t>
            </w:r>
          </w:p>
        </w:tc>
        <w:tc>
          <w:tcPr>
            <w:tcW w:w="1309" w:type="dxa"/>
            <w:shd w:val="clear" w:color="auto" w:fill="FFFFFF"/>
          </w:tcPr>
          <w:p w14:paraId="7500A97A" w14:textId="7BAA550C" w:rsidR="002F10FE" w:rsidRPr="004C357D" w:rsidRDefault="006F50CA" w:rsidP="00654B13">
            <w:pPr>
              <w:pStyle w:val="CETBodytext"/>
              <w:ind w:right="-1"/>
              <w:jc w:val="center"/>
              <w:rPr>
                <w:rFonts w:cs="Arial"/>
                <w:szCs w:val="18"/>
              </w:rPr>
            </w:pPr>
            <w:r w:rsidRPr="004C357D">
              <w:rPr>
                <w:rFonts w:cs="Arial"/>
                <w:szCs w:val="18"/>
              </w:rPr>
              <w:t>89.69</w:t>
            </w:r>
          </w:p>
        </w:tc>
        <w:tc>
          <w:tcPr>
            <w:tcW w:w="817" w:type="dxa"/>
            <w:shd w:val="clear" w:color="auto" w:fill="FFFFFF"/>
          </w:tcPr>
          <w:p w14:paraId="35729FF6" w14:textId="58D56BB4" w:rsidR="002F10FE" w:rsidRPr="004C357D" w:rsidRDefault="006F50CA" w:rsidP="00654B13">
            <w:pPr>
              <w:pStyle w:val="CETBodytext"/>
              <w:ind w:right="-1"/>
              <w:jc w:val="center"/>
              <w:rPr>
                <w:rFonts w:cs="Arial"/>
                <w:szCs w:val="18"/>
              </w:rPr>
            </w:pPr>
            <w:r w:rsidRPr="004C357D">
              <w:rPr>
                <w:rFonts w:cs="Arial"/>
                <w:szCs w:val="18"/>
              </w:rPr>
              <w:t>0</w:t>
            </w:r>
          </w:p>
        </w:tc>
        <w:tc>
          <w:tcPr>
            <w:tcW w:w="1134" w:type="dxa"/>
            <w:shd w:val="clear" w:color="auto" w:fill="FFFFFF"/>
          </w:tcPr>
          <w:p w14:paraId="45BEE17F" w14:textId="0E91BA07" w:rsidR="002F10FE" w:rsidRPr="004C357D" w:rsidRDefault="006F50CA" w:rsidP="00654B13">
            <w:pPr>
              <w:pStyle w:val="CETBodytext"/>
              <w:ind w:right="-1"/>
              <w:jc w:val="center"/>
              <w:rPr>
                <w:rFonts w:cs="Arial"/>
                <w:szCs w:val="18"/>
              </w:rPr>
            </w:pPr>
            <w:r w:rsidRPr="004C357D">
              <w:rPr>
                <w:rFonts w:cs="Arial"/>
                <w:szCs w:val="18"/>
              </w:rPr>
              <w:t>0</w:t>
            </w:r>
          </w:p>
        </w:tc>
        <w:tc>
          <w:tcPr>
            <w:tcW w:w="1348" w:type="dxa"/>
            <w:shd w:val="clear" w:color="auto" w:fill="FFFFFF"/>
          </w:tcPr>
          <w:p w14:paraId="01FB2E89" w14:textId="079A45A9" w:rsidR="002F10FE" w:rsidRPr="004C357D" w:rsidRDefault="006F50CA" w:rsidP="00654B13">
            <w:pPr>
              <w:pStyle w:val="CETBodytext"/>
              <w:ind w:right="-1"/>
              <w:jc w:val="center"/>
              <w:rPr>
                <w:rFonts w:cs="Arial"/>
                <w:szCs w:val="18"/>
              </w:rPr>
            </w:pPr>
            <w:r w:rsidRPr="004C357D">
              <w:rPr>
                <w:rFonts w:cs="Arial"/>
                <w:szCs w:val="18"/>
              </w:rPr>
              <w:t>0</w:t>
            </w:r>
          </w:p>
        </w:tc>
        <w:tc>
          <w:tcPr>
            <w:tcW w:w="1060" w:type="dxa"/>
            <w:shd w:val="clear" w:color="auto" w:fill="FFFFFF"/>
          </w:tcPr>
          <w:p w14:paraId="342621EF" w14:textId="15F54FF2" w:rsidR="002F10FE" w:rsidRPr="004C357D" w:rsidRDefault="006F50CA" w:rsidP="00654B13">
            <w:pPr>
              <w:pStyle w:val="CETBodytext"/>
              <w:ind w:right="-1"/>
              <w:jc w:val="center"/>
              <w:rPr>
                <w:rFonts w:cs="Arial"/>
                <w:szCs w:val="18"/>
              </w:rPr>
            </w:pPr>
            <w:r w:rsidRPr="004C357D">
              <w:rPr>
                <w:rFonts w:cs="Arial"/>
                <w:szCs w:val="18"/>
              </w:rPr>
              <w:t>89.69</w:t>
            </w:r>
          </w:p>
        </w:tc>
      </w:tr>
    </w:tbl>
    <w:p w14:paraId="5500693F" w14:textId="372F8AB7" w:rsidR="006472EC" w:rsidRPr="0098348D" w:rsidRDefault="00224B3D" w:rsidP="00B44C14">
      <w:pPr>
        <w:pStyle w:val="CETBodytext"/>
      </w:pPr>
      <w:r w:rsidRPr="00907561">
        <w:rPr>
          <w:noProof/>
        </w:rPr>
        <w:drawing>
          <wp:inline distT="0" distB="0" distL="0" distR="0" wp14:anchorId="28E68AC0" wp14:editId="1DA1C5A9">
            <wp:extent cx="4347649" cy="1374504"/>
            <wp:effectExtent l="0" t="0" r="0" b="0"/>
            <wp:docPr id="3844169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5185" cy="1376886"/>
                    </a:xfrm>
                    <a:prstGeom prst="rect">
                      <a:avLst/>
                    </a:prstGeom>
                    <a:noFill/>
                    <a:ln>
                      <a:noFill/>
                    </a:ln>
                  </pic:spPr>
                </pic:pic>
              </a:graphicData>
            </a:graphic>
          </wp:inline>
        </w:drawing>
      </w:r>
    </w:p>
    <w:p w14:paraId="4804BBF1" w14:textId="77777777" w:rsidR="00224B3D" w:rsidRPr="004C357D" w:rsidRDefault="00224B3D" w:rsidP="00224B3D">
      <w:pPr>
        <w:pStyle w:val="Caption"/>
        <w:rPr>
          <w:b w:val="0"/>
          <w:bCs w:val="0"/>
          <w:i/>
          <w:iCs/>
          <w:color w:val="auto"/>
          <w:szCs w:val="20"/>
        </w:rPr>
      </w:pPr>
      <w:r w:rsidRPr="0098348D">
        <w:rPr>
          <w:b w:val="0"/>
          <w:bCs w:val="0"/>
          <w:i/>
          <w:iCs/>
          <w:color w:val="auto"/>
        </w:rPr>
        <w:t xml:space="preserve">Figure </w:t>
      </w:r>
      <w:r w:rsidRPr="0098348D">
        <w:rPr>
          <w:b w:val="0"/>
          <w:bCs w:val="0"/>
          <w:i/>
          <w:iCs/>
          <w:color w:val="auto"/>
        </w:rPr>
        <w:fldChar w:fldCharType="begin"/>
      </w:r>
      <w:r w:rsidRPr="0098348D">
        <w:rPr>
          <w:b w:val="0"/>
          <w:bCs w:val="0"/>
          <w:i/>
          <w:iCs/>
          <w:color w:val="auto"/>
        </w:rPr>
        <w:instrText xml:space="preserve"> SEQ Figure \* ARABIC </w:instrText>
      </w:r>
      <w:r w:rsidRPr="0098348D">
        <w:rPr>
          <w:b w:val="0"/>
          <w:bCs w:val="0"/>
          <w:i/>
          <w:iCs/>
          <w:color w:val="auto"/>
        </w:rPr>
        <w:fldChar w:fldCharType="separate"/>
      </w:r>
      <w:r w:rsidRPr="004C357D">
        <w:rPr>
          <w:b w:val="0"/>
          <w:bCs w:val="0"/>
          <w:i/>
          <w:iCs/>
          <w:color w:val="auto"/>
        </w:rPr>
        <w:t>1</w:t>
      </w:r>
      <w:r w:rsidRPr="0098348D">
        <w:rPr>
          <w:b w:val="0"/>
          <w:bCs w:val="0"/>
          <w:i/>
          <w:iCs/>
          <w:color w:val="auto"/>
        </w:rPr>
        <w:fldChar w:fldCharType="end"/>
      </w:r>
      <w:r w:rsidRPr="0098348D">
        <w:rPr>
          <w:b w:val="0"/>
          <w:bCs w:val="0"/>
          <w:i/>
          <w:iCs/>
          <w:color w:val="auto"/>
        </w:rPr>
        <w:t xml:space="preserve"> - Process simulation flowsheet in Aspen Plus ®</w:t>
      </w:r>
    </w:p>
    <w:p w14:paraId="0B5659BB" w14:textId="77777777" w:rsidR="00224B3D" w:rsidRPr="0098348D" w:rsidRDefault="00224B3D" w:rsidP="00B44C14">
      <w:pPr>
        <w:pStyle w:val="CETBodytext"/>
      </w:pPr>
    </w:p>
    <w:p w14:paraId="501C3A3B" w14:textId="75E8BB69" w:rsidR="00094283" w:rsidRPr="0098348D" w:rsidRDefault="00850733" w:rsidP="00850733">
      <w:pPr>
        <w:pStyle w:val="CETHeading1"/>
      </w:pPr>
      <w:r w:rsidRPr="0098348D">
        <w:t>Results and discussion</w:t>
      </w:r>
    </w:p>
    <w:p w14:paraId="3F789455" w14:textId="431E5584" w:rsidR="00E235B3" w:rsidRPr="0098348D" w:rsidRDefault="00E235B3" w:rsidP="00E235B3">
      <w:pPr>
        <w:pStyle w:val="CETheadingx"/>
      </w:pPr>
      <w:r w:rsidRPr="0098348D">
        <w:t>Experiments results</w:t>
      </w:r>
    </w:p>
    <w:p w14:paraId="2F70104B" w14:textId="09DCF1C6" w:rsidR="000E4999" w:rsidRDefault="00136BAF" w:rsidP="00600535">
      <w:pPr>
        <w:pStyle w:val="CETBodytext"/>
      </w:pPr>
      <w:r w:rsidRPr="004C357D">
        <w:t>The solutions prepared with butyric acid and propionic acid at pH 2.5 were transparent. However, as the pH increased with the addition of CaO, an increase in turbidity was observed</w:t>
      </w:r>
      <w:r w:rsidR="0098348D">
        <w:t>, caused by the low solubility of calcium salts</w:t>
      </w:r>
      <w:r w:rsidRPr="004C357D">
        <w:t>. This suggests that</w:t>
      </w:r>
      <w:r w:rsidR="0099009F">
        <w:t>,</w:t>
      </w:r>
      <w:r w:rsidRPr="004C357D">
        <w:t xml:space="preserve"> as the pH approaches the pKa</w:t>
      </w:r>
      <w:r w:rsidR="0098348D">
        <w:t xml:space="preserve"> of the acid</w:t>
      </w:r>
      <w:r w:rsidRPr="004C357D">
        <w:t xml:space="preserve">, the amount of </w:t>
      </w:r>
      <w:r w:rsidR="0098348D">
        <w:t xml:space="preserve">organic </w:t>
      </w:r>
      <w:r w:rsidRPr="004C357D">
        <w:t xml:space="preserve">acid in its molecular form decreases, leading to a greater proportion of the </w:t>
      </w:r>
      <w:r w:rsidR="000077EE">
        <w:t xml:space="preserve">organic </w:t>
      </w:r>
      <w:r w:rsidRPr="004C357D">
        <w:t>acid in its ionized form</w:t>
      </w:r>
      <w:r w:rsidR="0099009F">
        <w:t>.</w:t>
      </w:r>
      <w:r w:rsidRPr="004C357D">
        <w:t xml:space="preserve"> </w:t>
      </w:r>
      <w:r w:rsidR="0099009F">
        <w:t>This is known to</w:t>
      </w:r>
      <w:r w:rsidRPr="004C357D">
        <w:t xml:space="preserve"> affect the recovery of these acids by the </w:t>
      </w:r>
      <w:r w:rsidR="0099009F">
        <w:t xml:space="preserve">organic </w:t>
      </w:r>
      <w:r w:rsidRPr="004C357D">
        <w:t xml:space="preserve">solvent. According to Xu &amp; Jiang (2011), the pH of the fermentation </w:t>
      </w:r>
      <w:r w:rsidRPr="004C357D">
        <w:lastRenderedPageBreak/>
        <w:t xml:space="preserve">broth needs to be reduced to at least pH 4.8, which is around the pKa of the acids, </w:t>
      </w:r>
      <w:r w:rsidR="00B23E7B" w:rsidRPr="00B23E7B">
        <w:t>to</w:t>
      </w:r>
      <w:r w:rsidRPr="004C357D">
        <w:t xml:space="preserve"> ensure sufficient concentrations of free unionized acids.</w:t>
      </w:r>
      <w:r w:rsidR="0099009F">
        <w:t xml:space="preserve"> </w:t>
      </w:r>
      <w:r w:rsidR="00A15022" w:rsidRPr="004C357D">
        <w:t xml:space="preserve">The percentage </w:t>
      </w:r>
      <w:r w:rsidR="0099009F">
        <w:t xml:space="preserve">recovery </w:t>
      </w:r>
      <w:r w:rsidR="00A15022" w:rsidRPr="004C357D">
        <w:t>of</w:t>
      </w:r>
      <w:r w:rsidR="00254006" w:rsidRPr="004C357D">
        <w:t xml:space="preserve"> butyric acid</w:t>
      </w:r>
      <w:r w:rsidR="00272D7F" w:rsidRPr="004C357D">
        <w:t xml:space="preserve"> (Figure 2)</w:t>
      </w:r>
      <w:r w:rsidR="00254006" w:rsidRPr="004C357D">
        <w:t xml:space="preserve"> and propionic acid</w:t>
      </w:r>
      <w:r w:rsidR="002C0735" w:rsidRPr="004C357D">
        <w:t xml:space="preserve"> (Figure 3)</w:t>
      </w:r>
      <w:r w:rsidR="00254006" w:rsidRPr="004C357D">
        <w:t xml:space="preserve"> </w:t>
      </w:r>
      <w:r w:rsidR="00C901E8" w:rsidRPr="004C357D">
        <w:t>using</w:t>
      </w:r>
      <w:r w:rsidR="00620D12" w:rsidRPr="004C357D">
        <w:t xml:space="preserve"> ethyl acetate</w:t>
      </w:r>
      <w:r w:rsidR="00254006" w:rsidRPr="004C357D">
        <w:t xml:space="preserve"> </w:t>
      </w:r>
      <w:r w:rsidR="001E18F1" w:rsidRPr="004C357D">
        <w:t xml:space="preserve">as solvent </w:t>
      </w:r>
      <w:r w:rsidR="00254006" w:rsidRPr="004C357D">
        <w:t xml:space="preserve">in </w:t>
      </w:r>
      <w:r w:rsidR="002C0735" w:rsidRPr="004C357D">
        <w:t>pH 2.5, 3.5 and 4.5</w:t>
      </w:r>
      <w:r w:rsidR="000F3DCA" w:rsidRPr="004C357D">
        <w:t xml:space="preserve"> are </w:t>
      </w:r>
      <w:r w:rsidR="0099009F" w:rsidRPr="004C357D">
        <w:t>show</w:t>
      </w:r>
      <w:r w:rsidR="0099009F">
        <w:t>n</w:t>
      </w:r>
      <w:r w:rsidR="0099009F" w:rsidRPr="004C357D">
        <w:t xml:space="preserve"> </w:t>
      </w:r>
      <w:r w:rsidR="000F3DCA" w:rsidRPr="004C357D">
        <w:t>below</w:t>
      </w:r>
      <w:r w:rsidR="0099009F">
        <w:t>.</w:t>
      </w:r>
    </w:p>
    <w:p w14:paraId="64E015B3" w14:textId="77777777" w:rsidR="0099009F" w:rsidRPr="004C357D" w:rsidRDefault="0099009F" w:rsidP="00600535">
      <w:pPr>
        <w:pStyle w:val="CETBodytext"/>
      </w:pPr>
    </w:p>
    <w:p w14:paraId="4513806A" w14:textId="6023D6B0" w:rsidR="00603B09" w:rsidRDefault="00CB5820" w:rsidP="00600535">
      <w:pPr>
        <w:pStyle w:val="CETBodytext"/>
      </w:pPr>
      <w:r w:rsidRPr="00907561">
        <w:rPr>
          <w:noProof/>
        </w:rPr>
        <w:drawing>
          <wp:inline distT="0" distB="0" distL="0" distR="0" wp14:anchorId="7DCB3A08" wp14:editId="73598791">
            <wp:extent cx="5381625" cy="1828800"/>
            <wp:effectExtent l="0" t="0" r="0" b="0"/>
            <wp:docPr id="1224758613" name="Gráfico 1">
              <a:extLst xmlns:a="http://schemas.openxmlformats.org/drawingml/2006/main">
                <a:ext uri="{FF2B5EF4-FFF2-40B4-BE49-F238E27FC236}">
                  <a16:creationId xmlns:a16="http://schemas.microsoft.com/office/drawing/2014/main" id="{23791D43-08BC-46A1-8501-EE61930A3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6A5EDF" w14:textId="523EE556" w:rsidR="0099009F" w:rsidRPr="0099009F" w:rsidRDefault="0099009F" w:rsidP="004C357D">
      <w:pPr>
        <w:pStyle w:val="CETCaption"/>
      </w:pPr>
      <w:r w:rsidRPr="0099009F">
        <w:t xml:space="preserve">Figure </w:t>
      </w:r>
      <w:r w:rsidRPr="0099009F">
        <w:fldChar w:fldCharType="begin"/>
      </w:r>
      <w:r w:rsidRPr="0099009F">
        <w:instrText xml:space="preserve"> SEQ Figure \* ARABIC </w:instrText>
      </w:r>
      <w:r w:rsidRPr="0099009F">
        <w:fldChar w:fldCharType="separate"/>
      </w:r>
      <w:r w:rsidRPr="0099009F">
        <w:t>2</w:t>
      </w:r>
      <w:r w:rsidRPr="0099009F">
        <w:fldChar w:fldCharType="end"/>
      </w:r>
      <w:r w:rsidRPr="0099009F">
        <w:t xml:space="preserve"> - Butyric acid recovery (%) in different pHs and stirring time; initial butyric acid concentration: 33 g/L; solvent to feed proportion 1:1</w:t>
      </w:r>
    </w:p>
    <w:p w14:paraId="0A306196" w14:textId="02D5D2A6" w:rsidR="003932B9" w:rsidRDefault="003B4924" w:rsidP="00600535">
      <w:pPr>
        <w:pStyle w:val="CETBodytext"/>
      </w:pPr>
      <w:r w:rsidRPr="00907561">
        <w:rPr>
          <w:noProof/>
          <w:szCs w:val="18"/>
        </w:rPr>
        <w:drawing>
          <wp:inline distT="0" distB="0" distL="0" distR="0" wp14:anchorId="5071F1EC" wp14:editId="26C5AF03">
            <wp:extent cx="5381625" cy="1828800"/>
            <wp:effectExtent l="0" t="0" r="0" b="0"/>
            <wp:docPr id="1679689688" name="Gráfico 1">
              <a:extLst xmlns:a="http://schemas.openxmlformats.org/drawingml/2006/main">
                <a:ext uri="{FF2B5EF4-FFF2-40B4-BE49-F238E27FC236}">
                  <a16:creationId xmlns:a16="http://schemas.microsoft.com/office/drawing/2014/main" id="{C06E8642-2C79-4DD3-8D04-7979752AC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85F29F" w14:textId="77777777" w:rsidR="0099009F" w:rsidRPr="00B15C85" w:rsidRDefault="0099009F" w:rsidP="004C357D">
      <w:pPr>
        <w:pStyle w:val="CETCaption"/>
      </w:pPr>
      <w:r w:rsidRPr="0098348D">
        <w:t xml:space="preserve">Figure </w:t>
      </w:r>
      <w:r w:rsidRPr="0098348D">
        <w:rPr>
          <w:b/>
          <w:bCs/>
        </w:rPr>
        <w:fldChar w:fldCharType="begin"/>
      </w:r>
      <w:r w:rsidRPr="0098348D">
        <w:instrText xml:space="preserve"> SEQ Figure \* ARABIC </w:instrText>
      </w:r>
      <w:r w:rsidRPr="0098348D">
        <w:rPr>
          <w:b/>
          <w:bCs/>
        </w:rPr>
        <w:fldChar w:fldCharType="separate"/>
      </w:r>
      <w:r w:rsidRPr="00B15C85">
        <w:rPr>
          <w:b/>
          <w:bCs/>
        </w:rPr>
        <w:t>3</w:t>
      </w:r>
      <w:r w:rsidRPr="0098348D">
        <w:rPr>
          <w:b/>
          <w:bCs/>
        </w:rPr>
        <w:fldChar w:fldCharType="end"/>
      </w:r>
      <w:r w:rsidRPr="0098348D">
        <w:t xml:space="preserve"> - Propionic acid recovery (%) in different pH and stirring time. Initial propionic acid concentration: 13 g/L; solvent to feed proportion 1:1 pKa: 4.89</w:t>
      </w:r>
    </w:p>
    <w:p w14:paraId="09562390" w14:textId="17FC582F" w:rsidR="002C6710" w:rsidRPr="0098348D" w:rsidRDefault="004955DB" w:rsidP="00600535">
      <w:pPr>
        <w:pStyle w:val="CETBodytext"/>
      </w:pPr>
      <w:r w:rsidRPr="004C357D">
        <w:t xml:space="preserve">Figures 2 and 3 demonstrate that, as discussed above, higher pH </w:t>
      </w:r>
      <w:r w:rsidR="00654E7A" w:rsidRPr="004C357D">
        <w:t>results</w:t>
      </w:r>
      <w:r w:rsidRPr="004C357D">
        <w:t xml:space="preserve"> in lower recovery for both acids, corroborating Xu &amp; Jiang (2011), who proposed that the distribution coefficient depends on the pH; that is, the higher the pH, the lower the distribution coefficient.</w:t>
      </w:r>
      <w:r w:rsidR="0047541B">
        <w:t xml:space="preserve"> This happens because at higher pH the organic acid is available on its ionized form, which has greater affinity for the polar solvent (water) than the molecular form, whose concentration is greater at low pH.</w:t>
      </w:r>
      <w:r w:rsidRPr="004C357D">
        <w:t xml:space="preserve"> Additionally, a greater number of carbons in the molecule increases the affinity </w:t>
      </w:r>
      <w:r w:rsidR="0047541B">
        <w:t xml:space="preserve">of the organic acids </w:t>
      </w:r>
      <w:r w:rsidRPr="004C357D">
        <w:t>for the</w:t>
      </w:r>
      <w:r w:rsidR="0047541B">
        <w:t xml:space="preserve"> organic</w:t>
      </w:r>
      <w:r w:rsidRPr="004C357D">
        <w:t xml:space="preserve"> solvent and decreases the affinity for the aqueous phase</w:t>
      </w:r>
      <w:r w:rsidR="00B346A6" w:rsidRPr="004C357D">
        <w:t xml:space="preserve"> (Chen et al. 2022).</w:t>
      </w:r>
    </w:p>
    <w:p w14:paraId="3254920E" w14:textId="071AFE9C" w:rsidR="00CA0CE9" w:rsidRPr="00B15C85" w:rsidRDefault="002E5241" w:rsidP="00CA0CE9">
      <w:pPr>
        <w:pStyle w:val="CETBodytext"/>
      </w:pPr>
      <w:r w:rsidRPr="004C357D">
        <w:t xml:space="preserve">The graphs also show that after 30 minutes, there is no significant increase in recovery for either acid, likely because the extraction reached equilibrium, and the solvent attained its maximum distribution coefficient. Similar results were found by Bekatarou et al. (2016), who studied different solvents with various functional groups, such as ethyl acetate and 1-butanol, for VFA recovery from synthetic solutions. The deviation from the observed trend for pH 2.5 </w:t>
      </w:r>
      <w:r w:rsidR="00BC628D" w:rsidRPr="004C357D">
        <w:t>sample at</w:t>
      </w:r>
      <w:r w:rsidRPr="004C357D">
        <w:t xml:space="preserve"> 30 minutes for both butyric acid and propionic acid may be due to </w:t>
      </w:r>
      <w:r w:rsidR="00C8004C" w:rsidRPr="004C357D">
        <w:t>slight</w:t>
      </w:r>
      <w:r w:rsidRPr="004C357D">
        <w:t xml:space="preserve"> broadening of the peak observed in the chromatogram</w:t>
      </w:r>
      <w:r w:rsidR="000C3A50" w:rsidRPr="004C357D">
        <w:t>.</w:t>
      </w:r>
      <w:r w:rsidR="00CA0CE9" w:rsidRPr="00CA0CE9">
        <w:t xml:space="preserve"> </w:t>
      </w:r>
      <w:r w:rsidR="00CA0CE9" w:rsidRPr="00B15C85">
        <w:t xml:space="preserve">Keshav et al. (2008) used ethyl acetate as a solvent to recover propionic acid from a synthetic medium with the pH adjusted to 2.2 and found a maximum recovery of 74 % after 2 hours of mixing at 30 ºC, which corroborates the results of this study, despite the longer stirring time. </w:t>
      </w:r>
      <w:r w:rsidR="00CA0CE9">
        <w:t>The trend in results show that, for the sake of equipment design, lower mixing times are enough to achieve sufficient recovery of organic acids.</w:t>
      </w:r>
    </w:p>
    <w:p w14:paraId="1D46DEE6" w14:textId="2F0A7D48" w:rsidR="00995D25" w:rsidRPr="00995D25" w:rsidRDefault="00F13A0A" w:rsidP="00995D25">
      <w:pPr>
        <w:pStyle w:val="CETBodytext"/>
      </w:pPr>
      <w:r w:rsidRPr="004C357D">
        <w:t>After equilibrium, the recovery percentage of butyric acid from the synthetic medium was approximately 93% at pH 2.5, 88% at pH 3.5, and around 67% at pH 4.5. In contrast, for propionic acid, the recovery percentages were 74% at pH 2.5, 67% at pH 3.5, and 39% at pH 4.5. Bilgin et al. (2006) demonstrated that among the esters studied, ethyl acetate exhibited the best distribution coefficient for butyric acid (</w:t>
      </w:r>
      <w:r w:rsidR="00CA0CE9">
        <w:t>K</w:t>
      </w:r>
      <w:r w:rsidR="00CA0CE9" w:rsidRPr="004C357D">
        <w:rPr>
          <w:vertAlign w:val="subscript"/>
        </w:rPr>
        <w:t>d</w:t>
      </w:r>
      <w:r w:rsidR="00CA0CE9">
        <w:t>:</w:t>
      </w:r>
      <w:r w:rsidR="00CA0CE9" w:rsidRPr="004C357D">
        <w:t xml:space="preserve"> </w:t>
      </w:r>
      <w:r w:rsidRPr="004C357D">
        <w:t xml:space="preserve">6.07), which was higher than </w:t>
      </w:r>
      <w:r w:rsidRPr="004C357D">
        <w:lastRenderedPageBreak/>
        <w:t xml:space="preserve">that of nearly all other solvents. In another study published in 2009, the same authors examined the extraction of propionic and butyric acid with different types of solvents and found that for all solvents, including esters, butyric acid consistently showed the best distribution </w:t>
      </w:r>
      <w:r w:rsidR="00995D25" w:rsidRPr="004C357D">
        <w:t>coefficient</w:t>
      </w:r>
      <w:r w:rsidR="00995D25">
        <w:t>.</w:t>
      </w:r>
      <w:r w:rsidR="00995D25" w:rsidRPr="00995D25">
        <w:t xml:space="preserve"> Therefore, this may explain the fact that the percentage of butyric acid recovery is better compared to that of propionic acid.</w:t>
      </w:r>
    </w:p>
    <w:p w14:paraId="072D8DE1" w14:textId="42E1D29B" w:rsidR="00CA0CE9" w:rsidRPr="004C357D" w:rsidDel="00CA0CE9" w:rsidRDefault="00CA0CE9" w:rsidP="00600535">
      <w:pPr>
        <w:pStyle w:val="CETBodytext"/>
      </w:pPr>
    </w:p>
    <w:p w14:paraId="304964B3" w14:textId="43BE94BD" w:rsidR="003932B9" w:rsidRPr="0098348D" w:rsidRDefault="00E235B3" w:rsidP="00CA0CE9">
      <w:pPr>
        <w:pStyle w:val="CETheadingx"/>
      </w:pPr>
      <w:r w:rsidRPr="0098348D">
        <w:t>Simulation results</w:t>
      </w:r>
    </w:p>
    <w:p w14:paraId="10F4D1ED" w14:textId="461516FF" w:rsidR="003932B9" w:rsidRPr="004C357D" w:rsidRDefault="003E14A3" w:rsidP="00600535">
      <w:pPr>
        <w:pStyle w:val="CETBodytext"/>
      </w:pPr>
      <w:r w:rsidRPr="004C357D">
        <w:t xml:space="preserve">Alongside the experiments </w:t>
      </w:r>
      <w:r w:rsidR="00B8043D" w:rsidRPr="004C357D">
        <w:t>results</w:t>
      </w:r>
      <w:r w:rsidR="00270325">
        <w:t>,</w:t>
      </w:r>
      <w:r w:rsidR="00B8043D" w:rsidRPr="004C357D">
        <w:t xml:space="preserve"> a simulation w</w:t>
      </w:r>
      <w:r w:rsidR="00270325">
        <w:t>as</w:t>
      </w:r>
      <w:r w:rsidR="00B8043D" w:rsidRPr="004C357D">
        <w:t xml:space="preserve"> carried out in Aspen Plus® </w:t>
      </w:r>
      <w:r w:rsidR="00270325" w:rsidRPr="00270325">
        <w:t>to</w:t>
      </w:r>
      <w:r w:rsidR="00B8043D" w:rsidRPr="004C357D">
        <w:t xml:space="preserve"> evaluate the accuracy of the predictive model UNIFAC-LL </w:t>
      </w:r>
      <w:r w:rsidR="004A4134" w:rsidRPr="004C357D">
        <w:t>in describ</w:t>
      </w:r>
      <w:r w:rsidR="003439B8" w:rsidRPr="004C357D">
        <w:t xml:space="preserve">ing </w:t>
      </w:r>
      <w:r w:rsidR="00E235B3" w:rsidRPr="004C357D">
        <w:t>the V</w:t>
      </w:r>
      <w:r w:rsidR="003439B8" w:rsidRPr="004C357D">
        <w:t xml:space="preserve">FAs extraction from a synthetic </w:t>
      </w:r>
      <w:r w:rsidR="001D7200" w:rsidRPr="004C357D">
        <w:t>butyric/propionic acid solution with ethyl acetate</w:t>
      </w:r>
      <w:r w:rsidR="00FB0C88" w:rsidRPr="004C357D">
        <w:t>.</w:t>
      </w:r>
      <w:r w:rsidR="006C2491" w:rsidRPr="004C357D">
        <w:t xml:space="preserve"> The input values were described </w:t>
      </w:r>
      <w:r w:rsidR="00270325">
        <w:t>in</w:t>
      </w:r>
      <w:r w:rsidR="00270325" w:rsidRPr="004C357D">
        <w:t xml:space="preserve"> </w:t>
      </w:r>
      <w:r w:rsidR="006C2491" w:rsidRPr="004C357D">
        <w:t>Table 1</w:t>
      </w:r>
      <w:r w:rsidR="00AC1874" w:rsidRPr="004C357D">
        <w:t xml:space="preserve"> and the results are shown in Table 2</w:t>
      </w:r>
      <w:r w:rsidR="00270325">
        <w:t>.</w:t>
      </w:r>
    </w:p>
    <w:p w14:paraId="44608443" w14:textId="77777777" w:rsidR="00673A00" w:rsidRPr="004C357D" w:rsidRDefault="00673A00" w:rsidP="00600535">
      <w:pPr>
        <w:pStyle w:val="CETBodytext"/>
      </w:pPr>
    </w:p>
    <w:p w14:paraId="024F6D4D" w14:textId="40A80D54" w:rsidR="00673A00" w:rsidRPr="0098348D" w:rsidRDefault="00673A00" w:rsidP="00673A00">
      <w:pPr>
        <w:pStyle w:val="Caption"/>
        <w:keepNext/>
        <w:rPr>
          <w:b w:val="0"/>
          <w:bCs w:val="0"/>
          <w:i/>
          <w:iCs/>
          <w:color w:val="auto"/>
        </w:rPr>
      </w:pPr>
      <w:r w:rsidRPr="0098348D">
        <w:rPr>
          <w:b w:val="0"/>
          <w:bCs w:val="0"/>
          <w:i/>
          <w:iCs/>
          <w:color w:val="auto"/>
        </w:rPr>
        <w:t xml:space="preserve">Table </w:t>
      </w:r>
      <w:r w:rsidRPr="0098348D">
        <w:rPr>
          <w:b w:val="0"/>
          <w:bCs w:val="0"/>
          <w:i/>
          <w:iCs/>
          <w:color w:val="auto"/>
        </w:rPr>
        <w:fldChar w:fldCharType="begin"/>
      </w:r>
      <w:r w:rsidRPr="0098348D">
        <w:rPr>
          <w:b w:val="0"/>
          <w:bCs w:val="0"/>
          <w:i/>
          <w:iCs/>
          <w:color w:val="auto"/>
        </w:rPr>
        <w:instrText xml:space="preserve"> SEQ Table \* ARABIC </w:instrText>
      </w:r>
      <w:r w:rsidRPr="0098348D">
        <w:rPr>
          <w:b w:val="0"/>
          <w:bCs w:val="0"/>
          <w:i/>
          <w:iCs/>
          <w:color w:val="auto"/>
        </w:rPr>
        <w:fldChar w:fldCharType="separate"/>
      </w:r>
      <w:r w:rsidRPr="004C357D">
        <w:rPr>
          <w:b w:val="0"/>
          <w:bCs w:val="0"/>
          <w:i/>
          <w:iCs/>
          <w:color w:val="auto"/>
        </w:rPr>
        <w:t>2</w:t>
      </w:r>
      <w:r w:rsidRPr="0098348D">
        <w:rPr>
          <w:b w:val="0"/>
          <w:bCs w:val="0"/>
          <w:i/>
          <w:iCs/>
          <w:color w:val="auto"/>
        </w:rPr>
        <w:fldChar w:fldCharType="end"/>
      </w:r>
      <w:r w:rsidRPr="0098348D">
        <w:rPr>
          <w:b w:val="0"/>
          <w:bCs w:val="0"/>
          <w:i/>
          <w:iCs/>
          <w:color w:val="auto"/>
        </w:rPr>
        <w:t xml:space="preserve"> - Flow rate and percentage of acid recovery (%) results from the simulation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5"/>
        <w:gridCol w:w="1673"/>
        <w:gridCol w:w="1050"/>
        <w:gridCol w:w="1453"/>
        <w:gridCol w:w="1730"/>
        <w:gridCol w:w="1359"/>
      </w:tblGrid>
      <w:tr w:rsidR="00256EC1" w:rsidRPr="0098348D" w14:paraId="55B4BB43" w14:textId="3912E4BA" w:rsidTr="00256EC1">
        <w:trPr>
          <w:trHeight w:val="470"/>
        </w:trPr>
        <w:tc>
          <w:tcPr>
            <w:tcW w:w="1415" w:type="dxa"/>
            <w:tcBorders>
              <w:top w:val="single" w:sz="12" w:space="0" w:color="008000"/>
              <w:bottom w:val="single" w:sz="6" w:space="0" w:color="008000"/>
            </w:tcBorders>
            <w:shd w:val="clear" w:color="auto" w:fill="FFFFFF"/>
          </w:tcPr>
          <w:p w14:paraId="268C637D" w14:textId="77777777" w:rsidR="00256EC1" w:rsidRPr="004C357D" w:rsidRDefault="00256EC1" w:rsidP="00F40BF1">
            <w:pPr>
              <w:pStyle w:val="CETBodytext"/>
            </w:pPr>
          </w:p>
        </w:tc>
        <w:tc>
          <w:tcPr>
            <w:tcW w:w="1673" w:type="dxa"/>
            <w:tcBorders>
              <w:top w:val="single" w:sz="12" w:space="0" w:color="008000"/>
              <w:bottom w:val="single" w:sz="6" w:space="0" w:color="008000"/>
            </w:tcBorders>
            <w:shd w:val="clear" w:color="auto" w:fill="FFFFFF"/>
          </w:tcPr>
          <w:p w14:paraId="23023C29" w14:textId="77777777" w:rsidR="00256EC1" w:rsidRPr="004C357D" w:rsidRDefault="00256EC1" w:rsidP="00F40BF1">
            <w:pPr>
              <w:pStyle w:val="CETBodytext"/>
              <w:ind w:right="-1"/>
              <w:jc w:val="center"/>
              <w:rPr>
                <w:rFonts w:cs="Arial"/>
                <w:szCs w:val="18"/>
              </w:rPr>
            </w:pPr>
            <w:r w:rsidRPr="004C357D">
              <w:rPr>
                <w:rFonts w:cs="Arial"/>
                <w:szCs w:val="18"/>
              </w:rPr>
              <w:t>Total flow</w:t>
            </w:r>
          </w:p>
          <w:p w14:paraId="27CAC378" w14:textId="1578D1BC" w:rsidR="00256EC1" w:rsidRPr="004C357D" w:rsidRDefault="00270325" w:rsidP="00F40BF1">
            <w:pPr>
              <w:pStyle w:val="CETBodytext"/>
              <w:ind w:right="-1"/>
              <w:jc w:val="center"/>
              <w:rPr>
                <w:rFonts w:cs="Arial"/>
                <w:szCs w:val="18"/>
              </w:rPr>
            </w:pPr>
            <w:r>
              <w:rPr>
                <w:rFonts w:cs="Arial"/>
                <w:szCs w:val="18"/>
              </w:rPr>
              <w:t>r</w:t>
            </w:r>
            <w:r w:rsidR="00256EC1" w:rsidRPr="004C357D">
              <w:rPr>
                <w:rFonts w:cs="Arial"/>
                <w:szCs w:val="18"/>
              </w:rPr>
              <w:t>ate (kg/h)</w:t>
            </w:r>
          </w:p>
        </w:tc>
        <w:tc>
          <w:tcPr>
            <w:tcW w:w="1050" w:type="dxa"/>
            <w:tcBorders>
              <w:top w:val="single" w:sz="12" w:space="0" w:color="008000"/>
              <w:bottom w:val="single" w:sz="6" w:space="0" w:color="008000"/>
            </w:tcBorders>
            <w:shd w:val="clear" w:color="auto" w:fill="FFFFFF"/>
          </w:tcPr>
          <w:p w14:paraId="28B98C84" w14:textId="77777777" w:rsidR="00256EC1" w:rsidRPr="004C357D" w:rsidRDefault="00256EC1" w:rsidP="00F40BF1">
            <w:pPr>
              <w:pStyle w:val="CETBodytext"/>
              <w:ind w:right="-1"/>
              <w:jc w:val="center"/>
              <w:rPr>
                <w:rFonts w:cs="Arial"/>
                <w:szCs w:val="18"/>
              </w:rPr>
            </w:pPr>
            <w:r w:rsidRPr="004C357D">
              <w:rPr>
                <w:rFonts w:cs="Arial"/>
                <w:szCs w:val="18"/>
              </w:rPr>
              <w:t>Water</w:t>
            </w:r>
          </w:p>
          <w:p w14:paraId="71506716" w14:textId="5712C714" w:rsidR="00256EC1" w:rsidRPr="004C357D" w:rsidRDefault="00256EC1" w:rsidP="00F40BF1">
            <w:pPr>
              <w:pStyle w:val="CETBodytext"/>
              <w:ind w:right="-1"/>
              <w:jc w:val="center"/>
              <w:rPr>
                <w:rFonts w:cs="Arial"/>
                <w:szCs w:val="18"/>
              </w:rPr>
            </w:pPr>
            <w:r w:rsidRPr="004C357D">
              <w:rPr>
                <w:rFonts w:cs="Arial"/>
                <w:szCs w:val="18"/>
              </w:rPr>
              <w:t>(kg/h)</w:t>
            </w:r>
          </w:p>
        </w:tc>
        <w:tc>
          <w:tcPr>
            <w:tcW w:w="1453" w:type="dxa"/>
            <w:tcBorders>
              <w:top w:val="single" w:sz="12" w:space="0" w:color="008000"/>
              <w:bottom w:val="single" w:sz="6" w:space="0" w:color="008000"/>
            </w:tcBorders>
            <w:shd w:val="clear" w:color="auto" w:fill="FFFFFF"/>
          </w:tcPr>
          <w:p w14:paraId="348FAD9B" w14:textId="77777777" w:rsidR="00256EC1" w:rsidRPr="004C357D" w:rsidRDefault="00256EC1" w:rsidP="00F40BF1">
            <w:pPr>
              <w:pStyle w:val="CETBodytext"/>
              <w:ind w:right="-1"/>
              <w:jc w:val="center"/>
              <w:rPr>
                <w:rFonts w:cs="Arial"/>
                <w:szCs w:val="18"/>
              </w:rPr>
            </w:pPr>
            <w:r w:rsidRPr="004C357D">
              <w:rPr>
                <w:rFonts w:cs="Arial"/>
                <w:szCs w:val="18"/>
              </w:rPr>
              <w:t>Butyric acid</w:t>
            </w:r>
          </w:p>
          <w:p w14:paraId="0703DB78" w14:textId="066C236F" w:rsidR="00256EC1" w:rsidRPr="004C357D" w:rsidRDefault="00256EC1" w:rsidP="00F40BF1">
            <w:pPr>
              <w:pStyle w:val="CETBodytext"/>
              <w:ind w:right="-1"/>
              <w:jc w:val="center"/>
              <w:rPr>
                <w:rFonts w:cs="Arial"/>
                <w:szCs w:val="18"/>
              </w:rPr>
            </w:pPr>
            <w:r w:rsidRPr="004C357D">
              <w:rPr>
                <w:rFonts w:cs="Arial"/>
                <w:szCs w:val="18"/>
              </w:rPr>
              <w:t>(kg/h)</w:t>
            </w:r>
          </w:p>
        </w:tc>
        <w:tc>
          <w:tcPr>
            <w:tcW w:w="1730" w:type="dxa"/>
            <w:tcBorders>
              <w:top w:val="single" w:sz="12" w:space="0" w:color="008000"/>
              <w:bottom w:val="single" w:sz="6" w:space="0" w:color="008000"/>
            </w:tcBorders>
            <w:shd w:val="clear" w:color="auto" w:fill="FFFFFF"/>
          </w:tcPr>
          <w:p w14:paraId="3A073B00" w14:textId="77777777" w:rsidR="00256EC1" w:rsidRPr="004C357D" w:rsidRDefault="00256EC1" w:rsidP="00F40BF1">
            <w:pPr>
              <w:pStyle w:val="CETBodytext"/>
              <w:ind w:right="-1"/>
              <w:jc w:val="center"/>
              <w:rPr>
                <w:rFonts w:cs="Arial"/>
                <w:szCs w:val="18"/>
              </w:rPr>
            </w:pPr>
            <w:r w:rsidRPr="004C357D">
              <w:rPr>
                <w:rFonts w:cs="Arial"/>
                <w:szCs w:val="18"/>
              </w:rPr>
              <w:t>Propionic acid</w:t>
            </w:r>
          </w:p>
          <w:p w14:paraId="426F2F83" w14:textId="7D9812A4" w:rsidR="00256EC1" w:rsidRPr="004C357D" w:rsidRDefault="00256EC1" w:rsidP="00F40BF1">
            <w:pPr>
              <w:pStyle w:val="CETBodytext"/>
              <w:ind w:right="-1"/>
              <w:jc w:val="center"/>
              <w:rPr>
                <w:rFonts w:cs="Arial"/>
                <w:szCs w:val="18"/>
              </w:rPr>
            </w:pPr>
            <w:r w:rsidRPr="004C357D">
              <w:rPr>
                <w:rFonts w:cs="Arial"/>
                <w:szCs w:val="18"/>
              </w:rPr>
              <w:t>(kg/h)</w:t>
            </w:r>
          </w:p>
        </w:tc>
        <w:tc>
          <w:tcPr>
            <w:tcW w:w="1359" w:type="dxa"/>
            <w:tcBorders>
              <w:top w:val="single" w:sz="12" w:space="0" w:color="008000"/>
              <w:bottom w:val="single" w:sz="6" w:space="0" w:color="008000"/>
            </w:tcBorders>
            <w:shd w:val="clear" w:color="auto" w:fill="FFFFFF"/>
          </w:tcPr>
          <w:p w14:paraId="3E7E9D7D" w14:textId="77777777" w:rsidR="00256EC1" w:rsidRPr="004C357D" w:rsidRDefault="00256EC1" w:rsidP="00F40BF1">
            <w:pPr>
              <w:pStyle w:val="CETBodytext"/>
              <w:ind w:right="-1"/>
              <w:jc w:val="center"/>
              <w:rPr>
                <w:rFonts w:cs="Arial"/>
                <w:szCs w:val="18"/>
              </w:rPr>
            </w:pPr>
            <w:r w:rsidRPr="004C357D">
              <w:rPr>
                <w:rFonts w:cs="Arial"/>
                <w:szCs w:val="18"/>
              </w:rPr>
              <w:t>Ethyl acetate</w:t>
            </w:r>
          </w:p>
          <w:p w14:paraId="1A6CA9A4" w14:textId="4E101C0E" w:rsidR="00256EC1" w:rsidRPr="004C357D" w:rsidRDefault="00256EC1" w:rsidP="00F40BF1">
            <w:pPr>
              <w:pStyle w:val="CETBodytext"/>
              <w:ind w:right="-1"/>
              <w:jc w:val="center"/>
              <w:rPr>
                <w:rFonts w:cs="Arial"/>
                <w:szCs w:val="18"/>
              </w:rPr>
            </w:pPr>
            <w:r w:rsidRPr="004C357D">
              <w:rPr>
                <w:rFonts w:cs="Arial"/>
                <w:szCs w:val="18"/>
              </w:rPr>
              <w:t>(kg/h)</w:t>
            </w:r>
          </w:p>
        </w:tc>
      </w:tr>
      <w:tr w:rsidR="00256EC1" w:rsidRPr="0098348D" w14:paraId="49E6ABF7" w14:textId="76520C4F" w:rsidTr="00460F49">
        <w:trPr>
          <w:trHeight w:val="241"/>
        </w:trPr>
        <w:tc>
          <w:tcPr>
            <w:tcW w:w="1415" w:type="dxa"/>
            <w:tcBorders>
              <w:bottom w:val="nil"/>
            </w:tcBorders>
            <w:shd w:val="clear" w:color="auto" w:fill="FFFFFF"/>
          </w:tcPr>
          <w:p w14:paraId="1180EC82" w14:textId="4E89ECA9" w:rsidR="00256EC1" w:rsidRPr="004C357D" w:rsidRDefault="00256EC1" w:rsidP="00F40BF1">
            <w:pPr>
              <w:pStyle w:val="CETBodytext"/>
            </w:pPr>
            <w:r w:rsidRPr="004C357D">
              <w:t>Organic</w:t>
            </w:r>
            <w:r w:rsidR="00270325">
              <w:t xml:space="preserve"> phase</w:t>
            </w:r>
          </w:p>
        </w:tc>
        <w:tc>
          <w:tcPr>
            <w:tcW w:w="1673" w:type="dxa"/>
            <w:tcBorders>
              <w:bottom w:val="nil"/>
            </w:tcBorders>
            <w:shd w:val="clear" w:color="auto" w:fill="FFFFFF"/>
          </w:tcPr>
          <w:p w14:paraId="64593008" w14:textId="3616E03A" w:rsidR="00256EC1" w:rsidRPr="004C357D" w:rsidRDefault="00256EC1" w:rsidP="00F40BF1">
            <w:pPr>
              <w:pStyle w:val="CETBodytext"/>
              <w:ind w:right="-1"/>
              <w:jc w:val="center"/>
              <w:rPr>
                <w:rFonts w:cs="Arial"/>
                <w:szCs w:val="18"/>
              </w:rPr>
            </w:pPr>
            <w:r w:rsidRPr="004C357D">
              <w:rPr>
                <w:rFonts w:cs="Arial"/>
                <w:szCs w:val="18"/>
              </w:rPr>
              <w:t>94.94</w:t>
            </w:r>
          </w:p>
        </w:tc>
        <w:tc>
          <w:tcPr>
            <w:tcW w:w="1050" w:type="dxa"/>
            <w:tcBorders>
              <w:bottom w:val="nil"/>
            </w:tcBorders>
            <w:shd w:val="clear" w:color="auto" w:fill="FFFFFF"/>
          </w:tcPr>
          <w:p w14:paraId="4C9493F9" w14:textId="37FFE204" w:rsidR="00256EC1" w:rsidRPr="004C357D" w:rsidRDefault="00256EC1" w:rsidP="00F40BF1">
            <w:pPr>
              <w:pStyle w:val="CETBodytext"/>
              <w:ind w:right="-1"/>
              <w:jc w:val="center"/>
              <w:rPr>
                <w:rFonts w:cs="Arial"/>
                <w:szCs w:val="18"/>
              </w:rPr>
            </w:pPr>
            <w:r w:rsidRPr="004C357D">
              <w:rPr>
                <w:rFonts w:cs="Arial"/>
                <w:szCs w:val="18"/>
              </w:rPr>
              <w:t>3.47</w:t>
            </w:r>
          </w:p>
        </w:tc>
        <w:tc>
          <w:tcPr>
            <w:tcW w:w="1453" w:type="dxa"/>
            <w:tcBorders>
              <w:bottom w:val="nil"/>
            </w:tcBorders>
            <w:shd w:val="clear" w:color="auto" w:fill="FFFFFF"/>
          </w:tcPr>
          <w:p w14:paraId="7AFD94F7" w14:textId="3618986E" w:rsidR="00256EC1" w:rsidRPr="004C357D" w:rsidRDefault="00256EC1" w:rsidP="00F40BF1">
            <w:pPr>
              <w:pStyle w:val="CETBodytext"/>
              <w:ind w:right="-1"/>
              <w:jc w:val="center"/>
              <w:rPr>
                <w:rFonts w:cs="Arial"/>
                <w:szCs w:val="18"/>
              </w:rPr>
            </w:pPr>
            <w:r w:rsidRPr="004C357D">
              <w:rPr>
                <w:rFonts w:cs="Arial"/>
                <w:szCs w:val="18"/>
              </w:rPr>
              <w:t>3.05</w:t>
            </w:r>
          </w:p>
        </w:tc>
        <w:tc>
          <w:tcPr>
            <w:tcW w:w="1730" w:type="dxa"/>
            <w:tcBorders>
              <w:bottom w:val="nil"/>
            </w:tcBorders>
            <w:shd w:val="clear" w:color="auto" w:fill="FFFFFF"/>
          </w:tcPr>
          <w:p w14:paraId="6D48BBF1" w14:textId="515C92C3" w:rsidR="00256EC1" w:rsidRPr="004C357D" w:rsidRDefault="00256EC1" w:rsidP="00F40BF1">
            <w:pPr>
              <w:pStyle w:val="CETBodytext"/>
              <w:ind w:right="-1"/>
              <w:jc w:val="center"/>
              <w:rPr>
                <w:rFonts w:cs="Arial"/>
                <w:szCs w:val="18"/>
              </w:rPr>
            </w:pPr>
            <w:r w:rsidRPr="004C357D">
              <w:rPr>
                <w:rFonts w:cs="Arial"/>
                <w:szCs w:val="18"/>
              </w:rPr>
              <w:t>1.02</w:t>
            </w:r>
          </w:p>
        </w:tc>
        <w:tc>
          <w:tcPr>
            <w:tcW w:w="1359" w:type="dxa"/>
            <w:tcBorders>
              <w:bottom w:val="nil"/>
            </w:tcBorders>
            <w:shd w:val="clear" w:color="auto" w:fill="FFFFFF"/>
          </w:tcPr>
          <w:p w14:paraId="1A5F0244" w14:textId="3F16C067" w:rsidR="00256EC1" w:rsidRPr="004C357D" w:rsidRDefault="00256EC1" w:rsidP="00F40BF1">
            <w:pPr>
              <w:pStyle w:val="CETBodytext"/>
              <w:ind w:right="-1"/>
              <w:jc w:val="center"/>
              <w:rPr>
                <w:rFonts w:cs="Arial"/>
                <w:szCs w:val="18"/>
              </w:rPr>
            </w:pPr>
            <w:r w:rsidRPr="004C357D">
              <w:rPr>
                <w:rFonts w:cs="Arial"/>
                <w:szCs w:val="18"/>
              </w:rPr>
              <w:t>87.39</w:t>
            </w:r>
          </w:p>
        </w:tc>
      </w:tr>
      <w:tr w:rsidR="00256EC1" w:rsidRPr="0098348D" w14:paraId="2419D8B0" w14:textId="41B37509" w:rsidTr="00460F49">
        <w:trPr>
          <w:trHeight w:val="241"/>
        </w:trPr>
        <w:tc>
          <w:tcPr>
            <w:tcW w:w="1415" w:type="dxa"/>
            <w:tcBorders>
              <w:top w:val="nil"/>
              <w:bottom w:val="single" w:sz="6" w:space="0" w:color="008000"/>
            </w:tcBorders>
            <w:shd w:val="clear" w:color="auto" w:fill="FFFFFF"/>
          </w:tcPr>
          <w:p w14:paraId="31600497" w14:textId="36D2E2B1" w:rsidR="00256EC1" w:rsidRPr="004C357D" w:rsidRDefault="00256EC1" w:rsidP="00F40BF1">
            <w:pPr>
              <w:pStyle w:val="CETBodytext"/>
            </w:pPr>
            <w:r w:rsidRPr="004C357D">
              <w:t>Aqueous</w:t>
            </w:r>
            <w:r w:rsidR="00270325">
              <w:t xml:space="preserve"> phase</w:t>
            </w:r>
          </w:p>
        </w:tc>
        <w:tc>
          <w:tcPr>
            <w:tcW w:w="1673" w:type="dxa"/>
            <w:tcBorders>
              <w:top w:val="nil"/>
              <w:bottom w:val="single" w:sz="6" w:space="0" w:color="008000"/>
            </w:tcBorders>
            <w:shd w:val="clear" w:color="auto" w:fill="FFFFFF"/>
          </w:tcPr>
          <w:p w14:paraId="2F9AC026" w14:textId="42C4A3F8" w:rsidR="00256EC1" w:rsidRPr="004C357D" w:rsidRDefault="00256EC1" w:rsidP="00F40BF1">
            <w:pPr>
              <w:pStyle w:val="CETBodytext"/>
              <w:ind w:right="-1"/>
              <w:jc w:val="center"/>
              <w:rPr>
                <w:rFonts w:cs="Arial"/>
                <w:szCs w:val="18"/>
              </w:rPr>
            </w:pPr>
            <w:r w:rsidRPr="004C357D">
              <w:rPr>
                <w:rFonts w:cs="Arial"/>
                <w:szCs w:val="18"/>
              </w:rPr>
              <w:t>93.58</w:t>
            </w:r>
          </w:p>
        </w:tc>
        <w:tc>
          <w:tcPr>
            <w:tcW w:w="1050" w:type="dxa"/>
            <w:tcBorders>
              <w:top w:val="nil"/>
              <w:bottom w:val="single" w:sz="6" w:space="0" w:color="008000"/>
            </w:tcBorders>
            <w:shd w:val="clear" w:color="auto" w:fill="FFFFFF"/>
          </w:tcPr>
          <w:p w14:paraId="5ECA4460" w14:textId="6AB8AC18" w:rsidR="00256EC1" w:rsidRPr="004C357D" w:rsidRDefault="00256EC1" w:rsidP="00F40BF1">
            <w:pPr>
              <w:pStyle w:val="CETBodytext"/>
              <w:ind w:right="-1"/>
              <w:jc w:val="center"/>
              <w:rPr>
                <w:rFonts w:cs="Arial"/>
                <w:szCs w:val="18"/>
              </w:rPr>
            </w:pPr>
            <w:r w:rsidRPr="004C357D">
              <w:rPr>
                <w:rFonts w:cs="Arial"/>
                <w:szCs w:val="18"/>
              </w:rPr>
              <w:t>90.76</w:t>
            </w:r>
          </w:p>
        </w:tc>
        <w:tc>
          <w:tcPr>
            <w:tcW w:w="1453" w:type="dxa"/>
            <w:tcBorders>
              <w:top w:val="nil"/>
              <w:bottom w:val="single" w:sz="6" w:space="0" w:color="008000"/>
            </w:tcBorders>
            <w:shd w:val="clear" w:color="auto" w:fill="FFFFFF"/>
          </w:tcPr>
          <w:p w14:paraId="10ADF729" w14:textId="3A42A49A" w:rsidR="00256EC1" w:rsidRPr="004C357D" w:rsidRDefault="00256EC1" w:rsidP="00F40BF1">
            <w:pPr>
              <w:pStyle w:val="CETBodytext"/>
              <w:ind w:right="-1"/>
              <w:jc w:val="center"/>
              <w:rPr>
                <w:rFonts w:cs="Arial"/>
                <w:szCs w:val="18"/>
              </w:rPr>
            </w:pPr>
            <w:r w:rsidRPr="004C357D">
              <w:rPr>
                <w:rFonts w:cs="Arial"/>
                <w:szCs w:val="18"/>
              </w:rPr>
              <w:t>0.25</w:t>
            </w:r>
          </w:p>
        </w:tc>
        <w:tc>
          <w:tcPr>
            <w:tcW w:w="1730" w:type="dxa"/>
            <w:tcBorders>
              <w:top w:val="nil"/>
              <w:bottom w:val="single" w:sz="6" w:space="0" w:color="008000"/>
            </w:tcBorders>
            <w:shd w:val="clear" w:color="auto" w:fill="FFFFFF"/>
          </w:tcPr>
          <w:p w14:paraId="7CEFA307" w14:textId="5B11364D" w:rsidR="00256EC1" w:rsidRPr="004C357D" w:rsidRDefault="00256EC1" w:rsidP="00F40BF1">
            <w:pPr>
              <w:pStyle w:val="CETBodytext"/>
              <w:ind w:right="-1"/>
              <w:jc w:val="center"/>
              <w:rPr>
                <w:rFonts w:cs="Arial"/>
                <w:szCs w:val="18"/>
              </w:rPr>
            </w:pPr>
            <w:r w:rsidRPr="004C357D">
              <w:rPr>
                <w:rFonts w:cs="Arial"/>
                <w:szCs w:val="18"/>
              </w:rPr>
              <w:t>0</w:t>
            </w:r>
            <w:r w:rsidR="00270325">
              <w:rPr>
                <w:rFonts w:cs="Arial"/>
                <w:szCs w:val="18"/>
              </w:rPr>
              <w:t>.</w:t>
            </w:r>
            <w:r w:rsidRPr="004C357D">
              <w:rPr>
                <w:rFonts w:cs="Arial"/>
                <w:szCs w:val="18"/>
              </w:rPr>
              <w:t>28</w:t>
            </w:r>
          </w:p>
        </w:tc>
        <w:tc>
          <w:tcPr>
            <w:tcW w:w="1359" w:type="dxa"/>
            <w:tcBorders>
              <w:top w:val="nil"/>
              <w:bottom w:val="single" w:sz="6" w:space="0" w:color="008000"/>
            </w:tcBorders>
            <w:shd w:val="clear" w:color="auto" w:fill="FFFFFF"/>
          </w:tcPr>
          <w:p w14:paraId="104E3A28" w14:textId="4FC18596" w:rsidR="00256EC1" w:rsidRPr="004C357D" w:rsidRDefault="00256EC1" w:rsidP="00F40BF1">
            <w:pPr>
              <w:pStyle w:val="CETBodytext"/>
              <w:ind w:right="-1"/>
              <w:jc w:val="center"/>
              <w:rPr>
                <w:rFonts w:cs="Arial"/>
                <w:szCs w:val="18"/>
              </w:rPr>
            </w:pPr>
            <w:r w:rsidRPr="004C357D">
              <w:rPr>
                <w:rFonts w:cs="Arial"/>
                <w:szCs w:val="18"/>
              </w:rPr>
              <w:t>2.29</w:t>
            </w:r>
          </w:p>
        </w:tc>
      </w:tr>
      <w:tr w:rsidR="00C4445A" w:rsidRPr="0098348D" w14:paraId="37CD6534" w14:textId="77777777" w:rsidTr="00460F49">
        <w:trPr>
          <w:trHeight w:val="241"/>
        </w:trPr>
        <w:tc>
          <w:tcPr>
            <w:tcW w:w="1415" w:type="dxa"/>
            <w:tcBorders>
              <w:top w:val="single" w:sz="6" w:space="0" w:color="008000"/>
              <w:bottom w:val="single" w:sz="6" w:space="0" w:color="008000"/>
            </w:tcBorders>
            <w:shd w:val="clear" w:color="auto" w:fill="FFFFFF"/>
          </w:tcPr>
          <w:p w14:paraId="418D60EA" w14:textId="173449B5" w:rsidR="00C4445A" w:rsidRPr="004C357D" w:rsidRDefault="00460F49" w:rsidP="00F40BF1">
            <w:pPr>
              <w:pStyle w:val="CETBodytext"/>
            </w:pPr>
            <w:r>
              <w:t>Acid recovery</w:t>
            </w:r>
          </w:p>
        </w:tc>
        <w:tc>
          <w:tcPr>
            <w:tcW w:w="1673" w:type="dxa"/>
            <w:tcBorders>
              <w:top w:val="single" w:sz="6" w:space="0" w:color="008000"/>
              <w:bottom w:val="single" w:sz="6" w:space="0" w:color="008000"/>
            </w:tcBorders>
            <w:shd w:val="clear" w:color="auto" w:fill="FFFFFF"/>
          </w:tcPr>
          <w:p w14:paraId="67CBBA96" w14:textId="77777777" w:rsidR="00C4445A" w:rsidRPr="004C357D" w:rsidRDefault="00C4445A" w:rsidP="00F40BF1">
            <w:pPr>
              <w:pStyle w:val="CETBodytext"/>
              <w:ind w:right="-1"/>
              <w:jc w:val="center"/>
              <w:rPr>
                <w:rFonts w:cs="Arial"/>
                <w:szCs w:val="18"/>
              </w:rPr>
            </w:pPr>
          </w:p>
        </w:tc>
        <w:tc>
          <w:tcPr>
            <w:tcW w:w="1050" w:type="dxa"/>
            <w:tcBorders>
              <w:top w:val="single" w:sz="6" w:space="0" w:color="008000"/>
              <w:bottom w:val="single" w:sz="6" w:space="0" w:color="008000"/>
            </w:tcBorders>
            <w:shd w:val="clear" w:color="auto" w:fill="FFFFFF"/>
          </w:tcPr>
          <w:p w14:paraId="0DC1F492" w14:textId="77777777" w:rsidR="00C4445A" w:rsidRPr="004C357D" w:rsidRDefault="00C4445A" w:rsidP="00F40BF1">
            <w:pPr>
              <w:pStyle w:val="CETBodytext"/>
              <w:ind w:right="-1"/>
              <w:jc w:val="center"/>
              <w:rPr>
                <w:rFonts w:cs="Arial"/>
                <w:szCs w:val="18"/>
              </w:rPr>
            </w:pPr>
          </w:p>
        </w:tc>
        <w:tc>
          <w:tcPr>
            <w:tcW w:w="1453" w:type="dxa"/>
            <w:tcBorders>
              <w:top w:val="single" w:sz="6" w:space="0" w:color="008000"/>
              <w:bottom w:val="single" w:sz="6" w:space="0" w:color="008000"/>
            </w:tcBorders>
            <w:shd w:val="clear" w:color="auto" w:fill="FFFFFF"/>
          </w:tcPr>
          <w:p w14:paraId="64D043FA" w14:textId="2C448911" w:rsidR="00C4445A" w:rsidRPr="004C357D" w:rsidRDefault="00460F49" w:rsidP="00460F49">
            <w:pPr>
              <w:pStyle w:val="CETBodytext"/>
              <w:ind w:right="-1"/>
              <w:jc w:val="center"/>
              <w:rPr>
                <w:rFonts w:cs="Arial"/>
                <w:szCs w:val="18"/>
              </w:rPr>
            </w:pPr>
            <w:r w:rsidRPr="004C357D">
              <w:rPr>
                <w:rFonts w:cs="Arial"/>
                <w:szCs w:val="18"/>
              </w:rPr>
              <w:t>Butyric acid</w:t>
            </w:r>
          </w:p>
        </w:tc>
        <w:tc>
          <w:tcPr>
            <w:tcW w:w="1730" w:type="dxa"/>
            <w:tcBorders>
              <w:top w:val="single" w:sz="6" w:space="0" w:color="008000"/>
              <w:bottom w:val="single" w:sz="6" w:space="0" w:color="008000"/>
            </w:tcBorders>
            <w:shd w:val="clear" w:color="auto" w:fill="FFFFFF"/>
          </w:tcPr>
          <w:p w14:paraId="24CCBDD7" w14:textId="0A1F9214" w:rsidR="00C4445A" w:rsidRPr="004C357D" w:rsidRDefault="00460F49" w:rsidP="00460F49">
            <w:pPr>
              <w:pStyle w:val="CETBodytext"/>
              <w:ind w:right="-1"/>
              <w:jc w:val="center"/>
              <w:rPr>
                <w:rFonts w:cs="Arial"/>
                <w:szCs w:val="18"/>
              </w:rPr>
            </w:pPr>
            <w:r w:rsidRPr="004C357D">
              <w:rPr>
                <w:rFonts w:cs="Arial"/>
                <w:szCs w:val="18"/>
              </w:rPr>
              <w:t>Propionic acid</w:t>
            </w:r>
          </w:p>
        </w:tc>
        <w:tc>
          <w:tcPr>
            <w:tcW w:w="1359" w:type="dxa"/>
            <w:tcBorders>
              <w:top w:val="single" w:sz="6" w:space="0" w:color="008000"/>
              <w:bottom w:val="single" w:sz="6" w:space="0" w:color="008000"/>
            </w:tcBorders>
            <w:shd w:val="clear" w:color="auto" w:fill="FFFFFF"/>
          </w:tcPr>
          <w:p w14:paraId="5D9BA9C9" w14:textId="77777777" w:rsidR="00C4445A" w:rsidRPr="004C357D" w:rsidRDefault="00C4445A" w:rsidP="00F40BF1">
            <w:pPr>
              <w:pStyle w:val="CETBodytext"/>
              <w:ind w:right="-1"/>
              <w:jc w:val="center"/>
              <w:rPr>
                <w:rFonts w:cs="Arial"/>
                <w:szCs w:val="18"/>
              </w:rPr>
            </w:pPr>
          </w:p>
        </w:tc>
      </w:tr>
      <w:tr w:rsidR="003A7AF2" w:rsidRPr="0098348D" w14:paraId="0C4C3931" w14:textId="77777777" w:rsidTr="00460F49">
        <w:trPr>
          <w:trHeight w:val="222"/>
        </w:trPr>
        <w:tc>
          <w:tcPr>
            <w:tcW w:w="3088" w:type="dxa"/>
            <w:gridSpan w:val="2"/>
            <w:tcBorders>
              <w:top w:val="single" w:sz="6" w:space="0" w:color="008000"/>
            </w:tcBorders>
            <w:shd w:val="clear" w:color="auto" w:fill="FFFFFF"/>
          </w:tcPr>
          <w:p w14:paraId="35161D27" w14:textId="2AE2E055" w:rsidR="003A7AF2" w:rsidRPr="004C357D" w:rsidRDefault="00460F49" w:rsidP="003A7AF2">
            <w:pPr>
              <w:pStyle w:val="CETBodytext"/>
            </w:pPr>
            <w:r>
              <w:t>S</w:t>
            </w:r>
            <w:r w:rsidR="00270325">
              <w:t>imulation</w:t>
            </w:r>
          </w:p>
        </w:tc>
        <w:tc>
          <w:tcPr>
            <w:tcW w:w="1050" w:type="dxa"/>
            <w:tcBorders>
              <w:top w:val="single" w:sz="6" w:space="0" w:color="008000"/>
            </w:tcBorders>
            <w:shd w:val="clear" w:color="auto" w:fill="FFFFFF"/>
          </w:tcPr>
          <w:p w14:paraId="2C6941AD" w14:textId="7211D4E3" w:rsidR="003A7AF2" w:rsidRPr="004C357D" w:rsidRDefault="003A7AF2" w:rsidP="00F40BF1">
            <w:pPr>
              <w:pStyle w:val="CETBodytext"/>
              <w:ind w:right="-1"/>
              <w:jc w:val="center"/>
              <w:rPr>
                <w:rFonts w:cs="Arial"/>
                <w:szCs w:val="18"/>
              </w:rPr>
            </w:pPr>
            <w:r w:rsidRPr="004C357D">
              <w:rPr>
                <w:rFonts w:cs="Arial"/>
                <w:szCs w:val="18"/>
              </w:rPr>
              <w:t>-</w:t>
            </w:r>
          </w:p>
        </w:tc>
        <w:tc>
          <w:tcPr>
            <w:tcW w:w="1453" w:type="dxa"/>
            <w:tcBorders>
              <w:top w:val="single" w:sz="6" w:space="0" w:color="008000"/>
            </w:tcBorders>
            <w:shd w:val="clear" w:color="auto" w:fill="FFFFFF"/>
          </w:tcPr>
          <w:p w14:paraId="5D0961E3" w14:textId="13BEDBD9" w:rsidR="003A7AF2" w:rsidRPr="004C357D" w:rsidRDefault="003A7AF2" w:rsidP="00F40BF1">
            <w:pPr>
              <w:pStyle w:val="CETBodytext"/>
              <w:ind w:right="-1"/>
              <w:jc w:val="center"/>
              <w:rPr>
                <w:rFonts w:cs="Arial"/>
                <w:szCs w:val="18"/>
              </w:rPr>
            </w:pPr>
            <w:r w:rsidRPr="004C357D">
              <w:rPr>
                <w:rFonts w:cs="Arial"/>
                <w:szCs w:val="18"/>
              </w:rPr>
              <w:t>92.5 %</w:t>
            </w:r>
          </w:p>
        </w:tc>
        <w:tc>
          <w:tcPr>
            <w:tcW w:w="1730" w:type="dxa"/>
            <w:tcBorders>
              <w:top w:val="single" w:sz="6" w:space="0" w:color="008000"/>
            </w:tcBorders>
            <w:shd w:val="clear" w:color="auto" w:fill="FFFFFF"/>
          </w:tcPr>
          <w:p w14:paraId="4BFD2BB6" w14:textId="4A752F01" w:rsidR="003A7AF2" w:rsidRPr="004C357D" w:rsidRDefault="003A7AF2" w:rsidP="00F40BF1">
            <w:pPr>
              <w:pStyle w:val="CETBodytext"/>
              <w:ind w:right="-1"/>
              <w:jc w:val="center"/>
              <w:rPr>
                <w:rFonts w:cs="Arial"/>
                <w:szCs w:val="18"/>
              </w:rPr>
            </w:pPr>
            <w:r w:rsidRPr="004C357D">
              <w:rPr>
                <w:rFonts w:cs="Arial"/>
                <w:szCs w:val="18"/>
              </w:rPr>
              <w:t>78</w:t>
            </w:r>
            <w:r w:rsidR="008A32B8">
              <w:rPr>
                <w:rFonts w:cs="Arial"/>
                <w:szCs w:val="18"/>
              </w:rPr>
              <w:t>.0</w:t>
            </w:r>
            <w:r w:rsidRPr="004C357D">
              <w:rPr>
                <w:rFonts w:cs="Arial"/>
                <w:szCs w:val="18"/>
              </w:rPr>
              <w:t xml:space="preserve"> %</w:t>
            </w:r>
          </w:p>
        </w:tc>
        <w:tc>
          <w:tcPr>
            <w:tcW w:w="1359" w:type="dxa"/>
            <w:tcBorders>
              <w:top w:val="single" w:sz="6" w:space="0" w:color="008000"/>
            </w:tcBorders>
            <w:shd w:val="clear" w:color="auto" w:fill="FFFFFF"/>
          </w:tcPr>
          <w:p w14:paraId="4A82D4AF" w14:textId="2553E8AB" w:rsidR="003A7AF2" w:rsidRPr="004C357D" w:rsidRDefault="003A7AF2" w:rsidP="00F40BF1">
            <w:pPr>
              <w:pStyle w:val="CETBodytext"/>
              <w:ind w:right="-1"/>
              <w:jc w:val="center"/>
              <w:rPr>
                <w:rFonts w:cs="Arial"/>
                <w:szCs w:val="18"/>
              </w:rPr>
            </w:pPr>
            <w:r w:rsidRPr="004C357D">
              <w:rPr>
                <w:rFonts w:cs="Arial"/>
                <w:szCs w:val="18"/>
              </w:rPr>
              <w:t>-</w:t>
            </w:r>
          </w:p>
        </w:tc>
      </w:tr>
      <w:tr w:rsidR="003A7AF2" w:rsidRPr="0098348D" w14:paraId="283D6448" w14:textId="77777777" w:rsidTr="0080601E">
        <w:trPr>
          <w:trHeight w:val="244"/>
        </w:trPr>
        <w:tc>
          <w:tcPr>
            <w:tcW w:w="3088" w:type="dxa"/>
            <w:gridSpan w:val="2"/>
            <w:shd w:val="clear" w:color="auto" w:fill="FFFFFF"/>
          </w:tcPr>
          <w:p w14:paraId="7A0C1039" w14:textId="47BBACC9" w:rsidR="003A7AF2" w:rsidRPr="004C357D" w:rsidRDefault="00460F49" w:rsidP="003A7AF2">
            <w:pPr>
              <w:pStyle w:val="CETBodytext"/>
              <w:ind w:right="-1"/>
              <w:rPr>
                <w:rFonts w:cs="Arial"/>
                <w:szCs w:val="18"/>
              </w:rPr>
            </w:pPr>
            <w:r>
              <w:t>E</w:t>
            </w:r>
            <w:r w:rsidR="00270325">
              <w:t>xperimental</w:t>
            </w:r>
          </w:p>
        </w:tc>
        <w:tc>
          <w:tcPr>
            <w:tcW w:w="1050" w:type="dxa"/>
            <w:shd w:val="clear" w:color="auto" w:fill="FFFFFF"/>
          </w:tcPr>
          <w:p w14:paraId="3BD7463B" w14:textId="4F26FA0F" w:rsidR="003A7AF2" w:rsidRPr="004C357D" w:rsidRDefault="003A7AF2" w:rsidP="00F40BF1">
            <w:pPr>
              <w:pStyle w:val="CETBodytext"/>
              <w:ind w:right="-1"/>
              <w:jc w:val="center"/>
              <w:rPr>
                <w:rFonts w:cs="Arial"/>
                <w:szCs w:val="18"/>
              </w:rPr>
            </w:pPr>
            <w:r w:rsidRPr="004C357D">
              <w:rPr>
                <w:rFonts w:cs="Arial"/>
                <w:szCs w:val="18"/>
              </w:rPr>
              <w:t>-</w:t>
            </w:r>
          </w:p>
        </w:tc>
        <w:tc>
          <w:tcPr>
            <w:tcW w:w="1453" w:type="dxa"/>
            <w:shd w:val="clear" w:color="auto" w:fill="FFFFFF"/>
          </w:tcPr>
          <w:p w14:paraId="4CAE1216" w14:textId="7CE6644F" w:rsidR="003A7AF2" w:rsidRPr="004C357D" w:rsidRDefault="00955AB8" w:rsidP="00F40BF1">
            <w:pPr>
              <w:pStyle w:val="CETBodytext"/>
              <w:ind w:right="-1"/>
              <w:jc w:val="center"/>
              <w:rPr>
                <w:rFonts w:cs="Arial"/>
                <w:szCs w:val="18"/>
              </w:rPr>
            </w:pPr>
            <w:r w:rsidRPr="004C357D">
              <w:rPr>
                <w:rFonts w:cs="Arial"/>
                <w:szCs w:val="18"/>
              </w:rPr>
              <w:t>93.2 %</w:t>
            </w:r>
          </w:p>
        </w:tc>
        <w:tc>
          <w:tcPr>
            <w:tcW w:w="1730" w:type="dxa"/>
            <w:shd w:val="clear" w:color="auto" w:fill="FFFFFF"/>
          </w:tcPr>
          <w:p w14:paraId="4CF8A8DD" w14:textId="2DA32D3A" w:rsidR="003A7AF2" w:rsidRPr="004C357D" w:rsidRDefault="00090F3A" w:rsidP="00F40BF1">
            <w:pPr>
              <w:pStyle w:val="CETBodytext"/>
              <w:ind w:right="-1"/>
              <w:jc w:val="center"/>
              <w:rPr>
                <w:rFonts w:cs="Arial"/>
                <w:szCs w:val="18"/>
              </w:rPr>
            </w:pPr>
            <w:r w:rsidRPr="004C357D">
              <w:rPr>
                <w:rFonts w:cs="Arial"/>
                <w:szCs w:val="18"/>
              </w:rPr>
              <w:t>73.3 %</w:t>
            </w:r>
          </w:p>
        </w:tc>
        <w:tc>
          <w:tcPr>
            <w:tcW w:w="1359" w:type="dxa"/>
            <w:shd w:val="clear" w:color="auto" w:fill="FFFFFF"/>
          </w:tcPr>
          <w:p w14:paraId="7A72FC13" w14:textId="77777777" w:rsidR="003A7AF2" w:rsidRPr="004C357D" w:rsidRDefault="003A7AF2" w:rsidP="00F40BF1">
            <w:pPr>
              <w:pStyle w:val="CETBodytext"/>
              <w:ind w:right="-1"/>
              <w:jc w:val="center"/>
              <w:rPr>
                <w:rFonts w:cs="Arial"/>
                <w:szCs w:val="18"/>
              </w:rPr>
            </w:pPr>
          </w:p>
        </w:tc>
      </w:tr>
    </w:tbl>
    <w:p w14:paraId="50317DC3" w14:textId="77777777" w:rsidR="0013169B" w:rsidRDefault="0013169B" w:rsidP="00600535">
      <w:pPr>
        <w:pStyle w:val="CETBodytext"/>
      </w:pPr>
    </w:p>
    <w:p w14:paraId="641DF483" w14:textId="35887D08" w:rsidR="0013169B" w:rsidRDefault="007C4C9A" w:rsidP="00600535">
      <w:pPr>
        <w:pStyle w:val="CETBodytext"/>
      </w:pPr>
      <w:r w:rsidRPr="004C357D">
        <w:t>The acid recovery predicted by the UNIFAC-LL model implemented in Aspen Plus® at equilibrium was 92.5% for butyric acid and 78</w:t>
      </w:r>
      <w:r w:rsidR="008A32B8">
        <w:t>.0</w:t>
      </w:r>
      <w:r w:rsidRPr="004C357D">
        <w:t>% for propionic acid. Since UNIFAC</w:t>
      </w:r>
      <w:r w:rsidR="00774F6B">
        <w:t>-LL</w:t>
      </w:r>
      <w:r w:rsidRPr="004C357D">
        <w:t xml:space="preserve"> is a predictive model based on the functional groups of the molecule, the interaction parameters are estimated according to the model and can be determined with good accuracy (</w:t>
      </w:r>
      <w:r w:rsidR="008A32B8">
        <w:t>Fredenslund</w:t>
      </w:r>
      <w:r w:rsidRPr="004C357D">
        <w:t xml:space="preserve"> et al., 1975). The simulated results demonstrated accuracy in describing the liquid-liquid extraction between the solvent and the </w:t>
      </w:r>
      <w:r w:rsidR="00B23E7B">
        <w:t xml:space="preserve">organic </w:t>
      </w:r>
      <w:r w:rsidRPr="004C357D">
        <w:t xml:space="preserve">acids, yielding results that closely matched the experimental data, although propionic acid showed </w:t>
      </w:r>
      <w:r w:rsidR="00B23E7B">
        <w:t>a</w:t>
      </w:r>
      <w:r w:rsidRPr="004C357D">
        <w:t xml:space="preserve"> deviation from the empirical data. The difference between the simulated and experimental results was approximately 1% for butyric acid and </w:t>
      </w:r>
      <w:r w:rsidR="006D415C">
        <w:t>4.7</w:t>
      </w:r>
      <w:r w:rsidRPr="004C357D">
        <w:t>% for propionic acid. Woo &amp; Kim (2019) simulated a plant in Aspen Plus</w:t>
      </w:r>
      <w:r w:rsidR="001B0016" w:rsidRPr="004C357D">
        <w:t xml:space="preserve"> </w:t>
      </w:r>
      <w:r w:rsidRPr="004C357D">
        <w:t>® for the recovery of C2-C6 bio-based volatile fatty acids using different solvents and applied NR</w:t>
      </w:r>
      <w:r w:rsidR="00B02DF2">
        <w:t>T</w:t>
      </w:r>
      <w:r w:rsidRPr="004C357D">
        <w:t>L and UNIFAC to estimate the interaction parameters based on the functional groups in the molecules studied. They found great accuracy in modeling the liquid-liquid equilibrium for acetic, propionic, butyric, and other acids with an ester as solvent, similar to the results of this work.</w:t>
      </w:r>
      <w:r w:rsidR="0014561C">
        <w:t xml:space="preserve"> </w:t>
      </w:r>
      <w:r w:rsidR="0013169B" w:rsidRPr="0013169B">
        <w:t>Although</w:t>
      </w:r>
      <w:r w:rsidR="0013169B">
        <w:t>, in this work,</w:t>
      </w:r>
      <w:r w:rsidR="0013169B" w:rsidRPr="0013169B">
        <w:t xml:space="preserve"> propionic acid showed a greater deviation from the experimental results, it was still acceptable for use in predictive models such as UNIFAC-LL.</w:t>
      </w:r>
    </w:p>
    <w:p w14:paraId="5A8CFA07" w14:textId="364A86B1" w:rsidR="00342D6F" w:rsidRPr="004C357D" w:rsidRDefault="003802CB" w:rsidP="00600535">
      <w:pPr>
        <w:pStyle w:val="CETBodytext"/>
      </w:pPr>
      <w:r w:rsidRPr="004C357D">
        <w:t>The strong correlation between the UNIFAC-LL model and the experimental data can be attributed to the fact that, in the UNIFAC modification (UNIFAC-LL), the group interaction parameters are derived from experimental correlation data specifically for liquid-liquid equilibrium (Magnussen et al., 1981)</w:t>
      </w:r>
      <w:r w:rsidR="00103760" w:rsidRPr="004C357D">
        <w:t>.</w:t>
      </w:r>
      <w:r w:rsidR="00FB06C6" w:rsidRPr="004C357D">
        <w:t xml:space="preserve"> In addition, all the molecules involved </w:t>
      </w:r>
      <w:r w:rsidR="006E79E8" w:rsidRPr="004C357D">
        <w:t xml:space="preserve">in the </w:t>
      </w:r>
      <w:r w:rsidR="00B23E7B" w:rsidRPr="00B23E7B">
        <w:t>experiment</w:t>
      </w:r>
      <w:r w:rsidR="006E79E8" w:rsidRPr="004C357D">
        <w:t xml:space="preserve"> are not complex and the </w:t>
      </w:r>
      <w:r w:rsidR="002D3A11" w:rsidRPr="004C357D">
        <w:t>interaction</w:t>
      </w:r>
      <w:r w:rsidR="006E79E8" w:rsidRPr="004C357D">
        <w:t xml:space="preserve"> </w:t>
      </w:r>
      <w:r w:rsidR="002D3A11" w:rsidRPr="004C357D">
        <w:t xml:space="preserve">parameters correlation </w:t>
      </w:r>
      <w:r w:rsidR="006E79E8" w:rsidRPr="004C357D">
        <w:t xml:space="preserve">between them are well established </w:t>
      </w:r>
      <w:r w:rsidR="002D3A11" w:rsidRPr="004C357D">
        <w:t>in the model.</w:t>
      </w:r>
    </w:p>
    <w:p w14:paraId="27CD3B70" w14:textId="0F1F7CE2" w:rsidR="007C4C9A" w:rsidRPr="0098348D" w:rsidRDefault="007C4C9A" w:rsidP="007C4C9A">
      <w:pPr>
        <w:pStyle w:val="CETHeading1"/>
      </w:pPr>
      <w:r w:rsidRPr="0098348D">
        <w:t>Conclusion</w:t>
      </w:r>
    </w:p>
    <w:p w14:paraId="644EE500" w14:textId="1073E45B" w:rsidR="00AC1874" w:rsidRPr="004C357D" w:rsidRDefault="00146222" w:rsidP="00600535">
      <w:pPr>
        <w:pStyle w:val="CETBodytext"/>
      </w:pPr>
      <w:r w:rsidRPr="004C357D">
        <w:t xml:space="preserve">This study demonstrated that liquid-liquid extraction of VFAs from synthetic </w:t>
      </w:r>
      <w:r w:rsidR="0047541B">
        <w:t xml:space="preserve">fermentation </w:t>
      </w:r>
      <w:r w:rsidRPr="004C357D">
        <w:t xml:space="preserve">media using ethyl acetate as a solvent is a viable and promising </w:t>
      </w:r>
      <w:r w:rsidR="0047541B">
        <w:t>method</w:t>
      </w:r>
      <w:r w:rsidRPr="004C357D">
        <w:t xml:space="preserve"> as it achieves high recovery yields, particularly for butyric acid, at </w:t>
      </w:r>
      <w:r w:rsidR="0047541B">
        <w:t>low</w:t>
      </w:r>
      <w:r w:rsidR="0047541B" w:rsidRPr="004C357D">
        <w:t xml:space="preserve"> </w:t>
      </w:r>
      <w:r w:rsidRPr="004C357D">
        <w:t xml:space="preserve">pH values. The optimal results were obtained when the pH was adjusted to 2.5, with average recoveries of 93% for butyric acid and 73% for propionic acid after 40 minutes of stirring, at which point equilibrium was reached. In contrast, the lowest </w:t>
      </w:r>
      <w:r w:rsidR="00EB39AB" w:rsidRPr="004C357D">
        <w:t>values</w:t>
      </w:r>
      <w:r w:rsidRPr="004C357D">
        <w:t xml:space="preserve"> were observed at pH 4.5, with average recoveries of approximately 67% for butyric acid and 39% for propionic acid after 40 minutes. These findings were expected, as increasing the pH of the acid solution leads to a higher proportion of the acids in their ionized form, which impedes their extraction by the solvent</w:t>
      </w:r>
      <w:r w:rsidR="0047541B">
        <w:t xml:space="preserve"> since the ionized form has more affinity for the polar solvent (water)</w:t>
      </w:r>
      <w:r w:rsidRPr="004C357D">
        <w:t>. To validate the UNIFAC-LL model, a simulation was conducted in Aspen Plus® using similar input conditions. The simulation results demonstrated excellent accuracy, with deviations of less than 1</w:t>
      </w:r>
      <w:r w:rsidR="00EB39AB" w:rsidRPr="004C357D">
        <w:t>% for</w:t>
      </w:r>
      <w:r w:rsidRPr="004C357D">
        <w:t xml:space="preserve"> butyric acid and 5</w:t>
      </w:r>
      <w:r w:rsidR="00EB39AB" w:rsidRPr="004C357D">
        <w:t xml:space="preserve"> </w:t>
      </w:r>
      <w:r w:rsidRPr="004C357D">
        <w:t>% for propionic acid. These results indicate that the UNIFAC-LL model effectively describes the liquid-liquid equilibrium between the VFAs solution and ethyl acetate, high</w:t>
      </w:r>
      <w:r w:rsidR="00EB39AB" w:rsidRPr="004C357D">
        <w:t>lighting</w:t>
      </w:r>
      <w:r w:rsidRPr="004C357D">
        <w:t xml:space="preserve"> the potential of ethyl acetate as a solvent for future studies</w:t>
      </w:r>
    </w:p>
    <w:p w14:paraId="7D2B9296" w14:textId="6E8C673F" w:rsidR="006A2C5F" w:rsidRPr="0098348D" w:rsidRDefault="008B2E93" w:rsidP="006A2C5F">
      <w:pPr>
        <w:pStyle w:val="CETHeading1"/>
      </w:pPr>
      <w:r w:rsidRPr="0098348D">
        <w:t>Acknowledgments</w:t>
      </w:r>
    </w:p>
    <w:p w14:paraId="54B383CE" w14:textId="3C6B876D" w:rsidR="00C1060C" w:rsidRPr="004C357D" w:rsidRDefault="00C1060C" w:rsidP="00682EB3">
      <w:pPr>
        <w:pStyle w:val="CETBodytext"/>
      </w:pPr>
      <w:r w:rsidRPr="004C357D">
        <w:t>The authors acknowledge the support of the “</w:t>
      </w:r>
      <w:r w:rsidRPr="004C357D">
        <w:rPr>
          <w:i/>
          <w:iCs/>
        </w:rPr>
        <w:t>Conselho Nacional de Desenvolvimento Científico e Tecnológico – CNPq”</w:t>
      </w:r>
      <w:r w:rsidR="00682EB3" w:rsidRPr="004C357D">
        <w:rPr>
          <w:i/>
          <w:iCs/>
        </w:rPr>
        <w:t>,</w:t>
      </w:r>
      <w:r w:rsidR="00682EB3" w:rsidRPr="00682EB3">
        <w:t xml:space="preserve"> </w:t>
      </w:r>
      <w:r w:rsidR="00682EB3">
        <w:t>C</w:t>
      </w:r>
      <w:r w:rsidR="00682EB3" w:rsidRPr="004C357D">
        <w:t>APES - Finance Code 001</w:t>
      </w:r>
      <w:r w:rsidR="00682EB3">
        <w:t>,</w:t>
      </w:r>
      <w:r w:rsidR="00B23E7B" w:rsidRPr="00682EB3">
        <w:t xml:space="preserve"> and</w:t>
      </w:r>
      <w:r w:rsidRPr="004C357D">
        <w:t xml:space="preserve"> </w:t>
      </w:r>
      <w:r w:rsidR="00460F49">
        <w:t>FAPESP</w:t>
      </w:r>
      <w:r w:rsidR="00B23E7B" w:rsidRPr="00682EB3">
        <w:t xml:space="preserve"> (#2022/16379-8 and #2024/21072-4)</w:t>
      </w:r>
      <w:r w:rsidR="00B23E7B" w:rsidRPr="004C357D">
        <w:t>.</w:t>
      </w:r>
    </w:p>
    <w:p w14:paraId="5F2FBA37" w14:textId="17CB35A8" w:rsidR="00C1060C" w:rsidRPr="004C357D" w:rsidRDefault="0089729A" w:rsidP="00C1060C">
      <w:pPr>
        <w:pStyle w:val="CETHeading1"/>
      </w:pPr>
      <w:r w:rsidRPr="004C357D">
        <w:lastRenderedPageBreak/>
        <w:t>References</w:t>
      </w:r>
    </w:p>
    <w:p w14:paraId="39016A81" w14:textId="77777777" w:rsidR="00CD3D53" w:rsidRPr="00CD3D53" w:rsidRDefault="00CD3D53" w:rsidP="004C357D">
      <w:pPr>
        <w:pStyle w:val="CETReferencetext"/>
      </w:pPr>
      <w:r w:rsidRPr="00CD3D53">
        <w:t>Atasoy M., Owusu-Agyeman I., Plaza E., Cetecioglu Z., 2018, Bio-based volatile fatty acids production and recovery from waste streams: current status and future challenges. Bioresource Technology, 268, 773-786.</w:t>
      </w:r>
    </w:p>
    <w:p w14:paraId="065FA458" w14:textId="77777777" w:rsidR="00CD3D53" w:rsidRPr="00CD3D53" w:rsidRDefault="00CD3D53" w:rsidP="004C357D">
      <w:pPr>
        <w:pStyle w:val="CETReferencetext"/>
      </w:pPr>
      <w:r w:rsidRPr="00CD3D53">
        <w:t xml:space="preserve">Atasoy M., Cetecioglu Z., 2020, Butyric acid dominant volatile fatty acids production: Bio-Augmentation of mixed culture fermentation by </w:t>
      </w:r>
      <w:r w:rsidRPr="004C357D">
        <w:t>Clostridium butyricum</w:t>
      </w:r>
      <w:r w:rsidRPr="00CD3D53">
        <w:t>, Journal of Environmental Chemical Engineering, 8, 104496.</w:t>
      </w:r>
    </w:p>
    <w:p w14:paraId="72104E13" w14:textId="096AE93E" w:rsidR="00CD3D53" w:rsidRPr="004C357D" w:rsidRDefault="00CD3D53" w:rsidP="004C357D">
      <w:pPr>
        <w:pStyle w:val="CETReferencetext"/>
      </w:pPr>
      <w:r w:rsidRPr="004C357D">
        <w:t>Alao A.I.</w:t>
      </w:r>
      <w:r w:rsidRPr="00CD3D53">
        <w:t>,</w:t>
      </w:r>
      <w:r w:rsidRPr="004C357D">
        <w:t xml:space="preserve"> Agarry S.E.</w:t>
      </w:r>
      <w:r w:rsidRPr="00CD3D53">
        <w:t>,</w:t>
      </w:r>
      <w:r w:rsidRPr="004C357D">
        <w:t xml:space="preserve"> Afolabi T.J.</w:t>
      </w:r>
      <w:r w:rsidRPr="00CD3D53">
        <w:t>,</w:t>
      </w:r>
      <w:r w:rsidRPr="004C357D">
        <w:t xml:space="preserve"> </w:t>
      </w:r>
      <w:r w:rsidRPr="00CD3D53">
        <w:t xml:space="preserve">2023, </w:t>
      </w:r>
      <w:r w:rsidRPr="004C357D">
        <w:t>Extraction of Lactic Acid from Fermentation Broth Using Long Chain Alkanoates</w:t>
      </w:r>
      <w:r w:rsidRPr="00CD3D53">
        <w:t>, Journal of Chemical Engineering Data,</w:t>
      </w:r>
      <w:r w:rsidRPr="004C357D">
        <w:t xml:space="preserve"> 68, 2686-2697.</w:t>
      </w:r>
    </w:p>
    <w:p w14:paraId="2D313E84" w14:textId="501349F0" w:rsidR="00B23E7B" w:rsidRDefault="00B23E7B" w:rsidP="00B23E7B">
      <w:pPr>
        <w:pStyle w:val="CETReferencetext"/>
      </w:pPr>
      <w:r w:rsidRPr="00B23E7B">
        <w:t>Bekatorou A.</w:t>
      </w:r>
      <w:r w:rsidR="0047541B">
        <w:t xml:space="preserve">, </w:t>
      </w:r>
      <w:r w:rsidR="0047541B" w:rsidRPr="0047541B">
        <w:t xml:space="preserve">Dima A., Tsafrakidou P., Boura K., Lappa K., Kandylis P., Pissaridi P., Kanellaki M., Koutinas A.A., </w:t>
      </w:r>
      <w:r w:rsidR="0047541B">
        <w:t xml:space="preserve">2016, </w:t>
      </w:r>
      <w:r w:rsidRPr="00B23E7B">
        <w:t>Downstream extraction process development for recovery of organic acids from a fermentation broth</w:t>
      </w:r>
      <w:r w:rsidR="0047541B">
        <w:t>,</w:t>
      </w:r>
      <w:r w:rsidRPr="00B23E7B">
        <w:t xml:space="preserve"> Bioresource Technology, 220, p. 34-37.</w:t>
      </w:r>
    </w:p>
    <w:p w14:paraId="55382611" w14:textId="01255285" w:rsidR="00B23E7B" w:rsidRPr="00B23E7B" w:rsidRDefault="0047541B" w:rsidP="004C357D">
      <w:pPr>
        <w:pStyle w:val="CETReferencetext"/>
      </w:pPr>
      <w:r w:rsidRPr="0047541B">
        <w:t>Bilgin</w:t>
      </w:r>
      <w:r>
        <w:t xml:space="preserve"> M., </w:t>
      </w:r>
      <w:r w:rsidRPr="0047541B">
        <w:t>Kırbaşlar Ş.İ</w:t>
      </w:r>
      <w:r>
        <w:t xml:space="preserve">., </w:t>
      </w:r>
      <w:r w:rsidRPr="0047541B">
        <w:t>Özcan</w:t>
      </w:r>
      <w:r>
        <w:t xml:space="preserve"> </w:t>
      </w:r>
      <w:r w:rsidRPr="0047541B">
        <w:t>Ö</w:t>
      </w:r>
      <w:r>
        <w:t xml:space="preserve">, </w:t>
      </w:r>
      <w:r w:rsidRPr="0047541B">
        <w:t>Dramur</w:t>
      </w:r>
      <w:r>
        <w:t xml:space="preserve"> U., 2006, </w:t>
      </w:r>
      <w:r w:rsidR="00B23E7B" w:rsidRPr="00B23E7B">
        <w:t>Distribution of Butyric Acid between Water and Several Solvents</w:t>
      </w:r>
      <w:r>
        <w:t>,</w:t>
      </w:r>
      <w:r w:rsidR="00B23E7B" w:rsidRPr="00B23E7B">
        <w:t xml:space="preserve"> Journal Chemical Engineering </w:t>
      </w:r>
      <w:r>
        <w:t>D</w:t>
      </w:r>
      <w:r w:rsidR="00B23E7B" w:rsidRPr="00B23E7B">
        <w:t>ata, 51, 1546-1550.</w:t>
      </w:r>
    </w:p>
    <w:p w14:paraId="66194B64" w14:textId="5AB103A7" w:rsidR="00B23E7B" w:rsidRPr="00B23E7B" w:rsidRDefault="00B23E7B" w:rsidP="004C357D">
      <w:pPr>
        <w:pStyle w:val="CETReferencetext"/>
      </w:pPr>
      <w:r w:rsidRPr="00B23E7B">
        <w:t>Bilgin M.</w:t>
      </w:r>
      <w:r w:rsidR="00CB16DB">
        <w:t>,</w:t>
      </w:r>
      <w:r w:rsidRPr="00B23E7B">
        <w:t xml:space="preserve"> Arisoy Ç.</w:t>
      </w:r>
      <w:r w:rsidR="00CB16DB">
        <w:t>,</w:t>
      </w:r>
      <w:r w:rsidR="00CB16DB" w:rsidRPr="00CB16DB">
        <w:t xml:space="preserve"> </w:t>
      </w:r>
      <w:r w:rsidR="00CB16DB" w:rsidRPr="0047541B">
        <w:t>Kırbaşlar Ş.İ</w:t>
      </w:r>
      <w:r w:rsidR="00CB16DB">
        <w:t>., 2009,</w:t>
      </w:r>
      <w:r w:rsidRPr="00B23E7B">
        <w:t xml:space="preserve"> Extraction Equilibria of Propionic and Butyric Acids with Tri-n-octylphosphine Oxide/Diluent Systems</w:t>
      </w:r>
      <w:r w:rsidR="00CB16DB">
        <w:t xml:space="preserve">, </w:t>
      </w:r>
      <w:r w:rsidRPr="00B23E7B">
        <w:t>Journal of Chemical &amp; Engineering Data, 54</w:t>
      </w:r>
      <w:r w:rsidR="00CB16DB">
        <w:t xml:space="preserve">, </w:t>
      </w:r>
      <w:r w:rsidRPr="00B23E7B">
        <w:t>3008-3013.</w:t>
      </w:r>
    </w:p>
    <w:p w14:paraId="7A5708AC" w14:textId="4D2D1E47" w:rsidR="00B23E7B" w:rsidRPr="004C357D" w:rsidRDefault="00B23E7B" w:rsidP="004C357D">
      <w:pPr>
        <w:pStyle w:val="CETReferencetext"/>
      </w:pPr>
      <w:r w:rsidRPr="004C357D">
        <w:t>Chaves, I.D.G</w:t>
      </w:r>
      <w:r w:rsidR="00CB16DB" w:rsidRPr="00CB16DB">
        <w:t>.</w:t>
      </w:r>
      <w:r w:rsidRPr="004C357D">
        <w:t>,</w:t>
      </w:r>
      <w:r w:rsidR="00CB16DB" w:rsidRPr="00CB16DB">
        <w:t xml:space="preserve"> Lopes J.</w:t>
      </w:r>
      <w:r w:rsidR="00CB16DB" w:rsidRPr="004C357D">
        <w:t>R.G, Zapata J.L.G, Robayo A.L., Niño G.</w:t>
      </w:r>
      <w:r w:rsidR="00CB16DB">
        <w:t xml:space="preserve">R., 2016, </w:t>
      </w:r>
      <w:r w:rsidRPr="004C357D">
        <w:t>Process Analysis and Simulation in Chemical Engineering</w:t>
      </w:r>
      <w:r w:rsidR="00CB16DB">
        <w:t>,</w:t>
      </w:r>
      <w:r w:rsidRPr="004C357D">
        <w:t xml:space="preserve"> Switzerland: Springer.</w:t>
      </w:r>
    </w:p>
    <w:p w14:paraId="77F4A551" w14:textId="35DFF815" w:rsidR="00B23E7B" w:rsidRPr="004C357D" w:rsidRDefault="00B23E7B" w:rsidP="004C357D">
      <w:pPr>
        <w:pStyle w:val="CETReferencetext"/>
      </w:pPr>
      <w:r w:rsidRPr="004C357D">
        <w:t>Corridor, E.C.</w:t>
      </w:r>
      <w:r w:rsidR="00CB16DB">
        <w:t>, Chitta P., Deo M.D., 2019,</w:t>
      </w:r>
      <w:r w:rsidRPr="004C357D">
        <w:t xml:space="preserve"> Techno-economic evaluation of a process for direct conversion of methane to aromatics. Fuel Processing Technology, 183, 55-61.</w:t>
      </w:r>
    </w:p>
    <w:p w14:paraId="05DF6934" w14:textId="42E5C822" w:rsidR="00B23E7B" w:rsidRPr="004C357D" w:rsidRDefault="00B23E7B" w:rsidP="004C357D">
      <w:pPr>
        <w:pStyle w:val="CETReferencetext"/>
      </w:pPr>
      <w:r w:rsidRPr="004C357D">
        <w:t>Chen C.</w:t>
      </w:r>
      <w:r w:rsidR="00CB16DB">
        <w:t>, Zhang X., Liu C., Wu Y., Zheng G., Chen Y, 2022,</w:t>
      </w:r>
      <w:r w:rsidRPr="004C357D">
        <w:t xml:space="preserve"> Advances in downstream processes and applications of biological carboxylic acids derived from organic wastes</w:t>
      </w:r>
      <w:r w:rsidR="00CB16DB">
        <w:t>,</w:t>
      </w:r>
      <w:r w:rsidRPr="004C357D">
        <w:t xml:space="preserve"> Bioresource Technology</w:t>
      </w:r>
      <w:r w:rsidR="00CB16DB">
        <w:t>, 126609.</w:t>
      </w:r>
    </w:p>
    <w:p w14:paraId="18141626" w14:textId="3CE6E6E1" w:rsidR="00B23E7B" w:rsidRPr="00B23E7B" w:rsidRDefault="00B23E7B" w:rsidP="00B23E7B">
      <w:pPr>
        <w:pStyle w:val="CETReferencetext"/>
      </w:pPr>
      <w:r w:rsidRPr="00B23E7B">
        <w:t>Fredenslund, A.; Jones, R. L.</w:t>
      </w:r>
      <w:r w:rsidR="00CB16DB">
        <w:t>,</w:t>
      </w:r>
      <w:r w:rsidRPr="00B23E7B">
        <w:t xml:space="preserve"> Prausnitz, J. M.</w:t>
      </w:r>
      <w:r w:rsidR="00CB16DB">
        <w:t>, 1975,</w:t>
      </w:r>
      <w:r w:rsidRPr="00B23E7B">
        <w:t xml:space="preserve"> Group-contribution estimation of activity coefficients in nonideal liquid mixtures</w:t>
      </w:r>
      <w:r w:rsidR="00CB16DB">
        <w:t>,</w:t>
      </w:r>
      <w:r w:rsidRPr="00B23E7B">
        <w:t xml:space="preserve"> American Institute of Chemical Engineers Journal, 21(6), 1086–1099.</w:t>
      </w:r>
    </w:p>
    <w:p w14:paraId="017C15EC" w14:textId="77777777" w:rsidR="00CD3D53" w:rsidRPr="00B23E7B" w:rsidRDefault="00CD3D53" w:rsidP="00CD3D53">
      <w:pPr>
        <w:pStyle w:val="CETReferencetext"/>
      </w:pPr>
      <w:r w:rsidRPr="008E3E2E">
        <w:t>Gerunova L.K.</w:t>
      </w:r>
      <w:r>
        <w:t xml:space="preserve">, Gerunov T.V., </w:t>
      </w:r>
      <w:r w:rsidRPr="00CD3D53">
        <w:t>P’yanova L.G.,Lavrenov A.V., Sedanova A.V., Delyagina M.S.</w:t>
      </w:r>
      <w:r>
        <w:t>, Fedorov Y.N., Kornienko N.V., Kryuchek Y.O., Tarasenko A.A., 2024,</w:t>
      </w:r>
      <w:r w:rsidRPr="00CD3D53" w:rsidDel="00CD3D53">
        <w:t xml:space="preserve"> </w:t>
      </w:r>
      <w:r w:rsidRPr="00B23E7B">
        <w:t>Butyric acid and prospects for creation of new medicines based on its derivatives: a literature review</w:t>
      </w:r>
      <w:r>
        <w:t>,</w:t>
      </w:r>
      <w:r w:rsidRPr="00B23E7B">
        <w:t xml:space="preserve"> Journal of Veterinary Science</w:t>
      </w:r>
      <w:r>
        <w:t>, 25(2):e23.</w:t>
      </w:r>
    </w:p>
    <w:p w14:paraId="7BC0292F" w14:textId="396A737F" w:rsidR="00B23E7B" w:rsidRPr="004C357D" w:rsidRDefault="00B23E7B" w:rsidP="00B23E7B">
      <w:pPr>
        <w:pStyle w:val="CETReferencetext"/>
      </w:pPr>
      <w:r w:rsidRPr="004C357D">
        <w:t>Jiang L.</w:t>
      </w:r>
      <w:r w:rsidR="00CB16DB">
        <w:t>, Fu H., Yang H.K., Xu W., Wang J., Yang S.-T., 2018,</w:t>
      </w:r>
      <w:r w:rsidRPr="004C357D">
        <w:t xml:space="preserve"> Butyric acid: Applications and recent advances in its bioproduction</w:t>
      </w:r>
      <w:r w:rsidR="00CB16DB">
        <w:t>,</w:t>
      </w:r>
      <w:r w:rsidRPr="004C357D">
        <w:t xml:space="preserve"> Biotechnology Advances</w:t>
      </w:r>
      <w:r w:rsidR="00CB16DB">
        <w:t>, 8, 2101-2117</w:t>
      </w:r>
      <w:r w:rsidRPr="004C357D">
        <w:t>.</w:t>
      </w:r>
    </w:p>
    <w:p w14:paraId="0ED656C0" w14:textId="4E958E87" w:rsidR="00B23E7B" w:rsidRPr="003B22B7" w:rsidRDefault="00B23E7B" w:rsidP="00B23E7B">
      <w:pPr>
        <w:pStyle w:val="CETReferencetext"/>
      </w:pPr>
      <w:r w:rsidRPr="00B23E7B">
        <w:t>Keshav A</w:t>
      </w:r>
      <w:r w:rsidR="00CB16DB">
        <w:t>.</w:t>
      </w:r>
      <w:r w:rsidRPr="00B23E7B">
        <w:t>, Wasewar K.L</w:t>
      </w:r>
      <w:r w:rsidR="00CB16DB">
        <w:t>.</w:t>
      </w:r>
      <w:r w:rsidRPr="00B23E7B">
        <w:t>, Chand S.</w:t>
      </w:r>
      <w:r w:rsidR="00CB16DB">
        <w:t>, 2008,</w:t>
      </w:r>
      <w:r w:rsidRPr="00B23E7B">
        <w:t xml:space="preserve"> Extraction of propionic acid with tri-n-octyl amine in different diluents. Separation and Purification Technology, 63, 179-183.</w:t>
      </w:r>
    </w:p>
    <w:p w14:paraId="16990CAE" w14:textId="4214A4A6" w:rsidR="0099009F" w:rsidRPr="004C357D" w:rsidRDefault="0099009F" w:rsidP="00B23E7B">
      <w:pPr>
        <w:pStyle w:val="CETReferencetext"/>
      </w:pPr>
      <w:r w:rsidRPr="004C357D">
        <w:t>Leal Silva J.F., Maciel Filho R., Wolf Maciel M.R., 2018, Comparison of extraction solvents in the recovery of levulinic acid from biomass hydrolysate using a group contribution method, Chemical Engineering Transactions, 69, 373-378.</w:t>
      </w:r>
    </w:p>
    <w:p w14:paraId="63D43362" w14:textId="00D2E267" w:rsidR="0099009F" w:rsidRPr="004C357D" w:rsidRDefault="0099009F" w:rsidP="00B23E7B">
      <w:pPr>
        <w:pStyle w:val="CETReferencetext"/>
      </w:pPr>
      <w:r w:rsidRPr="004C357D">
        <w:t>Leal Silva J.F., Maciel Filho R., 2024, Techno-economic Analysis and Life Cycle Assessment of Renewable Acetaldehyde from Sugarcane Ethanol, Chemical Engineering Transactions, 109, 175-180.</w:t>
      </w:r>
    </w:p>
    <w:p w14:paraId="68B44DA9" w14:textId="3EA63DD4" w:rsidR="00BE5B5B" w:rsidRPr="00B23E7B" w:rsidRDefault="00BE5B5B" w:rsidP="00B23E7B">
      <w:pPr>
        <w:pStyle w:val="CETReferencetext"/>
      </w:pPr>
      <w:r w:rsidRPr="00B23E7B">
        <w:t>López-Garzón, C.S.</w:t>
      </w:r>
      <w:r w:rsidR="00CB16DB">
        <w:t>,</w:t>
      </w:r>
      <w:r w:rsidRPr="00B23E7B">
        <w:t xml:space="preserve"> Straathof, </w:t>
      </w:r>
      <w:r w:rsidR="00CB16DB">
        <w:t>A.</w:t>
      </w:r>
      <w:r w:rsidRPr="00B23E7B">
        <w:t>J.J.</w:t>
      </w:r>
      <w:r w:rsidR="00CB16DB">
        <w:t>, 2014,</w:t>
      </w:r>
      <w:r w:rsidRPr="00B23E7B">
        <w:t xml:space="preserve"> Recovery of carboxylic acids produced by fermentation. Biotechnology Advances</w:t>
      </w:r>
      <w:r w:rsidR="00CB16DB">
        <w:t>, 5, 873-904</w:t>
      </w:r>
      <w:r w:rsidRPr="00B23E7B">
        <w:t>.</w:t>
      </w:r>
    </w:p>
    <w:p w14:paraId="572F0BE6" w14:textId="42FDF78F" w:rsidR="00B23E7B" w:rsidRPr="004C357D" w:rsidRDefault="00B23E7B" w:rsidP="00B23E7B">
      <w:pPr>
        <w:pStyle w:val="CETReferencetext"/>
      </w:pPr>
      <w:r w:rsidRPr="004C357D">
        <w:t>Luo H.</w:t>
      </w:r>
      <w:r w:rsidR="00CB16DB">
        <w:t xml:space="preserve">, Yang R., Zhao Y., Wang Z., </w:t>
      </w:r>
      <w:r w:rsidR="00340A61">
        <w:t>Liu Z., Huang M., Zeng Q.,</w:t>
      </w:r>
      <w:r w:rsidRPr="004C357D">
        <w:t xml:space="preserve"> </w:t>
      </w:r>
      <w:r w:rsidR="00340A61">
        <w:t xml:space="preserve">2018, </w:t>
      </w:r>
      <w:r w:rsidRPr="004C357D">
        <w:t>Recent advances and strategies in process and strain engineering for the production of butyric acid by microbial fermentation</w:t>
      </w:r>
      <w:r w:rsidR="00340A61">
        <w:t>,</w:t>
      </w:r>
      <w:r w:rsidRPr="004C357D">
        <w:t xml:space="preserve"> Bioresource Technology</w:t>
      </w:r>
      <w:r w:rsidR="00340A61">
        <w:t>, 253, 343-354</w:t>
      </w:r>
      <w:r w:rsidRPr="004C357D">
        <w:t xml:space="preserve">. </w:t>
      </w:r>
    </w:p>
    <w:p w14:paraId="4EEF80CA" w14:textId="1834CFF0" w:rsidR="00B23E7B" w:rsidRPr="00B23E7B" w:rsidRDefault="00B23E7B" w:rsidP="00B23E7B">
      <w:pPr>
        <w:pStyle w:val="CETReferencetext"/>
      </w:pPr>
      <w:r w:rsidRPr="00B23E7B">
        <w:t>Magnussen T.</w:t>
      </w:r>
      <w:r w:rsidR="00340A61">
        <w:t>,</w:t>
      </w:r>
      <w:r w:rsidRPr="00B23E7B">
        <w:t xml:space="preserve"> Rasmussen P.</w:t>
      </w:r>
      <w:r w:rsidR="00340A61">
        <w:t>,</w:t>
      </w:r>
      <w:r w:rsidRPr="00B23E7B">
        <w:t xml:space="preserve"> Fredenslund A.</w:t>
      </w:r>
      <w:r w:rsidR="00340A61">
        <w:t>, 1981,</w:t>
      </w:r>
      <w:r w:rsidRPr="00B23E7B">
        <w:t xml:space="preserve"> UNIFAC parameter table for prediction of liquid-liquid equilibriums</w:t>
      </w:r>
      <w:r w:rsidR="00340A61">
        <w:t>,</w:t>
      </w:r>
      <w:r w:rsidRPr="00B23E7B">
        <w:t xml:space="preserve"> Industrial and Engineering Chemistry Process Design and Development, 20, 331–339.</w:t>
      </w:r>
    </w:p>
    <w:p w14:paraId="4981B0E6" w14:textId="6088BA7D" w:rsidR="00B23E7B" w:rsidRPr="004C357D" w:rsidRDefault="00B23E7B" w:rsidP="00B23E7B">
      <w:pPr>
        <w:pStyle w:val="CETReferencetext"/>
      </w:pPr>
      <w:r w:rsidRPr="004C357D">
        <w:t>Malik H.</w:t>
      </w:r>
      <w:r w:rsidR="00340A61">
        <w:t xml:space="preserve">, Khan H.W., Shah M.U.H., Ahmad M.I., Khan I., Al-Kahtani A.A., </w:t>
      </w:r>
      <w:r w:rsidR="00340A61" w:rsidRPr="00340A61">
        <w:t xml:space="preserve">Sillanpää </w:t>
      </w:r>
      <w:r w:rsidR="00340A61">
        <w:t>M., 2023,</w:t>
      </w:r>
      <w:r w:rsidR="00340A61" w:rsidRPr="00340A61">
        <w:t xml:space="preserve"> </w:t>
      </w:r>
      <w:r w:rsidRPr="004C357D">
        <w:t>Screening of ionic liquids as green entrainers for ethanol water separation by extractive distillation: COSMO-RS prediction and aspen plus simulation. Chemosphere, 311</w:t>
      </w:r>
      <w:r w:rsidR="00340A61">
        <w:t>, 136901</w:t>
      </w:r>
      <w:r w:rsidRPr="004C357D">
        <w:t>.</w:t>
      </w:r>
    </w:p>
    <w:p w14:paraId="37180951" w14:textId="77723E7D" w:rsidR="00B23E7B" w:rsidRDefault="00B23E7B" w:rsidP="00B23E7B">
      <w:pPr>
        <w:pStyle w:val="CETReferencetext"/>
      </w:pPr>
      <w:r w:rsidRPr="004C357D">
        <w:t xml:space="preserve">Market Research Future, </w:t>
      </w:r>
      <w:r w:rsidR="00340A61">
        <w:t xml:space="preserve">2023, </w:t>
      </w:r>
      <w:r w:rsidRPr="004C357D">
        <w:t>Global Propionic Acid Market 2023-2032</w:t>
      </w:r>
      <w:r w:rsidR="00340A61">
        <w:t xml:space="preserve"> (report)</w:t>
      </w:r>
      <w:r w:rsidRPr="004C357D">
        <w:t xml:space="preserve">.  </w:t>
      </w:r>
    </w:p>
    <w:p w14:paraId="6D8172AC" w14:textId="2C601F99" w:rsidR="00B23E7B" w:rsidRPr="004C357D" w:rsidRDefault="00340A61" w:rsidP="00B23E7B">
      <w:pPr>
        <w:pStyle w:val="CETReferencetext"/>
      </w:pPr>
      <w:r w:rsidRPr="00340A61">
        <w:t>Mazur-Kuśnirek</w:t>
      </w:r>
      <w:r>
        <w:t xml:space="preserve"> M.</w:t>
      </w:r>
      <w:r w:rsidRPr="00340A61">
        <w:t>, Lipiński</w:t>
      </w:r>
      <w:r>
        <w:t xml:space="preserve"> </w:t>
      </w:r>
      <w:r w:rsidRPr="00340A61">
        <w:t>K., Antoszkiewicz</w:t>
      </w:r>
      <w:r>
        <w:t xml:space="preserve"> </w:t>
      </w:r>
      <w:r w:rsidRPr="00340A61">
        <w:t>Z., Matusevičius P.</w:t>
      </w:r>
      <w:r>
        <w:t xml:space="preserve">, 2024, </w:t>
      </w:r>
      <w:r w:rsidR="00B23E7B" w:rsidRPr="004C357D">
        <w:t>Different forms of butyric acid in poultry nutrition - a review</w:t>
      </w:r>
      <w:r>
        <w:t>,</w:t>
      </w:r>
      <w:r w:rsidR="00B23E7B" w:rsidRPr="004C357D">
        <w:t xml:space="preserve"> Journal of Animal and Feed Sciences</w:t>
      </w:r>
      <w:r>
        <w:t>, 33, 3</w:t>
      </w:r>
      <w:r w:rsidR="00B23E7B" w:rsidRPr="004C357D">
        <w:t>.</w:t>
      </w:r>
    </w:p>
    <w:p w14:paraId="68144B9F" w14:textId="46F49DAF" w:rsidR="00BE5B5B" w:rsidRPr="00B23E7B" w:rsidRDefault="00BE5B5B" w:rsidP="00B23E7B">
      <w:pPr>
        <w:pStyle w:val="CETReferencetext"/>
      </w:pPr>
      <w:r w:rsidRPr="00B23E7B">
        <w:t>Sun S.</w:t>
      </w:r>
      <w:r w:rsidR="00340A61">
        <w:t xml:space="preserve">, Wang X., Cheng S., Lei Y., Sun W., Wang K., Li Z., 2024, </w:t>
      </w:r>
      <w:r w:rsidRPr="00B23E7B">
        <w:t>A review of volatile fatty acids production from organic wastes: Intensification techniques and separation methods</w:t>
      </w:r>
      <w:r w:rsidR="00340A61">
        <w:t>,</w:t>
      </w:r>
      <w:r w:rsidRPr="00B23E7B">
        <w:t xml:space="preserve"> Journal of Environmental Management</w:t>
      </w:r>
      <w:r w:rsidR="00340A61">
        <w:t>, 121062</w:t>
      </w:r>
      <w:r w:rsidRPr="00B23E7B">
        <w:t>.</w:t>
      </w:r>
    </w:p>
    <w:p w14:paraId="6DA5FCEF" w14:textId="3430362B" w:rsidR="00BE5B5B" w:rsidRPr="00B23E7B" w:rsidRDefault="00BE5B5B" w:rsidP="00B23E7B">
      <w:pPr>
        <w:pStyle w:val="CETReferencetext"/>
      </w:pPr>
      <w:r w:rsidRPr="00B23E7B">
        <w:t>Technavio</w:t>
      </w:r>
      <w:r w:rsidR="00340A61">
        <w:t>, 2024,</w:t>
      </w:r>
      <w:r w:rsidRPr="00B23E7B">
        <w:t xml:space="preserve"> Global Butyric Acid Market 2024-2028</w:t>
      </w:r>
      <w:r w:rsidR="00340A61">
        <w:t xml:space="preserve"> (report)</w:t>
      </w:r>
      <w:r w:rsidRPr="00B23E7B">
        <w:t>.</w:t>
      </w:r>
    </w:p>
    <w:p w14:paraId="6E4DC187" w14:textId="3339DEBC" w:rsidR="00B23E7B" w:rsidRPr="004C357D" w:rsidRDefault="00B23E7B" w:rsidP="00B23E7B">
      <w:pPr>
        <w:pStyle w:val="CETReferencetext"/>
      </w:pPr>
      <w:r w:rsidRPr="004C357D">
        <w:t>Woo H. C., Young H. K</w:t>
      </w:r>
      <w:r w:rsidR="00682EB3">
        <w:t>.</w:t>
      </w:r>
      <w:r w:rsidRPr="004C357D">
        <w:t xml:space="preserve">, </w:t>
      </w:r>
      <w:r w:rsidR="00682EB3">
        <w:t xml:space="preserve">2019, </w:t>
      </w:r>
      <w:r w:rsidRPr="004C357D">
        <w:t>Eco-efficient recovery of bio-based volatile C2–6 fatty acids</w:t>
      </w:r>
      <w:r w:rsidR="00682EB3">
        <w:t>,</w:t>
      </w:r>
      <w:r w:rsidRPr="004C357D">
        <w:t xml:space="preserve"> Biotechnology for Biofuels, 12, 1-11</w:t>
      </w:r>
      <w:r w:rsidR="00682EB3">
        <w:t>.</w:t>
      </w:r>
      <w:r w:rsidRPr="004C357D">
        <w:t xml:space="preserve"> </w:t>
      </w:r>
    </w:p>
    <w:p w14:paraId="7ED671E5" w14:textId="1EC0BF68" w:rsidR="00752DE7" w:rsidRPr="00B23E7B" w:rsidRDefault="00BE5B5B" w:rsidP="00B23E7B">
      <w:pPr>
        <w:pStyle w:val="CETReferencetext"/>
      </w:pPr>
      <w:r w:rsidRPr="00B23E7B">
        <w:t>Xu</w:t>
      </w:r>
      <w:r w:rsidR="006577CC" w:rsidRPr="00B23E7B">
        <w:t xml:space="preserve"> Z.,</w:t>
      </w:r>
      <w:r w:rsidRPr="00B23E7B">
        <w:t xml:space="preserve"> Jiang., 2011</w:t>
      </w:r>
      <w:r w:rsidR="00682EB3">
        <w:t>,</w:t>
      </w:r>
      <w:r w:rsidR="00C84380" w:rsidRPr="00B23E7B">
        <w:t xml:space="preserve"> Butyric Acid. </w:t>
      </w:r>
      <w:r w:rsidR="00665798" w:rsidRPr="00B23E7B">
        <w:t>Elsevier, B.V</w:t>
      </w:r>
      <w:r w:rsidR="00682EB3">
        <w:t>.</w:t>
      </w:r>
      <w:r w:rsidR="00AF3CFF" w:rsidRPr="00B23E7B">
        <w:t>,</w:t>
      </w:r>
      <w:r w:rsidR="00665798" w:rsidRPr="00B23E7B">
        <w:t xml:space="preserve"> </w:t>
      </w:r>
      <w:r w:rsidR="00C84380" w:rsidRPr="00B23E7B">
        <w:t>Bio-Based Chemicals</w:t>
      </w:r>
      <w:r w:rsidR="00AF3CFF" w:rsidRPr="00B23E7B">
        <w:t>, Elsevier</w:t>
      </w:r>
      <w:r w:rsidR="005B1941" w:rsidRPr="00B23E7B">
        <w:t>. 207-215.</w:t>
      </w:r>
    </w:p>
    <w:p w14:paraId="4218B5FA" w14:textId="43DD9366" w:rsidR="00C00554" w:rsidRPr="00C4445A" w:rsidRDefault="00C00554" w:rsidP="00B23E7B">
      <w:pPr>
        <w:pStyle w:val="CETReferencetext"/>
        <w:rPr>
          <w:lang w:val="en-US"/>
        </w:rPr>
      </w:pPr>
    </w:p>
    <w:sectPr w:rsidR="00C00554" w:rsidRPr="00C4445A"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6B27D" w14:textId="77777777" w:rsidR="00B63D12" w:rsidRPr="0098348D" w:rsidRDefault="00B63D12" w:rsidP="004F5E36">
      <w:r w:rsidRPr="0098348D">
        <w:separator/>
      </w:r>
    </w:p>
  </w:endnote>
  <w:endnote w:type="continuationSeparator" w:id="0">
    <w:p w14:paraId="63F541C8" w14:textId="77777777" w:rsidR="00B63D12" w:rsidRPr="0098348D" w:rsidRDefault="00B63D12" w:rsidP="004F5E36">
      <w:r w:rsidRPr="0098348D">
        <w:continuationSeparator/>
      </w:r>
    </w:p>
  </w:endnote>
  <w:endnote w:type="continuationNotice" w:id="1">
    <w:p w14:paraId="61B1BDEF" w14:textId="77777777" w:rsidR="00B63D12" w:rsidRPr="0098348D" w:rsidRDefault="00B63D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F54E2" w14:textId="77777777" w:rsidR="00B63D12" w:rsidRPr="0098348D" w:rsidRDefault="00B63D12" w:rsidP="004F5E36">
      <w:r w:rsidRPr="0098348D">
        <w:separator/>
      </w:r>
    </w:p>
  </w:footnote>
  <w:footnote w:type="continuationSeparator" w:id="0">
    <w:p w14:paraId="5C8954DA" w14:textId="77777777" w:rsidR="00B63D12" w:rsidRPr="0098348D" w:rsidRDefault="00B63D12" w:rsidP="004F5E36">
      <w:r w:rsidRPr="0098348D">
        <w:continuationSeparator/>
      </w:r>
    </w:p>
  </w:footnote>
  <w:footnote w:type="continuationNotice" w:id="1">
    <w:p w14:paraId="77B2DBD2" w14:textId="77777777" w:rsidR="00B63D12" w:rsidRPr="0098348D" w:rsidRDefault="00B63D1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0932"/>
    <w:rsid w:val="000016A5"/>
    <w:rsid w:val="000027C0"/>
    <w:rsid w:val="00002C6F"/>
    <w:rsid w:val="000052FB"/>
    <w:rsid w:val="00005A19"/>
    <w:rsid w:val="00005B85"/>
    <w:rsid w:val="0000673F"/>
    <w:rsid w:val="00007536"/>
    <w:rsid w:val="000077EE"/>
    <w:rsid w:val="000117CB"/>
    <w:rsid w:val="00014CFB"/>
    <w:rsid w:val="0001762F"/>
    <w:rsid w:val="00021E8A"/>
    <w:rsid w:val="00022861"/>
    <w:rsid w:val="000229AA"/>
    <w:rsid w:val="000231F4"/>
    <w:rsid w:val="00025BA8"/>
    <w:rsid w:val="000267E1"/>
    <w:rsid w:val="00026E0B"/>
    <w:rsid w:val="000274F1"/>
    <w:rsid w:val="000311C6"/>
    <w:rsid w:val="0003148D"/>
    <w:rsid w:val="00031EEC"/>
    <w:rsid w:val="00033B71"/>
    <w:rsid w:val="00035B95"/>
    <w:rsid w:val="00035E38"/>
    <w:rsid w:val="00042EEF"/>
    <w:rsid w:val="00044600"/>
    <w:rsid w:val="00046E7D"/>
    <w:rsid w:val="000473CA"/>
    <w:rsid w:val="00051566"/>
    <w:rsid w:val="000536DA"/>
    <w:rsid w:val="0005484C"/>
    <w:rsid w:val="000562A9"/>
    <w:rsid w:val="000622F5"/>
    <w:rsid w:val="00062A9A"/>
    <w:rsid w:val="00065058"/>
    <w:rsid w:val="000717B8"/>
    <w:rsid w:val="000743D7"/>
    <w:rsid w:val="000750B3"/>
    <w:rsid w:val="000823C3"/>
    <w:rsid w:val="000827DA"/>
    <w:rsid w:val="0008342F"/>
    <w:rsid w:val="000840DF"/>
    <w:rsid w:val="0008492A"/>
    <w:rsid w:val="00086C39"/>
    <w:rsid w:val="0009063D"/>
    <w:rsid w:val="00090F3A"/>
    <w:rsid w:val="000918A2"/>
    <w:rsid w:val="00091E00"/>
    <w:rsid w:val="00094283"/>
    <w:rsid w:val="00096111"/>
    <w:rsid w:val="00096C9C"/>
    <w:rsid w:val="000A03B2"/>
    <w:rsid w:val="000A03CE"/>
    <w:rsid w:val="000A6F19"/>
    <w:rsid w:val="000B3018"/>
    <w:rsid w:val="000B379E"/>
    <w:rsid w:val="000B6C93"/>
    <w:rsid w:val="000C2462"/>
    <w:rsid w:val="000C2A3D"/>
    <w:rsid w:val="000C30F4"/>
    <w:rsid w:val="000C33AD"/>
    <w:rsid w:val="000C3A50"/>
    <w:rsid w:val="000D0268"/>
    <w:rsid w:val="000D34BE"/>
    <w:rsid w:val="000D515F"/>
    <w:rsid w:val="000D5CEE"/>
    <w:rsid w:val="000D6117"/>
    <w:rsid w:val="000E0428"/>
    <w:rsid w:val="000E06E2"/>
    <w:rsid w:val="000E0B3C"/>
    <w:rsid w:val="000E0DFD"/>
    <w:rsid w:val="000E102F"/>
    <w:rsid w:val="000E155A"/>
    <w:rsid w:val="000E36F1"/>
    <w:rsid w:val="000E3A73"/>
    <w:rsid w:val="000E414A"/>
    <w:rsid w:val="000E4999"/>
    <w:rsid w:val="000E6BAE"/>
    <w:rsid w:val="000E75FD"/>
    <w:rsid w:val="000E7F16"/>
    <w:rsid w:val="000F093C"/>
    <w:rsid w:val="000F0A68"/>
    <w:rsid w:val="000F3DCA"/>
    <w:rsid w:val="000F40E2"/>
    <w:rsid w:val="000F49C1"/>
    <w:rsid w:val="000F787B"/>
    <w:rsid w:val="00102F2D"/>
    <w:rsid w:val="00103760"/>
    <w:rsid w:val="0010431B"/>
    <w:rsid w:val="00104389"/>
    <w:rsid w:val="00105B4E"/>
    <w:rsid w:val="0011552F"/>
    <w:rsid w:val="00115615"/>
    <w:rsid w:val="00115739"/>
    <w:rsid w:val="0011662C"/>
    <w:rsid w:val="00116AEB"/>
    <w:rsid w:val="0012091F"/>
    <w:rsid w:val="0012217E"/>
    <w:rsid w:val="001227C9"/>
    <w:rsid w:val="0012307D"/>
    <w:rsid w:val="0012352D"/>
    <w:rsid w:val="0012680E"/>
    <w:rsid w:val="00126BC2"/>
    <w:rsid w:val="00130576"/>
    <w:rsid w:val="001308B6"/>
    <w:rsid w:val="0013121F"/>
    <w:rsid w:val="0013169B"/>
    <w:rsid w:val="00131FE6"/>
    <w:rsid w:val="0013263F"/>
    <w:rsid w:val="001331DF"/>
    <w:rsid w:val="001346A2"/>
    <w:rsid w:val="00134DE4"/>
    <w:rsid w:val="00136BAF"/>
    <w:rsid w:val="00137C8B"/>
    <w:rsid w:val="0014034D"/>
    <w:rsid w:val="00140617"/>
    <w:rsid w:val="00140FE3"/>
    <w:rsid w:val="0014235B"/>
    <w:rsid w:val="001443D3"/>
    <w:rsid w:val="00144D16"/>
    <w:rsid w:val="001454B6"/>
    <w:rsid w:val="0014561C"/>
    <w:rsid w:val="00145756"/>
    <w:rsid w:val="00146222"/>
    <w:rsid w:val="00146392"/>
    <w:rsid w:val="00150A43"/>
    <w:rsid w:val="00150E59"/>
    <w:rsid w:val="00152DE3"/>
    <w:rsid w:val="00154C9D"/>
    <w:rsid w:val="001574B2"/>
    <w:rsid w:val="00157653"/>
    <w:rsid w:val="00164CF9"/>
    <w:rsid w:val="0016668E"/>
    <w:rsid w:val="001667A6"/>
    <w:rsid w:val="00166E2A"/>
    <w:rsid w:val="0017058A"/>
    <w:rsid w:val="001715EE"/>
    <w:rsid w:val="00171938"/>
    <w:rsid w:val="00175FD3"/>
    <w:rsid w:val="00177BC0"/>
    <w:rsid w:val="0018171E"/>
    <w:rsid w:val="00182559"/>
    <w:rsid w:val="00184AD6"/>
    <w:rsid w:val="00194727"/>
    <w:rsid w:val="00195C52"/>
    <w:rsid w:val="001A2E3E"/>
    <w:rsid w:val="001A4AF7"/>
    <w:rsid w:val="001A66EC"/>
    <w:rsid w:val="001A6E7C"/>
    <w:rsid w:val="001B0016"/>
    <w:rsid w:val="001B0349"/>
    <w:rsid w:val="001B0D9D"/>
    <w:rsid w:val="001B1E93"/>
    <w:rsid w:val="001B225E"/>
    <w:rsid w:val="001B3356"/>
    <w:rsid w:val="001B4D2F"/>
    <w:rsid w:val="001B65C1"/>
    <w:rsid w:val="001B6F62"/>
    <w:rsid w:val="001B7A3C"/>
    <w:rsid w:val="001C260F"/>
    <w:rsid w:val="001C3D84"/>
    <w:rsid w:val="001C5C3A"/>
    <w:rsid w:val="001C684B"/>
    <w:rsid w:val="001D0159"/>
    <w:rsid w:val="001D0CFB"/>
    <w:rsid w:val="001D21AF"/>
    <w:rsid w:val="001D2E12"/>
    <w:rsid w:val="001D3D32"/>
    <w:rsid w:val="001D4098"/>
    <w:rsid w:val="001D4E82"/>
    <w:rsid w:val="001D53FC"/>
    <w:rsid w:val="001D6083"/>
    <w:rsid w:val="001D7200"/>
    <w:rsid w:val="001E163D"/>
    <w:rsid w:val="001E18F1"/>
    <w:rsid w:val="001E278A"/>
    <w:rsid w:val="001E2EE2"/>
    <w:rsid w:val="001E3C85"/>
    <w:rsid w:val="001E4BCE"/>
    <w:rsid w:val="001E521E"/>
    <w:rsid w:val="001E55C9"/>
    <w:rsid w:val="001E6588"/>
    <w:rsid w:val="001E75ED"/>
    <w:rsid w:val="001F249F"/>
    <w:rsid w:val="001F42A5"/>
    <w:rsid w:val="001F5F36"/>
    <w:rsid w:val="001F68EE"/>
    <w:rsid w:val="001F7B9D"/>
    <w:rsid w:val="002011B0"/>
    <w:rsid w:val="0020166C"/>
    <w:rsid w:val="00201830"/>
    <w:rsid w:val="00201C93"/>
    <w:rsid w:val="00205DB5"/>
    <w:rsid w:val="00206093"/>
    <w:rsid w:val="002153C1"/>
    <w:rsid w:val="00217998"/>
    <w:rsid w:val="002207CE"/>
    <w:rsid w:val="002224B4"/>
    <w:rsid w:val="00224A28"/>
    <w:rsid w:val="00224B3D"/>
    <w:rsid w:val="00232655"/>
    <w:rsid w:val="00232C93"/>
    <w:rsid w:val="00233408"/>
    <w:rsid w:val="00234502"/>
    <w:rsid w:val="0023466F"/>
    <w:rsid w:val="0024135D"/>
    <w:rsid w:val="002447EF"/>
    <w:rsid w:val="00245A74"/>
    <w:rsid w:val="002508D0"/>
    <w:rsid w:val="00250E5C"/>
    <w:rsid w:val="00251550"/>
    <w:rsid w:val="00251787"/>
    <w:rsid w:val="0025323E"/>
    <w:rsid w:val="00253CBB"/>
    <w:rsid w:val="00254006"/>
    <w:rsid w:val="00256EC1"/>
    <w:rsid w:val="0026008F"/>
    <w:rsid w:val="0026054F"/>
    <w:rsid w:val="00260F5A"/>
    <w:rsid w:val="00263B05"/>
    <w:rsid w:val="00267047"/>
    <w:rsid w:val="00270325"/>
    <w:rsid w:val="0027221A"/>
    <w:rsid w:val="00272D7F"/>
    <w:rsid w:val="002736D2"/>
    <w:rsid w:val="00275B61"/>
    <w:rsid w:val="00280B97"/>
    <w:rsid w:val="00280FAF"/>
    <w:rsid w:val="00281849"/>
    <w:rsid w:val="00282656"/>
    <w:rsid w:val="002833B2"/>
    <w:rsid w:val="00283981"/>
    <w:rsid w:val="00283ED8"/>
    <w:rsid w:val="00285540"/>
    <w:rsid w:val="002917F5"/>
    <w:rsid w:val="0029247B"/>
    <w:rsid w:val="00294565"/>
    <w:rsid w:val="00295102"/>
    <w:rsid w:val="0029608D"/>
    <w:rsid w:val="00296B83"/>
    <w:rsid w:val="002A412E"/>
    <w:rsid w:val="002A6254"/>
    <w:rsid w:val="002A62EE"/>
    <w:rsid w:val="002A6E07"/>
    <w:rsid w:val="002B1E17"/>
    <w:rsid w:val="002B4015"/>
    <w:rsid w:val="002B4DD6"/>
    <w:rsid w:val="002B6456"/>
    <w:rsid w:val="002B78CE"/>
    <w:rsid w:val="002C0735"/>
    <w:rsid w:val="002C2FB6"/>
    <w:rsid w:val="002C3A3A"/>
    <w:rsid w:val="002C4241"/>
    <w:rsid w:val="002C481A"/>
    <w:rsid w:val="002C6710"/>
    <w:rsid w:val="002D18DD"/>
    <w:rsid w:val="002D2242"/>
    <w:rsid w:val="002D3A11"/>
    <w:rsid w:val="002D4A50"/>
    <w:rsid w:val="002D5D30"/>
    <w:rsid w:val="002E26C6"/>
    <w:rsid w:val="002E4BCE"/>
    <w:rsid w:val="002E4D2D"/>
    <w:rsid w:val="002E5241"/>
    <w:rsid w:val="002E5FA7"/>
    <w:rsid w:val="002F000E"/>
    <w:rsid w:val="002F0EB9"/>
    <w:rsid w:val="002F0F11"/>
    <w:rsid w:val="002F10FE"/>
    <w:rsid w:val="002F1CB1"/>
    <w:rsid w:val="002F2EF9"/>
    <w:rsid w:val="002F3309"/>
    <w:rsid w:val="002F512D"/>
    <w:rsid w:val="002F716A"/>
    <w:rsid w:val="003007DF"/>
    <w:rsid w:val="003008CE"/>
    <w:rsid w:val="003009B7"/>
    <w:rsid w:val="00300E56"/>
    <w:rsid w:val="0030152C"/>
    <w:rsid w:val="0030469C"/>
    <w:rsid w:val="00304CE8"/>
    <w:rsid w:val="00306DF3"/>
    <w:rsid w:val="0031393B"/>
    <w:rsid w:val="00314908"/>
    <w:rsid w:val="003165A9"/>
    <w:rsid w:val="003175CF"/>
    <w:rsid w:val="00321CA6"/>
    <w:rsid w:val="00323763"/>
    <w:rsid w:val="00323C5F"/>
    <w:rsid w:val="00324231"/>
    <w:rsid w:val="00325602"/>
    <w:rsid w:val="0032620A"/>
    <w:rsid w:val="003273E0"/>
    <w:rsid w:val="003304EC"/>
    <w:rsid w:val="00330B77"/>
    <w:rsid w:val="00334C09"/>
    <w:rsid w:val="00334C36"/>
    <w:rsid w:val="00337318"/>
    <w:rsid w:val="00340A61"/>
    <w:rsid w:val="00342D6F"/>
    <w:rsid w:val="003439B8"/>
    <w:rsid w:val="00347A2C"/>
    <w:rsid w:val="00353256"/>
    <w:rsid w:val="00354AE5"/>
    <w:rsid w:val="00354FA5"/>
    <w:rsid w:val="00357D2E"/>
    <w:rsid w:val="00365509"/>
    <w:rsid w:val="00365F6D"/>
    <w:rsid w:val="003672B8"/>
    <w:rsid w:val="0037189D"/>
    <w:rsid w:val="003723D4"/>
    <w:rsid w:val="00372AAE"/>
    <w:rsid w:val="00372DF6"/>
    <w:rsid w:val="00376217"/>
    <w:rsid w:val="003774FC"/>
    <w:rsid w:val="003802CB"/>
    <w:rsid w:val="00380606"/>
    <w:rsid w:val="00380804"/>
    <w:rsid w:val="00381905"/>
    <w:rsid w:val="00384CC8"/>
    <w:rsid w:val="003871FD"/>
    <w:rsid w:val="0038752C"/>
    <w:rsid w:val="0039075D"/>
    <w:rsid w:val="0039272D"/>
    <w:rsid w:val="003932B9"/>
    <w:rsid w:val="00394DE7"/>
    <w:rsid w:val="00396ACE"/>
    <w:rsid w:val="003A052A"/>
    <w:rsid w:val="003A1E30"/>
    <w:rsid w:val="003A1E43"/>
    <w:rsid w:val="003A2566"/>
    <w:rsid w:val="003A2829"/>
    <w:rsid w:val="003A653D"/>
    <w:rsid w:val="003A7AF2"/>
    <w:rsid w:val="003A7D1C"/>
    <w:rsid w:val="003B10AE"/>
    <w:rsid w:val="003B304B"/>
    <w:rsid w:val="003B3146"/>
    <w:rsid w:val="003B4924"/>
    <w:rsid w:val="003B49CD"/>
    <w:rsid w:val="003B5F36"/>
    <w:rsid w:val="003B7AF6"/>
    <w:rsid w:val="003B7F7E"/>
    <w:rsid w:val="003C0725"/>
    <w:rsid w:val="003C14D5"/>
    <w:rsid w:val="003C21FD"/>
    <w:rsid w:val="003C364B"/>
    <w:rsid w:val="003C675A"/>
    <w:rsid w:val="003C738A"/>
    <w:rsid w:val="003C7CAB"/>
    <w:rsid w:val="003D1E02"/>
    <w:rsid w:val="003D3382"/>
    <w:rsid w:val="003D53C6"/>
    <w:rsid w:val="003E14A3"/>
    <w:rsid w:val="003E1C92"/>
    <w:rsid w:val="003E383B"/>
    <w:rsid w:val="003E603F"/>
    <w:rsid w:val="003F015E"/>
    <w:rsid w:val="003F5A9E"/>
    <w:rsid w:val="003F6167"/>
    <w:rsid w:val="003F74F2"/>
    <w:rsid w:val="00400414"/>
    <w:rsid w:val="00400DDA"/>
    <w:rsid w:val="004035BE"/>
    <w:rsid w:val="00404392"/>
    <w:rsid w:val="0040475E"/>
    <w:rsid w:val="00406222"/>
    <w:rsid w:val="00406548"/>
    <w:rsid w:val="004124AF"/>
    <w:rsid w:val="004140E4"/>
    <w:rsid w:val="0041446B"/>
    <w:rsid w:val="004201A9"/>
    <w:rsid w:val="00420E76"/>
    <w:rsid w:val="0042262B"/>
    <w:rsid w:val="00431004"/>
    <w:rsid w:val="00435383"/>
    <w:rsid w:val="00435DE0"/>
    <w:rsid w:val="0043603F"/>
    <w:rsid w:val="0044071E"/>
    <w:rsid w:val="0044130E"/>
    <w:rsid w:val="004423FC"/>
    <w:rsid w:val="0044329C"/>
    <w:rsid w:val="00445CFD"/>
    <w:rsid w:val="004460FA"/>
    <w:rsid w:val="00450D68"/>
    <w:rsid w:val="00450EBA"/>
    <w:rsid w:val="004513F2"/>
    <w:rsid w:val="00453E24"/>
    <w:rsid w:val="00454B0C"/>
    <w:rsid w:val="00455266"/>
    <w:rsid w:val="00457456"/>
    <w:rsid w:val="004577FE"/>
    <w:rsid w:val="00457B9C"/>
    <w:rsid w:val="00460F49"/>
    <w:rsid w:val="004612C1"/>
    <w:rsid w:val="0046164A"/>
    <w:rsid w:val="004628D2"/>
    <w:rsid w:val="00462DCD"/>
    <w:rsid w:val="00462FC6"/>
    <w:rsid w:val="00463EF8"/>
    <w:rsid w:val="004648AD"/>
    <w:rsid w:val="004703A9"/>
    <w:rsid w:val="0047159C"/>
    <w:rsid w:val="004730A4"/>
    <w:rsid w:val="0047482D"/>
    <w:rsid w:val="0047541B"/>
    <w:rsid w:val="00475CEE"/>
    <w:rsid w:val="004760DE"/>
    <w:rsid w:val="004763D7"/>
    <w:rsid w:val="00484AB1"/>
    <w:rsid w:val="00490037"/>
    <w:rsid w:val="00492AD6"/>
    <w:rsid w:val="00492E13"/>
    <w:rsid w:val="004955DB"/>
    <w:rsid w:val="004A004E"/>
    <w:rsid w:val="004A04F7"/>
    <w:rsid w:val="004A0916"/>
    <w:rsid w:val="004A24CF"/>
    <w:rsid w:val="004A4134"/>
    <w:rsid w:val="004B3EC3"/>
    <w:rsid w:val="004C2CA1"/>
    <w:rsid w:val="004C2D57"/>
    <w:rsid w:val="004C357D"/>
    <w:rsid w:val="004C3D1D"/>
    <w:rsid w:val="004C3D84"/>
    <w:rsid w:val="004C4195"/>
    <w:rsid w:val="004C61AD"/>
    <w:rsid w:val="004C7913"/>
    <w:rsid w:val="004D10FA"/>
    <w:rsid w:val="004D270C"/>
    <w:rsid w:val="004D4376"/>
    <w:rsid w:val="004D7809"/>
    <w:rsid w:val="004E2664"/>
    <w:rsid w:val="004E4DD6"/>
    <w:rsid w:val="004E50B7"/>
    <w:rsid w:val="004F04A5"/>
    <w:rsid w:val="004F4E01"/>
    <w:rsid w:val="004F5E36"/>
    <w:rsid w:val="004F6976"/>
    <w:rsid w:val="0050063F"/>
    <w:rsid w:val="00500849"/>
    <w:rsid w:val="0050308C"/>
    <w:rsid w:val="0050367B"/>
    <w:rsid w:val="005048CD"/>
    <w:rsid w:val="0050595B"/>
    <w:rsid w:val="00506716"/>
    <w:rsid w:val="00507B47"/>
    <w:rsid w:val="00507BEF"/>
    <w:rsid w:val="00507CC9"/>
    <w:rsid w:val="005118CC"/>
    <w:rsid w:val="005119A5"/>
    <w:rsid w:val="00514315"/>
    <w:rsid w:val="0051631C"/>
    <w:rsid w:val="00520BDC"/>
    <w:rsid w:val="00522A9C"/>
    <w:rsid w:val="005278B7"/>
    <w:rsid w:val="0053185B"/>
    <w:rsid w:val="00532016"/>
    <w:rsid w:val="00534320"/>
    <w:rsid w:val="005346C8"/>
    <w:rsid w:val="0053618D"/>
    <w:rsid w:val="005364F6"/>
    <w:rsid w:val="00541DCD"/>
    <w:rsid w:val="00542C9E"/>
    <w:rsid w:val="00543E7D"/>
    <w:rsid w:val="00544661"/>
    <w:rsid w:val="00547222"/>
    <w:rsid w:val="00547A68"/>
    <w:rsid w:val="00551D6C"/>
    <w:rsid w:val="0055216D"/>
    <w:rsid w:val="0055229B"/>
    <w:rsid w:val="005531C9"/>
    <w:rsid w:val="00553E5D"/>
    <w:rsid w:val="00554879"/>
    <w:rsid w:val="00564BAF"/>
    <w:rsid w:val="0056686D"/>
    <w:rsid w:val="00570C43"/>
    <w:rsid w:val="00572F3C"/>
    <w:rsid w:val="005737C8"/>
    <w:rsid w:val="00573804"/>
    <w:rsid w:val="0058442E"/>
    <w:rsid w:val="00584F17"/>
    <w:rsid w:val="005869DF"/>
    <w:rsid w:val="00586BF7"/>
    <w:rsid w:val="00592274"/>
    <w:rsid w:val="005922CA"/>
    <w:rsid w:val="005924EC"/>
    <w:rsid w:val="00592A0C"/>
    <w:rsid w:val="0059640E"/>
    <w:rsid w:val="005A008D"/>
    <w:rsid w:val="005A58A3"/>
    <w:rsid w:val="005A703C"/>
    <w:rsid w:val="005B1941"/>
    <w:rsid w:val="005B1CC6"/>
    <w:rsid w:val="005B2110"/>
    <w:rsid w:val="005B2895"/>
    <w:rsid w:val="005B350B"/>
    <w:rsid w:val="005B3721"/>
    <w:rsid w:val="005B4684"/>
    <w:rsid w:val="005B61E6"/>
    <w:rsid w:val="005C2FFF"/>
    <w:rsid w:val="005C41EC"/>
    <w:rsid w:val="005C4237"/>
    <w:rsid w:val="005C67FB"/>
    <w:rsid w:val="005C773E"/>
    <w:rsid w:val="005C77E1"/>
    <w:rsid w:val="005D15CB"/>
    <w:rsid w:val="005D3E20"/>
    <w:rsid w:val="005D4908"/>
    <w:rsid w:val="005D668A"/>
    <w:rsid w:val="005D6A2F"/>
    <w:rsid w:val="005E0592"/>
    <w:rsid w:val="005E1A82"/>
    <w:rsid w:val="005E794C"/>
    <w:rsid w:val="005F0A28"/>
    <w:rsid w:val="005F0E5E"/>
    <w:rsid w:val="005F0E8A"/>
    <w:rsid w:val="005F28F8"/>
    <w:rsid w:val="005F496D"/>
    <w:rsid w:val="00600535"/>
    <w:rsid w:val="006009E8"/>
    <w:rsid w:val="006013CB"/>
    <w:rsid w:val="00601A30"/>
    <w:rsid w:val="00603B09"/>
    <w:rsid w:val="00606551"/>
    <w:rsid w:val="00610CD6"/>
    <w:rsid w:val="00613453"/>
    <w:rsid w:val="00617C8B"/>
    <w:rsid w:val="00620A16"/>
    <w:rsid w:val="00620C38"/>
    <w:rsid w:val="00620D12"/>
    <w:rsid w:val="00620DEE"/>
    <w:rsid w:val="00621C18"/>
    <w:rsid w:val="00621F92"/>
    <w:rsid w:val="0062280A"/>
    <w:rsid w:val="006231E1"/>
    <w:rsid w:val="00623AFF"/>
    <w:rsid w:val="00625639"/>
    <w:rsid w:val="0062607A"/>
    <w:rsid w:val="00626342"/>
    <w:rsid w:val="00631B33"/>
    <w:rsid w:val="00634368"/>
    <w:rsid w:val="00635A9E"/>
    <w:rsid w:val="00636D4A"/>
    <w:rsid w:val="00640DE5"/>
    <w:rsid w:val="0064184D"/>
    <w:rsid w:val="006422CC"/>
    <w:rsid w:val="00642BA8"/>
    <w:rsid w:val="00646DE7"/>
    <w:rsid w:val="006471FA"/>
    <w:rsid w:val="006472EC"/>
    <w:rsid w:val="006476E0"/>
    <w:rsid w:val="00650DBD"/>
    <w:rsid w:val="00651D18"/>
    <w:rsid w:val="00654B13"/>
    <w:rsid w:val="00654E7A"/>
    <w:rsid w:val="00655D26"/>
    <w:rsid w:val="0065601D"/>
    <w:rsid w:val="006577CC"/>
    <w:rsid w:val="00660101"/>
    <w:rsid w:val="00660E3E"/>
    <w:rsid w:val="00662E74"/>
    <w:rsid w:val="0066486D"/>
    <w:rsid w:val="00664F85"/>
    <w:rsid w:val="00665798"/>
    <w:rsid w:val="00666C99"/>
    <w:rsid w:val="00670E11"/>
    <w:rsid w:val="00670F44"/>
    <w:rsid w:val="00672A05"/>
    <w:rsid w:val="00673413"/>
    <w:rsid w:val="00673A00"/>
    <w:rsid w:val="00680C23"/>
    <w:rsid w:val="00682C18"/>
    <w:rsid w:val="00682EB3"/>
    <w:rsid w:val="00683E23"/>
    <w:rsid w:val="00687ADD"/>
    <w:rsid w:val="0069124E"/>
    <w:rsid w:val="00691D21"/>
    <w:rsid w:val="0069314C"/>
    <w:rsid w:val="00693428"/>
    <w:rsid w:val="00693766"/>
    <w:rsid w:val="0069539B"/>
    <w:rsid w:val="006A086B"/>
    <w:rsid w:val="006A2ABC"/>
    <w:rsid w:val="006A2C5F"/>
    <w:rsid w:val="006A3281"/>
    <w:rsid w:val="006A5530"/>
    <w:rsid w:val="006A6DE5"/>
    <w:rsid w:val="006B1F57"/>
    <w:rsid w:val="006B2DAB"/>
    <w:rsid w:val="006B42A6"/>
    <w:rsid w:val="006B4888"/>
    <w:rsid w:val="006B4E30"/>
    <w:rsid w:val="006B5CE5"/>
    <w:rsid w:val="006B62A7"/>
    <w:rsid w:val="006B67ED"/>
    <w:rsid w:val="006B6D4B"/>
    <w:rsid w:val="006B7853"/>
    <w:rsid w:val="006B7A5E"/>
    <w:rsid w:val="006C2491"/>
    <w:rsid w:val="006C2D45"/>
    <w:rsid w:val="006C2E45"/>
    <w:rsid w:val="006C359C"/>
    <w:rsid w:val="006C5579"/>
    <w:rsid w:val="006C7CAB"/>
    <w:rsid w:val="006D22E3"/>
    <w:rsid w:val="006D2E7A"/>
    <w:rsid w:val="006D415C"/>
    <w:rsid w:val="006D6E8B"/>
    <w:rsid w:val="006D7045"/>
    <w:rsid w:val="006D7209"/>
    <w:rsid w:val="006E00E2"/>
    <w:rsid w:val="006E124F"/>
    <w:rsid w:val="006E1529"/>
    <w:rsid w:val="006E3B5C"/>
    <w:rsid w:val="006E737D"/>
    <w:rsid w:val="006E7555"/>
    <w:rsid w:val="006E79E8"/>
    <w:rsid w:val="006E7AA9"/>
    <w:rsid w:val="006F3505"/>
    <w:rsid w:val="006F4D31"/>
    <w:rsid w:val="006F50CA"/>
    <w:rsid w:val="006F619C"/>
    <w:rsid w:val="006F6C3A"/>
    <w:rsid w:val="006F768E"/>
    <w:rsid w:val="00705A8C"/>
    <w:rsid w:val="00707DD1"/>
    <w:rsid w:val="00713973"/>
    <w:rsid w:val="00716705"/>
    <w:rsid w:val="00720A24"/>
    <w:rsid w:val="00721ABF"/>
    <w:rsid w:val="00722225"/>
    <w:rsid w:val="00724C3A"/>
    <w:rsid w:val="00731F13"/>
    <w:rsid w:val="00732386"/>
    <w:rsid w:val="0073514D"/>
    <w:rsid w:val="00737E82"/>
    <w:rsid w:val="00741BEE"/>
    <w:rsid w:val="00743203"/>
    <w:rsid w:val="007447F3"/>
    <w:rsid w:val="00744BB1"/>
    <w:rsid w:val="00746192"/>
    <w:rsid w:val="0075056B"/>
    <w:rsid w:val="00752DE7"/>
    <w:rsid w:val="00754043"/>
    <w:rsid w:val="0075499F"/>
    <w:rsid w:val="00757D26"/>
    <w:rsid w:val="0076420A"/>
    <w:rsid w:val="007661C8"/>
    <w:rsid w:val="00767580"/>
    <w:rsid w:val="0077098D"/>
    <w:rsid w:val="00770B1F"/>
    <w:rsid w:val="00770BB3"/>
    <w:rsid w:val="00771B2F"/>
    <w:rsid w:val="00774F6B"/>
    <w:rsid w:val="007751B8"/>
    <w:rsid w:val="00781EF2"/>
    <w:rsid w:val="007845CB"/>
    <w:rsid w:val="00785BF9"/>
    <w:rsid w:val="00786805"/>
    <w:rsid w:val="00787403"/>
    <w:rsid w:val="00790282"/>
    <w:rsid w:val="00791D79"/>
    <w:rsid w:val="00791D83"/>
    <w:rsid w:val="007927E9"/>
    <w:rsid w:val="007931FA"/>
    <w:rsid w:val="00795206"/>
    <w:rsid w:val="007A16A4"/>
    <w:rsid w:val="007A2217"/>
    <w:rsid w:val="007A4861"/>
    <w:rsid w:val="007A53F0"/>
    <w:rsid w:val="007A7BBA"/>
    <w:rsid w:val="007B0C50"/>
    <w:rsid w:val="007B48F9"/>
    <w:rsid w:val="007B499F"/>
    <w:rsid w:val="007B54EE"/>
    <w:rsid w:val="007C0CC4"/>
    <w:rsid w:val="007C1650"/>
    <w:rsid w:val="007C1A43"/>
    <w:rsid w:val="007C2406"/>
    <w:rsid w:val="007C4686"/>
    <w:rsid w:val="007C4AF5"/>
    <w:rsid w:val="007C4C9A"/>
    <w:rsid w:val="007C5901"/>
    <w:rsid w:val="007D001C"/>
    <w:rsid w:val="007D0951"/>
    <w:rsid w:val="007D307E"/>
    <w:rsid w:val="007D4742"/>
    <w:rsid w:val="007D610D"/>
    <w:rsid w:val="007E0FAB"/>
    <w:rsid w:val="007E1018"/>
    <w:rsid w:val="007E1B0B"/>
    <w:rsid w:val="007E1E8A"/>
    <w:rsid w:val="007F3608"/>
    <w:rsid w:val="007F3AB3"/>
    <w:rsid w:val="0080013E"/>
    <w:rsid w:val="00801759"/>
    <w:rsid w:val="00802EE8"/>
    <w:rsid w:val="008046BB"/>
    <w:rsid w:val="00806289"/>
    <w:rsid w:val="008072A1"/>
    <w:rsid w:val="00807A2E"/>
    <w:rsid w:val="00813288"/>
    <w:rsid w:val="008168FC"/>
    <w:rsid w:val="008218D3"/>
    <w:rsid w:val="00821FDC"/>
    <w:rsid w:val="008241CA"/>
    <w:rsid w:val="008242E6"/>
    <w:rsid w:val="00824E11"/>
    <w:rsid w:val="008272F0"/>
    <w:rsid w:val="00830996"/>
    <w:rsid w:val="008345F1"/>
    <w:rsid w:val="00834FCD"/>
    <w:rsid w:val="0083570E"/>
    <w:rsid w:val="00850733"/>
    <w:rsid w:val="008526E3"/>
    <w:rsid w:val="0085549D"/>
    <w:rsid w:val="008569F1"/>
    <w:rsid w:val="008613FF"/>
    <w:rsid w:val="00862DF3"/>
    <w:rsid w:val="00865B07"/>
    <w:rsid w:val="008667EA"/>
    <w:rsid w:val="00866D24"/>
    <w:rsid w:val="00870FB1"/>
    <w:rsid w:val="0087167E"/>
    <w:rsid w:val="0087637F"/>
    <w:rsid w:val="008768F0"/>
    <w:rsid w:val="008842A3"/>
    <w:rsid w:val="00892AD5"/>
    <w:rsid w:val="008948DC"/>
    <w:rsid w:val="00895BB5"/>
    <w:rsid w:val="0089614B"/>
    <w:rsid w:val="0089616D"/>
    <w:rsid w:val="0089729A"/>
    <w:rsid w:val="008A09B7"/>
    <w:rsid w:val="008A09E0"/>
    <w:rsid w:val="008A1220"/>
    <w:rsid w:val="008A1512"/>
    <w:rsid w:val="008A28C2"/>
    <w:rsid w:val="008A32B8"/>
    <w:rsid w:val="008A3545"/>
    <w:rsid w:val="008A4EF1"/>
    <w:rsid w:val="008B01BB"/>
    <w:rsid w:val="008B0D89"/>
    <w:rsid w:val="008B2E93"/>
    <w:rsid w:val="008B331A"/>
    <w:rsid w:val="008B3A1C"/>
    <w:rsid w:val="008B58D9"/>
    <w:rsid w:val="008C170E"/>
    <w:rsid w:val="008C4274"/>
    <w:rsid w:val="008C4ECB"/>
    <w:rsid w:val="008C6261"/>
    <w:rsid w:val="008D020E"/>
    <w:rsid w:val="008D1B8F"/>
    <w:rsid w:val="008D32B9"/>
    <w:rsid w:val="008D366B"/>
    <w:rsid w:val="008D433B"/>
    <w:rsid w:val="008D4A16"/>
    <w:rsid w:val="008D4F65"/>
    <w:rsid w:val="008D6344"/>
    <w:rsid w:val="008D6759"/>
    <w:rsid w:val="008E010B"/>
    <w:rsid w:val="008E5401"/>
    <w:rsid w:val="008E566E"/>
    <w:rsid w:val="008E76E7"/>
    <w:rsid w:val="008F098B"/>
    <w:rsid w:val="008F266A"/>
    <w:rsid w:val="008F3AF5"/>
    <w:rsid w:val="008F6101"/>
    <w:rsid w:val="008F7AE8"/>
    <w:rsid w:val="0090161A"/>
    <w:rsid w:val="00901EB6"/>
    <w:rsid w:val="00901FA6"/>
    <w:rsid w:val="00903D99"/>
    <w:rsid w:val="009041F8"/>
    <w:rsid w:val="00904C62"/>
    <w:rsid w:val="00907561"/>
    <w:rsid w:val="00917EF8"/>
    <w:rsid w:val="00921A90"/>
    <w:rsid w:val="00922BA8"/>
    <w:rsid w:val="0092353E"/>
    <w:rsid w:val="00924DAC"/>
    <w:rsid w:val="00926746"/>
    <w:rsid w:val="00927058"/>
    <w:rsid w:val="009337DF"/>
    <w:rsid w:val="00935E25"/>
    <w:rsid w:val="00940D91"/>
    <w:rsid w:val="00941EA3"/>
    <w:rsid w:val="0094263E"/>
    <w:rsid w:val="00942750"/>
    <w:rsid w:val="00942E25"/>
    <w:rsid w:val="00944FCD"/>
    <w:rsid w:val="009450CE"/>
    <w:rsid w:val="009459BB"/>
    <w:rsid w:val="00946D61"/>
    <w:rsid w:val="00947179"/>
    <w:rsid w:val="0095164B"/>
    <w:rsid w:val="009516D4"/>
    <w:rsid w:val="00951BC0"/>
    <w:rsid w:val="00954090"/>
    <w:rsid w:val="00954E5D"/>
    <w:rsid w:val="00955AB8"/>
    <w:rsid w:val="009569CB"/>
    <w:rsid w:val="00956D6C"/>
    <w:rsid w:val="009573E7"/>
    <w:rsid w:val="00960C20"/>
    <w:rsid w:val="009611EB"/>
    <w:rsid w:val="00963097"/>
    <w:rsid w:val="00963E05"/>
    <w:rsid w:val="00964340"/>
    <w:rsid w:val="00964A45"/>
    <w:rsid w:val="00967843"/>
    <w:rsid w:val="00967D54"/>
    <w:rsid w:val="00971028"/>
    <w:rsid w:val="009742A1"/>
    <w:rsid w:val="0097455D"/>
    <w:rsid w:val="00974710"/>
    <w:rsid w:val="00976947"/>
    <w:rsid w:val="00976A47"/>
    <w:rsid w:val="009778D7"/>
    <w:rsid w:val="0098348D"/>
    <w:rsid w:val="009869BF"/>
    <w:rsid w:val="00990030"/>
    <w:rsid w:val="0099009F"/>
    <w:rsid w:val="00990E41"/>
    <w:rsid w:val="00991540"/>
    <w:rsid w:val="009918A8"/>
    <w:rsid w:val="00993B84"/>
    <w:rsid w:val="00993D62"/>
    <w:rsid w:val="00994C6A"/>
    <w:rsid w:val="00995D25"/>
    <w:rsid w:val="00996483"/>
    <w:rsid w:val="00996F5A"/>
    <w:rsid w:val="009A195D"/>
    <w:rsid w:val="009A4CDD"/>
    <w:rsid w:val="009B041A"/>
    <w:rsid w:val="009B31D5"/>
    <w:rsid w:val="009B6E57"/>
    <w:rsid w:val="009C14A5"/>
    <w:rsid w:val="009C2876"/>
    <w:rsid w:val="009C37C3"/>
    <w:rsid w:val="009C7C86"/>
    <w:rsid w:val="009D0D09"/>
    <w:rsid w:val="009D182C"/>
    <w:rsid w:val="009D2942"/>
    <w:rsid w:val="009D2D07"/>
    <w:rsid w:val="009D2FF7"/>
    <w:rsid w:val="009D3075"/>
    <w:rsid w:val="009D5EAB"/>
    <w:rsid w:val="009D606B"/>
    <w:rsid w:val="009D7923"/>
    <w:rsid w:val="009E0F84"/>
    <w:rsid w:val="009E1130"/>
    <w:rsid w:val="009E2A63"/>
    <w:rsid w:val="009E6264"/>
    <w:rsid w:val="009E7884"/>
    <w:rsid w:val="009E788A"/>
    <w:rsid w:val="009F0C49"/>
    <w:rsid w:val="009F0E08"/>
    <w:rsid w:val="009F0ECA"/>
    <w:rsid w:val="009F10E2"/>
    <w:rsid w:val="009F1113"/>
    <w:rsid w:val="009F4475"/>
    <w:rsid w:val="009F6C94"/>
    <w:rsid w:val="00A022DE"/>
    <w:rsid w:val="00A05996"/>
    <w:rsid w:val="00A079AE"/>
    <w:rsid w:val="00A10D89"/>
    <w:rsid w:val="00A13CE8"/>
    <w:rsid w:val="00A1431F"/>
    <w:rsid w:val="00A15022"/>
    <w:rsid w:val="00A1763D"/>
    <w:rsid w:val="00A17CEC"/>
    <w:rsid w:val="00A22DB1"/>
    <w:rsid w:val="00A22FE3"/>
    <w:rsid w:val="00A23489"/>
    <w:rsid w:val="00A2634C"/>
    <w:rsid w:val="00A27EF0"/>
    <w:rsid w:val="00A32146"/>
    <w:rsid w:val="00A32F3A"/>
    <w:rsid w:val="00A332C9"/>
    <w:rsid w:val="00A35A18"/>
    <w:rsid w:val="00A35F10"/>
    <w:rsid w:val="00A37016"/>
    <w:rsid w:val="00A37CD4"/>
    <w:rsid w:val="00A40686"/>
    <w:rsid w:val="00A419B9"/>
    <w:rsid w:val="00A42361"/>
    <w:rsid w:val="00A43876"/>
    <w:rsid w:val="00A50B20"/>
    <w:rsid w:val="00A51390"/>
    <w:rsid w:val="00A525E2"/>
    <w:rsid w:val="00A539E2"/>
    <w:rsid w:val="00A54949"/>
    <w:rsid w:val="00A55F28"/>
    <w:rsid w:val="00A57960"/>
    <w:rsid w:val="00A57EFF"/>
    <w:rsid w:val="00A60D13"/>
    <w:rsid w:val="00A61047"/>
    <w:rsid w:val="00A6216A"/>
    <w:rsid w:val="00A65B0F"/>
    <w:rsid w:val="00A67DA8"/>
    <w:rsid w:val="00A7189D"/>
    <w:rsid w:val="00A7223D"/>
    <w:rsid w:val="00A72745"/>
    <w:rsid w:val="00A72984"/>
    <w:rsid w:val="00A737F6"/>
    <w:rsid w:val="00A7436A"/>
    <w:rsid w:val="00A7624F"/>
    <w:rsid w:val="00A76AF9"/>
    <w:rsid w:val="00A76EFC"/>
    <w:rsid w:val="00A83958"/>
    <w:rsid w:val="00A868F6"/>
    <w:rsid w:val="00A87815"/>
    <w:rsid w:val="00A87D50"/>
    <w:rsid w:val="00A91010"/>
    <w:rsid w:val="00A93389"/>
    <w:rsid w:val="00A94E6D"/>
    <w:rsid w:val="00A97F29"/>
    <w:rsid w:val="00AA0B9D"/>
    <w:rsid w:val="00AA127B"/>
    <w:rsid w:val="00AA404E"/>
    <w:rsid w:val="00AA4419"/>
    <w:rsid w:val="00AA702E"/>
    <w:rsid w:val="00AA7D26"/>
    <w:rsid w:val="00AB0964"/>
    <w:rsid w:val="00AB2873"/>
    <w:rsid w:val="00AB5011"/>
    <w:rsid w:val="00AC1874"/>
    <w:rsid w:val="00AC3FB8"/>
    <w:rsid w:val="00AC7368"/>
    <w:rsid w:val="00AC7611"/>
    <w:rsid w:val="00AD16B9"/>
    <w:rsid w:val="00AD7FEC"/>
    <w:rsid w:val="00AE377D"/>
    <w:rsid w:val="00AE4610"/>
    <w:rsid w:val="00AF0EBA"/>
    <w:rsid w:val="00AF1102"/>
    <w:rsid w:val="00AF124F"/>
    <w:rsid w:val="00AF2463"/>
    <w:rsid w:val="00AF3C04"/>
    <w:rsid w:val="00AF3CFF"/>
    <w:rsid w:val="00AF417B"/>
    <w:rsid w:val="00AF4C5D"/>
    <w:rsid w:val="00B00272"/>
    <w:rsid w:val="00B018BF"/>
    <w:rsid w:val="00B02527"/>
    <w:rsid w:val="00B02C8A"/>
    <w:rsid w:val="00B02DF2"/>
    <w:rsid w:val="00B0373B"/>
    <w:rsid w:val="00B10FCF"/>
    <w:rsid w:val="00B17FBD"/>
    <w:rsid w:val="00B20092"/>
    <w:rsid w:val="00B219C2"/>
    <w:rsid w:val="00B234EE"/>
    <w:rsid w:val="00B23E7B"/>
    <w:rsid w:val="00B2728C"/>
    <w:rsid w:val="00B301A0"/>
    <w:rsid w:val="00B314D9"/>
    <w:rsid w:val="00B3155F"/>
    <w:rsid w:val="00B315A6"/>
    <w:rsid w:val="00B31813"/>
    <w:rsid w:val="00B31E0B"/>
    <w:rsid w:val="00B33283"/>
    <w:rsid w:val="00B33365"/>
    <w:rsid w:val="00B346A6"/>
    <w:rsid w:val="00B34EFB"/>
    <w:rsid w:val="00B36405"/>
    <w:rsid w:val="00B369A9"/>
    <w:rsid w:val="00B379F4"/>
    <w:rsid w:val="00B408EC"/>
    <w:rsid w:val="00B4189E"/>
    <w:rsid w:val="00B42CBC"/>
    <w:rsid w:val="00B43B75"/>
    <w:rsid w:val="00B44C14"/>
    <w:rsid w:val="00B464A0"/>
    <w:rsid w:val="00B47C14"/>
    <w:rsid w:val="00B57B36"/>
    <w:rsid w:val="00B57E6F"/>
    <w:rsid w:val="00B618C6"/>
    <w:rsid w:val="00B63D12"/>
    <w:rsid w:val="00B640E5"/>
    <w:rsid w:val="00B67F02"/>
    <w:rsid w:val="00B71733"/>
    <w:rsid w:val="00B7443D"/>
    <w:rsid w:val="00B8043D"/>
    <w:rsid w:val="00B81673"/>
    <w:rsid w:val="00B83454"/>
    <w:rsid w:val="00B85F24"/>
    <w:rsid w:val="00B8686D"/>
    <w:rsid w:val="00B8798D"/>
    <w:rsid w:val="00B92936"/>
    <w:rsid w:val="00B9396E"/>
    <w:rsid w:val="00B93F69"/>
    <w:rsid w:val="00B95E03"/>
    <w:rsid w:val="00B95E19"/>
    <w:rsid w:val="00BA3D29"/>
    <w:rsid w:val="00BA50EF"/>
    <w:rsid w:val="00BA57F9"/>
    <w:rsid w:val="00BA670F"/>
    <w:rsid w:val="00BA6864"/>
    <w:rsid w:val="00BA6F0B"/>
    <w:rsid w:val="00BB1DDC"/>
    <w:rsid w:val="00BB2E63"/>
    <w:rsid w:val="00BB39C8"/>
    <w:rsid w:val="00BB4D84"/>
    <w:rsid w:val="00BC21B7"/>
    <w:rsid w:val="00BC30C9"/>
    <w:rsid w:val="00BC4869"/>
    <w:rsid w:val="00BC628D"/>
    <w:rsid w:val="00BC711B"/>
    <w:rsid w:val="00BC794A"/>
    <w:rsid w:val="00BD0253"/>
    <w:rsid w:val="00BD077D"/>
    <w:rsid w:val="00BD1F45"/>
    <w:rsid w:val="00BD3D1A"/>
    <w:rsid w:val="00BE0980"/>
    <w:rsid w:val="00BE1561"/>
    <w:rsid w:val="00BE2A38"/>
    <w:rsid w:val="00BE3E58"/>
    <w:rsid w:val="00BE54A3"/>
    <w:rsid w:val="00BE5B5B"/>
    <w:rsid w:val="00BE5C2A"/>
    <w:rsid w:val="00BE7AB3"/>
    <w:rsid w:val="00BF13CE"/>
    <w:rsid w:val="00BF18B0"/>
    <w:rsid w:val="00BF39E8"/>
    <w:rsid w:val="00BF631A"/>
    <w:rsid w:val="00C00554"/>
    <w:rsid w:val="00C01616"/>
    <w:rsid w:val="00C0162B"/>
    <w:rsid w:val="00C02D30"/>
    <w:rsid w:val="00C044EC"/>
    <w:rsid w:val="00C068ED"/>
    <w:rsid w:val="00C06EE8"/>
    <w:rsid w:val="00C07509"/>
    <w:rsid w:val="00C079CC"/>
    <w:rsid w:val="00C1060C"/>
    <w:rsid w:val="00C13F7B"/>
    <w:rsid w:val="00C157E8"/>
    <w:rsid w:val="00C15985"/>
    <w:rsid w:val="00C20E9E"/>
    <w:rsid w:val="00C22E0C"/>
    <w:rsid w:val="00C23315"/>
    <w:rsid w:val="00C23CC9"/>
    <w:rsid w:val="00C30926"/>
    <w:rsid w:val="00C345B1"/>
    <w:rsid w:val="00C362EE"/>
    <w:rsid w:val="00C37061"/>
    <w:rsid w:val="00C40142"/>
    <w:rsid w:val="00C43FEE"/>
    <w:rsid w:val="00C4445A"/>
    <w:rsid w:val="00C47095"/>
    <w:rsid w:val="00C4780B"/>
    <w:rsid w:val="00C510AC"/>
    <w:rsid w:val="00C5155F"/>
    <w:rsid w:val="00C52C3C"/>
    <w:rsid w:val="00C54A35"/>
    <w:rsid w:val="00C55660"/>
    <w:rsid w:val="00C5635F"/>
    <w:rsid w:val="00C57182"/>
    <w:rsid w:val="00C57863"/>
    <w:rsid w:val="00C63DCD"/>
    <w:rsid w:val="00C640AF"/>
    <w:rsid w:val="00C647C7"/>
    <w:rsid w:val="00C655FD"/>
    <w:rsid w:val="00C67ED6"/>
    <w:rsid w:val="00C71F3C"/>
    <w:rsid w:val="00C724A0"/>
    <w:rsid w:val="00C75407"/>
    <w:rsid w:val="00C762EB"/>
    <w:rsid w:val="00C8004C"/>
    <w:rsid w:val="00C808A8"/>
    <w:rsid w:val="00C808B6"/>
    <w:rsid w:val="00C83CE3"/>
    <w:rsid w:val="00C841C6"/>
    <w:rsid w:val="00C84380"/>
    <w:rsid w:val="00C870A8"/>
    <w:rsid w:val="00C901E8"/>
    <w:rsid w:val="00C94434"/>
    <w:rsid w:val="00C9765A"/>
    <w:rsid w:val="00CA0CE9"/>
    <w:rsid w:val="00CA0D75"/>
    <w:rsid w:val="00CA1219"/>
    <w:rsid w:val="00CA1C95"/>
    <w:rsid w:val="00CA5A9C"/>
    <w:rsid w:val="00CB16DB"/>
    <w:rsid w:val="00CB306F"/>
    <w:rsid w:val="00CB4932"/>
    <w:rsid w:val="00CB5820"/>
    <w:rsid w:val="00CC3AA1"/>
    <w:rsid w:val="00CC4C20"/>
    <w:rsid w:val="00CD2086"/>
    <w:rsid w:val="00CD2307"/>
    <w:rsid w:val="00CD3517"/>
    <w:rsid w:val="00CD36DB"/>
    <w:rsid w:val="00CD3D53"/>
    <w:rsid w:val="00CD5FE2"/>
    <w:rsid w:val="00CE1638"/>
    <w:rsid w:val="00CE4A21"/>
    <w:rsid w:val="00CE7C68"/>
    <w:rsid w:val="00CF042F"/>
    <w:rsid w:val="00CF14A7"/>
    <w:rsid w:val="00CF5B2D"/>
    <w:rsid w:val="00D02B4C"/>
    <w:rsid w:val="00D02CE2"/>
    <w:rsid w:val="00D03056"/>
    <w:rsid w:val="00D0318E"/>
    <w:rsid w:val="00D040C4"/>
    <w:rsid w:val="00D061B8"/>
    <w:rsid w:val="00D111CF"/>
    <w:rsid w:val="00D1356C"/>
    <w:rsid w:val="00D15685"/>
    <w:rsid w:val="00D16EC6"/>
    <w:rsid w:val="00D171B1"/>
    <w:rsid w:val="00D176B2"/>
    <w:rsid w:val="00D209E6"/>
    <w:rsid w:val="00D20AD1"/>
    <w:rsid w:val="00D2334D"/>
    <w:rsid w:val="00D2582C"/>
    <w:rsid w:val="00D26836"/>
    <w:rsid w:val="00D26C02"/>
    <w:rsid w:val="00D30DB2"/>
    <w:rsid w:val="00D374FB"/>
    <w:rsid w:val="00D41DF6"/>
    <w:rsid w:val="00D42858"/>
    <w:rsid w:val="00D42DE7"/>
    <w:rsid w:val="00D437D7"/>
    <w:rsid w:val="00D443C5"/>
    <w:rsid w:val="00D46B7E"/>
    <w:rsid w:val="00D46E6F"/>
    <w:rsid w:val="00D52BEE"/>
    <w:rsid w:val="00D54878"/>
    <w:rsid w:val="00D57C84"/>
    <w:rsid w:val="00D60247"/>
    <w:rsid w:val="00D6057D"/>
    <w:rsid w:val="00D6387E"/>
    <w:rsid w:val="00D6497A"/>
    <w:rsid w:val="00D65EA8"/>
    <w:rsid w:val="00D672A3"/>
    <w:rsid w:val="00D71640"/>
    <w:rsid w:val="00D73772"/>
    <w:rsid w:val="00D758D8"/>
    <w:rsid w:val="00D76A73"/>
    <w:rsid w:val="00D77552"/>
    <w:rsid w:val="00D8027C"/>
    <w:rsid w:val="00D81DA9"/>
    <w:rsid w:val="00D836C5"/>
    <w:rsid w:val="00D83920"/>
    <w:rsid w:val="00D84576"/>
    <w:rsid w:val="00D9150F"/>
    <w:rsid w:val="00D93B0E"/>
    <w:rsid w:val="00D95C95"/>
    <w:rsid w:val="00DA0808"/>
    <w:rsid w:val="00DA1399"/>
    <w:rsid w:val="00DA24C6"/>
    <w:rsid w:val="00DA4D7B"/>
    <w:rsid w:val="00DB2F68"/>
    <w:rsid w:val="00DB6785"/>
    <w:rsid w:val="00DB7FE4"/>
    <w:rsid w:val="00DC2840"/>
    <w:rsid w:val="00DC5C56"/>
    <w:rsid w:val="00DC73EE"/>
    <w:rsid w:val="00DD1011"/>
    <w:rsid w:val="00DD271C"/>
    <w:rsid w:val="00DD314F"/>
    <w:rsid w:val="00DD529C"/>
    <w:rsid w:val="00DE0A55"/>
    <w:rsid w:val="00DE264A"/>
    <w:rsid w:val="00DE2CF0"/>
    <w:rsid w:val="00DE3137"/>
    <w:rsid w:val="00DE3238"/>
    <w:rsid w:val="00DE3483"/>
    <w:rsid w:val="00DE4DA8"/>
    <w:rsid w:val="00DF5072"/>
    <w:rsid w:val="00E00E5C"/>
    <w:rsid w:val="00E02D18"/>
    <w:rsid w:val="00E03416"/>
    <w:rsid w:val="00E041E7"/>
    <w:rsid w:val="00E1532F"/>
    <w:rsid w:val="00E15D42"/>
    <w:rsid w:val="00E16116"/>
    <w:rsid w:val="00E16920"/>
    <w:rsid w:val="00E17474"/>
    <w:rsid w:val="00E21E6F"/>
    <w:rsid w:val="00E235B3"/>
    <w:rsid w:val="00E23CA1"/>
    <w:rsid w:val="00E262DD"/>
    <w:rsid w:val="00E32EA3"/>
    <w:rsid w:val="00E356D7"/>
    <w:rsid w:val="00E36BEF"/>
    <w:rsid w:val="00E409A8"/>
    <w:rsid w:val="00E44A37"/>
    <w:rsid w:val="00E475FD"/>
    <w:rsid w:val="00E50C12"/>
    <w:rsid w:val="00E50E4C"/>
    <w:rsid w:val="00E5232B"/>
    <w:rsid w:val="00E53DC9"/>
    <w:rsid w:val="00E54C09"/>
    <w:rsid w:val="00E550AB"/>
    <w:rsid w:val="00E55947"/>
    <w:rsid w:val="00E61DBC"/>
    <w:rsid w:val="00E65B91"/>
    <w:rsid w:val="00E7209D"/>
    <w:rsid w:val="00E72EAD"/>
    <w:rsid w:val="00E77223"/>
    <w:rsid w:val="00E801F3"/>
    <w:rsid w:val="00E84245"/>
    <w:rsid w:val="00E8528B"/>
    <w:rsid w:val="00E85B94"/>
    <w:rsid w:val="00E86620"/>
    <w:rsid w:val="00E86BF9"/>
    <w:rsid w:val="00E86F33"/>
    <w:rsid w:val="00E871D9"/>
    <w:rsid w:val="00E90246"/>
    <w:rsid w:val="00E93C41"/>
    <w:rsid w:val="00E978D0"/>
    <w:rsid w:val="00EA0218"/>
    <w:rsid w:val="00EA1213"/>
    <w:rsid w:val="00EA4613"/>
    <w:rsid w:val="00EA7F91"/>
    <w:rsid w:val="00EB1523"/>
    <w:rsid w:val="00EB1733"/>
    <w:rsid w:val="00EB214E"/>
    <w:rsid w:val="00EB3157"/>
    <w:rsid w:val="00EB362C"/>
    <w:rsid w:val="00EB39AB"/>
    <w:rsid w:val="00EB3D28"/>
    <w:rsid w:val="00EB78E2"/>
    <w:rsid w:val="00EC0E49"/>
    <w:rsid w:val="00EC101F"/>
    <w:rsid w:val="00EC1D9F"/>
    <w:rsid w:val="00EC34E1"/>
    <w:rsid w:val="00EC36E5"/>
    <w:rsid w:val="00ED3A82"/>
    <w:rsid w:val="00EE0131"/>
    <w:rsid w:val="00EE09F9"/>
    <w:rsid w:val="00EE17B0"/>
    <w:rsid w:val="00EE4828"/>
    <w:rsid w:val="00EF033D"/>
    <w:rsid w:val="00EF06D9"/>
    <w:rsid w:val="00EF1BC5"/>
    <w:rsid w:val="00EF4421"/>
    <w:rsid w:val="00EF563F"/>
    <w:rsid w:val="00F019A4"/>
    <w:rsid w:val="00F01A8E"/>
    <w:rsid w:val="00F072CB"/>
    <w:rsid w:val="00F07DA5"/>
    <w:rsid w:val="00F13A0A"/>
    <w:rsid w:val="00F20990"/>
    <w:rsid w:val="00F21214"/>
    <w:rsid w:val="00F23588"/>
    <w:rsid w:val="00F24E69"/>
    <w:rsid w:val="00F25313"/>
    <w:rsid w:val="00F2744E"/>
    <w:rsid w:val="00F3049E"/>
    <w:rsid w:val="00F30BC3"/>
    <w:rsid w:val="00F30C64"/>
    <w:rsid w:val="00F32BA2"/>
    <w:rsid w:val="00F32CDB"/>
    <w:rsid w:val="00F40882"/>
    <w:rsid w:val="00F41EE4"/>
    <w:rsid w:val="00F44B23"/>
    <w:rsid w:val="00F508C6"/>
    <w:rsid w:val="00F51CF7"/>
    <w:rsid w:val="00F563B5"/>
    <w:rsid w:val="00F565FE"/>
    <w:rsid w:val="00F63A70"/>
    <w:rsid w:val="00F63D8C"/>
    <w:rsid w:val="00F640EE"/>
    <w:rsid w:val="00F67CFB"/>
    <w:rsid w:val="00F71682"/>
    <w:rsid w:val="00F732FC"/>
    <w:rsid w:val="00F74D25"/>
    <w:rsid w:val="00F7534E"/>
    <w:rsid w:val="00F76EDD"/>
    <w:rsid w:val="00F8111B"/>
    <w:rsid w:val="00F84A8F"/>
    <w:rsid w:val="00F92003"/>
    <w:rsid w:val="00F92EF5"/>
    <w:rsid w:val="00F93EDF"/>
    <w:rsid w:val="00F97772"/>
    <w:rsid w:val="00FA1802"/>
    <w:rsid w:val="00FA21D0"/>
    <w:rsid w:val="00FA542B"/>
    <w:rsid w:val="00FA5F5F"/>
    <w:rsid w:val="00FA715F"/>
    <w:rsid w:val="00FA74FF"/>
    <w:rsid w:val="00FB06C6"/>
    <w:rsid w:val="00FB0C88"/>
    <w:rsid w:val="00FB3B47"/>
    <w:rsid w:val="00FB730C"/>
    <w:rsid w:val="00FC2695"/>
    <w:rsid w:val="00FC384E"/>
    <w:rsid w:val="00FC3E03"/>
    <w:rsid w:val="00FC3FC1"/>
    <w:rsid w:val="00FD5413"/>
    <w:rsid w:val="00FD7128"/>
    <w:rsid w:val="00FE0DBA"/>
    <w:rsid w:val="00FE18C4"/>
    <w:rsid w:val="00FE4808"/>
    <w:rsid w:val="00FE6FAC"/>
    <w:rsid w:val="00FF1572"/>
    <w:rsid w:val="00FF7CC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US"/>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UnresolvedMention">
    <w:name w:val="Unresolved Mention"/>
    <w:basedOn w:val="DefaultParagraphFont"/>
    <w:uiPriority w:val="99"/>
    <w:semiHidden/>
    <w:unhideWhenUsed/>
    <w:rsid w:val="00FE4808"/>
    <w:rPr>
      <w:color w:val="605E5C"/>
      <w:shd w:val="clear" w:color="auto" w:fill="E1DFDD"/>
    </w:rPr>
  </w:style>
  <w:style w:type="character" w:styleId="PlaceholderText">
    <w:name w:val="Placeholder Text"/>
    <w:basedOn w:val="DefaultParagraphFont"/>
    <w:uiPriority w:val="99"/>
    <w:semiHidden/>
    <w:rsid w:val="00C044EC"/>
    <w:rPr>
      <w:color w:val="666666"/>
    </w:rPr>
  </w:style>
  <w:style w:type="paragraph" w:styleId="Revision">
    <w:name w:val="Revision"/>
    <w:hidden/>
    <w:uiPriority w:val="99"/>
    <w:semiHidden/>
    <w:rsid w:val="00DE4DA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23742">
      <w:bodyDiv w:val="1"/>
      <w:marLeft w:val="0"/>
      <w:marRight w:val="0"/>
      <w:marTop w:val="0"/>
      <w:marBottom w:val="0"/>
      <w:divBdr>
        <w:top w:val="none" w:sz="0" w:space="0" w:color="auto"/>
        <w:left w:val="none" w:sz="0" w:space="0" w:color="auto"/>
        <w:bottom w:val="none" w:sz="0" w:space="0" w:color="auto"/>
        <w:right w:val="none" w:sz="0" w:space="0" w:color="auto"/>
      </w:divBdr>
    </w:div>
    <w:div w:id="191310681">
      <w:bodyDiv w:val="1"/>
      <w:marLeft w:val="0"/>
      <w:marRight w:val="0"/>
      <w:marTop w:val="0"/>
      <w:marBottom w:val="0"/>
      <w:divBdr>
        <w:top w:val="none" w:sz="0" w:space="0" w:color="auto"/>
        <w:left w:val="none" w:sz="0" w:space="0" w:color="auto"/>
        <w:bottom w:val="none" w:sz="0" w:space="0" w:color="auto"/>
        <w:right w:val="none" w:sz="0" w:space="0" w:color="auto"/>
      </w:divBdr>
    </w:div>
    <w:div w:id="207568586">
      <w:bodyDiv w:val="1"/>
      <w:marLeft w:val="0"/>
      <w:marRight w:val="0"/>
      <w:marTop w:val="0"/>
      <w:marBottom w:val="0"/>
      <w:divBdr>
        <w:top w:val="none" w:sz="0" w:space="0" w:color="auto"/>
        <w:left w:val="none" w:sz="0" w:space="0" w:color="auto"/>
        <w:bottom w:val="none" w:sz="0" w:space="0" w:color="auto"/>
        <w:right w:val="none" w:sz="0" w:space="0" w:color="auto"/>
      </w:divBdr>
    </w:div>
    <w:div w:id="238491443">
      <w:bodyDiv w:val="1"/>
      <w:marLeft w:val="0"/>
      <w:marRight w:val="0"/>
      <w:marTop w:val="0"/>
      <w:marBottom w:val="0"/>
      <w:divBdr>
        <w:top w:val="none" w:sz="0" w:space="0" w:color="auto"/>
        <w:left w:val="none" w:sz="0" w:space="0" w:color="auto"/>
        <w:bottom w:val="none" w:sz="0" w:space="0" w:color="auto"/>
        <w:right w:val="none" w:sz="0" w:space="0" w:color="auto"/>
      </w:divBdr>
    </w:div>
    <w:div w:id="247886127">
      <w:bodyDiv w:val="1"/>
      <w:marLeft w:val="0"/>
      <w:marRight w:val="0"/>
      <w:marTop w:val="0"/>
      <w:marBottom w:val="0"/>
      <w:divBdr>
        <w:top w:val="none" w:sz="0" w:space="0" w:color="auto"/>
        <w:left w:val="none" w:sz="0" w:space="0" w:color="auto"/>
        <w:bottom w:val="none" w:sz="0" w:space="0" w:color="auto"/>
        <w:right w:val="none" w:sz="0" w:space="0" w:color="auto"/>
      </w:divBdr>
    </w:div>
    <w:div w:id="264382526">
      <w:bodyDiv w:val="1"/>
      <w:marLeft w:val="0"/>
      <w:marRight w:val="0"/>
      <w:marTop w:val="0"/>
      <w:marBottom w:val="0"/>
      <w:divBdr>
        <w:top w:val="none" w:sz="0" w:space="0" w:color="auto"/>
        <w:left w:val="none" w:sz="0" w:space="0" w:color="auto"/>
        <w:bottom w:val="none" w:sz="0" w:space="0" w:color="auto"/>
        <w:right w:val="none" w:sz="0" w:space="0" w:color="auto"/>
      </w:divBdr>
    </w:div>
    <w:div w:id="588123263">
      <w:bodyDiv w:val="1"/>
      <w:marLeft w:val="0"/>
      <w:marRight w:val="0"/>
      <w:marTop w:val="0"/>
      <w:marBottom w:val="0"/>
      <w:divBdr>
        <w:top w:val="none" w:sz="0" w:space="0" w:color="auto"/>
        <w:left w:val="none" w:sz="0" w:space="0" w:color="auto"/>
        <w:bottom w:val="none" w:sz="0" w:space="0" w:color="auto"/>
        <w:right w:val="none" w:sz="0" w:space="0" w:color="auto"/>
      </w:divBdr>
    </w:div>
    <w:div w:id="705064544">
      <w:bodyDiv w:val="1"/>
      <w:marLeft w:val="0"/>
      <w:marRight w:val="0"/>
      <w:marTop w:val="0"/>
      <w:marBottom w:val="0"/>
      <w:divBdr>
        <w:top w:val="none" w:sz="0" w:space="0" w:color="auto"/>
        <w:left w:val="none" w:sz="0" w:space="0" w:color="auto"/>
        <w:bottom w:val="none" w:sz="0" w:space="0" w:color="auto"/>
        <w:right w:val="none" w:sz="0" w:space="0" w:color="auto"/>
      </w:divBdr>
    </w:div>
    <w:div w:id="74993068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444533">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6659">
      <w:bodyDiv w:val="1"/>
      <w:marLeft w:val="0"/>
      <w:marRight w:val="0"/>
      <w:marTop w:val="0"/>
      <w:marBottom w:val="0"/>
      <w:divBdr>
        <w:top w:val="none" w:sz="0" w:space="0" w:color="auto"/>
        <w:left w:val="none" w:sz="0" w:space="0" w:color="auto"/>
        <w:bottom w:val="none" w:sz="0" w:space="0" w:color="auto"/>
        <w:right w:val="none" w:sz="0" w:space="0" w:color="auto"/>
      </w:divBdr>
    </w:div>
    <w:div w:id="995452518">
      <w:bodyDiv w:val="1"/>
      <w:marLeft w:val="0"/>
      <w:marRight w:val="0"/>
      <w:marTop w:val="0"/>
      <w:marBottom w:val="0"/>
      <w:divBdr>
        <w:top w:val="none" w:sz="0" w:space="0" w:color="auto"/>
        <w:left w:val="none" w:sz="0" w:space="0" w:color="auto"/>
        <w:bottom w:val="none" w:sz="0" w:space="0" w:color="auto"/>
        <w:right w:val="none" w:sz="0" w:space="0" w:color="auto"/>
      </w:divBdr>
    </w:div>
    <w:div w:id="1129586109">
      <w:bodyDiv w:val="1"/>
      <w:marLeft w:val="0"/>
      <w:marRight w:val="0"/>
      <w:marTop w:val="0"/>
      <w:marBottom w:val="0"/>
      <w:divBdr>
        <w:top w:val="none" w:sz="0" w:space="0" w:color="auto"/>
        <w:left w:val="none" w:sz="0" w:space="0" w:color="auto"/>
        <w:bottom w:val="none" w:sz="0" w:space="0" w:color="auto"/>
        <w:right w:val="none" w:sz="0" w:space="0" w:color="auto"/>
      </w:divBdr>
      <w:divsChild>
        <w:div w:id="2127965702">
          <w:marLeft w:val="0"/>
          <w:marRight w:val="0"/>
          <w:marTop w:val="0"/>
          <w:marBottom w:val="0"/>
          <w:divBdr>
            <w:top w:val="none" w:sz="0" w:space="0" w:color="auto"/>
            <w:left w:val="none" w:sz="0" w:space="0" w:color="auto"/>
            <w:bottom w:val="none" w:sz="0" w:space="0" w:color="auto"/>
            <w:right w:val="none" w:sz="0" w:space="0" w:color="auto"/>
          </w:divBdr>
          <w:divsChild>
            <w:div w:id="741636982">
              <w:marLeft w:val="0"/>
              <w:marRight w:val="0"/>
              <w:marTop w:val="0"/>
              <w:marBottom w:val="0"/>
              <w:divBdr>
                <w:top w:val="none" w:sz="0" w:space="0" w:color="auto"/>
                <w:left w:val="none" w:sz="0" w:space="0" w:color="auto"/>
                <w:bottom w:val="none" w:sz="0" w:space="0" w:color="auto"/>
                <w:right w:val="none" w:sz="0" w:space="0" w:color="auto"/>
              </w:divBdr>
              <w:divsChild>
                <w:div w:id="467166566">
                  <w:marLeft w:val="0"/>
                  <w:marRight w:val="0"/>
                  <w:marTop w:val="0"/>
                  <w:marBottom w:val="0"/>
                  <w:divBdr>
                    <w:top w:val="none" w:sz="0" w:space="0" w:color="auto"/>
                    <w:left w:val="none" w:sz="0" w:space="0" w:color="auto"/>
                    <w:bottom w:val="none" w:sz="0" w:space="0" w:color="auto"/>
                    <w:right w:val="none" w:sz="0" w:space="0" w:color="auto"/>
                  </w:divBdr>
                  <w:divsChild>
                    <w:div w:id="405032813">
                      <w:marLeft w:val="0"/>
                      <w:marRight w:val="0"/>
                      <w:marTop w:val="0"/>
                      <w:marBottom w:val="0"/>
                      <w:divBdr>
                        <w:top w:val="none" w:sz="0" w:space="0" w:color="auto"/>
                        <w:left w:val="none" w:sz="0" w:space="0" w:color="auto"/>
                        <w:bottom w:val="none" w:sz="0" w:space="0" w:color="auto"/>
                        <w:right w:val="none" w:sz="0" w:space="0" w:color="auto"/>
                      </w:divBdr>
                      <w:divsChild>
                        <w:div w:id="669403695">
                          <w:marLeft w:val="0"/>
                          <w:marRight w:val="0"/>
                          <w:marTop w:val="0"/>
                          <w:marBottom w:val="0"/>
                          <w:divBdr>
                            <w:top w:val="none" w:sz="0" w:space="0" w:color="auto"/>
                            <w:left w:val="none" w:sz="0" w:space="0" w:color="auto"/>
                            <w:bottom w:val="none" w:sz="0" w:space="0" w:color="auto"/>
                            <w:right w:val="none" w:sz="0" w:space="0" w:color="auto"/>
                          </w:divBdr>
                          <w:divsChild>
                            <w:div w:id="636878982">
                              <w:marLeft w:val="0"/>
                              <w:marRight w:val="0"/>
                              <w:marTop w:val="0"/>
                              <w:marBottom w:val="0"/>
                              <w:divBdr>
                                <w:top w:val="none" w:sz="0" w:space="0" w:color="auto"/>
                                <w:left w:val="none" w:sz="0" w:space="0" w:color="auto"/>
                                <w:bottom w:val="none" w:sz="0" w:space="0" w:color="auto"/>
                                <w:right w:val="none" w:sz="0" w:space="0" w:color="auto"/>
                              </w:divBdr>
                              <w:divsChild>
                                <w:div w:id="431510411">
                                  <w:marLeft w:val="0"/>
                                  <w:marRight w:val="0"/>
                                  <w:marTop w:val="0"/>
                                  <w:marBottom w:val="0"/>
                                  <w:divBdr>
                                    <w:top w:val="none" w:sz="0" w:space="0" w:color="auto"/>
                                    <w:left w:val="none" w:sz="0" w:space="0" w:color="auto"/>
                                    <w:bottom w:val="none" w:sz="0" w:space="0" w:color="auto"/>
                                    <w:right w:val="none" w:sz="0" w:space="0" w:color="auto"/>
                                  </w:divBdr>
                                  <w:divsChild>
                                    <w:div w:id="242765767">
                                      <w:marLeft w:val="0"/>
                                      <w:marRight w:val="0"/>
                                      <w:marTop w:val="0"/>
                                      <w:marBottom w:val="0"/>
                                      <w:divBdr>
                                        <w:top w:val="none" w:sz="0" w:space="0" w:color="auto"/>
                                        <w:left w:val="none" w:sz="0" w:space="0" w:color="auto"/>
                                        <w:bottom w:val="none" w:sz="0" w:space="0" w:color="auto"/>
                                        <w:right w:val="none" w:sz="0" w:space="0" w:color="auto"/>
                                      </w:divBdr>
                                      <w:divsChild>
                                        <w:div w:id="507058038">
                                          <w:marLeft w:val="0"/>
                                          <w:marRight w:val="0"/>
                                          <w:marTop w:val="0"/>
                                          <w:marBottom w:val="0"/>
                                          <w:divBdr>
                                            <w:top w:val="none" w:sz="0" w:space="0" w:color="auto"/>
                                            <w:left w:val="none" w:sz="0" w:space="0" w:color="auto"/>
                                            <w:bottom w:val="none" w:sz="0" w:space="0" w:color="auto"/>
                                            <w:right w:val="none" w:sz="0" w:space="0" w:color="auto"/>
                                          </w:divBdr>
                                          <w:divsChild>
                                            <w:div w:id="337392544">
                                              <w:marLeft w:val="0"/>
                                              <w:marRight w:val="0"/>
                                              <w:marTop w:val="0"/>
                                              <w:marBottom w:val="0"/>
                                              <w:divBdr>
                                                <w:top w:val="none" w:sz="0" w:space="0" w:color="auto"/>
                                                <w:left w:val="none" w:sz="0" w:space="0" w:color="auto"/>
                                                <w:bottom w:val="none" w:sz="0" w:space="0" w:color="auto"/>
                                                <w:right w:val="none" w:sz="0" w:space="0" w:color="auto"/>
                                              </w:divBdr>
                                              <w:divsChild>
                                                <w:div w:id="1035080342">
                                                  <w:marLeft w:val="0"/>
                                                  <w:marRight w:val="0"/>
                                                  <w:marTop w:val="0"/>
                                                  <w:marBottom w:val="0"/>
                                                  <w:divBdr>
                                                    <w:top w:val="none" w:sz="0" w:space="0" w:color="auto"/>
                                                    <w:left w:val="none" w:sz="0" w:space="0" w:color="auto"/>
                                                    <w:bottom w:val="none" w:sz="0" w:space="0" w:color="auto"/>
                                                    <w:right w:val="none" w:sz="0" w:space="0" w:color="auto"/>
                                                  </w:divBdr>
                                                  <w:divsChild>
                                                    <w:div w:id="1409234025">
                                                      <w:marLeft w:val="0"/>
                                                      <w:marRight w:val="0"/>
                                                      <w:marTop w:val="0"/>
                                                      <w:marBottom w:val="0"/>
                                                      <w:divBdr>
                                                        <w:top w:val="none" w:sz="0" w:space="0" w:color="auto"/>
                                                        <w:left w:val="none" w:sz="0" w:space="0" w:color="auto"/>
                                                        <w:bottom w:val="none" w:sz="0" w:space="0" w:color="auto"/>
                                                        <w:right w:val="none" w:sz="0" w:space="0" w:color="auto"/>
                                                      </w:divBdr>
                                                      <w:divsChild>
                                                        <w:div w:id="18293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2958454">
      <w:bodyDiv w:val="1"/>
      <w:marLeft w:val="0"/>
      <w:marRight w:val="0"/>
      <w:marTop w:val="0"/>
      <w:marBottom w:val="0"/>
      <w:divBdr>
        <w:top w:val="none" w:sz="0" w:space="0" w:color="auto"/>
        <w:left w:val="none" w:sz="0" w:space="0" w:color="auto"/>
        <w:bottom w:val="none" w:sz="0" w:space="0" w:color="auto"/>
        <w:right w:val="none" w:sz="0" w:space="0" w:color="auto"/>
      </w:divBdr>
    </w:div>
    <w:div w:id="1351028109">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7770362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6926424">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7574660">
      <w:bodyDiv w:val="1"/>
      <w:marLeft w:val="0"/>
      <w:marRight w:val="0"/>
      <w:marTop w:val="0"/>
      <w:marBottom w:val="0"/>
      <w:divBdr>
        <w:top w:val="none" w:sz="0" w:space="0" w:color="auto"/>
        <w:left w:val="none" w:sz="0" w:space="0" w:color="auto"/>
        <w:bottom w:val="none" w:sz="0" w:space="0" w:color="auto"/>
        <w:right w:val="none" w:sz="0" w:space="0" w:color="auto"/>
      </w:divBdr>
    </w:div>
    <w:div w:id="161625731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67922690">
      <w:bodyDiv w:val="1"/>
      <w:marLeft w:val="0"/>
      <w:marRight w:val="0"/>
      <w:marTop w:val="0"/>
      <w:marBottom w:val="0"/>
      <w:divBdr>
        <w:top w:val="none" w:sz="0" w:space="0" w:color="auto"/>
        <w:left w:val="none" w:sz="0" w:space="0" w:color="auto"/>
        <w:bottom w:val="none" w:sz="0" w:space="0" w:color="auto"/>
        <w:right w:val="none" w:sz="0" w:space="0" w:color="auto"/>
      </w:divBdr>
    </w:div>
    <w:div w:id="1776706363">
      <w:bodyDiv w:val="1"/>
      <w:marLeft w:val="0"/>
      <w:marRight w:val="0"/>
      <w:marTop w:val="0"/>
      <w:marBottom w:val="0"/>
      <w:divBdr>
        <w:top w:val="none" w:sz="0" w:space="0" w:color="auto"/>
        <w:left w:val="none" w:sz="0" w:space="0" w:color="auto"/>
        <w:bottom w:val="none" w:sz="0" w:space="0" w:color="auto"/>
        <w:right w:val="none" w:sz="0" w:space="0" w:color="auto"/>
      </w:divBdr>
    </w:div>
    <w:div w:id="1965500974">
      <w:bodyDiv w:val="1"/>
      <w:marLeft w:val="0"/>
      <w:marRight w:val="0"/>
      <w:marTop w:val="0"/>
      <w:marBottom w:val="0"/>
      <w:divBdr>
        <w:top w:val="none" w:sz="0" w:space="0" w:color="auto"/>
        <w:left w:val="none" w:sz="0" w:space="0" w:color="auto"/>
        <w:bottom w:val="none" w:sz="0" w:space="0" w:color="auto"/>
        <w:right w:val="none" w:sz="0" w:space="0" w:color="auto"/>
      </w:divBdr>
    </w:div>
    <w:div w:id="1989088299">
      <w:bodyDiv w:val="1"/>
      <w:marLeft w:val="0"/>
      <w:marRight w:val="0"/>
      <w:marTop w:val="0"/>
      <w:marBottom w:val="0"/>
      <w:divBdr>
        <w:top w:val="none" w:sz="0" w:space="0" w:color="auto"/>
        <w:left w:val="none" w:sz="0" w:space="0" w:color="auto"/>
        <w:bottom w:val="none" w:sz="0" w:space="0" w:color="auto"/>
        <w:right w:val="none" w:sz="0" w:space="0" w:color="auto"/>
      </w:divBdr>
    </w:div>
    <w:div w:id="2017689394">
      <w:bodyDiv w:val="1"/>
      <w:marLeft w:val="0"/>
      <w:marRight w:val="0"/>
      <w:marTop w:val="0"/>
      <w:marBottom w:val="0"/>
      <w:divBdr>
        <w:top w:val="none" w:sz="0" w:space="0" w:color="auto"/>
        <w:left w:val="none" w:sz="0" w:space="0" w:color="auto"/>
        <w:bottom w:val="none" w:sz="0" w:space="0" w:color="auto"/>
        <w:right w:val="none" w:sz="0" w:space="0" w:color="auto"/>
      </w:divBdr>
    </w:div>
    <w:div w:id="207770299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341442">
      <w:bodyDiv w:val="1"/>
      <w:marLeft w:val="0"/>
      <w:marRight w:val="0"/>
      <w:marTop w:val="0"/>
      <w:marBottom w:val="0"/>
      <w:divBdr>
        <w:top w:val="none" w:sz="0" w:space="0" w:color="auto"/>
        <w:left w:val="none" w:sz="0" w:space="0" w:color="auto"/>
        <w:bottom w:val="none" w:sz="0" w:space="0" w:color="auto"/>
        <w:right w:val="none" w:sz="0" w:space="0" w:color="auto"/>
      </w:divBdr>
      <w:divsChild>
        <w:div w:id="333455249">
          <w:marLeft w:val="0"/>
          <w:marRight w:val="0"/>
          <w:marTop w:val="0"/>
          <w:marBottom w:val="0"/>
          <w:divBdr>
            <w:top w:val="none" w:sz="0" w:space="0" w:color="auto"/>
            <w:left w:val="none" w:sz="0" w:space="0" w:color="auto"/>
            <w:bottom w:val="none" w:sz="0" w:space="0" w:color="auto"/>
            <w:right w:val="none" w:sz="0" w:space="0" w:color="auto"/>
          </w:divBdr>
          <w:divsChild>
            <w:div w:id="1343044856">
              <w:marLeft w:val="0"/>
              <w:marRight w:val="0"/>
              <w:marTop w:val="0"/>
              <w:marBottom w:val="0"/>
              <w:divBdr>
                <w:top w:val="none" w:sz="0" w:space="0" w:color="auto"/>
                <w:left w:val="none" w:sz="0" w:space="0" w:color="auto"/>
                <w:bottom w:val="none" w:sz="0" w:space="0" w:color="auto"/>
                <w:right w:val="none" w:sz="0" w:space="0" w:color="auto"/>
              </w:divBdr>
              <w:divsChild>
                <w:div w:id="1998072837">
                  <w:marLeft w:val="0"/>
                  <w:marRight w:val="0"/>
                  <w:marTop w:val="0"/>
                  <w:marBottom w:val="0"/>
                  <w:divBdr>
                    <w:top w:val="none" w:sz="0" w:space="0" w:color="auto"/>
                    <w:left w:val="none" w:sz="0" w:space="0" w:color="auto"/>
                    <w:bottom w:val="none" w:sz="0" w:space="0" w:color="auto"/>
                    <w:right w:val="none" w:sz="0" w:space="0" w:color="auto"/>
                  </w:divBdr>
                  <w:divsChild>
                    <w:div w:id="247617755">
                      <w:marLeft w:val="0"/>
                      <w:marRight w:val="0"/>
                      <w:marTop w:val="0"/>
                      <w:marBottom w:val="0"/>
                      <w:divBdr>
                        <w:top w:val="none" w:sz="0" w:space="0" w:color="auto"/>
                        <w:left w:val="none" w:sz="0" w:space="0" w:color="auto"/>
                        <w:bottom w:val="none" w:sz="0" w:space="0" w:color="auto"/>
                        <w:right w:val="none" w:sz="0" w:space="0" w:color="auto"/>
                      </w:divBdr>
                      <w:divsChild>
                        <w:div w:id="928008534">
                          <w:marLeft w:val="0"/>
                          <w:marRight w:val="0"/>
                          <w:marTop w:val="0"/>
                          <w:marBottom w:val="0"/>
                          <w:divBdr>
                            <w:top w:val="none" w:sz="0" w:space="0" w:color="auto"/>
                            <w:left w:val="none" w:sz="0" w:space="0" w:color="auto"/>
                            <w:bottom w:val="none" w:sz="0" w:space="0" w:color="auto"/>
                            <w:right w:val="none" w:sz="0" w:space="0" w:color="auto"/>
                          </w:divBdr>
                          <w:divsChild>
                            <w:div w:id="1444107768">
                              <w:marLeft w:val="0"/>
                              <w:marRight w:val="0"/>
                              <w:marTop w:val="0"/>
                              <w:marBottom w:val="0"/>
                              <w:divBdr>
                                <w:top w:val="none" w:sz="0" w:space="0" w:color="auto"/>
                                <w:left w:val="none" w:sz="0" w:space="0" w:color="auto"/>
                                <w:bottom w:val="none" w:sz="0" w:space="0" w:color="auto"/>
                                <w:right w:val="none" w:sz="0" w:space="0" w:color="auto"/>
                              </w:divBdr>
                              <w:divsChild>
                                <w:div w:id="1725058466">
                                  <w:marLeft w:val="0"/>
                                  <w:marRight w:val="0"/>
                                  <w:marTop w:val="0"/>
                                  <w:marBottom w:val="0"/>
                                  <w:divBdr>
                                    <w:top w:val="none" w:sz="0" w:space="0" w:color="auto"/>
                                    <w:left w:val="none" w:sz="0" w:space="0" w:color="auto"/>
                                    <w:bottom w:val="none" w:sz="0" w:space="0" w:color="auto"/>
                                    <w:right w:val="none" w:sz="0" w:space="0" w:color="auto"/>
                                  </w:divBdr>
                                  <w:divsChild>
                                    <w:div w:id="1607270613">
                                      <w:marLeft w:val="0"/>
                                      <w:marRight w:val="0"/>
                                      <w:marTop w:val="0"/>
                                      <w:marBottom w:val="0"/>
                                      <w:divBdr>
                                        <w:top w:val="none" w:sz="0" w:space="0" w:color="auto"/>
                                        <w:left w:val="none" w:sz="0" w:space="0" w:color="auto"/>
                                        <w:bottom w:val="none" w:sz="0" w:space="0" w:color="auto"/>
                                        <w:right w:val="none" w:sz="0" w:space="0" w:color="auto"/>
                                      </w:divBdr>
                                      <w:divsChild>
                                        <w:div w:id="2072775176">
                                          <w:marLeft w:val="0"/>
                                          <w:marRight w:val="0"/>
                                          <w:marTop w:val="0"/>
                                          <w:marBottom w:val="0"/>
                                          <w:divBdr>
                                            <w:top w:val="none" w:sz="0" w:space="0" w:color="auto"/>
                                            <w:left w:val="none" w:sz="0" w:space="0" w:color="auto"/>
                                            <w:bottom w:val="none" w:sz="0" w:space="0" w:color="auto"/>
                                            <w:right w:val="none" w:sz="0" w:space="0" w:color="auto"/>
                                          </w:divBdr>
                                          <w:divsChild>
                                            <w:div w:id="1548105455">
                                              <w:marLeft w:val="0"/>
                                              <w:marRight w:val="0"/>
                                              <w:marTop w:val="0"/>
                                              <w:marBottom w:val="0"/>
                                              <w:divBdr>
                                                <w:top w:val="none" w:sz="0" w:space="0" w:color="auto"/>
                                                <w:left w:val="none" w:sz="0" w:space="0" w:color="auto"/>
                                                <w:bottom w:val="none" w:sz="0" w:space="0" w:color="auto"/>
                                                <w:right w:val="none" w:sz="0" w:space="0" w:color="auto"/>
                                              </w:divBdr>
                                              <w:divsChild>
                                                <w:div w:id="813988234">
                                                  <w:marLeft w:val="0"/>
                                                  <w:marRight w:val="0"/>
                                                  <w:marTop w:val="0"/>
                                                  <w:marBottom w:val="0"/>
                                                  <w:divBdr>
                                                    <w:top w:val="none" w:sz="0" w:space="0" w:color="auto"/>
                                                    <w:left w:val="none" w:sz="0" w:space="0" w:color="auto"/>
                                                    <w:bottom w:val="none" w:sz="0" w:space="0" w:color="auto"/>
                                                    <w:right w:val="none" w:sz="0" w:space="0" w:color="auto"/>
                                                  </w:divBdr>
                                                  <w:divsChild>
                                                    <w:div w:id="293560935">
                                                      <w:marLeft w:val="0"/>
                                                      <w:marRight w:val="0"/>
                                                      <w:marTop w:val="0"/>
                                                      <w:marBottom w:val="0"/>
                                                      <w:divBdr>
                                                        <w:top w:val="none" w:sz="0" w:space="0" w:color="auto"/>
                                                        <w:left w:val="none" w:sz="0" w:space="0" w:color="auto"/>
                                                        <w:bottom w:val="none" w:sz="0" w:space="0" w:color="auto"/>
                                                        <w:right w:val="none" w:sz="0" w:space="0" w:color="auto"/>
                                                      </w:divBdr>
                                                      <w:divsChild>
                                                        <w:div w:id="3173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aa2cfb3183327bfb/Documentos/Acetato%20de%20etila%20-%20sint&#233;tico%20Igor-DESKTOP-6LKBCB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aa2cfb3183327bfb/Documentos/Acetato%20de%20etila%20-%20sint&#233;tico%20Igor-DESKTOP-6LKBCBB.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273327294265208"/>
          <c:y val="0.10955204532360284"/>
          <c:w val="0.80880541959282115"/>
          <c:h val="0.7160534352730975"/>
        </c:manualLayout>
      </c:layout>
      <c:scatterChart>
        <c:scatterStyle val="lineMarker"/>
        <c:varyColors val="0"/>
        <c:ser>
          <c:idx val="0"/>
          <c:order val="0"/>
          <c:tx>
            <c:v>pH 2.5</c:v>
          </c:tx>
          <c:spPr>
            <a:ln w="19050" cap="rnd">
              <a:solidFill>
                <a:schemeClr val="accent3">
                  <a:lumMod val="50000"/>
                </a:schemeClr>
              </a:solidFill>
              <a:round/>
            </a:ln>
            <a:effectLst/>
          </c:spPr>
          <c:marker>
            <c:symbol val="square"/>
            <c:size val="5"/>
            <c:spPr>
              <a:solidFill>
                <a:schemeClr val="accent3">
                  <a:lumMod val="50000"/>
                </a:schemeClr>
              </a:solidFill>
              <a:ln w="9525">
                <a:noFill/>
              </a:ln>
              <a:effectLst/>
            </c:spPr>
          </c:marker>
          <c:dLbls>
            <c:delete val="1"/>
          </c:dLbls>
          <c:errBars>
            <c:errDir val="y"/>
            <c:errBarType val="both"/>
            <c:errValType val="cust"/>
            <c:noEndCap val="0"/>
            <c:plus>
              <c:numRef>
                <c:f>Gráficos!$E$58:$E$63</c:f>
                <c:numCache>
                  <c:formatCode>General</c:formatCode>
                  <c:ptCount val="6"/>
                  <c:pt idx="0">
                    <c:v>4</c:v>
                  </c:pt>
                  <c:pt idx="1">
                    <c:v>3</c:v>
                  </c:pt>
                  <c:pt idx="2">
                    <c:v>3.25</c:v>
                  </c:pt>
                  <c:pt idx="3">
                    <c:v>2.5</c:v>
                  </c:pt>
                  <c:pt idx="4">
                    <c:v>3</c:v>
                  </c:pt>
                  <c:pt idx="5">
                    <c:v>2.5</c:v>
                  </c:pt>
                </c:numCache>
              </c:numRef>
            </c:plus>
            <c:minus>
              <c:numRef>
                <c:f>Gráficos!$E$58:$E$63</c:f>
                <c:numCache>
                  <c:formatCode>General</c:formatCode>
                  <c:ptCount val="6"/>
                  <c:pt idx="0">
                    <c:v>4</c:v>
                  </c:pt>
                  <c:pt idx="1">
                    <c:v>3</c:v>
                  </c:pt>
                  <c:pt idx="2">
                    <c:v>3.25</c:v>
                  </c:pt>
                  <c:pt idx="3">
                    <c:v>2.5</c:v>
                  </c:pt>
                  <c:pt idx="4">
                    <c:v>3</c:v>
                  </c:pt>
                  <c:pt idx="5">
                    <c:v>2.5</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1"/>
            <c:val val="1"/>
            <c:spPr>
              <a:noFill/>
              <a:ln w="9525" cap="flat" cmpd="sng" algn="ctr">
                <a:noFill/>
                <a:round/>
              </a:ln>
              <a:effectLst/>
            </c:spPr>
          </c:errBars>
          <c:xVal>
            <c:numRef>
              <c:f>Concentrações!$B$4:$B$9</c:f>
              <c:numCache>
                <c:formatCode>General</c:formatCode>
                <c:ptCount val="6"/>
                <c:pt idx="0">
                  <c:v>10</c:v>
                </c:pt>
                <c:pt idx="1">
                  <c:v>20</c:v>
                </c:pt>
                <c:pt idx="2">
                  <c:v>30</c:v>
                </c:pt>
                <c:pt idx="3">
                  <c:v>40</c:v>
                </c:pt>
                <c:pt idx="4">
                  <c:v>50</c:v>
                </c:pt>
                <c:pt idx="5">
                  <c:v>60</c:v>
                </c:pt>
              </c:numCache>
            </c:numRef>
          </c:xVal>
          <c:yVal>
            <c:numRef>
              <c:f>Concentrações!$E$4:$E$9</c:f>
              <c:numCache>
                <c:formatCode>0.00</c:formatCode>
                <c:ptCount val="6"/>
                <c:pt idx="0">
                  <c:v>70.529129974140204</c:v>
                </c:pt>
                <c:pt idx="1">
                  <c:v>93.579163699078222</c:v>
                </c:pt>
                <c:pt idx="2">
                  <c:v>102.04908469040801</c:v>
                </c:pt>
                <c:pt idx="3">
                  <c:v>92.620897641853006</c:v>
                </c:pt>
                <c:pt idx="4">
                  <c:v>93.450173801051477</c:v>
                </c:pt>
                <c:pt idx="5">
                  <c:v>93.349475757181708</c:v>
                </c:pt>
              </c:numCache>
            </c:numRef>
          </c:yVal>
          <c:smooth val="0"/>
          <c:extLst>
            <c:ext xmlns:c16="http://schemas.microsoft.com/office/drawing/2014/chart" uri="{C3380CC4-5D6E-409C-BE32-E72D297353CC}">
              <c16:uniqueId val="{00000000-B08F-413B-AD09-A7D91321FF93}"/>
            </c:ext>
          </c:extLst>
        </c:ser>
        <c:ser>
          <c:idx val="1"/>
          <c:order val="1"/>
          <c:tx>
            <c:v>pH 3.5</c:v>
          </c:tx>
          <c:spPr>
            <a:ln w="19050" cap="rnd">
              <a:solidFill>
                <a:schemeClr val="accent3">
                  <a:lumMod val="75000"/>
                </a:schemeClr>
              </a:solidFill>
              <a:round/>
            </a:ln>
            <a:effectLst/>
          </c:spPr>
          <c:marker>
            <c:symbol val="triangle"/>
            <c:size val="7"/>
            <c:spPr>
              <a:solidFill>
                <a:schemeClr val="accent3">
                  <a:lumMod val="75000"/>
                </a:schemeClr>
              </a:solidFill>
              <a:ln w="9525">
                <a:noFill/>
              </a:ln>
              <a:effectLst/>
            </c:spPr>
          </c:marker>
          <c:dLbls>
            <c:delete val="1"/>
          </c:dLbls>
          <c:errBars>
            <c:errDir val="y"/>
            <c:errBarType val="both"/>
            <c:errValType val="cust"/>
            <c:noEndCap val="0"/>
            <c:plus>
              <c:numRef>
                <c:f>Gráficos!$F$58:$F$63</c:f>
                <c:numCache>
                  <c:formatCode>General</c:formatCode>
                  <c:ptCount val="6"/>
                  <c:pt idx="0">
                    <c:v>1</c:v>
                  </c:pt>
                  <c:pt idx="1">
                    <c:v>1.4</c:v>
                  </c:pt>
                  <c:pt idx="2">
                    <c:v>1.8</c:v>
                  </c:pt>
                  <c:pt idx="3">
                    <c:v>2.2000000000000002</c:v>
                  </c:pt>
                  <c:pt idx="4">
                    <c:v>3.1</c:v>
                  </c:pt>
                  <c:pt idx="5">
                    <c:v>2.5</c:v>
                  </c:pt>
                </c:numCache>
              </c:numRef>
            </c:plus>
            <c:minus>
              <c:numRef>
                <c:f>Gráficos!$F$58:$F$63</c:f>
                <c:numCache>
                  <c:formatCode>General</c:formatCode>
                  <c:ptCount val="6"/>
                  <c:pt idx="0">
                    <c:v>1</c:v>
                  </c:pt>
                  <c:pt idx="1">
                    <c:v>1.4</c:v>
                  </c:pt>
                  <c:pt idx="2">
                    <c:v>1.8</c:v>
                  </c:pt>
                  <c:pt idx="3">
                    <c:v>2.2000000000000002</c:v>
                  </c:pt>
                  <c:pt idx="4">
                    <c:v>3.1</c:v>
                  </c:pt>
                  <c:pt idx="5">
                    <c:v>2.5</c:v>
                  </c:pt>
                </c:numCache>
              </c:numRef>
            </c:minus>
            <c:spPr>
              <a:noFill/>
              <a:ln w="9525" cap="flat" cmpd="sng" algn="ctr">
                <a:solidFill>
                  <a:schemeClr val="accent3">
                    <a:lumMod val="50000"/>
                  </a:schemeClr>
                </a:solidFill>
                <a:round/>
              </a:ln>
              <a:effectLst/>
            </c:spPr>
          </c:errBars>
          <c:errBars>
            <c:errDir val="x"/>
            <c:errBarType val="both"/>
            <c:errValType val="fixedVal"/>
            <c:noEndCap val="0"/>
            <c:val val="1"/>
            <c:spPr>
              <a:noFill/>
              <a:ln w="9525" cap="flat" cmpd="sng" algn="ctr">
                <a:noFill/>
                <a:round/>
              </a:ln>
              <a:effectLst/>
            </c:spPr>
          </c:errBars>
          <c:xVal>
            <c:numRef>
              <c:f>Concentrações!$B$4:$B$9</c:f>
              <c:numCache>
                <c:formatCode>General</c:formatCode>
                <c:ptCount val="6"/>
                <c:pt idx="0">
                  <c:v>10</c:v>
                </c:pt>
                <c:pt idx="1">
                  <c:v>20</c:v>
                </c:pt>
                <c:pt idx="2">
                  <c:v>30</c:v>
                </c:pt>
                <c:pt idx="3">
                  <c:v>40</c:v>
                </c:pt>
                <c:pt idx="4">
                  <c:v>50</c:v>
                </c:pt>
                <c:pt idx="5">
                  <c:v>60</c:v>
                </c:pt>
              </c:numCache>
            </c:numRef>
          </c:xVal>
          <c:yVal>
            <c:numRef>
              <c:f>Concentrações!$E$11:$E$16</c:f>
              <c:numCache>
                <c:formatCode>0.00</c:formatCode>
                <c:ptCount val="6"/>
                <c:pt idx="0">
                  <c:v>65.28942619194892</c:v>
                </c:pt>
                <c:pt idx="1">
                  <c:v>82.034211557893059</c:v>
                </c:pt>
                <c:pt idx="2">
                  <c:v>86.757809049474389</c:v>
                </c:pt>
                <c:pt idx="3">
                  <c:v>88.415502133782127</c:v>
                </c:pt>
                <c:pt idx="4">
                  <c:v>89.472045709576989</c:v>
                </c:pt>
                <c:pt idx="5">
                  <c:v>87.739410647146826</c:v>
                </c:pt>
              </c:numCache>
            </c:numRef>
          </c:yVal>
          <c:smooth val="0"/>
          <c:extLst>
            <c:ext xmlns:c16="http://schemas.microsoft.com/office/drawing/2014/chart" uri="{C3380CC4-5D6E-409C-BE32-E72D297353CC}">
              <c16:uniqueId val="{00000001-B08F-413B-AD09-A7D91321FF93}"/>
            </c:ext>
          </c:extLst>
        </c:ser>
        <c:ser>
          <c:idx val="2"/>
          <c:order val="2"/>
          <c:tx>
            <c:v>pH 4.5</c:v>
          </c:tx>
          <c:spPr>
            <a:ln w="19050" cap="rnd">
              <a:solidFill>
                <a:schemeClr val="accent3"/>
              </a:solidFill>
              <a:round/>
            </a:ln>
            <a:effectLst/>
          </c:spPr>
          <c:marker>
            <c:symbol val="circle"/>
            <c:size val="5"/>
            <c:spPr>
              <a:solidFill>
                <a:schemeClr val="accent3"/>
              </a:solidFill>
              <a:ln w="9525">
                <a:noFill/>
              </a:ln>
              <a:effectLst/>
            </c:spPr>
          </c:marker>
          <c:dLbls>
            <c:delete val="1"/>
          </c:dLbls>
          <c:errBars>
            <c:errDir val="y"/>
            <c:errBarType val="both"/>
            <c:errValType val="cust"/>
            <c:noEndCap val="0"/>
            <c:plus>
              <c:numRef>
                <c:f>Gráficos!$G$58:$G$63</c:f>
                <c:numCache>
                  <c:formatCode>General</c:formatCode>
                  <c:ptCount val="6"/>
                  <c:pt idx="0">
                    <c:v>3</c:v>
                  </c:pt>
                  <c:pt idx="1">
                    <c:v>4.0999999999999996</c:v>
                  </c:pt>
                  <c:pt idx="2">
                    <c:v>2.4</c:v>
                  </c:pt>
                  <c:pt idx="3">
                    <c:v>1.8</c:v>
                  </c:pt>
                  <c:pt idx="4">
                    <c:v>2.4</c:v>
                  </c:pt>
                  <c:pt idx="5">
                    <c:v>1.2</c:v>
                  </c:pt>
                </c:numCache>
              </c:numRef>
            </c:plus>
            <c:minus>
              <c:numRef>
                <c:f>Gráficos!$G$58:$G$63</c:f>
                <c:numCache>
                  <c:formatCode>General</c:formatCode>
                  <c:ptCount val="6"/>
                  <c:pt idx="0">
                    <c:v>3</c:v>
                  </c:pt>
                  <c:pt idx="1">
                    <c:v>4.0999999999999996</c:v>
                  </c:pt>
                  <c:pt idx="2">
                    <c:v>2.4</c:v>
                  </c:pt>
                  <c:pt idx="3">
                    <c:v>1.8</c:v>
                  </c:pt>
                  <c:pt idx="4">
                    <c:v>2.4</c:v>
                  </c:pt>
                  <c:pt idx="5">
                    <c:v>1.2</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noFill/>
                <a:round/>
              </a:ln>
              <a:effectLst/>
            </c:spPr>
          </c:errBars>
          <c:xVal>
            <c:numRef>
              <c:f>Concentrações!$B$18:$B$23</c:f>
              <c:numCache>
                <c:formatCode>General</c:formatCode>
                <c:ptCount val="6"/>
                <c:pt idx="0">
                  <c:v>10</c:v>
                </c:pt>
                <c:pt idx="1">
                  <c:v>20</c:v>
                </c:pt>
                <c:pt idx="2">
                  <c:v>30</c:v>
                </c:pt>
                <c:pt idx="3">
                  <c:v>40</c:v>
                </c:pt>
                <c:pt idx="4">
                  <c:v>50</c:v>
                </c:pt>
                <c:pt idx="5">
                  <c:v>60</c:v>
                </c:pt>
              </c:numCache>
            </c:numRef>
          </c:xVal>
          <c:yVal>
            <c:numRef>
              <c:f>Concentrações!$E$18:$E$23</c:f>
              <c:numCache>
                <c:formatCode>0.00</c:formatCode>
                <c:ptCount val="6"/>
                <c:pt idx="0">
                  <c:v>53.547845664372893</c:v>
                </c:pt>
                <c:pt idx="1">
                  <c:v>54.537557593570327</c:v>
                </c:pt>
                <c:pt idx="2">
                  <c:v>59.090911472378295</c:v>
                </c:pt>
                <c:pt idx="3">
                  <c:v>67.07677979601155</c:v>
                </c:pt>
                <c:pt idx="4">
                  <c:v>67.857425401453568</c:v>
                </c:pt>
                <c:pt idx="5">
                  <c:v>65.986799439988943</c:v>
                </c:pt>
              </c:numCache>
            </c:numRef>
          </c:yVal>
          <c:smooth val="0"/>
          <c:extLst>
            <c:ext xmlns:c16="http://schemas.microsoft.com/office/drawing/2014/chart" uri="{C3380CC4-5D6E-409C-BE32-E72D297353CC}">
              <c16:uniqueId val="{00000002-B08F-413B-AD09-A7D91321FF93}"/>
            </c:ext>
          </c:extLst>
        </c:ser>
        <c:dLbls>
          <c:dLblPos val="t"/>
          <c:showLegendKey val="0"/>
          <c:showVal val="1"/>
          <c:showCatName val="0"/>
          <c:showSerName val="0"/>
          <c:showPercent val="0"/>
          <c:showBubbleSize val="0"/>
        </c:dLbls>
        <c:axId val="1420647551"/>
        <c:axId val="1420649471"/>
      </c:scatterChart>
      <c:valAx>
        <c:axId val="1420647551"/>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pt-BR"/>
                  <a:t>Stirring time (min)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title>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1420649471"/>
        <c:crosses val="autoZero"/>
        <c:crossBetween val="midCat"/>
      </c:valAx>
      <c:valAx>
        <c:axId val="1420649471"/>
        <c:scaling>
          <c:orientation val="minMax"/>
          <c:max val="105"/>
          <c:min val="0"/>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pt-BR"/>
                  <a:t>Acid recovery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title>
        <c:numFmt formatCode="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1420647551"/>
        <c:crosses val="autoZero"/>
        <c:crossBetween val="midCat"/>
        <c:majorUnit val="20"/>
      </c:valAx>
      <c:spPr>
        <a:noFill/>
        <a:ln w="25400">
          <a:noFill/>
        </a:ln>
        <a:effectLst/>
      </c:spPr>
    </c:plotArea>
    <c:legend>
      <c:legendPos val="r"/>
      <c:layout>
        <c:manualLayout>
          <c:xMode val="edge"/>
          <c:yMode val="edge"/>
          <c:x val="0.80259977237358582"/>
          <c:y val="0.58917514883810251"/>
          <c:w val="0.12686744245464893"/>
          <c:h val="0.20029813780695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2497284742062109"/>
          <c:y val="7.5438684422881264E-2"/>
          <c:w val="0.80880541959282115"/>
          <c:h val="0.72878401339234256"/>
        </c:manualLayout>
      </c:layout>
      <c:scatterChart>
        <c:scatterStyle val="lineMarker"/>
        <c:varyColors val="0"/>
        <c:ser>
          <c:idx val="0"/>
          <c:order val="0"/>
          <c:tx>
            <c:v>pH 2.5</c:v>
          </c:tx>
          <c:spPr>
            <a:ln w="19050" cap="rnd">
              <a:solidFill>
                <a:schemeClr val="accent3">
                  <a:lumMod val="50000"/>
                </a:schemeClr>
              </a:solidFill>
              <a:round/>
            </a:ln>
            <a:effectLst/>
          </c:spPr>
          <c:marker>
            <c:symbol val="square"/>
            <c:size val="5"/>
            <c:spPr>
              <a:solidFill>
                <a:schemeClr val="accent3">
                  <a:lumMod val="50000"/>
                </a:schemeClr>
              </a:solidFill>
              <a:ln w="9525">
                <a:noFill/>
              </a:ln>
              <a:effectLst/>
            </c:spPr>
          </c:marker>
          <c:dLbls>
            <c:delete val="1"/>
          </c:dLbls>
          <c:errBars>
            <c:errDir val="y"/>
            <c:errBarType val="both"/>
            <c:errValType val="cust"/>
            <c:noEndCap val="0"/>
            <c:plus>
              <c:numRef>
                <c:f>Gráficos!$L$58:$L$62</c:f>
                <c:numCache>
                  <c:formatCode>General</c:formatCode>
                  <c:ptCount val="5"/>
                  <c:pt idx="0">
                    <c:v>3.8</c:v>
                  </c:pt>
                  <c:pt idx="1">
                    <c:v>2.4</c:v>
                  </c:pt>
                  <c:pt idx="2">
                    <c:v>1.9</c:v>
                  </c:pt>
                  <c:pt idx="3">
                    <c:v>3.1</c:v>
                  </c:pt>
                  <c:pt idx="4">
                    <c:v>4.1500000000000004</c:v>
                  </c:pt>
                </c:numCache>
              </c:numRef>
            </c:plus>
            <c:minus>
              <c:numRef>
                <c:f>Gráficos!$L$58:$L$62</c:f>
                <c:numCache>
                  <c:formatCode>General</c:formatCode>
                  <c:ptCount val="5"/>
                  <c:pt idx="0">
                    <c:v>3.8</c:v>
                  </c:pt>
                  <c:pt idx="1">
                    <c:v>2.4</c:v>
                  </c:pt>
                  <c:pt idx="2">
                    <c:v>1.9</c:v>
                  </c:pt>
                  <c:pt idx="3">
                    <c:v>3.1</c:v>
                  </c:pt>
                  <c:pt idx="4">
                    <c:v>4.1500000000000004</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noFill/>
                <a:round/>
              </a:ln>
              <a:effectLst/>
            </c:spPr>
          </c:errBars>
          <c:xVal>
            <c:numRef>
              <c:f>Concentrações!$B$4:$B$9</c:f>
              <c:numCache>
                <c:formatCode>General</c:formatCode>
                <c:ptCount val="6"/>
                <c:pt idx="0">
                  <c:v>10</c:v>
                </c:pt>
                <c:pt idx="1">
                  <c:v>20</c:v>
                </c:pt>
                <c:pt idx="2">
                  <c:v>30</c:v>
                </c:pt>
                <c:pt idx="3">
                  <c:v>40</c:v>
                </c:pt>
                <c:pt idx="4">
                  <c:v>50</c:v>
                </c:pt>
                <c:pt idx="5">
                  <c:v>60</c:v>
                </c:pt>
              </c:numCache>
            </c:numRef>
          </c:xVal>
          <c:yVal>
            <c:numRef>
              <c:f>Concentrações!$F$4:$F$9</c:f>
              <c:numCache>
                <c:formatCode>0.00</c:formatCode>
                <c:ptCount val="6"/>
                <c:pt idx="0">
                  <c:v>54.7</c:v>
                </c:pt>
                <c:pt idx="1">
                  <c:v>59.397866874821112</c:v>
                </c:pt>
                <c:pt idx="2">
                  <c:v>80.071608185116233</c:v>
                </c:pt>
                <c:pt idx="3">
                  <c:v>71.378353094386412</c:v>
                </c:pt>
                <c:pt idx="4">
                  <c:v>72.4864530639245</c:v>
                </c:pt>
                <c:pt idx="5">
                  <c:v>74.991470781767617</c:v>
                </c:pt>
              </c:numCache>
            </c:numRef>
          </c:yVal>
          <c:smooth val="0"/>
          <c:extLst>
            <c:ext xmlns:c16="http://schemas.microsoft.com/office/drawing/2014/chart" uri="{C3380CC4-5D6E-409C-BE32-E72D297353CC}">
              <c16:uniqueId val="{00000000-6BED-498F-B1B9-60F1CEE5C9F2}"/>
            </c:ext>
          </c:extLst>
        </c:ser>
        <c:ser>
          <c:idx val="1"/>
          <c:order val="1"/>
          <c:tx>
            <c:v>pH 3.5</c:v>
          </c:tx>
          <c:spPr>
            <a:ln w="19050" cap="rnd">
              <a:solidFill>
                <a:schemeClr val="accent3">
                  <a:lumMod val="75000"/>
                </a:schemeClr>
              </a:solidFill>
              <a:round/>
            </a:ln>
            <a:effectLst/>
          </c:spPr>
          <c:marker>
            <c:symbol val="triangle"/>
            <c:size val="7"/>
            <c:spPr>
              <a:solidFill>
                <a:schemeClr val="accent3">
                  <a:lumMod val="75000"/>
                </a:schemeClr>
              </a:solidFill>
              <a:ln w="9525">
                <a:noFill/>
              </a:ln>
              <a:effectLst/>
            </c:spPr>
          </c:marker>
          <c:dLbls>
            <c:delete val="1"/>
          </c:dLbls>
          <c:errBars>
            <c:errDir val="y"/>
            <c:errBarType val="both"/>
            <c:errValType val="cust"/>
            <c:noEndCap val="0"/>
            <c:plus>
              <c:numRef>
                <c:f>Gráficos!$M$58:$M$63</c:f>
                <c:numCache>
                  <c:formatCode>General</c:formatCode>
                  <c:ptCount val="6"/>
                  <c:pt idx="0">
                    <c:v>2</c:v>
                  </c:pt>
                  <c:pt idx="1">
                    <c:v>2.2000000000000002</c:v>
                  </c:pt>
                  <c:pt idx="2">
                    <c:v>3.2</c:v>
                  </c:pt>
                  <c:pt idx="3">
                    <c:v>2.8</c:v>
                  </c:pt>
                  <c:pt idx="4">
                    <c:v>3.1</c:v>
                  </c:pt>
                </c:numCache>
              </c:numRef>
            </c:plus>
            <c:minus>
              <c:numRef>
                <c:f>Gráficos!$M$58:$M$63</c:f>
                <c:numCache>
                  <c:formatCode>General</c:formatCode>
                  <c:ptCount val="6"/>
                  <c:pt idx="0">
                    <c:v>2</c:v>
                  </c:pt>
                  <c:pt idx="1">
                    <c:v>2.2000000000000002</c:v>
                  </c:pt>
                  <c:pt idx="2">
                    <c:v>3.2</c:v>
                  </c:pt>
                  <c:pt idx="3">
                    <c:v>2.8</c:v>
                  </c:pt>
                  <c:pt idx="4">
                    <c:v>3.1</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noFill/>
                <a:round/>
              </a:ln>
              <a:effectLst/>
            </c:spPr>
          </c:errBars>
          <c:xVal>
            <c:numRef>
              <c:f>Concentrações!$B$4:$B$9</c:f>
              <c:numCache>
                <c:formatCode>General</c:formatCode>
                <c:ptCount val="6"/>
                <c:pt idx="0">
                  <c:v>10</c:v>
                </c:pt>
                <c:pt idx="1">
                  <c:v>20</c:v>
                </c:pt>
                <c:pt idx="2">
                  <c:v>30</c:v>
                </c:pt>
                <c:pt idx="3">
                  <c:v>40</c:v>
                </c:pt>
                <c:pt idx="4">
                  <c:v>50</c:v>
                </c:pt>
                <c:pt idx="5">
                  <c:v>60</c:v>
                </c:pt>
              </c:numCache>
            </c:numRef>
          </c:xVal>
          <c:yVal>
            <c:numRef>
              <c:f>Concentrações!$F$11:$F$16</c:f>
              <c:numCache>
                <c:formatCode>0.00</c:formatCode>
                <c:ptCount val="6"/>
                <c:pt idx="0">
                  <c:v>62.659984679417221</c:v>
                </c:pt>
                <c:pt idx="1">
                  <c:v>53.887752112458344</c:v>
                </c:pt>
                <c:pt idx="2">
                  <c:v>61.164534236008464</c:v>
                </c:pt>
                <c:pt idx="3">
                  <c:v>63.307634904529209</c:v>
                </c:pt>
                <c:pt idx="4">
                  <c:v>68.87</c:v>
                </c:pt>
                <c:pt idx="5">
                  <c:v>66.342971534236128</c:v>
                </c:pt>
              </c:numCache>
            </c:numRef>
          </c:yVal>
          <c:smooth val="0"/>
          <c:extLst>
            <c:ext xmlns:c16="http://schemas.microsoft.com/office/drawing/2014/chart" uri="{C3380CC4-5D6E-409C-BE32-E72D297353CC}">
              <c16:uniqueId val="{00000001-6BED-498F-B1B9-60F1CEE5C9F2}"/>
            </c:ext>
          </c:extLst>
        </c:ser>
        <c:ser>
          <c:idx val="2"/>
          <c:order val="2"/>
          <c:tx>
            <c:v>pH 4.5</c:v>
          </c:tx>
          <c:spPr>
            <a:ln w="19050" cap="rnd">
              <a:solidFill>
                <a:schemeClr val="accent3"/>
              </a:solidFill>
              <a:round/>
            </a:ln>
            <a:effectLst/>
          </c:spPr>
          <c:marker>
            <c:symbol val="circle"/>
            <c:size val="5"/>
            <c:spPr>
              <a:solidFill>
                <a:schemeClr val="accent3"/>
              </a:solidFill>
              <a:ln w="9525">
                <a:noFill/>
              </a:ln>
              <a:effectLst/>
            </c:spPr>
          </c:marker>
          <c:dLbls>
            <c:delete val="1"/>
          </c:dLbls>
          <c:errBars>
            <c:errDir val="y"/>
            <c:errBarType val="both"/>
            <c:errValType val="cust"/>
            <c:noEndCap val="0"/>
            <c:plus>
              <c:numRef>
                <c:f>Gráficos!$N$58:$N$63</c:f>
                <c:numCache>
                  <c:formatCode>General</c:formatCode>
                  <c:ptCount val="6"/>
                  <c:pt idx="0">
                    <c:v>2.5</c:v>
                  </c:pt>
                  <c:pt idx="1">
                    <c:v>1.6</c:v>
                  </c:pt>
                  <c:pt idx="2">
                    <c:v>2.4</c:v>
                  </c:pt>
                  <c:pt idx="3">
                    <c:v>1.8</c:v>
                  </c:pt>
                  <c:pt idx="4">
                    <c:v>2.4</c:v>
                  </c:pt>
                  <c:pt idx="5">
                    <c:v>3.8</c:v>
                  </c:pt>
                </c:numCache>
              </c:numRef>
            </c:plus>
            <c:minus>
              <c:numRef>
                <c:f>Gráficos!$N$58:$N$63</c:f>
                <c:numCache>
                  <c:formatCode>General</c:formatCode>
                  <c:ptCount val="6"/>
                  <c:pt idx="0">
                    <c:v>2.5</c:v>
                  </c:pt>
                  <c:pt idx="1">
                    <c:v>1.6</c:v>
                  </c:pt>
                  <c:pt idx="2">
                    <c:v>2.4</c:v>
                  </c:pt>
                  <c:pt idx="3">
                    <c:v>1.8</c:v>
                  </c:pt>
                  <c:pt idx="4">
                    <c:v>2.4</c:v>
                  </c:pt>
                  <c:pt idx="5">
                    <c:v>3.8</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noFill/>
                <a:round/>
              </a:ln>
              <a:effectLst/>
            </c:spPr>
          </c:errBars>
          <c:xVal>
            <c:numRef>
              <c:f>Concentrações!$B$18:$B$23</c:f>
              <c:numCache>
                <c:formatCode>General</c:formatCode>
                <c:ptCount val="6"/>
                <c:pt idx="0">
                  <c:v>10</c:v>
                </c:pt>
                <c:pt idx="1">
                  <c:v>20</c:v>
                </c:pt>
                <c:pt idx="2">
                  <c:v>30</c:v>
                </c:pt>
                <c:pt idx="3">
                  <c:v>40</c:v>
                </c:pt>
                <c:pt idx="4">
                  <c:v>50</c:v>
                </c:pt>
                <c:pt idx="5">
                  <c:v>60</c:v>
                </c:pt>
              </c:numCache>
            </c:numRef>
          </c:xVal>
          <c:yVal>
            <c:numRef>
              <c:f>Concentrações!$F$18:$F$23</c:f>
              <c:numCache>
                <c:formatCode>0.00</c:formatCode>
                <c:ptCount val="6"/>
                <c:pt idx="0">
                  <c:v>37.044743155586097</c:v>
                </c:pt>
                <c:pt idx="1">
                  <c:v>28.976411168032062</c:v>
                </c:pt>
                <c:pt idx="2">
                  <c:v>27.322452871631516</c:v>
                </c:pt>
                <c:pt idx="3">
                  <c:v>29.916138375056761</c:v>
                </c:pt>
                <c:pt idx="4">
                  <c:v>39.185079321438558</c:v>
                </c:pt>
                <c:pt idx="5">
                  <c:v>40.185916587446691</c:v>
                </c:pt>
              </c:numCache>
            </c:numRef>
          </c:yVal>
          <c:smooth val="0"/>
          <c:extLst>
            <c:ext xmlns:c16="http://schemas.microsoft.com/office/drawing/2014/chart" uri="{C3380CC4-5D6E-409C-BE32-E72D297353CC}">
              <c16:uniqueId val="{00000002-6BED-498F-B1B9-60F1CEE5C9F2}"/>
            </c:ext>
          </c:extLst>
        </c:ser>
        <c:dLbls>
          <c:dLblPos val="t"/>
          <c:showLegendKey val="0"/>
          <c:showVal val="1"/>
          <c:showCatName val="0"/>
          <c:showSerName val="0"/>
          <c:showPercent val="0"/>
          <c:showBubbleSize val="0"/>
        </c:dLbls>
        <c:axId val="1420647551"/>
        <c:axId val="1420649471"/>
      </c:scatterChart>
      <c:valAx>
        <c:axId val="1420647551"/>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pt-BR"/>
                  <a:t>Stirring time (min)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title>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1420649471"/>
        <c:crosses val="autoZero"/>
        <c:crossBetween val="midCat"/>
      </c:valAx>
      <c:valAx>
        <c:axId val="1420649471"/>
        <c:scaling>
          <c:orientation val="minMax"/>
          <c:max val="105"/>
          <c:min val="0"/>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pt-BR"/>
                  <a:t>Acid Recovery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title>
        <c:numFmt formatCode="0" sourceLinked="0"/>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crossAx val="1420647551"/>
        <c:crosses val="autoZero"/>
        <c:crossBetween val="midCat"/>
        <c:majorUnit val="20"/>
      </c:valAx>
      <c:spPr>
        <a:noFill/>
        <a:ln w="25400">
          <a:noFill/>
        </a:ln>
        <a:effectLst/>
      </c:spPr>
    </c:plotArea>
    <c:legend>
      <c:legendPos val="r"/>
      <c:layout>
        <c:manualLayout>
          <c:xMode val="edge"/>
          <c:yMode val="edge"/>
          <c:x val="0.80259977237358582"/>
          <c:y val="0.57902484500067664"/>
          <c:w val="0.12686744245464893"/>
          <c:h val="0.20029813780695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86A7EF-973D-4735-B4D4-B821B8F380D5}">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3867</Words>
  <Characters>20883</Characters>
  <Application>Microsoft Office Word</Application>
  <DocSecurity>0</DocSecurity>
  <Lines>174</Lines>
  <Paragraphs>49</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Jean Felipe Leal Silva</cp:lastModifiedBy>
  <cp:revision>49</cp:revision>
  <cp:lastPrinted>2015-05-12T18:31:00Z</cp:lastPrinted>
  <dcterms:created xsi:type="dcterms:W3CDTF">2024-12-15T16:42:00Z</dcterms:created>
  <dcterms:modified xsi:type="dcterms:W3CDTF">2025-02-26T14:21:00Z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884c818902aa5b91c7935c94c0a65364519b746c83bf84acf112a792d1a3f6f1</vt:lpwstr>
  </property>
</Properties>
</file>