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9330F1" w:rsidRPr="00FB13B0" w14:paraId="4AA0908B" w14:textId="77777777" w:rsidTr="00992627">
        <w:trPr>
          <w:trHeight w:val="852"/>
          <w:jc w:val="center"/>
        </w:trPr>
        <w:tc>
          <w:tcPr>
            <w:tcW w:w="6940" w:type="dxa"/>
            <w:vMerge w:val="restart"/>
            <w:tcBorders>
              <w:right w:val="single" w:sz="4" w:space="0" w:color="auto"/>
            </w:tcBorders>
          </w:tcPr>
          <w:p w14:paraId="0BCCB195" w14:textId="77777777" w:rsidR="009330F1" w:rsidRPr="00FB13B0" w:rsidRDefault="009330F1" w:rsidP="00992627">
            <w:pPr>
              <w:tabs>
                <w:tab w:val="left" w:pos="-108"/>
              </w:tabs>
              <w:ind w:left="-108"/>
              <w:jc w:val="left"/>
              <w:rPr>
                <w:rFonts w:cs="Arial"/>
                <w:b/>
                <w:bCs/>
                <w:i/>
                <w:iCs/>
                <w:color w:val="000066"/>
                <w:sz w:val="12"/>
                <w:szCs w:val="12"/>
                <w:lang w:eastAsia="it-IT"/>
              </w:rPr>
            </w:pPr>
            <w:bookmarkStart w:id="0" w:name="_Hlk145068772"/>
            <w:bookmarkStart w:id="1" w:name="_Hlk181170741"/>
            <w:r w:rsidRPr="00FB13B0">
              <w:rPr>
                <w:rFonts w:ascii="AdvP6960" w:hAnsi="AdvP6960" w:cs="AdvP6960"/>
                <w:noProof/>
                <w:color w:val="241F20"/>
                <w:szCs w:val="18"/>
                <w:lang w:val="it-IT" w:eastAsia="it-IT"/>
              </w:rPr>
              <w:drawing>
                <wp:inline distT="0" distB="0" distL="0" distR="0" wp14:anchorId="6249CEA0" wp14:editId="4488A89E">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FB13B0">
              <w:rPr>
                <w:rFonts w:ascii="AdvP6960" w:hAnsi="AdvP6960" w:cs="AdvP6960"/>
                <w:color w:val="241F20"/>
                <w:szCs w:val="18"/>
                <w:lang w:eastAsia="it-IT"/>
              </w:rPr>
              <w:t xml:space="preserve"> </w:t>
            </w:r>
            <w:r w:rsidRPr="00FB13B0">
              <w:rPr>
                <w:rFonts w:cs="Arial"/>
                <w:b/>
                <w:bCs/>
                <w:i/>
                <w:iCs/>
                <w:color w:val="000066"/>
                <w:sz w:val="24"/>
                <w:szCs w:val="24"/>
                <w:lang w:eastAsia="it-IT"/>
              </w:rPr>
              <w:t>CHEMICAL ENGINEERING</w:t>
            </w:r>
            <w:r w:rsidRPr="00FB13B0">
              <w:rPr>
                <w:rFonts w:cs="Arial"/>
                <w:b/>
                <w:bCs/>
                <w:i/>
                <w:iCs/>
                <w:color w:val="0033FF"/>
                <w:sz w:val="24"/>
                <w:szCs w:val="24"/>
                <w:lang w:eastAsia="it-IT"/>
              </w:rPr>
              <w:t xml:space="preserve"> </w:t>
            </w:r>
            <w:r w:rsidRPr="00FB13B0">
              <w:rPr>
                <w:rFonts w:cs="Arial"/>
                <w:b/>
                <w:bCs/>
                <w:i/>
                <w:iCs/>
                <w:color w:val="666666"/>
                <w:sz w:val="24"/>
                <w:szCs w:val="24"/>
                <w:lang w:eastAsia="it-IT"/>
              </w:rPr>
              <w:t>TRANSACTIONS</w:t>
            </w:r>
            <w:r w:rsidRPr="00FB13B0">
              <w:rPr>
                <w:color w:val="333333"/>
                <w:sz w:val="24"/>
                <w:szCs w:val="24"/>
                <w:lang w:eastAsia="it-IT"/>
              </w:rPr>
              <w:t xml:space="preserve"> </w:t>
            </w:r>
            <w:r w:rsidRPr="00FB13B0">
              <w:rPr>
                <w:rFonts w:cs="Arial"/>
                <w:b/>
                <w:bCs/>
                <w:i/>
                <w:iCs/>
                <w:color w:val="000066"/>
                <w:sz w:val="27"/>
                <w:szCs w:val="27"/>
                <w:lang w:eastAsia="it-IT"/>
              </w:rPr>
              <w:br/>
            </w:r>
          </w:p>
          <w:p w14:paraId="46C5629E" w14:textId="77777777" w:rsidR="009330F1" w:rsidRPr="00FB13B0" w:rsidRDefault="009330F1" w:rsidP="00992627">
            <w:pPr>
              <w:tabs>
                <w:tab w:val="left" w:pos="-108"/>
              </w:tabs>
              <w:ind w:left="-108"/>
              <w:rPr>
                <w:rFonts w:cs="Arial"/>
                <w:b/>
                <w:bCs/>
                <w:i/>
                <w:iCs/>
                <w:color w:val="000066"/>
                <w:sz w:val="22"/>
                <w:szCs w:val="22"/>
                <w:lang w:eastAsia="it-IT"/>
              </w:rPr>
            </w:pPr>
            <w:r w:rsidRPr="00FB13B0">
              <w:rPr>
                <w:rFonts w:cs="Arial"/>
                <w:b/>
                <w:bCs/>
                <w:i/>
                <w:iCs/>
                <w:color w:val="000066"/>
                <w:sz w:val="22"/>
                <w:szCs w:val="22"/>
                <w:lang w:eastAsia="it-IT"/>
              </w:rPr>
              <w:t>VOL. xxx, 2025</w:t>
            </w:r>
          </w:p>
        </w:tc>
        <w:tc>
          <w:tcPr>
            <w:tcW w:w="1842" w:type="dxa"/>
            <w:tcBorders>
              <w:left w:val="single" w:sz="4" w:space="0" w:color="auto"/>
              <w:bottom w:val="nil"/>
              <w:right w:val="single" w:sz="4" w:space="0" w:color="auto"/>
            </w:tcBorders>
          </w:tcPr>
          <w:p w14:paraId="1D6517CD" w14:textId="77777777" w:rsidR="009330F1" w:rsidRPr="00FB13B0" w:rsidRDefault="009330F1" w:rsidP="00992627">
            <w:pPr>
              <w:spacing w:line="140" w:lineRule="atLeast"/>
              <w:jc w:val="right"/>
              <w:rPr>
                <w:rFonts w:cs="Arial"/>
                <w:sz w:val="14"/>
                <w:szCs w:val="14"/>
              </w:rPr>
            </w:pPr>
            <w:r w:rsidRPr="00FB13B0">
              <w:rPr>
                <w:rFonts w:cs="Arial"/>
                <w:sz w:val="14"/>
                <w:szCs w:val="14"/>
              </w:rPr>
              <w:t>A publication of</w:t>
            </w:r>
          </w:p>
          <w:p w14:paraId="4A4EC320" w14:textId="77777777" w:rsidR="009330F1" w:rsidRPr="00FB13B0" w:rsidRDefault="009330F1" w:rsidP="00992627">
            <w:pPr>
              <w:jc w:val="right"/>
            </w:pPr>
            <w:r w:rsidRPr="00FB13B0">
              <w:rPr>
                <w:noProof/>
                <w:lang w:val="it-IT" w:eastAsia="it-IT"/>
              </w:rPr>
              <w:drawing>
                <wp:inline distT="0" distB="0" distL="0" distR="0" wp14:anchorId="49B97CBB" wp14:editId="6BF2E8C6">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9330F1" w:rsidRPr="00FB13B0" w14:paraId="6A469E19" w14:textId="77777777" w:rsidTr="00992627">
        <w:trPr>
          <w:trHeight w:val="567"/>
          <w:jc w:val="center"/>
        </w:trPr>
        <w:tc>
          <w:tcPr>
            <w:tcW w:w="6940" w:type="dxa"/>
            <w:vMerge/>
            <w:tcBorders>
              <w:right w:val="single" w:sz="4" w:space="0" w:color="auto"/>
            </w:tcBorders>
          </w:tcPr>
          <w:p w14:paraId="0CD6103F" w14:textId="77777777" w:rsidR="009330F1" w:rsidRPr="00FB13B0" w:rsidRDefault="009330F1" w:rsidP="00992627">
            <w:pPr>
              <w:tabs>
                <w:tab w:val="left" w:pos="-108"/>
              </w:tabs>
            </w:pPr>
          </w:p>
        </w:tc>
        <w:tc>
          <w:tcPr>
            <w:tcW w:w="1842" w:type="dxa"/>
            <w:tcBorders>
              <w:left w:val="single" w:sz="4" w:space="0" w:color="auto"/>
              <w:bottom w:val="nil"/>
              <w:right w:val="single" w:sz="4" w:space="0" w:color="auto"/>
            </w:tcBorders>
          </w:tcPr>
          <w:p w14:paraId="0B39FC02" w14:textId="77777777" w:rsidR="009330F1" w:rsidRPr="00FB13B0" w:rsidRDefault="009330F1" w:rsidP="00992627">
            <w:pPr>
              <w:spacing w:line="140" w:lineRule="atLeast"/>
              <w:jc w:val="right"/>
              <w:rPr>
                <w:rFonts w:cs="Arial"/>
                <w:sz w:val="14"/>
                <w:szCs w:val="14"/>
              </w:rPr>
            </w:pPr>
            <w:r w:rsidRPr="00FB13B0">
              <w:rPr>
                <w:rFonts w:cs="Arial"/>
                <w:sz w:val="14"/>
                <w:szCs w:val="14"/>
              </w:rPr>
              <w:t>The Italian Association</w:t>
            </w:r>
          </w:p>
          <w:p w14:paraId="4A859844" w14:textId="77777777" w:rsidR="009330F1" w:rsidRPr="00FB13B0" w:rsidRDefault="009330F1" w:rsidP="00992627">
            <w:pPr>
              <w:spacing w:line="140" w:lineRule="atLeast"/>
              <w:jc w:val="right"/>
              <w:rPr>
                <w:rFonts w:cs="Arial"/>
                <w:sz w:val="14"/>
                <w:szCs w:val="14"/>
              </w:rPr>
            </w:pPr>
            <w:r w:rsidRPr="00FB13B0">
              <w:rPr>
                <w:rFonts w:cs="Arial"/>
                <w:sz w:val="14"/>
                <w:szCs w:val="14"/>
              </w:rPr>
              <w:t>of Chemical Engineering</w:t>
            </w:r>
          </w:p>
          <w:p w14:paraId="022F43BF" w14:textId="77777777" w:rsidR="009330F1" w:rsidRPr="00FB13B0" w:rsidRDefault="009330F1" w:rsidP="00992627">
            <w:pPr>
              <w:spacing w:line="140" w:lineRule="atLeast"/>
              <w:jc w:val="right"/>
              <w:rPr>
                <w:rFonts w:cs="Arial"/>
                <w:sz w:val="13"/>
                <w:szCs w:val="13"/>
              </w:rPr>
            </w:pPr>
            <w:r w:rsidRPr="00FB13B0">
              <w:rPr>
                <w:rFonts w:cs="Arial"/>
                <w:sz w:val="13"/>
                <w:szCs w:val="13"/>
              </w:rPr>
              <w:t>Online at www.cetjournal.it</w:t>
            </w:r>
          </w:p>
        </w:tc>
      </w:tr>
      <w:tr w:rsidR="009330F1" w:rsidRPr="00FB13B0" w14:paraId="790F7D60" w14:textId="77777777" w:rsidTr="00992627">
        <w:trPr>
          <w:trHeight w:val="68"/>
          <w:jc w:val="center"/>
        </w:trPr>
        <w:tc>
          <w:tcPr>
            <w:tcW w:w="8782" w:type="dxa"/>
            <w:gridSpan w:val="2"/>
          </w:tcPr>
          <w:p w14:paraId="322C0944" w14:textId="77777777" w:rsidR="009330F1" w:rsidRPr="00FB13B0" w:rsidRDefault="009330F1" w:rsidP="00992627">
            <w:pPr>
              <w:ind w:left="-107"/>
              <w:outlineLvl w:val="2"/>
              <w:rPr>
                <w:rFonts w:ascii="Tahoma" w:hAnsi="Tahoma" w:cs="Tahoma"/>
                <w:color w:val="000000"/>
                <w:sz w:val="14"/>
                <w:szCs w:val="14"/>
                <w:shd w:val="clear" w:color="auto" w:fill="FFFFFF"/>
                <w:lang w:val="it-IT"/>
              </w:rPr>
            </w:pPr>
            <w:r w:rsidRPr="00FB13B0">
              <w:rPr>
                <w:rFonts w:ascii="Tahoma" w:hAnsi="Tahoma" w:cs="Tahoma"/>
                <w:iCs/>
                <w:color w:val="333333"/>
                <w:sz w:val="14"/>
                <w:szCs w:val="14"/>
                <w:lang w:val="it-IT" w:eastAsia="it-IT"/>
              </w:rPr>
              <w:t>Guest Editors:</w:t>
            </w:r>
            <w:r w:rsidRPr="00FB13B0">
              <w:rPr>
                <w:rFonts w:ascii="Aptos" w:eastAsiaTheme="minorHAnsi" w:hAnsi="Aptos" w:cs="Aptos"/>
                <w:sz w:val="22"/>
                <w:szCs w:val="22"/>
                <w:lang w:val="it-IT"/>
                <w14:ligatures w14:val="standardContextual"/>
              </w:rPr>
              <w:t xml:space="preserve"> </w:t>
            </w:r>
            <w:r w:rsidRPr="00FB13B0">
              <w:rPr>
                <w:rFonts w:ascii="Tahoma" w:hAnsi="Tahoma" w:cs="Tahoma"/>
                <w:color w:val="000000"/>
                <w:sz w:val="14"/>
                <w:szCs w:val="14"/>
                <w:shd w:val="clear" w:color="auto" w:fill="FFFFFF"/>
                <w:lang w:val="it-IT"/>
              </w:rPr>
              <w:t>Fabrizio Bezzo, Flavio Manenti, Gabriele Pannocchia, Almerinda di Benedetto</w:t>
            </w:r>
          </w:p>
          <w:p w14:paraId="5E6C3A90" w14:textId="77777777" w:rsidR="009330F1" w:rsidRPr="00FB13B0" w:rsidRDefault="009330F1" w:rsidP="00992627">
            <w:pPr>
              <w:tabs>
                <w:tab w:val="left" w:pos="-108"/>
              </w:tabs>
              <w:spacing w:line="140" w:lineRule="atLeast"/>
              <w:ind w:left="-107"/>
              <w:jc w:val="left"/>
            </w:pPr>
            <w:r w:rsidRPr="00FB13B0">
              <w:rPr>
                <w:rFonts w:ascii="Tahoma" w:hAnsi="Tahoma" w:cs="Tahoma"/>
                <w:iCs/>
                <w:color w:val="333333"/>
                <w:sz w:val="14"/>
                <w:szCs w:val="14"/>
                <w:lang w:eastAsia="it-IT"/>
              </w:rPr>
              <w:t xml:space="preserve">Copyright © 2025, AIDIC </w:t>
            </w:r>
            <w:proofErr w:type="spellStart"/>
            <w:r w:rsidRPr="00FB13B0">
              <w:rPr>
                <w:rFonts w:ascii="Tahoma" w:hAnsi="Tahoma" w:cs="Tahoma"/>
                <w:iCs/>
                <w:color w:val="333333"/>
                <w:sz w:val="14"/>
                <w:szCs w:val="14"/>
                <w:lang w:eastAsia="it-IT"/>
              </w:rPr>
              <w:t>Servizi</w:t>
            </w:r>
            <w:proofErr w:type="spellEnd"/>
            <w:r w:rsidRPr="00FB13B0">
              <w:rPr>
                <w:rFonts w:ascii="Tahoma" w:hAnsi="Tahoma" w:cs="Tahoma"/>
                <w:iCs/>
                <w:color w:val="333333"/>
                <w:sz w:val="14"/>
                <w:szCs w:val="14"/>
                <w:lang w:eastAsia="it-IT"/>
              </w:rPr>
              <w:t xml:space="preserve"> </w:t>
            </w:r>
            <w:proofErr w:type="spellStart"/>
            <w:r w:rsidRPr="00FB13B0">
              <w:rPr>
                <w:rFonts w:ascii="Tahoma" w:hAnsi="Tahoma" w:cs="Tahoma"/>
                <w:iCs/>
                <w:color w:val="333333"/>
                <w:sz w:val="14"/>
                <w:szCs w:val="14"/>
                <w:lang w:eastAsia="it-IT"/>
              </w:rPr>
              <w:t>S.r.l</w:t>
            </w:r>
            <w:proofErr w:type="spellEnd"/>
            <w:r w:rsidRPr="00FB13B0">
              <w:rPr>
                <w:rFonts w:ascii="Tahoma" w:hAnsi="Tahoma" w:cs="Tahoma"/>
                <w:iCs/>
                <w:color w:val="333333"/>
                <w:sz w:val="14"/>
                <w:szCs w:val="14"/>
                <w:lang w:eastAsia="it-IT"/>
              </w:rPr>
              <w:t>.</w:t>
            </w:r>
            <w:r w:rsidRPr="00FB13B0">
              <w:rPr>
                <w:rFonts w:ascii="Tahoma" w:hAnsi="Tahoma" w:cs="Tahoma"/>
                <w:iCs/>
                <w:color w:val="333333"/>
                <w:sz w:val="14"/>
                <w:szCs w:val="14"/>
                <w:lang w:eastAsia="it-IT"/>
              </w:rPr>
              <w:br/>
            </w:r>
            <w:r w:rsidRPr="00FB13B0">
              <w:rPr>
                <w:rFonts w:ascii="Tahoma" w:hAnsi="Tahoma" w:cs="Tahoma"/>
                <w:b/>
                <w:iCs/>
                <w:color w:val="000000"/>
                <w:sz w:val="14"/>
                <w:szCs w:val="14"/>
                <w:lang w:eastAsia="it-IT"/>
              </w:rPr>
              <w:t>ISBN</w:t>
            </w:r>
            <w:r w:rsidRPr="00FB13B0">
              <w:rPr>
                <w:rFonts w:ascii="Tahoma" w:hAnsi="Tahoma" w:cs="Tahoma"/>
                <w:iCs/>
                <w:color w:val="000000"/>
                <w:sz w:val="14"/>
                <w:szCs w:val="14"/>
                <w:lang w:eastAsia="it-IT"/>
              </w:rPr>
              <w:t xml:space="preserve"> </w:t>
            </w:r>
            <w:r w:rsidRPr="00FB13B0">
              <w:rPr>
                <w:rFonts w:ascii="Tahoma" w:hAnsi="Tahoma" w:cs="Tahoma"/>
                <w:sz w:val="14"/>
                <w:szCs w:val="14"/>
              </w:rPr>
              <w:t>979-12-81206-17-5</w:t>
            </w:r>
            <w:r w:rsidRPr="00FB13B0">
              <w:rPr>
                <w:rFonts w:ascii="Tahoma" w:hAnsi="Tahoma" w:cs="Tahoma"/>
                <w:iCs/>
                <w:color w:val="333333"/>
                <w:sz w:val="14"/>
                <w:szCs w:val="14"/>
                <w:lang w:eastAsia="it-IT"/>
              </w:rPr>
              <w:t xml:space="preserve">; </w:t>
            </w:r>
            <w:r w:rsidRPr="00FB13B0">
              <w:rPr>
                <w:rFonts w:ascii="Tahoma" w:hAnsi="Tahoma" w:cs="Tahoma"/>
                <w:b/>
                <w:iCs/>
                <w:color w:val="333333"/>
                <w:sz w:val="14"/>
                <w:szCs w:val="14"/>
                <w:lang w:eastAsia="it-IT"/>
              </w:rPr>
              <w:t>ISSN</w:t>
            </w:r>
            <w:r w:rsidRPr="00FB13B0">
              <w:rPr>
                <w:rFonts w:ascii="Tahoma" w:hAnsi="Tahoma" w:cs="Tahoma"/>
                <w:iCs/>
                <w:color w:val="333333"/>
                <w:sz w:val="14"/>
                <w:szCs w:val="14"/>
                <w:lang w:eastAsia="it-IT"/>
              </w:rPr>
              <w:t xml:space="preserve"> 2283-9216</w:t>
            </w:r>
          </w:p>
        </w:tc>
      </w:tr>
    </w:tbl>
    <w:bookmarkEnd w:id="0"/>
    <w:p w14:paraId="2E667253" w14:textId="42D7D2A8" w:rsidR="00E978D0" w:rsidRPr="00FB13B0" w:rsidRDefault="00FE1DEF" w:rsidP="00E978D0">
      <w:pPr>
        <w:pStyle w:val="CETTitle"/>
      </w:pPr>
      <w:r w:rsidRPr="00FB13B0">
        <w:t xml:space="preserve">Utilization of potato wastewater for </w:t>
      </w:r>
      <w:r w:rsidRPr="00FB13B0">
        <w:rPr>
          <w:i/>
          <w:iCs/>
        </w:rPr>
        <w:t>Chlorella vulgaris</w:t>
      </w:r>
      <w:r w:rsidRPr="00FB13B0">
        <w:t xml:space="preserve"> cultivation</w:t>
      </w:r>
      <w:r w:rsidR="008C74A2" w:rsidRPr="00FB13B0">
        <w:t xml:space="preserve"> on </w:t>
      </w:r>
      <w:r w:rsidR="00F83F59" w:rsidRPr="00FB13B0">
        <w:t>Mars</w:t>
      </w:r>
    </w:p>
    <w:p w14:paraId="0488FED2" w14:textId="5286EFA7" w:rsidR="00B57E6F" w:rsidRPr="00FB13B0" w:rsidRDefault="00FE1DEF" w:rsidP="00B57E6F">
      <w:pPr>
        <w:pStyle w:val="CETAuthors"/>
        <w:rPr>
          <w:lang w:val="it-IT"/>
        </w:rPr>
      </w:pPr>
      <w:r w:rsidRPr="00FB13B0">
        <w:rPr>
          <w:lang w:val="it-IT"/>
        </w:rPr>
        <w:t>Agnieszka Sidorowicz</w:t>
      </w:r>
      <w:r w:rsidR="00300D34" w:rsidRPr="00FB13B0">
        <w:rPr>
          <w:vertAlign w:val="superscript"/>
          <w:lang w:val="it-IT"/>
        </w:rPr>
        <w:t>a,</w:t>
      </w:r>
      <w:r w:rsidR="00300D34" w:rsidRPr="00FB13B0">
        <w:rPr>
          <w:rFonts w:cs="Arial"/>
          <w:vertAlign w:val="superscript"/>
          <w:lang w:val="it-IT"/>
        </w:rPr>
        <w:t>†</w:t>
      </w:r>
      <w:r w:rsidRPr="00FB13B0">
        <w:rPr>
          <w:lang w:val="it-IT"/>
        </w:rPr>
        <w:t>, Eliška Robenhauptová</w:t>
      </w:r>
      <w:r w:rsidR="00300D34" w:rsidRPr="00FB13B0">
        <w:rPr>
          <w:vertAlign w:val="superscript"/>
          <w:lang w:val="it-IT"/>
        </w:rPr>
        <w:t>a,</w:t>
      </w:r>
      <w:r w:rsidR="00300D34" w:rsidRPr="00FB13B0">
        <w:rPr>
          <w:rFonts w:cs="Arial"/>
          <w:vertAlign w:val="superscript"/>
          <w:lang w:val="it-IT"/>
        </w:rPr>
        <w:t>†</w:t>
      </w:r>
      <w:r w:rsidRPr="00FB13B0">
        <w:rPr>
          <w:lang w:val="it-IT"/>
        </w:rPr>
        <w:t>, Giacomo Fais</w:t>
      </w:r>
      <w:r w:rsidR="00300D34" w:rsidRPr="00FB13B0">
        <w:rPr>
          <w:vertAlign w:val="superscript"/>
          <w:lang w:val="it-IT"/>
        </w:rPr>
        <w:t>a,b</w:t>
      </w:r>
      <w:r w:rsidRPr="00FB13B0">
        <w:rPr>
          <w:lang w:val="it-IT"/>
        </w:rPr>
        <w:t>, Mattia Casula</w:t>
      </w:r>
      <w:r w:rsidR="00300D34" w:rsidRPr="00FB13B0">
        <w:rPr>
          <w:vertAlign w:val="superscript"/>
          <w:lang w:val="it-IT"/>
        </w:rPr>
        <w:t>a</w:t>
      </w:r>
      <w:r w:rsidRPr="00FB13B0">
        <w:rPr>
          <w:lang w:val="it-IT"/>
        </w:rPr>
        <w:t xml:space="preserve">, </w:t>
      </w:r>
      <w:r w:rsidR="00F83F59" w:rsidRPr="00FB13B0">
        <w:rPr>
          <w:lang w:val="it-IT"/>
        </w:rPr>
        <w:t>Bartolomeo Cosenza</w:t>
      </w:r>
      <w:r w:rsidR="00BA1231" w:rsidRPr="00FB13B0">
        <w:rPr>
          <w:vertAlign w:val="superscript"/>
          <w:lang w:val="it-IT"/>
        </w:rPr>
        <w:t>c</w:t>
      </w:r>
      <w:r w:rsidR="00F83F59" w:rsidRPr="00FB13B0">
        <w:rPr>
          <w:lang w:val="it-IT"/>
        </w:rPr>
        <w:t xml:space="preserve">, </w:t>
      </w:r>
      <w:r w:rsidR="00191900" w:rsidRPr="00FB13B0">
        <w:rPr>
          <w:lang w:val="it-IT"/>
        </w:rPr>
        <w:t>Giovanni Antonio Lutzu</w:t>
      </w:r>
      <w:r w:rsidR="00FB13B0" w:rsidRPr="00FB13B0">
        <w:rPr>
          <w:vertAlign w:val="superscript"/>
          <w:lang w:val="it-IT"/>
        </w:rPr>
        <w:t>d</w:t>
      </w:r>
      <w:r w:rsidR="00191900" w:rsidRPr="00FB13B0">
        <w:rPr>
          <w:lang w:val="it-IT"/>
        </w:rPr>
        <w:t xml:space="preserve">, </w:t>
      </w:r>
      <w:r w:rsidR="008C74A2" w:rsidRPr="00FB13B0">
        <w:rPr>
          <w:lang w:val="it-IT"/>
        </w:rPr>
        <w:t>Giacomo Cao</w:t>
      </w:r>
      <w:r w:rsidR="008C74A2" w:rsidRPr="00FB13B0">
        <w:rPr>
          <w:vertAlign w:val="superscript"/>
          <w:lang w:val="it-IT"/>
        </w:rPr>
        <w:t>a,b,</w:t>
      </w:r>
      <w:r w:rsidR="008C74A2" w:rsidRPr="00FB13B0">
        <w:rPr>
          <w:lang w:val="it-IT"/>
        </w:rPr>
        <w:t xml:space="preserve">, </w:t>
      </w:r>
      <w:r w:rsidRPr="00FB13B0">
        <w:rPr>
          <w:lang w:val="it-IT"/>
        </w:rPr>
        <w:t>Alessandro Concas</w:t>
      </w:r>
      <w:r w:rsidR="008C74A2" w:rsidRPr="00FB13B0">
        <w:rPr>
          <w:lang w:val="it-IT"/>
        </w:rPr>
        <w:t xml:space="preserve"> </w:t>
      </w:r>
      <w:r w:rsidR="00300D34" w:rsidRPr="00FB13B0">
        <w:rPr>
          <w:vertAlign w:val="superscript"/>
          <w:lang w:val="it-IT"/>
        </w:rPr>
        <w:t>a,b,</w:t>
      </w:r>
      <w:r w:rsidRPr="00FB13B0">
        <w:rPr>
          <w:lang w:val="it-IT"/>
        </w:rPr>
        <w:t>*</w:t>
      </w:r>
    </w:p>
    <w:p w14:paraId="4D70DA92" w14:textId="77777777" w:rsidR="00300D34" w:rsidRPr="00FB13B0" w:rsidRDefault="00300D34" w:rsidP="00300D34">
      <w:pPr>
        <w:pStyle w:val="CETemail"/>
        <w:spacing w:after="0" w:line="264" w:lineRule="auto"/>
        <w:rPr>
          <w:vertAlign w:val="superscript"/>
        </w:rPr>
      </w:pPr>
      <w:r w:rsidRPr="00FB13B0">
        <w:rPr>
          <w:vertAlign w:val="superscript"/>
        </w:rPr>
        <w:t xml:space="preserve">a </w:t>
      </w:r>
      <w:r w:rsidRPr="00FB13B0">
        <w:t>Interdepartmental Centre of Environmental Science and Engineering (CINSA), University of Cagliari, Via San Giorgio 12, 09124 Cagliari, Italy</w:t>
      </w:r>
    </w:p>
    <w:p w14:paraId="70734971" w14:textId="77777777" w:rsidR="00BA1231" w:rsidRPr="00FB13B0" w:rsidRDefault="00300D34" w:rsidP="00300D34">
      <w:pPr>
        <w:pStyle w:val="CETemail"/>
        <w:spacing w:after="0" w:line="264" w:lineRule="auto"/>
      </w:pPr>
      <w:r w:rsidRPr="00FB13B0">
        <w:rPr>
          <w:vertAlign w:val="superscript"/>
        </w:rPr>
        <w:t xml:space="preserve">b </w:t>
      </w:r>
      <w:r w:rsidRPr="00FB13B0">
        <w:t>Department of Mechanical, Chemical and Materials Engineering, University of Cagliari, Via Marengo 2, 09123 Cagliari, Italy</w:t>
      </w:r>
    </w:p>
    <w:p w14:paraId="3D7A1C27" w14:textId="2DCB2543" w:rsidR="00300D34" w:rsidRDefault="00BA1231" w:rsidP="00300D34">
      <w:pPr>
        <w:pStyle w:val="CETemail"/>
        <w:spacing w:after="0" w:line="264" w:lineRule="auto"/>
      </w:pPr>
      <w:r w:rsidRPr="00FB13B0">
        <w:rPr>
          <w:vertAlign w:val="superscript"/>
        </w:rPr>
        <w:t xml:space="preserve">c </w:t>
      </w:r>
      <w:r w:rsidRPr="00FB13B0">
        <w:t>Department of Civil and Industrial Engineering, University di Pisa, Largo Lucio Lazzarino, 56122 Pisa (PI).</w:t>
      </w:r>
    </w:p>
    <w:p w14:paraId="6BE778F4" w14:textId="53EDF1A6" w:rsidR="00FB13B0" w:rsidRPr="00FB13B0" w:rsidRDefault="00FB13B0" w:rsidP="00FB13B0">
      <w:pPr>
        <w:pStyle w:val="CETBodytext"/>
        <w:rPr>
          <w:lang w:val="en-GB"/>
        </w:rPr>
      </w:pPr>
      <w:proofErr w:type="spellStart"/>
      <w:r w:rsidRPr="00027629">
        <w:rPr>
          <w:vertAlign w:val="superscript"/>
          <w:lang w:val="en-GB"/>
        </w:rPr>
        <w:t>d</w:t>
      </w:r>
      <w:r w:rsidR="00027629">
        <w:rPr>
          <w:noProof/>
          <w:sz w:val="16"/>
          <w:lang w:val="en-GB"/>
        </w:rPr>
        <w:t>Te</w:t>
      </w:r>
      <w:r w:rsidR="00027629" w:rsidRPr="00027629">
        <w:rPr>
          <w:noProof/>
          <w:sz w:val="16"/>
          <w:lang w:val="en-GB"/>
        </w:rPr>
        <w:t>regroup</w:t>
      </w:r>
      <w:proofErr w:type="spellEnd"/>
      <w:r w:rsidR="00027629" w:rsidRPr="00027629">
        <w:rPr>
          <w:noProof/>
          <w:sz w:val="16"/>
          <w:lang w:val="en-GB"/>
        </w:rPr>
        <w:t xml:space="preserve"> Srl, via David Livingstone 37, 41123 Modena, MO, Italy; luca.usai@teregrpoup.net (L.U.), gian-ni.lutzu@teregroup.net (G.A.L.)</w:t>
      </w:r>
    </w:p>
    <w:p w14:paraId="523EC74E" w14:textId="77777777" w:rsidR="00300D34" w:rsidRPr="00FB13B0" w:rsidRDefault="00300D34" w:rsidP="00B57E6F">
      <w:pPr>
        <w:pStyle w:val="CETAddress"/>
      </w:pPr>
    </w:p>
    <w:p w14:paraId="3D767798" w14:textId="772229BD" w:rsidR="00300D34" w:rsidRPr="00FB13B0" w:rsidRDefault="00300D34" w:rsidP="00600535">
      <w:pPr>
        <w:pStyle w:val="CETBodytext"/>
        <w:rPr>
          <w:noProof/>
          <w:sz w:val="16"/>
          <w:lang w:val="en-GB"/>
        </w:rPr>
      </w:pPr>
      <w:bookmarkStart w:id="2" w:name="_Hlk495475023"/>
      <w:r w:rsidRPr="00FB13B0">
        <w:rPr>
          <w:rFonts w:cs="Arial"/>
          <w:vertAlign w:val="superscript"/>
        </w:rPr>
        <w:t xml:space="preserve">† </w:t>
      </w:r>
      <w:r w:rsidRPr="00FB13B0">
        <w:rPr>
          <w:noProof/>
          <w:sz w:val="16"/>
          <w:lang w:val="en-GB"/>
        </w:rPr>
        <w:t>These authors contributed equally to this work</w:t>
      </w:r>
      <w:r w:rsidR="00705F47" w:rsidRPr="00FB13B0">
        <w:rPr>
          <w:noProof/>
          <w:sz w:val="16"/>
          <w:lang w:val="en-GB"/>
        </w:rPr>
        <w:t xml:space="preserve">. Correspondence to: </w:t>
      </w:r>
      <w:hyperlink r:id="rId10" w:history="1">
        <w:r w:rsidR="00705F47" w:rsidRPr="00FB13B0">
          <w:rPr>
            <w:rStyle w:val="Collegamentoipertestuale"/>
            <w:noProof/>
            <w:sz w:val="16"/>
            <w:lang w:val="en-GB"/>
          </w:rPr>
          <w:t>alessandro.concas@unica.it</w:t>
        </w:r>
      </w:hyperlink>
    </w:p>
    <w:bookmarkEnd w:id="1"/>
    <w:p w14:paraId="5C437A76" w14:textId="77777777" w:rsidR="00300D34" w:rsidRPr="00FB13B0" w:rsidRDefault="00300D34" w:rsidP="00600535">
      <w:pPr>
        <w:pStyle w:val="CETBodytext"/>
        <w:rPr>
          <w:lang w:val="en-GB"/>
        </w:rPr>
      </w:pPr>
    </w:p>
    <w:p w14:paraId="4C804EFF" w14:textId="7CC672C7" w:rsidR="00FE1DEF" w:rsidRPr="00FB13B0" w:rsidRDefault="004F3354" w:rsidP="00600535">
      <w:pPr>
        <w:pStyle w:val="CETBodytext"/>
        <w:rPr>
          <w:lang w:val="en-GB"/>
        </w:rPr>
      </w:pPr>
      <w:r w:rsidRPr="00FB13B0">
        <w:rPr>
          <w:lang w:val="en-GB"/>
        </w:rPr>
        <w:t>P</w:t>
      </w:r>
      <w:r w:rsidR="006B22AB" w:rsidRPr="00FB13B0">
        <w:rPr>
          <w:lang w:val="en-GB"/>
        </w:rPr>
        <w:t xml:space="preserve">otatoes </w:t>
      </w:r>
      <w:r w:rsidR="00F83F59" w:rsidRPr="00FB13B0">
        <w:rPr>
          <w:lang w:val="en-GB"/>
        </w:rPr>
        <w:t xml:space="preserve">have been demonstrated </w:t>
      </w:r>
      <w:r w:rsidR="006B22AB" w:rsidRPr="00FB13B0">
        <w:rPr>
          <w:lang w:val="en-GB"/>
        </w:rPr>
        <w:t xml:space="preserve">to be a </w:t>
      </w:r>
      <w:r w:rsidR="00F83F59" w:rsidRPr="00FB13B0">
        <w:rPr>
          <w:lang w:val="en-GB"/>
        </w:rPr>
        <w:t xml:space="preserve">crop potentially cultivable on Mars to sustain </w:t>
      </w:r>
      <w:r w:rsidR="006B22AB" w:rsidRPr="00FB13B0">
        <w:rPr>
          <w:lang w:val="en-GB"/>
        </w:rPr>
        <w:t xml:space="preserve">long term </w:t>
      </w:r>
      <w:r w:rsidR="00F83F59" w:rsidRPr="00FB13B0">
        <w:rPr>
          <w:lang w:val="en-GB"/>
        </w:rPr>
        <w:t xml:space="preserve">manned </w:t>
      </w:r>
      <w:r w:rsidR="006B22AB" w:rsidRPr="00FB13B0">
        <w:rPr>
          <w:lang w:val="en-GB"/>
        </w:rPr>
        <w:t xml:space="preserve">missions in the next future. </w:t>
      </w:r>
      <w:r w:rsidR="00AE6874" w:rsidRPr="00FB13B0">
        <w:rPr>
          <w:lang w:val="en-GB"/>
        </w:rPr>
        <w:t xml:space="preserve">Moreover, it has been recently demonstrated that starch from potatoes could be used on Mars to obtain a building material from locally available </w:t>
      </w:r>
      <w:r w:rsidR="002E7D12" w:rsidRPr="00FB13B0">
        <w:rPr>
          <w:lang w:val="en-GB"/>
        </w:rPr>
        <w:t xml:space="preserve">resources. </w:t>
      </w:r>
      <w:r w:rsidR="006B22AB" w:rsidRPr="00FB13B0">
        <w:rPr>
          <w:lang w:val="en-GB"/>
        </w:rPr>
        <w:t xml:space="preserve">However, </w:t>
      </w:r>
      <w:r w:rsidR="002E7D12" w:rsidRPr="00FB13B0">
        <w:rPr>
          <w:lang w:val="en-GB"/>
        </w:rPr>
        <w:t xml:space="preserve">both cooking and extracting starch from potatoes </w:t>
      </w:r>
      <w:r w:rsidR="006B22AB" w:rsidRPr="00FB13B0">
        <w:rPr>
          <w:lang w:val="en-GB"/>
        </w:rPr>
        <w:t xml:space="preserve">can generate large </w:t>
      </w:r>
      <w:r w:rsidR="00FE1DEF" w:rsidRPr="00FB13B0">
        <w:rPr>
          <w:lang w:val="en-GB"/>
        </w:rPr>
        <w:t>volume</w:t>
      </w:r>
      <w:r w:rsidR="006B22AB" w:rsidRPr="00FB13B0">
        <w:rPr>
          <w:lang w:val="en-GB"/>
        </w:rPr>
        <w:t>s</w:t>
      </w:r>
      <w:r w:rsidR="00FE1DEF" w:rsidRPr="00FB13B0">
        <w:rPr>
          <w:lang w:val="en-GB"/>
        </w:rPr>
        <w:t xml:space="preserve"> of wastewater</w:t>
      </w:r>
      <w:r w:rsidR="002E7D12" w:rsidRPr="00FB13B0">
        <w:rPr>
          <w:lang w:val="en-GB"/>
        </w:rPr>
        <w:t xml:space="preserve"> that, beyond posing </w:t>
      </w:r>
      <w:r w:rsidR="00FE1DEF" w:rsidRPr="00FB13B0">
        <w:rPr>
          <w:lang w:val="en-GB"/>
        </w:rPr>
        <w:t>a</w:t>
      </w:r>
      <w:r w:rsidR="002E7D12" w:rsidRPr="00FB13B0">
        <w:rPr>
          <w:lang w:val="en-GB"/>
        </w:rPr>
        <w:t xml:space="preserve"> pollution </w:t>
      </w:r>
      <w:r w:rsidR="00FE1DEF" w:rsidRPr="00FB13B0">
        <w:rPr>
          <w:lang w:val="en-GB"/>
        </w:rPr>
        <w:t>burden</w:t>
      </w:r>
      <w:r w:rsidR="009678F0" w:rsidRPr="00FB13B0">
        <w:rPr>
          <w:lang w:val="en-GB"/>
        </w:rPr>
        <w:t xml:space="preserve"> </w:t>
      </w:r>
      <w:r w:rsidR="002E7D12" w:rsidRPr="00FB13B0">
        <w:rPr>
          <w:lang w:val="en-GB"/>
        </w:rPr>
        <w:t xml:space="preserve">can </w:t>
      </w:r>
      <w:r w:rsidR="00F83F59" w:rsidRPr="00FB13B0">
        <w:rPr>
          <w:lang w:val="en-GB"/>
        </w:rPr>
        <w:t xml:space="preserve">determine </w:t>
      </w:r>
      <w:r w:rsidR="00425E81" w:rsidRPr="00FB13B0">
        <w:rPr>
          <w:lang w:val="en-GB"/>
        </w:rPr>
        <w:t xml:space="preserve">a </w:t>
      </w:r>
      <w:r w:rsidR="00F83F59" w:rsidRPr="00FB13B0">
        <w:rPr>
          <w:lang w:val="en-GB"/>
        </w:rPr>
        <w:t>loss</w:t>
      </w:r>
      <w:r w:rsidR="00425E81" w:rsidRPr="00FB13B0">
        <w:rPr>
          <w:lang w:val="en-GB"/>
        </w:rPr>
        <w:t xml:space="preserve"> </w:t>
      </w:r>
      <w:r w:rsidR="009678F0" w:rsidRPr="00FB13B0">
        <w:rPr>
          <w:lang w:val="en-GB"/>
        </w:rPr>
        <w:t xml:space="preserve">of </w:t>
      </w:r>
      <w:r w:rsidR="00425E81" w:rsidRPr="00FB13B0">
        <w:rPr>
          <w:lang w:val="en-GB"/>
        </w:rPr>
        <w:t xml:space="preserve">organic </w:t>
      </w:r>
      <w:r w:rsidR="009678F0" w:rsidRPr="00FB13B0">
        <w:rPr>
          <w:lang w:val="en-GB"/>
        </w:rPr>
        <w:t>resources on Mars</w:t>
      </w:r>
      <w:r w:rsidR="00425E81" w:rsidRPr="00FB13B0">
        <w:rPr>
          <w:lang w:val="en-GB"/>
        </w:rPr>
        <w:t>.</w:t>
      </w:r>
      <w:r w:rsidR="00F83F59" w:rsidRPr="00FB13B0">
        <w:rPr>
          <w:lang w:val="en-GB"/>
        </w:rPr>
        <w:t xml:space="preserve"> Indeed, on the red planet, each organic stream represents a precious resource to produce useful materials to aid the sustainment of an eventual Martian colony.</w:t>
      </w:r>
      <w:r w:rsidR="00425E81" w:rsidRPr="00FB13B0">
        <w:rPr>
          <w:lang w:val="en-GB"/>
        </w:rPr>
        <w:t xml:space="preserve"> </w:t>
      </w:r>
      <w:r w:rsidR="00FE1DEF" w:rsidRPr="00FB13B0">
        <w:rPr>
          <w:lang w:val="en-GB"/>
        </w:rPr>
        <w:t xml:space="preserve">The current study aims to contribute to understanding the feasibility of </w:t>
      </w:r>
      <w:r w:rsidR="00C43A73" w:rsidRPr="00FB13B0">
        <w:rPr>
          <w:lang w:val="en-GB"/>
        </w:rPr>
        <w:t xml:space="preserve">growing </w:t>
      </w:r>
      <w:r w:rsidR="00C43A73" w:rsidRPr="00FB13B0">
        <w:rPr>
          <w:i/>
          <w:iCs/>
          <w:lang w:val="en-GB"/>
        </w:rPr>
        <w:t>C</w:t>
      </w:r>
      <w:r w:rsidR="00425E81" w:rsidRPr="00FB13B0">
        <w:rPr>
          <w:i/>
          <w:iCs/>
          <w:lang w:val="en-GB"/>
        </w:rPr>
        <w:t xml:space="preserve">hlorella </w:t>
      </w:r>
      <w:r w:rsidR="00C43A73" w:rsidRPr="00FB13B0">
        <w:rPr>
          <w:i/>
          <w:iCs/>
          <w:lang w:val="en-GB"/>
        </w:rPr>
        <w:t>vulgaris</w:t>
      </w:r>
      <w:r w:rsidR="00C43A73" w:rsidRPr="00FB13B0">
        <w:rPr>
          <w:lang w:val="en-GB"/>
        </w:rPr>
        <w:t xml:space="preserve"> </w:t>
      </w:r>
      <w:r w:rsidR="00FE1DEF" w:rsidRPr="00FB13B0">
        <w:rPr>
          <w:lang w:val="en-GB"/>
        </w:rPr>
        <w:t xml:space="preserve">in </w:t>
      </w:r>
      <w:r w:rsidR="002E7D12" w:rsidRPr="00FB13B0">
        <w:rPr>
          <w:lang w:val="en-GB"/>
        </w:rPr>
        <w:t xml:space="preserve">potato starch </w:t>
      </w:r>
      <w:r w:rsidR="00FE1DEF" w:rsidRPr="00FB13B0">
        <w:rPr>
          <w:lang w:val="en-GB"/>
        </w:rPr>
        <w:t>wastewater. Th</w:t>
      </w:r>
      <w:r w:rsidR="00425E81" w:rsidRPr="00FB13B0">
        <w:rPr>
          <w:lang w:val="en-GB"/>
        </w:rPr>
        <w:t>is can lead to the remediation of the wastewater</w:t>
      </w:r>
      <w:r w:rsidR="002E7D12" w:rsidRPr="00FB13B0">
        <w:rPr>
          <w:lang w:val="en-GB"/>
        </w:rPr>
        <w:t>, the production of photosynthetic oxygen</w:t>
      </w:r>
      <w:r w:rsidR="00425E81" w:rsidRPr="00FB13B0">
        <w:rPr>
          <w:lang w:val="en-GB"/>
        </w:rPr>
        <w:t xml:space="preserve"> and the </w:t>
      </w:r>
      <w:r w:rsidR="002E7D12" w:rsidRPr="00FB13B0">
        <w:rPr>
          <w:lang w:val="en-GB"/>
        </w:rPr>
        <w:t xml:space="preserve">contextual generation </w:t>
      </w:r>
      <w:r w:rsidR="00425E81" w:rsidRPr="00FB13B0">
        <w:rPr>
          <w:lang w:val="en-GB"/>
        </w:rPr>
        <w:t xml:space="preserve">of valuable microalgal biomass that can also represent a source of food for astronauts. </w:t>
      </w:r>
      <w:r w:rsidR="00FE1DEF" w:rsidRPr="00FB13B0">
        <w:rPr>
          <w:lang w:val="en-GB"/>
        </w:rPr>
        <w:t xml:space="preserve">Additional investigations were carried out to evaluate the nutritional quality of the obtained </w:t>
      </w:r>
      <w:r w:rsidR="00FE1DEF" w:rsidRPr="00FB13B0">
        <w:rPr>
          <w:i/>
          <w:iCs/>
          <w:lang w:val="en-GB"/>
        </w:rPr>
        <w:t>C. vulgaris</w:t>
      </w:r>
      <w:r w:rsidR="00FE1DEF" w:rsidRPr="00FB13B0">
        <w:rPr>
          <w:lang w:val="en-GB"/>
        </w:rPr>
        <w:t xml:space="preserve"> biomass</w:t>
      </w:r>
      <w:r w:rsidR="00027629">
        <w:rPr>
          <w:lang w:val="en-GB"/>
        </w:rPr>
        <w:t xml:space="preserve">. </w:t>
      </w:r>
    </w:p>
    <w:bookmarkEnd w:id="2"/>
    <w:p w14:paraId="476B2F2E" w14:textId="77777777" w:rsidR="00600535" w:rsidRPr="00FB13B0" w:rsidRDefault="00600535" w:rsidP="00600535">
      <w:pPr>
        <w:pStyle w:val="CETHeading1"/>
        <w:rPr>
          <w:lang w:val="en-GB"/>
        </w:rPr>
      </w:pPr>
      <w:r w:rsidRPr="00FB13B0">
        <w:rPr>
          <w:lang w:val="en-GB"/>
        </w:rPr>
        <w:t>Introduction</w:t>
      </w:r>
    </w:p>
    <w:p w14:paraId="55E9FE0F" w14:textId="17E1E8C6" w:rsidR="00D4439D" w:rsidRPr="00FB13B0" w:rsidRDefault="005429E9" w:rsidP="00D4439D">
      <w:r w:rsidRPr="00FB13B0">
        <w:t xml:space="preserve">The race to colonize Mars is intensifying, driven not only by the pursuit of technological leadership and geopolitical influence on Earth but also by the future of humanity itself. As a result, increasing investments are being directed toward technologies that support long-term human missions to Mars (Fais et al., 2022). In this context, developing efficient systems for producing oxygen and food using locally available resources and astronaut-generated waste is critical.  Terrestrial crops like potatoes (Caporale et al., 2024) and aquatic plants such as edible microalgae (Casula et al., 2024) have demonstrated significant potential in this regard. Studies have shown that </w:t>
      </w:r>
      <w:r w:rsidR="00D4439D" w:rsidRPr="00FB13B0">
        <w:t>both plants</w:t>
      </w:r>
      <w:r w:rsidRPr="00FB13B0">
        <w:t xml:space="preserve"> can thrive on simulated Martian </w:t>
      </w:r>
      <w:proofErr w:type="spellStart"/>
      <w:r w:rsidRPr="00FB13B0">
        <w:t>regolith</w:t>
      </w:r>
      <w:proofErr w:type="spellEnd"/>
      <w:r w:rsidRPr="00FB13B0">
        <w:t xml:space="preserve"> and atmospheric CO</w:t>
      </w:r>
      <w:r w:rsidRPr="00FB13B0">
        <w:rPr>
          <w:rFonts w:ascii="Cambria Math" w:hAnsi="Cambria Math" w:cs="Cambria Math"/>
        </w:rPr>
        <w:t>₂</w:t>
      </w:r>
      <w:r w:rsidRPr="00FB13B0">
        <w:t>, utilizing astronauts</w:t>
      </w:r>
      <w:r w:rsidRPr="00FB13B0">
        <w:rPr>
          <w:rFonts w:cs="Arial"/>
        </w:rPr>
        <w:t>’</w:t>
      </w:r>
      <w:r w:rsidRPr="00FB13B0">
        <w:t xml:space="preserve"> metabolic waste while simultaneously generating food and oxygen to sustain crew members.  Recent research has also explored the feasibility of fabricating construction materials on Mars using in-situ resources. Roberts and </w:t>
      </w:r>
      <w:proofErr w:type="spellStart"/>
      <w:r w:rsidRPr="00FB13B0">
        <w:t>Scrutton</w:t>
      </w:r>
      <w:proofErr w:type="spellEnd"/>
      <w:r w:rsidRPr="00FB13B0">
        <w:t xml:space="preserve"> (2023) demonstrated that a starch-based binder, extracted from Martian-grown potatoes, could be used to produce a durable building material when combined with Martian </w:t>
      </w:r>
      <w:proofErr w:type="spellStart"/>
      <w:r w:rsidRPr="00FB13B0">
        <w:t>regolith</w:t>
      </w:r>
      <w:proofErr w:type="spellEnd"/>
      <w:r w:rsidRPr="00FB13B0">
        <w:t xml:space="preserve"> simulant. The starch extraction process mirrors that performed on Earth, producing a byproduct known as potato starch wastewater. This wastewater is characterized by high chemical oxygen demand (COD) and biological oxygen demand (BOD) (Kot et al., 2017), presenting an environmental challenge. However, it is also exceptionally rich in carbohydrates, nitrogen, phosphorus, and trace minerals—ideal conditions for microalgae growth. </w:t>
      </w:r>
      <w:r w:rsidR="00D4439D" w:rsidRPr="00FB13B0">
        <w:t>Given microalgae’s well-documented ability to thrive in simulated Martian environments (Fais et al., 2024) and their capacity to utilize various wastewater sources (</w:t>
      </w:r>
      <w:proofErr w:type="spellStart"/>
      <w:r w:rsidR="00D4439D" w:rsidRPr="00FB13B0">
        <w:t>Lutzu</w:t>
      </w:r>
      <w:proofErr w:type="spellEnd"/>
      <w:r w:rsidR="00D4439D" w:rsidRPr="00FB13B0">
        <w:t xml:space="preserve"> et al., 2020</w:t>
      </w:r>
      <w:r w:rsidR="003E2C8D" w:rsidRPr="00FB13B0">
        <w:t>; Concas et al., 2021a</w:t>
      </w:r>
      <w:r w:rsidR="00D4439D" w:rsidRPr="00FB13B0">
        <w:t xml:space="preserve">), we propose </w:t>
      </w:r>
      <w:r w:rsidR="006C1303">
        <w:t xml:space="preserve">for the first time </w:t>
      </w:r>
      <w:r w:rsidR="00D4439D" w:rsidRPr="00FB13B0">
        <w:t xml:space="preserve">a circular </w:t>
      </w:r>
      <w:r w:rsidR="00D4439D" w:rsidRPr="00FB13B0">
        <w:lastRenderedPageBreak/>
        <w:t xml:space="preserve">process that integrates food, oxygen, starch, and building material production on Mars (Fig. 1).  </w:t>
      </w:r>
      <w:r w:rsidR="00685FAC" w:rsidRPr="00FB13B0">
        <w:t>Beyond its effectiveness in wastewater remediation, microalgae cultivation on Mars presents additional benefits.</w:t>
      </w:r>
    </w:p>
    <w:p w14:paraId="17D56840" w14:textId="77777777" w:rsidR="005429E9" w:rsidRPr="00FB13B0" w:rsidRDefault="005429E9" w:rsidP="005429E9">
      <w:pPr>
        <w:jc w:val="center"/>
      </w:pPr>
      <w:r w:rsidRPr="00FB13B0">
        <w:rPr>
          <w:noProof/>
        </w:rPr>
        <w:drawing>
          <wp:inline distT="0" distB="0" distL="0" distR="0" wp14:anchorId="1D99FAFC" wp14:editId="35E60CAC">
            <wp:extent cx="4273062" cy="2528407"/>
            <wp:effectExtent l="0" t="0" r="0" b="5715"/>
            <wp:docPr id="392311502" name="Immagine 1" descr="Immagine che contiene schermata, a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311502" name="Immagine 1" descr="Immagine che contiene schermata, ar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9766" cy="2532374"/>
                    </a:xfrm>
                    <a:prstGeom prst="rect">
                      <a:avLst/>
                    </a:prstGeom>
                    <a:noFill/>
                  </pic:spPr>
                </pic:pic>
              </a:graphicData>
            </a:graphic>
          </wp:inline>
        </w:drawing>
      </w:r>
    </w:p>
    <w:p w14:paraId="710D12DF" w14:textId="520DBFEE" w:rsidR="005429E9" w:rsidRPr="00FB13B0" w:rsidRDefault="005429E9" w:rsidP="005429E9">
      <w:pPr>
        <w:spacing w:before="120"/>
        <w:rPr>
          <w:i/>
          <w:iCs/>
          <w:lang w:val="en-US"/>
        </w:rPr>
      </w:pPr>
      <w:r w:rsidRPr="00FB13B0">
        <w:rPr>
          <w:i/>
          <w:iCs/>
          <w:lang w:val="en-US"/>
        </w:rPr>
        <w:t>Figure 1. Scheme of the envisioned process to exploit Martian resources to produce food, oxygen and building materials involving the recycling of potatoes wastewater using microalgae.</w:t>
      </w:r>
    </w:p>
    <w:p w14:paraId="456C4D93" w14:textId="77777777" w:rsidR="005429E9" w:rsidRPr="00FB13B0" w:rsidRDefault="005429E9" w:rsidP="005429E9">
      <w:pPr>
        <w:rPr>
          <w:lang w:val="en-US"/>
        </w:rPr>
      </w:pPr>
    </w:p>
    <w:p w14:paraId="5364F140" w14:textId="5074C9E4" w:rsidR="005429E9" w:rsidRPr="00FB13B0" w:rsidRDefault="005429E9" w:rsidP="005429E9">
      <w:r w:rsidRPr="00FB13B0">
        <w:t>By leveraging in-situ resources, microalgae biomass can be sustainably produced and used for multiple applications, including food and biofertilizers (Concas et al., 2021</w:t>
      </w:r>
      <w:r w:rsidR="003E2C8D" w:rsidRPr="00FB13B0">
        <w:t>b</w:t>
      </w:r>
      <w:r w:rsidRPr="00FB13B0">
        <w:t xml:space="preserve">). While many microalgae species </w:t>
      </w:r>
      <w:r w:rsidR="00D4439D" w:rsidRPr="00FB13B0">
        <w:t>can remove</w:t>
      </w:r>
      <w:r w:rsidRPr="00FB13B0">
        <w:t xml:space="preserve"> pollutants from wastewater, only </w:t>
      </w:r>
      <w:r w:rsidR="00D4439D" w:rsidRPr="00FB13B0">
        <w:t xml:space="preserve">few strains </w:t>
      </w:r>
      <w:r w:rsidRPr="00FB13B0">
        <w:t>are suitable for food</w:t>
      </w:r>
      <w:r w:rsidR="00D4439D" w:rsidRPr="00FB13B0">
        <w:t xml:space="preserve"> </w:t>
      </w:r>
      <w:r w:rsidRPr="00FB13B0">
        <w:t xml:space="preserve">or fertilizer production. Among these, </w:t>
      </w:r>
      <w:r w:rsidRPr="00FB13B0">
        <w:rPr>
          <w:i/>
          <w:iCs/>
        </w:rPr>
        <w:t>Chlorella vulgaris</w:t>
      </w:r>
      <w:r w:rsidRPr="00FB13B0">
        <w:t xml:space="preserve"> has demonstrated remarkable efficiency in wastewater treatment, reducing total nitrogen by 89% and total phosphorus by 85% (Wang et al., 2015). Additionally, certain </w:t>
      </w:r>
      <w:r w:rsidRPr="00FB13B0">
        <w:rPr>
          <w:i/>
          <w:iCs/>
        </w:rPr>
        <w:t>Chlorella</w:t>
      </w:r>
      <w:r w:rsidRPr="00FB13B0">
        <w:t xml:space="preserve"> strains have shown high efficacy in removing metal ions. Other widely used genera for similar applications include </w:t>
      </w:r>
      <w:r w:rsidRPr="00FB13B0">
        <w:rPr>
          <w:i/>
          <w:iCs/>
        </w:rPr>
        <w:t>Scenedesmus</w:t>
      </w:r>
      <w:r w:rsidRPr="00FB13B0">
        <w:t xml:space="preserve"> and </w:t>
      </w:r>
      <w:proofErr w:type="spellStart"/>
      <w:r w:rsidRPr="00FB13B0">
        <w:rPr>
          <w:i/>
          <w:iCs/>
        </w:rPr>
        <w:t>Desmodesmus</w:t>
      </w:r>
      <w:proofErr w:type="spellEnd"/>
      <w:r w:rsidRPr="00FB13B0">
        <w:t xml:space="preserve">. In this study, we investigated the potential of using potato starch wastewater (as illustrated in Fig. 1) as a growth medium for </w:t>
      </w:r>
      <w:r w:rsidRPr="00FB13B0">
        <w:rPr>
          <w:i/>
          <w:iCs/>
        </w:rPr>
        <w:t>Chlorella vulgaris</w:t>
      </w:r>
      <w:r w:rsidRPr="00FB13B0">
        <w:t xml:space="preserve">, comparing its performance to the commonly used Bold Basal Medium supplemented with carbonates (BBM+C). The resulting biomass was </w:t>
      </w:r>
      <w:r w:rsidR="00D4439D" w:rsidRPr="00FB13B0">
        <w:t>analysed</w:t>
      </w:r>
      <w:r w:rsidRPr="00FB13B0">
        <w:t xml:space="preserve"> for its protein, carbohydrate, and lipid content, with additional assessments of its fatty acid composition and antioxidant activity to evaluate its potential as an astronaut food source. Furthermore, we </w:t>
      </w:r>
      <w:r w:rsidR="00D4439D" w:rsidRPr="00FB13B0">
        <w:t>analysed</w:t>
      </w:r>
      <w:r w:rsidRPr="00FB13B0">
        <w:t xml:space="preserve"> the medium before and after cultivation to assess </w:t>
      </w:r>
      <w:r w:rsidRPr="00FB13B0">
        <w:rPr>
          <w:i/>
          <w:iCs/>
        </w:rPr>
        <w:t>C. vulgaris</w:t>
      </w:r>
      <w:r w:rsidRPr="00FB13B0">
        <w:t xml:space="preserve"> effectiveness in wastewater remediation. Overall, our findings highlight the potential of </w:t>
      </w:r>
      <w:r w:rsidRPr="00FB13B0">
        <w:rPr>
          <w:i/>
          <w:iCs/>
        </w:rPr>
        <w:t>C. vulgaris</w:t>
      </w:r>
      <w:r w:rsidRPr="00FB13B0">
        <w:t xml:space="preserve"> cultivated in potato wastewater as a versatile resource for sustaining a future Mars colony, offering a sustainable solution for food production, oxygen generation, and environmental management in extraterrestrial habitats. </w:t>
      </w:r>
      <w:r w:rsidR="00D4439D" w:rsidRPr="00FB13B0">
        <w:t>The produced starch can then be used to fabricate in-situ building material.</w:t>
      </w:r>
    </w:p>
    <w:p w14:paraId="7C7E1E7D" w14:textId="129A9279" w:rsidR="00CA31D8" w:rsidRPr="00FB13B0" w:rsidRDefault="005C620C" w:rsidP="005C620C">
      <w:pPr>
        <w:pStyle w:val="CETHeading1"/>
      </w:pPr>
      <w:r w:rsidRPr="00FB13B0">
        <w:t>Materials and methods</w:t>
      </w:r>
    </w:p>
    <w:p w14:paraId="6645D07A" w14:textId="2BB50C63" w:rsidR="00CA31D8" w:rsidRPr="00FB13B0" w:rsidRDefault="005C620C" w:rsidP="00CE03B3">
      <w:pPr>
        <w:pStyle w:val="CETheadingx"/>
      </w:pPr>
      <w:r w:rsidRPr="00FB13B0">
        <w:t>Medium preparation</w:t>
      </w:r>
    </w:p>
    <w:p w14:paraId="1D1931B2" w14:textId="4A2F8BF2" w:rsidR="00CA31D8" w:rsidRPr="00FB13B0" w:rsidRDefault="005C620C" w:rsidP="00600535">
      <w:pPr>
        <w:pStyle w:val="CETBodytext"/>
      </w:pPr>
      <w:bookmarkStart w:id="3" w:name="_Hlk150545235"/>
      <w:r w:rsidRPr="00FB13B0">
        <w:t>Potato starch wastewater medium (PM) was prepared in the laboratory using a method mimicking the standard process of industrial potato starch production with standard pretreatment steps for the utilization by microorganisms</w:t>
      </w:r>
      <w:bookmarkEnd w:id="3"/>
      <w:r w:rsidRPr="00FB13B0">
        <w:t>, as</w:t>
      </w:r>
      <w:r w:rsidR="0028430F" w:rsidRPr="00FB13B0">
        <w:t xml:space="preserve"> previously described (Kot et al., 2017)</w:t>
      </w:r>
      <w:r w:rsidRPr="00FB13B0">
        <w:t>. Potatoes were peeled and crushed with a blender (</w:t>
      </w:r>
      <w:proofErr w:type="spellStart"/>
      <w:r w:rsidRPr="00FB13B0">
        <w:t>Imetec</w:t>
      </w:r>
      <w:proofErr w:type="spellEnd"/>
      <w:r w:rsidRPr="00FB13B0">
        <w:t xml:space="preserve"> </w:t>
      </w:r>
      <w:proofErr w:type="spellStart"/>
      <w:r w:rsidRPr="00FB13B0">
        <w:t>Dolcevita</w:t>
      </w:r>
      <w:proofErr w:type="spellEnd"/>
      <w:r w:rsidRPr="00FB13B0">
        <w:t xml:space="preserve"> Bl3, 600 W) with a small amount of distilled water (50 mL of distilled water per 0.5 kg of peeled potatoes). The produced slurry was then filtered with </w:t>
      </w:r>
      <w:r w:rsidR="00D0248B" w:rsidRPr="00FB13B0">
        <w:t>gauze</w:t>
      </w:r>
      <w:r w:rsidRPr="00FB13B0">
        <w:t xml:space="preserve">. </w:t>
      </w:r>
      <w:r w:rsidR="00D0248B" w:rsidRPr="00FB13B0">
        <w:t>The collected</w:t>
      </w:r>
      <w:r w:rsidRPr="00FB13B0">
        <w:t xml:space="preserve"> filtrate was centrifugated at 4000 rpm and 5 °C for 10 minutes. The supernatant was separated from the solids and acidified with dilute</w:t>
      </w:r>
      <w:r w:rsidR="0028430F" w:rsidRPr="00FB13B0">
        <w:t>d</w:t>
      </w:r>
      <w:r w:rsidRPr="00FB13B0">
        <w:t xml:space="preserve"> </w:t>
      </w:r>
      <w:proofErr w:type="spellStart"/>
      <w:r w:rsidRPr="00FB13B0">
        <w:t>sulphuric</w:t>
      </w:r>
      <w:proofErr w:type="spellEnd"/>
      <w:r w:rsidRPr="00FB13B0">
        <w:t xml:space="preserve"> acid to pH 5. After acidification, the wastewater was sterilized in an autoclave at 121°C and 1 bar </w:t>
      </w:r>
      <w:r w:rsidR="0028430F" w:rsidRPr="00FB13B0">
        <w:t>pressure</w:t>
      </w:r>
      <w:r w:rsidRPr="00FB13B0">
        <w:t xml:space="preserve"> for 20 minutes. As a result of the exposure to high temperature, the proteins in the wastewater precipitated</w:t>
      </w:r>
      <w:r w:rsidR="0028430F" w:rsidRPr="00FB13B0">
        <w:t>, which</w:t>
      </w:r>
      <w:r w:rsidRPr="00FB13B0">
        <w:t xml:space="preserve"> were separated by means of another centrifugation with the same conditions as in the previous step</w:t>
      </w:r>
      <w:r w:rsidR="0028430F" w:rsidRPr="00FB13B0">
        <w:t>.</w:t>
      </w:r>
      <w:r w:rsidRPr="00FB13B0">
        <w:t xml:space="preserve"> </w:t>
      </w:r>
      <w:r w:rsidR="0028430F" w:rsidRPr="00FB13B0">
        <w:t>After another</w:t>
      </w:r>
      <w:r w:rsidRPr="00FB13B0">
        <w:t xml:space="preserve"> autoclave</w:t>
      </w:r>
      <w:r w:rsidR="0028430F" w:rsidRPr="00FB13B0">
        <w:t xml:space="preserve"> cycle,</w:t>
      </w:r>
      <w:r w:rsidRPr="00FB13B0">
        <w:t xml:space="preserve"> </w:t>
      </w:r>
      <w:r w:rsidR="0028430F" w:rsidRPr="00FB13B0">
        <w:t>t</w:t>
      </w:r>
      <w:r w:rsidRPr="00FB13B0">
        <w:t>he obtained stock solution of potato wastewater was stored in the refrigerator at 4 °C.</w:t>
      </w:r>
    </w:p>
    <w:p w14:paraId="434E0F18" w14:textId="50B01CC0" w:rsidR="005C620C" w:rsidRPr="00FB13B0" w:rsidRDefault="005C620C" w:rsidP="00CE03B3">
      <w:pPr>
        <w:pStyle w:val="CETheadingx"/>
      </w:pPr>
      <w:r w:rsidRPr="00FB13B0">
        <w:t>Evaluation of optimal dilution ratio</w:t>
      </w:r>
    </w:p>
    <w:p w14:paraId="6BE2109A" w14:textId="79501FBD" w:rsidR="005C620C" w:rsidRPr="00FB13B0" w:rsidRDefault="005C620C" w:rsidP="005C620C">
      <w:r w:rsidRPr="00FB13B0">
        <w:t xml:space="preserve">In the first step, </w:t>
      </w:r>
      <w:r w:rsidRPr="00FB13B0">
        <w:rPr>
          <w:i/>
          <w:iCs/>
        </w:rPr>
        <w:t>C</w:t>
      </w:r>
      <w:r w:rsidR="0028430F" w:rsidRPr="00FB13B0">
        <w:rPr>
          <w:i/>
          <w:iCs/>
        </w:rPr>
        <w:t>.</w:t>
      </w:r>
      <w:r w:rsidRPr="00FB13B0">
        <w:rPr>
          <w:i/>
          <w:iCs/>
        </w:rPr>
        <w:t xml:space="preserve"> vulgaris</w:t>
      </w:r>
      <w:r w:rsidRPr="00FB13B0">
        <w:t xml:space="preserve"> grown in BBM+C medium was collected into 3 falcons, each of 50 ml volume. The content was centrifugated at 4000 rpm, 5 °C </w:t>
      </w:r>
      <w:r w:rsidR="0028430F" w:rsidRPr="00FB13B0">
        <w:t>for</w:t>
      </w:r>
      <w:r w:rsidRPr="00FB13B0">
        <w:t xml:space="preserve"> 5 minutes to divide the biomass and the medium. </w:t>
      </w:r>
      <w:r w:rsidR="00D0248B" w:rsidRPr="00FB13B0">
        <w:t>The obtained</w:t>
      </w:r>
      <w:r w:rsidRPr="00FB13B0">
        <w:t xml:space="preserve"> biomass was resuspended in distilled water and centrifugated again to clean the biomass of the remaining medium. The supernatant was removed, and the biomass was</w:t>
      </w:r>
      <w:r w:rsidR="0028430F" w:rsidRPr="00FB13B0">
        <w:t xml:space="preserve"> again</w:t>
      </w:r>
      <w:r w:rsidRPr="00FB13B0">
        <w:t xml:space="preserve"> resuspended in distilled water. The optimal </w:t>
      </w:r>
      <w:r w:rsidRPr="00FB13B0">
        <w:lastRenderedPageBreak/>
        <w:t>dilution of PM was tested in two microtiter plates, each plate with 9 wells. In total, 6 concentrations of potato wastewater medium were tested in triplicates - 50%, 25%, 12.5%, 6.25%, 3.125%</w:t>
      </w:r>
      <w:r w:rsidR="0028430F" w:rsidRPr="00FB13B0">
        <w:t>,</w:t>
      </w:r>
      <w:r w:rsidRPr="00FB13B0">
        <w:t xml:space="preserve"> and 1.5625%. The microtiter plates were placed in an incubator to grow under 23 °C, 150 µmol/m</w:t>
      </w:r>
      <w:r w:rsidRPr="00FB13B0">
        <w:rPr>
          <w:vertAlign w:val="superscript"/>
        </w:rPr>
        <w:t>2</w:t>
      </w:r>
      <w:r w:rsidRPr="00FB13B0">
        <w:rPr>
          <w:rFonts w:ascii="Calibri" w:hAnsi="Calibri" w:cs="Calibri"/>
        </w:rPr>
        <w:t>∙</w:t>
      </w:r>
      <w:r w:rsidRPr="00FB13B0">
        <w:t>s light intensity</w:t>
      </w:r>
      <w:r w:rsidR="008A1693" w:rsidRPr="00FB13B0">
        <w:t>,</w:t>
      </w:r>
      <w:r w:rsidRPr="00FB13B0">
        <w:t xml:space="preserve"> and 12/12</w:t>
      </w:r>
      <w:r w:rsidR="008A1693" w:rsidRPr="00FB13B0">
        <w:t xml:space="preserve"> h</w:t>
      </w:r>
      <w:r w:rsidRPr="00FB13B0">
        <w:t xml:space="preserve"> photoperiod.</w:t>
      </w:r>
    </w:p>
    <w:p w14:paraId="422742A8" w14:textId="7810252B" w:rsidR="005C620C" w:rsidRPr="00FB13B0" w:rsidRDefault="005C620C" w:rsidP="005C620C">
      <w:r w:rsidRPr="00FB13B0">
        <w:t>The growth of the microalgae was monitored every workday with a spectrophotometric plate reader (</w:t>
      </w:r>
      <w:proofErr w:type="spellStart"/>
      <w:r w:rsidRPr="00FB13B0">
        <w:t>BioTek</w:t>
      </w:r>
      <w:proofErr w:type="spellEnd"/>
      <w:r w:rsidRPr="00FB13B0">
        <w:t>® Instruments, Inc. Highland Park, P.O. Box 998. Winooski, Vermont 05404-0998 USA.). To subtract the absorbance of the medium itself, two microtiter plates with medium concentrations identical to the testing plates were prepared. The absorbance was measured at the wavelength 630 nm. The experiment was terminated after 4 days of cultivation since the growth reached the stationary phase. For the wells with the three highest concentrations of medium, the experiment was terminated after 2 days of growth. Due to visible contamination, these concentrations were excluded as too high in nutrients, enabling a more rapid growth of bacteria and fungi, rather than algae.</w:t>
      </w:r>
      <w:r w:rsidR="004D6F54" w:rsidRPr="00FB13B0">
        <w:t xml:space="preserve"> </w:t>
      </w:r>
      <w:r w:rsidRPr="00FB13B0">
        <w:t xml:space="preserve">Based on this experiment, the concentration with the highest growth rate and no visible contamination was selected as the optimal dilution of the medium. The stock solution was then diluted accordingly, </w:t>
      </w:r>
      <w:r w:rsidR="008A1693" w:rsidRPr="00FB13B0">
        <w:t xml:space="preserve">and </w:t>
      </w:r>
      <w:r w:rsidRPr="00FB13B0">
        <w:t>the pH was altered with sodium hydroxide solution to the value of 6.8, which corresponds to the pH value of BBM</w:t>
      </w:r>
      <w:r w:rsidR="008A1693" w:rsidRPr="00FB13B0">
        <w:t>+C</w:t>
      </w:r>
      <w:r w:rsidRPr="00FB13B0">
        <w:t xml:space="preserve"> medium, ordinarily used for the growth of </w:t>
      </w:r>
      <w:r w:rsidRPr="00FB13B0">
        <w:rPr>
          <w:i/>
          <w:iCs/>
        </w:rPr>
        <w:t>C</w:t>
      </w:r>
      <w:r w:rsidR="008A1693" w:rsidRPr="00FB13B0">
        <w:rPr>
          <w:i/>
          <w:iCs/>
        </w:rPr>
        <w:t>.</w:t>
      </w:r>
      <w:r w:rsidRPr="00FB13B0">
        <w:rPr>
          <w:i/>
          <w:iCs/>
        </w:rPr>
        <w:t xml:space="preserve"> vulgaris</w:t>
      </w:r>
      <w:r w:rsidRPr="00FB13B0">
        <w:t>. The medium was then autoclaved.</w:t>
      </w:r>
    </w:p>
    <w:p w14:paraId="09897B07" w14:textId="65BEF3E1" w:rsidR="005C620C" w:rsidRPr="00FB13B0" w:rsidRDefault="005C620C" w:rsidP="005C620C">
      <w:r w:rsidRPr="00FB13B0">
        <w:t xml:space="preserve">To evaluate the growth in the newly developed medium, the growth curve of </w:t>
      </w:r>
      <w:r w:rsidRPr="00FB13B0">
        <w:rPr>
          <w:i/>
          <w:iCs/>
        </w:rPr>
        <w:t>C</w:t>
      </w:r>
      <w:r w:rsidR="008A1693" w:rsidRPr="00FB13B0">
        <w:rPr>
          <w:i/>
          <w:iCs/>
        </w:rPr>
        <w:t>.</w:t>
      </w:r>
      <w:r w:rsidRPr="00FB13B0">
        <w:rPr>
          <w:i/>
          <w:iCs/>
        </w:rPr>
        <w:t xml:space="preserve"> vulgaris</w:t>
      </w:r>
      <w:r w:rsidRPr="00FB13B0">
        <w:t xml:space="preserve"> in </w:t>
      </w:r>
      <w:r w:rsidR="008A1693" w:rsidRPr="00FB13B0">
        <w:t xml:space="preserve">PM </w:t>
      </w:r>
      <w:r w:rsidRPr="00FB13B0">
        <w:t xml:space="preserve">was measured, as well as the time development of pH during cultivation. The results were subsequently compared to the growth of </w:t>
      </w:r>
      <w:r w:rsidRPr="00FB13B0">
        <w:rPr>
          <w:i/>
          <w:iCs/>
        </w:rPr>
        <w:t>C</w:t>
      </w:r>
      <w:r w:rsidR="008A1693" w:rsidRPr="00FB13B0">
        <w:rPr>
          <w:i/>
          <w:iCs/>
        </w:rPr>
        <w:t>.</w:t>
      </w:r>
      <w:r w:rsidRPr="00FB13B0">
        <w:rPr>
          <w:i/>
          <w:iCs/>
        </w:rPr>
        <w:t xml:space="preserve"> vulgaris</w:t>
      </w:r>
      <w:r w:rsidRPr="00FB13B0">
        <w:t xml:space="preserve"> in BBM+C medium under the same growth conditions – three flasks of 150ml of </w:t>
      </w:r>
      <w:r w:rsidRPr="00FB13B0">
        <w:rPr>
          <w:i/>
          <w:iCs/>
        </w:rPr>
        <w:t>C</w:t>
      </w:r>
      <w:r w:rsidR="008A1693" w:rsidRPr="00FB13B0">
        <w:rPr>
          <w:i/>
          <w:iCs/>
        </w:rPr>
        <w:t>. vulgaris</w:t>
      </w:r>
      <w:r w:rsidRPr="00FB13B0">
        <w:t xml:space="preserve"> in medium, 22°C, light intensity 100 µmol/m</w:t>
      </w:r>
      <w:r w:rsidRPr="00FB13B0">
        <w:rPr>
          <w:vertAlign w:val="superscript"/>
        </w:rPr>
        <w:t>2</w:t>
      </w:r>
      <w:r w:rsidRPr="00FB13B0">
        <w:rPr>
          <w:rFonts w:ascii="Calibri" w:hAnsi="Calibri" w:cs="Calibri"/>
        </w:rPr>
        <w:t>∙</w:t>
      </w:r>
      <w:r w:rsidRPr="00FB13B0">
        <w:t>s and 12/12</w:t>
      </w:r>
      <w:r w:rsidR="008A1693" w:rsidRPr="00FB13B0">
        <w:t xml:space="preserve"> h</w:t>
      </w:r>
      <w:r w:rsidRPr="00FB13B0">
        <w:t xml:space="preserve"> photoperiod.</w:t>
      </w:r>
      <w:r w:rsidR="00D0248B" w:rsidRPr="00FB13B0">
        <w:t xml:space="preserve"> </w:t>
      </w:r>
      <w:r w:rsidRPr="00FB13B0">
        <w:t xml:space="preserve">1 ml of sample was taken out of each flask and centrifugated under 4000 rom, 20°C for 2 minutes. </w:t>
      </w:r>
      <w:r w:rsidR="00D0248B" w:rsidRPr="00FB13B0">
        <w:t xml:space="preserve">Then, </w:t>
      </w:r>
      <w:r w:rsidRPr="00FB13B0">
        <w:t>1 ml of BBM was added to biomass</w:t>
      </w:r>
      <w:r w:rsidR="002646F2" w:rsidRPr="00FB13B0">
        <w:t xml:space="preserve"> and mixed. T</w:t>
      </w:r>
      <w:r w:rsidRPr="00FB13B0">
        <w:t>he optical density was measured with the spectrophotometer using distilled water as a blank sample.</w:t>
      </w:r>
      <w:r w:rsidR="00D0248B" w:rsidRPr="00FB13B0">
        <w:t xml:space="preserve"> </w:t>
      </w:r>
    </w:p>
    <w:p w14:paraId="0A72FB7D" w14:textId="6D0BF567" w:rsidR="005C620C" w:rsidRPr="00FB13B0" w:rsidRDefault="005C620C" w:rsidP="00CE03B3">
      <w:pPr>
        <w:pStyle w:val="CETheadingx"/>
      </w:pPr>
      <w:r w:rsidRPr="00FB13B0">
        <w:t>Analyses of dry biomass</w:t>
      </w:r>
    </w:p>
    <w:p w14:paraId="27961734" w14:textId="12D27CF1" w:rsidR="005C620C" w:rsidRPr="00FB13B0" w:rsidRDefault="005C620C" w:rsidP="005C620C">
      <w:r w:rsidRPr="00FB13B0">
        <w:t xml:space="preserve">The determination of total protein content was conducted with a colorimetric reaction according to the </w:t>
      </w:r>
      <w:r w:rsidR="00685FAC" w:rsidRPr="00FB13B0">
        <w:t xml:space="preserve">following </w:t>
      </w:r>
      <w:r w:rsidRPr="00FB13B0">
        <w:t>protocol</w:t>
      </w:r>
      <w:r w:rsidR="00705F47" w:rsidRPr="00FB13B0">
        <w:t>.</w:t>
      </w:r>
      <w:r w:rsidR="00685FAC" w:rsidRPr="00FB13B0">
        <w:t xml:space="preserve"> The </w:t>
      </w:r>
      <w:r w:rsidRPr="00FB13B0">
        <w:t xml:space="preserve">2 mg of dry biomass samples were extracted with 1 mL of distilled water and sonicated for 30 minutes in an ultrasonic bath. 500 µL of the extract or standard (albumin) were added to 500 µL of sodium hydroxide solution (40 g/L) for 5 minutes at 100 °C. </w:t>
      </w:r>
      <w:r w:rsidR="008A1693" w:rsidRPr="00FB13B0">
        <w:t xml:space="preserve">Afterward, 2.5 mL of sodium carbonate (5 g/mL), copper </w:t>
      </w:r>
      <w:proofErr w:type="spellStart"/>
      <w:r w:rsidR="008A1693" w:rsidRPr="00FB13B0">
        <w:t>sulfate</w:t>
      </w:r>
      <w:proofErr w:type="spellEnd"/>
      <w:r w:rsidR="008A1693" w:rsidRPr="00FB13B0">
        <w:t xml:space="preserve"> (0.005 g/mL),</w:t>
      </w:r>
      <w:r w:rsidRPr="00FB13B0">
        <w:t xml:space="preserve"> and sodium potassium tartrate (0.01 g/mL) were added to the samples. After 10 minutes, 500 µl of Folin-</w:t>
      </w:r>
      <w:proofErr w:type="spellStart"/>
      <w:r w:rsidRPr="00FB13B0">
        <w:t>Ciocalteau</w:t>
      </w:r>
      <w:proofErr w:type="spellEnd"/>
      <w:r w:rsidRPr="00FB13B0">
        <w:t xml:space="preserve"> reagent (1 g/L) </w:t>
      </w:r>
      <w:r w:rsidR="008A1693" w:rsidRPr="00FB13B0">
        <w:t>was</w:t>
      </w:r>
      <w:r w:rsidRPr="00FB13B0">
        <w:t xml:space="preserve"> added. The samples were incubated for 30 minutes at room temperature. </w:t>
      </w:r>
      <w:r w:rsidR="008A1693" w:rsidRPr="00FB13B0">
        <w:t>Then</w:t>
      </w:r>
      <w:r w:rsidRPr="00FB13B0">
        <w:t xml:space="preserve">, the OD was measured at 750 nm using </w:t>
      </w:r>
      <w:r w:rsidR="008A1693" w:rsidRPr="00FB13B0">
        <w:t>a 1 cm wide cuvette</w:t>
      </w:r>
      <w:r w:rsidRPr="00FB13B0">
        <w:t xml:space="preserve">. Quantitative analysis was carried out using an external standard calibration method with albumin as </w:t>
      </w:r>
      <w:r w:rsidR="008A1693" w:rsidRPr="00FB13B0">
        <w:t xml:space="preserve">a </w:t>
      </w:r>
      <w:r w:rsidRPr="00FB13B0">
        <w:t>reference. All analyses were conducted in triplicates and results</w:t>
      </w:r>
      <w:r w:rsidR="008A1693" w:rsidRPr="00FB13B0">
        <w:t xml:space="preserve"> were</w:t>
      </w:r>
      <w:r w:rsidRPr="00FB13B0">
        <w:t xml:space="preserve"> expressed as weight fractions of dry biomass.</w:t>
      </w:r>
    </w:p>
    <w:p w14:paraId="11296722" w14:textId="36A04831" w:rsidR="00CE03B3" w:rsidRPr="00FB13B0" w:rsidRDefault="00CE03B3" w:rsidP="00CE03B3">
      <w:r w:rsidRPr="00FB13B0">
        <w:t xml:space="preserve">The total content of carbohydrates was determined using a colorimetric analysis based on </w:t>
      </w:r>
      <w:r w:rsidR="002646F2" w:rsidRPr="00FB13B0">
        <w:t xml:space="preserve">the following </w:t>
      </w:r>
      <w:r w:rsidRPr="00FB13B0">
        <w:t>protocol. Samples of 2.5 mg were extracted with 1 mL of distilled water. The created suspension was subjected to a treatment in an ultrasonic bath for 30 minutes. Subsequently, 200 µL of the extract or a standard solution (glucose) were combined with 200 µL of 5% phenol and 1 mL of concentrated sulfuric acid. After 30 minutes of incubation at room temperature, the OD was measured at 490 nm. Quantitative analysis was performed using an external standard calibration method with glucose as standard. The analysis was performed in triplicates and the results were expressed as weight fractions of dry biomass.</w:t>
      </w:r>
    </w:p>
    <w:p w14:paraId="7C809206" w14:textId="0B436066" w:rsidR="005C620C" w:rsidRPr="00FB13B0" w:rsidRDefault="005C620C" w:rsidP="005C620C">
      <w:r w:rsidRPr="00FB13B0">
        <w:t>Lipids were extracted from the dry biomass (1.5 mg) following a modified protocol based on</w:t>
      </w:r>
      <w:r w:rsidR="008A1693" w:rsidRPr="00FB13B0">
        <w:t xml:space="preserve"> Chen et al.</w:t>
      </w:r>
      <w:r w:rsidR="00685FAC" w:rsidRPr="00FB13B0">
        <w:t xml:space="preserve"> (</w:t>
      </w:r>
      <w:r w:rsidR="008A1693" w:rsidRPr="00FB13B0">
        <w:t>2009</w:t>
      </w:r>
      <w:r w:rsidR="00685FAC" w:rsidRPr="00FB13B0">
        <w:t>)</w:t>
      </w:r>
      <w:r w:rsidRPr="00FB13B0">
        <w:t xml:space="preserve">. 100 µL of PBS and 1.5 mL of sodium hydroxide (1 g/L) containing 25% methanol were added to the samples. The mixture was shaken using a vertical mixer and heated to 100 °C. After centrifugation at 4000 rpm for 15 minutes, 1 mL of the supernatant was collected and combined with a 1:2 methanol/chloroform solution and 0.5 mL of 0.88% potassium chloride solution. The mixture was shaken for 10 minutes and centrifuged again at 4000 rpm for 10 minutes. The detection of lipids was performed using </w:t>
      </w:r>
      <w:r w:rsidR="00AB5201" w:rsidRPr="00FB13B0">
        <w:t>a</w:t>
      </w:r>
      <w:r w:rsidRPr="00FB13B0">
        <w:t xml:space="preserve"> colorimetric assay</w:t>
      </w:r>
      <w:r w:rsidR="00AB5201" w:rsidRPr="00FB13B0">
        <w:t xml:space="preserve">. </w:t>
      </w:r>
      <w:r w:rsidRPr="00FB13B0">
        <w:t>The chloroform phase (1 mL) was dried and then treated with 100 µL of concentrated sulfuric acid at 90 °C for 10 minutes. 2.4 mL of 68% phospho-vanillin reagent were added to the sample. After a 10-minute incubation at room temperature, the OD was measured at 530 nm.</w:t>
      </w:r>
      <w:r w:rsidR="000D32E3" w:rsidRPr="00FB13B0">
        <w:t xml:space="preserve"> </w:t>
      </w:r>
      <w:r w:rsidRPr="00FB13B0">
        <w:t xml:space="preserve">Quantitative analysis was conducted using an external standard calibration method with oil containing 100% fat as the reference. </w:t>
      </w:r>
    </w:p>
    <w:p w14:paraId="178D9934" w14:textId="77777777" w:rsidR="00CE03B3" w:rsidRPr="00FB13B0" w:rsidRDefault="00CE03B3" w:rsidP="00CE03B3">
      <w:r w:rsidRPr="00FB13B0">
        <w:t xml:space="preserve">Fatty acids methyl esters were obtained by performing a transesterification with sodium methoxide solution in the lipidic extract. FAME extracts were injected into gas chromatography system equipped with a flame ionization detector (FID) and a fused capillary column. Peak identification was done by comparing peak retention time with </w:t>
      </w:r>
      <w:proofErr w:type="spellStart"/>
      <w:r w:rsidRPr="00FB13B0">
        <w:t>Supelco</w:t>
      </w:r>
      <w:proofErr w:type="spellEnd"/>
      <w:r w:rsidRPr="00FB13B0">
        <w:t xml:space="preserve"> 37 component FAME Mix (Sigma Aldrich).</w:t>
      </w:r>
    </w:p>
    <w:p w14:paraId="1AFAE0E4" w14:textId="6A284B71" w:rsidR="005C620C" w:rsidRPr="00FB13B0" w:rsidRDefault="00AE3BF1" w:rsidP="005C620C">
      <w:r w:rsidRPr="00FB13B0">
        <w:t>To analyse the a</w:t>
      </w:r>
      <w:r w:rsidR="005C620C" w:rsidRPr="00FB13B0">
        <w:t>ntioxidant activity</w:t>
      </w:r>
      <w:r w:rsidRPr="00FB13B0">
        <w:t xml:space="preserve"> </w:t>
      </w:r>
      <w:r w:rsidR="005C620C" w:rsidRPr="00FB13B0">
        <w:t>2 mg of dry biomass samples were extracted with 1 mL of methanol and sonicated for 30 minutes in an ultrasonic bath. After centrifugation at 4000 rpm for 10 minutes, the supernatant was used for the DPPH assay. The DPPH (1,1-diphenyl-2-picryl-hydrazyl)</w:t>
      </w:r>
      <w:r w:rsidR="0075075C" w:rsidRPr="00FB13B0">
        <w:t xml:space="preserve">. </w:t>
      </w:r>
      <w:r w:rsidR="005C620C" w:rsidRPr="00FB13B0">
        <w:t>20 µL of the extract or a standard solution (Trolox, 6-hydroxy-2,5,7,8-tetramethylchroman-2-carboxylic acid) were added to 2 mL of methanolic solution containing DPPH at a concentration of 40 µM. After a 90-minute incubation period at room temperature, the OD was measured at 517 nm. Quantitative analysis was performed using an external standard calibration method, and the results were expressed in mM/g of TEAC (Trolox equivalent antioxidant capacity).</w:t>
      </w:r>
    </w:p>
    <w:p w14:paraId="769D8E08" w14:textId="4B36DC91" w:rsidR="005C620C" w:rsidRPr="00FB13B0" w:rsidRDefault="00AE3BF1" w:rsidP="00CE03B3">
      <w:pPr>
        <w:pStyle w:val="CETHeadingxx"/>
      </w:pPr>
      <w:bookmarkStart w:id="4" w:name="_Toc140854727"/>
      <w:r w:rsidRPr="00FB13B0">
        <w:lastRenderedPageBreak/>
        <w:t xml:space="preserve">2.4 </w:t>
      </w:r>
      <w:r w:rsidR="005C620C" w:rsidRPr="00FB13B0">
        <w:t>Evaluation of wastewater remediation</w:t>
      </w:r>
      <w:bookmarkEnd w:id="4"/>
    </w:p>
    <w:p w14:paraId="69EC98DE" w14:textId="57812461" w:rsidR="005C620C" w:rsidRPr="00FB13B0" w:rsidRDefault="00E447E6" w:rsidP="00E447E6">
      <w:r w:rsidRPr="00FB13B0">
        <w:t xml:space="preserve">Samples of potato medium before and after cultivation were analysed for the content of sulphates, nitrates, phosphates, and COD (chemical oxygen demand). </w:t>
      </w:r>
      <w:r w:rsidR="005C620C" w:rsidRPr="00FB13B0">
        <w:t>The analyses were performed with analytic kits by GM Solution (Sardinia, Italy)</w:t>
      </w:r>
      <w:r w:rsidR="000D32E3" w:rsidRPr="00FB13B0">
        <w:t>.</w:t>
      </w:r>
      <w:r w:rsidR="005C620C" w:rsidRPr="00FB13B0">
        <w:t xml:space="preserve"> All analyses were colorimetric, based on </w:t>
      </w:r>
      <w:proofErr w:type="spellStart"/>
      <w:r w:rsidR="000D32E3" w:rsidRPr="00FB13B0">
        <w:t>color</w:t>
      </w:r>
      <w:proofErr w:type="spellEnd"/>
      <w:r w:rsidR="000D32E3" w:rsidRPr="00FB13B0">
        <w:t>-shifting reactions and further spectrophotometric readings</w:t>
      </w:r>
      <w:r w:rsidR="005C620C" w:rsidRPr="00FB13B0">
        <w:t xml:space="preserve">. </w:t>
      </w:r>
      <w:r w:rsidR="000D32E3" w:rsidRPr="00FB13B0">
        <w:t>The</w:t>
      </w:r>
      <w:r w:rsidR="005C620C" w:rsidRPr="00FB13B0">
        <w:t xml:space="preserve"> analyses were performed in triplicates and evaluated quantitively using the external standard calibration method and the results were express</w:t>
      </w:r>
      <w:r w:rsidR="000D32E3" w:rsidRPr="00FB13B0">
        <w:t>ed</w:t>
      </w:r>
      <w:r w:rsidR="005C620C" w:rsidRPr="00FB13B0">
        <w:t xml:space="preserve"> in terms of concentration in mg/L.</w:t>
      </w:r>
    </w:p>
    <w:p w14:paraId="120D17F4" w14:textId="5F991132" w:rsidR="005C620C" w:rsidRPr="00FB13B0" w:rsidRDefault="005C620C" w:rsidP="0014470C">
      <w:pPr>
        <w:pStyle w:val="CETHeading1"/>
        <w:spacing w:before="160"/>
      </w:pPr>
      <w:r w:rsidRPr="00FB13B0">
        <w:t>Results and discussion</w:t>
      </w:r>
    </w:p>
    <w:p w14:paraId="00805036" w14:textId="2293C2F1" w:rsidR="000C2C37" w:rsidRDefault="000D32E3" w:rsidP="00AE30E9">
      <w:pPr>
        <w:pStyle w:val="CETBodytext"/>
      </w:pPr>
      <w:r w:rsidRPr="00FB13B0">
        <w:t>Figure</w:t>
      </w:r>
      <w:r w:rsidR="008E146C" w:rsidRPr="00FB13B0">
        <w:t xml:space="preserve"> 2 shows </w:t>
      </w:r>
      <w:r w:rsidR="005C620C" w:rsidRPr="00FB13B0">
        <w:t xml:space="preserve">the growth of </w:t>
      </w:r>
      <w:r w:rsidR="005C620C" w:rsidRPr="00FB13B0">
        <w:rPr>
          <w:i/>
          <w:iCs/>
        </w:rPr>
        <w:t>C</w:t>
      </w:r>
      <w:r w:rsidRPr="00FB13B0">
        <w:rPr>
          <w:i/>
          <w:iCs/>
        </w:rPr>
        <w:t>.</w:t>
      </w:r>
      <w:r w:rsidR="005C620C" w:rsidRPr="00FB13B0">
        <w:rPr>
          <w:i/>
          <w:iCs/>
        </w:rPr>
        <w:t xml:space="preserve"> vulgaris</w:t>
      </w:r>
      <w:r w:rsidR="005C620C" w:rsidRPr="00FB13B0">
        <w:t xml:space="preserve"> in BBM+C </w:t>
      </w:r>
      <w:r w:rsidRPr="00FB13B0">
        <w:t>and</w:t>
      </w:r>
      <w:r w:rsidR="005C620C" w:rsidRPr="00FB13B0">
        <w:t xml:space="preserve"> PM medium in terms of dry weight of biomass and </w:t>
      </w:r>
      <w:proofErr w:type="spellStart"/>
      <w:r w:rsidR="005C620C" w:rsidRPr="00FB13B0">
        <w:t>pH.</w:t>
      </w:r>
      <w:proofErr w:type="spellEnd"/>
      <w:r w:rsidR="00E447E6" w:rsidRPr="00FB13B0">
        <w:t xml:space="preserve"> </w:t>
      </w:r>
      <w:r w:rsidRPr="00FB13B0">
        <w:t>The specific</w:t>
      </w:r>
      <w:r w:rsidR="005C620C" w:rsidRPr="00FB13B0">
        <w:t xml:space="preserve"> growth rate in the exponential phase of growth was calculated for each of the respective </w:t>
      </w:r>
      <w:r w:rsidRPr="00FB13B0">
        <w:t>curves</w:t>
      </w:r>
      <w:r w:rsidR="00AE30E9" w:rsidRPr="00FB13B0">
        <w:t>.</w:t>
      </w:r>
      <w:r w:rsidR="005C620C" w:rsidRPr="00FB13B0">
        <w:t xml:space="preserve"> </w:t>
      </w:r>
      <w:r w:rsidRPr="00FB13B0">
        <w:t>For 5 days</w:t>
      </w:r>
      <w:r w:rsidR="000C2C37" w:rsidRPr="00FB13B0">
        <w:t>, a very steep increase in biomass weight is evident</w:t>
      </w:r>
      <w:r w:rsidRPr="00FB13B0">
        <w:t xml:space="preserve"> in PM</w:t>
      </w:r>
      <w:r w:rsidR="000C2C37" w:rsidRPr="00FB13B0">
        <w:t xml:space="preserve"> compared to BMM+C. In </w:t>
      </w:r>
      <w:r w:rsidR="00EC089E" w:rsidRPr="00FB13B0">
        <w:t>BBM+C</w:t>
      </w:r>
      <w:r w:rsidR="000C2C37" w:rsidRPr="00FB13B0">
        <w:t xml:space="preserve">, </w:t>
      </w:r>
      <w:r w:rsidR="000C2C37" w:rsidRPr="00FB13B0">
        <w:rPr>
          <w:i/>
          <w:iCs/>
        </w:rPr>
        <w:t>Chlorella</w:t>
      </w:r>
      <w:r w:rsidR="000C2C37" w:rsidRPr="00FB13B0">
        <w:t xml:space="preserve"> grew </w:t>
      </w:r>
      <w:r w:rsidR="00EC089E" w:rsidRPr="00FB13B0">
        <w:t>with</w:t>
      </w:r>
      <w:r w:rsidR="00247079" w:rsidRPr="00FB13B0">
        <w:t xml:space="preserve"> </w:t>
      </w:r>
      <w:r w:rsidR="00247079" w:rsidRPr="00FB13B0">
        <w:rPr>
          <w:rFonts w:ascii="Calibri" w:hAnsi="Calibri" w:cs="Calibri"/>
          <w:i/>
          <w:iCs/>
        </w:rPr>
        <w:t>µ</w:t>
      </w:r>
      <w:r w:rsidR="00247079" w:rsidRPr="00FB13B0">
        <w:t xml:space="preserve"> = 0.358</w:t>
      </w:r>
      <w:r w:rsidR="00EC089E" w:rsidRPr="00FB13B0">
        <w:t xml:space="preserve"> day</w:t>
      </w:r>
      <w:r w:rsidR="00EC089E" w:rsidRPr="00FB13B0">
        <w:rPr>
          <w:vertAlign w:val="superscript"/>
        </w:rPr>
        <w:t>-1</w:t>
      </w:r>
      <w:r w:rsidR="000C2C37" w:rsidRPr="00FB13B0">
        <w:t>,</w:t>
      </w:r>
      <w:r w:rsidR="00EC089E" w:rsidRPr="00FB13B0">
        <w:t xml:space="preserve"> however in PM </w:t>
      </w:r>
      <w:r w:rsidR="000C2C37" w:rsidRPr="00FB13B0">
        <w:t>the specific growth rate reach</w:t>
      </w:r>
      <w:r w:rsidR="00EC089E" w:rsidRPr="00FB13B0">
        <w:t>ed</w:t>
      </w:r>
      <w:r w:rsidR="000C2C37" w:rsidRPr="00FB13B0">
        <w:t xml:space="preserve"> a value of </w:t>
      </w:r>
      <w:r w:rsidR="000C2C37" w:rsidRPr="00FB13B0">
        <w:rPr>
          <w:rFonts w:ascii="Calibri" w:hAnsi="Calibri" w:cs="Calibri"/>
          <w:i/>
          <w:iCs/>
        </w:rPr>
        <w:t>µ</w:t>
      </w:r>
      <w:r w:rsidR="000C2C37" w:rsidRPr="00FB13B0">
        <w:t xml:space="preserve"> = 0.763 day</w:t>
      </w:r>
      <w:r w:rsidR="000C2C37" w:rsidRPr="00FB13B0">
        <w:rPr>
          <w:vertAlign w:val="superscript"/>
        </w:rPr>
        <w:t>-1</w:t>
      </w:r>
      <w:r w:rsidR="00EC089E" w:rsidRPr="00FB13B0">
        <w:t>, more than double the standard laboratory medium</w:t>
      </w:r>
      <w:r w:rsidR="000C2C37" w:rsidRPr="00FB13B0">
        <w:t xml:space="preserve">. In eight days of growth, </w:t>
      </w:r>
      <w:proofErr w:type="spellStart"/>
      <w:r w:rsidR="000C2C37" w:rsidRPr="00FB13B0">
        <w:t>Δ</w:t>
      </w:r>
      <w:r w:rsidR="000C2C37" w:rsidRPr="00FB13B0">
        <w:rPr>
          <w:i/>
          <w:iCs/>
        </w:rPr>
        <w:t>m</w:t>
      </w:r>
      <w:proofErr w:type="spellEnd"/>
      <w:r w:rsidR="000C2C37" w:rsidRPr="00FB13B0">
        <w:t xml:space="preserve"> = 246 mg of dry biomass was produced, which represents a 3.6-fold greater increase than that for </w:t>
      </w:r>
      <w:r w:rsidR="000C2C37" w:rsidRPr="00FB13B0">
        <w:rPr>
          <w:i/>
          <w:iCs/>
        </w:rPr>
        <w:t>Chlorella</w:t>
      </w:r>
      <w:r w:rsidR="000C2C37" w:rsidRPr="00FB13B0">
        <w:t xml:space="preserve"> in BBM+C over the same time. The pH curve shows a drop between days 2 and 5</w:t>
      </w:r>
      <w:r w:rsidR="00EC089E" w:rsidRPr="00FB13B0">
        <w:t>, m</w:t>
      </w:r>
      <w:r w:rsidR="000C2C37" w:rsidRPr="00FB13B0">
        <w:t>ost probably a</w:t>
      </w:r>
      <w:r w:rsidR="00EC089E" w:rsidRPr="00FB13B0">
        <w:t>s a</w:t>
      </w:r>
      <w:r w:rsidR="000C2C37" w:rsidRPr="00FB13B0">
        <w:t xml:space="preserve"> response of the change from photoautotrophic to mixotrophic nutrition strategy. The pH value then continues rising</w:t>
      </w:r>
      <w:r w:rsidR="00EC089E" w:rsidRPr="00FB13B0">
        <w:t xml:space="preserve"> on the last day of cultivation, recording pH 10,</w:t>
      </w:r>
      <w:r w:rsidR="000C2C37" w:rsidRPr="00FB13B0">
        <w:t xml:space="preserve"> which is a </w:t>
      </w:r>
      <w:r w:rsidR="00EC089E" w:rsidRPr="00FB13B0">
        <w:t>standard</w:t>
      </w:r>
      <w:r w:rsidR="000C2C37" w:rsidRPr="00FB13B0">
        <w:t xml:space="preserve"> value for the growth of </w:t>
      </w:r>
      <w:r w:rsidR="000C2C37" w:rsidRPr="00FB13B0">
        <w:rPr>
          <w:i/>
          <w:iCs/>
        </w:rPr>
        <w:t>C</w:t>
      </w:r>
      <w:r w:rsidR="00EC089E" w:rsidRPr="00FB13B0">
        <w:rPr>
          <w:i/>
          <w:iCs/>
        </w:rPr>
        <w:t>.</w:t>
      </w:r>
      <w:r w:rsidR="000C2C37" w:rsidRPr="00FB13B0">
        <w:rPr>
          <w:i/>
          <w:iCs/>
        </w:rPr>
        <w:t xml:space="preserve"> vulgaris</w:t>
      </w:r>
      <w:r w:rsidR="000C2C37" w:rsidRPr="00FB13B0">
        <w:t>.</w:t>
      </w:r>
    </w:p>
    <w:p w14:paraId="46CEF94D" w14:textId="5FFE1608" w:rsidR="0014470C" w:rsidRPr="00FB13B0" w:rsidRDefault="0014470C" w:rsidP="0014470C">
      <w:pPr>
        <w:pStyle w:val="CETBodytext"/>
        <w:spacing w:before="120"/>
        <w:jc w:val="center"/>
      </w:pPr>
      <w:r w:rsidRPr="0014470C">
        <w:rPr>
          <w:noProof/>
        </w:rPr>
        <w:drawing>
          <wp:inline distT="0" distB="0" distL="0" distR="0" wp14:anchorId="4522F53E" wp14:editId="21DCB251">
            <wp:extent cx="2749501" cy="2052000"/>
            <wp:effectExtent l="0" t="0" r="0" b="5715"/>
            <wp:docPr id="131387631" name="Immagine 1" descr="Immagine che contiene testo, schermata, diagramma, 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87631" name="Immagine 1" descr="Immagine che contiene testo, schermata, diagramma, linea"/>
                    <pic:cNvPicPr/>
                  </pic:nvPicPr>
                  <pic:blipFill rotWithShape="1">
                    <a:blip r:embed="rId12"/>
                    <a:srcRect l="5160" t="7572" r="2121" b="1552"/>
                    <a:stretch/>
                  </pic:blipFill>
                  <pic:spPr bwMode="auto">
                    <a:xfrm>
                      <a:off x="0" y="0"/>
                      <a:ext cx="2749501" cy="205200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Pr="0014470C">
        <w:rPr>
          <w:noProof/>
        </w:rPr>
        <w:drawing>
          <wp:inline distT="0" distB="0" distL="0" distR="0" wp14:anchorId="2BDD8BC4" wp14:editId="5F071551">
            <wp:extent cx="2738974" cy="2052000"/>
            <wp:effectExtent l="0" t="0" r="4445" b="5715"/>
            <wp:docPr id="1177808134" name="Immagine 1" descr="Immagine che contiene testo, schermata, diagramma, 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808134" name="Immagine 1" descr="Immagine che contiene testo, schermata, diagramma, linea"/>
                    <pic:cNvPicPr/>
                  </pic:nvPicPr>
                  <pic:blipFill rotWithShape="1">
                    <a:blip r:embed="rId13"/>
                    <a:srcRect l="4704" t="7524" r="2121" b="1389"/>
                    <a:stretch/>
                  </pic:blipFill>
                  <pic:spPr bwMode="auto">
                    <a:xfrm>
                      <a:off x="0" y="0"/>
                      <a:ext cx="2738974" cy="2052000"/>
                    </a:xfrm>
                    <a:prstGeom prst="rect">
                      <a:avLst/>
                    </a:prstGeom>
                    <a:ln>
                      <a:noFill/>
                    </a:ln>
                    <a:extLst>
                      <a:ext uri="{53640926-AAD7-44D8-BBD7-CCE9431645EC}">
                        <a14:shadowObscured xmlns:a14="http://schemas.microsoft.com/office/drawing/2010/main"/>
                      </a:ext>
                    </a:extLst>
                  </pic:spPr>
                </pic:pic>
              </a:graphicData>
            </a:graphic>
          </wp:inline>
        </w:drawing>
      </w:r>
    </w:p>
    <w:p w14:paraId="6BE82A6A" w14:textId="1B1B2D81" w:rsidR="000C2C37" w:rsidRPr="00FB13B0" w:rsidRDefault="000C2C37" w:rsidP="00685FAC">
      <w:pPr>
        <w:pStyle w:val="CETCaption"/>
        <w:spacing w:before="120" w:after="120"/>
      </w:pPr>
      <w:r w:rsidRPr="00FB13B0">
        <w:rPr>
          <w:rStyle w:val="CETCaptionCarattere"/>
          <w:i/>
        </w:rPr>
        <w:t xml:space="preserve">Figure </w:t>
      </w:r>
      <w:r w:rsidR="00D4439D" w:rsidRPr="00FB13B0">
        <w:rPr>
          <w:rStyle w:val="CETCaptionCarattere"/>
          <w:i/>
        </w:rPr>
        <w:t xml:space="preserve">2. </w:t>
      </w:r>
      <w:r w:rsidRPr="00FB13B0">
        <w:rPr>
          <w:rStyle w:val="CETCaptionCarattere"/>
          <w:i/>
        </w:rPr>
        <w:t xml:space="preserve"> </w:t>
      </w:r>
      <w:r w:rsidR="000D32E3" w:rsidRPr="00FB13B0">
        <w:rPr>
          <w:rStyle w:val="CETCaptionCarattere"/>
          <w:i/>
        </w:rPr>
        <w:t>C. vulgaris growth</w:t>
      </w:r>
      <w:r w:rsidR="0014470C">
        <w:rPr>
          <w:rStyle w:val="CETCaptionCarattere"/>
          <w:i/>
        </w:rPr>
        <w:t xml:space="preserve"> and pH evolution</w:t>
      </w:r>
      <w:r w:rsidR="000D32E3" w:rsidRPr="00FB13B0">
        <w:rPr>
          <w:rStyle w:val="CETCaptionCarattere"/>
          <w:i/>
        </w:rPr>
        <w:t>, (A) in BBM+C, (B) in PM.</w:t>
      </w:r>
      <w:r w:rsidRPr="00FB13B0">
        <w:t xml:space="preserve"> </w:t>
      </w:r>
    </w:p>
    <w:p w14:paraId="71B4E4D7" w14:textId="77777777" w:rsidR="00AE3BF1" w:rsidRPr="00FB13B0" w:rsidRDefault="00EC089E" w:rsidP="00AE3BF1">
      <w:r w:rsidRPr="00FB13B0">
        <w:t xml:space="preserve">The obtained biomass was further </w:t>
      </w:r>
      <w:r w:rsidR="0075075C" w:rsidRPr="00FB13B0">
        <w:t>analysed</w:t>
      </w:r>
      <w:r w:rsidR="00FE0FB6" w:rsidRPr="00FB13B0">
        <w:t xml:space="preserve"> for its composition in comparison with commercially available C. vulgaris powder,</w:t>
      </w:r>
      <w:r w:rsidRPr="00FB13B0">
        <w:t xml:space="preserve"> as shown in Figure </w:t>
      </w:r>
      <w:r w:rsidR="00D4439D" w:rsidRPr="00FB13B0">
        <w:t>3</w:t>
      </w:r>
      <w:r w:rsidRPr="00FB13B0">
        <w:t xml:space="preserve">. </w:t>
      </w:r>
    </w:p>
    <w:p w14:paraId="21687A61" w14:textId="2722CEFA" w:rsidR="00AE3BF1" w:rsidRPr="00FB13B0" w:rsidRDefault="00237029" w:rsidP="0014470C">
      <w:pPr>
        <w:spacing w:before="120" w:after="120"/>
        <w:jc w:val="center"/>
      </w:pPr>
      <w:r w:rsidRPr="00237029">
        <w:rPr>
          <w:noProof/>
        </w:rPr>
        <w:drawing>
          <wp:inline distT="0" distB="0" distL="0" distR="0" wp14:anchorId="7D6B046A" wp14:editId="0A008534">
            <wp:extent cx="4834467" cy="2703054"/>
            <wp:effectExtent l="0" t="0" r="4445" b="2540"/>
            <wp:docPr id="1363669841" name="Immagine 1" descr="Immagine che contiene testo, diagramma, schermata, P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669841" name="Immagine 1" descr="Immagine che contiene testo, diagramma, schermata, Piano"/>
                    <pic:cNvPicPr/>
                  </pic:nvPicPr>
                  <pic:blipFill>
                    <a:blip r:embed="rId14"/>
                    <a:stretch>
                      <a:fillRect/>
                    </a:stretch>
                  </pic:blipFill>
                  <pic:spPr>
                    <a:xfrm>
                      <a:off x="0" y="0"/>
                      <a:ext cx="4881655" cy="2729438"/>
                    </a:xfrm>
                    <a:prstGeom prst="rect">
                      <a:avLst/>
                    </a:prstGeom>
                  </pic:spPr>
                </pic:pic>
              </a:graphicData>
            </a:graphic>
          </wp:inline>
        </w:drawing>
      </w:r>
    </w:p>
    <w:p w14:paraId="402B9BC0" w14:textId="77777777" w:rsidR="00AE3BF1" w:rsidRPr="00FB13B0" w:rsidRDefault="00AE3BF1" w:rsidP="00AE3BF1">
      <w:pPr>
        <w:pStyle w:val="CETCaption"/>
      </w:pPr>
      <w:r w:rsidRPr="00FB13B0">
        <w:rPr>
          <w:rStyle w:val="CETCaptionCarattere"/>
          <w:i/>
        </w:rPr>
        <w:t xml:space="preserve">Figure 3. Nutrient composition of C. vulgaris cultivated in BBM+C and PM in comparison with commercially available C vulgaris, (A) protein content, (B) carbohydrate content, (C) lipid content, (D) antioxidant activity. </w:t>
      </w:r>
      <w:r w:rsidRPr="00FB13B0">
        <w:t xml:space="preserve"> </w:t>
      </w:r>
    </w:p>
    <w:p w14:paraId="5AAC5B6B" w14:textId="04CE11C8" w:rsidR="00AE3BF1" w:rsidRPr="00FB13B0" w:rsidRDefault="00D4439D" w:rsidP="00AE3BF1">
      <w:r w:rsidRPr="00FB13B0">
        <w:lastRenderedPageBreak/>
        <w:t xml:space="preserve">The dry biomass of </w:t>
      </w:r>
      <w:r w:rsidRPr="00FB13B0">
        <w:rPr>
          <w:i/>
          <w:iCs/>
        </w:rPr>
        <w:t>Chlorella vulgaris</w:t>
      </w:r>
      <w:r w:rsidRPr="00FB13B0">
        <w:t xml:space="preserve"> grown in PM was also characterized in terms of main nutrients and antioxidant activity in comparison with BBM+C and commercially available </w:t>
      </w:r>
      <w:r w:rsidRPr="00FB13B0">
        <w:rPr>
          <w:i/>
          <w:iCs/>
        </w:rPr>
        <w:t>Chlorella.</w:t>
      </w:r>
      <w:r w:rsidRPr="00FB13B0">
        <w:t xml:space="preserve"> According to the analysis, PM </w:t>
      </w:r>
      <w:r w:rsidRPr="00FB13B0">
        <w:rPr>
          <w:i/>
          <w:iCs/>
        </w:rPr>
        <w:t>Chlorella</w:t>
      </w:r>
      <w:r w:rsidRPr="00FB13B0">
        <w:t xml:space="preserve"> contains 47.5% protein, i.e. more than BBM+C, however, it does not reach the quality of commercial </w:t>
      </w:r>
      <w:r w:rsidRPr="00FB13B0">
        <w:rPr>
          <w:i/>
          <w:iCs/>
        </w:rPr>
        <w:t>Chlorella</w:t>
      </w:r>
      <w:r w:rsidRPr="00FB13B0">
        <w:t xml:space="preserve"> (55%). The dependence on the protein content and cultivation conditions was studied before. The literature reports increased protein production from microalgae with increased photoperiod and higher irradiance of the culture (Chia et al., 2019). In addition,</w:t>
      </w:r>
      <w:r w:rsidRPr="00FB13B0">
        <w:rPr>
          <w:i/>
          <w:iCs/>
        </w:rPr>
        <w:t xml:space="preserve"> Chlorella</w:t>
      </w:r>
      <w:r w:rsidRPr="00FB13B0">
        <w:t xml:space="preserve"> cultured in PM showed a higher amount of carbohydrates in dry biomass compared to cultivation in BBM+C, up to 23.3%, comparable to the carbohydrate content of commercial </w:t>
      </w:r>
      <w:r w:rsidRPr="00FB13B0">
        <w:rPr>
          <w:i/>
          <w:iCs/>
        </w:rPr>
        <w:t>Chlorella</w:t>
      </w:r>
      <w:r w:rsidR="00685FAC" w:rsidRPr="00FB13B0">
        <w:rPr>
          <w:i/>
          <w:iCs/>
        </w:rPr>
        <w:t xml:space="preserve"> </w:t>
      </w:r>
      <w:r w:rsidR="00685FAC" w:rsidRPr="00FB13B0">
        <w:t>which can be used for nutrition purposes</w:t>
      </w:r>
      <w:r w:rsidRPr="00FB13B0">
        <w:t>. This increase can be justified by the presumed higher amount of organic carbon compounds in the PM medium, which are more available to produce carbohydrates.</w:t>
      </w:r>
      <w:r w:rsidR="002646F2" w:rsidRPr="00FB13B0">
        <w:t xml:space="preserve"> As f</w:t>
      </w:r>
      <w:r w:rsidR="00993817" w:rsidRPr="00FB13B0">
        <w:t>o</w:t>
      </w:r>
      <w:r w:rsidR="002646F2" w:rsidRPr="00FB13B0">
        <w:t xml:space="preserve">r the amount of lipids, </w:t>
      </w:r>
      <w:r w:rsidR="002646F2" w:rsidRPr="00FB13B0">
        <w:rPr>
          <w:i/>
          <w:iCs/>
        </w:rPr>
        <w:t>Chlorella</w:t>
      </w:r>
      <w:r w:rsidR="002646F2" w:rsidRPr="00FB13B0">
        <w:t xml:space="preserve"> PM is comparable to </w:t>
      </w:r>
      <w:r w:rsidR="002646F2" w:rsidRPr="00FB13B0">
        <w:rPr>
          <w:i/>
          <w:iCs/>
        </w:rPr>
        <w:t>Chlorella</w:t>
      </w:r>
      <w:r w:rsidR="002646F2" w:rsidRPr="00FB13B0">
        <w:t xml:space="preserve"> BBM+C (12.8% and 12.6%), while the content was the highest in commercial </w:t>
      </w:r>
      <w:r w:rsidR="002646F2" w:rsidRPr="00FB13B0">
        <w:rPr>
          <w:i/>
          <w:iCs/>
        </w:rPr>
        <w:t>Chlorella</w:t>
      </w:r>
      <w:r w:rsidR="002646F2" w:rsidRPr="00FB13B0">
        <w:t xml:space="preserve"> (14.4%). The analysis of fatty acid methyl esters (FAME) (Table 1) showed the proportion of unsaturated fatty acids in </w:t>
      </w:r>
      <w:r w:rsidR="002646F2" w:rsidRPr="00FB13B0">
        <w:rPr>
          <w:i/>
          <w:iCs/>
        </w:rPr>
        <w:t>Chlorella</w:t>
      </w:r>
      <w:r w:rsidR="002646F2" w:rsidRPr="00FB13B0">
        <w:t xml:space="preserve"> BBM+C to be 71.9%, whereas </w:t>
      </w:r>
      <w:r w:rsidR="002646F2" w:rsidRPr="00FB13B0">
        <w:rPr>
          <w:i/>
          <w:iCs/>
        </w:rPr>
        <w:t>Chlorella</w:t>
      </w:r>
      <w:r w:rsidR="002646F2" w:rsidRPr="00FB13B0">
        <w:t xml:space="preserve"> in PM exhibited a proportion of only 31.7%.</w:t>
      </w:r>
      <w:r w:rsidR="0075075C" w:rsidRPr="00FB13B0">
        <w:t xml:space="preserve"> </w:t>
      </w:r>
    </w:p>
    <w:p w14:paraId="22F8FA9A" w14:textId="77777777" w:rsidR="00AE3BF1" w:rsidRPr="00FB13B0" w:rsidRDefault="00AE3BF1" w:rsidP="00AE3BF1">
      <w:pPr>
        <w:pStyle w:val="CETTabletitle"/>
      </w:pPr>
      <w:r w:rsidRPr="00FB13B0">
        <w:t>Table 1: Results of fatty acids content in two types of microalgal biomass.</w:t>
      </w:r>
    </w:p>
    <w:tbl>
      <w:tblPr>
        <w:tblW w:w="5000" w:type="pct"/>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013"/>
        <w:gridCol w:w="1464"/>
        <w:gridCol w:w="2930"/>
        <w:gridCol w:w="2380"/>
      </w:tblGrid>
      <w:tr w:rsidR="00AE3BF1" w:rsidRPr="00FB13B0" w14:paraId="37F3B991" w14:textId="77777777" w:rsidTr="0007377E">
        <w:trPr>
          <w:trHeight w:val="170"/>
          <w:jc w:val="center"/>
        </w:trPr>
        <w:tc>
          <w:tcPr>
            <w:tcW w:w="1146" w:type="pct"/>
            <w:tcBorders>
              <w:top w:val="single" w:sz="12" w:space="0" w:color="008000"/>
              <w:bottom w:val="single" w:sz="6" w:space="0" w:color="008000"/>
            </w:tcBorders>
            <w:shd w:val="clear" w:color="auto" w:fill="FFFFFF"/>
            <w:vAlign w:val="center"/>
          </w:tcPr>
          <w:p w14:paraId="44B2B0A6" w14:textId="77777777" w:rsidR="00AE3BF1" w:rsidRPr="00FB13B0" w:rsidRDefault="00AE3BF1" w:rsidP="00ED3EE2">
            <w:pPr>
              <w:pStyle w:val="CETBodytext"/>
              <w:jc w:val="center"/>
              <w:rPr>
                <w:lang w:val="it-IT"/>
              </w:rPr>
            </w:pPr>
            <w:r w:rsidRPr="00FB13B0">
              <w:rPr>
                <w:lang w:val="it-IT"/>
              </w:rPr>
              <w:t>Fatty acid</w:t>
            </w:r>
          </w:p>
        </w:tc>
        <w:tc>
          <w:tcPr>
            <w:tcW w:w="833" w:type="pct"/>
            <w:tcBorders>
              <w:top w:val="single" w:sz="12" w:space="0" w:color="008000"/>
              <w:bottom w:val="single" w:sz="6" w:space="0" w:color="008000"/>
            </w:tcBorders>
            <w:shd w:val="clear" w:color="auto" w:fill="FFFFFF"/>
            <w:vAlign w:val="center"/>
          </w:tcPr>
          <w:p w14:paraId="162FADD1" w14:textId="77777777" w:rsidR="00AE3BF1" w:rsidRPr="00FB13B0" w:rsidRDefault="00AE3BF1" w:rsidP="00ED3EE2">
            <w:pPr>
              <w:pStyle w:val="CETBodytext"/>
              <w:jc w:val="center"/>
              <w:rPr>
                <w:lang w:val="it-IT"/>
              </w:rPr>
            </w:pPr>
            <w:proofErr w:type="spellStart"/>
            <w:r w:rsidRPr="00FB13B0">
              <w:rPr>
                <w:lang w:val="it-IT"/>
              </w:rPr>
              <w:t>Lipid</w:t>
            </w:r>
            <w:proofErr w:type="spellEnd"/>
            <w:r w:rsidRPr="00FB13B0">
              <w:rPr>
                <w:lang w:val="it-IT"/>
              </w:rPr>
              <w:t xml:space="preserve"> </w:t>
            </w:r>
            <w:proofErr w:type="spellStart"/>
            <w:r w:rsidRPr="00FB13B0">
              <w:rPr>
                <w:lang w:val="it-IT"/>
              </w:rPr>
              <w:t>number</w:t>
            </w:r>
            <w:proofErr w:type="spellEnd"/>
          </w:p>
        </w:tc>
        <w:tc>
          <w:tcPr>
            <w:tcW w:w="3020" w:type="pct"/>
            <w:gridSpan w:val="2"/>
            <w:tcBorders>
              <w:top w:val="single" w:sz="12" w:space="0" w:color="008000"/>
              <w:bottom w:val="single" w:sz="6" w:space="0" w:color="008000"/>
            </w:tcBorders>
            <w:shd w:val="clear" w:color="auto" w:fill="FFFFFF"/>
            <w:vAlign w:val="center"/>
          </w:tcPr>
          <w:p w14:paraId="3E2BF8C7" w14:textId="77777777" w:rsidR="00AE3BF1" w:rsidRPr="00FB13B0" w:rsidRDefault="00AE3BF1" w:rsidP="00ED3EE2">
            <w:pPr>
              <w:pStyle w:val="CETBodytext"/>
              <w:jc w:val="center"/>
              <w:rPr>
                <w:lang w:val="it-IT"/>
              </w:rPr>
            </w:pPr>
            <w:r w:rsidRPr="00FB13B0">
              <w:rPr>
                <w:lang w:val="it-IT"/>
              </w:rPr>
              <w:t xml:space="preserve">Mass </w:t>
            </w:r>
            <w:proofErr w:type="spellStart"/>
            <w:r w:rsidRPr="00FB13B0">
              <w:rPr>
                <w:lang w:val="it-IT"/>
              </w:rPr>
              <w:t>fraction</w:t>
            </w:r>
            <w:proofErr w:type="spellEnd"/>
            <w:r w:rsidRPr="00FB13B0">
              <w:rPr>
                <w:lang w:val="it-IT"/>
              </w:rPr>
              <w:t xml:space="preserve"> (%)</w:t>
            </w:r>
          </w:p>
        </w:tc>
      </w:tr>
      <w:tr w:rsidR="00AE3BF1" w:rsidRPr="00FB13B0" w14:paraId="3EDD868B" w14:textId="77777777" w:rsidTr="0007377E">
        <w:trPr>
          <w:trHeight w:val="170"/>
          <w:jc w:val="center"/>
        </w:trPr>
        <w:tc>
          <w:tcPr>
            <w:tcW w:w="1146" w:type="pct"/>
            <w:shd w:val="clear" w:color="auto" w:fill="FFFFFF"/>
            <w:vAlign w:val="center"/>
          </w:tcPr>
          <w:p w14:paraId="1C22D043" w14:textId="77777777" w:rsidR="00AE3BF1" w:rsidRPr="00FB13B0" w:rsidRDefault="00AE3BF1" w:rsidP="00ED3EE2">
            <w:pPr>
              <w:pStyle w:val="CETBodytext"/>
              <w:rPr>
                <w:lang w:val="it-IT"/>
              </w:rPr>
            </w:pPr>
          </w:p>
        </w:tc>
        <w:tc>
          <w:tcPr>
            <w:tcW w:w="833" w:type="pct"/>
            <w:shd w:val="clear" w:color="auto" w:fill="FFFFFF"/>
            <w:vAlign w:val="center"/>
          </w:tcPr>
          <w:p w14:paraId="7E9C52FB" w14:textId="77777777" w:rsidR="00AE3BF1" w:rsidRPr="00FB13B0" w:rsidRDefault="00AE3BF1" w:rsidP="00ED3EE2">
            <w:pPr>
              <w:pStyle w:val="CETBodytext"/>
              <w:jc w:val="center"/>
              <w:rPr>
                <w:lang w:val="it-IT"/>
              </w:rPr>
            </w:pPr>
          </w:p>
        </w:tc>
        <w:tc>
          <w:tcPr>
            <w:tcW w:w="1667" w:type="pct"/>
            <w:tcBorders>
              <w:bottom w:val="single" w:sz="4" w:space="0" w:color="00B050"/>
            </w:tcBorders>
            <w:shd w:val="clear" w:color="auto" w:fill="FFFFFF"/>
            <w:vAlign w:val="center"/>
          </w:tcPr>
          <w:p w14:paraId="4E2873AC" w14:textId="77777777" w:rsidR="00AE3BF1" w:rsidRPr="00FB13B0" w:rsidRDefault="00AE3BF1" w:rsidP="00ED3EE2">
            <w:pPr>
              <w:pStyle w:val="CETBodytext"/>
              <w:jc w:val="center"/>
              <w:rPr>
                <w:lang w:val="it-IT"/>
              </w:rPr>
            </w:pPr>
            <w:proofErr w:type="spellStart"/>
            <w:r w:rsidRPr="00FB13B0">
              <w:rPr>
                <w:lang w:val="it-IT"/>
              </w:rPr>
              <w:t>Chlorella</w:t>
            </w:r>
            <w:proofErr w:type="spellEnd"/>
            <w:r w:rsidRPr="00FB13B0">
              <w:rPr>
                <w:lang w:val="it-IT"/>
              </w:rPr>
              <w:t xml:space="preserve"> BBM+C</w:t>
            </w:r>
          </w:p>
        </w:tc>
        <w:tc>
          <w:tcPr>
            <w:tcW w:w="1354" w:type="pct"/>
            <w:tcBorders>
              <w:bottom w:val="single" w:sz="4" w:space="0" w:color="00B050"/>
            </w:tcBorders>
            <w:shd w:val="clear" w:color="auto" w:fill="FFFFFF"/>
            <w:vAlign w:val="center"/>
          </w:tcPr>
          <w:p w14:paraId="00EA7D82" w14:textId="77777777" w:rsidR="00AE3BF1" w:rsidRPr="00FB13B0" w:rsidRDefault="00AE3BF1" w:rsidP="00ED3EE2">
            <w:pPr>
              <w:pStyle w:val="CETBodytext"/>
              <w:jc w:val="center"/>
              <w:rPr>
                <w:lang w:val="it-IT"/>
              </w:rPr>
            </w:pPr>
            <w:proofErr w:type="spellStart"/>
            <w:r w:rsidRPr="00FB13B0">
              <w:rPr>
                <w:lang w:val="it-IT"/>
              </w:rPr>
              <w:t>Chlorella</w:t>
            </w:r>
            <w:proofErr w:type="spellEnd"/>
            <w:r w:rsidRPr="00FB13B0">
              <w:rPr>
                <w:lang w:val="it-IT"/>
              </w:rPr>
              <w:t xml:space="preserve"> PM</w:t>
            </w:r>
          </w:p>
        </w:tc>
      </w:tr>
      <w:tr w:rsidR="00AE3BF1" w:rsidRPr="00FB13B0" w14:paraId="5163AC18" w14:textId="77777777" w:rsidTr="0007377E">
        <w:trPr>
          <w:trHeight w:val="170"/>
          <w:jc w:val="center"/>
        </w:trPr>
        <w:tc>
          <w:tcPr>
            <w:tcW w:w="1146" w:type="pct"/>
            <w:shd w:val="clear" w:color="auto" w:fill="FFFFFF"/>
            <w:vAlign w:val="center"/>
          </w:tcPr>
          <w:p w14:paraId="537F63AE" w14:textId="77777777" w:rsidR="00AE3BF1" w:rsidRPr="00FB13B0" w:rsidRDefault="00AE3BF1" w:rsidP="00ED3EE2">
            <w:pPr>
              <w:pStyle w:val="CETBodytext"/>
              <w:rPr>
                <w:lang w:val="it-IT"/>
              </w:rPr>
            </w:pPr>
            <w:proofErr w:type="spellStart"/>
            <w:r w:rsidRPr="00FB13B0">
              <w:rPr>
                <w:lang w:val="it-IT"/>
              </w:rPr>
              <w:t>Capric</w:t>
            </w:r>
            <w:proofErr w:type="spellEnd"/>
            <w:r w:rsidRPr="00FB13B0">
              <w:rPr>
                <w:lang w:val="it-IT"/>
              </w:rPr>
              <w:t xml:space="preserve"> acid</w:t>
            </w:r>
          </w:p>
        </w:tc>
        <w:tc>
          <w:tcPr>
            <w:tcW w:w="833" w:type="pct"/>
            <w:shd w:val="clear" w:color="auto" w:fill="FFFFFF"/>
            <w:vAlign w:val="center"/>
          </w:tcPr>
          <w:p w14:paraId="591FDFB4" w14:textId="77777777" w:rsidR="00AE3BF1" w:rsidRPr="00FB13B0" w:rsidRDefault="00AE3BF1" w:rsidP="00ED3EE2">
            <w:pPr>
              <w:pStyle w:val="CETBodytext"/>
              <w:jc w:val="center"/>
              <w:rPr>
                <w:lang w:val="it-IT"/>
              </w:rPr>
            </w:pPr>
            <w:r w:rsidRPr="00FB13B0">
              <w:rPr>
                <w:lang w:val="it-IT"/>
              </w:rPr>
              <w:t>C10:0</w:t>
            </w:r>
          </w:p>
        </w:tc>
        <w:tc>
          <w:tcPr>
            <w:tcW w:w="1667" w:type="pct"/>
            <w:tcBorders>
              <w:top w:val="single" w:sz="4" w:space="0" w:color="00B050"/>
              <w:bottom w:val="nil"/>
            </w:tcBorders>
            <w:shd w:val="clear" w:color="auto" w:fill="FFFFFF"/>
            <w:vAlign w:val="center"/>
          </w:tcPr>
          <w:p w14:paraId="36D5DFE5" w14:textId="77777777" w:rsidR="00AE3BF1" w:rsidRPr="00FB13B0" w:rsidRDefault="00AE3BF1" w:rsidP="00ED3EE2">
            <w:pPr>
              <w:pStyle w:val="CETBodytext"/>
              <w:jc w:val="center"/>
              <w:rPr>
                <w:lang w:val="it-IT"/>
              </w:rPr>
            </w:pPr>
            <w:r w:rsidRPr="00FB13B0">
              <w:rPr>
                <w:lang w:val="it-IT"/>
              </w:rPr>
              <w:t>0.70 ± 0.08</w:t>
            </w:r>
          </w:p>
        </w:tc>
        <w:tc>
          <w:tcPr>
            <w:tcW w:w="1354" w:type="pct"/>
            <w:tcBorders>
              <w:top w:val="single" w:sz="4" w:space="0" w:color="00B050"/>
              <w:bottom w:val="nil"/>
            </w:tcBorders>
            <w:shd w:val="clear" w:color="auto" w:fill="FFFFFF"/>
            <w:vAlign w:val="center"/>
          </w:tcPr>
          <w:p w14:paraId="45FB366C" w14:textId="77777777" w:rsidR="00AE3BF1" w:rsidRPr="00FB13B0" w:rsidRDefault="00AE3BF1" w:rsidP="00ED3EE2">
            <w:pPr>
              <w:pStyle w:val="CETBodytext"/>
              <w:jc w:val="center"/>
              <w:rPr>
                <w:lang w:val="it-IT"/>
              </w:rPr>
            </w:pPr>
            <w:r w:rsidRPr="00FB13B0">
              <w:rPr>
                <w:lang w:val="it-IT"/>
              </w:rPr>
              <w:t>7.02 ± 0.43</w:t>
            </w:r>
          </w:p>
        </w:tc>
      </w:tr>
      <w:tr w:rsidR="00AE3BF1" w:rsidRPr="00FB13B0" w14:paraId="39FD1854" w14:textId="77777777" w:rsidTr="0007377E">
        <w:trPr>
          <w:trHeight w:val="170"/>
          <w:jc w:val="center"/>
        </w:trPr>
        <w:tc>
          <w:tcPr>
            <w:tcW w:w="1146" w:type="pct"/>
            <w:shd w:val="clear" w:color="auto" w:fill="FFFFFF"/>
            <w:vAlign w:val="center"/>
          </w:tcPr>
          <w:p w14:paraId="77CDECE8" w14:textId="77777777" w:rsidR="00AE3BF1" w:rsidRPr="00FB13B0" w:rsidRDefault="00AE3BF1" w:rsidP="00ED3EE2">
            <w:pPr>
              <w:pStyle w:val="CETBodytext"/>
              <w:rPr>
                <w:lang w:val="it-IT"/>
              </w:rPr>
            </w:pPr>
            <w:proofErr w:type="spellStart"/>
            <w:r w:rsidRPr="00FB13B0">
              <w:rPr>
                <w:lang w:val="it-IT"/>
              </w:rPr>
              <w:t>Lauric</w:t>
            </w:r>
            <w:proofErr w:type="spellEnd"/>
            <w:r w:rsidRPr="00FB13B0">
              <w:rPr>
                <w:lang w:val="it-IT"/>
              </w:rPr>
              <w:t xml:space="preserve"> acid</w:t>
            </w:r>
          </w:p>
        </w:tc>
        <w:tc>
          <w:tcPr>
            <w:tcW w:w="833" w:type="pct"/>
            <w:shd w:val="clear" w:color="auto" w:fill="FFFFFF"/>
            <w:vAlign w:val="center"/>
          </w:tcPr>
          <w:p w14:paraId="32067878" w14:textId="77777777" w:rsidR="00AE3BF1" w:rsidRPr="00FB13B0" w:rsidRDefault="00AE3BF1" w:rsidP="00ED3EE2">
            <w:pPr>
              <w:pStyle w:val="CETBodytext"/>
              <w:jc w:val="center"/>
              <w:rPr>
                <w:lang w:val="it-IT"/>
              </w:rPr>
            </w:pPr>
            <w:r w:rsidRPr="00FB13B0">
              <w:rPr>
                <w:lang w:val="it-IT"/>
              </w:rPr>
              <w:t>C12:0</w:t>
            </w:r>
          </w:p>
        </w:tc>
        <w:tc>
          <w:tcPr>
            <w:tcW w:w="1667" w:type="pct"/>
            <w:tcBorders>
              <w:top w:val="nil"/>
            </w:tcBorders>
            <w:shd w:val="clear" w:color="auto" w:fill="FFFFFF"/>
            <w:vAlign w:val="center"/>
          </w:tcPr>
          <w:p w14:paraId="3D48548F" w14:textId="77777777" w:rsidR="00AE3BF1" w:rsidRPr="00FB13B0" w:rsidRDefault="00AE3BF1" w:rsidP="00ED3EE2">
            <w:pPr>
              <w:pStyle w:val="CETBodytext"/>
              <w:jc w:val="center"/>
              <w:rPr>
                <w:lang w:val="it-IT"/>
              </w:rPr>
            </w:pPr>
            <w:r w:rsidRPr="00FB13B0">
              <w:rPr>
                <w:lang w:val="it-IT"/>
              </w:rPr>
              <w:t>0.17 ± 0.03</w:t>
            </w:r>
          </w:p>
        </w:tc>
        <w:tc>
          <w:tcPr>
            <w:tcW w:w="1354" w:type="pct"/>
            <w:tcBorders>
              <w:top w:val="nil"/>
            </w:tcBorders>
            <w:shd w:val="clear" w:color="auto" w:fill="FFFFFF"/>
            <w:vAlign w:val="center"/>
          </w:tcPr>
          <w:p w14:paraId="1AE0B7EF" w14:textId="77777777" w:rsidR="00AE3BF1" w:rsidRPr="00FB13B0" w:rsidRDefault="00AE3BF1" w:rsidP="00ED3EE2">
            <w:pPr>
              <w:pStyle w:val="CETBodytext"/>
              <w:jc w:val="center"/>
              <w:rPr>
                <w:lang w:val="it-IT"/>
              </w:rPr>
            </w:pPr>
            <w:r w:rsidRPr="00FB13B0">
              <w:rPr>
                <w:lang w:val="it-IT"/>
              </w:rPr>
              <w:t>5.58 ± 0.58</w:t>
            </w:r>
          </w:p>
        </w:tc>
      </w:tr>
      <w:tr w:rsidR="00AE3BF1" w:rsidRPr="00FB13B0" w14:paraId="60D231A7" w14:textId="77777777" w:rsidTr="0007377E">
        <w:trPr>
          <w:trHeight w:val="170"/>
          <w:jc w:val="center"/>
        </w:trPr>
        <w:tc>
          <w:tcPr>
            <w:tcW w:w="1146" w:type="pct"/>
            <w:shd w:val="clear" w:color="auto" w:fill="FFFFFF"/>
            <w:vAlign w:val="center"/>
          </w:tcPr>
          <w:p w14:paraId="3D9B1373" w14:textId="77777777" w:rsidR="00AE3BF1" w:rsidRPr="00FB13B0" w:rsidRDefault="00AE3BF1" w:rsidP="00ED3EE2">
            <w:pPr>
              <w:pStyle w:val="CETBodytext"/>
              <w:rPr>
                <w:lang w:val="it-IT"/>
              </w:rPr>
            </w:pPr>
            <w:proofErr w:type="spellStart"/>
            <w:r w:rsidRPr="00FB13B0">
              <w:rPr>
                <w:lang w:val="it-IT"/>
              </w:rPr>
              <w:t>Palmitic</w:t>
            </w:r>
            <w:proofErr w:type="spellEnd"/>
            <w:r w:rsidRPr="00FB13B0">
              <w:rPr>
                <w:lang w:val="it-IT"/>
              </w:rPr>
              <w:t xml:space="preserve"> acid</w:t>
            </w:r>
          </w:p>
        </w:tc>
        <w:tc>
          <w:tcPr>
            <w:tcW w:w="833" w:type="pct"/>
            <w:shd w:val="clear" w:color="auto" w:fill="FFFFFF"/>
            <w:vAlign w:val="center"/>
          </w:tcPr>
          <w:p w14:paraId="014600D1" w14:textId="77777777" w:rsidR="00AE3BF1" w:rsidRPr="00FB13B0" w:rsidRDefault="00AE3BF1" w:rsidP="00ED3EE2">
            <w:pPr>
              <w:pStyle w:val="CETBodytext"/>
              <w:jc w:val="center"/>
              <w:rPr>
                <w:lang w:val="it-IT"/>
              </w:rPr>
            </w:pPr>
            <w:r w:rsidRPr="00FB13B0">
              <w:rPr>
                <w:lang w:val="it-IT"/>
              </w:rPr>
              <w:t>C16:0</w:t>
            </w:r>
          </w:p>
        </w:tc>
        <w:tc>
          <w:tcPr>
            <w:tcW w:w="1667" w:type="pct"/>
            <w:shd w:val="clear" w:color="auto" w:fill="FFFFFF"/>
            <w:vAlign w:val="center"/>
          </w:tcPr>
          <w:p w14:paraId="759A03D3" w14:textId="77777777" w:rsidR="00AE3BF1" w:rsidRPr="00FB13B0" w:rsidRDefault="00AE3BF1" w:rsidP="00ED3EE2">
            <w:pPr>
              <w:pStyle w:val="CETBodytext"/>
              <w:jc w:val="center"/>
              <w:rPr>
                <w:lang w:val="it-IT"/>
              </w:rPr>
            </w:pPr>
            <w:r w:rsidRPr="00FB13B0">
              <w:rPr>
                <w:lang w:val="it-IT"/>
              </w:rPr>
              <w:t>18.10 ± 0.43</w:t>
            </w:r>
          </w:p>
        </w:tc>
        <w:tc>
          <w:tcPr>
            <w:tcW w:w="1354" w:type="pct"/>
            <w:shd w:val="clear" w:color="auto" w:fill="FFFFFF"/>
            <w:vAlign w:val="center"/>
          </w:tcPr>
          <w:p w14:paraId="3091B4CF" w14:textId="77777777" w:rsidR="00AE3BF1" w:rsidRPr="00FB13B0" w:rsidRDefault="00AE3BF1" w:rsidP="00ED3EE2">
            <w:pPr>
              <w:pStyle w:val="CETBodytext"/>
              <w:jc w:val="center"/>
              <w:rPr>
                <w:lang w:val="it-IT"/>
              </w:rPr>
            </w:pPr>
            <w:r w:rsidRPr="00FB13B0">
              <w:rPr>
                <w:lang w:val="it-IT"/>
              </w:rPr>
              <w:t>30.86 ± 3.12</w:t>
            </w:r>
          </w:p>
        </w:tc>
      </w:tr>
      <w:tr w:rsidR="00AE3BF1" w:rsidRPr="00FB13B0" w14:paraId="55A524DC" w14:textId="77777777" w:rsidTr="0007377E">
        <w:trPr>
          <w:trHeight w:val="170"/>
          <w:jc w:val="center"/>
        </w:trPr>
        <w:tc>
          <w:tcPr>
            <w:tcW w:w="1146" w:type="pct"/>
            <w:shd w:val="clear" w:color="auto" w:fill="FFFFFF"/>
            <w:vAlign w:val="center"/>
          </w:tcPr>
          <w:p w14:paraId="7AC7C64E" w14:textId="77777777" w:rsidR="00AE3BF1" w:rsidRPr="00FB13B0" w:rsidRDefault="00AE3BF1" w:rsidP="00ED3EE2">
            <w:pPr>
              <w:pStyle w:val="CETBodytext"/>
              <w:rPr>
                <w:lang w:val="it-IT"/>
              </w:rPr>
            </w:pPr>
            <w:proofErr w:type="spellStart"/>
            <w:r w:rsidRPr="00FB13B0">
              <w:rPr>
                <w:lang w:val="it-IT"/>
              </w:rPr>
              <w:t>Palmitoleic</w:t>
            </w:r>
            <w:proofErr w:type="spellEnd"/>
            <w:r w:rsidRPr="00FB13B0">
              <w:rPr>
                <w:lang w:val="it-IT"/>
              </w:rPr>
              <w:t xml:space="preserve"> acid</w:t>
            </w:r>
          </w:p>
        </w:tc>
        <w:tc>
          <w:tcPr>
            <w:tcW w:w="833" w:type="pct"/>
            <w:shd w:val="clear" w:color="auto" w:fill="FFFFFF"/>
            <w:vAlign w:val="center"/>
          </w:tcPr>
          <w:p w14:paraId="5D0F9B17" w14:textId="77777777" w:rsidR="00AE3BF1" w:rsidRPr="00FB13B0" w:rsidRDefault="00AE3BF1" w:rsidP="00ED3EE2">
            <w:pPr>
              <w:pStyle w:val="CETBodytext"/>
              <w:jc w:val="center"/>
              <w:rPr>
                <w:lang w:val="it-IT"/>
              </w:rPr>
            </w:pPr>
            <w:r w:rsidRPr="00FB13B0">
              <w:rPr>
                <w:lang w:val="it-IT"/>
              </w:rPr>
              <w:t>C16:1</w:t>
            </w:r>
          </w:p>
        </w:tc>
        <w:tc>
          <w:tcPr>
            <w:tcW w:w="1667" w:type="pct"/>
            <w:shd w:val="clear" w:color="auto" w:fill="FFFFFF"/>
            <w:vAlign w:val="center"/>
          </w:tcPr>
          <w:p w14:paraId="3ABDABD4" w14:textId="77777777" w:rsidR="00AE3BF1" w:rsidRPr="00FB13B0" w:rsidRDefault="00AE3BF1" w:rsidP="00ED3EE2">
            <w:pPr>
              <w:pStyle w:val="CETBodytext"/>
              <w:jc w:val="center"/>
              <w:rPr>
                <w:lang w:val="it-IT"/>
              </w:rPr>
            </w:pPr>
            <w:r w:rsidRPr="00FB13B0">
              <w:rPr>
                <w:lang w:val="it-IT"/>
              </w:rPr>
              <w:t>0.54 ± 0.07</w:t>
            </w:r>
          </w:p>
        </w:tc>
        <w:tc>
          <w:tcPr>
            <w:tcW w:w="1354" w:type="pct"/>
            <w:shd w:val="clear" w:color="auto" w:fill="FFFFFF"/>
            <w:vAlign w:val="center"/>
          </w:tcPr>
          <w:p w14:paraId="1975C221" w14:textId="77777777" w:rsidR="00AE3BF1" w:rsidRPr="00FB13B0" w:rsidRDefault="00AE3BF1" w:rsidP="00ED3EE2">
            <w:pPr>
              <w:pStyle w:val="CETBodytext"/>
              <w:jc w:val="center"/>
              <w:rPr>
                <w:lang w:val="it-IT"/>
              </w:rPr>
            </w:pPr>
            <w:r w:rsidRPr="00FB13B0">
              <w:rPr>
                <w:lang w:val="it-IT"/>
              </w:rPr>
              <w:t>1.70 ± 0.10</w:t>
            </w:r>
          </w:p>
        </w:tc>
      </w:tr>
      <w:tr w:rsidR="00AE3BF1" w:rsidRPr="00FB13B0" w14:paraId="60FA4B82" w14:textId="77777777" w:rsidTr="0007377E">
        <w:trPr>
          <w:trHeight w:val="170"/>
          <w:jc w:val="center"/>
        </w:trPr>
        <w:tc>
          <w:tcPr>
            <w:tcW w:w="1146" w:type="pct"/>
            <w:shd w:val="clear" w:color="auto" w:fill="FFFFFF"/>
            <w:vAlign w:val="center"/>
          </w:tcPr>
          <w:p w14:paraId="3B83E097" w14:textId="77777777" w:rsidR="00AE3BF1" w:rsidRPr="00FB13B0" w:rsidRDefault="00AE3BF1" w:rsidP="00ED3EE2">
            <w:pPr>
              <w:pStyle w:val="CETBodytext"/>
              <w:rPr>
                <w:lang w:val="it-IT"/>
              </w:rPr>
            </w:pPr>
            <w:proofErr w:type="spellStart"/>
            <w:r w:rsidRPr="00FB13B0">
              <w:rPr>
                <w:lang w:val="it-IT"/>
              </w:rPr>
              <w:t>Stearic</w:t>
            </w:r>
            <w:proofErr w:type="spellEnd"/>
            <w:r w:rsidRPr="00FB13B0">
              <w:rPr>
                <w:lang w:val="it-IT"/>
              </w:rPr>
              <w:t xml:space="preserve"> acid</w:t>
            </w:r>
          </w:p>
        </w:tc>
        <w:tc>
          <w:tcPr>
            <w:tcW w:w="833" w:type="pct"/>
            <w:shd w:val="clear" w:color="auto" w:fill="FFFFFF"/>
            <w:vAlign w:val="center"/>
          </w:tcPr>
          <w:p w14:paraId="4D4BE46F" w14:textId="77777777" w:rsidR="00AE3BF1" w:rsidRPr="00FB13B0" w:rsidRDefault="00AE3BF1" w:rsidP="00ED3EE2">
            <w:pPr>
              <w:pStyle w:val="CETBodytext"/>
              <w:jc w:val="center"/>
              <w:rPr>
                <w:lang w:val="it-IT"/>
              </w:rPr>
            </w:pPr>
            <w:r w:rsidRPr="00FB13B0">
              <w:rPr>
                <w:lang w:val="it-IT"/>
              </w:rPr>
              <w:t>C18:0</w:t>
            </w:r>
          </w:p>
        </w:tc>
        <w:tc>
          <w:tcPr>
            <w:tcW w:w="1667" w:type="pct"/>
            <w:shd w:val="clear" w:color="auto" w:fill="FFFFFF"/>
            <w:vAlign w:val="center"/>
          </w:tcPr>
          <w:p w14:paraId="73875F85" w14:textId="77777777" w:rsidR="00AE3BF1" w:rsidRPr="00FB13B0" w:rsidRDefault="00AE3BF1" w:rsidP="00ED3EE2">
            <w:pPr>
              <w:pStyle w:val="CETBodytext"/>
              <w:jc w:val="center"/>
              <w:rPr>
                <w:lang w:val="it-IT"/>
              </w:rPr>
            </w:pPr>
            <w:r w:rsidRPr="00FB13B0">
              <w:rPr>
                <w:lang w:val="it-IT"/>
              </w:rPr>
              <w:t>9.20 ± 0.87</w:t>
            </w:r>
          </w:p>
        </w:tc>
        <w:tc>
          <w:tcPr>
            <w:tcW w:w="1354" w:type="pct"/>
            <w:shd w:val="clear" w:color="auto" w:fill="FFFFFF"/>
            <w:vAlign w:val="center"/>
          </w:tcPr>
          <w:p w14:paraId="2B68726B" w14:textId="77777777" w:rsidR="00AE3BF1" w:rsidRPr="00FB13B0" w:rsidRDefault="00AE3BF1" w:rsidP="00ED3EE2">
            <w:pPr>
              <w:pStyle w:val="CETBodytext"/>
              <w:jc w:val="center"/>
              <w:rPr>
                <w:lang w:val="it-IT"/>
              </w:rPr>
            </w:pPr>
            <w:r w:rsidRPr="00FB13B0">
              <w:rPr>
                <w:lang w:val="it-IT"/>
              </w:rPr>
              <w:t>28.40 ± 2.94</w:t>
            </w:r>
          </w:p>
        </w:tc>
      </w:tr>
      <w:tr w:rsidR="00AE3BF1" w:rsidRPr="00FB13B0" w14:paraId="3700DCE3" w14:textId="77777777" w:rsidTr="0007377E">
        <w:trPr>
          <w:trHeight w:val="170"/>
          <w:jc w:val="center"/>
        </w:trPr>
        <w:tc>
          <w:tcPr>
            <w:tcW w:w="1146" w:type="pct"/>
            <w:shd w:val="clear" w:color="auto" w:fill="FFFFFF"/>
            <w:vAlign w:val="center"/>
          </w:tcPr>
          <w:p w14:paraId="7D2FB5DB" w14:textId="77777777" w:rsidR="00AE3BF1" w:rsidRPr="00FB13B0" w:rsidRDefault="00AE3BF1" w:rsidP="00ED3EE2">
            <w:pPr>
              <w:pStyle w:val="CETBodytext"/>
              <w:rPr>
                <w:lang w:val="it-IT"/>
              </w:rPr>
            </w:pPr>
            <w:proofErr w:type="spellStart"/>
            <w:r w:rsidRPr="00FB13B0">
              <w:rPr>
                <w:lang w:val="it-IT"/>
              </w:rPr>
              <w:t>Oleic</w:t>
            </w:r>
            <w:proofErr w:type="spellEnd"/>
            <w:r w:rsidRPr="00FB13B0">
              <w:rPr>
                <w:lang w:val="it-IT"/>
              </w:rPr>
              <w:t xml:space="preserve"> acid</w:t>
            </w:r>
          </w:p>
        </w:tc>
        <w:tc>
          <w:tcPr>
            <w:tcW w:w="833" w:type="pct"/>
            <w:shd w:val="clear" w:color="auto" w:fill="FFFFFF"/>
            <w:vAlign w:val="center"/>
          </w:tcPr>
          <w:p w14:paraId="2A608786" w14:textId="77777777" w:rsidR="00AE3BF1" w:rsidRPr="00FB13B0" w:rsidRDefault="00AE3BF1" w:rsidP="00ED3EE2">
            <w:pPr>
              <w:pStyle w:val="CETBodytext"/>
              <w:jc w:val="center"/>
              <w:rPr>
                <w:lang w:val="it-IT"/>
              </w:rPr>
            </w:pPr>
            <w:r w:rsidRPr="00FB13B0">
              <w:rPr>
                <w:lang w:val="it-IT"/>
              </w:rPr>
              <w:t>C18:1</w:t>
            </w:r>
          </w:p>
        </w:tc>
        <w:tc>
          <w:tcPr>
            <w:tcW w:w="1667" w:type="pct"/>
            <w:shd w:val="clear" w:color="auto" w:fill="FFFFFF"/>
            <w:vAlign w:val="center"/>
          </w:tcPr>
          <w:p w14:paraId="543BE7FC" w14:textId="77777777" w:rsidR="00AE3BF1" w:rsidRPr="00FB13B0" w:rsidRDefault="00AE3BF1" w:rsidP="00ED3EE2">
            <w:pPr>
              <w:pStyle w:val="CETBodytext"/>
              <w:jc w:val="center"/>
              <w:rPr>
                <w:lang w:val="it-IT"/>
              </w:rPr>
            </w:pPr>
            <w:r w:rsidRPr="00FB13B0">
              <w:rPr>
                <w:lang w:val="it-IT"/>
              </w:rPr>
              <w:t>16.00 ± 0.80</w:t>
            </w:r>
          </w:p>
        </w:tc>
        <w:tc>
          <w:tcPr>
            <w:tcW w:w="1354" w:type="pct"/>
            <w:shd w:val="clear" w:color="auto" w:fill="FFFFFF"/>
            <w:vAlign w:val="center"/>
          </w:tcPr>
          <w:p w14:paraId="193F9341" w14:textId="77777777" w:rsidR="00AE3BF1" w:rsidRPr="00FB13B0" w:rsidRDefault="00AE3BF1" w:rsidP="00ED3EE2">
            <w:pPr>
              <w:pStyle w:val="CETBodytext"/>
              <w:jc w:val="center"/>
              <w:rPr>
                <w:lang w:val="it-IT"/>
              </w:rPr>
            </w:pPr>
            <w:r w:rsidRPr="00FB13B0">
              <w:rPr>
                <w:lang w:val="it-IT"/>
              </w:rPr>
              <w:t>6.13 ± 0.56</w:t>
            </w:r>
          </w:p>
        </w:tc>
      </w:tr>
      <w:tr w:rsidR="00AE3BF1" w:rsidRPr="00FB13B0" w14:paraId="3807A050" w14:textId="77777777" w:rsidTr="0007377E">
        <w:trPr>
          <w:trHeight w:val="170"/>
          <w:jc w:val="center"/>
        </w:trPr>
        <w:tc>
          <w:tcPr>
            <w:tcW w:w="1146" w:type="pct"/>
            <w:shd w:val="clear" w:color="auto" w:fill="FFFFFF"/>
            <w:vAlign w:val="center"/>
          </w:tcPr>
          <w:p w14:paraId="3726B3C0" w14:textId="77777777" w:rsidR="00AE3BF1" w:rsidRPr="00FB13B0" w:rsidRDefault="00AE3BF1" w:rsidP="00ED3EE2">
            <w:pPr>
              <w:pStyle w:val="CETBodytext"/>
              <w:rPr>
                <w:lang w:val="it-IT"/>
              </w:rPr>
            </w:pPr>
            <w:proofErr w:type="spellStart"/>
            <w:r w:rsidRPr="00FB13B0">
              <w:rPr>
                <w:lang w:val="it-IT"/>
              </w:rPr>
              <w:t>Linoleic</w:t>
            </w:r>
            <w:proofErr w:type="spellEnd"/>
            <w:r w:rsidRPr="00FB13B0">
              <w:rPr>
                <w:lang w:val="it-IT"/>
              </w:rPr>
              <w:t xml:space="preserve"> acid</w:t>
            </w:r>
          </w:p>
        </w:tc>
        <w:tc>
          <w:tcPr>
            <w:tcW w:w="833" w:type="pct"/>
            <w:shd w:val="clear" w:color="auto" w:fill="FFFFFF"/>
            <w:vAlign w:val="center"/>
          </w:tcPr>
          <w:p w14:paraId="62CAAAEF" w14:textId="77777777" w:rsidR="00AE3BF1" w:rsidRPr="00FB13B0" w:rsidRDefault="00AE3BF1" w:rsidP="00ED3EE2">
            <w:pPr>
              <w:pStyle w:val="CETBodytext"/>
              <w:jc w:val="center"/>
              <w:rPr>
                <w:lang w:val="it-IT"/>
              </w:rPr>
            </w:pPr>
            <w:r w:rsidRPr="00FB13B0">
              <w:rPr>
                <w:lang w:val="it-IT"/>
              </w:rPr>
              <w:t>C18:2</w:t>
            </w:r>
          </w:p>
        </w:tc>
        <w:tc>
          <w:tcPr>
            <w:tcW w:w="1667" w:type="pct"/>
            <w:shd w:val="clear" w:color="auto" w:fill="FFFFFF"/>
            <w:vAlign w:val="center"/>
          </w:tcPr>
          <w:p w14:paraId="140C7908" w14:textId="77777777" w:rsidR="00AE3BF1" w:rsidRPr="00FB13B0" w:rsidRDefault="00AE3BF1" w:rsidP="00ED3EE2">
            <w:pPr>
              <w:pStyle w:val="CETBodytext"/>
              <w:jc w:val="center"/>
              <w:rPr>
                <w:lang w:val="it-IT"/>
              </w:rPr>
            </w:pPr>
            <w:r w:rsidRPr="00FB13B0">
              <w:rPr>
                <w:lang w:val="it-IT"/>
              </w:rPr>
              <w:t>2.41 ± 0.06</w:t>
            </w:r>
          </w:p>
        </w:tc>
        <w:tc>
          <w:tcPr>
            <w:tcW w:w="1354" w:type="pct"/>
            <w:shd w:val="clear" w:color="auto" w:fill="FFFFFF"/>
            <w:vAlign w:val="center"/>
          </w:tcPr>
          <w:p w14:paraId="3D8BD217" w14:textId="77777777" w:rsidR="00AE3BF1" w:rsidRPr="00FB13B0" w:rsidRDefault="00AE3BF1" w:rsidP="00ED3EE2">
            <w:pPr>
              <w:pStyle w:val="CETBodytext"/>
              <w:jc w:val="center"/>
              <w:rPr>
                <w:lang w:val="it-IT"/>
              </w:rPr>
            </w:pPr>
            <w:r w:rsidRPr="00FB13B0">
              <w:rPr>
                <w:lang w:val="it-IT"/>
              </w:rPr>
              <w:t>0.83 ± 0.14</w:t>
            </w:r>
          </w:p>
        </w:tc>
      </w:tr>
      <w:tr w:rsidR="00AE3BF1" w:rsidRPr="00FB13B0" w14:paraId="449801AA" w14:textId="77777777" w:rsidTr="0007377E">
        <w:trPr>
          <w:trHeight w:val="170"/>
          <w:jc w:val="center"/>
        </w:trPr>
        <w:tc>
          <w:tcPr>
            <w:tcW w:w="1146" w:type="pct"/>
            <w:shd w:val="clear" w:color="auto" w:fill="FFFFFF"/>
            <w:vAlign w:val="center"/>
          </w:tcPr>
          <w:p w14:paraId="179DDC61" w14:textId="77777777" w:rsidR="00AE3BF1" w:rsidRPr="00FB13B0" w:rsidRDefault="00AE3BF1" w:rsidP="00ED3EE2">
            <w:pPr>
              <w:pStyle w:val="CETBodytext"/>
              <w:rPr>
                <w:lang w:val="it-IT"/>
              </w:rPr>
            </w:pPr>
            <w:r w:rsidRPr="00FB13B0">
              <w:rPr>
                <w:lang w:val="it-IT"/>
              </w:rPr>
              <w:t>γ-</w:t>
            </w:r>
            <w:proofErr w:type="spellStart"/>
            <w:r w:rsidRPr="00FB13B0">
              <w:rPr>
                <w:lang w:val="it-IT"/>
              </w:rPr>
              <w:t>Linolenic</w:t>
            </w:r>
            <w:proofErr w:type="spellEnd"/>
            <w:r w:rsidRPr="00FB13B0">
              <w:rPr>
                <w:lang w:val="it-IT"/>
              </w:rPr>
              <w:t xml:space="preserve"> acid</w:t>
            </w:r>
          </w:p>
        </w:tc>
        <w:tc>
          <w:tcPr>
            <w:tcW w:w="833" w:type="pct"/>
            <w:shd w:val="clear" w:color="auto" w:fill="FFFFFF"/>
            <w:vAlign w:val="center"/>
          </w:tcPr>
          <w:p w14:paraId="1E1C3B60" w14:textId="77777777" w:rsidR="00AE3BF1" w:rsidRPr="00FB13B0" w:rsidRDefault="00AE3BF1" w:rsidP="00ED3EE2">
            <w:pPr>
              <w:pStyle w:val="CETBodytext"/>
              <w:jc w:val="center"/>
              <w:rPr>
                <w:lang w:val="it-IT"/>
              </w:rPr>
            </w:pPr>
            <w:r w:rsidRPr="00FB13B0">
              <w:rPr>
                <w:lang w:val="it-IT"/>
              </w:rPr>
              <w:t>C18:3</w:t>
            </w:r>
          </w:p>
        </w:tc>
        <w:tc>
          <w:tcPr>
            <w:tcW w:w="1667" w:type="pct"/>
            <w:shd w:val="clear" w:color="auto" w:fill="FFFFFF"/>
            <w:vAlign w:val="center"/>
          </w:tcPr>
          <w:p w14:paraId="3C1E85F3" w14:textId="77777777" w:rsidR="00AE3BF1" w:rsidRPr="00FB13B0" w:rsidRDefault="00AE3BF1" w:rsidP="00ED3EE2">
            <w:pPr>
              <w:pStyle w:val="CETBodytext"/>
              <w:jc w:val="center"/>
              <w:rPr>
                <w:lang w:val="it-IT"/>
              </w:rPr>
            </w:pPr>
            <w:r w:rsidRPr="00FB13B0">
              <w:rPr>
                <w:lang w:val="it-IT"/>
              </w:rPr>
              <w:t>14.97 ± 0.89</w:t>
            </w:r>
          </w:p>
        </w:tc>
        <w:tc>
          <w:tcPr>
            <w:tcW w:w="1354" w:type="pct"/>
            <w:shd w:val="clear" w:color="auto" w:fill="FFFFFF"/>
            <w:vAlign w:val="center"/>
          </w:tcPr>
          <w:p w14:paraId="7A059E54" w14:textId="77777777" w:rsidR="00AE3BF1" w:rsidRPr="00FB13B0" w:rsidRDefault="00AE3BF1" w:rsidP="00ED3EE2">
            <w:pPr>
              <w:pStyle w:val="CETBodytext"/>
              <w:jc w:val="center"/>
              <w:rPr>
                <w:lang w:val="it-IT"/>
              </w:rPr>
            </w:pPr>
            <w:r w:rsidRPr="00FB13B0">
              <w:rPr>
                <w:lang w:val="it-IT"/>
              </w:rPr>
              <w:t>19.61 ± 2.07</w:t>
            </w:r>
          </w:p>
        </w:tc>
      </w:tr>
      <w:tr w:rsidR="00AE3BF1" w:rsidRPr="00FB13B0" w14:paraId="29B9026A" w14:textId="77777777" w:rsidTr="0007377E">
        <w:trPr>
          <w:trHeight w:val="170"/>
          <w:jc w:val="center"/>
        </w:trPr>
        <w:tc>
          <w:tcPr>
            <w:tcW w:w="1146" w:type="pct"/>
            <w:shd w:val="clear" w:color="auto" w:fill="FFFFFF"/>
            <w:vAlign w:val="center"/>
          </w:tcPr>
          <w:p w14:paraId="1684A80F" w14:textId="77777777" w:rsidR="00AE3BF1" w:rsidRPr="00FB13B0" w:rsidRDefault="00AE3BF1" w:rsidP="00ED3EE2">
            <w:pPr>
              <w:pStyle w:val="CETBodytext"/>
              <w:rPr>
                <w:lang w:val="it-IT"/>
              </w:rPr>
            </w:pPr>
            <w:r w:rsidRPr="00FB13B0">
              <w:rPr>
                <w:lang w:val="it-IT"/>
              </w:rPr>
              <w:t>α-</w:t>
            </w:r>
            <w:proofErr w:type="spellStart"/>
            <w:r w:rsidRPr="00FB13B0">
              <w:rPr>
                <w:lang w:val="it-IT"/>
              </w:rPr>
              <w:t>Linolenic</w:t>
            </w:r>
            <w:proofErr w:type="spellEnd"/>
            <w:r w:rsidRPr="00FB13B0">
              <w:rPr>
                <w:lang w:val="it-IT"/>
              </w:rPr>
              <w:t xml:space="preserve"> acid</w:t>
            </w:r>
          </w:p>
        </w:tc>
        <w:tc>
          <w:tcPr>
            <w:tcW w:w="833" w:type="pct"/>
            <w:shd w:val="clear" w:color="auto" w:fill="FFFFFF"/>
            <w:vAlign w:val="center"/>
          </w:tcPr>
          <w:p w14:paraId="7A2FFDFE" w14:textId="77777777" w:rsidR="00AE3BF1" w:rsidRPr="00FB13B0" w:rsidRDefault="00AE3BF1" w:rsidP="00ED3EE2">
            <w:pPr>
              <w:pStyle w:val="CETBodytext"/>
              <w:jc w:val="center"/>
              <w:rPr>
                <w:lang w:val="it-IT"/>
              </w:rPr>
            </w:pPr>
            <w:r w:rsidRPr="00FB13B0">
              <w:rPr>
                <w:lang w:val="it-IT"/>
              </w:rPr>
              <w:t>C18:3</w:t>
            </w:r>
          </w:p>
        </w:tc>
        <w:tc>
          <w:tcPr>
            <w:tcW w:w="1667" w:type="pct"/>
            <w:shd w:val="clear" w:color="auto" w:fill="FFFFFF"/>
            <w:vAlign w:val="center"/>
          </w:tcPr>
          <w:p w14:paraId="1E300278" w14:textId="77777777" w:rsidR="00AE3BF1" w:rsidRPr="00FB13B0" w:rsidRDefault="00AE3BF1" w:rsidP="00ED3EE2">
            <w:pPr>
              <w:pStyle w:val="CETBodytext"/>
              <w:jc w:val="center"/>
              <w:rPr>
                <w:lang w:val="it-IT"/>
              </w:rPr>
            </w:pPr>
            <w:r w:rsidRPr="00FB13B0">
              <w:rPr>
                <w:lang w:val="it-IT"/>
              </w:rPr>
              <w:t>38.06 ± 1.06</w:t>
            </w:r>
          </w:p>
        </w:tc>
        <w:tc>
          <w:tcPr>
            <w:tcW w:w="1354" w:type="pct"/>
            <w:shd w:val="clear" w:color="auto" w:fill="FFFFFF"/>
            <w:vAlign w:val="center"/>
          </w:tcPr>
          <w:p w14:paraId="32DB7F8D" w14:textId="77777777" w:rsidR="00AE3BF1" w:rsidRPr="00FB13B0" w:rsidRDefault="00AE3BF1" w:rsidP="00ED3EE2">
            <w:pPr>
              <w:pStyle w:val="CETBodytext"/>
              <w:jc w:val="center"/>
              <w:rPr>
                <w:lang w:val="it-IT"/>
              </w:rPr>
            </w:pPr>
            <w:r w:rsidRPr="00FB13B0">
              <w:rPr>
                <w:lang w:val="it-IT"/>
              </w:rPr>
              <w:t>4.06 ± 0.49</w:t>
            </w:r>
          </w:p>
        </w:tc>
      </w:tr>
    </w:tbl>
    <w:p w14:paraId="248F5CE5" w14:textId="77777777" w:rsidR="00AE3BF1" w:rsidRPr="00FB13B0" w:rsidRDefault="00AE3BF1" w:rsidP="00AE3BF1"/>
    <w:p w14:paraId="1383ABF3" w14:textId="0C77B718" w:rsidR="00AE3BF1" w:rsidRPr="00FB13B0" w:rsidRDefault="0075075C" w:rsidP="00AE3BF1">
      <w:r w:rsidRPr="00FB13B0">
        <w:t xml:space="preserve">This lipid composition is suitable for astronauts’ nutrition; however, future research can further improve the lipid composition. In terms of antioxidant activity, </w:t>
      </w:r>
      <w:r w:rsidRPr="00FB13B0">
        <w:rPr>
          <w:i/>
          <w:iCs/>
        </w:rPr>
        <w:t>Chlorella</w:t>
      </w:r>
      <w:r w:rsidRPr="00FB13B0">
        <w:t xml:space="preserve"> PM exhibits values between that of </w:t>
      </w:r>
      <w:r w:rsidRPr="00FB13B0">
        <w:rPr>
          <w:i/>
          <w:iCs/>
        </w:rPr>
        <w:t>Chlorella</w:t>
      </w:r>
      <w:r w:rsidRPr="00FB13B0">
        <w:t xml:space="preserve"> BBM+C and commercial </w:t>
      </w:r>
      <w:r w:rsidRPr="00FB13B0">
        <w:rPr>
          <w:i/>
          <w:iCs/>
        </w:rPr>
        <w:t>Chlorella</w:t>
      </w:r>
      <w:r w:rsidRPr="00FB13B0">
        <w:t>.</w:t>
      </w:r>
      <w:r w:rsidR="00AE3BF1" w:rsidRPr="00FB13B0">
        <w:t xml:space="preserve"> This fact points to the possible use of this cultivation to produce food, supplements or fertilizers on Mars. </w:t>
      </w:r>
    </w:p>
    <w:p w14:paraId="46E0EF8D" w14:textId="2A207D45" w:rsidR="00D4439D" w:rsidRPr="00FB13B0" w:rsidRDefault="00AE3BF1" w:rsidP="00D4439D">
      <w:pPr>
        <w:spacing w:after="120"/>
      </w:pPr>
      <w:r w:rsidRPr="00FB13B0">
        <w:t xml:space="preserve">Another tested application involved the remediation capacity of </w:t>
      </w:r>
      <w:r w:rsidRPr="00FB13B0">
        <w:rPr>
          <w:i/>
          <w:iCs/>
        </w:rPr>
        <w:t>C. vulgaris</w:t>
      </w:r>
      <w:r w:rsidRPr="00FB13B0">
        <w:t xml:space="preserve"> as shown in Table 2. The anion and COD analysis showed effective remediation of wastewater using the microalgae. The pollution characterized by the COD parameter was eliminated by 90% in 30 days of growth to a value of 194 mg/L. This value is below the limit set by Government Regulation No. 401/2015 Coll, which specifies a COD limit of 200 mg/L for starch industry waste. It should be noted that these results were reached after the pretreatment of the medium with a 1:15 dilution. The analyses also showed an effective removal of sulphates at 88% and phosphates at 96%. The concentration of nitrate in the medium after cultivation was below the quantification limit of the analytical method, which is equal to 1 mg/</w:t>
      </w:r>
      <w:proofErr w:type="spellStart"/>
      <w:r w:rsidRPr="00FB13B0">
        <w:t>mL.</w:t>
      </w:r>
      <w:proofErr w:type="spellEnd"/>
      <w:r w:rsidRPr="00FB13B0">
        <w:t xml:space="preserve"> Therefore, a minimum of 93% removal of these ions is assumed.</w:t>
      </w:r>
    </w:p>
    <w:p w14:paraId="37CC730B" w14:textId="77777777" w:rsidR="00AE3BF1" w:rsidRPr="00FB13B0" w:rsidRDefault="00AE3BF1" w:rsidP="00AE3BF1">
      <w:pPr>
        <w:pStyle w:val="CETTabletitle"/>
      </w:pPr>
      <w:r w:rsidRPr="00FB13B0">
        <w:t>Table 2: Results of the remediation of potato wastewater medium by C. vulgaris.</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2977"/>
        <w:gridCol w:w="2835"/>
        <w:gridCol w:w="1559"/>
      </w:tblGrid>
      <w:tr w:rsidR="00AE3BF1" w:rsidRPr="00FB13B0" w14:paraId="0E35E3AC" w14:textId="77777777" w:rsidTr="00ED3EE2">
        <w:trPr>
          <w:trHeight w:val="297"/>
        </w:trPr>
        <w:tc>
          <w:tcPr>
            <w:tcW w:w="1418" w:type="dxa"/>
            <w:tcBorders>
              <w:top w:val="single" w:sz="12" w:space="0" w:color="008000"/>
              <w:bottom w:val="single" w:sz="6" w:space="0" w:color="008000"/>
            </w:tcBorders>
            <w:shd w:val="clear" w:color="auto" w:fill="FFFFFF"/>
          </w:tcPr>
          <w:p w14:paraId="39663501" w14:textId="77777777" w:rsidR="00AE3BF1" w:rsidRPr="00FB13B0" w:rsidRDefault="00AE3BF1" w:rsidP="00ED3EE2">
            <w:pPr>
              <w:pStyle w:val="CETBodytext"/>
              <w:jc w:val="left"/>
            </w:pPr>
            <w:r w:rsidRPr="00FB13B0">
              <w:t>Analysis</w:t>
            </w:r>
          </w:p>
        </w:tc>
        <w:tc>
          <w:tcPr>
            <w:tcW w:w="2977" w:type="dxa"/>
            <w:tcBorders>
              <w:top w:val="single" w:sz="12" w:space="0" w:color="008000"/>
              <w:bottom w:val="single" w:sz="6" w:space="0" w:color="008000"/>
            </w:tcBorders>
            <w:shd w:val="clear" w:color="auto" w:fill="FFFFFF"/>
          </w:tcPr>
          <w:p w14:paraId="210C3032" w14:textId="77777777" w:rsidR="00AE3BF1" w:rsidRPr="00FB13B0" w:rsidRDefault="00AE3BF1" w:rsidP="00ED3EE2">
            <w:pPr>
              <w:pStyle w:val="CETBodytext"/>
              <w:jc w:val="center"/>
            </w:pPr>
            <w:r w:rsidRPr="00FB13B0">
              <w:t>Concentration before remediation</w:t>
            </w:r>
          </w:p>
          <w:p w14:paraId="6BA1B6EB" w14:textId="77777777" w:rsidR="00AE3BF1" w:rsidRPr="00FB13B0" w:rsidRDefault="00AE3BF1" w:rsidP="00ED3EE2">
            <w:pPr>
              <w:pStyle w:val="CETBodytext"/>
              <w:jc w:val="center"/>
            </w:pPr>
            <w:r w:rsidRPr="00FB13B0">
              <w:t>(mg/L)</w:t>
            </w:r>
          </w:p>
        </w:tc>
        <w:tc>
          <w:tcPr>
            <w:tcW w:w="2835" w:type="dxa"/>
            <w:tcBorders>
              <w:top w:val="single" w:sz="12" w:space="0" w:color="008000"/>
              <w:bottom w:val="single" w:sz="6" w:space="0" w:color="008000"/>
            </w:tcBorders>
            <w:shd w:val="clear" w:color="auto" w:fill="FFFFFF"/>
          </w:tcPr>
          <w:p w14:paraId="35F33D86" w14:textId="77777777" w:rsidR="00AE3BF1" w:rsidRPr="00FB13B0" w:rsidRDefault="00AE3BF1" w:rsidP="00ED3EE2">
            <w:pPr>
              <w:pStyle w:val="CETBodytext"/>
              <w:jc w:val="center"/>
            </w:pPr>
            <w:r w:rsidRPr="00FB13B0">
              <w:t>Concentration after remediation</w:t>
            </w:r>
          </w:p>
          <w:p w14:paraId="4F8C03BD" w14:textId="77777777" w:rsidR="00AE3BF1" w:rsidRPr="00FB13B0" w:rsidRDefault="00AE3BF1" w:rsidP="00ED3EE2">
            <w:pPr>
              <w:pStyle w:val="CETBodytext"/>
              <w:jc w:val="center"/>
            </w:pPr>
            <w:r w:rsidRPr="00FB13B0">
              <w:t>(mg/L)</w:t>
            </w:r>
          </w:p>
        </w:tc>
        <w:tc>
          <w:tcPr>
            <w:tcW w:w="1559" w:type="dxa"/>
            <w:tcBorders>
              <w:top w:val="single" w:sz="12" w:space="0" w:color="008000"/>
              <w:bottom w:val="single" w:sz="6" w:space="0" w:color="008000"/>
            </w:tcBorders>
            <w:shd w:val="clear" w:color="auto" w:fill="FFFFFF"/>
          </w:tcPr>
          <w:p w14:paraId="49783D21" w14:textId="77777777" w:rsidR="00AE3BF1" w:rsidRPr="00FB13B0" w:rsidRDefault="00AE3BF1" w:rsidP="00ED3EE2">
            <w:pPr>
              <w:pStyle w:val="CETBodytext"/>
              <w:jc w:val="center"/>
            </w:pPr>
            <w:r w:rsidRPr="00FB13B0">
              <w:t>Removal efficiency</w:t>
            </w:r>
          </w:p>
          <w:p w14:paraId="24CE022B" w14:textId="77777777" w:rsidR="00AE3BF1" w:rsidRPr="00FB13B0" w:rsidRDefault="00AE3BF1" w:rsidP="00ED3EE2">
            <w:pPr>
              <w:pStyle w:val="CETBodytext"/>
              <w:jc w:val="center"/>
            </w:pPr>
            <w:r w:rsidRPr="00FB13B0">
              <w:t>(%)</w:t>
            </w:r>
          </w:p>
        </w:tc>
      </w:tr>
      <w:tr w:rsidR="00AE3BF1" w:rsidRPr="00FB13B0" w14:paraId="5170AC50" w14:textId="77777777" w:rsidTr="00ED3EE2">
        <w:tc>
          <w:tcPr>
            <w:tcW w:w="1418" w:type="dxa"/>
            <w:shd w:val="clear" w:color="auto" w:fill="FFFFFF"/>
          </w:tcPr>
          <w:p w14:paraId="446BEBDD" w14:textId="77777777" w:rsidR="00AE3BF1" w:rsidRPr="00FB13B0" w:rsidRDefault="00AE3BF1" w:rsidP="00ED3EE2">
            <w:pPr>
              <w:pStyle w:val="CETBodytext"/>
              <w:jc w:val="left"/>
              <w:rPr>
                <w:lang w:val="it-IT"/>
              </w:rPr>
            </w:pPr>
            <w:r w:rsidRPr="00FB13B0">
              <w:t>SO</w:t>
            </w:r>
            <w:r w:rsidRPr="00FB13B0">
              <w:rPr>
                <w:vertAlign w:val="subscript"/>
              </w:rPr>
              <w:t>4</w:t>
            </w:r>
            <w:r w:rsidRPr="00FB13B0">
              <w:rPr>
                <w:vertAlign w:val="superscript"/>
              </w:rPr>
              <w:t>2</w:t>
            </w:r>
            <w:r w:rsidRPr="00FB13B0">
              <w:t>-</w:t>
            </w:r>
          </w:p>
        </w:tc>
        <w:tc>
          <w:tcPr>
            <w:tcW w:w="2977" w:type="dxa"/>
            <w:shd w:val="clear" w:color="auto" w:fill="FFFFFF"/>
          </w:tcPr>
          <w:p w14:paraId="7B4467D4" w14:textId="77777777" w:rsidR="00AE3BF1" w:rsidRPr="00FB13B0" w:rsidRDefault="00AE3BF1" w:rsidP="00ED3EE2">
            <w:pPr>
              <w:pStyle w:val="CETBodytext"/>
              <w:jc w:val="center"/>
              <w:rPr>
                <w:lang w:val="it-IT"/>
              </w:rPr>
            </w:pPr>
            <w:r w:rsidRPr="00FB13B0">
              <w:t>183.60 ± 0.35</w:t>
            </w:r>
          </w:p>
        </w:tc>
        <w:tc>
          <w:tcPr>
            <w:tcW w:w="2835" w:type="dxa"/>
            <w:shd w:val="clear" w:color="auto" w:fill="FFFFFF"/>
          </w:tcPr>
          <w:p w14:paraId="0A503B76" w14:textId="77777777" w:rsidR="00AE3BF1" w:rsidRPr="00FB13B0" w:rsidRDefault="00AE3BF1" w:rsidP="00ED3EE2">
            <w:pPr>
              <w:pStyle w:val="CETBodytext"/>
              <w:jc w:val="center"/>
            </w:pPr>
            <w:r w:rsidRPr="00FB13B0">
              <w:t>21.92 ± 0.27</w:t>
            </w:r>
          </w:p>
        </w:tc>
        <w:tc>
          <w:tcPr>
            <w:tcW w:w="1559" w:type="dxa"/>
            <w:shd w:val="clear" w:color="auto" w:fill="FFFFFF"/>
          </w:tcPr>
          <w:p w14:paraId="4305D2B1" w14:textId="77777777" w:rsidR="00AE3BF1" w:rsidRPr="00FB13B0" w:rsidRDefault="00AE3BF1" w:rsidP="00ED3EE2">
            <w:pPr>
              <w:pStyle w:val="CETBodytext"/>
              <w:jc w:val="center"/>
            </w:pPr>
            <w:r w:rsidRPr="00FB13B0">
              <w:t>88</w:t>
            </w:r>
          </w:p>
        </w:tc>
      </w:tr>
      <w:tr w:rsidR="00AE3BF1" w:rsidRPr="00FB13B0" w14:paraId="7BA97C9E" w14:textId="77777777" w:rsidTr="00ED3EE2">
        <w:tc>
          <w:tcPr>
            <w:tcW w:w="1418" w:type="dxa"/>
            <w:shd w:val="clear" w:color="auto" w:fill="FFFFFF"/>
          </w:tcPr>
          <w:p w14:paraId="6A8F54FF" w14:textId="77777777" w:rsidR="00AE3BF1" w:rsidRPr="00FB13B0" w:rsidRDefault="00AE3BF1" w:rsidP="00ED3EE2">
            <w:pPr>
              <w:pStyle w:val="CETBodytext"/>
              <w:jc w:val="left"/>
              <w:rPr>
                <w:lang w:val="it-IT"/>
              </w:rPr>
            </w:pPr>
            <w:r w:rsidRPr="00FB13B0">
              <w:t>PO</w:t>
            </w:r>
            <w:r w:rsidRPr="00FB13B0">
              <w:rPr>
                <w:vertAlign w:val="subscript"/>
              </w:rPr>
              <w:t>4</w:t>
            </w:r>
            <w:r w:rsidRPr="00FB13B0">
              <w:rPr>
                <w:vertAlign w:val="superscript"/>
              </w:rPr>
              <w:t>3-</w:t>
            </w:r>
          </w:p>
        </w:tc>
        <w:tc>
          <w:tcPr>
            <w:tcW w:w="2977" w:type="dxa"/>
            <w:shd w:val="clear" w:color="auto" w:fill="FFFFFF"/>
          </w:tcPr>
          <w:p w14:paraId="17BCB5F9" w14:textId="77777777" w:rsidR="00AE3BF1" w:rsidRPr="00FB13B0" w:rsidRDefault="00AE3BF1" w:rsidP="00ED3EE2">
            <w:pPr>
              <w:pStyle w:val="CETBodytext"/>
              <w:jc w:val="center"/>
              <w:rPr>
                <w:lang w:val="it-IT"/>
              </w:rPr>
            </w:pPr>
            <w:r w:rsidRPr="00FB13B0">
              <w:t>689 ± 38</w:t>
            </w:r>
          </w:p>
        </w:tc>
        <w:tc>
          <w:tcPr>
            <w:tcW w:w="2835" w:type="dxa"/>
            <w:shd w:val="clear" w:color="auto" w:fill="FFFFFF"/>
          </w:tcPr>
          <w:p w14:paraId="3D9DC42F" w14:textId="77777777" w:rsidR="00AE3BF1" w:rsidRPr="00FB13B0" w:rsidRDefault="00AE3BF1" w:rsidP="00ED3EE2">
            <w:pPr>
              <w:pStyle w:val="CETBodytext"/>
              <w:jc w:val="center"/>
            </w:pPr>
            <w:r w:rsidRPr="00FB13B0">
              <w:t>27.15 ± 0.02</w:t>
            </w:r>
          </w:p>
        </w:tc>
        <w:tc>
          <w:tcPr>
            <w:tcW w:w="1559" w:type="dxa"/>
            <w:shd w:val="clear" w:color="auto" w:fill="FFFFFF"/>
          </w:tcPr>
          <w:p w14:paraId="687C17CA" w14:textId="77777777" w:rsidR="00AE3BF1" w:rsidRPr="00FB13B0" w:rsidRDefault="00AE3BF1" w:rsidP="00ED3EE2">
            <w:pPr>
              <w:pStyle w:val="CETBodytext"/>
              <w:jc w:val="center"/>
            </w:pPr>
            <w:r w:rsidRPr="00FB13B0">
              <w:t>96</w:t>
            </w:r>
          </w:p>
        </w:tc>
      </w:tr>
      <w:tr w:rsidR="00AE3BF1" w:rsidRPr="00FB13B0" w14:paraId="6E22F542" w14:textId="77777777" w:rsidTr="00ED3EE2">
        <w:tc>
          <w:tcPr>
            <w:tcW w:w="1418" w:type="dxa"/>
            <w:shd w:val="clear" w:color="auto" w:fill="FFFFFF"/>
          </w:tcPr>
          <w:p w14:paraId="301EAA3E" w14:textId="77777777" w:rsidR="00AE3BF1" w:rsidRPr="00FB13B0" w:rsidRDefault="00AE3BF1" w:rsidP="00ED3EE2">
            <w:pPr>
              <w:pStyle w:val="CETBodytext"/>
              <w:jc w:val="left"/>
              <w:rPr>
                <w:lang w:val="it-IT"/>
              </w:rPr>
            </w:pPr>
            <w:r w:rsidRPr="00FB13B0">
              <w:t>NO</w:t>
            </w:r>
            <w:r w:rsidRPr="00FB13B0">
              <w:rPr>
                <w:vertAlign w:val="subscript"/>
              </w:rPr>
              <w:t>3</w:t>
            </w:r>
            <w:r w:rsidRPr="00FB13B0">
              <w:rPr>
                <w:vertAlign w:val="superscript"/>
              </w:rPr>
              <w:t>-</w:t>
            </w:r>
          </w:p>
        </w:tc>
        <w:tc>
          <w:tcPr>
            <w:tcW w:w="2977" w:type="dxa"/>
            <w:shd w:val="clear" w:color="auto" w:fill="FFFFFF"/>
          </w:tcPr>
          <w:p w14:paraId="2375D548" w14:textId="77777777" w:rsidR="00AE3BF1" w:rsidRPr="00FB13B0" w:rsidRDefault="00AE3BF1" w:rsidP="00ED3EE2">
            <w:pPr>
              <w:pStyle w:val="CETBodytext"/>
              <w:jc w:val="center"/>
              <w:rPr>
                <w:lang w:val="it-IT"/>
              </w:rPr>
            </w:pPr>
            <w:r w:rsidRPr="00FB13B0">
              <w:t>14.30 ± 0.10</w:t>
            </w:r>
          </w:p>
        </w:tc>
        <w:tc>
          <w:tcPr>
            <w:tcW w:w="2835" w:type="dxa"/>
            <w:shd w:val="clear" w:color="auto" w:fill="FFFFFF"/>
          </w:tcPr>
          <w:p w14:paraId="7A83ECF1" w14:textId="77777777" w:rsidR="00AE3BF1" w:rsidRPr="00FB13B0" w:rsidRDefault="00AE3BF1" w:rsidP="00ED3EE2">
            <w:pPr>
              <w:pStyle w:val="CETBodytext"/>
              <w:jc w:val="center"/>
            </w:pPr>
            <w:r w:rsidRPr="00FB13B0">
              <w:t>&lt;LOQ (1 mg/L)</w:t>
            </w:r>
          </w:p>
        </w:tc>
        <w:tc>
          <w:tcPr>
            <w:tcW w:w="1559" w:type="dxa"/>
            <w:shd w:val="clear" w:color="auto" w:fill="FFFFFF"/>
          </w:tcPr>
          <w:p w14:paraId="3225C5D3" w14:textId="77777777" w:rsidR="00AE3BF1" w:rsidRPr="00FB13B0" w:rsidRDefault="00AE3BF1" w:rsidP="00ED3EE2">
            <w:pPr>
              <w:pStyle w:val="CETBodytext"/>
              <w:jc w:val="center"/>
            </w:pPr>
            <w:r w:rsidRPr="00FB13B0">
              <w:t>&gt;93</w:t>
            </w:r>
          </w:p>
        </w:tc>
      </w:tr>
      <w:tr w:rsidR="00AE3BF1" w:rsidRPr="00FB13B0" w14:paraId="248DB5EB" w14:textId="77777777" w:rsidTr="00ED3EE2">
        <w:tc>
          <w:tcPr>
            <w:tcW w:w="1418" w:type="dxa"/>
            <w:shd w:val="clear" w:color="auto" w:fill="FFFFFF"/>
          </w:tcPr>
          <w:p w14:paraId="4E27DB5D" w14:textId="77777777" w:rsidR="00AE3BF1" w:rsidRPr="00FB13B0" w:rsidRDefault="00AE3BF1" w:rsidP="00ED3EE2">
            <w:pPr>
              <w:pStyle w:val="CETBodytext"/>
              <w:jc w:val="left"/>
            </w:pPr>
            <w:r w:rsidRPr="00FB13B0">
              <w:t>COD</w:t>
            </w:r>
          </w:p>
        </w:tc>
        <w:tc>
          <w:tcPr>
            <w:tcW w:w="2977" w:type="dxa"/>
            <w:shd w:val="clear" w:color="auto" w:fill="FFFFFF"/>
          </w:tcPr>
          <w:p w14:paraId="6A175852" w14:textId="77777777" w:rsidR="00AE3BF1" w:rsidRPr="00FB13B0" w:rsidRDefault="00AE3BF1" w:rsidP="00ED3EE2">
            <w:pPr>
              <w:pStyle w:val="CETBodytext"/>
              <w:jc w:val="center"/>
            </w:pPr>
            <w:r w:rsidRPr="00FB13B0">
              <w:t>1962 ± 10</w:t>
            </w:r>
          </w:p>
        </w:tc>
        <w:tc>
          <w:tcPr>
            <w:tcW w:w="2835" w:type="dxa"/>
            <w:shd w:val="clear" w:color="auto" w:fill="FFFFFF"/>
          </w:tcPr>
          <w:p w14:paraId="1CA44451" w14:textId="77777777" w:rsidR="00AE3BF1" w:rsidRPr="00FB13B0" w:rsidRDefault="00AE3BF1" w:rsidP="00ED3EE2">
            <w:pPr>
              <w:pStyle w:val="CETBodytext"/>
              <w:jc w:val="center"/>
            </w:pPr>
            <w:r w:rsidRPr="00FB13B0">
              <w:t>194 ± 1</w:t>
            </w:r>
          </w:p>
        </w:tc>
        <w:tc>
          <w:tcPr>
            <w:tcW w:w="1559" w:type="dxa"/>
            <w:shd w:val="clear" w:color="auto" w:fill="FFFFFF"/>
          </w:tcPr>
          <w:p w14:paraId="64DD9AEF" w14:textId="77777777" w:rsidR="00AE3BF1" w:rsidRPr="00FB13B0" w:rsidRDefault="00AE3BF1" w:rsidP="00ED3EE2">
            <w:pPr>
              <w:pStyle w:val="CETBodytext"/>
              <w:jc w:val="center"/>
            </w:pPr>
            <w:r w:rsidRPr="00FB13B0">
              <w:t>90</w:t>
            </w:r>
          </w:p>
        </w:tc>
      </w:tr>
    </w:tbl>
    <w:p w14:paraId="61A9D802" w14:textId="05FADEA9" w:rsidR="006A6B8E" w:rsidRPr="00FB13B0" w:rsidRDefault="002646F2" w:rsidP="00C1434B">
      <w:pPr>
        <w:spacing w:before="240"/>
      </w:pPr>
      <w:r w:rsidRPr="00FB13B0">
        <w:t xml:space="preserve">The research conducted by Yuan et al., 2021 investigated the remediation of potato wastewater performed in the same way as in the experiment, with 1:5 dilution and 7 days of growth of microalgae of the genus </w:t>
      </w:r>
      <w:r w:rsidRPr="00FB13B0">
        <w:rPr>
          <w:i/>
          <w:iCs/>
        </w:rPr>
        <w:t>Scenedesmus</w:t>
      </w:r>
      <w:r w:rsidRPr="00FB13B0">
        <w:t xml:space="preserve"> sp. at 25 °C, photon flux 60 µmol/m</w:t>
      </w:r>
      <w:r w:rsidRPr="00FB13B0">
        <w:rPr>
          <w:vertAlign w:val="superscript"/>
        </w:rPr>
        <w:t>2</w:t>
      </w:r>
      <w:r w:rsidRPr="00FB13B0">
        <w:rPr>
          <w:rFonts w:ascii="Calibri" w:hAnsi="Calibri" w:cs="Calibri"/>
        </w:rPr>
        <w:t>∙</w:t>
      </w:r>
      <w:r w:rsidRPr="00FB13B0">
        <w:t>s, 12/12 photoperiod, and mild aeration. During this time, COD was reduced by 88-93% depending on the strains selected. Other pollution indicators, total nitrogen (TN) and total phosphorus (TP) were reduced from 59% and 63%, respectively.</w:t>
      </w:r>
      <w:r w:rsidR="0075075C" w:rsidRPr="00FB13B0">
        <w:t xml:space="preserve"> However, a study by You et al., 2021 examined the remediation using </w:t>
      </w:r>
      <w:r w:rsidR="0075075C" w:rsidRPr="00FB13B0">
        <w:rPr>
          <w:i/>
          <w:iCs/>
        </w:rPr>
        <w:t>C. vulgaris</w:t>
      </w:r>
      <w:r w:rsidR="0075075C" w:rsidRPr="00FB13B0">
        <w:t xml:space="preserve"> of a mixture of regulating pond wastewater and anaerobic starch wastewater (exact source of starch unspecified) in a volumetric ratio of 1:2</w:t>
      </w:r>
      <w:r w:rsidR="0075075C" w:rsidRPr="00FB13B0">
        <w:rPr>
          <w:i/>
          <w:iCs/>
        </w:rPr>
        <w:t xml:space="preserve">. </w:t>
      </w:r>
      <w:r w:rsidR="0075075C" w:rsidRPr="00FB13B0">
        <w:t>Under conditions of 25 ± 1°C, photon flux of 120 µmol/m</w:t>
      </w:r>
      <w:r w:rsidR="0075075C" w:rsidRPr="00FB13B0">
        <w:rPr>
          <w:vertAlign w:val="superscript"/>
        </w:rPr>
        <w:t>2</w:t>
      </w:r>
      <w:r w:rsidR="0075075C" w:rsidRPr="00FB13B0">
        <w:rPr>
          <w:rFonts w:ascii="Calibri" w:hAnsi="Calibri" w:cs="Calibri"/>
        </w:rPr>
        <w:t>∙</w:t>
      </w:r>
      <w:r w:rsidR="0075075C" w:rsidRPr="00FB13B0">
        <w:t xml:space="preserve">s, and photoperiod 12/12, </w:t>
      </w:r>
      <w:r w:rsidR="00AE3BF1" w:rsidRPr="00FB13B0">
        <w:t>determined</w:t>
      </w:r>
      <w:r w:rsidR="0075075C" w:rsidRPr="00FB13B0">
        <w:t xml:space="preserve"> COD removal of only 50.9% after </w:t>
      </w:r>
      <w:r w:rsidR="00AE3BF1" w:rsidRPr="00FB13B0">
        <w:t>3</w:t>
      </w:r>
      <w:r w:rsidR="0075075C" w:rsidRPr="00FB13B0">
        <w:t xml:space="preserve"> days of growth. </w:t>
      </w:r>
    </w:p>
    <w:p w14:paraId="513D4EC6" w14:textId="331B01BE" w:rsidR="006A6B8E" w:rsidRPr="00FB13B0" w:rsidRDefault="0075075C" w:rsidP="0075075C">
      <w:pPr>
        <w:spacing w:before="240"/>
      </w:pPr>
      <w:r w:rsidRPr="00FB13B0">
        <w:lastRenderedPageBreak/>
        <w:t xml:space="preserve">The removal of TN and TP reached 77% and 62.9%, respectively. In terms of effective COD removal, the current study outperformed the research devoted to the cultivation of </w:t>
      </w:r>
      <w:r w:rsidRPr="00FB13B0">
        <w:rPr>
          <w:i/>
          <w:iCs/>
        </w:rPr>
        <w:t>C. vulgaris</w:t>
      </w:r>
      <w:r w:rsidRPr="00FB13B0">
        <w:t xml:space="preserve"> and matched the research conducted on </w:t>
      </w:r>
      <w:r w:rsidRPr="00FB13B0">
        <w:rPr>
          <w:i/>
          <w:iCs/>
        </w:rPr>
        <w:t xml:space="preserve">Scenedesmus </w:t>
      </w:r>
      <w:r w:rsidRPr="00FB13B0">
        <w:t xml:space="preserve">sp. </w:t>
      </w:r>
      <w:r w:rsidR="00924892" w:rsidRPr="00FB13B0">
        <w:t>T</w:t>
      </w:r>
      <w:r w:rsidR="00A2308B" w:rsidRPr="00FB13B0">
        <w:t xml:space="preserve">he proficient ability of microalgae to remediate main ions has been demonstrated. </w:t>
      </w:r>
      <w:r w:rsidRPr="00FB13B0">
        <w:t xml:space="preserve">Therefore, </w:t>
      </w:r>
      <w:r w:rsidR="00B92E5A" w:rsidRPr="00FB13B0">
        <w:rPr>
          <w:i/>
          <w:iCs/>
        </w:rPr>
        <w:t>C. vulgaris</w:t>
      </w:r>
      <w:r w:rsidR="00B92E5A" w:rsidRPr="00FB13B0">
        <w:t xml:space="preserve"> shows great potential as an effective and economical strategy for </w:t>
      </w:r>
      <w:r w:rsidRPr="00FB13B0">
        <w:t>recycling potatoes starch wastewater on Mars while producing edible biomass for astronauts</w:t>
      </w:r>
      <w:r w:rsidR="00B92E5A" w:rsidRPr="00FB13B0">
        <w:t>.</w:t>
      </w:r>
    </w:p>
    <w:p w14:paraId="68D26B83" w14:textId="77777777" w:rsidR="00600535" w:rsidRPr="00FB13B0" w:rsidRDefault="00600535" w:rsidP="00600535">
      <w:pPr>
        <w:pStyle w:val="CETHeading1"/>
        <w:rPr>
          <w:lang w:val="en-GB"/>
        </w:rPr>
      </w:pPr>
      <w:r w:rsidRPr="00FB13B0">
        <w:rPr>
          <w:lang w:val="en-GB"/>
        </w:rPr>
        <w:t>Conclusions</w:t>
      </w:r>
    </w:p>
    <w:p w14:paraId="0D04826A" w14:textId="707F814F" w:rsidR="00485D54" w:rsidRPr="00FB13B0" w:rsidRDefault="00DF4E5D" w:rsidP="00AE30E9">
      <w:pPr>
        <w:pStyle w:val="CETReference"/>
        <w:spacing w:line="264" w:lineRule="auto"/>
        <w:jc w:val="both"/>
        <w:rPr>
          <w:b w:val="0"/>
        </w:rPr>
      </w:pPr>
      <w:r>
        <w:rPr>
          <w:b w:val="0"/>
        </w:rPr>
        <w:t xml:space="preserve">A novel process to </w:t>
      </w:r>
      <w:proofErr w:type="spellStart"/>
      <w:r>
        <w:rPr>
          <w:b w:val="0"/>
        </w:rPr>
        <w:t>preduce</w:t>
      </w:r>
      <w:proofErr w:type="spellEnd"/>
      <w:r>
        <w:rPr>
          <w:b w:val="0"/>
        </w:rPr>
        <w:t xml:space="preserve">, food, oxygen and building materials is envisioned in this work. </w:t>
      </w:r>
      <w:r w:rsidR="00485D54" w:rsidRPr="00FB13B0">
        <w:rPr>
          <w:b w:val="0"/>
        </w:rPr>
        <w:t xml:space="preserve">The growth of </w:t>
      </w:r>
      <w:r w:rsidR="00485D54" w:rsidRPr="00FB13B0">
        <w:rPr>
          <w:b w:val="0"/>
          <w:i/>
          <w:iCs/>
        </w:rPr>
        <w:t>C</w:t>
      </w:r>
      <w:r w:rsidR="00B92E5A" w:rsidRPr="00FB13B0">
        <w:rPr>
          <w:b w:val="0"/>
          <w:i/>
          <w:iCs/>
        </w:rPr>
        <w:t>.</w:t>
      </w:r>
      <w:r w:rsidR="00485D54" w:rsidRPr="00FB13B0">
        <w:rPr>
          <w:b w:val="0"/>
          <w:i/>
          <w:iCs/>
        </w:rPr>
        <w:t xml:space="preserve"> vulgaris</w:t>
      </w:r>
      <w:r w:rsidR="00485D54" w:rsidRPr="00FB13B0">
        <w:rPr>
          <w:b w:val="0"/>
        </w:rPr>
        <w:t xml:space="preserve"> microalgae</w:t>
      </w:r>
      <w:r w:rsidR="00B92E5A" w:rsidRPr="00FB13B0">
        <w:rPr>
          <w:b w:val="0"/>
        </w:rPr>
        <w:t xml:space="preserve"> was significantly improved in PM </w:t>
      </w:r>
      <w:r w:rsidR="00685FAC" w:rsidRPr="00FB13B0">
        <w:rPr>
          <w:b w:val="0"/>
        </w:rPr>
        <w:t xml:space="preserve">obtainable on Mars </w:t>
      </w:r>
      <w:r w:rsidR="00B92E5A" w:rsidRPr="00FB13B0">
        <w:rPr>
          <w:b w:val="0"/>
        </w:rPr>
        <w:t xml:space="preserve">in comparison with BBM+C commonly used in the laboratory. The obtained biomass showed higher protein, carbohydrate, and lipid content, however, it was lower than the commercially available </w:t>
      </w:r>
      <w:r w:rsidR="00B92E5A" w:rsidRPr="00FB13B0">
        <w:rPr>
          <w:b w:val="0"/>
          <w:i/>
          <w:iCs/>
        </w:rPr>
        <w:t>C. vulgaris</w:t>
      </w:r>
      <w:r w:rsidR="00B92E5A" w:rsidRPr="00FB13B0">
        <w:rPr>
          <w:b w:val="0"/>
        </w:rPr>
        <w:t xml:space="preserve">. The lipid </w:t>
      </w:r>
      <w:r w:rsidR="00685FAC" w:rsidRPr="00FB13B0">
        <w:rPr>
          <w:b w:val="0"/>
        </w:rPr>
        <w:t xml:space="preserve">composition, along with high antioxidant level, </w:t>
      </w:r>
      <w:r w:rsidR="00B92E5A" w:rsidRPr="00FB13B0">
        <w:rPr>
          <w:b w:val="0"/>
        </w:rPr>
        <w:t xml:space="preserve">displayed the potential of </w:t>
      </w:r>
      <w:r w:rsidR="00B92E5A" w:rsidRPr="00FB13B0">
        <w:rPr>
          <w:b w:val="0"/>
          <w:i/>
          <w:iCs/>
        </w:rPr>
        <w:t>the C. vulgaris</w:t>
      </w:r>
      <w:r w:rsidR="00B92E5A" w:rsidRPr="00FB13B0">
        <w:rPr>
          <w:b w:val="0"/>
        </w:rPr>
        <w:t xml:space="preserve"> biomass from PM to be used for </w:t>
      </w:r>
      <w:r w:rsidRPr="00FB13B0">
        <w:rPr>
          <w:b w:val="0"/>
        </w:rPr>
        <w:t>astronauts’</w:t>
      </w:r>
      <w:r w:rsidR="00685FAC" w:rsidRPr="00FB13B0">
        <w:rPr>
          <w:b w:val="0"/>
        </w:rPr>
        <w:t xml:space="preserve"> nutrition. </w:t>
      </w:r>
      <w:r w:rsidR="00B92E5A" w:rsidRPr="00FB13B0">
        <w:rPr>
          <w:b w:val="0"/>
        </w:rPr>
        <w:t xml:space="preserve">In addition, </w:t>
      </w:r>
      <w:r w:rsidR="00B92E5A" w:rsidRPr="00FB13B0">
        <w:rPr>
          <w:b w:val="0"/>
          <w:i/>
          <w:iCs/>
        </w:rPr>
        <w:t>C. vulgaris</w:t>
      </w:r>
      <w:r w:rsidR="00B92E5A" w:rsidRPr="00FB13B0">
        <w:rPr>
          <w:b w:val="0"/>
        </w:rPr>
        <w:t xml:space="preserve"> exhibited high remediation capacity. </w:t>
      </w:r>
    </w:p>
    <w:p w14:paraId="33C6C1A8" w14:textId="348FBEED" w:rsidR="00AE30E9" w:rsidRPr="00FB13B0" w:rsidRDefault="00AE30E9" w:rsidP="00AB5201">
      <w:pPr>
        <w:pStyle w:val="CETReference"/>
        <w:spacing w:before="120"/>
      </w:pPr>
      <w:r w:rsidRPr="00FB13B0">
        <w:t>Acknowledgements</w:t>
      </w:r>
    </w:p>
    <w:p w14:paraId="2B5D877A" w14:textId="44986008" w:rsidR="00AE30E9" w:rsidRPr="00FB13B0" w:rsidRDefault="0068514B" w:rsidP="00AE30E9">
      <w:pPr>
        <w:pStyle w:val="CETReference"/>
        <w:spacing w:line="264" w:lineRule="auto"/>
        <w:jc w:val="both"/>
        <w:rPr>
          <w:b w:val="0"/>
        </w:rPr>
      </w:pPr>
      <w:r w:rsidRPr="00FB13B0">
        <w:rPr>
          <w:b w:val="0"/>
        </w:rPr>
        <w:t xml:space="preserve">This work has been developed within the framework of the project </w:t>
      </w:r>
      <w:proofErr w:type="spellStart"/>
      <w:r w:rsidRPr="00FB13B0">
        <w:rPr>
          <w:b w:val="0"/>
        </w:rPr>
        <w:t>eINS</w:t>
      </w:r>
      <w:proofErr w:type="spellEnd"/>
      <w:r w:rsidRPr="00FB13B0">
        <w:rPr>
          <w:b w:val="0"/>
        </w:rPr>
        <w:t xml:space="preserve">- Ecosystem of Innovation for Next Generation Sardinia (cod. ECS 00000038) funded by the Italian Ministry for Research and Education (MUR) under the National Recovery and Resilience Plan (PNRR) - MISSION 4 COMPONENT 2, “From research to business” INVESTMENT 1.5, “Creation and strengthening of Ecosystems of innovation” and construction of “Territorial R&amp;D Leaders”. F.A. also acknowledge the PhD programme in Innovation Science and Technologies available at the University of Cagliari- </w:t>
      </w:r>
      <w:r w:rsidR="00AE30E9" w:rsidRPr="00FB13B0">
        <w:rPr>
          <w:b w:val="0"/>
        </w:rPr>
        <w:t xml:space="preserve">The project MABIZO funded by Sardegna </w:t>
      </w:r>
      <w:proofErr w:type="spellStart"/>
      <w:r w:rsidR="00AE30E9" w:rsidRPr="00FB13B0">
        <w:rPr>
          <w:b w:val="0"/>
        </w:rPr>
        <w:t>Ricerche</w:t>
      </w:r>
      <w:proofErr w:type="spellEnd"/>
      <w:r w:rsidR="00AE30E9" w:rsidRPr="00FB13B0">
        <w:rPr>
          <w:b w:val="0"/>
        </w:rPr>
        <w:t xml:space="preserve"> and </w:t>
      </w:r>
      <w:proofErr w:type="spellStart"/>
      <w:r w:rsidR="00AE30E9" w:rsidRPr="00FB13B0">
        <w:rPr>
          <w:b w:val="0"/>
        </w:rPr>
        <w:t>Regione</w:t>
      </w:r>
      <w:proofErr w:type="spellEnd"/>
      <w:r w:rsidR="00AE30E9" w:rsidRPr="00FB13B0">
        <w:rPr>
          <w:b w:val="0"/>
        </w:rPr>
        <w:t xml:space="preserve"> </w:t>
      </w:r>
      <w:proofErr w:type="spellStart"/>
      <w:r w:rsidR="00AE30E9" w:rsidRPr="00FB13B0">
        <w:rPr>
          <w:b w:val="0"/>
        </w:rPr>
        <w:t>Autonoma</w:t>
      </w:r>
      <w:proofErr w:type="spellEnd"/>
      <w:r w:rsidR="00AE30E9" w:rsidRPr="00FB13B0">
        <w:rPr>
          <w:b w:val="0"/>
        </w:rPr>
        <w:t xml:space="preserve"> </w:t>
      </w:r>
      <w:proofErr w:type="spellStart"/>
      <w:r w:rsidR="00AE30E9" w:rsidRPr="00FB13B0">
        <w:rPr>
          <w:b w:val="0"/>
        </w:rPr>
        <w:t>della</w:t>
      </w:r>
      <w:proofErr w:type="spellEnd"/>
      <w:r w:rsidR="00AE30E9" w:rsidRPr="00FB13B0">
        <w:rPr>
          <w:b w:val="0"/>
        </w:rPr>
        <w:t xml:space="preserve"> Sardegna</w:t>
      </w:r>
      <w:r w:rsidRPr="00FB13B0">
        <w:rPr>
          <w:b w:val="0"/>
        </w:rPr>
        <w:t xml:space="preserve"> is also gratefully acknowledged</w:t>
      </w:r>
      <w:r w:rsidR="00AE30E9" w:rsidRPr="00FB13B0">
        <w:rPr>
          <w:b w:val="0"/>
        </w:rPr>
        <w:t xml:space="preserve">. </w:t>
      </w:r>
    </w:p>
    <w:p w14:paraId="4F1327F8" w14:textId="40A820F1" w:rsidR="00600535" w:rsidRPr="00FB13B0" w:rsidRDefault="00600535" w:rsidP="00600535">
      <w:pPr>
        <w:pStyle w:val="CETReference"/>
      </w:pPr>
      <w:r w:rsidRPr="00FB13B0">
        <w:t>References</w:t>
      </w:r>
    </w:p>
    <w:p w14:paraId="2DE5FEAC" w14:textId="47168958" w:rsidR="007B73F9" w:rsidRPr="00FB13B0" w:rsidRDefault="007B73F9" w:rsidP="006469BC">
      <w:pPr>
        <w:pStyle w:val="CETReferencetext"/>
        <w:rPr>
          <w:lang w:val="en-US"/>
        </w:rPr>
      </w:pPr>
      <w:r w:rsidRPr="00FB13B0">
        <w:rPr>
          <w:lang w:val="de-AT"/>
        </w:rPr>
        <w:t xml:space="preserve">Chen, W., Zhang, C., Song, L., Sommerfeld, M. &amp; Hu, Q. 2009. </w:t>
      </w:r>
      <w:r w:rsidRPr="00FB13B0">
        <w:t xml:space="preserve">A high throughput Nile red method for quantitative measurement of neutral lipids in microalgae. </w:t>
      </w:r>
      <w:r w:rsidRPr="00FB13B0">
        <w:rPr>
          <w:lang w:val="en-US"/>
        </w:rPr>
        <w:t>Journal of microbiological methods, 77, 41-47.</w:t>
      </w:r>
    </w:p>
    <w:p w14:paraId="19002727" w14:textId="1039ACDA" w:rsidR="007B73F9" w:rsidRPr="00FB13B0" w:rsidRDefault="007B73F9" w:rsidP="006469BC">
      <w:pPr>
        <w:pStyle w:val="CETReferencetext"/>
        <w:rPr>
          <w:lang w:val="en-US"/>
        </w:rPr>
      </w:pPr>
      <w:r w:rsidRPr="00FB13B0">
        <w:t xml:space="preserve">Chia, S. R., Chew, K. W., Zaid, H. F. M., Chu, D.-T., Tao, Y. &amp; Show, P. L. 2019. Microalgal protein extraction from Chlorella vulgaris FSP-E using triphasic partitioning technique with sonication. </w:t>
      </w:r>
      <w:r w:rsidRPr="00FB13B0">
        <w:rPr>
          <w:lang w:val="en-US"/>
        </w:rPr>
        <w:t>Frontiers in bioengineering and biotechnology, 7, 396.</w:t>
      </w:r>
    </w:p>
    <w:p w14:paraId="0998262B" w14:textId="65FFB6A6" w:rsidR="00812AEF" w:rsidRPr="00FB13B0" w:rsidRDefault="00812AEF" w:rsidP="006469BC">
      <w:pPr>
        <w:pStyle w:val="CETReferencetext"/>
        <w:rPr>
          <w:lang w:val="en-US"/>
        </w:rPr>
      </w:pPr>
      <w:r w:rsidRPr="00FB13B0">
        <w:rPr>
          <w:lang w:val="en-US"/>
        </w:rPr>
        <w:t xml:space="preserve">Caporale, A. G., Paradiso, R., Palladino, M., Arouna, N., Izzo, L., </w:t>
      </w:r>
      <w:proofErr w:type="spellStart"/>
      <w:r w:rsidRPr="00FB13B0">
        <w:rPr>
          <w:lang w:val="en-US"/>
        </w:rPr>
        <w:t>Ritieni</w:t>
      </w:r>
      <w:proofErr w:type="spellEnd"/>
      <w:r w:rsidRPr="00FB13B0">
        <w:rPr>
          <w:lang w:val="en-US"/>
        </w:rPr>
        <w:t>, A., ... &amp; Adamo, P. (2024). Assessment of fertility dynamics and nutritional quality of potato tubers in a compost-amended Mars regolith simulant. Plants, 13(5), 747.</w:t>
      </w:r>
    </w:p>
    <w:p w14:paraId="720877FD" w14:textId="4F6B67FE" w:rsidR="004E698F" w:rsidRPr="00FB13B0" w:rsidRDefault="004E698F" w:rsidP="006469BC">
      <w:pPr>
        <w:pStyle w:val="CETReferencetext"/>
        <w:rPr>
          <w:lang w:val="en-US"/>
        </w:rPr>
      </w:pPr>
      <w:r w:rsidRPr="00FB13B0">
        <w:rPr>
          <w:lang w:val="en-US"/>
        </w:rPr>
        <w:t xml:space="preserve">Concas, A., </w:t>
      </w:r>
      <w:proofErr w:type="spellStart"/>
      <w:r w:rsidRPr="00FB13B0">
        <w:rPr>
          <w:lang w:val="en-US"/>
        </w:rPr>
        <w:t>Lutzu</w:t>
      </w:r>
      <w:proofErr w:type="spellEnd"/>
      <w:r w:rsidRPr="00FB13B0">
        <w:rPr>
          <w:lang w:val="en-US"/>
        </w:rPr>
        <w:t>, G. A., &amp; Dunford, N. T. 2021</w:t>
      </w:r>
      <w:r w:rsidR="003E2C8D" w:rsidRPr="00FB13B0">
        <w:rPr>
          <w:lang w:val="en-US"/>
        </w:rPr>
        <w:t>a</w:t>
      </w:r>
      <w:r w:rsidRPr="00FB13B0">
        <w:rPr>
          <w:lang w:val="en-US"/>
        </w:rPr>
        <w:t xml:space="preserve">. Experiments and modeling of </w:t>
      </w:r>
      <w:proofErr w:type="spellStart"/>
      <w:r w:rsidRPr="00FB13B0">
        <w:rPr>
          <w:i/>
          <w:iCs/>
          <w:lang w:val="en-US"/>
        </w:rPr>
        <w:t>Komvophoron</w:t>
      </w:r>
      <w:proofErr w:type="spellEnd"/>
      <w:r w:rsidRPr="00FB13B0">
        <w:rPr>
          <w:i/>
          <w:iCs/>
          <w:lang w:val="en-US"/>
        </w:rPr>
        <w:t xml:space="preserve"> sp</w:t>
      </w:r>
      <w:r w:rsidRPr="00FB13B0">
        <w:rPr>
          <w:lang w:val="en-US"/>
        </w:rPr>
        <w:t>. Growth in hydraulic fracturing wastewater. Chemical Engineering Journal, 426, 131299.</w:t>
      </w:r>
    </w:p>
    <w:p w14:paraId="0A715529" w14:textId="19D0C3B7" w:rsidR="003E2C8D" w:rsidRPr="00FB13B0" w:rsidRDefault="003E2C8D" w:rsidP="003E2C8D">
      <w:pPr>
        <w:pStyle w:val="CETReferencetext"/>
      </w:pPr>
      <w:r w:rsidRPr="00FB13B0">
        <w:t>Concas A., Steriti A., Pisu M., Cao G., 2021b, Experimental and theoretical investigation of the effects of iron on growth and lipid synthesis of microalgae in view of their use to produce biofuels, Journal of Environmental Chemical Engineering, 9(4), 105349.</w:t>
      </w:r>
    </w:p>
    <w:p w14:paraId="3DBB551A" w14:textId="77D4611E" w:rsidR="00993817" w:rsidRPr="00FB13B0" w:rsidRDefault="00993817" w:rsidP="00993817">
      <w:pPr>
        <w:pStyle w:val="CETReferencetext"/>
      </w:pPr>
      <w:r w:rsidRPr="00FB13B0">
        <w:t xml:space="preserve">Fais G., Manca A., Concas A., Pantaleo A., Cao G., 2022, A novel process to grow edible microalgae on Mars by exploiting in situ-available resources: Experimental investigation, Acta </w:t>
      </w:r>
      <w:proofErr w:type="spellStart"/>
      <w:r w:rsidRPr="00FB13B0">
        <w:t>Astronautica</w:t>
      </w:r>
      <w:proofErr w:type="spellEnd"/>
      <w:r w:rsidRPr="00FB13B0">
        <w:t>, 201, 454-463.</w:t>
      </w:r>
    </w:p>
    <w:p w14:paraId="3B733D54" w14:textId="7C06ABB9" w:rsidR="006469BC" w:rsidRPr="00FB13B0" w:rsidRDefault="006469BC" w:rsidP="006469BC">
      <w:pPr>
        <w:pStyle w:val="CETReferencetext"/>
        <w:rPr>
          <w:lang w:val="en-US"/>
        </w:rPr>
      </w:pPr>
      <w:r w:rsidRPr="00FB13B0">
        <w:rPr>
          <w:lang w:val="pl-PL"/>
        </w:rPr>
        <w:t xml:space="preserve">Kot A. M., Błażejak S., Kurcz, A., Bryś J., Gientka I., Bzducha-Wróbel A., Maliszewska M. &amp; Reczek L. 2017. </w:t>
      </w:r>
      <w:bookmarkStart w:id="5" w:name="_Hlk191487969"/>
      <w:r w:rsidRPr="00FB13B0">
        <w:t xml:space="preserve">Effect of initial pH of medium with potato wastewater and glycerol on protein, lipid and carotenoid biosynthesis by </w:t>
      </w:r>
      <w:proofErr w:type="spellStart"/>
      <w:r w:rsidRPr="00FB13B0">
        <w:t>Rhodotorula</w:t>
      </w:r>
      <w:proofErr w:type="spellEnd"/>
      <w:r w:rsidRPr="00FB13B0">
        <w:t xml:space="preserve"> </w:t>
      </w:r>
      <w:proofErr w:type="spellStart"/>
      <w:r w:rsidRPr="00FB13B0">
        <w:t>glutinis</w:t>
      </w:r>
      <w:bookmarkEnd w:id="5"/>
      <w:proofErr w:type="spellEnd"/>
      <w:r w:rsidRPr="00FB13B0">
        <w:t xml:space="preserve">. </w:t>
      </w:r>
      <w:r w:rsidRPr="00FB13B0">
        <w:rPr>
          <w:lang w:val="en-US"/>
        </w:rPr>
        <w:t>Electronic Journal of Biotechnology, 27, 25-31.</w:t>
      </w:r>
    </w:p>
    <w:p w14:paraId="3ACD1AE1" w14:textId="2E4D84A5" w:rsidR="00215E8B" w:rsidRPr="00FB13B0" w:rsidRDefault="00215E8B" w:rsidP="006469BC">
      <w:pPr>
        <w:pStyle w:val="CETReferencetext"/>
        <w:rPr>
          <w:lang w:val="en-US"/>
        </w:rPr>
      </w:pPr>
      <w:proofErr w:type="spellStart"/>
      <w:r w:rsidRPr="00FB13B0">
        <w:rPr>
          <w:lang w:val="en-US"/>
        </w:rPr>
        <w:t>Lutzu</w:t>
      </w:r>
      <w:proofErr w:type="spellEnd"/>
      <w:r w:rsidRPr="00FB13B0">
        <w:rPr>
          <w:lang w:val="en-US"/>
        </w:rPr>
        <w:t xml:space="preserve"> G. A., Marin M. A., Concas A., Dunford N. T., 2020, Growing </w:t>
      </w:r>
      <w:proofErr w:type="spellStart"/>
      <w:r w:rsidRPr="00FB13B0">
        <w:rPr>
          <w:i/>
          <w:iCs/>
          <w:lang w:val="en-US"/>
        </w:rPr>
        <w:t>Picochlorum</w:t>
      </w:r>
      <w:proofErr w:type="spellEnd"/>
      <w:r w:rsidRPr="00FB13B0">
        <w:rPr>
          <w:i/>
          <w:iCs/>
          <w:lang w:val="en-US"/>
        </w:rPr>
        <w:t xml:space="preserve"> </w:t>
      </w:r>
      <w:proofErr w:type="spellStart"/>
      <w:r w:rsidRPr="00FB13B0">
        <w:rPr>
          <w:i/>
          <w:iCs/>
          <w:lang w:val="en-US"/>
        </w:rPr>
        <w:t>oklahomensis</w:t>
      </w:r>
      <w:proofErr w:type="spellEnd"/>
      <w:r w:rsidRPr="00FB13B0">
        <w:rPr>
          <w:lang w:val="en-US"/>
        </w:rPr>
        <w:t xml:space="preserve"> in hydraulic fracturing wastewater supplemented with animal wastewater, Water, Air, &amp; Soil Pollution, 231, 1-16.</w:t>
      </w:r>
    </w:p>
    <w:p w14:paraId="0C9EEDDD" w14:textId="71306A9F" w:rsidR="00C66A28" w:rsidRPr="00FB13B0" w:rsidRDefault="00C66A28" w:rsidP="00C66A28">
      <w:pPr>
        <w:pStyle w:val="CETReferencetext"/>
        <w:rPr>
          <w:lang w:val="it-IT"/>
        </w:rPr>
      </w:pPr>
      <w:r w:rsidRPr="00FB13B0">
        <w:rPr>
          <w:lang w:val="en-US"/>
        </w:rPr>
        <w:t xml:space="preserve">Roberts, Aled D. and </w:t>
      </w:r>
      <w:proofErr w:type="spellStart"/>
      <w:r w:rsidRPr="00FB13B0">
        <w:rPr>
          <w:lang w:val="en-US"/>
        </w:rPr>
        <w:t>Scrutton</w:t>
      </w:r>
      <w:proofErr w:type="spellEnd"/>
      <w:r w:rsidRPr="00FB13B0">
        <w:rPr>
          <w:lang w:val="en-US"/>
        </w:rPr>
        <w:t>, Nigel S.</w:t>
      </w:r>
      <w:r w:rsidR="00705F47" w:rsidRPr="00FB13B0">
        <w:rPr>
          <w:lang w:val="en-US"/>
        </w:rPr>
        <w:t xml:space="preserve">, 2023, </w:t>
      </w:r>
      <w:proofErr w:type="spellStart"/>
      <w:r w:rsidRPr="00FB13B0">
        <w:rPr>
          <w:lang w:val="en-US"/>
        </w:rPr>
        <w:t>StarCrete</w:t>
      </w:r>
      <w:proofErr w:type="spellEnd"/>
      <w:r w:rsidRPr="00FB13B0">
        <w:rPr>
          <w:lang w:val="en-US"/>
        </w:rPr>
        <w:t xml:space="preserve">: A starch-based </w:t>
      </w:r>
      <w:proofErr w:type="spellStart"/>
      <w:r w:rsidRPr="00FB13B0">
        <w:rPr>
          <w:lang w:val="en-US"/>
        </w:rPr>
        <w:t>biocomposite</w:t>
      </w:r>
      <w:proofErr w:type="spellEnd"/>
      <w:r w:rsidRPr="00FB13B0">
        <w:rPr>
          <w:lang w:val="en-US"/>
        </w:rPr>
        <w:t xml:space="preserve"> for off-world construction</w:t>
      </w:r>
      <w:r w:rsidR="00705F47" w:rsidRPr="00FB13B0">
        <w:rPr>
          <w:lang w:val="en-US"/>
        </w:rPr>
        <w:t>,</w:t>
      </w:r>
      <w:r w:rsidRPr="00FB13B0">
        <w:rPr>
          <w:lang w:val="en-US"/>
        </w:rPr>
        <w:t> Open Engineering, 13</w:t>
      </w:r>
      <w:r w:rsidR="00705F47" w:rsidRPr="00FB13B0">
        <w:rPr>
          <w:lang w:val="en-US"/>
        </w:rPr>
        <w:t xml:space="preserve"> (1)</w:t>
      </w:r>
      <w:r w:rsidRPr="00FB13B0">
        <w:rPr>
          <w:lang w:val="en-US"/>
        </w:rPr>
        <w:t>, 20220390. </w:t>
      </w:r>
      <w:hyperlink r:id="rId15" w:history="1">
        <w:r w:rsidRPr="00FB13B0">
          <w:rPr>
            <w:rStyle w:val="Collegamentoipertestuale"/>
            <w:lang w:val="it-IT"/>
          </w:rPr>
          <w:t>https://doi.org/10.1515/eng-2022-0390</w:t>
        </w:r>
      </w:hyperlink>
    </w:p>
    <w:p w14:paraId="7BF9601E" w14:textId="0A487E24" w:rsidR="006469BC" w:rsidRPr="00FB13B0" w:rsidRDefault="006469BC" w:rsidP="00E65B91">
      <w:pPr>
        <w:pStyle w:val="CETReferencetext"/>
      </w:pPr>
      <w:r w:rsidRPr="00FB13B0">
        <w:rPr>
          <w:lang w:val="de-AT"/>
        </w:rPr>
        <w:t xml:space="preserve">Wang, B., Liang, W., Guo, Z. &amp; Liu, W. 2015. </w:t>
      </w:r>
      <w:r w:rsidRPr="00FB13B0">
        <w:t>Biomimetic super-lyophobic and super-lyophilic materials applied for oil/water separation: a new strategy beyond nature. Chemical Society Reviews, 44, 336-361.</w:t>
      </w:r>
    </w:p>
    <w:p w14:paraId="4F309808" w14:textId="67402DA0" w:rsidR="00AE3BF1" w:rsidRPr="00FB13B0" w:rsidRDefault="002E41A5" w:rsidP="002E41A5">
      <w:pPr>
        <w:pStyle w:val="CETReferencetext"/>
      </w:pPr>
      <w:r w:rsidRPr="00FB13B0">
        <w:t>You K., Ge F., Wu X., Song K., Yang Z., Zhang Q., Liu Y., Ruan R. &amp; Zheng H. 2021. Nutrients recovery from piggery wastewater and starch wastewater via microalgae-bacteria consortia. Algal Research, 60, 102551.</w:t>
      </w:r>
      <w:r w:rsidR="00AE3BF1" w:rsidRPr="00FB13B0">
        <w:t xml:space="preserve"> </w:t>
      </w:r>
    </w:p>
    <w:p w14:paraId="21001E4A" w14:textId="0B18D21B" w:rsidR="009330F1" w:rsidRDefault="002E41A5" w:rsidP="002E41A5">
      <w:pPr>
        <w:pStyle w:val="CETReferencetext"/>
      </w:pPr>
      <w:r w:rsidRPr="00FB13B0">
        <w:t xml:space="preserve">Yuan S., Ye S., Yang S. &amp; Luo G. 2021. Purification of potato wastewater and production of byproducts using microalgae Scenedesmus and </w:t>
      </w:r>
      <w:proofErr w:type="spellStart"/>
      <w:r w:rsidRPr="00FB13B0">
        <w:t>Desmodesmus</w:t>
      </w:r>
      <w:proofErr w:type="spellEnd"/>
      <w:r w:rsidRPr="00FB13B0">
        <w:t>. Journal of Water Process Engineering, 43, 102237.</w:t>
      </w:r>
    </w:p>
    <w:p w14:paraId="21F253F4" w14:textId="77777777" w:rsidR="00AB5201" w:rsidRDefault="00AB5201" w:rsidP="002E41A5">
      <w:pPr>
        <w:pStyle w:val="CETReferencetext"/>
      </w:pPr>
    </w:p>
    <w:sectPr w:rsidR="00AB5201" w:rsidSect="00CD3034">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31877" w14:textId="77777777" w:rsidR="00CD3034" w:rsidRDefault="00CD3034" w:rsidP="004F5E36">
      <w:r>
        <w:separator/>
      </w:r>
    </w:p>
  </w:endnote>
  <w:endnote w:type="continuationSeparator" w:id="0">
    <w:p w14:paraId="2548E2DF" w14:textId="77777777" w:rsidR="00CD3034" w:rsidRDefault="00CD303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DD655" w14:textId="77777777" w:rsidR="00CD3034" w:rsidRDefault="00CD3034" w:rsidP="004F5E36">
      <w:r>
        <w:separator/>
      </w:r>
    </w:p>
  </w:footnote>
  <w:footnote w:type="continuationSeparator" w:id="0">
    <w:p w14:paraId="07B9C661" w14:textId="77777777" w:rsidR="00CD3034" w:rsidRDefault="00CD3034"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5FF0DEF0"/>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lang w:val="en-US"/>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8"/>
  </w:num>
  <w:num w:numId="15" w16cid:durableId="19162326">
    <w:abstractNumId w:val="20"/>
  </w:num>
  <w:num w:numId="16" w16cid:durableId="1977102699">
    <w:abstractNumId w:val="19"/>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27629"/>
    <w:rsid w:val="0003148D"/>
    <w:rsid w:val="00031EEC"/>
    <w:rsid w:val="00051566"/>
    <w:rsid w:val="00054288"/>
    <w:rsid w:val="000562A9"/>
    <w:rsid w:val="00062A9A"/>
    <w:rsid w:val="00065058"/>
    <w:rsid w:val="0007377E"/>
    <w:rsid w:val="00086C39"/>
    <w:rsid w:val="00097687"/>
    <w:rsid w:val="000A03B2"/>
    <w:rsid w:val="000C2C37"/>
    <w:rsid w:val="000D0268"/>
    <w:rsid w:val="000D32E3"/>
    <w:rsid w:val="000D34BE"/>
    <w:rsid w:val="000E102F"/>
    <w:rsid w:val="000E36F1"/>
    <w:rsid w:val="000E3A73"/>
    <w:rsid w:val="000E414A"/>
    <w:rsid w:val="000F093C"/>
    <w:rsid w:val="000F787B"/>
    <w:rsid w:val="0012091F"/>
    <w:rsid w:val="00126BC2"/>
    <w:rsid w:val="001308B6"/>
    <w:rsid w:val="0013121F"/>
    <w:rsid w:val="00131FE6"/>
    <w:rsid w:val="0013263F"/>
    <w:rsid w:val="001331DF"/>
    <w:rsid w:val="00134DE4"/>
    <w:rsid w:val="0014034D"/>
    <w:rsid w:val="0014470C"/>
    <w:rsid w:val="00144D16"/>
    <w:rsid w:val="00150E59"/>
    <w:rsid w:val="00152DE3"/>
    <w:rsid w:val="00164CF9"/>
    <w:rsid w:val="001667A6"/>
    <w:rsid w:val="001801D5"/>
    <w:rsid w:val="00184AD6"/>
    <w:rsid w:val="00191900"/>
    <w:rsid w:val="001A4AF7"/>
    <w:rsid w:val="001B0349"/>
    <w:rsid w:val="001B1E93"/>
    <w:rsid w:val="001B65C1"/>
    <w:rsid w:val="001C684B"/>
    <w:rsid w:val="001D0CFB"/>
    <w:rsid w:val="001D21AF"/>
    <w:rsid w:val="001D53FC"/>
    <w:rsid w:val="001E5929"/>
    <w:rsid w:val="001E726A"/>
    <w:rsid w:val="001F42A5"/>
    <w:rsid w:val="001F7B9D"/>
    <w:rsid w:val="00201C93"/>
    <w:rsid w:val="00215E8B"/>
    <w:rsid w:val="002224B4"/>
    <w:rsid w:val="00237029"/>
    <w:rsid w:val="002447EF"/>
    <w:rsid w:val="00247079"/>
    <w:rsid w:val="00251550"/>
    <w:rsid w:val="00263B05"/>
    <w:rsid w:val="002646F2"/>
    <w:rsid w:val="0027221A"/>
    <w:rsid w:val="00275B61"/>
    <w:rsid w:val="00280FAF"/>
    <w:rsid w:val="00282656"/>
    <w:rsid w:val="0028430F"/>
    <w:rsid w:val="00296B83"/>
    <w:rsid w:val="002B4015"/>
    <w:rsid w:val="002B78CE"/>
    <w:rsid w:val="002C2FB6"/>
    <w:rsid w:val="002E1174"/>
    <w:rsid w:val="002E37B7"/>
    <w:rsid w:val="002E41A5"/>
    <w:rsid w:val="002E5FA7"/>
    <w:rsid w:val="002E7D12"/>
    <w:rsid w:val="002F3309"/>
    <w:rsid w:val="003008CE"/>
    <w:rsid w:val="003009B7"/>
    <w:rsid w:val="00300D34"/>
    <w:rsid w:val="00300E56"/>
    <w:rsid w:val="0030152C"/>
    <w:rsid w:val="0030469C"/>
    <w:rsid w:val="00321CA6"/>
    <w:rsid w:val="00323763"/>
    <w:rsid w:val="00323C5F"/>
    <w:rsid w:val="00334C09"/>
    <w:rsid w:val="003723D4"/>
    <w:rsid w:val="00381905"/>
    <w:rsid w:val="00382416"/>
    <w:rsid w:val="00384CC8"/>
    <w:rsid w:val="003871FD"/>
    <w:rsid w:val="003A1E30"/>
    <w:rsid w:val="003A2829"/>
    <w:rsid w:val="003A7D1C"/>
    <w:rsid w:val="003B304B"/>
    <w:rsid w:val="003B3146"/>
    <w:rsid w:val="003C06B8"/>
    <w:rsid w:val="003E2C8D"/>
    <w:rsid w:val="003F015E"/>
    <w:rsid w:val="003F4E72"/>
    <w:rsid w:val="00400414"/>
    <w:rsid w:val="0041446B"/>
    <w:rsid w:val="00420D3D"/>
    <w:rsid w:val="00425E81"/>
    <w:rsid w:val="00434C8A"/>
    <w:rsid w:val="0044071E"/>
    <w:rsid w:val="0044329C"/>
    <w:rsid w:val="00453E24"/>
    <w:rsid w:val="00457456"/>
    <w:rsid w:val="004577FE"/>
    <w:rsid w:val="00457B9C"/>
    <w:rsid w:val="0046164A"/>
    <w:rsid w:val="004628D2"/>
    <w:rsid w:val="00462DCD"/>
    <w:rsid w:val="004648AD"/>
    <w:rsid w:val="004703A9"/>
    <w:rsid w:val="004760DE"/>
    <w:rsid w:val="004763D7"/>
    <w:rsid w:val="0048427D"/>
    <w:rsid w:val="00485D54"/>
    <w:rsid w:val="004A004E"/>
    <w:rsid w:val="004A24CF"/>
    <w:rsid w:val="004C3D1D"/>
    <w:rsid w:val="004C3D84"/>
    <w:rsid w:val="004C7913"/>
    <w:rsid w:val="004D6F54"/>
    <w:rsid w:val="004E4DD6"/>
    <w:rsid w:val="004E698F"/>
    <w:rsid w:val="004F3354"/>
    <w:rsid w:val="004F5E36"/>
    <w:rsid w:val="00507B47"/>
    <w:rsid w:val="00507BEF"/>
    <w:rsid w:val="00507CC9"/>
    <w:rsid w:val="005119A5"/>
    <w:rsid w:val="00522D75"/>
    <w:rsid w:val="005278B7"/>
    <w:rsid w:val="00532016"/>
    <w:rsid w:val="005346C8"/>
    <w:rsid w:val="005429E9"/>
    <w:rsid w:val="00543E7D"/>
    <w:rsid w:val="005445D3"/>
    <w:rsid w:val="00547A68"/>
    <w:rsid w:val="00547EC4"/>
    <w:rsid w:val="005531C9"/>
    <w:rsid w:val="00557E00"/>
    <w:rsid w:val="00564B83"/>
    <w:rsid w:val="00570C43"/>
    <w:rsid w:val="00574D21"/>
    <w:rsid w:val="005B2110"/>
    <w:rsid w:val="005B61E6"/>
    <w:rsid w:val="005C620C"/>
    <w:rsid w:val="005C77E1"/>
    <w:rsid w:val="005D668A"/>
    <w:rsid w:val="005D6A2F"/>
    <w:rsid w:val="005E1A82"/>
    <w:rsid w:val="005E794C"/>
    <w:rsid w:val="005F0A28"/>
    <w:rsid w:val="005F0E5E"/>
    <w:rsid w:val="00600535"/>
    <w:rsid w:val="00610CD6"/>
    <w:rsid w:val="00613BCD"/>
    <w:rsid w:val="00620DEE"/>
    <w:rsid w:val="00621F92"/>
    <w:rsid w:val="0062280A"/>
    <w:rsid w:val="00625639"/>
    <w:rsid w:val="006303C5"/>
    <w:rsid w:val="00631B33"/>
    <w:rsid w:val="0064184D"/>
    <w:rsid w:val="006422CC"/>
    <w:rsid w:val="006469BC"/>
    <w:rsid w:val="00660E3E"/>
    <w:rsid w:val="00662E74"/>
    <w:rsid w:val="00680C23"/>
    <w:rsid w:val="00680F72"/>
    <w:rsid w:val="0068514B"/>
    <w:rsid w:val="00685FAC"/>
    <w:rsid w:val="00693766"/>
    <w:rsid w:val="006A3281"/>
    <w:rsid w:val="006A6B8E"/>
    <w:rsid w:val="006B22AB"/>
    <w:rsid w:val="006B4888"/>
    <w:rsid w:val="006C1303"/>
    <w:rsid w:val="006C2E45"/>
    <w:rsid w:val="006C359C"/>
    <w:rsid w:val="006C5579"/>
    <w:rsid w:val="006D6E8B"/>
    <w:rsid w:val="006E2798"/>
    <w:rsid w:val="006E737D"/>
    <w:rsid w:val="00705F47"/>
    <w:rsid w:val="00707DD1"/>
    <w:rsid w:val="00713973"/>
    <w:rsid w:val="00720A24"/>
    <w:rsid w:val="007257B9"/>
    <w:rsid w:val="00732386"/>
    <w:rsid w:val="0073514D"/>
    <w:rsid w:val="007447F3"/>
    <w:rsid w:val="0075075C"/>
    <w:rsid w:val="0075499F"/>
    <w:rsid w:val="007661C8"/>
    <w:rsid w:val="0077098D"/>
    <w:rsid w:val="00790094"/>
    <w:rsid w:val="007931FA"/>
    <w:rsid w:val="0079359C"/>
    <w:rsid w:val="007A4861"/>
    <w:rsid w:val="007A5BBB"/>
    <w:rsid w:val="007A7BBA"/>
    <w:rsid w:val="007B0C50"/>
    <w:rsid w:val="007B48F9"/>
    <w:rsid w:val="007B73F9"/>
    <w:rsid w:val="007C1A43"/>
    <w:rsid w:val="007C5F85"/>
    <w:rsid w:val="007D0951"/>
    <w:rsid w:val="007E5B1F"/>
    <w:rsid w:val="0080013E"/>
    <w:rsid w:val="00812AEF"/>
    <w:rsid w:val="00813288"/>
    <w:rsid w:val="008168FC"/>
    <w:rsid w:val="00830996"/>
    <w:rsid w:val="008345F1"/>
    <w:rsid w:val="00865B07"/>
    <w:rsid w:val="008667EA"/>
    <w:rsid w:val="0087637F"/>
    <w:rsid w:val="00892AD5"/>
    <w:rsid w:val="008A1512"/>
    <w:rsid w:val="008A1693"/>
    <w:rsid w:val="008A6A30"/>
    <w:rsid w:val="008B05E7"/>
    <w:rsid w:val="008C74A2"/>
    <w:rsid w:val="008D32B9"/>
    <w:rsid w:val="008D433B"/>
    <w:rsid w:val="008D4A16"/>
    <w:rsid w:val="008E146C"/>
    <w:rsid w:val="008E566E"/>
    <w:rsid w:val="0090161A"/>
    <w:rsid w:val="00901EB6"/>
    <w:rsid w:val="00904C62"/>
    <w:rsid w:val="00922BA8"/>
    <w:rsid w:val="00924892"/>
    <w:rsid w:val="00924DAC"/>
    <w:rsid w:val="00927058"/>
    <w:rsid w:val="009330F1"/>
    <w:rsid w:val="00935959"/>
    <w:rsid w:val="00942750"/>
    <w:rsid w:val="009450CE"/>
    <w:rsid w:val="009459BB"/>
    <w:rsid w:val="00947179"/>
    <w:rsid w:val="0095164B"/>
    <w:rsid w:val="00954090"/>
    <w:rsid w:val="009573E7"/>
    <w:rsid w:val="00963E05"/>
    <w:rsid w:val="00964A45"/>
    <w:rsid w:val="00967843"/>
    <w:rsid w:val="009678F0"/>
    <w:rsid w:val="00967D54"/>
    <w:rsid w:val="00971028"/>
    <w:rsid w:val="009723E3"/>
    <w:rsid w:val="00993817"/>
    <w:rsid w:val="00993B84"/>
    <w:rsid w:val="00996483"/>
    <w:rsid w:val="00996F5A"/>
    <w:rsid w:val="009A42BF"/>
    <w:rsid w:val="009B041A"/>
    <w:rsid w:val="009C37C3"/>
    <w:rsid w:val="009C4989"/>
    <w:rsid w:val="009C7C86"/>
    <w:rsid w:val="009D04C5"/>
    <w:rsid w:val="009D2FF7"/>
    <w:rsid w:val="009E7884"/>
    <w:rsid w:val="009E788A"/>
    <w:rsid w:val="009F0E08"/>
    <w:rsid w:val="00A036C7"/>
    <w:rsid w:val="00A17121"/>
    <w:rsid w:val="00A1763D"/>
    <w:rsid w:val="00A17CEC"/>
    <w:rsid w:val="00A2308B"/>
    <w:rsid w:val="00A27EF0"/>
    <w:rsid w:val="00A35099"/>
    <w:rsid w:val="00A42361"/>
    <w:rsid w:val="00A50B20"/>
    <w:rsid w:val="00A51390"/>
    <w:rsid w:val="00A60D13"/>
    <w:rsid w:val="00A67119"/>
    <w:rsid w:val="00A7223D"/>
    <w:rsid w:val="00A72745"/>
    <w:rsid w:val="00A76EFC"/>
    <w:rsid w:val="00A87D50"/>
    <w:rsid w:val="00A91010"/>
    <w:rsid w:val="00A97F29"/>
    <w:rsid w:val="00AA702E"/>
    <w:rsid w:val="00AA7D26"/>
    <w:rsid w:val="00AB0964"/>
    <w:rsid w:val="00AB5011"/>
    <w:rsid w:val="00AB5201"/>
    <w:rsid w:val="00AC7368"/>
    <w:rsid w:val="00AD16B9"/>
    <w:rsid w:val="00AE30E9"/>
    <w:rsid w:val="00AE377D"/>
    <w:rsid w:val="00AE3BF1"/>
    <w:rsid w:val="00AE6874"/>
    <w:rsid w:val="00AF0EBA"/>
    <w:rsid w:val="00B02C8A"/>
    <w:rsid w:val="00B17577"/>
    <w:rsid w:val="00B17FBD"/>
    <w:rsid w:val="00B315A6"/>
    <w:rsid w:val="00B31813"/>
    <w:rsid w:val="00B33365"/>
    <w:rsid w:val="00B57B36"/>
    <w:rsid w:val="00B57E6F"/>
    <w:rsid w:val="00B8686D"/>
    <w:rsid w:val="00B92E5A"/>
    <w:rsid w:val="00B93F69"/>
    <w:rsid w:val="00BA1231"/>
    <w:rsid w:val="00BB1DDC"/>
    <w:rsid w:val="00BC30C9"/>
    <w:rsid w:val="00BD077D"/>
    <w:rsid w:val="00BE3E58"/>
    <w:rsid w:val="00BF7039"/>
    <w:rsid w:val="00C01616"/>
    <w:rsid w:val="00C0162B"/>
    <w:rsid w:val="00C068ED"/>
    <w:rsid w:val="00C1434B"/>
    <w:rsid w:val="00C22E0C"/>
    <w:rsid w:val="00C345B1"/>
    <w:rsid w:val="00C37505"/>
    <w:rsid w:val="00C40142"/>
    <w:rsid w:val="00C43A73"/>
    <w:rsid w:val="00C51A44"/>
    <w:rsid w:val="00C52C3C"/>
    <w:rsid w:val="00C57182"/>
    <w:rsid w:val="00C57863"/>
    <w:rsid w:val="00C640AF"/>
    <w:rsid w:val="00C655FD"/>
    <w:rsid w:val="00C66A28"/>
    <w:rsid w:val="00C75407"/>
    <w:rsid w:val="00C841C6"/>
    <w:rsid w:val="00C870A8"/>
    <w:rsid w:val="00C94434"/>
    <w:rsid w:val="00CA0D75"/>
    <w:rsid w:val="00CA1C95"/>
    <w:rsid w:val="00CA31D8"/>
    <w:rsid w:val="00CA5A9C"/>
    <w:rsid w:val="00CB3FB5"/>
    <w:rsid w:val="00CC4C20"/>
    <w:rsid w:val="00CD3034"/>
    <w:rsid w:val="00CD3517"/>
    <w:rsid w:val="00CD5FE2"/>
    <w:rsid w:val="00CE03B3"/>
    <w:rsid w:val="00CE7C68"/>
    <w:rsid w:val="00D0045D"/>
    <w:rsid w:val="00D0248B"/>
    <w:rsid w:val="00D02B4C"/>
    <w:rsid w:val="00D040C4"/>
    <w:rsid w:val="00D103B2"/>
    <w:rsid w:val="00D20AD1"/>
    <w:rsid w:val="00D2582C"/>
    <w:rsid w:val="00D4439D"/>
    <w:rsid w:val="00D46B7E"/>
    <w:rsid w:val="00D506F1"/>
    <w:rsid w:val="00D52DAF"/>
    <w:rsid w:val="00D57C84"/>
    <w:rsid w:val="00D6057D"/>
    <w:rsid w:val="00D709C5"/>
    <w:rsid w:val="00D71640"/>
    <w:rsid w:val="00D836C5"/>
    <w:rsid w:val="00D84576"/>
    <w:rsid w:val="00DA1399"/>
    <w:rsid w:val="00DA24C6"/>
    <w:rsid w:val="00DA4D7B"/>
    <w:rsid w:val="00DB5BE3"/>
    <w:rsid w:val="00DD271C"/>
    <w:rsid w:val="00DD6913"/>
    <w:rsid w:val="00DE264A"/>
    <w:rsid w:val="00DF2E46"/>
    <w:rsid w:val="00DF4E5D"/>
    <w:rsid w:val="00DF5072"/>
    <w:rsid w:val="00E02423"/>
    <w:rsid w:val="00E02D18"/>
    <w:rsid w:val="00E041E7"/>
    <w:rsid w:val="00E0507A"/>
    <w:rsid w:val="00E11122"/>
    <w:rsid w:val="00E23CA1"/>
    <w:rsid w:val="00E409A8"/>
    <w:rsid w:val="00E42EA2"/>
    <w:rsid w:val="00E447E6"/>
    <w:rsid w:val="00E50C12"/>
    <w:rsid w:val="00E51E77"/>
    <w:rsid w:val="00E6309F"/>
    <w:rsid w:val="00E65B91"/>
    <w:rsid w:val="00E7209D"/>
    <w:rsid w:val="00E72EAD"/>
    <w:rsid w:val="00E77223"/>
    <w:rsid w:val="00E77398"/>
    <w:rsid w:val="00E8528B"/>
    <w:rsid w:val="00E85B94"/>
    <w:rsid w:val="00E91DAC"/>
    <w:rsid w:val="00E978D0"/>
    <w:rsid w:val="00EA4613"/>
    <w:rsid w:val="00EA7F91"/>
    <w:rsid w:val="00EB1523"/>
    <w:rsid w:val="00EC089E"/>
    <w:rsid w:val="00EC0E49"/>
    <w:rsid w:val="00EC101F"/>
    <w:rsid w:val="00EC1D9F"/>
    <w:rsid w:val="00EE0131"/>
    <w:rsid w:val="00EE17B0"/>
    <w:rsid w:val="00EF06D9"/>
    <w:rsid w:val="00F03CEB"/>
    <w:rsid w:val="00F03E4C"/>
    <w:rsid w:val="00F04351"/>
    <w:rsid w:val="00F13386"/>
    <w:rsid w:val="00F3049E"/>
    <w:rsid w:val="00F30C64"/>
    <w:rsid w:val="00F32BA2"/>
    <w:rsid w:val="00F32CDB"/>
    <w:rsid w:val="00F36062"/>
    <w:rsid w:val="00F565FE"/>
    <w:rsid w:val="00F63A70"/>
    <w:rsid w:val="00F63D8C"/>
    <w:rsid w:val="00F7534E"/>
    <w:rsid w:val="00F770A2"/>
    <w:rsid w:val="00F83F59"/>
    <w:rsid w:val="00F93EDF"/>
    <w:rsid w:val="00F96813"/>
    <w:rsid w:val="00FA1802"/>
    <w:rsid w:val="00FA21D0"/>
    <w:rsid w:val="00FA5F5F"/>
    <w:rsid w:val="00FB13B0"/>
    <w:rsid w:val="00FB730C"/>
    <w:rsid w:val="00FC2695"/>
    <w:rsid w:val="00FC3E03"/>
    <w:rsid w:val="00FC3FC1"/>
    <w:rsid w:val="00FC6A78"/>
    <w:rsid w:val="00FE0FB6"/>
    <w:rsid w:val="00FE1DEF"/>
    <w:rsid w:val="00FF1C2F"/>
    <w:rsid w:val="00FF33C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qFormat/>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C66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6380">
      <w:bodyDiv w:val="1"/>
      <w:marLeft w:val="0"/>
      <w:marRight w:val="0"/>
      <w:marTop w:val="0"/>
      <w:marBottom w:val="0"/>
      <w:divBdr>
        <w:top w:val="none" w:sz="0" w:space="0" w:color="auto"/>
        <w:left w:val="none" w:sz="0" w:space="0" w:color="auto"/>
        <w:bottom w:val="none" w:sz="0" w:space="0" w:color="auto"/>
        <w:right w:val="none" w:sz="0" w:space="0" w:color="auto"/>
      </w:divBdr>
      <w:divsChild>
        <w:div w:id="184756782">
          <w:marLeft w:val="0"/>
          <w:marRight w:val="0"/>
          <w:marTop w:val="0"/>
          <w:marBottom w:val="0"/>
          <w:divBdr>
            <w:top w:val="single" w:sz="6" w:space="0" w:color="DEE2E6"/>
            <w:left w:val="single" w:sz="6" w:space="0" w:color="DEE2E6"/>
            <w:bottom w:val="single" w:sz="6" w:space="0" w:color="DEE2E6"/>
            <w:right w:val="single" w:sz="6" w:space="0" w:color="DEE2E6"/>
          </w:divBdr>
          <w:divsChild>
            <w:div w:id="5373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12429">
      <w:bodyDiv w:val="1"/>
      <w:marLeft w:val="0"/>
      <w:marRight w:val="0"/>
      <w:marTop w:val="0"/>
      <w:marBottom w:val="0"/>
      <w:divBdr>
        <w:top w:val="none" w:sz="0" w:space="0" w:color="auto"/>
        <w:left w:val="none" w:sz="0" w:space="0" w:color="auto"/>
        <w:bottom w:val="none" w:sz="0" w:space="0" w:color="auto"/>
        <w:right w:val="none" w:sz="0" w:space="0" w:color="auto"/>
      </w:divBdr>
    </w:div>
    <w:div w:id="1136292776">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2339487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0163">
      <w:bodyDiv w:val="1"/>
      <w:marLeft w:val="0"/>
      <w:marRight w:val="0"/>
      <w:marTop w:val="0"/>
      <w:marBottom w:val="0"/>
      <w:divBdr>
        <w:top w:val="none" w:sz="0" w:space="0" w:color="auto"/>
        <w:left w:val="none" w:sz="0" w:space="0" w:color="auto"/>
        <w:bottom w:val="none" w:sz="0" w:space="0" w:color="auto"/>
        <w:right w:val="none" w:sz="0" w:space="0" w:color="auto"/>
      </w:divBdr>
    </w:div>
    <w:div w:id="1802575682">
      <w:bodyDiv w:val="1"/>
      <w:marLeft w:val="0"/>
      <w:marRight w:val="0"/>
      <w:marTop w:val="0"/>
      <w:marBottom w:val="0"/>
      <w:divBdr>
        <w:top w:val="none" w:sz="0" w:space="0" w:color="auto"/>
        <w:left w:val="none" w:sz="0" w:space="0" w:color="auto"/>
        <w:bottom w:val="none" w:sz="0" w:space="0" w:color="auto"/>
        <w:right w:val="none" w:sz="0" w:space="0" w:color="auto"/>
      </w:divBdr>
    </w:div>
    <w:div w:id="1849443765">
      <w:bodyDiv w:val="1"/>
      <w:marLeft w:val="0"/>
      <w:marRight w:val="0"/>
      <w:marTop w:val="0"/>
      <w:marBottom w:val="0"/>
      <w:divBdr>
        <w:top w:val="none" w:sz="0" w:space="0" w:color="auto"/>
        <w:left w:val="none" w:sz="0" w:space="0" w:color="auto"/>
        <w:bottom w:val="none" w:sz="0" w:space="0" w:color="auto"/>
        <w:right w:val="none" w:sz="0" w:space="0" w:color="auto"/>
      </w:divBdr>
    </w:div>
    <w:div w:id="2078045110">
      <w:bodyDiv w:val="1"/>
      <w:marLeft w:val="0"/>
      <w:marRight w:val="0"/>
      <w:marTop w:val="0"/>
      <w:marBottom w:val="0"/>
      <w:divBdr>
        <w:top w:val="none" w:sz="0" w:space="0" w:color="auto"/>
        <w:left w:val="none" w:sz="0" w:space="0" w:color="auto"/>
        <w:bottom w:val="none" w:sz="0" w:space="0" w:color="auto"/>
        <w:right w:val="none" w:sz="0" w:space="0" w:color="auto"/>
      </w:divBdr>
      <w:divsChild>
        <w:div w:id="201600898">
          <w:marLeft w:val="0"/>
          <w:marRight w:val="0"/>
          <w:marTop w:val="0"/>
          <w:marBottom w:val="0"/>
          <w:divBdr>
            <w:top w:val="single" w:sz="6" w:space="0" w:color="DEE2E6"/>
            <w:left w:val="single" w:sz="6" w:space="0" w:color="DEE2E6"/>
            <w:bottom w:val="single" w:sz="6" w:space="0" w:color="DEE2E6"/>
            <w:right w:val="single" w:sz="6" w:space="0" w:color="DEE2E6"/>
          </w:divBdr>
          <w:divsChild>
            <w:div w:id="1278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doi.org/10.1515/eng-2022-0390" TargetMode="External"/><Relationship Id="rId10" Type="http://schemas.openxmlformats.org/officeDocument/2006/relationships/hyperlink" Target="mailto:alessandro.concas@unica.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6</Pages>
  <Words>3770</Words>
  <Characters>20856</Characters>
  <Application>Microsoft Office Word</Application>
  <DocSecurity>0</DocSecurity>
  <Lines>173</Lines>
  <Paragraphs>49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Alessandro Concas</cp:lastModifiedBy>
  <cp:revision>37</cp:revision>
  <cp:lastPrinted>2015-05-12T18:31:00Z</cp:lastPrinted>
  <dcterms:created xsi:type="dcterms:W3CDTF">2025-02-26T14:59:00Z</dcterms:created>
  <dcterms:modified xsi:type="dcterms:W3CDTF">2025-03-01T17:22:00Z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238d4142f83e9386a75da1c88ab5d803b03cb7e3b4a5d7a38251eb75c6bcecdc</vt:lpwstr>
  </property>
  <property fmtid="{D5CDD505-2E9C-101B-9397-08002B2CF9AE}" pid="5" name="Mendeley Document_1">
    <vt:lpwstr>True</vt:lpwstr>
  </property>
  <property fmtid="{D5CDD505-2E9C-101B-9397-08002B2CF9AE}" pid="6" name="Mendeley Citation Style_1">
    <vt:lpwstr>http://www.zotero.org/styles/chemical-engineering-journal</vt:lpwstr>
  </property>
  <property fmtid="{D5CDD505-2E9C-101B-9397-08002B2CF9AE}" pid="7" name="Mendeley Recent Style Id 0_1">
    <vt:lpwstr>http://www.zotero.org/styles/applied-catalysis-b-environmental</vt:lpwstr>
  </property>
  <property fmtid="{D5CDD505-2E9C-101B-9397-08002B2CF9AE}" pid="8" name="Mendeley Recent Style Name 0_1">
    <vt:lpwstr>Applied Catalysis B: Environmental</vt:lpwstr>
  </property>
  <property fmtid="{D5CDD505-2E9C-101B-9397-08002B2CF9AE}" pid="9" name="Mendeley Recent Style Id 1_1">
    <vt:lpwstr>http://www.zotero.org/styles/chemical-engineering-journal</vt:lpwstr>
  </property>
  <property fmtid="{D5CDD505-2E9C-101B-9397-08002B2CF9AE}" pid="10" name="Mendeley Recent Style Name 1_1">
    <vt:lpwstr>Chemical Engineering Journal</vt:lpwstr>
  </property>
  <property fmtid="{D5CDD505-2E9C-101B-9397-08002B2CF9AE}" pid="11" name="Mendeley Recent Style Id 2_1">
    <vt:lpwstr>http://www.zotero.org/styles/chicago-fullnote-bibliography</vt:lpwstr>
  </property>
  <property fmtid="{D5CDD505-2E9C-101B-9397-08002B2CF9AE}" pid="12" name="Mendeley Recent Style Name 2_1">
    <vt:lpwstr>Chicago Manual of Style 17th edition (full note)</vt:lpwstr>
  </property>
  <property fmtid="{D5CDD505-2E9C-101B-9397-08002B2CF9AE}" pid="13" name="Mendeley Recent Style Id 3_1">
    <vt:lpwstr>http://www.zotero.org/styles/environmental-science-and-technology</vt:lpwstr>
  </property>
  <property fmtid="{D5CDD505-2E9C-101B-9397-08002B2CF9AE}" pid="14" name="Mendeley Recent Style Name 3_1">
    <vt:lpwstr>Environmental Science &amp; Technology</vt:lpwstr>
  </property>
  <property fmtid="{D5CDD505-2E9C-101B-9397-08002B2CF9AE}" pid="15" name="Mendeley Recent Style Id 4_1">
    <vt:lpwstr>http://www.zotero.org/styles/environmental-science-nano</vt:lpwstr>
  </property>
  <property fmtid="{D5CDD505-2E9C-101B-9397-08002B2CF9AE}" pid="16" name="Mendeley Recent Style Name 4_1">
    <vt:lpwstr>Environmental Science: Nano</vt:lpwstr>
  </property>
  <property fmtid="{D5CDD505-2E9C-101B-9397-08002B2CF9AE}" pid="17" name="Mendeley Recent Style Id 5_1">
    <vt:lpwstr>http://www.zotero.org/styles/journal-of-environmental-management</vt:lpwstr>
  </property>
  <property fmtid="{D5CDD505-2E9C-101B-9397-08002B2CF9AE}" pid="18" name="Mendeley Recent Style Name 5_1">
    <vt:lpwstr>Journal of Environmental Management</vt:lpwstr>
  </property>
  <property fmtid="{D5CDD505-2E9C-101B-9397-08002B2CF9AE}" pid="19" name="Mendeley Recent Style Id 6_1">
    <vt:lpwstr>http://www.zotero.org/styles/marine-drugs</vt:lpwstr>
  </property>
  <property fmtid="{D5CDD505-2E9C-101B-9397-08002B2CF9AE}" pid="20" name="Mendeley Recent Style Name 6_1">
    <vt:lpwstr>Marine Drugs</vt:lpwstr>
  </property>
  <property fmtid="{D5CDD505-2E9C-101B-9397-08002B2CF9AE}" pid="21" name="Mendeley Recent Style Id 7_1">
    <vt:lpwstr>http://www.zotero.org/styles/topics-in-catalysis</vt:lpwstr>
  </property>
  <property fmtid="{D5CDD505-2E9C-101B-9397-08002B2CF9AE}" pid="22" name="Mendeley Recent Style Name 7_1">
    <vt:lpwstr>Topics in Catalysis</vt:lpwstr>
  </property>
  <property fmtid="{D5CDD505-2E9C-101B-9397-08002B2CF9AE}" pid="23" name="Mendeley Recent Style Id 8_1">
    <vt:lpwstr>http://www.zotero.org/styles/wiley-was</vt:lpwstr>
  </property>
  <property fmtid="{D5CDD505-2E9C-101B-9397-08002B2CF9AE}" pid="24" name="Mendeley Recent Style Name 8_1">
    <vt:lpwstr>Wiley Analytical Science</vt:lpwstr>
  </property>
  <property fmtid="{D5CDD505-2E9C-101B-9397-08002B2CF9AE}" pid="25" name="Mendeley Recent Style Id 9_1">
    <vt:lpwstr>http://www.zotero.org/styles/wiley-vch-books</vt:lpwstr>
  </property>
  <property fmtid="{D5CDD505-2E9C-101B-9397-08002B2CF9AE}" pid="26" name="Mendeley Recent Style Name 9_1">
    <vt:lpwstr>Wiley-VCH books</vt:lpwstr>
  </property>
  <property fmtid="{D5CDD505-2E9C-101B-9397-08002B2CF9AE}" pid="27" name="Mendeley Unique User Id_1">
    <vt:lpwstr>2528f9f0-470b-341c-8b85-6f4b7a02959b</vt:lpwstr>
  </property>
</Properties>
</file>