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0CBF2A" w14:textId="77777777" w:rsidR="00D60E03" w:rsidRDefault="00D60E03">
      <w:pPr>
        <w:widowControl w:val="0"/>
        <w:pBdr>
          <w:top w:val="nil"/>
          <w:left w:val="nil"/>
          <w:bottom w:val="nil"/>
          <w:right w:val="nil"/>
          <w:between w:val="nil"/>
        </w:pBdr>
        <w:spacing w:line="276" w:lineRule="auto"/>
        <w:jc w:val="left"/>
        <w:rPr>
          <w:rFonts w:eastAsia="Arial" w:cs="Arial"/>
          <w:color w:val="000000"/>
          <w:sz w:val="22"/>
          <w:szCs w:val="22"/>
        </w:rPr>
      </w:pPr>
    </w:p>
    <w:tbl>
      <w:tblPr>
        <w:tblStyle w:val="a"/>
        <w:tblW w:w="8782" w:type="dxa"/>
        <w:jc w:val="center"/>
        <w:tblInd w:w="0" w:type="dxa"/>
        <w:tblBorders>
          <w:bottom w:val="single" w:sz="4" w:space="0" w:color="000000"/>
        </w:tblBorders>
        <w:tblLayout w:type="fixed"/>
        <w:tblLook w:val="0000" w:firstRow="0" w:lastRow="0" w:firstColumn="0" w:lastColumn="0" w:noHBand="0" w:noVBand="0"/>
      </w:tblPr>
      <w:tblGrid>
        <w:gridCol w:w="6940"/>
        <w:gridCol w:w="1842"/>
      </w:tblGrid>
      <w:tr w:rsidR="00D60E03" w14:paraId="74DDD084" w14:textId="77777777">
        <w:trPr>
          <w:trHeight w:val="852"/>
          <w:jc w:val="center"/>
        </w:trPr>
        <w:tc>
          <w:tcPr>
            <w:tcW w:w="6940" w:type="dxa"/>
            <w:vMerge w:val="restart"/>
            <w:tcBorders>
              <w:right w:val="single" w:sz="4" w:space="0" w:color="000000"/>
            </w:tcBorders>
          </w:tcPr>
          <w:p w14:paraId="020E6DBA" w14:textId="77777777" w:rsidR="00D60E03" w:rsidRDefault="00000000">
            <w:pPr>
              <w:tabs>
                <w:tab w:val="left" w:pos="-108"/>
              </w:tabs>
              <w:ind w:left="-108"/>
              <w:jc w:val="left"/>
              <w:rPr>
                <w:b/>
                <w:i/>
                <w:color w:val="000066"/>
                <w:sz w:val="12"/>
                <w:szCs w:val="12"/>
              </w:rPr>
            </w:pPr>
            <w:bookmarkStart w:id="0" w:name="_heading=h.mzzvplspufa0" w:colFirst="0" w:colLast="0"/>
            <w:bookmarkEnd w:id="0"/>
            <w:r>
              <w:rPr>
                <w:rFonts w:ascii="AdvP6960" w:eastAsia="AdvP6960" w:hAnsi="AdvP6960" w:cs="AdvP6960"/>
                <w:noProof/>
                <w:color w:val="241F20"/>
              </w:rPr>
              <w:drawing>
                <wp:inline distT="0" distB="0" distL="0" distR="0" wp14:anchorId="7F1C758D" wp14:editId="01D690AC">
                  <wp:extent cx="640080" cy="373380"/>
                  <wp:effectExtent l="0" t="0" r="0" b="0"/>
                  <wp:docPr id="1999943517" name="image3.jpg" descr="cetlogo"/>
                  <wp:cNvGraphicFramePr/>
                  <a:graphic xmlns:a="http://schemas.openxmlformats.org/drawingml/2006/main">
                    <a:graphicData uri="http://schemas.openxmlformats.org/drawingml/2006/picture">
                      <pic:pic xmlns:pic="http://schemas.openxmlformats.org/drawingml/2006/picture">
                        <pic:nvPicPr>
                          <pic:cNvPr id="0" name="image3.jpg" descr="cetlogo"/>
                          <pic:cNvPicPr preferRelativeResize="0"/>
                        </pic:nvPicPr>
                        <pic:blipFill>
                          <a:blip r:embed="rId6"/>
                          <a:srcRect/>
                          <a:stretch>
                            <a:fillRect/>
                          </a:stretch>
                        </pic:blipFill>
                        <pic:spPr>
                          <a:xfrm>
                            <a:off x="0" y="0"/>
                            <a:ext cx="640080" cy="373380"/>
                          </a:xfrm>
                          <a:prstGeom prst="rect">
                            <a:avLst/>
                          </a:prstGeom>
                          <a:ln/>
                        </pic:spPr>
                      </pic:pic>
                    </a:graphicData>
                  </a:graphic>
                </wp:inline>
              </w:drawing>
            </w:r>
            <w:r>
              <w:rPr>
                <w:rFonts w:ascii="AdvP6960" w:eastAsia="AdvP6960" w:hAnsi="AdvP6960" w:cs="AdvP6960"/>
                <w:color w:val="241F20"/>
              </w:rPr>
              <w:t xml:space="preserve"> </w:t>
            </w:r>
            <w:r>
              <w:rPr>
                <w:b/>
                <w:i/>
                <w:color w:val="000066"/>
                <w:sz w:val="24"/>
                <w:szCs w:val="24"/>
              </w:rPr>
              <w:t>CHEMICAL ENGINEERING</w:t>
            </w:r>
            <w:r>
              <w:rPr>
                <w:b/>
                <w:i/>
                <w:color w:val="0033FF"/>
                <w:sz w:val="24"/>
                <w:szCs w:val="24"/>
              </w:rPr>
              <w:t xml:space="preserve"> </w:t>
            </w:r>
            <w:r>
              <w:rPr>
                <w:b/>
                <w:i/>
                <w:color w:val="666666"/>
                <w:sz w:val="24"/>
                <w:szCs w:val="24"/>
              </w:rPr>
              <w:t>TRANSACTIONS</w:t>
            </w:r>
            <w:r>
              <w:rPr>
                <w:color w:val="333333"/>
                <w:sz w:val="24"/>
                <w:szCs w:val="24"/>
              </w:rPr>
              <w:t xml:space="preserve"> </w:t>
            </w:r>
            <w:r>
              <w:rPr>
                <w:b/>
                <w:i/>
                <w:color w:val="000066"/>
                <w:sz w:val="27"/>
                <w:szCs w:val="27"/>
              </w:rPr>
              <w:br/>
            </w:r>
          </w:p>
          <w:p w14:paraId="7E942646" w14:textId="77777777" w:rsidR="00D60E03" w:rsidRDefault="00000000">
            <w:pPr>
              <w:tabs>
                <w:tab w:val="left" w:pos="-108"/>
              </w:tabs>
              <w:ind w:left="-108"/>
              <w:rPr>
                <w:b/>
                <w:i/>
                <w:color w:val="000066"/>
                <w:sz w:val="22"/>
                <w:szCs w:val="22"/>
              </w:rPr>
            </w:pPr>
            <w:r>
              <w:rPr>
                <w:b/>
                <w:i/>
                <w:color w:val="000066"/>
                <w:sz w:val="22"/>
                <w:szCs w:val="22"/>
              </w:rPr>
              <w:t>VOL. xxx, 2025</w:t>
            </w:r>
          </w:p>
        </w:tc>
        <w:tc>
          <w:tcPr>
            <w:tcW w:w="1842" w:type="dxa"/>
            <w:tcBorders>
              <w:left w:val="single" w:sz="4" w:space="0" w:color="000000"/>
              <w:bottom w:val="nil"/>
              <w:right w:val="single" w:sz="4" w:space="0" w:color="000000"/>
            </w:tcBorders>
          </w:tcPr>
          <w:p w14:paraId="148D43FF" w14:textId="77777777" w:rsidR="00D60E03" w:rsidRDefault="00000000">
            <w:pPr>
              <w:jc w:val="right"/>
              <w:rPr>
                <w:sz w:val="14"/>
                <w:szCs w:val="14"/>
              </w:rPr>
            </w:pPr>
            <w:r>
              <w:rPr>
                <w:sz w:val="14"/>
                <w:szCs w:val="14"/>
              </w:rPr>
              <w:t>A publication of</w:t>
            </w:r>
          </w:p>
          <w:p w14:paraId="0A763BB9" w14:textId="77777777" w:rsidR="00D60E03" w:rsidRDefault="00000000">
            <w:pPr>
              <w:jc w:val="right"/>
            </w:pPr>
            <w:r>
              <w:rPr>
                <w:noProof/>
              </w:rPr>
              <w:drawing>
                <wp:inline distT="0" distB="0" distL="0" distR="0" wp14:anchorId="1F78C012" wp14:editId="766D451C">
                  <wp:extent cx="670560" cy="358140"/>
                  <wp:effectExtent l="0" t="0" r="0" b="0"/>
                  <wp:docPr id="1999943519" name="image1.jpg" descr="aidiclogo_grande"/>
                  <wp:cNvGraphicFramePr/>
                  <a:graphic xmlns:a="http://schemas.openxmlformats.org/drawingml/2006/main">
                    <a:graphicData uri="http://schemas.openxmlformats.org/drawingml/2006/picture">
                      <pic:pic xmlns:pic="http://schemas.openxmlformats.org/drawingml/2006/picture">
                        <pic:nvPicPr>
                          <pic:cNvPr id="0" name="image1.jpg" descr="aidiclogo_grande"/>
                          <pic:cNvPicPr preferRelativeResize="0"/>
                        </pic:nvPicPr>
                        <pic:blipFill>
                          <a:blip r:embed="rId7"/>
                          <a:srcRect/>
                          <a:stretch>
                            <a:fillRect/>
                          </a:stretch>
                        </pic:blipFill>
                        <pic:spPr>
                          <a:xfrm>
                            <a:off x="0" y="0"/>
                            <a:ext cx="670560" cy="358140"/>
                          </a:xfrm>
                          <a:prstGeom prst="rect">
                            <a:avLst/>
                          </a:prstGeom>
                          <a:ln/>
                        </pic:spPr>
                      </pic:pic>
                    </a:graphicData>
                  </a:graphic>
                </wp:inline>
              </w:drawing>
            </w:r>
          </w:p>
        </w:tc>
      </w:tr>
      <w:tr w:rsidR="00D60E03" w14:paraId="0A14A30E" w14:textId="77777777">
        <w:trPr>
          <w:trHeight w:val="567"/>
          <w:jc w:val="center"/>
        </w:trPr>
        <w:tc>
          <w:tcPr>
            <w:tcW w:w="6940" w:type="dxa"/>
            <w:vMerge/>
            <w:tcBorders>
              <w:right w:val="single" w:sz="4" w:space="0" w:color="000000"/>
            </w:tcBorders>
          </w:tcPr>
          <w:p w14:paraId="7C954D83" w14:textId="77777777" w:rsidR="00D60E03" w:rsidRDefault="00D60E03">
            <w:pPr>
              <w:widowControl w:val="0"/>
              <w:pBdr>
                <w:top w:val="nil"/>
                <w:left w:val="nil"/>
                <w:bottom w:val="nil"/>
                <w:right w:val="nil"/>
                <w:between w:val="nil"/>
              </w:pBdr>
              <w:spacing w:line="276" w:lineRule="auto"/>
              <w:jc w:val="left"/>
            </w:pPr>
          </w:p>
        </w:tc>
        <w:tc>
          <w:tcPr>
            <w:tcW w:w="1842" w:type="dxa"/>
            <w:tcBorders>
              <w:left w:val="single" w:sz="4" w:space="0" w:color="000000"/>
              <w:bottom w:val="nil"/>
              <w:right w:val="single" w:sz="4" w:space="0" w:color="000000"/>
            </w:tcBorders>
          </w:tcPr>
          <w:p w14:paraId="06CB9AA5" w14:textId="77777777" w:rsidR="00D60E03" w:rsidRDefault="00000000">
            <w:pPr>
              <w:jc w:val="right"/>
              <w:rPr>
                <w:sz w:val="14"/>
                <w:szCs w:val="14"/>
              </w:rPr>
            </w:pPr>
            <w:r>
              <w:rPr>
                <w:sz w:val="14"/>
                <w:szCs w:val="14"/>
              </w:rPr>
              <w:t>The Italian Association</w:t>
            </w:r>
          </w:p>
          <w:p w14:paraId="4BF86FC0" w14:textId="77777777" w:rsidR="00D60E03" w:rsidRDefault="00000000">
            <w:pPr>
              <w:jc w:val="right"/>
              <w:rPr>
                <w:sz w:val="14"/>
                <w:szCs w:val="14"/>
              </w:rPr>
            </w:pPr>
            <w:r>
              <w:rPr>
                <w:sz w:val="14"/>
                <w:szCs w:val="14"/>
              </w:rPr>
              <w:t>of Chemical Engineering</w:t>
            </w:r>
          </w:p>
          <w:p w14:paraId="14E4015A" w14:textId="77777777" w:rsidR="00D60E03" w:rsidRDefault="00000000">
            <w:pPr>
              <w:jc w:val="right"/>
              <w:rPr>
                <w:sz w:val="13"/>
                <w:szCs w:val="13"/>
              </w:rPr>
            </w:pPr>
            <w:r>
              <w:rPr>
                <w:sz w:val="13"/>
                <w:szCs w:val="13"/>
              </w:rPr>
              <w:t>Online at www.cetjournal.it</w:t>
            </w:r>
          </w:p>
        </w:tc>
      </w:tr>
      <w:tr w:rsidR="00D60E03" w14:paraId="452DD8AB" w14:textId="77777777">
        <w:trPr>
          <w:trHeight w:val="68"/>
          <w:jc w:val="center"/>
        </w:trPr>
        <w:tc>
          <w:tcPr>
            <w:tcW w:w="8782" w:type="dxa"/>
            <w:gridSpan w:val="2"/>
          </w:tcPr>
          <w:p w14:paraId="54BFFCE4" w14:textId="77777777" w:rsidR="00D60E03" w:rsidRPr="00606B4D" w:rsidRDefault="00000000">
            <w:pPr>
              <w:ind w:left="-107"/>
              <w:rPr>
                <w:rFonts w:ascii="Tahoma" w:eastAsia="Tahoma" w:hAnsi="Tahoma" w:cs="Tahoma"/>
                <w:color w:val="000000"/>
                <w:sz w:val="14"/>
                <w:szCs w:val="14"/>
                <w:highlight w:val="white"/>
                <w:lang w:val="it-IT"/>
              </w:rPr>
            </w:pPr>
            <w:r w:rsidRPr="00606B4D">
              <w:rPr>
                <w:rFonts w:ascii="Tahoma" w:eastAsia="Tahoma" w:hAnsi="Tahoma" w:cs="Tahoma"/>
                <w:color w:val="333333"/>
                <w:sz w:val="14"/>
                <w:szCs w:val="14"/>
                <w:lang w:val="it-IT"/>
              </w:rPr>
              <w:t>Guest Editors:</w:t>
            </w:r>
            <w:r w:rsidRPr="00606B4D">
              <w:rPr>
                <w:rFonts w:ascii="Aptos" w:eastAsia="Aptos" w:hAnsi="Aptos" w:cs="Aptos"/>
                <w:sz w:val="22"/>
                <w:szCs w:val="22"/>
                <w:lang w:val="it-IT"/>
              </w:rPr>
              <w:t xml:space="preserve"> </w:t>
            </w:r>
            <w:r w:rsidRPr="00606B4D">
              <w:rPr>
                <w:rFonts w:ascii="Tahoma" w:eastAsia="Tahoma" w:hAnsi="Tahoma" w:cs="Tahoma"/>
                <w:color w:val="000000"/>
                <w:sz w:val="14"/>
                <w:szCs w:val="14"/>
                <w:highlight w:val="white"/>
                <w:lang w:val="it-IT"/>
              </w:rPr>
              <w:t>Fabrizio Bezzo, Flavio Manenti, Gabriele Pannocchia, Almerinda di Benedetto</w:t>
            </w:r>
          </w:p>
          <w:p w14:paraId="6455A87E" w14:textId="77777777" w:rsidR="00D60E03" w:rsidRDefault="00000000">
            <w:pPr>
              <w:tabs>
                <w:tab w:val="left" w:pos="-108"/>
              </w:tabs>
              <w:ind w:left="-107"/>
              <w:jc w:val="left"/>
            </w:pPr>
            <w:r>
              <w:rPr>
                <w:rFonts w:ascii="Tahoma" w:eastAsia="Tahoma" w:hAnsi="Tahoma" w:cs="Tahoma"/>
                <w:color w:val="333333"/>
                <w:sz w:val="14"/>
                <w:szCs w:val="14"/>
              </w:rPr>
              <w:t xml:space="preserve">Copyright © 2025, AIDIC </w:t>
            </w:r>
            <w:proofErr w:type="spellStart"/>
            <w:r>
              <w:rPr>
                <w:rFonts w:ascii="Tahoma" w:eastAsia="Tahoma" w:hAnsi="Tahoma" w:cs="Tahoma"/>
                <w:color w:val="333333"/>
                <w:sz w:val="14"/>
                <w:szCs w:val="14"/>
              </w:rPr>
              <w:t>Servizi</w:t>
            </w:r>
            <w:proofErr w:type="spellEnd"/>
            <w:r>
              <w:rPr>
                <w:rFonts w:ascii="Tahoma" w:eastAsia="Tahoma" w:hAnsi="Tahoma" w:cs="Tahoma"/>
                <w:color w:val="333333"/>
                <w:sz w:val="14"/>
                <w:szCs w:val="14"/>
              </w:rPr>
              <w:t xml:space="preserve"> </w:t>
            </w:r>
            <w:proofErr w:type="spellStart"/>
            <w:r>
              <w:rPr>
                <w:rFonts w:ascii="Tahoma" w:eastAsia="Tahoma" w:hAnsi="Tahoma" w:cs="Tahoma"/>
                <w:color w:val="333333"/>
                <w:sz w:val="14"/>
                <w:szCs w:val="14"/>
              </w:rPr>
              <w:t>S.r.l</w:t>
            </w:r>
            <w:proofErr w:type="spellEnd"/>
            <w:r>
              <w:rPr>
                <w:rFonts w:ascii="Tahoma" w:eastAsia="Tahoma" w:hAnsi="Tahoma" w:cs="Tahoma"/>
                <w:color w:val="333333"/>
                <w:sz w:val="14"/>
                <w:szCs w:val="14"/>
              </w:rPr>
              <w:t>.</w:t>
            </w:r>
            <w:r>
              <w:rPr>
                <w:rFonts w:ascii="Tahoma" w:eastAsia="Tahoma" w:hAnsi="Tahoma" w:cs="Tahoma"/>
                <w:color w:val="333333"/>
                <w:sz w:val="14"/>
                <w:szCs w:val="14"/>
              </w:rPr>
              <w:br/>
            </w:r>
            <w:r>
              <w:rPr>
                <w:rFonts w:ascii="Tahoma" w:eastAsia="Tahoma" w:hAnsi="Tahoma" w:cs="Tahoma"/>
                <w:b/>
                <w:color w:val="000000"/>
                <w:sz w:val="14"/>
                <w:szCs w:val="14"/>
              </w:rPr>
              <w:t>ISBN</w:t>
            </w:r>
            <w:r>
              <w:rPr>
                <w:rFonts w:ascii="Tahoma" w:eastAsia="Tahoma" w:hAnsi="Tahoma" w:cs="Tahoma"/>
                <w:color w:val="000000"/>
                <w:sz w:val="14"/>
                <w:szCs w:val="14"/>
              </w:rPr>
              <w:t xml:space="preserve"> </w:t>
            </w:r>
            <w:r>
              <w:rPr>
                <w:rFonts w:ascii="Tahoma" w:eastAsia="Tahoma" w:hAnsi="Tahoma" w:cs="Tahoma"/>
                <w:sz w:val="14"/>
                <w:szCs w:val="14"/>
              </w:rPr>
              <w:t>979-12-81206-17-5</w:t>
            </w:r>
            <w:r>
              <w:rPr>
                <w:rFonts w:ascii="Tahoma" w:eastAsia="Tahoma" w:hAnsi="Tahoma" w:cs="Tahoma"/>
                <w:color w:val="333333"/>
                <w:sz w:val="14"/>
                <w:szCs w:val="14"/>
              </w:rPr>
              <w:t xml:space="preserve">; </w:t>
            </w:r>
            <w:r>
              <w:rPr>
                <w:rFonts w:ascii="Tahoma" w:eastAsia="Tahoma" w:hAnsi="Tahoma" w:cs="Tahoma"/>
                <w:b/>
                <w:color w:val="333333"/>
                <w:sz w:val="14"/>
                <w:szCs w:val="14"/>
              </w:rPr>
              <w:t>ISSN</w:t>
            </w:r>
            <w:r>
              <w:rPr>
                <w:rFonts w:ascii="Tahoma" w:eastAsia="Tahoma" w:hAnsi="Tahoma" w:cs="Tahoma"/>
                <w:color w:val="333333"/>
                <w:sz w:val="14"/>
                <w:szCs w:val="14"/>
              </w:rPr>
              <w:t xml:space="preserve"> 2283-9216</w:t>
            </w:r>
          </w:p>
        </w:tc>
      </w:tr>
    </w:tbl>
    <w:p w14:paraId="0ADDEB5F" w14:textId="77777777" w:rsidR="00D60E03" w:rsidRDefault="00D60E03">
      <w:pPr>
        <w:keepNext/>
        <w:pBdr>
          <w:top w:val="nil"/>
          <w:left w:val="nil"/>
          <w:bottom w:val="nil"/>
          <w:right w:val="nil"/>
          <w:between w:val="nil"/>
        </w:pBdr>
        <w:spacing w:after="120"/>
        <w:jc w:val="center"/>
        <w:rPr>
          <w:rFonts w:eastAsia="Arial" w:cs="Arial"/>
          <w:color w:val="000000"/>
          <w:sz w:val="32"/>
          <w:szCs w:val="32"/>
        </w:rPr>
      </w:pPr>
    </w:p>
    <w:p w14:paraId="7E9B476B" w14:textId="20E8F8E9" w:rsidR="00D60E03" w:rsidRDefault="00000000">
      <w:pPr>
        <w:keepNext/>
        <w:pBdr>
          <w:top w:val="nil"/>
          <w:left w:val="nil"/>
          <w:bottom w:val="nil"/>
          <w:right w:val="nil"/>
          <w:between w:val="nil"/>
        </w:pBdr>
        <w:spacing w:after="120"/>
        <w:jc w:val="center"/>
        <w:rPr>
          <w:rFonts w:eastAsia="Arial" w:cs="Arial"/>
          <w:color w:val="000000"/>
          <w:sz w:val="32"/>
          <w:szCs w:val="32"/>
        </w:rPr>
      </w:pPr>
      <w:r>
        <w:rPr>
          <w:rFonts w:eastAsia="Arial" w:cs="Arial"/>
          <w:color w:val="000000"/>
          <w:sz w:val="32"/>
          <w:szCs w:val="32"/>
        </w:rPr>
        <w:t xml:space="preserve">Ethanol Conversion </w:t>
      </w:r>
      <w:r w:rsidR="00F77E2A">
        <w:rPr>
          <w:rFonts w:eastAsia="Arial" w:cs="Arial"/>
          <w:color w:val="000000"/>
          <w:sz w:val="32"/>
          <w:szCs w:val="32"/>
        </w:rPr>
        <w:t>into</w:t>
      </w:r>
      <w:r>
        <w:rPr>
          <w:rFonts w:eastAsia="Arial" w:cs="Arial"/>
          <w:color w:val="000000"/>
          <w:sz w:val="32"/>
          <w:szCs w:val="32"/>
        </w:rPr>
        <w:t xml:space="preserve"> Acetone Over Binary Cerium–Zinc Oxide Catalysts</w:t>
      </w:r>
    </w:p>
    <w:p w14:paraId="260FBEA5" w14:textId="77777777" w:rsidR="00D60E03" w:rsidRDefault="00000000">
      <w:pPr>
        <w:keepNext/>
        <w:pBdr>
          <w:top w:val="nil"/>
          <w:left w:val="nil"/>
          <w:bottom w:val="nil"/>
          <w:right w:val="nil"/>
          <w:between w:val="nil"/>
        </w:pBdr>
        <w:spacing w:after="120"/>
        <w:rPr>
          <w:rFonts w:eastAsia="Arial" w:cs="Arial"/>
          <w:color w:val="000000"/>
          <w:sz w:val="24"/>
          <w:szCs w:val="24"/>
        </w:rPr>
      </w:pPr>
      <w:r>
        <w:rPr>
          <w:rFonts w:eastAsia="Arial" w:cs="Arial"/>
          <w:color w:val="000000"/>
          <w:sz w:val="24"/>
          <w:szCs w:val="24"/>
        </w:rPr>
        <w:t xml:space="preserve">Tahmina Taghi*, </w:t>
      </w:r>
      <w:proofErr w:type="spellStart"/>
      <w:r>
        <w:rPr>
          <w:rFonts w:eastAsia="Arial" w:cs="Arial"/>
          <w:color w:val="000000"/>
          <w:sz w:val="24"/>
          <w:szCs w:val="24"/>
        </w:rPr>
        <w:t>Vaghif</w:t>
      </w:r>
      <w:proofErr w:type="spellEnd"/>
      <w:r>
        <w:rPr>
          <w:rFonts w:eastAsia="Arial" w:cs="Arial"/>
          <w:color w:val="000000"/>
          <w:sz w:val="24"/>
          <w:szCs w:val="24"/>
        </w:rPr>
        <w:t xml:space="preserve"> </w:t>
      </w:r>
      <w:proofErr w:type="spellStart"/>
      <w:r>
        <w:rPr>
          <w:rFonts w:eastAsia="Arial" w:cs="Arial"/>
          <w:color w:val="000000"/>
          <w:sz w:val="24"/>
          <w:szCs w:val="24"/>
        </w:rPr>
        <w:t>Baghiyev</w:t>
      </w:r>
      <w:proofErr w:type="spellEnd"/>
    </w:p>
    <w:p w14:paraId="451193A3" w14:textId="77777777" w:rsidR="00D60E03" w:rsidRDefault="00000000">
      <w:pPr>
        <w:keepNext/>
        <w:pBdr>
          <w:top w:val="nil"/>
          <w:left w:val="nil"/>
          <w:bottom w:val="nil"/>
          <w:right w:val="nil"/>
          <w:between w:val="nil"/>
        </w:pBdr>
        <w:rPr>
          <w:rFonts w:eastAsia="Arial" w:cs="Arial"/>
          <w:color w:val="000000"/>
          <w:sz w:val="16"/>
          <w:szCs w:val="16"/>
        </w:rPr>
      </w:pPr>
      <w:r>
        <w:rPr>
          <w:rFonts w:eastAsia="Arial" w:cs="Arial"/>
          <w:color w:val="000000"/>
          <w:sz w:val="16"/>
          <w:szCs w:val="16"/>
        </w:rPr>
        <w:t>Azerbaijan State Oil and Industry University, Azadliq Av. 34, AZ1010</w:t>
      </w:r>
    </w:p>
    <w:p w14:paraId="4E59A9EF" w14:textId="77777777" w:rsidR="00D60E03" w:rsidRDefault="00D60E03">
      <w:pPr>
        <w:keepNext/>
        <w:pBdr>
          <w:top w:val="nil"/>
          <w:left w:val="nil"/>
          <w:bottom w:val="nil"/>
          <w:right w:val="nil"/>
          <w:between w:val="nil"/>
        </w:pBdr>
        <w:rPr>
          <w:rFonts w:eastAsia="Arial" w:cs="Arial"/>
          <w:color w:val="000000"/>
          <w:sz w:val="16"/>
          <w:szCs w:val="16"/>
        </w:rPr>
      </w:pPr>
      <w:hyperlink r:id="rId8">
        <w:r>
          <w:rPr>
            <w:rFonts w:eastAsia="Arial" w:cs="Arial"/>
            <w:color w:val="0000FF"/>
            <w:sz w:val="16"/>
            <w:szCs w:val="16"/>
            <w:u w:val="single"/>
          </w:rPr>
          <w:t>tahmina.taghi@gmail.com</w:t>
        </w:r>
      </w:hyperlink>
      <w:r>
        <w:rPr>
          <w:rFonts w:eastAsia="Arial" w:cs="Arial"/>
          <w:color w:val="000000"/>
          <w:sz w:val="16"/>
          <w:szCs w:val="16"/>
        </w:rPr>
        <w:t xml:space="preserve"> </w:t>
      </w:r>
    </w:p>
    <w:p w14:paraId="60D907DE" w14:textId="77777777" w:rsidR="00D60E03" w:rsidRDefault="00D60E03">
      <w:pPr>
        <w:keepNext/>
        <w:pBdr>
          <w:top w:val="nil"/>
          <w:left w:val="nil"/>
          <w:bottom w:val="nil"/>
          <w:right w:val="nil"/>
          <w:between w:val="nil"/>
        </w:pBdr>
        <w:rPr>
          <w:rFonts w:eastAsia="Arial" w:cs="Arial"/>
          <w:color w:val="000000"/>
          <w:sz w:val="16"/>
          <w:szCs w:val="16"/>
        </w:rPr>
      </w:pPr>
    </w:p>
    <w:p w14:paraId="010FCBE2" w14:textId="284BB1E8" w:rsidR="00D60E03" w:rsidRDefault="00000000">
      <w:pPr>
        <w:spacing w:line="240" w:lineRule="auto"/>
      </w:pPr>
      <w:bookmarkStart w:id="1" w:name="_Hlk193802591"/>
      <w:r>
        <w:t xml:space="preserve">This paper is devoted to the study of ethanol conversion to acetone in the presence of water vapor using binary cerium-zinc oxide (Ce-Zn-O) catalysts. Catalysts containing </w:t>
      </w:r>
      <w:proofErr w:type="spellStart"/>
      <w:r>
        <w:t>ZnO</w:t>
      </w:r>
      <w:proofErr w:type="spellEnd"/>
      <w:r>
        <w:t xml:space="preserve"> have high selectivity in the reaction of ethanol conversion to acetone, while </w:t>
      </w:r>
      <w:proofErr w:type="spellStart"/>
      <w:r>
        <w:t>CeO</w:t>
      </w:r>
      <w:proofErr w:type="spellEnd"/>
      <w:r>
        <w:rPr>
          <w:rFonts w:ascii="Cambria Math" w:eastAsia="Cambria Math" w:hAnsi="Cambria Math" w:cs="Cambria Math"/>
        </w:rPr>
        <w:t>₂</w:t>
      </w:r>
      <w:r>
        <w:t xml:space="preserve"> has a high activity in ethanol conversion process. The catalytic activity of these samples was studied over a temperature range of 250–700</w:t>
      </w:r>
      <w:r w:rsidR="00051542">
        <w:t xml:space="preserve"> </w:t>
      </w:r>
      <w:r>
        <w:t xml:space="preserve">°C. Chromatographic analysis was used to determine the products of the process and their yields. It was found that the atomic ratio of Ce to Zn significantly influences acetone yield and ethanol conversion. The highest yield of acetone made up 63.7 % and was observed on the sample with atomic ratio </w:t>
      </w:r>
      <w:proofErr w:type="spellStart"/>
      <w:r>
        <w:t>Ce:Zn</w:t>
      </w:r>
      <w:proofErr w:type="spellEnd"/>
      <w:r>
        <w:t xml:space="preserve"> = 2:8. Ethanol conversion on this sample achieved 87.7 %. X-ray diffraction analysis confirmed that all samples contained only the phases of the initial oxides: </w:t>
      </w:r>
      <w:proofErr w:type="spellStart"/>
      <w:r>
        <w:t>CeO</w:t>
      </w:r>
      <w:proofErr w:type="spellEnd"/>
      <w:r>
        <w:rPr>
          <w:rFonts w:ascii="Cambria Math" w:eastAsia="Cambria Math" w:hAnsi="Cambria Math" w:cs="Cambria Math"/>
        </w:rPr>
        <w:t>₂</w:t>
      </w:r>
      <w:r>
        <w:t xml:space="preserve"> and </w:t>
      </w:r>
      <w:proofErr w:type="spellStart"/>
      <w:r>
        <w:t>ZnO</w:t>
      </w:r>
      <w:proofErr w:type="spellEnd"/>
      <w:r>
        <w:t>. Moreover, the degree of crystallinity of the prepared samples was studied. It was found that with increase in crystallinity the yield of the target product acetone and the overall ethanol conversion reduced. The obtained results prove the relationship between the structure and activity of Ce-Zn-O catalysts and offer both theoretical and practical importance of optimizing the process of obtaining of acetone from bioethanol.</w:t>
      </w:r>
    </w:p>
    <w:bookmarkEnd w:id="1"/>
    <w:p w14:paraId="560D56B8" w14:textId="77777777" w:rsidR="00D60E03" w:rsidRDefault="00000000" w:rsidP="00606B4D">
      <w:pPr>
        <w:keepNext/>
        <w:numPr>
          <w:ilvl w:val="1"/>
          <w:numId w:val="1"/>
        </w:numPr>
        <w:pBdr>
          <w:top w:val="nil"/>
          <w:left w:val="nil"/>
          <w:bottom w:val="nil"/>
          <w:right w:val="nil"/>
          <w:between w:val="nil"/>
        </w:pBdr>
        <w:tabs>
          <w:tab w:val="clear" w:pos="7100"/>
        </w:tabs>
        <w:spacing w:before="240" w:after="120" w:line="240" w:lineRule="auto"/>
        <w:jc w:val="left"/>
        <w:rPr>
          <w:rFonts w:eastAsia="Arial" w:cs="Arial"/>
          <w:b/>
          <w:color w:val="000000"/>
          <w:sz w:val="20"/>
        </w:rPr>
      </w:pPr>
      <w:r>
        <w:rPr>
          <w:rFonts w:eastAsia="Arial" w:cs="Arial"/>
          <w:b/>
          <w:color w:val="000000"/>
          <w:sz w:val="20"/>
        </w:rPr>
        <w:t>Introduction</w:t>
      </w:r>
    </w:p>
    <w:p w14:paraId="04B1F1E1" w14:textId="2E235A7D" w:rsidR="004D30BF" w:rsidRDefault="000A198B" w:rsidP="000A198B">
      <w:pPr>
        <w:pBdr>
          <w:top w:val="nil"/>
          <w:left w:val="nil"/>
          <w:bottom w:val="nil"/>
          <w:right w:val="nil"/>
          <w:between w:val="nil"/>
        </w:pBdr>
        <w:rPr>
          <w:rFonts w:eastAsia="Arial" w:cs="Arial"/>
          <w:color w:val="000000"/>
          <w:szCs w:val="18"/>
        </w:rPr>
      </w:pPr>
      <w:r w:rsidRPr="000A198B">
        <w:rPr>
          <w:rFonts w:eastAsia="Arial" w:cs="Arial"/>
          <w:color w:val="000000"/>
          <w:szCs w:val="18"/>
        </w:rPr>
        <w:t xml:space="preserve">Acetone is one of the most important compounds widely used in the chemical industry. It is used as a solvent, a monomer for organic synthesis and a raw material for </w:t>
      </w:r>
      <w:proofErr w:type="gramStart"/>
      <w:r w:rsidRPr="000A198B">
        <w:rPr>
          <w:rFonts w:eastAsia="Arial" w:cs="Arial"/>
          <w:color w:val="000000"/>
          <w:szCs w:val="18"/>
        </w:rPr>
        <w:t>a number of</w:t>
      </w:r>
      <w:proofErr w:type="gramEnd"/>
      <w:r w:rsidRPr="000A198B">
        <w:rPr>
          <w:rFonts w:eastAsia="Arial" w:cs="Arial"/>
          <w:color w:val="000000"/>
          <w:szCs w:val="18"/>
        </w:rPr>
        <w:t xml:space="preserve"> valuable chemicals. One of the possible methods for producing acetone is the vapor-phase conversion reaction of ethanol [</w:t>
      </w:r>
      <w:r w:rsidR="007870B7">
        <w:rPr>
          <w:rFonts w:eastAsia="Arial" w:cs="Arial"/>
          <w:color w:val="000000"/>
          <w:szCs w:val="18"/>
        </w:rPr>
        <w:t>10</w:t>
      </w:r>
      <w:r w:rsidRPr="000A198B">
        <w:rPr>
          <w:rFonts w:eastAsia="Arial" w:cs="Arial"/>
          <w:color w:val="000000"/>
          <w:szCs w:val="18"/>
        </w:rPr>
        <w:t xml:space="preserve">]. </w:t>
      </w:r>
      <w:r w:rsidR="004D30BF" w:rsidRPr="004D30BF">
        <w:rPr>
          <w:rFonts w:eastAsia="Arial" w:cs="Arial"/>
          <w:color w:val="000000"/>
          <w:szCs w:val="18"/>
        </w:rPr>
        <w:t>The reaction of steam conversion of ethanol to acetone proceeds according to the following reaction:</w:t>
      </w:r>
      <w:r w:rsidR="004D30BF">
        <w:rPr>
          <w:rFonts w:eastAsia="Arial" w:cs="Arial"/>
          <w:color w:val="000000"/>
          <w:szCs w:val="18"/>
        </w:rPr>
        <w:t xml:space="preserve"> </w:t>
      </w:r>
    </w:p>
    <w:p w14:paraId="3A971D40" w14:textId="606F5C2D" w:rsidR="004D30BF" w:rsidRDefault="004D30BF" w:rsidP="004D30BF">
      <w:pPr>
        <w:pBdr>
          <w:top w:val="nil"/>
          <w:left w:val="nil"/>
          <w:bottom w:val="nil"/>
          <w:right w:val="nil"/>
          <w:between w:val="nil"/>
        </w:pBdr>
        <w:jc w:val="center"/>
        <w:rPr>
          <w:rFonts w:eastAsia="Arial" w:cs="Arial"/>
          <w:color w:val="000000"/>
          <w:szCs w:val="18"/>
        </w:rPr>
      </w:pPr>
      <w:r w:rsidRPr="00C56B32">
        <w:rPr>
          <w:rFonts w:eastAsia="Arial" w:cs="Arial"/>
          <w:color w:val="000000"/>
          <w:szCs w:val="18"/>
          <w:lang w:val="en-US"/>
        </w:rPr>
        <w:t>2C</w:t>
      </w:r>
      <w:r w:rsidRPr="00C56B32">
        <w:rPr>
          <w:rFonts w:eastAsia="Arial" w:cs="Arial"/>
          <w:color w:val="000000"/>
          <w:szCs w:val="18"/>
          <w:vertAlign w:val="subscript"/>
          <w:lang w:val="en-US"/>
        </w:rPr>
        <w:t>2</w:t>
      </w:r>
      <w:r w:rsidRPr="00C56B32">
        <w:rPr>
          <w:rFonts w:eastAsia="Arial" w:cs="Arial"/>
          <w:color w:val="000000"/>
          <w:szCs w:val="18"/>
          <w:lang w:val="en-US"/>
        </w:rPr>
        <w:t>H</w:t>
      </w:r>
      <w:r w:rsidRPr="00C56B32">
        <w:rPr>
          <w:rFonts w:eastAsia="Arial" w:cs="Arial"/>
          <w:color w:val="000000"/>
          <w:szCs w:val="18"/>
          <w:vertAlign w:val="subscript"/>
          <w:lang w:val="en-US"/>
        </w:rPr>
        <w:t>5</w:t>
      </w:r>
      <w:r w:rsidRPr="00C56B32">
        <w:rPr>
          <w:rFonts w:eastAsia="Arial" w:cs="Arial"/>
          <w:color w:val="000000"/>
          <w:szCs w:val="18"/>
          <w:lang w:val="en-US"/>
        </w:rPr>
        <w:t>OH + H</w:t>
      </w:r>
      <w:r w:rsidRPr="00C56B32">
        <w:rPr>
          <w:rFonts w:eastAsia="Arial" w:cs="Arial"/>
          <w:color w:val="000000"/>
          <w:szCs w:val="18"/>
          <w:vertAlign w:val="subscript"/>
          <w:lang w:val="en-US"/>
        </w:rPr>
        <w:t>2</w:t>
      </w:r>
      <w:r w:rsidRPr="00C56B32">
        <w:rPr>
          <w:rFonts w:eastAsia="Arial" w:cs="Arial"/>
          <w:color w:val="000000"/>
          <w:szCs w:val="18"/>
          <w:lang w:val="en-US"/>
        </w:rPr>
        <w:t>O → CH</w:t>
      </w:r>
      <w:r w:rsidRPr="00C56B32">
        <w:rPr>
          <w:rFonts w:eastAsia="Arial" w:cs="Arial"/>
          <w:color w:val="000000"/>
          <w:szCs w:val="18"/>
          <w:vertAlign w:val="subscript"/>
          <w:lang w:val="en-US"/>
        </w:rPr>
        <w:t>3</w:t>
      </w:r>
      <w:r w:rsidRPr="00C56B32">
        <w:rPr>
          <w:rFonts w:eastAsia="Arial" w:cs="Arial"/>
          <w:color w:val="000000"/>
          <w:szCs w:val="18"/>
          <w:lang w:val="en-US"/>
        </w:rPr>
        <w:t>COCH</w:t>
      </w:r>
      <w:r w:rsidRPr="00C56B32">
        <w:rPr>
          <w:rFonts w:eastAsia="Arial" w:cs="Arial"/>
          <w:color w:val="000000"/>
          <w:szCs w:val="18"/>
          <w:vertAlign w:val="subscript"/>
          <w:lang w:val="en-US"/>
        </w:rPr>
        <w:t>3</w:t>
      </w:r>
      <w:r w:rsidRPr="00C56B32">
        <w:rPr>
          <w:rFonts w:eastAsia="Arial" w:cs="Arial"/>
          <w:color w:val="000000"/>
          <w:szCs w:val="18"/>
          <w:lang w:val="en-US"/>
        </w:rPr>
        <w:t xml:space="preserve"> + CO</w:t>
      </w:r>
      <w:r w:rsidRPr="00C56B32">
        <w:rPr>
          <w:rFonts w:eastAsia="Arial" w:cs="Arial"/>
          <w:color w:val="000000"/>
          <w:szCs w:val="18"/>
          <w:vertAlign w:val="subscript"/>
          <w:lang w:val="en-US"/>
        </w:rPr>
        <w:t>2</w:t>
      </w:r>
      <w:r w:rsidRPr="00C56B32">
        <w:rPr>
          <w:rFonts w:eastAsia="Arial" w:cs="Arial"/>
          <w:color w:val="000000"/>
          <w:szCs w:val="18"/>
          <w:lang w:val="en-US"/>
        </w:rPr>
        <w:t xml:space="preserve"> + 4H</w:t>
      </w:r>
      <w:r w:rsidRPr="00C56B32">
        <w:rPr>
          <w:rFonts w:eastAsia="Arial" w:cs="Arial"/>
          <w:color w:val="000000"/>
          <w:szCs w:val="18"/>
          <w:vertAlign w:val="subscript"/>
          <w:lang w:val="en-US"/>
        </w:rPr>
        <w:t>2</w:t>
      </w:r>
    </w:p>
    <w:p w14:paraId="51C95C39" w14:textId="3166A3AC" w:rsidR="000A198B" w:rsidRPr="000A198B" w:rsidRDefault="000A198B" w:rsidP="000A198B">
      <w:pPr>
        <w:pBdr>
          <w:top w:val="nil"/>
          <w:left w:val="nil"/>
          <w:bottom w:val="nil"/>
          <w:right w:val="nil"/>
          <w:between w:val="nil"/>
        </w:pBdr>
        <w:rPr>
          <w:rFonts w:eastAsia="Arial" w:cs="Arial"/>
          <w:color w:val="000000"/>
          <w:szCs w:val="18"/>
        </w:rPr>
      </w:pPr>
      <w:r w:rsidRPr="000A198B">
        <w:rPr>
          <w:rFonts w:eastAsia="Arial" w:cs="Arial"/>
          <w:color w:val="000000"/>
          <w:szCs w:val="18"/>
        </w:rPr>
        <w:t>This method of producing acetone is of interest to researchers all over the world, since this method is promising from both an economic and an environmental point of view. Bioethanol is a renewable raw material and is produced in large quantities from biomass [</w:t>
      </w:r>
      <w:r w:rsidR="007870B7">
        <w:rPr>
          <w:rFonts w:eastAsia="Arial" w:cs="Arial"/>
          <w:color w:val="000000"/>
          <w:szCs w:val="18"/>
        </w:rPr>
        <w:t>9</w:t>
      </w:r>
      <w:r w:rsidRPr="000A198B">
        <w:rPr>
          <w:rFonts w:eastAsia="Arial" w:cs="Arial"/>
          <w:color w:val="000000"/>
          <w:szCs w:val="18"/>
        </w:rPr>
        <w:t>]. In connection with the above, the search for and development of catalysts that would be active and selective for use in this process in the chemical industry is very relevant. It is known from periodical literature that zinc oxide-based catalysts exhibit high activity in the reaction of converting ethanol to acetone [</w:t>
      </w:r>
      <w:r w:rsidR="004071D7">
        <w:rPr>
          <w:rFonts w:eastAsia="Arial" w:cs="Arial"/>
          <w:color w:val="000000"/>
          <w:szCs w:val="18"/>
        </w:rPr>
        <w:t>7</w:t>
      </w:r>
      <w:r w:rsidRPr="000A198B">
        <w:rPr>
          <w:rFonts w:eastAsia="Arial" w:cs="Arial"/>
          <w:color w:val="000000"/>
          <w:szCs w:val="18"/>
        </w:rPr>
        <w:t xml:space="preserve">]. </w:t>
      </w:r>
      <w:r w:rsidR="00F91462">
        <w:rPr>
          <w:rFonts w:eastAsia="Arial" w:cs="Arial"/>
          <w:color w:val="000000"/>
          <w:szCs w:val="18"/>
        </w:rPr>
        <w:t>Mixed oxide catalysts containing c</w:t>
      </w:r>
      <w:r w:rsidR="00F91462" w:rsidRPr="000A198B">
        <w:rPr>
          <w:rFonts w:eastAsia="Arial" w:cs="Arial"/>
          <w:color w:val="000000"/>
          <w:szCs w:val="18"/>
        </w:rPr>
        <w:t>erium</w:t>
      </w:r>
      <w:r w:rsidR="00F91462">
        <w:rPr>
          <w:rFonts w:eastAsia="Arial" w:cs="Arial"/>
          <w:color w:val="000000"/>
          <w:szCs w:val="18"/>
        </w:rPr>
        <w:t xml:space="preserve"> </w:t>
      </w:r>
      <w:r w:rsidR="00F77E2A" w:rsidRPr="000A198B">
        <w:rPr>
          <w:rFonts w:eastAsia="Arial" w:cs="Arial"/>
          <w:color w:val="000000"/>
          <w:szCs w:val="18"/>
        </w:rPr>
        <w:t>exhibit high activity in the reaction of ethanol conversion into valuable chemical products in the presence of water vapor [</w:t>
      </w:r>
      <w:r w:rsidR="007870B7">
        <w:rPr>
          <w:rFonts w:eastAsia="Arial" w:cs="Arial"/>
          <w:color w:val="000000"/>
          <w:szCs w:val="18"/>
        </w:rPr>
        <w:t>6,11</w:t>
      </w:r>
      <w:r w:rsidR="00F77E2A" w:rsidRPr="000A198B">
        <w:rPr>
          <w:rFonts w:eastAsia="Arial" w:cs="Arial"/>
          <w:color w:val="000000"/>
          <w:szCs w:val="18"/>
        </w:rPr>
        <w:t>].</w:t>
      </w:r>
      <w:r w:rsidR="00F77E2A">
        <w:rPr>
          <w:rFonts w:eastAsia="Arial" w:cs="Arial"/>
          <w:color w:val="000000"/>
          <w:szCs w:val="18"/>
        </w:rPr>
        <w:t xml:space="preserve"> </w:t>
      </w:r>
      <w:r w:rsidRPr="000A198B">
        <w:rPr>
          <w:rFonts w:eastAsia="Arial" w:cs="Arial"/>
          <w:color w:val="000000"/>
          <w:szCs w:val="18"/>
        </w:rPr>
        <w:t>In this regard, we previously studied the effect of cerium oxide on the activity of zinc oxide in the reaction of converting ethanol to acetone [</w:t>
      </w:r>
      <w:r w:rsidR="007870B7">
        <w:rPr>
          <w:rFonts w:eastAsia="Arial" w:cs="Arial"/>
          <w:color w:val="000000"/>
          <w:szCs w:val="18"/>
        </w:rPr>
        <w:t>12</w:t>
      </w:r>
      <w:r w:rsidR="009063D3">
        <w:rPr>
          <w:rFonts w:eastAsia="Arial" w:cs="Arial"/>
          <w:color w:val="000000"/>
          <w:szCs w:val="18"/>
        </w:rPr>
        <w:t>,</w:t>
      </w:r>
      <w:r w:rsidR="004071D7">
        <w:rPr>
          <w:rFonts w:eastAsia="Arial" w:cs="Arial"/>
          <w:color w:val="000000"/>
          <w:szCs w:val="18"/>
        </w:rPr>
        <w:t>1</w:t>
      </w:r>
      <w:r w:rsidR="007870B7">
        <w:rPr>
          <w:rFonts w:eastAsia="Arial" w:cs="Arial"/>
          <w:color w:val="000000"/>
          <w:szCs w:val="18"/>
        </w:rPr>
        <w:t>3</w:t>
      </w:r>
      <w:r w:rsidRPr="000A198B">
        <w:rPr>
          <w:rFonts w:eastAsia="Arial" w:cs="Arial"/>
          <w:color w:val="000000"/>
          <w:szCs w:val="18"/>
        </w:rPr>
        <w:t>].</w:t>
      </w:r>
      <w:r w:rsidR="00F77E2A">
        <w:rPr>
          <w:rFonts w:eastAsia="Arial" w:cs="Arial"/>
          <w:color w:val="000000"/>
          <w:szCs w:val="18"/>
        </w:rPr>
        <w:t xml:space="preserve"> </w:t>
      </w:r>
      <w:r w:rsidRPr="000A198B">
        <w:rPr>
          <w:rFonts w:eastAsia="Arial" w:cs="Arial"/>
          <w:color w:val="000000"/>
          <w:szCs w:val="18"/>
        </w:rPr>
        <w:t>It is known that the activity of catalysts depends on both its surface</w:t>
      </w:r>
      <w:r w:rsidR="004D30BF">
        <w:rPr>
          <w:rFonts w:eastAsia="Arial" w:cs="Arial"/>
          <w:color w:val="000000"/>
          <w:szCs w:val="18"/>
        </w:rPr>
        <w:t xml:space="preserve"> </w:t>
      </w:r>
      <w:r w:rsidR="00F77E2A" w:rsidRPr="00F77E2A">
        <w:rPr>
          <w:rFonts w:eastAsia="Arial" w:cs="Arial"/>
          <w:color w:val="000000"/>
          <w:szCs w:val="18"/>
        </w:rPr>
        <w:t>[</w:t>
      </w:r>
      <w:r w:rsidR="004071D7">
        <w:rPr>
          <w:rFonts w:eastAsia="Arial" w:cs="Arial"/>
          <w:color w:val="000000"/>
          <w:szCs w:val="18"/>
        </w:rPr>
        <w:t>3</w:t>
      </w:r>
      <w:r w:rsidR="009063D3">
        <w:rPr>
          <w:rFonts w:eastAsia="Arial" w:cs="Arial"/>
          <w:color w:val="000000"/>
          <w:szCs w:val="18"/>
        </w:rPr>
        <w:t>,</w:t>
      </w:r>
      <w:r w:rsidR="004071D7">
        <w:rPr>
          <w:rFonts w:eastAsia="Arial" w:cs="Arial"/>
          <w:color w:val="000000"/>
          <w:szCs w:val="18"/>
        </w:rPr>
        <w:t>1</w:t>
      </w:r>
      <w:r w:rsidR="007870B7">
        <w:rPr>
          <w:rFonts w:eastAsia="Arial" w:cs="Arial"/>
          <w:color w:val="000000"/>
          <w:szCs w:val="18"/>
        </w:rPr>
        <w:t>5</w:t>
      </w:r>
      <w:r w:rsidR="004071D7">
        <w:rPr>
          <w:rFonts w:eastAsia="Arial" w:cs="Arial"/>
          <w:color w:val="000000"/>
          <w:szCs w:val="18"/>
        </w:rPr>
        <w:t>,1</w:t>
      </w:r>
      <w:r w:rsidR="007870B7">
        <w:rPr>
          <w:rFonts w:eastAsia="Arial" w:cs="Arial"/>
          <w:color w:val="000000"/>
          <w:szCs w:val="18"/>
        </w:rPr>
        <w:t>6</w:t>
      </w:r>
      <w:r w:rsidR="00F77E2A" w:rsidRPr="00F77E2A">
        <w:rPr>
          <w:rFonts w:eastAsia="Arial" w:cs="Arial"/>
          <w:color w:val="000000"/>
          <w:szCs w:val="18"/>
        </w:rPr>
        <w:t>]</w:t>
      </w:r>
      <w:r w:rsidRPr="000A198B">
        <w:rPr>
          <w:rFonts w:eastAsia="Arial" w:cs="Arial"/>
          <w:color w:val="000000"/>
          <w:szCs w:val="18"/>
        </w:rPr>
        <w:t xml:space="preserve"> and structural properties [</w:t>
      </w:r>
      <w:r w:rsidR="00F77E2A">
        <w:rPr>
          <w:rFonts w:eastAsia="Arial" w:cs="Arial"/>
          <w:color w:val="000000"/>
          <w:szCs w:val="18"/>
        </w:rPr>
        <w:t>1</w:t>
      </w:r>
      <w:r w:rsidR="009063D3">
        <w:rPr>
          <w:rFonts w:eastAsia="Arial" w:cs="Arial"/>
          <w:color w:val="000000"/>
          <w:szCs w:val="18"/>
        </w:rPr>
        <w:t>,</w:t>
      </w:r>
      <w:r w:rsidR="004071D7">
        <w:rPr>
          <w:rFonts w:eastAsia="Arial" w:cs="Arial"/>
          <w:color w:val="000000"/>
          <w:szCs w:val="18"/>
        </w:rPr>
        <w:t>4</w:t>
      </w:r>
      <w:r w:rsidR="009063D3">
        <w:rPr>
          <w:rFonts w:eastAsia="Arial" w:cs="Arial"/>
          <w:color w:val="000000"/>
          <w:szCs w:val="18"/>
        </w:rPr>
        <w:t>,</w:t>
      </w:r>
      <w:r w:rsidR="004071D7">
        <w:rPr>
          <w:rFonts w:eastAsia="Arial" w:cs="Arial"/>
          <w:color w:val="000000"/>
          <w:szCs w:val="18"/>
        </w:rPr>
        <w:t>5</w:t>
      </w:r>
      <w:r w:rsidR="009063D3">
        <w:rPr>
          <w:rFonts w:eastAsia="Arial" w:cs="Arial"/>
          <w:color w:val="000000"/>
          <w:szCs w:val="18"/>
        </w:rPr>
        <w:t>]</w:t>
      </w:r>
      <w:r w:rsidRPr="000A198B">
        <w:rPr>
          <w:rFonts w:eastAsia="Arial" w:cs="Arial"/>
          <w:color w:val="000000"/>
          <w:szCs w:val="18"/>
        </w:rPr>
        <w:t>.</w:t>
      </w:r>
      <w:r w:rsidR="009063D3">
        <w:rPr>
          <w:rFonts w:eastAsia="Arial" w:cs="Arial"/>
          <w:color w:val="000000"/>
          <w:szCs w:val="18"/>
        </w:rPr>
        <w:t xml:space="preserve"> </w:t>
      </w:r>
    </w:p>
    <w:p w14:paraId="5588EB54" w14:textId="34E3DA36" w:rsidR="00D60E03" w:rsidRPr="00C56B32" w:rsidRDefault="000A198B" w:rsidP="000A198B">
      <w:pPr>
        <w:pBdr>
          <w:top w:val="nil"/>
          <w:left w:val="nil"/>
          <w:bottom w:val="nil"/>
          <w:right w:val="nil"/>
          <w:between w:val="nil"/>
        </w:pBdr>
        <w:rPr>
          <w:rFonts w:eastAsia="Arial" w:cs="Arial"/>
          <w:color w:val="000000"/>
          <w:szCs w:val="18"/>
          <w:lang w:val="en-US"/>
        </w:rPr>
      </w:pPr>
      <w:r w:rsidRPr="000A198B">
        <w:rPr>
          <w:rFonts w:eastAsia="Arial" w:cs="Arial"/>
          <w:color w:val="000000"/>
          <w:szCs w:val="18"/>
        </w:rPr>
        <w:t>In this regard, this article is devoted to the study of the effect of the specific surface area and the degree of crystallinity on the activity of cerium-zinc oxide catalysts in the reaction of steam conversion of ethanol into acetone.</w:t>
      </w:r>
      <w:r>
        <w:rPr>
          <w:rFonts w:eastAsia="Arial" w:cs="Arial"/>
          <w:color w:val="000000"/>
          <w:szCs w:val="18"/>
        </w:rPr>
        <w:t xml:space="preserve"> </w:t>
      </w:r>
    </w:p>
    <w:p w14:paraId="00B8E90F" w14:textId="77777777" w:rsidR="00D60E03" w:rsidRDefault="00000000" w:rsidP="00606B4D">
      <w:pPr>
        <w:keepNext/>
        <w:numPr>
          <w:ilvl w:val="1"/>
          <w:numId w:val="1"/>
        </w:numPr>
        <w:pBdr>
          <w:top w:val="nil"/>
          <w:left w:val="nil"/>
          <w:bottom w:val="nil"/>
          <w:right w:val="nil"/>
          <w:between w:val="nil"/>
        </w:pBdr>
        <w:tabs>
          <w:tab w:val="clear" w:pos="7100"/>
        </w:tabs>
        <w:spacing w:before="240" w:after="120" w:line="240" w:lineRule="auto"/>
        <w:ind w:right="-2"/>
        <w:jc w:val="left"/>
      </w:pPr>
      <w:r>
        <w:rPr>
          <w:rFonts w:eastAsia="Arial" w:cs="Arial"/>
          <w:b/>
          <w:color w:val="000000"/>
          <w:sz w:val="20"/>
        </w:rPr>
        <w:t>Experimental technique</w:t>
      </w:r>
    </w:p>
    <w:p w14:paraId="50D19B5F" w14:textId="733D8ABF" w:rsidR="00D60E03" w:rsidRDefault="00000000">
      <w:pPr>
        <w:pBdr>
          <w:top w:val="nil"/>
          <w:left w:val="nil"/>
          <w:bottom w:val="nil"/>
          <w:right w:val="nil"/>
          <w:between w:val="nil"/>
        </w:pBdr>
        <w:spacing w:line="240" w:lineRule="auto"/>
        <w:rPr>
          <w:rFonts w:eastAsia="Arial" w:cs="Arial"/>
          <w:color w:val="000000"/>
          <w:szCs w:val="18"/>
        </w:rPr>
      </w:pPr>
      <w:r>
        <w:rPr>
          <w:rFonts w:eastAsia="Arial" w:cs="Arial"/>
          <w:color w:val="000000"/>
          <w:szCs w:val="18"/>
        </w:rPr>
        <w:t>Binary cerium-zinc oxide catalysts of various compositions were prepared by coprecipitation method. Aqueous solutions of suspensions of cerium and zinc nitrates were used. The resulting mixture was evaporated at 95–100 °C, dried at 100 – 120 °C, and calcined at 250 – 350 °C until nitrogen oxides were completely released. The resulting solid mass was calcined at 700</w:t>
      </w:r>
      <w:r w:rsidR="00051542">
        <w:rPr>
          <w:rFonts w:eastAsia="Arial" w:cs="Arial"/>
          <w:color w:val="000000"/>
          <w:szCs w:val="18"/>
        </w:rPr>
        <w:t xml:space="preserve"> </w:t>
      </w:r>
      <w:proofErr w:type="spellStart"/>
      <w:r>
        <w:rPr>
          <w:rFonts w:eastAsia="Arial" w:cs="Arial"/>
          <w:color w:val="000000"/>
          <w:szCs w:val="18"/>
          <w:vertAlign w:val="superscript"/>
        </w:rPr>
        <w:t>o</w:t>
      </w:r>
      <w:r>
        <w:rPr>
          <w:rFonts w:eastAsia="Arial" w:cs="Arial"/>
          <w:color w:val="000000"/>
          <w:szCs w:val="18"/>
        </w:rPr>
        <w:t>C</w:t>
      </w:r>
      <w:proofErr w:type="spellEnd"/>
      <w:r>
        <w:rPr>
          <w:rFonts w:eastAsia="Arial" w:cs="Arial"/>
          <w:color w:val="000000"/>
          <w:szCs w:val="18"/>
        </w:rPr>
        <w:t xml:space="preserve"> for 10 hours. The prepared samples were tableted and then </w:t>
      </w:r>
      <w:r>
        <w:rPr>
          <w:rFonts w:eastAsia="Arial" w:cs="Arial"/>
          <w:color w:val="000000"/>
          <w:szCs w:val="18"/>
        </w:rPr>
        <w:lastRenderedPageBreak/>
        <w:t xml:space="preserve">granulated. Thus, nine samples of binary cerium-zinc oxide catalysts of various composition were synthesized. The atomic ratio </w:t>
      </w:r>
      <w:proofErr w:type="gramStart"/>
      <w:r>
        <w:rPr>
          <w:rFonts w:eastAsia="Arial" w:cs="Arial"/>
          <w:color w:val="000000"/>
          <w:szCs w:val="18"/>
        </w:rPr>
        <w:t>Ce :</w:t>
      </w:r>
      <w:proofErr w:type="gramEnd"/>
      <w:r>
        <w:rPr>
          <w:rFonts w:eastAsia="Arial" w:cs="Arial"/>
          <w:color w:val="000000"/>
          <w:szCs w:val="18"/>
        </w:rPr>
        <w:t xml:space="preserve"> Zn varied from 1 : 9 to 9 : 1.</w:t>
      </w:r>
    </w:p>
    <w:p w14:paraId="14426AD3" w14:textId="77777777" w:rsidR="00D60E03" w:rsidRDefault="00D60E03">
      <w:pPr>
        <w:pBdr>
          <w:top w:val="nil"/>
          <w:left w:val="nil"/>
          <w:bottom w:val="nil"/>
          <w:right w:val="nil"/>
          <w:between w:val="nil"/>
        </w:pBdr>
        <w:spacing w:line="240" w:lineRule="auto"/>
        <w:rPr>
          <w:rFonts w:eastAsia="Arial" w:cs="Arial"/>
          <w:color w:val="000000"/>
          <w:szCs w:val="18"/>
        </w:rPr>
      </w:pPr>
    </w:p>
    <w:p w14:paraId="5308E164" w14:textId="77777777" w:rsidR="00D60E03" w:rsidRDefault="00000000">
      <w:pPr>
        <w:pBdr>
          <w:top w:val="nil"/>
          <w:left w:val="nil"/>
          <w:bottom w:val="nil"/>
          <w:right w:val="nil"/>
          <w:between w:val="nil"/>
        </w:pBdr>
        <w:spacing w:line="240" w:lineRule="auto"/>
        <w:rPr>
          <w:rFonts w:eastAsia="Arial" w:cs="Arial"/>
          <w:b/>
          <w:color w:val="000000"/>
          <w:szCs w:val="18"/>
        </w:rPr>
      </w:pPr>
      <w:r>
        <w:rPr>
          <w:rFonts w:eastAsia="Arial" w:cs="Arial"/>
          <w:b/>
          <w:color w:val="000000"/>
          <w:szCs w:val="18"/>
        </w:rPr>
        <w:t>2.1. Determination of the activity of the synthesized catalyst in the reaction of ethanol vapor-phase conversion to acetone</w:t>
      </w:r>
    </w:p>
    <w:p w14:paraId="16BB90C6" w14:textId="77777777" w:rsidR="00D60E03" w:rsidRDefault="00D60E03">
      <w:pPr>
        <w:pBdr>
          <w:top w:val="nil"/>
          <w:left w:val="nil"/>
          <w:bottom w:val="nil"/>
          <w:right w:val="nil"/>
          <w:between w:val="nil"/>
        </w:pBdr>
        <w:spacing w:line="240" w:lineRule="auto"/>
        <w:rPr>
          <w:rFonts w:eastAsia="Arial" w:cs="Arial"/>
          <w:color w:val="000000"/>
          <w:szCs w:val="18"/>
        </w:rPr>
      </w:pPr>
    </w:p>
    <w:p w14:paraId="06099C23" w14:textId="5CA2FC91" w:rsidR="00D60E03" w:rsidRDefault="00B25108">
      <w:pPr>
        <w:pBdr>
          <w:top w:val="nil"/>
          <w:left w:val="nil"/>
          <w:bottom w:val="nil"/>
          <w:right w:val="nil"/>
          <w:between w:val="nil"/>
        </w:pBdr>
        <w:spacing w:line="240" w:lineRule="auto"/>
        <w:rPr>
          <w:rFonts w:eastAsia="Arial" w:cs="Arial"/>
          <w:color w:val="000000"/>
          <w:szCs w:val="18"/>
        </w:rPr>
      </w:pPr>
      <w:r w:rsidRPr="00B25108">
        <w:rPr>
          <w:rFonts w:eastAsia="Arial" w:cs="Arial"/>
          <w:color w:val="000000"/>
          <w:szCs w:val="18"/>
        </w:rPr>
        <w:t xml:space="preserve">The activity of the synthesized catalysts in the reaction of ethanol conversion to acetone in the presence of water vapor was studied on a flow-through setup with a quartz reactor at atmospheric pressure in the temperature range of 250 </w:t>
      </w:r>
      <w:r w:rsidR="00051542">
        <w:rPr>
          <w:rFonts w:eastAsia="Arial" w:cs="Arial"/>
          <w:color w:val="000000"/>
          <w:szCs w:val="18"/>
        </w:rPr>
        <w:t>–</w:t>
      </w:r>
      <w:r w:rsidRPr="00B25108">
        <w:rPr>
          <w:rFonts w:eastAsia="Arial" w:cs="Arial"/>
          <w:color w:val="000000"/>
          <w:szCs w:val="18"/>
        </w:rPr>
        <w:t xml:space="preserve"> 700</w:t>
      </w:r>
      <w:r w:rsidR="00051542">
        <w:rPr>
          <w:rFonts w:eastAsia="Arial" w:cs="Arial"/>
          <w:color w:val="000000"/>
          <w:szCs w:val="18"/>
        </w:rPr>
        <w:t xml:space="preserve"> </w:t>
      </w:r>
      <w:r w:rsidRPr="00B25108">
        <w:rPr>
          <w:rFonts w:eastAsia="Arial" w:cs="Arial"/>
          <w:color w:val="000000"/>
          <w:szCs w:val="18"/>
        </w:rPr>
        <w:t>°C every 50</w:t>
      </w:r>
      <w:r w:rsidR="00051542">
        <w:rPr>
          <w:rFonts w:eastAsia="Arial" w:cs="Arial"/>
          <w:color w:val="000000"/>
          <w:szCs w:val="18"/>
        </w:rPr>
        <w:t xml:space="preserve"> </w:t>
      </w:r>
      <w:r w:rsidRPr="00B25108">
        <w:rPr>
          <w:rFonts w:eastAsia="Arial" w:cs="Arial"/>
          <w:color w:val="000000"/>
          <w:szCs w:val="18"/>
        </w:rPr>
        <w:t xml:space="preserve">°C. 5 ml of catalyst with a grain size of 1.0-2.0 mm were loaded into the reactor and the reaction of ethanol conversion to acetone in the presence of water vapor was studied. The </w:t>
      </w:r>
      <w:proofErr w:type="gramStart"/>
      <w:r w:rsidRPr="00B25108">
        <w:rPr>
          <w:rFonts w:eastAsia="Arial" w:cs="Arial"/>
          <w:color w:val="000000"/>
          <w:szCs w:val="18"/>
        </w:rPr>
        <w:t>ethanol :</w:t>
      </w:r>
      <w:proofErr w:type="gramEnd"/>
      <w:r w:rsidRPr="00B25108">
        <w:rPr>
          <w:rFonts w:eastAsia="Arial" w:cs="Arial"/>
          <w:color w:val="000000"/>
          <w:szCs w:val="18"/>
        </w:rPr>
        <w:t xml:space="preserve"> water vapor : nitrogen ratio was 1 : 1 : 8. Under these conditions, the contact time was 2 seconds. Changing the grain size in the range from 0.5 to 5 mm, as well as the linear feed rate of the raw material at a constant contact time did not affect the reaction rate of steam conversion of ethanol to hydrogen. This indicates the absence of internal and external diffusion complications. The catalyst activity at each temperature was measured for 40-50 minutes. The achievement of the steady state of the catalyst at a given temperature was indicated by the constancy of the chromatographic analyses. During this period, the composition of the feedstock and reaction products was </w:t>
      </w:r>
      <w:r w:rsidR="004D30BF" w:rsidRPr="00B25108">
        <w:rPr>
          <w:rFonts w:eastAsia="Arial" w:cs="Arial"/>
          <w:color w:val="000000"/>
          <w:szCs w:val="18"/>
        </w:rPr>
        <w:t>analysed</w:t>
      </w:r>
      <w:r w:rsidRPr="00B25108">
        <w:rPr>
          <w:rFonts w:eastAsia="Arial" w:cs="Arial"/>
          <w:color w:val="000000"/>
          <w:szCs w:val="18"/>
        </w:rPr>
        <w:t xml:space="preserve"> 3-4 times by the chromatographic method, after which they moved on to the next temperature. In general, studying the activity of one sample took from 8 to 10 hours. Considering that during the experiments the catalysts did not lose their activity in the ethanol </w:t>
      </w:r>
      <w:r>
        <w:rPr>
          <w:rFonts w:eastAsia="Arial" w:cs="Arial"/>
          <w:color w:val="000000"/>
          <w:szCs w:val="18"/>
        </w:rPr>
        <w:t>conversion</w:t>
      </w:r>
      <w:r w:rsidRPr="00B25108">
        <w:rPr>
          <w:rFonts w:eastAsia="Arial" w:cs="Arial"/>
          <w:color w:val="000000"/>
          <w:szCs w:val="18"/>
        </w:rPr>
        <w:t xml:space="preserve"> reaction, it can be said that no changes in the catalytic properties occurred. To determine the yields of the obtained products and the amount of unreacted ethanol, a chromatograph with a flame ionization detector and a 2 m column filled with specially treated Polysorb-1 sorbent was used. The amount of carbon dioxide formed was determined on a chromatograph with a 6 m column filled with Celite sorbent coated with </w:t>
      </w:r>
      <w:r w:rsidR="004D30BF" w:rsidRPr="00B25108">
        <w:rPr>
          <w:rFonts w:eastAsia="Arial" w:cs="Arial"/>
          <w:color w:val="000000"/>
          <w:szCs w:val="18"/>
        </w:rPr>
        <w:t>Vaseline</w:t>
      </w:r>
      <w:r w:rsidRPr="00B25108">
        <w:rPr>
          <w:rFonts w:eastAsia="Arial" w:cs="Arial"/>
          <w:color w:val="000000"/>
          <w:szCs w:val="18"/>
        </w:rPr>
        <w:t xml:space="preserve"> oil.</w:t>
      </w:r>
    </w:p>
    <w:p w14:paraId="5672D5FF" w14:textId="77777777" w:rsidR="00D60E03" w:rsidRDefault="00D60E03">
      <w:pPr>
        <w:pBdr>
          <w:top w:val="nil"/>
          <w:left w:val="nil"/>
          <w:bottom w:val="nil"/>
          <w:right w:val="nil"/>
          <w:between w:val="nil"/>
        </w:pBdr>
        <w:spacing w:line="240" w:lineRule="auto"/>
        <w:rPr>
          <w:rFonts w:eastAsia="Arial" w:cs="Arial"/>
          <w:b/>
          <w:color w:val="000000"/>
          <w:szCs w:val="18"/>
        </w:rPr>
      </w:pPr>
    </w:p>
    <w:p w14:paraId="0E886ACF" w14:textId="77777777" w:rsidR="00D60E03" w:rsidRDefault="00000000">
      <w:pPr>
        <w:pBdr>
          <w:top w:val="nil"/>
          <w:left w:val="nil"/>
          <w:bottom w:val="nil"/>
          <w:right w:val="nil"/>
          <w:between w:val="nil"/>
        </w:pBdr>
        <w:spacing w:line="240" w:lineRule="auto"/>
        <w:rPr>
          <w:rFonts w:eastAsia="Arial" w:cs="Arial"/>
          <w:b/>
          <w:color w:val="000000"/>
          <w:szCs w:val="18"/>
        </w:rPr>
      </w:pPr>
      <w:r>
        <w:rPr>
          <w:rFonts w:eastAsia="Arial" w:cs="Arial"/>
          <w:b/>
          <w:color w:val="000000"/>
          <w:szCs w:val="18"/>
        </w:rPr>
        <w:t>2.2. X-Ray analysis</w:t>
      </w:r>
    </w:p>
    <w:p w14:paraId="22765281" w14:textId="77777777" w:rsidR="00D60E03" w:rsidRDefault="00D60E03">
      <w:pPr>
        <w:pBdr>
          <w:top w:val="nil"/>
          <w:left w:val="nil"/>
          <w:bottom w:val="nil"/>
          <w:right w:val="nil"/>
          <w:between w:val="nil"/>
        </w:pBdr>
        <w:spacing w:line="240" w:lineRule="auto"/>
        <w:rPr>
          <w:rFonts w:eastAsia="Arial" w:cs="Arial"/>
          <w:color w:val="000000"/>
          <w:szCs w:val="18"/>
        </w:rPr>
      </w:pPr>
    </w:p>
    <w:p w14:paraId="3047E765" w14:textId="77777777" w:rsidR="00D60E03" w:rsidRDefault="00000000">
      <w:pPr>
        <w:pBdr>
          <w:top w:val="nil"/>
          <w:left w:val="nil"/>
          <w:bottom w:val="nil"/>
          <w:right w:val="nil"/>
          <w:between w:val="nil"/>
        </w:pBdr>
        <w:spacing w:line="240" w:lineRule="auto"/>
        <w:rPr>
          <w:rFonts w:eastAsia="Arial" w:cs="Arial"/>
          <w:color w:val="000000"/>
          <w:szCs w:val="18"/>
        </w:rPr>
      </w:pPr>
      <w:r>
        <w:rPr>
          <w:rFonts w:eastAsia="Arial" w:cs="Arial"/>
          <w:color w:val="000000"/>
          <w:szCs w:val="18"/>
        </w:rPr>
        <w:t>X-ray diffraction studies of the phase composition of the synthesized Ce-Zn-O catalysts were carried out on an automatic powder diffractometer “D2 Phaser” from Bruker (Germany) (</w:t>
      </w:r>
      <w:proofErr w:type="spellStart"/>
      <w:r>
        <w:rPr>
          <w:rFonts w:eastAsia="Arial" w:cs="Arial"/>
          <w:color w:val="000000"/>
          <w:szCs w:val="18"/>
        </w:rPr>
        <w:t>CuK</w:t>
      </w:r>
      <w:proofErr w:type="spellEnd"/>
      <w:r>
        <w:rPr>
          <w:rFonts w:eastAsia="Arial" w:cs="Arial"/>
          <w:color w:val="000000"/>
          <w:szCs w:val="18"/>
        </w:rPr>
        <w:t xml:space="preserve">α radiation, Ni filter). Figure 1 shows the diffraction patterns of all nine </w:t>
      </w:r>
      <w:proofErr w:type="spellStart"/>
      <w:r>
        <w:rPr>
          <w:rFonts w:eastAsia="Arial" w:cs="Arial"/>
          <w:color w:val="000000"/>
          <w:szCs w:val="18"/>
        </w:rPr>
        <w:t>mMg:nZn</w:t>
      </w:r>
      <w:proofErr w:type="spellEnd"/>
      <w:r>
        <w:rPr>
          <w:rFonts w:eastAsia="Arial" w:cs="Arial"/>
          <w:color w:val="000000"/>
          <w:szCs w:val="18"/>
        </w:rPr>
        <w:t xml:space="preserve"> ratios </w:t>
      </w:r>
      <w:proofErr w:type="gramStart"/>
      <w:r>
        <w:rPr>
          <w:rFonts w:eastAsia="Arial" w:cs="Arial"/>
          <w:color w:val="000000"/>
          <w:szCs w:val="18"/>
        </w:rPr>
        <w:t>collected together</w:t>
      </w:r>
      <w:proofErr w:type="gramEnd"/>
      <w:r>
        <w:rPr>
          <w:rFonts w:eastAsia="Arial" w:cs="Arial"/>
          <w:color w:val="000000"/>
          <w:szCs w:val="18"/>
        </w:rPr>
        <w:t>. At the beginning and end of these diffraction patterns, CeO</w:t>
      </w:r>
      <w:r>
        <w:rPr>
          <w:rFonts w:eastAsia="Arial" w:cs="Arial"/>
          <w:color w:val="000000"/>
          <w:szCs w:val="18"/>
          <w:vertAlign w:val="subscript"/>
        </w:rPr>
        <w:t>2</w:t>
      </w:r>
      <w:r>
        <w:rPr>
          <w:rFonts w:eastAsia="Arial" w:cs="Arial"/>
          <w:color w:val="000000"/>
          <w:szCs w:val="18"/>
        </w:rPr>
        <w:t xml:space="preserve"> and </w:t>
      </w:r>
      <w:proofErr w:type="spellStart"/>
      <w:r>
        <w:rPr>
          <w:rFonts w:eastAsia="Arial" w:cs="Arial"/>
          <w:color w:val="000000"/>
          <w:szCs w:val="18"/>
        </w:rPr>
        <w:t>ZnO</w:t>
      </w:r>
      <w:proofErr w:type="spellEnd"/>
      <w:r>
        <w:rPr>
          <w:rFonts w:eastAsia="Arial" w:cs="Arial"/>
          <w:color w:val="000000"/>
          <w:szCs w:val="18"/>
        </w:rPr>
        <w:t xml:space="preserve"> oxides are also presented.</w:t>
      </w:r>
    </w:p>
    <w:p w14:paraId="71B62975" w14:textId="77777777" w:rsidR="00D60E03" w:rsidRDefault="00D60E03">
      <w:pPr>
        <w:pBdr>
          <w:top w:val="nil"/>
          <w:left w:val="nil"/>
          <w:bottom w:val="nil"/>
          <w:right w:val="nil"/>
          <w:between w:val="nil"/>
        </w:pBdr>
        <w:spacing w:line="240" w:lineRule="auto"/>
        <w:rPr>
          <w:rFonts w:eastAsia="Arial" w:cs="Arial"/>
          <w:color w:val="000000"/>
          <w:szCs w:val="18"/>
        </w:rPr>
      </w:pPr>
    </w:p>
    <w:p w14:paraId="74615846" w14:textId="77777777" w:rsidR="00D60E03" w:rsidRDefault="00000000">
      <w:pPr>
        <w:pBdr>
          <w:top w:val="nil"/>
          <w:left w:val="nil"/>
          <w:bottom w:val="nil"/>
          <w:right w:val="nil"/>
          <w:between w:val="nil"/>
        </w:pBdr>
        <w:spacing w:line="240" w:lineRule="auto"/>
        <w:rPr>
          <w:rFonts w:eastAsia="Arial" w:cs="Arial"/>
          <w:color w:val="000000"/>
          <w:szCs w:val="18"/>
        </w:rPr>
      </w:pPr>
      <w:r>
        <w:rPr>
          <w:rFonts w:eastAsia="Arial" w:cs="Arial"/>
          <w:noProof/>
          <w:color w:val="000000"/>
          <w:szCs w:val="18"/>
        </w:rPr>
        <w:drawing>
          <wp:inline distT="0" distB="0" distL="0" distR="0" wp14:anchorId="59013A75" wp14:editId="5FE2A6DC">
            <wp:extent cx="5514975" cy="3152775"/>
            <wp:effectExtent l="0" t="0" r="9525" b="9525"/>
            <wp:docPr id="199994351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5515844" cy="3153272"/>
                    </a:xfrm>
                    <a:prstGeom prst="rect">
                      <a:avLst/>
                    </a:prstGeom>
                    <a:ln/>
                  </pic:spPr>
                </pic:pic>
              </a:graphicData>
            </a:graphic>
          </wp:inline>
        </w:drawing>
      </w:r>
    </w:p>
    <w:p w14:paraId="55846F7D" w14:textId="77777777" w:rsidR="00D60E03" w:rsidRDefault="00D60E03">
      <w:pPr>
        <w:pBdr>
          <w:top w:val="nil"/>
          <w:left w:val="nil"/>
          <w:bottom w:val="nil"/>
          <w:right w:val="nil"/>
          <w:between w:val="nil"/>
        </w:pBdr>
        <w:rPr>
          <w:rFonts w:eastAsia="Arial" w:cs="Arial"/>
          <w:i/>
          <w:color w:val="000000"/>
          <w:szCs w:val="18"/>
        </w:rPr>
      </w:pPr>
    </w:p>
    <w:p w14:paraId="54B5E434" w14:textId="77777777" w:rsidR="00D60E03" w:rsidRDefault="00000000">
      <w:pPr>
        <w:pBdr>
          <w:top w:val="nil"/>
          <w:left w:val="nil"/>
          <w:bottom w:val="nil"/>
          <w:right w:val="nil"/>
          <w:between w:val="nil"/>
        </w:pBdr>
        <w:rPr>
          <w:rFonts w:eastAsia="Arial" w:cs="Arial"/>
          <w:i/>
          <w:color w:val="000000"/>
          <w:szCs w:val="18"/>
        </w:rPr>
      </w:pPr>
      <w:r>
        <w:rPr>
          <w:rFonts w:eastAsia="Arial" w:cs="Arial"/>
          <w:i/>
          <w:color w:val="000000"/>
          <w:szCs w:val="18"/>
        </w:rPr>
        <w:t xml:space="preserve">Figure 1: Diffractograms of Ce-Zn-O catalysts with different </w:t>
      </w:r>
      <w:proofErr w:type="spellStart"/>
      <w:r>
        <w:rPr>
          <w:rFonts w:eastAsia="Arial" w:cs="Arial"/>
          <w:i/>
          <w:color w:val="000000"/>
          <w:szCs w:val="18"/>
        </w:rPr>
        <w:t>Ce:Zn</w:t>
      </w:r>
      <w:proofErr w:type="spellEnd"/>
      <w:r>
        <w:rPr>
          <w:rFonts w:eastAsia="Arial" w:cs="Arial"/>
          <w:i/>
          <w:color w:val="000000"/>
          <w:szCs w:val="18"/>
        </w:rPr>
        <w:t xml:space="preserve"> ratios</w:t>
      </w:r>
    </w:p>
    <w:p w14:paraId="3B4C7D5C" w14:textId="77777777" w:rsidR="00EB440F" w:rsidRDefault="00EB440F">
      <w:pPr>
        <w:pBdr>
          <w:top w:val="nil"/>
          <w:left w:val="nil"/>
          <w:bottom w:val="nil"/>
          <w:right w:val="nil"/>
          <w:between w:val="nil"/>
        </w:pBdr>
        <w:rPr>
          <w:rFonts w:eastAsia="Arial" w:cs="Arial"/>
          <w:iCs/>
          <w:color w:val="000000"/>
          <w:szCs w:val="18"/>
        </w:rPr>
      </w:pPr>
    </w:p>
    <w:p w14:paraId="075B7B5E" w14:textId="30F64839" w:rsidR="00EB440F" w:rsidRPr="00EB440F" w:rsidRDefault="00EB440F" w:rsidP="00EB440F">
      <w:pPr>
        <w:pBdr>
          <w:top w:val="nil"/>
          <w:left w:val="nil"/>
          <w:bottom w:val="nil"/>
          <w:right w:val="nil"/>
          <w:between w:val="nil"/>
        </w:pBdr>
        <w:rPr>
          <w:rFonts w:eastAsia="Arial" w:cs="Arial"/>
          <w:iCs/>
          <w:color w:val="000000"/>
          <w:szCs w:val="18"/>
        </w:rPr>
      </w:pPr>
      <w:r w:rsidRPr="00EB440F">
        <w:rPr>
          <w:rFonts w:eastAsia="Arial" w:cs="Arial"/>
          <w:iCs/>
          <w:color w:val="000000"/>
          <w:szCs w:val="18"/>
        </w:rPr>
        <w:t>Degree of crystallinity of the studied samples was determined using the program DIFFRAC.EVA. As is evident from Table 1 that the degree of crystallinity of binary cerium-zinc oxide samples is practically independent of the zinc content in the composition of the samples and varies within the range from 75.4</w:t>
      </w:r>
      <w:r w:rsidR="00051542">
        <w:rPr>
          <w:rFonts w:eastAsia="Arial" w:cs="Arial"/>
          <w:iCs/>
          <w:color w:val="000000"/>
          <w:szCs w:val="18"/>
        </w:rPr>
        <w:t xml:space="preserve"> </w:t>
      </w:r>
      <w:r w:rsidRPr="00EB440F">
        <w:rPr>
          <w:rFonts w:eastAsia="Arial" w:cs="Arial"/>
          <w:iCs/>
          <w:color w:val="000000"/>
          <w:szCs w:val="18"/>
        </w:rPr>
        <w:t>% in the Ce-Zn=4-6 sample to 79.5</w:t>
      </w:r>
      <w:r w:rsidR="00051542">
        <w:rPr>
          <w:rFonts w:eastAsia="Arial" w:cs="Arial"/>
          <w:iCs/>
          <w:color w:val="000000"/>
          <w:szCs w:val="18"/>
        </w:rPr>
        <w:t xml:space="preserve"> </w:t>
      </w:r>
      <w:r w:rsidRPr="00EB440F">
        <w:rPr>
          <w:rFonts w:eastAsia="Arial" w:cs="Arial"/>
          <w:iCs/>
          <w:color w:val="000000"/>
          <w:szCs w:val="18"/>
        </w:rPr>
        <w:t>% in the Ce-Zn=9-1 sample.</w:t>
      </w:r>
    </w:p>
    <w:p w14:paraId="3B5B3D06" w14:textId="77777777" w:rsidR="00D60E03" w:rsidRDefault="00D60E03">
      <w:pPr>
        <w:pBdr>
          <w:top w:val="nil"/>
          <w:left w:val="nil"/>
          <w:bottom w:val="nil"/>
          <w:right w:val="nil"/>
          <w:between w:val="nil"/>
        </w:pBdr>
        <w:spacing w:line="240" w:lineRule="auto"/>
        <w:rPr>
          <w:rFonts w:eastAsia="Arial" w:cs="Arial"/>
          <w:color w:val="000000"/>
          <w:szCs w:val="18"/>
        </w:rPr>
      </w:pPr>
    </w:p>
    <w:p w14:paraId="0A64C42A" w14:textId="77777777" w:rsidR="00606B4D" w:rsidRDefault="00606B4D">
      <w:pPr>
        <w:rPr>
          <w:rFonts w:eastAsia="Arial" w:cs="Arial"/>
          <w:b/>
          <w:color w:val="000000"/>
          <w:szCs w:val="18"/>
        </w:rPr>
      </w:pPr>
      <w:r>
        <w:rPr>
          <w:rFonts w:eastAsia="Arial" w:cs="Arial"/>
          <w:b/>
          <w:color w:val="000000"/>
          <w:szCs w:val="18"/>
        </w:rPr>
        <w:br w:type="page"/>
      </w:r>
    </w:p>
    <w:p w14:paraId="3640DB4F" w14:textId="1F90A05D" w:rsidR="00D60E03" w:rsidRDefault="00000000">
      <w:pPr>
        <w:pBdr>
          <w:top w:val="nil"/>
          <w:left w:val="nil"/>
          <w:bottom w:val="nil"/>
          <w:right w:val="nil"/>
          <w:between w:val="nil"/>
        </w:pBdr>
        <w:spacing w:line="240" w:lineRule="auto"/>
        <w:rPr>
          <w:rFonts w:eastAsia="Arial" w:cs="Arial"/>
          <w:b/>
          <w:color w:val="000000"/>
          <w:szCs w:val="18"/>
        </w:rPr>
      </w:pPr>
      <w:r>
        <w:rPr>
          <w:rFonts w:eastAsia="Arial" w:cs="Arial"/>
          <w:b/>
          <w:color w:val="000000"/>
          <w:szCs w:val="18"/>
        </w:rPr>
        <w:lastRenderedPageBreak/>
        <w:t>2.</w:t>
      </w:r>
      <w:r w:rsidR="00EB440F">
        <w:rPr>
          <w:rFonts w:eastAsia="Arial" w:cs="Arial"/>
          <w:b/>
          <w:color w:val="000000"/>
          <w:szCs w:val="18"/>
        </w:rPr>
        <w:t>3</w:t>
      </w:r>
      <w:r>
        <w:rPr>
          <w:rFonts w:eastAsia="Arial" w:cs="Arial"/>
          <w:b/>
          <w:color w:val="000000"/>
          <w:szCs w:val="18"/>
        </w:rPr>
        <w:t>. Determination of specific surface area by thermal desorption of nitrogen</w:t>
      </w:r>
    </w:p>
    <w:p w14:paraId="712A2E27" w14:textId="77777777" w:rsidR="00D60E03" w:rsidRDefault="00D60E03">
      <w:pPr>
        <w:pBdr>
          <w:top w:val="nil"/>
          <w:left w:val="nil"/>
          <w:bottom w:val="nil"/>
          <w:right w:val="nil"/>
          <w:between w:val="nil"/>
        </w:pBdr>
        <w:spacing w:line="240" w:lineRule="auto"/>
        <w:rPr>
          <w:rFonts w:eastAsia="Arial" w:cs="Arial"/>
          <w:color w:val="000000"/>
          <w:szCs w:val="18"/>
        </w:rPr>
      </w:pPr>
    </w:p>
    <w:p w14:paraId="7A3980CE" w14:textId="77777777" w:rsidR="00D60E03" w:rsidRDefault="00000000">
      <w:pPr>
        <w:pBdr>
          <w:top w:val="nil"/>
          <w:left w:val="nil"/>
          <w:bottom w:val="nil"/>
          <w:right w:val="nil"/>
          <w:between w:val="nil"/>
        </w:pBdr>
        <w:spacing w:line="240" w:lineRule="auto"/>
        <w:rPr>
          <w:rFonts w:eastAsia="Arial" w:cs="Arial"/>
          <w:color w:val="000000"/>
          <w:szCs w:val="18"/>
        </w:rPr>
      </w:pPr>
      <w:r>
        <w:rPr>
          <w:rFonts w:eastAsia="Arial" w:cs="Arial"/>
          <w:color w:val="000000"/>
          <w:szCs w:val="18"/>
        </w:rPr>
        <w:t>To determine the specific surface area of the studied catalysts, the method of thermal desorption of nitrogen in a helium flow was used. The studied sample was first placed in a flow of a nitrogen-helium mixture and then cooled to the temperature of liquid nitrogen. During cooling, a monomolecular coating formed on the surface. Therefore, the partial pressure of nitrogen in the mixture was selected in an amount sufficient to form this coating. After cooling, the sample was heated again to room temperature. When heated, nitrogen desorbs from the surface of the sample. This desorption can be observed on the recorder tape as a desorption peak. The amount of desorbed nitrogen is directly dependent on the sample under study. Depending on this amount, the peak area (</w:t>
      </w:r>
      <w:proofErr w:type="spellStart"/>
      <w:r>
        <w:rPr>
          <w:rFonts w:eastAsia="Arial" w:cs="Arial"/>
          <w:color w:val="000000"/>
          <w:szCs w:val="18"/>
        </w:rPr>
        <w:t>S</w:t>
      </w:r>
      <w:r>
        <w:rPr>
          <w:rFonts w:eastAsia="Arial" w:cs="Arial"/>
          <w:color w:val="000000"/>
          <w:szCs w:val="18"/>
          <w:vertAlign w:val="subscript"/>
        </w:rPr>
        <w:t>des</w:t>
      </w:r>
      <w:proofErr w:type="spellEnd"/>
      <w:r>
        <w:rPr>
          <w:rFonts w:eastAsia="Arial" w:cs="Arial"/>
          <w:color w:val="000000"/>
          <w:szCs w:val="18"/>
        </w:rPr>
        <w:t>) can be different.</w:t>
      </w:r>
    </w:p>
    <w:p w14:paraId="0B0F5BBF" w14:textId="77777777" w:rsidR="00D60E03" w:rsidRDefault="00D60E03">
      <w:pPr>
        <w:pBdr>
          <w:top w:val="nil"/>
          <w:left w:val="nil"/>
          <w:bottom w:val="nil"/>
          <w:right w:val="nil"/>
          <w:between w:val="nil"/>
        </w:pBdr>
        <w:spacing w:line="240" w:lineRule="auto"/>
        <w:rPr>
          <w:rFonts w:eastAsia="Arial" w:cs="Arial"/>
          <w:b/>
          <w:color w:val="000000"/>
          <w:szCs w:val="18"/>
        </w:rPr>
      </w:pPr>
    </w:p>
    <w:p w14:paraId="673F5A11" w14:textId="10560671" w:rsidR="00D60E03" w:rsidRDefault="00000000">
      <w:pPr>
        <w:pBdr>
          <w:top w:val="nil"/>
          <w:left w:val="nil"/>
          <w:bottom w:val="nil"/>
          <w:right w:val="nil"/>
          <w:between w:val="nil"/>
        </w:pBdr>
        <w:spacing w:line="240" w:lineRule="auto"/>
        <w:rPr>
          <w:rFonts w:eastAsia="Arial" w:cs="Arial"/>
          <w:b/>
          <w:color w:val="000000"/>
          <w:szCs w:val="18"/>
        </w:rPr>
      </w:pPr>
      <w:r>
        <w:rPr>
          <w:rFonts w:eastAsia="Arial" w:cs="Arial"/>
          <w:b/>
          <w:color w:val="000000"/>
          <w:szCs w:val="18"/>
        </w:rPr>
        <w:t>2.</w:t>
      </w:r>
      <w:r w:rsidR="00EB440F">
        <w:rPr>
          <w:rFonts w:eastAsia="Arial" w:cs="Arial"/>
          <w:b/>
          <w:color w:val="000000"/>
          <w:szCs w:val="18"/>
        </w:rPr>
        <w:t>4</w:t>
      </w:r>
      <w:r>
        <w:rPr>
          <w:rFonts w:eastAsia="Arial" w:cs="Arial"/>
          <w:b/>
          <w:color w:val="000000"/>
          <w:szCs w:val="18"/>
        </w:rPr>
        <w:t xml:space="preserve">. Infrared </w:t>
      </w:r>
      <w:r w:rsidR="00FE57CE">
        <w:rPr>
          <w:rFonts w:eastAsia="Arial" w:cs="Arial"/>
          <w:b/>
          <w:color w:val="000000"/>
          <w:szCs w:val="18"/>
        </w:rPr>
        <w:t xml:space="preserve">spectroscopy </w:t>
      </w:r>
      <w:r>
        <w:rPr>
          <w:rFonts w:eastAsia="Arial" w:cs="Arial"/>
          <w:b/>
          <w:color w:val="000000"/>
          <w:szCs w:val="18"/>
        </w:rPr>
        <w:t>analysis</w:t>
      </w:r>
    </w:p>
    <w:p w14:paraId="046F3A69" w14:textId="77777777" w:rsidR="00D60E03" w:rsidRDefault="00D60E03">
      <w:pPr>
        <w:pBdr>
          <w:top w:val="nil"/>
          <w:left w:val="nil"/>
          <w:bottom w:val="nil"/>
          <w:right w:val="nil"/>
          <w:between w:val="nil"/>
        </w:pBdr>
        <w:spacing w:line="240" w:lineRule="auto"/>
        <w:rPr>
          <w:rFonts w:eastAsia="Arial" w:cs="Arial"/>
          <w:b/>
          <w:color w:val="000000"/>
          <w:szCs w:val="18"/>
        </w:rPr>
      </w:pPr>
    </w:p>
    <w:p w14:paraId="3A2087C4" w14:textId="61D48F51" w:rsidR="00D60E03" w:rsidRDefault="00000000">
      <w:pPr>
        <w:spacing w:line="240" w:lineRule="auto"/>
        <w:rPr>
          <w:color w:val="000000"/>
        </w:rPr>
      </w:pPr>
      <w:proofErr w:type="gramStart"/>
      <w:r>
        <w:rPr>
          <w:color w:val="000000"/>
        </w:rPr>
        <w:t>In order to</w:t>
      </w:r>
      <w:proofErr w:type="gramEnd"/>
      <w:r>
        <w:rPr>
          <w:color w:val="000000"/>
        </w:rPr>
        <w:t xml:space="preserve"> obtain information on the intermediate compounds and complexes present on the catalyst surface, we used IR spectroscopy in our </w:t>
      </w:r>
      <w:r w:rsidR="000C20A2">
        <w:rPr>
          <w:color w:val="000000"/>
        </w:rPr>
        <w:t>research</w:t>
      </w:r>
      <w:r>
        <w:rPr>
          <w:color w:val="000000"/>
        </w:rPr>
        <w:t xml:space="preserve"> to study the binary oxide systems Mg-Zn-O, Ce-Zn-O and Zr-Zn-O tested in the reaction of steam reforming of ethanol into acetone. IR spectroscopic studies of the spent catalysts were carried out on a Nikolet-iS10 IR Fourier spectrophotometer in the range of 400-4000 cm</w:t>
      </w:r>
      <w:r>
        <w:rPr>
          <w:color w:val="000000"/>
          <w:vertAlign w:val="superscript"/>
        </w:rPr>
        <w:t>-1</w:t>
      </w:r>
      <w:r>
        <w:rPr>
          <w:color w:val="000000"/>
        </w:rPr>
        <w:t>. To obtain good spectra, samples of the primary catalyst were ground in an agate mortar until a fine powder was obtained, then placed in a special cuvette and the IR spectra were recorded in the diffuse reflection mode. IR spectra of all the spent samples of the Ce-Zn-O catalysts are shown in Figure 2.</w:t>
      </w:r>
    </w:p>
    <w:p w14:paraId="0D0537D5" w14:textId="77777777" w:rsidR="00D60E03" w:rsidRDefault="00000000">
      <w:pPr>
        <w:spacing w:line="240" w:lineRule="auto"/>
        <w:rPr>
          <w:color w:val="000000"/>
        </w:rPr>
      </w:pPr>
      <w:r>
        <w:rPr>
          <w:noProof/>
          <w:color w:val="000000"/>
          <w:sz w:val="28"/>
          <w:szCs w:val="28"/>
        </w:rPr>
        <w:drawing>
          <wp:inline distT="0" distB="0" distL="0" distR="0" wp14:anchorId="08751A43" wp14:editId="20CB33F4">
            <wp:extent cx="4507523" cy="2496820"/>
            <wp:effectExtent l="0" t="0" r="7620" b="0"/>
            <wp:docPr id="19999435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4611676" cy="2554513"/>
                    </a:xfrm>
                    <a:prstGeom prst="rect">
                      <a:avLst/>
                    </a:prstGeom>
                    <a:ln/>
                  </pic:spPr>
                </pic:pic>
              </a:graphicData>
            </a:graphic>
          </wp:inline>
        </w:drawing>
      </w:r>
    </w:p>
    <w:p w14:paraId="1C3BA0C0" w14:textId="77777777" w:rsidR="00D60E03" w:rsidRDefault="00000000">
      <w:pPr>
        <w:pBdr>
          <w:top w:val="nil"/>
          <w:left w:val="nil"/>
          <w:bottom w:val="nil"/>
          <w:right w:val="nil"/>
          <w:between w:val="nil"/>
        </w:pBdr>
        <w:rPr>
          <w:rFonts w:eastAsia="Arial" w:cs="Arial"/>
          <w:i/>
          <w:color w:val="000000"/>
          <w:szCs w:val="18"/>
        </w:rPr>
      </w:pPr>
      <w:r>
        <w:rPr>
          <w:rFonts w:eastAsia="Arial" w:cs="Arial"/>
          <w:i/>
          <w:color w:val="000000"/>
          <w:szCs w:val="18"/>
        </w:rPr>
        <w:t>Figure 2: IR spectra of the spent samples of the Ce-Zn-O catalytic system of different compositions</w:t>
      </w:r>
    </w:p>
    <w:p w14:paraId="3692AC55" w14:textId="77777777" w:rsidR="00D60E03" w:rsidRDefault="00000000" w:rsidP="00606B4D">
      <w:pPr>
        <w:keepNext/>
        <w:numPr>
          <w:ilvl w:val="1"/>
          <w:numId w:val="1"/>
        </w:numPr>
        <w:pBdr>
          <w:top w:val="nil"/>
          <w:left w:val="nil"/>
          <w:bottom w:val="nil"/>
          <w:right w:val="nil"/>
          <w:between w:val="nil"/>
        </w:pBdr>
        <w:tabs>
          <w:tab w:val="clear" w:pos="7100"/>
        </w:tabs>
        <w:spacing w:before="240" w:after="120" w:line="240" w:lineRule="auto"/>
        <w:jc w:val="left"/>
      </w:pPr>
      <w:r>
        <w:rPr>
          <w:rFonts w:eastAsia="Arial" w:cs="Arial"/>
          <w:b/>
          <w:color w:val="000000"/>
          <w:sz w:val="20"/>
        </w:rPr>
        <w:t>Results and discussions</w:t>
      </w:r>
    </w:p>
    <w:p w14:paraId="1BC46D34" w14:textId="61E679C7" w:rsidR="00EB440F" w:rsidRPr="00EB440F" w:rsidRDefault="00000000" w:rsidP="00FE57CE">
      <w:pPr>
        <w:pBdr>
          <w:top w:val="nil"/>
          <w:left w:val="nil"/>
          <w:bottom w:val="nil"/>
          <w:right w:val="nil"/>
          <w:between w:val="nil"/>
        </w:pBdr>
        <w:spacing w:line="240" w:lineRule="auto"/>
        <w:rPr>
          <w:rFonts w:eastAsia="Arial" w:cs="Arial"/>
          <w:color w:val="000000"/>
          <w:szCs w:val="18"/>
        </w:rPr>
      </w:pPr>
      <w:r>
        <w:rPr>
          <w:rFonts w:eastAsia="Arial" w:cs="Arial"/>
          <w:color w:val="000000"/>
          <w:szCs w:val="18"/>
        </w:rPr>
        <w:t xml:space="preserve">It was found that the products of the reaction ethanol conversion on binary Ce-Zn-O catalysts are ethylene, acetaldehyde, acetone, carbon dioxide. The effect of temperature on the yields of reaction products was studied. Dependence of the products yields on the reaction temperature over the sample </w:t>
      </w:r>
      <w:proofErr w:type="spellStart"/>
      <w:proofErr w:type="gramStart"/>
      <w:r>
        <w:rPr>
          <w:rFonts w:eastAsia="Arial" w:cs="Arial"/>
          <w:color w:val="000000"/>
          <w:szCs w:val="18"/>
        </w:rPr>
        <w:t>Ce:Zn</w:t>
      </w:r>
      <w:proofErr w:type="spellEnd"/>
      <w:proofErr w:type="gramEnd"/>
      <w:r>
        <w:rPr>
          <w:rFonts w:eastAsia="Arial" w:cs="Arial"/>
          <w:color w:val="000000"/>
          <w:szCs w:val="18"/>
        </w:rPr>
        <w:t xml:space="preserve">=2:8 is given in Figure 3. </w:t>
      </w:r>
    </w:p>
    <w:p w14:paraId="36782788" w14:textId="77777777" w:rsidR="00D60E03" w:rsidRDefault="00000000">
      <w:pPr>
        <w:pBdr>
          <w:top w:val="nil"/>
          <w:left w:val="nil"/>
          <w:bottom w:val="nil"/>
          <w:right w:val="nil"/>
          <w:between w:val="nil"/>
        </w:pBdr>
        <w:spacing w:line="240" w:lineRule="auto"/>
        <w:rPr>
          <w:rFonts w:eastAsia="Arial" w:cs="Arial"/>
          <w:color w:val="000000"/>
          <w:szCs w:val="18"/>
        </w:rPr>
      </w:pPr>
      <w:r>
        <w:rPr>
          <w:rFonts w:eastAsia="Arial" w:cs="Arial"/>
          <w:noProof/>
          <w:color w:val="000000"/>
          <w:szCs w:val="18"/>
        </w:rPr>
        <w:drawing>
          <wp:inline distT="0" distB="0" distL="0" distR="0" wp14:anchorId="53B3D329" wp14:editId="21D5E60E">
            <wp:extent cx="4438650" cy="2219325"/>
            <wp:effectExtent l="0" t="0" r="0" b="0"/>
            <wp:docPr id="1999943514" name="Диаграмма 19999435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A916D70" w14:textId="77777777" w:rsidR="00D60E03" w:rsidRDefault="00000000">
      <w:pPr>
        <w:pBdr>
          <w:top w:val="nil"/>
          <w:left w:val="nil"/>
          <w:bottom w:val="nil"/>
          <w:right w:val="nil"/>
          <w:between w:val="nil"/>
        </w:pBdr>
        <w:rPr>
          <w:rFonts w:eastAsia="Arial" w:cs="Arial"/>
          <w:i/>
          <w:color w:val="000000"/>
          <w:szCs w:val="18"/>
        </w:rPr>
      </w:pPr>
      <w:r>
        <w:rPr>
          <w:rFonts w:eastAsia="Arial" w:cs="Arial"/>
          <w:i/>
          <w:color w:val="000000"/>
          <w:szCs w:val="18"/>
        </w:rPr>
        <w:t>Figure 3: Effect of temperature on the yields of ethanol conversion reaction products over catalyst Ce-Zn=2-8</w:t>
      </w:r>
    </w:p>
    <w:p w14:paraId="6C162CB0" w14:textId="77777777" w:rsidR="00FE57CE" w:rsidRPr="00FE57CE" w:rsidRDefault="00FE57CE" w:rsidP="00FE57CE">
      <w:pPr>
        <w:pBdr>
          <w:top w:val="nil"/>
          <w:left w:val="nil"/>
          <w:bottom w:val="nil"/>
          <w:right w:val="nil"/>
          <w:between w:val="nil"/>
        </w:pBdr>
        <w:rPr>
          <w:rFonts w:eastAsia="Arial" w:cs="Arial"/>
          <w:iCs/>
          <w:color w:val="000000"/>
          <w:szCs w:val="18"/>
        </w:rPr>
      </w:pPr>
      <w:r w:rsidRPr="00FE57CE">
        <w:rPr>
          <w:rFonts w:eastAsia="Arial" w:cs="Arial"/>
          <w:iCs/>
          <w:color w:val="000000"/>
          <w:szCs w:val="18"/>
        </w:rPr>
        <w:lastRenderedPageBreak/>
        <w:t xml:space="preserve">As can be seen, the conversion of ethanol on this catalyst begins at a temperature of 300 °C. At this temperature, 0.8 % acetaldehyde is formed. The formation of ethylene and acetone begins at 350 °C, their yields at this temperature are 1.2 % and 3.1 %, respectively. </w:t>
      </w:r>
    </w:p>
    <w:p w14:paraId="29BD5A58" w14:textId="77777777" w:rsidR="00FE57CE" w:rsidRPr="00FE57CE" w:rsidRDefault="00FE57CE" w:rsidP="00FE57CE">
      <w:pPr>
        <w:pBdr>
          <w:top w:val="nil"/>
          <w:left w:val="nil"/>
          <w:bottom w:val="nil"/>
          <w:right w:val="nil"/>
          <w:between w:val="nil"/>
        </w:pBdr>
        <w:rPr>
          <w:rFonts w:eastAsia="Arial" w:cs="Arial"/>
          <w:iCs/>
          <w:color w:val="000000"/>
          <w:szCs w:val="18"/>
        </w:rPr>
      </w:pPr>
      <w:r w:rsidRPr="00FE57CE">
        <w:rPr>
          <w:rFonts w:eastAsia="Arial" w:cs="Arial"/>
          <w:iCs/>
          <w:color w:val="000000"/>
          <w:szCs w:val="18"/>
        </w:rPr>
        <w:t>With an increase in the reaction temperature, the yield of acetone passes through a maximum and reaches 63.7 % at 500 °C. The yield of carbon dioxide increases throughout the studied temperature range and at 550 °C is 9.9 %. The ethanol conversion on this sample reaches 89.8 % at 550 °C.</w:t>
      </w:r>
    </w:p>
    <w:p w14:paraId="309E6569" w14:textId="77777777" w:rsidR="00EB440F" w:rsidRPr="00EB440F" w:rsidRDefault="00EB440F">
      <w:pPr>
        <w:pBdr>
          <w:top w:val="nil"/>
          <w:left w:val="nil"/>
          <w:bottom w:val="nil"/>
          <w:right w:val="nil"/>
          <w:between w:val="nil"/>
        </w:pBdr>
        <w:rPr>
          <w:rFonts w:eastAsia="Arial" w:cs="Arial"/>
          <w:iCs/>
          <w:color w:val="000000"/>
          <w:szCs w:val="18"/>
        </w:rPr>
      </w:pPr>
    </w:p>
    <w:p w14:paraId="09708660" w14:textId="77777777" w:rsidR="00D60E03" w:rsidRDefault="00000000">
      <w:pPr>
        <w:keepNext/>
        <w:pBdr>
          <w:top w:val="nil"/>
          <w:left w:val="nil"/>
          <w:bottom w:val="nil"/>
          <w:right w:val="nil"/>
          <w:between w:val="nil"/>
        </w:pBdr>
        <w:spacing w:line="240" w:lineRule="auto"/>
        <w:rPr>
          <w:rFonts w:eastAsia="Arial" w:cs="Arial"/>
          <w:color w:val="000000"/>
          <w:szCs w:val="18"/>
        </w:rPr>
      </w:pPr>
      <w:r>
        <w:rPr>
          <w:rFonts w:eastAsia="Arial" w:cs="Arial"/>
          <w:color w:val="000000"/>
          <w:szCs w:val="18"/>
        </w:rPr>
        <w:t>Table 1 shows the degrees of crystallinity of the Ce-Zn-O catalytic system samples and the phases present in these samples</w:t>
      </w:r>
      <w:r>
        <w:rPr>
          <w:rFonts w:eastAsia="Arial" w:cs="Arial"/>
          <w:i/>
          <w:color w:val="000000"/>
          <w:szCs w:val="18"/>
        </w:rPr>
        <w:t xml:space="preserve">. </w:t>
      </w:r>
      <w:r>
        <w:rPr>
          <w:rFonts w:eastAsia="Arial" w:cs="Arial"/>
          <w:color w:val="000000"/>
          <w:szCs w:val="18"/>
        </w:rPr>
        <w:t>As can be seen from the table the prepared catalytic systems consist of only the phases of initial oxides. No intermediate chemical compounds are formed.</w:t>
      </w:r>
    </w:p>
    <w:p w14:paraId="3CDFC46D" w14:textId="77777777" w:rsidR="00D60E03" w:rsidRDefault="00D60E03">
      <w:pPr>
        <w:keepNext/>
        <w:pBdr>
          <w:top w:val="nil"/>
          <w:left w:val="nil"/>
          <w:bottom w:val="nil"/>
          <w:right w:val="nil"/>
          <w:between w:val="nil"/>
        </w:pBdr>
        <w:spacing w:line="240" w:lineRule="auto"/>
        <w:rPr>
          <w:rFonts w:eastAsia="Arial" w:cs="Arial"/>
          <w:color w:val="000000"/>
          <w:szCs w:val="18"/>
        </w:rPr>
      </w:pPr>
    </w:p>
    <w:p w14:paraId="6F7F623C" w14:textId="77777777" w:rsidR="00D60E03" w:rsidRDefault="00000000">
      <w:pPr>
        <w:keepNext/>
        <w:pBdr>
          <w:top w:val="nil"/>
          <w:left w:val="nil"/>
          <w:bottom w:val="nil"/>
          <w:right w:val="nil"/>
          <w:between w:val="nil"/>
        </w:pBdr>
        <w:spacing w:after="80" w:line="240" w:lineRule="auto"/>
        <w:rPr>
          <w:rFonts w:eastAsia="Arial" w:cs="Arial"/>
          <w:i/>
          <w:color w:val="000000"/>
          <w:szCs w:val="18"/>
        </w:rPr>
      </w:pPr>
      <w:r>
        <w:rPr>
          <w:rFonts w:eastAsia="Arial" w:cs="Arial"/>
          <w:i/>
          <w:color w:val="000000"/>
          <w:szCs w:val="18"/>
        </w:rPr>
        <w:t>Table 1: Degrees of crystallinity of the Ce-Zn-O catalytic system samples and the phases present in these samples</w:t>
      </w:r>
    </w:p>
    <w:tbl>
      <w:tblPr>
        <w:tblStyle w:val="a0"/>
        <w:tblW w:w="5968" w:type="dxa"/>
        <w:tblInd w:w="0" w:type="dxa"/>
        <w:tblBorders>
          <w:top w:val="single" w:sz="12" w:space="0" w:color="008000"/>
          <w:bottom w:val="single" w:sz="12" w:space="0" w:color="008000"/>
        </w:tblBorders>
        <w:tblLayout w:type="fixed"/>
        <w:tblLook w:val="0000" w:firstRow="0" w:lastRow="0" w:firstColumn="0" w:lastColumn="0" w:noHBand="0" w:noVBand="0"/>
      </w:tblPr>
      <w:tblGrid>
        <w:gridCol w:w="2037"/>
        <w:gridCol w:w="2037"/>
        <w:gridCol w:w="1894"/>
      </w:tblGrid>
      <w:tr w:rsidR="00D60E03" w14:paraId="00D5EB04" w14:textId="77777777">
        <w:trPr>
          <w:trHeight w:val="43"/>
        </w:trPr>
        <w:tc>
          <w:tcPr>
            <w:tcW w:w="2037" w:type="dxa"/>
            <w:tcBorders>
              <w:top w:val="single" w:sz="12" w:space="0" w:color="008000"/>
              <w:bottom w:val="single" w:sz="6" w:space="0" w:color="008000"/>
            </w:tcBorders>
            <w:shd w:val="clear" w:color="auto" w:fill="FFFFFF"/>
          </w:tcPr>
          <w:p w14:paraId="04E8936F" w14:textId="77777777" w:rsidR="00D60E03" w:rsidRDefault="00000000">
            <w:pPr>
              <w:pBdr>
                <w:top w:val="nil"/>
                <w:left w:val="nil"/>
                <w:bottom w:val="nil"/>
                <w:right w:val="nil"/>
                <w:between w:val="nil"/>
              </w:pBdr>
              <w:jc w:val="center"/>
              <w:rPr>
                <w:rFonts w:eastAsia="Arial" w:cs="Arial"/>
                <w:color w:val="000000"/>
                <w:szCs w:val="18"/>
              </w:rPr>
            </w:pPr>
            <w:r>
              <w:rPr>
                <w:rFonts w:eastAsia="Arial" w:cs="Arial"/>
                <w:color w:val="000000"/>
                <w:szCs w:val="18"/>
              </w:rPr>
              <w:t xml:space="preserve">Atomic ratio </w:t>
            </w:r>
            <w:proofErr w:type="spellStart"/>
            <w:r>
              <w:rPr>
                <w:rFonts w:eastAsia="Arial" w:cs="Arial"/>
                <w:color w:val="000000"/>
                <w:szCs w:val="18"/>
              </w:rPr>
              <w:t>Ce:Zn</w:t>
            </w:r>
            <w:proofErr w:type="spellEnd"/>
          </w:p>
        </w:tc>
        <w:tc>
          <w:tcPr>
            <w:tcW w:w="2037" w:type="dxa"/>
            <w:tcBorders>
              <w:top w:val="single" w:sz="12" w:space="0" w:color="008000"/>
              <w:bottom w:val="single" w:sz="6" w:space="0" w:color="008000"/>
            </w:tcBorders>
            <w:shd w:val="clear" w:color="auto" w:fill="FFFFFF"/>
          </w:tcPr>
          <w:p w14:paraId="696CB1B5" w14:textId="77777777" w:rsidR="00D60E03" w:rsidRDefault="00000000">
            <w:pPr>
              <w:pBdr>
                <w:top w:val="nil"/>
                <w:left w:val="nil"/>
                <w:bottom w:val="nil"/>
                <w:right w:val="nil"/>
                <w:between w:val="nil"/>
              </w:pBdr>
              <w:jc w:val="center"/>
              <w:rPr>
                <w:rFonts w:eastAsia="Arial" w:cs="Arial"/>
                <w:color w:val="000000"/>
                <w:szCs w:val="18"/>
              </w:rPr>
            </w:pPr>
            <w:r>
              <w:rPr>
                <w:rFonts w:eastAsia="Arial" w:cs="Arial"/>
                <w:color w:val="000000"/>
                <w:szCs w:val="18"/>
              </w:rPr>
              <w:t>Present phases</w:t>
            </w:r>
          </w:p>
        </w:tc>
        <w:tc>
          <w:tcPr>
            <w:tcW w:w="1894" w:type="dxa"/>
            <w:tcBorders>
              <w:top w:val="single" w:sz="12" w:space="0" w:color="008000"/>
              <w:bottom w:val="single" w:sz="6" w:space="0" w:color="008000"/>
            </w:tcBorders>
            <w:shd w:val="clear" w:color="auto" w:fill="FFFFFF"/>
          </w:tcPr>
          <w:p w14:paraId="09EA694A" w14:textId="77777777" w:rsidR="00D60E03" w:rsidRDefault="00000000">
            <w:pPr>
              <w:pBdr>
                <w:top w:val="nil"/>
                <w:left w:val="nil"/>
                <w:bottom w:val="nil"/>
                <w:right w:val="nil"/>
                <w:between w:val="nil"/>
              </w:pBdr>
              <w:jc w:val="center"/>
              <w:rPr>
                <w:rFonts w:eastAsia="Arial" w:cs="Arial"/>
                <w:color w:val="000000"/>
                <w:szCs w:val="18"/>
              </w:rPr>
            </w:pPr>
            <w:r>
              <w:rPr>
                <w:rFonts w:eastAsia="Arial" w:cs="Arial"/>
                <w:color w:val="000000"/>
                <w:szCs w:val="18"/>
              </w:rPr>
              <w:t>Degree of crystallinity</w:t>
            </w:r>
          </w:p>
        </w:tc>
      </w:tr>
      <w:tr w:rsidR="00D60E03" w14:paraId="1D132D85" w14:textId="77777777">
        <w:trPr>
          <w:trHeight w:val="210"/>
        </w:trPr>
        <w:tc>
          <w:tcPr>
            <w:tcW w:w="2037" w:type="dxa"/>
            <w:shd w:val="clear" w:color="auto" w:fill="FFFFFF"/>
          </w:tcPr>
          <w:p w14:paraId="29A5B599" w14:textId="77777777" w:rsidR="00D60E03" w:rsidRDefault="00000000">
            <w:pPr>
              <w:pBdr>
                <w:top w:val="nil"/>
                <w:left w:val="nil"/>
                <w:bottom w:val="nil"/>
                <w:right w:val="nil"/>
                <w:between w:val="nil"/>
              </w:pBdr>
              <w:jc w:val="center"/>
              <w:rPr>
                <w:rFonts w:eastAsia="Arial" w:cs="Arial"/>
                <w:color w:val="000000"/>
                <w:szCs w:val="18"/>
              </w:rPr>
            </w:pPr>
            <w:r>
              <w:rPr>
                <w:rFonts w:eastAsia="Arial" w:cs="Arial"/>
                <w:color w:val="000000"/>
                <w:szCs w:val="18"/>
              </w:rPr>
              <w:t>1:9</w:t>
            </w:r>
          </w:p>
        </w:tc>
        <w:tc>
          <w:tcPr>
            <w:tcW w:w="2037" w:type="dxa"/>
            <w:shd w:val="clear" w:color="auto" w:fill="FFFFFF"/>
          </w:tcPr>
          <w:p w14:paraId="55346A73" w14:textId="77777777" w:rsidR="00D60E03" w:rsidRDefault="00000000">
            <w:pPr>
              <w:pBdr>
                <w:top w:val="nil"/>
                <w:left w:val="nil"/>
                <w:bottom w:val="nil"/>
                <w:right w:val="nil"/>
                <w:between w:val="nil"/>
              </w:pBdr>
              <w:jc w:val="center"/>
              <w:rPr>
                <w:rFonts w:eastAsia="Arial" w:cs="Arial"/>
                <w:color w:val="000000"/>
                <w:szCs w:val="18"/>
              </w:rPr>
            </w:pPr>
            <w:proofErr w:type="spellStart"/>
            <w:r>
              <w:rPr>
                <w:rFonts w:eastAsia="Arial" w:cs="Arial"/>
                <w:color w:val="000000"/>
                <w:szCs w:val="18"/>
              </w:rPr>
              <w:t>CeO+ZnO</w:t>
            </w:r>
            <w:proofErr w:type="spellEnd"/>
          </w:p>
        </w:tc>
        <w:tc>
          <w:tcPr>
            <w:tcW w:w="1894" w:type="dxa"/>
            <w:shd w:val="clear" w:color="auto" w:fill="FFFFFF"/>
          </w:tcPr>
          <w:p w14:paraId="56E4A823" w14:textId="77777777" w:rsidR="00D60E03" w:rsidRDefault="00000000">
            <w:pPr>
              <w:pBdr>
                <w:top w:val="nil"/>
                <w:left w:val="nil"/>
                <w:bottom w:val="nil"/>
                <w:right w:val="nil"/>
                <w:between w:val="nil"/>
              </w:pBdr>
              <w:jc w:val="center"/>
              <w:rPr>
                <w:rFonts w:eastAsia="Arial" w:cs="Arial"/>
                <w:color w:val="000000"/>
                <w:szCs w:val="18"/>
              </w:rPr>
            </w:pPr>
            <w:r>
              <w:rPr>
                <w:rFonts w:eastAsia="Arial" w:cs="Arial"/>
                <w:color w:val="000000"/>
                <w:szCs w:val="18"/>
              </w:rPr>
              <w:t>76.3</w:t>
            </w:r>
          </w:p>
        </w:tc>
      </w:tr>
      <w:tr w:rsidR="00D60E03" w14:paraId="327C8F77" w14:textId="77777777">
        <w:trPr>
          <w:trHeight w:val="234"/>
        </w:trPr>
        <w:tc>
          <w:tcPr>
            <w:tcW w:w="2037" w:type="dxa"/>
            <w:shd w:val="clear" w:color="auto" w:fill="FFFFFF"/>
          </w:tcPr>
          <w:p w14:paraId="03C602E3" w14:textId="77777777" w:rsidR="00D60E03" w:rsidRDefault="00000000">
            <w:pPr>
              <w:pBdr>
                <w:top w:val="nil"/>
                <w:left w:val="nil"/>
                <w:bottom w:val="nil"/>
                <w:right w:val="nil"/>
                <w:between w:val="nil"/>
              </w:pBdr>
              <w:jc w:val="center"/>
              <w:rPr>
                <w:rFonts w:eastAsia="Arial" w:cs="Arial"/>
                <w:color w:val="000000"/>
                <w:szCs w:val="18"/>
              </w:rPr>
            </w:pPr>
            <w:r>
              <w:rPr>
                <w:rFonts w:eastAsia="Arial" w:cs="Arial"/>
                <w:color w:val="000000"/>
                <w:szCs w:val="18"/>
              </w:rPr>
              <w:t>2:8</w:t>
            </w:r>
          </w:p>
        </w:tc>
        <w:tc>
          <w:tcPr>
            <w:tcW w:w="2037" w:type="dxa"/>
            <w:shd w:val="clear" w:color="auto" w:fill="FFFFFF"/>
          </w:tcPr>
          <w:p w14:paraId="5E698173" w14:textId="77777777" w:rsidR="00D60E03" w:rsidRDefault="00000000">
            <w:pPr>
              <w:pBdr>
                <w:top w:val="nil"/>
                <w:left w:val="nil"/>
                <w:bottom w:val="nil"/>
                <w:right w:val="nil"/>
                <w:between w:val="nil"/>
              </w:pBdr>
              <w:jc w:val="center"/>
              <w:rPr>
                <w:rFonts w:eastAsia="Arial" w:cs="Arial"/>
                <w:color w:val="000000"/>
                <w:szCs w:val="18"/>
              </w:rPr>
            </w:pPr>
            <w:proofErr w:type="spellStart"/>
            <w:r>
              <w:rPr>
                <w:rFonts w:eastAsia="Arial" w:cs="Arial"/>
                <w:color w:val="000000"/>
                <w:szCs w:val="18"/>
              </w:rPr>
              <w:t>CeO+ZnO</w:t>
            </w:r>
            <w:proofErr w:type="spellEnd"/>
          </w:p>
        </w:tc>
        <w:tc>
          <w:tcPr>
            <w:tcW w:w="1894" w:type="dxa"/>
            <w:shd w:val="clear" w:color="auto" w:fill="FFFFFF"/>
          </w:tcPr>
          <w:p w14:paraId="10980175" w14:textId="77777777" w:rsidR="00D60E03" w:rsidRDefault="00000000">
            <w:pPr>
              <w:pBdr>
                <w:top w:val="nil"/>
                <w:left w:val="nil"/>
                <w:bottom w:val="nil"/>
                <w:right w:val="nil"/>
                <w:between w:val="nil"/>
              </w:pBdr>
              <w:jc w:val="center"/>
              <w:rPr>
                <w:rFonts w:eastAsia="Arial" w:cs="Arial"/>
                <w:color w:val="000000"/>
                <w:szCs w:val="18"/>
              </w:rPr>
            </w:pPr>
            <w:r>
              <w:rPr>
                <w:rFonts w:eastAsia="Arial" w:cs="Arial"/>
                <w:color w:val="000000"/>
                <w:szCs w:val="18"/>
              </w:rPr>
              <w:t>75.5</w:t>
            </w:r>
          </w:p>
        </w:tc>
      </w:tr>
      <w:tr w:rsidR="00D60E03" w14:paraId="54B5187E" w14:textId="77777777">
        <w:trPr>
          <w:trHeight w:val="234"/>
        </w:trPr>
        <w:tc>
          <w:tcPr>
            <w:tcW w:w="2037" w:type="dxa"/>
            <w:shd w:val="clear" w:color="auto" w:fill="FFFFFF"/>
          </w:tcPr>
          <w:p w14:paraId="6F989747" w14:textId="77777777" w:rsidR="00D60E03" w:rsidRDefault="00000000">
            <w:pPr>
              <w:pBdr>
                <w:top w:val="nil"/>
                <w:left w:val="nil"/>
                <w:bottom w:val="nil"/>
                <w:right w:val="nil"/>
                <w:between w:val="nil"/>
              </w:pBdr>
              <w:jc w:val="center"/>
              <w:rPr>
                <w:rFonts w:eastAsia="Arial" w:cs="Arial"/>
                <w:color w:val="000000"/>
                <w:szCs w:val="18"/>
              </w:rPr>
            </w:pPr>
            <w:r>
              <w:rPr>
                <w:rFonts w:eastAsia="Arial" w:cs="Arial"/>
                <w:color w:val="000000"/>
                <w:szCs w:val="18"/>
              </w:rPr>
              <w:t>3:7</w:t>
            </w:r>
          </w:p>
        </w:tc>
        <w:tc>
          <w:tcPr>
            <w:tcW w:w="2037" w:type="dxa"/>
            <w:shd w:val="clear" w:color="auto" w:fill="FFFFFF"/>
          </w:tcPr>
          <w:p w14:paraId="4BF070D5" w14:textId="77777777" w:rsidR="00D60E03" w:rsidRDefault="00000000">
            <w:pPr>
              <w:pBdr>
                <w:top w:val="nil"/>
                <w:left w:val="nil"/>
                <w:bottom w:val="nil"/>
                <w:right w:val="nil"/>
                <w:between w:val="nil"/>
              </w:pBdr>
              <w:jc w:val="center"/>
              <w:rPr>
                <w:rFonts w:eastAsia="Arial" w:cs="Arial"/>
                <w:color w:val="000000"/>
                <w:szCs w:val="18"/>
              </w:rPr>
            </w:pPr>
            <w:proofErr w:type="spellStart"/>
            <w:r>
              <w:rPr>
                <w:rFonts w:eastAsia="Arial" w:cs="Arial"/>
                <w:color w:val="000000"/>
                <w:szCs w:val="18"/>
              </w:rPr>
              <w:t>CeO+ZnO</w:t>
            </w:r>
            <w:proofErr w:type="spellEnd"/>
          </w:p>
        </w:tc>
        <w:tc>
          <w:tcPr>
            <w:tcW w:w="1894" w:type="dxa"/>
            <w:shd w:val="clear" w:color="auto" w:fill="FFFFFF"/>
          </w:tcPr>
          <w:p w14:paraId="622586E6" w14:textId="77777777" w:rsidR="00D60E03" w:rsidRDefault="00000000">
            <w:pPr>
              <w:pBdr>
                <w:top w:val="nil"/>
                <w:left w:val="nil"/>
                <w:bottom w:val="nil"/>
                <w:right w:val="nil"/>
                <w:between w:val="nil"/>
              </w:pBdr>
              <w:jc w:val="center"/>
              <w:rPr>
                <w:rFonts w:eastAsia="Arial" w:cs="Arial"/>
                <w:color w:val="000000"/>
                <w:szCs w:val="18"/>
              </w:rPr>
            </w:pPr>
            <w:r>
              <w:rPr>
                <w:rFonts w:eastAsia="Arial" w:cs="Arial"/>
                <w:color w:val="000000"/>
                <w:szCs w:val="18"/>
              </w:rPr>
              <w:t>78.7</w:t>
            </w:r>
          </w:p>
        </w:tc>
      </w:tr>
      <w:tr w:rsidR="00D60E03" w14:paraId="5E7447C4" w14:textId="77777777">
        <w:trPr>
          <w:trHeight w:val="234"/>
        </w:trPr>
        <w:tc>
          <w:tcPr>
            <w:tcW w:w="2037" w:type="dxa"/>
            <w:shd w:val="clear" w:color="auto" w:fill="FFFFFF"/>
          </w:tcPr>
          <w:p w14:paraId="42798C0A" w14:textId="77777777" w:rsidR="00D60E03" w:rsidRDefault="00000000">
            <w:pPr>
              <w:pBdr>
                <w:top w:val="nil"/>
                <w:left w:val="nil"/>
                <w:bottom w:val="nil"/>
                <w:right w:val="nil"/>
                <w:between w:val="nil"/>
              </w:pBdr>
              <w:jc w:val="center"/>
              <w:rPr>
                <w:rFonts w:eastAsia="Arial" w:cs="Arial"/>
                <w:color w:val="000000"/>
                <w:szCs w:val="18"/>
              </w:rPr>
            </w:pPr>
            <w:r>
              <w:rPr>
                <w:rFonts w:eastAsia="Arial" w:cs="Arial"/>
                <w:color w:val="000000"/>
                <w:szCs w:val="18"/>
              </w:rPr>
              <w:t>4:6</w:t>
            </w:r>
          </w:p>
        </w:tc>
        <w:tc>
          <w:tcPr>
            <w:tcW w:w="2037" w:type="dxa"/>
            <w:shd w:val="clear" w:color="auto" w:fill="FFFFFF"/>
          </w:tcPr>
          <w:p w14:paraId="4BFE358C" w14:textId="77777777" w:rsidR="00D60E03" w:rsidRDefault="00000000">
            <w:pPr>
              <w:pBdr>
                <w:top w:val="nil"/>
                <w:left w:val="nil"/>
                <w:bottom w:val="nil"/>
                <w:right w:val="nil"/>
                <w:between w:val="nil"/>
              </w:pBdr>
              <w:jc w:val="center"/>
              <w:rPr>
                <w:rFonts w:eastAsia="Arial" w:cs="Arial"/>
                <w:color w:val="000000"/>
                <w:szCs w:val="18"/>
              </w:rPr>
            </w:pPr>
            <w:proofErr w:type="spellStart"/>
            <w:r>
              <w:rPr>
                <w:rFonts w:eastAsia="Arial" w:cs="Arial"/>
                <w:color w:val="000000"/>
                <w:szCs w:val="18"/>
              </w:rPr>
              <w:t>CeO+ZnO</w:t>
            </w:r>
            <w:proofErr w:type="spellEnd"/>
          </w:p>
        </w:tc>
        <w:tc>
          <w:tcPr>
            <w:tcW w:w="1894" w:type="dxa"/>
            <w:shd w:val="clear" w:color="auto" w:fill="FFFFFF"/>
          </w:tcPr>
          <w:p w14:paraId="7259147F" w14:textId="77777777" w:rsidR="00D60E03" w:rsidRDefault="00000000">
            <w:pPr>
              <w:pBdr>
                <w:top w:val="nil"/>
                <w:left w:val="nil"/>
                <w:bottom w:val="nil"/>
                <w:right w:val="nil"/>
                <w:between w:val="nil"/>
              </w:pBdr>
              <w:jc w:val="center"/>
              <w:rPr>
                <w:rFonts w:eastAsia="Arial" w:cs="Arial"/>
                <w:color w:val="000000"/>
                <w:szCs w:val="18"/>
              </w:rPr>
            </w:pPr>
            <w:r>
              <w:rPr>
                <w:rFonts w:eastAsia="Arial" w:cs="Arial"/>
                <w:color w:val="000000"/>
                <w:szCs w:val="18"/>
              </w:rPr>
              <w:t>75.4</w:t>
            </w:r>
          </w:p>
        </w:tc>
      </w:tr>
      <w:tr w:rsidR="00D60E03" w14:paraId="58A2F19F" w14:textId="77777777">
        <w:trPr>
          <w:trHeight w:val="180"/>
        </w:trPr>
        <w:tc>
          <w:tcPr>
            <w:tcW w:w="2037" w:type="dxa"/>
            <w:shd w:val="clear" w:color="auto" w:fill="FFFFFF"/>
          </w:tcPr>
          <w:p w14:paraId="2DF21F51" w14:textId="77777777" w:rsidR="00D60E03" w:rsidRDefault="00000000">
            <w:pPr>
              <w:pBdr>
                <w:top w:val="nil"/>
                <w:left w:val="nil"/>
                <w:bottom w:val="nil"/>
                <w:right w:val="nil"/>
                <w:between w:val="nil"/>
              </w:pBdr>
              <w:jc w:val="center"/>
              <w:rPr>
                <w:rFonts w:eastAsia="Arial" w:cs="Arial"/>
                <w:color w:val="000000"/>
                <w:szCs w:val="18"/>
              </w:rPr>
            </w:pPr>
            <w:r>
              <w:rPr>
                <w:rFonts w:eastAsia="Arial" w:cs="Arial"/>
                <w:color w:val="000000"/>
                <w:szCs w:val="18"/>
              </w:rPr>
              <w:t>5:5</w:t>
            </w:r>
          </w:p>
        </w:tc>
        <w:tc>
          <w:tcPr>
            <w:tcW w:w="2037" w:type="dxa"/>
            <w:shd w:val="clear" w:color="auto" w:fill="FFFFFF"/>
          </w:tcPr>
          <w:p w14:paraId="3CA83C98" w14:textId="77777777" w:rsidR="00D60E03" w:rsidRDefault="00000000">
            <w:pPr>
              <w:pBdr>
                <w:top w:val="nil"/>
                <w:left w:val="nil"/>
                <w:bottom w:val="nil"/>
                <w:right w:val="nil"/>
                <w:between w:val="nil"/>
              </w:pBdr>
              <w:jc w:val="center"/>
              <w:rPr>
                <w:rFonts w:eastAsia="Arial" w:cs="Arial"/>
                <w:color w:val="000000"/>
                <w:szCs w:val="18"/>
              </w:rPr>
            </w:pPr>
            <w:proofErr w:type="spellStart"/>
            <w:r>
              <w:rPr>
                <w:rFonts w:eastAsia="Arial" w:cs="Arial"/>
                <w:color w:val="000000"/>
                <w:szCs w:val="18"/>
              </w:rPr>
              <w:t>CeO+ZnO</w:t>
            </w:r>
            <w:proofErr w:type="spellEnd"/>
          </w:p>
        </w:tc>
        <w:tc>
          <w:tcPr>
            <w:tcW w:w="1894" w:type="dxa"/>
            <w:shd w:val="clear" w:color="auto" w:fill="FFFFFF"/>
          </w:tcPr>
          <w:p w14:paraId="1D2968B7" w14:textId="77777777" w:rsidR="00D60E03" w:rsidRDefault="00000000">
            <w:pPr>
              <w:pBdr>
                <w:top w:val="nil"/>
                <w:left w:val="nil"/>
                <w:bottom w:val="nil"/>
                <w:right w:val="nil"/>
                <w:between w:val="nil"/>
              </w:pBdr>
              <w:jc w:val="center"/>
              <w:rPr>
                <w:rFonts w:eastAsia="Arial" w:cs="Arial"/>
                <w:color w:val="000000"/>
                <w:szCs w:val="18"/>
              </w:rPr>
            </w:pPr>
            <w:r>
              <w:rPr>
                <w:rFonts w:eastAsia="Arial" w:cs="Arial"/>
                <w:color w:val="000000"/>
                <w:szCs w:val="18"/>
              </w:rPr>
              <w:t>77.5</w:t>
            </w:r>
          </w:p>
        </w:tc>
      </w:tr>
      <w:tr w:rsidR="00D60E03" w14:paraId="50D9870F" w14:textId="77777777">
        <w:trPr>
          <w:trHeight w:val="225"/>
        </w:trPr>
        <w:tc>
          <w:tcPr>
            <w:tcW w:w="2037" w:type="dxa"/>
            <w:shd w:val="clear" w:color="auto" w:fill="FFFFFF"/>
          </w:tcPr>
          <w:p w14:paraId="7E1C42FD" w14:textId="77777777" w:rsidR="00D60E03" w:rsidRDefault="00000000">
            <w:pPr>
              <w:pBdr>
                <w:top w:val="nil"/>
                <w:left w:val="nil"/>
                <w:bottom w:val="nil"/>
                <w:right w:val="nil"/>
                <w:between w:val="nil"/>
              </w:pBdr>
              <w:jc w:val="center"/>
              <w:rPr>
                <w:rFonts w:eastAsia="Arial" w:cs="Arial"/>
                <w:color w:val="000000"/>
                <w:szCs w:val="18"/>
              </w:rPr>
            </w:pPr>
            <w:r>
              <w:rPr>
                <w:rFonts w:eastAsia="Arial" w:cs="Arial"/>
                <w:color w:val="000000"/>
                <w:szCs w:val="18"/>
              </w:rPr>
              <w:t>6:4</w:t>
            </w:r>
          </w:p>
        </w:tc>
        <w:tc>
          <w:tcPr>
            <w:tcW w:w="2037" w:type="dxa"/>
            <w:shd w:val="clear" w:color="auto" w:fill="FFFFFF"/>
          </w:tcPr>
          <w:p w14:paraId="1D42E923" w14:textId="77777777" w:rsidR="00D60E03" w:rsidRDefault="00000000">
            <w:pPr>
              <w:pBdr>
                <w:top w:val="nil"/>
                <w:left w:val="nil"/>
                <w:bottom w:val="nil"/>
                <w:right w:val="nil"/>
                <w:between w:val="nil"/>
              </w:pBdr>
              <w:jc w:val="center"/>
              <w:rPr>
                <w:rFonts w:eastAsia="Arial" w:cs="Arial"/>
                <w:color w:val="000000"/>
                <w:szCs w:val="18"/>
              </w:rPr>
            </w:pPr>
            <w:proofErr w:type="spellStart"/>
            <w:r>
              <w:rPr>
                <w:rFonts w:eastAsia="Arial" w:cs="Arial"/>
                <w:color w:val="000000"/>
                <w:szCs w:val="18"/>
              </w:rPr>
              <w:t>CeO+ZnO</w:t>
            </w:r>
            <w:proofErr w:type="spellEnd"/>
          </w:p>
        </w:tc>
        <w:tc>
          <w:tcPr>
            <w:tcW w:w="1894" w:type="dxa"/>
            <w:shd w:val="clear" w:color="auto" w:fill="FFFFFF"/>
          </w:tcPr>
          <w:p w14:paraId="2AF695B2" w14:textId="77777777" w:rsidR="00D60E03" w:rsidRDefault="00000000">
            <w:pPr>
              <w:pBdr>
                <w:top w:val="nil"/>
                <w:left w:val="nil"/>
                <w:bottom w:val="nil"/>
                <w:right w:val="nil"/>
                <w:between w:val="nil"/>
              </w:pBdr>
              <w:jc w:val="center"/>
              <w:rPr>
                <w:rFonts w:eastAsia="Arial" w:cs="Arial"/>
                <w:color w:val="000000"/>
                <w:szCs w:val="18"/>
              </w:rPr>
            </w:pPr>
            <w:r>
              <w:rPr>
                <w:rFonts w:eastAsia="Arial" w:cs="Arial"/>
                <w:color w:val="000000"/>
                <w:szCs w:val="18"/>
              </w:rPr>
              <w:t>78.4</w:t>
            </w:r>
          </w:p>
        </w:tc>
      </w:tr>
      <w:tr w:rsidR="00D60E03" w14:paraId="46FEAF50" w14:textId="77777777">
        <w:trPr>
          <w:trHeight w:val="171"/>
        </w:trPr>
        <w:tc>
          <w:tcPr>
            <w:tcW w:w="2037" w:type="dxa"/>
            <w:shd w:val="clear" w:color="auto" w:fill="FFFFFF"/>
          </w:tcPr>
          <w:p w14:paraId="441F2989" w14:textId="77777777" w:rsidR="00D60E03" w:rsidRDefault="00000000">
            <w:pPr>
              <w:pBdr>
                <w:top w:val="nil"/>
                <w:left w:val="nil"/>
                <w:bottom w:val="nil"/>
                <w:right w:val="nil"/>
                <w:between w:val="nil"/>
              </w:pBdr>
              <w:jc w:val="center"/>
              <w:rPr>
                <w:rFonts w:eastAsia="Arial" w:cs="Arial"/>
                <w:color w:val="000000"/>
                <w:szCs w:val="18"/>
              </w:rPr>
            </w:pPr>
            <w:r>
              <w:rPr>
                <w:rFonts w:eastAsia="Arial" w:cs="Arial"/>
                <w:color w:val="000000"/>
                <w:szCs w:val="18"/>
              </w:rPr>
              <w:t>7:3</w:t>
            </w:r>
          </w:p>
        </w:tc>
        <w:tc>
          <w:tcPr>
            <w:tcW w:w="2037" w:type="dxa"/>
            <w:shd w:val="clear" w:color="auto" w:fill="FFFFFF"/>
          </w:tcPr>
          <w:p w14:paraId="7A893380" w14:textId="77777777" w:rsidR="00D60E03" w:rsidRDefault="00000000">
            <w:pPr>
              <w:pBdr>
                <w:top w:val="nil"/>
                <w:left w:val="nil"/>
                <w:bottom w:val="nil"/>
                <w:right w:val="nil"/>
                <w:between w:val="nil"/>
              </w:pBdr>
              <w:jc w:val="center"/>
              <w:rPr>
                <w:rFonts w:eastAsia="Arial" w:cs="Arial"/>
                <w:color w:val="000000"/>
                <w:szCs w:val="18"/>
              </w:rPr>
            </w:pPr>
            <w:proofErr w:type="spellStart"/>
            <w:r>
              <w:rPr>
                <w:rFonts w:eastAsia="Arial" w:cs="Arial"/>
                <w:color w:val="000000"/>
                <w:szCs w:val="18"/>
              </w:rPr>
              <w:t>CeO+ZnO</w:t>
            </w:r>
            <w:proofErr w:type="spellEnd"/>
          </w:p>
        </w:tc>
        <w:tc>
          <w:tcPr>
            <w:tcW w:w="1894" w:type="dxa"/>
            <w:shd w:val="clear" w:color="auto" w:fill="FFFFFF"/>
          </w:tcPr>
          <w:p w14:paraId="7C89A152" w14:textId="77777777" w:rsidR="00D60E03" w:rsidRDefault="00000000">
            <w:pPr>
              <w:pBdr>
                <w:top w:val="nil"/>
                <w:left w:val="nil"/>
                <w:bottom w:val="nil"/>
                <w:right w:val="nil"/>
                <w:between w:val="nil"/>
              </w:pBdr>
              <w:jc w:val="center"/>
              <w:rPr>
                <w:rFonts w:eastAsia="Arial" w:cs="Arial"/>
                <w:color w:val="000000"/>
                <w:szCs w:val="18"/>
              </w:rPr>
            </w:pPr>
            <w:r>
              <w:rPr>
                <w:rFonts w:eastAsia="Arial" w:cs="Arial"/>
                <w:color w:val="000000"/>
                <w:szCs w:val="18"/>
              </w:rPr>
              <w:t>75.5</w:t>
            </w:r>
          </w:p>
        </w:tc>
      </w:tr>
      <w:tr w:rsidR="00D60E03" w14:paraId="1BE76DBE" w14:textId="77777777">
        <w:trPr>
          <w:trHeight w:val="207"/>
        </w:trPr>
        <w:tc>
          <w:tcPr>
            <w:tcW w:w="2037" w:type="dxa"/>
            <w:shd w:val="clear" w:color="auto" w:fill="FFFFFF"/>
          </w:tcPr>
          <w:p w14:paraId="339878E3" w14:textId="77777777" w:rsidR="00D60E03" w:rsidRDefault="00000000">
            <w:pPr>
              <w:pBdr>
                <w:top w:val="nil"/>
                <w:left w:val="nil"/>
                <w:bottom w:val="nil"/>
                <w:right w:val="nil"/>
                <w:between w:val="nil"/>
              </w:pBdr>
              <w:jc w:val="center"/>
              <w:rPr>
                <w:rFonts w:eastAsia="Arial" w:cs="Arial"/>
                <w:color w:val="000000"/>
                <w:szCs w:val="18"/>
              </w:rPr>
            </w:pPr>
            <w:r>
              <w:rPr>
                <w:rFonts w:eastAsia="Arial" w:cs="Arial"/>
                <w:color w:val="000000"/>
                <w:szCs w:val="18"/>
              </w:rPr>
              <w:t>8:2</w:t>
            </w:r>
          </w:p>
        </w:tc>
        <w:tc>
          <w:tcPr>
            <w:tcW w:w="2037" w:type="dxa"/>
            <w:shd w:val="clear" w:color="auto" w:fill="FFFFFF"/>
          </w:tcPr>
          <w:p w14:paraId="7B627AB9" w14:textId="77777777" w:rsidR="00D60E03" w:rsidRDefault="00000000">
            <w:pPr>
              <w:pBdr>
                <w:top w:val="nil"/>
                <w:left w:val="nil"/>
                <w:bottom w:val="nil"/>
                <w:right w:val="nil"/>
                <w:between w:val="nil"/>
              </w:pBdr>
              <w:jc w:val="center"/>
              <w:rPr>
                <w:rFonts w:eastAsia="Arial" w:cs="Arial"/>
                <w:color w:val="000000"/>
                <w:szCs w:val="18"/>
              </w:rPr>
            </w:pPr>
            <w:proofErr w:type="spellStart"/>
            <w:r>
              <w:rPr>
                <w:rFonts w:eastAsia="Arial" w:cs="Arial"/>
                <w:color w:val="000000"/>
                <w:szCs w:val="18"/>
              </w:rPr>
              <w:t>CeO+ZnO</w:t>
            </w:r>
            <w:proofErr w:type="spellEnd"/>
          </w:p>
        </w:tc>
        <w:tc>
          <w:tcPr>
            <w:tcW w:w="1894" w:type="dxa"/>
            <w:shd w:val="clear" w:color="auto" w:fill="FFFFFF"/>
          </w:tcPr>
          <w:p w14:paraId="0C0AF862" w14:textId="77777777" w:rsidR="00D60E03" w:rsidRDefault="00000000">
            <w:pPr>
              <w:pBdr>
                <w:top w:val="nil"/>
                <w:left w:val="nil"/>
                <w:bottom w:val="nil"/>
                <w:right w:val="nil"/>
                <w:between w:val="nil"/>
              </w:pBdr>
              <w:jc w:val="center"/>
              <w:rPr>
                <w:rFonts w:eastAsia="Arial" w:cs="Arial"/>
                <w:color w:val="000000"/>
                <w:szCs w:val="18"/>
              </w:rPr>
            </w:pPr>
            <w:r>
              <w:rPr>
                <w:rFonts w:eastAsia="Arial" w:cs="Arial"/>
                <w:color w:val="000000"/>
                <w:szCs w:val="18"/>
              </w:rPr>
              <w:t>79</w:t>
            </w:r>
          </w:p>
        </w:tc>
      </w:tr>
      <w:tr w:rsidR="00D60E03" w14:paraId="3B7F1658" w14:textId="77777777">
        <w:trPr>
          <w:trHeight w:val="159"/>
        </w:trPr>
        <w:tc>
          <w:tcPr>
            <w:tcW w:w="2037" w:type="dxa"/>
            <w:shd w:val="clear" w:color="auto" w:fill="FFFFFF"/>
          </w:tcPr>
          <w:p w14:paraId="1869D6F6" w14:textId="77777777" w:rsidR="00D60E03" w:rsidRDefault="00000000">
            <w:pPr>
              <w:pBdr>
                <w:top w:val="nil"/>
                <w:left w:val="nil"/>
                <w:bottom w:val="nil"/>
                <w:right w:val="nil"/>
                <w:between w:val="nil"/>
              </w:pBdr>
              <w:jc w:val="center"/>
              <w:rPr>
                <w:rFonts w:eastAsia="Arial" w:cs="Arial"/>
                <w:color w:val="000000"/>
                <w:szCs w:val="18"/>
              </w:rPr>
            </w:pPr>
            <w:r>
              <w:rPr>
                <w:rFonts w:eastAsia="Arial" w:cs="Arial"/>
                <w:color w:val="000000"/>
                <w:szCs w:val="18"/>
              </w:rPr>
              <w:t>9:1</w:t>
            </w:r>
          </w:p>
        </w:tc>
        <w:tc>
          <w:tcPr>
            <w:tcW w:w="2037" w:type="dxa"/>
            <w:shd w:val="clear" w:color="auto" w:fill="FFFFFF"/>
          </w:tcPr>
          <w:p w14:paraId="2F68530A" w14:textId="77777777" w:rsidR="00D60E03" w:rsidRDefault="00000000">
            <w:pPr>
              <w:pBdr>
                <w:top w:val="nil"/>
                <w:left w:val="nil"/>
                <w:bottom w:val="nil"/>
                <w:right w:val="nil"/>
                <w:between w:val="nil"/>
              </w:pBdr>
              <w:jc w:val="center"/>
              <w:rPr>
                <w:rFonts w:eastAsia="Arial" w:cs="Arial"/>
                <w:color w:val="000000"/>
                <w:szCs w:val="18"/>
              </w:rPr>
            </w:pPr>
            <w:proofErr w:type="spellStart"/>
            <w:r>
              <w:rPr>
                <w:rFonts w:eastAsia="Arial" w:cs="Arial"/>
                <w:color w:val="000000"/>
                <w:szCs w:val="18"/>
              </w:rPr>
              <w:t>CeO+ZnO</w:t>
            </w:r>
            <w:proofErr w:type="spellEnd"/>
          </w:p>
        </w:tc>
        <w:tc>
          <w:tcPr>
            <w:tcW w:w="1894" w:type="dxa"/>
            <w:shd w:val="clear" w:color="auto" w:fill="FFFFFF"/>
          </w:tcPr>
          <w:p w14:paraId="50467EE6" w14:textId="77777777" w:rsidR="00D60E03" w:rsidRDefault="00000000">
            <w:pPr>
              <w:pBdr>
                <w:top w:val="nil"/>
                <w:left w:val="nil"/>
                <w:bottom w:val="nil"/>
                <w:right w:val="nil"/>
                <w:between w:val="nil"/>
              </w:pBdr>
              <w:jc w:val="center"/>
              <w:rPr>
                <w:rFonts w:eastAsia="Arial" w:cs="Arial"/>
                <w:color w:val="000000"/>
                <w:szCs w:val="18"/>
              </w:rPr>
            </w:pPr>
            <w:r>
              <w:rPr>
                <w:rFonts w:eastAsia="Arial" w:cs="Arial"/>
                <w:color w:val="000000"/>
                <w:szCs w:val="18"/>
              </w:rPr>
              <w:t>79.5</w:t>
            </w:r>
          </w:p>
        </w:tc>
      </w:tr>
    </w:tbl>
    <w:p w14:paraId="1589112D" w14:textId="77777777" w:rsidR="00D60E03" w:rsidRDefault="00D60E03">
      <w:pPr>
        <w:pBdr>
          <w:top w:val="nil"/>
          <w:left w:val="nil"/>
          <w:bottom w:val="nil"/>
          <w:right w:val="nil"/>
          <w:between w:val="nil"/>
        </w:pBdr>
        <w:spacing w:line="240" w:lineRule="auto"/>
        <w:rPr>
          <w:rFonts w:eastAsia="Arial" w:cs="Arial"/>
          <w:color w:val="000000"/>
          <w:szCs w:val="18"/>
        </w:rPr>
      </w:pPr>
    </w:p>
    <w:p w14:paraId="4664B1B5" w14:textId="77777777" w:rsidR="00D60E03" w:rsidRPr="00C56B32" w:rsidRDefault="00000000">
      <w:pPr>
        <w:pBdr>
          <w:top w:val="nil"/>
          <w:left w:val="nil"/>
          <w:bottom w:val="nil"/>
          <w:right w:val="nil"/>
          <w:between w:val="nil"/>
        </w:pBdr>
        <w:spacing w:line="240" w:lineRule="auto"/>
        <w:rPr>
          <w:rFonts w:eastAsia="Arial" w:cs="Arial"/>
          <w:color w:val="000000"/>
          <w:szCs w:val="18"/>
          <w:lang w:val="en-US"/>
        </w:rPr>
      </w:pPr>
      <w:r>
        <w:rPr>
          <w:rFonts w:eastAsia="Arial" w:cs="Arial"/>
          <w:color w:val="000000"/>
          <w:szCs w:val="18"/>
        </w:rPr>
        <w:t>Table 2 shows the bands observed on Ce-Zn-O catalysts of different compositions. On the series of cerium-zinc oxide catalysts, the bands at 852-863, 940-980, 1065-1084, and 1421-1444 cm</w:t>
      </w:r>
      <w:r>
        <w:rPr>
          <w:rFonts w:eastAsia="Arial" w:cs="Arial"/>
          <w:color w:val="000000"/>
          <w:szCs w:val="18"/>
          <w:vertAlign w:val="superscript"/>
        </w:rPr>
        <w:t>-1</w:t>
      </w:r>
      <w:r>
        <w:rPr>
          <w:rFonts w:eastAsia="Arial" w:cs="Arial"/>
          <w:color w:val="000000"/>
          <w:szCs w:val="18"/>
        </w:rPr>
        <w:t xml:space="preserve"> are observed at all Ce to Zn ratios. Starting with the Ce-Zn=3-7 sample, a band at 1500-1544 cm</w:t>
      </w:r>
      <w:r>
        <w:rPr>
          <w:rFonts w:eastAsia="Arial" w:cs="Arial"/>
          <w:color w:val="000000"/>
          <w:szCs w:val="18"/>
          <w:vertAlign w:val="superscript"/>
        </w:rPr>
        <w:t>-1</w:t>
      </w:r>
      <w:r>
        <w:rPr>
          <w:rFonts w:eastAsia="Arial" w:cs="Arial"/>
          <w:color w:val="000000"/>
          <w:szCs w:val="18"/>
        </w:rPr>
        <w:t xml:space="preserve"> is observed in the IR spectra. In the Ce-Zn-O catalytic system, in addition to the Ce-Zn=3-7, Ce-Zn=4-6, and Ce-Zn=5-5 samples, the presence of a band at 2620-2655 cm</w:t>
      </w:r>
      <w:r>
        <w:rPr>
          <w:rFonts w:eastAsia="Arial" w:cs="Arial"/>
          <w:color w:val="000000"/>
          <w:szCs w:val="18"/>
          <w:vertAlign w:val="superscript"/>
        </w:rPr>
        <w:t>-1</w:t>
      </w:r>
      <w:r>
        <w:rPr>
          <w:rFonts w:eastAsia="Arial" w:cs="Arial"/>
          <w:color w:val="000000"/>
          <w:szCs w:val="18"/>
        </w:rPr>
        <w:t xml:space="preserve"> in the spectra is observed. On samples with a low zinc content, namely Ce-Zn=1-9 and Ce-Zn=2-8, there is a band in the region of 2977-2987 cm</w:t>
      </w:r>
      <w:r>
        <w:rPr>
          <w:rFonts w:eastAsia="Arial" w:cs="Arial"/>
          <w:color w:val="000000"/>
          <w:szCs w:val="18"/>
          <w:vertAlign w:val="superscript"/>
        </w:rPr>
        <w:t>-1</w:t>
      </w:r>
      <w:r>
        <w:rPr>
          <w:rFonts w:eastAsia="Arial" w:cs="Arial"/>
          <w:color w:val="000000"/>
          <w:szCs w:val="18"/>
        </w:rPr>
        <w:t>.</w:t>
      </w:r>
    </w:p>
    <w:p w14:paraId="33D9F5BB" w14:textId="314E7284" w:rsidR="00D904C6" w:rsidRPr="00D904C6" w:rsidRDefault="00D904C6" w:rsidP="00D904C6">
      <w:pPr>
        <w:pBdr>
          <w:top w:val="nil"/>
          <w:left w:val="nil"/>
          <w:bottom w:val="nil"/>
          <w:right w:val="nil"/>
          <w:between w:val="nil"/>
        </w:pBdr>
        <w:spacing w:line="240" w:lineRule="auto"/>
        <w:rPr>
          <w:rFonts w:eastAsia="Arial" w:cs="Arial"/>
          <w:color w:val="000000"/>
          <w:szCs w:val="18"/>
          <w:lang w:val="en-US"/>
        </w:rPr>
      </w:pPr>
      <w:r w:rsidRPr="00D904C6">
        <w:rPr>
          <w:rFonts w:eastAsia="Arial" w:cs="Arial"/>
          <w:color w:val="000000"/>
          <w:szCs w:val="18"/>
          <w:lang w:val="en-US"/>
        </w:rPr>
        <w:t>The first group of absorption bands appears in the spectra in the region of 800 – 870 cm</w:t>
      </w:r>
      <w:r w:rsidRPr="00D904C6">
        <w:rPr>
          <w:rFonts w:eastAsia="Arial" w:cs="Arial"/>
          <w:color w:val="000000"/>
          <w:szCs w:val="18"/>
          <w:vertAlign w:val="superscript"/>
          <w:lang w:val="en-US"/>
        </w:rPr>
        <w:t>-1</w:t>
      </w:r>
      <w:r w:rsidRPr="00D904C6">
        <w:rPr>
          <w:rFonts w:eastAsia="Arial" w:cs="Arial"/>
          <w:color w:val="000000"/>
          <w:szCs w:val="18"/>
          <w:lang w:val="en-US"/>
        </w:rPr>
        <w:t>. According to the literature, these bands can be attributed to deformation vibrations of C-H bonds in alkenes or alcohols [</w:t>
      </w:r>
      <w:r w:rsidR="007870B7">
        <w:rPr>
          <w:rFonts w:eastAsia="Arial" w:cs="Arial"/>
          <w:color w:val="000000"/>
          <w:szCs w:val="18"/>
          <w:lang w:val="en-US"/>
        </w:rPr>
        <w:t>8</w:t>
      </w:r>
      <w:r w:rsidRPr="00D904C6">
        <w:rPr>
          <w:rFonts w:eastAsia="Arial" w:cs="Arial"/>
          <w:color w:val="000000"/>
          <w:szCs w:val="18"/>
          <w:lang w:val="en-US"/>
        </w:rPr>
        <w:t>].</w:t>
      </w:r>
    </w:p>
    <w:p w14:paraId="4BB4E6B1" w14:textId="198BD738" w:rsidR="00D904C6" w:rsidRPr="00D904C6" w:rsidRDefault="00D904C6" w:rsidP="00D904C6">
      <w:pPr>
        <w:pBdr>
          <w:top w:val="nil"/>
          <w:left w:val="nil"/>
          <w:bottom w:val="nil"/>
          <w:right w:val="nil"/>
          <w:between w:val="nil"/>
        </w:pBdr>
        <w:spacing w:line="240" w:lineRule="auto"/>
        <w:rPr>
          <w:rFonts w:eastAsia="Arial" w:cs="Arial"/>
          <w:color w:val="000000"/>
          <w:szCs w:val="18"/>
          <w:lang w:val="en-US"/>
        </w:rPr>
      </w:pPr>
      <w:r w:rsidRPr="00D904C6">
        <w:rPr>
          <w:rFonts w:eastAsia="Arial" w:cs="Arial"/>
          <w:color w:val="000000"/>
          <w:szCs w:val="18"/>
          <w:lang w:val="en-US"/>
        </w:rPr>
        <w:t>The second group of absorption bands appears in the spectra in the region of 1050 – 1140 cm</w:t>
      </w:r>
      <w:r w:rsidRPr="000C20A2">
        <w:rPr>
          <w:rFonts w:eastAsia="Arial" w:cs="Arial"/>
          <w:color w:val="000000"/>
          <w:szCs w:val="18"/>
          <w:vertAlign w:val="superscript"/>
          <w:lang w:val="en-US"/>
        </w:rPr>
        <w:t>-1</w:t>
      </w:r>
      <w:r w:rsidRPr="00D904C6">
        <w:rPr>
          <w:rFonts w:eastAsia="Arial" w:cs="Arial"/>
          <w:color w:val="000000"/>
          <w:szCs w:val="18"/>
          <w:lang w:val="en-US"/>
        </w:rPr>
        <w:t>. Based on the literature [</w:t>
      </w:r>
      <w:r w:rsidR="007870B7">
        <w:rPr>
          <w:rFonts w:eastAsia="Arial" w:cs="Arial"/>
          <w:color w:val="000000"/>
          <w:szCs w:val="18"/>
          <w:lang w:val="en-US"/>
        </w:rPr>
        <w:t>2</w:t>
      </w:r>
      <w:r w:rsidRPr="00D904C6">
        <w:rPr>
          <w:rFonts w:eastAsia="Arial" w:cs="Arial"/>
          <w:color w:val="000000"/>
          <w:szCs w:val="18"/>
          <w:lang w:val="en-US"/>
        </w:rPr>
        <w:t>], they can be attributed to intermediate complexes of the alcoholate type R-CH</w:t>
      </w:r>
      <w:r w:rsidRPr="00D904C6">
        <w:rPr>
          <w:rFonts w:eastAsia="Arial" w:cs="Arial"/>
          <w:color w:val="000000"/>
          <w:szCs w:val="18"/>
          <w:vertAlign w:val="subscript"/>
          <w:lang w:val="en-US"/>
        </w:rPr>
        <w:t>2</w:t>
      </w:r>
      <w:r w:rsidRPr="00D904C6">
        <w:rPr>
          <w:rFonts w:eastAsia="Arial" w:cs="Arial"/>
          <w:color w:val="000000"/>
          <w:szCs w:val="18"/>
          <w:lang w:val="en-US"/>
        </w:rPr>
        <w:t>-O-</w:t>
      </w:r>
      <w:r w:rsidR="000C20A2">
        <w:rPr>
          <w:rFonts w:eastAsia="Arial" w:cs="Arial"/>
          <w:color w:val="000000"/>
          <w:szCs w:val="18"/>
          <w:lang w:val="en-US"/>
        </w:rPr>
        <w:t>.</w:t>
      </w:r>
    </w:p>
    <w:p w14:paraId="7602F362" w14:textId="50A2B245" w:rsidR="00D904C6" w:rsidRPr="00D904C6" w:rsidRDefault="00D904C6" w:rsidP="00D904C6">
      <w:pPr>
        <w:pBdr>
          <w:top w:val="nil"/>
          <w:left w:val="nil"/>
          <w:bottom w:val="nil"/>
          <w:right w:val="nil"/>
          <w:between w:val="nil"/>
        </w:pBdr>
        <w:spacing w:line="240" w:lineRule="auto"/>
        <w:rPr>
          <w:rFonts w:eastAsia="Arial" w:cs="Arial"/>
          <w:color w:val="000000"/>
          <w:szCs w:val="18"/>
          <w:lang w:val="en-US"/>
        </w:rPr>
      </w:pPr>
      <w:r w:rsidRPr="00D904C6">
        <w:rPr>
          <w:rFonts w:eastAsia="Arial" w:cs="Arial"/>
          <w:color w:val="000000"/>
          <w:szCs w:val="18"/>
          <w:lang w:val="en-US"/>
        </w:rPr>
        <w:t>The third group of absorption bands appears in the spectra in the region of 1400 – 1530 cm</w:t>
      </w:r>
      <w:r w:rsidRPr="000C20A2">
        <w:rPr>
          <w:rFonts w:eastAsia="Arial" w:cs="Arial"/>
          <w:color w:val="000000"/>
          <w:szCs w:val="18"/>
          <w:vertAlign w:val="superscript"/>
          <w:lang w:val="en-US"/>
        </w:rPr>
        <w:t>-1</w:t>
      </w:r>
      <w:r w:rsidRPr="00D904C6">
        <w:rPr>
          <w:rFonts w:eastAsia="Arial" w:cs="Arial"/>
          <w:color w:val="000000"/>
          <w:szCs w:val="18"/>
          <w:lang w:val="en-US"/>
        </w:rPr>
        <w:t xml:space="preserve"> and refers to the surface group, which most likely represents carbonate-carboxylate structures [1</w:t>
      </w:r>
      <w:r w:rsidR="007870B7">
        <w:rPr>
          <w:rFonts w:eastAsia="Arial" w:cs="Arial"/>
          <w:color w:val="000000"/>
          <w:szCs w:val="18"/>
          <w:lang w:val="en-US"/>
        </w:rPr>
        <w:t>4</w:t>
      </w:r>
      <w:r w:rsidRPr="00D904C6">
        <w:rPr>
          <w:rFonts w:eastAsia="Arial" w:cs="Arial"/>
          <w:color w:val="000000"/>
          <w:szCs w:val="18"/>
          <w:lang w:val="en-US"/>
        </w:rPr>
        <w:t>].</w:t>
      </w:r>
    </w:p>
    <w:p w14:paraId="200235BD" w14:textId="77777777" w:rsidR="00D60E03" w:rsidRDefault="00D60E03">
      <w:pPr>
        <w:pBdr>
          <w:top w:val="nil"/>
          <w:left w:val="nil"/>
          <w:bottom w:val="nil"/>
          <w:right w:val="nil"/>
          <w:between w:val="nil"/>
        </w:pBdr>
        <w:spacing w:line="240" w:lineRule="auto"/>
        <w:rPr>
          <w:rFonts w:eastAsia="Arial" w:cs="Arial"/>
          <w:color w:val="000000"/>
          <w:szCs w:val="18"/>
        </w:rPr>
      </w:pPr>
    </w:p>
    <w:p w14:paraId="0FD443FE" w14:textId="77777777" w:rsidR="00D60E03" w:rsidRDefault="00000000">
      <w:pPr>
        <w:keepNext/>
        <w:pBdr>
          <w:top w:val="nil"/>
          <w:left w:val="nil"/>
          <w:bottom w:val="nil"/>
          <w:right w:val="nil"/>
          <w:between w:val="nil"/>
        </w:pBdr>
        <w:spacing w:after="80" w:line="240" w:lineRule="auto"/>
        <w:rPr>
          <w:rFonts w:eastAsia="Arial" w:cs="Arial"/>
          <w:i/>
          <w:color w:val="000000"/>
          <w:szCs w:val="18"/>
        </w:rPr>
      </w:pPr>
      <w:r>
        <w:rPr>
          <w:rFonts w:eastAsia="Arial" w:cs="Arial"/>
          <w:i/>
          <w:color w:val="000000"/>
          <w:szCs w:val="18"/>
        </w:rPr>
        <w:t>Table 2: IR spectra of spent samples of the Ce-Zn-O catalytic system of different compositions</w:t>
      </w:r>
    </w:p>
    <w:tbl>
      <w:tblPr>
        <w:tblStyle w:val="a1"/>
        <w:tblW w:w="8005" w:type="dxa"/>
        <w:tblInd w:w="0" w:type="dxa"/>
        <w:tblBorders>
          <w:top w:val="single" w:sz="12" w:space="0" w:color="008000"/>
          <w:bottom w:val="single" w:sz="12" w:space="0" w:color="008000"/>
        </w:tblBorders>
        <w:tblLayout w:type="fixed"/>
        <w:tblLook w:val="0000" w:firstRow="0" w:lastRow="0" w:firstColumn="0" w:lastColumn="0" w:noHBand="0" w:noVBand="0"/>
      </w:tblPr>
      <w:tblGrid>
        <w:gridCol w:w="885"/>
        <w:gridCol w:w="1880"/>
        <w:gridCol w:w="5240"/>
      </w:tblGrid>
      <w:tr w:rsidR="00D60E03" w14:paraId="1CBE21C7" w14:textId="77777777">
        <w:trPr>
          <w:trHeight w:val="39"/>
        </w:trPr>
        <w:tc>
          <w:tcPr>
            <w:tcW w:w="885" w:type="dxa"/>
            <w:tcBorders>
              <w:top w:val="single" w:sz="12" w:space="0" w:color="008000"/>
              <w:bottom w:val="single" w:sz="6" w:space="0" w:color="008000"/>
            </w:tcBorders>
            <w:shd w:val="clear" w:color="auto" w:fill="FFFFFF"/>
          </w:tcPr>
          <w:p w14:paraId="5D4120D1" w14:textId="77777777" w:rsidR="00D60E03" w:rsidRDefault="00000000">
            <w:pPr>
              <w:pBdr>
                <w:top w:val="nil"/>
                <w:left w:val="nil"/>
                <w:bottom w:val="nil"/>
                <w:right w:val="nil"/>
                <w:between w:val="nil"/>
              </w:pBdr>
              <w:jc w:val="center"/>
              <w:rPr>
                <w:rFonts w:eastAsia="Arial" w:cs="Arial"/>
                <w:color w:val="000000"/>
                <w:szCs w:val="18"/>
              </w:rPr>
            </w:pPr>
            <w:r>
              <w:rPr>
                <w:rFonts w:eastAsia="Arial" w:cs="Arial"/>
                <w:color w:val="000000"/>
                <w:szCs w:val="18"/>
              </w:rPr>
              <w:t>Number</w:t>
            </w:r>
          </w:p>
        </w:tc>
        <w:tc>
          <w:tcPr>
            <w:tcW w:w="1880" w:type="dxa"/>
            <w:tcBorders>
              <w:top w:val="single" w:sz="12" w:space="0" w:color="008000"/>
              <w:bottom w:val="single" w:sz="6" w:space="0" w:color="008000"/>
            </w:tcBorders>
            <w:shd w:val="clear" w:color="auto" w:fill="FFFFFF"/>
          </w:tcPr>
          <w:p w14:paraId="2694DEF3" w14:textId="77777777" w:rsidR="00D60E03" w:rsidRDefault="00000000">
            <w:pPr>
              <w:pBdr>
                <w:top w:val="nil"/>
                <w:left w:val="nil"/>
                <w:bottom w:val="nil"/>
                <w:right w:val="nil"/>
                <w:between w:val="nil"/>
              </w:pBdr>
              <w:jc w:val="center"/>
              <w:rPr>
                <w:rFonts w:eastAsia="Arial" w:cs="Arial"/>
                <w:color w:val="000000"/>
                <w:szCs w:val="18"/>
              </w:rPr>
            </w:pPr>
            <w:r>
              <w:rPr>
                <w:rFonts w:eastAsia="Arial" w:cs="Arial"/>
                <w:color w:val="000000"/>
                <w:szCs w:val="18"/>
              </w:rPr>
              <w:t>Sample</w:t>
            </w:r>
          </w:p>
        </w:tc>
        <w:tc>
          <w:tcPr>
            <w:tcW w:w="5240" w:type="dxa"/>
            <w:tcBorders>
              <w:top w:val="single" w:sz="12" w:space="0" w:color="008000"/>
              <w:bottom w:val="single" w:sz="6" w:space="0" w:color="008000"/>
            </w:tcBorders>
            <w:shd w:val="clear" w:color="auto" w:fill="FFFFFF"/>
          </w:tcPr>
          <w:p w14:paraId="3839CEC5" w14:textId="77777777" w:rsidR="00D60E03" w:rsidRDefault="00000000">
            <w:pPr>
              <w:pBdr>
                <w:top w:val="nil"/>
                <w:left w:val="nil"/>
                <w:bottom w:val="nil"/>
                <w:right w:val="nil"/>
                <w:between w:val="nil"/>
              </w:pBdr>
              <w:jc w:val="center"/>
              <w:rPr>
                <w:rFonts w:eastAsia="Arial" w:cs="Arial"/>
                <w:color w:val="000000"/>
                <w:szCs w:val="18"/>
              </w:rPr>
            </w:pPr>
            <w:r>
              <w:rPr>
                <w:rFonts w:eastAsia="Arial" w:cs="Arial"/>
                <w:color w:val="000000"/>
                <w:szCs w:val="18"/>
              </w:rPr>
              <w:t>Bandwidths, cm</w:t>
            </w:r>
            <w:r>
              <w:rPr>
                <w:rFonts w:eastAsia="Arial" w:cs="Arial"/>
                <w:color w:val="000000"/>
                <w:szCs w:val="18"/>
                <w:vertAlign w:val="superscript"/>
              </w:rPr>
              <w:t>-1</w:t>
            </w:r>
          </w:p>
        </w:tc>
      </w:tr>
      <w:tr w:rsidR="00D60E03" w14:paraId="777E55ED" w14:textId="77777777">
        <w:trPr>
          <w:trHeight w:val="290"/>
        </w:trPr>
        <w:tc>
          <w:tcPr>
            <w:tcW w:w="885" w:type="dxa"/>
            <w:shd w:val="clear" w:color="auto" w:fill="FFFFFF"/>
          </w:tcPr>
          <w:p w14:paraId="45228A56" w14:textId="77777777" w:rsidR="00D60E03" w:rsidRDefault="00000000">
            <w:pPr>
              <w:pBdr>
                <w:top w:val="nil"/>
                <w:left w:val="nil"/>
                <w:bottom w:val="nil"/>
                <w:right w:val="nil"/>
                <w:between w:val="nil"/>
              </w:pBdr>
              <w:jc w:val="center"/>
              <w:rPr>
                <w:rFonts w:eastAsia="Arial" w:cs="Arial"/>
                <w:color w:val="000000"/>
                <w:szCs w:val="18"/>
              </w:rPr>
            </w:pPr>
            <w:r>
              <w:rPr>
                <w:rFonts w:eastAsia="Arial" w:cs="Arial"/>
                <w:color w:val="000000"/>
                <w:szCs w:val="18"/>
              </w:rPr>
              <w:t>1</w:t>
            </w:r>
          </w:p>
        </w:tc>
        <w:tc>
          <w:tcPr>
            <w:tcW w:w="1880" w:type="dxa"/>
            <w:shd w:val="clear" w:color="auto" w:fill="FFFFFF"/>
          </w:tcPr>
          <w:p w14:paraId="5921E42D" w14:textId="77777777" w:rsidR="00D60E03" w:rsidRDefault="00000000">
            <w:pPr>
              <w:pBdr>
                <w:top w:val="nil"/>
                <w:left w:val="nil"/>
                <w:bottom w:val="nil"/>
                <w:right w:val="nil"/>
                <w:between w:val="nil"/>
              </w:pBdr>
              <w:jc w:val="center"/>
              <w:rPr>
                <w:rFonts w:eastAsia="Arial" w:cs="Arial"/>
                <w:color w:val="000000"/>
                <w:szCs w:val="18"/>
              </w:rPr>
            </w:pPr>
            <w:r>
              <w:rPr>
                <w:rFonts w:eastAsia="Arial" w:cs="Arial"/>
                <w:color w:val="000000"/>
                <w:szCs w:val="18"/>
              </w:rPr>
              <w:t>Ce-Zn=1-9</w:t>
            </w:r>
          </w:p>
        </w:tc>
        <w:tc>
          <w:tcPr>
            <w:tcW w:w="5240" w:type="dxa"/>
            <w:shd w:val="clear" w:color="auto" w:fill="FFFFFF"/>
          </w:tcPr>
          <w:p w14:paraId="043B7183" w14:textId="77777777" w:rsidR="00D60E03" w:rsidRDefault="00000000">
            <w:pPr>
              <w:pBdr>
                <w:top w:val="nil"/>
                <w:left w:val="nil"/>
                <w:bottom w:val="nil"/>
                <w:right w:val="nil"/>
                <w:between w:val="nil"/>
              </w:pBdr>
              <w:rPr>
                <w:rFonts w:eastAsia="Arial" w:cs="Arial"/>
                <w:color w:val="000000"/>
                <w:szCs w:val="18"/>
              </w:rPr>
            </w:pPr>
            <w:r>
              <w:rPr>
                <w:rFonts w:eastAsia="Arial" w:cs="Arial"/>
                <w:color w:val="000000"/>
                <w:szCs w:val="18"/>
              </w:rPr>
              <w:t>855, 1080, 1425, 2164, 2641, 2890, 2977</w:t>
            </w:r>
          </w:p>
        </w:tc>
      </w:tr>
      <w:tr w:rsidR="00D60E03" w14:paraId="38CEEBCD" w14:textId="77777777">
        <w:trPr>
          <w:trHeight w:val="212"/>
        </w:trPr>
        <w:tc>
          <w:tcPr>
            <w:tcW w:w="885" w:type="dxa"/>
            <w:shd w:val="clear" w:color="auto" w:fill="FFFFFF"/>
          </w:tcPr>
          <w:p w14:paraId="44B34CCC" w14:textId="77777777" w:rsidR="00D60E03" w:rsidRDefault="00000000">
            <w:pPr>
              <w:pBdr>
                <w:top w:val="nil"/>
                <w:left w:val="nil"/>
                <w:bottom w:val="nil"/>
                <w:right w:val="nil"/>
                <w:between w:val="nil"/>
              </w:pBdr>
              <w:jc w:val="center"/>
              <w:rPr>
                <w:rFonts w:eastAsia="Arial" w:cs="Arial"/>
                <w:color w:val="000000"/>
                <w:szCs w:val="18"/>
              </w:rPr>
            </w:pPr>
            <w:r>
              <w:rPr>
                <w:rFonts w:eastAsia="Arial" w:cs="Arial"/>
                <w:color w:val="000000"/>
                <w:szCs w:val="18"/>
              </w:rPr>
              <w:t>2</w:t>
            </w:r>
          </w:p>
        </w:tc>
        <w:tc>
          <w:tcPr>
            <w:tcW w:w="1880" w:type="dxa"/>
            <w:shd w:val="clear" w:color="auto" w:fill="FFFFFF"/>
          </w:tcPr>
          <w:p w14:paraId="2D9616EF" w14:textId="77777777" w:rsidR="00D60E03" w:rsidRDefault="00000000">
            <w:pPr>
              <w:pBdr>
                <w:top w:val="nil"/>
                <w:left w:val="nil"/>
                <w:bottom w:val="nil"/>
                <w:right w:val="nil"/>
                <w:between w:val="nil"/>
              </w:pBdr>
              <w:jc w:val="center"/>
              <w:rPr>
                <w:rFonts w:eastAsia="Arial" w:cs="Arial"/>
                <w:color w:val="000000"/>
                <w:szCs w:val="18"/>
              </w:rPr>
            </w:pPr>
            <w:r>
              <w:rPr>
                <w:rFonts w:eastAsia="Arial" w:cs="Arial"/>
                <w:color w:val="000000"/>
                <w:szCs w:val="18"/>
              </w:rPr>
              <w:t>Ce-Zn=2-8</w:t>
            </w:r>
          </w:p>
        </w:tc>
        <w:tc>
          <w:tcPr>
            <w:tcW w:w="5240" w:type="dxa"/>
            <w:shd w:val="clear" w:color="auto" w:fill="FFFFFF"/>
          </w:tcPr>
          <w:p w14:paraId="71FAAD15" w14:textId="77777777" w:rsidR="00D60E03" w:rsidRDefault="00000000">
            <w:pPr>
              <w:pBdr>
                <w:top w:val="nil"/>
                <w:left w:val="nil"/>
                <w:bottom w:val="nil"/>
                <w:right w:val="nil"/>
                <w:between w:val="nil"/>
              </w:pBdr>
              <w:rPr>
                <w:rFonts w:eastAsia="Arial" w:cs="Arial"/>
                <w:color w:val="000000"/>
                <w:szCs w:val="18"/>
              </w:rPr>
            </w:pPr>
            <w:r>
              <w:rPr>
                <w:rFonts w:eastAsia="Arial" w:cs="Arial"/>
                <w:color w:val="000000"/>
                <w:szCs w:val="18"/>
              </w:rPr>
              <w:t>859, 1083, 1433, 2168, 2650, 2987</w:t>
            </w:r>
          </w:p>
        </w:tc>
      </w:tr>
      <w:tr w:rsidR="00D60E03" w14:paraId="76B0AE11" w14:textId="77777777">
        <w:trPr>
          <w:trHeight w:val="212"/>
        </w:trPr>
        <w:tc>
          <w:tcPr>
            <w:tcW w:w="885" w:type="dxa"/>
            <w:shd w:val="clear" w:color="auto" w:fill="FFFFFF"/>
          </w:tcPr>
          <w:p w14:paraId="7538E3F9" w14:textId="77777777" w:rsidR="00D60E03" w:rsidRDefault="00000000">
            <w:pPr>
              <w:pBdr>
                <w:top w:val="nil"/>
                <w:left w:val="nil"/>
                <w:bottom w:val="nil"/>
                <w:right w:val="nil"/>
                <w:between w:val="nil"/>
              </w:pBdr>
              <w:jc w:val="center"/>
              <w:rPr>
                <w:rFonts w:eastAsia="Arial" w:cs="Arial"/>
                <w:color w:val="000000"/>
                <w:szCs w:val="18"/>
              </w:rPr>
            </w:pPr>
            <w:r>
              <w:rPr>
                <w:rFonts w:eastAsia="Arial" w:cs="Arial"/>
                <w:color w:val="000000"/>
                <w:szCs w:val="18"/>
              </w:rPr>
              <w:t>3</w:t>
            </w:r>
          </w:p>
        </w:tc>
        <w:tc>
          <w:tcPr>
            <w:tcW w:w="1880" w:type="dxa"/>
            <w:shd w:val="clear" w:color="auto" w:fill="FFFFFF"/>
          </w:tcPr>
          <w:p w14:paraId="228EB2C2" w14:textId="77777777" w:rsidR="00D60E03" w:rsidRDefault="00000000">
            <w:pPr>
              <w:pBdr>
                <w:top w:val="nil"/>
                <w:left w:val="nil"/>
                <w:bottom w:val="nil"/>
                <w:right w:val="nil"/>
                <w:between w:val="nil"/>
              </w:pBdr>
              <w:jc w:val="center"/>
              <w:rPr>
                <w:rFonts w:eastAsia="Arial" w:cs="Arial"/>
                <w:color w:val="000000"/>
                <w:szCs w:val="18"/>
              </w:rPr>
            </w:pPr>
            <w:r>
              <w:rPr>
                <w:rFonts w:eastAsia="Arial" w:cs="Arial"/>
                <w:color w:val="000000"/>
                <w:szCs w:val="18"/>
              </w:rPr>
              <w:t>Ce-Zn=3-7</w:t>
            </w:r>
          </w:p>
        </w:tc>
        <w:tc>
          <w:tcPr>
            <w:tcW w:w="5240" w:type="dxa"/>
            <w:shd w:val="clear" w:color="auto" w:fill="FFFFFF"/>
          </w:tcPr>
          <w:p w14:paraId="576C7426" w14:textId="77777777" w:rsidR="00D60E03" w:rsidRDefault="00000000">
            <w:pPr>
              <w:pBdr>
                <w:top w:val="nil"/>
                <w:left w:val="nil"/>
                <w:bottom w:val="nil"/>
                <w:right w:val="nil"/>
                <w:between w:val="nil"/>
              </w:pBdr>
              <w:rPr>
                <w:rFonts w:eastAsia="Arial" w:cs="Arial"/>
                <w:color w:val="000000"/>
                <w:szCs w:val="18"/>
              </w:rPr>
            </w:pPr>
            <w:r>
              <w:rPr>
                <w:rFonts w:eastAsia="Arial" w:cs="Arial"/>
                <w:color w:val="000000"/>
                <w:szCs w:val="18"/>
              </w:rPr>
              <w:t>859, 1100, 1435, 2156 </w:t>
            </w:r>
          </w:p>
        </w:tc>
      </w:tr>
      <w:tr w:rsidR="00D60E03" w14:paraId="3F76B66B" w14:textId="77777777">
        <w:trPr>
          <w:trHeight w:val="281"/>
        </w:trPr>
        <w:tc>
          <w:tcPr>
            <w:tcW w:w="885" w:type="dxa"/>
            <w:shd w:val="clear" w:color="auto" w:fill="FFFFFF"/>
          </w:tcPr>
          <w:p w14:paraId="7312C154" w14:textId="77777777" w:rsidR="00D60E03" w:rsidRDefault="00000000">
            <w:pPr>
              <w:pBdr>
                <w:top w:val="nil"/>
                <w:left w:val="nil"/>
                <w:bottom w:val="nil"/>
                <w:right w:val="nil"/>
                <w:between w:val="nil"/>
              </w:pBdr>
              <w:jc w:val="center"/>
              <w:rPr>
                <w:rFonts w:eastAsia="Arial" w:cs="Arial"/>
                <w:color w:val="000000"/>
                <w:szCs w:val="18"/>
              </w:rPr>
            </w:pPr>
            <w:r>
              <w:rPr>
                <w:rFonts w:eastAsia="Arial" w:cs="Arial"/>
                <w:color w:val="000000"/>
                <w:szCs w:val="18"/>
              </w:rPr>
              <w:t>4</w:t>
            </w:r>
          </w:p>
        </w:tc>
        <w:tc>
          <w:tcPr>
            <w:tcW w:w="1880" w:type="dxa"/>
            <w:shd w:val="clear" w:color="auto" w:fill="FFFFFF"/>
          </w:tcPr>
          <w:p w14:paraId="318F96CC" w14:textId="77777777" w:rsidR="00D60E03" w:rsidRDefault="00000000">
            <w:pPr>
              <w:pBdr>
                <w:top w:val="nil"/>
                <w:left w:val="nil"/>
                <w:bottom w:val="nil"/>
                <w:right w:val="nil"/>
                <w:between w:val="nil"/>
              </w:pBdr>
              <w:jc w:val="center"/>
              <w:rPr>
                <w:rFonts w:eastAsia="Arial" w:cs="Arial"/>
                <w:color w:val="000000"/>
                <w:szCs w:val="18"/>
              </w:rPr>
            </w:pPr>
            <w:r>
              <w:rPr>
                <w:rFonts w:eastAsia="Arial" w:cs="Arial"/>
                <w:color w:val="000000"/>
                <w:szCs w:val="18"/>
              </w:rPr>
              <w:t>Ce-Zn=4-6</w:t>
            </w:r>
          </w:p>
        </w:tc>
        <w:tc>
          <w:tcPr>
            <w:tcW w:w="5240" w:type="dxa"/>
            <w:shd w:val="clear" w:color="auto" w:fill="FFFFFF"/>
          </w:tcPr>
          <w:p w14:paraId="6C98DD82" w14:textId="77777777" w:rsidR="00D60E03" w:rsidRDefault="00000000">
            <w:pPr>
              <w:pBdr>
                <w:top w:val="nil"/>
                <w:left w:val="nil"/>
                <w:bottom w:val="nil"/>
                <w:right w:val="nil"/>
                <w:between w:val="nil"/>
              </w:pBdr>
              <w:rPr>
                <w:rFonts w:eastAsia="Arial" w:cs="Arial"/>
                <w:color w:val="000000"/>
                <w:szCs w:val="18"/>
              </w:rPr>
            </w:pPr>
            <w:r>
              <w:rPr>
                <w:rFonts w:eastAsia="Arial" w:cs="Arial"/>
                <w:color w:val="000000"/>
                <w:szCs w:val="18"/>
              </w:rPr>
              <w:t>859, 1090, 1433, 1505 </w:t>
            </w:r>
          </w:p>
        </w:tc>
      </w:tr>
      <w:tr w:rsidR="00D60E03" w14:paraId="76959C92" w14:textId="77777777">
        <w:trPr>
          <w:trHeight w:val="244"/>
        </w:trPr>
        <w:tc>
          <w:tcPr>
            <w:tcW w:w="885" w:type="dxa"/>
            <w:shd w:val="clear" w:color="auto" w:fill="FFFFFF"/>
          </w:tcPr>
          <w:p w14:paraId="4840F9D1" w14:textId="77777777" w:rsidR="00D60E03" w:rsidRDefault="00000000">
            <w:pPr>
              <w:pBdr>
                <w:top w:val="nil"/>
                <w:left w:val="nil"/>
                <w:bottom w:val="nil"/>
                <w:right w:val="nil"/>
                <w:between w:val="nil"/>
              </w:pBdr>
              <w:jc w:val="center"/>
              <w:rPr>
                <w:rFonts w:eastAsia="Arial" w:cs="Arial"/>
                <w:color w:val="000000"/>
                <w:szCs w:val="18"/>
              </w:rPr>
            </w:pPr>
            <w:r>
              <w:rPr>
                <w:rFonts w:eastAsia="Arial" w:cs="Arial"/>
                <w:color w:val="000000"/>
                <w:szCs w:val="18"/>
              </w:rPr>
              <w:t>5</w:t>
            </w:r>
          </w:p>
        </w:tc>
        <w:tc>
          <w:tcPr>
            <w:tcW w:w="1880" w:type="dxa"/>
            <w:shd w:val="clear" w:color="auto" w:fill="FFFFFF"/>
          </w:tcPr>
          <w:p w14:paraId="7FBCA3AF" w14:textId="77777777" w:rsidR="00D60E03" w:rsidRDefault="00000000">
            <w:pPr>
              <w:pBdr>
                <w:top w:val="nil"/>
                <w:left w:val="nil"/>
                <w:bottom w:val="nil"/>
                <w:right w:val="nil"/>
                <w:between w:val="nil"/>
              </w:pBdr>
              <w:jc w:val="center"/>
              <w:rPr>
                <w:rFonts w:eastAsia="Arial" w:cs="Arial"/>
                <w:color w:val="000000"/>
                <w:szCs w:val="18"/>
              </w:rPr>
            </w:pPr>
            <w:r>
              <w:rPr>
                <w:rFonts w:eastAsia="Arial" w:cs="Arial"/>
                <w:color w:val="000000"/>
                <w:szCs w:val="18"/>
              </w:rPr>
              <w:t>Ce-Zn=5-5</w:t>
            </w:r>
          </w:p>
        </w:tc>
        <w:tc>
          <w:tcPr>
            <w:tcW w:w="5240" w:type="dxa"/>
            <w:shd w:val="clear" w:color="auto" w:fill="FFFFFF"/>
          </w:tcPr>
          <w:p w14:paraId="02E06BD6" w14:textId="77777777" w:rsidR="00D60E03" w:rsidRDefault="00000000">
            <w:pPr>
              <w:pBdr>
                <w:top w:val="nil"/>
                <w:left w:val="nil"/>
                <w:bottom w:val="nil"/>
                <w:right w:val="nil"/>
                <w:between w:val="nil"/>
              </w:pBdr>
              <w:rPr>
                <w:rFonts w:eastAsia="Arial" w:cs="Arial"/>
                <w:color w:val="000000"/>
                <w:szCs w:val="18"/>
              </w:rPr>
            </w:pPr>
            <w:r>
              <w:rPr>
                <w:rFonts w:eastAsia="Arial" w:cs="Arial"/>
                <w:color w:val="000000"/>
                <w:szCs w:val="18"/>
              </w:rPr>
              <w:t>850, 1100, 1437, 1516 </w:t>
            </w:r>
          </w:p>
        </w:tc>
      </w:tr>
      <w:tr w:rsidR="00D60E03" w14:paraId="11337F1B" w14:textId="77777777">
        <w:trPr>
          <w:trHeight w:val="281"/>
        </w:trPr>
        <w:tc>
          <w:tcPr>
            <w:tcW w:w="885" w:type="dxa"/>
            <w:shd w:val="clear" w:color="auto" w:fill="FFFFFF"/>
          </w:tcPr>
          <w:p w14:paraId="64A49735" w14:textId="77777777" w:rsidR="00D60E03" w:rsidRDefault="00000000">
            <w:pPr>
              <w:pBdr>
                <w:top w:val="nil"/>
                <w:left w:val="nil"/>
                <w:bottom w:val="nil"/>
                <w:right w:val="nil"/>
                <w:between w:val="nil"/>
              </w:pBdr>
              <w:jc w:val="center"/>
              <w:rPr>
                <w:rFonts w:eastAsia="Arial" w:cs="Arial"/>
                <w:color w:val="000000"/>
                <w:szCs w:val="18"/>
              </w:rPr>
            </w:pPr>
            <w:r>
              <w:rPr>
                <w:rFonts w:eastAsia="Arial" w:cs="Arial"/>
                <w:color w:val="000000"/>
                <w:szCs w:val="18"/>
              </w:rPr>
              <w:t>6</w:t>
            </w:r>
          </w:p>
        </w:tc>
        <w:tc>
          <w:tcPr>
            <w:tcW w:w="1880" w:type="dxa"/>
            <w:shd w:val="clear" w:color="auto" w:fill="FFFFFF"/>
          </w:tcPr>
          <w:p w14:paraId="1949BB13" w14:textId="77777777" w:rsidR="00D60E03" w:rsidRDefault="00000000">
            <w:pPr>
              <w:pBdr>
                <w:top w:val="nil"/>
                <w:left w:val="nil"/>
                <w:bottom w:val="nil"/>
                <w:right w:val="nil"/>
                <w:between w:val="nil"/>
              </w:pBdr>
              <w:jc w:val="center"/>
              <w:rPr>
                <w:rFonts w:eastAsia="Arial" w:cs="Arial"/>
                <w:color w:val="000000"/>
                <w:szCs w:val="18"/>
              </w:rPr>
            </w:pPr>
            <w:r>
              <w:rPr>
                <w:rFonts w:eastAsia="Arial" w:cs="Arial"/>
                <w:color w:val="000000"/>
                <w:szCs w:val="18"/>
              </w:rPr>
              <w:t>Ce-Zn=6-4</w:t>
            </w:r>
          </w:p>
        </w:tc>
        <w:tc>
          <w:tcPr>
            <w:tcW w:w="5240" w:type="dxa"/>
            <w:shd w:val="clear" w:color="auto" w:fill="FFFFFF"/>
          </w:tcPr>
          <w:p w14:paraId="3C9A942E" w14:textId="77777777" w:rsidR="00D60E03" w:rsidRDefault="00000000">
            <w:pPr>
              <w:pBdr>
                <w:top w:val="nil"/>
                <w:left w:val="nil"/>
                <w:bottom w:val="nil"/>
                <w:right w:val="nil"/>
                <w:between w:val="nil"/>
              </w:pBdr>
              <w:rPr>
                <w:rFonts w:eastAsia="Arial" w:cs="Arial"/>
                <w:color w:val="000000"/>
                <w:szCs w:val="18"/>
              </w:rPr>
            </w:pPr>
            <w:r>
              <w:rPr>
                <w:rFonts w:eastAsia="Arial" w:cs="Arial"/>
                <w:color w:val="000000"/>
                <w:szCs w:val="18"/>
              </w:rPr>
              <w:t>857, 1128, 1435, 1496, 2162, 2655</w:t>
            </w:r>
          </w:p>
        </w:tc>
      </w:tr>
      <w:tr w:rsidR="00D60E03" w14:paraId="0424CBB6" w14:textId="77777777">
        <w:trPr>
          <w:trHeight w:val="234"/>
        </w:trPr>
        <w:tc>
          <w:tcPr>
            <w:tcW w:w="885" w:type="dxa"/>
            <w:shd w:val="clear" w:color="auto" w:fill="FFFFFF"/>
          </w:tcPr>
          <w:p w14:paraId="7F9FF2D7" w14:textId="77777777" w:rsidR="00D60E03" w:rsidRDefault="00000000">
            <w:pPr>
              <w:pBdr>
                <w:top w:val="nil"/>
                <w:left w:val="nil"/>
                <w:bottom w:val="nil"/>
                <w:right w:val="nil"/>
                <w:between w:val="nil"/>
              </w:pBdr>
              <w:jc w:val="center"/>
              <w:rPr>
                <w:rFonts w:eastAsia="Arial" w:cs="Arial"/>
                <w:color w:val="000000"/>
                <w:szCs w:val="18"/>
              </w:rPr>
            </w:pPr>
            <w:r>
              <w:rPr>
                <w:rFonts w:eastAsia="Arial" w:cs="Arial"/>
                <w:color w:val="000000"/>
                <w:szCs w:val="18"/>
              </w:rPr>
              <w:t>7</w:t>
            </w:r>
          </w:p>
        </w:tc>
        <w:tc>
          <w:tcPr>
            <w:tcW w:w="1880" w:type="dxa"/>
            <w:shd w:val="clear" w:color="auto" w:fill="FFFFFF"/>
          </w:tcPr>
          <w:p w14:paraId="36341F9C" w14:textId="77777777" w:rsidR="00D60E03" w:rsidRDefault="00000000">
            <w:pPr>
              <w:pBdr>
                <w:top w:val="nil"/>
                <w:left w:val="nil"/>
                <w:bottom w:val="nil"/>
                <w:right w:val="nil"/>
                <w:between w:val="nil"/>
              </w:pBdr>
              <w:jc w:val="center"/>
              <w:rPr>
                <w:rFonts w:eastAsia="Arial" w:cs="Arial"/>
                <w:color w:val="000000"/>
                <w:szCs w:val="18"/>
              </w:rPr>
            </w:pPr>
            <w:r>
              <w:rPr>
                <w:rFonts w:eastAsia="Arial" w:cs="Arial"/>
                <w:color w:val="000000"/>
                <w:szCs w:val="18"/>
              </w:rPr>
              <w:t>Ce-Zn=7-3</w:t>
            </w:r>
          </w:p>
        </w:tc>
        <w:tc>
          <w:tcPr>
            <w:tcW w:w="5240" w:type="dxa"/>
            <w:shd w:val="clear" w:color="auto" w:fill="FFFFFF"/>
          </w:tcPr>
          <w:p w14:paraId="08AD871B" w14:textId="77777777" w:rsidR="00D60E03" w:rsidRDefault="00000000">
            <w:pPr>
              <w:pBdr>
                <w:top w:val="nil"/>
                <w:left w:val="nil"/>
                <w:bottom w:val="nil"/>
                <w:right w:val="nil"/>
                <w:between w:val="nil"/>
              </w:pBdr>
              <w:rPr>
                <w:rFonts w:eastAsia="Arial" w:cs="Arial"/>
                <w:color w:val="000000"/>
                <w:szCs w:val="18"/>
              </w:rPr>
            </w:pPr>
            <w:r>
              <w:rPr>
                <w:rFonts w:eastAsia="Arial" w:cs="Arial"/>
                <w:color w:val="000000"/>
                <w:szCs w:val="18"/>
              </w:rPr>
              <w:t>858, 1098, 1414, 1500, 2645</w:t>
            </w:r>
          </w:p>
        </w:tc>
      </w:tr>
      <w:tr w:rsidR="00D60E03" w14:paraId="1350CF4F" w14:textId="77777777">
        <w:trPr>
          <w:trHeight w:val="266"/>
        </w:trPr>
        <w:tc>
          <w:tcPr>
            <w:tcW w:w="885" w:type="dxa"/>
            <w:shd w:val="clear" w:color="auto" w:fill="FFFFFF"/>
          </w:tcPr>
          <w:p w14:paraId="12A7C1BD" w14:textId="77777777" w:rsidR="00D60E03" w:rsidRDefault="00000000">
            <w:pPr>
              <w:pBdr>
                <w:top w:val="nil"/>
                <w:left w:val="nil"/>
                <w:bottom w:val="nil"/>
                <w:right w:val="nil"/>
                <w:between w:val="nil"/>
              </w:pBdr>
              <w:jc w:val="center"/>
              <w:rPr>
                <w:rFonts w:eastAsia="Arial" w:cs="Arial"/>
                <w:color w:val="000000"/>
                <w:szCs w:val="18"/>
              </w:rPr>
            </w:pPr>
            <w:r>
              <w:rPr>
                <w:rFonts w:eastAsia="Arial" w:cs="Arial"/>
                <w:color w:val="000000"/>
                <w:szCs w:val="18"/>
              </w:rPr>
              <w:t>8</w:t>
            </w:r>
          </w:p>
        </w:tc>
        <w:tc>
          <w:tcPr>
            <w:tcW w:w="1880" w:type="dxa"/>
            <w:shd w:val="clear" w:color="auto" w:fill="FFFFFF"/>
          </w:tcPr>
          <w:p w14:paraId="48C0211D" w14:textId="77777777" w:rsidR="00D60E03" w:rsidRDefault="00000000">
            <w:pPr>
              <w:pBdr>
                <w:top w:val="nil"/>
                <w:left w:val="nil"/>
                <w:bottom w:val="nil"/>
                <w:right w:val="nil"/>
                <w:between w:val="nil"/>
              </w:pBdr>
              <w:jc w:val="center"/>
              <w:rPr>
                <w:rFonts w:eastAsia="Arial" w:cs="Arial"/>
                <w:color w:val="000000"/>
                <w:szCs w:val="18"/>
              </w:rPr>
            </w:pPr>
            <w:r>
              <w:rPr>
                <w:rFonts w:eastAsia="Arial" w:cs="Arial"/>
                <w:color w:val="000000"/>
                <w:szCs w:val="18"/>
              </w:rPr>
              <w:t>Ce-Zn=8-2</w:t>
            </w:r>
          </w:p>
        </w:tc>
        <w:tc>
          <w:tcPr>
            <w:tcW w:w="5240" w:type="dxa"/>
            <w:shd w:val="clear" w:color="auto" w:fill="FFFFFF"/>
          </w:tcPr>
          <w:p w14:paraId="0DC32AE2" w14:textId="77777777" w:rsidR="00D60E03" w:rsidRDefault="00000000">
            <w:pPr>
              <w:pBdr>
                <w:top w:val="nil"/>
                <w:left w:val="nil"/>
                <w:bottom w:val="nil"/>
                <w:right w:val="nil"/>
                <w:between w:val="nil"/>
              </w:pBdr>
              <w:rPr>
                <w:rFonts w:eastAsia="Arial" w:cs="Arial"/>
                <w:color w:val="000000"/>
                <w:szCs w:val="18"/>
              </w:rPr>
            </w:pPr>
            <w:r>
              <w:rPr>
                <w:rFonts w:eastAsia="Arial" w:cs="Arial"/>
                <w:color w:val="000000"/>
                <w:szCs w:val="18"/>
              </w:rPr>
              <w:t>857, 1072, 1415, 1538, 2620</w:t>
            </w:r>
          </w:p>
        </w:tc>
      </w:tr>
      <w:tr w:rsidR="00D60E03" w14:paraId="0D21A27F" w14:textId="77777777">
        <w:trPr>
          <w:trHeight w:val="287"/>
        </w:trPr>
        <w:tc>
          <w:tcPr>
            <w:tcW w:w="885" w:type="dxa"/>
            <w:shd w:val="clear" w:color="auto" w:fill="FFFFFF"/>
          </w:tcPr>
          <w:p w14:paraId="1E2DCDD0" w14:textId="77777777" w:rsidR="00D60E03" w:rsidRDefault="00000000">
            <w:pPr>
              <w:pBdr>
                <w:top w:val="nil"/>
                <w:left w:val="nil"/>
                <w:bottom w:val="nil"/>
                <w:right w:val="nil"/>
                <w:between w:val="nil"/>
              </w:pBdr>
              <w:jc w:val="center"/>
              <w:rPr>
                <w:rFonts w:eastAsia="Arial" w:cs="Arial"/>
                <w:color w:val="000000"/>
                <w:szCs w:val="18"/>
              </w:rPr>
            </w:pPr>
            <w:r>
              <w:rPr>
                <w:rFonts w:eastAsia="Arial" w:cs="Arial"/>
                <w:color w:val="000000"/>
                <w:szCs w:val="18"/>
              </w:rPr>
              <w:t>9</w:t>
            </w:r>
          </w:p>
        </w:tc>
        <w:tc>
          <w:tcPr>
            <w:tcW w:w="1880" w:type="dxa"/>
            <w:shd w:val="clear" w:color="auto" w:fill="FFFFFF"/>
          </w:tcPr>
          <w:p w14:paraId="5E3D5C4F" w14:textId="77777777" w:rsidR="00D60E03" w:rsidRDefault="00000000">
            <w:pPr>
              <w:pBdr>
                <w:top w:val="nil"/>
                <w:left w:val="nil"/>
                <w:bottom w:val="nil"/>
                <w:right w:val="nil"/>
                <w:between w:val="nil"/>
              </w:pBdr>
              <w:jc w:val="center"/>
              <w:rPr>
                <w:rFonts w:eastAsia="Arial" w:cs="Arial"/>
                <w:color w:val="000000"/>
                <w:szCs w:val="18"/>
              </w:rPr>
            </w:pPr>
            <w:r>
              <w:rPr>
                <w:rFonts w:eastAsia="Arial" w:cs="Arial"/>
                <w:color w:val="000000"/>
                <w:szCs w:val="18"/>
              </w:rPr>
              <w:t>Ce-Zn=9-1</w:t>
            </w:r>
          </w:p>
        </w:tc>
        <w:tc>
          <w:tcPr>
            <w:tcW w:w="5240" w:type="dxa"/>
            <w:shd w:val="clear" w:color="auto" w:fill="FFFFFF"/>
          </w:tcPr>
          <w:p w14:paraId="730B21EE" w14:textId="77777777" w:rsidR="00D60E03" w:rsidRDefault="00000000">
            <w:pPr>
              <w:pBdr>
                <w:top w:val="nil"/>
                <w:left w:val="nil"/>
                <w:bottom w:val="nil"/>
                <w:right w:val="nil"/>
                <w:between w:val="nil"/>
              </w:pBdr>
              <w:rPr>
                <w:rFonts w:eastAsia="Arial" w:cs="Arial"/>
                <w:color w:val="000000"/>
                <w:szCs w:val="18"/>
              </w:rPr>
            </w:pPr>
            <w:r>
              <w:rPr>
                <w:rFonts w:eastAsia="Arial" w:cs="Arial"/>
                <w:color w:val="000000"/>
                <w:szCs w:val="18"/>
              </w:rPr>
              <w:t>858, 1016, 1450, 1544, 2662</w:t>
            </w:r>
          </w:p>
        </w:tc>
      </w:tr>
    </w:tbl>
    <w:p w14:paraId="450DB34F" w14:textId="77777777" w:rsidR="00EB440F" w:rsidRPr="00EB440F" w:rsidRDefault="00EB440F" w:rsidP="00EB440F">
      <w:pPr>
        <w:pBdr>
          <w:top w:val="nil"/>
          <w:left w:val="nil"/>
          <w:bottom w:val="nil"/>
          <w:right w:val="nil"/>
          <w:between w:val="nil"/>
        </w:pBdr>
        <w:spacing w:line="240" w:lineRule="auto"/>
        <w:rPr>
          <w:rFonts w:eastAsia="Arial" w:cs="Arial"/>
          <w:color w:val="000000"/>
          <w:szCs w:val="18"/>
          <w:lang w:val="en-US"/>
        </w:rPr>
      </w:pPr>
      <w:r w:rsidRPr="00EB440F">
        <w:rPr>
          <w:rFonts w:eastAsia="Arial" w:cs="Arial"/>
          <w:color w:val="000000"/>
          <w:szCs w:val="18"/>
          <w:lang w:val="en-US"/>
        </w:rPr>
        <w:t>The obtained results of IR spectroscopic studies show that on the surface of binary zinc-containing catalysts there are mainly alcoholate and carbonate-carboxylate structures, which, apparently, are intermediate stages in the reaction of converting ethanol into acetone in the presence of water vapor.</w:t>
      </w:r>
    </w:p>
    <w:p w14:paraId="2EEAE8A3" w14:textId="24CC434E" w:rsidR="00D60E03" w:rsidRDefault="00000000">
      <w:pPr>
        <w:pBdr>
          <w:top w:val="nil"/>
          <w:left w:val="nil"/>
          <w:bottom w:val="nil"/>
          <w:right w:val="nil"/>
          <w:between w:val="nil"/>
        </w:pBdr>
        <w:spacing w:line="240" w:lineRule="auto"/>
        <w:rPr>
          <w:rFonts w:eastAsia="Arial" w:cs="Arial"/>
          <w:color w:val="000000"/>
          <w:szCs w:val="18"/>
        </w:rPr>
      </w:pPr>
      <w:r>
        <w:rPr>
          <w:rFonts w:eastAsia="Arial" w:cs="Arial"/>
          <w:color w:val="000000"/>
          <w:szCs w:val="18"/>
        </w:rPr>
        <w:t>To determine the specific surface of the studied samples of the catalysts the method of thermal desorption of nitrogen was used. It was found that the specific surface of cerium oxide 6.2 m</w:t>
      </w:r>
      <w:r>
        <w:rPr>
          <w:rFonts w:eastAsia="Arial" w:cs="Arial"/>
          <w:color w:val="000000"/>
          <w:szCs w:val="18"/>
          <w:vertAlign w:val="superscript"/>
        </w:rPr>
        <w:t>2</w:t>
      </w:r>
      <w:r>
        <w:rPr>
          <w:rFonts w:eastAsia="Arial" w:cs="Arial"/>
          <w:color w:val="000000"/>
          <w:szCs w:val="18"/>
        </w:rPr>
        <w:t>/g. As can be seen from Table 3 the specific surface area of the CeO</w:t>
      </w:r>
      <w:r>
        <w:rPr>
          <w:rFonts w:eastAsia="Arial" w:cs="Arial"/>
          <w:color w:val="000000"/>
          <w:szCs w:val="18"/>
          <w:vertAlign w:val="subscript"/>
        </w:rPr>
        <w:t>2</w:t>
      </w:r>
      <w:r>
        <w:rPr>
          <w:rFonts w:eastAsia="Arial" w:cs="Arial"/>
          <w:color w:val="000000"/>
          <w:szCs w:val="18"/>
        </w:rPr>
        <w:t>-ZnO catalytic systems with an increase in the cerium content in the catalyst composition changes insignificantly in systems with a ratio from Ce-Zn=1-9 to Ce-Zn=7-3, varying within 1.1 m</w:t>
      </w:r>
      <w:r>
        <w:rPr>
          <w:rFonts w:eastAsia="Arial" w:cs="Arial"/>
          <w:color w:val="000000"/>
          <w:szCs w:val="18"/>
          <w:vertAlign w:val="superscript"/>
        </w:rPr>
        <w:t>2</w:t>
      </w:r>
      <w:r>
        <w:rPr>
          <w:rFonts w:eastAsia="Arial" w:cs="Arial"/>
          <w:color w:val="000000"/>
          <w:szCs w:val="18"/>
        </w:rPr>
        <w:t>/g (on the Ce-Zn=1-9 catalyst) and 2.6 m</w:t>
      </w:r>
      <w:r>
        <w:rPr>
          <w:rFonts w:eastAsia="Arial" w:cs="Arial"/>
          <w:color w:val="000000"/>
          <w:szCs w:val="18"/>
          <w:vertAlign w:val="superscript"/>
        </w:rPr>
        <w:t>2</w:t>
      </w:r>
      <w:r>
        <w:rPr>
          <w:rFonts w:eastAsia="Arial" w:cs="Arial"/>
          <w:color w:val="000000"/>
          <w:szCs w:val="18"/>
        </w:rPr>
        <w:t>/g (on the Ce-Zn=5-5 catalyst), and then sharply increases, amounting to 24 m</w:t>
      </w:r>
      <w:r>
        <w:rPr>
          <w:rFonts w:eastAsia="Arial" w:cs="Arial"/>
          <w:color w:val="000000"/>
          <w:szCs w:val="18"/>
          <w:vertAlign w:val="superscript"/>
        </w:rPr>
        <w:t>2</w:t>
      </w:r>
      <w:r>
        <w:rPr>
          <w:rFonts w:eastAsia="Arial" w:cs="Arial"/>
          <w:color w:val="000000"/>
          <w:szCs w:val="18"/>
        </w:rPr>
        <w:t>/g on the Ce-Zn=9-1 catalyst.</w:t>
      </w:r>
    </w:p>
    <w:p w14:paraId="04EB87B7" w14:textId="77777777" w:rsidR="00D60E03" w:rsidRDefault="00D60E03">
      <w:pPr>
        <w:pBdr>
          <w:top w:val="nil"/>
          <w:left w:val="nil"/>
          <w:bottom w:val="nil"/>
          <w:right w:val="nil"/>
          <w:between w:val="nil"/>
        </w:pBdr>
        <w:spacing w:line="240" w:lineRule="auto"/>
        <w:rPr>
          <w:rFonts w:eastAsia="Arial" w:cs="Arial"/>
          <w:color w:val="000000"/>
          <w:szCs w:val="18"/>
        </w:rPr>
      </w:pPr>
    </w:p>
    <w:p w14:paraId="5AC22A6E" w14:textId="77777777" w:rsidR="00D60E03" w:rsidRDefault="00000000">
      <w:pPr>
        <w:keepNext/>
        <w:pBdr>
          <w:top w:val="nil"/>
          <w:left w:val="nil"/>
          <w:bottom w:val="nil"/>
          <w:right w:val="nil"/>
          <w:between w:val="nil"/>
        </w:pBdr>
        <w:spacing w:after="80" w:line="240" w:lineRule="auto"/>
        <w:rPr>
          <w:rFonts w:eastAsia="Arial" w:cs="Arial"/>
          <w:i/>
          <w:color w:val="000000"/>
          <w:szCs w:val="18"/>
        </w:rPr>
      </w:pPr>
      <w:r>
        <w:rPr>
          <w:rFonts w:eastAsia="Arial" w:cs="Arial"/>
          <w:i/>
          <w:color w:val="000000"/>
          <w:szCs w:val="18"/>
        </w:rPr>
        <w:lastRenderedPageBreak/>
        <w:t>Table 3: Specific surfaces of Ce-Zn-O catalysts</w:t>
      </w:r>
    </w:p>
    <w:tbl>
      <w:tblPr>
        <w:tblStyle w:val="a2"/>
        <w:tblW w:w="9105" w:type="dxa"/>
        <w:tblInd w:w="0" w:type="dxa"/>
        <w:tblBorders>
          <w:top w:val="single" w:sz="12" w:space="0" w:color="008000"/>
          <w:bottom w:val="single" w:sz="12" w:space="0" w:color="008000"/>
        </w:tblBorders>
        <w:tblLayout w:type="fixed"/>
        <w:tblLook w:val="0000" w:firstRow="0" w:lastRow="0" w:firstColumn="0" w:lastColumn="0" w:noHBand="0" w:noVBand="0"/>
      </w:tblPr>
      <w:tblGrid>
        <w:gridCol w:w="1101"/>
        <w:gridCol w:w="608"/>
        <w:gridCol w:w="446"/>
        <w:gridCol w:w="856"/>
        <w:gridCol w:w="856"/>
        <w:gridCol w:w="856"/>
        <w:gridCol w:w="759"/>
        <w:gridCol w:w="759"/>
        <w:gridCol w:w="759"/>
        <w:gridCol w:w="759"/>
        <w:gridCol w:w="673"/>
        <w:gridCol w:w="673"/>
      </w:tblGrid>
      <w:tr w:rsidR="00D60E03" w14:paraId="45D3F8A0" w14:textId="77777777">
        <w:trPr>
          <w:trHeight w:val="348"/>
        </w:trPr>
        <w:tc>
          <w:tcPr>
            <w:tcW w:w="1102" w:type="dxa"/>
            <w:tcBorders>
              <w:top w:val="single" w:sz="12" w:space="0" w:color="008000"/>
              <w:bottom w:val="single" w:sz="6" w:space="0" w:color="008000"/>
            </w:tcBorders>
            <w:shd w:val="clear" w:color="auto" w:fill="FFFFFF"/>
          </w:tcPr>
          <w:p w14:paraId="65E2AB94" w14:textId="77777777" w:rsidR="00D60E03" w:rsidRDefault="00000000">
            <w:pPr>
              <w:pBdr>
                <w:top w:val="nil"/>
                <w:left w:val="nil"/>
                <w:bottom w:val="nil"/>
                <w:right w:val="nil"/>
                <w:between w:val="nil"/>
              </w:pBdr>
              <w:jc w:val="center"/>
              <w:rPr>
                <w:rFonts w:eastAsia="Arial" w:cs="Arial"/>
                <w:color w:val="000000"/>
                <w:szCs w:val="18"/>
              </w:rPr>
            </w:pPr>
            <w:r>
              <w:rPr>
                <w:rFonts w:eastAsia="Arial" w:cs="Arial"/>
                <w:color w:val="000000"/>
                <w:szCs w:val="18"/>
              </w:rPr>
              <w:t xml:space="preserve">Atomic ratio </w:t>
            </w:r>
            <w:proofErr w:type="spellStart"/>
            <w:r>
              <w:rPr>
                <w:rFonts w:eastAsia="Arial" w:cs="Arial"/>
                <w:color w:val="000000"/>
                <w:szCs w:val="18"/>
              </w:rPr>
              <w:t>Ce:Zn</w:t>
            </w:r>
            <w:proofErr w:type="spellEnd"/>
          </w:p>
        </w:tc>
        <w:tc>
          <w:tcPr>
            <w:tcW w:w="608" w:type="dxa"/>
            <w:tcBorders>
              <w:top w:val="single" w:sz="12" w:space="0" w:color="008000"/>
              <w:bottom w:val="single" w:sz="6" w:space="0" w:color="008000"/>
            </w:tcBorders>
            <w:shd w:val="clear" w:color="auto" w:fill="FFFFFF"/>
            <w:vAlign w:val="center"/>
          </w:tcPr>
          <w:p w14:paraId="43DD4301" w14:textId="77777777" w:rsidR="00D60E03" w:rsidRDefault="00000000">
            <w:pPr>
              <w:pBdr>
                <w:top w:val="nil"/>
                <w:left w:val="nil"/>
                <w:bottom w:val="nil"/>
                <w:right w:val="nil"/>
                <w:between w:val="nil"/>
              </w:pBdr>
              <w:jc w:val="center"/>
              <w:rPr>
                <w:rFonts w:eastAsia="Arial" w:cs="Arial"/>
                <w:color w:val="000000"/>
                <w:szCs w:val="18"/>
              </w:rPr>
            </w:pPr>
            <w:r>
              <w:rPr>
                <w:rFonts w:eastAsia="Arial" w:cs="Arial"/>
                <w:color w:val="000000"/>
                <w:szCs w:val="18"/>
              </w:rPr>
              <w:t>CeO</w:t>
            </w:r>
            <w:r>
              <w:rPr>
                <w:rFonts w:eastAsia="Arial" w:cs="Arial"/>
                <w:color w:val="000000"/>
                <w:szCs w:val="18"/>
                <w:vertAlign w:val="subscript"/>
              </w:rPr>
              <w:t>2</w:t>
            </w:r>
          </w:p>
        </w:tc>
        <w:tc>
          <w:tcPr>
            <w:tcW w:w="446" w:type="dxa"/>
            <w:tcBorders>
              <w:top w:val="single" w:sz="12" w:space="0" w:color="008000"/>
              <w:bottom w:val="single" w:sz="6" w:space="0" w:color="008000"/>
            </w:tcBorders>
            <w:shd w:val="clear" w:color="auto" w:fill="FFFFFF"/>
            <w:vAlign w:val="center"/>
          </w:tcPr>
          <w:p w14:paraId="1A6048F8" w14:textId="77777777" w:rsidR="00D60E03" w:rsidRDefault="00000000">
            <w:pPr>
              <w:pBdr>
                <w:top w:val="nil"/>
                <w:left w:val="nil"/>
                <w:bottom w:val="nil"/>
                <w:right w:val="nil"/>
                <w:between w:val="nil"/>
              </w:pBdr>
              <w:jc w:val="center"/>
              <w:rPr>
                <w:rFonts w:eastAsia="Arial" w:cs="Arial"/>
                <w:color w:val="000000"/>
                <w:szCs w:val="18"/>
              </w:rPr>
            </w:pPr>
            <w:r>
              <w:rPr>
                <w:rFonts w:eastAsia="Arial" w:cs="Arial"/>
                <w:color w:val="000000"/>
                <w:szCs w:val="18"/>
              </w:rPr>
              <w:t>1:9</w:t>
            </w:r>
          </w:p>
        </w:tc>
        <w:tc>
          <w:tcPr>
            <w:tcW w:w="856" w:type="dxa"/>
            <w:tcBorders>
              <w:top w:val="single" w:sz="12" w:space="0" w:color="008000"/>
              <w:bottom w:val="single" w:sz="6" w:space="0" w:color="008000"/>
            </w:tcBorders>
            <w:shd w:val="clear" w:color="auto" w:fill="FFFFFF"/>
            <w:vAlign w:val="center"/>
          </w:tcPr>
          <w:p w14:paraId="7ADC1022" w14:textId="77777777" w:rsidR="00D60E03" w:rsidRDefault="00000000">
            <w:pPr>
              <w:pBdr>
                <w:top w:val="nil"/>
                <w:left w:val="nil"/>
                <w:bottom w:val="nil"/>
                <w:right w:val="nil"/>
                <w:between w:val="nil"/>
              </w:pBdr>
              <w:jc w:val="center"/>
              <w:rPr>
                <w:rFonts w:eastAsia="Arial" w:cs="Arial"/>
                <w:color w:val="000000"/>
                <w:szCs w:val="18"/>
              </w:rPr>
            </w:pPr>
            <w:r>
              <w:rPr>
                <w:rFonts w:eastAsia="Arial" w:cs="Arial"/>
                <w:color w:val="000000"/>
                <w:szCs w:val="18"/>
              </w:rPr>
              <w:t>2:8</w:t>
            </w:r>
          </w:p>
        </w:tc>
        <w:tc>
          <w:tcPr>
            <w:tcW w:w="856" w:type="dxa"/>
            <w:tcBorders>
              <w:top w:val="single" w:sz="12" w:space="0" w:color="008000"/>
              <w:bottom w:val="single" w:sz="6" w:space="0" w:color="008000"/>
            </w:tcBorders>
            <w:shd w:val="clear" w:color="auto" w:fill="FFFFFF"/>
            <w:vAlign w:val="center"/>
          </w:tcPr>
          <w:p w14:paraId="6763D179" w14:textId="77777777" w:rsidR="00D60E03" w:rsidRDefault="00000000">
            <w:pPr>
              <w:pBdr>
                <w:top w:val="nil"/>
                <w:left w:val="nil"/>
                <w:bottom w:val="nil"/>
                <w:right w:val="nil"/>
                <w:between w:val="nil"/>
              </w:pBdr>
              <w:jc w:val="center"/>
              <w:rPr>
                <w:rFonts w:eastAsia="Arial" w:cs="Arial"/>
                <w:color w:val="000000"/>
                <w:szCs w:val="18"/>
              </w:rPr>
            </w:pPr>
            <w:r>
              <w:rPr>
                <w:rFonts w:eastAsia="Arial" w:cs="Arial"/>
                <w:color w:val="000000"/>
                <w:szCs w:val="18"/>
              </w:rPr>
              <w:t>3:7</w:t>
            </w:r>
          </w:p>
        </w:tc>
        <w:tc>
          <w:tcPr>
            <w:tcW w:w="856" w:type="dxa"/>
            <w:tcBorders>
              <w:top w:val="single" w:sz="12" w:space="0" w:color="008000"/>
              <w:bottom w:val="single" w:sz="6" w:space="0" w:color="008000"/>
            </w:tcBorders>
            <w:shd w:val="clear" w:color="auto" w:fill="FFFFFF"/>
            <w:vAlign w:val="center"/>
          </w:tcPr>
          <w:p w14:paraId="7B680929" w14:textId="77777777" w:rsidR="00D60E03" w:rsidRDefault="00000000">
            <w:pPr>
              <w:pBdr>
                <w:top w:val="nil"/>
                <w:left w:val="nil"/>
                <w:bottom w:val="nil"/>
                <w:right w:val="nil"/>
                <w:between w:val="nil"/>
              </w:pBdr>
              <w:jc w:val="center"/>
              <w:rPr>
                <w:rFonts w:eastAsia="Arial" w:cs="Arial"/>
                <w:color w:val="000000"/>
                <w:szCs w:val="18"/>
              </w:rPr>
            </w:pPr>
            <w:r>
              <w:rPr>
                <w:rFonts w:eastAsia="Arial" w:cs="Arial"/>
                <w:color w:val="000000"/>
                <w:szCs w:val="18"/>
              </w:rPr>
              <w:t>4:6</w:t>
            </w:r>
          </w:p>
        </w:tc>
        <w:tc>
          <w:tcPr>
            <w:tcW w:w="759" w:type="dxa"/>
            <w:tcBorders>
              <w:top w:val="single" w:sz="12" w:space="0" w:color="008000"/>
              <w:bottom w:val="single" w:sz="6" w:space="0" w:color="008000"/>
            </w:tcBorders>
            <w:shd w:val="clear" w:color="auto" w:fill="FFFFFF"/>
            <w:vAlign w:val="center"/>
          </w:tcPr>
          <w:p w14:paraId="613473E9" w14:textId="77777777" w:rsidR="00D60E03" w:rsidRDefault="00000000">
            <w:pPr>
              <w:pBdr>
                <w:top w:val="nil"/>
                <w:left w:val="nil"/>
                <w:bottom w:val="nil"/>
                <w:right w:val="nil"/>
                <w:between w:val="nil"/>
              </w:pBdr>
              <w:jc w:val="center"/>
              <w:rPr>
                <w:rFonts w:eastAsia="Arial" w:cs="Arial"/>
                <w:color w:val="000000"/>
                <w:szCs w:val="18"/>
              </w:rPr>
            </w:pPr>
            <w:r>
              <w:rPr>
                <w:rFonts w:eastAsia="Arial" w:cs="Arial"/>
                <w:color w:val="000000"/>
                <w:szCs w:val="18"/>
              </w:rPr>
              <w:t>5:5</w:t>
            </w:r>
          </w:p>
        </w:tc>
        <w:tc>
          <w:tcPr>
            <w:tcW w:w="759" w:type="dxa"/>
            <w:tcBorders>
              <w:top w:val="single" w:sz="12" w:space="0" w:color="008000"/>
              <w:bottom w:val="single" w:sz="6" w:space="0" w:color="008000"/>
            </w:tcBorders>
            <w:shd w:val="clear" w:color="auto" w:fill="FFFFFF"/>
            <w:vAlign w:val="center"/>
          </w:tcPr>
          <w:p w14:paraId="344FA1F7" w14:textId="77777777" w:rsidR="00D60E03" w:rsidRDefault="00000000">
            <w:pPr>
              <w:pBdr>
                <w:top w:val="nil"/>
                <w:left w:val="nil"/>
                <w:bottom w:val="nil"/>
                <w:right w:val="nil"/>
                <w:between w:val="nil"/>
              </w:pBdr>
              <w:jc w:val="center"/>
              <w:rPr>
                <w:rFonts w:eastAsia="Arial" w:cs="Arial"/>
                <w:color w:val="000000"/>
                <w:szCs w:val="18"/>
              </w:rPr>
            </w:pPr>
            <w:r>
              <w:rPr>
                <w:rFonts w:eastAsia="Arial" w:cs="Arial"/>
                <w:color w:val="000000"/>
                <w:szCs w:val="18"/>
              </w:rPr>
              <w:t>6:4</w:t>
            </w:r>
          </w:p>
        </w:tc>
        <w:tc>
          <w:tcPr>
            <w:tcW w:w="759" w:type="dxa"/>
            <w:tcBorders>
              <w:top w:val="single" w:sz="12" w:space="0" w:color="008000"/>
              <w:bottom w:val="single" w:sz="6" w:space="0" w:color="008000"/>
            </w:tcBorders>
            <w:shd w:val="clear" w:color="auto" w:fill="FFFFFF"/>
            <w:vAlign w:val="center"/>
          </w:tcPr>
          <w:p w14:paraId="6E053EEB" w14:textId="77777777" w:rsidR="00D60E03" w:rsidRDefault="00000000">
            <w:pPr>
              <w:pBdr>
                <w:top w:val="nil"/>
                <w:left w:val="nil"/>
                <w:bottom w:val="nil"/>
                <w:right w:val="nil"/>
                <w:between w:val="nil"/>
              </w:pBdr>
              <w:jc w:val="center"/>
              <w:rPr>
                <w:rFonts w:eastAsia="Arial" w:cs="Arial"/>
                <w:color w:val="000000"/>
                <w:szCs w:val="18"/>
              </w:rPr>
            </w:pPr>
            <w:r>
              <w:rPr>
                <w:rFonts w:eastAsia="Arial" w:cs="Arial"/>
                <w:color w:val="000000"/>
                <w:szCs w:val="18"/>
              </w:rPr>
              <w:t>7:3</w:t>
            </w:r>
          </w:p>
        </w:tc>
        <w:tc>
          <w:tcPr>
            <w:tcW w:w="759" w:type="dxa"/>
            <w:tcBorders>
              <w:top w:val="single" w:sz="12" w:space="0" w:color="008000"/>
              <w:bottom w:val="single" w:sz="6" w:space="0" w:color="008000"/>
            </w:tcBorders>
            <w:shd w:val="clear" w:color="auto" w:fill="FFFFFF"/>
            <w:vAlign w:val="center"/>
          </w:tcPr>
          <w:p w14:paraId="5A4BB46E" w14:textId="77777777" w:rsidR="00D60E03" w:rsidRDefault="00000000">
            <w:pPr>
              <w:pBdr>
                <w:top w:val="nil"/>
                <w:left w:val="nil"/>
                <w:bottom w:val="nil"/>
                <w:right w:val="nil"/>
                <w:between w:val="nil"/>
              </w:pBdr>
              <w:jc w:val="center"/>
              <w:rPr>
                <w:rFonts w:eastAsia="Arial" w:cs="Arial"/>
                <w:color w:val="000000"/>
                <w:szCs w:val="18"/>
              </w:rPr>
            </w:pPr>
            <w:r>
              <w:rPr>
                <w:rFonts w:eastAsia="Arial" w:cs="Arial"/>
                <w:color w:val="000000"/>
                <w:szCs w:val="18"/>
              </w:rPr>
              <w:t>8:2</w:t>
            </w:r>
          </w:p>
        </w:tc>
        <w:tc>
          <w:tcPr>
            <w:tcW w:w="673" w:type="dxa"/>
            <w:tcBorders>
              <w:top w:val="single" w:sz="12" w:space="0" w:color="008000"/>
              <w:bottom w:val="single" w:sz="6" w:space="0" w:color="008000"/>
            </w:tcBorders>
            <w:shd w:val="clear" w:color="auto" w:fill="FFFFFF"/>
            <w:vAlign w:val="center"/>
          </w:tcPr>
          <w:p w14:paraId="2555D1EE" w14:textId="77777777" w:rsidR="00D60E03" w:rsidRDefault="00000000">
            <w:pPr>
              <w:pBdr>
                <w:top w:val="nil"/>
                <w:left w:val="nil"/>
                <w:bottom w:val="nil"/>
                <w:right w:val="nil"/>
                <w:between w:val="nil"/>
              </w:pBdr>
              <w:jc w:val="center"/>
              <w:rPr>
                <w:rFonts w:eastAsia="Arial" w:cs="Arial"/>
                <w:color w:val="000000"/>
                <w:szCs w:val="18"/>
              </w:rPr>
            </w:pPr>
            <w:r>
              <w:rPr>
                <w:rFonts w:eastAsia="Arial" w:cs="Arial"/>
                <w:color w:val="000000"/>
                <w:szCs w:val="18"/>
              </w:rPr>
              <w:t>9:1</w:t>
            </w:r>
          </w:p>
        </w:tc>
        <w:tc>
          <w:tcPr>
            <w:tcW w:w="673" w:type="dxa"/>
            <w:tcBorders>
              <w:top w:val="single" w:sz="12" w:space="0" w:color="008000"/>
              <w:bottom w:val="single" w:sz="6" w:space="0" w:color="008000"/>
            </w:tcBorders>
            <w:shd w:val="clear" w:color="auto" w:fill="FFFFFF"/>
            <w:vAlign w:val="center"/>
          </w:tcPr>
          <w:p w14:paraId="68635580" w14:textId="77777777" w:rsidR="00D60E03" w:rsidRDefault="00000000">
            <w:pPr>
              <w:pBdr>
                <w:top w:val="nil"/>
                <w:left w:val="nil"/>
                <w:bottom w:val="nil"/>
                <w:right w:val="nil"/>
                <w:between w:val="nil"/>
              </w:pBdr>
              <w:jc w:val="center"/>
              <w:rPr>
                <w:rFonts w:eastAsia="Arial" w:cs="Arial"/>
                <w:color w:val="000000"/>
                <w:szCs w:val="18"/>
              </w:rPr>
            </w:pPr>
            <w:proofErr w:type="spellStart"/>
            <w:r>
              <w:rPr>
                <w:rFonts w:eastAsia="Arial" w:cs="Arial"/>
                <w:color w:val="000000"/>
                <w:szCs w:val="18"/>
              </w:rPr>
              <w:t>ZnO</w:t>
            </w:r>
            <w:proofErr w:type="spellEnd"/>
          </w:p>
        </w:tc>
      </w:tr>
      <w:tr w:rsidR="00D60E03" w14:paraId="6BE8ECA7" w14:textId="77777777">
        <w:trPr>
          <w:trHeight w:val="229"/>
        </w:trPr>
        <w:tc>
          <w:tcPr>
            <w:tcW w:w="1102" w:type="dxa"/>
            <w:shd w:val="clear" w:color="auto" w:fill="FFFFFF"/>
          </w:tcPr>
          <w:p w14:paraId="6FF5E5E4" w14:textId="77777777" w:rsidR="00D60E03" w:rsidRDefault="00000000">
            <w:pPr>
              <w:pBdr>
                <w:top w:val="nil"/>
                <w:left w:val="nil"/>
                <w:bottom w:val="nil"/>
                <w:right w:val="nil"/>
                <w:between w:val="nil"/>
              </w:pBdr>
              <w:jc w:val="center"/>
              <w:rPr>
                <w:rFonts w:eastAsia="Arial" w:cs="Arial"/>
                <w:color w:val="000000"/>
                <w:szCs w:val="18"/>
              </w:rPr>
            </w:pPr>
            <w:r>
              <w:rPr>
                <w:rFonts w:eastAsia="Arial" w:cs="Arial"/>
                <w:color w:val="000000"/>
                <w:szCs w:val="18"/>
              </w:rPr>
              <w:t>S, m</w:t>
            </w:r>
            <w:r>
              <w:rPr>
                <w:rFonts w:eastAsia="Arial" w:cs="Arial"/>
                <w:color w:val="000000"/>
                <w:szCs w:val="18"/>
                <w:vertAlign w:val="superscript"/>
              </w:rPr>
              <w:t>2</w:t>
            </w:r>
            <w:r>
              <w:rPr>
                <w:rFonts w:eastAsia="Arial" w:cs="Arial"/>
                <w:color w:val="000000"/>
                <w:szCs w:val="18"/>
              </w:rPr>
              <w:t>/g</w:t>
            </w:r>
          </w:p>
        </w:tc>
        <w:tc>
          <w:tcPr>
            <w:tcW w:w="608" w:type="dxa"/>
            <w:shd w:val="clear" w:color="auto" w:fill="FFFFFF"/>
          </w:tcPr>
          <w:p w14:paraId="47815EE1" w14:textId="77777777" w:rsidR="00D60E03" w:rsidRDefault="00000000">
            <w:pPr>
              <w:pBdr>
                <w:top w:val="nil"/>
                <w:left w:val="nil"/>
                <w:bottom w:val="nil"/>
                <w:right w:val="nil"/>
                <w:between w:val="nil"/>
              </w:pBdr>
              <w:jc w:val="center"/>
              <w:rPr>
                <w:rFonts w:eastAsia="Arial" w:cs="Arial"/>
                <w:color w:val="000000"/>
                <w:szCs w:val="18"/>
              </w:rPr>
            </w:pPr>
            <w:r>
              <w:rPr>
                <w:rFonts w:eastAsia="Arial" w:cs="Arial"/>
                <w:color w:val="000000"/>
                <w:szCs w:val="18"/>
              </w:rPr>
              <w:t>6.2</w:t>
            </w:r>
          </w:p>
        </w:tc>
        <w:tc>
          <w:tcPr>
            <w:tcW w:w="446" w:type="dxa"/>
            <w:shd w:val="clear" w:color="auto" w:fill="FFFFFF"/>
          </w:tcPr>
          <w:p w14:paraId="4921ABBD" w14:textId="77777777" w:rsidR="00D60E03" w:rsidRDefault="00000000">
            <w:pPr>
              <w:pBdr>
                <w:top w:val="nil"/>
                <w:left w:val="nil"/>
                <w:bottom w:val="nil"/>
                <w:right w:val="nil"/>
                <w:between w:val="nil"/>
              </w:pBdr>
              <w:jc w:val="center"/>
              <w:rPr>
                <w:rFonts w:eastAsia="Arial" w:cs="Arial"/>
                <w:color w:val="000000"/>
                <w:szCs w:val="18"/>
              </w:rPr>
            </w:pPr>
            <w:r>
              <w:rPr>
                <w:rFonts w:eastAsia="Arial" w:cs="Arial"/>
                <w:color w:val="000000"/>
                <w:szCs w:val="18"/>
              </w:rPr>
              <w:t>1.1</w:t>
            </w:r>
          </w:p>
        </w:tc>
        <w:tc>
          <w:tcPr>
            <w:tcW w:w="856" w:type="dxa"/>
            <w:shd w:val="clear" w:color="auto" w:fill="FFFFFF"/>
          </w:tcPr>
          <w:p w14:paraId="2BC64EDF" w14:textId="77777777" w:rsidR="00D60E03" w:rsidRDefault="00000000">
            <w:pPr>
              <w:pBdr>
                <w:top w:val="nil"/>
                <w:left w:val="nil"/>
                <w:bottom w:val="nil"/>
                <w:right w:val="nil"/>
                <w:between w:val="nil"/>
              </w:pBdr>
              <w:jc w:val="center"/>
              <w:rPr>
                <w:rFonts w:eastAsia="Arial" w:cs="Arial"/>
                <w:color w:val="000000"/>
                <w:szCs w:val="18"/>
              </w:rPr>
            </w:pPr>
            <w:r>
              <w:rPr>
                <w:rFonts w:eastAsia="Arial" w:cs="Arial"/>
                <w:color w:val="000000"/>
                <w:szCs w:val="18"/>
              </w:rPr>
              <w:t>2.1</w:t>
            </w:r>
          </w:p>
        </w:tc>
        <w:tc>
          <w:tcPr>
            <w:tcW w:w="856" w:type="dxa"/>
            <w:shd w:val="clear" w:color="auto" w:fill="FFFFFF"/>
          </w:tcPr>
          <w:p w14:paraId="71CC9959" w14:textId="77777777" w:rsidR="00D60E03" w:rsidRDefault="00000000">
            <w:pPr>
              <w:pBdr>
                <w:top w:val="nil"/>
                <w:left w:val="nil"/>
                <w:bottom w:val="nil"/>
                <w:right w:val="nil"/>
                <w:between w:val="nil"/>
              </w:pBdr>
              <w:jc w:val="center"/>
              <w:rPr>
                <w:rFonts w:eastAsia="Arial" w:cs="Arial"/>
                <w:color w:val="000000"/>
                <w:szCs w:val="18"/>
              </w:rPr>
            </w:pPr>
            <w:r>
              <w:rPr>
                <w:rFonts w:eastAsia="Arial" w:cs="Arial"/>
                <w:color w:val="000000"/>
                <w:szCs w:val="18"/>
              </w:rPr>
              <w:t>2.2</w:t>
            </w:r>
          </w:p>
        </w:tc>
        <w:tc>
          <w:tcPr>
            <w:tcW w:w="856" w:type="dxa"/>
            <w:shd w:val="clear" w:color="auto" w:fill="FFFFFF"/>
          </w:tcPr>
          <w:p w14:paraId="5123F174" w14:textId="77777777" w:rsidR="00D60E03" w:rsidRDefault="00000000">
            <w:pPr>
              <w:pBdr>
                <w:top w:val="nil"/>
                <w:left w:val="nil"/>
                <w:bottom w:val="nil"/>
                <w:right w:val="nil"/>
                <w:between w:val="nil"/>
              </w:pBdr>
              <w:jc w:val="center"/>
              <w:rPr>
                <w:rFonts w:eastAsia="Arial" w:cs="Arial"/>
                <w:color w:val="000000"/>
                <w:szCs w:val="18"/>
              </w:rPr>
            </w:pPr>
            <w:r>
              <w:rPr>
                <w:rFonts w:eastAsia="Arial" w:cs="Arial"/>
                <w:color w:val="000000"/>
                <w:szCs w:val="18"/>
              </w:rPr>
              <w:t>2.1</w:t>
            </w:r>
          </w:p>
        </w:tc>
        <w:tc>
          <w:tcPr>
            <w:tcW w:w="759" w:type="dxa"/>
            <w:shd w:val="clear" w:color="auto" w:fill="FFFFFF"/>
          </w:tcPr>
          <w:p w14:paraId="6AF2CE5F" w14:textId="77777777" w:rsidR="00D60E03" w:rsidRDefault="00000000">
            <w:pPr>
              <w:pBdr>
                <w:top w:val="nil"/>
                <w:left w:val="nil"/>
                <w:bottom w:val="nil"/>
                <w:right w:val="nil"/>
                <w:between w:val="nil"/>
              </w:pBdr>
              <w:jc w:val="center"/>
              <w:rPr>
                <w:rFonts w:eastAsia="Arial" w:cs="Arial"/>
                <w:color w:val="000000"/>
                <w:szCs w:val="18"/>
              </w:rPr>
            </w:pPr>
            <w:r>
              <w:rPr>
                <w:rFonts w:eastAsia="Arial" w:cs="Arial"/>
                <w:color w:val="000000"/>
                <w:szCs w:val="18"/>
              </w:rPr>
              <w:t>2.6</w:t>
            </w:r>
          </w:p>
        </w:tc>
        <w:tc>
          <w:tcPr>
            <w:tcW w:w="759" w:type="dxa"/>
            <w:shd w:val="clear" w:color="auto" w:fill="FFFFFF"/>
          </w:tcPr>
          <w:p w14:paraId="7FE40D8A" w14:textId="77777777" w:rsidR="00D60E03" w:rsidRDefault="00000000">
            <w:pPr>
              <w:pBdr>
                <w:top w:val="nil"/>
                <w:left w:val="nil"/>
                <w:bottom w:val="nil"/>
                <w:right w:val="nil"/>
                <w:between w:val="nil"/>
              </w:pBdr>
              <w:jc w:val="center"/>
              <w:rPr>
                <w:rFonts w:eastAsia="Arial" w:cs="Arial"/>
                <w:color w:val="000000"/>
                <w:szCs w:val="18"/>
              </w:rPr>
            </w:pPr>
            <w:r>
              <w:rPr>
                <w:rFonts w:eastAsia="Arial" w:cs="Arial"/>
                <w:color w:val="000000"/>
                <w:szCs w:val="18"/>
              </w:rPr>
              <w:t>1.7</w:t>
            </w:r>
          </w:p>
        </w:tc>
        <w:tc>
          <w:tcPr>
            <w:tcW w:w="759" w:type="dxa"/>
            <w:shd w:val="clear" w:color="auto" w:fill="FFFFFF"/>
          </w:tcPr>
          <w:p w14:paraId="6AE87139" w14:textId="77777777" w:rsidR="00D60E03" w:rsidRDefault="00000000">
            <w:pPr>
              <w:pBdr>
                <w:top w:val="nil"/>
                <w:left w:val="nil"/>
                <w:bottom w:val="nil"/>
                <w:right w:val="nil"/>
                <w:between w:val="nil"/>
              </w:pBdr>
              <w:jc w:val="center"/>
              <w:rPr>
                <w:rFonts w:eastAsia="Arial" w:cs="Arial"/>
                <w:color w:val="000000"/>
                <w:szCs w:val="18"/>
              </w:rPr>
            </w:pPr>
            <w:r>
              <w:rPr>
                <w:rFonts w:eastAsia="Arial" w:cs="Arial"/>
                <w:color w:val="000000"/>
                <w:szCs w:val="18"/>
              </w:rPr>
              <w:t>1.9</w:t>
            </w:r>
          </w:p>
        </w:tc>
        <w:tc>
          <w:tcPr>
            <w:tcW w:w="759" w:type="dxa"/>
            <w:shd w:val="clear" w:color="auto" w:fill="FFFFFF"/>
          </w:tcPr>
          <w:p w14:paraId="724C8EEA" w14:textId="77777777" w:rsidR="00D60E03" w:rsidRDefault="00000000">
            <w:pPr>
              <w:pBdr>
                <w:top w:val="nil"/>
                <w:left w:val="nil"/>
                <w:bottom w:val="nil"/>
                <w:right w:val="nil"/>
                <w:between w:val="nil"/>
              </w:pBdr>
              <w:jc w:val="center"/>
              <w:rPr>
                <w:rFonts w:eastAsia="Arial" w:cs="Arial"/>
                <w:color w:val="000000"/>
                <w:szCs w:val="18"/>
              </w:rPr>
            </w:pPr>
            <w:r>
              <w:rPr>
                <w:rFonts w:eastAsia="Arial" w:cs="Arial"/>
                <w:color w:val="000000"/>
                <w:szCs w:val="18"/>
              </w:rPr>
              <w:t>8.7</w:t>
            </w:r>
          </w:p>
        </w:tc>
        <w:tc>
          <w:tcPr>
            <w:tcW w:w="673" w:type="dxa"/>
            <w:shd w:val="clear" w:color="auto" w:fill="FFFFFF"/>
          </w:tcPr>
          <w:p w14:paraId="7E13A6E8" w14:textId="77777777" w:rsidR="00D60E03" w:rsidRDefault="00000000">
            <w:pPr>
              <w:pBdr>
                <w:top w:val="nil"/>
                <w:left w:val="nil"/>
                <w:bottom w:val="nil"/>
                <w:right w:val="nil"/>
                <w:between w:val="nil"/>
              </w:pBdr>
              <w:jc w:val="center"/>
              <w:rPr>
                <w:rFonts w:eastAsia="Arial" w:cs="Arial"/>
                <w:color w:val="000000"/>
                <w:szCs w:val="18"/>
              </w:rPr>
            </w:pPr>
            <w:r>
              <w:rPr>
                <w:rFonts w:eastAsia="Arial" w:cs="Arial"/>
                <w:color w:val="000000"/>
                <w:szCs w:val="18"/>
              </w:rPr>
              <w:t>24.0</w:t>
            </w:r>
          </w:p>
        </w:tc>
        <w:tc>
          <w:tcPr>
            <w:tcW w:w="673" w:type="dxa"/>
            <w:shd w:val="clear" w:color="auto" w:fill="FFFFFF"/>
          </w:tcPr>
          <w:p w14:paraId="52F714E1" w14:textId="77777777" w:rsidR="00D60E03" w:rsidRDefault="00000000">
            <w:pPr>
              <w:pBdr>
                <w:top w:val="nil"/>
                <w:left w:val="nil"/>
                <w:bottom w:val="nil"/>
                <w:right w:val="nil"/>
                <w:between w:val="nil"/>
              </w:pBdr>
              <w:jc w:val="center"/>
              <w:rPr>
                <w:rFonts w:eastAsia="Arial" w:cs="Arial"/>
                <w:color w:val="000000"/>
                <w:szCs w:val="18"/>
              </w:rPr>
            </w:pPr>
            <w:r>
              <w:rPr>
                <w:rFonts w:eastAsia="Arial" w:cs="Arial"/>
                <w:color w:val="000000"/>
                <w:szCs w:val="18"/>
              </w:rPr>
              <w:t>4.5</w:t>
            </w:r>
          </w:p>
        </w:tc>
      </w:tr>
    </w:tbl>
    <w:p w14:paraId="61CBB89A" w14:textId="77777777" w:rsidR="00D60E03" w:rsidRDefault="00D60E03">
      <w:pPr>
        <w:pBdr>
          <w:top w:val="nil"/>
          <w:left w:val="nil"/>
          <w:bottom w:val="nil"/>
          <w:right w:val="nil"/>
          <w:between w:val="nil"/>
        </w:pBdr>
        <w:spacing w:line="240" w:lineRule="auto"/>
        <w:rPr>
          <w:rFonts w:eastAsia="Arial" w:cs="Arial"/>
          <w:color w:val="000000"/>
          <w:szCs w:val="18"/>
        </w:rPr>
      </w:pPr>
    </w:p>
    <w:p w14:paraId="5F75E88D" w14:textId="4B3ED782" w:rsidR="00D60E03" w:rsidRDefault="00000000">
      <w:pPr>
        <w:pBdr>
          <w:top w:val="nil"/>
          <w:left w:val="nil"/>
          <w:bottom w:val="nil"/>
          <w:right w:val="nil"/>
          <w:between w:val="nil"/>
        </w:pBdr>
        <w:spacing w:line="240" w:lineRule="auto"/>
        <w:rPr>
          <w:rFonts w:eastAsia="Arial" w:cs="Arial"/>
          <w:color w:val="000000"/>
          <w:szCs w:val="18"/>
        </w:rPr>
      </w:pPr>
      <w:r>
        <w:rPr>
          <w:rFonts w:eastAsia="Arial" w:cs="Arial"/>
          <w:color w:val="000000"/>
          <w:szCs w:val="18"/>
        </w:rPr>
        <w:t>Correlations between the yields of the reaction products and their specific surfaces at 500</w:t>
      </w:r>
      <w:r w:rsidR="000C20A2">
        <w:rPr>
          <w:rFonts w:eastAsia="Arial" w:cs="Arial"/>
          <w:color w:val="000000"/>
          <w:szCs w:val="18"/>
        </w:rPr>
        <w:t xml:space="preserve"> </w:t>
      </w:r>
      <w:proofErr w:type="spellStart"/>
      <w:r>
        <w:rPr>
          <w:rFonts w:eastAsia="Arial" w:cs="Arial"/>
          <w:color w:val="000000"/>
          <w:szCs w:val="18"/>
          <w:vertAlign w:val="superscript"/>
        </w:rPr>
        <w:t>o</w:t>
      </w:r>
      <w:r>
        <w:rPr>
          <w:rFonts w:eastAsia="Arial" w:cs="Arial"/>
          <w:color w:val="000000"/>
          <w:szCs w:val="18"/>
        </w:rPr>
        <w:t>C</w:t>
      </w:r>
      <w:proofErr w:type="spellEnd"/>
      <w:r>
        <w:rPr>
          <w:rFonts w:eastAsia="Arial" w:cs="Arial"/>
          <w:color w:val="000000"/>
          <w:szCs w:val="18"/>
        </w:rPr>
        <w:t xml:space="preserve"> are shown in Figure 4. As can be observed from the picture, with increase in specific surface of the catalysts the yield of the target product acetone decreases, and the yield of ethylene increases. The overall conversion of ethanol and selectivity also decrease with increase in specific surface. The yield of carbon dioxide stays stable and does not change with change of specific surface.</w:t>
      </w:r>
    </w:p>
    <w:p w14:paraId="19E929F6" w14:textId="77777777" w:rsidR="00D60E03" w:rsidRDefault="00000000">
      <w:pPr>
        <w:pBdr>
          <w:top w:val="nil"/>
          <w:left w:val="nil"/>
          <w:bottom w:val="nil"/>
          <w:right w:val="nil"/>
          <w:between w:val="nil"/>
        </w:pBdr>
        <w:spacing w:line="240" w:lineRule="auto"/>
        <w:rPr>
          <w:rFonts w:eastAsia="Arial" w:cs="Arial"/>
          <w:color w:val="000000"/>
          <w:szCs w:val="18"/>
        </w:rPr>
      </w:pPr>
      <w:r>
        <w:rPr>
          <w:rFonts w:ascii="Calibri" w:eastAsia="Calibri" w:hAnsi="Calibri" w:cs="Calibri"/>
          <w:noProof/>
          <w:color w:val="000000"/>
          <w:szCs w:val="18"/>
        </w:rPr>
        <w:drawing>
          <wp:inline distT="0" distB="0" distL="0" distR="0" wp14:anchorId="2DEB4A3E" wp14:editId="56061195">
            <wp:extent cx="4657725" cy="2438400"/>
            <wp:effectExtent l="0" t="0" r="0" b="0"/>
            <wp:docPr id="1999943516" name="Диаграмма 19999435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B350202" w14:textId="1CD9943A" w:rsidR="00D60E03" w:rsidRDefault="00000000">
      <w:pPr>
        <w:pBdr>
          <w:top w:val="nil"/>
          <w:left w:val="nil"/>
          <w:bottom w:val="nil"/>
          <w:right w:val="nil"/>
          <w:between w:val="nil"/>
        </w:pBdr>
        <w:spacing w:line="240" w:lineRule="auto"/>
        <w:rPr>
          <w:rFonts w:eastAsia="Arial" w:cs="Arial"/>
          <w:i/>
          <w:color w:val="000000"/>
          <w:szCs w:val="18"/>
        </w:rPr>
      </w:pPr>
      <w:r>
        <w:rPr>
          <w:rFonts w:eastAsia="Arial" w:cs="Arial"/>
          <w:i/>
          <w:color w:val="000000"/>
          <w:szCs w:val="18"/>
        </w:rPr>
        <w:t>Figure 4: Dependence of the activity of Ce-Zn-O catalysts on their specific surface at the temperature 500</w:t>
      </w:r>
      <w:r w:rsidR="00051542">
        <w:rPr>
          <w:rFonts w:eastAsia="Arial" w:cs="Arial"/>
          <w:i/>
          <w:color w:val="000000"/>
          <w:szCs w:val="18"/>
        </w:rPr>
        <w:t xml:space="preserve"> </w:t>
      </w:r>
      <w:r>
        <w:rPr>
          <w:rFonts w:eastAsia="Arial" w:cs="Arial"/>
          <w:i/>
          <w:color w:val="000000"/>
          <w:szCs w:val="18"/>
        </w:rPr>
        <w:t>°C</w:t>
      </w:r>
    </w:p>
    <w:p w14:paraId="6B9AF0AC" w14:textId="77777777" w:rsidR="00D60E03" w:rsidRDefault="00D60E03">
      <w:pPr>
        <w:pBdr>
          <w:top w:val="nil"/>
          <w:left w:val="nil"/>
          <w:bottom w:val="nil"/>
          <w:right w:val="nil"/>
          <w:between w:val="nil"/>
        </w:pBdr>
        <w:spacing w:line="240" w:lineRule="auto"/>
        <w:rPr>
          <w:rFonts w:eastAsia="Arial" w:cs="Arial"/>
          <w:color w:val="000000"/>
          <w:szCs w:val="18"/>
        </w:rPr>
      </w:pPr>
    </w:p>
    <w:p w14:paraId="63E33AC5" w14:textId="52C8C962" w:rsidR="00EB440F" w:rsidRPr="00EB440F" w:rsidRDefault="00000000" w:rsidP="00835CA2">
      <w:pPr>
        <w:pBdr>
          <w:top w:val="nil"/>
          <w:left w:val="nil"/>
          <w:bottom w:val="nil"/>
          <w:right w:val="nil"/>
          <w:between w:val="nil"/>
        </w:pBdr>
        <w:spacing w:line="240" w:lineRule="auto"/>
        <w:rPr>
          <w:rFonts w:eastAsia="Arial" w:cs="Arial"/>
          <w:color w:val="000000"/>
          <w:szCs w:val="18"/>
        </w:rPr>
      </w:pPr>
      <w:r>
        <w:rPr>
          <w:rFonts w:eastAsia="Arial" w:cs="Arial"/>
          <w:color w:val="000000"/>
          <w:szCs w:val="18"/>
        </w:rPr>
        <w:t>The activity of a catalyst, as is known, can in some way depend on the structural properties of the catalyst [13]. One of the properties of a catalyst, which is determined by the structural properties of a solid, is crystallinity, which in turn depends on both the preparation conditions and the initial compounds taken to prepare the catalyst. In this regard, the dependence of the activity of binary zinc oxide catalysts in the reaction of steam reforming of ethanol on the degree of crystallinity of the synthesized catalysts was studied. Figure 5 shows the dependences of the yields of acetone, ethylene and carbon dioxide and the conversion of ethanol on the degree of crystallinity of binary cerium-zinc oxide catalysts.</w:t>
      </w:r>
      <w:r w:rsidR="00EB440F">
        <w:rPr>
          <w:rFonts w:eastAsia="Arial" w:cs="Arial"/>
          <w:color w:val="000000"/>
          <w:szCs w:val="18"/>
        </w:rPr>
        <w:t xml:space="preserve"> </w:t>
      </w:r>
    </w:p>
    <w:p w14:paraId="74CEF5AD" w14:textId="77777777" w:rsidR="00D60E03" w:rsidRDefault="00000000">
      <w:pPr>
        <w:pBdr>
          <w:top w:val="nil"/>
          <w:left w:val="nil"/>
          <w:bottom w:val="nil"/>
          <w:right w:val="nil"/>
          <w:between w:val="nil"/>
        </w:pBdr>
        <w:spacing w:line="240" w:lineRule="auto"/>
        <w:rPr>
          <w:rFonts w:eastAsia="Arial" w:cs="Arial"/>
          <w:i/>
          <w:color w:val="000000"/>
          <w:szCs w:val="18"/>
        </w:rPr>
      </w:pPr>
      <w:r>
        <w:rPr>
          <w:rFonts w:ascii="Calibri" w:eastAsia="Calibri" w:hAnsi="Calibri" w:cs="Calibri"/>
          <w:noProof/>
          <w:color w:val="000000"/>
          <w:szCs w:val="18"/>
        </w:rPr>
        <w:drawing>
          <wp:inline distT="0" distB="0" distL="0" distR="0" wp14:anchorId="31E051DC" wp14:editId="1DE5D659">
            <wp:extent cx="5086350" cy="2762250"/>
            <wp:effectExtent l="0" t="0" r="0" b="0"/>
            <wp:docPr id="1999943515" name="Диаграмма 19999435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AA68726" w14:textId="2E94C86C" w:rsidR="00D60E03" w:rsidRDefault="00000000">
      <w:pPr>
        <w:pBdr>
          <w:top w:val="nil"/>
          <w:left w:val="nil"/>
          <w:bottom w:val="nil"/>
          <w:right w:val="nil"/>
          <w:between w:val="nil"/>
        </w:pBdr>
        <w:spacing w:line="240" w:lineRule="auto"/>
        <w:rPr>
          <w:rFonts w:eastAsia="Arial" w:cs="Arial"/>
          <w:i/>
          <w:color w:val="000000"/>
          <w:szCs w:val="18"/>
        </w:rPr>
      </w:pPr>
      <w:r>
        <w:rPr>
          <w:rFonts w:eastAsia="Arial" w:cs="Arial"/>
          <w:i/>
          <w:color w:val="000000"/>
          <w:szCs w:val="18"/>
        </w:rPr>
        <w:t>Figure 5: Dependence of the activity of Ce-Zn-O on their degree of crystallinity at the temperature 500</w:t>
      </w:r>
      <w:r w:rsidR="00051542">
        <w:rPr>
          <w:rFonts w:eastAsia="Arial" w:cs="Arial"/>
          <w:i/>
          <w:color w:val="000000"/>
          <w:szCs w:val="18"/>
        </w:rPr>
        <w:t xml:space="preserve"> </w:t>
      </w:r>
      <w:r>
        <w:rPr>
          <w:rFonts w:eastAsia="Arial" w:cs="Arial"/>
          <w:i/>
          <w:color w:val="000000"/>
          <w:szCs w:val="18"/>
        </w:rPr>
        <w:t>°C</w:t>
      </w:r>
    </w:p>
    <w:p w14:paraId="27BCD015" w14:textId="77777777" w:rsidR="00835CA2" w:rsidRDefault="00835CA2" w:rsidP="00835CA2">
      <w:pPr>
        <w:pBdr>
          <w:top w:val="nil"/>
          <w:left w:val="nil"/>
          <w:bottom w:val="nil"/>
          <w:right w:val="nil"/>
          <w:between w:val="nil"/>
        </w:pBdr>
        <w:spacing w:line="240" w:lineRule="auto"/>
        <w:rPr>
          <w:rFonts w:eastAsia="Arial" w:cs="Arial"/>
          <w:iCs/>
          <w:color w:val="000000"/>
          <w:szCs w:val="18"/>
        </w:rPr>
      </w:pPr>
    </w:p>
    <w:p w14:paraId="6A14E704" w14:textId="155CE4A8" w:rsidR="00835CA2" w:rsidRPr="00835CA2" w:rsidRDefault="00835CA2" w:rsidP="00835CA2">
      <w:pPr>
        <w:pBdr>
          <w:top w:val="nil"/>
          <w:left w:val="nil"/>
          <w:bottom w:val="nil"/>
          <w:right w:val="nil"/>
          <w:between w:val="nil"/>
        </w:pBdr>
        <w:spacing w:line="240" w:lineRule="auto"/>
        <w:rPr>
          <w:rFonts w:eastAsia="Arial" w:cs="Arial"/>
          <w:iCs/>
          <w:color w:val="000000"/>
          <w:szCs w:val="18"/>
        </w:rPr>
      </w:pPr>
      <w:r w:rsidRPr="00835CA2">
        <w:rPr>
          <w:rFonts w:eastAsia="Arial" w:cs="Arial"/>
          <w:iCs/>
          <w:color w:val="000000"/>
          <w:szCs w:val="18"/>
        </w:rPr>
        <w:t>It is evident from Figure 5 that with an increase in the crystallinity of cerium-zinc oxide catalysts, the yield of acetone decreases, and the yield of ethylene decreases, while the yield of carbon dioxide practically does not change with a change in the degree of crystallinity of the catalyst.</w:t>
      </w:r>
    </w:p>
    <w:p w14:paraId="3EEF8674" w14:textId="77777777" w:rsidR="00835CA2" w:rsidRPr="00835CA2" w:rsidRDefault="00835CA2" w:rsidP="00835CA2">
      <w:pPr>
        <w:pBdr>
          <w:top w:val="nil"/>
          <w:left w:val="nil"/>
          <w:bottom w:val="nil"/>
          <w:right w:val="nil"/>
          <w:between w:val="nil"/>
        </w:pBdr>
        <w:spacing w:line="240" w:lineRule="auto"/>
        <w:rPr>
          <w:rFonts w:eastAsia="Arial" w:cs="Arial"/>
          <w:iCs/>
          <w:color w:val="000000"/>
          <w:szCs w:val="18"/>
        </w:rPr>
      </w:pPr>
      <w:r w:rsidRPr="00835CA2">
        <w:rPr>
          <w:rFonts w:eastAsia="Arial" w:cs="Arial"/>
          <w:iCs/>
          <w:color w:val="000000"/>
          <w:szCs w:val="18"/>
        </w:rPr>
        <w:lastRenderedPageBreak/>
        <w:t>It should also be noted that an increase in the degree of crystallinity also leads to a decrease in the total conversion of ethanol. This allows us to say that an increase in the crystallinity of cerium-zinc oxide catalysts leads to an increase in the rate of ethanol dehydration reaction and a decrease in the rate of steam conversion of ethanol to acetone. This allows us to say that increasing the crystallinity of cerium-zinc oxide catalysts leads to an increase in the rate of ethanol dehydration reaction and a decrease in the rate of steam conversion of ethanol to acetone.</w:t>
      </w:r>
    </w:p>
    <w:p w14:paraId="2A121D94" w14:textId="77777777" w:rsidR="00D60E03" w:rsidRPr="00835CA2" w:rsidRDefault="00D60E03">
      <w:pPr>
        <w:spacing w:line="276" w:lineRule="auto"/>
        <w:jc w:val="left"/>
        <w:rPr>
          <w:bCs/>
          <w:sz w:val="20"/>
        </w:rPr>
      </w:pPr>
    </w:p>
    <w:p w14:paraId="14058B5D" w14:textId="77777777" w:rsidR="00D60E03" w:rsidRDefault="00000000" w:rsidP="00606B4D">
      <w:pPr>
        <w:keepNext/>
        <w:numPr>
          <w:ilvl w:val="1"/>
          <w:numId w:val="1"/>
        </w:numPr>
        <w:pBdr>
          <w:top w:val="nil"/>
          <w:left w:val="nil"/>
          <w:bottom w:val="nil"/>
          <w:right w:val="nil"/>
          <w:between w:val="nil"/>
        </w:pBdr>
        <w:tabs>
          <w:tab w:val="clear" w:pos="7100"/>
        </w:tabs>
        <w:spacing w:line="240" w:lineRule="auto"/>
        <w:jc w:val="left"/>
        <w:rPr>
          <w:rFonts w:eastAsia="Arial" w:cs="Arial"/>
          <w:b/>
          <w:color w:val="000000"/>
          <w:sz w:val="20"/>
        </w:rPr>
      </w:pPr>
      <w:r>
        <w:rPr>
          <w:rFonts w:eastAsia="Arial" w:cs="Arial"/>
          <w:b/>
          <w:color w:val="000000"/>
          <w:sz w:val="20"/>
        </w:rPr>
        <w:t>Conclusions</w:t>
      </w:r>
    </w:p>
    <w:p w14:paraId="33C02509" w14:textId="77777777" w:rsidR="00D60E03" w:rsidRDefault="00D60E03">
      <w:pPr>
        <w:pBdr>
          <w:top w:val="nil"/>
          <w:left w:val="nil"/>
          <w:bottom w:val="nil"/>
          <w:right w:val="nil"/>
          <w:between w:val="nil"/>
        </w:pBdr>
        <w:spacing w:line="240" w:lineRule="auto"/>
        <w:rPr>
          <w:rFonts w:eastAsia="Arial" w:cs="Arial"/>
          <w:color w:val="000000"/>
          <w:szCs w:val="18"/>
        </w:rPr>
      </w:pPr>
    </w:p>
    <w:p w14:paraId="51A7ADC6" w14:textId="77777777" w:rsidR="00835CA2" w:rsidRPr="00835CA2" w:rsidRDefault="00835CA2" w:rsidP="00835CA2">
      <w:pPr>
        <w:numPr>
          <w:ilvl w:val="0"/>
          <w:numId w:val="3"/>
        </w:numPr>
        <w:pBdr>
          <w:top w:val="nil"/>
          <w:left w:val="nil"/>
          <w:bottom w:val="nil"/>
          <w:right w:val="nil"/>
          <w:between w:val="nil"/>
        </w:pBdr>
        <w:tabs>
          <w:tab w:val="left" w:pos="270"/>
        </w:tabs>
        <w:spacing w:line="240" w:lineRule="auto"/>
        <w:ind w:left="0" w:firstLine="0"/>
        <w:rPr>
          <w:rFonts w:eastAsia="Arial" w:cs="Arial"/>
          <w:color w:val="000000"/>
          <w:szCs w:val="18"/>
        </w:rPr>
      </w:pPr>
      <w:r w:rsidRPr="00835CA2">
        <w:rPr>
          <w:rFonts w:eastAsia="Arial" w:cs="Arial"/>
          <w:color w:val="000000"/>
          <w:szCs w:val="18"/>
        </w:rPr>
        <w:t xml:space="preserve">The most active catalyst among all the studied samples for the reaction of ethanol conversion to acetone was the one with the atomic ration </w:t>
      </w:r>
      <w:proofErr w:type="spellStart"/>
      <w:proofErr w:type="gramStart"/>
      <w:r w:rsidRPr="00835CA2">
        <w:rPr>
          <w:rFonts w:eastAsia="Arial" w:cs="Arial"/>
          <w:color w:val="000000"/>
          <w:szCs w:val="18"/>
        </w:rPr>
        <w:t>Ce:Zn</w:t>
      </w:r>
      <w:proofErr w:type="spellEnd"/>
      <w:proofErr w:type="gramEnd"/>
      <w:r w:rsidRPr="00835CA2">
        <w:rPr>
          <w:rFonts w:eastAsia="Arial" w:cs="Arial"/>
          <w:color w:val="000000"/>
          <w:szCs w:val="18"/>
        </w:rPr>
        <w:t>=2:8.</w:t>
      </w:r>
      <w:r w:rsidRPr="00835CA2">
        <w:rPr>
          <w:rFonts w:eastAsia="Arial" w:cs="Arial"/>
          <w:color w:val="000000"/>
          <w:szCs w:val="18"/>
          <w:lang w:val="en-US"/>
        </w:rPr>
        <w:t xml:space="preserve"> This catalyst is promising for further promotion and study of the kinetics of the reaction of conversion of ethanol to acetone.</w:t>
      </w:r>
    </w:p>
    <w:p w14:paraId="4EF2D68F" w14:textId="77777777" w:rsidR="00D60E03" w:rsidRDefault="00000000">
      <w:pPr>
        <w:numPr>
          <w:ilvl w:val="0"/>
          <w:numId w:val="3"/>
        </w:numPr>
        <w:pBdr>
          <w:top w:val="nil"/>
          <w:left w:val="nil"/>
          <w:bottom w:val="nil"/>
          <w:right w:val="nil"/>
          <w:between w:val="nil"/>
        </w:pBdr>
        <w:tabs>
          <w:tab w:val="left" w:pos="270"/>
        </w:tabs>
        <w:spacing w:line="240" w:lineRule="auto"/>
        <w:ind w:left="0" w:firstLine="0"/>
        <w:rPr>
          <w:rFonts w:eastAsia="Arial" w:cs="Arial"/>
          <w:color w:val="000000"/>
          <w:szCs w:val="18"/>
        </w:rPr>
      </w:pPr>
      <w:r>
        <w:rPr>
          <w:rFonts w:eastAsia="Arial" w:cs="Arial"/>
          <w:color w:val="000000"/>
          <w:szCs w:val="18"/>
        </w:rPr>
        <w:t>Increasing the crystallinity of binary cerium-zinc oxide catalysts leads to an increase in the yield of ethylene and a decrease in the yield of acetone. Ethanol conversion also decreases with increase in degree of crystallinity.</w:t>
      </w:r>
    </w:p>
    <w:p w14:paraId="551E1CCA" w14:textId="77777777" w:rsidR="00D60E03" w:rsidRDefault="00000000">
      <w:pPr>
        <w:numPr>
          <w:ilvl w:val="0"/>
          <w:numId w:val="3"/>
        </w:numPr>
        <w:pBdr>
          <w:top w:val="nil"/>
          <w:left w:val="nil"/>
          <w:bottom w:val="nil"/>
          <w:right w:val="nil"/>
          <w:between w:val="nil"/>
        </w:pBdr>
        <w:tabs>
          <w:tab w:val="left" w:pos="270"/>
        </w:tabs>
        <w:spacing w:line="240" w:lineRule="auto"/>
        <w:ind w:left="0" w:firstLine="0"/>
        <w:rPr>
          <w:rFonts w:eastAsia="Arial" w:cs="Arial"/>
          <w:color w:val="000000"/>
          <w:szCs w:val="18"/>
        </w:rPr>
      </w:pPr>
      <w:r>
        <w:rPr>
          <w:rFonts w:eastAsia="Arial" w:cs="Arial"/>
          <w:color w:val="000000"/>
          <w:szCs w:val="18"/>
        </w:rPr>
        <w:t>Increasing the specific surface area of binary cerium-zinc oxide catalysts leads to an increase in the yield of ethylene and a decrease in the yield of acetone.</w:t>
      </w:r>
    </w:p>
    <w:p w14:paraId="56D436E8" w14:textId="77777777" w:rsidR="00D60E03" w:rsidRDefault="00D60E03">
      <w:pPr>
        <w:pBdr>
          <w:top w:val="nil"/>
          <w:left w:val="nil"/>
          <w:bottom w:val="nil"/>
          <w:right w:val="nil"/>
          <w:between w:val="nil"/>
        </w:pBdr>
        <w:tabs>
          <w:tab w:val="left" w:pos="270"/>
        </w:tabs>
        <w:spacing w:line="240" w:lineRule="auto"/>
        <w:rPr>
          <w:rFonts w:eastAsia="Arial" w:cs="Arial"/>
          <w:color w:val="000000"/>
          <w:szCs w:val="18"/>
        </w:rPr>
      </w:pPr>
    </w:p>
    <w:p w14:paraId="264B56CC" w14:textId="77777777" w:rsidR="00D60E03" w:rsidRDefault="00000000">
      <w:pPr>
        <w:pBdr>
          <w:top w:val="nil"/>
          <w:left w:val="nil"/>
          <w:bottom w:val="nil"/>
          <w:right w:val="nil"/>
          <w:between w:val="nil"/>
        </w:pBdr>
        <w:spacing w:line="240" w:lineRule="auto"/>
        <w:jc w:val="left"/>
        <w:rPr>
          <w:rFonts w:eastAsia="Arial" w:cs="Arial"/>
          <w:b/>
          <w:color w:val="000000"/>
          <w:szCs w:val="18"/>
        </w:rPr>
      </w:pPr>
      <w:r>
        <w:rPr>
          <w:rFonts w:eastAsia="Arial" w:cs="Arial"/>
          <w:b/>
          <w:color w:val="000000"/>
          <w:szCs w:val="18"/>
        </w:rPr>
        <w:t>References</w:t>
      </w:r>
    </w:p>
    <w:p w14:paraId="334D94E5" w14:textId="77777777" w:rsidR="00D60E03" w:rsidRDefault="00D60E03">
      <w:pPr>
        <w:pBdr>
          <w:top w:val="nil"/>
          <w:left w:val="nil"/>
          <w:bottom w:val="nil"/>
          <w:right w:val="nil"/>
          <w:between w:val="nil"/>
        </w:pBdr>
        <w:spacing w:line="240" w:lineRule="auto"/>
        <w:jc w:val="left"/>
        <w:rPr>
          <w:rFonts w:eastAsia="Arial" w:cs="Arial"/>
          <w:b/>
          <w:color w:val="000000"/>
          <w:szCs w:val="18"/>
        </w:rPr>
      </w:pPr>
    </w:p>
    <w:p w14:paraId="473C1511" w14:textId="0D0D9FA7" w:rsidR="007870B7" w:rsidRPr="00C56B32" w:rsidRDefault="007870B7" w:rsidP="00C56B32">
      <w:pPr>
        <w:numPr>
          <w:ilvl w:val="0"/>
          <w:numId w:val="2"/>
        </w:numPr>
        <w:spacing w:line="240" w:lineRule="auto"/>
        <w:ind w:left="349"/>
        <w:rPr>
          <w:color w:val="000000"/>
        </w:rPr>
      </w:pPr>
      <w:r w:rsidRPr="00C56B32">
        <w:rPr>
          <w:color w:val="000000"/>
        </w:rPr>
        <w:t xml:space="preserve">Baranova E.A., Padilla M.A., Halevi B., Amir T., </w:t>
      </w:r>
      <w:proofErr w:type="spellStart"/>
      <w:r w:rsidRPr="00C56B32">
        <w:rPr>
          <w:color w:val="000000"/>
        </w:rPr>
        <w:t>Artyushkova</w:t>
      </w:r>
      <w:proofErr w:type="spellEnd"/>
      <w:r w:rsidRPr="00C56B32">
        <w:rPr>
          <w:color w:val="000000"/>
        </w:rPr>
        <w:t xml:space="preserve"> K., Atanassov P., 2012, Electrooxidation of ethanol on </w:t>
      </w:r>
      <w:proofErr w:type="spellStart"/>
      <w:r w:rsidRPr="00C56B32">
        <w:rPr>
          <w:color w:val="000000"/>
        </w:rPr>
        <w:t>PtSn</w:t>
      </w:r>
      <w:proofErr w:type="spellEnd"/>
      <w:r w:rsidRPr="00C56B32">
        <w:rPr>
          <w:color w:val="000000"/>
        </w:rPr>
        <w:t xml:space="preserve"> nanoparticles in alkaline solution: Correlation between structure and catalytic properties, </w:t>
      </w:r>
      <w:proofErr w:type="spellStart"/>
      <w:r w:rsidRPr="00C56B32">
        <w:rPr>
          <w:color w:val="000000"/>
        </w:rPr>
        <w:t>Electrochimica</w:t>
      </w:r>
      <w:proofErr w:type="spellEnd"/>
      <w:r w:rsidRPr="00C56B32">
        <w:rPr>
          <w:color w:val="000000"/>
        </w:rPr>
        <w:t xml:space="preserve"> Acta, 80, 377-382</w:t>
      </w:r>
    </w:p>
    <w:p w14:paraId="6700F721" w14:textId="4CD2E924" w:rsidR="007870B7" w:rsidRDefault="007870B7" w:rsidP="009063D3">
      <w:pPr>
        <w:numPr>
          <w:ilvl w:val="0"/>
          <w:numId w:val="2"/>
        </w:numPr>
        <w:spacing w:line="240" w:lineRule="auto"/>
        <w:ind w:left="349"/>
        <w:rPr>
          <w:color w:val="000000"/>
        </w:rPr>
      </w:pPr>
      <w:r w:rsidRPr="007D7899">
        <w:rPr>
          <w:color w:val="000000"/>
        </w:rPr>
        <w:t>Davydov A.A., Shchekochikhin V.M., 1971,</w:t>
      </w:r>
      <w:r>
        <w:rPr>
          <w:color w:val="000000"/>
        </w:rPr>
        <w:t xml:space="preserve"> </w:t>
      </w:r>
      <w:r w:rsidRPr="007D7899">
        <w:rPr>
          <w:color w:val="000000"/>
        </w:rPr>
        <w:t xml:space="preserve">Study of surface compounds in the reaction of ethanol conversion on </w:t>
      </w:r>
      <w:proofErr w:type="spellStart"/>
      <w:r w:rsidRPr="007D7899">
        <w:rPr>
          <w:color w:val="000000"/>
        </w:rPr>
        <w:t>aluminum</w:t>
      </w:r>
      <w:proofErr w:type="spellEnd"/>
      <w:r w:rsidRPr="007D7899">
        <w:rPr>
          <w:color w:val="000000"/>
        </w:rPr>
        <w:t>-zinc catalysts by IR spectroscopy and thermal desorption methods</w:t>
      </w:r>
      <w:r>
        <w:rPr>
          <w:color w:val="000000"/>
        </w:rPr>
        <w:t>,</w:t>
      </w:r>
      <w:r w:rsidRPr="007D7899">
        <w:rPr>
          <w:color w:val="000000"/>
        </w:rPr>
        <w:t xml:space="preserve"> Kinetics and Catalysis, 12</w:t>
      </w:r>
      <w:r>
        <w:rPr>
          <w:color w:val="000000"/>
        </w:rPr>
        <w:t>(</w:t>
      </w:r>
      <w:r w:rsidRPr="007D7899">
        <w:rPr>
          <w:color w:val="000000"/>
        </w:rPr>
        <w:t>2</w:t>
      </w:r>
      <w:r>
        <w:rPr>
          <w:color w:val="000000"/>
        </w:rPr>
        <w:t>)</w:t>
      </w:r>
      <w:r w:rsidRPr="007D7899">
        <w:rPr>
          <w:color w:val="000000"/>
        </w:rPr>
        <w:t>, 383-389</w:t>
      </w:r>
      <w:r>
        <w:rPr>
          <w:color w:val="000000"/>
        </w:rPr>
        <w:t xml:space="preserve"> </w:t>
      </w:r>
    </w:p>
    <w:p w14:paraId="2B15918B" w14:textId="0F677726" w:rsidR="007870B7" w:rsidRPr="00C56B32" w:rsidRDefault="007870B7" w:rsidP="00C56B32">
      <w:pPr>
        <w:numPr>
          <w:ilvl w:val="0"/>
          <w:numId w:val="2"/>
        </w:numPr>
        <w:spacing w:line="240" w:lineRule="auto"/>
        <w:ind w:left="349"/>
        <w:rPr>
          <w:color w:val="000000"/>
        </w:rPr>
      </w:pPr>
      <w:r w:rsidRPr="00C56B32">
        <w:rPr>
          <w:bCs/>
          <w:color w:val="000000"/>
          <w:lang w:val="en-US"/>
        </w:rPr>
        <w:t>Jung J.W., Lee Y.J., Um S.H., Yoo P.J., Lee D.H., Jun K.W., Bae J.W., 2012, Effect of copper surface area and acidic sites to intrinsic catalytic activity for dimethyl ether synthesis from biomass-derived syngas, Applied Catalysis B: Environmental, 126, 1-8</w:t>
      </w:r>
    </w:p>
    <w:p w14:paraId="757D5231" w14:textId="5A793286" w:rsidR="007870B7" w:rsidRPr="00C56B32" w:rsidRDefault="007870B7" w:rsidP="00C56B32">
      <w:pPr>
        <w:numPr>
          <w:ilvl w:val="0"/>
          <w:numId w:val="2"/>
        </w:numPr>
        <w:spacing w:line="240" w:lineRule="auto"/>
        <w:ind w:left="349"/>
        <w:rPr>
          <w:color w:val="000000"/>
        </w:rPr>
      </w:pPr>
      <w:r w:rsidRPr="00C56B32">
        <w:rPr>
          <w:bCs/>
          <w:color w:val="000000"/>
          <w:lang w:val="en-US"/>
        </w:rPr>
        <w:t xml:space="preserve">Knyazeva E.I., </w:t>
      </w:r>
      <w:proofErr w:type="spellStart"/>
      <w:r w:rsidRPr="00C56B32">
        <w:rPr>
          <w:bCs/>
          <w:color w:val="000000"/>
          <w:lang w:val="en-US"/>
        </w:rPr>
        <w:t>Pylinina</w:t>
      </w:r>
      <w:proofErr w:type="spellEnd"/>
      <w:r w:rsidRPr="00C56B32">
        <w:rPr>
          <w:bCs/>
          <w:color w:val="000000"/>
          <w:lang w:val="en-US"/>
        </w:rPr>
        <w:t xml:space="preserve"> A.I., </w:t>
      </w:r>
      <w:proofErr w:type="spellStart"/>
      <w:r w:rsidRPr="00C56B32">
        <w:rPr>
          <w:bCs/>
          <w:color w:val="000000"/>
          <w:lang w:val="en-US"/>
        </w:rPr>
        <w:t>Mikhalenko</w:t>
      </w:r>
      <w:proofErr w:type="spellEnd"/>
      <w:r w:rsidRPr="00C56B32">
        <w:rPr>
          <w:bCs/>
          <w:color w:val="000000"/>
          <w:lang w:val="en-US"/>
        </w:rPr>
        <w:t xml:space="preserve"> I.I., 2019, Relationship between the crystal structure, conductive and catalytic properties of perovskites Bi4Fe2xV2−2xO11−δ, Mendeleev Communications, 29(5), 541-543</w:t>
      </w:r>
    </w:p>
    <w:p w14:paraId="63C713B1" w14:textId="53145662" w:rsidR="007870B7" w:rsidRPr="00C56B32" w:rsidRDefault="007870B7" w:rsidP="00C56B32">
      <w:pPr>
        <w:numPr>
          <w:ilvl w:val="0"/>
          <w:numId w:val="2"/>
        </w:numPr>
        <w:spacing w:line="240" w:lineRule="auto"/>
        <w:ind w:left="349"/>
        <w:rPr>
          <w:color w:val="000000"/>
        </w:rPr>
      </w:pPr>
      <w:r w:rsidRPr="00C56B32">
        <w:rPr>
          <w:bCs/>
          <w:color w:val="000000"/>
          <w:lang w:val="en-US"/>
        </w:rPr>
        <w:t>Kushal S., Kundan K., Saurabh S., Anirban C., 2017, Effect of rare-earth doping in CeO2 matrix: Correlations with structure, catalytic and visible light photocatalytic properties, Ceramics International, 43(18), 17041-17047</w:t>
      </w:r>
    </w:p>
    <w:p w14:paraId="674B4ABC" w14:textId="25103026" w:rsidR="007870B7" w:rsidRPr="00C56B32" w:rsidRDefault="007870B7" w:rsidP="00C56B32">
      <w:pPr>
        <w:numPr>
          <w:ilvl w:val="0"/>
          <w:numId w:val="2"/>
        </w:numPr>
        <w:spacing w:line="240" w:lineRule="auto"/>
        <w:ind w:left="349"/>
        <w:rPr>
          <w:color w:val="000000"/>
        </w:rPr>
      </w:pPr>
      <w:r w:rsidRPr="00C56B32">
        <w:rPr>
          <w:color w:val="000000"/>
        </w:rPr>
        <w:t xml:space="preserve">Lima A.F.F., Moreira C.R., Alves O.C., </w:t>
      </w:r>
      <w:proofErr w:type="spellStart"/>
      <w:r w:rsidRPr="00C56B32">
        <w:rPr>
          <w:color w:val="000000"/>
        </w:rPr>
        <w:t>Avillez</w:t>
      </w:r>
      <w:proofErr w:type="spellEnd"/>
      <w:r w:rsidRPr="00C56B32">
        <w:rPr>
          <w:color w:val="000000"/>
        </w:rPr>
        <w:t xml:space="preserve"> R.R., </w:t>
      </w:r>
      <w:proofErr w:type="spellStart"/>
      <w:r w:rsidRPr="00C56B32">
        <w:rPr>
          <w:color w:val="000000"/>
        </w:rPr>
        <w:t>Zotin</w:t>
      </w:r>
      <w:proofErr w:type="spellEnd"/>
      <w:r w:rsidRPr="00C56B32">
        <w:rPr>
          <w:color w:val="000000"/>
        </w:rPr>
        <w:t xml:space="preserve"> F.M.Z., Appel L.G., 2021, Acetone synthesis from ethanol and the Mars and Van </w:t>
      </w:r>
      <w:proofErr w:type="spellStart"/>
      <w:r w:rsidRPr="00C56B32">
        <w:rPr>
          <w:color w:val="000000"/>
        </w:rPr>
        <w:t>Krevelen</w:t>
      </w:r>
      <w:proofErr w:type="spellEnd"/>
      <w:r w:rsidRPr="00C56B32">
        <w:rPr>
          <w:color w:val="000000"/>
        </w:rPr>
        <w:t xml:space="preserve"> mechanism using CeO</w:t>
      </w:r>
      <w:r w:rsidRPr="00C56B32">
        <w:rPr>
          <w:color w:val="000000"/>
          <w:vertAlign w:val="subscript"/>
        </w:rPr>
        <w:t>2</w:t>
      </w:r>
      <w:r w:rsidRPr="00C56B32">
        <w:rPr>
          <w:color w:val="000000"/>
        </w:rPr>
        <w:t xml:space="preserve"> and AgCeO</w:t>
      </w:r>
      <w:r w:rsidRPr="00C56B32">
        <w:rPr>
          <w:color w:val="000000"/>
          <w:vertAlign w:val="subscript"/>
        </w:rPr>
        <w:t xml:space="preserve">2 </w:t>
      </w:r>
      <w:r w:rsidRPr="00C56B32">
        <w:rPr>
          <w:color w:val="000000"/>
        </w:rPr>
        <w:t>nanostructured catalysts, Applied Catalysis A: General, 611, 117949</w:t>
      </w:r>
    </w:p>
    <w:p w14:paraId="4E7EFB8B" w14:textId="73A1B74B" w:rsidR="007870B7" w:rsidRPr="00C56B32" w:rsidRDefault="007870B7" w:rsidP="00C56B32">
      <w:pPr>
        <w:numPr>
          <w:ilvl w:val="0"/>
          <w:numId w:val="2"/>
        </w:numPr>
        <w:spacing w:line="240" w:lineRule="auto"/>
        <w:ind w:left="349"/>
        <w:rPr>
          <w:color w:val="000000"/>
        </w:rPr>
      </w:pPr>
      <w:r w:rsidRPr="00C56B32">
        <w:rPr>
          <w:color w:val="000000"/>
        </w:rPr>
        <w:t xml:space="preserve">Mateos-Pedrero C., Silva H., Tanaka D.A., Liguori S., </w:t>
      </w:r>
      <w:proofErr w:type="spellStart"/>
      <w:r w:rsidRPr="00C56B32">
        <w:rPr>
          <w:color w:val="000000"/>
        </w:rPr>
        <w:t>Lulianelli</w:t>
      </w:r>
      <w:proofErr w:type="spellEnd"/>
      <w:r w:rsidRPr="00C56B32">
        <w:rPr>
          <w:color w:val="000000"/>
        </w:rPr>
        <w:t xml:space="preserve"> A., Basile A., Mendes A., 2015, </w:t>
      </w:r>
      <w:proofErr w:type="spellStart"/>
      <w:r w:rsidRPr="00C56B32">
        <w:rPr>
          <w:color w:val="000000"/>
        </w:rPr>
        <w:t>CuO</w:t>
      </w:r>
      <w:proofErr w:type="spellEnd"/>
      <w:r w:rsidRPr="00C56B32">
        <w:rPr>
          <w:color w:val="000000"/>
        </w:rPr>
        <w:t>/</w:t>
      </w:r>
      <w:proofErr w:type="spellStart"/>
      <w:r w:rsidRPr="00C56B32">
        <w:rPr>
          <w:color w:val="000000"/>
        </w:rPr>
        <w:t>ZnO</w:t>
      </w:r>
      <w:proofErr w:type="spellEnd"/>
      <w:r w:rsidRPr="00C56B32">
        <w:rPr>
          <w:color w:val="000000"/>
        </w:rPr>
        <w:t xml:space="preserve"> catalysts for methanol steam reforming: The role of the support polarity ratio and surface area, Applied Catalysis B: Environmental, 174–175, 67–76</w:t>
      </w:r>
    </w:p>
    <w:p w14:paraId="7884D6E3" w14:textId="63059DCD" w:rsidR="007870B7" w:rsidRPr="00BF1733" w:rsidRDefault="007870B7" w:rsidP="007D7899">
      <w:pPr>
        <w:pStyle w:val="ListNumber"/>
        <w:ind w:left="426" w:hanging="426"/>
        <w:rPr>
          <w:color w:val="000000"/>
        </w:rPr>
      </w:pPr>
      <w:r w:rsidRPr="00BF1733">
        <w:rPr>
          <w:color w:val="000000"/>
        </w:rPr>
        <w:t>Nakanishi K., Solomon P.H., Infrared Absorption Spectroscopy, second edition, Holden-Day, Incorporated, San Francisco, 1977, 287</w:t>
      </w:r>
    </w:p>
    <w:p w14:paraId="1B34C90A" w14:textId="77777777" w:rsidR="007870B7" w:rsidRPr="00C56B32" w:rsidRDefault="007870B7" w:rsidP="00C56B32">
      <w:pPr>
        <w:numPr>
          <w:ilvl w:val="0"/>
          <w:numId w:val="2"/>
        </w:numPr>
        <w:spacing w:line="240" w:lineRule="auto"/>
        <w:ind w:left="349"/>
        <w:rPr>
          <w:color w:val="000000"/>
        </w:rPr>
      </w:pPr>
      <w:r w:rsidRPr="00C56B32">
        <w:rPr>
          <w:color w:val="000000"/>
        </w:rPr>
        <w:t xml:space="preserve">Patel A., Shah A.R., 2021, Integrated lignocellulosic biorefinery: Gateway for production of second-generation ethanol and value-added products, Journal of Bioresources and Bioproducts, 6, 2, 108-128.  </w:t>
      </w:r>
      <w:r>
        <w:rPr>
          <w:color w:val="000000"/>
        </w:rPr>
        <w:t>8</w:t>
      </w:r>
    </w:p>
    <w:p w14:paraId="531140CD" w14:textId="501F1EF1" w:rsidR="007870B7" w:rsidRPr="00C56B32" w:rsidRDefault="007870B7" w:rsidP="00C56B32">
      <w:pPr>
        <w:numPr>
          <w:ilvl w:val="0"/>
          <w:numId w:val="2"/>
        </w:numPr>
        <w:spacing w:line="240" w:lineRule="auto"/>
        <w:ind w:left="349"/>
        <w:rPr>
          <w:color w:val="000000"/>
        </w:rPr>
      </w:pPr>
      <w:bookmarkStart w:id="2" w:name="_Hlk192444649"/>
      <w:r w:rsidRPr="00C56B32">
        <w:rPr>
          <w:color w:val="000000"/>
          <w:lang w:val="en-US"/>
        </w:rPr>
        <w:t xml:space="preserve">Rodrigues C.P., </w:t>
      </w:r>
      <w:proofErr w:type="spellStart"/>
      <w:r w:rsidRPr="00C56B32">
        <w:rPr>
          <w:color w:val="000000"/>
          <w:lang w:val="en-US"/>
        </w:rPr>
        <w:t>Zonetti</w:t>
      </w:r>
      <w:proofErr w:type="spellEnd"/>
      <w:r w:rsidRPr="00C56B32">
        <w:rPr>
          <w:color w:val="000000"/>
          <w:lang w:val="en-US"/>
        </w:rPr>
        <w:t xml:space="preserve"> P.C., Silva C.G., Gaspar A.B., Appel L.G., 2013, Chemicals from ethanol—The acetone one-pot synthesis, Applied Catalysis </w:t>
      </w:r>
      <w:proofErr w:type="gramStart"/>
      <w:r w:rsidRPr="00C56B32">
        <w:rPr>
          <w:color w:val="000000"/>
          <w:lang w:val="en-US"/>
        </w:rPr>
        <w:t>A:General</w:t>
      </w:r>
      <w:proofErr w:type="gramEnd"/>
      <w:r w:rsidRPr="00C56B32">
        <w:rPr>
          <w:color w:val="000000"/>
          <w:lang w:val="en-US"/>
        </w:rPr>
        <w:t>, 458, 111-118</w:t>
      </w:r>
      <w:bookmarkEnd w:id="2"/>
    </w:p>
    <w:p w14:paraId="57EFCCD7" w14:textId="561BB743" w:rsidR="007870B7" w:rsidRPr="00C56B32" w:rsidRDefault="007870B7" w:rsidP="00C56B32">
      <w:pPr>
        <w:numPr>
          <w:ilvl w:val="0"/>
          <w:numId w:val="2"/>
        </w:numPr>
        <w:spacing w:line="240" w:lineRule="auto"/>
        <w:ind w:left="349"/>
        <w:rPr>
          <w:color w:val="000000"/>
        </w:rPr>
      </w:pPr>
      <w:proofErr w:type="spellStart"/>
      <w:r w:rsidRPr="00C56B32">
        <w:rPr>
          <w:color w:val="000000"/>
        </w:rPr>
        <w:t>Sartoretti</w:t>
      </w:r>
      <w:proofErr w:type="spellEnd"/>
      <w:r w:rsidRPr="007870B7">
        <w:rPr>
          <w:color w:val="000000"/>
        </w:rPr>
        <w:t xml:space="preserve"> </w:t>
      </w:r>
      <w:r w:rsidRPr="00C56B32">
        <w:rPr>
          <w:color w:val="000000"/>
        </w:rPr>
        <w:t>E</w:t>
      </w:r>
      <w:r>
        <w:rPr>
          <w:color w:val="000000"/>
        </w:rPr>
        <w:t>.</w:t>
      </w:r>
      <w:r w:rsidRPr="00C56B32">
        <w:rPr>
          <w:color w:val="000000"/>
        </w:rPr>
        <w:t>, Novara</w:t>
      </w:r>
      <w:r w:rsidRPr="007870B7">
        <w:rPr>
          <w:color w:val="000000"/>
        </w:rPr>
        <w:t xml:space="preserve"> </w:t>
      </w:r>
      <w:r w:rsidRPr="00C56B32">
        <w:rPr>
          <w:color w:val="000000"/>
        </w:rPr>
        <w:t>C</w:t>
      </w:r>
      <w:r>
        <w:rPr>
          <w:color w:val="000000"/>
        </w:rPr>
        <w:t>.</w:t>
      </w:r>
      <w:r w:rsidRPr="00C56B32">
        <w:rPr>
          <w:color w:val="000000"/>
        </w:rPr>
        <w:t xml:space="preserve">, </w:t>
      </w:r>
      <w:proofErr w:type="spellStart"/>
      <w:r w:rsidRPr="00C56B32">
        <w:rPr>
          <w:color w:val="000000"/>
        </w:rPr>
        <w:t>Chiodoni</w:t>
      </w:r>
      <w:proofErr w:type="spellEnd"/>
      <w:r w:rsidRPr="007870B7">
        <w:rPr>
          <w:color w:val="000000"/>
        </w:rPr>
        <w:t xml:space="preserve"> </w:t>
      </w:r>
      <w:r w:rsidRPr="00C56B32">
        <w:rPr>
          <w:color w:val="000000"/>
        </w:rPr>
        <w:t>A</w:t>
      </w:r>
      <w:r>
        <w:rPr>
          <w:color w:val="000000"/>
        </w:rPr>
        <w:t>.</w:t>
      </w:r>
      <w:r w:rsidRPr="00C56B32">
        <w:rPr>
          <w:color w:val="000000"/>
        </w:rPr>
        <w:t>, Giorgis</w:t>
      </w:r>
      <w:r w:rsidRPr="007870B7">
        <w:rPr>
          <w:color w:val="000000"/>
        </w:rPr>
        <w:t xml:space="preserve"> </w:t>
      </w:r>
      <w:r w:rsidRPr="00C56B32">
        <w:rPr>
          <w:color w:val="000000"/>
        </w:rPr>
        <w:t>F</w:t>
      </w:r>
      <w:r>
        <w:rPr>
          <w:color w:val="000000"/>
        </w:rPr>
        <w:t>.</w:t>
      </w:r>
      <w:r w:rsidRPr="00C56B32">
        <w:rPr>
          <w:color w:val="000000"/>
        </w:rPr>
        <w:t xml:space="preserve">, </w:t>
      </w:r>
      <w:proofErr w:type="spellStart"/>
      <w:r w:rsidRPr="00C56B32">
        <w:rPr>
          <w:color w:val="000000"/>
        </w:rPr>
        <w:t>Piumetti</w:t>
      </w:r>
      <w:proofErr w:type="spellEnd"/>
      <w:r w:rsidRPr="007870B7">
        <w:rPr>
          <w:color w:val="000000"/>
        </w:rPr>
        <w:t xml:space="preserve"> </w:t>
      </w:r>
      <w:r w:rsidRPr="00C56B32">
        <w:rPr>
          <w:color w:val="000000"/>
        </w:rPr>
        <w:t>M</w:t>
      </w:r>
      <w:r>
        <w:rPr>
          <w:color w:val="000000"/>
        </w:rPr>
        <w:t>.</w:t>
      </w:r>
      <w:r w:rsidRPr="00C56B32">
        <w:rPr>
          <w:color w:val="000000"/>
        </w:rPr>
        <w:t>, Bensaid</w:t>
      </w:r>
      <w:r w:rsidRPr="007870B7">
        <w:rPr>
          <w:color w:val="000000"/>
        </w:rPr>
        <w:t xml:space="preserve"> </w:t>
      </w:r>
      <w:r w:rsidRPr="00C56B32">
        <w:rPr>
          <w:color w:val="000000"/>
        </w:rPr>
        <w:t>S</w:t>
      </w:r>
      <w:r>
        <w:rPr>
          <w:color w:val="000000"/>
        </w:rPr>
        <w:t>.</w:t>
      </w:r>
      <w:r w:rsidRPr="00C56B32">
        <w:rPr>
          <w:color w:val="000000"/>
        </w:rPr>
        <w:t>, Russo</w:t>
      </w:r>
      <w:r w:rsidRPr="007870B7">
        <w:rPr>
          <w:color w:val="000000"/>
        </w:rPr>
        <w:t xml:space="preserve"> </w:t>
      </w:r>
      <w:r w:rsidRPr="00C56B32">
        <w:rPr>
          <w:color w:val="000000"/>
        </w:rPr>
        <w:t>N</w:t>
      </w:r>
      <w:r>
        <w:rPr>
          <w:color w:val="000000"/>
        </w:rPr>
        <w:t>.</w:t>
      </w:r>
      <w:r w:rsidRPr="00C56B32">
        <w:rPr>
          <w:color w:val="000000"/>
        </w:rPr>
        <w:t>, Fino</w:t>
      </w:r>
      <w:r w:rsidRPr="007870B7">
        <w:rPr>
          <w:color w:val="000000"/>
        </w:rPr>
        <w:t xml:space="preserve"> </w:t>
      </w:r>
      <w:r w:rsidRPr="00C56B32">
        <w:rPr>
          <w:color w:val="000000"/>
        </w:rPr>
        <w:t>D</w:t>
      </w:r>
      <w:r>
        <w:rPr>
          <w:color w:val="000000"/>
        </w:rPr>
        <w:t>.</w:t>
      </w:r>
      <w:r w:rsidRPr="00C56B32">
        <w:rPr>
          <w:color w:val="000000"/>
        </w:rPr>
        <w:t xml:space="preserve"> Nanostructured ceria-based catalysts doped with La and Nd: How acid-base sites and redox properties determine the oxidation mechanisms. Catalysis Today, 2022, Volumes 390–391, Pages 117-134</w:t>
      </w:r>
    </w:p>
    <w:p w14:paraId="2592422D" w14:textId="256A3631" w:rsidR="007870B7" w:rsidRPr="00C56B32" w:rsidRDefault="007870B7" w:rsidP="00C56B32">
      <w:pPr>
        <w:numPr>
          <w:ilvl w:val="0"/>
          <w:numId w:val="2"/>
        </w:numPr>
        <w:spacing w:line="240" w:lineRule="auto"/>
        <w:ind w:left="349"/>
        <w:rPr>
          <w:color w:val="000000"/>
        </w:rPr>
      </w:pPr>
      <w:r w:rsidRPr="00C56B32">
        <w:rPr>
          <w:color w:val="000000"/>
        </w:rPr>
        <w:t xml:space="preserve">Taghi T.Ch., </w:t>
      </w:r>
      <w:proofErr w:type="spellStart"/>
      <w:r w:rsidRPr="00C56B32">
        <w:rPr>
          <w:color w:val="000000"/>
        </w:rPr>
        <w:t>Baghiyev</w:t>
      </w:r>
      <w:proofErr w:type="spellEnd"/>
      <w:r w:rsidRPr="00C56B32">
        <w:rPr>
          <w:color w:val="000000"/>
        </w:rPr>
        <w:t xml:space="preserve"> V.L. 2022, Conversion of ethanol to acetone on cerium-zinc oxide catalysts, VII International Conference for Young Scientists Catalysis: From Science to Industry, Tomsk, Russia, 11-15</w:t>
      </w:r>
    </w:p>
    <w:p w14:paraId="77018BAA" w14:textId="124D18D4" w:rsidR="007870B7" w:rsidRPr="00C56B32" w:rsidRDefault="007870B7" w:rsidP="00C56B32">
      <w:pPr>
        <w:numPr>
          <w:ilvl w:val="0"/>
          <w:numId w:val="2"/>
        </w:numPr>
        <w:spacing w:line="240" w:lineRule="auto"/>
        <w:ind w:left="349"/>
        <w:rPr>
          <w:color w:val="000000"/>
        </w:rPr>
      </w:pPr>
      <w:r w:rsidRPr="00C56B32">
        <w:rPr>
          <w:color w:val="000000"/>
        </w:rPr>
        <w:t xml:space="preserve">Taghi T.Ch., </w:t>
      </w:r>
      <w:proofErr w:type="spellStart"/>
      <w:r w:rsidRPr="00C56B32">
        <w:rPr>
          <w:color w:val="000000"/>
        </w:rPr>
        <w:t>Baghiyev</w:t>
      </w:r>
      <w:proofErr w:type="spellEnd"/>
      <w:r w:rsidRPr="00C56B32">
        <w:rPr>
          <w:color w:val="000000"/>
        </w:rPr>
        <w:t xml:space="preserve"> V.L., 2022, Ethanol conversion to acetone on binary Ce-Zn-O catalysts, The Austrian Journal of Technical and Natural Sciences, 5-6, 62-65</w:t>
      </w:r>
    </w:p>
    <w:p w14:paraId="1157F85D" w14:textId="49EF1549" w:rsidR="007870B7" w:rsidRPr="00580EDC" w:rsidRDefault="007870B7" w:rsidP="009063D3">
      <w:pPr>
        <w:numPr>
          <w:ilvl w:val="0"/>
          <w:numId w:val="2"/>
        </w:numPr>
        <w:spacing w:line="240" w:lineRule="auto"/>
        <w:ind w:left="349"/>
        <w:rPr>
          <w:color w:val="000000"/>
        </w:rPr>
      </w:pPr>
      <w:proofErr w:type="spellStart"/>
      <w:r w:rsidRPr="007D7899">
        <w:rPr>
          <w:color w:val="000000"/>
        </w:rPr>
        <w:t>Yakerson</w:t>
      </w:r>
      <w:proofErr w:type="spellEnd"/>
      <w:r w:rsidRPr="007D7899">
        <w:rPr>
          <w:color w:val="000000"/>
        </w:rPr>
        <w:t xml:space="preserve"> V.I., Lafer L.I., </w:t>
      </w:r>
      <w:proofErr w:type="spellStart"/>
      <w:r w:rsidRPr="007D7899">
        <w:rPr>
          <w:color w:val="000000"/>
        </w:rPr>
        <w:t>Rubinshtein</w:t>
      </w:r>
      <w:proofErr w:type="spellEnd"/>
      <w:r w:rsidRPr="007D7899">
        <w:rPr>
          <w:color w:val="000000"/>
        </w:rPr>
        <w:t xml:space="preserve"> A.M.</w:t>
      </w:r>
      <w:r>
        <w:rPr>
          <w:color w:val="000000"/>
        </w:rPr>
        <w:t>,</w:t>
      </w:r>
      <w:r w:rsidRPr="007D7899">
        <w:rPr>
          <w:color w:val="000000"/>
        </w:rPr>
        <w:t xml:space="preserve"> 1975</w:t>
      </w:r>
      <w:r>
        <w:rPr>
          <w:color w:val="000000"/>
        </w:rPr>
        <w:t xml:space="preserve">, </w:t>
      </w:r>
      <w:r w:rsidRPr="007D7899">
        <w:rPr>
          <w:color w:val="000000"/>
        </w:rPr>
        <w:t>IR spectroscopy of the adsorbed state and the role of surface states in catalysis</w:t>
      </w:r>
      <w:r>
        <w:rPr>
          <w:color w:val="000000"/>
        </w:rPr>
        <w:t>,</w:t>
      </w:r>
      <w:r w:rsidRPr="007D7899">
        <w:rPr>
          <w:color w:val="000000"/>
        </w:rPr>
        <w:t xml:space="preserve"> Problems of kinetics and catalysis</w:t>
      </w:r>
      <w:r>
        <w:rPr>
          <w:color w:val="000000"/>
        </w:rPr>
        <w:t>,</w:t>
      </w:r>
      <w:r w:rsidRPr="007D7899">
        <w:rPr>
          <w:color w:val="000000"/>
        </w:rPr>
        <w:t xml:space="preserve"> M., Science, 46-49</w:t>
      </w:r>
    </w:p>
    <w:p w14:paraId="76DFC825" w14:textId="2222C870" w:rsidR="007870B7" w:rsidRPr="00C56B32" w:rsidRDefault="007870B7" w:rsidP="00C56B32">
      <w:pPr>
        <w:numPr>
          <w:ilvl w:val="0"/>
          <w:numId w:val="2"/>
        </w:numPr>
        <w:spacing w:line="240" w:lineRule="auto"/>
        <w:ind w:left="349"/>
        <w:rPr>
          <w:color w:val="000000"/>
        </w:rPr>
      </w:pPr>
      <w:r w:rsidRPr="00C56B32">
        <w:rPr>
          <w:bCs/>
          <w:color w:val="000000"/>
          <w:lang w:val="en-US"/>
        </w:rPr>
        <w:t xml:space="preserve">Yu Q., Zhuang R., Gao W., Yi H., Xie X., Zhang Y., Tang X., 2022, Mesoporous Co3O4 with large specific surface area derived from MCM-48 for catalytic oxidation of toluene, Journal of </w:t>
      </w:r>
      <w:proofErr w:type="gramStart"/>
      <w:r w:rsidRPr="00C56B32">
        <w:rPr>
          <w:bCs/>
          <w:color w:val="000000"/>
          <w:lang w:val="en-US"/>
        </w:rPr>
        <w:t>Solid State</w:t>
      </w:r>
      <w:proofErr w:type="gramEnd"/>
      <w:r w:rsidRPr="00C56B32">
        <w:rPr>
          <w:bCs/>
          <w:color w:val="000000"/>
          <w:lang w:val="en-US"/>
        </w:rPr>
        <w:t xml:space="preserve"> Chemistry, 307, 122802</w:t>
      </w:r>
    </w:p>
    <w:p w14:paraId="020E34C6" w14:textId="36B6450B" w:rsidR="007870B7" w:rsidRPr="00C56B32" w:rsidRDefault="007870B7" w:rsidP="00C56B32">
      <w:pPr>
        <w:numPr>
          <w:ilvl w:val="0"/>
          <w:numId w:val="2"/>
        </w:numPr>
        <w:spacing w:line="240" w:lineRule="auto"/>
        <w:ind w:left="349"/>
        <w:rPr>
          <w:color w:val="000000"/>
        </w:rPr>
      </w:pPr>
      <w:r w:rsidRPr="00C56B32">
        <w:rPr>
          <w:color w:val="000000"/>
        </w:rPr>
        <w:t>Zhang L., Li L., Zhang Y., Zhao Y., Li J., 2014, Nickel catalysts supported on MgO with different specific surface area for carbon dioxide reforming of methane, Journal of Energy Chemistry, 23, 1, 66–72</w:t>
      </w:r>
    </w:p>
    <w:sectPr w:rsidR="007870B7" w:rsidRPr="00C56B32">
      <w:pgSz w:w="11906" w:h="16838"/>
      <w:pgMar w:top="1701" w:right="1418" w:bottom="1701" w:left="1701" w:header="1701" w:footer="0" w:gutter="0"/>
      <w:pgNumType w:start="1"/>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Noto Sans Symbols">
    <w:altName w:val="Calibri"/>
    <w:charset w:val="00"/>
    <w:family w:val="auto"/>
    <w:pitch w:val="default"/>
    <w:embedRegular r:id="rId1" w:fontKey="{0B160D95-73A5-4889-B02B-9E72524D6E1D}"/>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2" w:fontKey="{5B058643-E3BE-4A70-A675-22CF8505AEF3}"/>
    <w:embedBold r:id="rId3" w:fontKey="{B4EE64CF-9E9A-4E42-8DEF-2AAFCC8D3E5B}"/>
    <w:embedItalic r:id="rId4" w:fontKey="{226C1AF4-3457-4ECC-8268-5348307E1CAC}"/>
    <w:embedBoldItalic r:id="rId5" w:fontKey="{48D60BE3-BA54-4FDE-8FC5-DA1E939F1297}"/>
  </w:font>
  <w:font w:name="Tahoma">
    <w:panose1 w:val="020B0604030504040204"/>
    <w:charset w:val="CC"/>
    <w:family w:val="swiss"/>
    <w:pitch w:val="variable"/>
    <w:sig w:usb0="E1002EFF" w:usb1="C000605B" w:usb2="00000029" w:usb3="00000000" w:csb0="000101FF" w:csb1="00000000"/>
    <w:embedRegular r:id="rId6" w:fontKey="{3C990182-C5AE-4D6E-85E0-5DB33BB538BF}"/>
    <w:embedBold r:id="rId7" w:fontKey="{C73B321B-E1ED-4731-BFA6-88F8D211583A}"/>
  </w:font>
  <w:font w:name="Consolas">
    <w:panose1 w:val="020B0609020204030204"/>
    <w:charset w:val="CC"/>
    <w:family w:val="modern"/>
    <w:pitch w:val="fixed"/>
    <w:sig w:usb0="E00006FF" w:usb1="0000FCFF" w:usb2="00000001" w:usb3="00000000" w:csb0="0000019F" w:csb1="00000000"/>
    <w:embedRegular r:id="rId8" w:fontKey="{1D40B590-D98F-4DBB-8926-F74949B26C9B}"/>
  </w:font>
  <w:font w:name="Georgia">
    <w:panose1 w:val="02040502050405020303"/>
    <w:charset w:val="CC"/>
    <w:family w:val="roman"/>
    <w:pitch w:val="variable"/>
    <w:sig w:usb0="00000287" w:usb1="00000000" w:usb2="00000000" w:usb3="00000000" w:csb0="0000009F" w:csb1="00000000"/>
    <w:embedRegular r:id="rId9" w:fontKey="{134C05F9-A3E8-47C8-9BA0-3482D3637317}"/>
    <w:embedItalic r:id="rId10" w:fontKey="{95AB6073-4A84-4E9F-B8F2-573932FEAE57}"/>
  </w:font>
  <w:font w:name="AdvP6960">
    <w:altName w:val="Cambria"/>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embedRegular r:id="rId11" w:fontKey="{FC594A78-3F7A-4DCE-9648-23290E6BB35D}"/>
  </w:font>
  <w:font w:name="Cambria Math">
    <w:panose1 w:val="02040503050406030204"/>
    <w:charset w:val="CC"/>
    <w:family w:val="roman"/>
    <w:pitch w:val="variable"/>
    <w:sig w:usb0="E00006FF" w:usb1="420024FF" w:usb2="02000000" w:usb3="00000000" w:csb0="0000019F" w:csb1="00000000"/>
    <w:embedRegular r:id="rId12" w:fontKey="{82E7EE53-5394-496B-943E-06EA52895298}"/>
  </w:font>
  <w:font w:name="Calibri">
    <w:panose1 w:val="020F0502020204030204"/>
    <w:charset w:val="CC"/>
    <w:family w:val="swiss"/>
    <w:pitch w:val="variable"/>
    <w:sig w:usb0="E4002EFF" w:usb1="C000247B" w:usb2="00000009" w:usb3="00000000" w:csb0="000001FF" w:csb1="00000000"/>
    <w:embedRegular r:id="rId13" w:fontKey="{64247935-B4C8-4807-8CEC-AED43C68066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3970F6"/>
    <w:multiLevelType w:val="multilevel"/>
    <w:tmpl w:val="6DF6F3CC"/>
    <w:lvl w:ilvl="0">
      <w:start w:val="1"/>
      <w:numFmt w:val="decimal"/>
      <w:lvlText w:val="Chapter %1"/>
      <w:lvlJc w:val="left"/>
      <w:pPr>
        <w:ind w:left="0" w:firstLine="0"/>
      </w:pPr>
    </w:lvl>
    <w:lvl w:ilvl="1">
      <w:start w:val="1"/>
      <w:numFmt w:val="decimal"/>
      <w:lvlText w:val="%2."/>
      <w:lvlJc w:val="left"/>
      <w:pPr>
        <w:ind w:left="0" w:firstLine="0"/>
      </w:pPr>
      <w:rPr>
        <w:b/>
        <w:bCs/>
      </w:rPr>
    </w:lvl>
    <w:lvl w:ilvl="2">
      <w:start w:val="1"/>
      <w:numFmt w:val="decimal"/>
      <w:pStyle w:val="CETheadingx"/>
      <w:lvlText w:val="%2.%3"/>
      <w:lvlJc w:val="left"/>
      <w:pPr>
        <w:ind w:left="0" w:firstLine="0"/>
      </w:pPr>
    </w:lvl>
    <w:lvl w:ilvl="3">
      <w:start w:val="1"/>
      <w:numFmt w:val="decimal"/>
      <w:lvlText w:val="%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3.%4.%5.%6.%7.%8.%9."/>
      <w:lvlJc w:val="left"/>
      <w:pPr>
        <w:ind w:left="0" w:firstLine="0"/>
      </w:pPr>
    </w:lvl>
  </w:abstractNum>
  <w:abstractNum w:abstractNumId="1" w15:restartNumberingAfterBreak="0">
    <w:nsid w:val="2B645141"/>
    <w:multiLevelType w:val="multilevel"/>
    <w:tmpl w:val="F9E6AB06"/>
    <w:lvl w:ilvl="0">
      <w:start w:val="1"/>
      <w:numFmt w:val="decimal"/>
      <w:pStyle w:val="ListNumb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39967794"/>
    <w:multiLevelType w:val="multilevel"/>
    <w:tmpl w:val="92928010"/>
    <w:lvl w:ilvl="0">
      <w:start w:val="1"/>
      <w:numFmt w:val="decimal"/>
      <w:pStyle w:val="ListNumber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7E5C5CA4"/>
    <w:multiLevelType w:val="multilevel"/>
    <w:tmpl w:val="82C2D224"/>
    <w:lvl w:ilvl="0">
      <w:start w:val="1"/>
      <w:numFmt w:val="bullet"/>
      <w:pStyle w:val="ListNumber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F1B134F"/>
    <w:multiLevelType w:val="hybridMultilevel"/>
    <w:tmpl w:val="45D0ACC4"/>
    <w:lvl w:ilvl="0" w:tplc="0419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16cid:durableId="1148745853">
    <w:abstractNumId w:val="0"/>
  </w:num>
  <w:num w:numId="2" w16cid:durableId="980184725">
    <w:abstractNumId w:val="1"/>
  </w:num>
  <w:num w:numId="3" w16cid:durableId="379204861">
    <w:abstractNumId w:val="3"/>
  </w:num>
  <w:num w:numId="4" w16cid:durableId="717975063">
    <w:abstractNumId w:val="2"/>
  </w:num>
  <w:num w:numId="5" w16cid:durableId="119140906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0869490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0150168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3411569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785902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6855956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0350609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7759985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7247579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073249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5615189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E03"/>
    <w:rsid w:val="00040E44"/>
    <w:rsid w:val="00051542"/>
    <w:rsid w:val="000A198B"/>
    <w:rsid w:val="000C20A2"/>
    <w:rsid w:val="001D0CFB"/>
    <w:rsid w:val="0023258B"/>
    <w:rsid w:val="00232AC4"/>
    <w:rsid w:val="002D02AC"/>
    <w:rsid w:val="004071D7"/>
    <w:rsid w:val="004B4E57"/>
    <w:rsid w:val="004D30BF"/>
    <w:rsid w:val="00580EDC"/>
    <w:rsid w:val="00591DAA"/>
    <w:rsid w:val="005F6606"/>
    <w:rsid w:val="00606B4D"/>
    <w:rsid w:val="00634A65"/>
    <w:rsid w:val="00745348"/>
    <w:rsid w:val="007870B7"/>
    <w:rsid w:val="007D7899"/>
    <w:rsid w:val="00835CA2"/>
    <w:rsid w:val="00853E19"/>
    <w:rsid w:val="008D7D43"/>
    <w:rsid w:val="009063D3"/>
    <w:rsid w:val="00B25108"/>
    <w:rsid w:val="00BF1733"/>
    <w:rsid w:val="00C56B32"/>
    <w:rsid w:val="00CF444E"/>
    <w:rsid w:val="00D60E03"/>
    <w:rsid w:val="00D904C6"/>
    <w:rsid w:val="00DF5826"/>
    <w:rsid w:val="00E508C8"/>
    <w:rsid w:val="00EB440F"/>
    <w:rsid w:val="00EB6589"/>
    <w:rsid w:val="00F77E2A"/>
    <w:rsid w:val="00F91462"/>
    <w:rsid w:val="00FA33A8"/>
    <w:rsid w:val="00FE57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E24400"/>
  <w15:docId w15:val="{C58AB915-4D35-405C-B0EB-99200B4A2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18"/>
        <w:szCs w:val="18"/>
        <w:lang w:val="en-US" w:eastAsia="en-US" w:bidi="ar-SA"/>
      </w:rPr>
    </w:rPrDefault>
    <w:pPrDefault>
      <w:pPr>
        <w:tabs>
          <w:tab w:val="right" w:pos="7100"/>
        </w:tabs>
        <w:spacing w:line="264"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qFormat/>
    <w:rsid w:val="00620DEE"/>
    <w:rPr>
      <w:rFonts w:eastAsia="Times New Roman" w:cs="Times New Roman"/>
      <w:szCs w:val="20"/>
      <w:lang w:val="en-GB"/>
    </w:rPr>
  </w:style>
  <w:style w:type="paragraph" w:styleId="Heading1">
    <w:name w:val="heading 1"/>
    <w:basedOn w:val="CETHeading1"/>
    <w:next w:val="Normal"/>
    <w:link w:val="Heading1Char"/>
    <w:uiPriority w:val="9"/>
    <w:qFormat/>
    <w:rsid w:val="004F5E36"/>
    <w:pPr>
      <w:tabs>
        <w:tab w:val="clear" w:pos="360"/>
      </w:tabs>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jc w:val="center"/>
      <w:outlineLvl w:val="0"/>
    </w:pPr>
    <w:rPr>
      <w:rFonts w:eastAsia="Times New Roman"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tabs>
        <w:tab w:val="num" w:pos="360"/>
      </w:tabs>
      <w:suppressAutoHyphens/>
      <w:spacing w:before="240" w:after="120" w:line="240" w:lineRule="auto"/>
    </w:pPr>
    <w:rPr>
      <w:rFonts w:eastAsia="Times New Roman" w:cs="Times New Roman"/>
      <w:b/>
      <w:sz w:val="20"/>
      <w:szCs w:val="20"/>
    </w:rPr>
  </w:style>
  <w:style w:type="paragraph" w:customStyle="1" w:styleId="CETBodytext">
    <w:name w:val="CET Body text"/>
    <w:link w:val="CETBodytextCarattere"/>
    <w:qFormat/>
    <w:rsid w:val="000E414A"/>
    <w:rPr>
      <w:rFonts w:eastAsia="Times New Roman" w:cs="Times New Roman"/>
      <w:szCs w:val="20"/>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eastAsia="Times New Roman" w:cs="Times New Roman"/>
      <w:b/>
      <w:szCs w:val="20"/>
    </w:rPr>
  </w:style>
  <w:style w:type="paragraph" w:customStyle="1" w:styleId="CETAddress">
    <w:name w:val="CET Address"/>
    <w:link w:val="CETAddressCarattere"/>
    <w:qFormat/>
    <w:rsid w:val="009E788A"/>
    <w:pPr>
      <w:keepNext/>
      <w:suppressAutoHyphens/>
      <w:contextualSpacing/>
    </w:pPr>
    <w:rPr>
      <w:rFonts w:eastAsia="Times New Roman" w:cs="Times New Roman"/>
      <w:noProof/>
      <w:sz w:val="16"/>
      <w:szCs w:val="20"/>
      <w:lang w:val="en-GB"/>
    </w:rPr>
  </w:style>
  <w:style w:type="table" w:styleId="TableSimple1">
    <w:name w:val="Table Simple 1"/>
    <w:basedOn w:val="TableNormal"/>
    <w:semiHidden/>
    <w:rsid w:val="000E414A"/>
    <w:pPr>
      <w:numPr>
        <w:ilvl w:val="3"/>
        <w:numId w:val="1"/>
      </w:numPr>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eastAsia="Times New Roman" w:cs="Times New Roman"/>
      <w:b/>
      <w:szCs w:val="20"/>
      <w:lang w:val="en-GB"/>
    </w:rPr>
  </w:style>
  <w:style w:type="paragraph" w:customStyle="1" w:styleId="CETCaption">
    <w:name w:val="CET Caption"/>
    <w:link w:val="CETCaptionCarattere"/>
    <w:qFormat/>
    <w:rsid w:val="00F7534E"/>
    <w:pPr>
      <w:spacing w:before="240" w:after="240"/>
    </w:pPr>
    <w:rPr>
      <w:rFonts w:eastAsia="Times New Roman" w:cs="Times New Roman"/>
      <w:i/>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tabs>
        <w:tab w:val="num" w:pos="720"/>
      </w:tabs>
      <w:ind w:left="720" w:hanging="720"/>
      <w:contextualSpacing/>
    </w:pPr>
  </w:style>
  <w:style w:type="paragraph" w:styleId="ListNumber5">
    <w:name w:val="List Number 5"/>
    <w:basedOn w:val="Normal"/>
    <w:uiPriority w:val="99"/>
    <w:semiHidden/>
    <w:unhideWhenUsed/>
    <w:rsid w:val="0003148D"/>
    <w:pPr>
      <w:tabs>
        <w:tab w:val="num" w:pos="720"/>
      </w:tabs>
      <w:ind w:left="720" w:hanging="720"/>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tabs>
        <w:tab w:val="num" w:pos="720"/>
      </w:tabs>
      <w:ind w:left="720" w:hanging="720"/>
      <w:contextualSpacing/>
    </w:pPr>
  </w:style>
  <w:style w:type="paragraph" w:styleId="ListBullet2">
    <w:name w:val="List Bullet 2"/>
    <w:basedOn w:val="Normal"/>
    <w:uiPriority w:val="99"/>
    <w:semiHidden/>
    <w:unhideWhenUsed/>
    <w:rsid w:val="0003148D"/>
    <w:pPr>
      <w:tabs>
        <w:tab w:val="num" w:pos="720"/>
      </w:tabs>
      <w:ind w:left="720" w:hanging="720"/>
      <w:contextualSpacing/>
    </w:pPr>
  </w:style>
  <w:style w:type="paragraph" w:styleId="ListBullet3">
    <w:name w:val="List Bullet 3"/>
    <w:basedOn w:val="Normal"/>
    <w:uiPriority w:val="99"/>
    <w:semiHidden/>
    <w:unhideWhenUsed/>
    <w:rsid w:val="0003148D"/>
    <w:pPr>
      <w:tabs>
        <w:tab w:val="num" w:pos="720"/>
      </w:tabs>
      <w:ind w:left="720" w:hanging="720"/>
      <w:contextualSpacing/>
    </w:pPr>
  </w:style>
  <w:style w:type="paragraph" w:styleId="ListBullet4">
    <w:name w:val="List Bullet 4"/>
    <w:basedOn w:val="Normal"/>
    <w:uiPriority w:val="99"/>
    <w:semiHidden/>
    <w:unhideWhenUsed/>
    <w:rsid w:val="0003148D"/>
    <w:pPr>
      <w:tabs>
        <w:tab w:val="num" w:pos="720"/>
      </w:tabs>
      <w:ind w:left="720" w:hanging="720"/>
      <w:contextualSpacing/>
    </w:pPr>
  </w:style>
  <w:style w:type="paragraph" w:styleId="ListBullet5">
    <w:name w:val="List Bullet 5"/>
    <w:basedOn w:val="Normal"/>
    <w:uiPriority w:val="99"/>
    <w:semiHidden/>
    <w:unhideWhenUsed/>
    <w:rsid w:val="0003148D"/>
    <w:pPr>
      <w:tabs>
        <w:tab w:val="num" w:pos="720"/>
      </w:tabs>
      <w:ind w:left="720" w:hanging="720"/>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eastAsia="Times New Roman"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tabs>
        <w:tab w:val="num" w:pos="720"/>
      </w:tabs>
      <w:ind w:left="720" w:hanging="720"/>
    </w:pPr>
    <w:rPr>
      <w:rFonts w:eastAsia="Times New Roman" w:cs="Times New Roman"/>
      <w:szCs w:val="20"/>
      <w:lang w:val="en-GB"/>
    </w:rPr>
  </w:style>
  <w:style w:type="paragraph" w:customStyle="1" w:styleId="CETnumbering1">
    <w:name w:val="CET numbering (1"/>
    <w:aliases w:val="2..)"/>
    <w:rsid w:val="00B57B36"/>
    <w:pPr>
      <w:tabs>
        <w:tab w:val="num" w:pos="720"/>
      </w:tabs>
      <w:ind w:left="340" w:hanging="227"/>
    </w:pPr>
    <w:rPr>
      <w:rFonts w:eastAsia="Times New Roman" w:cs="Times New Roman"/>
      <w:szCs w:val="20"/>
    </w:rPr>
  </w:style>
  <w:style w:type="paragraph" w:customStyle="1" w:styleId="CETnumberinga">
    <w:name w:val="CET numbering (a"/>
    <w:aliases w:val="b,..)"/>
    <w:rsid w:val="00B57B36"/>
    <w:pPr>
      <w:tabs>
        <w:tab w:val="num" w:pos="720"/>
      </w:tabs>
      <w:ind w:left="720" w:hanging="720"/>
    </w:pPr>
    <w:rPr>
      <w:rFonts w:eastAsia="Times New Roman" w:cs="Times New Roman"/>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ind w:left="340" w:hanging="227"/>
    </w:pPr>
    <w:rPr>
      <w:rFonts w:eastAsia="Times New Roman" w:cs="Times New Roman"/>
      <w:szCs w:val="20"/>
      <w:lang w:val="en-GB"/>
    </w:rPr>
  </w:style>
  <w:style w:type="paragraph" w:customStyle="1" w:styleId="CETReferencetext">
    <w:name w:val="CET Reference text"/>
    <w:qFormat/>
    <w:rsid w:val="00600535"/>
    <w:pPr>
      <w:ind w:left="284" w:hanging="284"/>
    </w:pPr>
    <w:rPr>
      <w:rFonts w:eastAsia="Times New Roman" w:cs="Times New Roman"/>
      <w:szCs w:val="20"/>
      <w:lang w:val="en-GB"/>
    </w:rPr>
  </w:style>
  <w:style w:type="paragraph" w:customStyle="1" w:styleId="CETTabletitle">
    <w:name w:val="CET Table title"/>
    <w:qFormat/>
    <w:rsid w:val="00600535"/>
    <w:pPr>
      <w:keepNext/>
      <w:spacing w:before="240" w:after="80" w:line="240" w:lineRule="exact"/>
    </w:pPr>
    <w:rPr>
      <w:rFonts w:eastAsia="Times New Roman" w:cs="Times New Roman"/>
      <w:i/>
      <w:szCs w:val="20"/>
      <w:lang w:val="en-GB"/>
    </w:rPr>
  </w:style>
  <w:style w:type="paragraph" w:customStyle="1" w:styleId="CETAcknowledgementstitle">
    <w:name w:val="CET Acknowledgements title"/>
    <w:next w:val="CETBodytext"/>
    <w:qFormat/>
    <w:rsid w:val="00600535"/>
    <w:pPr>
      <w:spacing w:before="200" w:after="120"/>
    </w:pPr>
    <w:rPr>
      <w:rFonts w:eastAsia="Times New Roman" w:cs="Times New Roman"/>
      <w:b/>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character" w:customStyle="1" w:styleId="gmail-apple-converted-space">
    <w:name w:val="gmail-apple-converted-space"/>
    <w:basedOn w:val="DefaultParagraphFont"/>
    <w:rsid w:val="00005A19"/>
  </w:style>
  <w:style w:type="character" w:styleId="UnresolvedMention">
    <w:name w:val="Unresolved Mention"/>
    <w:basedOn w:val="DefaultParagraphFont"/>
    <w:uiPriority w:val="99"/>
    <w:semiHidden/>
    <w:unhideWhenUsed/>
    <w:rsid w:val="003A1605"/>
    <w:rPr>
      <w:color w:val="605E5C"/>
      <w:shd w:val="clear" w:color="auto" w:fill="E1DFDD"/>
    </w:rPr>
  </w:style>
  <w:style w:type="character" w:customStyle="1" w:styleId="title-text">
    <w:name w:val="title-text"/>
    <w:basedOn w:val="DefaultParagraphFont"/>
    <w:rsid w:val="007C24AC"/>
  </w:style>
  <w:style w:type="character" w:customStyle="1" w:styleId="anchor-text">
    <w:name w:val="anchor-text"/>
    <w:basedOn w:val="DefaultParagraphFont"/>
    <w:rsid w:val="007C24AC"/>
  </w:style>
  <w:style w:type="character" w:styleId="Strong">
    <w:name w:val="Strong"/>
    <w:basedOn w:val="DefaultParagraphFont"/>
    <w:uiPriority w:val="22"/>
    <w:qFormat/>
    <w:rsid w:val="007C24AC"/>
    <w:rPr>
      <w:b/>
      <w:bCs/>
    </w:rPr>
  </w:style>
  <w:style w:type="character" w:styleId="Emphasis">
    <w:name w:val="Emphasis"/>
    <w:basedOn w:val="DefaultParagraphFont"/>
    <w:uiPriority w:val="20"/>
    <w:qFormat/>
    <w:rsid w:val="007C24AC"/>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ahmina.taghi@gmail.com" TargetMode="External"/><Relationship Id="rId13" Type="http://schemas.openxmlformats.org/officeDocument/2006/relationships/chart" Target="charts/chart3.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chart" Target="charts/chart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815048118985127"/>
          <c:y val="5.0925925925925923E-2"/>
          <c:w val="0.67612685914260706"/>
          <c:h val="0.74350320793234181"/>
        </c:manualLayout>
      </c:layout>
      <c:scatterChart>
        <c:scatterStyle val="smoothMarker"/>
        <c:varyColors val="0"/>
        <c:ser>
          <c:idx val="0"/>
          <c:order val="0"/>
          <c:tx>
            <c:strRef>
              <c:f>'Ce-Zn'!$N$12</c:f>
              <c:strCache>
                <c:ptCount val="1"/>
                <c:pt idx="0">
                  <c:v>CO2</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'Ce-Zn'!$M$13:$M$19</c:f>
              <c:numCache>
                <c:formatCode>General</c:formatCode>
                <c:ptCount val="7"/>
                <c:pt idx="0">
                  <c:v>250</c:v>
                </c:pt>
                <c:pt idx="1">
                  <c:v>300</c:v>
                </c:pt>
                <c:pt idx="2">
                  <c:v>350</c:v>
                </c:pt>
                <c:pt idx="3">
                  <c:v>400</c:v>
                </c:pt>
                <c:pt idx="4">
                  <c:v>450</c:v>
                </c:pt>
                <c:pt idx="5">
                  <c:v>500</c:v>
                </c:pt>
                <c:pt idx="6">
                  <c:v>550</c:v>
                </c:pt>
              </c:numCache>
            </c:numRef>
          </c:xVal>
          <c:yVal>
            <c:numRef>
              <c:f>'Ce-Zn'!$N$13:$N$19</c:f>
              <c:numCache>
                <c:formatCode>General</c:formatCode>
                <c:ptCount val="7"/>
                <c:pt idx="1">
                  <c:v>0</c:v>
                </c:pt>
                <c:pt idx="2">
                  <c:v>1.2</c:v>
                </c:pt>
                <c:pt idx="3">
                  <c:v>2.5</c:v>
                </c:pt>
                <c:pt idx="4">
                  <c:v>8.1</c:v>
                </c:pt>
                <c:pt idx="5">
                  <c:v>9.5</c:v>
                </c:pt>
                <c:pt idx="6">
                  <c:v>9.9</c:v>
                </c:pt>
              </c:numCache>
            </c:numRef>
          </c:yVal>
          <c:smooth val="1"/>
          <c:extLst>
            <c:ext xmlns:c16="http://schemas.microsoft.com/office/drawing/2014/chart" uri="{C3380CC4-5D6E-409C-BE32-E72D297353CC}">
              <c16:uniqueId val="{00000000-4835-4CE8-9E98-AABF7F214A84}"/>
            </c:ext>
          </c:extLst>
        </c:ser>
        <c:ser>
          <c:idx val="1"/>
          <c:order val="1"/>
          <c:tx>
            <c:strRef>
              <c:f>'Ce-Zn'!$O$12</c:f>
              <c:strCache>
                <c:ptCount val="1"/>
                <c:pt idx="0">
                  <c:v>C2H4</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'Ce-Zn'!$M$13:$M$19</c:f>
              <c:numCache>
                <c:formatCode>General</c:formatCode>
                <c:ptCount val="7"/>
                <c:pt idx="0">
                  <c:v>250</c:v>
                </c:pt>
                <c:pt idx="1">
                  <c:v>300</c:v>
                </c:pt>
                <c:pt idx="2">
                  <c:v>350</c:v>
                </c:pt>
                <c:pt idx="3">
                  <c:v>400</c:v>
                </c:pt>
                <c:pt idx="4">
                  <c:v>450</c:v>
                </c:pt>
                <c:pt idx="5">
                  <c:v>500</c:v>
                </c:pt>
                <c:pt idx="6">
                  <c:v>550</c:v>
                </c:pt>
              </c:numCache>
            </c:numRef>
          </c:xVal>
          <c:yVal>
            <c:numRef>
              <c:f>'Ce-Zn'!$O$13:$O$19</c:f>
              <c:numCache>
                <c:formatCode>General</c:formatCode>
                <c:ptCount val="7"/>
                <c:pt idx="1">
                  <c:v>0</c:v>
                </c:pt>
                <c:pt idx="3">
                  <c:v>1.1000000000000001</c:v>
                </c:pt>
                <c:pt idx="4">
                  <c:v>9.9</c:v>
                </c:pt>
                <c:pt idx="5">
                  <c:v>14.5</c:v>
                </c:pt>
                <c:pt idx="6">
                  <c:v>23.9</c:v>
                </c:pt>
              </c:numCache>
            </c:numRef>
          </c:yVal>
          <c:smooth val="1"/>
          <c:extLst>
            <c:ext xmlns:c16="http://schemas.microsoft.com/office/drawing/2014/chart" uri="{C3380CC4-5D6E-409C-BE32-E72D297353CC}">
              <c16:uniqueId val="{00000001-4835-4CE8-9E98-AABF7F214A84}"/>
            </c:ext>
          </c:extLst>
        </c:ser>
        <c:ser>
          <c:idx val="2"/>
          <c:order val="2"/>
          <c:tx>
            <c:strRef>
              <c:f>'Ce-Zn'!$P$12</c:f>
              <c:strCache>
                <c:ptCount val="1"/>
                <c:pt idx="0">
                  <c:v>CH3CHO</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'Ce-Zn'!$M$13:$M$19</c:f>
              <c:numCache>
                <c:formatCode>General</c:formatCode>
                <c:ptCount val="7"/>
                <c:pt idx="0">
                  <c:v>250</c:v>
                </c:pt>
                <c:pt idx="1">
                  <c:v>300</c:v>
                </c:pt>
                <c:pt idx="2">
                  <c:v>350</c:v>
                </c:pt>
                <c:pt idx="3">
                  <c:v>400</c:v>
                </c:pt>
                <c:pt idx="4">
                  <c:v>450</c:v>
                </c:pt>
                <c:pt idx="5">
                  <c:v>500</c:v>
                </c:pt>
                <c:pt idx="6">
                  <c:v>550</c:v>
                </c:pt>
              </c:numCache>
            </c:numRef>
          </c:xVal>
          <c:yVal>
            <c:numRef>
              <c:f>'Ce-Zn'!$P$13:$P$19</c:f>
              <c:numCache>
                <c:formatCode>General</c:formatCode>
                <c:ptCount val="7"/>
                <c:pt idx="0">
                  <c:v>0</c:v>
                </c:pt>
                <c:pt idx="1">
                  <c:v>0.8</c:v>
                </c:pt>
                <c:pt idx="2">
                  <c:v>6.3</c:v>
                </c:pt>
                <c:pt idx="3">
                  <c:v>8.8000000000000007</c:v>
                </c:pt>
                <c:pt idx="4">
                  <c:v>2.8</c:v>
                </c:pt>
                <c:pt idx="5">
                  <c:v>0</c:v>
                </c:pt>
              </c:numCache>
            </c:numRef>
          </c:yVal>
          <c:smooth val="1"/>
          <c:extLst>
            <c:ext xmlns:c16="http://schemas.microsoft.com/office/drawing/2014/chart" uri="{C3380CC4-5D6E-409C-BE32-E72D297353CC}">
              <c16:uniqueId val="{00000002-4835-4CE8-9E98-AABF7F214A84}"/>
            </c:ext>
          </c:extLst>
        </c:ser>
        <c:ser>
          <c:idx val="3"/>
          <c:order val="3"/>
          <c:tx>
            <c:strRef>
              <c:f>'Ce-Zn'!$Q$12</c:f>
              <c:strCache>
                <c:ptCount val="1"/>
                <c:pt idx="0">
                  <c:v>CH3COCH3</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'Ce-Zn'!$M$13:$M$19</c:f>
              <c:numCache>
                <c:formatCode>General</c:formatCode>
                <c:ptCount val="7"/>
                <c:pt idx="0">
                  <c:v>250</c:v>
                </c:pt>
                <c:pt idx="1">
                  <c:v>300</c:v>
                </c:pt>
                <c:pt idx="2">
                  <c:v>350</c:v>
                </c:pt>
                <c:pt idx="3">
                  <c:v>400</c:v>
                </c:pt>
                <c:pt idx="4">
                  <c:v>450</c:v>
                </c:pt>
                <c:pt idx="5">
                  <c:v>500</c:v>
                </c:pt>
                <c:pt idx="6">
                  <c:v>550</c:v>
                </c:pt>
              </c:numCache>
            </c:numRef>
          </c:xVal>
          <c:yVal>
            <c:numRef>
              <c:f>'Ce-Zn'!$Q$13:$Q$19</c:f>
              <c:numCache>
                <c:formatCode>General</c:formatCode>
                <c:ptCount val="7"/>
                <c:pt idx="1">
                  <c:v>0</c:v>
                </c:pt>
                <c:pt idx="2">
                  <c:v>3.1</c:v>
                </c:pt>
                <c:pt idx="3">
                  <c:v>13.3</c:v>
                </c:pt>
                <c:pt idx="4">
                  <c:v>47.5</c:v>
                </c:pt>
                <c:pt idx="5">
                  <c:v>63.7</c:v>
                </c:pt>
                <c:pt idx="6">
                  <c:v>55.2</c:v>
                </c:pt>
              </c:numCache>
            </c:numRef>
          </c:yVal>
          <c:smooth val="1"/>
          <c:extLst>
            <c:ext xmlns:c16="http://schemas.microsoft.com/office/drawing/2014/chart" uri="{C3380CC4-5D6E-409C-BE32-E72D297353CC}">
              <c16:uniqueId val="{00000003-4835-4CE8-9E98-AABF7F214A84}"/>
            </c:ext>
          </c:extLst>
        </c:ser>
        <c:ser>
          <c:idx val="4"/>
          <c:order val="4"/>
          <c:tx>
            <c:strRef>
              <c:f>'Ce-Zn'!$R$12</c:f>
              <c:strCache>
                <c:ptCount val="1"/>
                <c:pt idx="0">
                  <c:v>Conversion</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'Ce-Zn'!$M$13:$M$19</c:f>
              <c:numCache>
                <c:formatCode>General</c:formatCode>
                <c:ptCount val="7"/>
                <c:pt idx="0">
                  <c:v>250</c:v>
                </c:pt>
                <c:pt idx="1">
                  <c:v>300</c:v>
                </c:pt>
                <c:pt idx="2">
                  <c:v>350</c:v>
                </c:pt>
                <c:pt idx="3">
                  <c:v>400</c:v>
                </c:pt>
                <c:pt idx="4">
                  <c:v>450</c:v>
                </c:pt>
                <c:pt idx="5">
                  <c:v>500</c:v>
                </c:pt>
                <c:pt idx="6">
                  <c:v>550</c:v>
                </c:pt>
              </c:numCache>
            </c:numRef>
          </c:xVal>
          <c:yVal>
            <c:numRef>
              <c:f>'Ce-Zn'!$R$13:$R$19</c:f>
              <c:numCache>
                <c:formatCode>General</c:formatCode>
                <c:ptCount val="7"/>
                <c:pt idx="0">
                  <c:v>0</c:v>
                </c:pt>
                <c:pt idx="1">
                  <c:v>0.8</c:v>
                </c:pt>
                <c:pt idx="2">
                  <c:v>10.6</c:v>
                </c:pt>
                <c:pt idx="3">
                  <c:v>25.700000000000003</c:v>
                </c:pt>
                <c:pt idx="4">
                  <c:v>68.3</c:v>
                </c:pt>
                <c:pt idx="5">
                  <c:v>87.7</c:v>
                </c:pt>
                <c:pt idx="6">
                  <c:v>89.8</c:v>
                </c:pt>
              </c:numCache>
            </c:numRef>
          </c:yVal>
          <c:smooth val="1"/>
          <c:extLst>
            <c:ext xmlns:c16="http://schemas.microsoft.com/office/drawing/2014/chart" uri="{C3380CC4-5D6E-409C-BE32-E72D297353CC}">
              <c16:uniqueId val="{00000004-4835-4CE8-9E98-AABF7F214A84}"/>
            </c:ext>
          </c:extLst>
        </c:ser>
        <c:dLbls>
          <c:showLegendKey val="0"/>
          <c:showVal val="0"/>
          <c:showCatName val="0"/>
          <c:showSerName val="0"/>
          <c:showPercent val="0"/>
          <c:showBubbleSize val="0"/>
        </c:dLbls>
        <c:axId val="1962429391"/>
        <c:axId val="1962414991"/>
      </c:scatterChart>
      <c:valAx>
        <c:axId val="1962429391"/>
        <c:scaling>
          <c:orientation val="minMax"/>
          <c:min val="25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a:latin typeface="Arial" panose="020B0604020202020204" pitchFamily="34" charset="0"/>
                    <a:cs typeface="Arial" panose="020B0604020202020204" pitchFamily="34" charset="0"/>
                  </a:rPr>
                  <a:t>Temperature, </a:t>
                </a:r>
                <a:r>
                  <a:rPr lang="en-US" sz="900">
                    <a:latin typeface="Arial" panose="020B0604020202020204" pitchFamily="34" charset="0"/>
                    <a:ea typeface="Calibri" panose="020F0502020204030204" pitchFamily="34" charset="0"/>
                    <a:cs typeface="Arial" panose="020B0604020202020204" pitchFamily="34" charset="0"/>
                  </a:rPr>
                  <a:t>°</a:t>
                </a:r>
                <a:r>
                  <a:rPr lang="en-US" sz="900">
                    <a:latin typeface="Arial" panose="020B0604020202020204" pitchFamily="34" charset="0"/>
                    <a:cs typeface="Arial" panose="020B0604020202020204" pitchFamily="34" charset="0"/>
                  </a:rPr>
                  <a:t>C</a:t>
                </a:r>
                <a:endParaRPr lang="ru-RU" sz="9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15875" cap="flat" cmpd="sng" algn="ctr">
            <a:solidFill>
              <a:sysClr val="windowText" lastClr="000000">
                <a:lumMod val="65000"/>
                <a:lumOff val="35000"/>
              </a:sys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62414991"/>
        <c:crosses val="autoZero"/>
        <c:crossBetween val="midCat"/>
      </c:valAx>
      <c:valAx>
        <c:axId val="1962414991"/>
        <c:scaling>
          <c:orientation val="minMax"/>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a:latin typeface="Arial" panose="020B0604020202020204" pitchFamily="34" charset="0"/>
                    <a:cs typeface="Arial" panose="020B0604020202020204" pitchFamily="34" charset="0"/>
                  </a:rPr>
                  <a:t>Yields, %</a:t>
                </a:r>
                <a:endParaRPr lang="ru-RU" sz="900">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15875" cap="flat" cmpd="sng" algn="ctr">
            <a:solidFill>
              <a:sysClr val="windowText" lastClr="000000">
                <a:lumMod val="65000"/>
                <a:lumOff val="35000"/>
              </a:sys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62429391"/>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60688801732483"/>
          <c:y val="3.8955284519973016E-2"/>
          <c:w val="0.79102481961617921"/>
          <c:h val="0.80379530991759163"/>
        </c:manualLayout>
      </c:layout>
      <c:scatterChart>
        <c:scatterStyle val="lineMarker"/>
        <c:varyColors val="0"/>
        <c:ser>
          <c:idx val="0"/>
          <c:order val="0"/>
          <c:tx>
            <c:strRef>
              <c:f>Лист3!$C$1</c:f>
              <c:strCache>
                <c:ptCount val="1"/>
                <c:pt idx="0">
                  <c:v>СО2</c:v>
                </c:pt>
              </c:strCache>
            </c:strRef>
          </c:tx>
          <c:spPr>
            <a:ln w="25400" cap="rnd">
              <a:no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cap="rnd">
                <a:solidFill>
                  <a:schemeClr val="accent1"/>
                </a:solidFill>
                <a:round/>
              </a:ln>
              <a:effectLst>
                <a:outerShdw blurRad="57150" dist="19050" dir="5400000" algn="ctr" rotWithShape="0">
                  <a:srgbClr val="000000">
                    <a:alpha val="63000"/>
                  </a:srgbClr>
                </a:outerShdw>
              </a:effectLst>
            </c:spPr>
          </c:marker>
          <c:trendline>
            <c:spPr>
              <a:ln w="19050" cap="rnd">
                <a:solidFill>
                  <a:schemeClr val="accent1"/>
                </a:solidFill>
              </a:ln>
              <a:effectLst/>
            </c:spPr>
            <c:trendlineType val="linear"/>
            <c:dispRSqr val="0"/>
            <c:dispEq val="0"/>
          </c:trendline>
          <c:xVal>
            <c:numRef>
              <c:f>Лист3!$B$2:$B$11</c:f>
              <c:numCache>
                <c:formatCode>General</c:formatCode>
                <c:ptCount val="10"/>
                <c:pt idx="1">
                  <c:v>1.1000000000000001</c:v>
                </c:pt>
                <c:pt idx="2">
                  <c:v>2.1</c:v>
                </c:pt>
                <c:pt idx="3">
                  <c:v>2.2000000000000002</c:v>
                </c:pt>
                <c:pt idx="4">
                  <c:v>2.1</c:v>
                </c:pt>
                <c:pt idx="5">
                  <c:v>2.6</c:v>
                </c:pt>
                <c:pt idx="6">
                  <c:v>1.7</c:v>
                </c:pt>
                <c:pt idx="7">
                  <c:v>1.9</c:v>
                </c:pt>
                <c:pt idx="8">
                  <c:v>8.6999999999999993</c:v>
                </c:pt>
                <c:pt idx="9">
                  <c:v>24</c:v>
                </c:pt>
              </c:numCache>
            </c:numRef>
          </c:xVal>
          <c:yVal>
            <c:numRef>
              <c:f>Лист3!$C$2:$C$11</c:f>
              <c:numCache>
                <c:formatCode>General</c:formatCode>
                <c:ptCount val="10"/>
                <c:pt idx="1">
                  <c:v>8.9</c:v>
                </c:pt>
                <c:pt idx="2">
                  <c:v>9.5</c:v>
                </c:pt>
                <c:pt idx="3">
                  <c:v>8.1</c:v>
                </c:pt>
                <c:pt idx="4">
                  <c:v>13.1</c:v>
                </c:pt>
                <c:pt idx="5">
                  <c:v>9.8000000000000007</c:v>
                </c:pt>
                <c:pt idx="6">
                  <c:v>13.4</c:v>
                </c:pt>
                <c:pt idx="7">
                  <c:v>14.7</c:v>
                </c:pt>
                <c:pt idx="8">
                  <c:v>13.7</c:v>
                </c:pt>
                <c:pt idx="9">
                  <c:v>12.2</c:v>
                </c:pt>
              </c:numCache>
            </c:numRef>
          </c:yVal>
          <c:smooth val="0"/>
          <c:extLst>
            <c:ext xmlns:c16="http://schemas.microsoft.com/office/drawing/2014/chart" uri="{C3380CC4-5D6E-409C-BE32-E72D297353CC}">
              <c16:uniqueId val="{00000001-1914-4495-BFE7-C3357EC09260}"/>
            </c:ext>
          </c:extLst>
        </c:ser>
        <c:ser>
          <c:idx val="1"/>
          <c:order val="1"/>
          <c:tx>
            <c:strRef>
              <c:f>Лист3!$D$1</c:f>
              <c:strCache>
                <c:ptCount val="1"/>
                <c:pt idx="0">
                  <c:v>С2Н4</c:v>
                </c:pt>
              </c:strCache>
            </c:strRef>
          </c:tx>
          <c:spPr>
            <a:ln w="25400" cap="rnd">
              <a:no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cap="rnd">
                <a:solidFill>
                  <a:schemeClr val="accent2"/>
                </a:solidFill>
                <a:round/>
              </a:ln>
              <a:effectLst>
                <a:outerShdw blurRad="57150" dist="19050" dir="5400000" algn="ctr" rotWithShape="0">
                  <a:srgbClr val="000000">
                    <a:alpha val="63000"/>
                  </a:srgbClr>
                </a:outerShdw>
              </a:effectLst>
            </c:spPr>
          </c:marker>
          <c:trendline>
            <c:spPr>
              <a:ln w="19050" cap="rnd">
                <a:solidFill>
                  <a:schemeClr val="accent2"/>
                </a:solidFill>
              </a:ln>
              <a:effectLst/>
            </c:spPr>
            <c:trendlineType val="linear"/>
            <c:dispRSqr val="0"/>
            <c:dispEq val="0"/>
          </c:trendline>
          <c:xVal>
            <c:numRef>
              <c:f>Лист3!$B$2:$B$11</c:f>
              <c:numCache>
                <c:formatCode>General</c:formatCode>
                <c:ptCount val="10"/>
                <c:pt idx="1">
                  <c:v>1.1000000000000001</c:v>
                </c:pt>
                <c:pt idx="2">
                  <c:v>2.1</c:v>
                </c:pt>
                <c:pt idx="3">
                  <c:v>2.2000000000000002</c:v>
                </c:pt>
                <c:pt idx="4">
                  <c:v>2.1</c:v>
                </c:pt>
                <c:pt idx="5">
                  <c:v>2.6</c:v>
                </c:pt>
                <c:pt idx="6">
                  <c:v>1.7</c:v>
                </c:pt>
                <c:pt idx="7">
                  <c:v>1.9</c:v>
                </c:pt>
                <c:pt idx="8">
                  <c:v>8.6999999999999993</c:v>
                </c:pt>
                <c:pt idx="9">
                  <c:v>24</c:v>
                </c:pt>
              </c:numCache>
            </c:numRef>
          </c:xVal>
          <c:yVal>
            <c:numRef>
              <c:f>Лист3!$D$2:$D$11</c:f>
              <c:numCache>
                <c:formatCode>General</c:formatCode>
                <c:ptCount val="10"/>
                <c:pt idx="1">
                  <c:v>20.3</c:v>
                </c:pt>
                <c:pt idx="2">
                  <c:v>14.5</c:v>
                </c:pt>
                <c:pt idx="3">
                  <c:v>22.1</c:v>
                </c:pt>
                <c:pt idx="4">
                  <c:v>30.5</c:v>
                </c:pt>
                <c:pt idx="5">
                  <c:v>21.9</c:v>
                </c:pt>
                <c:pt idx="6">
                  <c:v>34.200000000000003</c:v>
                </c:pt>
                <c:pt idx="7">
                  <c:v>37.799999999999997</c:v>
                </c:pt>
                <c:pt idx="8">
                  <c:v>36.4</c:v>
                </c:pt>
                <c:pt idx="9">
                  <c:v>35.5</c:v>
                </c:pt>
              </c:numCache>
            </c:numRef>
          </c:yVal>
          <c:smooth val="0"/>
          <c:extLst>
            <c:ext xmlns:c16="http://schemas.microsoft.com/office/drawing/2014/chart" uri="{C3380CC4-5D6E-409C-BE32-E72D297353CC}">
              <c16:uniqueId val="{00000003-1914-4495-BFE7-C3357EC09260}"/>
            </c:ext>
          </c:extLst>
        </c:ser>
        <c:ser>
          <c:idx val="2"/>
          <c:order val="2"/>
          <c:tx>
            <c:strRef>
              <c:f>Лист3!$E$1</c:f>
              <c:strCache>
                <c:ptCount val="1"/>
                <c:pt idx="0">
                  <c:v>СН3СНО</c:v>
                </c:pt>
              </c:strCache>
            </c:strRef>
          </c:tx>
          <c:spPr>
            <a:ln w="25400" cap="rnd">
              <a:noFill/>
              <a:round/>
            </a:ln>
            <a:effectLst>
              <a:outerShdw blurRad="57150" dist="19050" dir="5400000" algn="ctr" rotWithShape="0">
                <a:srgbClr val="000000">
                  <a:alpha val="63000"/>
                </a:srgbClr>
              </a:outerShdw>
            </a:effectLst>
          </c:spPr>
          <c:marker>
            <c:symbol val="circle"/>
            <c:size val="6"/>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cap="rnd">
                <a:solidFill>
                  <a:schemeClr val="accent3"/>
                </a:solidFill>
                <a:round/>
              </a:ln>
              <a:effectLst>
                <a:outerShdw blurRad="57150" dist="19050" dir="5400000" algn="ctr" rotWithShape="0">
                  <a:srgbClr val="000000">
                    <a:alpha val="63000"/>
                  </a:srgbClr>
                </a:outerShdw>
              </a:effectLst>
            </c:spPr>
          </c:marker>
          <c:xVal>
            <c:numRef>
              <c:f>Лист3!$B$2:$B$11</c:f>
              <c:numCache>
                <c:formatCode>General</c:formatCode>
                <c:ptCount val="10"/>
                <c:pt idx="1">
                  <c:v>1.1000000000000001</c:v>
                </c:pt>
                <c:pt idx="2">
                  <c:v>2.1</c:v>
                </c:pt>
                <c:pt idx="3">
                  <c:v>2.2000000000000002</c:v>
                </c:pt>
                <c:pt idx="4">
                  <c:v>2.1</c:v>
                </c:pt>
                <c:pt idx="5">
                  <c:v>2.6</c:v>
                </c:pt>
                <c:pt idx="6">
                  <c:v>1.7</c:v>
                </c:pt>
                <c:pt idx="7">
                  <c:v>1.9</c:v>
                </c:pt>
                <c:pt idx="8">
                  <c:v>8.6999999999999993</c:v>
                </c:pt>
                <c:pt idx="9">
                  <c:v>24</c:v>
                </c:pt>
              </c:numCache>
            </c:numRef>
          </c:xVal>
          <c:yVal>
            <c:numRef>
              <c:f>Лист3!$E$2:$E$11</c:f>
              <c:numCache>
                <c:formatCode>General</c:formatCode>
                <c:ptCount val="10"/>
              </c:numCache>
            </c:numRef>
          </c:yVal>
          <c:smooth val="0"/>
          <c:extLst>
            <c:ext xmlns:c16="http://schemas.microsoft.com/office/drawing/2014/chart" uri="{C3380CC4-5D6E-409C-BE32-E72D297353CC}">
              <c16:uniqueId val="{00000004-1914-4495-BFE7-C3357EC09260}"/>
            </c:ext>
          </c:extLst>
        </c:ser>
        <c:ser>
          <c:idx val="3"/>
          <c:order val="3"/>
          <c:tx>
            <c:strRef>
              <c:f>Лист3!$F$1</c:f>
              <c:strCache>
                <c:ptCount val="1"/>
                <c:pt idx="0">
                  <c:v>СН3СОСН3</c:v>
                </c:pt>
              </c:strCache>
            </c:strRef>
          </c:tx>
          <c:spPr>
            <a:ln w="25400" cap="rnd">
              <a:noFill/>
              <a:round/>
            </a:ln>
            <a:effectLst>
              <a:outerShdw blurRad="57150" dist="19050" dir="5400000" algn="ctr" rotWithShape="0">
                <a:srgbClr val="000000">
                  <a:alpha val="63000"/>
                </a:srgbClr>
              </a:outerShdw>
            </a:effectLst>
          </c:spPr>
          <c:marker>
            <c:symbol val="circle"/>
            <c:size val="6"/>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cap="rnd">
                <a:solidFill>
                  <a:schemeClr val="accent4"/>
                </a:solidFill>
                <a:round/>
              </a:ln>
              <a:effectLst>
                <a:outerShdw blurRad="57150" dist="19050" dir="5400000" algn="ctr" rotWithShape="0">
                  <a:srgbClr val="000000">
                    <a:alpha val="63000"/>
                  </a:srgbClr>
                </a:outerShdw>
              </a:effectLst>
            </c:spPr>
          </c:marker>
          <c:trendline>
            <c:spPr>
              <a:ln w="19050" cap="rnd">
                <a:solidFill>
                  <a:schemeClr val="accent4"/>
                </a:solidFill>
              </a:ln>
              <a:effectLst/>
            </c:spPr>
            <c:trendlineType val="linear"/>
            <c:dispRSqr val="0"/>
            <c:dispEq val="0"/>
          </c:trendline>
          <c:xVal>
            <c:numRef>
              <c:f>Лист3!$B$2:$B$11</c:f>
              <c:numCache>
                <c:formatCode>General</c:formatCode>
                <c:ptCount val="10"/>
                <c:pt idx="1">
                  <c:v>1.1000000000000001</c:v>
                </c:pt>
                <c:pt idx="2">
                  <c:v>2.1</c:v>
                </c:pt>
                <c:pt idx="3">
                  <c:v>2.2000000000000002</c:v>
                </c:pt>
                <c:pt idx="4">
                  <c:v>2.1</c:v>
                </c:pt>
                <c:pt idx="5">
                  <c:v>2.6</c:v>
                </c:pt>
                <c:pt idx="6">
                  <c:v>1.7</c:v>
                </c:pt>
                <c:pt idx="7">
                  <c:v>1.9</c:v>
                </c:pt>
                <c:pt idx="8">
                  <c:v>8.6999999999999993</c:v>
                </c:pt>
                <c:pt idx="9">
                  <c:v>24</c:v>
                </c:pt>
              </c:numCache>
            </c:numRef>
          </c:xVal>
          <c:yVal>
            <c:numRef>
              <c:f>Лист3!$F$2:$F$11</c:f>
              <c:numCache>
                <c:formatCode>General</c:formatCode>
                <c:ptCount val="10"/>
                <c:pt idx="1">
                  <c:v>46.9</c:v>
                </c:pt>
                <c:pt idx="2">
                  <c:v>63.7</c:v>
                </c:pt>
                <c:pt idx="3">
                  <c:v>40.4</c:v>
                </c:pt>
                <c:pt idx="4">
                  <c:v>27.3</c:v>
                </c:pt>
                <c:pt idx="5">
                  <c:v>24.6</c:v>
                </c:pt>
                <c:pt idx="6">
                  <c:v>24.8</c:v>
                </c:pt>
                <c:pt idx="7">
                  <c:v>30.4</c:v>
                </c:pt>
                <c:pt idx="8">
                  <c:v>22.1</c:v>
                </c:pt>
                <c:pt idx="9">
                  <c:v>15.3</c:v>
                </c:pt>
              </c:numCache>
            </c:numRef>
          </c:yVal>
          <c:smooth val="0"/>
          <c:extLst>
            <c:ext xmlns:c16="http://schemas.microsoft.com/office/drawing/2014/chart" uri="{C3380CC4-5D6E-409C-BE32-E72D297353CC}">
              <c16:uniqueId val="{00000006-1914-4495-BFE7-C3357EC09260}"/>
            </c:ext>
          </c:extLst>
        </c:ser>
        <c:ser>
          <c:idx val="4"/>
          <c:order val="4"/>
          <c:tx>
            <c:strRef>
              <c:f>Лист3!$G$1</c:f>
              <c:strCache>
                <c:ptCount val="1"/>
                <c:pt idx="0">
                  <c:v>Conversion</c:v>
                </c:pt>
              </c:strCache>
            </c:strRef>
          </c:tx>
          <c:spPr>
            <a:ln w="25400" cap="rnd">
              <a:noFill/>
              <a:round/>
            </a:ln>
            <a:effectLst>
              <a:outerShdw blurRad="57150" dist="19050" dir="5400000" algn="ctr" rotWithShape="0">
                <a:srgbClr val="000000">
                  <a:alpha val="63000"/>
                </a:srgbClr>
              </a:outerShdw>
            </a:effectLst>
          </c:spPr>
          <c:marker>
            <c:symbol val="circle"/>
            <c:size val="6"/>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w="9525" cap="rnd">
                <a:solidFill>
                  <a:schemeClr val="accent5"/>
                </a:solidFill>
                <a:round/>
              </a:ln>
              <a:effectLst>
                <a:outerShdw blurRad="57150" dist="19050" dir="5400000" algn="ctr" rotWithShape="0">
                  <a:srgbClr val="000000">
                    <a:alpha val="63000"/>
                  </a:srgbClr>
                </a:outerShdw>
              </a:effectLst>
            </c:spPr>
          </c:marker>
          <c:trendline>
            <c:spPr>
              <a:ln w="19050" cap="rnd">
                <a:solidFill>
                  <a:schemeClr val="accent5"/>
                </a:solidFill>
              </a:ln>
              <a:effectLst/>
            </c:spPr>
            <c:trendlineType val="linear"/>
            <c:dispRSqr val="0"/>
            <c:dispEq val="0"/>
          </c:trendline>
          <c:xVal>
            <c:numRef>
              <c:f>Лист3!$B$2:$B$11</c:f>
              <c:numCache>
                <c:formatCode>General</c:formatCode>
                <c:ptCount val="10"/>
                <c:pt idx="1">
                  <c:v>1.1000000000000001</c:v>
                </c:pt>
                <c:pt idx="2">
                  <c:v>2.1</c:v>
                </c:pt>
                <c:pt idx="3">
                  <c:v>2.2000000000000002</c:v>
                </c:pt>
                <c:pt idx="4">
                  <c:v>2.1</c:v>
                </c:pt>
                <c:pt idx="5">
                  <c:v>2.6</c:v>
                </c:pt>
                <c:pt idx="6">
                  <c:v>1.7</c:v>
                </c:pt>
                <c:pt idx="7">
                  <c:v>1.9</c:v>
                </c:pt>
                <c:pt idx="8">
                  <c:v>8.6999999999999993</c:v>
                </c:pt>
                <c:pt idx="9">
                  <c:v>24</c:v>
                </c:pt>
              </c:numCache>
            </c:numRef>
          </c:xVal>
          <c:yVal>
            <c:numRef>
              <c:f>Лист3!$G$2:$G$11</c:f>
              <c:numCache>
                <c:formatCode>General</c:formatCode>
                <c:ptCount val="10"/>
                <c:pt idx="1">
                  <c:v>76.099999999999994</c:v>
                </c:pt>
                <c:pt idx="2">
                  <c:v>87.7</c:v>
                </c:pt>
                <c:pt idx="3">
                  <c:v>76.599999999999994</c:v>
                </c:pt>
                <c:pt idx="4">
                  <c:v>70.900000000000006</c:v>
                </c:pt>
                <c:pt idx="5">
                  <c:v>56.3</c:v>
                </c:pt>
                <c:pt idx="6">
                  <c:v>72.400000000000006</c:v>
                </c:pt>
                <c:pt idx="7">
                  <c:v>82.9</c:v>
                </c:pt>
                <c:pt idx="8">
                  <c:v>72.199999999999989</c:v>
                </c:pt>
                <c:pt idx="9">
                  <c:v>64.3</c:v>
                </c:pt>
              </c:numCache>
            </c:numRef>
          </c:yVal>
          <c:smooth val="0"/>
          <c:extLst>
            <c:ext xmlns:c16="http://schemas.microsoft.com/office/drawing/2014/chart" uri="{C3380CC4-5D6E-409C-BE32-E72D297353CC}">
              <c16:uniqueId val="{00000008-1914-4495-BFE7-C3357EC09260}"/>
            </c:ext>
          </c:extLst>
        </c:ser>
        <c:ser>
          <c:idx val="5"/>
          <c:order val="5"/>
          <c:tx>
            <c:strRef>
              <c:f>Лист3!$H$1</c:f>
              <c:strCache>
                <c:ptCount val="1"/>
                <c:pt idx="0">
                  <c:v>Selectivity</c:v>
                </c:pt>
              </c:strCache>
            </c:strRef>
          </c:tx>
          <c:spPr>
            <a:ln w="25400" cap="rnd">
              <a:noFill/>
              <a:round/>
            </a:ln>
            <a:effectLst>
              <a:outerShdw blurRad="57150" dist="19050" dir="5400000" algn="ctr" rotWithShape="0">
                <a:srgbClr val="000000">
                  <a:alpha val="63000"/>
                </a:srgbClr>
              </a:outerShdw>
            </a:effectLst>
          </c:spPr>
          <c:marker>
            <c:symbol val="circle"/>
            <c:size val="6"/>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w="9525" cap="rnd">
                <a:solidFill>
                  <a:schemeClr val="accent6"/>
                </a:solidFill>
                <a:round/>
              </a:ln>
              <a:effectLst>
                <a:outerShdw blurRad="57150" dist="19050" dir="5400000" algn="ctr" rotWithShape="0">
                  <a:srgbClr val="000000">
                    <a:alpha val="63000"/>
                  </a:srgbClr>
                </a:outerShdw>
              </a:effectLst>
            </c:spPr>
          </c:marker>
          <c:trendline>
            <c:spPr>
              <a:ln w="19050" cap="rnd">
                <a:solidFill>
                  <a:schemeClr val="accent6"/>
                </a:solidFill>
              </a:ln>
              <a:effectLst/>
            </c:spPr>
            <c:trendlineType val="linear"/>
            <c:dispRSqr val="0"/>
            <c:dispEq val="0"/>
          </c:trendline>
          <c:xVal>
            <c:numRef>
              <c:f>Лист3!$B$2:$B$11</c:f>
              <c:numCache>
                <c:formatCode>General</c:formatCode>
                <c:ptCount val="10"/>
                <c:pt idx="1">
                  <c:v>1.1000000000000001</c:v>
                </c:pt>
                <c:pt idx="2">
                  <c:v>2.1</c:v>
                </c:pt>
                <c:pt idx="3">
                  <c:v>2.2000000000000002</c:v>
                </c:pt>
                <c:pt idx="4">
                  <c:v>2.1</c:v>
                </c:pt>
                <c:pt idx="5">
                  <c:v>2.6</c:v>
                </c:pt>
                <c:pt idx="6">
                  <c:v>1.7</c:v>
                </c:pt>
                <c:pt idx="7">
                  <c:v>1.9</c:v>
                </c:pt>
                <c:pt idx="8">
                  <c:v>8.6999999999999993</c:v>
                </c:pt>
                <c:pt idx="9">
                  <c:v>24</c:v>
                </c:pt>
              </c:numCache>
            </c:numRef>
          </c:xVal>
          <c:yVal>
            <c:numRef>
              <c:f>Лист3!$H$2:$H$11</c:f>
              <c:numCache>
                <c:formatCode>General</c:formatCode>
                <c:ptCount val="10"/>
                <c:pt idx="1">
                  <c:v>61.629434954007891</c:v>
                </c:pt>
                <c:pt idx="2">
                  <c:v>72.633979475484608</c:v>
                </c:pt>
                <c:pt idx="3">
                  <c:v>52.741514360313317</c:v>
                </c:pt>
                <c:pt idx="4">
                  <c:v>38.5049365303244</c:v>
                </c:pt>
                <c:pt idx="5">
                  <c:v>43.694493783303734</c:v>
                </c:pt>
                <c:pt idx="6">
                  <c:v>34.254143646408835</c:v>
                </c:pt>
                <c:pt idx="7">
                  <c:v>36.670687575392037</c:v>
                </c:pt>
                <c:pt idx="8">
                  <c:v>30.609418282548482</c:v>
                </c:pt>
                <c:pt idx="9">
                  <c:v>23.794712286158632</c:v>
                </c:pt>
              </c:numCache>
            </c:numRef>
          </c:yVal>
          <c:smooth val="0"/>
          <c:extLst>
            <c:ext xmlns:c16="http://schemas.microsoft.com/office/drawing/2014/chart" uri="{C3380CC4-5D6E-409C-BE32-E72D297353CC}">
              <c16:uniqueId val="{0000000A-1914-4495-BFE7-C3357EC09260}"/>
            </c:ext>
          </c:extLst>
        </c:ser>
        <c:dLbls>
          <c:showLegendKey val="0"/>
          <c:showVal val="0"/>
          <c:showCatName val="0"/>
          <c:showSerName val="0"/>
          <c:showPercent val="0"/>
          <c:showBubbleSize val="0"/>
        </c:dLbls>
        <c:axId val="1314893775"/>
        <c:axId val="1314887535"/>
      </c:scatterChart>
      <c:valAx>
        <c:axId val="1314893775"/>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GB" sz="900" b="0" i="0" u="none" strike="noStrike" baseline="0">
                    <a:effectLst/>
                    <a:latin typeface="Arial" panose="020B0604020202020204" pitchFamily="34" charset="0"/>
                    <a:cs typeface="Arial" panose="020B0604020202020204" pitchFamily="34" charset="0"/>
                  </a:rPr>
                  <a:t>Specific surface, m2/g </a:t>
                </a:r>
                <a:endParaRPr lang="ru-RU" i="0">
                  <a:latin typeface="Arial" panose="020B0604020202020204" pitchFamily="34" charset="0"/>
                  <a:cs typeface="Arial" panose="020B0604020202020204" pitchFamily="34" charset="0"/>
                </a:endParaRPr>
              </a:p>
            </c:rich>
          </c:tx>
          <c:layout>
            <c:manualLayout>
              <c:xMode val="edge"/>
              <c:yMode val="edge"/>
              <c:x val="0.30820244846387179"/>
              <c:y val="0.9250023060216514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15875">
            <a:solidFill>
              <a:sysClr val="windowText" lastClr="000000">
                <a:lumMod val="65000"/>
                <a:lumOff val="35000"/>
              </a:sys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14887535"/>
        <c:crosses val="autoZero"/>
        <c:crossBetween val="midCat"/>
      </c:valAx>
      <c:valAx>
        <c:axId val="1314887535"/>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latin typeface="Arial" panose="020B0604020202020204" pitchFamily="34" charset="0"/>
                    <a:cs typeface="Arial" panose="020B0604020202020204" pitchFamily="34" charset="0"/>
                  </a:rPr>
                  <a:t>Yields, %</a:t>
                </a:r>
                <a:endParaRPr lang="ru-RU">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15875">
            <a:solidFill>
              <a:sysClr val="windowText" lastClr="000000">
                <a:lumMod val="75000"/>
                <a:lumOff val="25000"/>
              </a:sys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14893775"/>
        <c:crosses val="autoZero"/>
        <c:crossBetween val="midCat"/>
      </c:valAx>
      <c:spPr>
        <a:noFill/>
        <a:ln>
          <a:noFill/>
        </a:ln>
        <a:effectLst/>
      </c:spPr>
    </c:plotArea>
    <c:legend>
      <c:legendPos val="r"/>
      <c:legendEntry>
        <c:idx val="2"/>
        <c:delete val="1"/>
      </c:legendEntry>
      <c:legendEntry>
        <c:idx val="6"/>
        <c:delete val="1"/>
      </c:legendEntry>
      <c:legendEntry>
        <c:idx val="7"/>
        <c:delete val="1"/>
      </c:legendEntry>
      <c:legendEntry>
        <c:idx val="8"/>
        <c:delete val="1"/>
      </c:legendEntry>
      <c:legendEntry>
        <c:idx val="9"/>
        <c:delete val="1"/>
      </c:legendEntry>
      <c:legendEntry>
        <c:idx val="10"/>
        <c:delete val="1"/>
      </c:legendEntry>
      <c:layout>
        <c:manualLayout>
          <c:xMode val="edge"/>
          <c:yMode val="edge"/>
          <c:x val="0.80938870371264948"/>
          <c:y val="0.32638767376300187"/>
          <c:w val="0.17425137808694158"/>
          <c:h val="0.359570331486341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344286291136686"/>
          <c:y val="5.9379217273954114E-2"/>
          <c:w val="0.65067534827377349"/>
          <c:h val="0.78474841559439212"/>
        </c:manualLayout>
      </c:layout>
      <c:scatterChart>
        <c:scatterStyle val="lineMarker"/>
        <c:varyColors val="0"/>
        <c:ser>
          <c:idx val="0"/>
          <c:order val="0"/>
          <c:tx>
            <c:strRef>
              <c:f>Лист3!$D$1</c:f>
              <c:strCache>
                <c:ptCount val="1"/>
                <c:pt idx="0">
                  <c:v>CO2</c:v>
                </c:pt>
              </c:strCache>
            </c:strRef>
          </c:tx>
          <c:spPr>
            <a:ln w="25400" cap="rnd">
              <a:no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cap="rnd">
                <a:solidFill>
                  <a:schemeClr val="accent1"/>
                </a:solidFill>
                <a:round/>
              </a:ln>
              <a:effectLst>
                <a:outerShdw blurRad="57150" dist="19050" dir="5400000" algn="ctr" rotWithShape="0">
                  <a:srgbClr val="000000">
                    <a:alpha val="63000"/>
                  </a:srgbClr>
                </a:outerShdw>
              </a:effectLst>
            </c:spPr>
          </c:marker>
          <c:trendline>
            <c:spPr>
              <a:ln w="19050" cap="rnd">
                <a:solidFill>
                  <a:schemeClr val="accent1"/>
                </a:solidFill>
              </a:ln>
              <a:effectLst/>
            </c:spPr>
            <c:trendlineType val="linear"/>
            <c:dispRSqr val="0"/>
            <c:dispEq val="0"/>
          </c:trendline>
          <c:xVal>
            <c:numRef>
              <c:f>Лист3!$C$2:$C$10</c:f>
              <c:numCache>
                <c:formatCode>General</c:formatCode>
                <c:ptCount val="9"/>
                <c:pt idx="0">
                  <c:v>76.3</c:v>
                </c:pt>
                <c:pt idx="1">
                  <c:v>75.5</c:v>
                </c:pt>
                <c:pt idx="2">
                  <c:v>78.7</c:v>
                </c:pt>
                <c:pt idx="3">
                  <c:v>75.400000000000006</c:v>
                </c:pt>
                <c:pt idx="4">
                  <c:v>77.5</c:v>
                </c:pt>
                <c:pt idx="5">
                  <c:v>78.400000000000006</c:v>
                </c:pt>
                <c:pt idx="6">
                  <c:v>75.7</c:v>
                </c:pt>
                <c:pt idx="7">
                  <c:v>79</c:v>
                </c:pt>
                <c:pt idx="8">
                  <c:v>79.5</c:v>
                </c:pt>
              </c:numCache>
            </c:numRef>
          </c:xVal>
          <c:yVal>
            <c:numRef>
              <c:f>Лист3!$D$2:$D$10</c:f>
              <c:numCache>
                <c:formatCode>General</c:formatCode>
                <c:ptCount val="9"/>
                <c:pt idx="0">
                  <c:v>8.9</c:v>
                </c:pt>
                <c:pt idx="1">
                  <c:v>9.5</c:v>
                </c:pt>
                <c:pt idx="2">
                  <c:v>8.1</c:v>
                </c:pt>
                <c:pt idx="3">
                  <c:v>13.1</c:v>
                </c:pt>
                <c:pt idx="4">
                  <c:v>9.8000000000000007</c:v>
                </c:pt>
                <c:pt idx="5">
                  <c:v>13.4</c:v>
                </c:pt>
                <c:pt idx="6">
                  <c:v>14.7</c:v>
                </c:pt>
                <c:pt idx="7">
                  <c:v>13.7</c:v>
                </c:pt>
                <c:pt idx="8">
                  <c:v>12.2</c:v>
                </c:pt>
              </c:numCache>
            </c:numRef>
          </c:yVal>
          <c:smooth val="0"/>
          <c:extLst>
            <c:ext xmlns:c16="http://schemas.microsoft.com/office/drawing/2014/chart" uri="{C3380CC4-5D6E-409C-BE32-E72D297353CC}">
              <c16:uniqueId val="{00000001-5CA2-4D00-A069-CDC5E8EAFD51}"/>
            </c:ext>
          </c:extLst>
        </c:ser>
        <c:ser>
          <c:idx val="1"/>
          <c:order val="1"/>
          <c:tx>
            <c:strRef>
              <c:f>Лист3!$E$1</c:f>
              <c:strCache>
                <c:ptCount val="1"/>
                <c:pt idx="0">
                  <c:v>C2H4</c:v>
                </c:pt>
              </c:strCache>
            </c:strRef>
          </c:tx>
          <c:spPr>
            <a:ln w="25400" cap="rnd">
              <a:no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cap="rnd">
                <a:solidFill>
                  <a:schemeClr val="accent2"/>
                </a:solidFill>
                <a:round/>
              </a:ln>
              <a:effectLst>
                <a:outerShdw blurRad="57150" dist="19050" dir="5400000" algn="ctr" rotWithShape="0">
                  <a:srgbClr val="000000">
                    <a:alpha val="63000"/>
                  </a:srgbClr>
                </a:outerShdw>
              </a:effectLst>
            </c:spPr>
          </c:marker>
          <c:trendline>
            <c:spPr>
              <a:ln w="19050" cap="rnd">
                <a:solidFill>
                  <a:schemeClr val="accent2"/>
                </a:solidFill>
              </a:ln>
              <a:effectLst/>
            </c:spPr>
            <c:trendlineType val="linear"/>
            <c:dispRSqr val="0"/>
            <c:dispEq val="0"/>
          </c:trendline>
          <c:xVal>
            <c:numRef>
              <c:f>Лист3!$C$2:$C$10</c:f>
              <c:numCache>
                <c:formatCode>General</c:formatCode>
                <c:ptCount val="9"/>
                <c:pt idx="0">
                  <c:v>76.3</c:v>
                </c:pt>
                <c:pt idx="1">
                  <c:v>75.5</c:v>
                </c:pt>
                <c:pt idx="2">
                  <c:v>78.7</c:v>
                </c:pt>
                <c:pt idx="3">
                  <c:v>75.400000000000006</c:v>
                </c:pt>
                <c:pt idx="4">
                  <c:v>77.5</c:v>
                </c:pt>
                <c:pt idx="5">
                  <c:v>78.400000000000006</c:v>
                </c:pt>
                <c:pt idx="6">
                  <c:v>75.7</c:v>
                </c:pt>
                <c:pt idx="7">
                  <c:v>79</c:v>
                </c:pt>
                <c:pt idx="8">
                  <c:v>79.5</c:v>
                </c:pt>
              </c:numCache>
            </c:numRef>
          </c:xVal>
          <c:yVal>
            <c:numRef>
              <c:f>Лист3!$E$2:$E$10</c:f>
              <c:numCache>
                <c:formatCode>General</c:formatCode>
                <c:ptCount val="9"/>
                <c:pt idx="0">
                  <c:v>20.3</c:v>
                </c:pt>
                <c:pt idx="1">
                  <c:v>14.5</c:v>
                </c:pt>
                <c:pt idx="2">
                  <c:v>22.1</c:v>
                </c:pt>
                <c:pt idx="3">
                  <c:v>30.5</c:v>
                </c:pt>
                <c:pt idx="4">
                  <c:v>21.9</c:v>
                </c:pt>
                <c:pt idx="5">
                  <c:v>34.200000000000003</c:v>
                </c:pt>
                <c:pt idx="6">
                  <c:v>37.799999999999997</c:v>
                </c:pt>
                <c:pt idx="7">
                  <c:v>36.4</c:v>
                </c:pt>
                <c:pt idx="8">
                  <c:v>35.5</c:v>
                </c:pt>
              </c:numCache>
            </c:numRef>
          </c:yVal>
          <c:smooth val="0"/>
          <c:extLst>
            <c:ext xmlns:c16="http://schemas.microsoft.com/office/drawing/2014/chart" uri="{C3380CC4-5D6E-409C-BE32-E72D297353CC}">
              <c16:uniqueId val="{00000003-5CA2-4D00-A069-CDC5E8EAFD51}"/>
            </c:ext>
          </c:extLst>
        </c:ser>
        <c:ser>
          <c:idx val="2"/>
          <c:order val="2"/>
          <c:tx>
            <c:strRef>
              <c:f>Лист3!$F$1</c:f>
              <c:strCache>
                <c:ptCount val="1"/>
                <c:pt idx="0">
                  <c:v>CH3CHO</c:v>
                </c:pt>
              </c:strCache>
            </c:strRef>
          </c:tx>
          <c:spPr>
            <a:ln w="25400" cap="rnd">
              <a:noFill/>
              <a:round/>
            </a:ln>
            <a:effectLst>
              <a:outerShdw blurRad="57150" dist="19050" dir="5400000" algn="ctr" rotWithShape="0">
                <a:srgbClr val="000000">
                  <a:alpha val="63000"/>
                </a:srgbClr>
              </a:outerShdw>
            </a:effectLst>
          </c:spPr>
          <c:marker>
            <c:symbol val="circle"/>
            <c:size val="6"/>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cap="rnd">
                <a:solidFill>
                  <a:schemeClr val="accent3"/>
                </a:solidFill>
                <a:round/>
              </a:ln>
              <a:effectLst>
                <a:outerShdw blurRad="57150" dist="19050" dir="5400000" algn="ctr" rotWithShape="0">
                  <a:srgbClr val="000000">
                    <a:alpha val="63000"/>
                  </a:srgbClr>
                </a:outerShdw>
              </a:effectLst>
            </c:spPr>
          </c:marker>
          <c:xVal>
            <c:numRef>
              <c:f>Лист3!$C$2:$C$10</c:f>
              <c:numCache>
                <c:formatCode>General</c:formatCode>
                <c:ptCount val="9"/>
                <c:pt idx="0">
                  <c:v>76.3</c:v>
                </c:pt>
                <c:pt idx="1">
                  <c:v>75.5</c:v>
                </c:pt>
                <c:pt idx="2">
                  <c:v>78.7</c:v>
                </c:pt>
                <c:pt idx="3">
                  <c:v>75.400000000000006</c:v>
                </c:pt>
                <c:pt idx="4">
                  <c:v>77.5</c:v>
                </c:pt>
                <c:pt idx="5">
                  <c:v>78.400000000000006</c:v>
                </c:pt>
                <c:pt idx="6">
                  <c:v>75.7</c:v>
                </c:pt>
                <c:pt idx="7">
                  <c:v>79</c:v>
                </c:pt>
                <c:pt idx="8">
                  <c:v>79.5</c:v>
                </c:pt>
              </c:numCache>
            </c:numRef>
          </c:xVal>
          <c:yVal>
            <c:numRef>
              <c:f>Лист3!$F$2:$F$10</c:f>
              <c:numCache>
                <c:formatCode>General</c:formatCode>
                <c:ptCount val="9"/>
              </c:numCache>
            </c:numRef>
          </c:yVal>
          <c:smooth val="0"/>
          <c:extLst>
            <c:ext xmlns:c16="http://schemas.microsoft.com/office/drawing/2014/chart" uri="{C3380CC4-5D6E-409C-BE32-E72D297353CC}">
              <c16:uniqueId val="{00000004-5CA2-4D00-A069-CDC5E8EAFD51}"/>
            </c:ext>
          </c:extLst>
        </c:ser>
        <c:ser>
          <c:idx val="3"/>
          <c:order val="3"/>
          <c:tx>
            <c:strRef>
              <c:f>Лист3!$G$1</c:f>
              <c:strCache>
                <c:ptCount val="1"/>
                <c:pt idx="0">
                  <c:v>CH3COCH3</c:v>
                </c:pt>
              </c:strCache>
            </c:strRef>
          </c:tx>
          <c:spPr>
            <a:ln w="25400" cap="rnd">
              <a:noFill/>
              <a:round/>
            </a:ln>
            <a:effectLst>
              <a:outerShdw blurRad="57150" dist="19050" dir="5400000" algn="ctr" rotWithShape="0">
                <a:srgbClr val="000000">
                  <a:alpha val="63000"/>
                </a:srgbClr>
              </a:outerShdw>
            </a:effectLst>
          </c:spPr>
          <c:marker>
            <c:symbol val="circle"/>
            <c:size val="6"/>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cap="rnd">
                <a:solidFill>
                  <a:schemeClr val="accent4"/>
                </a:solidFill>
                <a:round/>
              </a:ln>
              <a:effectLst>
                <a:outerShdw blurRad="57150" dist="19050" dir="5400000" algn="ctr" rotWithShape="0">
                  <a:srgbClr val="000000">
                    <a:alpha val="63000"/>
                  </a:srgbClr>
                </a:outerShdw>
              </a:effectLst>
            </c:spPr>
          </c:marker>
          <c:trendline>
            <c:spPr>
              <a:ln w="19050" cap="rnd">
                <a:solidFill>
                  <a:schemeClr val="accent4"/>
                </a:solidFill>
              </a:ln>
              <a:effectLst/>
            </c:spPr>
            <c:trendlineType val="linear"/>
            <c:dispRSqr val="0"/>
            <c:dispEq val="0"/>
          </c:trendline>
          <c:xVal>
            <c:numRef>
              <c:f>Лист3!$C$2:$C$10</c:f>
              <c:numCache>
                <c:formatCode>General</c:formatCode>
                <c:ptCount val="9"/>
                <c:pt idx="0">
                  <c:v>76.3</c:v>
                </c:pt>
                <c:pt idx="1">
                  <c:v>75.5</c:v>
                </c:pt>
                <c:pt idx="2">
                  <c:v>78.7</c:v>
                </c:pt>
                <c:pt idx="3">
                  <c:v>75.400000000000006</c:v>
                </c:pt>
                <c:pt idx="4">
                  <c:v>77.5</c:v>
                </c:pt>
                <c:pt idx="5">
                  <c:v>78.400000000000006</c:v>
                </c:pt>
                <c:pt idx="6">
                  <c:v>75.7</c:v>
                </c:pt>
                <c:pt idx="7">
                  <c:v>79</c:v>
                </c:pt>
                <c:pt idx="8">
                  <c:v>79.5</c:v>
                </c:pt>
              </c:numCache>
            </c:numRef>
          </c:xVal>
          <c:yVal>
            <c:numRef>
              <c:f>Лист3!$G$2:$G$10</c:f>
              <c:numCache>
                <c:formatCode>General</c:formatCode>
                <c:ptCount val="9"/>
                <c:pt idx="0">
                  <c:v>46.9</c:v>
                </c:pt>
                <c:pt idx="1">
                  <c:v>63.7</c:v>
                </c:pt>
                <c:pt idx="2">
                  <c:v>40.4</c:v>
                </c:pt>
                <c:pt idx="3">
                  <c:v>27.3</c:v>
                </c:pt>
                <c:pt idx="4">
                  <c:v>24.6</c:v>
                </c:pt>
                <c:pt idx="5">
                  <c:v>24.8</c:v>
                </c:pt>
                <c:pt idx="6">
                  <c:v>30.4</c:v>
                </c:pt>
                <c:pt idx="7">
                  <c:v>22.1</c:v>
                </c:pt>
                <c:pt idx="8">
                  <c:v>15.3</c:v>
                </c:pt>
              </c:numCache>
            </c:numRef>
          </c:yVal>
          <c:smooth val="0"/>
          <c:extLst>
            <c:ext xmlns:c16="http://schemas.microsoft.com/office/drawing/2014/chart" uri="{C3380CC4-5D6E-409C-BE32-E72D297353CC}">
              <c16:uniqueId val="{00000006-5CA2-4D00-A069-CDC5E8EAFD51}"/>
            </c:ext>
          </c:extLst>
        </c:ser>
        <c:ser>
          <c:idx val="4"/>
          <c:order val="4"/>
          <c:tx>
            <c:strRef>
              <c:f>Лист3!$H$1</c:f>
              <c:strCache>
                <c:ptCount val="1"/>
                <c:pt idx="0">
                  <c:v>Conversion</c:v>
                </c:pt>
              </c:strCache>
            </c:strRef>
          </c:tx>
          <c:spPr>
            <a:ln w="25400" cap="rnd">
              <a:noFill/>
              <a:round/>
            </a:ln>
            <a:effectLst>
              <a:outerShdw blurRad="57150" dist="19050" dir="5400000" algn="ctr" rotWithShape="0">
                <a:srgbClr val="000000">
                  <a:alpha val="63000"/>
                </a:srgbClr>
              </a:outerShdw>
            </a:effectLst>
          </c:spPr>
          <c:marker>
            <c:symbol val="circle"/>
            <c:size val="6"/>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w="9525" cap="rnd">
                <a:solidFill>
                  <a:schemeClr val="accent5"/>
                </a:solidFill>
                <a:round/>
              </a:ln>
              <a:effectLst>
                <a:outerShdw blurRad="57150" dist="19050" dir="5400000" algn="ctr" rotWithShape="0">
                  <a:srgbClr val="000000">
                    <a:alpha val="63000"/>
                  </a:srgbClr>
                </a:outerShdw>
              </a:effectLst>
            </c:spPr>
          </c:marker>
          <c:trendline>
            <c:spPr>
              <a:ln w="19050" cap="rnd">
                <a:solidFill>
                  <a:schemeClr val="accent5"/>
                </a:solidFill>
              </a:ln>
              <a:effectLst/>
            </c:spPr>
            <c:trendlineType val="linear"/>
            <c:dispRSqr val="0"/>
            <c:dispEq val="0"/>
          </c:trendline>
          <c:xVal>
            <c:numRef>
              <c:f>Лист3!$C$2:$C$10</c:f>
              <c:numCache>
                <c:formatCode>General</c:formatCode>
                <c:ptCount val="9"/>
                <c:pt idx="0">
                  <c:v>76.3</c:v>
                </c:pt>
                <c:pt idx="1">
                  <c:v>75.5</c:v>
                </c:pt>
                <c:pt idx="2">
                  <c:v>78.7</c:v>
                </c:pt>
                <c:pt idx="3">
                  <c:v>75.400000000000006</c:v>
                </c:pt>
                <c:pt idx="4">
                  <c:v>77.5</c:v>
                </c:pt>
                <c:pt idx="5">
                  <c:v>78.400000000000006</c:v>
                </c:pt>
                <c:pt idx="6">
                  <c:v>75.7</c:v>
                </c:pt>
                <c:pt idx="7">
                  <c:v>79</c:v>
                </c:pt>
                <c:pt idx="8">
                  <c:v>79.5</c:v>
                </c:pt>
              </c:numCache>
            </c:numRef>
          </c:xVal>
          <c:yVal>
            <c:numRef>
              <c:f>Лист3!$H$2:$H$10</c:f>
              <c:numCache>
                <c:formatCode>General</c:formatCode>
                <c:ptCount val="9"/>
                <c:pt idx="0">
                  <c:v>76.099999999999994</c:v>
                </c:pt>
                <c:pt idx="1">
                  <c:v>87.7</c:v>
                </c:pt>
                <c:pt idx="2">
                  <c:v>76.599999999999994</c:v>
                </c:pt>
                <c:pt idx="3">
                  <c:v>70.900000000000006</c:v>
                </c:pt>
                <c:pt idx="4">
                  <c:v>56.3</c:v>
                </c:pt>
                <c:pt idx="5">
                  <c:v>72.400000000000006</c:v>
                </c:pt>
                <c:pt idx="6">
                  <c:v>82.9</c:v>
                </c:pt>
                <c:pt idx="7">
                  <c:v>72.199999999999989</c:v>
                </c:pt>
                <c:pt idx="8">
                  <c:v>64.3</c:v>
                </c:pt>
              </c:numCache>
            </c:numRef>
          </c:yVal>
          <c:smooth val="0"/>
          <c:extLst>
            <c:ext xmlns:c16="http://schemas.microsoft.com/office/drawing/2014/chart" uri="{C3380CC4-5D6E-409C-BE32-E72D297353CC}">
              <c16:uniqueId val="{00000008-5CA2-4D00-A069-CDC5E8EAFD51}"/>
            </c:ext>
          </c:extLst>
        </c:ser>
        <c:dLbls>
          <c:showLegendKey val="0"/>
          <c:showVal val="0"/>
          <c:showCatName val="0"/>
          <c:showSerName val="0"/>
          <c:showPercent val="0"/>
          <c:showBubbleSize val="0"/>
        </c:dLbls>
        <c:axId val="90642000"/>
        <c:axId val="90624528"/>
      </c:scatterChart>
      <c:valAx>
        <c:axId val="90642000"/>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latin typeface="Arial" panose="020B0604020202020204" pitchFamily="34" charset="0"/>
                    <a:cs typeface="Arial" panose="020B0604020202020204" pitchFamily="34" charset="0"/>
                  </a:rPr>
                  <a:t>Degree of crystallinity, %</a:t>
                </a:r>
                <a:endParaRPr lang="ru-RU">
                  <a:latin typeface="Arial" panose="020B0604020202020204" pitchFamily="34" charset="0"/>
                  <a:cs typeface="Arial" panose="020B0604020202020204" pitchFamily="34" charset="0"/>
                </a:endParaRPr>
              </a:p>
            </c:rich>
          </c:tx>
          <c:layout>
            <c:manualLayout>
              <c:xMode val="edge"/>
              <c:yMode val="edge"/>
              <c:x val="0.33661328850747591"/>
              <c:y val="0.9096645541258562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15875">
            <a:solidFill>
              <a:sysClr val="windowText" lastClr="000000">
                <a:lumMod val="75000"/>
                <a:lumOff val="25000"/>
              </a:sys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0624528"/>
        <c:crosses val="autoZero"/>
        <c:crossBetween val="midCat"/>
      </c:valAx>
      <c:valAx>
        <c:axId val="90624528"/>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latin typeface="Arial" panose="020B0604020202020204" pitchFamily="34" charset="0"/>
                    <a:cs typeface="Arial" panose="020B0604020202020204" pitchFamily="34" charset="0"/>
                  </a:rPr>
                  <a:t>Yields, %</a:t>
                </a:r>
                <a:endParaRPr lang="ru-RU">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15875">
            <a:solidFill>
              <a:sysClr val="windowText" lastClr="000000">
                <a:lumMod val="75000"/>
                <a:lumOff val="25000"/>
              </a:sys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0642000"/>
        <c:crosses val="autoZero"/>
        <c:crossBetween val="midCat"/>
      </c:valAx>
      <c:spPr>
        <a:noFill/>
        <a:ln>
          <a:noFill/>
        </a:ln>
        <a:effectLst/>
      </c:spPr>
    </c:plotArea>
    <c:legend>
      <c:legendPos val="r"/>
      <c:legendEntry>
        <c:idx val="2"/>
        <c:delete val="1"/>
      </c:legendEntry>
      <c:legendEntry>
        <c:idx val="5"/>
        <c:delete val="1"/>
      </c:legendEntry>
      <c:legendEntry>
        <c:idx val="6"/>
        <c:delete val="1"/>
      </c:legendEntry>
      <c:legendEntry>
        <c:idx val="7"/>
        <c:delete val="1"/>
      </c:legendEntry>
      <c:legendEntry>
        <c:idx val="8"/>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9525" cap="rnd">
        <a:solidFill>
          <a:schemeClr val="phClr"/>
        </a:solidFill>
        <a:round/>
      </a:ln>
    </cs:spPr>
  </cs:dataPointLine>
  <cs:dataPointMarker>
    <cs:lnRef idx="0">
      <cs:styleClr val="auto"/>
    </cs:lnRef>
    <cs:fillRef idx="3">
      <cs:styleClr val="auto"/>
    </cs:fillRef>
    <cs:effectRef idx="3"/>
    <cs:fontRef idx="minor">
      <a:schemeClr val="tx1"/>
    </cs:fontRef>
    <cs:spPr>
      <a:ln w="9525" cap="rnd">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9525" cap="rnd">
        <a:solidFill>
          <a:schemeClr val="phClr"/>
        </a:solidFill>
        <a:round/>
      </a:ln>
    </cs:spPr>
  </cs:dataPointLine>
  <cs:dataPointMarker>
    <cs:lnRef idx="0">
      <cs:styleClr val="auto"/>
    </cs:lnRef>
    <cs:fillRef idx="3">
      <cs:styleClr val="auto"/>
    </cs:fillRef>
    <cs:effectRef idx="3"/>
    <cs:fontRef idx="minor">
      <a:schemeClr val="tx1"/>
    </cs:fontRef>
    <cs:spPr>
      <a:ln w="9525" cap="rnd">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nIPxtUvfxWFMoXnKNKfA9VN/tQ==">CgMxLjAyDmgubXp6dnBsc3B1ZmEwOAByITFwVEZVQ1IzRDFQOS1faDZxaENhdGhzOFlMYlotSnR3cQ==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1</Pages>
  <Words>2931</Words>
  <Characters>16709</Characters>
  <Application>Microsoft Office Word</Application>
  <DocSecurity>0</DocSecurity>
  <Lines>139</Lines>
  <Paragraphs>39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19601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Təhminə Tağı</cp:lastModifiedBy>
  <cp:revision>14</cp:revision>
  <dcterms:created xsi:type="dcterms:W3CDTF">2024-02-20T10:29:00Z</dcterms:created>
  <dcterms:modified xsi:type="dcterms:W3CDTF">2025-03-26T20:11:00Z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