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E3D06" w14:paraId="2A131A54" w14:textId="77777777" w:rsidTr="007623E9">
        <w:trPr>
          <w:trHeight w:val="852"/>
          <w:jc w:val="center"/>
        </w:trPr>
        <w:tc>
          <w:tcPr>
            <w:tcW w:w="6940" w:type="dxa"/>
            <w:vMerge w:val="restart"/>
            <w:tcBorders>
              <w:right w:val="single" w:sz="4" w:space="0" w:color="auto"/>
            </w:tcBorders>
          </w:tcPr>
          <w:p w14:paraId="38C3D2BA" w14:textId="77777777" w:rsidR="000A03B2" w:rsidRPr="00BE3D06" w:rsidRDefault="000A03B2" w:rsidP="00DE264A">
            <w:pPr>
              <w:tabs>
                <w:tab w:val="left" w:pos="-108"/>
              </w:tabs>
              <w:ind w:left="-108"/>
              <w:jc w:val="left"/>
              <w:rPr>
                <w:rFonts w:cs="Arial"/>
                <w:b/>
                <w:bCs/>
                <w:i/>
                <w:iCs/>
                <w:color w:val="000066"/>
                <w:sz w:val="12"/>
                <w:szCs w:val="12"/>
                <w:lang w:eastAsia="it-IT"/>
              </w:rPr>
            </w:pPr>
            <w:bookmarkStart w:id="0" w:name="_Hlk145068772"/>
            <w:r w:rsidRPr="00BE3D06">
              <w:rPr>
                <w:rFonts w:ascii="AdvP6960" w:hAnsi="AdvP6960" w:cs="AdvP6960"/>
                <w:noProof/>
                <w:color w:val="241F20"/>
                <w:szCs w:val="18"/>
                <w:lang w:eastAsia="en-GB"/>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E3D06">
              <w:rPr>
                <w:rFonts w:ascii="AdvP6960" w:hAnsi="AdvP6960" w:cs="AdvP6960"/>
                <w:color w:val="241F20"/>
                <w:szCs w:val="18"/>
                <w:lang w:eastAsia="it-IT"/>
              </w:rPr>
              <w:t xml:space="preserve"> </w:t>
            </w:r>
            <w:r w:rsidRPr="00BE3D06">
              <w:rPr>
                <w:rFonts w:cs="Arial"/>
                <w:b/>
                <w:bCs/>
                <w:i/>
                <w:iCs/>
                <w:color w:val="000066"/>
                <w:sz w:val="24"/>
                <w:szCs w:val="24"/>
                <w:lang w:eastAsia="it-IT"/>
              </w:rPr>
              <w:t>CHEMICAL ENGINEERING</w:t>
            </w:r>
            <w:r w:rsidRPr="00BE3D06">
              <w:rPr>
                <w:rFonts w:cs="Arial"/>
                <w:b/>
                <w:bCs/>
                <w:i/>
                <w:iCs/>
                <w:color w:val="0033FF"/>
                <w:sz w:val="24"/>
                <w:szCs w:val="24"/>
                <w:lang w:eastAsia="it-IT"/>
              </w:rPr>
              <w:t xml:space="preserve"> </w:t>
            </w:r>
            <w:r w:rsidRPr="00BE3D06">
              <w:rPr>
                <w:rFonts w:cs="Arial"/>
                <w:b/>
                <w:bCs/>
                <w:i/>
                <w:iCs/>
                <w:color w:val="666666"/>
                <w:sz w:val="24"/>
                <w:szCs w:val="24"/>
                <w:lang w:eastAsia="it-IT"/>
              </w:rPr>
              <w:t>TRANSACTIONS</w:t>
            </w:r>
            <w:r w:rsidRPr="00BE3D06">
              <w:rPr>
                <w:color w:val="333333"/>
                <w:sz w:val="24"/>
                <w:szCs w:val="24"/>
                <w:lang w:eastAsia="it-IT"/>
              </w:rPr>
              <w:t xml:space="preserve"> </w:t>
            </w:r>
            <w:r w:rsidRPr="00BE3D06">
              <w:rPr>
                <w:rFonts w:cs="Arial"/>
                <w:b/>
                <w:bCs/>
                <w:i/>
                <w:iCs/>
                <w:color w:val="000066"/>
                <w:sz w:val="27"/>
                <w:szCs w:val="27"/>
                <w:lang w:eastAsia="it-IT"/>
              </w:rPr>
              <w:br/>
            </w:r>
          </w:p>
          <w:p w14:paraId="4B780582" w14:textId="47EF826C" w:rsidR="000A03B2" w:rsidRPr="00BE3D06" w:rsidRDefault="00A76EFC" w:rsidP="001D21AF">
            <w:pPr>
              <w:tabs>
                <w:tab w:val="left" w:pos="-108"/>
              </w:tabs>
              <w:ind w:left="-108"/>
              <w:rPr>
                <w:rFonts w:cs="Arial"/>
                <w:b/>
                <w:bCs/>
                <w:i/>
                <w:iCs/>
                <w:color w:val="000066"/>
                <w:sz w:val="22"/>
                <w:szCs w:val="22"/>
                <w:lang w:eastAsia="it-IT"/>
              </w:rPr>
            </w:pPr>
            <w:r w:rsidRPr="00BE3D06">
              <w:rPr>
                <w:rFonts w:cs="Arial"/>
                <w:b/>
                <w:bCs/>
                <w:i/>
                <w:iCs/>
                <w:color w:val="000066"/>
                <w:sz w:val="22"/>
                <w:szCs w:val="22"/>
                <w:lang w:eastAsia="it-IT"/>
              </w:rPr>
              <w:t>VOL.</w:t>
            </w:r>
            <w:r w:rsidR="00785BF9" w:rsidRPr="00BE3D06">
              <w:rPr>
                <w:rFonts w:cs="Arial"/>
                <w:b/>
                <w:bCs/>
                <w:i/>
                <w:iCs/>
                <w:color w:val="000066"/>
                <w:sz w:val="22"/>
                <w:szCs w:val="22"/>
                <w:lang w:eastAsia="it-IT"/>
              </w:rPr>
              <w:t xml:space="preserve"> </w:t>
            </w:r>
            <w:r w:rsidR="00994C6A" w:rsidRPr="00BE3D06">
              <w:rPr>
                <w:rFonts w:cs="Arial"/>
                <w:b/>
                <w:bCs/>
                <w:i/>
                <w:iCs/>
                <w:color w:val="000066"/>
                <w:sz w:val="22"/>
                <w:szCs w:val="22"/>
                <w:lang w:eastAsia="it-IT"/>
              </w:rPr>
              <w:t>xxx</w:t>
            </w:r>
            <w:r w:rsidR="007B48F9" w:rsidRPr="00BE3D06">
              <w:rPr>
                <w:rFonts w:cs="Arial"/>
                <w:b/>
                <w:bCs/>
                <w:i/>
                <w:iCs/>
                <w:color w:val="000066"/>
                <w:sz w:val="22"/>
                <w:szCs w:val="22"/>
                <w:lang w:eastAsia="it-IT"/>
              </w:rPr>
              <w:t>,</w:t>
            </w:r>
            <w:r w:rsidR="00FA5F5F" w:rsidRPr="00BE3D06">
              <w:rPr>
                <w:rFonts w:cs="Arial"/>
                <w:b/>
                <w:bCs/>
                <w:i/>
                <w:iCs/>
                <w:color w:val="000066"/>
                <w:sz w:val="22"/>
                <w:szCs w:val="22"/>
                <w:lang w:eastAsia="it-IT"/>
              </w:rPr>
              <w:t xml:space="preserve"> </w:t>
            </w:r>
            <w:r w:rsidR="0030152C" w:rsidRPr="00BE3D06">
              <w:rPr>
                <w:rFonts w:cs="Arial"/>
                <w:b/>
                <w:bCs/>
                <w:i/>
                <w:iCs/>
                <w:color w:val="000066"/>
                <w:sz w:val="22"/>
                <w:szCs w:val="22"/>
                <w:lang w:eastAsia="it-IT"/>
              </w:rPr>
              <w:t>202</w:t>
            </w:r>
            <w:r w:rsidR="00994C6A" w:rsidRPr="00BE3D06">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E3D06" w:rsidRDefault="000A03B2" w:rsidP="00CD5FE2">
            <w:pPr>
              <w:spacing w:line="140" w:lineRule="atLeast"/>
              <w:jc w:val="right"/>
              <w:rPr>
                <w:rFonts w:cs="Arial"/>
                <w:sz w:val="14"/>
                <w:szCs w:val="14"/>
              </w:rPr>
            </w:pPr>
            <w:r w:rsidRPr="00BE3D06">
              <w:rPr>
                <w:rFonts w:cs="Arial"/>
                <w:sz w:val="14"/>
                <w:szCs w:val="14"/>
              </w:rPr>
              <w:t>A publication of</w:t>
            </w:r>
          </w:p>
          <w:p w14:paraId="599E5441" w14:textId="77777777" w:rsidR="000A03B2" w:rsidRPr="00BE3D06" w:rsidRDefault="000A03B2" w:rsidP="00CD5FE2">
            <w:pPr>
              <w:jc w:val="right"/>
            </w:pPr>
            <w:r w:rsidRPr="00BE3D06">
              <w:rPr>
                <w:noProof/>
                <w:lang w:eastAsia="en-GB"/>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E3D06" w14:paraId="380FA3CD" w14:textId="77777777" w:rsidTr="007623E9">
        <w:trPr>
          <w:trHeight w:val="567"/>
          <w:jc w:val="center"/>
        </w:trPr>
        <w:tc>
          <w:tcPr>
            <w:tcW w:w="6940" w:type="dxa"/>
            <w:vMerge/>
            <w:tcBorders>
              <w:right w:val="single" w:sz="4" w:space="0" w:color="auto"/>
            </w:tcBorders>
          </w:tcPr>
          <w:p w14:paraId="39E5E4C1" w14:textId="77777777" w:rsidR="000A03B2" w:rsidRPr="00BE3D0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E3D06" w:rsidRDefault="000A03B2" w:rsidP="00CD5FE2">
            <w:pPr>
              <w:spacing w:line="140" w:lineRule="atLeast"/>
              <w:jc w:val="right"/>
              <w:rPr>
                <w:rFonts w:cs="Arial"/>
                <w:sz w:val="14"/>
                <w:szCs w:val="14"/>
              </w:rPr>
            </w:pPr>
            <w:r w:rsidRPr="00BE3D06">
              <w:rPr>
                <w:rFonts w:cs="Arial"/>
                <w:sz w:val="14"/>
                <w:szCs w:val="14"/>
              </w:rPr>
              <w:t>The Italian Association</w:t>
            </w:r>
          </w:p>
          <w:p w14:paraId="7522B1D2" w14:textId="77777777" w:rsidR="000A03B2" w:rsidRPr="00BE3D06" w:rsidRDefault="000A03B2" w:rsidP="00CD5FE2">
            <w:pPr>
              <w:spacing w:line="140" w:lineRule="atLeast"/>
              <w:jc w:val="right"/>
              <w:rPr>
                <w:rFonts w:cs="Arial"/>
                <w:sz w:val="14"/>
                <w:szCs w:val="14"/>
              </w:rPr>
            </w:pPr>
            <w:r w:rsidRPr="00BE3D06">
              <w:rPr>
                <w:rFonts w:cs="Arial"/>
                <w:sz w:val="14"/>
                <w:szCs w:val="14"/>
              </w:rPr>
              <w:t>of Chemical Engineering</w:t>
            </w:r>
          </w:p>
          <w:p w14:paraId="4F0CC5DE" w14:textId="47FDB2FC" w:rsidR="000A03B2" w:rsidRPr="00BE3D06" w:rsidRDefault="000D0268" w:rsidP="00CD5FE2">
            <w:pPr>
              <w:spacing w:line="140" w:lineRule="atLeast"/>
              <w:jc w:val="right"/>
              <w:rPr>
                <w:rFonts w:cs="Arial"/>
                <w:sz w:val="13"/>
                <w:szCs w:val="13"/>
              </w:rPr>
            </w:pPr>
            <w:r w:rsidRPr="00BE3D06">
              <w:rPr>
                <w:rFonts w:cs="Arial"/>
                <w:sz w:val="13"/>
                <w:szCs w:val="13"/>
              </w:rPr>
              <w:t>Online at www.cetjournal.it</w:t>
            </w:r>
          </w:p>
        </w:tc>
      </w:tr>
      <w:tr w:rsidR="000A03B2" w:rsidRPr="00BE3D06" w14:paraId="2D1B7169" w14:textId="77777777" w:rsidTr="007623E9">
        <w:trPr>
          <w:trHeight w:val="68"/>
          <w:jc w:val="center"/>
        </w:trPr>
        <w:tc>
          <w:tcPr>
            <w:tcW w:w="8782" w:type="dxa"/>
            <w:gridSpan w:val="2"/>
          </w:tcPr>
          <w:p w14:paraId="1D8DD3C9" w14:textId="025D7B18" w:rsidR="00AA7D26" w:rsidRPr="00BE3D06" w:rsidRDefault="00AA7D26" w:rsidP="007D610D">
            <w:pPr>
              <w:ind w:left="-107"/>
              <w:outlineLvl w:val="2"/>
              <w:rPr>
                <w:rFonts w:ascii="Tahoma" w:hAnsi="Tahoma" w:cs="Tahoma"/>
                <w:color w:val="000000"/>
                <w:sz w:val="14"/>
                <w:szCs w:val="14"/>
                <w:shd w:val="clear" w:color="auto" w:fill="FFFFFF"/>
                <w:lang w:val="it-IT"/>
              </w:rPr>
            </w:pPr>
            <w:r w:rsidRPr="00BE3D06">
              <w:rPr>
                <w:rFonts w:ascii="Tahoma" w:hAnsi="Tahoma" w:cs="Tahoma"/>
                <w:iCs/>
                <w:color w:val="333333"/>
                <w:sz w:val="14"/>
                <w:szCs w:val="14"/>
                <w:lang w:val="it-IT" w:eastAsia="it-IT"/>
              </w:rPr>
              <w:t>Guest Editors:</w:t>
            </w:r>
            <w:r w:rsidR="007D610D" w:rsidRPr="00BE3D06">
              <w:rPr>
                <w:rFonts w:ascii="Aptos" w:eastAsiaTheme="minorHAnsi" w:hAnsi="Aptos" w:cs="Aptos"/>
                <w:sz w:val="22"/>
                <w:szCs w:val="22"/>
                <w:lang w:val="it-IT"/>
                <w14:ligatures w14:val="standardContextual"/>
              </w:rPr>
              <w:t xml:space="preserve"> </w:t>
            </w:r>
            <w:r w:rsidR="007D610D" w:rsidRPr="00BE3D06">
              <w:rPr>
                <w:rFonts w:ascii="Tahoma" w:hAnsi="Tahoma" w:cs="Tahoma"/>
                <w:color w:val="000000"/>
                <w:sz w:val="14"/>
                <w:szCs w:val="14"/>
                <w:shd w:val="clear" w:color="auto" w:fill="FFFFFF"/>
                <w:lang w:val="it-IT"/>
              </w:rPr>
              <w:t xml:space="preserve">Fabrizio Bezzo, </w:t>
            </w:r>
            <w:r w:rsidR="001D3D32" w:rsidRPr="00BE3D06">
              <w:rPr>
                <w:rFonts w:ascii="Tahoma" w:hAnsi="Tahoma" w:cs="Tahoma"/>
                <w:color w:val="000000"/>
                <w:sz w:val="14"/>
                <w:szCs w:val="14"/>
                <w:shd w:val="clear" w:color="auto" w:fill="FFFFFF"/>
                <w:lang w:val="it-IT"/>
              </w:rPr>
              <w:t>Flavio Manenti</w:t>
            </w:r>
            <w:r w:rsidR="00304CE8" w:rsidRPr="00BE3D06">
              <w:rPr>
                <w:rFonts w:ascii="Tahoma" w:hAnsi="Tahoma" w:cs="Tahoma"/>
                <w:color w:val="000000"/>
                <w:sz w:val="14"/>
                <w:szCs w:val="14"/>
                <w:shd w:val="clear" w:color="auto" w:fill="FFFFFF"/>
                <w:lang w:val="it-IT"/>
              </w:rPr>
              <w:t>,</w:t>
            </w:r>
            <w:r w:rsidR="001D3D32" w:rsidRPr="00BE3D06">
              <w:rPr>
                <w:rFonts w:ascii="Tahoma" w:hAnsi="Tahoma" w:cs="Tahoma"/>
                <w:color w:val="000000"/>
                <w:sz w:val="14"/>
                <w:szCs w:val="14"/>
                <w:shd w:val="clear" w:color="auto" w:fill="FFFFFF"/>
                <w:lang w:val="it-IT"/>
              </w:rPr>
              <w:t xml:space="preserve"> </w:t>
            </w:r>
            <w:r w:rsidR="007D610D" w:rsidRPr="00BE3D06">
              <w:rPr>
                <w:rFonts w:ascii="Tahoma" w:hAnsi="Tahoma" w:cs="Tahoma"/>
                <w:color w:val="000000"/>
                <w:sz w:val="14"/>
                <w:szCs w:val="14"/>
                <w:shd w:val="clear" w:color="auto" w:fill="FFFFFF"/>
                <w:lang w:val="it-IT"/>
              </w:rPr>
              <w:t>Gabriele Pannocchia, Almerinda di Benedetto</w:t>
            </w:r>
          </w:p>
          <w:p w14:paraId="1B0F1814" w14:textId="7C54DC3A" w:rsidR="000A03B2" w:rsidRPr="00BE3D06" w:rsidRDefault="00AA7D26" w:rsidP="00AA7D26">
            <w:pPr>
              <w:tabs>
                <w:tab w:val="left" w:pos="-108"/>
              </w:tabs>
              <w:spacing w:line="140" w:lineRule="atLeast"/>
              <w:ind w:left="-107"/>
              <w:jc w:val="left"/>
            </w:pPr>
            <w:r w:rsidRPr="00BE3D06">
              <w:rPr>
                <w:rFonts w:ascii="Tahoma" w:hAnsi="Tahoma" w:cs="Tahoma"/>
                <w:iCs/>
                <w:color w:val="333333"/>
                <w:sz w:val="14"/>
                <w:szCs w:val="14"/>
                <w:lang w:eastAsia="it-IT"/>
              </w:rPr>
              <w:t>Copyright © 202</w:t>
            </w:r>
            <w:r w:rsidR="00994C6A" w:rsidRPr="00BE3D06">
              <w:rPr>
                <w:rFonts w:ascii="Tahoma" w:hAnsi="Tahoma" w:cs="Tahoma"/>
                <w:iCs/>
                <w:color w:val="333333"/>
                <w:sz w:val="14"/>
                <w:szCs w:val="14"/>
                <w:lang w:eastAsia="it-IT"/>
              </w:rPr>
              <w:t>5</w:t>
            </w:r>
            <w:r w:rsidRPr="00BE3D06">
              <w:rPr>
                <w:rFonts w:ascii="Tahoma" w:hAnsi="Tahoma" w:cs="Tahoma"/>
                <w:iCs/>
                <w:color w:val="333333"/>
                <w:sz w:val="14"/>
                <w:szCs w:val="14"/>
                <w:lang w:eastAsia="it-IT"/>
              </w:rPr>
              <w:t xml:space="preserve">, AIDIC </w:t>
            </w:r>
            <w:proofErr w:type="spellStart"/>
            <w:r w:rsidRPr="00BE3D06">
              <w:rPr>
                <w:rFonts w:ascii="Tahoma" w:hAnsi="Tahoma" w:cs="Tahoma"/>
                <w:iCs/>
                <w:color w:val="333333"/>
                <w:sz w:val="14"/>
                <w:szCs w:val="14"/>
                <w:lang w:eastAsia="it-IT"/>
              </w:rPr>
              <w:t>Servizi</w:t>
            </w:r>
            <w:proofErr w:type="spellEnd"/>
            <w:r w:rsidRPr="00BE3D06">
              <w:rPr>
                <w:rFonts w:ascii="Tahoma" w:hAnsi="Tahoma" w:cs="Tahoma"/>
                <w:iCs/>
                <w:color w:val="333333"/>
                <w:sz w:val="14"/>
                <w:szCs w:val="14"/>
                <w:lang w:eastAsia="it-IT"/>
              </w:rPr>
              <w:t xml:space="preserve"> </w:t>
            </w:r>
            <w:proofErr w:type="spellStart"/>
            <w:r w:rsidRPr="00BE3D06">
              <w:rPr>
                <w:rFonts w:ascii="Tahoma" w:hAnsi="Tahoma" w:cs="Tahoma"/>
                <w:iCs/>
                <w:color w:val="333333"/>
                <w:sz w:val="14"/>
                <w:szCs w:val="14"/>
                <w:lang w:eastAsia="it-IT"/>
              </w:rPr>
              <w:t>S.r.l</w:t>
            </w:r>
            <w:proofErr w:type="spellEnd"/>
            <w:r w:rsidRPr="00BE3D06">
              <w:rPr>
                <w:rFonts w:ascii="Tahoma" w:hAnsi="Tahoma" w:cs="Tahoma"/>
                <w:iCs/>
                <w:color w:val="333333"/>
                <w:sz w:val="14"/>
                <w:szCs w:val="14"/>
                <w:lang w:eastAsia="it-IT"/>
              </w:rPr>
              <w:t>.</w:t>
            </w:r>
            <w:r w:rsidRPr="00BE3D06">
              <w:rPr>
                <w:rFonts w:ascii="Tahoma" w:hAnsi="Tahoma" w:cs="Tahoma"/>
                <w:iCs/>
                <w:color w:val="333333"/>
                <w:sz w:val="14"/>
                <w:szCs w:val="14"/>
                <w:lang w:eastAsia="it-IT"/>
              </w:rPr>
              <w:br/>
            </w:r>
            <w:r w:rsidRPr="00BE3D06">
              <w:rPr>
                <w:rFonts w:ascii="Tahoma" w:hAnsi="Tahoma" w:cs="Tahoma"/>
                <w:b/>
                <w:iCs/>
                <w:color w:val="000000"/>
                <w:sz w:val="14"/>
                <w:szCs w:val="14"/>
                <w:lang w:eastAsia="it-IT"/>
              </w:rPr>
              <w:t>ISBN</w:t>
            </w:r>
            <w:r w:rsidRPr="00BE3D06">
              <w:rPr>
                <w:rFonts w:ascii="Tahoma" w:hAnsi="Tahoma" w:cs="Tahoma"/>
                <w:iCs/>
                <w:color w:val="000000"/>
                <w:sz w:val="14"/>
                <w:szCs w:val="14"/>
                <w:lang w:eastAsia="it-IT"/>
              </w:rPr>
              <w:t xml:space="preserve"> </w:t>
            </w:r>
            <w:r w:rsidR="003B49CD" w:rsidRPr="00BE3D06">
              <w:rPr>
                <w:rFonts w:ascii="Tahoma" w:hAnsi="Tahoma" w:cs="Tahoma"/>
                <w:sz w:val="14"/>
                <w:szCs w:val="14"/>
              </w:rPr>
              <w:t>979-12-81206-1</w:t>
            </w:r>
            <w:r w:rsidR="00994C6A" w:rsidRPr="00BE3D06">
              <w:rPr>
                <w:rFonts w:ascii="Tahoma" w:hAnsi="Tahoma" w:cs="Tahoma"/>
                <w:sz w:val="14"/>
                <w:szCs w:val="14"/>
              </w:rPr>
              <w:t>7</w:t>
            </w:r>
            <w:r w:rsidR="003B49CD" w:rsidRPr="00BE3D06">
              <w:rPr>
                <w:rFonts w:ascii="Tahoma" w:hAnsi="Tahoma" w:cs="Tahoma"/>
                <w:sz w:val="14"/>
                <w:szCs w:val="14"/>
              </w:rPr>
              <w:t>-</w:t>
            </w:r>
            <w:r w:rsidR="00994C6A" w:rsidRPr="00BE3D06">
              <w:rPr>
                <w:rFonts w:ascii="Tahoma" w:hAnsi="Tahoma" w:cs="Tahoma"/>
                <w:sz w:val="14"/>
                <w:szCs w:val="14"/>
              </w:rPr>
              <w:t>5</w:t>
            </w:r>
            <w:r w:rsidRPr="00BE3D06">
              <w:rPr>
                <w:rFonts w:ascii="Tahoma" w:hAnsi="Tahoma" w:cs="Tahoma"/>
                <w:iCs/>
                <w:color w:val="333333"/>
                <w:sz w:val="14"/>
                <w:szCs w:val="14"/>
                <w:lang w:eastAsia="it-IT"/>
              </w:rPr>
              <w:t xml:space="preserve">; </w:t>
            </w:r>
            <w:r w:rsidRPr="00BE3D06">
              <w:rPr>
                <w:rFonts w:ascii="Tahoma" w:hAnsi="Tahoma" w:cs="Tahoma"/>
                <w:b/>
                <w:iCs/>
                <w:color w:val="333333"/>
                <w:sz w:val="14"/>
                <w:szCs w:val="14"/>
                <w:lang w:eastAsia="it-IT"/>
              </w:rPr>
              <w:t>ISSN</w:t>
            </w:r>
            <w:r w:rsidRPr="00BE3D06">
              <w:rPr>
                <w:rFonts w:ascii="Tahoma" w:hAnsi="Tahoma" w:cs="Tahoma"/>
                <w:iCs/>
                <w:color w:val="333333"/>
                <w:sz w:val="14"/>
                <w:szCs w:val="14"/>
                <w:lang w:eastAsia="it-IT"/>
              </w:rPr>
              <w:t xml:space="preserve"> 2283-9216</w:t>
            </w:r>
          </w:p>
        </w:tc>
      </w:tr>
    </w:tbl>
    <w:bookmarkEnd w:id="0"/>
    <w:p w14:paraId="3BE0861C" w14:textId="77777777" w:rsidR="007623E9" w:rsidRPr="00BE3D06" w:rsidRDefault="007623E9" w:rsidP="007623E9">
      <w:pPr>
        <w:pStyle w:val="CETAuthors"/>
        <w:jc w:val="center"/>
        <w:rPr>
          <w:noProof w:val="0"/>
          <w:sz w:val="32"/>
        </w:rPr>
      </w:pPr>
      <w:r w:rsidRPr="00BE3D06">
        <w:rPr>
          <w:noProof w:val="0"/>
          <w:sz w:val="32"/>
        </w:rPr>
        <w:t>Process optimization for pyro-gasification of waste polymer using hierarchical catalysts</w:t>
      </w:r>
    </w:p>
    <w:p w14:paraId="0488FED2" w14:textId="5B5E78D9" w:rsidR="00B57E6F" w:rsidRPr="00BE3D06" w:rsidRDefault="007623E9" w:rsidP="00B57E6F">
      <w:pPr>
        <w:pStyle w:val="CETAuthors"/>
        <w:rPr>
          <w:lang w:val="it-IT"/>
        </w:rPr>
      </w:pPr>
      <w:r w:rsidRPr="00BE3D06">
        <w:rPr>
          <w:lang w:val="it-IT"/>
        </w:rPr>
        <w:t>Viktória Zsinka</w:t>
      </w:r>
      <w:r w:rsidR="00B57E6F" w:rsidRPr="00BE3D06">
        <w:rPr>
          <w:vertAlign w:val="superscript"/>
          <w:lang w:val="it-IT"/>
        </w:rPr>
        <w:t>a</w:t>
      </w:r>
      <w:r w:rsidRPr="00BE3D06">
        <w:rPr>
          <w:vertAlign w:val="superscript"/>
          <w:lang w:val="it-IT"/>
        </w:rPr>
        <w:t>,*</w:t>
      </w:r>
      <w:r w:rsidR="00B57E6F" w:rsidRPr="00BE3D06">
        <w:rPr>
          <w:lang w:val="it-IT"/>
        </w:rPr>
        <w:t xml:space="preserve">, </w:t>
      </w:r>
      <w:r w:rsidRPr="00BE3D06">
        <w:rPr>
          <w:lang w:val="it-IT"/>
        </w:rPr>
        <w:t>Norbert Miskolczi</w:t>
      </w:r>
      <w:r w:rsidRPr="00BE3D06">
        <w:rPr>
          <w:vertAlign w:val="superscript"/>
          <w:lang w:val="it-IT"/>
        </w:rPr>
        <w:t>a</w:t>
      </w:r>
      <w:r w:rsidR="00B57E6F" w:rsidRPr="00BE3D06">
        <w:rPr>
          <w:lang w:val="it-IT"/>
        </w:rPr>
        <w:t>,</w:t>
      </w:r>
      <w:r w:rsidRPr="00BE3D06">
        <w:rPr>
          <w:lang w:val="it-IT"/>
        </w:rPr>
        <w:t>Stefania Tronci</w:t>
      </w:r>
      <w:r w:rsidRPr="00BE3D06">
        <w:rPr>
          <w:vertAlign w:val="superscript"/>
          <w:lang w:val="it-IT"/>
        </w:rPr>
        <w:t>b</w:t>
      </w:r>
      <w:r w:rsidRPr="00BE3D06">
        <w:rPr>
          <w:lang w:val="it-IT"/>
        </w:rPr>
        <w:t xml:space="preserve"> </w:t>
      </w:r>
    </w:p>
    <w:p w14:paraId="6B2D21B3" w14:textId="33E7D927" w:rsidR="00B57E6F" w:rsidRPr="00BE3D06" w:rsidRDefault="00B57E6F" w:rsidP="007623E9">
      <w:pPr>
        <w:pStyle w:val="CETAddress"/>
        <w:jc w:val="both"/>
      </w:pPr>
      <w:r w:rsidRPr="00BE3D06">
        <w:rPr>
          <w:vertAlign w:val="superscript"/>
        </w:rPr>
        <w:t>a</w:t>
      </w:r>
      <w:r w:rsidR="007623E9" w:rsidRPr="00BE3D06">
        <w:t>University of Pannonia, Department of MOL Hydrocarbon and Coal Processing, Egyetem u. 10, H-8200 Veszprém, Hungary</w:t>
      </w:r>
      <w:r w:rsidRPr="00BE3D06">
        <w:t xml:space="preserve"> </w:t>
      </w:r>
    </w:p>
    <w:p w14:paraId="7024B216" w14:textId="77777777" w:rsidR="007623E9" w:rsidRPr="00BE3D06" w:rsidRDefault="00B57E6F" w:rsidP="007623E9">
      <w:pPr>
        <w:pStyle w:val="CETAddress"/>
        <w:rPr>
          <w:lang w:val="es-ES"/>
        </w:rPr>
      </w:pPr>
      <w:r w:rsidRPr="00BE3D06">
        <w:rPr>
          <w:vertAlign w:val="superscript"/>
          <w:lang w:val="es-ES"/>
        </w:rPr>
        <w:t>b</w:t>
      </w:r>
      <w:r w:rsidR="007623E9" w:rsidRPr="00BE3D06">
        <w:rPr>
          <w:lang w:val="es-ES"/>
        </w:rPr>
        <w:t>Dipartimento di Ingegneria Meccanica, Chimica e dei Materiali via Marengo, 2, I-09123 Cagliari, Italy</w:t>
      </w:r>
    </w:p>
    <w:p w14:paraId="73F1267A" w14:textId="4AD0F166" w:rsidR="00B57E6F" w:rsidRPr="00BE3D06" w:rsidRDefault="007623E9" w:rsidP="007623E9">
      <w:pPr>
        <w:pStyle w:val="CETAddress"/>
        <w:spacing w:after="240"/>
        <w:rPr>
          <w:lang w:val="es-ES"/>
        </w:rPr>
      </w:pPr>
      <w:r w:rsidRPr="00BE3D06">
        <w:rPr>
          <w:lang w:val="es-ES"/>
        </w:rPr>
        <w:t>zsinka.viktoria@mk.uni-pannon.hu</w:t>
      </w:r>
    </w:p>
    <w:p w14:paraId="38F76186" w14:textId="34C8820D" w:rsidR="006A6DE5" w:rsidRPr="00BE3D06" w:rsidRDefault="007623E9" w:rsidP="007623E9">
      <w:pPr>
        <w:pStyle w:val="CETnumberingbullets"/>
        <w:numPr>
          <w:ilvl w:val="0"/>
          <w:numId w:val="0"/>
        </w:numPr>
        <w:jc w:val="both"/>
      </w:pPr>
      <w:r w:rsidRPr="00BE3D06">
        <w:t xml:space="preserve">The growing environmental concerns and the decrement in the amount of fossil fuels have initiated a global shift towards the use of alternative feedstocks such as biomass and plastics for sustainable energy production. These materials offer a renewable and abundant source, which can be converted into valuable fuels and chemicals. However, their efficient conversion into gaseous with high hydrogen content and low carbon dioxide emissions remains a challenge. Due to their unique properties such as high surface area, thermal stability, Si/Al ratio and acidity, zeolite-based catalysts </w:t>
      </w:r>
      <w:r w:rsidR="00F40772" w:rsidRPr="00BE3D06">
        <w:t>have</w:t>
      </w:r>
      <w:r w:rsidRPr="00BE3D06">
        <w:t xml:space="preserve"> proven to be a promising solution in pyrolysis and gasification. Besides, zeolites can help to reduce the CO</w:t>
      </w:r>
      <w:r w:rsidRPr="00BE3D06">
        <w:rPr>
          <w:rFonts w:ascii="Cambria Math" w:hAnsi="Cambria Math" w:cs="Cambria Math"/>
        </w:rPr>
        <w:t>₂</w:t>
      </w:r>
      <w:r w:rsidRPr="00BE3D06">
        <w:t xml:space="preserve"> emission by improving selectivity for production of lighter hydrocarbons. However, the process optimization is highly dependent on many factors, including the zeolite structure, process parameters, feedstocks and reaction kinetics. Therefore, process simulations play a crucial role in understanding and optimizing the catalytic conversion of waste. Simulation tools such as MATLAB based kinetic models are used to investigate the catalyst-feedstock interactions, providing insight into reaction mechanisms and guiding the selection of optimal process parameters. In addition, sensitivity analysis can identify critical parameters that significantly affect the performance of zeolite catalysts. In this work, waste polymers were pyrolyzed in the presence of </w:t>
      </w:r>
      <w:r w:rsidR="00BD2C3C" w:rsidRPr="00BE3D06">
        <w:t>hierarchical zeolites by TG</w:t>
      </w:r>
      <w:r w:rsidRPr="00BE3D06">
        <w:t xml:space="preserve"> method. </w:t>
      </w:r>
    </w:p>
    <w:p w14:paraId="476B2F2E" w14:textId="52B36035" w:rsidR="00600535" w:rsidRPr="00BE3D06" w:rsidRDefault="00600535" w:rsidP="00600535">
      <w:pPr>
        <w:pStyle w:val="CETHeading1"/>
        <w:rPr>
          <w:lang w:val="en-GB"/>
        </w:rPr>
      </w:pPr>
      <w:r w:rsidRPr="00BE3D06">
        <w:rPr>
          <w:lang w:val="en-GB"/>
        </w:rPr>
        <w:t>Introduction</w:t>
      </w:r>
    </w:p>
    <w:p w14:paraId="0B93CBD8" w14:textId="57178F89" w:rsidR="0040226C" w:rsidRPr="00BE3D06" w:rsidRDefault="0040226C" w:rsidP="00FD47A2">
      <w:r w:rsidRPr="00BE3D06">
        <w:t>Thermochemical recycling, which mainly includes pyrolysis, gasification, and incineration, is a promising approach to converting biomass and plastic waste into valuable fuels, chemicals or other high-value products</w:t>
      </w:r>
      <w:r w:rsidR="00FD47A2" w:rsidRPr="00BE3D06">
        <w:t xml:space="preserve"> (Zhang et al. 2018 and Arenas et al. 2019)</w:t>
      </w:r>
      <w:r w:rsidRPr="00BE3D06">
        <w:t>. These processes help to degrade complex organic compounds into simpler molecules under controlled conditions, often in the presence of catalysts to increase efficiency and selectivity. Catalysts play a key role in thermochemical recycling as they can reduce the required activation energy for degradation reactions and directly convert the raw materials to the desired products</w:t>
      </w:r>
      <w:r w:rsidR="00FD47A2" w:rsidRPr="00BE3D06">
        <w:t xml:space="preserve"> (Wang et al. 2017 and Peng et al. 2022)</w:t>
      </w:r>
      <w:r w:rsidRPr="00BE3D06">
        <w:t>. Among the various catalysts, zeolites are particularly suitable owing to their microporous crystalline aluminosilicate structure, high surface area, strong acidity, and well-defined pore structure that could be effective in selective adsorption and catalytic reactions. Furthermore, zeolites combined with kaolin, a naturally abundant and cost-effective clay material, resulted in a composite catalyst with improved mechanical properties, enhanced fouling resistance, and extended catalyst lifetime. Kaolin functions as a binder and complements the high activity of zeolites, making the mixture flexible and practical for large-scale applications</w:t>
      </w:r>
      <w:r w:rsidR="009B083B" w:rsidRPr="00BE3D06">
        <w:t xml:space="preserve"> (Aliyu et al. 2023, </w:t>
      </w:r>
      <w:proofErr w:type="spellStart"/>
      <w:r w:rsidR="009B083B" w:rsidRPr="00BE3D06">
        <w:t>Asgahari</w:t>
      </w:r>
      <w:proofErr w:type="spellEnd"/>
      <w:r w:rsidR="009B083B" w:rsidRPr="00BE3D06">
        <w:t xml:space="preserve"> et al. 2019 and Mohan et al. 2023)</w:t>
      </w:r>
      <w:r w:rsidRPr="00BE3D06">
        <w:t>.</w:t>
      </w:r>
    </w:p>
    <w:p w14:paraId="3FFFE028" w14:textId="419825B0" w:rsidR="0040226C" w:rsidRPr="00BE3D06" w:rsidRDefault="0040226C" w:rsidP="009B083B">
      <w:r w:rsidRPr="00BE3D06">
        <w:t>One of the most critical parameters is their silica-alumina ratio, which determines the acidity and hydrophobicity of the zeolite. Zeolites with a low Si/Al ratio have a higher density of acid sites, which is important in cracking reactions, making them effective at breaking large polymer chains or biomass molecules. However, these materials may also undergo higher rates of coke deposition and deactivation</w:t>
      </w:r>
      <w:r w:rsidR="009B083B" w:rsidRPr="00BE3D06">
        <w:t xml:space="preserve"> (Gomes et al. 2018., </w:t>
      </w:r>
      <w:proofErr w:type="gramStart"/>
      <w:r w:rsidR="009B083B" w:rsidRPr="00BE3D06">
        <w:t>Gao  et al.</w:t>
      </w:r>
      <w:proofErr w:type="gramEnd"/>
      <w:r w:rsidR="009B083B" w:rsidRPr="00BE3D06">
        <w:t xml:space="preserve"> 2016 and Zhang et al. 2018)</w:t>
      </w:r>
      <w:r w:rsidRPr="00BE3D06">
        <w:t>. In contrary, zeolites with a high Si/Al ratio contain fewer acid sites but have a greater thermal and hydrothermal stability and higher selectivity toward specific lighter products. Optimizing the Si/Al ratio for different feedstocks or reaction conditions is essential to achieve the best balance between activity, selectivity, and durability</w:t>
      </w:r>
      <w:r w:rsidR="00747D36" w:rsidRPr="00BE3D06">
        <w:t xml:space="preserve"> (Aliyu et al. 2023)</w:t>
      </w:r>
      <w:r w:rsidRPr="00BE3D06">
        <w:t>.</w:t>
      </w:r>
    </w:p>
    <w:p w14:paraId="1CCC9A3E" w14:textId="6C8B02D2" w:rsidR="00934B6E" w:rsidRPr="00BE3D06" w:rsidRDefault="0040226C" w:rsidP="0040226C">
      <w:pPr>
        <w:pStyle w:val="CETBodytext"/>
        <w:rPr>
          <w:lang w:val="en-GB"/>
        </w:rPr>
      </w:pPr>
      <w:r w:rsidRPr="00BE3D06">
        <w:rPr>
          <w:lang w:val="en-GB"/>
        </w:rPr>
        <w:t xml:space="preserve">To further improve their performance, zeolites and zeolite-kaolin composites can undergo modifications such as metal impregnation or mechanochemical activation. Metal ions such </w:t>
      </w:r>
      <w:r w:rsidR="009B083B" w:rsidRPr="00BE3D06">
        <w:rPr>
          <w:lang w:val="en-GB"/>
        </w:rPr>
        <w:t xml:space="preserve">as nickel, cobalt, or iron can </w:t>
      </w:r>
      <w:r w:rsidRPr="00BE3D06">
        <w:rPr>
          <w:lang w:val="en-GB"/>
        </w:rPr>
        <w:t xml:space="preserve">improve cracking and hydrogenation reactions. Furthermore, mesoporous hierarchical structures can improve the </w:t>
      </w:r>
      <w:r w:rsidRPr="00BE3D06">
        <w:rPr>
          <w:lang w:val="en-GB"/>
        </w:rPr>
        <w:lastRenderedPageBreak/>
        <w:t>accessibility and diffusion of larger molecules such as long-chain polymers or biomass-derived macromolecules. The use of such catalysts significantly impacts the entire thermochemical recycling process. By lowering the activation energy, the required energy for decomposition can be reduced. Catalysts also increase the degradation rate, accelerating the degradation of biomass and plastics into smaller molecules, thereby improving the performance of the process. These advances make the recycling process more efficient, economically viable, and environmentally sustainable</w:t>
      </w:r>
      <w:r w:rsidR="009B083B" w:rsidRPr="00BE3D06">
        <w:rPr>
          <w:lang w:val="en-GB"/>
        </w:rPr>
        <w:t xml:space="preserve"> (Gomes </w:t>
      </w:r>
      <w:r w:rsidR="009B083B" w:rsidRPr="00BE3D06">
        <w:t>et al. 2018., Gao et al. 2016 and Zhang et al. 2018)</w:t>
      </w:r>
      <w:r w:rsidRPr="00BE3D06">
        <w:rPr>
          <w:lang w:val="en-GB"/>
        </w:rPr>
        <w:t>.</w:t>
      </w:r>
      <w:r w:rsidR="009B083B" w:rsidRPr="00BE3D06">
        <w:rPr>
          <w:lang w:val="en-GB"/>
        </w:rPr>
        <w:t xml:space="preserve"> </w:t>
      </w:r>
      <w:r w:rsidRPr="00BE3D06">
        <w:rPr>
          <w:lang w:val="en-GB"/>
        </w:rPr>
        <w:t>In conclusion, the integration of advanced catalysts such as zeolite-kaolin composites into thermochemical recycling processes helps to solve the most important challenges of sustainable waste management and energy production</w:t>
      </w:r>
      <w:r w:rsidR="009B083B" w:rsidRPr="00BE3D06">
        <w:rPr>
          <w:lang w:val="en-GB"/>
        </w:rPr>
        <w:t xml:space="preserve"> </w:t>
      </w:r>
      <w:r w:rsidR="009B083B" w:rsidRPr="00BE3D06">
        <w:t xml:space="preserve">(Aliyu et al. 2023, </w:t>
      </w:r>
      <w:proofErr w:type="spellStart"/>
      <w:r w:rsidR="009B083B" w:rsidRPr="00BE3D06">
        <w:rPr>
          <w:lang w:val="en-GB"/>
        </w:rPr>
        <w:t>Asgahari</w:t>
      </w:r>
      <w:proofErr w:type="spellEnd"/>
      <w:r w:rsidR="009B083B" w:rsidRPr="00BE3D06">
        <w:t xml:space="preserve"> et al. 2019 and </w:t>
      </w:r>
      <w:r w:rsidR="009B083B" w:rsidRPr="00BE3D06">
        <w:rPr>
          <w:lang w:val="en-GB"/>
        </w:rPr>
        <w:t xml:space="preserve">Mohan </w:t>
      </w:r>
      <w:r w:rsidR="009B083B" w:rsidRPr="00BE3D06">
        <w:t>et al. 2023</w:t>
      </w:r>
      <w:r w:rsidRPr="00BE3D06">
        <w:rPr>
          <w:lang w:val="en-GB"/>
        </w:rPr>
        <w:t>.</w:t>
      </w:r>
    </w:p>
    <w:p w14:paraId="1E62F97E" w14:textId="16DD17BC" w:rsidR="0040226C" w:rsidRPr="00BE3D06" w:rsidRDefault="0040226C" w:rsidP="0040226C">
      <w:pPr>
        <w:pStyle w:val="CETBodytext"/>
        <w:rPr>
          <w:lang w:val="en-GB"/>
        </w:rPr>
      </w:pPr>
      <w:r w:rsidRPr="00BE3D06">
        <w:rPr>
          <w:lang w:val="en-GB"/>
        </w:rPr>
        <w:t xml:space="preserve">In this work, the degradation of biomass and </w:t>
      </w:r>
      <w:proofErr w:type="spellStart"/>
      <w:r w:rsidRPr="00BE3D06">
        <w:rPr>
          <w:lang w:val="en-GB"/>
        </w:rPr>
        <w:t>regranulated</w:t>
      </w:r>
      <w:proofErr w:type="spellEnd"/>
      <w:r w:rsidRPr="00BE3D06">
        <w:rPr>
          <w:lang w:val="en-GB"/>
        </w:rPr>
        <w:t xml:space="preserve"> plastic waste was investigated by TG method with catalysts utilizing diverse Si/Al ratio. </w:t>
      </w:r>
      <w:proofErr w:type="gramStart"/>
      <w:r w:rsidRPr="00BE3D06">
        <w:rPr>
          <w:lang w:val="en-GB"/>
        </w:rPr>
        <w:t>In order to</w:t>
      </w:r>
      <w:proofErr w:type="gramEnd"/>
      <w:r w:rsidRPr="00BE3D06">
        <w:rPr>
          <w:lang w:val="en-GB"/>
        </w:rPr>
        <w:t xml:space="preserve"> calculate the kinetic parameters and to precise the model three different heating rates were used.</w:t>
      </w:r>
    </w:p>
    <w:p w14:paraId="5741900F" w14:textId="39986912" w:rsidR="00453E24" w:rsidRPr="00BE3D06" w:rsidRDefault="00934B6E" w:rsidP="00453E24">
      <w:pPr>
        <w:pStyle w:val="CETHeading1"/>
      </w:pPr>
      <w:r w:rsidRPr="00BE3D06">
        <w:t>Materials &amp; methods</w:t>
      </w:r>
    </w:p>
    <w:p w14:paraId="09406386" w14:textId="54F0CF93" w:rsidR="00453E24" w:rsidRPr="00BE3D06" w:rsidRDefault="00934B6E" w:rsidP="00453E24">
      <w:pPr>
        <w:pStyle w:val="CETBodytext"/>
      </w:pPr>
      <w:r w:rsidRPr="00BE3D06">
        <w:t>In this work, the effect of catalysts with different Si/Al ratio was investigated on biomass and plastic waste in a TG-FTIR equipment</w:t>
      </w:r>
      <w:r w:rsidR="00453E24" w:rsidRPr="00BE3D06">
        <w:t>.</w:t>
      </w:r>
      <w:r w:rsidRPr="00BE3D06">
        <w:t xml:space="preserve"> </w:t>
      </w:r>
      <w:proofErr w:type="gramStart"/>
      <w:r w:rsidRPr="00BE3D06">
        <w:t>In order to</w:t>
      </w:r>
      <w:proofErr w:type="gramEnd"/>
      <w:r w:rsidRPr="00BE3D06">
        <w:t xml:space="preserve"> get appropriate information for kinetic calculations, three different heating rate</w:t>
      </w:r>
      <w:r w:rsidR="001F5909" w:rsidRPr="00BE3D06">
        <w:t xml:space="preserve">s (5, 20, 50°C/min) </w:t>
      </w:r>
      <w:r w:rsidR="00F40772" w:rsidRPr="00BE3D06">
        <w:t>were</w:t>
      </w:r>
      <w:r w:rsidR="001F5909" w:rsidRPr="00BE3D06">
        <w:t xml:space="preserve"> used</w:t>
      </w:r>
      <w:r w:rsidRPr="00BE3D06">
        <w:t xml:space="preserve"> with 800°C end temperature.</w:t>
      </w:r>
    </w:p>
    <w:p w14:paraId="0636B784" w14:textId="513A849F" w:rsidR="00453E24" w:rsidRPr="00BE3D06" w:rsidRDefault="00934B6E" w:rsidP="00453E24">
      <w:pPr>
        <w:pStyle w:val="CETheadingx"/>
      </w:pPr>
      <w:r w:rsidRPr="00BE3D06">
        <w:t>Raw material</w:t>
      </w:r>
    </w:p>
    <w:p w14:paraId="7C2B0064" w14:textId="7ABCEAF1" w:rsidR="00453E24" w:rsidRPr="00BE3D06" w:rsidRDefault="00251B38" w:rsidP="00453E24">
      <w:pPr>
        <w:pStyle w:val="CETBodytext"/>
      </w:pPr>
      <w:r w:rsidRPr="00BE3D06">
        <w:t xml:space="preserve">As raw material, maize and mixed waste polymer granulate was analyzed. The maize biomass was shedder to smaller particles (&lt;3mm), while the waste plastic </w:t>
      </w:r>
      <w:proofErr w:type="gramStart"/>
      <w:r w:rsidRPr="00BE3D06">
        <w:t>granulate</w:t>
      </w:r>
      <w:proofErr w:type="gramEnd"/>
      <w:r w:rsidRPr="00BE3D06">
        <w:t xml:space="preserve"> contained </w:t>
      </w:r>
      <w:r w:rsidR="008A75F6" w:rsidRPr="00BE3D06">
        <w:t>40% HDPE, 40% PP and 20% PS</w:t>
      </w:r>
      <w:r w:rsidRPr="00BE3D06">
        <w:t>. The main properties of the materials are shown in Table 1. For each measurement 10-15 mg sample was used.</w:t>
      </w:r>
    </w:p>
    <w:p w14:paraId="64B842E6" w14:textId="71229E95" w:rsidR="00251B38" w:rsidRPr="00BE3D06" w:rsidRDefault="00251B38" w:rsidP="00D863F3">
      <w:pPr>
        <w:pStyle w:val="CETTabletitle"/>
        <w:spacing w:before="120"/>
      </w:pPr>
      <w:r w:rsidRPr="00BE3D06">
        <w:t>Table 1: The main properties of the raw materials</w:t>
      </w:r>
    </w:p>
    <w:tbl>
      <w:tblPr>
        <w:tblW w:w="637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985"/>
        <w:gridCol w:w="2964"/>
        <w:gridCol w:w="1430"/>
      </w:tblGrid>
      <w:tr w:rsidR="00847E37" w:rsidRPr="00BE3D06" w14:paraId="37FDFBFC" w14:textId="77777777" w:rsidTr="008A75F6">
        <w:trPr>
          <w:trHeight w:val="264"/>
        </w:trPr>
        <w:tc>
          <w:tcPr>
            <w:tcW w:w="1985" w:type="dxa"/>
            <w:tcBorders>
              <w:top w:val="single" w:sz="12" w:space="0" w:color="008000"/>
              <w:bottom w:val="single" w:sz="6" w:space="0" w:color="008000"/>
            </w:tcBorders>
            <w:shd w:val="clear" w:color="auto" w:fill="FFFFFF"/>
          </w:tcPr>
          <w:p w14:paraId="0BEB4D6C" w14:textId="582AA354" w:rsidR="00847E37" w:rsidRPr="00BE3D06" w:rsidRDefault="00847E37" w:rsidP="00372E04">
            <w:pPr>
              <w:pStyle w:val="CETBodytext"/>
              <w:rPr>
                <w:lang w:val="en-GB"/>
              </w:rPr>
            </w:pPr>
            <w:r w:rsidRPr="00BE3D06">
              <w:rPr>
                <w:lang w:val="en-GB"/>
              </w:rPr>
              <w:t xml:space="preserve"> </w:t>
            </w:r>
          </w:p>
        </w:tc>
        <w:tc>
          <w:tcPr>
            <w:tcW w:w="2964" w:type="dxa"/>
            <w:tcBorders>
              <w:top w:val="single" w:sz="12" w:space="0" w:color="008000"/>
              <w:bottom w:val="single" w:sz="6" w:space="0" w:color="008000"/>
            </w:tcBorders>
            <w:shd w:val="clear" w:color="auto" w:fill="FFFFFF"/>
          </w:tcPr>
          <w:p w14:paraId="5D05CFDF" w14:textId="767EC37C" w:rsidR="00847E37" w:rsidRPr="00BE3D06" w:rsidRDefault="005F7914" w:rsidP="005F7914">
            <w:pPr>
              <w:pStyle w:val="CETBodytext"/>
              <w:rPr>
                <w:lang w:val="en-GB"/>
              </w:rPr>
            </w:pPr>
            <w:proofErr w:type="spellStart"/>
            <w:r w:rsidRPr="00BE3D06">
              <w:rPr>
                <w:lang w:val="en-GB"/>
              </w:rPr>
              <w:t>Regranulate</w:t>
            </w:r>
            <w:proofErr w:type="spellEnd"/>
          </w:p>
        </w:tc>
        <w:tc>
          <w:tcPr>
            <w:tcW w:w="1430" w:type="dxa"/>
            <w:tcBorders>
              <w:top w:val="single" w:sz="12" w:space="0" w:color="008000"/>
              <w:bottom w:val="single" w:sz="6" w:space="0" w:color="008000"/>
            </w:tcBorders>
            <w:shd w:val="clear" w:color="auto" w:fill="FFFFFF"/>
          </w:tcPr>
          <w:p w14:paraId="43047B39" w14:textId="5609A8BE" w:rsidR="00847E37" w:rsidRPr="00BE3D06" w:rsidRDefault="00847E37" w:rsidP="00372E04">
            <w:pPr>
              <w:pStyle w:val="CETBodytext"/>
              <w:rPr>
                <w:lang w:val="en-GB"/>
              </w:rPr>
            </w:pPr>
            <w:r w:rsidRPr="00BE3D06">
              <w:rPr>
                <w:lang w:val="en-GB"/>
              </w:rPr>
              <w:t>Biomass</w:t>
            </w:r>
          </w:p>
        </w:tc>
      </w:tr>
      <w:tr w:rsidR="00847E37" w:rsidRPr="00BE3D06" w14:paraId="6FFA1B62" w14:textId="77777777" w:rsidTr="008A75F6">
        <w:trPr>
          <w:trHeight w:val="264"/>
        </w:trPr>
        <w:tc>
          <w:tcPr>
            <w:tcW w:w="1985" w:type="dxa"/>
            <w:shd w:val="clear" w:color="auto" w:fill="FFFFFF"/>
          </w:tcPr>
          <w:p w14:paraId="25B8B948" w14:textId="4C1966FF" w:rsidR="00847E37" w:rsidRPr="00BE3D06" w:rsidRDefault="00847E37" w:rsidP="00372E04">
            <w:pPr>
              <w:pStyle w:val="CETBodytext"/>
              <w:rPr>
                <w:lang w:val="en-GB"/>
              </w:rPr>
            </w:pPr>
            <w:r w:rsidRPr="00BE3D06">
              <w:rPr>
                <w:lang w:val="en-GB"/>
              </w:rPr>
              <w:t>Composition</w:t>
            </w:r>
          </w:p>
        </w:tc>
        <w:tc>
          <w:tcPr>
            <w:tcW w:w="2964" w:type="dxa"/>
            <w:shd w:val="clear" w:color="auto" w:fill="FFFFFF"/>
          </w:tcPr>
          <w:p w14:paraId="3AA8C49E" w14:textId="7D0038DA" w:rsidR="00847E37" w:rsidRPr="00BE3D06" w:rsidRDefault="00847E37" w:rsidP="00372E04">
            <w:pPr>
              <w:pStyle w:val="CETBodytext"/>
              <w:rPr>
                <w:lang w:val="en-GB"/>
              </w:rPr>
            </w:pPr>
            <w:r w:rsidRPr="00BE3D06">
              <w:rPr>
                <w:lang w:val="en-GB"/>
              </w:rPr>
              <w:t>40% HDPE, 40% PP, 20% PS</w:t>
            </w:r>
          </w:p>
        </w:tc>
        <w:tc>
          <w:tcPr>
            <w:tcW w:w="1430" w:type="dxa"/>
            <w:shd w:val="clear" w:color="auto" w:fill="FFFFFF"/>
          </w:tcPr>
          <w:p w14:paraId="778BA37B" w14:textId="24D1865F" w:rsidR="00847E37" w:rsidRPr="00BE3D06" w:rsidRDefault="002F50DC" w:rsidP="00372E04">
            <w:pPr>
              <w:pStyle w:val="CETBodytext"/>
              <w:rPr>
                <w:lang w:val="en-GB"/>
              </w:rPr>
            </w:pPr>
            <w:r w:rsidRPr="00BE3D06">
              <w:rPr>
                <w:lang w:val="en-GB"/>
              </w:rPr>
              <w:t>maize</w:t>
            </w:r>
          </w:p>
        </w:tc>
      </w:tr>
      <w:tr w:rsidR="008A75F6" w:rsidRPr="00BE3D06" w14:paraId="208FDE63" w14:textId="77777777" w:rsidTr="008A75F6">
        <w:trPr>
          <w:trHeight w:val="264"/>
        </w:trPr>
        <w:tc>
          <w:tcPr>
            <w:tcW w:w="1985" w:type="dxa"/>
            <w:shd w:val="clear" w:color="auto" w:fill="FFFFFF"/>
          </w:tcPr>
          <w:p w14:paraId="4B64F21C" w14:textId="4A533B5B" w:rsidR="008A75F6" w:rsidRPr="00BE3D06" w:rsidRDefault="008A75F6" w:rsidP="00372E04">
            <w:pPr>
              <w:pStyle w:val="CETBodytext"/>
              <w:rPr>
                <w:lang w:val="en-GB"/>
              </w:rPr>
            </w:pPr>
            <w:r w:rsidRPr="00BE3D06">
              <w:rPr>
                <w:lang w:val="en-GB"/>
              </w:rPr>
              <w:t>Fixed carbon</w:t>
            </w:r>
            <w:proofErr w:type="gramStart"/>
            <w:r w:rsidRPr="00BE3D06">
              <w:rPr>
                <w:lang w:val="en-GB"/>
              </w:rPr>
              <w:t>*,%</w:t>
            </w:r>
            <w:proofErr w:type="gramEnd"/>
          </w:p>
        </w:tc>
        <w:tc>
          <w:tcPr>
            <w:tcW w:w="2964" w:type="dxa"/>
            <w:shd w:val="clear" w:color="auto" w:fill="FFFFFF"/>
          </w:tcPr>
          <w:p w14:paraId="7AA8FF99" w14:textId="35DBFD51" w:rsidR="008A75F6" w:rsidRPr="00BE3D06" w:rsidRDefault="008A75F6" w:rsidP="00372E04">
            <w:pPr>
              <w:pStyle w:val="CETBodytext"/>
              <w:rPr>
                <w:lang w:val="en-GB"/>
              </w:rPr>
            </w:pPr>
            <w:r w:rsidRPr="00BE3D06">
              <w:rPr>
                <w:lang w:val="en-GB"/>
              </w:rPr>
              <w:t>-</w:t>
            </w:r>
          </w:p>
        </w:tc>
        <w:tc>
          <w:tcPr>
            <w:tcW w:w="1430" w:type="dxa"/>
            <w:shd w:val="clear" w:color="auto" w:fill="FFFFFF"/>
          </w:tcPr>
          <w:p w14:paraId="40629235" w14:textId="5AA21DA8" w:rsidR="008A75F6" w:rsidRPr="00BE3D06" w:rsidRDefault="008A75F6" w:rsidP="00372E04">
            <w:pPr>
              <w:pStyle w:val="CETBodytext"/>
              <w:rPr>
                <w:lang w:val="en-GB"/>
              </w:rPr>
            </w:pPr>
            <w:r w:rsidRPr="00BE3D06">
              <w:rPr>
                <w:lang w:val="en-GB"/>
              </w:rPr>
              <w:t>16.2</w:t>
            </w:r>
          </w:p>
        </w:tc>
      </w:tr>
      <w:tr w:rsidR="008A75F6" w:rsidRPr="00BE3D06" w14:paraId="6E9294A3" w14:textId="77777777" w:rsidTr="008A75F6">
        <w:trPr>
          <w:trHeight w:val="264"/>
        </w:trPr>
        <w:tc>
          <w:tcPr>
            <w:tcW w:w="1985" w:type="dxa"/>
            <w:shd w:val="clear" w:color="auto" w:fill="FFFFFF"/>
          </w:tcPr>
          <w:p w14:paraId="2F9C44ED" w14:textId="7618DF28" w:rsidR="008A75F6" w:rsidRPr="00BE3D06" w:rsidRDefault="008A75F6" w:rsidP="00372E04">
            <w:pPr>
              <w:pStyle w:val="CETBodytext"/>
              <w:rPr>
                <w:lang w:val="en-GB"/>
              </w:rPr>
            </w:pPr>
            <w:r w:rsidRPr="00BE3D06">
              <w:rPr>
                <w:lang w:val="en-GB"/>
              </w:rPr>
              <w:t>Moisture content, %</w:t>
            </w:r>
          </w:p>
        </w:tc>
        <w:tc>
          <w:tcPr>
            <w:tcW w:w="2964" w:type="dxa"/>
            <w:shd w:val="clear" w:color="auto" w:fill="FFFFFF"/>
          </w:tcPr>
          <w:p w14:paraId="190D11B7" w14:textId="0391E0C1" w:rsidR="008A75F6" w:rsidRPr="00BE3D06" w:rsidRDefault="008A75F6" w:rsidP="00372E04">
            <w:pPr>
              <w:pStyle w:val="CETBodytext"/>
              <w:rPr>
                <w:lang w:val="en-GB"/>
              </w:rPr>
            </w:pPr>
            <w:r w:rsidRPr="00BE3D06">
              <w:rPr>
                <w:lang w:val="en-GB"/>
              </w:rPr>
              <w:t>0.2</w:t>
            </w:r>
          </w:p>
        </w:tc>
        <w:tc>
          <w:tcPr>
            <w:tcW w:w="1430" w:type="dxa"/>
            <w:shd w:val="clear" w:color="auto" w:fill="FFFFFF"/>
          </w:tcPr>
          <w:p w14:paraId="256D5640" w14:textId="1A09DEE0" w:rsidR="008A75F6" w:rsidRPr="00BE3D06" w:rsidRDefault="008A75F6" w:rsidP="00372E04">
            <w:pPr>
              <w:pStyle w:val="CETBodytext"/>
              <w:rPr>
                <w:lang w:val="en-GB"/>
              </w:rPr>
            </w:pPr>
            <w:r w:rsidRPr="00BE3D06">
              <w:rPr>
                <w:lang w:val="en-GB"/>
              </w:rPr>
              <w:t>6.5</w:t>
            </w:r>
          </w:p>
        </w:tc>
      </w:tr>
      <w:tr w:rsidR="008A75F6" w:rsidRPr="00BE3D06" w14:paraId="71B8A8F6" w14:textId="77777777" w:rsidTr="008A75F6">
        <w:trPr>
          <w:trHeight w:val="264"/>
        </w:trPr>
        <w:tc>
          <w:tcPr>
            <w:tcW w:w="1985" w:type="dxa"/>
            <w:shd w:val="clear" w:color="auto" w:fill="FFFFFF"/>
          </w:tcPr>
          <w:p w14:paraId="4448A5CB" w14:textId="3335FE37" w:rsidR="008A75F6" w:rsidRPr="00BE3D06" w:rsidRDefault="008A75F6" w:rsidP="00372E04">
            <w:pPr>
              <w:pStyle w:val="CETBodytext"/>
              <w:rPr>
                <w:lang w:val="en-GB"/>
              </w:rPr>
            </w:pPr>
            <w:r w:rsidRPr="00BE3D06">
              <w:rPr>
                <w:lang w:val="en-GB"/>
              </w:rPr>
              <w:t xml:space="preserve">Volatile </w:t>
            </w:r>
            <w:proofErr w:type="gramStart"/>
            <w:r w:rsidRPr="00BE3D06">
              <w:rPr>
                <w:lang w:val="en-GB"/>
              </w:rPr>
              <w:t>matter,%</w:t>
            </w:r>
            <w:proofErr w:type="gramEnd"/>
          </w:p>
        </w:tc>
        <w:tc>
          <w:tcPr>
            <w:tcW w:w="2964" w:type="dxa"/>
            <w:shd w:val="clear" w:color="auto" w:fill="FFFFFF"/>
          </w:tcPr>
          <w:p w14:paraId="320D3A7C" w14:textId="5E347FD9" w:rsidR="008A75F6" w:rsidRPr="00BE3D06" w:rsidRDefault="008A75F6" w:rsidP="008A75F6">
            <w:pPr>
              <w:pStyle w:val="CETBodytext"/>
              <w:rPr>
                <w:lang w:val="en-GB"/>
              </w:rPr>
            </w:pPr>
            <w:r w:rsidRPr="00BE3D06">
              <w:rPr>
                <w:lang w:val="en-GB"/>
              </w:rPr>
              <w:t>99.6</w:t>
            </w:r>
          </w:p>
        </w:tc>
        <w:tc>
          <w:tcPr>
            <w:tcW w:w="1430" w:type="dxa"/>
            <w:shd w:val="clear" w:color="auto" w:fill="FFFFFF"/>
          </w:tcPr>
          <w:p w14:paraId="40896370" w14:textId="1858999D" w:rsidR="008A75F6" w:rsidRPr="00BE3D06" w:rsidRDefault="008A75F6" w:rsidP="00372E04">
            <w:pPr>
              <w:pStyle w:val="CETBodytext"/>
              <w:rPr>
                <w:lang w:val="en-GB"/>
              </w:rPr>
            </w:pPr>
            <w:r w:rsidRPr="00BE3D06">
              <w:rPr>
                <w:lang w:val="en-GB"/>
              </w:rPr>
              <w:t>75.0</w:t>
            </w:r>
          </w:p>
        </w:tc>
      </w:tr>
      <w:tr w:rsidR="008A75F6" w:rsidRPr="00BE3D06" w14:paraId="6A069671" w14:textId="77777777" w:rsidTr="008A75F6">
        <w:trPr>
          <w:trHeight w:val="264"/>
        </w:trPr>
        <w:tc>
          <w:tcPr>
            <w:tcW w:w="1985" w:type="dxa"/>
            <w:shd w:val="clear" w:color="auto" w:fill="FFFFFF"/>
          </w:tcPr>
          <w:p w14:paraId="2816D2D7" w14:textId="673E4320" w:rsidR="008A75F6" w:rsidRPr="00BE3D06" w:rsidRDefault="008A75F6" w:rsidP="008A75F6">
            <w:pPr>
              <w:pStyle w:val="CETBodytext"/>
              <w:rPr>
                <w:lang w:val="en-GB"/>
              </w:rPr>
            </w:pPr>
            <w:r w:rsidRPr="00BE3D06">
              <w:rPr>
                <w:lang w:val="en-GB"/>
              </w:rPr>
              <w:t xml:space="preserve">Ash </w:t>
            </w:r>
            <w:proofErr w:type="gramStart"/>
            <w:r w:rsidRPr="00BE3D06">
              <w:rPr>
                <w:lang w:val="en-GB"/>
              </w:rPr>
              <w:t>content,%</w:t>
            </w:r>
            <w:proofErr w:type="gramEnd"/>
          </w:p>
        </w:tc>
        <w:tc>
          <w:tcPr>
            <w:tcW w:w="2964" w:type="dxa"/>
            <w:shd w:val="clear" w:color="auto" w:fill="FFFFFF"/>
          </w:tcPr>
          <w:p w14:paraId="0EA35774" w14:textId="5BD51989" w:rsidR="008A75F6" w:rsidRPr="00BE3D06" w:rsidRDefault="008A75F6" w:rsidP="00372E04">
            <w:pPr>
              <w:pStyle w:val="CETBodytext"/>
              <w:rPr>
                <w:lang w:val="en-GB"/>
              </w:rPr>
            </w:pPr>
            <w:r w:rsidRPr="00BE3D06">
              <w:rPr>
                <w:lang w:val="en-GB"/>
              </w:rPr>
              <w:t>0.2</w:t>
            </w:r>
          </w:p>
        </w:tc>
        <w:tc>
          <w:tcPr>
            <w:tcW w:w="1430" w:type="dxa"/>
            <w:shd w:val="clear" w:color="auto" w:fill="FFFFFF"/>
          </w:tcPr>
          <w:p w14:paraId="2B5EAC59" w14:textId="07B7EBC1" w:rsidR="008A75F6" w:rsidRPr="00BE3D06" w:rsidRDefault="008A75F6" w:rsidP="00372E04">
            <w:pPr>
              <w:pStyle w:val="CETBodytext"/>
              <w:rPr>
                <w:lang w:val="en-GB"/>
              </w:rPr>
            </w:pPr>
            <w:r w:rsidRPr="00BE3D06">
              <w:rPr>
                <w:lang w:val="en-GB"/>
              </w:rPr>
              <w:t>2.3</w:t>
            </w:r>
          </w:p>
        </w:tc>
      </w:tr>
      <w:tr w:rsidR="00847E37" w:rsidRPr="00BE3D06" w14:paraId="7D684B0B" w14:textId="77777777" w:rsidTr="008A75F6">
        <w:trPr>
          <w:trHeight w:val="281"/>
        </w:trPr>
        <w:tc>
          <w:tcPr>
            <w:tcW w:w="1985" w:type="dxa"/>
            <w:shd w:val="clear" w:color="auto" w:fill="FFFFFF"/>
          </w:tcPr>
          <w:p w14:paraId="68F9706A" w14:textId="1099DBA8" w:rsidR="002F50DC" w:rsidRPr="00BE3D06" w:rsidRDefault="002F50DC" w:rsidP="00372E04">
            <w:pPr>
              <w:pStyle w:val="CETBodytext"/>
              <w:ind w:right="-1"/>
              <w:rPr>
                <w:rFonts w:cs="Arial"/>
                <w:szCs w:val="18"/>
                <w:lang w:val="en-GB"/>
              </w:rPr>
            </w:pPr>
            <w:r w:rsidRPr="00BE3D06">
              <w:rPr>
                <w:rFonts w:cs="Arial"/>
                <w:szCs w:val="18"/>
                <w:lang w:val="en-GB"/>
              </w:rPr>
              <w:t>C, %</w:t>
            </w:r>
          </w:p>
        </w:tc>
        <w:tc>
          <w:tcPr>
            <w:tcW w:w="2964" w:type="dxa"/>
            <w:shd w:val="clear" w:color="auto" w:fill="FFFFFF"/>
          </w:tcPr>
          <w:p w14:paraId="445A8F6A" w14:textId="4213D651" w:rsidR="00847E37" w:rsidRPr="00BE3D06" w:rsidRDefault="008A75F6" w:rsidP="00372E04">
            <w:pPr>
              <w:pStyle w:val="CETBodytext"/>
              <w:ind w:right="-1"/>
              <w:rPr>
                <w:rFonts w:cs="Arial"/>
                <w:szCs w:val="18"/>
                <w:lang w:val="en-GB"/>
              </w:rPr>
            </w:pPr>
            <w:r w:rsidRPr="00BE3D06">
              <w:rPr>
                <w:rFonts w:cs="Arial"/>
                <w:szCs w:val="18"/>
                <w:lang w:val="en-GB"/>
              </w:rPr>
              <w:t>86.1</w:t>
            </w:r>
          </w:p>
        </w:tc>
        <w:tc>
          <w:tcPr>
            <w:tcW w:w="1430" w:type="dxa"/>
            <w:shd w:val="clear" w:color="auto" w:fill="FFFFFF"/>
          </w:tcPr>
          <w:p w14:paraId="613CA77A" w14:textId="559AD0D3" w:rsidR="00847E37" w:rsidRPr="00BE3D06" w:rsidRDefault="002F50DC" w:rsidP="00372E04">
            <w:pPr>
              <w:pStyle w:val="CETBodytext"/>
              <w:ind w:right="-1"/>
              <w:rPr>
                <w:rFonts w:cs="Arial"/>
                <w:szCs w:val="18"/>
                <w:lang w:val="en-GB"/>
              </w:rPr>
            </w:pPr>
            <w:r w:rsidRPr="00BE3D06">
              <w:rPr>
                <w:rFonts w:cs="Arial"/>
                <w:szCs w:val="18"/>
                <w:lang w:val="en-GB"/>
              </w:rPr>
              <w:t>48.5</w:t>
            </w:r>
          </w:p>
        </w:tc>
      </w:tr>
      <w:tr w:rsidR="002F50DC" w:rsidRPr="00BE3D06" w14:paraId="612D96C8" w14:textId="77777777" w:rsidTr="008A75F6">
        <w:trPr>
          <w:trHeight w:val="281"/>
        </w:trPr>
        <w:tc>
          <w:tcPr>
            <w:tcW w:w="1985" w:type="dxa"/>
            <w:shd w:val="clear" w:color="auto" w:fill="FFFFFF"/>
          </w:tcPr>
          <w:p w14:paraId="23A7C1F1" w14:textId="2CFE5D9C" w:rsidR="002F50DC" w:rsidRPr="00BE3D06" w:rsidRDefault="002F50DC" w:rsidP="00372E04">
            <w:pPr>
              <w:pStyle w:val="CETBodytext"/>
              <w:ind w:right="-1"/>
              <w:rPr>
                <w:rFonts w:cs="Arial"/>
                <w:szCs w:val="18"/>
                <w:lang w:val="en-GB"/>
              </w:rPr>
            </w:pPr>
            <w:proofErr w:type="gramStart"/>
            <w:r w:rsidRPr="00BE3D06">
              <w:rPr>
                <w:rFonts w:cs="Arial"/>
                <w:szCs w:val="18"/>
                <w:lang w:val="en-GB"/>
              </w:rPr>
              <w:t>H,%</w:t>
            </w:r>
            <w:proofErr w:type="gramEnd"/>
          </w:p>
        </w:tc>
        <w:tc>
          <w:tcPr>
            <w:tcW w:w="2964" w:type="dxa"/>
            <w:shd w:val="clear" w:color="auto" w:fill="FFFFFF"/>
          </w:tcPr>
          <w:p w14:paraId="75C80733" w14:textId="0E11A7C9" w:rsidR="002F50DC" w:rsidRPr="00BE3D06" w:rsidRDefault="008A75F6" w:rsidP="00372E04">
            <w:pPr>
              <w:pStyle w:val="CETBodytext"/>
              <w:ind w:right="-1"/>
              <w:rPr>
                <w:rFonts w:cs="Arial"/>
                <w:szCs w:val="18"/>
                <w:lang w:val="en-GB"/>
              </w:rPr>
            </w:pPr>
            <w:r w:rsidRPr="00BE3D06">
              <w:rPr>
                <w:rFonts w:cs="Arial"/>
                <w:szCs w:val="18"/>
                <w:lang w:val="en-GB"/>
              </w:rPr>
              <w:t>14.5</w:t>
            </w:r>
          </w:p>
        </w:tc>
        <w:tc>
          <w:tcPr>
            <w:tcW w:w="1430" w:type="dxa"/>
            <w:shd w:val="clear" w:color="auto" w:fill="FFFFFF"/>
          </w:tcPr>
          <w:p w14:paraId="15C928C4" w14:textId="2F4A112F" w:rsidR="002F50DC" w:rsidRPr="00BE3D06" w:rsidRDefault="002F50DC" w:rsidP="00372E04">
            <w:pPr>
              <w:pStyle w:val="CETBodytext"/>
              <w:ind w:right="-1"/>
              <w:rPr>
                <w:rFonts w:cs="Arial"/>
                <w:szCs w:val="18"/>
                <w:lang w:val="en-GB"/>
              </w:rPr>
            </w:pPr>
            <w:r w:rsidRPr="00BE3D06">
              <w:rPr>
                <w:rFonts w:cs="Arial"/>
                <w:szCs w:val="18"/>
                <w:lang w:val="en-GB"/>
              </w:rPr>
              <w:t>6.3</w:t>
            </w:r>
          </w:p>
        </w:tc>
      </w:tr>
      <w:tr w:rsidR="002F50DC" w:rsidRPr="00BE3D06" w14:paraId="5A4AAE55" w14:textId="77777777" w:rsidTr="008A75F6">
        <w:trPr>
          <w:trHeight w:val="281"/>
        </w:trPr>
        <w:tc>
          <w:tcPr>
            <w:tcW w:w="1985" w:type="dxa"/>
            <w:shd w:val="clear" w:color="auto" w:fill="FFFFFF"/>
          </w:tcPr>
          <w:p w14:paraId="04EB6A37" w14:textId="3559F32D" w:rsidR="002F50DC" w:rsidRPr="00BE3D06" w:rsidRDefault="002F50DC" w:rsidP="00372E04">
            <w:pPr>
              <w:pStyle w:val="CETBodytext"/>
              <w:ind w:right="-1"/>
              <w:rPr>
                <w:rFonts w:cs="Arial"/>
                <w:szCs w:val="18"/>
                <w:lang w:val="en-GB"/>
              </w:rPr>
            </w:pPr>
            <w:proofErr w:type="gramStart"/>
            <w:r w:rsidRPr="00BE3D06">
              <w:rPr>
                <w:rFonts w:cs="Arial"/>
                <w:szCs w:val="18"/>
                <w:lang w:val="en-GB"/>
              </w:rPr>
              <w:t>N,%</w:t>
            </w:r>
            <w:proofErr w:type="gramEnd"/>
          </w:p>
        </w:tc>
        <w:tc>
          <w:tcPr>
            <w:tcW w:w="2964" w:type="dxa"/>
            <w:shd w:val="clear" w:color="auto" w:fill="FFFFFF"/>
          </w:tcPr>
          <w:p w14:paraId="5656751B" w14:textId="565E9300" w:rsidR="002F50DC" w:rsidRPr="00BE3D06" w:rsidRDefault="008A75F6" w:rsidP="00372E04">
            <w:pPr>
              <w:pStyle w:val="CETBodytext"/>
              <w:ind w:right="-1"/>
              <w:rPr>
                <w:rFonts w:cs="Arial"/>
                <w:szCs w:val="18"/>
                <w:lang w:val="en-GB"/>
              </w:rPr>
            </w:pPr>
            <w:r w:rsidRPr="00BE3D06">
              <w:rPr>
                <w:rFonts w:cs="Arial"/>
                <w:szCs w:val="18"/>
                <w:lang w:val="en-GB"/>
              </w:rPr>
              <w:t>0.01</w:t>
            </w:r>
          </w:p>
        </w:tc>
        <w:tc>
          <w:tcPr>
            <w:tcW w:w="1430" w:type="dxa"/>
            <w:shd w:val="clear" w:color="auto" w:fill="FFFFFF"/>
          </w:tcPr>
          <w:p w14:paraId="4DD75E54" w14:textId="47820C71" w:rsidR="002F50DC" w:rsidRPr="00BE3D06" w:rsidRDefault="002F50DC" w:rsidP="00372E04">
            <w:pPr>
              <w:pStyle w:val="CETBodytext"/>
              <w:ind w:right="-1"/>
              <w:rPr>
                <w:rFonts w:cs="Arial"/>
                <w:szCs w:val="18"/>
                <w:lang w:val="en-GB"/>
              </w:rPr>
            </w:pPr>
            <w:r w:rsidRPr="00BE3D06">
              <w:rPr>
                <w:rFonts w:cs="Arial"/>
                <w:szCs w:val="18"/>
                <w:lang w:val="en-GB"/>
              </w:rPr>
              <w:t>0.5</w:t>
            </w:r>
          </w:p>
        </w:tc>
      </w:tr>
      <w:tr w:rsidR="002F50DC" w:rsidRPr="00BE3D06" w14:paraId="22128E67" w14:textId="77777777" w:rsidTr="008A75F6">
        <w:trPr>
          <w:trHeight w:val="281"/>
        </w:trPr>
        <w:tc>
          <w:tcPr>
            <w:tcW w:w="1985" w:type="dxa"/>
            <w:shd w:val="clear" w:color="auto" w:fill="FFFFFF"/>
          </w:tcPr>
          <w:p w14:paraId="43360FD7" w14:textId="6DAA58F4" w:rsidR="002F50DC" w:rsidRPr="00BE3D06" w:rsidRDefault="002F50DC" w:rsidP="00372E04">
            <w:pPr>
              <w:pStyle w:val="CETBodytext"/>
              <w:ind w:right="-1"/>
              <w:rPr>
                <w:rFonts w:cs="Arial"/>
                <w:szCs w:val="18"/>
                <w:lang w:val="en-GB"/>
              </w:rPr>
            </w:pPr>
            <w:proofErr w:type="gramStart"/>
            <w:r w:rsidRPr="00BE3D06">
              <w:rPr>
                <w:rFonts w:cs="Arial"/>
                <w:szCs w:val="18"/>
                <w:lang w:val="en-GB"/>
              </w:rPr>
              <w:t>S,%</w:t>
            </w:r>
            <w:proofErr w:type="gramEnd"/>
          </w:p>
        </w:tc>
        <w:tc>
          <w:tcPr>
            <w:tcW w:w="2964" w:type="dxa"/>
            <w:shd w:val="clear" w:color="auto" w:fill="FFFFFF"/>
          </w:tcPr>
          <w:p w14:paraId="0C0A8805" w14:textId="053A3DB2" w:rsidR="002F50DC" w:rsidRPr="00BE3D06" w:rsidRDefault="008A75F6" w:rsidP="00372E04">
            <w:pPr>
              <w:pStyle w:val="CETBodytext"/>
              <w:ind w:right="-1"/>
              <w:rPr>
                <w:rFonts w:cs="Arial"/>
                <w:szCs w:val="18"/>
                <w:lang w:val="en-GB"/>
              </w:rPr>
            </w:pPr>
            <w:r w:rsidRPr="00BE3D06">
              <w:rPr>
                <w:rFonts w:cs="Arial"/>
                <w:szCs w:val="18"/>
                <w:lang w:val="en-GB"/>
              </w:rPr>
              <w:t>0.2</w:t>
            </w:r>
          </w:p>
        </w:tc>
        <w:tc>
          <w:tcPr>
            <w:tcW w:w="1430" w:type="dxa"/>
            <w:shd w:val="clear" w:color="auto" w:fill="FFFFFF"/>
          </w:tcPr>
          <w:p w14:paraId="0B10E449" w14:textId="6324391E" w:rsidR="002F50DC" w:rsidRPr="00BE3D06" w:rsidRDefault="002F50DC" w:rsidP="00372E04">
            <w:pPr>
              <w:pStyle w:val="CETBodytext"/>
              <w:ind w:right="-1"/>
              <w:rPr>
                <w:rFonts w:cs="Arial"/>
                <w:szCs w:val="18"/>
                <w:lang w:val="en-GB"/>
              </w:rPr>
            </w:pPr>
            <w:r w:rsidRPr="00BE3D06">
              <w:rPr>
                <w:rFonts w:cs="Arial"/>
                <w:szCs w:val="18"/>
                <w:lang w:val="en-GB"/>
              </w:rPr>
              <w:t>&lt;1.0</w:t>
            </w:r>
          </w:p>
        </w:tc>
      </w:tr>
      <w:tr w:rsidR="002F50DC" w:rsidRPr="00BE3D06" w14:paraId="4C30D2BA" w14:textId="77777777" w:rsidTr="008A75F6">
        <w:trPr>
          <w:trHeight w:val="281"/>
        </w:trPr>
        <w:tc>
          <w:tcPr>
            <w:tcW w:w="1985" w:type="dxa"/>
            <w:shd w:val="clear" w:color="auto" w:fill="FFFFFF"/>
          </w:tcPr>
          <w:p w14:paraId="61B60742" w14:textId="5B402F7E" w:rsidR="002F50DC" w:rsidRPr="00BE3D06" w:rsidRDefault="002F50DC" w:rsidP="00372E04">
            <w:pPr>
              <w:pStyle w:val="CETBodytext"/>
              <w:ind w:right="-1"/>
              <w:rPr>
                <w:rFonts w:cs="Arial"/>
                <w:szCs w:val="18"/>
                <w:lang w:val="en-GB"/>
              </w:rPr>
            </w:pPr>
            <w:r w:rsidRPr="00BE3D06">
              <w:rPr>
                <w:rFonts w:cs="Arial"/>
                <w:szCs w:val="18"/>
                <w:lang w:val="en-GB"/>
              </w:rPr>
              <w:t>O</w:t>
            </w:r>
            <w:proofErr w:type="gramStart"/>
            <w:r w:rsidRPr="00BE3D06">
              <w:rPr>
                <w:rFonts w:cs="Arial"/>
                <w:szCs w:val="18"/>
                <w:lang w:val="en-GB"/>
              </w:rPr>
              <w:t>*,%</w:t>
            </w:r>
            <w:proofErr w:type="gramEnd"/>
          </w:p>
        </w:tc>
        <w:tc>
          <w:tcPr>
            <w:tcW w:w="2964" w:type="dxa"/>
            <w:shd w:val="clear" w:color="auto" w:fill="FFFFFF"/>
          </w:tcPr>
          <w:p w14:paraId="1F415601" w14:textId="265D8F36" w:rsidR="002F50DC" w:rsidRPr="00BE3D06" w:rsidRDefault="008A75F6" w:rsidP="00372E04">
            <w:pPr>
              <w:pStyle w:val="CETBodytext"/>
              <w:ind w:right="-1"/>
              <w:rPr>
                <w:rFonts w:cs="Arial"/>
                <w:szCs w:val="18"/>
                <w:lang w:val="en-GB"/>
              </w:rPr>
            </w:pPr>
            <w:r w:rsidRPr="00BE3D06">
              <w:rPr>
                <w:rFonts w:cs="Arial"/>
                <w:szCs w:val="18"/>
                <w:lang w:val="en-GB"/>
              </w:rPr>
              <w:t>-</w:t>
            </w:r>
          </w:p>
        </w:tc>
        <w:tc>
          <w:tcPr>
            <w:tcW w:w="1430" w:type="dxa"/>
            <w:shd w:val="clear" w:color="auto" w:fill="FFFFFF"/>
          </w:tcPr>
          <w:p w14:paraId="288D34D7" w14:textId="7FB02D94" w:rsidR="002F50DC" w:rsidRPr="00BE3D06" w:rsidRDefault="002F50DC" w:rsidP="00372E04">
            <w:pPr>
              <w:pStyle w:val="CETBodytext"/>
              <w:ind w:right="-1"/>
              <w:rPr>
                <w:rFonts w:cs="Arial"/>
                <w:szCs w:val="18"/>
                <w:lang w:val="en-GB"/>
              </w:rPr>
            </w:pPr>
            <w:r w:rsidRPr="00BE3D06">
              <w:rPr>
                <w:rFonts w:cs="Arial"/>
                <w:szCs w:val="18"/>
                <w:lang w:val="en-GB"/>
              </w:rPr>
              <w:t>44.7</w:t>
            </w:r>
          </w:p>
        </w:tc>
      </w:tr>
    </w:tbl>
    <w:p w14:paraId="5C347D50" w14:textId="486AE205" w:rsidR="00251B38" w:rsidRPr="00BE3D06" w:rsidRDefault="002F50DC" w:rsidP="00453E24">
      <w:pPr>
        <w:pStyle w:val="CETBodytext"/>
      </w:pPr>
      <w:r w:rsidRPr="00BE3D06">
        <w:t>*</w:t>
      </w:r>
      <w:proofErr w:type="gramStart"/>
      <w:r w:rsidRPr="00BE3D06">
        <w:t>calculated</w:t>
      </w:r>
      <w:proofErr w:type="gramEnd"/>
      <w:r w:rsidRPr="00BE3D06">
        <w:t xml:space="preserve"> value</w:t>
      </w:r>
    </w:p>
    <w:p w14:paraId="1B891DD4" w14:textId="77777777" w:rsidR="00600CA9" w:rsidRPr="00BE3D06" w:rsidRDefault="00600CA9" w:rsidP="00600CA9">
      <w:pPr>
        <w:pStyle w:val="CETheadingx"/>
      </w:pPr>
      <w:r w:rsidRPr="00BE3D06">
        <w:t>Product analysis</w:t>
      </w:r>
    </w:p>
    <w:p w14:paraId="764A1CB0" w14:textId="77777777" w:rsidR="00600CA9" w:rsidRPr="00BE3D06" w:rsidRDefault="00600CA9" w:rsidP="00600CA9">
      <w:pPr>
        <w:pStyle w:val="CETBodytext"/>
      </w:pPr>
      <w:r w:rsidRPr="00BE3D06">
        <w:t xml:space="preserve">The thermogravimetric analysis of the raw materials was carried out using a </w:t>
      </w:r>
      <w:proofErr w:type="spellStart"/>
      <w:r w:rsidRPr="00BE3D06">
        <w:t>Netzsch</w:t>
      </w:r>
      <w:proofErr w:type="spellEnd"/>
      <w:r w:rsidRPr="00BE3D06">
        <w:t xml:space="preserve"> TG 209 F1 Libra thermogravimetric instrument. During the measurement, a nitrogen atmosphere and heating rates of 5, 20, and 50°C/min were applied which gives further data for more exact calculations of kinetic parameters.</w:t>
      </w:r>
    </w:p>
    <w:p w14:paraId="143B8181" w14:textId="77777777" w:rsidR="00600CA9" w:rsidRPr="00BE3D06" w:rsidRDefault="00600CA9" w:rsidP="00600CA9">
      <w:pPr>
        <w:pStyle w:val="CETBodytext"/>
      </w:pPr>
      <w:r w:rsidRPr="00BE3D06">
        <w:t>The elemental composition of the catalysts was analyzed using a Shimadzu EDX-8100 Energy Dispersive X-ray Fluorescence spectroscopy.</w:t>
      </w:r>
    </w:p>
    <w:p w14:paraId="076DD4CB" w14:textId="46DC4C89" w:rsidR="00600CA9" w:rsidRPr="00BE3D06" w:rsidRDefault="00600CA9" w:rsidP="00600CA9">
      <w:pPr>
        <w:pStyle w:val="CETBodytext"/>
      </w:pPr>
      <w:proofErr w:type="gramStart"/>
      <w:r w:rsidRPr="00BE3D06">
        <w:t>In order to</w:t>
      </w:r>
      <w:proofErr w:type="gramEnd"/>
      <w:r w:rsidRPr="00BE3D06">
        <w:t xml:space="preserve"> determine the activation energy, the Arrhenius equation was used, while the model fitting was made by MATLAB R2021b simulation program. </w:t>
      </w:r>
    </w:p>
    <w:p w14:paraId="18BAFA6F" w14:textId="5E98ED7B" w:rsidR="00453E24" w:rsidRPr="00BE3D06" w:rsidRDefault="00934B6E" w:rsidP="00453E24">
      <w:pPr>
        <w:pStyle w:val="CETheadingx"/>
      </w:pPr>
      <w:r w:rsidRPr="00BE3D06">
        <w:t>Catalysts</w:t>
      </w:r>
    </w:p>
    <w:p w14:paraId="2BDB61F9" w14:textId="19A51107" w:rsidR="00934B6E" w:rsidRPr="00BE3D06" w:rsidRDefault="008A75F6" w:rsidP="00934B6E">
      <w:pPr>
        <w:pStyle w:val="CETBodytext"/>
      </w:pPr>
      <w:r w:rsidRPr="00BE3D06">
        <w:t xml:space="preserve">The nickel content was placed to the surface of the catalysts by wet impregnation. During this process, the catalyst supports were impregnated with a 1 M </w:t>
      </w:r>
      <w:proofErr w:type="gramStart"/>
      <w:r w:rsidRPr="00BE3D06">
        <w:t>Ni(</w:t>
      </w:r>
      <w:proofErr w:type="gramEnd"/>
      <w:r w:rsidRPr="00BE3D06">
        <w:t>NO</w:t>
      </w:r>
      <w:r w:rsidRPr="00BE3D06">
        <w:rPr>
          <w:vertAlign w:val="subscript"/>
        </w:rPr>
        <w:t>3</w:t>
      </w:r>
      <w:r w:rsidRPr="00BE3D06">
        <w:t>)</w:t>
      </w:r>
      <w:r w:rsidRPr="00BE3D06">
        <w:rPr>
          <w:vertAlign w:val="subscript"/>
        </w:rPr>
        <w:t>2</w:t>
      </w:r>
      <w:r w:rsidRPr="00BE3D06">
        <w:t>·6H</w:t>
      </w:r>
      <w:r w:rsidRPr="00BE3D06">
        <w:rPr>
          <w:vertAlign w:val="subscript"/>
        </w:rPr>
        <w:t>2</w:t>
      </w:r>
      <w:r w:rsidRPr="00BE3D06">
        <w:t xml:space="preserve">O solution at 80°C for 3 hours. </w:t>
      </w:r>
      <w:r w:rsidR="003513DE" w:rsidRPr="00BE3D06">
        <w:t>After that</w:t>
      </w:r>
      <w:r w:rsidRPr="00BE3D06">
        <w:t>, the suspension was filtered and dried at 110°C for 10 hours. Finally, the treated catalysts were calcined at 600°C for 3 hours.</w:t>
      </w:r>
      <w:r w:rsidR="003513DE" w:rsidRPr="00BE3D06">
        <w:t xml:space="preserve"> </w:t>
      </w:r>
      <w:r w:rsidR="00BD2C3C" w:rsidRPr="00BE3D06">
        <w:t xml:space="preserve">Each catalyst </w:t>
      </w:r>
      <w:r w:rsidR="00F40772" w:rsidRPr="00BE3D06">
        <w:t>contained</w:t>
      </w:r>
      <w:r w:rsidR="00BD2C3C" w:rsidRPr="00BE3D06">
        <w:t xml:space="preserve"> 25-75%</w:t>
      </w:r>
      <w:r w:rsidR="00F67A2D" w:rsidRPr="00BE3D06">
        <w:t xml:space="preserve"> </w:t>
      </w:r>
      <w:r w:rsidR="003513DE" w:rsidRPr="00BE3D06">
        <w:t>of ZSM-5 and kaolin</w:t>
      </w:r>
      <w:r w:rsidR="001F5909" w:rsidRPr="00BE3D06">
        <w:t xml:space="preserve"> (Catalyst A)</w:t>
      </w:r>
      <w:r w:rsidR="003513DE" w:rsidRPr="00BE3D06">
        <w:t xml:space="preserve">, where in case of the modification of Si/Al ratio NaOH </w:t>
      </w:r>
      <w:r w:rsidR="001F5909" w:rsidRPr="00BE3D06">
        <w:t xml:space="preserve">(Catalyst B) </w:t>
      </w:r>
      <w:r w:rsidR="003513DE" w:rsidRPr="00BE3D06">
        <w:t>and HCl</w:t>
      </w:r>
      <w:r w:rsidR="001F5909" w:rsidRPr="00BE3D06">
        <w:t xml:space="preserve"> (Catalyst C)</w:t>
      </w:r>
      <w:r w:rsidR="003513DE" w:rsidRPr="00BE3D06">
        <w:t xml:space="preserve"> was used. Table 2 contains the main properties of the used catalysts.</w:t>
      </w:r>
      <w:r w:rsidR="001F5909" w:rsidRPr="00BE3D06">
        <w:t xml:space="preserve"> </w:t>
      </w:r>
      <w:r w:rsidR="001C753D" w:rsidRPr="00BE3D06">
        <w:t>As it can be seen in case of the Si/Al ratio, with the use of NaOH solution decrement</w:t>
      </w:r>
      <w:r w:rsidR="00BD2C3C" w:rsidRPr="00BE3D06">
        <w:t xml:space="preserve"> (1.9)</w:t>
      </w:r>
      <w:r w:rsidR="001C753D" w:rsidRPr="00BE3D06">
        <w:t xml:space="preserve">, while with the use of HCl increment </w:t>
      </w:r>
      <w:r w:rsidR="00BD2C3C" w:rsidRPr="00BE3D06">
        <w:t xml:space="preserve">(11.0) </w:t>
      </w:r>
      <w:r w:rsidR="001C753D" w:rsidRPr="00BE3D06">
        <w:t xml:space="preserve">was achieved owing to the modification of silica and alumina content. </w:t>
      </w:r>
      <w:r w:rsidR="00BD2C3C" w:rsidRPr="00BE3D06">
        <w:t xml:space="preserve">Based on the results, the modification of Si/Al ratio was successful, therefore the effect of Si/Al ratio can be investigated during the thermal degradation of different </w:t>
      </w:r>
      <w:r w:rsidR="00F40772" w:rsidRPr="00BE3D06">
        <w:t>types</w:t>
      </w:r>
      <w:r w:rsidR="00BD2C3C" w:rsidRPr="00BE3D06">
        <w:t xml:space="preserve"> of wastes.</w:t>
      </w:r>
    </w:p>
    <w:p w14:paraId="31BF4C62" w14:textId="24E8B3CE" w:rsidR="003513DE" w:rsidRPr="00BE3D06" w:rsidRDefault="003513DE" w:rsidP="00D863F3">
      <w:pPr>
        <w:pStyle w:val="CETTabletitle"/>
        <w:spacing w:before="120"/>
      </w:pPr>
      <w:r w:rsidRPr="00BE3D06">
        <w:lastRenderedPageBreak/>
        <w:t>Table 2: The main properties of the catalysts</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985"/>
        <w:gridCol w:w="2410"/>
        <w:gridCol w:w="2551"/>
        <w:gridCol w:w="1843"/>
      </w:tblGrid>
      <w:tr w:rsidR="003513DE" w:rsidRPr="00BE3D06" w14:paraId="61524538" w14:textId="173E9D4A" w:rsidTr="001C753D">
        <w:trPr>
          <w:trHeight w:val="264"/>
        </w:trPr>
        <w:tc>
          <w:tcPr>
            <w:tcW w:w="1985" w:type="dxa"/>
            <w:tcBorders>
              <w:top w:val="single" w:sz="12" w:space="0" w:color="008000"/>
              <w:bottom w:val="single" w:sz="6" w:space="0" w:color="008000"/>
            </w:tcBorders>
            <w:shd w:val="clear" w:color="auto" w:fill="FFFFFF"/>
          </w:tcPr>
          <w:p w14:paraId="12E2102A" w14:textId="77777777" w:rsidR="003513DE" w:rsidRPr="00BE3D06" w:rsidRDefault="003513DE" w:rsidP="00372E04">
            <w:pPr>
              <w:pStyle w:val="CETBodytext"/>
              <w:rPr>
                <w:lang w:val="en-GB"/>
              </w:rPr>
            </w:pPr>
            <w:r w:rsidRPr="00BE3D06">
              <w:rPr>
                <w:lang w:val="en-GB"/>
              </w:rPr>
              <w:t xml:space="preserve"> </w:t>
            </w:r>
          </w:p>
        </w:tc>
        <w:tc>
          <w:tcPr>
            <w:tcW w:w="2410" w:type="dxa"/>
            <w:tcBorders>
              <w:top w:val="single" w:sz="12" w:space="0" w:color="008000"/>
              <w:bottom w:val="single" w:sz="6" w:space="0" w:color="008000"/>
            </w:tcBorders>
            <w:shd w:val="clear" w:color="auto" w:fill="FFFFFF"/>
          </w:tcPr>
          <w:p w14:paraId="0592D674" w14:textId="48402388" w:rsidR="003513DE" w:rsidRPr="00BE3D06" w:rsidRDefault="003513DE" w:rsidP="00372E04">
            <w:pPr>
              <w:pStyle w:val="CETBodytext"/>
              <w:rPr>
                <w:lang w:val="en-GB"/>
              </w:rPr>
            </w:pPr>
            <w:r w:rsidRPr="00BE3D06">
              <w:rPr>
                <w:lang w:val="en-GB"/>
              </w:rPr>
              <w:t>Catalyst A</w:t>
            </w:r>
          </w:p>
        </w:tc>
        <w:tc>
          <w:tcPr>
            <w:tcW w:w="2551" w:type="dxa"/>
            <w:tcBorders>
              <w:top w:val="single" w:sz="12" w:space="0" w:color="008000"/>
              <w:bottom w:val="single" w:sz="6" w:space="0" w:color="008000"/>
            </w:tcBorders>
            <w:shd w:val="clear" w:color="auto" w:fill="FFFFFF"/>
          </w:tcPr>
          <w:p w14:paraId="6D39E6A5" w14:textId="3F9BE391" w:rsidR="003513DE" w:rsidRPr="00BE3D06" w:rsidRDefault="003513DE" w:rsidP="001F5909">
            <w:pPr>
              <w:pStyle w:val="CETBodytext"/>
              <w:rPr>
                <w:lang w:val="en-GB"/>
              </w:rPr>
            </w:pPr>
            <w:r w:rsidRPr="00BE3D06">
              <w:rPr>
                <w:lang w:val="en-GB"/>
              </w:rPr>
              <w:t xml:space="preserve">Catalyst </w:t>
            </w:r>
            <w:r w:rsidR="001F5909" w:rsidRPr="00BE3D06">
              <w:rPr>
                <w:lang w:val="en-GB"/>
              </w:rPr>
              <w:t>B</w:t>
            </w:r>
          </w:p>
        </w:tc>
        <w:tc>
          <w:tcPr>
            <w:tcW w:w="1843" w:type="dxa"/>
            <w:tcBorders>
              <w:top w:val="single" w:sz="12" w:space="0" w:color="008000"/>
              <w:bottom w:val="single" w:sz="6" w:space="0" w:color="008000"/>
            </w:tcBorders>
            <w:shd w:val="clear" w:color="auto" w:fill="FFFFFF"/>
          </w:tcPr>
          <w:p w14:paraId="5824E351" w14:textId="71F5F324" w:rsidR="003513DE" w:rsidRPr="00BE3D06" w:rsidRDefault="003513DE" w:rsidP="001F5909">
            <w:pPr>
              <w:pStyle w:val="CETBodytext"/>
              <w:rPr>
                <w:lang w:val="en-GB"/>
              </w:rPr>
            </w:pPr>
            <w:r w:rsidRPr="00BE3D06">
              <w:rPr>
                <w:lang w:val="en-GB"/>
              </w:rPr>
              <w:t xml:space="preserve">Catalyst </w:t>
            </w:r>
            <w:r w:rsidR="001F5909" w:rsidRPr="00BE3D06">
              <w:rPr>
                <w:lang w:val="en-GB"/>
              </w:rPr>
              <w:t>C</w:t>
            </w:r>
          </w:p>
        </w:tc>
      </w:tr>
      <w:tr w:rsidR="003513DE" w:rsidRPr="00BE3D06" w14:paraId="3C274884" w14:textId="1A31868D" w:rsidTr="001C753D">
        <w:trPr>
          <w:trHeight w:val="264"/>
        </w:trPr>
        <w:tc>
          <w:tcPr>
            <w:tcW w:w="1985" w:type="dxa"/>
            <w:shd w:val="clear" w:color="auto" w:fill="FFFFFF"/>
          </w:tcPr>
          <w:p w14:paraId="2C366A29" w14:textId="4D7546F2" w:rsidR="003513DE" w:rsidRPr="00BE3D06" w:rsidRDefault="009F141B" w:rsidP="009F141B">
            <w:pPr>
              <w:pStyle w:val="CETBodytext"/>
              <w:rPr>
                <w:lang w:val="es-ES"/>
              </w:rPr>
            </w:pPr>
            <w:r w:rsidRPr="00BE3D06">
              <w:rPr>
                <w:lang w:val="es-ES"/>
              </w:rPr>
              <w:t>Si</w:t>
            </w:r>
          </w:p>
        </w:tc>
        <w:tc>
          <w:tcPr>
            <w:tcW w:w="2410" w:type="dxa"/>
            <w:shd w:val="clear" w:color="auto" w:fill="FFFFFF"/>
          </w:tcPr>
          <w:p w14:paraId="3E936130" w14:textId="272F97E5" w:rsidR="003513DE" w:rsidRPr="00BE3D06" w:rsidRDefault="009F141B" w:rsidP="00372E04">
            <w:pPr>
              <w:pStyle w:val="CETBodytext"/>
              <w:rPr>
                <w:lang w:val="en-GB"/>
              </w:rPr>
            </w:pPr>
            <w:r w:rsidRPr="00BE3D06">
              <w:rPr>
                <w:lang w:val="en-GB"/>
              </w:rPr>
              <w:t>18.2</w:t>
            </w:r>
          </w:p>
        </w:tc>
        <w:tc>
          <w:tcPr>
            <w:tcW w:w="2551" w:type="dxa"/>
            <w:shd w:val="clear" w:color="auto" w:fill="FFFFFF"/>
          </w:tcPr>
          <w:p w14:paraId="3704546A" w14:textId="10BEEC34" w:rsidR="003513DE" w:rsidRPr="00BE3D06" w:rsidRDefault="009F141B" w:rsidP="00372E04">
            <w:pPr>
              <w:pStyle w:val="CETBodytext"/>
              <w:rPr>
                <w:lang w:val="en-GB"/>
              </w:rPr>
            </w:pPr>
            <w:r w:rsidRPr="00BE3D06">
              <w:rPr>
                <w:lang w:val="en-GB"/>
              </w:rPr>
              <w:t>11.5</w:t>
            </w:r>
          </w:p>
        </w:tc>
        <w:tc>
          <w:tcPr>
            <w:tcW w:w="1843" w:type="dxa"/>
            <w:shd w:val="clear" w:color="auto" w:fill="FFFFFF"/>
          </w:tcPr>
          <w:p w14:paraId="790386D1" w14:textId="43680747" w:rsidR="003513DE" w:rsidRPr="00BE3D06" w:rsidRDefault="009F141B" w:rsidP="00372E04">
            <w:pPr>
              <w:pStyle w:val="CETBodytext"/>
              <w:rPr>
                <w:lang w:val="en-GB"/>
              </w:rPr>
            </w:pPr>
            <w:r w:rsidRPr="00BE3D06">
              <w:rPr>
                <w:lang w:val="en-GB"/>
              </w:rPr>
              <w:t>19.6</w:t>
            </w:r>
          </w:p>
        </w:tc>
      </w:tr>
      <w:tr w:rsidR="009F141B" w:rsidRPr="00BE3D06" w14:paraId="5A496B00" w14:textId="77777777" w:rsidTr="001C753D">
        <w:trPr>
          <w:trHeight w:val="264"/>
        </w:trPr>
        <w:tc>
          <w:tcPr>
            <w:tcW w:w="1985" w:type="dxa"/>
            <w:shd w:val="clear" w:color="auto" w:fill="FFFFFF"/>
          </w:tcPr>
          <w:p w14:paraId="290FB9E4" w14:textId="4D9AB5EB" w:rsidR="009F141B" w:rsidRPr="00BE3D06" w:rsidRDefault="009F141B" w:rsidP="009F141B">
            <w:pPr>
              <w:pStyle w:val="CETBodytext"/>
              <w:rPr>
                <w:lang w:val="es-ES"/>
              </w:rPr>
            </w:pPr>
            <w:r w:rsidRPr="00BE3D06">
              <w:rPr>
                <w:lang w:val="es-ES"/>
              </w:rPr>
              <w:t>Al</w:t>
            </w:r>
          </w:p>
        </w:tc>
        <w:tc>
          <w:tcPr>
            <w:tcW w:w="2410" w:type="dxa"/>
            <w:shd w:val="clear" w:color="auto" w:fill="FFFFFF"/>
          </w:tcPr>
          <w:p w14:paraId="5B5B3073" w14:textId="67E2E7D5" w:rsidR="009F141B" w:rsidRPr="00BE3D06" w:rsidRDefault="009F141B" w:rsidP="00372E04">
            <w:pPr>
              <w:pStyle w:val="CETBodytext"/>
              <w:rPr>
                <w:lang w:val="en-GB"/>
              </w:rPr>
            </w:pPr>
            <w:r w:rsidRPr="00BE3D06">
              <w:rPr>
                <w:lang w:val="en-GB"/>
              </w:rPr>
              <w:t>3.0</w:t>
            </w:r>
          </w:p>
        </w:tc>
        <w:tc>
          <w:tcPr>
            <w:tcW w:w="2551" w:type="dxa"/>
            <w:shd w:val="clear" w:color="auto" w:fill="FFFFFF"/>
          </w:tcPr>
          <w:p w14:paraId="545E96B3" w14:textId="07784EAD" w:rsidR="009F141B" w:rsidRPr="00BE3D06" w:rsidRDefault="009F141B" w:rsidP="00372E04">
            <w:pPr>
              <w:pStyle w:val="CETBodytext"/>
              <w:rPr>
                <w:lang w:val="en-GB"/>
              </w:rPr>
            </w:pPr>
            <w:r w:rsidRPr="00BE3D06">
              <w:rPr>
                <w:lang w:val="en-GB"/>
              </w:rPr>
              <w:t>6.1</w:t>
            </w:r>
          </w:p>
        </w:tc>
        <w:tc>
          <w:tcPr>
            <w:tcW w:w="1843" w:type="dxa"/>
            <w:shd w:val="clear" w:color="auto" w:fill="FFFFFF"/>
          </w:tcPr>
          <w:p w14:paraId="4BC83295" w14:textId="08EC0CC2" w:rsidR="009F141B" w:rsidRPr="00BE3D06" w:rsidRDefault="009F141B" w:rsidP="00372E04">
            <w:pPr>
              <w:pStyle w:val="CETBodytext"/>
              <w:rPr>
                <w:lang w:val="en-GB"/>
              </w:rPr>
            </w:pPr>
            <w:r w:rsidRPr="00BE3D06">
              <w:rPr>
                <w:lang w:val="en-GB"/>
              </w:rPr>
              <w:t>1.8</w:t>
            </w:r>
          </w:p>
        </w:tc>
      </w:tr>
      <w:tr w:rsidR="003513DE" w:rsidRPr="00BE3D06" w14:paraId="695F5994" w14:textId="1757F797" w:rsidTr="001C753D">
        <w:trPr>
          <w:trHeight w:val="264"/>
        </w:trPr>
        <w:tc>
          <w:tcPr>
            <w:tcW w:w="1985" w:type="dxa"/>
            <w:shd w:val="clear" w:color="auto" w:fill="FFFFFF"/>
          </w:tcPr>
          <w:p w14:paraId="4A15B9E8" w14:textId="0128B2CE" w:rsidR="003513DE" w:rsidRPr="00BE3D06" w:rsidRDefault="009F141B" w:rsidP="00372E04">
            <w:pPr>
              <w:pStyle w:val="CETBodytext"/>
              <w:rPr>
                <w:lang w:val="en-GB"/>
              </w:rPr>
            </w:pPr>
            <w:r w:rsidRPr="00BE3D06">
              <w:rPr>
                <w:lang w:val="en-GB"/>
              </w:rPr>
              <w:t>Ni</w:t>
            </w:r>
          </w:p>
        </w:tc>
        <w:tc>
          <w:tcPr>
            <w:tcW w:w="2410" w:type="dxa"/>
            <w:shd w:val="clear" w:color="auto" w:fill="FFFFFF"/>
          </w:tcPr>
          <w:p w14:paraId="3E89DDD6" w14:textId="06E4C6B3" w:rsidR="003513DE" w:rsidRPr="00BE3D06" w:rsidRDefault="009F141B" w:rsidP="00372E04">
            <w:pPr>
              <w:pStyle w:val="CETBodytext"/>
              <w:rPr>
                <w:lang w:val="en-GB"/>
              </w:rPr>
            </w:pPr>
            <w:r w:rsidRPr="00BE3D06">
              <w:rPr>
                <w:lang w:val="en-GB"/>
              </w:rPr>
              <w:t>2.4</w:t>
            </w:r>
          </w:p>
        </w:tc>
        <w:tc>
          <w:tcPr>
            <w:tcW w:w="2551" w:type="dxa"/>
            <w:shd w:val="clear" w:color="auto" w:fill="FFFFFF"/>
          </w:tcPr>
          <w:p w14:paraId="4A102B71" w14:textId="4F550777" w:rsidR="003513DE" w:rsidRPr="00BE3D06" w:rsidRDefault="009F141B" w:rsidP="00372E04">
            <w:pPr>
              <w:pStyle w:val="CETBodytext"/>
              <w:rPr>
                <w:lang w:val="en-GB"/>
              </w:rPr>
            </w:pPr>
            <w:r w:rsidRPr="00BE3D06">
              <w:rPr>
                <w:lang w:val="en-GB"/>
              </w:rPr>
              <w:t>2.2</w:t>
            </w:r>
          </w:p>
        </w:tc>
        <w:tc>
          <w:tcPr>
            <w:tcW w:w="1843" w:type="dxa"/>
            <w:shd w:val="clear" w:color="auto" w:fill="FFFFFF"/>
          </w:tcPr>
          <w:p w14:paraId="24C2127B" w14:textId="62B21969" w:rsidR="003513DE" w:rsidRPr="00BE3D06" w:rsidRDefault="009F141B" w:rsidP="00372E04">
            <w:pPr>
              <w:pStyle w:val="CETBodytext"/>
              <w:rPr>
                <w:lang w:val="en-GB"/>
              </w:rPr>
            </w:pPr>
            <w:r w:rsidRPr="00BE3D06">
              <w:rPr>
                <w:lang w:val="en-GB"/>
              </w:rPr>
              <w:t>2.0</w:t>
            </w:r>
          </w:p>
        </w:tc>
      </w:tr>
      <w:tr w:rsidR="003513DE" w:rsidRPr="00BE3D06" w14:paraId="66842C5C" w14:textId="444BBC1E" w:rsidTr="001C753D">
        <w:trPr>
          <w:trHeight w:val="264"/>
        </w:trPr>
        <w:tc>
          <w:tcPr>
            <w:tcW w:w="1985" w:type="dxa"/>
            <w:shd w:val="clear" w:color="auto" w:fill="FFFFFF"/>
          </w:tcPr>
          <w:p w14:paraId="09FC6034" w14:textId="11602B62" w:rsidR="003513DE" w:rsidRPr="00BE3D06" w:rsidRDefault="009F141B" w:rsidP="00372E04">
            <w:pPr>
              <w:pStyle w:val="CETBodytext"/>
              <w:rPr>
                <w:lang w:val="en-GB"/>
              </w:rPr>
            </w:pPr>
            <w:r w:rsidRPr="00BE3D06">
              <w:rPr>
                <w:lang w:val="en-GB"/>
              </w:rPr>
              <w:t>Na</w:t>
            </w:r>
          </w:p>
        </w:tc>
        <w:tc>
          <w:tcPr>
            <w:tcW w:w="2410" w:type="dxa"/>
            <w:shd w:val="clear" w:color="auto" w:fill="FFFFFF"/>
          </w:tcPr>
          <w:p w14:paraId="320371C6" w14:textId="11A77F39" w:rsidR="003513DE" w:rsidRPr="00BE3D06" w:rsidRDefault="009F141B" w:rsidP="00372E04">
            <w:pPr>
              <w:pStyle w:val="CETBodytext"/>
              <w:rPr>
                <w:lang w:val="en-GB"/>
              </w:rPr>
            </w:pPr>
            <w:r w:rsidRPr="00BE3D06">
              <w:rPr>
                <w:lang w:val="en-GB"/>
              </w:rPr>
              <w:t>-</w:t>
            </w:r>
          </w:p>
        </w:tc>
        <w:tc>
          <w:tcPr>
            <w:tcW w:w="2551" w:type="dxa"/>
            <w:shd w:val="clear" w:color="auto" w:fill="FFFFFF"/>
          </w:tcPr>
          <w:p w14:paraId="49308C53" w14:textId="14FDDF0D" w:rsidR="003513DE" w:rsidRPr="00BE3D06" w:rsidRDefault="009F141B" w:rsidP="00372E04">
            <w:pPr>
              <w:pStyle w:val="CETBodytext"/>
              <w:rPr>
                <w:lang w:val="en-GB"/>
              </w:rPr>
            </w:pPr>
            <w:r w:rsidRPr="00BE3D06">
              <w:rPr>
                <w:lang w:val="en-GB"/>
              </w:rPr>
              <w:t>4.0</w:t>
            </w:r>
          </w:p>
        </w:tc>
        <w:tc>
          <w:tcPr>
            <w:tcW w:w="1843" w:type="dxa"/>
            <w:shd w:val="clear" w:color="auto" w:fill="FFFFFF"/>
          </w:tcPr>
          <w:p w14:paraId="287CB706" w14:textId="0C0C4131" w:rsidR="003513DE" w:rsidRPr="00BE3D06" w:rsidRDefault="009F141B" w:rsidP="00372E04">
            <w:pPr>
              <w:pStyle w:val="CETBodytext"/>
              <w:rPr>
                <w:lang w:val="en-GB"/>
              </w:rPr>
            </w:pPr>
            <w:r w:rsidRPr="00BE3D06">
              <w:rPr>
                <w:lang w:val="en-GB"/>
              </w:rPr>
              <w:t>-</w:t>
            </w:r>
          </w:p>
        </w:tc>
      </w:tr>
      <w:tr w:rsidR="003513DE" w:rsidRPr="00BE3D06" w14:paraId="3FADC72C" w14:textId="538618C7" w:rsidTr="001C753D">
        <w:trPr>
          <w:trHeight w:val="264"/>
        </w:trPr>
        <w:tc>
          <w:tcPr>
            <w:tcW w:w="1985" w:type="dxa"/>
            <w:shd w:val="clear" w:color="auto" w:fill="FFFFFF"/>
          </w:tcPr>
          <w:p w14:paraId="77A6A7F3" w14:textId="316CF7F7" w:rsidR="003513DE" w:rsidRPr="00BE3D06" w:rsidRDefault="009F141B" w:rsidP="00372E04">
            <w:pPr>
              <w:pStyle w:val="CETBodytext"/>
              <w:rPr>
                <w:lang w:val="en-GB"/>
              </w:rPr>
            </w:pPr>
            <w:r w:rsidRPr="00BE3D06">
              <w:rPr>
                <w:lang w:val="en-GB"/>
              </w:rPr>
              <w:t>Fe</w:t>
            </w:r>
          </w:p>
        </w:tc>
        <w:tc>
          <w:tcPr>
            <w:tcW w:w="2410" w:type="dxa"/>
            <w:shd w:val="clear" w:color="auto" w:fill="FFFFFF"/>
          </w:tcPr>
          <w:p w14:paraId="4F861002" w14:textId="61C8580A" w:rsidR="003513DE" w:rsidRPr="00BE3D06" w:rsidRDefault="009F141B" w:rsidP="00372E04">
            <w:pPr>
              <w:pStyle w:val="CETBodytext"/>
              <w:rPr>
                <w:lang w:val="en-GB"/>
              </w:rPr>
            </w:pPr>
            <w:r w:rsidRPr="00BE3D06">
              <w:rPr>
                <w:lang w:val="en-GB"/>
              </w:rPr>
              <w:t>0.1</w:t>
            </w:r>
          </w:p>
        </w:tc>
        <w:tc>
          <w:tcPr>
            <w:tcW w:w="2551" w:type="dxa"/>
            <w:shd w:val="clear" w:color="auto" w:fill="FFFFFF"/>
          </w:tcPr>
          <w:p w14:paraId="65210AF2" w14:textId="6A62B662" w:rsidR="003513DE" w:rsidRPr="00BE3D06" w:rsidRDefault="009F141B" w:rsidP="00372E04">
            <w:pPr>
              <w:pStyle w:val="CETBodytext"/>
              <w:rPr>
                <w:lang w:val="en-GB"/>
              </w:rPr>
            </w:pPr>
            <w:r w:rsidRPr="00BE3D06">
              <w:rPr>
                <w:lang w:val="en-GB"/>
              </w:rPr>
              <w:t>0.2</w:t>
            </w:r>
          </w:p>
        </w:tc>
        <w:tc>
          <w:tcPr>
            <w:tcW w:w="1843" w:type="dxa"/>
            <w:shd w:val="clear" w:color="auto" w:fill="FFFFFF"/>
          </w:tcPr>
          <w:p w14:paraId="5A715B97" w14:textId="4D2DA9ED" w:rsidR="003513DE" w:rsidRPr="00BE3D06" w:rsidRDefault="009F141B" w:rsidP="00372E04">
            <w:pPr>
              <w:pStyle w:val="CETBodytext"/>
              <w:rPr>
                <w:lang w:val="en-GB"/>
              </w:rPr>
            </w:pPr>
            <w:r w:rsidRPr="00BE3D06">
              <w:rPr>
                <w:lang w:val="en-GB"/>
              </w:rPr>
              <w:t>0.1</w:t>
            </w:r>
          </w:p>
        </w:tc>
      </w:tr>
      <w:tr w:rsidR="003513DE" w:rsidRPr="00BE3D06" w14:paraId="0627CBCC" w14:textId="49D38CC4" w:rsidTr="001C753D">
        <w:trPr>
          <w:trHeight w:val="264"/>
        </w:trPr>
        <w:tc>
          <w:tcPr>
            <w:tcW w:w="1985" w:type="dxa"/>
            <w:shd w:val="clear" w:color="auto" w:fill="FFFFFF"/>
          </w:tcPr>
          <w:p w14:paraId="08BEB3FC" w14:textId="3C7187E6" w:rsidR="003513DE" w:rsidRPr="00BE3D06" w:rsidRDefault="009F141B" w:rsidP="00372E04">
            <w:pPr>
              <w:pStyle w:val="CETBodytext"/>
              <w:rPr>
                <w:lang w:val="en-GB"/>
              </w:rPr>
            </w:pPr>
            <w:r w:rsidRPr="00BE3D06">
              <w:rPr>
                <w:lang w:val="en-GB"/>
              </w:rPr>
              <w:t>K</w:t>
            </w:r>
          </w:p>
        </w:tc>
        <w:tc>
          <w:tcPr>
            <w:tcW w:w="2410" w:type="dxa"/>
            <w:shd w:val="clear" w:color="auto" w:fill="FFFFFF"/>
          </w:tcPr>
          <w:p w14:paraId="170B8B96" w14:textId="5DE66986" w:rsidR="003513DE" w:rsidRPr="00BE3D06" w:rsidRDefault="009F141B" w:rsidP="00372E04">
            <w:pPr>
              <w:pStyle w:val="CETBodytext"/>
              <w:rPr>
                <w:lang w:val="en-GB"/>
              </w:rPr>
            </w:pPr>
            <w:r w:rsidRPr="00BE3D06">
              <w:rPr>
                <w:lang w:val="en-GB"/>
              </w:rPr>
              <w:t>0.1</w:t>
            </w:r>
          </w:p>
        </w:tc>
        <w:tc>
          <w:tcPr>
            <w:tcW w:w="2551" w:type="dxa"/>
            <w:shd w:val="clear" w:color="auto" w:fill="FFFFFF"/>
          </w:tcPr>
          <w:p w14:paraId="30F6C672" w14:textId="67FBC470" w:rsidR="003513DE" w:rsidRPr="00BE3D06" w:rsidRDefault="009F141B" w:rsidP="00372E04">
            <w:pPr>
              <w:pStyle w:val="CETBodytext"/>
              <w:rPr>
                <w:lang w:val="en-GB"/>
              </w:rPr>
            </w:pPr>
            <w:r w:rsidRPr="00BE3D06">
              <w:rPr>
                <w:lang w:val="en-GB"/>
              </w:rPr>
              <w:t>0.2</w:t>
            </w:r>
          </w:p>
        </w:tc>
        <w:tc>
          <w:tcPr>
            <w:tcW w:w="1843" w:type="dxa"/>
            <w:shd w:val="clear" w:color="auto" w:fill="FFFFFF"/>
          </w:tcPr>
          <w:p w14:paraId="53CC1E08" w14:textId="6BDCBA9E" w:rsidR="003513DE" w:rsidRPr="00BE3D06" w:rsidRDefault="009F141B" w:rsidP="00372E04">
            <w:pPr>
              <w:pStyle w:val="CETBodytext"/>
              <w:rPr>
                <w:lang w:val="en-GB"/>
              </w:rPr>
            </w:pPr>
            <w:r w:rsidRPr="00BE3D06">
              <w:rPr>
                <w:lang w:val="en-GB"/>
              </w:rPr>
              <w:t>0.1</w:t>
            </w:r>
          </w:p>
        </w:tc>
      </w:tr>
      <w:tr w:rsidR="003513DE" w:rsidRPr="00BE3D06" w14:paraId="092112CB" w14:textId="58A90926" w:rsidTr="001C753D">
        <w:trPr>
          <w:trHeight w:val="281"/>
        </w:trPr>
        <w:tc>
          <w:tcPr>
            <w:tcW w:w="1985" w:type="dxa"/>
            <w:shd w:val="clear" w:color="auto" w:fill="FFFFFF"/>
          </w:tcPr>
          <w:p w14:paraId="3FC2166B" w14:textId="6A77577C" w:rsidR="003513DE" w:rsidRPr="00BE3D06" w:rsidRDefault="009F141B" w:rsidP="00372E04">
            <w:pPr>
              <w:pStyle w:val="CETBodytext"/>
              <w:ind w:right="-1"/>
              <w:rPr>
                <w:rFonts w:cs="Arial"/>
                <w:szCs w:val="18"/>
                <w:lang w:val="en-GB"/>
              </w:rPr>
            </w:pPr>
            <w:r w:rsidRPr="00BE3D06">
              <w:rPr>
                <w:rFonts w:cs="Arial"/>
                <w:szCs w:val="18"/>
                <w:lang w:val="en-GB"/>
              </w:rPr>
              <w:t>Cl</w:t>
            </w:r>
          </w:p>
        </w:tc>
        <w:tc>
          <w:tcPr>
            <w:tcW w:w="2410" w:type="dxa"/>
            <w:shd w:val="clear" w:color="auto" w:fill="FFFFFF"/>
          </w:tcPr>
          <w:p w14:paraId="13E2E163" w14:textId="6B6B171D" w:rsidR="003513DE" w:rsidRPr="00BE3D06" w:rsidRDefault="009F141B" w:rsidP="00372E04">
            <w:pPr>
              <w:pStyle w:val="CETBodytext"/>
              <w:ind w:right="-1"/>
              <w:rPr>
                <w:rFonts w:cs="Arial"/>
                <w:szCs w:val="18"/>
                <w:lang w:val="en-GB"/>
              </w:rPr>
            </w:pPr>
            <w:r w:rsidRPr="00BE3D06">
              <w:rPr>
                <w:rFonts w:cs="Arial"/>
                <w:szCs w:val="18"/>
                <w:lang w:val="en-GB"/>
              </w:rPr>
              <w:t>-</w:t>
            </w:r>
          </w:p>
        </w:tc>
        <w:tc>
          <w:tcPr>
            <w:tcW w:w="2551" w:type="dxa"/>
            <w:shd w:val="clear" w:color="auto" w:fill="FFFFFF"/>
          </w:tcPr>
          <w:p w14:paraId="01ED56A1" w14:textId="40ABD9AC" w:rsidR="003513DE" w:rsidRPr="00BE3D06" w:rsidRDefault="009F141B" w:rsidP="00372E04">
            <w:pPr>
              <w:pStyle w:val="CETBodytext"/>
              <w:ind w:right="-1"/>
              <w:rPr>
                <w:rFonts w:cs="Arial"/>
                <w:szCs w:val="18"/>
                <w:lang w:val="en-GB"/>
              </w:rPr>
            </w:pPr>
            <w:r w:rsidRPr="00BE3D06">
              <w:rPr>
                <w:rFonts w:cs="Arial"/>
                <w:szCs w:val="18"/>
                <w:lang w:val="en-GB"/>
              </w:rPr>
              <w:t>-</w:t>
            </w:r>
          </w:p>
        </w:tc>
        <w:tc>
          <w:tcPr>
            <w:tcW w:w="1843" w:type="dxa"/>
            <w:shd w:val="clear" w:color="auto" w:fill="FFFFFF"/>
          </w:tcPr>
          <w:p w14:paraId="67D0D463" w14:textId="0DF03138" w:rsidR="003513DE" w:rsidRPr="00BE3D06" w:rsidRDefault="009F141B" w:rsidP="00372E04">
            <w:pPr>
              <w:pStyle w:val="CETBodytext"/>
              <w:ind w:right="-1"/>
              <w:rPr>
                <w:rFonts w:cs="Arial"/>
                <w:szCs w:val="18"/>
                <w:lang w:val="en-GB"/>
              </w:rPr>
            </w:pPr>
            <w:r w:rsidRPr="00BE3D06">
              <w:rPr>
                <w:rFonts w:cs="Arial"/>
                <w:szCs w:val="18"/>
                <w:lang w:val="en-GB"/>
              </w:rPr>
              <w:t>1.5</w:t>
            </w:r>
          </w:p>
        </w:tc>
      </w:tr>
      <w:tr w:rsidR="003513DE" w:rsidRPr="00BE3D06" w14:paraId="3E7EB6A8" w14:textId="5170D525" w:rsidTr="001C753D">
        <w:trPr>
          <w:trHeight w:val="281"/>
        </w:trPr>
        <w:tc>
          <w:tcPr>
            <w:tcW w:w="1985" w:type="dxa"/>
            <w:shd w:val="clear" w:color="auto" w:fill="FFFFFF"/>
          </w:tcPr>
          <w:p w14:paraId="54DAA0FB" w14:textId="7F6418CB" w:rsidR="003513DE" w:rsidRPr="00BE3D06" w:rsidRDefault="009F141B" w:rsidP="00372E04">
            <w:pPr>
              <w:pStyle w:val="CETBodytext"/>
              <w:ind w:right="-1"/>
              <w:rPr>
                <w:rFonts w:cs="Arial"/>
                <w:szCs w:val="18"/>
                <w:lang w:val="en-GB"/>
              </w:rPr>
            </w:pPr>
            <w:r w:rsidRPr="00BE3D06">
              <w:rPr>
                <w:rFonts w:cs="Arial"/>
                <w:szCs w:val="18"/>
                <w:lang w:val="en-GB"/>
              </w:rPr>
              <w:t>O</w:t>
            </w:r>
          </w:p>
        </w:tc>
        <w:tc>
          <w:tcPr>
            <w:tcW w:w="2410" w:type="dxa"/>
            <w:shd w:val="clear" w:color="auto" w:fill="FFFFFF"/>
          </w:tcPr>
          <w:p w14:paraId="625EA699" w14:textId="0662A0C9" w:rsidR="003513DE" w:rsidRPr="00BE3D06" w:rsidRDefault="009F141B" w:rsidP="00372E04">
            <w:pPr>
              <w:pStyle w:val="CETBodytext"/>
              <w:ind w:right="-1"/>
              <w:rPr>
                <w:rFonts w:cs="Arial"/>
                <w:szCs w:val="18"/>
                <w:lang w:val="en-GB"/>
              </w:rPr>
            </w:pPr>
            <w:r w:rsidRPr="00BE3D06">
              <w:rPr>
                <w:rFonts w:cs="Arial"/>
                <w:szCs w:val="18"/>
                <w:lang w:val="en-GB"/>
              </w:rPr>
              <w:t>76.2</w:t>
            </w:r>
          </w:p>
        </w:tc>
        <w:tc>
          <w:tcPr>
            <w:tcW w:w="2551" w:type="dxa"/>
            <w:shd w:val="clear" w:color="auto" w:fill="FFFFFF"/>
          </w:tcPr>
          <w:p w14:paraId="642A1BF0" w14:textId="044B4AD7" w:rsidR="003513DE" w:rsidRPr="00BE3D06" w:rsidRDefault="009F141B" w:rsidP="009F141B">
            <w:pPr>
              <w:pStyle w:val="CETBodytext"/>
              <w:ind w:right="-1"/>
              <w:rPr>
                <w:rFonts w:cs="Arial"/>
                <w:szCs w:val="18"/>
                <w:lang w:val="en-GB"/>
              </w:rPr>
            </w:pPr>
            <w:r w:rsidRPr="00BE3D06">
              <w:rPr>
                <w:rFonts w:cs="Arial"/>
                <w:szCs w:val="18"/>
                <w:lang w:val="en-GB"/>
              </w:rPr>
              <w:t>75.8</w:t>
            </w:r>
          </w:p>
        </w:tc>
        <w:tc>
          <w:tcPr>
            <w:tcW w:w="1843" w:type="dxa"/>
            <w:shd w:val="clear" w:color="auto" w:fill="FFFFFF"/>
          </w:tcPr>
          <w:p w14:paraId="70ADDDF5" w14:textId="529CE186" w:rsidR="003513DE" w:rsidRPr="00BE3D06" w:rsidRDefault="009F141B" w:rsidP="00372E04">
            <w:pPr>
              <w:pStyle w:val="CETBodytext"/>
              <w:ind w:right="-1"/>
              <w:rPr>
                <w:rFonts w:cs="Arial"/>
                <w:szCs w:val="18"/>
                <w:lang w:val="en-GB"/>
              </w:rPr>
            </w:pPr>
            <w:r w:rsidRPr="00BE3D06">
              <w:rPr>
                <w:rFonts w:cs="Arial"/>
                <w:szCs w:val="18"/>
                <w:lang w:val="en-GB"/>
              </w:rPr>
              <w:t>75.0</w:t>
            </w:r>
          </w:p>
        </w:tc>
      </w:tr>
      <w:tr w:rsidR="001C753D" w:rsidRPr="00BE3D06" w14:paraId="0C055F58" w14:textId="77777777" w:rsidTr="001C753D">
        <w:trPr>
          <w:trHeight w:val="281"/>
        </w:trPr>
        <w:tc>
          <w:tcPr>
            <w:tcW w:w="1985" w:type="dxa"/>
            <w:shd w:val="clear" w:color="auto" w:fill="FFFFFF"/>
          </w:tcPr>
          <w:p w14:paraId="20D53060" w14:textId="45277282" w:rsidR="001C753D" w:rsidRPr="00BE3D06" w:rsidRDefault="001C753D" w:rsidP="00372E04">
            <w:pPr>
              <w:pStyle w:val="CETBodytext"/>
              <w:ind w:right="-1"/>
              <w:rPr>
                <w:rFonts w:cs="Arial"/>
                <w:szCs w:val="18"/>
                <w:lang w:val="en-GB"/>
              </w:rPr>
            </w:pPr>
            <w:r w:rsidRPr="00BE3D06">
              <w:rPr>
                <w:rFonts w:cs="Arial"/>
                <w:szCs w:val="18"/>
                <w:lang w:val="en-GB"/>
              </w:rPr>
              <w:t>Si/Al</w:t>
            </w:r>
          </w:p>
        </w:tc>
        <w:tc>
          <w:tcPr>
            <w:tcW w:w="2410" w:type="dxa"/>
            <w:shd w:val="clear" w:color="auto" w:fill="FFFFFF"/>
          </w:tcPr>
          <w:p w14:paraId="2DAD9989" w14:textId="1560C044" w:rsidR="001C753D" w:rsidRPr="00BE3D06" w:rsidRDefault="001C753D" w:rsidP="00372E04">
            <w:pPr>
              <w:pStyle w:val="CETBodytext"/>
              <w:ind w:right="-1"/>
              <w:rPr>
                <w:rFonts w:cs="Arial"/>
                <w:szCs w:val="18"/>
                <w:lang w:val="en-GB"/>
              </w:rPr>
            </w:pPr>
            <w:r w:rsidRPr="00BE3D06">
              <w:rPr>
                <w:rFonts w:cs="Arial"/>
                <w:szCs w:val="18"/>
                <w:lang w:val="en-GB"/>
              </w:rPr>
              <w:t>6.0</w:t>
            </w:r>
          </w:p>
        </w:tc>
        <w:tc>
          <w:tcPr>
            <w:tcW w:w="2551" w:type="dxa"/>
            <w:shd w:val="clear" w:color="auto" w:fill="FFFFFF"/>
          </w:tcPr>
          <w:p w14:paraId="77E7DB42" w14:textId="3BBCBEC7" w:rsidR="001C753D" w:rsidRPr="00BE3D06" w:rsidRDefault="001C753D" w:rsidP="009F141B">
            <w:pPr>
              <w:pStyle w:val="CETBodytext"/>
              <w:ind w:right="-1"/>
              <w:rPr>
                <w:rFonts w:cs="Arial"/>
                <w:szCs w:val="18"/>
                <w:lang w:val="en-GB"/>
              </w:rPr>
            </w:pPr>
            <w:r w:rsidRPr="00BE3D06">
              <w:rPr>
                <w:rFonts w:cs="Arial"/>
                <w:szCs w:val="18"/>
                <w:lang w:val="en-GB"/>
              </w:rPr>
              <w:t>1.9</w:t>
            </w:r>
          </w:p>
        </w:tc>
        <w:tc>
          <w:tcPr>
            <w:tcW w:w="1843" w:type="dxa"/>
            <w:shd w:val="clear" w:color="auto" w:fill="FFFFFF"/>
          </w:tcPr>
          <w:p w14:paraId="14D35F8D" w14:textId="52EFBC79" w:rsidR="001C753D" w:rsidRPr="00BE3D06" w:rsidRDefault="001C753D" w:rsidP="00372E04">
            <w:pPr>
              <w:pStyle w:val="CETBodytext"/>
              <w:ind w:right="-1"/>
              <w:rPr>
                <w:rFonts w:cs="Arial"/>
                <w:szCs w:val="18"/>
                <w:lang w:val="en-GB"/>
              </w:rPr>
            </w:pPr>
            <w:r w:rsidRPr="00BE3D06">
              <w:rPr>
                <w:rFonts w:cs="Arial"/>
                <w:szCs w:val="18"/>
                <w:lang w:val="en-GB"/>
              </w:rPr>
              <w:t>11.0</w:t>
            </w:r>
          </w:p>
        </w:tc>
      </w:tr>
    </w:tbl>
    <w:p w14:paraId="677EBFF0" w14:textId="58D38D3D" w:rsidR="00600535" w:rsidRPr="00BE3D06" w:rsidRDefault="00934B6E" w:rsidP="00600535">
      <w:pPr>
        <w:pStyle w:val="CETHeading1"/>
        <w:tabs>
          <w:tab w:val="clear" w:pos="360"/>
          <w:tab w:val="right" w:pos="7100"/>
        </w:tabs>
        <w:jc w:val="both"/>
        <w:rPr>
          <w:lang w:val="en-GB"/>
        </w:rPr>
      </w:pPr>
      <w:r w:rsidRPr="00BE3D06">
        <w:rPr>
          <w:lang w:val="en-GB"/>
        </w:rPr>
        <w:t>Results&amp; discussion</w:t>
      </w:r>
    </w:p>
    <w:p w14:paraId="745415C1" w14:textId="0C70357C" w:rsidR="00934B6E" w:rsidRPr="00BE3D06" w:rsidRDefault="00934B6E" w:rsidP="00934B6E">
      <w:pPr>
        <w:pStyle w:val="CETBodytext"/>
        <w:rPr>
          <w:lang w:val="en-GB"/>
        </w:rPr>
      </w:pPr>
      <w:r w:rsidRPr="00BE3D06">
        <w:rPr>
          <w:lang w:val="en-GB"/>
        </w:rPr>
        <w:t xml:space="preserve">The following subsections are presenting the results obtained with TG-FTIR equipment, with the </w:t>
      </w:r>
      <w:r w:rsidR="001C753D" w:rsidRPr="00BE3D06">
        <w:rPr>
          <w:lang w:val="en-GB"/>
        </w:rPr>
        <w:t>utilization</w:t>
      </w:r>
      <w:r w:rsidRPr="00BE3D06">
        <w:rPr>
          <w:lang w:val="en-GB"/>
        </w:rPr>
        <w:t xml:space="preserve"> of three different catalysts in case of</w:t>
      </w:r>
      <w:r w:rsidR="001C753D" w:rsidRPr="00BE3D06">
        <w:rPr>
          <w:lang w:val="en-GB"/>
        </w:rPr>
        <w:t xml:space="preserve"> the thermochemical degradation of</w:t>
      </w:r>
      <w:r w:rsidRPr="00BE3D06">
        <w:rPr>
          <w:lang w:val="en-GB"/>
        </w:rPr>
        <w:t xml:space="preserve"> biomass and plastic waste. Besides, the obtained results from kinetic calculations are also can be found.</w:t>
      </w:r>
    </w:p>
    <w:p w14:paraId="04963A06" w14:textId="0C73B820" w:rsidR="00600535" w:rsidRPr="00BE3D06" w:rsidRDefault="001F5909" w:rsidP="00FA5F5F">
      <w:pPr>
        <w:pStyle w:val="CETheadingx"/>
      </w:pPr>
      <w:r w:rsidRPr="00BE3D06">
        <w:t>Thermogravimetric analysis</w:t>
      </w:r>
    </w:p>
    <w:p w14:paraId="2E562C00" w14:textId="68FE37DA" w:rsidR="004577FE" w:rsidRPr="00BE3D06" w:rsidRDefault="00030AD7" w:rsidP="00030AD7">
      <w:pPr>
        <w:pStyle w:val="CETBodytext"/>
      </w:pPr>
      <w:proofErr w:type="gramStart"/>
      <w:r w:rsidRPr="00BE3D06">
        <w:t>In order to</w:t>
      </w:r>
      <w:proofErr w:type="gramEnd"/>
      <w:r w:rsidRPr="00BE3D06">
        <w:t xml:space="preserve"> make the </w:t>
      </w:r>
      <w:r w:rsidR="00BD2C3C" w:rsidRPr="00BE3D06">
        <w:t xml:space="preserve">kinetic calculations, it is essential to study the thermal degradation of the raw materials. The examined </w:t>
      </w:r>
      <w:r w:rsidRPr="00BE3D06">
        <w:t xml:space="preserve">biomass material </w:t>
      </w:r>
      <w:r w:rsidR="00BD2C3C" w:rsidRPr="00BE3D06">
        <w:t>contain</w:t>
      </w:r>
      <w:r w:rsidRPr="00BE3D06">
        <w:t>ed</w:t>
      </w:r>
      <w:r w:rsidR="00BD2C3C" w:rsidRPr="00BE3D06">
        <w:t xml:space="preserve"> varying amounts of cellulose, hemicellulose, and lignin, </w:t>
      </w:r>
      <w:r w:rsidRPr="00BE3D06">
        <w:t xml:space="preserve">while the </w:t>
      </w:r>
      <w:proofErr w:type="spellStart"/>
      <w:r w:rsidRPr="00BE3D06">
        <w:t>regranulated</w:t>
      </w:r>
      <w:proofErr w:type="spellEnd"/>
      <w:r w:rsidRPr="00BE3D06">
        <w:t xml:space="preserve"> polymer waste contained mainly olefins. </w:t>
      </w:r>
      <w:r w:rsidR="00BD2C3C" w:rsidRPr="00BE3D06">
        <w:t xml:space="preserve">Thermogravimetric analysis provides </w:t>
      </w:r>
      <w:r w:rsidRPr="00BE3D06">
        <w:t>information about</w:t>
      </w:r>
      <w:r w:rsidR="00BD2C3C" w:rsidRPr="00BE3D06">
        <w:t xml:space="preserve"> the thermal degradation </w:t>
      </w:r>
      <w:r w:rsidR="00D265CD" w:rsidRPr="00BE3D06">
        <w:t>behavior</w:t>
      </w:r>
      <w:r w:rsidR="00BD2C3C" w:rsidRPr="00BE3D06">
        <w:t xml:space="preserve"> of </w:t>
      </w:r>
      <w:r w:rsidRPr="00BE3D06">
        <w:t xml:space="preserve">materials, while with </w:t>
      </w:r>
      <w:r w:rsidR="00BD2C3C" w:rsidRPr="00BE3D06">
        <w:t xml:space="preserve">derivative thermogravimetric curves, the decomposition stages can be identified, </w:t>
      </w:r>
      <w:r w:rsidRPr="00BE3D06">
        <w:t>where</w:t>
      </w:r>
      <w:r w:rsidR="00BD2C3C" w:rsidRPr="00BE3D06">
        <w:t xml:space="preserve"> multiple peaks </w:t>
      </w:r>
      <w:r w:rsidR="00F40772" w:rsidRPr="00BE3D06">
        <w:t>indicate</w:t>
      </w:r>
      <w:r w:rsidR="00BD2C3C" w:rsidRPr="00BE3D06">
        <w:t xml:space="preserve"> multiple degradation steps. </w:t>
      </w:r>
    </w:p>
    <w:tbl>
      <w:tblPr>
        <w:tblStyle w:val="TableGrid"/>
        <w:tblW w:w="962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1"/>
        <w:gridCol w:w="3260"/>
        <w:gridCol w:w="3118"/>
      </w:tblGrid>
      <w:tr w:rsidR="0097567F" w:rsidRPr="00BE3D06" w14:paraId="2F9A1492" w14:textId="1F46FF81" w:rsidTr="0097567F">
        <w:tc>
          <w:tcPr>
            <w:tcW w:w="3251" w:type="dxa"/>
          </w:tcPr>
          <w:p w14:paraId="5154E83B" w14:textId="289FF92B" w:rsidR="0097567F" w:rsidRPr="00BE3D06" w:rsidRDefault="0097567F" w:rsidP="007623E9">
            <w:pPr>
              <w:pStyle w:val="CETListbullets"/>
              <w:ind w:left="0" w:firstLine="0"/>
            </w:pPr>
            <w:r w:rsidRPr="00BE3D06">
              <w:rPr>
                <w:noProof/>
                <w:lang w:eastAsia="en-GB"/>
              </w:rPr>
              <w:drawing>
                <wp:inline distT="0" distB="0" distL="0" distR="0" wp14:anchorId="145C2463" wp14:editId="1F31A691">
                  <wp:extent cx="1708448" cy="1620000"/>
                  <wp:effectExtent l="0" t="0" r="6350" b="0"/>
                  <wp:docPr id="19" name="Ké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8448" cy="1620000"/>
                          </a:xfrm>
                          <a:prstGeom prst="rect">
                            <a:avLst/>
                          </a:prstGeom>
                          <a:noFill/>
                          <a:ln>
                            <a:noFill/>
                          </a:ln>
                        </pic:spPr>
                      </pic:pic>
                    </a:graphicData>
                  </a:graphic>
                </wp:inline>
              </w:drawing>
            </w:r>
          </w:p>
        </w:tc>
        <w:tc>
          <w:tcPr>
            <w:tcW w:w="3260" w:type="dxa"/>
          </w:tcPr>
          <w:p w14:paraId="415DFC32" w14:textId="4E322BD3" w:rsidR="0097567F" w:rsidRPr="00BE3D06" w:rsidRDefault="00902761" w:rsidP="007623E9">
            <w:pPr>
              <w:pStyle w:val="CETListbullets"/>
              <w:ind w:left="0" w:firstLine="0"/>
            </w:pPr>
            <w:r w:rsidRPr="00BE3D06">
              <w:rPr>
                <w:noProof/>
                <w:lang w:eastAsia="en-GB"/>
              </w:rPr>
              <w:drawing>
                <wp:inline distT="0" distB="0" distL="0" distR="0" wp14:anchorId="5E770B61" wp14:editId="0D29AEDF">
                  <wp:extent cx="1711688" cy="1620000"/>
                  <wp:effectExtent l="0" t="0" r="317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1688" cy="1620000"/>
                          </a:xfrm>
                          <a:prstGeom prst="rect">
                            <a:avLst/>
                          </a:prstGeom>
                          <a:noFill/>
                          <a:ln>
                            <a:noFill/>
                          </a:ln>
                        </pic:spPr>
                      </pic:pic>
                    </a:graphicData>
                  </a:graphic>
                </wp:inline>
              </w:drawing>
            </w:r>
          </w:p>
        </w:tc>
        <w:tc>
          <w:tcPr>
            <w:tcW w:w="3118" w:type="dxa"/>
          </w:tcPr>
          <w:p w14:paraId="01C4B08D" w14:textId="71352BED" w:rsidR="0097567F" w:rsidRPr="00BE3D06" w:rsidRDefault="00030AD7" w:rsidP="007623E9">
            <w:pPr>
              <w:pStyle w:val="CETListbullets"/>
              <w:ind w:left="0" w:firstLine="0"/>
              <w:rPr>
                <w:noProof/>
                <w:lang w:eastAsia="en-GB"/>
              </w:rPr>
            </w:pPr>
            <w:r w:rsidRPr="00BE3D06">
              <w:rPr>
                <w:noProof/>
                <w:lang w:eastAsia="en-GB"/>
              </w:rPr>
              <w:drawing>
                <wp:inline distT="0" distB="0" distL="0" distR="0" wp14:anchorId="0866106A" wp14:editId="3EA7182B">
                  <wp:extent cx="1722659" cy="1620000"/>
                  <wp:effectExtent l="0" t="0" r="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2659" cy="1620000"/>
                          </a:xfrm>
                          <a:prstGeom prst="rect">
                            <a:avLst/>
                          </a:prstGeom>
                          <a:noFill/>
                          <a:ln>
                            <a:noFill/>
                          </a:ln>
                        </pic:spPr>
                      </pic:pic>
                    </a:graphicData>
                  </a:graphic>
                </wp:inline>
              </w:drawing>
            </w:r>
          </w:p>
        </w:tc>
      </w:tr>
      <w:tr w:rsidR="0097567F" w:rsidRPr="00BE3D06" w14:paraId="7CB7F026" w14:textId="71B5C149" w:rsidTr="0097567F">
        <w:tc>
          <w:tcPr>
            <w:tcW w:w="3251" w:type="dxa"/>
            <w:vAlign w:val="center"/>
          </w:tcPr>
          <w:p w14:paraId="3BC351F9" w14:textId="55EC173D" w:rsidR="0097567F" w:rsidRPr="00BE3D06" w:rsidRDefault="0097567F" w:rsidP="0097567F">
            <w:pPr>
              <w:pStyle w:val="CETListbullets"/>
              <w:ind w:left="0" w:firstLine="0"/>
              <w:jc w:val="center"/>
            </w:pPr>
            <w:r w:rsidRPr="00BE3D06">
              <w:t>(a)</w:t>
            </w:r>
          </w:p>
        </w:tc>
        <w:tc>
          <w:tcPr>
            <w:tcW w:w="3260" w:type="dxa"/>
            <w:vAlign w:val="center"/>
          </w:tcPr>
          <w:p w14:paraId="4F2C975F" w14:textId="20C9B5AD" w:rsidR="0097567F" w:rsidRPr="00BE3D06" w:rsidRDefault="0097567F" w:rsidP="0097567F">
            <w:pPr>
              <w:pStyle w:val="CETListbullets"/>
              <w:ind w:left="0" w:firstLine="0"/>
              <w:jc w:val="center"/>
            </w:pPr>
            <w:r w:rsidRPr="00BE3D06">
              <w:t>(b)</w:t>
            </w:r>
          </w:p>
        </w:tc>
        <w:tc>
          <w:tcPr>
            <w:tcW w:w="3118" w:type="dxa"/>
          </w:tcPr>
          <w:p w14:paraId="64C50E95" w14:textId="7BC34261" w:rsidR="0097567F" w:rsidRPr="00BE3D06" w:rsidRDefault="0097567F" w:rsidP="0097567F">
            <w:pPr>
              <w:pStyle w:val="CETListbullets"/>
              <w:ind w:left="0" w:firstLine="0"/>
              <w:jc w:val="center"/>
            </w:pPr>
            <w:r w:rsidRPr="00BE3D06">
              <w:t>(c)</w:t>
            </w:r>
          </w:p>
        </w:tc>
      </w:tr>
      <w:tr w:rsidR="0097567F" w:rsidRPr="00BE3D06" w14:paraId="5277D38C" w14:textId="3DF30C72" w:rsidTr="0097567F">
        <w:tc>
          <w:tcPr>
            <w:tcW w:w="3251" w:type="dxa"/>
          </w:tcPr>
          <w:p w14:paraId="7EF59225" w14:textId="0E080F79" w:rsidR="0097567F" w:rsidRPr="00BE3D06" w:rsidRDefault="0097567F" w:rsidP="007623E9">
            <w:pPr>
              <w:pStyle w:val="CETListbullets"/>
              <w:ind w:left="0" w:firstLine="0"/>
            </w:pPr>
            <w:r w:rsidRPr="00BE3D06">
              <w:rPr>
                <w:noProof/>
                <w:lang w:eastAsia="en-GB"/>
              </w:rPr>
              <w:drawing>
                <wp:inline distT="0" distB="0" distL="0" distR="0" wp14:anchorId="7CDFAE68" wp14:editId="46433F7C">
                  <wp:extent cx="1717759" cy="1620000"/>
                  <wp:effectExtent l="0" t="0" r="0" b="0"/>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7759" cy="1620000"/>
                          </a:xfrm>
                          <a:prstGeom prst="rect">
                            <a:avLst/>
                          </a:prstGeom>
                          <a:noFill/>
                          <a:ln>
                            <a:noFill/>
                          </a:ln>
                        </pic:spPr>
                      </pic:pic>
                    </a:graphicData>
                  </a:graphic>
                </wp:inline>
              </w:drawing>
            </w:r>
          </w:p>
        </w:tc>
        <w:tc>
          <w:tcPr>
            <w:tcW w:w="3260" w:type="dxa"/>
          </w:tcPr>
          <w:p w14:paraId="2DF49BA4" w14:textId="0E6E77E8" w:rsidR="0097567F" w:rsidRPr="00BE3D06" w:rsidRDefault="0097567F" w:rsidP="007623E9">
            <w:pPr>
              <w:pStyle w:val="CETListbullets"/>
              <w:ind w:left="0" w:firstLine="0"/>
            </w:pPr>
            <w:r w:rsidRPr="00BE3D06">
              <w:rPr>
                <w:noProof/>
                <w:lang w:eastAsia="en-GB"/>
              </w:rPr>
              <w:drawing>
                <wp:inline distT="0" distB="0" distL="0" distR="0" wp14:anchorId="07B1E7A1" wp14:editId="4DF56DEB">
                  <wp:extent cx="1620000" cy="1527805"/>
                  <wp:effectExtent l="0" t="0" r="0" b="0"/>
                  <wp:docPr id="16"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0000" cy="1527805"/>
                          </a:xfrm>
                          <a:prstGeom prst="rect">
                            <a:avLst/>
                          </a:prstGeom>
                          <a:noFill/>
                          <a:ln>
                            <a:noFill/>
                          </a:ln>
                        </pic:spPr>
                      </pic:pic>
                    </a:graphicData>
                  </a:graphic>
                </wp:inline>
              </w:drawing>
            </w:r>
          </w:p>
        </w:tc>
        <w:tc>
          <w:tcPr>
            <w:tcW w:w="3118" w:type="dxa"/>
          </w:tcPr>
          <w:p w14:paraId="30314F3A" w14:textId="60984ECC" w:rsidR="0097567F" w:rsidRPr="00BE3D06" w:rsidRDefault="00D265CD" w:rsidP="007623E9">
            <w:pPr>
              <w:pStyle w:val="CETListbullets"/>
              <w:ind w:left="0" w:firstLine="0"/>
              <w:rPr>
                <w:noProof/>
                <w:lang w:eastAsia="en-GB"/>
              </w:rPr>
            </w:pPr>
            <w:r w:rsidRPr="00BE3D06">
              <w:rPr>
                <w:noProof/>
                <w:lang w:eastAsia="en-GB"/>
              </w:rPr>
              <w:drawing>
                <wp:inline distT="0" distB="0" distL="0" distR="0" wp14:anchorId="64BDC026" wp14:editId="4F80C83C">
                  <wp:extent cx="1729629" cy="1620000"/>
                  <wp:effectExtent l="0" t="0" r="4445" b="0"/>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29629" cy="1620000"/>
                          </a:xfrm>
                          <a:prstGeom prst="rect">
                            <a:avLst/>
                          </a:prstGeom>
                          <a:noFill/>
                          <a:ln>
                            <a:noFill/>
                          </a:ln>
                        </pic:spPr>
                      </pic:pic>
                    </a:graphicData>
                  </a:graphic>
                </wp:inline>
              </w:drawing>
            </w:r>
          </w:p>
        </w:tc>
      </w:tr>
      <w:tr w:rsidR="0097567F" w:rsidRPr="00BE3D06" w14:paraId="5BE7049F" w14:textId="6EB9276E" w:rsidTr="0097567F">
        <w:tc>
          <w:tcPr>
            <w:tcW w:w="3251" w:type="dxa"/>
          </w:tcPr>
          <w:p w14:paraId="59FB89EF" w14:textId="6A76A114" w:rsidR="0097567F" w:rsidRPr="00BE3D06" w:rsidRDefault="0097567F" w:rsidP="0097567F">
            <w:pPr>
              <w:pStyle w:val="CETListbullets"/>
              <w:ind w:left="0" w:firstLine="0"/>
              <w:jc w:val="center"/>
            </w:pPr>
            <w:r w:rsidRPr="00BE3D06">
              <w:t>(d)</w:t>
            </w:r>
          </w:p>
        </w:tc>
        <w:tc>
          <w:tcPr>
            <w:tcW w:w="3260" w:type="dxa"/>
          </w:tcPr>
          <w:p w14:paraId="21E77B21" w14:textId="16A808DC" w:rsidR="0097567F" w:rsidRPr="00BE3D06" w:rsidRDefault="0097567F" w:rsidP="0097567F">
            <w:pPr>
              <w:pStyle w:val="CETListbullets"/>
              <w:ind w:left="0" w:firstLine="0"/>
              <w:jc w:val="center"/>
            </w:pPr>
            <w:r w:rsidRPr="00BE3D06">
              <w:t>(e)</w:t>
            </w:r>
          </w:p>
        </w:tc>
        <w:tc>
          <w:tcPr>
            <w:tcW w:w="3118" w:type="dxa"/>
          </w:tcPr>
          <w:p w14:paraId="502A8C1D" w14:textId="70FDB49D" w:rsidR="0097567F" w:rsidRPr="00BE3D06" w:rsidRDefault="0097567F" w:rsidP="0097567F">
            <w:pPr>
              <w:pStyle w:val="CETListbullets"/>
              <w:ind w:left="0" w:firstLine="0"/>
              <w:jc w:val="center"/>
            </w:pPr>
            <w:r w:rsidRPr="00BE3D06">
              <w:t>(f)</w:t>
            </w:r>
          </w:p>
        </w:tc>
      </w:tr>
    </w:tbl>
    <w:p w14:paraId="0CEED95F" w14:textId="0801321D" w:rsidR="0097567F" w:rsidRPr="00BE3D06" w:rsidRDefault="0097567F" w:rsidP="00DC24D3">
      <w:pPr>
        <w:pStyle w:val="CETCaption"/>
        <w:spacing w:before="0"/>
        <w:rPr>
          <w:rStyle w:val="CETCaptionCarattere"/>
          <w:i/>
        </w:rPr>
      </w:pPr>
      <w:r w:rsidRPr="00BE3D06">
        <w:rPr>
          <w:rStyle w:val="CETCaptionCarattere"/>
          <w:i/>
        </w:rPr>
        <w:t xml:space="preserve">Figure </w:t>
      </w:r>
      <w:r w:rsidR="003C0BD8" w:rsidRPr="00BE3D06">
        <w:rPr>
          <w:rStyle w:val="CETCaptionCarattere"/>
          <w:i/>
        </w:rPr>
        <w:t>1</w:t>
      </w:r>
      <w:r w:rsidRPr="00BE3D06">
        <w:rPr>
          <w:rStyle w:val="CETCaptionCarattere"/>
          <w:i/>
        </w:rPr>
        <w:t xml:space="preserve">: The TG-DTG curves in case of (a) biomass 5°C/min, (b) biomass 20°C/min, (c) biomass 50°C/min, (d) </w:t>
      </w:r>
      <w:proofErr w:type="spellStart"/>
      <w:r w:rsidRPr="00BE3D06">
        <w:rPr>
          <w:rStyle w:val="CETCaptionCarattere"/>
          <w:i/>
        </w:rPr>
        <w:t>regranulate</w:t>
      </w:r>
      <w:proofErr w:type="spellEnd"/>
      <w:r w:rsidRPr="00BE3D06">
        <w:rPr>
          <w:rStyle w:val="CETCaptionCarattere"/>
          <w:i/>
        </w:rPr>
        <w:t xml:space="preserve"> 5°C/min, (e) </w:t>
      </w:r>
      <w:proofErr w:type="spellStart"/>
      <w:r w:rsidRPr="00BE3D06">
        <w:rPr>
          <w:rStyle w:val="CETCaptionCarattere"/>
          <w:i/>
        </w:rPr>
        <w:t>regranulate</w:t>
      </w:r>
      <w:proofErr w:type="spellEnd"/>
      <w:r w:rsidRPr="00BE3D06">
        <w:rPr>
          <w:rStyle w:val="CETCaptionCarattere"/>
          <w:i/>
        </w:rPr>
        <w:t xml:space="preserve"> 20°C/min, (f) </w:t>
      </w:r>
      <w:proofErr w:type="spellStart"/>
      <w:r w:rsidRPr="00BE3D06">
        <w:rPr>
          <w:rStyle w:val="CETCaptionCarattere"/>
          <w:i/>
        </w:rPr>
        <w:t>regranulate</w:t>
      </w:r>
      <w:proofErr w:type="spellEnd"/>
      <w:r w:rsidRPr="00BE3D06">
        <w:rPr>
          <w:rStyle w:val="CETCaptionCarattere"/>
          <w:i/>
        </w:rPr>
        <w:t xml:space="preserve"> 50°C/min</w:t>
      </w:r>
    </w:p>
    <w:p w14:paraId="2980DCC2" w14:textId="00E0FABA" w:rsidR="00D863F3" w:rsidRPr="00BE3D06" w:rsidRDefault="00D863F3" w:rsidP="00D863F3">
      <w:pPr>
        <w:pStyle w:val="CETBodytext"/>
      </w:pPr>
      <w:r w:rsidRPr="00BE3D06">
        <w:t xml:space="preserve">Based on Figure 1, it can be noted that biomass degraded in two main steps, between 211°C and 413°C, with a smaller third degradation step between 30-200°C. The latter one indicates the removal of moisture content of biomass waste, while the greater peaks show the degradation of hemicellulose and cellulose units. </w:t>
      </w:r>
      <w:r w:rsidR="00A14D77" w:rsidRPr="00BE3D06">
        <w:t>Biomass degrades in several steps because its lignocellulose content has unique thermal stability and decomposition characteristics</w:t>
      </w:r>
      <w:r w:rsidRPr="00BE3D06">
        <w:t xml:space="preserve">. Nevertheless, secondary reactions, the releasement of moisture and volatiles further contribute </w:t>
      </w:r>
      <w:r w:rsidRPr="00BE3D06">
        <w:lastRenderedPageBreak/>
        <w:t xml:space="preserve">to multiple stages. Besides, it should be mentioned that with the increment of heating rate, the intensity of the DTG peaks were higher, which means that the decomposition rate was higher. The mentioned phenomena can be explained by the higher heating rate, the improved heat transfer and the use of more acidic catalyst as it can be seen in Figure 1 (a) and (b). </w:t>
      </w:r>
    </w:p>
    <w:p w14:paraId="064F4118" w14:textId="70057D3D" w:rsidR="00D863F3" w:rsidRPr="00BE3D06" w:rsidRDefault="00D863F3" w:rsidP="00D863F3">
      <w:pPr>
        <w:pStyle w:val="CETBodytext"/>
        <w:rPr>
          <w:i/>
        </w:rPr>
      </w:pPr>
      <w:r w:rsidRPr="00BE3D06">
        <w:t xml:space="preserve">Focusing on the </w:t>
      </w:r>
      <w:proofErr w:type="spellStart"/>
      <w:r w:rsidRPr="00BE3D06">
        <w:t>regranulated</w:t>
      </w:r>
      <w:proofErr w:type="spellEnd"/>
      <w:r w:rsidRPr="00BE3D06">
        <w:t xml:space="preserve"> polymer waste (Figure 1 (d)-(f)</w:t>
      </w:r>
      <w:r w:rsidR="00A14D77" w:rsidRPr="00BE3D06">
        <w:t>)</w:t>
      </w:r>
      <w:r w:rsidRPr="00BE3D06">
        <w:t xml:space="preserve">, it can be observed that it was degraded in one step owing to its homogenous structure and single dominant degradation mechanism such as chain scission and depolymerization. Same results can be seen, in case of the DTG curves, however with the increment of heating rate not only the intensity of degradation was </w:t>
      </w:r>
      <w:r w:rsidR="00F40772" w:rsidRPr="00BE3D06">
        <w:t>greater,</w:t>
      </w:r>
      <w:r w:rsidRPr="00BE3D06">
        <w:t xml:space="preserve"> but the degradation temperature ranges were shifted into higher temperatures. At first, the main degradation step </w:t>
      </w:r>
      <w:r w:rsidR="00F40772" w:rsidRPr="00BE3D06">
        <w:t>occurred</w:t>
      </w:r>
      <w:r w:rsidRPr="00BE3D06">
        <w:t xml:space="preserve"> between 321-491°C, with 20°C/min heating rate it was between 362-510°C, while that of with 50°C/min was 392-552°C.</w:t>
      </w:r>
    </w:p>
    <w:p w14:paraId="1F96CA21" w14:textId="68341CED" w:rsidR="00600535" w:rsidRPr="00BE3D06" w:rsidRDefault="001F5909" w:rsidP="00FA5F5F">
      <w:pPr>
        <w:pStyle w:val="CETheadingx"/>
      </w:pPr>
      <w:r w:rsidRPr="00BE3D06">
        <w:t>Parameter optimization by kinetic model</w:t>
      </w:r>
    </w:p>
    <w:p w14:paraId="47E1F377" w14:textId="5F218A74" w:rsidR="00FA1C38" w:rsidRPr="00BE3D06" w:rsidRDefault="00FA1C38" w:rsidP="00FA1C38">
      <w:pPr>
        <w:pStyle w:val="CETBodytext"/>
      </w:pPr>
      <w:r w:rsidRPr="00BE3D06">
        <w:t xml:space="preserve">The thermal degradation of biomass is a highly complex process, which can be attributed to its diverse composition. During thermal degradation, numerous simultaneous reactions occur, making the precise determination of the mechanisms of these reactions challenging. Regarding </w:t>
      </w:r>
      <w:r w:rsidR="00F40772" w:rsidRPr="00BE3D06">
        <w:t>plastic</w:t>
      </w:r>
      <w:r w:rsidRPr="00BE3D06">
        <w:t xml:space="preserve"> waste it can be concluded that the degradation mechanism is more simply than that of biomass. </w:t>
      </w:r>
      <w:proofErr w:type="gramStart"/>
      <w:r w:rsidRPr="00BE3D06">
        <w:t>Assuming that</w:t>
      </w:r>
      <w:proofErr w:type="gramEnd"/>
      <w:r w:rsidRPr="00BE3D06">
        <w:t xml:space="preserve"> the transformation of the raw material into the product occurs as a single-step process, the reaction rate can be expressed using the Arrhenius equation as follows</w:t>
      </w:r>
      <w:r w:rsidR="00FD47A2" w:rsidRPr="00BE3D06">
        <w:t xml:space="preserve"> (Yan et al. 2019 and </w:t>
      </w:r>
      <w:r w:rsidR="009B083B" w:rsidRPr="00BE3D06">
        <w:t>B</w:t>
      </w:r>
      <w:r w:rsidR="00FD47A2" w:rsidRPr="00BE3D06">
        <w:t>ach et al. 2014)</w:t>
      </w:r>
      <w:r w:rsidRPr="00BE3D06">
        <w:t>:</w:t>
      </w:r>
    </w:p>
    <w:tbl>
      <w:tblPr>
        <w:tblW w:w="5000" w:type="pct"/>
        <w:tblLook w:val="04A0" w:firstRow="1" w:lastRow="0" w:firstColumn="1" w:lastColumn="0" w:noHBand="0" w:noVBand="1"/>
      </w:tblPr>
      <w:tblGrid>
        <w:gridCol w:w="7983"/>
        <w:gridCol w:w="804"/>
      </w:tblGrid>
      <w:tr w:rsidR="00FA1C38" w:rsidRPr="00BE3D06" w14:paraId="784F62E2" w14:textId="77777777" w:rsidTr="00FA1C38">
        <w:tc>
          <w:tcPr>
            <w:tcW w:w="7983" w:type="dxa"/>
            <w:shd w:val="clear" w:color="auto" w:fill="auto"/>
            <w:vAlign w:val="center"/>
          </w:tcPr>
          <w:p w14:paraId="65520418" w14:textId="3E3CE612" w:rsidR="00FA1C38" w:rsidRPr="00BE3D06" w:rsidRDefault="00FA1C38" w:rsidP="00FA1C38">
            <w:pPr>
              <w:pStyle w:val="CETBodytext"/>
            </w:pPr>
            <m:oMathPara>
              <m:oMathParaPr>
                <m:jc m:val="left"/>
              </m:oMathParaPr>
              <m:oMath>
                <m:r>
                  <w:rPr>
                    <w:rFonts w:ascii="Cambria Math" w:hAnsi="Cambria Math"/>
                    <w:sz w:val="20"/>
                    <w:lang w:val="hu-HU"/>
                  </w:rPr>
                  <m:t>k=A</m:t>
                </m:r>
                <m:sSup>
                  <m:sSupPr>
                    <m:ctrlPr>
                      <w:rPr>
                        <w:rFonts w:ascii="Cambria Math" w:hAnsi="Cambria Math"/>
                        <w:i/>
                        <w:sz w:val="20"/>
                        <w:lang w:val="hu-HU"/>
                      </w:rPr>
                    </m:ctrlPr>
                  </m:sSupPr>
                  <m:e>
                    <m:r>
                      <w:rPr>
                        <w:rFonts w:ascii="Cambria Math" w:hAnsi="Cambria Math"/>
                        <w:sz w:val="20"/>
                        <w:lang w:val="hu-HU"/>
                      </w:rPr>
                      <m:t>e</m:t>
                    </m:r>
                  </m:e>
                  <m:sup>
                    <m:r>
                      <w:rPr>
                        <w:rFonts w:ascii="Cambria Math" w:hAnsi="Cambria Math"/>
                        <w:sz w:val="20"/>
                        <w:lang w:val="hu-HU"/>
                      </w:rPr>
                      <m:t>-(</m:t>
                    </m:r>
                    <m:f>
                      <m:fPr>
                        <m:ctrlPr>
                          <w:rPr>
                            <w:rFonts w:ascii="Cambria Math" w:hAnsi="Cambria Math"/>
                            <w:i/>
                            <w:sz w:val="20"/>
                            <w:lang w:val="hu-HU"/>
                          </w:rPr>
                        </m:ctrlPr>
                      </m:fPr>
                      <m:num>
                        <m:sSub>
                          <m:sSubPr>
                            <m:ctrlPr>
                              <w:rPr>
                                <w:rFonts w:ascii="Cambria Math" w:hAnsi="Cambria Math"/>
                                <w:i/>
                                <w:sz w:val="20"/>
                                <w:lang w:val="hu-HU"/>
                              </w:rPr>
                            </m:ctrlPr>
                          </m:sSubPr>
                          <m:e>
                            <m:r>
                              <w:rPr>
                                <w:rFonts w:ascii="Cambria Math" w:hAnsi="Cambria Math"/>
                                <w:sz w:val="20"/>
                                <w:lang w:val="hu-HU"/>
                              </w:rPr>
                              <m:t>E</m:t>
                            </m:r>
                          </m:e>
                          <m:sub>
                            <m:r>
                              <w:rPr>
                                <w:rFonts w:ascii="Cambria Math" w:hAnsi="Cambria Math"/>
                                <w:sz w:val="20"/>
                                <w:lang w:val="hu-HU"/>
                              </w:rPr>
                              <m:t>a</m:t>
                            </m:r>
                          </m:sub>
                        </m:sSub>
                      </m:num>
                      <m:den>
                        <m:r>
                          <w:rPr>
                            <w:rFonts w:ascii="Cambria Math" w:hAnsi="Cambria Math"/>
                            <w:sz w:val="20"/>
                            <w:lang w:val="hu-HU"/>
                          </w:rPr>
                          <m:t>RT</m:t>
                        </m:r>
                      </m:den>
                    </m:f>
                    <m:r>
                      <w:rPr>
                        <w:rFonts w:ascii="Cambria Math" w:hAnsi="Cambria Math"/>
                        <w:sz w:val="20"/>
                        <w:lang w:val="hu-HU"/>
                      </w:rPr>
                      <m:t>)</m:t>
                    </m:r>
                  </m:sup>
                </m:sSup>
              </m:oMath>
            </m:oMathPara>
          </w:p>
        </w:tc>
        <w:tc>
          <w:tcPr>
            <w:tcW w:w="804" w:type="dxa"/>
            <w:shd w:val="clear" w:color="auto" w:fill="auto"/>
            <w:vAlign w:val="center"/>
          </w:tcPr>
          <w:p w14:paraId="1673ECC8" w14:textId="77777777" w:rsidR="00FA1C38" w:rsidRPr="00BE3D06" w:rsidRDefault="00FA1C38" w:rsidP="00FA1C38">
            <w:pPr>
              <w:pStyle w:val="CETBodytext"/>
            </w:pPr>
            <w:r w:rsidRPr="00BE3D06">
              <w:t>(1)</w:t>
            </w:r>
          </w:p>
        </w:tc>
      </w:tr>
    </w:tbl>
    <w:p w14:paraId="7D535665" w14:textId="227DB310" w:rsidR="00FA1C38" w:rsidRPr="00BE3D06" w:rsidRDefault="00FA1C38" w:rsidP="00FA1C38">
      <w:pPr>
        <w:pStyle w:val="CETBodytext"/>
      </w:pPr>
      <w:r w:rsidRPr="00BE3D06">
        <w:t xml:space="preserve">where </w:t>
      </w:r>
      <w:r w:rsidRPr="00BE3D06">
        <w:rPr>
          <w:rFonts w:eastAsiaTheme="minorEastAsia"/>
          <w:i/>
          <w:lang w:val="hu-HU"/>
        </w:rPr>
        <w:t>k</w:t>
      </w:r>
      <w:r w:rsidRPr="00BE3D06">
        <w:t xml:space="preserve"> is the reaction rate constant, </w:t>
      </w:r>
      <w:r w:rsidRPr="00BE3D06">
        <w:rPr>
          <w:rFonts w:eastAsiaTheme="minorEastAsia"/>
          <w:i/>
          <w:lang w:val="hu-HU"/>
        </w:rPr>
        <w:t>A</w:t>
      </w:r>
      <w:r w:rsidRPr="00BE3D06">
        <w:t xml:space="preserve"> is the pre-exponential factor (</w:t>
      </w:r>
      <w:r w:rsidRPr="00BE3D06">
        <w:rPr>
          <w:rStyle w:val="katex-mathml"/>
        </w:rPr>
        <w:t>1/min</w:t>
      </w:r>
      <w:r w:rsidRPr="00BE3D06">
        <w:t xml:space="preserve">), </w:t>
      </w:r>
      <w:r w:rsidRPr="00BE3D06">
        <w:rPr>
          <w:rFonts w:eastAsiaTheme="minorEastAsia"/>
          <w:i/>
          <w:lang w:val="hu-HU"/>
        </w:rPr>
        <w:t>E</w:t>
      </w:r>
      <w:r w:rsidRPr="00BE3D06">
        <w:rPr>
          <w:rFonts w:eastAsiaTheme="minorEastAsia"/>
          <w:i/>
          <w:vertAlign w:val="subscript"/>
          <w:lang w:val="hu-HU"/>
        </w:rPr>
        <w:t>a</w:t>
      </w:r>
      <w:r w:rsidRPr="00BE3D06">
        <w:t xml:space="preserve"> is the activation energy (</w:t>
      </w:r>
      <w:r w:rsidRPr="00BE3D06">
        <w:rPr>
          <w:rStyle w:val="katex-mathml"/>
        </w:rPr>
        <w:t>kJ/mol</w:t>
      </w:r>
      <w:r w:rsidRPr="00BE3D06">
        <w:t xml:space="preserve">), </w:t>
      </w:r>
      <w:r w:rsidRPr="00BE3D06">
        <w:rPr>
          <w:rStyle w:val="katex-mathml"/>
          <w:i/>
        </w:rPr>
        <w:t>R</w:t>
      </w:r>
      <w:r w:rsidRPr="00BE3D06">
        <w:t xml:space="preserve"> is the universal gas constant (</w:t>
      </w:r>
      <w:r w:rsidRPr="00BE3D06">
        <w:rPr>
          <w:rStyle w:val="katex-mathml"/>
        </w:rPr>
        <w:t>8.314 J/</w:t>
      </w:r>
      <w:proofErr w:type="spellStart"/>
      <w:r w:rsidRPr="00BE3D06">
        <w:rPr>
          <w:rStyle w:val="katex-mathml"/>
        </w:rPr>
        <w:t>molK</w:t>
      </w:r>
      <w:proofErr w:type="spellEnd"/>
      <w:r w:rsidRPr="00BE3D06">
        <w:t xml:space="preserve">), and </w:t>
      </w:r>
      <w:r w:rsidRPr="00BE3D06">
        <w:rPr>
          <w:rStyle w:val="katex-mathml"/>
        </w:rPr>
        <w:t xml:space="preserve">T </w:t>
      </w:r>
      <w:r w:rsidRPr="00BE3D06">
        <w:t>is the absolute temperature (</w:t>
      </w:r>
      <w:r w:rsidRPr="00BE3D06">
        <w:rPr>
          <w:rStyle w:val="katex-mathml"/>
        </w:rPr>
        <w:t>K</w:t>
      </w:r>
      <w:r w:rsidRPr="00BE3D06">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FA1C38" w:rsidRPr="00BE3D06" w14:paraId="3EC4D17E" w14:textId="77777777" w:rsidTr="00FA1C38">
        <w:tc>
          <w:tcPr>
            <w:tcW w:w="4388" w:type="dxa"/>
          </w:tcPr>
          <w:p w14:paraId="566C67E6" w14:textId="33FE7A18" w:rsidR="00FA1C38" w:rsidRPr="00BE3D06" w:rsidRDefault="00FA1C38" w:rsidP="0040226C">
            <w:pPr>
              <w:pStyle w:val="CETBodytextItalic"/>
              <w:spacing w:line="240" w:lineRule="auto"/>
              <w:rPr>
                <w:i w:val="0"/>
              </w:rPr>
            </w:pPr>
            <w:r w:rsidRPr="00BE3D06">
              <w:rPr>
                <w:i w:val="0"/>
                <w:noProof/>
                <w:lang w:eastAsia="en-GB"/>
              </w:rPr>
              <w:drawing>
                <wp:inline distT="0" distB="0" distL="0" distR="0" wp14:anchorId="340ACF98" wp14:editId="31ACDE33">
                  <wp:extent cx="2126255" cy="1440000"/>
                  <wp:effectExtent l="0" t="0" r="7620" b="8255"/>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26255" cy="1440000"/>
                          </a:xfrm>
                          <a:prstGeom prst="rect">
                            <a:avLst/>
                          </a:prstGeom>
                          <a:noFill/>
                          <a:ln>
                            <a:noFill/>
                          </a:ln>
                        </pic:spPr>
                      </pic:pic>
                    </a:graphicData>
                  </a:graphic>
                </wp:inline>
              </w:drawing>
            </w:r>
          </w:p>
        </w:tc>
        <w:tc>
          <w:tcPr>
            <w:tcW w:w="4389" w:type="dxa"/>
          </w:tcPr>
          <w:p w14:paraId="17DAC503" w14:textId="23FC1887" w:rsidR="00FA1C38" w:rsidRPr="00BE3D06" w:rsidRDefault="001A0E80" w:rsidP="0040226C">
            <w:pPr>
              <w:pStyle w:val="CETBodytextItalic"/>
              <w:spacing w:line="240" w:lineRule="auto"/>
              <w:rPr>
                <w:i w:val="0"/>
              </w:rPr>
            </w:pPr>
            <w:r w:rsidRPr="00BE3D06">
              <w:rPr>
                <w:i w:val="0"/>
                <w:noProof/>
                <w:lang w:eastAsia="en-GB"/>
              </w:rPr>
              <w:drawing>
                <wp:inline distT="0" distB="0" distL="0" distR="0" wp14:anchorId="164FE3E9" wp14:editId="21924EB7">
                  <wp:extent cx="2130043" cy="1440000"/>
                  <wp:effectExtent l="0" t="0" r="3810" b="8255"/>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30043" cy="1440000"/>
                          </a:xfrm>
                          <a:prstGeom prst="rect">
                            <a:avLst/>
                          </a:prstGeom>
                          <a:noFill/>
                          <a:ln>
                            <a:noFill/>
                          </a:ln>
                        </pic:spPr>
                      </pic:pic>
                    </a:graphicData>
                  </a:graphic>
                </wp:inline>
              </w:drawing>
            </w:r>
          </w:p>
        </w:tc>
      </w:tr>
      <w:tr w:rsidR="00FA1C38" w:rsidRPr="00BE3D06" w14:paraId="4D157F97" w14:textId="77777777" w:rsidTr="00FA1C38">
        <w:tc>
          <w:tcPr>
            <w:tcW w:w="4388" w:type="dxa"/>
          </w:tcPr>
          <w:p w14:paraId="1FA59A9A" w14:textId="7DCEE789" w:rsidR="00FA1C38" w:rsidRPr="00BE3D06" w:rsidRDefault="00FA1C38" w:rsidP="0040226C">
            <w:pPr>
              <w:pStyle w:val="CETBodytextItalic"/>
              <w:spacing w:line="240" w:lineRule="auto"/>
              <w:jc w:val="center"/>
              <w:rPr>
                <w:i w:val="0"/>
              </w:rPr>
            </w:pPr>
            <w:r w:rsidRPr="00BE3D06">
              <w:rPr>
                <w:i w:val="0"/>
              </w:rPr>
              <w:t>(a)</w:t>
            </w:r>
          </w:p>
        </w:tc>
        <w:tc>
          <w:tcPr>
            <w:tcW w:w="4389" w:type="dxa"/>
          </w:tcPr>
          <w:p w14:paraId="2F28D8E4" w14:textId="4DE7B48E" w:rsidR="00FA1C38" w:rsidRPr="00BE3D06" w:rsidRDefault="00FA1C38" w:rsidP="0040226C">
            <w:pPr>
              <w:pStyle w:val="CETBodytextItalic"/>
              <w:spacing w:line="240" w:lineRule="auto"/>
              <w:jc w:val="center"/>
              <w:rPr>
                <w:i w:val="0"/>
              </w:rPr>
            </w:pPr>
            <w:r w:rsidRPr="00BE3D06">
              <w:rPr>
                <w:i w:val="0"/>
              </w:rPr>
              <w:t>(b)</w:t>
            </w:r>
          </w:p>
        </w:tc>
      </w:tr>
      <w:tr w:rsidR="00FA1C38" w:rsidRPr="00BE3D06" w14:paraId="668F7AD9" w14:textId="77777777" w:rsidTr="00FA1C38">
        <w:tc>
          <w:tcPr>
            <w:tcW w:w="4388" w:type="dxa"/>
          </w:tcPr>
          <w:p w14:paraId="4CCC98C0" w14:textId="0E6462A8" w:rsidR="00FA1C38" w:rsidRPr="00BE3D06" w:rsidRDefault="0090495F" w:rsidP="0040226C">
            <w:pPr>
              <w:pStyle w:val="CETBodytextItalic"/>
              <w:spacing w:line="240" w:lineRule="auto"/>
              <w:rPr>
                <w:i w:val="0"/>
              </w:rPr>
            </w:pPr>
            <w:r w:rsidRPr="00BE3D06">
              <w:rPr>
                <w:i w:val="0"/>
                <w:noProof/>
                <w:lang w:eastAsia="en-GB"/>
              </w:rPr>
              <w:drawing>
                <wp:inline distT="0" distB="0" distL="0" distR="0" wp14:anchorId="0906D607" wp14:editId="1E20F0C8">
                  <wp:extent cx="2130043" cy="1440000"/>
                  <wp:effectExtent l="0" t="0" r="3810" b="8255"/>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30043" cy="1440000"/>
                          </a:xfrm>
                          <a:prstGeom prst="rect">
                            <a:avLst/>
                          </a:prstGeom>
                          <a:noFill/>
                          <a:ln>
                            <a:noFill/>
                          </a:ln>
                        </pic:spPr>
                      </pic:pic>
                    </a:graphicData>
                  </a:graphic>
                </wp:inline>
              </w:drawing>
            </w:r>
          </w:p>
        </w:tc>
        <w:tc>
          <w:tcPr>
            <w:tcW w:w="4389" w:type="dxa"/>
          </w:tcPr>
          <w:p w14:paraId="600CCFDF" w14:textId="0CC5258D" w:rsidR="00FA1C38" w:rsidRPr="00BE3D06" w:rsidRDefault="00FA1C38" w:rsidP="0040226C">
            <w:pPr>
              <w:pStyle w:val="CETBodytextItalic"/>
              <w:spacing w:line="240" w:lineRule="auto"/>
              <w:rPr>
                <w:i w:val="0"/>
              </w:rPr>
            </w:pPr>
            <w:r w:rsidRPr="00BE3D06">
              <w:rPr>
                <w:i w:val="0"/>
                <w:noProof/>
                <w:lang w:eastAsia="en-GB"/>
              </w:rPr>
              <w:drawing>
                <wp:inline distT="0" distB="0" distL="0" distR="0" wp14:anchorId="2A80B5D7" wp14:editId="053D1472">
                  <wp:extent cx="2003767" cy="1440000"/>
                  <wp:effectExtent l="0" t="0" r="0" b="8255"/>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3767" cy="1440000"/>
                          </a:xfrm>
                          <a:prstGeom prst="rect">
                            <a:avLst/>
                          </a:prstGeom>
                          <a:noFill/>
                          <a:ln>
                            <a:noFill/>
                          </a:ln>
                        </pic:spPr>
                      </pic:pic>
                    </a:graphicData>
                  </a:graphic>
                </wp:inline>
              </w:drawing>
            </w:r>
          </w:p>
        </w:tc>
      </w:tr>
      <w:tr w:rsidR="00FA1C38" w:rsidRPr="00BE3D06" w14:paraId="71376AF7" w14:textId="77777777" w:rsidTr="00FA1C38">
        <w:tc>
          <w:tcPr>
            <w:tcW w:w="4388" w:type="dxa"/>
          </w:tcPr>
          <w:p w14:paraId="2968B2B2" w14:textId="71638E15" w:rsidR="00FA1C38" w:rsidRPr="00BE3D06" w:rsidRDefault="00FA1C38" w:rsidP="0040226C">
            <w:pPr>
              <w:pStyle w:val="CETBodytextItalic"/>
              <w:spacing w:line="240" w:lineRule="auto"/>
              <w:jc w:val="center"/>
              <w:rPr>
                <w:i w:val="0"/>
              </w:rPr>
            </w:pPr>
            <w:r w:rsidRPr="00BE3D06">
              <w:rPr>
                <w:i w:val="0"/>
              </w:rPr>
              <w:t>(c)</w:t>
            </w:r>
          </w:p>
        </w:tc>
        <w:tc>
          <w:tcPr>
            <w:tcW w:w="4389" w:type="dxa"/>
          </w:tcPr>
          <w:p w14:paraId="309C24AA" w14:textId="0C6AAD18" w:rsidR="00FA1C38" w:rsidRPr="00BE3D06" w:rsidRDefault="00FA1C38" w:rsidP="0040226C">
            <w:pPr>
              <w:pStyle w:val="CETBodytextItalic"/>
              <w:spacing w:line="240" w:lineRule="auto"/>
              <w:jc w:val="center"/>
              <w:rPr>
                <w:i w:val="0"/>
              </w:rPr>
            </w:pPr>
            <w:r w:rsidRPr="00BE3D06">
              <w:rPr>
                <w:i w:val="0"/>
              </w:rPr>
              <w:t>(d)</w:t>
            </w:r>
          </w:p>
        </w:tc>
      </w:tr>
    </w:tbl>
    <w:p w14:paraId="5BCFFF7C" w14:textId="21B89789" w:rsidR="00D863F3" w:rsidRPr="00BE3D06" w:rsidRDefault="00D863F3" w:rsidP="00DC24D3">
      <w:pPr>
        <w:pStyle w:val="CETCaption"/>
        <w:spacing w:before="0" w:line="240" w:lineRule="auto"/>
      </w:pPr>
      <w:r w:rsidRPr="00BE3D06">
        <w:rPr>
          <w:rStyle w:val="CETCaptionCarattere"/>
          <w:i/>
        </w:rPr>
        <w:t>Figure 2: The calculated activation energies</w:t>
      </w:r>
      <w:r w:rsidRPr="00BE3D06">
        <w:t xml:space="preserve"> </w:t>
      </w:r>
      <w:r w:rsidR="0090495F" w:rsidRPr="00BE3D06">
        <w:t>with different heating values and catalysts with diverse Si/Al ratio</w:t>
      </w:r>
    </w:p>
    <w:p w14:paraId="50887D3A" w14:textId="77777777" w:rsidR="0040226C" w:rsidRPr="00BE3D06" w:rsidRDefault="0040226C" w:rsidP="0040226C">
      <w:pPr>
        <w:pStyle w:val="CETBodytext"/>
      </w:pPr>
      <w:r w:rsidRPr="00BE3D06">
        <w:t xml:space="preserve">The calculated results with catalysts using different Si/Al ratios are shown in Figure 2, comparing to the raw data, where no catalyst was used. As it can be seen, in case of biomass waste the activation energies have overall higher values in case of 5°C/min and 20°C/min heating rates than with 50°C/min which can be explained by the longer exposure time, thermal lag and the shift to other decomposition pathways with higher energy requirement. With lower heating rates the decomposition can occur more completely and at closer-to-equilibrium conditions, which may </w:t>
      </w:r>
      <w:proofErr w:type="gramStart"/>
      <w:r w:rsidRPr="00BE3D06">
        <w:t>indicates</w:t>
      </w:r>
      <w:proofErr w:type="gramEnd"/>
      <w:r w:rsidRPr="00BE3D06">
        <w:t xml:space="preserve"> higher energy pathways that require greater activation energy.</w:t>
      </w:r>
    </w:p>
    <w:p w14:paraId="15E36AE4" w14:textId="4CEAB796" w:rsidR="0040226C" w:rsidRPr="00BE3D06" w:rsidRDefault="0040226C" w:rsidP="0040226C">
      <w:pPr>
        <w:pStyle w:val="CETBodytext"/>
      </w:pPr>
      <w:r w:rsidRPr="00BE3D06">
        <w:t>Regarding the activation energies, in case of biomass the first degradation step is the moisture content removal, the 2</w:t>
      </w:r>
      <w:r w:rsidRPr="00BE3D06">
        <w:rPr>
          <w:vertAlign w:val="superscript"/>
        </w:rPr>
        <w:t>nd</w:t>
      </w:r>
      <w:r w:rsidRPr="00BE3D06">
        <w:t xml:space="preserve"> and the 3</w:t>
      </w:r>
      <w:r w:rsidRPr="00BE3D06">
        <w:rPr>
          <w:vertAlign w:val="superscript"/>
        </w:rPr>
        <w:t>rd</w:t>
      </w:r>
      <w:r w:rsidRPr="00BE3D06">
        <w:t xml:space="preserve"> are the degradation of hemicellulose and cellulose units, while the apparent value is considering the 2</w:t>
      </w:r>
      <w:r w:rsidRPr="00BE3D06">
        <w:rPr>
          <w:vertAlign w:val="superscript"/>
        </w:rPr>
        <w:t>nd</w:t>
      </w:r>
      <w:r w:rsidRPr="00BE3D06">
        <w:t xml:space="preserve"> and 3</w:t>
      </w:r>
      <w:r w:rsidRPr="00BE3D06">
        <w:rPr>
          <w:vertAlign w:val="superscript"/>
        </w:rPr>
        <w:t>rd</w:t>
      </w:r>
      <w:r w:rsidRPr="00BE3D06">
        <w:t xml:space="preserve"> peak together. Focusing on the catalysts, </w:t>
      </w:r>
      <w:proofErr w:type="gramStart"/>
      <w:r w:rsidRPr="00BE3D06">
        <w:t>it can be seen that with</w:t>
      </w:r>
      <w:proofErr w:type="gramEnd"/>
      <w:r w:rsidRPr="00BE3D06">
        <w:t xml:space="preserve"> the increment of Si/Al ratio the value of the activation energy is decreased significantly. In case of 5°C/min heating rate (Figure 2 (a)) “Catalyst C” eventuated 71-88% lower values than without catalyst (RM_5°C/min), while that of 20°C/min was 10-65% and with 50°C/min was 8-25%. The explanation of the significant decrement in activation energy with the use of “Cat. C” are its facilitation properties on the reaction mechanism which help to make the reactants </w:t>
      </w:r>
      <w:r w:rsidRPr="00BE3D06">
        <w:lastRenderedPageBreak/>
        <w:t xml:space="preserve">easier to convert into products. Acidic catalysts can increase the electrophilicity of the molecule making it more reactive, also, they can stabilize the transition states of reaction, providing alternative reaction pathways and in multiple steps they can reduce the activation energy. However, in case of “Catalyst B” which was treated with NaOH, averagely similar or lessen values were noted than that of “Catalyst A”, especially in case of the apparent activation energies (Figure 2 (a)-(c)), where the deviation was 9-23% compared to the values obtained with “Cat. A”. In Figure 2(d), the change of the activation energy can be seen in case of the degradation of </w:t>
      </w:r>
      <w:proofErr w:type="spellStart"/>
      <w:r w:rsidRPr="00BE3D06">
        <w:t>regranulated</w:t>
      </w:r>
      <w:proofErr w:type="spellEnd"/>
      <w:r w:rsidRPr="00BE3D06">
        <w:t xml:space="preserve"> polymer waste. Similar tendencies can be noted as it was in case of biomass waste. The decrement of the activation energy was followed the same pattern: “Cat B”</w:t>
      </w:r>
      <w:proofErr w:type="gramStart"/>
      <w:r w:rsidRPr="00BE3D06">
        <w:t>&gt;”Cat</w:t>
      </w:r>
      <w:proofErr w:type="gramEnd"/>
      <w:r w:rsidRPr="00BE3D06">
        <w:t>. A”</w:t>
      </w:r>
      <w:proofErr w:type="gramStart"/>
      <w:r w:rsidRPr="00BE3D06">
        <w:t>&gt;”</w:t>
      </w:r>
      <w:proofErr w:type="spellStart"/>
      <w:r w:rsidRPr="00BE3D06">
        <w:t>Cat.C</w:t>
      </w:r>
      <w:proofErr w:type="spellEnd"/>
      <w:proofErr w:type="gramEnd"/>
      <w:r w:rsidRPr="00BE3D06">
        <w:t>”, as the Si/Al ratio was increased. Overall, the catalysts helped to reduce the activation energy with a remarkable value, besides, the higher was the Si/Al ratio the greater decrement could be obse</w:t>
      </w:r>
      <w:r w:rsidR="00EF48A4" w:rsidRPr="00BE3D06">
        <w:t>r</w:t>
      </w:r>
      <w:r w:rsidRPr="00BE3D06">
        <w:t>ved.</w:t>
      </w:r>
    </w:p>
    <w:p w14:paraId="3AA1E239" w14:textId="2700FA35" w:rsidR="00F40772" w:rsidRPr="00BE3D06" w:rsidRDefault="00095061" w:rsidP="00623EDC">
      <w:pPr>
        <w:pStyle w:val="CETBodytext"/>
        <w:rPr>
          <w:rFonts w:eastAsiaTheme="minorEastAsia"/>
        </w:rPr>
      </w:pPr>
      <w:r w:rsidRPr="00BE3D06">
        <w:rPr>
          <w:lang w:val="en-GB"/>
        </w:rPr>
        <w:t xml:space="preserve">The behaviour of the biomass conversion </w:t>
      </w:r>
      <w:r w:rsidR="00EF48A4" w:rsidRPr="00BE3D06">
        <w:rPr>
          <w:lang w:val="en-GB"/>
        </w:rPr>
        <w:t xml:space="preserve">with respect to time </w:t>
      </w:r>
      <w:r w:rsidRPr="00BE3D06">
        <w:rPr>
          <w:lang w:val="en-GB"/>
        </w:rPr>
        <w:t xml:space="preserve">during the thermal degradation process is reported in Figure 3. Visual inspection of the curve indicates that it can be divided into three distinct phases. </w:t>
      </w:r>
      <w:r w:rsidR="00402FBE" w:rsidRPr="00BE3D06">
        <w:rPr>
          <w:lang w:val="en-GB"/>
        </w:rPr>
        <w:t xml:space="preserve">In Phase 1, moisture removal and the start degradation reaction occur. Phase 2 is characterized by the primary and secondary degradation steps, during which decomposition and subsequent cracking or recombination reactions take place. In Phase 3, the degree of conversion approaches a plateau, indicating that the reaction rate has effectively reached zero. At this stage, all degradable components are assumed to have been converted into products, and only thermally stable materials, such as solid residues, remain. To quantitatively describe the degradation </w:t>
      </w:r>
      <w:proofErr w:type="spellStart"/>
      <w:r w:rsidR="00402FBE" w:rsidRPr="00BE3D06">
        <w:rPr>
          <w:lang w:val="en-GB"/>
        </w:rPr>
        <w:t>behavior</w:t>
      </w:r>
      <w:proofErr w:type="spellEnd"/>
      <w:r w:rsidR="00402FBE" w:rsidRPr="00BE3D06">
        <w:rPr>
          <w:lang w:val="en-GB"/>
        </w:rPr>
        <w:t xml:space="preserve"> across these three phases, a kinetic model was </w:t>
      </w:r>
      <w:r w:rsidR="00635172" w:rsidRPr="00BE3D06">
        <w:rPr>
          <w:lang w:val="en-GB"/>
        </w:rPr>
        <w:t>used.</w:t>
      </w:r>
      <w:r w:rsidR="00402FBE" w:rsidRPr="00BE3D06">
        <w:rPr>
          <w:lang w:val="en-GB"/>
        </w:rPr>
        <w:t xml:space="preserve"> Each phase was modelled separately to account for the different dominant mechanisms, using distinct kinetic parameters. The kinetic </w:t>
      </w:r>
      <w:proofErr w:type="spellStart"/>
      <w:r w:rsidR="00402FBE" w:rsidRPr="00BE3D06">
        <w:rPr>
          <w:lang w:val="en-GB"/>
        </w:rPr>
        <w:t>behavior</w:t>
      </w:r>
      <w:proofErr w:type="spellEnd"/>
      <w:r w:rsidR="00402FBE" w:rsidRPr="00BE3D06">
        <w:rPr>
          <w:lang w:val="en-GB"/>
        </w:rPr>
        <w:t xml:space="preserve"> in each phase was described using</w:t>
      </w:r>
      <w:r w:rsidRPr="00BE3D06">
        <w:rPr>
          <w:lang w:val="en-GB"/>
        </w:rPr>
        <w:t xml:space="preserve"> E</w:t>
      </w:r>
      <w:r w:rsidR="00402FBE" w:rsidRPr="00BE3D06">
        <w:rPr>
          <w:lang w:val="en-GB"/>
        </w:rPr>
        <w:t>quations (2,3)</w:t>
      </w:r>
      <w:r w:rsidR="00E7329C" w:rsidRPr="00BE3D06">
        <w:t xml:space="preserve"> </w:t>
      </w:r>
    </w:p>
    <w:tbl>
      <w:tblPr>
        <w:tblW w:w="5000" w:type="pct"/>
        <w:tblLook w:val="04A0" w:firstRow="1" w:lastRow="0" w:firstColumn="1" w:lastColumn="0" w:noHBand="0" w:noVBand="1"/>
      </w:tblPr>
      <w:tblGrid>
        <w:gridCol w:w="7984"/>
        <w:gridCol w:w="803"/>
      </w:tblGrid>
      <w:tr w:rsidR="00372E04" w:rsidRPr="00BE3D06" w14:paraId="23C4ADCB" w14:textId="77777777" w:rsidTr="00372E04">
        <w:tc>
          <w:tcPr>
            <w:tcW w:w="8188" w:type="dxa"/>
            <w:shd w:val="clear" w:color="auto" w:fill="auto"/>
            <w:vAlign w:val="center"/>
          </w:tcPr>
          <w:p w14:paraId="0E52EA0C" w14:textId="08F8AC8A" w:rsidR="00372E04" w:rsidRPr="00BE3D06" w:rsidRDefault="00BE3D06" w:rsidP="00372E04">
            <w:pPr>
              <w:pStyle w:val="CETEquation"/>
            </w:pPr>
            <m:oMathPara>
              <m:oMathParaPr>
                <m:jc m:val="left"/>
              </m:oMathParaPr>
              <m:oMath>
                <m:f>
                  <m:fPr>
                    <m:ctrlPr>
                      <w:rPr>
                        <w:rFonts w:ascii="Cambria Math" w:hAnsi="Cambria Math"/>
                        <w:i/>
                        <w:lang w:val="en-US"/>
                      </w:rPr>
                    </m:ctrlPr>
                  </m:fPr>
                  <m:num>
                    <m:r>
                      <w:rPr>
                        <w:rFonts w:ascii="Cambria Math" w:hAnsi="Cambria Math"/>
                        <w:lang w:val="en-US"/>
                      </w:rPr>
                      <m:t>dα</m:t>
                    </m:r>
                  </m:num>
                  <m:den>
                    <m:r>
                      <w:rPr>
                        <w:rFonts w:ascii="Cambria Math" w:hAnsi="Cambria Math"/>
                        <w:lang w:val="en-US"/>
                      </w:rPr>
                      <m:t>dt</m:t>
                    </m:r>
                  </m:den>
                </m:f>
                <m:r>
                  <w:rPr>
                    <w:rFonts w:ascii="Cambria Math" w:hAnsi="Cambria Math"/>
                    <w:lang w:val="en-US"/>
                  </w:rPr>
                  <m:t>=</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m:t>
                        </m:r>
                        <m:r>
                          <w:rPr>
                            <w:rFonts w:ascii="Cambria Math" w:hAnsi="Cambria Math"/>
                            <w:lang w:val="en-US"/>
                          </w:rPr>
                          <m:t>α</m:t>
                        </m:r>
                      </m:e>
                    </m:d>
                  </m:e>
                  <m:sup>
                    <m:r>
                      <w:rPr>
                        <w:rFonts w:ascii="Cambria Math" w:hAnsi="Cambria Math"/>
                        <w:lang w:val="en-US"/>
                      </w:rPr>
                      <m:t>n</m:t>
                    </m:r>
                  </m:sup>
                </m:sSup>
                <m:acc>
                  <m:accPr>
                    <m:chr m:val="̅"/>
                    <m:ctrlPr>
                      <w:rPr>
                        <w:rFonts w:ascii="Cambria Math" w:hAnsi="Cambria Math"/>
                        <w:i/>
                        <w:lang w:val="en-US"/>
                      </w:rPr>
                    </m:ctrlPr>
                  </m:accPr>
                  <m:e>
                    <m:r>
                      <w:rPr>
                        <w:rFonts w:ascii="Cambria Math" w:hAnsi="Cambria Math"/>
                        <w:lang w:val="en-US"/>
                      </w:rPr>
                      <m:t>k</m:t>
                    </m:r>
                  </m:e>
                </m:acc>
                <m:r>
                  <w:rPr>
                    <w:rFonts w:ascii="Cambria Math" w:hAnsi="Cambria Math"/>
                    <w:lang w:val="en-US"/>
                  </w:rPr>
                  <m:t xml:space="preserve"> </m:t>
                </m:r>
                <m:r>
                  <w:rPr>
                    <w:rFonts w:ascii="Cambria Math" w:hAnsi="Cambria Math"/>
                    <w:lang w:val="en-US"/>
                  </w:rPr>
                  <m:t>exp</m:t>
                </m:r>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t>
                        </m:r>
                        <m:r>
                          <w:rPr>
                            <w:rFonts w:ascii="Cambria Math" w:hAnsi="Cambria Math"/>
                            <w:lang w:val="en-US"/>
                          </w:rPr>
                          <m:t>E</m:t>
                        </m:r>
                      </m:num>
                      <m:den>
                        <m:r>
                          <w:rPr>
                            <w:rFonts w:ascii="Cambria Math" w:hAnsi="Cambria Math"/>
                            <w:lang w:val="en-US"/>
                          </w:rPr>
                          <m:t>RT</m:t>
                        </m:r>
                      </m:den>
                    </m:f>
                  </m:e>
                </m:d>
              </m:oMath>
            </m:oMathPara>
          </w:p>
        </w:tc>
        <w:tc>
          <w:tcPr>
            <w:tcW w:w="815" w:type="dxa"/>
            <w:shd w:val="clear" w:color="auto" w:fill="auto"/>
            <w:vAlign w:val="center"/>
          </w:tcPr>
          <w:p w14:paraId="1DE98CA1" w14:textId="0BFC4E90" w:rsidR="00372E04" w:rsidRPr="00BE3D06" w:rsidRDefault="00FA1C38" w:rsidP="00372E04">
            <w:pPr>
              <w:pStyle w:val="CETEquation"/>
              <w:jc w:val="right"/>
            </w:pPr>
            <w:r w:rsidRPr="00BE3D06">
              <w:t>(2</w:t>
            </w:r>
            <w:r w:rsidR="00372E04" w:rsidRPr="00BE3D06">
              <w:t>)</w:t>
            </w:r>
          </w:p>
        </w:tc>
      </w:tr>
      <w:tr w:rsidR="00372E04" w:rsidRPr="00BE3D06" w14:paraId="66FA5CC7" w14:textId="77777777" w:rsidTr="00372E04">
        <w:tc>
          <w:tcPr>
            <w:tcW w:w="8188" w:type="dxa"/>
            <w:shd w:val="clear" w:color="auto" w:fill="auto"/>
            <w:vAlign w:val="center"/>
          </w:tcPr>
          <w:p w14:paraId="3B276F09" w14:textId="6DF794D4" w:rsidR="00372E04" w:rsidRPr="00BE3D06" w:rsidRDefault="00BE3D06" w:rsidP="00372E04">
            <w:pPr>
              <w:pStyle w:val="CETEquation"/>
              <w:rPr>
                <w:rFonts w:eastAsia="SimSun"/>
                <w:lang w:val="en-US"/>
              </w:rPr>
            </w:pPr>
            <m:oMathPara>
              <m:oMathParaPr>
                <m:jc m:val="left"/>
              </m:oMathParaPr>
              <m:oMath>
                <m:f>
                  <m:fPr>
                    <m:ctrlPr>
                      <w:rPr>
                        <w:rFonts w:ascii="Cambria Math" w:hAnsi="Cambria Math"/>
                        <w:i/>
                        <w:lang w:val="en-US"/>
                      </w:rPr>
                    </m:ctrlPr>
                  </m:fPr>
                  <m:num>
                    <m:r>
                      <w:rPr>
                        <w:rFonts w:ascii="Cambria Math" w:hAnsi="Cambria Math"/>
                        <w:lang w:val="en-US"/>
                      </w:rPr>
                      <m:t>dT</m:t>
                    </m:r>
                  </m:num>
                  <m:den>
                    <m:r>
                      <w:rPr>
                        <w:rFonts w:ascii="Cambria Math" w:hAnsi="Cambria Math"/>
                        <w:lang w:val="en-US"/>
                      </w:rPr>
                      <m:t>dt</m:t>
                    </m:r>
                  </m:den>
                </m:f>
                <m:r>
                  <w:rPr>
                    <w:rFonts w:ascii="Cambria Math" w:hAnsi="Cambria Math"/>
                    <w:lang w:val="it-IT"/>
                  </w:rPr>
                  <m:t>=</m:t>
                </m:r>
                <m:r>
                  <w:rPr>
                    <w:rFonts w:ascii="Cambria Math" w:eastAsiaTheme="minorEastAsia" w:hAnsi="Cambria Math"/>
                    <w:lang w:val="it-IT"/>
                  </w:rPr>
                  <m:t>β</m:t>
                </m:r>
              </m:oMath>
            </m:oMathPara>
          </w:p>
        </w:tc>
        <w:tc>
          <w:tcPr>
            <w:tcW w:w="815" w:type="dxa"/>
            <w:shd w:val="clear" w:color="auto" w:fill="auto"/>
            <w:vAlign w:val="center"/>
          </w:tcPr>
          <w:p w14:paraId="72DB6D3B" w14:textId="6E707933" w:rsidR="00372E04" w:rsidRPr="00BE3D06" w:rsidRDefault="00FA1C38" w:rsidP="00372E04">
            <w:pPr>
              <w:pStyle w:val="CETEquation"/>
              <w:jc w:val="right"/>
            </w:pPr>
            <w:r w:rsidRPr="00BE3D06">
              <w:t>(3</w:t>
            </w:r>
            <w:r w:rsidR="00372E04" w:rsidRPr="00BE3D06">
              <w:t>)</w:t>
            </w:r>
          </w:p>
        </w:tc>
      </w:tr>
    </w:tbl>
    <w:p w14:paraId="2BC595CA" w14:textId="3A8762AA" w:rsidR="00E7329C" w:rsidRPr="00BE3D06" w:rsidRDefault="00402FBE" w:rsidP="00402FBE">
      <w:pPr>
        <w:rPr>
          <w:rFonts w:eastAsiaTheme="minorEastAsia"/>
          <w:lang w:val="en-US"/>
        </w:rPr>
      </w:pPr>
      <w:r w:rsidRPr="00BE3D06">
        <w:rPr>
          <w:rFonts w:eastAsiaTheme="minorEastAsia"/>
          <w:lang w:val="en-US"/>
        </w:rPr>
        <w:t>w</w:t>
      </w:r>
      <w:r w:rsidR="00372E04" w:rsidRPr="00BE3D06">
        <w:rPr>
          <w:rFonts w:eastAsiaTheme="minorEastAsia"/>
          <w:lang w:val="en-US"/>
        </w:rPr>
        <w:t xml:space="preserve">here </w:t>
      </w:r>
      <m:oMath>
        <m:r>
          <w:rPr>
            <w:rFonts w:ascii="Cambria Math" w:hAnsi="Cambria Math"/>
            <w:lang w:val="en-US"/>
          </w:rPr>
          <m:t>α=</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0</m:t>
                </m:r>
              </m:sub>
            </m:sSub>
            <m:r>
              <w:rPr>
                <w:rFonts w:ascii="Cambria Math" w:hAnsi="Cambria Math"/>
                <w:lang w:val="en-US"/>
              </w:rPr>
              <m:t>-c</m:t>
            </m:r>
          </m:num>
          <m:den>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0</m:t>
                </m:r>
              </m:sub>
            </m:sSub>
          </m:den>
        </m:f>
      </m:oMath>
      <w:r w:rsidR="00372E04" w:rsidRPr="00BE3D06">
        <w:rPr>
          <w:rFonts w:eastAsiaTheme="minorEastAsia"/>
          <w:lang w:val="en-US"/>
        </w:rPr>
        <w:t xml:space="preserve">, </w:t>
      </w:r>
      <m:oMath>
        <m:acc>
          <m:accPr>
            <m:chr m:val="̅"/>
            <m:ctrlPr>
              <w:rPr>
                <w:rFonts w:ascii="Cambria Math" w:hAnsi="Cambria Math"/>
                <w:i/>
                <w:lang w:val="en-US"/>
              </w:rPr>
            </m:ctrlPr>
          </m:accPr>
          <m:e>
            <m:r>
              <w:rPr>
                <w:rFonts w:ascii="Cambria Math" w:hAnsi="Cambria Math"/>
                <w:lang w:val="en-US"/>
              </w:rPr>
              <m:t>k</m:t>
            </m:r>
          </m:e>
        </m:acc>
      </m:oMath>
      <w:r w:rsidR="00372E04" w:rsidRPr="00BE3D06">
        <w:rPr>
          <w:rFonts w:eastAsiaTheme="minorEastAsia"/>
          <w:lang w:val="en-US"/>
        </w:rPr>
        <w:t xml:space="preserve"> is the pre-exponential factor</w:t>
      </w:r>
      <w:r w:rsidRPr="00BE3D06">
        <w:rPr>
          <w:rFonts w:eastAsiaTheme="minorEastAsia"/>
          <w:lang w:val="en-US"/>
        </w:rPr>
        <w:t>,</w:t>
      </w:r>
      <w:r w:rsidRPr="00BE3D06">
        <w:rPr>
          <w:rFonts w:ascii="Cambria Math" w:hAnsi="Cambria Math"/>
          <w:i/>
          <w:lang w:val="en-US"/>
        </w:rPr>
        <w:t xml:space="preserve"> </w:t>
      </w:r>
      <m:oMath>
        <m:r>
          <w:rPr>
            <w:rFonts w:ascii="Cambria Math" w:hAnsi="Cambria Math"/>
            <w:lang w:val="en-US"/>
          </w:rPr>
          <m:t>E</m:t>
        </m:r>
      </m:oMath>
      <w:r w:rsidRPr="00BE3D06">
        <w:rPr>
          <w:rFonts w:eastAsiaTheme="minorEastAsia"/>
          <w:lang w:val="en-US"/>
        </w:rPr>
        <w:t xml:space="preserve"> is the activation energy, </w:t>
      </w:r>
      <w:r w:rsidR="00372E04" w:rsidRPr="00BE3D06">
        <w:rPr>
          <w:rFonts w:eastAsiaTheme="minorEastAsia"/>
          <w:lang w:val="en-US"/>
        </w:rPr>
        <w:t xml:space="preserve"> </w:t>
      </w:r>
      <m:oMath>
        <m:r>
          <w:rPr>
            <w:rFonts w:ascii="Cambria Math" w:eastAsiaTheme="minorEastAsia" w:hAnsi="Cambria Math"/>
            <w:lang w:val="en-US"/>
          </w:rPr>
          <m:t>R</m:t>
        </m:r>
      </m:oMath>
      <w:r w:rsidRPr="00BE3D06">
        <w:rPr>
          <w:rFonts w:eastAsiaTheme="minorEastAsia"/>
          <w:lang w:val="en-US"/>
        </w:rPr>
        <w:t xml:space="preserve"> is the universal gas constant,</w:t>
      </w:r>
      <m:oMath>
        <m:r>
          <w:rPr>
            <w:rFonts w:ascii="Cambria Math" w:eastAsiaTheme="minorEastAsia" w:hAnsi="Cambria Math"/>
            <w:lang w:val="en-US"/>
          </w:rPr>
          <m:t xml:space="preserve"> T</m:t>
        </m:r>
      </m:oMath>
      <w:r w:rsidRPr="00BE3D06">
        <w:rPr>
          <w:rFonts w:eastAsiaTheme="minorEastAsia"/>
          <w:lang w:val="en-US"/>
        </w:rPr>
        <w:t xml:space="preserve"> is the temperature, β is the heating rate, and  </w:t>
      </w:r>
      <m:oMath>
        <m:r>
          <w:rPr>
            <w:rFonts w:ascii="Cambria Math" w:eastAsiaTheme="minorEastAsia" w:hAnsi="Cambria Math"/>
            <w:lang w:val="en-US"/>
          </w:rPr>
          <m:t>n</m:t>
        </m:r>
      </m:oMath>
      <w:r w:rsidRPr="00BE3D06">
        <w:rPr>
          <w:rFonts w:eastAsiaTheme="minorEastAsia"/>
          <w:lang w:val="en-US"/>
        </w:rPr>
        <w:t xml:space="preserve"> is the reaction</w:t>
      </w:r>
      <w:r w:rsidR="00095061" w:rsidRPr="00BE3D06">
        <w:rPr>
          <w:rFonts w:eastAsiaTheme="minorEastAsia"/>
          <w:lang w:val="en-US"/>
        </w:rPr>
        <w:t xml:space="preserve"> order </w:t>
      </w:r>
      <w:r w:rsidR="00E7329C" w:rsidRPr="00BE3D06">
        <w:t>(Yan et al. 2019, Arenas et al. 2019 and Bach et al. 2014)</w:t>
      </w:r>
      <w:r w:rsidR="008E17B8" w:rsidRPr="00BE3D06">
        <w:rPr>
          <w:rFonts w:eastAsiaTheme="minorEastAsia"/>
          <w:lang w:val="en-US"/>
        </w:rPr>
        <w:t xml:space="preserve">. </w:t>
      </w:r>
      <w:r w:rsidRPr="00BE3D06">
        <w:t xml:space="preserve">Model </w:t>
      </w:r>
      <w:r w:rsidR="00E7329C" w:rsidRPr="00BE3D06">
        <w:rPr>
          <w:rFonts w:eastAsiaTheme="minorEastAsia"/>
          <w:lang w:val="en-US"/>
        </w:rPr>
        <w:t>parameters (</w:t>
      </w:r>
      <m:oMath>
        <m:r>
          <w:rPr>
            <w:rFonts w:ascii="Cambria Math" w:eastAsiaTheme="minorEastAsia" w:hAnsi="Cambria Math"/>
            <w:lang w:val="en-US"/>
          </w:rPr>
          <m:t xml:space="preserve">n, </m:t>
        </m:r>
        <m:acc>
          <m:accPr>
            <m:chr m:val="̅"/>
            <m:ctrlPr>
              <w:rPr>
                <w:rFonts w:ascii="Cambria Math" w:hAnsi="Cambria Math"/>
                <w:i/>
                <w:lang w:val="en-US"/>
              </w:rPr>
            </m:ctrlPr>
          </m:accPr>
          <m:e>
            <m:r>
              <w:rPr>
                <w:rFonts w:ascii="Cambria Math" w:hAnsi="Cambria Math"/>
                <w:lang w:val="en-US"/>
              </w:rPr>
              <m:t>k</m:t>
            </m:r>
          </m:e>
        </m:acc>
        <m:r>
          <w:rPr>
            <w:rFonts w:ascii="Cambria Math" w:hAnsi="Cambria Math"/>
            <w:lang w:val="en-US"/>
          </w:rPr>
          <m:t>, E</m:t>
        </m:r>
      </m:oMath>
      <w:r w:rsidR="00E7329C" w:rsidRPr="00BE3D06">
        <w:rPr>
          <w:rFonts w:eastAsiaTheme="minorEastAsia"/>
          <w:lang w:val="en-US"/>
        </w:rPr>
        <w:t xml:space="preserve">) </w:t>
      </w:r>
      <w:r w:rsidR="00AD6C69" w:rsidRPr="00BE3D06">
        <w:rPr>
          <w:rFonts w:eastAsiaTheme="minorEastAsia"/>
          <w:lang w:val="en-US"/>
        </w:rPr>
        <w:t>were estimated for each phase by minimizing the following objective function</w:t>
      </w:r>
      <w:r w:rsidR="00095061" w:rsidRPr="00BE3D06">
        <w:rPr>
          <w:rFonts w:eastAsiaTheme="minorEastAsia"/>
          <w:lang w:val="en-US"/>
        </w:rPr>
        <w:t xml:space="preserve"> (Eq. 4)</w:t>
      </w:r>
      <w:r w:rsidR="00AD6C69" w:rsidRPr="00BE3D06">
        <w:rPr>
          <w:rFonts w:eastAsiaTheme="minorEastAsia"/>
          <w:lang w:val="en-US"/>
        </w:rPr>
        <w:t>, based on the least squares error between experimental and calculated values:</w:t>
      </w:r>
      <w:r w:rsidR="00AD6C69" w:rsidRPr="00BE3D06" w:rsidDel="00E7329C">
        <w:rPr>
          <w:rFonts w:eastAsiaTheme="minorEastAsia"/>
          <w:lang w:val="en-US"/>
        </w:rPr>
        <w:t xml:space="preserve"> </w:t>
      </w:r>
    </w:p>
    <w:p w14:paraId="56103D00" w14:textId="77777777" w:rsidR="00E7329C" w:rsidRPr="00BE3D06" w:rsidRDefault="00BE3D06" w:rsidP="00E7329C">
      <w:pPr>
        <w:rPr>
          <w:rFonts w:eastAsiaTheme="minorEastAsia"/>
        </w:rPr>
      </w:pPr>
      <m:oMath>
        <m:nary>
          <m:naryPr>
            <m:chr m:val="∑"/>
            <m:limLoc m:val="undOvr"/>
            <m:ctrlPr>
              <w:rPr>
                <w:rFonts w:ascii="Cambria Math" w:eastAsiaTheme="minorEastAsia" w:hAnsi="Cambria Math"/>
                <w:i/>
                <w:lang w:val="en-US"/>
              </w:rPr>
            </m:ctrlPr>
          </m:naryPr>
          <m:sub>
            <m:r>
              <w:rPr>
                <w:rFonts w:ascii="Cambria Math" w:eastAsiaTheme="minorEastAsia" w:hAnsi="Cambria Math"/>
                <w:lang w:val="en-US"/>
              </w:rPr>
              <m:t>i</m:t>
            </m:r>
          </m:sub>
          <m:sup>
            <m:r>
              <w:rPr>
                <w:rFonts w:ascii="Cambria Math" w:eastAsiaTheme="minorEastAsia" w:hAnsi="Cambria Math"/>
                <w:lang w:val="en-US"/>
              </w:rPr>
              <m:t>N</m:t>
            </m:r>
          </m:sup>
          <m:e>
            <m:sSup>
              <m:sSupPr>
                <m:ctrlPr>
                  <w:rPr>
                    <w:rFonts w:ascii="Cambria Math" w:eastAsiaTheme="minorEastAsia" w:hAnsi="Cambria Math"/>
                    <w:i/>
                    <w:lang w:val="en-US"/>
                  </w:rPr>
                </m:ctrlPr>
              </m:sSupPr>
              <m:e>
                <m:d>
                  <m:dPr>
                    <m:ctrlPr>
                      <w:rPr>
                        <w:rFonts w:ascii="Cambria Math" w:eastAsiaTheme="minorEastAsia" w:hAnsi="Cambria Math"/>
                        <w:i/>
                        <w:lang w:val="en-US"/>
                      </w:rPr>
                    </m:ctrlPr>
                  </m:dPr>
                  <m:e>
                    <m:sSubSup>
                      <m:sSubSupPr>
                        <m:ctrlPr>
                          <w:rPr>
                            <w:rFonts w:ascii="Cambria Math" w:eastAsiaTheme="minorEastAsia" w:hAnsi="Cambria Math"/>
                            <w:i/>
                            <w:lang w:val="en-US"/>
                          </w:rPr>
                        </m:ctrlPr>
                      </m:sSubSupPr>
                      <m:e>
                        <m:r>
                          <w:rPr>
                            <w:rFonts w:ascii="Cambria Math" w:eastAsiaTheme="minorEastAsia" w:hAnsi="Cambria Math"/>
                            <w:lang w:val="en-US"/>
                          </w:rPr>
                          <m:t>α</m:t>
                        </m:r>
                      </m:e>
                      <m:sub>
                        <m:r>
                          <w:rPr>
                            <w:rFonts w:ascii="Cambria Math" w:eastAsiaTheme="minorEastAsia" w:hAnsi="Cambria Math"/>
                            <w:lang w:val="en-US"/>
                          </w:rPr>
                          <m:t>i</m:t>
                        </m:r>
                      </m:sub>
                      <m:sup>
                        <m:r>
                          <w:rPr>
                            <w:rFonts w:ascii="Cambria Math" w:eastAsiaTheme="minorEastAsia" w:hAnsi="Cambria Math"/>
                            <w:lang w:val="en-US"/>
                          </w:rPr>
                          <m:t>exp</m:t>
                        </m:r>
                      </m:sup>
                    </m:sSubSup>
                    <m:r>
                      <w:rPr>
                        <w:rFonts w:ascii="Cambria Math" w:eastAsiaTheme="minorEastAsia" w:hAnsi="Cambria Math"/>
                        <w:lang w:val="en-US"/>
                      </w:rPr>
                      <m:t>-</m:t>
                    </m:r>
                    <m:sSubSup>
                      <m:sSubSupPr>
                        <m:ctrlPr>
                          <w:rPr>
                            <w:rFonts w:ascii="Cambria Math" w:eastAsiaTheme="minorEastAsia" w:hAnsi="Cambria Math"/>
                            <w:i/>
                            <w:lang w:val="en-US"/>
                          </w:rPr>
                        </m:ctrlPr>
                      </m:sSubSupPr>
                      <m:e>
                        <m:r>
                          <w:rPr>
                            <w:rFonts w:ascii="Cambria Math" w:eastAsiaTheme="minorEastAsia" w:hAnsi="Cambria Math"/>
                            <w:lang w:val="en-US"/>
                          </w:rPr>
                          <m:t>α</m:t>
                        </m:r>
                      </m:e>
                      <m:sub>
                        <m:r>
                          <w:rPr>
                            <w:rFonts w:ascii="Cambria Math" w:eastAsiaTheme="minorEastAsia" w:hAnsi="Cambria Math"/>
                            <w:lang w:val="en-US"/>
                          </w:rPr>
                          <m:t>i</m:t>
                        </m:r>
                      </m:sub>
                      <m:sup>
                        <m:r>
                          <w:rPr>
                            <w:rFonts w:ascii="Cambria Math" w:eastAsiaTheme="minorEastAsia" w:hAnsi="Cambria Math"/>
                            <w:lang w:val="en-US"/>
                          </w:rPr>
                          <m:t>cal</m:t>
                        </m:r>
                      </m:sup>
                    </m:sSubSup>
                  </m:e>
                </m:d>
              </m:e>
              <m:sup>
                <m:r>
                  <w:rPr>
                    <w:rFonts w:ascii="Cambria Math" w:eastAsiaTheme="minorEastAsia" w:hAnsi="Cambria Math"/>
                    <w:lang w:val="en-US"/>
                  </w:rPr>
                  <m:t>2</m:t>
                </m:r>
              </m:sup>
            </m:sSup>
          </m:e>
        </m:nary>
      </m:oMath>
      <w:r w:rsidR="00E7329C" w:rsidRPr="00BE3D06">
        <w:rPr>
          <w:rFonts w:eastAsiaTheme="minorEastAsia"/>
          <w:lang w:val="en-US"/>
        </w:rPr>
        <w:tab/>
      </w:r>
      <w:r w:rsidR="00E7329C" w:rsidRPr="00BE3D06">
        <w:rPr>
          <w:rFonts w:eastAsiaTheme="minorEastAsia"/>
          <w:lang w:val="en-US"/>
        </w:rPr>
        <w:tab/>
      </w:r>
      <w:r w:rsidR="00E7329C" w:rsidRPr="00BE3D06">
        <w:rPr>
          <w:rFonts w:eastAsiaTheme="minorEastAsia"/>
          <w:lang w:val="en-US"/>
        </w:rPr>
        <w:tab/>
        <w:t>(4)</w:t>
      </w:r>
    </w:p>
    <w:p w14:paraId="456D91B4" w14:textId="1D95FB8B" w:rsidR="00E7329C" w:rsidRPr="00BE3D06" w:rsidRDefault="00E7329C" w:rsidP="00AD6C69">
      <w:pPr>
        <w:rPr>
          <w:rFonts w:eastAsiaTheme="minorEastAsia"/>
          <w:lang w:val="en-US"/>
        </w:rPr>
      </w:pPr>
      <w:r w:rsidRPr="00BE3D06">
        <w:rPr>
          <w:rFonts w:eastAsiaTheme="minorEastAsia"/>
          <w:lang w:val="en-US"/>
        </w:rPr>
        <w:t>where</w:t>
      </w:r>
      <m:oMath>
        <m:sSubSup>
          <m:sSubSupPr>
            <m:ctrlPr>
              <w:rPr>
                <w:rFonts w:ascii="Cambria Math" w:eastAsiaTheme="minorEastAsia" w:hAnsi="Cambria Math"/>
                <w:i/>
                <w:lang w:val="en-US"/>
              </w:rPr>
            </m:ctrlPr>
          </m:sSubSupPr>
          <m:e>
            <m:r>
              <w:rPr>
                <w:rFonts w:ascii="Cambria Math" w:eastAsiaTheme="minorEastAsia" w:hAnsi="Cambria Math"/>
                <w:lang w:val="en-US"/>
              </w:rPr>
              <m:t xml:space="preserve"> α</m:t>
            </m:r>
          </m:e>
          <m:sub>
            <m:r>
              <w:rPr>
                <w:rFonts w:ascii="Cambria Math" w:eastAsiaTheme="minorEastAsia" w:hAnsi="Cambria Math"/>
                <w:lang w:val="en-US"/>
              </w:rPr>
              <m:t>i</m:t>
            </m:r>
          </m:sub>
          <m:sup>
            <m:r>
              <w:rPr>
                <w:rFonts w:ascii="Cambria Math" w:eastAsiaTheme="minorEastAsia" w:hAnsi="Cambria Math"/>
                <w:lang w:val="en-US"/>
              </w:rPr>
              <m:t>exp</m:t>
            </m:r>
          </m:sup>
        </m:sSubSup>
      </m:oMath>
      <w:r w:rsidRPr="00BE3D06">
        <w:rPr>
          <w:rFonts w:eastAsiaTheme="minorEastAsia"/>
          <w:lang w:val="en-US"/>
        </w:rPr>
        <w:t xml:space="preserve"> </w:t>
      </w:r>
      <w:r w:rsidR="00AD6C69" w:rsidRPr="00BE3D06">
        <w:rPr>
          <w:rFonts w:eastAsiaTheme="minorEastAsia"/>
          <w:lang w:val="en-US"/>
        </w:rPr>
        <w:t xml:space="preserve">and  </w:t>
      </w:r>
      <m:oMath>
        <m:sSubSup>
          <m:sSubSupPr>
            <m:ctrlPr>
              <w:rPr>
                <w:rFonts w:ascii="Cambria Math" w:eastAsiaTheme="minorEastAsia" w:hAnsi="Cambria Math"/>
                <w:i/>
                <w:lang w:val="en-US"/>
              </w:rPr>
            </m:ctrlPr>
          </m:sSubSupPr>
          <m:e>
            <m:r>
              <w:rPr>
                <w:rFonts w:ascii="Cambria Math" w:eastAsiaTheme="minorEastAsia" w:hAnsi="Cambria Math"/>
                <w:lang w:val="en-US"/>
              </w:rPr>
              <m:t xml:space="preserve"> α</m:t>
            </m:r>
          </m:e>
          <m:sub>
            <m:r>
              <w:rPr>
                <w:rFonts w:ascii="Cambria Math" w:eastAsiaTheme="minorEastAsia" w:hAnsi="Cambria Math"/>
                <w:lang w:val="en-US"/>
              </w:rPr>
              <m:t>i</m:t>
            </m:r>
          </m:sub>
          <m:sup>
            <m:r>
              <w:rPr>
                <w:rFonts w:ascii="Cambria Math" w:eastAsiaTheme="minorEastAsia" w:hAnsi="Cambria Math"/>
                <w:lang w:val="en-US"/>
              </w:rPr>
              <m:t>cal</m:t>
            </m:r>
          </m:sup>
        </m:sSubSup>
      </m:oMath>
      <w:r w:rsidR="00AD6C69" w:rsidRPr="00BE3D06">
        <w:rPr>
          <w:rFonts w:eastAsiaTheme="minorEastAsia"/>
          <w:lang w:val="en-US"/>
        </w:rPr>
        <w:t xml:space="preserve">denote the experimental and calculated values of conversion, respectively, and </w:t>
      </w:r>
      <m:oMath>
        <m:r>
          <w:rPr>
            <w:rFonts w:ascii="Cambria Math" w:eastAsiaTheme="minorEastAsia" w:hAnsi="Cambria Math"/>
            <w:lang w:val="en-US"/>
          </w:rPr>
          <m:t>N</m:t>
        </m:r>
      </m:oMath>
      <w:r w:rsidR="00AD6C69" w:rsidRPr="00BE3D06">
        <w:rPr>
          <w:rFonts w:eastAsiaTheme="minorEastAsia"/>
          <w:lang w:val="en-US"/>
        </w:rPr>
        <w:t xml:space="preserve"> is the total number of experimental data points. The optimization was performed using the Nelder-Mead simplex direct search method.</w:t>
      </w:r>
      <w:r w:rsidR="00AD6C69" w:rsidRPr="00BE3D06" w:rsidDel="00AD6C69">
        <w:rPr>
          <w:rFonts w:eastAsiaTheme="minorEastAsia"/>
          <w:lang w:val="en-US"/>
        </w:rPr>
        <w:t xml:space="preserve"> </w:t>
      </w:r>
      <w:r w:rsidR="00AD6C69" w:rsidRPr="00BE3D06">
        <w:t>The transition points between phases were initially identified through visual inspection of the conversion-time data and subsequently refined by minimizing the error between experimental observations and model predictions.</w:t>
      </w:r>
    </w:p>
    <w:p w14:paraId="0857F83B" w14:textId="60812F5F" w:rsidR="00704976" w:rsidRPr="00BE3D06" w:rsidRDefault="00AD6C69" w:rsidP="00704976">
      <w:pPr>
        <w:pStyle w:val="CETBodytext"/>
      </w:pPr>
      <w:r w:rsidRPr="00BE3D06">
        <w:rPr>
          <w:rFonts w:eastAsiaTheme="minorEastAsia"/>
        </w:rPr>
        <w:t xml:space="preserve">Figure </w:t>
      </w:r>
      <w:r w:rsidR="00095061" w:rsidRPr="00BE3D06">
        <w:rPr>
          <w:rFonts w:eastAsiaTheme="minorEastAsia"/>
        </w:rPr>
        <w:t>3</w:t>
      </w:r>
      <w:r w:rsidRPr="00BE3D06">
        <w:rPr>
          <w:rFonts w:eastAsiaTheme="minorEastAsia"/>
        </w:rPr>
        <w:t xml:space="preserve"> presents the comparison between experimental and simulated data for both biomass and </w:t>
      </w:r>
      <w:proofErr w:type="spellStart"/>
      <w:r w:rsidRPr="00BE3D06">
        <w:rPr>
          <w:rFonts w:eastAsiaTheme="minorEastAsia"/>
        </w:rPr>
        <w:t>regranulated</w:t>
      </w:r>
      <w:proofErr w:type="spellEnd"/>
      <w:r w:rsidRPr="00BE3D06">
        <w:rPr>
          <w:rFonts w:eastAsiaTheme="minorEastAsia"/>
        </w:rPr>
        <w:t xml:space="preserve"> plastic waste. The model shows high accuracy, with regression coefficients (R²) close to 0.99 for both materials. These results confirm the reliability of the proposed model for determining kinetic parameters and activation energy values associated with the thermal degradation process.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6D1272" w:rsidRPr="00BE3D06" w14:paraId="7EE59DE0" w14:textId="77777777" w:rsidTr="006D1272">
        <w:tc>
          <w:tcPr>
            <w:tcW w:w="4388" w:type="dxa"/>
          </w:tcPr>
          <w:p w14:paraId="0157EEA2" w14:textId="1435092D" w:rsidR="006D1272" w:rsidRPr="00BE3D06" w:rsidRDefault="006D1272" w:rsidP="0040226C">
            <w:pPr>
              <w:pStyle w:val="CETBodytext"/>
              <w:spacing w:line="240" w:lineRule="auto"/>
            </w:pPr>
            <w:r w:rsidRPr="00BE3D06">
              <w:rPr>
                <w:rFonts w:eastAsiaTheme="minorEastAsia"/>
                <w:noProof/>
                <w:lang w:val="en-GB" w:eastAsia="en-GB"/>
              </w:rPr>
              <w:drawing>
                <wp:inline distT="0" distB="0" distL="0" distR="0" wp14:anchorId="51ADCA14" wp14:editId="4C8C285E">
                  <wp:extent cx="1868556" cy="1401417"/>
                  <wp:effectExtent l="0" t="0" r="0" b="8890"/>
                  <wp:docPr id="1472595205" name="Picture 12" descr="A graph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595205" name="Picture 12" descr="A graph with a red line&#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75875" cy="1406906"/>
                          </a:xfrm>
                          <a:prstGeom prst="rect">
                            <a:avLst/>
                          </a:prstGeom>
                        </pic:spPr>
                      </pic:pic>
                    </a:graphicData>
                  </a:graphic>
                </wp:inline>
              </w:drawing>
            </w:r>
          </w:p>
        </w:tc>
        <w:tc>
          <w:tcPr>
            <w:tcW w:w="4389" w:type="dxa"/>
          </w:tcPr>
          <w:p w14:paraId="256A6D08" w14:textId="07415DBA" w:rsidR="006D1272" w:rsidRPr="00BE3D06" w:rsidRDefault="006D1272" w:rsidP="0040226C">
            <w:pPr>
              <w:pStyle w:val="CETBodytext"/>
              <w:spacing w:line="240" w:lineRule="auto"/>
            </w:pPr>
            <w:r w:rsidRPr="00BE3D06">
              <w:rPr>
                <w:rFonts w:eastAsiaTheme="minorEastAsia"/>
                <w:noProof/>
                <w:lang w:val="en-GB" w:eastAsia="en-GB"/>
              </w:rPr>
              <w:drawing>
                <wp:inline distT="0" distB="0" distL="0" distR="0" wp14:anchorId="71B55FF1" wp14:editId="1BDFDBA9">
                  <wp:extent cx="1757238" cy="1317928"/>
                  <wp:effectExtent l="0" t="0" r="0" b="0"/>
                  <wp:docPr id="665661803" name="Picture 1" descr="A graph of a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661803" name="Picture 1" descr="A graph of a model&#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66507" cy="1324880"/>
                          </a:xfrm>
                          <a:prstGeom prst="rect">
                            <a:avLst/>
                          </a:prstGeom>
                        </pic:spPr>
                      </pic:pic>
                    </a:graphicData>
                  </a:graphic>
                </wp:inline>
              </w:drawing>
            </w:r>
          </w:p>
        </w:tc>
      </w:tr>
      <w:tr w:rsidR="006D1272" w:rsidRPr="00BE3D06" w14:paraId="07896638" w14:textId="77777777" w:rsidTr="006D1272">
        <w:tc>
          <w:tcPr>
            <w:tcW w:w="4388" w:type="dxa"/>
          </w:tcPr>
          <w:p w14:paraId="30F2D519" w14:textId="729FC404" w:rsidR="006D1272" w:rsidRPr="00BE3D06" w:rsidRDefault="006D1272" w:rsidP="0040226C">
            <w:pPr>
              <w:pStyle w:val="CETBodytext"/>
              <w:spacing w:line="240" w:lineRule="auto"/>
              <w:jc w:val="center"/>
            </w:pPr>
            <w:r w:rsidRPr="00BE3D06">
              <w:t>(a)</w:t>
            </w:r>
          </w:p>
        </w:tc>
        <w:tc>
          <w:tcPr>
            <w:tcW w:w="4389" w:type="dxa"/>
          </w:tcPr>
          <w:p w14:paraId="6EE5F8DF" w14:textId="762FC184" w:rsidR="006D1272" w:rsidRPr="00BE3D06" w:rsidRDefault="006D1272" w:rsidP="0040226C">
            <w:pPr>
              <w:pStyle w:val="CETBodytext"/>
              <w:spacing w:line="240" w:lineRule="auto"/>
              <w:jc w:val="center"/>
            </w:pPr>
            <w:r w:rsidRPr="00BE3D06">
              <w:t>(b)</w:t>
            </w:r>
          </w:p>
        </w:tc>
      </w:tr>
    </w:tbl>
    <w:p w14:paraId="344087B6" w14:textId="1060A181" w:rsidR="006D1272" w:rsidRPr="00BE3D06" w:rsidRDefault="00180476" w:rsidP="00DC24D3">
      <w:pPr>
        <w:pStyle w:val="CETCaption"/>
        <w:spacing w:before="0" w:line="240" w:lineRule="auto"/>
      </w:pPr>
      <w:r w:rsidRPr="00BE3D06">
        <w:rPr>
          <w:rStyle w:val="CETCaptionCarattere"/>
          <w:i/>
        </w:rPr>
        <w:t xml:space="preserve">Figure </w:t>
      </w:r>
      <w:r w:rsidR="00E7329C" w:rsidRPr="00BE3D06">
        <w:rPr>
          <w:rStyle w:val="CETCaptionCarattere"/>
          <w:i/>
        </w:rPr>
        <w:t>3</w:t>
      </w:r>
      <w:r w:rsidR="006D1272" w:rsidRPr="00BE3D06">
        <w:rPr>
          <w:rStyle w:val="CETCaptionCarattere"/>
          <w:i/>
        </w:rPr>
        <w:t xml:space="preserve">: </w:t>
      </w:r>
      <w:r w:rsidR="006D1272" w:rsidRPr="00BE3D06">
        <w:rPr>
          <w:rFonts w:eastAsiaTheme="minorEastAsia"/>
          <w:lang w:val="en-US"/>
        </w:rPr>
        <w:t xml:space="preserve">Comparison between model and experimental data in case of (a) biomass waste, (b) </w:t>
      </w:r>
      <w:proofErr w:type="spellStart"/>
      <w:r w:rsidR="006D1272" w:rsidRPr="00BE3D06">
        <w:rPr>
          <w:rFonts w:eastAsiaTheme="minorEastAsia"/>
          <w:lang w:val="en-US"/>
        </w:rPr>
        <w:t>regranulated</w:t>
      </w:r>
      <w:proofErr w:type="spellEnd"/>
      <w:r w:rsidR="006D1272" w:rsidRPr="00BE3D06">
        <w:rPr>
          <w:rFonts w:eastAsiaTheme="minorEastAsia"/>
          <w:lang w:val="en-US"/>
        </w:rPr>
        <w:t xml:space="preserve"> plastic waste</w:t>
      </w:r>
    </w:p>
    <w:p w14:paraId="68D26B83" w14:textId="77777777" w:rsidR="00600535" w:rsidRPr="00BE3D06" w:rsidRDefault="00600535" w:rsidP="00600535">
      <w:pPr>
        <w:pStyle w:val="CETHeading1"/>
        <w:rPr>
          <w:lang w:val="en-GB"/>
        </w:rPr>
      </w:pPr>
      <w:r w:rsidRPr="00BE3D06">
        <w:rPr>
          <w:lang w:val="en-GB"/>
        </w:rPr>
        <w:t>Conclusions</w:t>
      </w:r>
    </w:p>
    <w:p w14:paraId="52DAFDE0" w14:textId="23FF8673" w:rsidR="001D0CFB" w:rsidRPr="00BE3D06" w:rsidRDefault="009B083B" w:rsidP="00600535">
      <w:pPr>
        <w:pStyle w:val="CETBodytext"/>
        <w:rPr>
          <w:lang w:val="en-GB"/>
        </w:rPr>
      </w:pPr>
      <w:r w:rsidRPr="00BE3D06">
        <w:rPr>
          <w:lang w:val="en-GB"/>
        </w:rPr>
        <w:t xml:space="preserve">This study demonstrated that catalysts with varying Si/Al ratios significantly reduced the activation energy during biomass and </w:t>
      </w:r>
      <w:proofErr w:type="spellStart"/>
      <w:r w:rsidRPr="00BE3D06">
        <w:rPr>
          <w:lang w:val="en-GB"/>
        </w:rPr>
        <w:t>regranulated</w:t>
      </w:r>
      <w:proofErr w:type="spellEnd"/>
      <w:r w:rsidRPr="00BE3D06">
        <w:rPr>
          <w:lang w:val="en-GB"/>
        </w:rPr>
        <w:t xml:space="preserve"> polymer waste degradation. The biomass waste degraded in two main steps while that of </w:t>
      </w:r>
      <w:proofErr w:type="spellStart"/>
      <w:r w:rsidRPr="00BE3D06">
        <w:rPr>
          <w:lang w:val="en-GB"/>
        </w:rPr>
        <w:t>regranulated</w:t>
      </w:r>
      <w:proofErr w:type="spellEnd"/>
      <w:r w:rsidRPr="00BE3D06">
        <w:rPr>
          <w:lang w:val="en-GB"/>
        </w:rPr>
        <w:t xml:space="preserve"> polymer was one. </w:t>
      </w:r>
      <w:r w:rsidRPr="00BE3D06">
        <w:t xml:space="preserve">Additionally, higher heating rates increased the intensity of the </w:t>
      </w:r>
      <w:r w:rsidRPr="00BE3D06">
        <w:lastRenderedPageBreak/>
        <w:t xml:space="preserve">degradation peaks and shifted the degradation temperature ranges to higher temperatures. </w:t>
      </w:r>
      <w:r w:rsidRPr="00BE3D06">
        <w:rPr>
          <w:lang w:val="en-GB"/>
        </w:rPr>
        <w:t xml:space="preserve">At lower heating rates (5°C/min and 20°C/min), the activation energy was higher owing to the longer exposure times and more complete decomposition. The </w:t>
      </w:r>
      <w:r w:rsidR="00DC24D3" w:rsidRPr="00BE3D06">
        <w:rPr>
          <w:lang w:val="en-GB"/>
        </w:rPr>
        <w:t xml:space="preserve">utilization of catalysts </w:t>
      </w:r>
      <w:r w:rsidRPr="00BE3D06">
        <w:rPr>
          <w:lang w:val="en-GB"/>
        </w:rPr>
        <w:t>with higher Si/Al ratios (“Catalyst A” and “Catalyst C”), resulted in a remarkable reduction of activation energy.</w:t>
      </w:r>
    </w:p>
    <w:p w14:paraId="07A6D20F" w14:textId="0ECF229E" w:rsidR="00280FAF" w:rsidRPr="00BE3D06" w:rsidRDefault="00280FAF" w:rsidP="00280FAF">
      <w:pPr>
        <w:pStyle w:val="CETHeadingxx"/>
        <w:rPr>
          <w:lang w:val="en-GB"/>
        </w:rPr>
        <w:sectPr w:rsidR="00280FAF" w:rsidRPr="00BE3D06" w:rsidSect="00DC73EE">
          <w:type w:val="continuous"/>
          <w:pgSz w:w="11906" w:h="16838" w:code="9"/>
          <w:pgMar w:top="1701" w:right="1418" w:bottom="1701" w:left="1701" w:header="1701" w:footer="0" w:gutter="0"/>
          <w:cols w:space="708"/>
          <w:formProt w:val="0"/>
          <w:titlePg/>
          <w:docGrid w:linePitch="360"/>
        </w:sectPr>
      </w:pPr>
      <w:r w:rsidRPr="00BE3D06">
        <w:t>Nomenclature</w:t>
      </w:r>
    </w:p>
    <w:p w14:paraId="10BC9102" w14:textId="77777777" w:rsidR="001F5909" w:rsidRPr="00BE3D06" w:rsidRDefault="001F5909" w:rsidP="00280FAF">
      <w:pPr>
        <w:pStyle w:val="CETBodytext"/>
        <w:jc w:val="left"/>
        <w:rPr>
          <w:rFonts w:eastAsia="SimSun"/>
        </w:rPr>
      </w:pPr>
      <w:r w:rsidRPr="00BE3D06">
        <w:rPr>
          <w:rFonts w:eastAsia="SimSun"/>
        </w:rPr>
        <w:t>HDPE</w:t>
      </w:r>
      <w:r w:rsidR="00280FAF" w:rsidRPr="00BE3D06">
        <w:rPr>
          <w:rFonts w:eastAsia="SimSun"/>
        </w:rPr>
        <w:t xml:space="preserve"> – </w:t>
      </w:r>
      <w:r w:rsidRPr="00BE3D06">
        <w:rPr>
          <w:rFonts w:eastAsia="SimSun"/>
        </w:rPr>
        <w:t>high density polyethylene</w:t>
      </w:r>
    </w:p>
    <w:p w14:paraId="57590CE2" w14:textId="2D13B765" w:rsidR="00280FAF" w:rsidRPr="00BE3D06" w:rsidRDefault="001F5909" w:rsidP="00280FAF">
      <w:pPr>
        <w:pStyle w:val="CETBodytext"/>
        <w:jc w:val="left"/>
        <w:rPr>
          <w:rFonts w:eastAsia="SimSun"/>
        </w:rPr>
      </w:pPr>
      <w:r w:rsidRPr="00BE3D06">
        <w:rPr>
          <w:rFonts w:eastAsia="SimSun"/>
        </w:rPr>
        <w:t>PP – polypropylene</w:t>
      </w:r>
    </w:p>
    <w:p w14:paraId="0E502614" w14:textId="7DCDE3F4" w:rsidR="00280FAF" w:rsidRPr="00BE3D06" w:rsidRDefault="001F5909" w:rsidP="00280FAF">
      <w:pPr>
        <w:pStyle w:val="CETBodytext"/>
        <w:jc w:val="left"/>
        <w:rPr>
          <w:rFonts w:eastAsia="SimSun"/>
        </w:rPr>
      </w:pPr>
      <w:r w:rsidRPr="00BE3D06">
        <w:rPr>
          <w:rFonts w:eastAsia="SimSun"/>
        </w:rPr>
        <w:t>PS</w:t>
      </w:r>
      <w:r w:rsidR="00280FAF" w:rsidRPr="00BE3D06">
        <w:rPr>
          <w:rFonts w:eastAsia="SimSun"/>
        </w:rPr>
        <w:t xml:space="preserve"> –</w:t>
      </w:r>
      <w:r w:rsidRPr="00BE3D06">
        <w:rPr>
          <w:rFonts w:eastAsia="SimSun"/>
        </w:rPr>
        <w:t>polystyrene</w:t>
      </w:r>
    </w:p>
    <w:p w14:paraId="459D05E6" w14:textId="77777777" w:rsidR="00600535" w:rsidRPr="00BE3D06" w:rsidRDefault="00600535" w:rsidP="00600535">
      <w:pPr>
        <w:pStyle w:val="CETAcknowledgementstitle"/>
      </w:pPr>
      <w:r w:rsidRPr="00BE3D06">
        <w:t>Acknowledgments</w:t>
      </w:r>
    </w:p>
    <w:p w14:paraId="530E0771" w14:textId="77777777" w:rsidR="00D67218" w:rsidRPr="00BE3D06" w:rsidRDefault="00D67218" w:rsidP="00DC24D3">
      <w:pPr>
        <w:pStyle w:val="CETBodytext"/>
      </w:pPr>
      <w:r w:rsidRPr="00BE3D06">
        <w:t xml:space="preserve">Project no. RRF-2.3.1-21-2022-00009, titled National Laboratory for Renewable Energy has been implemented with the support provided by the Recovery and Resilience Facility of the European Union within the framework of </w:t>
      </w:r>
      <w:proofErr w:type="spellStart"/>
      <w:r w:rsidRPr="00BE3D06">
        <w:t>Programme</w:t>
      </w:r>
      <w:proofErr w:type="spellEnd"/>
      <w:r w:rsidRPr="00BE3D06">
        <w:t xml:space="preserve"> Széchenyi Plan Plus.</w:t>
      </w:r>
    </w:p>
    <w:p w14:paraId="4F1327F8" w14:textId="77777777" w:rsidR="00600535" w:rsidRPr="00BE3D06" w:rsidRDefault="00600535" w:rsidP="00600535">
      <w:pPr>
        <w:pStyle w:val="CETReference"/>
      </w:pPr>
      <w:r w:rsidRPr="00BE3D06">
        <w:t>References</w:t>
      </w:r>
    </w:p>
    <w:p w14:paraId="010F63F8" w14:textId="77777777" w:rsidR="009B083B" w:rsidRPr="00BE3D06" w:rsidRDefault="009B083B" w:rsidP="00747D36">
      <w:pPr>
        <w:pStyle w:val="CETReferencetext"/>
      </w:pPr>
      <w:r w:rsidRPr="00BE3D06">
        <w:t xml:space="preserve">Aliyu U. M., </w:t>
      </w:r>
      <w:proofErr w:type="spellStart"/>
      <w:r w:rsidRPr="00BE3D06">
        <w:t>Rathilal</w:t>
      </w:r>
      <w:proofErr w:type="spellEnd"/>
      <w:r w:rsidRPr="00BE3D06">
        <w:t xml:space="preserve"> S., Mustapha S. I., </w:t>
      </w:r>
      <w:proofErr w:type="spellStart"/>
      <w:r w:rsidRPr="00BE3D06">
        <w:t>Musamali</w:t>
      </w:r>
      <w:proofErr w:type="spellEnd"/>
      <w:r w:rsidRPr="00BE3D06">
        <w:t xml:space="preserve"> R., Tetteh E. K., 2023. Hydrothermal synthesis of kaolin-based ZSM-5 zeolite: Effect of synthesis parameters and its application for bioethanol conversion, Catalyst Communications, 182, 106750.</w:t>
      </w:r>
    </w:p>
    <w:p w14:paraId="467AD2B2" w14:textId="77777777" w:rsidR="009B083B" w:rsidRPr="00BE3D06" w:rsidRDefault="009B083B" w:rsidP="00E65B91">
      <w:pPr>
        <w:pStyle w:val="CETReferencetext"/>
      </w:pPr>
      <w:r w:rsidRPr="00BE3D06">
        <w:rPr>
          <w:lang w:val="es-ES"/>
        </w:rPr>
        <w:t xml:space="preserve">Arenas C. N., Navarro M. V., Martínez J. D., 2019. </w:t>
      </w:r>
      <w:r w:rsidRPr="00BE3D06">
        <w:t xml:space="preserve">Pyrolysis kinetics of biomass wastes using </w:t>
      </w:r>
      <w:proofErr w:type="spellStart"/>
      <w:r w:rsidRPr="00BE3D06">
        <w:t>isoconversional</w:t>
      </w:r>
      <w:proofErr w:type="spellEnd"/>
      <w:r w:rsidRPr="00BE3D06">
        <w:t xml:space="preserve"> methods and the distributed activation energy model, </w:t>
      </w:r>
      <w:proofErr w:type="spellStart"/>
      <w:r w:rsidRPr="00BE3D06">
        <w:t>Bioresurce</w:t>
      </w:r>
      <w:proofErr w:type="spellEnd"/>
      <w:r w:rsidRPr="00BE3D06">
        <w:t xml:space="preserve"> Technology, 288, 121485.</w:t>
      </w:r>
    </w:p>
    <w:p w14:paraId="70F1D9F1" w14:textId="77777777" w:rsidR="009B083B" w:rsidRPr="00BE3D06" w:rsidRDefault="009B083B" w:rsidP="00E65B91">
      <w:pPr>
        <w:pStyle w:val="CETReferencetext"/>
      </w:pPr>
      <w:proofErr w:type="spellStart"/>
      <w:r w:rsidRPr="00BE3D06">
        <w:rPr>
          <w:lang w:val="es-ES"/>
        </w:rPr>
        <w:t>Asgahari</w:t>
      </w:r>
      <w:proofErr w:type="spellEnd"/>
      <w:r w:rsidRPr="00BE3D06">
        <w:rPr>
          <w:lang w:val="es-ES"/>
        </w:rPr>
        <w:t xml:space="preserve">, A., </w:t>
      </w:r>
      <w:proofErr w:type="spellStart"/>
      <w:r w:rsidRPr="00BE3D06">
        <w:rPr>
          <w:lang w:val="es-ES"/>
        </w:rPr>
        <w:t>Khorrami</w:t>
      </w:r>
      <w:proofErr w:type="spellEnd"/>
      <w:r w:rsidRPr="00BE3D06">
        <w:rPr>
          <w:lang w:val="es-ES"/>
        </w:rPr>
        <w:t xml:space="preserve"> M. K., </w:t>
      </w:r>
      <w:proofErr w:type="spellStart"/>
      <w:r w:rsidRPr="00BE3D06">
        <w:rPr>
          <w:lang w:val="es-ES"/>
        </w:rPr>
        <w:t>Kazemi</w:t>
      </w:r>
      <w:proofErr w:type="spellEnd"/>
      <w:r w:rsidRPr="00BE3D06">
        <w:rPr>
          <w:lang w:val="es-ES"/>
        </w:rPr>
        <w:t xml:space="preserve"> S. H., 2019. </w:t>
      </w:r>
      <w:r w:rsidRPr="00BE3D06">
        <w:t>Hierarchical H-ZSM5 zeolites based on natural kaolinite as a high-performance catalyst for methanol to aromatic hydrocarbons conversion, Scientific Report, 26,9, 17526.</w:t>
      </w:r>
    </w:p>
    <w:p w14:paraId="0942F1B5" w14:textId="77777777" w:rsidR="009B083B" w:rsidRPr="00BE3D06" w:rsidRDefault="009B083B" w:rsidP="00A00598">
      <w:pPr>
        <w:pStyle w:val="CETReferencetext"/>
      </w:pPr>
      <w:r w:rsidRPr="00BE3D06">
        <w:t xml:space="preserve">Bach Q. V., Khalil R. A., Tran K. Q., </w:t>
      </w:r>
      <w:proofErr w:type="spellStart"/>
      <w:r w:rsidRPr="00BE3D06">
        <w:t>Skreiberg</w:t>
      </w:r>
      <w:proofErr w:type="spellEnd"/>
      <w:r w:rsidRPr="00BE3D06">
        <w:t xml:space="preserve"> O., 2014. Torrefaction Kinetics of Norwegian Biomass Fuels, Chemical Engineering Transactions, 37, 49-54.</w:t>
      </w:r>
    </w:p>
    <w:p w14:paraId="683F69AB" w14:textId="77777777" w:rsidR="009B083B" w:rsidRPr="00BE3D06" w:rsidRDefault="009B083B" w:rsidP="00E65B91">
      <w:pPr>
        <w:pStyle w:val="CETReferencetext"/>
      </w:pPr>
      <w:r w:rsidRPr="00BE3D06">
        <w:rPr>
          <w:lang w:val="it-IT"/>
        </w:rPr>
        <w:t xml:space="preserve">Gao Y., Zheng B., Wu G., Ma F., Liu C., 2016. </w:t>
      </w:r>
      <w:r w:rsidRPr="00BE3D06">
        <w:t>Effect of the Si/Al ratio on the performance of hierarchical ZSM-5 zeolites for methanol aromatization, RSC Advances, 6, 87.</w:t>
      </w:r>
    </w:p>
    <w:p w14:paraId="63C5B8CF" w14:textId="77777777" w:rsidR="009B083B" w:rsidRPr="00BE3D06" w:rsidRDefault="009B083B" w:rsidP="00E65B91">
      <w:pPr>
        <w:pStyle w:val="CETReferencetext"/>
      </w:pPr>
      <w:r w:rsidRPr="00BE3D06">
        <w:rPr>
          <w:lang w:val="es-ES"/>
        </w:rPr>
        <w:t xml:space="preserve">Gomes E. S., Aranda D. A. G. M., Pereira M. M, Louis B. 2018. </w:t>
      </w:r>
      <w:r w:rsidRPr="00BE3D06">
        <w:t>ZSM-5 synthesis by the assistance of biomass and biomass-derivate compounds, Microporous and Mesoporous Materials, 263, 251-256.</w:t>
      </w:r>
    </w:p>
    <w:p w14:paraId="334FC86C" w14:textId="77777777" w:rsidR="009B083B" w:rsidRPr="00BE3D06" w:rsidRDefault="009B083B" w:rsidP="00E65B91">
      <w:pPr>
        <w:pStyle w:val="CETReferencetext"/>
      </w:pPr>
      <w:proofErr w:type="spellStart"/>
      <w:r w:rsidRPr="00BE3D06">
        <w:rPr>
          <w:lang w:val="es-ES"/>
        </w:rPr>
        <w:t>Mohan</w:t>
      </w:r>
      <w:proofErr w:type="spellEnd"/>
      <w:r w:rsidRPr="00BE3D06">
        <w:rPr>
          <w:lang w:val="es-ES"/>
        </w:rPr>
        <w:t xml:space="preserve"> I., </w:t>
      </w:r>
      <w:proofErr w:type="spellStart"/>
      <w:r w:rsidRPr="00BE3D06">
        <w:rPr>
          <w:lang w:val="es-ES"/>
        </w:rPr>
        <w:t>Sahoo</w:t>
      </w:r>
      <w:proofErr w:type="spellEnd"/>
      <w:r w:rsidRPr="00BE3D06">
        <w:rPr>
          <w:lang w:val="es-ES"/>
        </w:rPr>
        <w:t xml:space="preserve"> A., Panda A. K., Mandal S., Kumar S., 2023. </w:t>
      </w:r>
      <w:r w:rsidRPr="00BE3D06">
        <w:t xml:space="preserve">Screening of modified kaolin catalysts in the catalytic pyrolysis of waste high-density polyethylene: Kinetics and thermodynamic analysis, Artificial Neural Network prediction, batch pyrolysis study and characterization of liquid fuel, Journal of Environmental Chemical Engineering, 11, 5, 111039. </w:t>
      </w:r>
    </w:p>
    <w:p w14:paraId="16C8AE4E" w14:textId="77777777" w:rsidR="009B083B" w:rsidRPr="00BE3D06" w:rsidRDefault="009B083B" w:rsidP="00FD47A2">
      <w:pPr>
        <w:pStyle w:val="CETReferencetext"/>
      </w:pPr>
      <w:r w:rsidRPr="00BE3D06">
        <w:t xml:space="preserve">Peng </w:t>
      </w:r>
      <w:proofErr w:type="spellStart"/>
      <w:proofErr w:type="gramStart"/>
      <w:r w:rsidRPr="00BE3D06">
        <w:t>Y.,Wang</w:t>
      </w:r>
      <w:proofErr w:type="spellEnd"/>
      <w:proofErr w:type="gramEnd"/>
      <w:r w:rsidRPr="00BE3D06">
        <w:t xml:space="preserve"> </w:t>
      </w:r>
      <w:proofErr w:type="spellStart"/>
      <w:r w:rsidRPr="00BE3D06">
        <w:t>Y.,Ke</w:t>
      </w:r>
      <w:proofErr w:type="spellEnd"/>
      <w:r w:rsidRPr="00BE3D06">
        <w:t xml:space="preserve"> L., Dai </w:t>
      </w:r>
      <w:proofErr w:type="spellStart"/>
      <w:r w:rsidRPr="00BE3D06">
        <w:t>L.,Wu</w:t>
      </w:r>
      <w:proofErr w:type="spellEnd"/>
      <w:r w:rsidRPr="00BE3D06">
        <w:t xml:space="preserve"> Q., Cobb K., Zeng Y., Zou R., Liu Y., Ruan R., 2022. A review on catalytic pyrolysis of plastic wastes to high-value products, Energy Conversion and Management, 254, 115243</w:t>
      </w:r>
    </w:p>
    <w:p w14:paraId="2BD39C5C" w14:textId="77777777" w:rsidR="009B083B" w:rsidRPr="00BE3D06" w:rsidRDefault="009B083B" w:rsidP="00FD47A2">
      <w:pPr>
        <w:pStyle w:val="CETReferencetext"/>
      </w:pPr>
      <w:r w:rsidRPr="00BE3D06">
        <w:t xml:space="preserve">Wang </w:t>
      </w:r>
      <w:proofErr w:type="spellStart"/>
      <w:proofErr w:type="gramStart"/>
      <w:r w:rsidRPr="00BE3D06">
        <w:t>S.,Dai</w:t>
      </w:r>
      <w:proofErr w:type="spellEnd"/>
      <w:proofErr w:type="gramEnd"/>
      <w:r w:rsidRPr="00BE3D06">
        <w:t xml:space="preserve"> </w:t>
      </w:r>
      <w:proofErr w:type="spellStart"/>
      <w:r w:rsidRPr="00BE3D06">
        <w:t>G.,Yang</w:t>
      </w:r>
      <w:proofErr w:type="spellEnd"/>
      <w:r w:rsidRPr="00BE3D06">
        <w:t xml:space="preserve"> H., Luo Z., 2017. Lignocellulosic biomass pyrolysis mechanism: A state-of-the-art review, Progress in Energy and Combustion Science, 62, 33-86.</w:t>
      </w:r>
    </w:p>
    <w:p w14:paraId="70224DD6" w14:textId="77777777" w:rsidR="009B083B" w:rsidRPr="00BE3D06" w:rsidRDefault="009B083B" w:rsidP="00E65B91">
      <w:pPr>
        <w:pStyle w:val="CETReferencetext"/>
      </w:pPr>
      <w:r w:rsidRPr="00BE3D06">
        <w:t>Yan Y., Wu T., Lester E., Tang L., Meng Y., Fang X., Pang C. H., 2019. The Kinetics Studies and Thermal Characterisation of Biomass, Energy Procedia, 15, 357–363.</w:t>
      </w:r>
    </w:p>
    <w:p w14:paraId="6F10F177" w14:textId="77777777" w:rsidR="009B083B" w:rsidRDefault="009B083B" w:rsidP="00E65B91">
      <w:pPr>
        <w:pStyle w:val="CETReferencetext"/>
      </w:pPr>
      <w:r w:rsidRPr="00BE3D06">
        <w:t>Zhang L., Bao, Z., Xia S., Lu Q., Walters K. B., 2018. Catalytic Pyrolysis of Biomass and Polymer Wastes, Catalysts, 8, 12, 659.</w:t>
      </w:r>
    </w:p>
    <w:sectPr w:rsidR="009B083B"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CAA7D" w14:textId="77777777" w:rsidR="00041C75" w:rsidRDefault="00041C75" w:rsidP="004F5E36">
      <w:r>
        <w:separator/>
      </w:r>
    </w:p>
  </w:endnote>
  <w:endnote w:type="continuationSeparator" w:id="0">
    <w:p w14:paraId="72E2F56F" w14:textId="77777777" w:rsidR="00041C75" w:rsidRDefault="00041C7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8E842" w14:textId="77777777" w:rsidR="00041C75" w:rsidRDefault="00041C75" w:rsidP="004F5E36">
      <w:r>
        <w:separator/>
      </w:r>
    </w:p>
  </w:footnote>
  <w:footnote w:type="continuationSeparator" w:id="0">
    <w:p w14:paraId="37194586" w14:textId="77777777" w:rsidR="00041C75" w:rsidRDefault="00041C75"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6902738">
    <w:abstractNumId w:val="11"/>
  </w:num>
  <w:num w:numId="2" w16cid:durableId="1875993087">
    <w:abstractNumId w:val="8"/>
  </w:num>
  <w:num w:numId="3" w16cid:durableId="1371415612">
    <w:abstractNumId w:val="3"/>
  </w:num>
  <w:num w:numId="4" w16cid:durableId="2030714400">
    <w:abstractNumId w:val="2"/>
  </w:num>
  <w:num w:numId="5" w16cid:durableId="1015887588">
    <w:abstractNumId w:val="1"/>
  </w:num>
  <w:num w:numId="6" w16cid:durableId="905066950">
    <w:abstractNumId w:val="0"/>
  </w:num>
  <w:num w:numId="7" w16cid:durableId="1779444951">
    <w:abstractNumId w:val="9"/>
  </w:num>
  <w:num w:numId="8" w16cid:durableId="1834757628">
    <w:abstractNumId w:val="7"/>
  </w:num>
  <w:num w:numId="9" w16cid:durableId="343558121">
    <w:abstractNumId w:val="6"/>
  </w:num>
  <w:num w:numId="10" w16cid:durableId="314064572">
    <w:abstractNumId w:val="5"/>
  </w:num>
  <w:num w:numId="11" w16cid:durableId="59981818">
    <w:abstractNumId w:val="4"/>
  </w:num>
  <w:num w:numId="12" w16cid:durableId="1784765052">
    <w:abstractNumId w:val="18"/>
  </w:num>
  <w:num w:numId="13" w16cid:durableId="777723202">
    <w:abstractNumId w:val="13"/>
  </w:num>
  <w:num w:numId="14" w16cid:durableId="2119448810">
    <w:abstractNumId w:val="19"/>
  </w:num>
  <w:num w:numId="15" w16cid:durableId="1991515684">
    <w:abstractNumId w:val="21"/>
  </w:num>
  <w:num w:numId="16" w16cid:durableId="2100130823">
    <w:abstractNumId w:val="20"/>
  </w:num>
  <w:num w:numId="17" w16cid:durableId="446462999">
    <w:abstractNumId w:val="12"/>
  </w:num>
  <w:num w:numId="18" w16cid:durableId="1783183306">
    <w:abstractNumId w:val="13"/>
    <w:lvlOverride w:ilvl="0">
      <w:startOverride w:val="1"/>
    </w:lvlOverride>
  </w:num>
  <w:num w:numId="19" w16cid:durableId="1034842509">
    <w:abstractNumId w:val="17"/>
  </w:num>
  <w:num w:numId="20" w16cid:durableId="1218276501">
    <w:abstractNumId w:val="16"/>
  </w:num>
  <w:num w:numId="21" w16cid:durableId="1652441093">
    <w:abstractNumId w:val="15"/>
  </w:num>
  <w:num w:numId="22" w16cid:durableId="485433931">
    <w:abstractNumId w:val="14"/>
  </w:num>
  <w:num w:numId="23" w16cid:durableId="16306243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304E9"/>
    <w:rsid w:val="00030AD7"/>
    <w:rsid w:val="0003148D"/>
    <w:rsid w:val="00031EEC"/>
    <w:rsid w:val="00041C75"/>
    <w:rsid w:val="00051566"/>
    <w:rsid w:val="000562A9"/>
    <w:rsid w:val="00062A9A"/>
    <w:rsid w:val="00065058"/>
    <w:rsid w:val="00081411"/>
    <w:rsid w:val="00086C39"/>
    <w:rsid w:val="00095061"/>
    <w:rsid w:val="000A03B2"/>
    <w:rsid w:val="000C22E9"/>
    <w:rsid w:val="000D0268"/>
    <w:rsid w:val="000D34BE"/>
    <w:rsid w:val="000E0B3C"/>
    <w:rsid w:val="000E0F84"/>
    <w:rsid w:val="000E102F"/>
    <w:rsid w:val="000E36F1"/>
    <w:rsid w:val="000E3A73"/>
    <w:rsid w:val="000E414A"/>
    <w:rsid w:val="000E75FD"/>
    <w:rsid w:val="000F093C"/>
    <w:rsid w:val="000F46D1"/>
    <w:rsid w:val="000F787B"/>
    <w:rsid w:val="00114A93"/>
    <w:rsid w:val="0012091F"/>
    <w:rsid w:val="00125B1C"/>
    <w:rsid w:val="00126BC2"/>
    <w:rsid w:val="001308B6"/>
    <w:rsid w:val="0013121F"/>
    <w:rsid w:val="00131FE6"/>
    <w:rsid w:val="0013263F"/>
    <w:rsid w:val="00132BE8"/>
    <w:rsid w:val="001331DF"/>
    <w:rsid w:val="00134DE4"/>
    <w:rsid w:val="0014034D"/>
    <w:rsid w:val="0014079F"/>
    <w:rsid w:val="00140FE3"/>
    <w:rsid w:val="00144D16"/>
    <w:rsid w:val="00150E59"/>
    <w:rsid w:val="00152DE3"/>
    <w:rsid w:val="00164CF9"/>
    <w:rsid w:val="0016668E"/>
    <w:rsid w:val="001667A6"/>
    <w:rsid w:val="00180476"/>
    <w:rsid w:val="0018171E"/>
    <w:rsid w:val="00184AD6"/>
    <w:rsid w:val="001A0E80"/>
    <w:rsid w:val="001A4AF7"/>
    <w:rsid w:val="001B0349"/>
    <w:rsid w:val="001B1E93"/>
    <w:rsid w:val="001B65C1"/>
    <w:rsid w:val="001C260F"/>
    <w:rsid w:val="001C5C3A"/>
    <w:rsid w:val="001C684B"/>
    <w:rsid w:val="001C753D"/>
    <w:rsid w:val="001D0CFB"/>
    <w:rsid w:val="001D21AF"/>
    <w:rsid w:val="001D3D32"/>
    <w:rsid w:val="001D53FC"/>
    <w:rsid w:val="001E7474"/>
    <w:rsid w:val="001F42A5"/>
    <w:rsid w:val="001F5909"/>
    <w:rsid w:val="001F7B9D"/>
    <w:rsid w:val="00201C93"/>
    <w:rsid w:val="002224B4"/>
    <w:rsid w:val="00240A20"/>
    <w:rsid w:val="002416E9"/>
    <w:rsid w:val="002447EF"/>
    <w:rsid w:val="00251550"/>
    <w:rsid w:val="00251B38"/>
    <w:rsid w:val="00263B05"/>
    <w:rsid w:val="0027221A"/>
    <w:rsid w:val="00275B61"/>
    <w:rsid w:val="00280FAF"/>
    <w:rsid w:val="00282656"/>
    <w:rsid w:val="00296B83"/>
    <w:rsid w:val="002B4015"/>
    <w:rsid w:val="002B78CE"/>
    <w:rsid w:val="002C2FB6"/>
    <w:rsid w:val="002E5FA7"/>
    <w:rsid w:val="002F05DF"/>
    <w:rsid w:val="002F3309"/>
    <w:rsid w:val="002F50DC"/>
    <w:rsid w:val="003008CE"/>
    <w:rsid w:val="003009B7"/>
    <w:rsid w:val="00300E56"/>
    <w:rsid w:val="0030152C"/>
    <w:rsid w:val="0030469C"/>
    <w:rsid w:val="00304CE8"/>
    <w:rsid w:val="00321CA6"/>
    <w:rsid w:val="00323763"/>
    <w:rsid w:val="00323C5F"/>
    <w:rsid w:val="00327B7C"/>
    <w:rsid w:val="00334C09"/>
    <w:rsid w:val="003513DE"/>
    <w:rsid w:val="003723D4"/>
    <w:rsid w:val="00372E04"/>
    <w:rsid w:val="00381905"/>
    <w:rsid w:val="003839B6"/>
    <w:rsid w:val="00384CC8"/>
    <w:rsid w:val="003871FD"/>
    <w:rsid w:val="00395D5C"/>
    <w:rsid w:val="003A1E30"/>
    <w:rsid w:val="003A2829"/>
    <w:rsid w:val="003A7D1C"/>
    <w:rsid w:val="003B304B"/>
    <w:rsid w:val="003B3146"/>
    <w:rsid w:val="003B49CD"/>
    <w:rsid w:val="003C0BD8"/>
    <w:rsid w:val="003D1E02"/>
    <w:rsid w:val="003F015E"/>
    <w:rsid w:val="00400414"/>
    <w:rsid w:val="0040226C"/>
    <w:rsid w:val="00402FBE"/>
    <w:rsid w:val="0041446B"/>
    <w:rsid w:val="0042724F"/>
    <w:rsid w:val="0044071E"/>
    <w:rsid w:val="0044329C"/>
    <w:rsid w:val="00453E24"/>
    <w:rsid w:val="00457456"/>
    <w:rsid w:val="004577FE"/>
    <w:rsid w:val="00457B9C"/>
    <w:rsid w:val="0046164A"/>
    <w:rsid w:val="004628D2"/>
    <w:rsid w:val="00462DCD"/>
    <w:rsid w:val="004648AD"/>
    <w:rsid w:val="004703A9"/>
    <w:rsid w:val="004760DE"/>
    <w:rsid w:val="004763D7"/>
    <w:rsid w:val="00480438"/>
    <w:rsid w:val="004A004E"/>
    <w:rsid w:val="004A24CF"/>
    <w:rsid w:val="004B72F3"/>
    <w:rsid w:val="004C3D1D"/>
    <w:rsid w:val="004C3D84"/>
    <w:rsid w:val="004C7913"/>
    <w:rsid w:val="004E4DD6"/>
    <w:rsid w:val="004F5E36"/>
    <w:rsid w:val="00507B47"/>
    <w:rsid w:val="00507BEF"/>
    <w:rsid w:val="00507CC9"/>
    <w:rsid w:val="005119A5"/>
    <w:rsid w:val="0051748C"/>
    <w:rsid w:val="005278B7"/>
    <w:rsid w:val="00532016"/>
    <w:rsid w:val="005346C8"/>
    <w:rsid w:val="00543E7D"/>
    <w:rsid w:val="00547A68"/>
    <w:rsid w:val="005531C9"/>
    <w:rsid w:val="00554879"/>
    <w:rsid w:val="00570C43"/>
    <w:rsid w:val="00583A35"/>
    <w:rsid w:val="00592274"/>
    <w:rsid w:val="005B2110"/>
    <w:rsid w:val="005B350B"/>
    <w:rsid w:val="005B61E6"/>
    <w:rsid w:val="005C77E1"/>
    <w:rsid w:val="005D668A"/>
    <w:rsid w:val="005D6A2F"/>
    <w:rsid w:val="005E0592"/>
    <w:rsid w:val="005E1A82"/>
    <w:rsid w:val="005E794C"/>
    <w:rsid w:val="005F0A28"/>
    <w:rsid w:val="005F0E5E"/>
    <w:rsid w:val="005F7914"/>
    <w:rsid w:val="00600535"/>
    <w:rsid w:val="00600CA9"/>
    <w:rsid w:val="00610CD6"/>
    <w:rsid w:val="00614BEA"/>
    <w:rsid w:val="00620DEE"/>
    <w:rsid w:val="00621F92"/>
    <w:rsid w:val="0062280A"/>
    <w:rsid w:val="006231E1"/>
    <w:rsid w:val="00623EDC"/>
    <w:rsid w:val="00625639"/>
    <w:rsid w:val="00626342"/>
    <w:rsid w:val="00631B33"/>
    <w:rsid w:val="00635172"/>
    <w:rsid w:val="0064184D"/>
    <w:rsid w:val="006422CC"/>
    <w:rsid w:val="00651D18"/>
    <w:rsid w:val="00660E3E"/>
    <w:rsid w:val="00662E74"/>
    <w:rsid w:val="00680C23"/>
    <w:rsid w:val="00683E23"/>
    <w:rsid w:val="00693766"/>
    <w:rsid w:val="006A3281"/>
    <w:rsid w:val="006A6DE5"/>
    <w:rsid w:val="006B4888"/>
    <w:rsid w:val="006C2E45"/>
    <w:rsid w:val="006C359C"/>
    <w:rsid w:val="006C5579"/>
    <w:rsid w:val="006D1272"/>
    <w:rsid w:val="006D6E8B"/>
    <w:rsid w:val="006D7209"/>
    <w:rsid w:val="006E737D"/>
    <w:rsid w:val="00704976"/>
    <w:rsid w:val="00707DD1"/>
    <w:rsid w:val="00713973"/>
    <w:rsid w:val="00720A24"/>
    <w:rsid w:val="00732386"/>
    <w:rsid w:val="0073514D"/>
    <w:rsid w:val="007441C7"/>
    <w:rsid w:val="007447F3"/>
    <w:rsid w:val="00747D36"/>
    <w:rsid w:val="0075499F"/>
    <w:rsid w:val="007623E9"/>
    <w:rsid w:val="007661C8"/>
    <w:rsid w:val="0077098D"/>
    <w:rsid w:val="0078185A"/>
    <w:rsid w:val="00785BF9"/>
    <w:rsid w:val="007931FA"/>
    <w:rsid w:val="007A4861"/>
    <w:rsid w:val="007A7BBA"/>
    <w:rsid w:val="007B0C50"/>
    <w:rsid w:val="007B48F9"/>
    <w:rsid w:val="007C1A43"/>
    <w:rsid w:val="007D0951"/>
    <w:rsid w:val="007D610D"/>
    <w:rsid w:val="0080013E"/>
    <w:rsid w:val="00801759"/>
    <w:rsid w:val="00813288"/>
    <w:rsid w:val="008168FC"/>
    <w:rsid w:val="00830996"/>
    <w:rsid w:val="008345F1"/>
    <w:rsid w:val="00846F91"/>
    <w:rsid w:val="00847E37"/>
    <w:rsid w:val="00865B07"/>
    <w:rsid w:val="008667EA"/>
    <w:rsid w:val="0087637F"/>
    <w:rsid w:val="00892AD5"/>
    <w:rsid w:val="008A1512"/>
    <w:rsid w:val="008A75F6"/>
    <w:rsid w:val="008D32B9"/>
    <w:rsid w:val="008D433B"/>
    <w:rsid w:val="008D4A16"/>
    <w:rsid w:val="008E17B8"/>
    <w:rsid w:val="008E5401"/>
    <w:rsid w:val="008E566E"/>
    <w:rsid w:val="0090161A"/>
    <w:rsid w:val="00901EB6"/>
    <w:rsid w:val="00902761"/>
    <w:rsid w:val="009041F8"/>
    <w:rsid w:val="0090495F"/>
    <w:rsid w:val="00904C62"/>
    <w:rsid w:val="0091557B"/>
    <w:rsid w:val="00922BA8"/>
    <w:rsid w:val="00924DAC"/>
    <w:rsid w:val="00927058"/>
    <w:rsid w:val="00934B6E"/>
    <w:rsid w:val="00942750"/>
    <w:rsid w:val="009450CE"/>
    <w:rsid w:val="009459BB"/>
    <w:rsid w:val="00947179"/>
    <w:rsid w:val="0095164B"/>
    <w:rsid w:val="00954090"/>
    <w:rsid w:val="009573E7"/>
    <w:rsid w:val="00963E05"/>
    <w:rsid w:val="00964A45"/>
    <w:rsid w:val="00967843"/>
    <w:rsid w:val="00967893"/>
    <w:rsid w:val="00967D54"/>
    <w:rsid w:val="00971028"/>
    <w:rsid w:val="0097567F"/>
    <w:rsid w:val="00993B84"/>
    <w:rsid w:val="00994C6A"/>
    <w:rsid w:val="00996483"/>
    <w:rsid w:val="00996F5A"/>
    <w:rsid w:val="009B041A"/>
    <w:rsid w:val="009B083B"/>
    <w:rsid w:val="009B6E57"/>
    <w:rsid w:val="009C37C3"/>
    <w:rsid w:val="009C7C86"/>
    <w:rsid w:val="009D2FF7"/>
    <w:rsid w:val="009E7884"/>
    <w:rsid w:val="009E788A"/>
    <w:rsid w:val="009F0E08"/>
    <w:rsid w:val="009F141B"/>
    <w:rsid w:val="00A00598"/>
    <w:rsid w:val="00A079AE"/>
    <w:rsid w:val="00A14D77"/>
    <w:rsid w:val="00A1763D"/>
    <w:rsid w:val="00A17CEC"/>
    <w:rsid w:val="00A27AB8"/>
    <w:rsid w:val="00A27EF0"/>
    <w:rsid w:val="00A42361"/>
    <w:rsid w:val="00A47393"/>
    <w:rsid w:val="00A50B20"/>
    <w:rsid w:val="00A51390"/>
    <w:rsid w:val="00A60BEE"/>
    <w:rsid w:val="00A60D13"/>
    <w:rsid w:val="00A7223D"/>
    <w:rsid w:val="00A72745"/>
    <w:rsid w:val="00A76EFC"/>
    <w:rsid w:val="00A87D50"/>
    <w:rsid w:val="00A91010"/>
    <w:rsid w:val="00A97F29"/>
    <w:rsid w:val="00AA702E"/>
    <w:rsid w:val="00AA7D26"/>
    <w:rsid w:val="00AB0964"/>
    <w:rsid w:val="00AB5011"/>
    <w:rsid w:val="00AC7368"/>
    <w:rsid w:val="00AD16B9"/>
    <w:rsid w:val="00AD6C69"/>
    <w:rsid w:val="00AE377D"/>
    <w:rsid w:val="00AF0EBA"/>
    <w:rsid w:val="00AF2463"/>
    <w:rsid w:val="00B02C8A"/>
    <w:rsid w:val="00B17FBD"/>
    <w:rsid w:val="00B315A6"/>
    <w:rsid w:val="00B31813"/>
    <w:rsid w:val="00B33365"/>
    <w:rsid w:val="00B57B36"/>
    <w:rsid w:val="00B57E6F"/>
    <w:rsid w:val="00B657F5"/>
    <w:rsid w:val="00B8686D"/>
    <w:rsid w:val="00B93F69"/>
    <w:rsid w:val="00BB1DDC"/>
    <w:rsid w:val="00BC30C9"/>
    <w:rsid w:val="00BD077D"/>
    <w:rsid w:val="00BD2C3C"/>
    <w:rsid w:val="00BE3D06"/>
    <w:rsid w:val="00BE3E58"/>
    <w:rsid w:val="00BF13CE"/>
    <w:rsid w:val="00C01616"/>
    <w:rsid w:val="00C0162B"/>
    <w:rsid w:val="00C068ED"/>
    <w:rsid w:val="00C0772E"/>
    <w:rsid w:val="00C22E0C"/>
    <w:rsid w:val="00C345B1"/>
    <w:rsid w:val="00C40142"/>
    <w:rsid w:val="00C52C3C"/>
    <w:rsid w:val="00C57182"/>
    <w:rsid w:val="00C57863"/>
    <w:rsid w:val="00C640AF"/>
    <w:rsid w:val="00C655FD"/>
    <w:rsid w:val="00C668A1"/>
    <w:rsid w:val="00C75407"/>
    <w:rsid w:val="00C841C6"/>
    <w:rsid w:val="00C870A8"/>
    <w:rsid w:val="00C94434"/>
    <w:rsid w:val="00CA0D75"/>
    <w:rsid w:val="00CA1C95"/>
    <w:rsid w:val="00CA5A9C"/>
    <w:rsid w:val="00CC4C20"/>
    <w:rsid w:val="00CD3517"/>
    <w:rsid w:val="00CD5FE2"/>
    <w:rsid w:val="00CD75DC"/>
    <w:rsid w:val="00CE7C68"/>
    <w:rsid w:val="00D02B4C"/>
    <w:rsid w:val="00D040C4"/>
    <w:rsid w:val="00D123BC"/>
    <w:rsid w:val="00D20AD1"/>
    <w:rsid w:val="00D2582C"/>
    <w:rsid w:val="00D265CD"/>
    <w:rsid w:val="00D2727D"/>
    <w:rsid w:val="00D3563E"/>
    <w:rsid w:val="00D46B7E"/>
    <w:rsid w:val="00D57C84"/>
    <w:rsid w:val="00D6057D"/>
    <w:rsid w:val="00D60F7E"/>
    <w:rsid w:val="00D67218"/>
    <w:rsid w:val="00D71640"/>
    <w:rsid w:val="00D836C5"/>
    <w:rsid w:val="00D84576"/>
    <w:rsid w:val="00D863F3"/>
    <w:rsid w:val="00D94616"/>
    <w:rsid w:val="00DA1399"/>
    <w:rsid w:val="00DA24C6"/>
    <w:rsid w:val="00DA4D7B"/>
    <w:rsid w:val="00DC24D3"/>
    <w:rsid w:val="00DC2840"/>
    <w:rsid w:val="00DC73EE"/>
    <w:rsid w:val="00DD271C"/>
    <w:rsid w:val="00DE264A"/>
    <w:rsid w:val="00DF5072"/>
    <w:rsid w:val="00E02D18"/>
    <w:rsid w:val="00E041E7"/>
    <w:rsid w:val="00E23CA1"/>
    <w:rsid w:val="00E409A8"/>
    <w:rsid w:val="00E50C12"/>
    <w:rsid w:val="00E65B91"/>
    <w:rsid w:val="00E7209D"/>
    <w:rsid w:val="00E72EAD"/>
    <w:rsid w:val="00E7329C"/>
    <w:rsid w:val="00E77223"/>
    <w:rsid w:val="00E8528B"/>
    <w:rsid w:val="00E85B94"/>
    <w:rsid w:val="00E87D26"/>
    <w:rsid w:val="00E978D0"/>
    <w:rsid w:val="00EA4613"/>
    <w:rsid w:val="00EA7F91"/>
    <w:rsid w:val="00EB1523"/>
    <w:rsid w:val="00EC0E49"/>
    <w:rsid w:val="00EC101F"/>
    <w:rsid w:val="00EC1D9F"/>
    <w:rsid w:val="00EC39E1"/>
    <w:rsid w:val="00EE0131"/>
    <w:rsid w:val="00EE17B0"/>
    <w:rsid w:val="00EF06D9"/>
    <w:rsid w:val="00EF48A4"/>
    <w:rsid w:val="00F3049E"/>
    <w:rsid w:val="00F30C64"/>
    <w:rsid w:val="00F32BA2"/>
    <w:rsid w:val="00F32CDB"/>
    <w:rsid w:val="00F40772"/>
    <w:rsid w:val="00F41EE4"/>
    <w:rsid w:val="00F565FE"/>
    <w:rsid w:val="00F6143E"/>
    <w:rsid w:val="00F63A70"/>
    <w:rsid w:val="00F63D8C"/>
    <w:rsid w:val="00F67A2D"/>
    <w:rsid w:val="00F7534E"/>
    <w:rsid w:val="00F93EDF"/>
    <w:rsid w:val="00FA1802"/>
    <w:rsid w:val="00FA1C38"/>
    <w:rsid w:val="00FA21D0"/>
    <w:rsid w:val="00FA5F5F"/>
    <w:rsid w:val="00FB730C"/>
    <w:rsid w:val="00FC2695"/>
    <w:rsid w:val="00FC3E03"/>
    <w:rsid w:val="00FC3FC1"/>
    <w:rsid w:val="00FD47A2"/>
    <w:rsid w:val="00FE337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gmail-apple-converted-space">
    <w:name w:val="gmail-apple-converted-space"/>
    <w:basedOn w:val="DefaultParagraphFont"/>
    <w:rsid w:val="00005A19"/>
  </w:style>
  <w:style w:type="character" w:styleId="PlaceholderText">
    <w:name w:val="Placeholder Text"/>
    <w:basedOn w:val="DefaultParagraphFont"/>
    <w:uiPriority w:val="99"/>
    <w:semiHidden/>
    <w:rsid w:val="00372E04"/>
    <w:rPr>
      <w:color w:val="808080"/>
    </w:rPr>
  </w:style>
  <w:style w:type="character" w:customStyle="1" w:styleId="katex-mathml">
    <w:name w:val="katex-mathml"/>
    <w:basedOn w:val="DefaultParagraphFont"/>
    <w:rsid w:val="00FA1C38"/>
  </w:style>
  <w:style w:type="character" w:customStyle="1" w:styleId="mord">
    <w:name w:val="mord"/>
    <w:basedOn w:val="DefaultParagraphFont"/>
    <w:rsid w:val="00FA1C38"/>
  </w:style>
  <w:style w:type="character" w:customStyle="1" w:styleId="vlist-s">
    <w:name w:val="vlist-s"/>
    <w:basedOn w:val="DefaultParagraphFont"/>
    <w:rsid w:val="00FA1C38"/>
  </w:style>
  <w:style w:type="paragraph" w:styleId="Revision">
    <w:name w:val="Revision"/>
    <w:hidden/>
    <w:uiPriority w:val="99"/>
    <w:semiHidden/>
    <w:rsid w:val="00A14D77"/>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850617">
      <w:bodyDiv w:val="1"/>
      <w:marLeft w:val="0"/>
      <w:marRight w:val="0"/>
      <w:marTop w:val="0"/>
      <w:marBottom w:val="0"/>
      <w:divBdr>
        <w:top w:val="none" w:sz="0" w:space="0" w:color="auto"/>
        <w:left w:val="none" w:sz="0" w:space="0" w:color="auto"/>
        <w:bottom w:val="none" w:sz="0" w:space="0" w:color="auto"/>
        <w:right w:val="none" w:sz="0" w:space="0" w:color="auto"/>
      </w:divBdr>
    </w:div>
    <w:div w:id="639655213">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32453">
      <w:bodyDiv w:val="1"/>
      <w:marLeft w:val="0"/>
      <w:marRight w:val="0"/>
      <w:marTop w:val="0"/>
      <w:marBottom w:val="0"/>
      <w:divBdr>
        <w:top w:val="none" w:sz="0" w:space="0" w:color="auto"/>
        <w:left w:val="none" w:sz="0" w:space="0" w:color="auto"/>
        <w:bottom w:val="none" w:sz="0" w:space="0" w:color="auto"/>
        <w:right w:val="none" w:sz="0" w:space="0" w:color="auto"/>
      </w:divBdr>
    </w:div>
    <w:div w:id="1319335555">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018459044">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14.ti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t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CF71F-3D00-4C09-B035-FEDC8CF35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2619</Words>
  <Characters>18076</Characters>
  <Application>Microsoft Office Word</Application>
  <DocSecurity>0</DocSecurity>
  <Lines>150</Lines>
  <Paragraphs>41</Paragraphs>
  <ScaleCrop>false</ScaleCrop>
  <HeadingPairs>
    <vt:vector size="6" baseType="variant">
      <vt:variant>
        <vt:lpstr>Title</vt:lpstr>
      </vt:variant>
      <vt:variant>
        <vt:i4>1</vt:i4>
      </vt:variant>
      <vt:variant>
        <vt:lpstr>Cím</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20654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Viki</cp:lastModifiedBy>
  <cp:revision>3</cp:revision>
  <cp:lastPrinted>2015-05-12T18:31:00Z</cp:lastPrinted>
  <dcterms:created xsi:type="dcterms:W3CDTF">2025-04-06T10:09:00Z</dcterms:created>
  <dcterms:modified xsi:type="dcterms:W3CDTF">2025-04-07T06:25:00Z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