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85158017"/>
            <w:bookmarkStart w:id="1" w:name="_Hlk145068772"/>
            <w:bookmarkEnd w:id="0"/>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47EF826C"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994C6A">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994C6A">
              <w:rPr>
                <w:rFonts w:cs="Arial"/>
                <w:b/>
                <w:bCs/>
                <w:i/>
                <w:iCs/>
                <w:color w:val="000066"/>
                <w:sz w:val="22"/>
                <w:szCs w:val="22"/>
                <w:lang w:eastAsia="it-IT"/>
              </w:rPr>
              <w:t>5</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1D8DD3C9" w14:textId="025D7B18" w:rsidR="00AA7D26" w:rsidRPr="007D610D" w:rsidRDefault="00AA7D26" w:rsidP="007D610D">
            <w:pPr>
              <w:ind w:left="-107"/>
              <w:outlineLvl w:val="2"/>
              <w:rPr>
                <w:rFonts w:ascii="Tahoma" w:hAnsi="Tahoma" w:cs="Tahoma"/>
                <w:color w:val="000000"/>
                <w:sz w:val="14"/>
                <w:szCs w:val="14"/>
                <w:shd w:val="clear" w:color="auto" w:fill="FFFFFF"/>
                <w:lang w:val="it-IT"/>
              </w:rPr>
            </w:pPr>
            <w:r w:rsidRPr="007D610D">
              <w:rPr>
                <w:rFonts w:ascii="Tahoma" w:hAnsi="Tahoma" w:cs="Tahoma"/>
                <w:iCs/>
                <w:color w:val="333333"/>
                <w:sz w:val="14"/>
                <w:szCs w:val="14"/>
                <w:lang w:val="it-IT" w:eastAsia="it-IT"/>
              </w:rPr>
              <w:t>Guest Editors:</w:t>
            </w:r>
            <w:r w:rsidR="007D610D" w:rsidRPr="007D610D">
              <w:rPr>
                <w:rFonts w:ascii="Aptos" w:eastAsiaTheme="minorHAnsi" w:hAnsi="Aptos" w:cs="Aptos"/>
                <w:sz w:val="22"/>
                <w:szCs w:val="22"/>
                <w:lang w:val="it-IT"/>
                <w14:ligatures w14:val="standardContextual"/>
              </w:rPr>
              <w:t xml:space="preserve"> </w:t>
            </w:r>
            <w:r w:rsidR="007D610D" w:rsidRPr="007D610D">
              <w:rPr>
                <w:rFonts w:ascii="Tahoma" w:hAnsi="Tahoma" w:cs="Tahoma"/>
                <w:color w:val="000000"/>
                <w:sz w:val="14"/>
                <w:szCs w:val="14"/>
                <w:shd w:val="clear" w:color="auto" w:fill="FFFFFF"/>
                <w:lang w:val="it-IT"/>
              </w:rPr>
              <w:t xml:space="preserve">Fabrizio Bezzo, </w:t>
            </w:r>
            <w:r w:rsidR="001D3D32">
              <w:rPr>
                <w:rFonts w:ascii="Tahoma" w:hAnsi="Tahoma" w:cs="Tahoma"/>
                <w:color w:val="000000"/>
                <w:sz w:val="14"/>
                <w:szCs w:val="14"/>
                <w:shd w:val="clear" w:color="auto" w:fill="FFFFFF"/>
                <w:lang w:val="it-IT"/>
              </w:rPr>
              <w:t>Flavio Manenti</w:t>
            </w:r>
            <w:r w:rsidR="00304CE8">
              <w:rPr>
                <w:rFonts w:ascii="Tahoma" w:hAnsi="Tahoma" w:cs="Tahoma"/>
                <w:color w:val="000000"/>
                <w:sz w:val="14"/>
                <w:szCs w:val="14"/>
                <w:shd w:val="clear" w:color="auto" w:fill="FFFFFF"/>
                <w:lang w:val="it-IT"/>
              </w:rPr>
              <w:t>,</w:t>
            </w:r>
            <w:r w:rsidR="001D3D32">
              <w:rPr>
                <w:rFonts w:ascii="Tahoma" w:hAnsi="Tahoma" w:cs="Tahoma"/>
                <w:color w:val="000000"/>
                <w:sz w:val="14"/>
                <w:szCs w:val="14"/>
                <w:shd w:val="clear" w:color="auto" w:fill="FFFFFF"/>
                <w:lang w:val="it-IT"/>
              </w:rPr>
              <w:t xml:space="preserve"> </w:t>
            </w:r>
            <w:r w:rsidR="007D610D" w:rsidRPr="007D610D">
              <w:rPr>
                <w:rFonts w:ascii="Tahoma" w:hAnsi="Tahoma" w:cs="Tahoma"/>
                <w:color w:val="000000"/>
                <w:sz w:val="14"/>
                <w:szCs w:val="14"/>
                <w:shd w:val="clear" w:color="auto" w:fill="FFFFFF"/>
                <w:lang w:val="it-IT"/>
              </w:rPr>
              <w:t>Gabriele Pannocchia, Almerinda di Benedetto</w:t>
            </w:r>
          </w:p>
          <w:p w14:paraId="1B0F1814" w14:textId="7C54DC3A"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994C6A">
              <w:rPr>
                <w:rFonts w:ascii="Tahoma" w:hAnsi="Tahoma" w:cs="Tahoma"/>
                <w:iCs/>
                <w:color w:val="333333"/>
                <w:sz w:val="14"/>
                <w:szCs w:val="14"/>
                <w:lang w:eastAsia="it-IT"/>
              </w:rPr>
              <w:t>5</w:t>
            </w:r>
            <w:r w:rsidRPr="00B57B36">
              <w:rPr>
                <w:rFonts w:ascii="Tahoma" w:hAnsi="Tahoma" w:cs="Tahoma"/>
                <w:iCs/>
                <w:color w:val="333333"/>
                <w:sz w:val="14"/>
                <w:szCs w:val="14"/>
                <w:lang w:eastAsia="it-IT"/>
              </w:rPr>
              <w:t>, AIDIC Servizi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3B49CD" w:rsidRPr="000562A9">
              <w:rPr>
                <w:rFonts w:ascii="Tahoma" w:hAnsi="Tahoma" w:cs="Tahoma"/>
                <w:sz w:val="14"/>
                <w:szCs w:val="14"/>
              </w:rPr>
              <w:t>97</w:t>
            </w:r>
            <w:r w:rsidR="003B49CD">
              <w:rPr>
                <w:rFonts w:ascii="Tahoma" w:hAnsi="Tahoma" w:cs="Tahoma"/>
                <w:sz w:val="14"/>
                <w:szCs w:val="14"/>
              </w:rPr>
              <w:t>9</w:t>
            </w:r>
            <w:r w:rsidR="003B49CD" w:rsidRPr="000562A9">
              <w:rPr>
                <w:rFonts w:ascii="Tahoma" w:hAnsi="Tahoma" w:cs="Tahoma"/>
                <w:sz w:val="14"/>
                <w:szCs w:val="14"/>
              </w:rPr>
              <w:t>-</w:t>
            </w:r>
            <w:r w:rsidR="003B49CD">
              <w:rPr>
                <w:rFonts w:ascii="Tahoma" w:hAnsi="Tahoma" w:cs="Tahoma"/>
                <w:sz w:val="14"/>
                <w:szCs w:val="14"/>
              </w:rPr>
              <w:t>12</w:t>
            </w:r>
            <w:r w:rsidR="003B49CD" w:rsidRPr="000562A9">
              <w:rPr>
                <w:rFonts w:ascii="Tahoma" w:hAnsi="Tahoma" w:cs="Tahoma"/>
                <w:sz w:val="14"/>
                <w:szCs w:val="14"/>
              </w:rPr>
              <w:t>-</w:t>
            </w:r>
            <w:r w:rsidR="003B49CD">
              <w:rPr>
                <w:rFonts w:ascii="Tahoma" w:hAnsi="Tahoma" w:cs="Tahoma"/>
                <w:sz w:val="14"/>
                <w:szCs w:val="14"/>
              </w:rPr>
              <w:t>81206-1</w:t>
            </w:r>
            <w:r w:rsidR="00994C6A">
              <w:rPr>
                <w:rFonts w:ascii="Tahoma" w:hAnsi="Tahoma" w:cs="Tahoma"/>
                <w:sz w:val="14"/>
                <w:szCs w:val="14"/>
              </w:rPr>
              <w:t>7</w:t>
            </w:r>
            <w:r w:rsidR="003B49CD">
              <w:rPr>
                <w:rFonts w:ascii="Tahoma" w:hAnsi="Tahoma" w:cs="Tahoma"/>
                <w:sz w:val="14"/>
                <w:szCs w:val="14"/>
              </w:rPr>
              <w:t>-</w:t>
            </w:r>
            <w:r w:rsidR="00994C6A">
              <w:rPr>
                <w:rFonts w:ascii="Tahoma" w:hAnsi="Tahoma" w:cs="Tahoma"/>
                <w:sz w:val="14"/>
                <w:szCs w:val="14"/>
              </w:rPr>
              <w:t>5</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1"/>
    <w:p w14:paraId="2E667253" w14:textId="7DA01DC7" w:rsidR="00E978D0" w:rsidRPr="00B57B36" w:rsidRDefault="00756178" w:rsidP="00E978D0">
      <w:pPr>
        <w:pStyle w:val="CETTitle"/>
      </w:pPr>
      <w:r>
        <w:t>Experimental investigation of hydrodynamics and mass transfer in dense fluidized beds</w:t>
      </w:r>
    </w:p>
    <w:p w14:paraId="0488FED2" w14:textId="5C18A103" w:rsidR="00B57E6F" w:rsidRPr="00756178" w:rsidRDefault="00756178" w:rsidP="00B57E6F">
      <w:pPr>
        <w:pStyle w:val="CETAuthors"/>
        <w:rPr>
          <w:lang w:val="it-IT"/>
        </w:rPr>
      </w:pPr>
      <w:r w:rsidRPr="00756178">
        <w:rPr>
          <w:lang w:val="it-IT"/>
        </w:rPr>
        <w:t>Laura Molignano</w:t>
      </w:r>
      <w:r w:rsidR="00B57E6F" w:rsidRPr="00756178">
        <w:rPr>
          <w:vertAlign w:val="superscript"/>
          <w:lang w:val="it-IT"/>
        </w:rPr>
        <w:t>a</w:t>
      </w:r>
      <w:r w:rsidR="00B57E6F" w:rsidRPr="00756178">
        <w:rPr>
          <w:lang w:val="it-IT"/>
        </w:rPr>
        <w:t xml:space="preserve">, </w:t>
      </w:r>
      <w:r w:rsidRPr="00756178">
        <w:rPr>
          <w:lang w:val="it-IT"/>
        </w:rPr>
        <w:t>Maurizio Troiano</w:t>
      </w:r>
      <w:r w:rsidRPr="00756178">
        <w:rPr>
          <w:vertAlign w:val="superscript"/>
          <w:lang w:val="it-IT"/>
        </w:rPr>
        <w:t>a,</w:t>
      </w:r>
      <w:r w:rsidRPr="00756178">
        <w:rPr>
          <w:lang w:val="it-IT"/>
        </w:rPr>
        <w:t>*, Roberto Solimene</w:t>
      </w:r>
      <w:r w:rsidR="00B57E6F" w:rsidRPr="00756178">
        <w:rPr>
          <w:vertAlign w:val="superscript"/>
          <w:lang w:val="it-IT"/>
        </w:rPr>
        <w:t>b</w:t>
      </w:r>
      <w:r w:rsidR="00B57E6F" w:rsidRPr="00756178">
        <w:rPr>
          <w:lang w:val="it-IT"/>
        </w:rPr>
        <w:t>,</w:t>
      </w:r>
      <w:r w:rsidRPr="00756178">
        <w:rPr>
          <w:lang w:val="it-IT"/>
        </w:rPr>
        <w:t xml:space="preserve"> Fabrizio Scala</w:t>
      </w:r>
      <w:r w:rsidRPr="00756178">
        <w:rPr>
          <w:vertAlign w:val="superscript"/>
          <w:lang w:val="it-IT"/>
        </w:rPr>
        <w:t>a</w:t>
      </w:r>
      <w:r w:rsidRPr="00756178">
        <w:rPr>
          <w:lang w:val="it-IT"/>
        </w:rPr>
        <w:t>, Piero Salatino</w:t>
      </w:r>
      <w:r w:rsidRPr="00756178">
        <w:rPr>
          <w:vertAlign w:val="superscript"/>
          <w:lang w:val="it-IT"/>
        </w:rPr>
        <w:t>a</w:t>
      </w:r>
    </w:p>
    <w:p w14:paraId="6B2D21B3" w14:textId="4447A5A9" w:rsidR="00B57E6F" w:rsidRPr="00756178" w:rsidRDefault="00B57E6F" w:rsidP="00B57E6F">
      <w:pPr>
        <w:pStyle w:val="CETAddress"/>
        <w:rPr>
          <w:lang w:val="it-IT"/>
        </w:rPr>
      </w:pPr>
      <w:r w:rsidRPr="00756178">
        <w:rPr>
          <w:vertAlign w:val="superscript"/>
          <w:lang w:val="it-IT"/>
        </w:rPr>
        <w:t>a</w:t>
      </w:r>
      <w:r w:rsidR="00756178" w:rsidRPr="00756178">
        <w:rPr>
          <w:lang w:val="it-IT"/>
        </w:rPr>
        <w:t>Dipartimento di Ingegneria Chimica, dei Materiali e della Produ</w:t>
      </w:r>
      <w:r w:rsidR="00756178">
        <w:rPr>
          <w:lang w:val="it-IT"/>
        </w:rPr>
        <w:t>zione Industriale, Università degli Studi di Napoli Federico II,</w:t>
      </w:r>
      <w:r w:rsidR="004510DC">
        <w:rPr>
          <w:lang w:val="it-IT"/>
        </w:rPr>
        <w:t xml:space="preserve"> Piazzale Vincenzo Tecchio 80, 80125, Napoli, Italy</w:t>
      </w:r>
      <w:r w:rsidRPr="00756178">
        <w:rPr>
          <w:lang w:val="it-IT"/>
        </w:rPr>
        <w:t xml:space="preserve"> </w:t>
      </w:r>
    </w:p>
    <w:p w14:paraId="3D72B0B0" w14:textId="621B1148" w:rsidR="00B57E6F" w:rsidRPr="004510DC" w:rsidRDefault="00B57E6F" w:rsidP="00B57E6F">
      <w:pPr>
        <w:pStyle w:val="CETAddress"/>
        <w:rPr>
          <w:lang w:val="it-IT"/>
        </w:rPr>
      </w:pPr>
      <w:r w:rsidRPr="004510DC">
        <w:rPr>
          <w:vertAlign w:val="superscript"/>
          <w:lang w:val="it-IT"/>
        </w:rPr>
        <w:t>b</w:t>
      </w:r>
      <w:r w:rsidR="004510DC" w:rsidRPr="004510DC">
        <w:rPr>
          <w:lang w:val="it-IT"/>
        </w:rPr>
        <w:t xml:space="preserve">Istituto di Scienze e Tecnologie per </w:t>
      </w:r>
      <w:r w:rsidR="004510DC">
        <w:rPr>
          <w:lang w:val="it-IT"/>
        </w:rPr>
        <w:t>l’Energia e la Mobilità Sostenibili, Consiglio Nazionale delle Ricerche, Piazzale Vincenzo Tecchio 80, 80125, Napoli, Italy</w:t>
      </w:r>
      <w:r w:rsidRPr="004510DC">
        <w:rPr>
          <w:lang w:val="it-IT"/>
        </w:rPr>
        <w:t xml:space="preserve"> </w:t>
      </w:r>
    </w:p>
    <w:p w14:paraId="73F1267A" w14:textId="115C54D7" w:rsidR="00B57E6F" w:rsidRPr="00B57B36" w:rsidRDefault="00652555" w:rsidP="00B57E6F">
      <w:pPr>
        <w:pStyle w:val="CETemail"/>
      </w:pPr>
      <w:r w:rsidRPr="008E31E8">
        <w:t>*</w:t>
      </w:r>
      <w:r w:rsidR="00B57E6F" w:rsidRPr="004510DC">
        <w:t xml:space="preserve"> </w:t>
      </w:r>
      <w:r w:rsidR="004510DC">
        <w:t>maurizio.troiano@unina.it</w:t>
      </w:r>
    </w:p>
    <w:p w14:paraId="0295329F" w14:textId="2143C970" w:rsidR="001B410D" w:rsidRPr="00B57B36" w:rsidRDefault="00ED1F72" w:rsidP="001B410D">
      <w:r w:rsidRPr="0007072E">
        <w:t>The hydrodynamic behaviour of bubbling fluidized beds operated at ambient temperature and at 450 °C is investigated. Geldart B granular solids are fluidized at different gas superficial velocities</w:t>
      </w:r>
      <w:r w:rsidR="001B410D" w:rsidRPr="0007072E">
        <w:t xml:space="preserve"> using a high-pressure drop gas distributor</w:t>
      </w:r>
      <w:r w:rsidRPr="0007072E">
        <w:t xml:space="preserve">. Customized uncooled capacitance probes are used for the experimental investigation. A statistical analysis of the time series of the local bed voidage </w:t>
      </w:r>
      <w:r w:rsidR="00214296" w:rsidRPr="0007072E">
        <w:t xml:space="preserve">is </w:t>
      </w:r>
      <w:r w:rsidR="0007072E">
        <w:t>performed</w:t>
      </w:r>
      <w:r w:rsidR="00214296" w:rsidRPr="0007072E">
        <w:t>, allowing to generate Probability Density Functions (PDF). Emulsion phase features, as voidage and velocity</w:t>
      </w:r>
      <w:r w:rsidR="001B410D" w:rsidRPr="0007072E">
        <w:t xml:space="preserve"> have been estimated, together with visible bubble flow and bubble phase velocity. PDF display multimodal patterns in the part referring to the emulsion phase at increasing gas superfi</w:t>
      </w:r>
      <w:r w:rsidR="0007072E">
        <w:t>ci</w:t>
      </w:r>
      <w:r w:rsidR="001B410D" w:rsidRPr="0007072E">
        <w:t>al velocity, highlighting</w:t>
      </w:r>
      <w:r w:rsidR="00214296" w:rsidRPr="0007072E">
        <w:t xml:space="preserve"> </w:t>
      </w:r>
      <w:r w:rsidR="001B410D" w:rsidRPr="0007072E">
        <w:t xml:space="preserve">the co-existence of sub-phases </w:t>
      </w:r>
      <w:r w:rsidR="0007072E">
        <w:t>characterized by</w:t>
      </w:r>
      <w:r w:rsidR="001B410D" w:rsidRPr="0007072E">
        <w:t xml:space="preserve"> different voidage values. The influence of the bed hydrodynamics and </w:t>
      </w:r>
      <w:r w:rsidR="0007072E" w:rsidRPr="0007072E">
        <w:t>expansion patterns of the emulsion phase on the gas mass transfer around active particles is also investigated. Reactive experiments of catalytic carbon monoxide oxidation are carried out to calculate the particle Sherwood number</w:t>
      </w:r>
      <w:r w:rsidR="0007072E">
        <w:t xml:space="preserve">. Experimental results confirm that a close relationship exists between expansion patterns of the emulsion phase and mass transfer. </w:t>
      </w:r>
    </w:p>
    <w:p w14:paraId="6893AF25" w14:textId="2119D128" w:rsidR="00600535" w:rsidRPr="00B57B36" w:rsidRDefault="00600535" w:rsidP="00600535">
      <w:pPr>
        <w:pStyle w:val="CETBodytext"/>
        <w:rPr>
          <w:lang w:val="en-GB"/>
        </w:rPr>
      </w:pPr>
    </w:p>
    <w:p w14:paraId="476B2F2E" w14:textId="52B36035" w:rsidR="00600535" w:rsidRPr="00B57B36" w:rsidRDefault="00600535" w:rsidP="00600535">
      <w:pPr>
        <w:pStyle w:val="CETHeading1"/>
        <w:rPr>
          <w:lang w:val="en-GB"/>
        </w:rPr>
      </w:pPr>
      <w:r w:rsidRPr="00B57B36">
        <w:rPr>
          <w:lang w:val="en-GB"/>
        </w:rPr>
        <w:t>Introduction</w:t>
      </w:r>
    </w:p>
    <w:p w14:paraId="2D5555CF" w14:textId="31DFD266" w:rsidR="00794DDF" w:rsidRDefault="00794DDF" w:rsidP="00794DDF">
      <w:r w:rsidRPr="00684C96">
        <w:t>Fluidization technology offers attractive options for efficient thermochemical processing of solid fuels via combustion, gasification, and pyrolysis.</w:t>
      </w:r>
      <w:r>
        <w:t xml:space="preserve"> </w:t>
      </w:r>
      <w:r w:rsidRPr="004D438C">
        <w:t xml:space="preserve">Although fluidization technology has been successfully applied to </w:t>
      </w:r>
      <w:r>
        <w:t xml:space="preserve">all </w:t>
      </w:r>
      <w:r w:rsidRPr="004D438C">
        <w:t xml:space="preserve">these processes, there are still broad areas of uncertainties regarding bed hydrodynamics, mixing, </w:t>
      </w:r>
      <w:r>
        <w:t xml:space="preserve">and </w:t>
      </w:r>
      <w:r w:rsidRPr="004D438C">
        <w:t>heat and mass transfer phenomena</w:t>
      </w:r>
      <w:r>
        <w:t xml:space="preserve">. </w:t>
      </w:r>
      <w:r w:rsidRPr="00056C1A">
        <w:t>There is extensive evidence from the literature that fluidization patterns of dense gas fluidized beds may largely depart from the basic two-phase theory</w:t>
      </w:r>
      <w:r w:rsidR="00A64B36">
        <w:t xml:space="preserve"> (</w:t>
      </w:r>
      <w:r w:rsidR="00517124">
        <w:t>Toomey and Johnstone</w:t>
      </w:r>
      <w:r w:rsidR="008E31E8">
        <w:t>,</w:t>
      </w:r>
      <w:r w:rsidR="00517124">
        <w:t xml:space="preserve"> 1952)</w:t>
      </w:r>
      <w:r w:rsidR="00E33772">
        <w:t xml:space="preserve">. The two-phase theory considers </w:t>
      </w:r>
      <w:bookmarkStart w:id="2" w:name="_Hlk124240140"/>
      <w:r w:rsidR="00E33772">
        <w:rPr>
          <w:rFonts w:cs="Arial"/>
          <w:lang w:val="en-US"/>
        </w:rPr>
        <w:t>t</w:t>
      </w:r>
      <w:r w:rsidR="00E33772" w:rsidRPr="00843D6D">
        <w:rPr>
          <w:rFonts w:cs="Arial"/>
          <w:lang w:val="en-US"/>
        </w:rPr>
        <w:t>he bed is composed of two main phases</w:t>
      </w:r>
      <w:r w:rsidR="007934C8">
        <w:rPr>
          <w:rFonts w:cs="Arial"/>
          <w:lang w:val="en-US"/>
        </w:rPr>
        <w:t>,</w:t>
      </w:r>
      <w:r w:rsidR="00E33772" w:rsidRPr="00843D6D">
        <w:rPr>
          <w:rFonts w:cs="Arial"/>
          <w:lang w:val="en-US"/>
        </w:rPr>
        <w:t xml:space="preserve"> solids-free bubbles and a dense emulsion phase</w:t>
      </w:r>
      <w:r w:rsidR="007934C8">
        <w:rPr>
          <w:rFonts w:cs="Arial"/>
          <w:lang w:val="en-US"/>
        </w:rPr>
        <w:t>,</w:t>
      </w:r>
      <w:r w:rsidR="00E33772" w:rsidRPr="00843D6D">
        <w:rPr>
          <w:rFonts w:cs="Arial"/>
          <w:lang w:val="en-US"/>
        </w:rPr>
        <w:t xml:space="preserve"> consisting of a mixture of solid particles and gas.</w:t>
      </w:r>
      <w:bookmarkEnd w:id="2"/>
      <w:r w:rsidR="00E33772" w:rsidRPr="00843D6D">
        <w:rPr>
          <w:rFonts w:cs="Arial"/>
          <w:lang w:val="en-US"/>
        </w:rPr>
        <w:t xml:space="preserve"> </w:t>
      </w:r>
      <w:r w:rsidR="00E33772">
        <w:rPr>
          <w:rFonts w:cs="Arial"/>
          <w:lang w:val="en-US"/>
        </w:rPr>
        <w:t>T</w:t>
      </w:r>
      <w:r w:rsidR="00E33772" w:rsidRPr="00843D6D">
        <w:rPr>
          <w:rFonts w:cs="Arial"/>
          <w:lang w:val="en-US"/>
        </w:rPr>
        <w:t xml:space="preserve">he gas exceeding the incipient fluidization velocity, </w:t>
      </w:r>
      <w:r w:rsidR="00E33772" w:rsidRPr="00843D6D">
        <w:rPr>
          <w:rFonts w:eastAsiaTheme="minorEastAsia" w:cs="Arial"/>
          <w:lang w:val="en-US"/>
        </w:rPr>
        <w:t xml:space="preserve">flows across the bed </w:t>
      </w:r>
      <w:r w:rsidR="00E33772">
        <w:rPr>
          <w:rFonts w:eastAsiaTheme="minorEastAsia" w:cs="Arial"/>
          <w:lang w:val="en-US"/>
        </w:rPr>
        <w:t>in the form of</w:t>
      </w:r>
      <w:r w:rsidR="00E33772" w:rsidRPr="00843D6D">
        <w:rPr>
          <w:rFonts w:eastAsiaTheme="minorEastAsia" w:cs="Arial"/>
          <w:lang w:val="en-US"/>
        </w:rPr>
        <w:t xml:space="preserve"> bubbles, while the emulsion phase is kept at incipient fluidization.</w:t>
      </w:r>
      <w:r w:rsidR="00E33772">
        <w:t xml:space="preserve"> In several cases the two-phase theory overestimates the visible bubble flow</w:t>
      </w:r>
      <w:r w:rsidR="000278C0">
        <w:t xml:space="preserve"> (Grace and Clift</w:t>
      </w:r>
      <w:r w:rsidR="008E31E8">
        <w:t>,</w:t>
      </w:r>
      <w:r w:rsidR="000278C0">
        <w:t xml:space="preserve"> 1974)</w:t>
      </w:r>
      <w:r w:rsidR="007934C8">
        <w:t>. This can be due to an increased velocity of the emulsion phase, departing from incipient velocity conditions as the gas velocity increases</w:t>
      </w:r>
      <w:r w:rsidR="000841B8">
        <w:t xml:space="preserve"> (Cui et al., 2000) or to an increase of the gas flow through the bubbles</w:t>
      </w:r>
      <w:r w:rsidR="00E33772">
        <w:t xml:space="preserve"> </w:t>
      </w:r>
      <w:r w:rsidR="000841B8">
        <w:t xml:space="preserve">(throughflow component) (Lockett et al., 1967). </w:t>
      </w:r>
      <w:r w:rsidR="007934C8">
        <w:t>T</w:t>
      </w:r>
      <w:r w:rsidRPr="00056C1A">
        <w:t xml:space="preserve">he </w:t>
      </w:r>
      <w:r>
        <w:t>distribution</w:t>
      </w:r>
      <w:r w:rsidRPr="00056C1A">
        <w:t xml:space="preserve"> of fluidizing gas between the bubble and the emulsion phases</w:t>
      </w:r>
      <w:r w:rsidR="007934C8">
        <w:t>,</w:t>
      </w:r>
      <w:r w:rsidRPr="00056C1A">
        <w:t xml:space="preserve"> </w:t>
      </w:r>
      <w:r>
        <w:t>the</w:t>
      </w:r>
      <w:r w:rsidRPr="00056C1A">
        <w:t xml:space="preserve"> bubble flow patterns, and the voidage in the emulsion phase</w:t>
      </w:r>
      <w:r w:rsidR="007934C8">
        <w:t xml:space="preserve"> deeply affect</w:t>
      </w:r>
      <w:r w:rsidRPr="00056C1A">
        <w:t xml:space="preserve"> </w:t>
      </w:r>
      <w:r w:rsidR="007934C8">
        <w:t>k</w:t>
      </w:r>
      <w:r>
        <w:t xml:space="preserve">ey fluidization features, </w:t>
      </w:r>
      <w:r w:rsidRPr="00CD2C9F">
        <w:t xml:space="preserve">like the gas bypass in the emulsion phase, visible bubble flow and bubble velocity, mass transfer around fluidized particles. This has stimulated </w:t>
      </w:r>
      <w:r w:rsidR="00510A82">
        <w:t>several studies to</w:t>
      </w:r>
      <w:r>
        <w:t xml:space="preserve"> </w:t>
      </w:r>
      <w:r w:rsidRPr="00CD2C9F">
        <w:t xml:space="preserve">detailed </w:t>
      </w:r>
      <w:r>
        <w:t xml:space="preserve">diagnosis of </w:t>
      </w:r>
      <w:r w:rsidRPr="00CD2C9F">
        <w:t xml:space="preserve">fluidization patterns by application of a </w:t>
      </w:r>
      <w:r>
        <w:t>broad v</w:t>
      </w:r>
      <w:r w:rsidRPr="00CD2C9F">
        <w:t>ariety of experimental techniques</w:t>
      </w:r>
      <w:r w:rsidR="00E81126">
        <w:t xml:space="preserve"> (Aprea et al. (201</w:t>
      </w:r>
      <w:r w:rsidR="00431179">
        <w:t xml:space="preserve">3), </w:t>
      </w:r>
      <w:r w:rsidR="00BF26D8" w:rsidRPr="00BF26D8">
        <w:t>Tramontin Silveira Schaffka</w:t>
      </w:r>
      <w:r w:rsidR="00BF26D8">
        <w:t xml:space="preserve"> et al. </w:t>
      </w:r>
      <w:r w:rsidR="00781374">
        <w:t>(2019))</w:t>
      </w:r>
      <w:r>
        <w:t>.</w:t>
      </w:r>
      <w:r w:rsidR="00510A82">
        <w:t xml:space="preserve"> Recently, Molignano et al.</w:t>
      </w:r>
      <w:r w:rsidR="006151DB">
        <w:t xml:space="preserve"> (2023)</w:t>
      </w:r>
      <w:r w:rsidR="00510A82">
        <w:t xml:space="preserve"> investigated voidage distribution</w:t>
      </w:r>
      <w:r w:rsidR="006151DB">
        <w:t>, visible bubble flow and emulsion phase expansion</w:t>
      </w:r>
      <w:r w:rsidR="00510A82">
        <w:t xml:space="preserve"> in bubbling fluidized bed of </w:t>
      </w:r>
      <w:r w:rsidR="006151DB">
        <w:t xml:space="preserve">Geldart’s B </w:t>
      </w:r>
      <w:r w:rsidR="00510A82">
        <w:t>solids</w:t>
      </w:r>
      <w:r w:rsidR="006151DB">
        <w:t xml:space="preserve"> by means of capacitance probes. A thorough hydrodynamic characterization of different </w:t>
      </w:r>
      <w:r w:rsidR="00DA5E4C">
        <w:t xml:space="preserve">Geldart </w:t>
      </w:r>
      <w:r w:rsidR="00510A82">
        <w:t xml:space="preserve">B and D </w:t>
      </w:r>
      <w:r w:rsidR="00DA5E4C">
        <w:t xml:space="preserve">solids has also been carried out </w:t>
      </w:r>
      <w:r w:rsidR="006151DB">
        <w:t>(Molignano et al. 2024)</w:t>
      </w:r>
      <w:r w:rsidR="00DA5E4C">
        <w:t xml:space="preserve"> in a lab-scale apparatus with low pressure drop gas distribution system.</w:t>
      </w:r>
    </w:p>
    <w:p w14:paraId="46B3BBA7" w14:textId="5970D829" w:rsidR="00DA5E4C" w:rsidRDefault="00DA5E4C" w:rsidP="00794DDF">
      <w:r>
        <w:lastRenderedPageBreak/>
        <w:t xml:space="preserve">In the present study, the same approach previously </w:t>
      </w:r>
      <w:r w:rsidR="008E31E8">
        <w:t>reported</w:t>
      </w:r>
      <w:r>
        <w:t xml:space="preserve"> has been used to evaluate the effect of gas distribution on the hydrodynamics and mass transfer of Geldart B solids in dense gas fluidized bed operated at room temperature and </w:t>
      </w:r>
      <w:r w:rsidR="008E31E8">
        <w:t>45</w:t>
      </w:r>
      <w:r>
        <w:t xml:space="preserve">0 °C. Bed voidage distribution and emulsion phase expansion have been obtained </w:t>
      </w:r>
      <w:r w:rsidR="00DE5966">
        <w:t xml:space="preserve">using a high pressure drop gas distribution system, </w:t>
      </w:r>
      <w:r>
        <w:t xml:space="preserve">while varying the excess gas velocity with respect to minimum fluidization conditions, axial and radial position of the capacitance probes. Dedicated experiments have been </w:t>
      </w:r>
      <w:r w:rsidR="008E31E8">
        <w:t xml:space="preserve">also </w:t>
      </w:r>
      <w:r>
        <w:t xml:space="preserve">conducted </w:t>
      </w:r>
      <w:r w:rsidR="00873052">
        <w:t xml:space="preserve">to </w:t>
      </w:r>
      <w:r w:rsidR="008E31E8">
        <w:t>further investigate</w:t>
      </w:r>
      <w:r w:rsidR="00873052">
        <w:t xml:space="preserve"> the mass transfer </w:t>
      </w:r>
      <w:r w:rsidR="008B4443">
        <w:t>coefficient</w:t>
      </w:r>
      <w:r w:rsidR="00873052">
        <w:t>.</w:t>
      </w:r>
    </w:p>
    <w:p w14:paraId="5741900F" w14:textId="109BF0AE" w:rsidR="00453E24" w:rsidRDefault="00873052" w:rsidP="00453E24">
      <w:pPr>
        <w:pStyle w:val="CETHeading1"/>
      </w:pPr>
      <w:r>
        <w:t>Experimental</w:t>
      </w:r>
    </w:p>
    <w:p w14:paraId="09406386" w14:textId="5FFF346D" w:rsidR="00453E24" w:rsidRDefault="00873052" w:rsidP="00453E24">
      <w:pPr>
        <w:pStyle w:val="CETBodytext"/>
      </w:pPr>
      <w:r w:rsidRPr="00843D6D">
        <w:rPr>
          <w:rFonts w:cs="Arial"/>
        </w:rPr>
        <w:t>Two types of experiments have been carried out: a) hydrodynamic characterization of the dense fluidized bed</w:t>
      </w:r>
      <w:r>
        <w:rPr>
          <w:rFonts w:cs="Arial"/>
        </w:rPr>
        <w:t xml:space="preserve"> using uncooled capacitance probes</w:t>
      </w:r>
      <w:r w:rsidRPr="00843D6D">
        <w:rPr>
          <w:rFonts w:cs="Arial"/>
        </w:rPr>
        <w:t>; b) measurement of the mass transfer coefficient between the bed and active catalyst particles during fast catalytic oxidation of CO.</w:t>
      </w:r>
    </w:p>
    <w:p w14:paraId="0636B784" w14:textId="7695D227" w:rsidR="00453E24" w:rsidRDefault="00873052" w:rsidP="00652555">
      <w:pPr>
        <w:pStyle w:val="CETheadingx"/>
      </w:pPr>
      <w:r>
        <w:t>Apparatus</w:t>
      </w:r>
    </w:p>
    <w:p w14:paraId="7C2B0064" w14:textId="48357671" w:rsidR="00453E24" w:rsidRDefault="008B7269" w:rsidP="00453E24">
      <w:pPr>
        <w:pStyle w:val="CETBodytext"/>
      </w:pPr>
      <w:r>
        <w:t>A stainless steel column, ID 77.92 mm and 1300 mm high, has been used for all the experiments. The fluidization gas distributor is a 4 mm triangular pitch perforated plate. The average pressure drop across the gas distributor is 1098.78 Pa</w:t>
      </w:r>
      <w:r w:rsidR="00EF3E55">
        <w:t xml:space="preserve"> and its ratio to the pressure drop across the bed is always higher than 30%, in agreement with high pressure drop gas distributors. The windbox is a 225 mm high stainless steel column filled with ceramic rings aimed at </w:t>
      </w:r>
      <w:r w:rsidR="00345CAD">
        <w:t>g</w:t>
      </w:r>
      <w:r w:rsidR="00EF3E55">
        <w:t>as flow equalization. High temperature operation is carried out using a gas pre-heater and two sem</w:t>
      </w:r>
      <w:r w:rsidR="00345CAD">
        <w:t>i</w:t>
      </w:r>
      <w:r w:rsidR="00EF3E55">
        <w:t xml:space="preserve">-cylindrical 2.4 kW ceramic ovens with thermal insulation. Bed temperature is controlled by a PID control unit, while gas flow rate is regulated by high-precision digital mass flowmeters/controllers. Eight ports are installed along the </w:t>
      </w:r>
      <w:r w:rsidR="004D08E4">
        <w:t xml:space="preserve">column height </w:t>
      </w:r>
      <w:r w:rsidR="00EF3E55">
        <w:t xml:space="preserve">for pressure/temperature and capacitance measurements. </w:t>
      </w:r>
      <w:r w:rsidR="004D08E4">
        <w:t>Probes are connected to data acquisition modules and signals are acquired on LABVIEW software. Figure 1 reports the scheme of the apparatus used for hydrodynamic characterization with capacitance probes</w:t>
      </w:r>
      <w:r w:rsidR="00DD27F7">
        <w:t xml:space="preserve"> fluidizing the bed with air</w:t>
      </w:r>
      <w:r w:rsidR="004D08E4">
        <w:t xml:space="preserve">. </w:t>
      </w:r>
      <w:r w:rsidR="00584DF8">
        <w:t>For the experiments of mass transfer, the same apparatus was used. Bottles of high purity N</w:t>
      </w:r>
      <w:r w:rsidR="00584DF8" w:rsidRPr="0011198A">
        <w:rPr>
          <w:vertAlign w:val="subscript"/>
        </w:rPr>
        <w:t>2</w:t>
      </w:r>
      <w:r w:rsidR="00584DF8">
        <w:t>, O</w:t>
      </w:r>
      <w:r w:rsidR="0011198A" w:rsidRPr="0011198A">
        <w:rPr>
          <w:vertAlign w:val="subscript"/>
        </w:rPr>
        <w:t>2</w:t>
      </w:r>
      <w:r w:rsidR="00584DF8">
        <w:t xml:space="preserve"> and N</w:t>
      </w:r>
      <w:r w:rsidR="0011198A" w:rsidRPr="0011198A">
        <w:rPr>
          <w:vertAlign w:val="subscript"/>
        </w:rPr>
        <w:t>2</w:t>
      </w:r>
      <w:r w:rsidR="00584DF8">
        <w:t>-CO mixture (30 %v/v CO) were used</w:t>
      </w:r>
      <w:r w:rsidR="008E31E8">
        <w:t xml:space="preserve"> for the inlet gas</w:t>
      </w:r>
      <w:r w:rsidR="00584DF8">
        <w:t>. A L-shape stainless-steel probe is inserted from the top of the column to convey 60 L/h of the exit gas to</w:t>
      </w:r>
      <w:r w:rsidR="0011198A">
        <w:t xml:space="preserve"> O</w:t>
      </w:r>
      <w:r w:rsidR="0011198A" w:rsidRPr="0011198A">
        <w:rPr>
          <w:vertAlign w:val="subscript"/>
        </w:rPr>
        <w:t>2</w:t>
      </w:r>
      <w:r w:rsidR="0011198A">
        <w:t>, CO and CO</w:t>
      </w:r>
      <w:r w:rsidR="0011198A" w:rsidRPr="0011198A">
        <w:rPr>
          <w:vertAlign w:val="subscript"/>
        </w:rPr>
        <w:t>2</w:t>
      </w:r>
      <w:r w:rsidR="00584DF8">
        <w:t xml:space="preserve"> gas analyzers</w:t>
      </w:r>
      <w:r w:rsidR="0011198A">
        <w:t>.</w:t>
      </w:r>
      <w:r w:rsidR="00584DF8">
        <w:t xml:space="preserve"> </w:t>
      </w:r>
    </w:p>
    <w:p w14:paraId="605B40E0" w14:textId="77777777" w:rsidR="004D08E4" w:rsidRDefault="004D08E4" w:rsidP="00453E24">
      <w:pPr>
        <w:pStyle w:val="CETBodytext"/>
      </w:pPr>
    </w:p>
    <w:p w14:paraId="29119C9B" w14:textId="23B1A9BF" w:rsidR="004D08E4" w:rsidRDefault="004D08E4" w:rsidP="00963B9B">
      <w:pPr>
        <w:pStyle w:val="CETBodytext"/>
        <w:jc w:val="left"/>
      </w:pPr>
      <w:r w:rsidRPr="003425DE">
        <w:rPr>
          <w:noProof/>
        </w:rPr>
        <w:drawing>
          <wp:inline distT="0" distB="0" distL="0" distR="0" wp14:anchorId="71C9CA24" wp14:editId="4EE73594">
            <wp:extent cx="3600000" cy="3183053"/>
            <wp:effectExtent l="0" t="0" r="635" b="0"/>
            <wp:docPr id="16" name="Immagine 16" descr="Immagine che contiene diagramma, schizzo, Disegno tecnico, Pia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6" descr="Immagine che contiene diagramma, schizzo, Disegno tecnico, Piano&#10;&#10;Descrizione generata automaticamente"/>
                    <pic:cNvPicPr/>
                  </pic:nvPicPr>
                  <pic:blipFill>
                    <a:blip r:embed="rId10"/>
                    <a:stretch>
                      <a:fillRect/>
                    </a:stretch>
                  </pic:blipFill>
                  <pic:spPr>
                    <a:xfrm>
                      <a:off x="0" y="0"/>
                      <a:ext cx="3600000" cy="3183053"/>
                    </a:xfrm>
                    <a:prstGeom prst="rect">
                      <a:avLst/>
                    </a:prstGeom>
                  </pic:spPr>
                </pic:pic>
              </a:graphicData>
            </a:graphic>
          </wp:inline>
        </w:drawing>
      </w:r>
    </w:p>
    <w:p w14:paraId="579147D3" w14:textId="441CA0B2" w:rsidR="004D08E4" w:rsidRPr="008E31E8" w:rsidRDefault="004D08E4" w:rsidP="00453E24">
      <w:pPr>
        <w:pStyle w:val="CETBodytext"/>
        <w:rPr>
          <w:rStyle w:val="CETCaptionCarattere"/>
          <w:i w:val="0"/>
        </w:rPr>
      </w:pPr>
      <w:r w:rsidRPr="00BD077D">
        <w:rPr>
          <w:rStyle w:val="CETCaptionCarattere"/>
        </w:rPr>
        <w:t xml:space="preserve">Figure 1: </w:t>
      </w:r>
      <w:r>
        <w:rPr>
          <w:rStyle w:val="CETCaptionCarattere"/>
        </w:rPr>
        <w:t>Experimental apparatus. (1) Compressor; (2) air flowmeter; (3)</w:t>
      </w:r>
      <w:r w:rsidR="00584DF8">
        <w:rPr>
          <w:rStyle w:val="CETCaptionCarattere"/>
        </w:rPr>
        <w:t xml:space="preserve"> ports for pressure, temperature and capacitance probes; (4) gas pre-heater; (5) electrical furnaces; (6) hood. </w:t>
      </w:r>
      <w:r w:rsidR="00584DF8" w:rsidRPr="008E31E8">
        <w:rPr>
          <w:rFonts w:ascii="Cambria Math" w:hAnsi="Cambria Math" w:cs="Cambria Math"/>
          <w:i/>
          <w:lang w:val="it-IT"/>
        </w:rPr>
        <w:t>𝐻</w:t>
      </w:r>
      <w:r w:rsidR="00584DF8" w:rsidRPr="008E31E8">
        <w:rPr>
          <w:i/>
          <w:vertAlign w:val="subscript"/>
          <w:lang w:val="en-GB"/>
        </w:rPr>
        <w:t>1</w:t>
      </w:r>
      <w:r w:rsidR="00584DF8" w:rsidRPr="008E31E8">
        <w:rPr>
          <w:i/>
          <w:lang w:val="en-GB"/>
        </w:rPr>
        <w:t xml:space="preserve"> = 0.06 m, </w:t>
      </w:r>
      <w:r w:rsidR="00584DF8" w:rsidRPr="008E31E8">
        <w:rPr>
          <w:rFonts w:ascii="Cambria Math" w:hAnsi="Cambria Math" w:cs="Cambria Math"/>
          <w:i/>
          <w:lang w:val="it-IT"/>
        </w:rPr>
        <w:t>𝐻</w:t>
      </w:r>
      <w:r w:rsidR="00584DF8" w:rsidRPr="008E31E8">
        <w:rPr>
          <w:i/>
          <w:vertAlign w:val="subscript"/>
          <w:lang w:val="en-GB"/>
        </w:rPr>
        <w:t>2</w:t>
      </w:r>
      <w:r w:rsidR="00584DF8" w:rsidRPr="008E31E8">
        <w:rPr>
          <w:i/>
          <w:lang w:val="en-GB"/>
        </w:rPr>
        <w:t xml:space="preserve"> = 0.1 m, </w:t>
      </w:r>
      <w:r w:rsidR="00584DF8" w:rsidRPr="008E31E8">
        <w:rPr>
          <w:rFonts w:ascii="Cambria Math" w:hAnsi="Cambria Math" w:cs="Cambria Math"/>
          <w:i/>
          <w:lang w:val="it-IT"/>
        </w:rPr>
        <w:t>𝐻</w:t>
      </w:r>
      <w:r w:rsidR="00584DF8" w:rsidRPr="008E31E8">
        <w:rPr>
          <w:i/>
          <w:vertAlign w:val="subscript"/>
          <w:lang w:val="en-GB"/>
        </w:rPr>
        <w:t>3</w:t>
      </w:r>
      <w:r w:rsidR="00584DF8" w:rsidRPr="008E31E8">
        <w:rPr>
          <w:i/>
          <w:lang w:val="en-GB"/>
        </w:rPr>
        <w:t xml:space="preserve"> = 0.14 m represent the axial distance of the probes from the gas distributor.</w:t>
      </w:r>
    </w:p>
    <w:p w14:paraId="18BAFA6F" w14:textId="59D297A8" w:rsidR="00453E24" w:rsidRPr="00B57B36" w:rsidRDefault="0011198A" w:rsidP="00652555">
      <w:pPr>
        <w:pStyle w:val="CETheadingx"/>
      </w:pPr>
      <w:r>
        <w:t>Materials</w:t>
      </w:r>
    </w:p>
    <w:p w14:paraId="72C13437" w14:textId="65DF82B9" w:rsidR="00CC7FA6" w:rsidRPr="00322474" w:rsidRDefault="00CC7FA6" w:rsidP="00453E24">
      <w:pPr>
        <w:pStyle w:val="CETBodytext"/>
        <w:rPr>
          <w:lang w:val="en-GB"/>
        </w:rPr>
      </w:pPr>
      <w:r>
        <w:rPr>
          <w:lang w:val="en-GB"/>
        </w:rPr>
        <w:t>Grey quartz sand</w:t>
      </w:r>
      <w:r w:rsidR="008E31E8">
        <w:rPr>
          <w:lang w:val="en-GB"/>
        </w:rPr>
        <w:t>,</w:t>
      </w:r>
      <w:r>
        <w:rPr>
          <w:lang w:val="en-GB"/>
        </w:rPr>
        <w:t xml:space="preserve"> double sieved in the size range of 0.42-0.59 mm</w:t>
      </w:r>
      <w:r w:rsidR="008E31E8">
        <w:rPr>
          <w:lang w:val="en-GB"/>
        </w:rPr>
        <w:t>,</w:t>
      </w:r>
      <w:r>
        <w:rPr>
          <w:lang w:val="en-GB"/>
        </w:rPr>
        <w:t xml:space="preserve"> has been used as bed material. Particle properties are reported in Table 1. For the experiments of mass transfer, a batch of 2% w/w Pt catalyst supported on </w:t>
      </w:r>
      <m:oMath>
        <m:r>
          <w:rPr>
            <w:rFonts w:ascii="Cambria Math" w:eastAsiaTheme="minorEastAsia" w:hAnsi="Cambria Math" w:cs="Arial"/>
            <w:kern w:val="24"/>
            <w:lang w:eastAsia="fr-FR"/>
          </w:rPr>
          <m:t>γ</m:t>
        </m:r>
      </m:oMath>
      <w:r w:rsidRPr="00843D6D">
        <w:rPr>
          <w:rFonts w:eastAsiaTheme="minorEastAsia" w:cs="Arial"/>
          <w:iCs/>
          <w:kern w:val="24"/>
          <w:lang w:eastAsia="fr-FR"/>
        </w:rPr>
        <w:t>-alumina</w:t>
      </w:r>
      <w:r>
        <w:rPr>
          <w:rFonts w:eastAsiaTheme="minorEastAsia" w:cs="Arial"/>
          <w:iCs/>
          <w:kern w:val="24"/>
          <w:lang w:eastAsia="fr-FR"/>
        </w:rPr>
        <w:t xml:space="preserve"> </w:t>
      </w:r>
      <w:r w:rsidR="00322474">
        <w:rPr>
          <w:rFonts w:eastAsiaTheme="minorEastAsia" w:cs="Arial"/>
          <w:iCs/>
          <w:kern w:val="24"/>
          <w:lang w:eastAsia="fr-FR"/>
        </w:rPr>
        <w:t xml:space="preserve">with an average particle size of 3.9 ± 0.11 mm </w:t>
      </w:r>
      <w:r>
        <w:rPr>
          <w:rFonts w:eastAsiaTheme="minorEastAsia" w:cs="Arial"/>
          <w:iCs/>
          <w:kern w:val="24"/>
          <w:lang w:eastAsia="fr-FR"/>
        </w:rPr>
        <w:t xml:space="preserve">was mixed in the quartz sand bed. </w:t>
      </w:r>
    </w:p>
    <w:p w14:paraId="59A7D9E6" w14:textId="26FB0228" w:rsidR="00DD780C" w:rsidRDefault="00CC7FA6" w:rsidP="00CC7FA6">
      <w:pPr>
        <w:pStyle w:val="CETTabletitle"/>
      </w:pPr>
      <w:r w:rsidRPr="00B57B36">
        <w:lastRenderedPageBreak/>
        <w:t xml:space="preserve">Table 1: </w:t>
      </w:r>
      <w:r>
        <w:t>Properties of bed material.</w:t>
      </w:r>
    </w:p>
    <w:tbl>
      <w:tblPr>
        <w:tblW w:w="8931"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893"/>
        <w:gridCol w:w="893"/>
        <w:gridCol w:w="893"/>
        <w:gridCol w:w="893"/>
        <w:gridCol w:w="893"/>
        <w:gridCol w:w="893"/>
        <w:gridCol w:w="893"/>
        <w:gridCol w:w="893"/>
        <w:gridCol w:w="893"/>
        <w:gridCol w:w="894"/>
      </w:tblGrid>
      <w:tr w:rsidR="00DD780C" w:rsidRPr="00B57B36" w14:paraId="2B52F86D" w14:textId="461E970A" w:rsidTr="00E6181D">
        <w:trPr>
          <w:trHeight w:val="714"/>
        </w:trPr>
        <w:tc>
          <w:tcPr>
            <w:tcW w:w="893" w:type="dxa"/>
            <w:tcBorders>
              <w:top w:val="single" w:sz="12" w:space="0" w:color="008000"/>
              <w:bottom w:val="single" w:sz="6" w:space="0" w:color="008000"/>
            </w:tcBorders>
            <w:shd w:val="clear" w:color="auto" w:fill="FFFFFF"/>
          </w:tcPr>
          <w:p w14:paraId="62AAA97B" w14:textId="77777777" w:rsidR="00DD780C" w:rsidRPr="00B57B36" w:rsidRDefault="00DD780C" w:rsidP="00DD780C">
            <w:pPr>
              <w:pStyle w:val="CETBodytext"/>
              <w:rPr>
                <w:lang w:val="en-GB"/>
              </w:rPr>
            </w:pPr>
            <w:r>
              <w:rPr>
                <w:lang w:val="en-GB"/>
              </w:rPr>
              <w:t>Material</w:t>
            </w:r>
            <w:r w:rsidRPr="00B57B36">
              <w:rPr>
                <w:lang w:val="en-GB"/>
              </w:rPr>
              <w:t xml:space="preserve"> </w:t>
            </w:r>
          </w:p>
        </w:tc>
        <w:tc>
          <w:tcPr>
            <w:tcW w:w="893" w:type="dxa"/>
            <w:tcBorders>
              <w:top w:val="single" w:sz="12" w:space="0" w:color="008000"/>
              <w:bottom w:val="single" w:sz="6" w:space="0" w:color="008000"/>
            </w:tcBorders>
            <w:shd w:val="clear" w:color="auto" w:fill="FFFFFF"/>
          </w:tcPr>
          <w:p w14:paraId="008EE98B" w14:textId="77777777" w:rsidR="00DD780C" w:rsidRPr="00DD780C" w:rsidRDefault="00366616" w:rsidP="00DD780C">
            <w:pPr>
              <w:pStyle w:val="CETBodytext"/>
              <w:rPr>
                <w:lang w:val="en-GB"/>
              </w:rPr>
            </w:pPr>
            <m:oMathPara>
              <m:oMathParaPr>
                <m:jc m:val="left"/>
              </m:oMathParaPr>
              <m:oMath>
                <m:acc>
                  <m:accPr>
                    <m:chr m:val="̅"/>
                    <m:ctrlPr>
                      <w:rPr>
                        <w:rFonts w:ascii="Cambria Math" w:hAnsi="Cambria Math" w:cs="Arial"/>
                        <w:i/>
                        <w:lang w:val="en-GB"/>
                      </w:rPr>
                    </m:ctrlPr>
                  </m:accPr>
                  <m:e>
                    <m:sSub>
                      <m:sSubPr>
                        <m:ctrlPr>
                          <w:rPr>
                            <w:rFonts w:ascii="Cambria Math" w:hAnsi="Cambria Math" w:cs="Arial"/>
                            <w:i/>
                            <w:lang w:val="en-GB"/>
                          </w:rPr>
                        </m:ctrlPr>
                      </m:sSubPr>
                      <m:e>
                        <m:r>
                          <w:rPr>
                            <w:rFonts w:ascii="Cambria Math" w:hAnsi="Cambria Math" w:cs="Arial"/>
                            <w:lang w:val="en-GB"/>
                          </w:rPr>
                          <m:t>d</m:t>
                        </m:r>
                      </m:e>
                      <m:sub>
                        <m:r>
                          <w:rPr>
                            <w:rFonts w:ascii="Cambria Math" w:hAnsi="Cambria Math" w:cs="Arial"/>
                            <w:lang w:val="en-GB"/>
                          </w:rPr>
                          <m:t>p</m:t>
                        </m:r>
                      </m:sub>
                    </m:sSub>
                  </m:e>
                </m:acc>
                <m:r>
                  <w:rPr>
                    <w:rFonts w:ascii="Cambria Math" w:hAnsi="Cambria Math" w:cs="Arial"/>
                    <w:lang w:val="en-GB"/>
                  </w:rPr>
                  <m:t xml:space="preserve"> </m:t>
                </m:r>
              </m:oMath>
            </m:oMathPara>
          </w:p>
          <w:p w14:paraId="4834C413" w14:textId="13FA334E" w:rsidR="00DD780C" w:rsidRPr="00DD780C" w:rsidRDefault="00366616" w:rsidP="00DD780C">
            <w:pPr>
              <w:pStyle w:val="CETBodytext"/>
              <w:rPr>
                <w:lang w:val="en-GB"/>
              </w:rPr>
            </w:pPr>
            <m:oMathPara>
              <m:oMathParaPr>
                <m:jc m:val="left"/>
              </m:oMathParaPr>
              <m:oMath>
                <m:d>
                  <m:dPr>
                    <m:begChr m:val="["/>
                    <m:endChr m:val="]"/>
                    <m:ctrlPr>
                      <w:rPr>
                        <w:rFonts w:ascii="Cambria Math" w:hAnsi="Cambria Math" w:cs="Arial"/>
                        <w:i/>
                        <w:iCs/>
                        <w:szCs w:val="18"/>
                        <w:lang w:val="it-IT"/>
                      </w:rPr>
                    </m:ctrlPr>
                  </m:dPr>
                  <m:e>
                    <m:r>
                      <w:rPr>
                        <w:rFonts w:ascii="Cambria Math" w:hAnsi="Cambria Math" w:cs="Arial"/>
                        <w:szCs w:val="18"/>
                        <w:lang w:val="it-IT"/>
                      </w:rPr>
                      <m:t>μm</m:t>
                    </m:r>
                  </m:e>
                </m:d>
              </m:oMath>
            </m:oMathPara>
          </w:p>
        </w:tc>
        <w:tc>
          <w:tcPr>
            <w:tcW w:w="893" w:type="dxa"/>
            <w:tcBorders>
              <w:top w:val="single" w:sz="12" w:space="0" w:color="008000"/>
              <w:bottom w:val="single" w:sz="6" w:space="0" w:color="008000"/>
            </w:tcBorders>
            <w:shd w:val="clear" w:color="auto" w:fill="FFFFFF"/>
          </w:tcPr>
          <w:p w14:paraId="7271ED3D" w14:textId="77777777" w:rsidR="00DD780C" w:rsidRDefault="00DD780C" w:rsidP="00DD780C">
            <w:pPr>
              <w:pStyle w:val="CETBodytext"/>
              <w:rPr>
                <w:rFonts w:cs="Arial"/>
                <w:szCs w:val="18"/>
                <w:lang w:val="en-GB"/>
              </w:rPr>
            </w:pPr>
            <m:oMath>
              <m:r>
                <w:rPr>
                  <w:rFonts w:ascii="Cambria Math" w:hAnsi="Cambria Math" w:cs="Arial"/>
                  <w:szCs w:val="18"/>
                  <w:lang w:val="en-GB"/>
                </w:rPr>
                <m:t>ϕ</m:t>
              </m:r>
            </m:oMath>
            <w:r w:rsidRPr="0010207C">
              <w:rPr>
                <w:rFonts w:cs="Arial"/>
                <w:szCs w:val="18"/>
                <w:lang w:val="en-GB"/>
              </w:rPr>
              <w:t xml:space="preserve"> </w:t>
            </w:r>
          </w:p>
          <w:p w14:paraId="797D7ADF" w14:textId="47611510" w:rsidR="00DD780C" w:rsidRPr="00DD780C" w:rsidRDefault="00366616" w:rsidP="00DD780C">
            <w:pPr>
              <w:pStyle w:val="CETBodytext"/>
              <w:rPr>
                <w:lang w:val="en-GB"/>
              </w:rPr>
            </w:pPr>
            <m:oMathPara>
              <m:oMathParaPr>
                <m:jc m:val="left"/>
              </m:oMathParaPr>
              <m:oMath>
                <m:d>
                  <m:dPr>
                    <m:begChr m:val="["/>
                    <m:endChr m:val="]"/>
                    <m:ctrlPr>
                      <w:rPr>
                        <w:rFonts w:ascii="Cambria Math" w:hAnsi="Cambria Math" w:cs="Arial"/>
                        <w:i/>
                        <w:iCs/>
                        <w:szCs w:val="18"/>
                        <w:lang w:val="it-IT"/>
                      </w:rPr>
                    </m:ctrlPr>
                  </m:dPr>
                  <m:e>
                    <m:r>
                      <w:rPr>
                        <w:rFonts w:ascii="Cambria Math" w:hAnsi="Cambria Math" w:cs="Arial"/>
                        <w:szCs w:val="18"/>
                        <w:lang w:val="it-IT"/>
                      </w:rPr>
                      <m:t>-</m:t>
                    </m:r>
                  </m:e>
                </m:d>
              </m:oMath>
            </m:oMathPara>
          </w:p>
        </w:tc>
        <w:tc>
          <w:tcPr>
            <w:tcW w:w="893" w:type="dxa"/>
            <w:tcBorders>
              <w:top w:val="single" w:sz="12" w:space="0" w:color="008000"/>
              <w:bottom w:val="single" w:sz="6" w:space="0" w:color="008000"/>
            </w:tcBorders>
            <w:shd w:val="clear" w:color="auto" w:fill="FFFFFF"/>
          </w:tcPr>
          <w:p w14:paraId="38379522" w14:textId="77777777" w:rsidR="00DD780C" w:rsidRDefault="00366616" w:rsidP="00DD780C">
            <w:pPr>
              <w:pStyle w:val="CETBodytext"/>
              <w:rPr>
                <w:rFonts w:cs="Arial"/>
                <w:szCs w:val="18"/>
                <w:lang w:val="en-GB"/>
              </w:rPr>
            </w:pPr>
            <m:oMath>
              <m:sSub>
                <m:sSubPr>
                  <m:ctrlPr>
                    <w:rPr>
                      <w:rFonts w:ascii="Cambria Math" w:hAnsi="Cambria Math" w:cs="Arial"/>
                      <w:i/>
                      <w:szCs w:val="18"/>
                      <w:lang w:val="en-GB"/>
                    </w:rPr>
                  </m:ctrlPr>
                </m:sSubPr>
                <m:e>
                  <m:r>
                    <w:rPr>
                      <w:rFonts w:ascii="Cambria Math" w:hAnsi="Cambria Math" w:cs="Arial"/>
                      <w:szCs w:val="18"/>
                      <w:lang w:val="en-GB"/>
                    </w:rPr>
                    <m:t>ρ</m:t>
                  </m:r>
                </m:e>
                <m:sub>
                  <m:r>
                    <w:rPr>
                      <w:rFonts w:ascii="Cambria Math" w:hAnsi="Cambria Math" w:cs="Arial"/>
                      <w:szCs w:val="18"/>
                      <w:lang w:val="en-GB"/>
                    </w:rPr>
                    <m:t>p</m:t>
                  </m:r>
                </m:sub>
              </m:sSub>
            </m:oMath>
            <w:r w:rsidR="00DD780C" w:rsidRPr="0010207C">
              <w:rPr>
                <w:rFonts w:cs="Arial"/>
                <w:szCs w:val="18"/>
                <w:lang w:val="en-GB"/>
              </w:rPr>
              <w:t xml:space="preserve"> </w:t>
            </w:r>
          </w:p>
          <w:p w14:paraId="2391E0C8" w14:textId="23741ADF" w:rsidR="00DD780C" w:rsidRPr="00DD780C" w:rsidRDefault="00366616" w:rsidP="00DD780C">
            <w:pPr>
              <w:pStyle w:val="CETBodytext"/>
              <w:rPr>
                <w:lang w:val="en-GB"/>
              </w:rPr>
            </w:pPr>
            <m:oMathPara>
              <m:oMathParaPr>
                <m:jc m:val="left"/>
              </m:oMathParaPr>
              <m:oMath>
                <m:d>
                  <m:dPr>
                    <m:begChr m:val="["/>
                    <m:endChr m:val="]"/>
                    <m:ctrlPr>
                      <w:rPr>
                        <w:rFonts w:ascii="Cambria Math" w:hAnsi="Cambria Math" w:cs="Arial"/>
                        <w:i/>
                        <w:iCs/>
                        <w:szCs w:val="18"/>
                        <w:lang w:val="it-IT"/>
                      </w:rPr>
                    </m:ctrlPr>
                  </m:dPr>
                  <m:e>
                    <m:r>
                      <w:rPr>
                        <w:rFonts w:ascii="Cambria Math" w:hAnsi="Cambria Math" w:cs="Arial"/>
                        <w:szCs w:val="18"/>
                        <w:lang w:val="it-IT"/>
                      </w:rPr>
                      <m:t>kg/</m:t>
                    </m:r>
                    <m:sSup>
                      <m:sSupPr>
                        <m:ctrlPr>
                          <w:rPr>
                            <w:rFonts w:ascii="Cambria Math" w:hAnsi="Cambria Math" w:cs="Arial"/>
                            <w:i/>
                            <w:iCs/>
                            <w:szCs w:val="18"/>
                            <w:lang w:val="it-IT"/>
                          </w:rPr>
                        </m:ctrlPr>
                      </m:sSupPr>
                      <m:e>
                        <m:r>
                          <w:rPr>
                            <w:rFonts w:ascii="Cambria Math" w:hAnsi="Cambria Math" w:cs="Arial"/>
                            <w:szCs w:val="18"/>
                            <w:lang w:val="it-IT"/>
                          </w:rPr>
                          <m:t>m</m:t>
                        </m:r>
                      </m:e>
                      <m:sup>
                        <m:r>
                          <w:rPr>
                            <w:rFonts w:ascii="Cambria Math" w:hAnsi="Cambria Math" w:cs="Arial"/>
                            <w:szCs w:val="18"/>
                            <w:lang w:val="it-IT"/>
                          </w:rPr>
                          <m:t>3</m:t>
                        </m:r>
                      </m:sup>
                    </m:sSup>
                  </m:e>
                </m:d>
              </m:oMath>
            </m:oMathPara>
          </w:p>
        </w:tc>
        <w:tc>
          <w:tcPr>
            <w:tcW w:w="893" w:type="dxa"/>
            <w:tcBorders>
              <w:top w:val="single" w:sz="12" w:space="0" w:color="008000"/>
              <w:bottom w:val="single" w:sz="6" w:space="0" w:color="008000"/>
            </w:tcBorders>
            <w:shd w:val="clear" w:color="auto" w:fill="FFFFFF"/>
          </w:tcPr>
          <w:p w14:paraId="73F54565" w14:textId="77777777" w:rsidR="00DD780C" w:rsidRDefault="00DD780C" w:rsidP="00DD780C">
            <w:pPr>
              <w:pStyle w:val="CETBodytext"/>
              <w:rPr>
                <w:rFonts w:cs="Arial"/>
                <w:szCs w:val="18"/>
                <w:lang w:val="en-GB"/>
              </w:rPr>
            </w:pPr>
            <w:r w:rsidRPr="0010207C">
              <w:rPr>
                <w:rFonts w:cs="Arial"/>
                <w:szCs w:val="18"/>
                <w:lang w:val="en-GB"/>
              </w:rPr>
              <w:t>U</w:t>
            </w:r>
            <w:r w:rsidRPr="00322474">
              <w:rPr>
                <w:rFonts w:cs="Arial"/>
                <w:szCs w:val="18"/>
                <w:vertAlign w:val="subscript"/>
                <w:lang w:val="en-GB"/>
              </w:rPr>
              <w:t>mf</w:t>
            </w:r>
            <w:r w:rsidRPr="0010207C">
              <w:rPr>
                <w:rFonts w:cs="Arial"/>
                <w:szCs w:val="18"/>
                <w:lang w:val="en-GB"/>
              </w:rPr>
              <w:t xml:space="preserve"> </w:t>
            </w:r>
          </w:p>
          <w:p w14:paraId="081B070F" w14:textId="77777777" w:rsidR="00E6181D" w:rsidRPr="00E6181D" w:rsidRDefault="00DD780C" w:rsidP="00DD780C">
            <w:pPr>
              <w:pStyle w:val="CETBodytext"/>
              <w:rPr>
                <w:rFonts w:cs="Arial"/>
                <w:szCs w:val="18"/>
                <w:lang w:val="en-GB"/>
              </w:rPr>
            </w:pPr>
            <w:r w:rsidRPr="0010207C">
              <w:rPr>
                <w:rFonts w:cs="Arial"/>
                <w:szCs w:val="18"/>
                <w:lang w:val="en-GB"/>
              </w:rPr>
              <w:t xml:space="preserve">(20°C) </w:t>
            </w:r>
          </w:p>
          <w:p w14:paraId="3A4C401D" w14:textId="6FBEDC6C" w:rsidR="00DD780C" w:rsidRPr="00E6181D" w:rsidRDefault="00366616" w:rsidP="00DD780C">
            <w:pPr>
              <w:pStyle w:val="CETBodytext"/>
              <w:rPr>
                <w:lang w:val="en-GB"/>
              </w:rPr>
            </w:pPr>
            <m:oMathPara>
              <m:oMathParaPr>
                <m:jc m:val="left"/>
              </m:oMathParaPr>
              <m:oMath>
                <m:d>
                  <m:dPr>
                    <m:begChr m:val="["/>
                    <m:endChr m:val="]"/>
                    <m:ctrlPr>
                      <w:rPr>
                        <w:rFonts w:ascii="Cambria Math" w:hAnsi="Cambria Math" w:cs="Arial"/>
                        <w:i/>
                        <w:iCs/>
                        <w:szCs w:val="18"/>
                        <w:lang w:val="it-IT"/>
                      </w:rPr>
                    </m:ctrlPr>
                  </m:dPr>
                  <m:e>
                    <m:r>
                      <w:rPr>
                        <w:rFonts w:ascii="Cambria Math" w:hAnsi="Cambria Math" w:cs="Arial"/>
                        <w:szCs w:val="18"/>
                        <w:lang w:val="it-IT"/>
                      </w:rPr>
                      <m:t>m/s</m:t>
                    </m:r>
                  </m:e>
                </m:d>
              </m:oMath>
            </m:oMathPara>
          </w:p>
        </w:tc>
        <w:tc>
          <w:tcPr>
            <w:tcW w:w="893" w:type="dxa"/>
            <w:tcBorders>
              <w:top w:val="single" w:sz="12" w:space="0" w:color="008000"/>
              <w:bottom w:val="single" w:sz="6" w:space="0" w:color="008000"/>
            </w:tcBorders>
            <w:shd w:val="clear" w:color="auto" w:fill="FFFFFF"/>
          </w:tcPr>
          <w:p w14:paraId="1E04BCFC" w14:textId="77777777" w:rsidR="00DD780C" w:rsidRDefault="00DD780C" w:rsidP="00DD780C">
            <w:pPr>
              <w:pStyle w:val="CETBodytext"/>
              <w:rPr>
                <w:rFonts w:cs="Arial"/>
                <w:szCs w:val="18"/>
                <w:lang w:val="en-GB"/>
              </w:rPr>
            </w:pPr>
            <w:r w:rsidRPr="0010207C">
              <w:rPr>
                <w:rFonts w:cs="Arial"/>
                <w:szCs w:val="18"/>
                <w:lang w:val="en-GB"/>
              </w:rPr>
              <w:t>U</w:t>
            </w:r>
            <w:r w:rsidRPr="00322474">
              <w:rPr>
                <w:rFonts w:cs="Arial"/>
                <w:szCs w:val="18"/>
                <w:vertAlign w:val="subscript"/>
                <w:lang w:val="en-GB"/>
              </w:rPr>
              <w:t>mf</w:t>
            </w:r>
            <w:r w:rsidRPr="0010207C">
              <w:rPr>
                <w:rFonts w:cs="Arial"/>
                <w:szCs w:val="18"/>
                <w:lang w:val="en-GB"/>
              </w:rPr>
              <w:t xml:space="preserve"> </w:t>
            </w:r>
          </w:p>
          <w:p w14:paraId="3421256C" w14:textId="77777777" w:rsidR="00E6181D" w:rsidRPr="00E6181D" w:rsidRDefault="00DD780C" w:rsidP="00DD780C">
            <w:pPr>
              <w:pStyle w:val="CETBodytext"/>
              <w:rPr>
                <w:rFonts w:cs="Arial"/>
                <w:szCs w:val="18"/>
                <w:lang w:val="en-GB"/>
              </w:rPr>
            </w:pPr>
            <w:r w:rsidRPr="0010207C">
              <w:rPr>
                <w:rFonts w:cs="Arial"/>
                <w:szCs w:val="18"/>
                <w:lang w:val="en-GB"/>
              </w:rPr>
              <w:t xml:space="preserve">(450°C) </w:t>
            </w:r>
          </w:p>
          <w:p w14:paraId="150CF615" w14:textId="0FEA8C9D" w:rsidR="00DD780C" w:rsidRPr="00E6181D" w:rsidRDefault="00366616" w:rsidP="00DD780C">
            <w:pPr>
              <w:pStyle w:val="CETBodytext"/>
              <w:rPr>
                <w:lang w:val="en-GB"/>
              </w:rPr>
            </w:pPr>
            <m:oMathPara>
              <m:oMathParaPr>
                <m:jc m:val="left"/>
              </m:oMathParaPr>
              <m:oMath>
                <m:d>
                  <m:dPr>
                    <m:begChr m:val="["/>
                    <m:endChr m:val="]"/>
                    <m:ctrlPr>
                      <w:rPr>
                        <w:rFonts w:ascii="Cambria Math" w:hAnsi="Cambria Math" w:cs="Arial"/>
                        <w:i/>
                        <w:iCs/>
                        <w:szCs w:val="18"/>
                        <w:lang w:val="it-IT"/>
                      </w:rPr>
                    </m:ctrlPr>
                  </m:dPr>
                  <m:e>
                    <m:r>
                      <w:rPr>
                        <w:rFonts w:ascii="Cambria Math" w:hAnsi="Cambria Math" w:cs="Arial"/>
                        <w:szCs w:val="18"/>
                        <w:lang w:val="it-IT"/>
                      </w:rPr>
                      <m:t>m/s</m:t>
                    </m:r>
                  </m:e>
                </m:d>
              </m:oMath>
            </m:oMathPara>
          </w:p>
        </w:tc>
        <w:tc>
          <w:tcPr>
            <w:tcW w:w="893" w:type="dxa"/>
            <w:tcBorders>
              <w:top w:val="single" w:sz="12" w:space="0" w:color="008000"/>
              <w:bottom w:val="single" w:sz="6" w:space="0" w:color="008000"/>
            </w:tcBorders>
            <w:shd w:val="clear" w:color="auto" w:fill="FFFFFF"/>
          </w:tcPr>
          <w:p w14:paraId="4ECCFA85" w14:textId="77777777" w:rsidR="00DD780C" w:rsidRDefault="00366616" w:rsidP="00DD780C">
            <w:pPr>
              <w:pStyle w:val="CETBodytext"/>
              <w:rPr>
                <w:rFonts w:cs="Arial"/>
                <w:szCs w:val="18"/>
                <w:lang w:val="en-GB"/>
              </w:rPr>
            </w:pPr>
            <m:oMath>
              <m:sSub>
                <m:sSubPr>
                  <m:ctrlPr>
                    <w:rPr>
                      <w:rFonts w:ascii="Cambria Math" w:hAnsi="Cambria Math" w:cs="Arial"/>
                      <w:i/>
                      <w:szCs w:val="18"/>
                      <w:lang w:val="en-GB"/>
                    </w:rPr>
                  </m:ctrlPr>
                </m:sSubPr>
                <m:e>
                  <m:r>
                    <w:rPr>
                      <w:rFonts w:ascii="Cambria Math" w:hAnsi="Cambria Math" w:cs="Arial"/>
                      <w:szCs w:val="18"/>
                      <w:lang w:val="en-GB"/>
                    </w:rPr>
                    <m:t>ε</m:t>
                  </m:r>
                </m:e>
                <m:sub>
                  <m:r>
                    <w:rPr>
                      <w:rFonts w:ascii="Cambria Math" w:hAnsi="Cambria Math" w:cs="Arial"/>
                      <w:szCs w:val="18"/>
                      <w:lang w:val="en-GB"/>
                    </w:rPr>
                    <m:t>mf</m:t>
                  </m:r>
                </m:sub>
              </m:sSub>
            </m:oMath>
            <w:r w:rsidR="00DD780C" w:rsidRPr="0010207C">
              <w:rPr>
                <w:rFonts w:cs="Arial"/>
                <w:szCs w:val="18"/>
                <w:lang w:val="en-GB"/>
              </w:rPr>
              <w:t xml:space="preserve"> </w:t>
            </w:r>
          </w:p>
          <w:p w14:paraId="44E740F9" w14:textId="77777777" w:rsidR="00E6181D" w:rsidRPr="00E6181D" w:rsidRDefault="00DD780C" w:rsidP="00DD780C">
            <w:pPr>
              <w:pStyle w:val="CETBodytext"/>
              <w:rPr>
                <w:rFonts w:cs="Arial"/>
                <w:szCs w:val="18"/>
                <w:lang w:val="en-GB"/>
              </w:rPr>
            </w:pPr>
            <w:r w:rsidRPr="0010207C">
              <w:rPr>
                <w:rFonts w:cs="Arial"/>
                <w:szCs w:val="18"/>
                <w:lang w:val="en-GB"/>
              </w:rPr>
              <w:t xml:space="preserve">(20°C) </w:t>
            </w:r>
          </w:p>
          <w:p w14:paraId="50CDB855" w14:textId="76A57786" w:rsidR="00DD780C" w:rsidRPr="00E6181D" w:rsidRDefault="00366616" w:rsidP="00DD780C">
            <w:pPr>
              <w:pStyle w:val="CETBodytext"/>
              <w:rPr>
                <w:lang w:val="en-GB"/>
              </w:rPr>
            </w:pPr>
            <m:oMathPara>
              <m:oMathParaPr>
                <m:jc m:val="left"/>
              </m:oMathParaPr>
              <m:oMath>
                <m:d>
                  <m:dPr>
                    <m:begChr m:val="["/>
                    <m:endChr m:val="]"/>
                    <m:ctrlPr>
                      <w:rPr>
                        <w:rFonts w:ascii="Cambria Math" w:hAnsi="Cambria Math" w:cs="Arial"/>
                        <w:i/>
                        <w:iCs/>
                        <w:szCs w:val="18"/>
                        <w:lang w:val="it-IT"/>
                      </w:rPr>
                    </m:ctrlPr>
                  </m:dPr>
                  <m:e>
                    <m:r>
                      <w:rPr>
                        <w:rFonts w:ascii="Cambria Math" w:hAnsi="Cambria Math" w:cs="Arial"/>
                        <w:szCs w:val="18"/>
                        <w:lang w:val="it-IT"/>
                      </w:rPr>
                      <m:t>-</m:t>
                    </m:r>
                  </m:e>
                </m:d>
              </m:oMath>
            </m:oMathPara>
          </w:p>
        </w:tc>
        <w:tc>
          <w:tcPr>
            <w:tcW w:w="893" w:type="dxa"/>
            <w:tcBorders>
              <w:top w:val="single" w:sz="12" w:space="0" w:color="008000"/>
              <w:bottom w:val="single" w:sz="6" w:space="0" w:color="008000"/>
            </w:tcBorders>
            <w:shd w:val="clear" w:color="auto" w:fill="FFFFFF"/>
          </w:tcPr>
          <w:p w14:paraId="02AD422A" w14:textId="77777777" w:rsidR="00DD780C" w:rsidRDefault="00366616" w:rsidP="00DD780C">
            <w:pPr>
              <w:pStyle w:val="CETBodytext"/>
              <w:rPr>
                <w:rFonts w:cs="Arial"/>
                <w:szCs w:val="18"/>
                <w:lang w:val="en-GB"/>
              </w:rPr>
            </w:pPr>
            <m:oMath>
              <m:sSub>
                <m:sSubPr>
                  <m:ctrlPr>
                    <w:rPr>
                      <w:rFonts w:ascii="Cambria Math" w:hAnsi="Cambria Math" w:cs="Arial"/>
                      <w:i/>
                      <w:szCs w:val="18"/>
                      <w:lang w:val="en-GB"/>
                    </w:rPr>
                  </m:ctrlPr>
                </m:sSubPr>
                <m:e>
                  <m:r>
                    <w:rPr>
                      <w:rFonts w:ascii="Cambria Math" w:hAnsi="Cambria Math" w:cs="Arial"/>
                      <w:szCs w:val="18"/>
                      <w:lang w:val="en-GB"/>
                    </w:rPr>
                    <m:t>ε</m:t>
                  </m:r>
                </m:e>
                <m:sub>
                  <m:r>
                    <w:rPr>
                      <w:rFonts w:ascii="Cambria Math" w:hAnsi="Cambria Math" w:cs="Arial"/>
                      <w:szCs w:val="18"/>
                      <w:lang w:val="en-GB"/>
                    </w:rPr>
                    <m:t>mf</m:t>
                  </m:r>
                </m:sub>
              </m:sSub>
            </m:oMath>
            <w:r w:rsidR="00DD780C" w:rsidRPr="0010207C">
              <w:rPr>
                <w:rFonts w:cs="Arial"/>
                <w:szCs w:val="18"/>
                <w:lang w:val="en-GB"/>
              </w:rPr>
              <w:t xml:space="preserve"> </w:t>
            </w:r>
          </w:p>
          <w:p w14:paraId="7BB3D1F4" w14:textId="62CBED71" w:rsidR="00DD780C" w:rsidRDefault="00DD780C" w:rsidP="00DD780C">
            <w:pPr>
              <w:pStyle w:val="CETBodytext"/>
              <w:rPr>
                <w:lang w:val="en-GB"/>
              </w:rPr>
            </w:pPr>
            <w:r w:rsidRPr="0010207C">
              <w:rPr>
                <w:rFonts w:cs="Arial"/>
                <w:szCs w:val="18"/>
                <w:lang w:val="en-GB"/>
              </w:rPr>
              <w:t xml:space="preserve">(450°C) </w:t>
            </w:r>
            <m:oMath>
              <m:d>
                <m:dPr>
                  <m:begChr m:val="["/>
                  <m:endChr m:val="]"/>
                  <m:ctrlPr>
                    <w:rPr>
                      <w:rFonts w:ascii="Cambria Math" w:hAnsi="Cambria Math" w:cs="Arial"/>
                      <w:i/>
                      <w:iCs/>
                      <w:szCs w:val="18"/>
                      <w:lang w:val="it-IT"/>
                    </w:rPr>
                  </m:ctrlPr>
                </m:dPr>
                <m:e>
                  <m:r>
                    <w:rPr>
                      <w:rFonts w:ascii="Cambria Math" w:hAnsi="Cambria Math" w:cs="Arial"/>
                      <w:szCs w:val="18"/>
                      <w:lang w:val="it-IT"/>
                    </w:rPr>
                    <m:t>-</m:t>
                  </m:r>
                </m:e>
              </m:d>
            </m:oMath>
            <w:r w:rsidRPr="0010207C">
              <w:rPr>
                <w:rFonts w:cs="Arial"/>
                <w:iCs/>
                <w:szCs w:val="18"/>
                <w:lang w:val="it-IT"/>
              </w:rPr>
              <w:t xml:space="preserve"> </w:t>
            </w:r>
          </w:p>
        </w:tc>
        <w:tc>
          <w:tcPr>
            <w:tcW w:w="893" w:type="dxa"/>
            <w:tcBorders>
              <w:top w:val="single" w:sz="12" w:space="0" w:color="008000"/>
              <w:bottom w:val="single" w:sz="6" w:space="0" w:color="008000"/>
            </w:tcBorders>
            <w:shd w:val="clear" w:color="auto" w:fill="FFFFFF"/>
          </w:tcPr>
          <w:p w14:paraId="155AB207" w14:textId="77777777" w:rsidR="00DD780C" w:rsidRDefault="00366616" w:rsidP="00DD780C">
            <w:pPr>
              <w:pStyle w:val="CETBodytext"/>
              <w:rPr>
                <w:rFonts w:cs="Arial"/>
                <w:szCs w:val="18"/>
                <w:lang w:val="en-GB"/>
              </w:rPr>
            </w:pPr>
            <m:oMath>
              <m:sSub>
                <m:sSubPr>
                  <m:ctrlPr>
                    <w:rPr>
                      <w:rFonts w:ascii="Cambria Math" w:hAnsi="Cambria Math" w:cs="Arial"/>
                      <w:i/>
                      <w:iCs/>
                      <w:szCs w:val="18"/>
                      <w:lang w:val="it-IT"/>
                    </w:rPr>
                  </m:ctrlPr>
                </m:sSubPr>
                <m:e>
                  <m:r>
                    <w:rPr>
                      <w:rFonts w:ascii="Cambria Math" w:hAnsi="Cambria Math" w:cs="Arial"/>
                      <w:szCs w:val="18"/>
                      <w:lang w:val="it-IT"/>
                    </w:rPr>
                    <m:t>κ</m:t>
                  </m:r>
                </m:e>
                <m:sub>
                  <m:r>
                    <w:rPr>
                      <w:rFonts w:ascii="Cambria Math" w:hAnsi="Cambria Math" w:cs="Arial"/>
                      <w:szCs w:val="18"/>
                      <w:lang w:val="it-IT"/>
                    </w:rPr>
                    <m:t>s</m:t>
                  </m:r>
                </m:sub>
              </m:sSub>
              <m:r>
                <w:rPr>
                  <w:rFonts w:ascii="Cambria Math" w:hAnsi="Cambria Math" w:cs="Arial"/>
                  <w:szCs w:val="18"/>
                  <w:lang w:val="it-IT"/>
                </w:rPr>
                <m:t xml:space="preserve"> </m:t>
              </m:r>
            </m:oMath>
            <w:r w:rsidR="00DD780C">
              <w:rPr>
                <w:rFonts w:cs="Arial"/>
                <w:szCs w:val="18"/>
                <w:lang w:val="en-GB"/>
              </w:rPr>
              <w:t xml:space="preserve"> </w:t>
            </w:r>
          </w:p>
          <w:p w14:paraId="004DCF15" w14:textId="77777777" w:rsidR="00E6181D" w:rsidRPr="00E6181D" w:rsidRDefault="00DD780C" w:rsidP="00DD780C">
            <w:pPr>
              <w:pStyle w:val="CETBodytext"/>
              <w:rPr>
                <w:rFonts w:cs="Arial"/>
                <w:szCs w:val="18"/>
                <w:lang w:val="en-GB"/>
              </w:rPr>
            </w:pPr>
            <w:r w:rsidRPr="0010207C">
              <w:rPr>
                <w:rFonts w:cs="Arial"/>
                <w:szCs w:val="18"/>
                <w:lang w:val="en-GB"/>
              </w:rPr>
              <w:t>(20°C)</w:t>
            </w:r>
            <w:r>
              <w:rPr>
                <w:rFonts w:cs="Arial"/>
                <w:szCs w:val="18"/>
                <w:lang w:val="en-GB"/>
              </w:rPr>
              <w:t xml:space="preserve"> </w:t>
            </w:r>
          </w:p>
          <w:p w14:paraId="2EAED503" w14:textId="76B45C82" w:rsidR="00DD780C" w:rsidRPr="00E6181D" w:rsidRDefault="00366616" w:rsidP="00DD780C">
            <w:pPr>
              <w:pStyle w:val="CETBodytext"/>
              <w:rPr>
                <w:rFonts w:cs="Arial"/>
                <w:szCs w:val="18"/>
                <w:lang w:val="en-GB"/>
              </w:rPr>
            </w:pPr>
            <m:oMathPara>
              <m:oMathParaPr>
                <m:jc m:val="left"/>
              </m:oMathParaPr>
              <m:oMath>
                <m:d>
                  <m:dPr>
                    <m:begChr m:val="["/>
                    <m:endChr m:val="]"/>
                    <m:ctrlPr>
                      <w:rPr>
                        <w:rFonts w:ascii="Cambria Math" w:hAnsi="Cambria Math" w:cs="Arial"/>
                        <w:i/>
                        <w:iCs/>
                        <w:szCs w:val="18"/>
                        <w:lang w:val="it-IT"/>
                      </w:rPr>
                    </m:ctrlPr>
                  </m:dPr>
                  <m:e>
                    <m:r>
                      <w:rPr>
                        <w:rFonts w:ascii="Cambria Math" w:hAnsi="Cambria Math" w:cs="Arial"/>
                        <w:szCs w:val="18"/>
                        <w:lang w:val="it-IT"/>
                      </w:rPr>
                      <m:t>-</m:t>
                    </m:r>
                  </m:e>
                </m:d>
              </m:oMath>
            </m:oMathPara>
          </w:p>
        </w:tc>
        <w:tc>
          <w:tcPr>
            <w:tcW w:w="894" w:type="dxa"/>
            <w:tcBorders>
              <w:top w:val="single" w:sz="12" w:space="0" w:color="008000"/>
              <w:bottom w:val="single" w:sz="6" w:space="0" w:color="008000"/>
            </w:tcBorders>
            <w:shd w:val="clear" w:color="auto" w:fill="FFFFFF"/>
          </w:tcPr>
          <w:p w14:paraId="08E54971" w14:textId="77777777" w:rsidR="00DD780C" w:rsidRDefault="00366616" w:rsidP="00DD780C">
            <w:pPr>
              <w:pStyle w:val="CETBodytext"/>
              <w:rPr>
                <w:rFonts w:cs="Arial"/>
                <w:szCs w:val="18"/>
                <w:lang w:val="en-GB"/>
              </w:rPr>
            </w:pPr>
            <m:oMath>
              <m:sSub>
                <m:sSubPr>
                  <m:ctrlPr>
                    <w:rPr>
                      <w:rFonts w:ascii="Cambria Math" w:hAnsi="Cambria Math" w:cs="Arial"/>
                      <w:i/>
                      <w:iCs/>
                      <w:szCs w:val="18"/>
                      <w:lang w:val="it-IT"/>
                    </w:rPr>
                  </m:ctrlPr>
                </m:sSubPr>
                <m:e>
                  <m:r>
                    <w:rPr>
                      <w:rFonts w:ascii="Cambria Math" w:hAnsi="Cambria Math" w:cs="Arial"/>
                      <w:szCs w:val="18"/>
                      <w:lang w:val="it-IT"/>
                    </w:rPr>
                    <m:t>κ</m:t>
                  </m:r>
                </m:e>
                <m:sub>
                  <m:r>
                    <w:rPr>
                      <w:rFonts w:ascii="Cambria Math" w:hAnsi="Cambria Math" w:cs="Arial"/>
                      <w:szCs w:val="18"/>
                      <w:lang w:val="it-IT"/>
                    </w:rPr>
                    <m:t>s</m:t>
                  </m:r>
                </m:sub>
              </m:sSub>
              <m:r>
                <w:rPr>
                  <w:rFonts w:ascii="Cambria Math" w:hAnsi="Cambria Math" w:cs="Arial"/>
                  <w:szCs w:val="18"/>
                  <w:lang w:val="it-IT"/>
                </w:rPr>
                <m:t xml:space="preserve"> </m:t>
              </m:r>
            </m:oMath>
            <w:r w:rsidR="00DD780C">
              <w:rPr>
                <w:rFonts w:cs="Arial"/>
                <w:szCs w:val="18"/>
                <w:lang w:val="en-GB"/>
              </w:rPr>
              <w:t xml:space="preserve"> </w:t>
            </w:r>
          </w:p>
          <w:p w14:paraId="688EC984" w14:textId="77777777" w:rsidR="00E6181D" w:rsidRPr="00E6181D" w:rsidRDefault="00DD780C" w:rsidP="00DD780C">
            <w:pPr>
              <w:pStyle w:val="CETBodytext"/>
              <w:rPr>
                <w:rFonts w:cs="Arial"/>
                <w:szCs w:val="18"/>
                <w:lang w:val="en-GB"/>
              </w:rPr>
            </w:pPr>
            <w:r w:rsidRPr="0010207C">
              <w:rPr>
                <w:rFonts w:cs="Arial"/>
                <w:szCs w:val="18"/>
                <w:lang w:val="en-GB"/>
              </w:rPr>
              <w:t>(</w:t>
            </w:r>
            <w:r>
              <w:rPr>
                <w:rFonts w:cs="Arial"/>
                <w:szCs w:val="18"/>
                <w:lang w:val="en-GB"/>
              </w:rPr>
              <w:t>45</w:t>
            </w:r>
            <w:r w:rsidRPr="0010207C">
              <w:rPr>
                <w:rFonts w:cs="Arial"/>
                <w:szCs w:val="18"/>
                <w:lang w:val="en-GB"/>
              </w:rPr>
              <w:t>0°C)</w:t>
            </w:r>
            <w:r>
              <w:rPr>
                <w:rFonts w:cs="Arial"/>
                <w:szCs w:val="18"/>
                <w:lang w:val="en-GB"/>
              </w:rPr>
              <w:t xml:space="preserve"> </w:t>
            </w:r>
          </w:p>
          <w:p w14:paraId="1E9542C9" w14:textId="440E02D0" w:rsidR="00DD780C" w:rsidRPr="00E6181D" w:rsidRDefault="00366616" w:rsidP="00DD780C">
            <w:pPr>
              <w:pStyle w:val="CETBodytext"/>
              <w:rPr>
                <w:rFonts w:cs="Arial"/>
                <w:iCs/>
                <w:szCs w:val="18"/>
                <w:lang w:val="it-IT"/>
              </w:rPr>
            </w:pPr>
            <m:oMathPara>
              <m:oMathParaPr>
                <m:jc m:val="left"/>
              </m:oMathParaPr>
              <m:oMath>
                <m:d>
                  <m:dPr>
                    <m:begChr m:val="["/>
                    <m:endChr m:val="]"/>
                    <m:ctrlPr>
                      <w:rPr>
                        <w:rFonts w:ascii="Cambria Math" w:hAnsi="Cambria Math" w:cs="Arial"/>
                        <w:i/>
                        <w:iCs/>
                        <w:szCs w:val="18"/>
                        <w:lang w:val="it-IT"/>
                      </w:rPr>
                    </m:ctrlPr>
                  </m:dPr>
                  <m:e>
                    <m:r>
                      <w:rPr>
                        <w:rFonts w:ascii="Cambria Math" w:hAnsi="Cambria Math" w:cs="Arial"/>
                        <w:szCs w:val="18"/>
                        <w:lang w:val="it-IT"/>
                      </w:rPr>
                      <m:t>-</m:t>
                    </m:r>
                  </m:e>
                </m:d>
              </m:oMath>
            </m:oMathPara>
          </w:p>
        </w:tc>
      </w:tr>
      <w:tr w:rsidR="00DD780C" w:rsidRPr="00B57B36" w14:paraId="14041D2B" w14:textId="5F2FDEED" w:rsidTr="00E6181D">
        <w:trPr>
          <w:trHeight w:val="454"/>
        </w:trPr>
        <w:tc>
          <w:tcPr>
            <w:tcW w:w="893" w:type="dxa"/>
            <w:shd w:val="clear" w:color="auto" w:fill="FFFFFF"/>
          </w:tcPr>
          <w:p w14:paraId="29113A2D" w14:textId="3FBDDF9E" w:rsidR="00E6181D" w:rsidRPr="00E6181D" w:rsidRDefault="00E6181D" w:rsidP="00E6181D">
            <w:pPr>
              <w:pStyle w:val="CETBodytext"/>
              <w:jc w:val="left"/>
              <w:rPr>
                <w:rFonts w:cs="Arial"/>
                <w:lang w:val="en-GB"/>
              </w:rPr>
            </w:pPr>
            <w:r>
              <w:rPr>
                <w:rFonts w:cs="Arial"/>
                <w:lang w:val="en-GB"/>
              </w:rPr>
              <w:t>Q</w:t>
            </w:r>
            <w:r w:rsidR="00DD780C">
              <w:rPr>
                <w:rFonts w:cs="Arial"/>
                <w:lang w:val="en-GB"/>
              </w:rPr>
              <w:t>uartz sand</w:t>
            </w:r>
          </w:p>
        </w:tc>
        <w:tc>
          <w:tcPr>
            <w:tcW w:w="893" w:type="dxa"/>
            <w:shd w:val="clear" w:color="auto" w:fill="FFFFFF"/>
          </w:tcPr>
          <w:p w14:paraId="14F19C41" w14:textId="77777777" w:rsidR="00DD780C" w:rsidRPr="00B57B36" w:rsidRDefault="00DD780C" w:rsidP="00DD780C">
            <w:pPr>
              <w:pStyle w:val="CETBodytext"/>
              <w:rPr>
                <w:lang w:val="en-GB"/>
              </w:rPr>
            </w:pPr>
            <w:r>
              <w:rPr>
                <w:lang w:val="en-GB"/>
              </w:rPr>
              <w:t>0.505</w:t>
            </w:r>
          </w:p>
        </w:tc>
        <w:tc>
          <w:tcPr>
            <w:tcW w:w="893" w:type="dxa"/>
            <w:shd w:val="clear" w:color="auto" w:fill="FFFFFF"/>
          </w:tcPr>
          <w:p w14:paraId="68E9B57D" w14:textId="57BF852F" w:rsidR="00DD780C" w:rsidRDefault="00DD780C" w:rsidP="00DD780C">
            <w:pPr>
              <w:pStyle w:val="CETBodytext"/>
              <w:rPr>
                <w:lang w:val="en-GB"/>
              </w:rPr>
            </w:pPr>
            <w:r>
              <w:rPr>
                <w:lang w:val="en-GB"/>
              </w:rPr>
              <w:t>0.64</w:t>
            </w:r>
          </w:p>
        </w:tc>
        <w:tc>
          <w:tcPr>
            <w:tcW w:w="893" w:type="dxa"/>
            <w:shd w:val="clear" w:color="auto" w:fill="FFFFFF"/>
          </w:tcPr>
          <w:p w14:paraId="11E604CA" w14:textId="244B1E1B" w:rsidR="00DD780C" w:rsidRDefault="00DD780C" w:rsidP="00DD780C">
            <w:pPr>
              <w:pStyle w:val="CETBodytext"/>
              <w:rPr>
                <w:lang w:val="en-GB"/>
              </w:rPr>
            </w:pPr>
            <w:r>
              <w:rPr>
                <w:rFonts w:cs="Arial"/>
                <w:szCs w:val="18"/>
                <w:lang w:val="en-GB"/>
              </w:rPr>
              <w:t>2650</w:t>
            </w:r>
          </w:p>
        </w:tc>
        <w:tc>
          <w:tcPr>
            <w:tcW w:w="893" w:type="dxa"/>
            <w:shd w:val="clear" w:color="auto" w:fill="FFFFFF"/>
          </w:tcPr>
          <w:p w14:paraId="50A7EA3E" w14:textId="38DE05AE" w:rsidR="00DD780C" w:rsidRDefault="00DD780C" w:rsidP="00DD780C">
            <w:pPr>
              <w:pStyle w:val="CETBodytext"/>
              <w:rPr>
                <w:lang w:val="en-GB"/>
              </w:rPr>
            </w:pPr>
            <w:r>
              <w:rPr>
                <w:lang w:val="en-GB"/>
              </w:rPr>
              <w:t>0.196</w:t>
            </w:r>
          </w:p>
        </w:tc>
        <w:tc>
          <w:tcPr>
            <w:tcW w:w="893" w:type="dxa"/>
            <w:shd w:val="clear" w:color="auto" w:fill="FFFFFF"/>
          </w:tcPr>
          <w:p w14:paraId="707FCE30" w14:textId="2DF726FC" w:rsidR="00DD780C" w:rsidRDefault="00DD780C" w:rsidP="00DD780C">
            <w:pPr>
              <w:pStyle w:val="CETBodytext"/>
              <w:rPr>
                <w:lang w:val="en-GB"/>
              </w:rPr>
            </w:pPr>
            <w:r>
              <w:rPr>
                <w:lang w:val="en-GB"/>
              </w:rPr>
              <w:t>0.093</w:t>
            </w:r>
          </w:p>
        </w:tc>
        <w:tc>
          <w:tcPr>
            <w:tcW w:w="893" w:type="dxa"/>
            <w:shd w:val="clear" w:color="auto" w:fill="FFFFFF"/>
          </w:tcPr>
          <w:p w14:paraId="5DAD3121" w14:textId="6FF39CCA" w:rsidR="00DD780C" w:rsidRDefault="00DD780C" w:rsidP="00DD780C">
            <w:pPr>
              <w:pStyle w:val="CETBodytext"/>
              <w:rPr>
                <w:lang w:val="en-GB"/>
              </w:rPr>
            </w:pPr>
            <w:r>
              <w:rPr>
                <w:lang w:val="en-GB"/>
              </w:rPr>
              <w:t>0.48</w:t>
            </w:r>
          </w:p>
        </w:tc>
        <w:tc>
          <w:tcPr>
            <w:tcW w:w="893" w:type="dxa"/>
            <w:shd w:val="clear" w:color="auto" w:fill="FFFFFF"/>
          </w:tcPr>
          <w:p w14:paraId="29552A6B" w14:textId="75BC8F3E" w:rsidR="00DD780C" w:rsidRDefault="00DD780C" w:rsidP="00DD780C">
            <w:pPr>
              <w:pStyle w:val="CETBodytext"/>
              <w:rPr>
                <w:lang w:val="en-GB"/>
              </w:rPr>
            </w:pPr>
            <w:r>
              <w:rPr>
                <w:lang w:val="en-GB"/>
              </w:rPr>
              <w:t>0.49</w:t>
            </w:r>
          </w:p>
        </w:tc>
        <w:tc>
          <w:tcPr>
            <w:tcW w:w="893" w:type="dxa"/>
            <w:shd w:val="clear" w:color="auto" w:fill="FFFFFF"/>
          </w:tcPr>
          <w:p w14:paraId="0BB40D94" w14:textId="1D6C1BC0" w:rsidR="00DD780C" w:rsidRDefault="00DD780C" w:rsidP="00DD780C">
            <w:pPr>
              <w:pStyle w:val="CETBodytext"/>
              <w:rPr>
                <w:lang w:val="en-GB"/>
              </w:rPr>
            </w:pPr>
            <w:r>
              <w:rPr>
                <w:lang w:val="en-GB"/>
              </w:rPr>
              <w:t>3.5</w:t>
            </w:r>
          </w:p>
        </w:tc>
        <w:tc>
          <w:tcPr>
            <w:tcW w:w="894" w:type="dxa"/>
            <w:shd w:val="clear" w:color="auto" w:fill="FFFFFF"/>
          </w:tcPr>
          <w:p w14:paraId="4A8815FE" w14:textId="68396A82" w:rsidR="00DD780C" w:rsidRDefault="00DD780C" w:rsidP="00DD780C">
            <w:pPr>
              <w:pStyle w:val="CETBodytext"/>
              <w:rPr>
                <w:lang w:val="en-GB"/>
              </w:rPr>
            </w:pPr>
            <w:r>
              <w:rPr>
                <w:lang w:val="en-GB"/>
              </w:rPr>
              <w:t>6.2</w:t>
            </w:r>
          </w:p>
        </w:tc>
      </w:tr>
    </w:tbl>
    <w:p w14:paraId="366BCDCF" w14:textId="3BA2ADA3" w:rsidR="00322474" w:rsidRPr="00B57B36" w:rsidRDefault="00322474" w:rsidP="00652555">
      <w:pPr>
        <w:pStyle w:val="CETheadingx"/>
        <w:spacing w:before="240"/>
      </w:pPr>
      <w:r>
        <w:t>Diagnostics, experimental procedures and data analysis</w:t>
      </w:r>
    </w:p>
    <w:p w14:paraId="5BF93EB0" w14:textId="58259802" w:rsidR="006C035B" w:rsidRDefault="00E31C2D" w:rsidP="006C035B">
      <w:pPr>
        <w:pStyle w:val="CETBodytext"/>
      </w:pPr>
      <w:r>
        <w:t xml:space="preserve">Uncooled needle-type capacitance probes have been used for the hydrodynamic characterization of the fluidized bed. </w:t>
      </w:r>
      <w:r w:rsidR="00DD27F7">
        <w:t>The measuring volume of the probe is defined by the electric field, which establishes between the protruding sensor needle and the outer diameter of the ground electrode</w:t>
      </w:r>
      <w:r w:rsidR="00B71D8A">
        <w:t>.</w:t>
      </w:r>
      <w:r w:rsidR="00DD27F7">
        <w:t xml:space="preserve"> The ground tube outer diameter is 6.75 mm, the needle length and diameter are 5.7 mm and 1.6 mm, respectively. The volume of the measured domain can be estimated around 130 mm</w:t>
      </w:r>
      <w:r w:rsidR="00DD27F7" w:rsidRPr="00DD27F7">
        <w:rPr>
          <w:vertAlign w:val="superscript"/>
        </w:rPr>
        <w:t>3</w:t>
      </w:r>
      <w:r w:rsidR="00DD27F7">
        <w:t xml:space="preserve">, calculated as mean value of the volume associated to a cylinder and to a cone. More details are </w:t>
      </w:r>
      <w:r>
        <w:t xml:space="preserve">provided in Molignano et al. (2023). </w:t>
      </w:r>
      <w:r w:rsidRPr="00E31C2D">
        <w:rPr>
          <w:lang w:val="en-GB"/>
        </w:rPr>
        <w:t xml:space="preserve">The bed was fluidized with air at ambient temperature ad at 450 °C. An excess gas superficial velocity in the range 0.005-0.4 m/s </w:t>
      </w:r>
      <w:r>
        <w:rPr>
          <w:lang w:val="en-GB"/>
        </w:rPr>
        <w:t>was used at room temperature, while values up to 0.7 m/s were reached fo</w:t>
      </w:r>
      <w:r w:rsidR="00345CAD">
        <w:rPr>
          <w:lang w:val="en-GB"/>
        </w:rPr>
        <w:t>r</w:t>
      </w:r>
      <w:r>
        <w:rPr>
          <w:lang w:val="en-GB"/>
        </w:rPr>
        <w:t xml:space="preserve"> experiments at 450 °C</w:t>
      </w:r>
      <w:r w:rsidR="00CB13AD">
        <w:rPr>
          <w:lang w:val="en-GB"/>
        </w:rPr>
        <w:t xml:space="preserve">, corresponding to </w:t>
      </w:r>
      <w:r w:rsidR="00703C65">
        <w:rPr>
          <w:lang w:val="en-GB"/>
        </w:rPr>
        <w:t>freely bubbling fluidization regime</w:t>
      </w:r>
      <w:r>
        <w:rPr>
          <w:lang w:val="en-GB"/>
        </w:rPr>
        <w:t>. Reactive experiments were carried out at 450</w:t>
      </w:r>
      <w:r w:rsidR="0097225F">
        <w:rPr>
          <w:lang w:val="en-GB"/>
        </w:rPr>
        <w:t> </w:t>
      </w:r>
      <w:r>
        <w:rPr>
          <w:lang w:val="en-GB"/>
        </w:rPr>
        <w:t>°C</w:t>
      </w:r>
      <w:r w:rsidR="0022054C">
        <w:rPr>
          <w:lang w:val="en-GB"/>
        </w:rPr>
        <w:t>. External diffusion around the catalyst particles was considered as the controlling resistance for CO oxidation, as previously verified (Scala</w:t>
      </w:r>
      <w:r w:rsidR="008E31E8">
        <w:rPr>
          <w:lang w:val="en-GB"/>
        </w:rPr>
        <w:t>,</w:t>
      </w:r>
      <w:r w:rsidR="0022054C">
        <w:rPr>
          <w:lang w:val="en-GB"/>
        </w:rPr>
        <w:t xml:space="preserve"> 2007). </w:t>
      </w:r>
      <w:r w:rsidR="008E31E8">
        <w:rPr>
          <w:lang w:val="en-GB"/>
        </w:rPr>
        <w:t>S</w:t>
      </w:r>
      <w:r w:rsidR="0022054C">
        <w:rPr>
          <w:lang w:val="en-GB"/>
        </w:rPr>
        <w:t>uperficial</w:t>
      </w:r>
      <w:r w:rsidR="008E31E8">
        <w:rPr>
          <w:lang w:val="en-GB"/>
        </w:rPr>
        <w:t xml:space="preserve"> gas</w:t>
      </w:r>
      <w:r w:rsidR="0022054C">
        <w:rPr>
          <w:lang w:val="en-GB"/>
        </w:rPr>
        <w:t xml:space="preserve"> velocity during reactive experiments was in the range 0.293 – 0.793 m/s, corresponding to freely bubbling fluidization regime. </w:t>
      </w:r>
      <w:r w:rsidR="0022054C" w:rsidRPr="0022054C">
        <w:t xml:space="preserve">The mass of the catalyst </w:t>
      </w:r>
      <w:r w:rsidR="0014409C">
        <w:t xml:space="preserve">for each </w:t>
      </w:r>
      <w:r w:rsidR="001E3771">
        <w:t xml:space="preserve">velocity condition </w:t>
      </w:r>
      <w:r w:rsidR="0022054C" w:rsidRPr="0022054C">
        <w:t xml:space="preserve">was </w:t>
      </w:r>
      <w:r w:rsidR="0022054C">
        <w:t>chosen</w:t>
      </w:r>
      <w:r w:rsidR="0022054C" w:rsidRPr="0022054C">
        <w:t xml:space="preserve"> so as to </w:t>
      </w:r>
      <w:r w:rsidR="00E72241">
        <w:t xml:space="preserve">have </w:t>
      </w:r>
      <w:r w:rsidR="0022054C" w:rsidRPr="0022054C">
        <w:t xml:space="preserve">a </w:t>
      </w:r>
      <w:r w:rsidR="00E72241">
        <w:t xml:space="preserve">very low </w:t>
      </w:r>
      <w:r w:rsidR="0022054C" w:rsidRPr="0022054C">
        <w:t xml:space="preserve">conversion of carbon monoxide, </w:t>
      </w:r>
      <m:oMath>
        <m:sSub>
          <m:sSubPr>
            <m:ctrlPr>
              <w:rPr>
                <w:rFonts w:ascii="Cambria Math" w:hAnsi="Cambria Math"/>
                <w:i/>
              </w:rPr>
            </m:ctrlPr>
          </m:sSubPr>
          <m:e>
            <m:r>
              <w:rPr>
                <w:rFonts w:ascii="Cambria Math" w:hAnsi="Cambria Math"/>
              </w:rPr>
              <m:t>x</m:t>
            </m:r>
          </m:e>
          <m:sub>
            <m:r>
              <w:rPr>
                <w:rFonts w:ascii="Cambria Math" w:hAnsi="Cambria Math"/>
              </w:rPr>
              <m:t>CO</m:t>
            </m:r>
          </m:sub>
        </m:sSub>
      </m:oMath>
      <w:r w:rsidR="0022054C" w:rsidRPr="0022054C">
        <w:t>, of about 5</w:t>
      </w:r>
      <w:r w:rsidR="0022054C">
        <w:t xml:space="preserve"> %</w:t>
      </w:r>
      <w:r w:rsidR="00E72241">
        <w:t xml:space="preserve"> (i.e. differential conversion conditions)</w:t>
      </w:r>
      <w:r w:rsidR="0022054C" w:rsidRPr="0022054C">
        <w:t>. The mass of catalyst particles increase</w:t>
      </w:r>
      <w:r w:rsidR="0022054C">
        <w:t>d</w:t>
      </w:r>
      <w:r w:rsidR="0022054C" w:rsidRPr="0022054C">
        <w:t xml:space="preserve"> with increasing flowrate due to the decrease of the gas residence time. After catalyst feeding, concentrations of CO, CO</w:t>
      </w:r>
      <w:r w:rsidR="0022054C" w:rsidRPr="0022054C">
        <w:rPr>
          <w:vertAlign w:val="subscript"/>
        </w:rPr>
        <w:t>2</w:t>
      </w:r>
      <w:r w:rsidR="0022054C" w:rsidRPr="0022054C">
        <w:t xml:space="preserve"> and O</w:t>
      </w:r>
      <w:r w:rsidR="0022054C" w:rsidRPr="0022054C">
        <w:rPr>
          <w:vertAlign w:val="subscript"/>
        </w:rPr>
        <w:t>2</w:t>
      </w:r>
      <w:r w:rsidR="0022054C" w:rsidRPr="0022054C">
        <w:t xml:space="preserve"> in the exhaust gases </w:t>
      </w:r>
      <w:r w:rsidR="0022054C">
        <w:t>we</w:t>
      </w:r>
      <w:r w:rsidR="0022054C" w:rsidRPr="0022054C">
        <w:t>re measured by the analyzers and signals acquired using the LabVIEW software at a sampling rate of 1 Hz during the transient and the steady-state condition</w:t>
      </w:r>
      <w:r w:rsidR="00AD22DE">
        <w:t>s</w:t>
      </w:r>
      <w:r w:rsidR="0022054C" w:rsidRPr="0022054C">
        <w:t>.</w:t>
      </w:r>
      <w:r w:rsidR="00DD27F7">
        <w:t xml:space="preserve"> </w:t>
      </w:r>
      <w:r w:rsidR="00746108">
        <w:t xml:space="preserve">For the hydrodynamic characterization, time-resolved voltage signals of capacitance probes were first converted into relative dielectric constant of the fluidized medium and then into local bed voidage. Probability Density Functions (PDF) of local bed voidage </w:t>
      </w:r>
      <w:r w:rsidR="00B71D8A">
        <w:t xml:space="preserve">time series </w:t>
      </w:r>
      <w:r w:rsidR="00746108">
        <w:t>were obtained while varying operating gas velocity, temperature and radial/axial position of the probes</w:t>
      </w:r>
      <w:r w:rsidR="004D564D">
        <w:t xml:space="preserve"> (Molignano et al. 2023)</w:t>
      </w:r>
      <w:r w:rsidR="00746108">
        <w:t xml:space="preserve">. For multimodal PDF, deconvolution technique was applied to evaluate </w:t>
      </w:r>
      <w:r w:rsidR="00A441DE">
        <w:t xml:space="preserve">the </w:t>
      </w:r>
      <w:r w:rsidR="008E31E8">
        <w:t>area</w:t>
      </w:r>
      <w:r w:rsidR="00A441DE">
        <w:t xml:space="preserve"> of each peak </w:t>
      </w:r>
      <w:r w:rsidR="00345CAD">
        <w:t>in the part of the PDF referring to the emulsion phase</w:t>
      </w:r>
      <w:r w:rsidR="00A441DE">
        <w:t>. The emulsion phase velocity U</w:t>
      </w:r>
      <w:r w:rsidR="00A441DE" w:rsidRPr="00FD456D">
        <w:rPr>
          <w:vertAlign w:val="subscript"/>
        </w:rPr>
        <w:t>e</w:t>
      </w:r>
      <w:r w:rsidR="00A441DE">
        <w:t xml:space="preserve"> was calculated according to three different methods: the first one proposed by Hilligardt and Werther (</w:t>
      </w:r>
      <w:r w:rsidR="0090071D">
        <w:t>1987</w:t>
      </w:r>
      <w:r w:rsidR="00A441DE">
        <w:t xml:space="preserve">) </w:t>
      </w:r>
      <w:r w:rsidR="00AF3277">
        <w:t xml:space="preserve">(equation 1) </w:t>
      </w:r>
      <w:r w:rsidR="00A441DE">
        <w:t>requires the knowledge of U</w:t>
      </w:r>
      <w:r w:rsidR="00A441DE" w:rsidRPr="00FD456D">
        <w:rPr>
          <w:vertAlign w:val="subscript"/>
        </w:rPr>
        <w:t>mf</w:t>
      </w:r>
      <w:r w:rsidR="00A441DE">
        <w:t>; the second one using the Richardson-Zaki correlation</w:t>
      </w:r>
      <w:r w:rsidR="00345CAD">
        <w:t xml:space="preserve"> (Richardson and Zaki 1954)</w:t>
      </w:r>
      <w:r w:rsidR="00A441DE">
        <w:t xml:space="preserve"> </w:t>
      </w:r>
      <w:r w:rsidR="00AF3277">
        <w:t xml:space="preserve">(equation 2) </w:t>
      </w:r>
      <w:r w:rsidR="00A441DE">
        <w:t>requires U</w:t>
      </w:r>
      <w:r w:rsidR="00A441DE" w:rsidRPr="00FD456D">
        <w:rPr>
          <w:vertAlign w:val="subscript"/>
        </w:rPr>
        <w:t>mf</w:t>
      </w:r>
      <w:r w:rsidR="00A441DE">
        <w:t xml:space="preserve"> and the voidage of the emulsion phase </w:t>
      </w:r>
      <m:oMath>
        <m:sSub>
          <m:sSubPr>
            <m:ctrlPr>
              <w:rPr>
                <w:rFonts w:ascii="Cambria Math" w:hAnsi="Cambria Math"/>
                <w:i/>
              </w:rPr>
            </m:ctrlPr>
          </m:sSubPr>
          <m:e>
            <m:r>
              <w:rPr>
                <w:rFonts w:ascii="Cambria Math" w:hAnsi="Cambria Math"/>
              </w:rPr>
              <m:t>ε</m:t>
            </m:r>
          </m:e>
          <m:sub>
            <m:r>
              <w:rPr>
                <w:rFonts w:ascii="Cambria Math" w:hAnsi="Cambria Math"/>
              </w:rPr>
              <m:t>e</m:t>
            </m:r>
          </m:sub>
        </m:sSub>
      </m:oMath>
      <w:r w:rsidR="00A441DE">
        <w:t>; the third one from a gas balance over the cross section of the fluidized bed</w:t>
      </w:r>
      <w:r w:rsidR="00965C23">
        <w:t xml:space="preserve"> (equation 3)</w:t>
      </w:r>
      <w:r w:rsidR="00A441DE">
        <w:t>, requires also the estimation of the visible bubble flow from the experiments</w:t>
      </w:r>
      <w:r w:rsidR="00864F4D">
        <w:t xml:space="preserve"> (bubble velocity U</w:t>
      </w:r>
      <w:r w:rsidR="00864F4D" w:rsidRPr="00E05222">
        <w:rPr>
          <w:vertAlign w:val="subscript"/>
        </w:rPr>
        <w:t>b</w:t>
      </w:r>
      <w:r w:rsidR="00864F4D">
        <w:t xml:space="preserve"> and </w:t>
      </w:r>
      <w:r w:rsidR="00E05222">
        <w:t xml:space="preserve">fraction of the bed occupied by bubbles </w:t>
      </w:r>
      <w:r w:rsidR="00E05222">
        <w:rPr>
          <w:rFonts w:ascii="Symbol" w:hAnsi="Symbol"/>
        </w:rPr>
        <w:t>d)</w:t>
      </w:r>
      <w:r w:rsidR="00A441DE">
        <w:t>.</w:t>
      </w:r>
      <w:r w:rsidR="00C5144E">
        <w:t xml:space="preserve"> </w:t>
      </w:r>
    </w:p>
    <w:tbl>
      <w:tblPr>
        <w:tblW w:w="5000" w:type="pct"/>
        <w:tblLook w:val="04A0" w:firstRow="1" w:lastRow="0" w:firstColumn="1" w:lastColumn="0" w:noHBand="0" w:noVBand="1"/>
      </w:tblPr>
      <w:tblGrid>
        <w:gridCol w:w="7984"/>
        <w:gridCol w:w="803"/>
      </w:tblGrid>
      <w:tr w:rsidR="00AD711E" w:rsidRPr="00B57B36" w14:paraId="573CEB20" w14:textId="77777777" w:rsidTr="0053466C">
        <w:tc>
          <w:tcPr>
            <w:tcW w:w="7984" w:type="dxa"/>
            <w:shd w:val="clear" w:color="auto" w:fill="auto"/>
            <w:vAlign w:val="center"/>
          </w:tcPr>
          <w:p w14:paraId="28C54DC3" w14:textId="211AF938" w:rsidR="00AD711E" w:rsidRPr="00B57B36" w:rsidRDefault="00366616" w:rsidP="0053466C">
            <w:pPr>
              <w:pStyle w:val="CETEquation"/>
            </w:pPr>
            <m:oMath>
              <m:f>
                <m:fPr>
                  <m:ctrlPr>
                    <w:rPr>
                      <w:rFonts w:ascii="Cambria Math" w:hAnsi="Cambria Math"/>
                      <w:i/>
                      <w:lang w:val="it-IT"/>
                    </w:rPr>
                  </m:ctrlPr>
                </m:fPr>
                <m:num>
                  <m:sSub>
                    <m:sSubPr>
                      <m:ctrlPr>
                        <w:rPr>
                          <w:rFonts w:ascii="Cambria Math" w:hAnsi="Cambria Math"/>
                          <w:i/>
                          <w:lang w:val="it-IT"/>
                        </w:rPr>
                      </m:ctrlPr>
                    </m:sSubPr>
                    <m:e>
                      <m:r>
                        <w:rPr>
                          <w:rFonts w:ascii="Cambria Math" w:hAnsi="Cambria Math"/>
                          <w:lang w:val="it-IT"/>
                        </w:rPr>
                        <m:t>U</m:t>
                      </m:r>
                    </m:e>
                    <m:sub>
                      <m:r>
                        <w:rPr>
                          <w:rFonts w:ascii="Cambria Math" w:hAnsi="Cambria Math"/>
                          <w:lang w:val="it-IT"/>
                        </w:rPr>
                        <m:t>e</m:t>
                      </m:r>
                    </m:sub>
                  </m:sSub>
                  <m:r>
                    <w:rPr>
                      <w:rFonts w:ascii="Cambria Math" w:hAnsi="Cambria Math"/>
                      <w:lang w:val="it-IT"/>
                    </w:rPr>
                    <m:t>-</m:t>
                  </m:r>
                  <m:sSub>
                    <m:sSubPr>
                      <m:ctrlPr>
                        <w:rPr>
                          <w:rFonts w:ascii="Cambria Math" w:hAnsi="Cambria Math"/>
                          <w:i/>
                          <w:lang w:val="it-IT"/>
                        </w:rPr>
                      </m:ctrlPr>
                    </m:sSubPr>
                    <m:e>
                      <m:r>
                        <w:rPr>
                          <w:rFonts w:ascii="Cambria Math" w:hAnsi="Cambria Math"/>
                          <w:lang w:val="it-IT"/>
                        </w:rPr>
                        <m:t>U</m:t>
                      </m:r>
                    </m:e>
                    <m:sub>
                      <m:r>
                        <w:rPr>
                          <w:rFonts w:ascii="Cambria Math" w:hAnsi="Cambria Math"/>
                          <w:lang w:val="it-IT"/>
                        </w:rPr>
                        <m:t>mf</m:t>
                      </m:r>
                    </m:sub>
                  </m:sSub>
                </m:num>
                <m:den>
                  <m:r>
                    <w:rPr>
                      <w:rFonts w:ascii="Cambria Math" w:hAnsi="Cambria Math"/>
                      <w:lang w:val="it-IT"/>
                    </w:rPr>
                    <m:t>U</m:t>
                  </m:r>
                  <m:r>
                    <w:rPr>
                      <w:rFonts w:ascii="Cambria Math" w:hAnsi="Cambria Math"/>
                      <w:lang w:val="it-IT"/>
                    </w:rPr>
                    <m:t>-</m:t>
                  </m:r>
                  <m:sSub>
                    <m:sSubPr>
                      <m:ctrlPr>
                        <w:rPr>
                          <w:rFonts w:ascii="Cambria Math" w:hAnsi="Cambria Math"/>
                          <w:i/>
                          <w:lang w:val="it-IT"/>
                        </w:rPr>
                      </m:ctrlPr>
                    </m:sSubPr>
                    <m:e>
                      <m:r>
                        <w:rPr>
                          <w:rFonts w:ascii="Cambria Math" w:hAnsi="Cambria Math"/>
                          <w:lang w:val="it-IT"/>
                        </w:rPr>
                        <m:t>U</m:t>
                      </m:r>
                    </m:e>
                    <m:sub>
                      <m:r>
                        <w:rPr>
                          <w:rFonts w:ascii="Cambria Math" w:hAnsi="Cambria Math"/>
                          <w:lang w:val="it-IT"/>
                        </w:rPr>
                        <m:t>mf</m:t>
                      </m:r>
                    </m:sub>
                  </m:sSub>
                </m:den>
              </m:f>
              <m:r>
                <w:rPr>
                  <w:rFonts w:ascii="Cambria Math" w:hAnsi="Cambria Math"/>
                  <w:lang w:val="it-IT"/>
                </w:rPr>
                <m:t>=</m:t>
              </m:r>
              <m:f>
                <m:fPr>
                  <m:type m:val="skw"/>
                  <m:ctrlPr>
                    <w:rPr>
                      <w:rFonts w:ascii="Cambria Math" w:hAnsi="Cambria Math"/>
                      <w:i/>
                      <w:lang w:val="it-IT"/>
                    </w:rPr>
                  </m:ctrlPr>
                </m:fPr>
                <m:num>
                  <m:r>
                    <w:rPr>
                      <w:rFonts w:ascii="Cambria Math" w:hAnsi="Cambria Math"/>
                      <w:lang w:val="it-IT"/>
                    </w:rPr>
                    <m:t>1</m:t>
                  </m:r>
                </m:num>
                <m:den>
                  <m:r>
                    <w:rPr>
                      <w:rFonts w:ascii="Cambria Math" w:hAnsi="Cambria Math"/>
                      <w:lang w:val="it-IT"/>
                    </w:rPr>
                    <m:t>3</m:t>
                  </m:r>
                </m:den>
              </m:f>
            </m:oMath>
            <w:r w:rsidR="00AD711E">
              <w:t xml:space="preserve"> </w:t>
            </w:r>
          </w:p>
        </w:tc>
        <w:tc>
          <w:tcPr>
            <w:tcW w:w="803" w:type="dxa"/>
            <w:shd w:val="clear" w:color="auto" w:fill="auto"/>
            <w:vAlign w:val="center"/>
          </w:tcPr>
          <w:p w14:paraId="3445077C" w14:textId="77777777" w:rsidR="00AD711E" w:rsidRPr="00B57B36" w:rsidRDefault="00AD711E" w:rsidP="0053466C">
            <w:pPr>
              <w:pStyle w:val="CETEquation"/>
              <w:jc w:val="right"/>
            </w:pPr>
            <w:r w:rsidRPr="00B57B36">
              <w:t>(1)</w:t>
            </w:r>
          </w:p>
        </w:tc>
      </w:tr>
      <w:tr w:rsidR="00EB6FE0" w:rsidRPr="00B57B36" w14:paraId="11F99605" w14:textId="77777777" w:rsidTr="0053466C">
        <w:tc>
          <w:tcPr>
            <w:tcW w:w="7984" w:type="dxa"/>
            <w:shd w:val="clear" w:color="auto" w:fill="auto"/>
            <w:vAlign w:val="center"/>
          </w:tcPr>
          <w:p w14:paraId="45962FE5" w14:textId="3A981E3B" w:rsidR="00EB6FE0" w:rsidRPr="00B57B36" w:rsidRDefault="00366616" w:rsidP="0053466C">
            <w:pPr>
              <w:pStyle w:val="CETEquation"/>
            </w:pPr>
            <m:oMath>
              <m:f>
                <m:fPr>
                  <m:ctrlPr>
                    <w:rPr>
                      <w:rFonts w:ascii="Cambria Math" w:hAnsi="Cambria Math"/>
                      <w:i/>
                      <w:lang w:val="it-IT"/>
                    </w:rPr>
                  </m:ctrlPr>
                </m:fPr>
                <m:num>
                  <m:sSub>
                    <m:sSubPr>
                      <m:ctrlPr>
                        <w:rPr>
                          <w:rFonts w:ascii="Cambria Math" w:hAnsi="Cambria Math"/>
                          <w:i/>
                          <w:lang w:val="it-IT"/>
                        </w:rPr>
                      </m:ctrlPr>
                    </m:sSubPr>
                    <m:e>
                      <m:r>
                        <w:rPr>
                          <w:rFonts w:ascii="Cambria Math" w:hAnsi="Cambria Math"/>
                          <w:lang w:val="it-IT"/>
                        </w:rPr>
                        <m:t>U</m:t>
                      </m:r>
                    </m:e>
                    <m:sub>
                      <m:r>
                        <w:rPr>
                          <w:rFonts w:ascii="Cambria Math" w:hAnsi="Cambria Math"/>
                          <w:lang w:val="it-IT"/>
                        </w:rPr>
                        <m:t>e</m:t>
                      </m:r>
                    </m:sub>
                  </m:sSub>
                </m:num>
                <m:den>
                  <m:sSub>
                    <m:sSubPr>
                      <m:ctrlPr>
                        <w:rPr>
                          <w:rFonts w:ascii="Cambria Math" w:hAnsi="Cambria Math"/>
                          <w:i/>
                          <w:lang w:val="it-IT"/>
                        </w:rPr>
                      </m:ctrlPr>
                    </m:sSubPr>
                    <m:e>
                      <m:r>
                        <w:rPr>
                          <w:rFonts w:ascii="Cambria Math" w:hAnsi="Cambria Math"/>
                          <w:lang w:val="it-IT"/>
                        </w:rPr>
                        <m:t>U</m:t>
                      </m:r>
                    </m:e>
                    <m:sub>
                      <m:r>
                        <w:rPr>
                          <w:rFonts w:ascii="Cambria Math" w:hAnsi="Cambria Math"/>
                          <w:lang w:val="it-IT"/>
                        </w:rPr>
                        <m:t>mf</m:t>
                      </m:r>
                    </m:sub>
                  </m:sSub>
                </m:den>
              </m:f>
              <m:r>
                <w:rPr>
                  <w:rFonts w:ascii="Cambria Math" w:hAnsi="Cambria Math"/>
                </w:rPr>
                <m:t>=</m:t>
              </m:r>
              <m:sSup>
                <m:sSupPr>
                  <m:ctrlPr>
                    <w:rPr>
                      <w:rFonts w:ascii="Cambria Math" w:hAnsi="Cambria Math"/>
                      <w:i/>
                      <w:lang w:val="it-IT"/>
                    </w:rPr>
                  </m:ctrlPr>
                </m:sSupPr>
                <m:e>
                  <m:d>
                    <m:dPr>
                      <m:ctrlPr>
                        <w:rPr>
                          <w:rFonts w:ascii="Cambria Math" w:hAnsi="Cambria Math"/>
                          <w:i/>
                          <w:lang w:val="it-IT"/>
                        </w:rPr>
                      </m:ctrlPr>
                    </m:dPr>
                    <m:e>
                      <m:f>
                        <m:fPr>
                          <m:ctrlPr>
                            <w:rPr>
                              <w:rFonts w:ascii="Cambria Math" w:hAnsi="Cambria Math"/>
                              <w:i/>
                              <w:lang w:val="it-IT"/>
                            </w:rPr>
                          </m:ctrlPr>
                        </m:fPr>
                        <m:num>
                          <m:sSub>
                            <m:sSubPr>
                              <m:ctrlPr>
                                <w:rPr>
                                  <w:rFonts w:ascii="Cambria Math" w:hAnsi="Cambria Math"/>
                                  <w:i/>
                                  <w:lang w:val="it-IT"/>
                                </w:rPr>
                              </m:ctrlPr>
                            </m:sSubPr>
                            <m:e>
                              <m:r>
                                <w:rPr>
                                  <w:rFonts w:ascii="Cambria Math" w:hAnsi="Cambria Math"/>
                                  <w:lang w:val="it-IT"/>
                                </w:rPr>
                                <m:t>ε</m:t>
                              </m:r>
                            </m:e>
                            <m:sub>
                              <m:r>
                                <w:rPr>
                                  <w:rFonts w:ascii="Cambria Math" w:hAnsi="Cambria Math"/>
                                  <w:lang w:val="it-IT"/>
                                </w:rPr>
                                <m:t>e</m:t>
                              </m:r>
                            </m:sub>
                          </m:sSub>
                        </m:num>
                        <m:den>
                          <m:sSub>
                            <m:sSubPr>
                              <m:ctrlPr>
                                <w:rPr>
                                  <w:rFonts w:ascii="Cambria Math" w:hAnsi="Cambria Math"/>
                                  <w:i/>
                                  <w:lang w:val="it-IT"/>
                                </w:rPr>
                              </m:ctrlPr>
                            </m:sSubPr>
                            <m:e>
                              <m:r>
                                <w:rPr>
                                  <w:rFonts w:ascii="Cambria Math" w:hAnsi="Cambria Math"/>
                                  <w:lang w:val="it-IT"/>
                                </w:rPr>
                                <m:t>ε</m:t>
                              </m:r>
                            </m:e>
                            <m:sub>
                              <m:r>
                                <w:rPr>
                                  <w:rFonts w:ascii="Cambria Math" w:hAnsi="Cambria Math"/>
                                  <w:lang w:val="it-IT"/>
                                </w:rPr>
                                <m:t>mf</m:t>
                              </m:r>
                            </m:sub>
                          </m:sSub>
                        </m:den>
                      </m:f>
                    </m:e>
                  </m:d>
                </m:e>
                <m:sup>
                  <m:r>
                    <w:rPr>
                      <w:rFonts w:ascii="Cambria Math" w:hAnsi="Cambria Math"/>
                      <w:lang w:val="it-IT"/>
                    </w:rPr>
                    <m:t>n</m:t>
                  </m:r>
                </m:sup>
              </m:sSup>
            </m:oMath>
            <w:r w:rsidR="00EB6FE0">
              <w:t xml:space="preserve"> </w:t>
            </w:r>
          </w:p>
        </w:tc>
        <w:tc>
          <w:tcPr>
            <w:tcW w:w="803" w:type="dxa"/>
            <w:shd w:val="clear" w:color="auto" w:fill="auto"/>
            <w:vAlign w:val="center"/>
          </w:tcPr>
          <w:p w14:paraId="2DB849F2" w14:textId="205E139D" w:rsidR="00EB6FE0" w:rsidRPr="00B57B36" w:rsidRDefault="00EB6FE0" w:rsidP="0053466C">
            <w:pPr>
              <w:pStyle w:val="CETEquation"/>
              <w:jc w:val="right"/>
            </w:pPr>
            <w:r w:rsidRPr="00B57B36">
              <w:t>(</w:t>
            </w:r>
            <w:r>
              <w:t>2</w:t>
            </w:r>
            <w:r w:rsidRPr="00B57B36">
              <w:t>)</w:t>
            </w:r>
          </w:p>
        </w:tc>
      </w:tr>
      <w:tr w:rsidR="00EB6FE0" w:rsidRPr="00B57B36" w14:paraId="0CDE7453" w14:textId="77777777" w:rsidTr="0053466C">
        <w:tc>
          <w:tcPr>
            <w:tcW w:w="7984" w:type="dxa"/>
            <w:shd w:val="clear" w:color="auto" w:fill="auto"/>
            <w:vAlign w:val="center"/>
          </w:tcPr>
          <w:p w14:paraId="0E749011" w14:textId="2E1126AB" w:rsidR="00EB6FE0" w:rsidRPr="00B57B36" w:rsidRDefault="00A17165" w:rsidP="0053466C">
            <w:pPr>
              <w:pStyle w:val="CETEquation"/>
            </w:pPr>
            <m:oMath>
              <m:r>
                <w:rPr>
                  <w:rFonts w:ascii="Cambria Math" w:hAnsi="Cambria Math"/>
                  <w:lang w:val="it-IT"/>
                </w:rPr>
                <m:t>U</m:t>
              </m:r>
              <m:r>
                <w:rPr>
                  <w:rFonts w:ascii="Cambria Math" w:hAnsi="Cambria Math"/>
                </w:rPr>
                <m:t>=</m:t>
              </m:r>
              <m:sSub>
                <m:sSubPr>
                  <m:ctrlPr>
                    <w:rPr>
                      <w:rFonts w:ascii="Cambria Math" w:hAnsi="Cambria Math"/>
                      <w:i/>
                      <w:lang w:val="it-IT"/>
                    </w:rPr>
                  </m:ctrlPr>
                </m:sSubPr>
                <m:e>
                  <m:r>
                    <w:rPr>
                      <w:rFonts w:ascii="Cambria Math" w:hAnsi="Cambria Math"/>
                      <w:lang w:val="it-IT"/>
                    </w:rPr>
                    <m:t>U</m:t>
                  </m:r>
                </m:e>
                <m:sub>
                  <m:r>
                    <w:rPr>
                      <w:rFonts w:ascii="Cambria Math" w:hAnsi="Cambria Math"/>
                      <w:lang w:val="it-IT"/>
                    </w:rPr>
                    <m:t>e</m:t>
                  </m:r>
                </m:sub>
              </m:sSub>
              <m:d>
                <m:dPr>
                  <m:ctrlPr>
                    <w:rPr>
                      <w:rFonts w:ascii="Cambria Math" w:hAnsi="Cambria Math"/>
                      <w:i/>
                      <w:lang w:val="it-IT"/>
                    </w:rPr>
                  </m:ctrlPr>
                </m:dPr>
                <m:e>
                  <m:r>
                    <w:rPr>
                      <w:rFonts w:ascii="Cambria Math" w:hAnsi="Cambria Math"/>
                    </w:rPr>
                    <m:t>1-</m:t>
                  </m:r>
                  <m:r>
                    <w:rPr>
                      <w:rFonts w:ascii="Cambria Math" w:hAnsi="Cambria Math"/>
                      <w:lang w:val="it-IT"/>
                    </w:rPr>
                    <m:t>δ</m:t>
                  </m:r>
                </m:e>
              </m:d>
              <m:r>
                <w:rPr>
                  <w:rFonts w:ascii="Cambria Math" w:hAnsi="Cambria Math"/>
                </w:rPr>
                <m:t>+</m:t>
              </m:r>
              <m:sSub>
                <m:sSubPr>
                  <m:ctrlPr>
                    <w:rPr>
                      <w:rFonts w:ascii="Cambria Math" w:hAnsi="Cambria Math"/>
                      <w:i/>
                      <w:lang w:val="it-IT"/>
                    </w:rPr>
                  </m:ctrlPr>
                </m:sSubPr>
                <m:e>
                  <m:r>
                    <w:rPr>
                      <w:rFonts w:ascii="Cambria Math" w:hAnsi="Cambria Math"/>
                      <w:lang w:val="it-IT"/>
                    </w:rPr>
                    <m:t>U</m:t>
                  </m:r>
                </m:e>
                <m:sub>
                  <m:r>
                    <w:rPr>
                      <w:rFonts w:ascii="Cambria Math" w:hAnsi="Cambria Math"/>
                      <w:lang w:val="it-IT"/>
                    </w:rPr>
                    <m:t>b</m:t>
                  </m:r>
                </m:sub>
              </m:sSub>
              <m:r>
                <w:rPr>
                  <w:rFonts w:ascii="Cambria Math" w:hAnsi="Cambria Math"/>
                  <w:lang w:val="it-IT"/>
                </w:rPr>
                <m:t>δ</m:t>
              </m:r>
              <m:r>
                <w:rPr>
                  <w:rFonts w:ascii="Cambria Math" w:hAnsi="Cambria Math"/>
                </w:rPr>
                <m:t>+</m:t>
              </m:r>
              <m:sSub>
                <m:sSubPr>
                  <m:ctrlPr>
                    <w:rPr>
                      <w:rFonts w:ascii="Cambria Math" w:hAnsi="Cambria Math"/>
                      <w:i/>
                      <w:lang w:val="it-IT"/>
                    </w:rPr>
                  </m:ctrlPr>
                </m:sSubPr>
                <m:e>
                  <m:r>
                    <w:rPr>
                      <w:rFonts w:ascii="Cambria Math" w:hAnsi="Cambria Math"/>
                      <w:lang w:val="it-IT"/>
                    </w:rPr>
                    <m:t>k</m:t>
                  </m:r>
                </m:e>
                <m:sub>
                  <m:r>
                    <w:rPr>
                      <w:rFonts w:ascii="Cambria Math" w:hAnsi="Cambria Math"/>
                      <w:lang w:val="it-IT"/>
                    </w:rPr>
                    <m:t>tf</m:t>
                  </m:r>
                </m:sub>
              </m:sSub>
              <m:sSub>
                <m:sSubPr>
                  <m:ctrlPr>
                    <w:rPr>
                      <w:rFonts w:ascii="Cambria Math" w:hAnsi="Cambria Math"/>
                      <w:i/>
                      <w:lang w:val="it-IT"/>
                    </w:rPr>
                  </m:ctrlPr>
                </m:sSubPr>
                <m:e>
                  <m:r>
                    <w:rPr>
                      <w:rFonts w:ascii="Cambria Math" w:hAnsi="Cambria Math"/>
                      <w:lang w:val="it-IT"/>
                    </w:rPr>
                    <m:t>U</m:t>
                  </m:r>
                </m:e>
                <m:sub>
                  <m:r>
                    <w:rPr>
                      <w:rFonts w:ascii="Cambria Math" w:hAnsi="Cambria Math"/>
                      <w:lang w:val="it-IT"/>
                    </w:rPr>
                    <m:t>e</m:t>
                  </m:r>
                </m:sub>
              </m:sSub>
              <m:r>
                <w:rPr>
                  <w:rFonts w:ascii="Cambria Math" w:hAnsi="Cambria Math"/>
                  <w:lang w:val="it-IT"/>
                </w:rPr>
                <m:t>δ</m:t>
              </m:r>
            </m:oMath>
            <w:r w:rsidR="00EB6FE0">
              <w:t xml:space="preserve"> </w:t>
            </w:r>
          </w:p>
        </w:tc>
        <w:tc>
          <w:tcPr>
            <w:tcW w:w="803" w:type="dxa"/>
            <w:shd w:val="clear" w:color="auto" w:fill="auto"/>
            <w:vAlign w:val="center"/>
          </w:tcPr>
          <w:p w14:paraId="28C79CFE" w14:textId="7CF4A6F9" w:rsidR="00EB6FE0" w:rsidRPr="00B57B36" w:rsidRDefault="00EB6FE0" w:rsidP="0053466C">
            <w:pPr>
              <w:pStyle w:val="CETEquation"/>
              <w:jc w:val="right"/>
            </w:pPr>
            <w:r w:rsidRPr="00B57B36">
              <w:t>(</w:t>
            </w:r>
            <w:r>
              <w:t>3</w:t>
            </w:r>
            <w:r w:rsidRPr="00B57B36">
              <w:t>)</w:t>
            </w:r>
          </w:p>
        </w:tc>
      </w:tr>
    </w:tbl>
    <w:p w14:paraId="3540F3BB" w14:textId="35E0E5E4" w:rsidR="003B693D" w:rsidRDefault="00A503DC" w:rsidP="00453E24">
      <w:pPr>
        <w:pStyle w:val="CETBodytext"/>
      </w:pPr>
      <w:r>
        <w:t xml:space="preserve">Details of the three methods are reported elsewhere (Molignano et al. 2024). The time series of the local voidage measured inside the bed have been further analyzed to obtain the visible bubble flow (Fu et al., 2019). </w:t>
      </w:r>
      <w:r w:rsidR="00A441DE">
        <w:t>For mass transfer experiments</w:t>
      </w:r>
      <w:r w:rsidR="006B2349">
        <w:t xml:space="preserve"> in the emulsion phase</w:t>
      </w:r>
      <w:r w:rsidR="00A441DE">
        <w:t>, the analysis of the data assumes that catalysts particles are in the dense phase of the fluidized bed</w:t>
      </w:r>
      <w:r w:rsidR="00B06FE2">
        <w:t xml:space="preserve">. Gas in bubble phase is considered in plug flow, while gas and solids in the emulsion phase are well stirred, according to the two-phase fluidization theory. The bubble-emulsion phase mass transfer coefficient is calculated as proposed by Sit and Grace </w:t>
      </w:r>
      <w:r w:rsidR="0090071D">
        <w:t>(1981</w:t>
      </w:r>
      <w:r w:rsidR="00B06FE2">
        <w:t>). Sherwood number is defined and calculated as:</w:t>
      </w:r>
    </w:p>
    <w:tbl>
      <w:tblPr>
        <w:tblW w:w="5000" w:type="pct"/>
        <w:tblLook w:val="04A0" w:firstRow="1" w:lastRow="0" w:firstColumn="1" w:lastColumn="0" w:noHBand="0" w:noVBand="1"/>
      </w:tblPr>
      <w:tblGrid>
        <w:gridCol w:w="7984"/>
        <w:gridCol w:w="803"/>
      </w:tblGrid>
      <w:tr w:rsidR="00B06FE2" w:rsidRPr="00B57B36" w14:paraId="5D03A2AE" w14:textId="77777777" w:rsidTr="00873176">
        <w:tc>
          <w:tcPr>
            <w:tcW w:w="7984" w:type="dxa"/>
            <w:shd w:val="clear" w:color="auto" w:fill="auto"/>
            <w:vAlign w:val="center"/>
          </w:tcPr>
          <w:p w14:paraId="527F84E4" w14:textId="6235F119" w:rsidR="00B06FE2" w:rsidRPr="00B57B36" w:rsidRDefault="00B06FE2" w:rsidP="0089010D">
            <w:pPr>
              <w:pStyle w:val="CETEquation"/>
            </w:pPr>
            <w:bookmarkStart w:id="3" w:name="_Hlk195518905"/>
            <m:oMath>
              <m:r>
                <w:rPr>
                  <w:rFonts w:ascii="Cambria Math" w:hAnsi="Cambria Math"/>
                </w:rPr>
                <m:t>Sh=</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g</m:t>
                      </m:r>
                    </m:sub>
                  </m:sSub>
                  <m:sSub>
                    <m:sSubPr>
                      <m:ctrlPr>
                        <w:rPr>
                          <w:rFonts w:ascii="Cambria Math" w:hAnsi="Cambria Math"/>
                          <w:i/>
                        </w:rPr>
                      </m:ctrlPr>
                    </m:sSubPr>
                    <m:e>
                      <m:r>
                        <w:rPr>
                          <w:rFonts w:ascii="Cambria Math" w:hAnsi="Cambria Math"/>
                        </w:rPr>
                        <m:t>d</m:t>
                      </m:r>
                    </m:e>
                    <m:sub>
                      <m:r>
                        <w:rPr>
                          <w:rFonts w:ascii="Cambria Math" w:hAnsi="Cambria Math"/>
                        </w:rPr>
                        <m:t>a</m:t>
                      </m:r>
                    </m:sub>
                  </m:sSub>
                </m:num>
                <m:den>
                  <m:sSub>
                    <m:sSubPr>
                      <m:ctrlPr>
                        <w:rPr>
                          <w:rFonts w:ascii="Cambria Math" w:hAnsi="Cambria Math"/>
                          <w:i/>
                        </w:rPr>
                      </m:ctrlPr>
                    </m:sSubPr>
                    <m:e>
                      <m:r>
                        <m:rPr>
                          <m:scr m:val="fraktur"/>
                        </m:rPr>
                        <w:rPr>
                          <w:rFonts w:ascii="Cambria Math" w:hAnsi="Cambria Math"/>
                        </w:rPr>
                        <m:t>D</m:t>
                      </m:r>
                    </m:e>
                    <m:sub>
                      <m:r>
                        <w:rPr>
                          <w:rFonts w:ascii="Cambria Math" w:hAnsi="Cambria Math"/>
                        </w:rPr>
                        <m:t>CO</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a</m:t>
                      </m:r>
                    </m:sub>
                  </m:sSub>
                  <m:sSub>
                    <m:sSubPr>
                      <m:ctrlPr>
                        <w:rPr>
                          <w:rFonts w:ascii="Cambria Math" w:hAnsi="Cambria Math"/>
                          <w:i/>
                        </w:rPr>
                      </m:ctrlPr>
                    </m:sSubPr>
                    <m:e>
                      <m:r>
                        <w:rPr>
                          <w:rFonts w:ascii="Cambria Math" w:hAnsi="Cambria Math"/>
                        </w:rPr>
                        <m:t>A</m:t>
                      </m:r>
                    </m:e>
                    <m:sub>
                      <m:r>
                        <w:rPr>
                          <w:rFonts w:ascii="Cambria Math" w:hAnsi="Cambria Math"/>
                        </w:rPr>
                        <m:t>r</m:t>
                      </m:r>
                    </m:sub>
                  </m:sSub>
                </m:num>
                <m:den>
                  <m:sSub>
                    <m:sSubPr>
                      <m:ctrlPr>
                        <w:rPr>
                          <w:rFonts w:ascii="Cambria Math" w:hAnsi="Cambria Math"/>
                          <w:i/>
                        </w:rPr>
                      </m:ctrlPr>
                    </m:sSubPr>
                    <m:e>
                      <m:r>
                        <m:rPr>
                          <m:scr m:val="fraktur"/>
                        </m:rPr>
                        <w:rPr>
                          <w:rFonts w:ascii="Cambria Math" w:hAnsi="Cambria Math"/>
                        </w:rPr>
                        <m:t>D</m:t>
                      </m:r>
                    </m:e>
                    <m:sub>
                      <m:r>
                        <w:rPr>
                          <w:rFonts w:ascii="Cambria Math" w:hAnsi="Cambria Math"/>
                        </w:rPr>
                        <m:t>CO</m:t>
                      </m:r>
                    </m:sub>
                  </m:sSub>
                  <m:sSub>
                    <m:sSubPr>
                      <m:ctrlPr>
                        <w:rPr>
                          <w:rFonts w:ascii="Cambria Math" w:hAnsi="Cambria Math"/>
                          <w:i/>
                        </w:rPr>
                      </m:ctrlPr>
                    </m:sSubPr>
                    <m:e>
                      <m:r>
                        <w:rPr>
                          <w:rFonts w:ascii="Cambria Math" w:hAnsi="Cambria Math"/>
                        </w:rPr>
                        <m:t>A</m:t>
                      </m:r>
                    </m:e>
                    <m:sub>
                      <m:r>
                        <w:rPr>
                          <w:rFonts w:ascii="Cambria Math" w:hAnsi="Cambria Math"/>
                        </w:rPr>
                        <m:t>a</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mf</m:t>
                      </m:r>
                    </m:sub>
                  </m:sSub>
                  <m:r>
                    <w:rPr>
                      <w:rFonts w:ascii="Cambria Math" w:hAnsi="Cambria Math"/>
                    </w:rPr>
                    <m:t>+</m:t>
                  </m:r>
                  <m:d>
                    <m:dPr>
                      <m:ctrlPr>
                        <w:rPr>
                          <w:rFonts w:ascii="Cambria Math" w:hAnsi="Cambria Math"/>
                          <w:i/>
                        </w:rPr>
                      </m:ctrlPr>
                    </m:dPr>
                    <m:e>
                      <m:r>
                        <w:rPr>
                          <w:rFonts w:ascii="Cambria Math" w:hAnsi="Cambria Math"/>
                        </w:rPr>
                        <m:t>U-</m:t>
                      </m:r>
                      <m:sSub>
                        <m:sSubPr>
                          <m:ctrlPr>
                            <w:rPr>
                              <w:rFonts w:ascii="Cambria Math" w:hAnsi="Cambria Math"/>
                              <w:i/>
                            </w:rPr>
                          </m:ctrlPr>
                        </m:sSubPr>
                        <m:e>
                          <m:r>
                            <w:rPr>
                              <w:rFonts w:ascii="Cambria Math" w:hAnsi="Cambria Math"/>
                            </w:rPr>
                            <m:t>U</m:t>
                          </m:r>
                        </m:e>
                        <m:sub>
                          <m:r>
                            <w:rPr>
                              <w:rFonts w:ascii="Cambria Math" w:hAnsi="Cambria Math"/>
                            </w:rPr>
                            <m:t>mf</m:t>
                          </m:r>
                        </m:sub>
                      </m:sSub>
                    </m:e>
                  </m:d>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-X</m:t>
                          </m:r>
                        </m:sup>
                      </m:sSup>
                    </m:e>
                  </m:d>
                </m:num>
                <m:den>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x</m:t>
                          </m:r>
                        </m:e>
                        <m:sub>
                          <m:r>
                            <w:rPr>
                              <w:rFonts w:ascii="Cambria Math" w:hAnsi="Cambria Math"/>
                            </w:rPr>
                            <m:t>CO</m:t>
                          </m:r>
                        </m:sub>
                      </m:sSub>
                    </m:e>
                  </m:d>
                  <m:r>
                    <w:rPr>
                      <w:rFonts w:ascii="Cambria Math" w:hAnsi="Cambria Math"/>
                    </w:rPr>
                    <m:t>-</m:t>
                  </m:r>
                  <m:f>
                    <m:fPr>
                      <m:ctrlPr>
                        <w:rPr>
                          <w:rFonts w:ascii="Cambria Math" w:hAnsi="Cambria Math"/>
                          <w:i/>
                        </w:rPr>
                      </m:ctrlPr>
                    </m:fPr>
                    <m:num>
                      <m:r>
                        <w:rPr>
                          <w:rFonts w:ascii="Cambria Math" w:hAnsi="Cambria Math"/>
                        </w:rPr>
                        <m:t>U-</m:t>
                      </m:r>
                      <m:sSub>
                        <m:sSubPr>
                          <m:ctrlPr>
                            <w:rPr>
                              <w:rFonts w:ascii="Cambria Math" w:hAnsi="Cambria Math"/>
                              <w:i/>
                            </w:rPr>
                          </m:ctrlPr>
                        </m:sSubPr>
                        <m:e>
                          <m:r>
                            <w:rPr>
                              <w:rFonts w:ascii="Cambria Math" w:hAnsi="Cambria Math"/>
                            </w:rPr>
                            <m:t>U</m:t>
                          </m:r>
                        </m:e>
                        <m:sub>
                          <m:r>
                            <w:rPr>
                              <w:rFonts w:ascii="Cambria Math" w:hAnsi="Cambria Math"/>
                            </w:rPr>
                            <m:t>mf</m:t>
                          </m:r>
                        </m:sub>
                      </m:sSub>
                    </m:num>
                    <m:den>
                      <m:r>
                        <w:rPr>
                          <w:rFonts w:ascii="Cambria Math" w:hAnsi="Cambria Math"/>
                        </w:rPr>
                        <m:t>U</m:t>
                      </m:r>
                    </m:den>
                  </m:f>
                  <m:sSup>
                    <m:sSupPr>
                      <m:ctrlPr>
                        <w:rPr>
                          <w:rFonts w:ascii="Cambria Math" w:hAnsi="Cambria Math"/>
                          <w:i/>
                        </w:rPr>
                      </m:ctrlPr>
                    </m:sSupPr>
                    <m:e>
                      <m:r>
                        <w:rPr>
                          <w:rFonts w:ascii="Cambria Math" w:hAnsi="Cambria Math"/>
                        </w:rPr>
                        <m:t>e</m:t>
                      </m:r>
                    </m:e>
                    <m:sup>
                      <m:r>
                        <w:rPr>
                          <w:rFonts w:ascii="Cambria Math" w:hAnsi="Cambria Math"/>
                        </w:rPr>
                        <m:t>-X</m:t>
                      </m:r>
                    </m:sup>
                  </m:sSup>
                </m:den>
              </m:f>
              <m:sSub>
                <m:sSubPr>
                  <m:ctrlPr>
                    <w:rPr>
                      <w:rFonts w:ascii="Cambria Math" w:hAnsi="Cambria Math"/>
                      <w:i/>
                    </w:rPr>
                  </m:ctrlPr>
                </m:sSubPr>
                <m:e>
                  <m:r>
                    <w:rPr>
                      <w:rFonts w:ascii="Cambria Math" w:hAnsi="Cambria Math"/>
                    </w:rPr>
                    <m:t>x</m:t>
                  </m:r>
                </m:e>
                <m:sub>
                  <m:r>
                    <w:rPr>
                      <w:rFonts w:ascii="Cambria Math" w:hAnsi="Cambria Math"/>
                    </w:rPr>
                    <m:t>CO</m:t>
                  </m:r>
                </m:sub>
              </m:sSub>
            </m:oMath>
            <w:r>
              <w:t xml:space="preserve"> </w:t>
            </w:r>
          </w:p>
        </w:tc>
        <w:tc>
          <w:tcPr>
            <w:tcW w:w="803" w:type="dxa"/>
            <w:shd w:val="clear" w:color="auto" w:fill="auto"/>
            <w:vAlign w:val="center"/>
          </w:tcPr>
          <w:p w14:paraId="0119FCCB" w14:textId="60268E5D" w:rsidR="00B06FE2" w:rsidRPr="00B57B36" w:rsidRDefault="00B06FE2" w:rsidP="0089010D">
            <w:pPr>
              <w:pStyle w:val="CETEquation"/>
              <w:jc w:val="right"/>
            </w:pPr>
            <w:r w:rsidRPr="00B57B36">
              <w:t>(</w:t>
            </w:r>
            <w:r w:rsidR="00C162D1">
              <w:t>4</w:t>
            </w:r>
            <w:r w:rsidRPr="00B57B36">
              <w:t>)</w:t>
            </w:r>
          </w:p>
        </w:tc>
      </w:tr>
    </w:tbl>
    <w:bookmarkEnd w:id="3"/>
    <w:p w14:paraId="677EBFF0" w14:textId="75069617" w:rsidR="00600535" w:rsidRPr="00873176" w:rsidRDefault="00B06FE2" w:rsidP="006B12AF">
      <w:pPr>
        <w:pStyle w:val="CETHeading1"/>
        <w:tabs>
          <w:tab w:val="clear" w:pos="360"/>
          <w:tab w:val="right" w:pos="7100"/>
        </w:tabs>
        <w:jc w:val="both"/>
        <w:rPr>
          <w:lang w:val="en-GB"/>
        </w:rPr>
      </w:pPr>
      <w:r w:rsidRPr="00873176">
        <w:rPr>
          <w:lang w:val="en-GB"/>
        </w:rPr>
        <w:lastRenderedPageBreak/>
        <w:t>Results and discussion</w:t>
      </w:r>
    </w:p>
    <w:p w14:paraId="04963A06" w14:textId="230D0820" w:rsidR="00600535" w:rsidRPr="00B57B36" w:rsidRDefault="002A4222" w:rsidP="00652555">
      <w:pPr>
        <w:pStyle w:val="CETheadingx"/>
      </w:pPr>
      <w:r>
        <w:t>Hydrodynamic characterization</w:t>
      </w:r>
    </w:p>
    <w:p w14:paraId="01CB304D" w14:textId="3D652251" w:rsidR="005A1CAC" w:rsidRDefault="00CE18F1" w:rsidP="00CE18F1">
      <w:pPr>
        <w:pStyle w:val="CETBodytext"/>
      </w:pPr>
      <w:r>
        <w:rPr>
          <w:lang w:val="en-GB"/>
        </w:rPr>
        <w:t xml:space="preserve">Figure 2 reports </w:t>
      </w:r>
      <w:r>
        <w:t xml:space="preserve">PDF of local voidage at </w:t>
      </w:r>
      <w:r w:rsidR="005A1CAC">
        <w:t xml:space="preserve">ambient temperature and at </w:t>
      </w:r>
      <w:r>
        <w:t>450 °C</w:t>
      </w:r>
      <w:r w:rsidR="005A1CAC">
        <w:t>,</w:t>
      </w:r>
      <w:r>
        <w:t xml:space="preserve"> </w:t>
      </w:r>
      <w:r w:rsidR="005A1CAC">
        <w:t>with</w:t>
      </w:r>
      <w:r>
        <w:t xml:space="preserve"> capacitance probe located</w:t>
      </w:r>
      <w:r w:rsidR="00B07E83">
        <w:t>, as reference,</w:t>
      </w:r>
      <w:r>
        <w:t xml:space="preserve"> at height H</w:t>
      </w:r>
      <w:r w:rsidRPr="00B56C18">
        <w:rPr>
          <w:vertAlign w:val="subscript"/>
        </w:rPr>
        <w:t>2</w:t>
      </w:r>
      <w:r>
        <w:t xml:space="preserve">, while varying excess gas velocity and radial coordinate of the probe. </w:t>
      </w:r>
      <w:r w:rsidR="005A1CAC">
        <w:t>Regardless the operating temperature, a</w:t>
      </w:r>
      <w:r>
        <w:t>t low excess gas velocity, close to minimum fluidization conditions, the PDF ha</w:t>
      </w:r>
      <w:r w:rsidR="00BB572C">
        <w:t>s</w:t>
      </w:r>
      <w:r>
        <w:t xml:space="preserve"> a unimodal trend, with a sharp peak for voidage </w:t>
      </w:r>
      <w:r w:rsidR="00BB572C">
        <w:t xml:space="preserve">modal </w:t>
      </w:r>
      <w:r>
        <w:t>values close to minimum fluidization voidage.</w:t>
      </w:r>
      <w:r w:rsidR="00BB572C">
        <w:t xml:space="preserve"> </w:t>
      </w:r>
      <w:r w:rsidR="006001E0">
        <w:t>The bed is mainly composed by the emulsion phase, with some small bubbles with high voidage contributing to the tail of PDF. At higher excess gas superficial velocities, a bimodal nature of the PDF is evident in the component associated to the emulsion phase: a lower voidage LV-phase and a higher voidage HV-phase</w:t>
      </w:r>
      <w:r w:rsidR="008E7589">
        <w:t xml:space="preserve"> co-exist</w:t>
      </w:r>
      <w:r w:rsidR="006001E0">
        <w:t xml:space="preserve">. </w:t>
      </w:r>
      <w:r w:rsidR="005A1CAC">
        <w:t xml:space="preserve">This behaviour is accentuated at high temperature with bimodal PDF referred to the emulsion phase appearing at lower excess gas velocities. Furthermore, at high temperature </w:t>
      </w:r>
      <w:r w:rsidR="005A3A1C">
        <w:t xml:space="preserve">higher values of voidage referred to the emulsion phase are obtained and </w:t>
      </w:r>
      <w:r w:rsidR="005A1CAC">
        <w:t xml:space="preserve">more pronounced peaks related to bubble phase are evident in Figure 2. </w:t>
      </w:r>
      <w:r w:rsidR="006001E0">
        <w:t>Th</w:t>
      </w:r>
      <w:r w:rsidR="005A1CAC">
        <w:t>e</w:t>
      </w:r>
      <w:r w:rsidR="006001E0">
        <w:t>s</w:t>
      </w:r>
      <w:r w:rsidR="005A1CAC">
        <w:t>e</w:t>
      </w:r>
      <w:r w:rsidR="006001E0">
        <w:t xml:space="preserve"> result</w:t>
      </w:r>
      <w:r w:rsidR="005A1CAC">
        <w:t>s</w:t>
      </w:r>
      <w:r w:rsidR="00B71D8A">
        <w:t>, typical of freely bubbling fluidization regime,</w:t>
      </w:r>
      <w:r w:rsidR="006001E0">
        <w:t xml:space="preserve"> </w:t>
      </w:r>
      <w:r w:rsidR="005A1CAC">
        <w:t>are</w:t>
      </w:r>
      <w:r w:rsidR="006001E0">
        <w:t xml:space="preserve"> in good agreement with previous results obtained </w:t>
      </w:r>
      <w:r w:rsidR="005A1CAC">
        <w:t>with the same solid material, using</w:t>
      </w:r>
      <w:r w:rsidR="006001E0">
        <w:t xml:space="preserve"> a low pressure drop gas distributor (Molignano et al., 2023).</w:t>
      </w:r>
    </w:p>
    <w:p w14:paraId="56EB3B86" w14:textId="681928B6" w:rsidR="00CE18F1" w:rsidRDefault="005A1CAC" w:rsidP="00CE18F1">
      <w:pPr>
        <w:pStyle w:val="CETBodytext"/>
      </w:pPr>
      <w:r w:rsidRPr="005A1CAC">
        <w:rPr>
          <w:noProof/>
        </w:rPr>
        <w:drawing>
          <wp:inline distT="0" distB="0" distL="0" distR="0" wp14:anchorId="4F81425E" wp14:editId="36267103">
            <wp:extent cx="5652000" cy="1494849"/>
            <wp:effectExtent l="0" t="0" r="0" b="0"/>
            <wp:docPr id="28628283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52000" cy="1494849"/>
                    </a:xfrm>
                    <a:prstGeom prst="rect">
                      <a:avLst/>
                    </a:prstGeom>
                    <a:noFill/>
                    <a:ln>
                      <a:noFill/>
                    </a:ln>
                  </pic:spPr>
                </pic:pic>
              </a:graphicData>
            </a:graphic>
          </wp:inline>
        </w:drawing>
      </w:r>
    </w:p>
    <w:p w14:paraId="563FE85F" w14:textId="6D063B1D" w:rsidR="00CE18F1" w:rsidRPr="00B57B36" w:rsidRDefault="00CE18F1" w:rsidP="006001E0">
      <w:pPr>
        <w:pStyle w:val="CETBodytext"/>
        <w:jc w:val="left"/>
      </w:pPr>
      <w:r w:rsidRPr="00CE18F1">
        <w:rPr>
          <w:noProof/>
        </w:rPr>
        <w:drawing>
          <wp:inline distT="0" distB="0" distL="0" distR="0" wp14:anchorId="14636188" wp14:editId="50BB1B0D">
            <wp:extent cx="5652000" cy="1490991"/>
            <wp:effectExtent l="0" t="0" r="0" b="0"/>
            <wp:docPr id="132951491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2000" cy="1490991"/>
                    </a:xfrm>
                    <a:prstGeom prst="rect">
                      <a:avLst/>
                    </a:prstGeom>
                    <a:noFill/>
                    <a:ln>
                      <a:noFill/>
                    </a:ln>
                  </pic:spPr>
                </pic:pic>
              </a:graphicData>
            </a:graphic>
          </wp:inline>
        </w:drawing>
      </w:r>
    </w:p>
    <w:p w14:paraId="65E73FAD" w14:textId="00EC42D6" w:rsidR="00600535" w:rsidRDefault="00600535" w:rsidP="00BD077D">
      <w:pPr>
        <w:pStyle w:val="CETCaption"/>
        <w:rPr>
          <w:lang w:val="en-US"/>
        </w:rPr>
      </w:pPr>
      <w:r w:rsidRPr="00BD077D">
        <w:rPr>
          <w:rStyle w:val="CETCaptionCarattere"/>
          <w:i/>
        </w:rPr>
        <w:t xml:space="preserve">Figure </w:t>
      </w:r>
      <w:r w:rsidR="00CE18F1">
        <w:rPr>
          <w:rStyle w:val="CETCaptionCarattere"/>
          <w:i/>
        </w:rPr>
        <w:t>2</w:t>
      </w:r>
      <w:r w:rsidRPr="00BD077D">
        <w:rPr>
          <w:rStyle w:val="CETCaptionCarattere"/>
          <w:i/>
        </w:rPr>
        <w:t xml:space="preserve">: </w:t>
      </w:r>
      <w:r w:rsidR="00CE18F1" w:rsidRPr="00CE18F1">
        <w:rPr>
          <w:lang w:val="en-US"/>
        </w:rPr>
        <w:t xml:space="preserve">Probability density functions of the local voidage at </w:t>
      </w:r>
      <w:r w:rsidR="005A1CAC">
        <w:rPr>
          <w:lang w:val="en-US"/>
        </w:rPr>
        <w:t xml:space="preserve">ambient temperature (top) and at </w:t>
      </w:r>
      <w:r w:rsidR="00CE18F1">
        <w:rPr>
          <w:lang w:val="en-US"/>
        </w:rPr>
        <w:t>450 °C</w:t>
      </w:r>
      <w:r w:rsidR="005A1CAC">
        <w:rPr>
          <w:lang w:val="en-US"/>
        </w:rPr>
        <w:t xml:space="preserve"> (down)</w:t>
      </w:r>
      <w:r w:rsidR="00CE18F1" w:rsidRPr="00CE18F1">
        <w:rPr>
          <w:lang w:val="en-US"/>
        </w:rPr>
        <w:t xml:space="preserve"> for different </w:t>
      </w:r>
      <m:oMath>
        <m:r>
          <w:rPr>
            <w:rFonts w:ascii="Cambria Math" w:hAnsi="Cambria Math"/>
            <w:lang w:val="en-US"/>
          </w:rPr>
          <m:t>U-</m:t>
        </m:r>
        <m:sSub>
          <m:sSubPr>
            <m:ctrlPr>
              <w:rPr>
                <w:rFonts w:ascii="Cambria Math" w:hAnsi="Cambria Math"/>
                <w:lang w:val="en-US"/>
              </w:rPr>
            </m:ctrlPr>
          </m:sSubPr>
          <m:e>
            <m:r>
              <w:rPr>
                <w:rFonts w:ascii="Cambria Math" w:hAnsi="Cambria Math"/>
                <w:lang w:val="en-US"/>
              </w:rPr>
              <m:t>U</m:t>
            </m:r>
          </m:e>
          <m:sub>
            <m:r>
              <w:rPr>
                <w:rFonts w:ascii="Cambria Math" w:hAnsi="Cambria Math"/>
                <w:lang w:val="en-US"/>
              </w:rPr>
              <m:t>mf</m:t>
            </m:r>
          </m:sub>
        </m:sSub>
      </m:oMath>
      <w:r w:rsidR="00CE18F1" w:rsidRPr="00CE18F1">
        <w:rPr>
          <w:lang w:val="en-US"/>
        </w:rPr>
        <w:t xml:space="preserve"> and probe locations.</w:t>
      </w:r>
    </w:p>
    <w:p w14:paraId="6836A3FB" w14:textId="25299E0B" w:rsidR="00873176" w:rsidRDefault="00C15BEE" w:rsidP="00BD077D">
      <w:pPr>
        <w:pStyle w:val="CETCaption"/>
        <w:rPr>
          <w:i w:val="0"/>
          <w:iCs/>
          <w:lang w:val="en-US"/>
        </w:rPr>
      </w:pPr>
      <w:r w:rsidRPr="003217CD">
        <w:rPr>
          <w:i w:val="0"/>
          <w:iCs/>
          <w:lang w:val="en-US"/>
        </w:rPr>
        <w:t>Figure</w:t>
      </w:r>
      <w:r w:rsidR="003217CD" w:rsidRPr="003217CD">
        <w:rPr>
          <w:i w:val="0"/>
          <w:iCs/>
          <w:lang w:val="en-US"/>
        </w:rPr>
        <w:t xml:space="preserve"> 3a reports the values of voidage associated to the emulsion phase for each PDF at probe height H</w:t>
      </w:r>
      <w:r w:rsidR="003217CD" w:rsidRPr="005A3A1C">
        <w:rPr>
          <w:i w:val="0"/>
          <w:iCs/>
          <w:vertAlign w:val="subscript"/>
          <w:lang w:val="en-US"/>
        </w:rPr>
        <w:t>2</w:t>
      </w:r>
      <w:r w:rsidR="003217CD" w:rsidRPr="003217CD">
        <w:rPr>
          <w:i w:val="0"/>
          <w:iCs/>
          <w:lang w:val="en-US"/>
        </w:rPr>
        <w:t>, while varying excess gas velocity and radial position of the probe</w:t>
      </w:r>
      <w:r w:rsidR="003217CD">
        <w:rPr>
          <w:i w:val="0"/>
          <w:iCs/>
          <w:lang w:val="en-US"/>
        </w:rPr>
        <w:t xml:space="preserve"> at 450 °C. For gas excess higher than 0.1 – 0.15 m/s a bimodal character of voidage distribution is evident</w:t>
      </w:r>
      <w:r w:rsidR="005A3A1C">
        <w:rPr>
          <w:i w:val="0"/>
          <w:iCs/>
          <w:lang w:val="en-US"/>
        </w:rPr>
        <w:t>, regardless the radial coordinate of the probe</w:t>
      </w:r>
      <w:r w:rsidR="003217CD">
        <w:rPr>
          <w:i w:val="0"/>
          <w:iCs/>
          <w:lang w:val="en-US"/>
        </w:rPr>
        <w:t>.</w:t>
      </w:r>
      <w:r w:rsidR="001F422F">
        <w:rPr>
          <w:i w:val="0"/>
          <w:iCs/>
          <w:lang w:val="en-US"/>
        </w:rPr>
        <w:t xml:space="preserve"> </w:t>
      </w:r>
    </w:p>
    <w:p w14:paraId="4CAC83F5" w14:textId="77777777" w:rsidR="00DD27F7" w:rsidRDefault="00DD27F7" w:rsidP="00DD27F7">
      <w:pPr>
        <w:pStyle w:val="CETCaption"/>
        <w:jc w:val="left"/>
        <w:rPr>
          <w:i w:val="0"/>
          <w:iCs/>
          <w:lang w:val="en-US"/>
        </w:rPr>
      </w:pPr>
      <w:r w:rsidRPr="006001E0">
        <w:rPr>
          <w:noProof/>
        </w:rPr>
        <w:drawing>
          <wp:inline distT="0" distB="0" distL="0" distR="0" wp14:anchorId="27E016CD" wp14:editId="1B92FED2">
            <wp:extent cx="4428000" cy="1699460"/>
            <wp:effectExtent l="0" t="0" r="0" b="0"/>
            <wp:docPr id="43825301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9835" t="27195" r="4929"/>
                    <a:stretch/>
                  </pic:blipFill>
                  <pic:spPr bwMode="auto">
                    <a:xfrm>
                      <a:off x="0" y="0"/>
                      <a:ext cx="4428000" cy="1699460"/>
                    </a:xfrm>
                    <a:prstGeom prst="rect">
                      <a:avLst/>
                    </a:prstGeom>
                    <a:noFill/>
                    <a:ln>
                      <a:noFill/>
                    </a:ln>
                    <a:extLst>
                      <a:ext uri="{53640926-AAD7-44D8-BBD7-CCE9431645EC}">
                        <a14:shadowObscured xmlns:a14="http://schemas.microsoft.com/office/drawing/2010/main"/>
                      </a:ext>
                    </a:extLst>
                  </pic:spPr>
                </pic:pic>
              </a:graphicData>
            </a:graphic>
          </wp:inline>
        </w:drawing>
      </w:r>
    </w:p>
    <w:p w14:paraId="114F3CE7" w14:textId="77777777" w:rsidR="00DD27F7" w:rsidRDefault="00DD27F7" w:rsidP="00DD27F7">
      <w:pPr>
        <w:pStyle w:val="CETCaption"/>
        <w:rPr>
          <w:lang w:val="en-US"/>
        </w:rPr>
      </w:pPr>
      <w:r w:rsidRPr="00BD077D">
        <w:rPr>
          <w:rStyle w:val="CETCaptionCarattere"/>
          <w:i/>
        </w:rPr>
        <w:t xml:space="preserve">Figure </w:t>
      </w:r>
      <w:r>
        <w:rPr>
          <w:rStyle w:val="CETCaptionCarattere"/>
          <w:i/>
        </w:rPr>
        <w:t>3</w:t>
      </w:r>
      <w:r w:rsidRPr="00BD077D">
        <w:rPr>
          <w:rStyle w:val="CETCaptionCarattere"/>
          <w:i/>
        </w:rPr>
        <w:t xml:space="preserve">: </w:t>
      </w:r>
      <w:r>
        <w:rPr>
          <w:lang w:val="en-US"/>
        </w:rPr>
        <w:t>Hydrodynamic characterization results</w:t>
      </w:r>
      <w:r w:rsidRPr="00CE18F1">
        <w:rPr>
          <w:lang w:val="en-US"/>
        </w:rPr>
        <w:t xml:space="preserve"> at </w:t>
      </w:r>
      <w:r>
        <w:rPr>
          <w:lang w:val="en-US"/>
        </w:rPr>
        <w:t>450 °C</w:t>
      </w:r>
      <w:r w:rsidRPr="00CE18F1">
        <w:rPr>
          <w:lang w:val="en-US"/>
        </w:rPr>
        <w:t xml:space="preserve"> for different </w:t>
      </w:r>
      <m:oMath>
        <m:r>
          <w:rPr>
            <w:rFonts w:ascii="Cambria Math" w:hAnsi="Cambria Math"/>
            <w:lang w:val="en-US"/>
          </w:rPr>
          <m:t>U-</m:t>
        </m:r>
        <m:sSub>
          <m:sSubPr>
            <m:ctrlPr>
              <w:rPr>
                <w:rFonts w:ascii="Cambria Math" w:hAnsi="Cambria Math"/>
                <w:lang w:val="en-US"/>
              </w:rPr>
            </m:ctrlPr>
          </m:sSubPr>
          <m:e>
            <m:r>
              <w:rPr>
                <w:rFonts w:ascii="Cambria Math" w:hAnsi="Cambria Math"/>
                <w:lang w:val="en-US"/>
              </w:rPr>
              <m:t>U</m:t>
            </m:r>
          </m:e>
          <m:sub>
            <m:r>
              <w:rPr>
                <w:rFonts w:ascii="Cambria Math" w:hAnsi="Cambria Math"/>
                <w:lang w:val="en-US"/>
              </w:rPr>
              <m:t>mf</m:t>
            </m:r>
          </m:sub>
        </m:sSub>
      </m:oMath>
      <w:r w:rsidRPr="00CE18F1">
        <w:rPr>
          <w:lang w:val="en-US"/>
        </w:rPr>
        <w:t xml:space="preserve"> and probe </w:t>
      </w:r>
      <w:r>
        <w:rPr>
          <w:lang w:val="en-US"/>
        </w:rPr>
        <w:t>radial coordinates at H</w:t>
      </w:r>
      <w:r w:rsidRPr="006001E0">
        <w:rPr>
          <w:vertAlign w:val="subscript"/>
          <w:lang w:val="en-US"/>
        </w:rPr>
        <w:t>2</w:t>
      </w:r>
      <w:r w:rsidRPr="00CE18F1">
        <w:rPr>
          <w:lang w:val="en-US"/>
        </w:rPr>
        <w:t>.</w:t>
      </w:r>
      <w:r>
        <w:rPr>
          <w:lang w:val="en-US"/>
        </w:rPr>
        <w:t xml:space="preserve"> Emulsion phase voidages (3a); emulsion phase velocity (3b).</w:t>
      </w:r>
    </w:p>
    <w:p w14:paraId="5F0F6095" w14:textId="77777777" w:rsidR="00E6181D" w:rsidRDefault="00E6181D" w:rsidP="00E6181D">
      <w:pPr>
        <w:pStyle w:val="CETCaption"/>
        <w:rPr>
          <w:i w:val="0"/>
          <w:iCs/>
          <w:lang w:val="en-US"/>
        </w:rPr>
      </w:pPr>
      <w:r>
        <w:rPr>
          <w:i w:val="0"/>
          <w:iCs/>
          <w:lang w:val="en-US"/>
        </w:rPr>
        <w:lastRenderedPageBreak/>
        <w:t>Figure 3b reports the trend of the emulsion phase velocity U</w:t>
      </w:r>
      <w:r w:rsidRPr="00FD456D">
        <w:rPr>
          <w:i w:val="0"/>
          <w:iCs/>
          <w:vertAlign w:val="subscript"/>
          <w:lang w:val="en-US"/>
        </w:rPr>
        <w:t>e</w:t>
      </w:r>
      <w:r>
        <w:rPr>
          <w:i w:val="0"/>
          <w:iCs/>
          <w:lang w:val="en-US"/>
        </w:rPr>
        <w:t xml:space="preserve"> obtained by the three different methods explained above, while varying the excess gas velocity. The value of U</w:t>
      </w:r>
      <w:r w:rsidRPr="00FD456D">
        <w:rPr>
          <w:i w:val="0"/>
          <w:iCs/>
          <w:vertAlign w:val="subscript"/>
          <w:lang w:val="en-US"/>
        </w:rPr>
        <w:t>e</w:t>
      </w:r>
      <w:r>
        <w:rPr>
          <w:i w:val="0"/>
          <w:iCs/>
          <w:lang w:val="en-US"/>
        </w:rPr>
        <w:t xml:space="preserve"> from the gas mass balance is reported for three values of the throughflow coefficient k</w:t>
      </w:r>
      <w:r w:rsidRPr="005A3A1C">
        <w:rPr>
          <w:i w:val="0"/>
          <w:iCs/>
          <w:vertAlign w:val="subscript"/>
          <w:lang w:val="en-US"/>
        </w:rPr>
        <w:t>tf</w:t>
      </w:r>
      <w:r>
        <w:rPr>
          <w:i w:val="0"/>
          <w:iCs/>
          <w:lang w:val="en-US"/>
        </w:rPr>
        <w:t>, namely 0, 1 and 3. k</w:t>
      </w:r>
      <w:r w:rsidRPr="00AE7A98">
        <w:rPr>
          <w:i w:val="0"/>
          <w:iCs/>
          <w:vertAlign w:val="subscript"/>
          <w:lang w:val="en-US"/>
        </w:rPr>
        <w:t>tf</w:t>
      </w:r>
      <w:r>
        <w:rPr>
          <w:i w:val="0"/>
          <w:iCs/>
          <w:lang w:val="en-US"/>
        </w:rPr>
        <w:t>=0 means no gas through bubbles, while k</w:t>
      </w:r>
      <w:r w:rsidRPr="00FD456D">
        <w:rPr>
          <w:i w:val="0"/>
          <w:iCs/>
          <w:vertAlign w:val="subscript"/>
          <w:lang w:val="en-US"/>
        </w:rPr>
        <w:t>tf</w:t>
      </w:r>
      <w:r>
        <w:rPr>
          <w:i w:val="0"/>
          <w:iCs/>
          <w:lang w:val="en-US"/>
        </w:rPr>
        <w:t>=3 corresponds to isolated and spherical bubbles (Gilliland 1963). From Figure 3b, it is evident that the three methods give similar results, if a k</w:t>
      </w:r>
      <w:r w:rsidRPr="00FD456D">
        <w:rPr>
          <w:i w:val="0"/>
          <w:iCs/>
          <w:vertAlign w:val="subscript"/>
          <w:lang w:val="en-US"/>
        </w:rPr>
        <w:t>tf</w:t>
      </w:r>
      <w:r>
        <w:rPr>
          <w:i w:val="0"/>
          <w:iCs/>
          <w:lang w:val="en-US"/>
        </w:rPr>
        <w:t xml:space="preserve"> =3 is used in the mass balance. This result suggests that for the investigated gas distribution conditions, bubbles are characterized by slow motion and small initial size. These results confirm the validity of the Richardson-Zaki correlation during aggregative fluidization in the evaluation of the emulsion phase expansion and velocity. </w:t>
      </w:r>
    </w:p>
    <w:p w14:paraId="748BFD64" w14:textId="5CC957E0" w:rsidR="00652555" w:rsidRDefault="000F796A" w:rsidP="00652555">
      <w:pPr>
        <w:pStyle w:val="CETheadingx"/>
      </w:pPr>
      <w:r>
        <w:t>M</w:t>
      </w:r>
      <w:r w:rsidR="00652555">
        <w:t xml:space="preserve">ass transfer </w:t>
      </w:r>
      <w:r>
        <w:t>in the emulsion phase</w:t>
      </w:r>
    </w:p>
    <w:p w14:paraId="3984D25A" w14:textId="490DCA4C" w:rsidR="00652555" w:rsidRDefault="00652555" w:rsidP="00652555">
      <w:pPr>
        <w:pStyle w:val="CETBodytext"/>
        <w:rPr>
          <w:lang w:val="en-GB"/>
        </w:rPr>
      </w:pPr>
      <w:r>
        <w:t xml:space="preserve">Figure 4 reports Sherwood number obtained from the experiments, while varying the excess gas velocity. Sherwood numbers estimated using a </w:t>
      </w:r>
      <w:r w:rsidRPr="009A6E5C">
        <w:rPr>
          <w:lang w:val="en-GB"/>
        </w:rPr>
        <w:t>Frössling-</w:t>
      </w:r>
      <w:r>
        <w:rPr>
          <w:lang w:val="en-GB"/>
        </w:rPr>
        <w:t>type correlation</w:t>
      </w:r>
      <w:r w:rsidRPr="009A6E5C">
        <w:rPr>
          <w:lang w:val="en-GB"/>
        </w:rPr>
        <w:t xml:space="preserve"> </w:t>
      </w:r>
      <w:r>
        <w:rPr>
          <w:lang w:val="en-GB"/>
        </w:rPr>
        <w:t xml:space="preserve">in which </w:t>
      </w:r>
      <w:r>
        <w:t>the emulsion phase velocity U</w:t>
      </w:r>
      <w:r w:rsidRPr="00AE7A98">
        <w:rPr>
          <w:vertAlign w:val="subscript"/>
        </w:rPr>
        <w:t>e</w:t>
      </w:r>
      <w:r>
        <w:t xml:space="preserve"> is evaluated from the three methods cited above (Figure 3b) are also reported. Equation </w:t>
      </w:r>
      <w:r w:rsidR="00366616">
        <w:t>5</w:t>
      </w:r>
      <w:r>
        <w:t xml:space="preserve"> reports the </w:t>
      </w:r>
      <w:r w:rsidRPr="009A6E5C">
        <w:rPr>
          <w:lang w:val="en-GB"/>
        </w:rPr>
        <w:t>Frössling-</w:t>
      </w:r>
      <w:r>
        <w:rPr>
          <w:lang w:val="en-GB"/>
        </w:rPr>
        <w:t>type expression used in the present work:</w:t>
      </w:r>
    </w:p>
    <w:tbl>
      <w:tblPr>
        <w:tblW w:w="5000" w:type="pct"/>
        <w:tblLook w:val="04A0" w:firstRow="1" w:lastRow="0" w:firstColumn="1" w:lastColumn="0" w:noHBand="0" w:noVBand="1"/>
      </w:tblPr>
      <w:tblGrid>
        <w:gridCol w:w="7983"/>
        <w:gridCol w:w="804"/>
      </w:tblGrid>
      <w:tr w:rsidR="00652555" w:rsidRPr="00B57B36" w14:paraId="5081E066" w14:textId="77777777" w:rsidTr="0089010D">
        <w:tc>
          <w:tcPr>
            <w:tcW w:w="8188" w:type="dxa"/>
            <w:shd w:val="clear" w:color="auto" w:fill="auto"/>
            <w:vAlign w:val="center"/>
          </w:tcPr>
          <w:p w14:paraId="378690CD" w14:textId="77777777" w:rsidR="00652555" w:rsidRPr="00B57B36" w:rsidRDefault="00652555" w:rsidP="0089010D">
            <w:pPr>
              <w:pStyle w:val="CETEquation"/>
            </w:pPr>
            <m:oMath>
              <m:r>
                <w:rPr>
                  <w:rFonts w:ascii="Cambria Math" w:hAnsi="Cambria Math"/>
                  <w:lang w:val="it-IT"/>
                </w:rPr>
                <m:t>S</m:t>
              </m:r>
              <m:r>
                <w:rPr>
                  <w:rFonts w:ascii="Cambria Math" w:hAnsi="Cambria Math"/>
                </w:rPr>
                <m:t>h=2*</m:t>
              </m:r>
              <m:r>
                <w:rPr>
                  <w:rFonts w:ascii="Cambria Math" w:hAnsi="Cambria Math"/>
                  <w:lang w:val="it-IT"/>
                </w:rPr>
                <m:t>ε</m:t>
              </m:r>
              <m:r>
                <w:rPr>
                  <w:rFonts w:ascii="Cambria Math" w:hAnsi="Cambria Math"/>
                </w:rPr>
                <m:t>+</m:t>
              </m:r>
              <m:r>
                <w:rPr>
                  <w:rFonts w:ascii="Cambria Math" w:hAnsi="Cambria Math"/>
                  <w:lang w:val="it-IT"/>
                </w:rPr>
                <m:t>K</m:t>
              </m:r>
              <m:sSup>
                <m:sSupPr>
                  <m:ctrlPr>
                    <w:rPr>
                      <w:rFonts w:ascii="Cambria Math" w:hAnsi="Cambria Math"/>
                      <w:i/>
                      <w:lang w:val="it-IT"/>
                    </w:rPr>
                  </m:ctrlPr>
                </m:sSupPr>
                <m:e>
                  <m:d>
                    <m:dPr>
                      <m:ctrlPr>
                        <w:rPr>
                          <w:rFonts w:ascii="Cambria Math" w:hAnsi="Cambria Math"/>
                          <w:i/>
                          <w:lang w:val="it-IT"/>
                        </w:rPr>
                      </m:ctrlPr>
                    </m:dPr>
                    <m:e>
                      <m:f>
                        <m:fPr>
                          <m:ctrlPr>
                            <w:rPr>
                              <w:rFonts w:ascii="Cambria Math" w:hAnsi="Cambria Math"/>
                              <w:i/>
                              <w:lang w:val="it-IT"/>
                            </w:rPr>
                          </m:ctrlPr>
                        </m:fPr>
                        <m:num>
                          <m:r>
                            <w:rPr>
                              <w:rFonts w:ascii="Cambria Math" w:hAnsi="Cambria Math"/>
                              <w:lang w:val="it-IT"/>
                            </w:rPr>
                            <m:t>Re</m:t>
                          </m:r>
                        </m:num>
                        <m:den>
                          <m:r>
                            <w:rPr>
                              <w:rFonts w:ascii="Cambria Math" w:hAnsi="Cambria Math"/>
                              <w:lang w:val="it-IT"/>
                            </w:rPr>
                            <m:t>ε</m:t>
                          </m:r>
                        </m:den>
                      </m:f>
                    </m:e>
                  </m:d>
                </m:e>
                <m:sup>
                  <m:r>
                    <w:rPr>
                      <w:rFonts w:ascii="Cambria Math" w:hAnsi="Cambria Math"/>
                    </w:rPr>
                    <m:t>0.5</m:t>
                  </m:r>
                </m:sup>
              </m:sSup>
              <m:r>
                <w:rPr>
                  <w:rFonts w:ascii="Cambria Math" w:hAnsi="Cambria Math"/>
                </w:rPr>
                <m:t>*</m:t>
              </m:r>
              <m:sSup>
                <m:sSupPr>
                  <m:ctrlPr>
                    <w:rPr>
                      <w:rFonts w:ascii="Cambria Math" w:hAnsi="Cambria Math"/>
                      <w:i/>
                      <w:lang w:val="it-IT"/>
                    </w:rPr>
                  </m:ctrlPr>
                </m:sSupPr>
                <m:e>
                  <m:r>
                    <w:rPr>
                      <w:rFonts w:ascii="Cambria Math" w:hAnsi="Cambria Math"/>
                      <w:lang w:val="it-IT"/>
                    </w:rPr>
                    <m:t>Sc</m:t>
                  </m:r>
                </m:e>
                <m:sup>
                  <m:f>
                    <m:fPr>
                      <m:ctrlPr>
                        <w:rPr>
                          <w:rFonts w:ascii="Cambria Math" w:hAnsi="Cambria Math"/>
                          <w:i/>
                          <w:lang w:val="it-IT"/>
                        </w:rPr>
                      </m:ctrlPr>
                    </m:fPr>
                    <m:num>
                      <m:r>
                        <w:rPr>
                          <w:rFonts w:ascii="Cambria Math" w:hAnsi="Cambria Math"/>
                        </w:rPr>
                        <m:t>1</m:t>
                      </m:r>
                    </m:num>
                    <m:den>
                      <m:r>
                        <w:rPr>
                          <w:rFonts w:ascii="Cambria Math" w:hAnsi="Cambria Math"/>
                        </w:rPr>
                        <m:t>3</m:t>
                      </m:r>
                    </m:den>
                  </m:f>
                </m:sup>
              </m:sSup>
              <m:r>
                <w:rPr>
                  <w:rFonts w:ascii="Cambria Math" w:hAnsi="Cambria Math"/>
                </w:rPr>
                <m:t xml:space="preserve">   </m:t>
              </m:r>
            </m:oMath>
            <w:r>
              <w:t xml:space="preserve">    K=0.7</w:t>
            </w:r>
          </w:p>
        </w:tc>
        <w:tc>
          <w:tcPr>
            <w:tcW w:w="815" w:type="dxa"/>
            <w:shd w:val="clear" w:color="auto" w:fill="auto"/>
            <w:vAlign w:val="center"/>
          </w:tcPr>
          <w:p w14:paraId="406DD49A" w14:textId="59BF3606" w:rsidR="00652555" w:rsidRPr="00B57B36" w:rsidRDefault="00652555" w:rsidP="0089010D">
            <w:pPr>
              <w:pStyle w:val="CETEquation"/>
              <w:jc w:val="right"/>
            </w:pPr>
            <w:r w:rsidRPr="00B57B36">
              <w:t>(</w:t>
            </w:r>
            <w:r w:rsidR="00C162D1">
              <w:t>5</w:t>
            </w:r>
            <w:r w:rsidRPr="00B57B36">
              <w:t>)</w:t>
            </w:r>
          </w:p>
        </w:tc>
      </w:tr>
    </w:tbl>
    <w:p w14:paraId="068E98AE" w14:textId="278411DF" w:rsidR="009A6E5C" w:rsidRDefault="009A6E5C" w:rsidP="00EE3140">
      <w:pPr>
        <w:pStyle w:val="CETBodytext"/>
        <w:jc w:val="left"/>
      </w:pPr>
      <w:r w:rsidRPr="000F25D1">
        <w:rPr>
          <w:noProof/>
        </w:rPr>
        <w:drawing>
          <wp:inline distT="0" distB="0" distL="0" distR="0" wp14:anchorId="10AE5681" wp14:editId="60649131">
            <wp:extent cx="4068000" cy="2915040"/>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4339"/>
                    <a:stretch/>
                  </pic:blipFill>
                  <pic:spPr bwMode="auto">
                    <a:xfrm>
                      <a:off x="0" y="0"/>
                      <a:ext cx="4068000" cy="2915040"/>
                    </a:xfrm>
                    <a:prstGeom prst="rect">
                      <a:avLst/>
                    </a:prstGeom>
                    <a:noFill/>
                    <a:ln>
                      <a:noFill/>
                    </a:ln>
                    <a:extLst>
                      <a:ext uri="{53640926-AAD7-44D8-BBD7-CCE9431645EC}">
                        <a14:shadowObscured xmlns:a14="http://schemas.microsoft.com/office/drawing/2010/main"/>
                      </a:ext>
                    </a:extLst>
                  </pic:spPr>
                </pic:pic>
              </a:graphicData>
            </a:graphic>
          </wp:inline>
        </w:drawing>
      </w:r>
    </w:p>
    <w:p w14:paraId="6D85616B" w14:textId="49C65450" w:rsidR="009A6E5C" w:rsidRPr="00CB0091" w:rsidRDefault="009A6E5C" w:rsidP="00EE3140">
      <w:pPr>
        <w:pStyle w:val="CETCaption"/>
        <w:jc w:val="left"/>
        <w:rPr>
          <w:lang w:val="en-US"/>
        </w:rPr>
      </w:pPr>
      <w:r w:rsidRPr="00BD077D">
        <w:rPr>
          <w:rStyle w:val="CETCaptionCarattere"/>
          <w:i/>
        </w:rPr>
        <w:t xml:space="preserve">Figure </w:t>
      </w:r>
      <w:r>
        <w:rPr>
          <w:rStyle w:val="CETCaptionCarattere"/>
          <w:i/>
        </w:rPr>
        <w:t>4</w:t>
      </w:r>
      <w:r w:rsidRPr="00BD077D">
        <w:rPr>
          <w:rStyle w:val="CETCaptionCarattere"/>
          <w:i/>
        </w:rPr>
        <w:t xml:space="preserve">: </w:t>
      </w:r>
      <w:r>
        <w:rPr>
          <w:lang w:val="en-US"/>
        </w:rPr>
        <w:t>Sherwood number as a function of excess gas superficial velocity. T=450 °C.</w:t>
      </w:r>
    </w:p>
    <w:p w14:paraId="4837A7AD" w14:textId="187303AA" w:rsidR="009A6E5C" w:rsidRPr="00CB0091" w:rsidRDefault="002A4222" w:rsidP="00CB0091">
      <w:pPr>
        <w:pStyle w:val="CETBodytext"/>
      </w:pPr>
      <w:r>
        <w:t>Red curve in Figure 4</w:t>
      </w:r>
      <w:r w:rsidR="00F0344C">
        <w:t xml:space="preserve"> reports Sh estimated by </w:t>
      </w:r>
      <w:r w:rsidR="00873176" w:rsidRPr="009A6E5C">
        <w:rPr>
          <w:lang w:val="en-GB"/>
        </w:rPr>
        <w:t>Frössling</w:t>
      </w:r>
      <w:r w:rsidR="00F0344C">
        <w:t xml:space="preserve"> expression with section-averaged HV voidage at height H</w:t>
      </w:r>
      <w:r w:rsidR="00F0344C" w:rsidRPr="00FD456D">
        <w:rPr>
          <w:vertAlign w:val="subscript"/>
        </w:rPr>
        <w:t>2</w:t>
      </w:r>
      <w:r w:rsidR="00F0344C">
        <w:t xml:space="preserve"> and U</w:t>
      </w:r>
      <w:r w:rsidR="00F0344C" w:rsidRPr="00FD456D">
        <w:rPr>
          <w:vertAlign w:val="subscript"/>
        </w:rPr>
        <w:t>e</w:t>
      </w:r>
      <w:r w:rsidR="00F0344C">
        <w:t xml:space="preserve"> from Richardson-Zaki correlation.</w:t>
      </w:r>
      <w:r w:rsidR="00873176">
        <w:t xml:space="preserve"> </w:t>
      </w:r>
      <w:r w:rsidR="00F0344C">
        <w:t xml:space="preserve">Dashed pink curve is obtained by </w:t>
      </w:r>
      <w:r w:rsidR="00873176">
        <w:t xml:space="preserve">using </w:t>
      </w:r>
      <w:r w:rsidR="00873176" w:rsidRPr="009A6E5C">
        <w:rPr>
          <w:lang w:val="en-GB"/>
        </w:rPr>
        <w:t>Frössling</w:t>
      </w:r>
      <w:r w:rsidR="00F0344C">
        <w:t xml:space="preserve"> expression with section-averaged HV voidage at height H</w:t>
      </w:r>
      <w:r w:rsidR="00F0344C" w:rsidRPr="00FD456D">
        <w:rPr>
          <w:vertAlign w:val="subscript"/>
        </w:rPr>
        <w:t>2</w:t>
      </w:r>
      <w:r w:rsidR="00F0344C">
        <w:t xml:space="preserve"> and U</w:t>
      </w:r>
      <w:r w:rsidR="00F0344C" w:rsidRPr="00873176">
        <w:rPr>
          <w:vertAlign w:val="subscript"/>
        </w:rPr>
        <w:t>e</w:t>
      </w:r>
      <w:r w:rsidR="00F0344C">
        <w:t xml:space="preserve"> from gas mass balance with k</w:t>
      </w:r>
      <w:r w:rsidR="00F0344C" w:rsidRPr="00FD456D">
        <w:rPr>
          <w:vertAlign w:val="subscript"/>
        </w:rPr>
        <w:t>tf</w:t>
      </w:r>
      <w:r w:rsidR="00F0344C">
        <w:t>=3, while green curve is obtained with k</w:t>
      </w:r>
      <w:r w:rsidR="00F0344C" w:rsidRPr="00873176">
        <w:rPr>
          <w:vertAlign w:val="subscript"/>
        </w:rPr>
        <w:t>tf</w:t>
      </w:r>
      <w:r w:rsidR="00F0344C">
        <w:t xml:space="preserve">=1. Black dashed-dotted curve is obtained by </w:t>
      </w:r>
      <w:r w:rsidR="00873176" w:rsidRPr="009A6E5C">
        <w:rPr>
          <w:lang w:val="en-GB"/>
        </w:rPr>
        <w:t>Frössling</w:t>
      </w:r>
      <w:r w:rsidR="00F0344C">
        <w:t xml:space="preserve"> expression with section-averaged HV voidage at height H</w:t>
      </w:r>
      <w:r w:rsidR="00F0344C" w:rsidRPr="00FD456D">
        <w:rPr>
          <w:vertAlign w:val="subscript"/>
        </w:rPr>
        <w:t>2</w:t>
      </w:r>
      <w:r w:rsidR="00F0344C">
        <w:t xml:space="preserve"> and U</w:t>
      </w:r>
      <w:r w:rsidR="00F0344C" w:rsidRPr="00FD456D">
        <w:rPr>
          <w:vertAlign w:val="subscript"/>
        </w:rPr>
        <w:t>e</w:t>
      </w:r>
      <w:r w:rsidR="00F0344C">
        <w:t xml:space="preserve"> from Hilligardt</w:t>
      </w:r>
      <w:r w:rsidR="00873176">
        <w:t xml:space="preserve"> and </w:t>
      </w:r>
      <w:r w:rsidR="00F0344C">
        <w:t>Werther correlation.</w:t>
      </w:r>
      <w:r w:rsidR="00873176">
        <w:t xml:space="preserve"> </w:t>
      </w:r>
      <w:r w:rsidR="00F0344C">
        <w:t xml:space="preserve">Black </w:t>
      </w:r>
      <w:r w:rsidR="00873176">
        <w:t xml:space="preserve">continuous </w:t>
      </w:r>
      <w:r w:rsidR="00F0344C">
        <w:t xml:space="preserve">curve is obtained considering both the </w:t>
      </w:r>
      <w:r w:rsidR="00873176">
        <w:t xml:space="preserve">emulsion </w:t>
      </w:r>
      <w:r w:rsidR="00F0344C">
        <w:t xml:space="preserve">voidage and velocity at minimum fluidization conditions. </w:t>
      </w:r>
      <w:r w:rsidR="00873176">
        <w:t xml:space="preserve">Experimental </w:t>
      </w:r>
      <w:r w:rsidR="00F0344C">
        <w:t xml:space="preserve">Sh numbers first increase with the excess gas velocity and then keep a nearly constant value. Experimental Sh values are in agreement with </w:t>
      </w:r>
      <w:r w:rsidR="00873176" w:rsidRPr="009A6E5C">
        <w:rPr>
          <w:lang w:val="en-GB"/>
        </w:rPr>
        <w:t>Frössling</w:t>
      </w:r>
      <w:r w:rsidR="00F0344C">
        <w:t xml:space="preserve"> expression calculated with Richardson-Zaki correlation and with mass balance for k</w:t>
      </w:r>
      <w:r w:rsidR="00F0344C" w:rsidRPr="00FD456D">
        <w:rPr>
          <w:vertAlign w:val="subscript"/>
        </w:rPr>
        <w:t>tf</w:t>
      </w:r>
      <w:r w:rsidR="00F0344C">
        <w:t xml:space="preserve">=3. If the present Sh numbers are compared to those </w:t>
      </w:r>
      <w:r w:rsidR="000F796A">
        <w:t>achieved</w:t>
      </w:r>
      <w:r w:rsidR="00F0344C">
        <w:t xml:space="preserve"> </w:t>
      </w:r>
      <w:r w:rsidR="000F796A">
        <w:t xml:space="preserve">under hydrodynamic conditions obtained </w:t>
      </w:r>
      <w:r w:rsidR="00F0344C">
        <w:t>with low pressure drop distributor (Molignano et al., 2023), Sh decreases for high pressure drop distributor</w:t>
      </w:r>
      <w:r w:rsidR="000F796A">
        <w:t>.</w:t>
      </w:r>
      <w:r w:rsidR="00F0344C">
        <w:t xml:space="preserve"> </w:t>
      </w:r>
      <w:r w:rsidR="000F796A">
        <w:t xml:space="preserve">It is likely that </w:t>
      </w:r>
      <w:r w:rsidR="00F0344C">
        <w:t xml:space="preserve">the </w:t>
      </w:r>
      <w:r w:rsidR="00A92208">
        <w:t xml:space="preserve">high </w:t>
      </w:r>
      <w:r w:rsidR="00F0344C">
        <w:t>pressure drop distributor</w:t>
      </w:r>
      <w:r w:rsidR="00A92208">
        <w:t xml:space="preserve"> determines </w:t>
      </w:r>
      <w:r w:rsidR="0094649F">
        <w:t xml:space="preserve">smaller and more isolated </w:t>
      </w:r>
      <w:r w:rsidR="000F796A">
        <w:t>bubbles</w:t>
      </w:r>
      <w:r w:rsidR="0094649F">
        <w:t xml:space="preserve"> </w:t>
      </w:r>
      <w:r w:rsidR="00A92208">
        <w:t xml:space="preserve">reducing the </w:t>
      </w:r>
      <w:r w:rsidR="0094649F">
        <w:t xml:space="preserve">shear </w:t>
      </w:r>
      <w:r w:rsidR="00A92208">
        <w:t xml:space="preserve">in the emulsion phase and, in turn, the </w:t>
      </w:r>
      <w:r w:rsidR="0094649F">
        <w:t>mass transfer coefficient.</w:t>
      </w:r>
      <w:r w:rsidR="00873176">
        <w:t xml:space="preserve"> </w:t>
      </w:r>
    </w:p>
    <w:p w14:paraId="68D26B83" w14:textId="77777777" w:rsidR="00600535" w:rsidRPr="00B57B36" w:rsidRDefault="00600535" w:rsidP="00600535">
      <w:pPr>
        <w:pStyle w:val="CETHeading1"/>
        <w:rPr>
          <w:lang w:val="en-GB"/>
        </w:rPr>
      </w:pPr>
      <w:r w:rsidRPr="00B57B36">
        <w:rPr>
          <w:lang w:val="en-GB"/>
        </w:rPr>
        <w:t>Conclusions</w:t>
      </w:r>
    </w:p>
    <w:p w14:paraId="52DAFDE0" w14:textId="64DF7FF5" w:rsidR="001D0CFB" w:rsidRPr="0094649F" w:rsidRDefault="0094649F" w:rsidP="00600535">
      <w:pPr>
        <w:pStyle w:val="CETBodytext"/>
        <w:rPr>
          <w:lang w:val="en-GB"/>
        </w:rPr>
      </w:pPr>
      <w:r>
        <w:rPr>
          <w:lang w:val="en-GB"/>
        </w:rPr>
        <w:t xml:space="preserve">The hydrodynamics </w:t>
      </w:r>
      <w:r w:rsidRPr="0094649F">
        <w:rPr>
          <w:lang w:val="en-GB"/>
        </w:rPr>
        <w:t xml:space="preserve">of dense fluidized beds of groups B solids, operated at ambient temperature and </w:t>
      </w:r>
      <w:r>
        <w:rPr>
          <w:lang w:val="en-GB"/>
        </w:rPr>
        <w:t>45</w:t>
      </w:r>
      <w:r w:rsidRPr="0094649F">
        <w:rPr>
          <w:lang w:val="en-GB"/>
        </w:rPr>
        <w:t xml:space="preserve">0 </w:t>
      </w:r>
      <w:r>
        <w:rPr>
          <w:lang w:val="en-GB"/>
        </w:rPr>
        <w:t>°</w:t>
      </w:r>
      <w:r w:rsidRPr="0094649F">
        <w:rPr>
          <w:lang w:val="en-GB"/>
        </w:rPr>
        <w:t>C, ha</w:t>
      </w:r>
      <w:r>
        <w:rPr>
          <w:lang w:val="en-GB"/>
        </w:rPr>
        <w:t>s</w:t>
      </w:r>
      <w:r w:rsidRPr="0094649F">
        <w:rPr>
          <w:lang w:val="en-GB"/>
        </w:rPr>
        <w:t xml:space="preserve"> been successfully characterized using capacitance probes.</w:t>
      </w:r>
      <w:r>
        <w:rPr>
          <w:lang w:val="en-GB"/>
        </w:rPr>
        <w:t xml:space="preserve"> P</w:t>
      </w:r>
      <w:r w:rsidRPr="0094649F">
        <w:rPr>
          <w:lang w:val="en-GB"/>
        </w:rPr>
        <w:t xml:space="preserve">robability density functions </w:t>
      </w:r>
      <w:r>
        <w:rPr>
          <w:lang w:val="en-GB"/>
        </w:rPr>
        <w:t>display a unimodal character at low gas velocities, while a</w:t>
      </w:r>
      <w:r w:rsidRPr="0094649F">
        <w:rPr>
          <w:lang w:val="en-GB"/>
        </w:rPr>
        <w:t xml:space="preserve"> bimodal character </w:t>
      </w:r>
      <w:r>
        <w:rPr>
          <w:lang w:val="en-GB"/>
        </w:rPr>
        <w:t>associated</w:t>
      </w:r>
      <w:r w:rsidRPr="0094649F">
        <w:rPr>
          <w:lang w:val="en-GB"/>
        </w:rPr>
        <w:t xml:space="preserve"> to the emulsion phase of the bed</w:t>
      </w:r>
      <w:r w:rsidR="00873176">
        <w:rPr>
          <w:lang w:val="en-GB"/>
        </w:rPr>
        <w:t xml:space="preserve"> is </w:t>
      </w:r>
      <w:r w:rsidR="00873176">
        <w:rPr>
          <w:lang w:val="en-GB"/>
        </w:rPr>
        <w:lastRenderedPageBreak/>
        <w:t>obtained</w:t>
      </w:r>
      <w:r w:rsidRPr="0094649F">
        <w:rPr>
          <w:lang w:val="en-GB"/>
        </w:rPr>
        <w:t xml:space="preserve">, </w:t>
      </w:r>
      <w:r w:rsidR="00873176">
        <w:rPr>
          <w:lang w:val="en-GB"/>
        </w:rPr>
        <w:t xml:space="preserve">which is </w:t>
      </w:r>
      <w:r w:rsidRPr="0094649F">
        <w:rPr>
          <w:lang w:val="en-GB"/>
        </w:rPr>
        <w:t>more pronounced as the gas superficial velocity is increased.</w:t>
      </w:r>
      <w:r>
        <w:rPr>
          <w:lang w:val="en-GB"/>
        </w:rPr>
        <w:t xml:space="preserve"> Higher-voidage phase is dominant</w:t>
      </w:r>
      <w:r w:rsidR="00A92208">
        <w:rPr>
          <w:lang w:val="en-GB"/>
        </w:rPr>
        <w:t xml:space="preserve"> (0.6-0.68)</w:t>
      </w:r>
      <w:r>
        <w:rPr>
          <w:lang w:val="en-GB"/>
        </w:rPr>
        <w:t>, especially at high gas excess velocities</w:t>
      </w:r>
      <w:r w:rsidR="00A92208">
        <w:rPr>
          <w:lang w:val="en-GB"/>
        </w:rPr>
        <w:t xml:space="preserve"> (&gt;0.2m/s)</w:t>
      </w:r>
      <w:r>
        <w:rPr>
          <w:lang w:val="en-GB"/>
        </w:rPr>
        <w:t xml:space="preserve">, and it can be used to estimate the emulsion phase velocity </w:t>
      </w:r>
      <w:r w:rsidR="00A92208">
        <w:rPr>
          <w:lang w:val="en-GB"/>
        </w:rPr>
        <w:t xml:space="preserve">(0.1-0.8m/s) </w:t>
      </w:r>
      <w:r>
        <w:rPr>
          <w:lang w:val="en-GB"/>
        </w:rPr>
        <w:t>and to evaluate gas-solids mass transfer in fluidized beds</w:t>
      </w:r>
      <w:r w:rsidR="00A92208">
        <w:rPr>
          <w:lang w:val="en-GB"/>
        </w:rPr>
        <w:t xml:space="preserve"> (Sh=3.5-4.5)</w:t>
      </w:r>
      <w:r>
        <w:rPr>
          <w:lang w:val="en-GB"/>
        </w:rPr>
        <w:t xml:space="preserve">. The gas distributor affects the </w:t>
      </w:r>
      <w:r w:rsidR="00042CB4">
        <w:rPr>
          <w:lang w:val="en-GB"/>
        </w:rPr>
        <w:t xml:space="preserve">main hydrodynamic features in terms of voidage, visible bubble flow, emulsion phase velocity and, consequently, the mass transfer. </w:t>
      </w:r>
      <w:r w:rsidR="00873176" w:rsidRPr="00843D6D">
        <w:rPr>
          <w:rFonts w:cs="Arial"/>
        </w:rPr>
        <w:t>Th</w:t>
      </w:r>
      <w:r w:rsidR="00873176">
        <w:rPr>
          <w:rFonts w:cs="Arial"/>
        </w:rPr>
        <w:t xml:space="preserve">ese aspects are crucial for the design and operation of many </w:t>
      </w:r>
      <w:r w:rsidR="00873176" w:rsidRPr="00843D6D">
        <w:rPr>
          <w:rFonts w:cs="Arial"/>
        </w:rPr>
        <w:t>processes aimed at thermochemical conversion of solid fuels</w:t>
      </w:r>
      <w:r w:rsidR="00873176">
        <w:rPr>
          <w:rFonts w:cs="Arial"/>
        </w:rPr>
        <w:t xml:space="preserve"> in fluidized beds</w:t>
      </w:r>
      <w:r w:rsidR="00873176" w:rsidRPr="00843D6D">
        <w:rPr>
          <w:rFonts w:cs="Arial"/>
        </w:rPr>
        <w:t>.</w:t>
      </w:r>
    </w:p>
    <w:p w14:paraId="07A6D20F" w14:textId="0ECF229E" w:rsidR="00280FAF" w:rsidRPr="00280FAF" w:rsidRDefault="00280FAF" w:rsidP="00652555">
      <w:pPr>
        <w:pStyle w:val="CETHeadingxx"/>
        <w:rPr>
          <w:lang w:val="en-GB"/>
        </w:rPr>
        <w:sectPr w:rsidR="00280FAF" w:rsidRPr="00280FAF" w:rsidSect="00DC73EE">
          <w:type w:val="continuous"/>
          <w:pgSz w:w="11906" w:h="16838" w:code="9"/>
          <w:pgMar w:top="1701" w:right="1418" w:bottom="1701" w:left="1701" w:header="1701" w:footer="0" w:gutter="0"/>
          <w:cols w:space="708"/>
          <w:formProt w:val="0"/>
          <w:titlePg/>
          <w:docGrid w:linePitch="360"/>
        </w:sectPr>
      </w:pPr>
      <w:r>
        <w:t>Nomenclature</w:t>
      </w:r>
    </w:p>
    <w:p w14:paraId="25D52BD8" w14:textId="4A2F5150" w:rsidR="00280FAF" w:rsidRPr="00280FAF" w:rsidRDefault="00FD456D" w:rsidP="00280FAF">
      <w:pPr>
        <w:pStyle w:val="CETBodytext"/>
        <w:jc w:val="left"/>
        <w:rPr>
          <w:rFonts w:eastAsia="SimSun"/>
        </w:rPr>
      </w:pPr>
      <w:r>
        <w:rPr>
          <w:rFonts w:eastAsia="SimSun"/>
        </w:rPr>
        <w:t>A</w:t>
      </w:r>
      <w:r w:rsidR="00280FAF" w:rsidRPr="00FD456D">
        <w:rPr>
          <w:rFonts w:eastAsia="SimSun"/>
          <w:vertAlign w:val="subscript"/>
        </w:rPr>
        <w:t>a</w:t>
      </w:r>
      <w:r w:rsidR="00280FAF" w:rsidRPr="00280FAF">
        <w:rPr>
          <w:rFonts w:eastAsia="SimSun"/>
        </w:rPr>
        <w:t xml:space="preserve"> – </w:t>
      </w:r>
      <w:r w:rsidR="003607F6">
        <w:rPr>
          <w:rFonts w:eastAsia="SimSun"/>
        </w:rPr>
        <w:t>active particle surface area</w:t>
      </w:r>
      <w:r w:rsidR="00280FAF" w:rsidRPr="00280FAF">
        <w:rPr>
          <w:rFonts w:eastAsia="SimSun"/>
        </w:rPr>
        <w:t>, m</w:t>
      </w:r>
      <w:r w:rsidR="003607F6" w:rsidRPr="003607F6">
        <w:rPr>
          <w:rFonts w:eastAsia="SimSun"/>
          <w:vertAlign w:val="superscript"/>
        </w:rPr>
        <w:t>2</w:t>
      </w:r>
    </w:p>
    <w:p w14:paraId="7DFFBF41" w14:textId="77777777" w:rsidR="00280FAF" w:rsidRPr="00280FAF" w:rsidRDefault="00280FAF" w:rsidP="00280FAF">
      <w:pPr>
        <w:pStyle w:val="CETBodytext"/>
        <w:jc w:val="left"/>
        <w:rPr>
          <w:rFonts w:eastAsia="SimSun"/>
        </w:rPr>
        <w:sectPr w:rsidR="00280FAF" w:rsidRPr="00280FAF" w:rsidSect="00DC73EE">
          <w:type w:val="continuous"/>
          <w:pgSz w:w="11906" w:h="16838" w:code="9"/>
          <w:pgMar w:top="1701" w:right="1418" w:bottom="1701" w:left="1701" w:header="1701" w:footer="0" w:gutter="0"/>
          <w:cols w:space="708"/>
          <w:formProt w:val="0"/>
          <w:titlePg/>
          <w:docGrid w:linePitch="360"/>
        </w:sectPr>
      </w:pPr>
    </w:p>
    <w:p w14:paraId="57590CE2" w14:textId="16BE2765" w:rsidR="00280FAF" w:rsidRPr="00280FAF" w:rsidRDefault="00280FAF" w:rsidP="00280FAF">
      <w:pPr>
        <w:pStyle w:val="CETBodytext"/>
        <w:jc w:val="left"/>
        <w:rPr>
          <w:rFonts w:eastAsia="SimSun"/>
        </w:rPr>
      </w:pPr>
      <w:r w:rsidRPr="00280FAF">
        <w:rPr>
          <w:rFonts w:eastAsia="SimSun"/>
        </w:rPr>
        <w:t>A</w:t>
      </w:r>
      <w:r w:rsidR="00FD456D">
        <w:rPr>
          <w:rFonts w:eastAsia="SimSun"/>
          <w:vertAlign w:val="subscript"/>
        </w:rPr>
        <w:t>r</w:t>
      </w:r>
      <w:r w:rsidRPr="00280FAF">
        <w:rPr>
          <w:rFonts w:eastAsia="SimSun"/>
        </w:rPr>
        <w:t xml:space="preserve"> – </w:t>
      </w:r>
      <w:r w:rsidR="003607F6">
        <w:rPr>
          <w:rFonts w:eastAsia="SimSun"/>
        </w:rPr>
        <w:t>reactor</w:t>
      </w:r>
      <w:r w:rsidRPr="00280FAF">
        <w:rPr>
          <w:rFonts w:eastAsia="SimSun"/>
        </w:rPr>
        <w:t xml:space="preserve"> </w:t>
      </w:r>
      <w:r w:rsidR="003607F6">
        <w:rPr>
          <w:rFonts w:eastAsia="SimSun"/>
        </w:rPr>
        <w:t xml:space="preserve">cross-section </w:t>
      </w:r>
      <w:r w:rsidRPr="00280FAF">
        <w:rPr>
          <w:rFonts w:eastAsia="SimSun"/>
        </w:rPr>
        <w:t>area, m</w:t>
      </w:r>
      <w:r w:rsidRPr="00280FAF">
        <w:rPr>
          <w:rFonts w:eastAsia="SimSun"/>
          <w:vertAlign w:val="superscript"/>
        </w:rPr>
        <w:t>2</w:t>
      </w:r>
    </w:p>
    <w:p w14:paraId="0E502614" w14:textId="5767D5A8" w:rsidR="00280FAF" w:rsidRPr="00280FAF" w:rsidRDefault="00FD456D" w:rsidP="00280FAF">
      <w:pPr>
        <w:pStyle w:val="CETBodytext"/>
        <w:jc w:val="left"/>
        <w:rPr>
          <w:rFonts w:eastAsia="SimSun"/>
        </w:rPr>
      </w:pPr>
      <w:r>
        <w:rPr>
          <w:rFonts w:eastAsia="SimSun"/>
        </w:rPr>
        <w:t>d</w:t>
      </w:r>
      <w:r>
        <w:rPr>
          <w:rFonts w:eastAsia="SimSun"/>
          <w:vertAlign w:val="subscript"/>
        </w:rPr>
        <w:t>a</w:t>
      </w:r>
      <w:r w:rsidR="00280FAF" w:rsidRPr="00280FAF">
        <w:rPr>
          <w:rFonts w:eastAsia="SimSun"/>
        </w:rPr>
        <w:t xml:space="preserve"> – </w:t>
      </w:r>
      <w:r w:rsidR="003607F6">
        <w:rPr>
          <w:rFonts w:eastAsia="SimSun"/>
        </w:rPr>
        <w:t>active particle diameter</w:t>
      </w:r>
      <w:r w:rsidR="00280FAF" w:rsidRPr="00280FAF">
        <w:rPr>
          <w:rFonts w:eastAsia="SimSun"/>
        </w:rPr>
        <w:t>, m</w:t>
      </w:r>
    </w:p>
    <w:p w14:paraId="33D176ED" w14:textId="7E63AE63" w:rsidR="00280FAF" w:rsidRPr="00280FAF" w:rsidRDefault="00366616" w:rsidP="00280FAF">
      <w:pPr>
        <w:pStyle w:val="CETBodytext"/>
        <w:jc w:val="left"/>
        <w:rPr>
          <w:rFonts w:eastAsia="SimSun"/>
        </w:rPr>
      </w:pPr>
      <m:oMath>
        <m:sSub>
          <m:sSubPr>
            <m:ctrlPr>
              <w:rPr>
                <w:rFonts w:ascii="Cambria Math" w:hAnsi="Cambria Math"/>
                <w:i/>
              </w:rPr>
            </m:ctrlPr>
          </m:sSubPr>
          <m:e>
            <m:r>
              <m:rPr>
                <m:scr m:val="fraktur"/>
              </m:rPr>
              <w:rPr>
                <w:rFonts w:ascii="Cambria Math" w:hAnsi="Cambria Math"/>
              </w:rPr>
              <m:t>D</m:t>
            </m:r>
          </m:e>
          <m:sub>
            <m:r>
              <w:rPr>
                <w:rFonts w:ascii="Cambria Math" w:hAnsi="Cambria Math"/>
              </w:rPr>
              <m:t>CO</m:t>
            </m:r>
          </m:sub>
        </m:sSub>
      </m:oMath>
      <w:r w:rsidR="00280FAF" w:rsidRPr="00280FAF">
        <w:rPr>
          <w:rFonts w:eastAsia="SimSun"/>
        </w:rPr>
        <w:t xml:space="preserve"> – </w:t>
      </w:r>
      <w:r w:rsidR="003607F6">
        <w:rPr>
          <w:rFonts w:eastAsia="SimSun"/>
        </w:rPr>
        <w:t>diffusion coefficient CO</w:t>
      </w:r>
      <w:r w:rsidR="00280FAF" w:rsidRPr="00280FAF">
        <w:rPr>
          <w:rFonts w:eastAsia="SimSun"/>
        </w:rPr>
        <w:t>, m</w:t>
      </w:r>
      <w:r w:rsidR="003607F6" w:rsidRPr="003607F6">
        <w:rPr>
          <w:rFonts w:eastAsia="SimSun"/>
          <w:vertAlign w:val="superscript"/>
        </w:rPr>
        <w:t>2</w:t>
      </w:r>
      <w:r w:rsidR="003607F6">
        <w:rPr>
          <w:rFonts w:eastAsia="SimSun"/>
        </w:rPr>
        <w:t>/s</w:t>
      </w:r>
    </w:p>
    <w:p w14:paraId="05CC3BA4" w14:textId="4429CAB5" w:rsidR="00280FAF" w:rsidRPr="00280FAF" w:rsidRDefault="00366616" w:rsidP="00280FAF">
      <w:pPr>
        <w:pStyle w:val="CETBodytext"/>
        <w:jc w:val="left"/>
        <w:rPr>
          <w:rFonts w:eastAsia="SimSun"/>
        </w:rPr>
      </w:pPr>
      <m:oMath>
        <m:acc>
          <m:accPr>
            <m:chr m:val="̅"/>
            <m:ctrlPr>
              <w:rPr>
                <w:rFonts w:ascii="Cambria Math" w:hAnsi="Cambria Math" w:cs="Arial"/>
                <w:i/>
                <w:lang w:val="en-GB"/>
              </w:rPr>
            </m:ctrlPr>
          </m:accPr>
          <m:e>
            <m:sSub>
              <m:sSubPr>
                <m:ctrlPr>
                  <w:rPr>
                    <w:rFonts w:ascii="Cambria Math" w:hAnsi="Cambria Math" w:cs="Arial"/>
                    <w:i/>
                    <w:lang w:val="en-GB"/>
                  </w:rPr>
                </m:ctrlPr>
              </m:sSubPr>
              <m:e>
                <m:r>
                  <w:rPr>
                    <w:rFonts w:ascii="Cambria Math" w:hAnsi="Cambria Math" w:cs="Arial"/>
                    <w:lang w:val="en-GB"/>
                  </w:rPr>
                  <m:t>d</m:t>
                </m:r>
              </m:e>
              <m:sub>
                <m:r>
                  <w:rPr>
                    <w:rFonts w:ascii="Cambria Math" w:hAnsi="Cambria Math" w:cs="Arial"/>
                    <w:lang w:val="en-GB"/>
                  </w:rPr>
                  <m:t>p</m:t>
                </m:r>
              </m:sub>
            </m:sSub>
          </m:e>
        </m:acc>
        <m:r>
          <w:rPr>
            <w:rFonts w:ascii="Cambria Math" w:hAnsi="Cambria Math" w:cs="Arial"/>
            <w:lang w:val="en-GB"/>
          </w:rPr>
          <m:t xml:space="preserve"> </m:t>
        </m:r>
      </m:oMath>
      <w:r w:rsidR="00280FAF" w:rsidRPr="00280FAF">
        <w:rPr>
          <w:rFonts w:eastAsia="SimSun"/>
        </w:rPr>
        <w:t xml:space="preserve"> – </w:t>
      </w:r>
      <w:r w:rsidR="003607F6">
        <w:rPr>
          <w:rFonts w:eastAsia="SimSun"/>
        </w:rPr>
        <w:t>average particle size</w:t>
      </w:r>
      <w:r w:rsidR="00280FAF" w:rsidRPr="00280FAF">
        <w:rPr>
          <w:rFonts w:eastAsia="SimSun"/>
        </w:rPr>
        <w:t xml:space="preserve">, </w:t>
      </w:r>
      <w:r w:rsidR="003607F6">
        <w:rPr>
          <w:rFonts w:eastAsia="SimSun"/>
        </w:rPr>
        <w:t>m</w:t>
      </w:r>
    </w:p>
    <w:p w14:paraId="0718B861" w14:textId="6CEB8E46" w:rsidR="00280FAF" w:rsidRPr="00280FAF" w:rsidRDefault="00FD456D" w:rsidP="00280FAF">
      <w:pPr>
        <w:pStyle w:val="CETBodytext"/>
        <w:jc w:val="left"/>
        <w:rPr>
          <w:rFonts w:eastAsia="SimSun"/>
        </w:rPr>
      </w:pPr>
      <w:r>
        <w:rPr>
          <w:rFonts w:eastAsia="SimSun"/>
        </w:rPr>
        <w:t>H</w:t>
      </w:r>
      <w:r>
        <w:rPr>
          <w:rFonts w:eastAsia="SimSun"/>
          <w:vertAlign w:val="subscript"/>
        </w:rPr>
        <w:t>2</w:t>
      </w:r>
      <w:r w:rsidR="00280FAF" w:rsidRPr="00280FAF">
        <w:rPr>
          <w:rFonts w:eastAsia="SimSun"/>
        </w:rPr>
        <w:t xml:space="preserve"> – </w:t>
      </w:r>
      <w:r w:rsidR="003607F6">
        <w:rPr>
          <w:rFonts w:eastAsia="SimSun"/>
        </w:rPr>
        <w:t>axial coordinate</w:t>
      </w:r>
      <w:r w:rsidR="00280FAF" w:rsidRPr="00280FAF">
        <w:rPr>
          <w:rFonts w:eastAsia="SimSun"/>
        </w:rPr>
        <w:t>, m</w:t>
      </w:r>
    </w:p>
    <w:p w14:paraId="5A6624BF" w14:textId="0461CF11" w:rsidR="00280FAF" w:rsidRPr="00280FAF" w:rsidRDefault="00FD456D" w:rsidP="00280FAF">
      <w:pPr>
        <w:pStyle w:val="CETBodytext"/>
        <w:jc w:val="left"/>
        <w:rPr>
          <w:rFonts w:eastAsia="SimSun"/>
        </w:rPr>
      </w:pPr>
      <w:r>
        <w:rPr>
          <w:rFonts w:eastAsia="SimSun"/>
        </w:rPr>
        <w:t>k</w:t>
      </w:r>
      <w:r>
        <w:rPr>
          <w:rFonts w:eastAsia="SimSun"/>
          <w:vertAlign w:val="subscript"/>
        </w:rPr>
        <w:t>g</w:t>
      </w:r>
      <w:r w:rsidR="00280FAF" w:rsidRPr="00280FAF">
        <w:rPr>
          <w:rFonts w:eastAsia="SimSun"/>
        </w:rPr>
        <w:t xml:space="preserve"> – </w:t>
      </w:r>
      <w:r w:rsidR="003607F6">
        <w:rPr>
          <w:rFonts w:eastAsia="SimSun"/>
        </w:rPr>
        <w:t>gas mass transfer coefficient</w:t>
      </w:r>
      <w:r w:rsidR="00280FAF" w:rsidRPr="00280FAF">
        <w:rPr>
          <w:rFonts w:eastAsia="SimSun"/>
        </w:rPr>
        <w:t>, m</w:t>
      </w:r>
      <w:r w:rsidR="003607F6">
        <w:rPr>
          <w:rFonts w:eastAsia="SimSun"/>
        </w:rPr>
        <w:t>/s</w:t>
      </w:r>
    </w:p>
    <w:p w14:paraId="1B9CA67B" w14:textId="1808A4C0" w:rsidR="00280FAF" w:rsidRPr="00280FAF" w:rsidRDefault="00FD456D" w:rsidP="00280FAF">
      <w:pPr>
        <w:pStyle w:val="CETBodytext"/>
        <w:jc w:val="left"/>
        <w:rPr>
          <w:rFonts w:eastAsia="SimSun"/>
        </w:rPr>
      </w:pPr>
      <w:r>
        <w:rPr>
          <w:rFonts w:eastAsia="SimSun"/>
        </w:rPr>
        <w:t>k</w:t>
      </w:r>
      <w:r w:rsidRPr="00FD456D">
        <w:rPr>
          <w:rFonts w:eastAsia="SimSun"/>
          <w:vertAlign w:val="subscript"/>
        </w:rPr>
        <w:t>s</w:t>
      </w:r>
      <w:r w:rsidR="00280FAF" w:rsidRPr="00280FAF">
        <w:rPr>
          <w:rFonts w:eastAsia="SimSun"/>
        </w:rPr>
        <w:t xml:space="preserve"> – </w:t>
      </w:r>
      <w:r w:rsidR="003607F6">
        <w:rPr>
          <w:rFonts w:eastAsia="SimSun"/>
        </w:rPr>
        <w:t>solids dielectric constant</w:t>
      </w:r>
      <w:r w:rsidR="00280FAF" w:rsidRPr="00280FAF">
        <w:rPr>
          <w:rFonts w:eastAsia="SimSun"/>
        </w:rPr>
        <w:t xml:space="preserve">, </w:t>
      </w:r>
      <w:r w:rsidR="00963B9B">
        <w:rPr>
          <w:rFonts w:eastAsia="SimSun"/>
        </w:rPr>
        <w:t>-</w:t>
      </w:r>
    </w:p>
    <w:p w14:paraId="63AB7028" w14:textId="799F86B2" w:rsidR="00280FAF" w:rsidRDefault="00FD456D" w:rsidP="00280FAF">
      <w:pPr>
        <w:pStyle w:val="CETBodytext"/>
        <w:jc w:val="left"/>
        <w:rPr>
          <w:rFonts w:eastAsia="SimSun"/>
        </w:rPr>
      </w:pPr>
      <w:r>
        <w:rPr>
          <w:rFonts w:eastAsia="SimSun"/>
        </w:rPr>
        <w:t>k</w:t>
      </w:r>
      <w:r>
        <w:rPr>
          <w:rFonts w:eastAsia="SimSun"/>
          <w:vertAlign w:val="subscript"/>
        </w:rPr>
        <w:t>tf</w:t>
      </w:r>
      <w:r w:rsidR="00280FAF" w:rsidRPr="00280FAF">
        <w:rPr>
          <w:rFonts w:eastAsia="SimSun"/>
        </w:rPr>
        <w:t xml:space="preserve"> – </w:t>
      </w:r>
      <w:r w:rsidR="00963B9B">
        <w:rPr>
          <w:rFonts w:eastAsia="SimSun"/>
        </w:rPr>
        <w:t>throughflow coefficient</w:t>
      </w:r>
      <w:r w:rsidR="00280FAF" w:rsidRPr="00280FAF">
        <w:rPr>
          <w:rFonts w:eastAsia="SimSun"/>
        </w:rPr>
        <w:t xml:space="preserve">, </w:t>
      </w:r>
      <w:r w:rsidR="00963B9B">
        <w:rPr>
          <w:rFonts w:eastAsia="SimSun"/>
        </w:rPr>
        <w:t>-</w:t>
      </w:r>
    </w:p>
    <w:p w14:paraId="71FF50CF" w14:textId="3A8F2D38" w:rsidR="00902237" w:rsidRPr="00C4479F" w:rsidRDefault="00FD3116" w:rsidP="00280FAF">
      <w:pPr>
        <w:pStyle w:val="CETBodytext"/>
        <w:jc w:val="left"/>
        <w:rPr>
          <w:rFonts w:eastAsia="SimSun"/>
        </w:rPr>
      </w:pPr>
      <w:r w:rsidRPr="00C4479F">
        <w:rPr>
          <w:rFonts w:eastAsia="SimSun"/>
        </w:rPr>
        <w:t>n – parameter in RZ correlation, -</w:t>
      </w:r>
    </w:p>
    <w:p w14:paraId="42FAA691" w14:textId="2ECFF33C" w:rsidR="00280FAF" w:rsidRPr="00280FAF" w:rsidRDefault="00FD456D" w:rsidP="00280FAF">
      <w:pPr>
        <w:pStyle w:val="CETBodytext"/>
        <w:jc w:val="left"/>
        <w:rPr>
          <w:rFonts w:eastAsia="SimSun"/>
        </w:rPr>
      </w:pPr>
      <w:r>
        <w:rPr>
          <w:rFonts w:eastAsia="SimSun"/>
        </w:rPr>
        <w:t>Sh</w:t>
      </w:r>
      <w:r w:rsidR="00280FAF" w:rsidRPr="00280FAF">
        <w:rPr>
          <w:rFonts w:eastAsia="SimSun"/>
        </w:rPr>
        <w:t xml:space="preserve"> – </w:t>
      </w:r>
      <w:r w:rsidR="003607F6">
        <w:rPr>
          <w:rFonts w:eastAsia="SimSun"/>
        </w:rPr>
        <w:t>Sherwood number</w:t>
      </w:r>
      <w:r w:rsidR="00280FAF" w:rsidRPr="00280FAF">
        <w:rPr>
          <w:rFonts w:eastAsia="SimSun"/>
        </w:rPr>
        <w:t xml:space="preserve">, </w:t>
      </w:r>
      <w:r w:rsidR="003607F6" w:rsidRPr="00280FAF">
        <w:rPr>
          <w:rFonts w:eastAsia="SimSun"/>
        </w:rPr>
        <w:t>-</w:t>
      </w:r>
    </w:p>
    <w:p w14:paraId="24D4E211" w14:textId="3D8EC97B" w:rsidR="00280FAF" w:rsidRDefault="003607F6" w:rsidP="00280FAF">
      <w:pPr>
        <w:pStyle w:val="CETBodytext"/>
        <w:jc w:val="left"/>
        <w:rPr>
          <w:rFonts w:eastAsia="SimSun"/>
        </w:rPr>
      </w:pPr>
      <w:r>
        <w:rPr>
          <w:rFonts w:eastAsia="SimSun"/>
        </w:rPr>
        <w:t>U</w:t>
      </w:r>
      <w:r w:rsidR="00280FAF" w:rsidRPr="00280FAF">
        <w:rPr>
          <w:rFonts w:eastAsia="SimSun"/>
        </w:rPr>
        <w:t xml:space="preserve"> – </w:t>
      </w:r>
      <w:r w:rsidR="00963B9B">
        <w:rPr>
          <w:rFonts w:eastAsia="SimSun"/>
        </w:rPr>
        <w:t>superficial gas velocity</w:t>
      </w:r>
      <w:r w:rsidR="00280FAF" w:rsidRPr="00280FAF">
        <w:rPr>
          <w:rFonts w:eastAsia="SimSun"/>
        </w:rPr>
        <w:t xml:space="preserve">, </w:t>
      </w:r>
      <w:r w:rsidR="00963B9B">
        <w:rPr>
          <w:rFonts w:eastAsia="SimSun"/>
        </w:rPr>
        <w:t>m/s</w:t>
      </w:r>
    </w:p>
    <w:p w14:paraId="3B0B68AC" w14:textId="61AF9E70" w:rsidR="00EE2D9A" w:rsidRDefault="00AC29ED" w:rsidP="00280FAF">
      <w:pPr>
        <w:pStyle w:val="CETBodytext"/>
        <w:jc w:val="left"/>
        <w:rPr>
          <w:rFonts w:eastAsia="SimSun"/>
        </w:rPr>
      </w:pPr>
      <w:r>
        <w:rPr>
          <w:rFonts w:eastAsia="SimSun"/>
        </w:rPr>
        <w:t>U</w:t>
      </w:r>
      <w:r w:rsidRPr="00AC29ED">
        <w:rPr>
          <w:rFonts w:eastAsia="SimSun"/>
          <w:vertAlign w:val="subscript"/>
        </w:rPr>
        <w:t>b</w:t>
      </w:r>
      <w:r>
        <w:rPr>
          <w:rFonts w:eastAsia="SimSun"/>
        </w:rPr>
        <w:t xml:space="preserve"> – bubble velocity, m/s</w:t>
      </w:r>
    </w:p>
    <w:p w14:paraId="58A30EC4" w14:textId="7B5BB16D" w:rsidR="00FD3116" w:rsidRPr="00280FAF" w:rsidRDefault="00FD3116" w:rsidP="00280FAF">
      <w:pPr>
        <w:pStyle w:val="CETBodytext"/>
        <w:jc w:val="left"/>
        <w:rPr>
          <w:rFonts w:eastAsia="SimSun"/>
        </w:rPr>
      </w:pPr>
      <w:r>
        <w:rPr>
          <w:rFonts w:eastAsia="SimSun"/>
        </w:rPr>
        <w:t>U</w:t>
      </w:r>
      <w:r w:rsidRPr="00FD3116">
        <w:rPr>
          <w:rFonts w:eastAsia="SimSun"/>
          <w:vertAlign w:val="subscript"/>
        </w:rPr>
        <w:t>e</w:t>
      </w:r>
      <w:r>
        <w:rPr>
          <w:rFonts w:eastAsia="SimSun"/>
        </w:rPr>
        <w:t xml:space="preserve"> – emulsion phase velocity, m/s</w:t>
      </w:r>
    </w:p>
    <w:p w14:paraId="15F17467" w14:textId="46C88782" w:rsidR="00280FAF" w:rsidRDefault="003607F6" w:rsidP="00280FAF">
      <w:pPr>
        <w:pStyle w:val="CETBodytext"/>
        <w:jc w:val="left"/>
        <w:rPr>
          <w:rFonts w:eastAsia="SimSun"/>
        </w:rPr>
      </w:pPr>
      <w:r>
        <w:rPr>
          <w:rFonts w:eastAsia="SimSun"/>
        </w:rPr>
        <w:t>U</w:t>
      </w:r>
      <w:r w:rsidRPr="003607F6">
        <w:rPr>
          <w:rFonts w:eastAsia="SimSun"/>
          <w:vertAlign w:val="subscript"/>
        </w:rPr>
        <w:t>mf</w:t>
      </w:r>
      <w:r w:rsidR="00280FAF" w:rsidRPr="00280FAF">
        <w:rPr>
          <w:rFonts w:eastAsia="SimSun"/>
        </w:rPr>
        <w:t xml:space="preserve"> – </w:t>
      </w:r>
      <w:r w:rsidR="00963B9B">
        <w:rPr>
          <w:rFonts w:eastAsia="SimSun"/>
        </w:rPr>
        <w:t>minimum fluidization velocity</w:t>
      </w:r>
      <w:r w:rsidR="00280FAF" w:rsidRPr="00280FAF">
        <w:rPr>
          <w:rFonts w:eastAsia="SimSun"/>
        </w:rPr>
        <w:t>, m</w:t>
      </w:r>
      <w:r w:rsidR="00963B9B">
        <w:rPr>
          <w:rFonts w:eastAsia="SimSun"/>
        </w:rPr>
        <w:t>/s</w:t>
      </w:r>
    </w:p>
    <w:p w14:paraId="58AA871C" w14:textId="64CFD177" w:rsidR="00AE7A98" w:rsidRPr="00AE7A98" w:rsidRDefault="00AE7A98" w:rsidP="00280FAF">
      <w:pPr>
        <w:pStyle w:val="CETBodytext"/>
        <w:jc w:val="left"/>
        <w:rPr>
          <w:rFonts w:eastAsia="SimSun"/>
          <w:lang w:val="en-GB"/>
        </w:rPr>
      </w:pPr>
      <w:r w:rsidRPr="00AE7A98">
        <w:rPr>
          <w:rFonts w:eastAsia="SimSun"/>
          <w:lang w:val="en-GB"/>
        </w:rPr>
        <w:t>X – bubble-emulsion phase mass t</w:t>
      </w:r>
      <w:r>
        <w:rPr>
          <w:rFonts w:eastAsia="SimSun"/>
          <w:lang w:val="en-GB"/>
        </w:rPr>
        <w:t>ransfer index, -</w:t>
      </w:r>
    </w:p>
    <w:p w14:paraId="6B0B5F2B" w14:textId="332A356C" w:rsidR="00280FAF" w:rsidRDefault="00280FAF" w:rsidP="00280FAF">
      <w:pPr>
        <w:pStyle w:val="CETBodytext"/>
        <w:jc w:val="left"/>
        <w:rPr>
          <w:rFonts w:eastAsia="SimSun"/>
          <w:lang w:val="en-GB"/>
        </w:rPr>
      </w:pPr>
      <w:r w:rsidRPr="00AE7A98">
        <w:rPr>
          <w:rFonts w:eastAsia="SimSun"/>
          <w:lang w:val="en-GB"/>
        </w:rPr>
        <w:t>x</w:t>
      </w:r>
      <w:r w:rsidR="003607F6" w:rsidRPr="00AE7A98">
        <w:rPr>
          <w:rFonts w:eastAsia="SimSun"/>
          <w:vertAlign w:val="subscript"/>
          <w:lang w:val="en-GB"/>
        </w:rPr>
        <w:t>CO</w:t>
      </w:r>
      <w:r w:rsidRPr="00AE7A98">
        <w:rPr>
          <w:rFonts w:eastAsia="SimSun"/>
          <w:lang w:val="en-GB"/>
        </w:rPr>
        <w:t xml:space="preserve"> – </w:t>
      </w:r>
      <w:r w:rsidR="00963B9B" w:rsidRPr="00AE7A98">
        <w:rPr>
          <w:rFonts w:eastAsia="SimSun"/>
          <w:lang w:val="en-GB"/>
        </w:rPr>
        <w:t>CO conversion, -</w:t>
      </w:r>
    </w:p>
    <w:p w14:paraId="1790F3AF" w14:textId="4AE233C6" w:rsidR="00AC29ED" w:rsidRPr="00E648A6" w:rsidRDefault="00AC29ED" w:rsidP="00280FAF">
      <w:pPr>
        <w:pStyle w:val="CETBodytext"/>
        <w:jc w:val="left"/>
        <w:rPr>
          <w:rFonts w:eastAsia="SimSun" w:cs="Arial"/>
          <w:lang w:val="en-GB"/>
        </w:rPr>
      </w:pPr>
      <w:r>
        <w:rPr>
          <w:rFonts w:ascii="Symbol" w:eastAsia="SimSun" w:hAnsi="Symbol"/>
          <w:lang w:val="en-GB"/>
        </w:rPr>
        <w:t>d</w:t>
      </w:r>
      <w:r w:rsidR="00E648A6">
        <w:rPr>
          <w:rFonts w:ascii="Symbol" w:eastAsia="SimSun" w:hAnsi="Symbol"/>
          <w:lang w:val="en-GB"/>
        </w:rPr>
        <w:t xml:space="preserve"> </w:t>
      </w:r>
      <w:r w:rsidR="00E648A6" w:rsidRPr="00AE7A98">
        <w:rPr>
          <w:rFonts w:eastAsia="SimSun"/>
          <w:lang w:val="en-GB"/>
        </w:rPr>
        <w:t>–</w:t>
      </w:r>
      <w:r w:rsidR="00E648A6">
        <w:rPr>
          <w:rFonts w:eastAsia="SimSun" w:cs="Arial"/>
          <w:lang w:val="en-GB"/>
        </w:rPr>
        <w:t xml:space="preserve"> bubble fraction, -</w:t>
      </w:r>
    </w:p>
    <w:p w14:paraId="2E4EE6F7" w14:textId="226AA9EE" w:rsidR="00280FAF" w:rsidRPr="00280FAF" w:rsidRDefault="003607F6" w:rsidP="00280FAF">
      <w:pPr>
        <w:pStyle w:val="CETBodytext"/>
        <w:jc w:val="left"/>
        <w:rPr>
          <w:rFonts w:eastAsia="SimSun"/>
        </w:rPr>
      </w:pPr>
      <w:r>
        <w:rPr>
          <w:rFonts w:eastAsia="SimSun" w:cs="Arial"/>
          <w:lang w:val="el-GR"/>
        </w:rPr>
        <w:t>ε</w:t>
      </w:r>
      <w:r w:rsidR="00280FAF" w:rsidRPr="00280FAF">
        <w:rPr>
          <w:rFonts w:eastAsia="SimSun"/>
          <w:lang w:val="el-GR"/>
        </w:rPr>
        <w:t xml:space="preserve"> </w:t>
      </w:r>
      <w:r w:rsidR="00E648A6" w:rsidRPr="00AE7A98">
        <w:rPr>
          <w:rFonts w:eastAsia="SimSun"/>
          <w:lang w:val="en-GB"/>
        </w:rPr>
        <w:t>–</w:t>
      </w:r>
      <w:r w:rsidR="00280FAF" w:rsidRPr="00280FAF">
        <w:rPr>
          <w:rFonts w:eastAsia="SimSun"/>
          <w:lang w:val="el-GR"/>
        </w:rPr>
        <w:t xml:space="preserve"> </w:t>
      </w:r>
      <w:r w:rsidR="00963B9B">
        <w:rPr>
          <w:rFonts w:eastAsia="SimSun"/>
        </w:rPr>
        <w:t>voidage</w:t>
      </w:r>
      <w:r w:rsidR="00280FAF" w:rsidRPr="00280FAF">
        <w:rPr>
          <w:rFonts w:eastAsia="SimSun"/>
        </w:rPr>
        <w:t xml:space="preserve">, </w:t>
      </w:r>
      <w:r w:rsidR="00963B9B">
        <w:rPr>
          <w:rFonts w:eastAsia="SimSun"/>
        </w:rPr>
        <w:t>-</w:t>
      </w:r>
    </w:p>
    <w:p w14:paraId="23FF4C40" w14:textId="70B29A32" w:rsidR="00280FAF" w:rsidRPr="00280FAF" w:rsidRDefault="003607F6" w:rsidP="00280FAF">
      <w:pPr>
        <w:pStyle w:val="CETBodytext"/>
        <w:jc w:val="left"/>
        <w:rPr>
          <w:rFonts w:eastAsia="SimSun"/>
        </w:rPr>
      </w:pPr>
      <w:r>
        <w:rPr>
          <w:rFonts w:eastAsia="SimSun" w:cs="Arial"/>
          <w:lang w:val="el-GR"/>
        </w:rPr>
        <w:t>ε</w:t>
      </w:r>
      <w:r w:rsidRPr="003607F6">
        <w:rPr>
          <w:rFonts w:eastAsia="SimSun" w:cs="Arial"/>
          <w:vertAlign w:val="subscript"/>
          <w:lang w:val="en-GB"/>
        </w:rPr>
        <w:t>e</w:t>
      </w:r>
      <w:r w:rsidR="00280FAF" w:rsidRPr="00280FAF">
        <w:rPr>
          <w:rFonts w:eastAsia="SimSun"/>
          <w:lang w:val="el-GR"/>
        </w:rPr>
        <w:t xml:space="preserve"> – </w:t>
      </w:r>
      <w:r w:rsidR="00963B9B">
        <w:rPr>
          <w:rFonts w:eastAsia="SimSun"/>
        </w:rPr>
        <w:t>emulsion phase voidage</w:t>
      </w:r>
      <w:r w:rsidR="00280FAF" w:rsidRPr="00280FAF">
        <w:rPr>
          <w:rFonts w:eastAsia="SimSun"/>
        </w:rPr>
        <w:t xml:space="preserve">, </w:t>
      </w:r>
      <w:r w:rsidR="00963B9B">
        <w:rPr>
          <w:rFonts w:eastAsia="SimSun"/>
        </w:rPr>
        <w:t>-</w:t>
      </w:r>
    </w:p>
    <w:p w14:paraId="141D07C6" w14:textId="237F85C1" w:rsidR="00280FAF" w:rsidRPr="00280FAF" w:rsidRDefault="003607F6" w:rsidP="00280FAF">
      <w:pPr>
        <w:pStyle w:val="CETBodytext"/>
        <w:jc w:val="left"/>
        <w:rPr>
          <w:rFonts w:eastAsia="SimSun"/>
        </w:rPr>
      </w:pPr>
      <w:r>
        <w:rPr>
          <w:rFonts w:eastAsia="SimSun" w:cs="Arial"/>
          <w:lang w:val="el-GR"/>
        </w:rPr>
        <w:t>ε</w:t>
      </w:r>
      <w:r w:rsidRPr="003607F6">
        <w:rPr>
          <w:rFonts w:eastAsia="SimSun"/>
          <w:vertAlign w:val="subscript"/>
          <w:lang w:val="en-GB"/>
        </w:rPr>
        <w:t>mf</w:t>
      </w:r>
      <w:r w:rsidR="00280FAF" w:rsidRPr="00280FAF">
        <w:rPr>
          <w:rFonts w:eastAsia="SimSun"/>
          <w:lang w:val="el-GR"/>
        </w:rPr>
        <w:t xml:space="preserve"> </w:t>
      </w:r>
      <w:r w:rsidR="00280FAF" w:rsidRPr="00280FAF">
        <w:rPr>
          <w:rFonts w:eastAsia="SimSun"/>
        </w:rPr>
        <w:t xml:space="preserve">– </w:t>
      </w:r>
      <w:r w:rsidR="00963B9B">
        <w:rPr>
          <w:rFonts w:eastAsia="SimSun"/>
        </w:rPr>
        <w:t>voidage at minimum fluidization conditions</w:t>
      </w:r>
      <w:r w:rsidR="00280FAF" w:rsidRPr="00280FAF">
        <w:rPr>
          <w:rFonts w:eastAsia="SimSun"/>
        </w:rPr>
        <w:t xml:space="preserve">, </w:t>
      </w:r>
      <w:r w:rsidR="00963B9B">
        <w:rPr>
          <w:rFonts w:eastAsia="SimSun"/>
        </w:rPr>
        <w:t>-</w:t>
      </w:r>
    </w:p>
    <w:p w14:paraId="209D0A48" w14:textId="7614A008" w:rsidR="00AE7A98" w:rsidRPr="00AE7A98" w:rsidRDefault="00AE7A98" w:rsidP="00AE7A98">
      <w:pPr>
        <w:pStyle w:val="CETBodytext"/>
        <w:jc w:val="left"/>
        <w:rPr>
          <w:rFonts w:eastAsia="SimSun"/>
          <w:lang w:val="en-GB"/>
        </w:rPr>
      </w:pPr>
      <w:r>
        <w:rPr>
          <w:rFonts w:eastAsia="SimSun" w:cs="Arial"/>
          <w:lang w:val="el-GR"/>
        </w:rPr>
        <w:t>ρ</w:t>
      </w:r>
      <w:r w:rsidRPr="003607F6">
        <w:rPr>
          <w:rFonts w:eastAsia="SimSun"/>
          <w:vertAlign w:val="subscript"/>
          <w:lang w:val="en-GB"/>
        </w:rPr>
        <w:t>p</w:t>
      </w:r>
      <w:r w:rsidRPr="00280FAF">
        <w:rPr>
          <w:rFonts w:eastAsia="SimSun"/>
          <w:lang w:val="el-GR"/>
        </w:rPr>
        <w:t xml:space="preserve"> – </w:t>
      </w:r>
      <w:r>
        <w:rPr>
          <w:rFonts w:eastAsia="SimSun"/>
        </w:rPr>
        <w:t>particle density</w:t>
      </w:r>
      <w:r w:rsidRPr="00280FAF">
        <w:rPr>
          <w:rFonts w:eastAsia="SimSun"/>
        </w:rPr>
        <w:t xml:space="preserve">, </w:t>
      </w:r>
      <w:r>
        <w:rPr>
          <w:rFonts w:eastAsia="SimSun"/>
        </w:rPr>
        <w:t>kg/m</w:t>
      </w:r>
      <w:r w:rsidRPr="00AE7A98">
        <w:rPr>
          <w:rFonts w:eastAsia="SimSun"/>
          <w:vertAlign w:val="superscript"/>
        </w:rPr>
        <w:t>3</w:t>
      </w:r>
    </w:p>
    <w:p w14:paraId="7AB5FF10" w14:textId="13A3ACEE" w:rsidR="00AE7A98" w:rsidRPr="00AE7A98" w:rsidRDefault="00AE7A98" w:rsidP="00280FAF">
      <w:pPr>
        <w:pStyle w:val="CETBodytext"/>
        <w:jc w:val="left"/>
        <w:rPr>
          <w:rFonts w:eastAsia="SimSun"/>
        </w:rPr>
      </w:pPr>
      <m:oMath>
        <m:r>
          <w:rPr>
            <w:rFonts w:ascii="Cambria Math" w:eastAsia="SimSun" w:hAnsi="Cambria Math" w:cs="Arial"/>
            <w:lang w:val="el-GR"/>
          </w:rPr>
          <m:t>ϕ</m:t>
        </m:r>
      </m:oMath>
      <w:r w:rsidRPr="00280FAF">
        <w:rPr>
          <w:rFonts w:eastAsia="SimSun"/>
          <w:lang w:val="el-GR"/>
        </w:rPr>
        <w:t xml:space="preserve"> </w:t>
      </w:r>
      <w:r w:rsidRPr="00280FAF">
        <w:rPr>
          <w:rFonts w:eastAsia="SimSun"/>
        </w:rPr>
        <w:t xml:space="preserve">– </w:t>
      </w:r>
      <w:r>
        <w:rPr>
          <w:rFonts w:eastAsia="SimSun"/>
        </w:rPr>
        <w:t>sphericity</w:t>
      </w:r>
      <w:r w:rsidRPr="00280FAF">
        <w:rPr>
          <w:rFonts w:eastAsia="SimSun"/>
        </w:rPr>
        <w:t xml:space="preserve">, </w:t>
      </w:r>
      <w:r>
        <w:rPr>
          <w:rFonts w:eastAsia="SimSun"/>
        </w:rPr>
        <w:t>-</w:t>
      </w:r>
    </w:p>
    <w:p w14:paraId="38BFE636" w14:textId="0E51FF26" w:rsidR="00AE7A98" w:rsidRPr="00AE7A98" w:rsidRDefault="003607F6" w:rsidP="00280FAF">
      <w:pPr>
        <w:pStyle w:val="CETBodytext"/>
        <w:jc w:val="left"/>
        <w:rPr>
          <w:rFonts w:eastAsia="SimSun"/>
          <w:vertAlign w:val="superscript"/>
        </w:rPr>
        <w:sectPr w:rsidR="00AE7A98" w:rsidRPr="00AE7A98" w:rsidSect="00DC73EE">
          <w:type w:val="continuous"/>
          <w:pgSz w:w="11906" w:h="16838" w:code="9"/>
          <w:pgMar w:top="1701" w:right="1418" w:bottom="1701" w:left="1701" w:header="1701" w:footer="0" w:gutter="0"/>
          <w:cols w:num="2" w:space="708"/>
          <w:formProt w:val="0"/>
          <w:titlePg/>
          <w:docGrid w:linePitch="360"/>
        </w:sectPr>
      </w:pPr>
      <w:r>
        <w:rPr>
          <w:rFonts w:eastAsia="SimSun" w:cs="Arial"/>
          <w:lang w:val="el-GR"/>
        </w:rPr>
        <w:t>ρ</w:t>
      </w:r>
      <w:r w:rsidRPr="003607F6">
        <w:rPr>
          <w:rFonts w:eastAsia="SimSun"/>
          <w:vertAlign w:val="subscript"/>
          <w:lang w:val="en-GB"/>
        </w:rPr>
        <w:t>p</w:t>
      </w:r>
      <w:r w:rsidR="00280FAF" w:rsidRPr="00280FAF">
        <w:rPr>
          <w:rFonts w:eastAsia="SimSun"/>
          <w:lang w:val="el-GR"/>
        </w:rPr>
        <w:t xml:space="preserve"> – </w:t>
      </w:r>
      <w:r w:rsidR="00963B9B">
        <w:rPr>
          <w:rFonts w:eastAsia="SimSun"/>
        </w:rPr>
        <w:t>particle density</w:t>
      </w:r>
      <w:r w:rsidR="00280FAF" w:rsidRPr="00280FAF">
        <w:rPr>
          <w:rFonts w:eastAsia="SimSun"/>
        </w:rPr>
        <w:t xml:space="preserve">, </w:t>
      </w:r>
      <w:r w:rsidR="00963B9B">
        <w:rPr>
          <w:rFonts w:eastAsia="SimSun"/>
        </w:rPr>
        <w:t>kg/m</w:t>
      </w:r>
      <w:r w:rsidR="00963B9B" w:rsidRPr="00963B9B">
        <w:rPr>
          <w:rFonts w:eastAsia="SimSun"/>
          <w:vertAlign w:val="superscript"/>
        </w:rPr>
        <w:t>3</w:t>
      </w:r>
    </w:p>
    <w:p w14:paraId="459D05E6" w14:textId="022A438E" w:rsidR="00600535" w:rsidRPr="00B57B36" w:rsidRDefault="00600535" w:rsidP="00600535">
      <w:pPr>
        <w:pStyle w:val="CETAcknowledgementstitle"/>
      </w:pPr>
      <w:r w:rsidRPr="00B57B36">
        <w:t>Acknowledgments</w:t>
      </w:r>
    </w:p>
    <w:p w14:paraId="33F8138F" w14:textId="2FD77B9A" w:rsidR="00600535" w:rsidRPr="00B57B36" w:rsidRDefault="00963B9B" w:rsidP="00600535">
      <w:pPr>
        <w:pStyle w:val="CETBodytext"/>
        <w:rPr>
          <w:lang w:val="en-GB"/>
        </w:rPr>
      </w:pPr>
      <w:r w:rsidRPr="00843D6D">
        <w:rPr>
          <w:rFonts w:cs="Arial"/>
        </w:rPr>
        <w:t>The authors gratefully acknowledge Mr</w:t>
      </w:r>
      <w:r w:rsidR="00BD1047">
        <w:rPr>
          <w:rFonts w:cs="Arial"/>
        </w:rPr>
        <w:t>.</w:t>
      </w:r>
      <w:r w:rsidRPr="00843D6D">
        <w:rPr>
          <w:rFonts w:cs="Arial"/>
        </w:rPr>
        <w:t xml:space="preserve"> Antonio Cammarota for the set-up of the experimental apparatus</w:t>
      </w:r>
      <w:r>
        <w:rPr>
          <w:rFonts w:cs="Arial"/>
        </w:rPr>
        <w:t>, and Mr. Antonio Russo, University of Naples, for the support during the experimental campaign</w:t>
      </w:r>
      <w:r w:rsidR="00600535" w:rsidRPr="00B57B36">
        <w:rPr>
          <w:lang w:val="en-GB"/>
        </w:rPr>
        <w:t>.</w:t>
      </w:r>
    </w:p>
    <w:p w14:paraId="4F1327F8" w14:textId="77777777" w:rsidR="00600535" w:rsidRPr="00B57B36" w:rsidRDefault="00600535" w:rsidP="00600535">
      <w:pPr>
        <w:pStyle w:val="CETReference"/>
      </w:pPr>
      <w:r w:rsidRPr="00B57B36">
        <w:t>References</w:t>
      </w:r>
    </w:p>
    <w:p w14:paraId="27708291" w14:textId="28DDA59F" w:rsidR="000278C0" w:rsidRDefault="00517124" w:rsidP="00345CAD">
      <w:pPr>
        <w:pStyle w:val="CETReferencetext"/>
      </w:pPr>
      <w:r>
        <w:t xml:space="preserve">Toomey </w:t>
      </w:r>
      <w:r w:rsidR="006C1C45">
        <w:t>R.D., Johnstone H.F., 1952, Gaseous fluidization of solid particles, Chemical Engineering Progress, 48, 220</w:t>
      </w:r>
      <w:r w:rsidR="006C1C45" w:rsidRPr="006B4888">
        <w:t>–</w:t>
      </w:r>
      <w:r w:rsidR="006C1C45">
        <w:t>226.</w:t>
      </w:r>
    </w:p>
    <w:p w14:paraId="45E87046" w14:textId="270B273A" w:rsidR="006001E0" w:rsidRPr="006001E0" w:rsidRDefault="006001E0" w:rsidP="006001E0">
      <w:pPr>
        <w:pStyle w:val="CETReferencetext"/>
      </w:pPr>
      <w:r w:rsidRPr="006001E0">
        <w:t>Fu</w:t>
      </w:r>
      <w:r>
        <w:t xml:space="preserve"> Z.</w:t>
      </w:r>
      <w:r w:rsidRPr="006001E0">
        <w:t>, Zhu</w:t>
      </w:r>
      <w:r>
        <w:t xml:space="preserve"> </w:t>
      </w:r>
      <w:r w:rsidRPr="006001E0">
        <w:t>J., Barghi</w:t>
      </w:r>
      <w:r>
        <w:t xml:space="preserve"> </w:t>
      </w:r>
      <w:r w:rsidRPr="006001E0">
        <w:t>S., Zhao</w:t>
      </w:r>
      <w:r>
        <w:t xml:space="preserve"> </w:t>
      </w:r>
      <w:r w:rsidRPr="006001E0">
        <w:t>Y., Luo</w:t>
      </w:r>
      <w:r>
        <w:t xml:space="preserve"> </w:t>
      </w:r>
      <w:r w:rsidRPr="006001E0">
        <w:t>Z., Duan</w:t>
      </w:r>
      <w:r>
        <w:t xml:space="preserve"> </w:t>
      </w:r>
      <w:r w:rsidRPr="006001E0">
        <w:t>C.,</w:t>
      </w:r>
      <w:r>
        <w:t xml:space="preserve"> 2019,</w:t>
      </w:r>
      <w:r w:rsidRPr="006001E0">
        <w:t xml:space="preserve"> On the two-phase theory of fluidization for Geldart B and D particles, Powder Technol</w:t>
      </w:r>
      <w:r>
        <w:t>ogy,</w:t>
      </w:r>
      <w:r w:rsidRPr="006001E0">
        <w:t xml:space="preserve"> 354</w:t>
      </w:r>
      <w:r>
        <w:t>,</w:t>
      </w:r>
      <w:r w:rsidRPr="006001E0">
        <w:t xml:space="preserve"> 64–70</w:t>
      </w:r>
      <w:r>
        <w:t>.</w:t>
      </w:r>
      <w:r w:rsidRPr="006001E0">
        <w:t xml:space="preserve"> </w:t>
      </w:r>
    </w:p>
    <w:p w14:paraId="45657B12" w14:textId="7B6D4C98" w:rsidR="000841B8" w:rsidRDefault="000841B8" w:rsidP="00600535">
      <w:pPr>
        <w:pStyle w:val="CETReferencetext"/>
      </w:pPr>
      <w:r w:rsidRPr="000841B8">
        <w:t xml:space="preserve">Cui H., Mostoufi N., Chaouki J., </w:t>
      </w:r>
      <w:r>
        <w:t xml:space="preserve">2000, </w:t>
      </w:r>
      <w:r w:rsidRPr="000841B8">
        <w:t>Characterization</w:t>
      </w:r>
      <w:r>
        <w:t xml:space="preserve"> of dynamic gas-solid distribution in fluidized beds, Chemical Engineering Journal, 79, 133</w:t>
      </w:r>
      <w:r w:rsidRPr="006B4888">
        <w:t>–</w:t>
      </w:r>
      <w:r>
        <w:t>143.</w:t>
      </w:r>
    </w:p>
    <w:p w14:paraId="04DC0B18" w14:textId="7CC18222" w:rsidR="000278C0" w:rsidRPr="000278C0" w:rsidRDefault="000278C0" w:rsidP="000278C0">
      <w:pPr>
        <w:pStyle w:val="CETReferencetext"/>
      </w:pPr>
      <w:r>
        <w:t xml:space="preserve">Grace J.R., Clift </w:t>
      </w:r>
      <w:r w:rsidRPr="000278C0">
        <w:t xml:space="preserve">R., </w:t>
      </w:r>
      <w:r>
        <w:t xml:space="preserve">1974, </w:t>
      </w:r>
      <w:r w:rsidRPr="000278C0">
        <w:t>On the two-phase theory of fluidization, Chem</w:t>
      </w:r>
      <w:r>
        <w:t>ical</w:t>
      </w:r>
      <w:r w:rsidRPr="000278C0">
        <w:t xml:space="preserve"> Eng</w:t>
      </w:r>
      <w:r>
        <w:t>ineering</w:t>
      </w:r>
      <w:r w:rsidRPr="000278C0">
        <w:t xml:space="preserve"> Sci</w:t>
      </w:r>
      <w:r>
        <w:t>ence,</w:t>
      </w:r>
      <w:r w:rsidRPr="000278C0">
        <w:t xml:space="preserve"> 29</w:t>
      </w:r>
      <w:r>
        <w:t>,</w:t>
      </w:r>
      <w:r w:rsidRPr="000278C0">
        <w:t xml:space="preserve"> 327–334</w:t>
      </w:r>
      <w:r>
        <w:t>.</w:t>
      </w:r>
      <w:r w:rsidRPr="000278C0">
        <w:t xml:space="preserve"> </w:t>
      </w:r>
    </w:p>
    <w:p w14:paraId="142B7CA4" w14:textId="2FA2D7A2" w:rsidR="000841B8" w:rsidRDefault="000841B8" w:rsidP="00600535">
      <w:pPr>
        <w:pStyle w:val="CETReferencetext"/>
      </w:pPr>
      <w:r>
        <w:t>Lockett M.J., Davidson J.F., Harrison D., 1967, On the two-phase theory of fluidization, Chemical Engineering Science, 22, 1059</w:t>
      </w:r>
      <w:r w:rsidRPr="006B4888">
        <w:t>–</w:t>
      </w:r>
      <w:r>
        <w:t>1066.</w:t>
      </w:r>
    </w:p>
    <w:p w14:paraId="34BDEFEF" w14:textId="20123271" w:rsidR="00781374" w:rsidRDefault="00781374" w:rsidP="00600535">
      <w:pPr>
        <w:pStyle w:val="CETReferencetext"/>
      </w:pPr>
      <w:r w:rsidRPr="002B2AB7">
        <w:t xml:space="preserve">Aprea G., </w:t>
      </w:r>
      <w:r w:rsidR="008929DF" w:rsidRPr="002B2AB7">
        <w:t xml:space="preserve">Cammarota A., Chirone R., Solimene R., Salatino P., </w:t>
      </w:r>
      <w:r w:rsidR="002B2AB7" w:rsidRPr="002B2AB7">
        <w:t>2013, Hydrodynamic Characterization of the Biomass Combustion in a Pilot Scale Fluidized Bed Combustor</w:t>
      </w:r>
      <w:r w:rsidR="002B2AB7">
        <w:t xml:space="preserve">, </w:t>
      </w:r>
      <w:r w:rsidR="00A3428A">
        <w:t>Chemical Engineering Transactions, 32</w:t>
      </w:r>
      <w:r w:rsidR="00437D8C">
        <w:t>, 1519</w:t>
      </w:r>
      <w:r w:rsidR="00437D8C" w:rsidRPr="006B4888">
        <w:t>–</w:t>
      </w:r>
      <w:r w:rsidR="00437D8C">
        <w:t>1524.</w:t>
      </w:r>
    </w:p>
    <w:p w14:paraId="2208D4C5" w14:textId="448033A5" w:rsidR="00893C14" w:rsidRPr="002B2AB7" w:rsidRDefault="00893C14" w:rsidP="00600535">
      <w:pPr>
        <w:pStyle w:val="CETReferencetext"/>
      </w:pPr>
      <w:r w:rsidRPr="00893C14">
        <w:t>Tramontin Silveira Schaffka F., Jairo Ramirez Behainne J., Parise M.R., Castilho G.J., 2019, Effect of the Solids Inventory and Fluidization Gas Velocity on the Hydrodynamics of a Circulating Fluidized Bed, Chemical Engineering Transactions, 74, 1009</w:t>
      </w:r>
      <w:r w:rsidR="000E320A" w:rsidRPr="006B4888">
        <w:t>–</w:t>
      </w:r>
      <w:r w:rsidRPr="00893C14">
        <w:t>1014</w:t>
      </w:r>
      <w:r>
        <w:t>.</w:t>
      </w:r>
    </w:p>
    <w:p w14:paraId="21F490BE" w14:textId="630862E8" w:rsidR="00873052" w:rsidRDefault="00873052" w:rsidP="00600535">
      <w:pPr>
        <w:pStyle w:val="CETReferencetext"/>
      </w:pPr>
      <w:r w:rsidRPr="00873052">
        <w:t>Molignano L., Troiano M., Solimene R., Tebianian S., Scala F., Salatino P., Joly J.F.,</w:t>
      </w:r>
      <w:r w:rsidR="0021096A">
        <w:t xml:space="preserve"> 2023,</w:t>
      </w:r>
      <w:r w:rsidRPr="00873052">
        <w:t xml:space="preserve"> Hydrodynamics and mass transfer around active particles in dense gas-fluidized beds, Fuel</w:t>
      </w:r>
      <w:r>
        <w:t>, 341, 127590.</w:t>
      </w:r>
    </w:p>
    <w:p w14:paraId="5D19AE15" w14:textId="36FD65C8" w:rsidR="00873052" w:rsidRDefault="00873052" w:rsidP="00600535">
      <w:pPr>
        <w:pStyle w:val="CETReferencetext"/>
      </w:pPr>
      <w:r w:rsidRPr="0021096A">
        <w:t xml:space="preserve">Molignano L., Troiano M., Solimene R., Tebianian S., Joly J.F., Salatino P., </w:t>
      </w:r>
      <w:r w:rsidR="0021096A" w:rsidRPr="0021096A">
        <w:t>2024, Exploring the hydrodynamics of den</w:t>
      </w:r>
      <w:r w:rsidR="0021096A">
        <w:t>se beds of Geldart B and D gas-fluidized particles through the analysis of capacitance probe signals, Powder Technology, 447, 120174.</w:t>
      </w:r>
    </w:p>
    <w:p w14:paraId="44FCA734" w14:textId="13ED4542" w:rsidR="0022054C" w:rsidRDefault="0022054C" w:rsidP="00600535">
      <w:pPr>
        <w:pStyle w:val="CETReferencetext"/>
      </w:pPr>
      <w:r>
        <w:t>Scala F., 2007, Mass transfer around freely moving active particles in the dense phase of a gas fluidized bed on inert particles, Chemical Engineering Science, 62, 4159</w:t>
      </w:r>
      <w:r w:rsidRPr="006B4888">
        <w:t>–</w:t>
      </w:r>
      <w:r>
        <w:t>4176.</w:t>
      </w:r>
    </w:p>
    <w:p w14:paraId="34DFCAF0" w14:textId="5C5A96C2" w:rsidR="0090071D" w:rsidRDefault="0090071D" w:rsidP="00600535">
      <w:pPr>
        <w:pStyle w:val="CETReferencetext"/>
      </w:pPr>
      <w:r>
        <w:t>Sit S.P., Grace J.R., 1981, Effect of bubble interaction on interphase mass transfer in gas fluidized beds, Chemical Engineering Science, 36, 327</w:t>
      </w:r>
      <w:r w:rsidRPr="006B4888">
        <w:t>–</w:t>
      </w:r>
      <w:r>
        <w:t>335.</w:t>
      </w:r>
    </w:p>
    <w:p w14:paraId="7F7BBFA1" w14:textId="5AB3BC3C" w:rsidR="0090071D" w:rsidRDefault="0090071D" w:rsidP="00600535">
      <w:pPr>
        <w:pStyle w:val="CETReferencetext"/>
      </w:pPr>
      <w:r>
        <w:t>Hilligardt K., Werther J., 1987, Influence of temperature and properties of solids on the size and growth of bubbles in gas fluidized beds, Chemical Engineering &amp; Technology, 10, 272</w:t>
      </w:r>
      <w:r w:rsidRPr="006B4888">
        <w:t>–</w:t>
      </w:r>
      <w:r>
        <w:t>280.</w:t>
      </w:r>
    </w:p>
    <w:p w14:paraId="5FE9C84B" w14:textId="099314E6" w:rsidR="002A4222" w:rsidRPr="0021096A" w:rsidRDefault="002A4222" w:rsidP="00600535">
      <w:pPr>
        <w:pStyle w:val="CETReferencetext"/>
      </w:pPr>
      <w:r>
        <w:t>Gilliland E.R., 1963, Fluidised particles, Davidson J.F. and Harrison D., Cambridge University Press, New York.</w:t>
      </w:r>
    </w:p>
    <w:p w14:paraId="19C4FC68" w14:textId="08700E4F" w:rsidR="004628D2" w:rsidRDefault="00345CAD" w:rsidP="00DD27F7">
      <w:pPr>
        <w:pStyle w:val="CETReferencetext"/>
      </w:pPr>
      <w:r>
        <w:t xml:space="preserve">Richardson J.F., Zaki W.N., 1954, Sedimentation </w:t>
      </w:r>
      <w:r w:rsidRPr="00345CAD">
        <w:t>and fluidisation. Part 1, Trans</w:t>
      </w:r>
      <w:r>
        <w:t>actions of the</w:t>
      </w:r>
      <w:r w:rsidRPr="00345CAD">
        <w:t xml:space="preserve"> Inst</w:t>
      </w:r>
      <w:r>
        <w:t>itution of</w:t>
      </w:r>
      <w:r w:rsidRPr="00345CAD">
        <w:t xml:space="preserve"> Chem</w:t>
      </w:r>
      <w:r>
        <w:t>ical</w:t>
      </w:r>
      <w:r w:rsidRPr="00345CAD">
        <w:t xml:space="preserve"> Eng</w:t>
      </w:r>
      <w:r>
        <w:t>ineers,</w:t>
      </w:r>
      <w:r w:rsidRPr="00345CAD">
        <w:t xml:space="preserve"> 32</w:t>
      </w:r>
      <w:r>
        <w:t>,</w:t>
      </w:r>
      <w:r w:rsidRPr="00345CAD">
        <w:t xml:space="preserve"> 35–53.</w:t>
      </w:r>
    </w:p>
    <w:sectPr w:rsidR="004628D2"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708C2E" w14:textId="77777777" w:rsidR="007D10D5" w:rsidRDefault="007D10D5" w:rsidP="004F5E36">
      <w:r>
        <w:separator/>
      </w:r>
    </w:p>
  </w:endnote>
  <w:endnote w:type="continuationSeparator" w:id="0">
    <w:p w14:paraId="3602677B" w14:textId="77777777" w:rsidR="007D10D5" w:rsidRDefault="007D10D5"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204135" w14:textId="77777777" w:rsidR="007D10D5" w:rsidRDefault="007D10D5" w:rsidP="004F5E36">
      <w:r>
        <w:separator/>
      </w:r>
    </w:p>
  </w:footnote>
  <w:footnote w:type="continuationSeparator" w:id="0">
    <w:p w14:paraId="62832D37" w14:textId="77777777" w:rsidR="007D10D5" w:rsidRDefault="007D10D5"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438217E"/>
    <w:multiLevelType w:val="multilevel"/>
    <w:tmpl w:val="F0580EC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1"/>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8"/>
  </w:num>
  <w:num w:numId="13" w16cid:durableId="695733619">
    <w:abstractNumId w:val="13"/>
  </w:num>
  <w:num w:numId="14" w16cid:durableId="145903400">
    <w:abstractNumId w:val="19"/>
  </w:num>
  <w:num w:numId="15" w16cid:durableId="19162326">
    <w:abstractNumId w:val="21"/>
  </w:num>
  <w:num w:numId="16" w16cid:durableId="1977102699">
    <w:abstractNumId w:val="20"/>
  </w:num>
  <w:num w:numId="17" w16cid:durableId="860774865">
    <w:abstractNumId w:val="12"/>
  </w:num>
  <w:num w:numId="18" w16cid:durableId="313221457">
    <w:abstractNumId w:val="13"/>
    <w:lvlOverride w:ilvl="0">
      <w:startOverride w:val="1"/>
    </w:lvlOverride>
  </w:num>
  <w:num w:numId="19" w16cid:durableId="534971577">
    <w:abstractNumId w:val="17"/>
  </w:num>
  <w:num w:numId="20" w16cid:durableId="1150947773">
    <w:abstractNumId w:val="16"/>
  </w:num>
  <w:num w:numId="21" w16cid:durableId="124660497">
    <w:abstractNumId w:val="15"/>
  </w:num>
  <w:num w:numId="22" w16cid:durableId="2099861471">
    <w:abstractNumId w:val="14"/>
  </w:num>
  <w:num w:numId="23" w16cid:durableId="843513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A19"/>
    <w:rsid w:val="000117CB"/>
    <w:rsid w:val="000278C0"/>
    <w:rsid w:val="0003148D"/>
    <w:rsid w:val="00031EEC"/>
    <w:rsid w:val="00042CB4"/>
    <w:rsid w:val="00051566"/>
    <w:rsid w:val="000562A9"/>
    <w:rsid w:val="00062A9A"/>
    <w:rsid w:val="00063CA6"/>
    <w:rsid w:val="00065058"/>
    <w:rsid w:val="0007072E"/>
    <w:rsid w:val="000841B8"/>
    <w:rsid w:val="00086C39"/>
    <w:rsid w:val="000A03B2"/>
    <w:rsid w:val="000D0268"/>
    <w:rsid w:val="000D34BE"/>
    <w:rsid w:val="000E0B3C"/>
    <w:rsid w:val="000E102F"/>
    <w:rsid w:val="000E320A"/>
    <w:rsid w:val="000E36F1"/>
    <w:rsid w:val="000E3A73"/>
    <w:rsid w:val="000E414A"/>
    <w:rsid w:val="000E75FD"/>
    <w:rsid w:val="000F093C"/>
    <w:rsid w:val="000F787B"/>
    <w:rsid w:val="000F796A"/>
    <w:rsid w:val="00101A05"/>
    <w:rsid w:val="0010207C"/>
    <w:rsid w:val="0011198A"/>
    <w:rsid w:val="0012091F"/>
    <w:rsid w:val="00126BC2"/>
    <w:rsid w:val="001308B6"/>
    <w:rsid w:val="0013121F"/>
    <w:rsid w:val="00131FE6"/>
    <w:rsid w:val="0013263F"/>
    <w:rsid w:val="001331DF"/>
    <w:rsid w:val="00134DE4"/>
    <w:rsid w:val="0014034D"/>
    <w:rsid w:val="00140FE3"/>
    <w:rsid w:val="0014409C"/>
    <w:rsid w:val="00144D16"/>
    <w:rsid w:val="00150E59"/>
    <w:rsid w:val="00152DE3"/>
    <w:rsid w:val="001561D6"/>
    <w:rsid w:val="00161595"/>
    <w:rsid w:val="00164CF9"/>
    <w:rsid w:val="0016668E"/>
    <w:rsid w:val="001667A6"/>
    <w:rsid w:val="0018171E"/>
    <w:rsid w:val="00184AD6"/>
    <w:rsid w:val="001A4AF7"/>
    <w:rsid w:val="001B0349"/>
    <w:rsid w:val="001B1E93"/>
    <w:rsid w:val="001B410D"/>
    <w:rsid w:val="001B65C1"/>
    <w:rsid w:val="001C260F"/>
    <w:rsid w:val="001C5C3A"/>
    <w:rsid w:val="001C684B"/>
    <w:rsid w:val="001D0CFB"/>
    <w:rsid w:val="001D21AF"/>
    <w:rsid w:val="001D3D32"/>
    <w:rsid w:val="001D53FC"/>
    <w:rsid w:val="001E3771"/>
    <w:rsid w:val="001F422F"/>
    <w:rsid w:val="001F42A5"/>
    <w:rsid w:val="001F7B9D"/>
    <w:rsid w:val="00201C93"/>
    <w:rsid w:val="0021096A"/>
    <w:rsid w:val="00214296"/>
    <w:rsid w:val="0022054C"/>
    <w:rsid w:val="002224B4"/>
    <w:rsid w:val="002447EF"/>
    <w:rsid w:val="00251550"/>
    <w:rsid w:val="00263B05"/>
    <w:rsid w:val="0027221A"/>
    <w:rsid w:val="00275B61"/>
    <w:rsid w:val="00280FAF"/>
    <w:rsid w:val="00282656"/>
    <w:rsid w:val="00296B83"/>
    <w:rsid w:val="002A4222"/>
    <w:rsid w:val="002B2AB7"/>
    <w:rsid w:val="002B4015"/>
    <w:rsid w:val="002B78CE"/>
    <w:rsid w:val="002C2FB6"/>
    <w:rsid w:val="002E2EF9"/>
    <w:rsid w:val="002E5FA7"/>
    <w:rsid w:val="002F3309"/>
    <w:rsid w:val="003008CE"/>
    <w:rsid w:val="003009B7"/>
    <w:rsid w:val="00300E56"/>
    <w:rsid w:val="0030152C"/>
    <w:rsid w:val="0030343A"/>
    <w:rsid w:val="0030469C"/>
    <w:rsid w:val="00304CE8"/>
    <w:rsid w:val="003217CD"/>
    <w:rsid w:val="00321CA6"/>
    <w:rsid w:val="00322474"/>
    <w:rsid w:val="00323763"/>
    <w:rsid w:val="00323C5F"/>
    <w:rsid w:val="00334C09"/>
    <w:rsid w:val="00345CAD"/>
    <w:rsid w:val="003607F6"/>
    <w:rsid w:val="00366616"/>
    <w:rsid w:val="003723D4"/>
    <w:rsid w:val="00381905"/>
    <w:rsid w:val="00384CC8"/>
    <w:rsid w:val="003871FD"/>
    <w:rsid w:val="003A1E30"/>
    <w:rsid w:val="003A2829"/>
    <w:rsid w:val="003A7D1C"/>
    <w:rsid w:val="003B304B"/>
    <w:rsid w:val="003B3146"/>
    <w:rsid w:val="003B49CD"/>
    <w:rsid w:val="003B693D"/>
    <w:rsid w:val="003D1E02"/>
    <w:rsid w:val="003F015E"/>
    <w:rsid w:val="00400414"/>
    <w:rsid w:val="00402332"/>
    <w:rsid w:val="0041446B"/>
    <w:rsid w:val="00431179"/>
    <w:rsid w:val="00437D8C"/>
    <w:rsid w:val="0044071E"/>
    <w:rsid w:val="0044329C"/>
    <w:rsid w:val="004510DC"/>
    <w:rsid w:val="00453E24"/>
    <w:rsid w:val="00457456"/>
    <w:rsid w:val="004577FE"/>
    <w:rsid w:val="00457B9C"/>
    <w:rsid w:val="0046164A"/>
    <w:rsid w:val="004628D2"/>
    <w:rsid w:val="00462DCD"/>
    <w:rsid w:val="004648AD"/>
    <w:rsid w:val="004703A9"/>
    <w:rsid w:val="004760DE"/>
    <w:rsid w:val="004763D7"/>
    <w:rsid w:val="004A004E"/>
    <w:rsid w:val="004A24CF"/>
    <w:rsid w:val="004C3D1D"/>
    <w:rsid w:val="004C3D84"/>
    <w:rsid w:val="004C7913"/>
    <w:rsid w:val="004D08E4"/>
    <w:rsid w:val="004D564D"/>
    <w:rsid w:val="004E4DD6"/>
    <w:rsid w:val="004F5E36"/>
    <w:rsid w:val="00507B47"/>
    <w:rsid w:val="00507BEF"/>
    <w:rsid w:val="00507CC9"/>
    <w:rsid w:val="00510A82"/>
    <w:rsid w:val="005119A5"/>
    <w:rsid w:val="00517124"/>
    <w:rsid w:val="005278B7"/>
    <w:rsid w:val="00532016"/>
    <w:rsid w:val="005346C8"/>
    <w:rsid w:val="00543E7D"/>
    <w:rsid w:val="00547A68"/>
    <w:rsid w:val="005531C9"/>
    <w:rsid w:val="00554879"/>
    <w:rsid w:val="00570C43"/>
    <w:rsid w:val="00584DF8"/>
    <w:rsid w:val="00592274"/>
    <w:rsid w:val="005A1CAC"/>
    <w:rsid w:val="005A3A1C"/>
    <w:rsid w:val="005B2110"/>
    <w:rsid w:val="005B350B"/>
    <w:rsid w:val="005B61E6"/>
    <w:rsid w:val="005C77E1"/>
    <w:rsid w:val="005D668A"/>
    <w:rsid w:val="005D6A2F"/>
    <w:rsid w:val="005E0592"/>
    <w:rsid w:val="005E1A82"/>
    <w:rsid w:val="005E794C"/>
    <w:rsid w:val="005F0A28"/>
    <w:rsid w:val="005F0E5E"/>
    <w:rsid w:val="006001E0"/>
    <w:rsid w:val="00600535"/>
    <w:rsid w:val="00610CD6"/>
    <w:rsid w:val="006151DB"/>
    <w:rsid w:val="00620DEE"/>
    <w:rsid w:val="00621F92"/>
    <w:rsid w:val="0062280A"/>
    <w:rsid w:val="006231E1"/>
    <w:rsid w:val="00625639"/>
    <w:rsid w:val="00626342"/>
    <w:rsid w:val="00631B33"/>
    <w:rsid w:val="006406E3"/>
    <w:rsid w:val="0064184D"/>
    <w:rsid w:val="006422CC"/>
    <w:rsid w:val="00651D18"/>
    <w:rsid w:val="00652555"/>
    <w:rsid w:val="00660E3E"/>
    <w:rsid w:val="00662E74"/>
    <w:rsid w:val="00680C23"/>
    <w:rsid w:val="00683E23"/>
    <w:rsid w:val="00693766"/>
    <w:rsid w:val="006A3281"/>
    <w:rsid w:val="006A6DE5"/>
    <w:rsid w:val="006B2349"/>
    <w:rsid w:val="006B4888"/>
    <w:rsid w:val="006C035B"/>
    <w:rsid w:val="006C1C45"/>
    <w:rsid w:val="006C2E45"/>
    <w:rsid w:val="006C359C"/>
    <w:rsid w:val="006C5579"/>
    <w:rsid w:val="006D6E8B"/>
    <w:rsid w:val="006D7209"/>
    <w:rsid w:val="006E737D"/>
    <w:rsid w:val="00700ECC"/>
    <w:rsid w:val="00703C65"/>
    <w:rsid w:val="00707DD1"/>
    <w:rsid w:val="00713973"/>
    <w:rsid w:val="007146F2"/>
    <w:rsid w:val="00720A24"/>
    <w:rsid w:val="00732386"/>
    <w:rsid w:val="0073514D"/>
    <w:rsid w:val="007447F3"/>
    <w:rsid w:val="00746108"/>
    <w:rsid w:val="0075499F"/>
    <w:rsid w:val="00756178"/>
    <w:rsid w:val="007613C2"/>
    <w:rsid w:val="007661C8"/>
    <w:rsid w:val="0077098D"/>
    <w:rsid w:val="00781374"/>
    <w:rsid w:val="00785BF9"/>
    <w:rsid w:val="007931FA"/>
    <w:rsid w:val="007934C8"/>
    <w:rsid w:val="00794DDF"/>
    <w:rsid w:val="007A091B"/>
    <w:rsid w:val="007A4861"/>
    <w:rsid w:val="007A7BBA"/>
    <w:rsid w:val="007B0C50"/>
    <w:rsid w:val="007B3CDF"/>
    <w:rsid w:val="007B48F9"/>
    <w:rsid w:val="007C1A43"/>
    <w:rsid w:val="007D0951"/>
    <w:rsid w:val="007D10D5"/>
    <w:rsid w:val="007D610D"/>
    <w:rsid w:val="0080013E"/>
    <w:rsid w:val="00801759"/>
    <w:rsid w:val="00813288"/>
    <w:rsid w:val="008168FC"/>
    <w:rsid w:val="0083075E"/>
    <w:rsid w:val="00830996"/>
    <w:rsid w:val="008345F1"/>
    <w:rsid w:val="00864F4D"/>
    <w:rsid w:val="00865B07"/>
    <w:rsid w:val="008667EA"/>
    <w:rsid w:val="00873052"/>
    <w:rsid w:val="00873176"/>
    <w:rsid w:val="0087637F"/>
    <w:rsid w:val="008929DF"/>
    <w:rsid w:val="00892AD5"/>
    <w:rsid w:val="00893C14"/>
    <w:rsid w:val="008A1512"/>
    <w:rsid w:val="008B4443"/>
    <w:rsid w:val="008B7269"/>
    <w:rsid w:val="008D12F2"/>
    <w:rsid w:val="008D32B9"/>
    <w:rsid w:val="008D433B"/>
    <w:rsid w:val="008D4A16"/>
    <w:rsid w:val="008E31E8"/>
    <w:rsid w:val="008E5401"/>
    <w:rsid w:val="008E566E"/>
    <w:rsid w:val="008E5CEB"/>
    <w:rsid w:val="008E7589"/>
    <w:rsid w:val="008F4825"/>
    <w:rsid w:val="008F78CF"/>
    <w:rsid w:val="0090071D"/>
    <w:rsid w:val="0090161A"/>
    <w:rsid w:val="00901EB6"/>
    <w:rsid w:val="00902237"/>
    <w:rsid w:val="009041F8"/>
    <w:rsid w:val="00904C62"/>
    <w:rsid w:val="00922BA8"/>
    <w:rsid w:val="00924DAC"/>
    <w:rsid w:val="00926D28"/>
    <w:rsid w:val="00927058"/>
    <w:rsid w:val="00931142"/>
    <w:rsid w:val="00942750"/>
    <w:rsid w:val="009450CE"/>
    <w:rsid w:val="009459BB"/>
    <w:rsid w:val="0094649F"/>
    <w:rsid w:val="00946837"/>
    <w:rsid w:val="00947179"/>
    <w:rsid w:val="0095164B"/>
    <w:rsid w:val="00954090"/>
    <w:rsid w:val="009573E7"/>
    <w:rsid w:val="00963B9B"/>
    <w:rsid w:val="00963E05"/>
    <w:rsid w:val="00964A45"/>
    <w:rsid w:val="00965C23"/>
    <w:rsid w:val="00967843"/>
    <w:rsid w:val="00967D54"/>
    <w:rsid w:val="00971028"/>
    <w:rsid w:val="0097225F"/>
    <w:rsid w:val="00993B84"/>
    <w:rsid w:val="00994293"/>
    <w:rsid w:val="00994C6A"/>
    <w:rsid w:val="00996483"/>
    <w:rsid w:val="00996F5A"/>
    <w:rsid w:val="009A6E5C"/>
    <w:rsid w:val="009B041A"/>
    <w:rsid w:val="009B6E57"/>
    <w:rsid w:val="009C37C3"/>
    <w:rsid w:val="009C7C86"/>
    <w:rsid w:val="009D2FF7"/>
    <w:rsid w:val="009E7884"/>
    <w:rsid w:val="009E788A"/>
    <w:rsid w:val="009F0E08"/>
    <w:rsid w:val="00A079AE"/>
    <w:rsid w:val="00A17165"/>
    <w:rsid w:val="00A1763D"/>
    <w:rsid w:val="00A17CEC"/>
    <w:rsid w:val="00A26172"/>
    <w:rsid w:val="00A27EF0"/>
    <w:rsid w:val="00A3428A"/>
    <w:rsid w:val="00A42361"/>
    <w:rsid w:val="00A441DE"/>
    <w:rsid w:val="00A503DC"/>
    <w:rsid w:val="00A50B20"/>
    <w:rsid w:val="00A51390"/>
    <w:rsid w:val="00A60D13"/>
    <w:rsid w:val="00A64B36"/>
    <w:rsid w:val="00A7223D"/>
    <w:rsid w:val="00A72745"/>
    <w:rsid w:val="00A76EFC"/>
    <w:rsid w:val="00A87D50"/>
    <w:rsid w:val="00A91010"/>
    <w:rsid w:val="00A92208"/>
    <w:rsid w:val="00A97F29"/>
    <w:rsid w:val="00AA702E"/>
    <w:rsid w:val="00AA7D26"/>
    <w:rsid w:val="00AB0964"/>
    <w:rsid w:val="00AB5011"/>
    <w:rsid w:val="00AC29ED"/>
    <w:rsid w:val="00AC7368"/>
    <w:rsid w:val="00AD16B9"/>
    <w:rsid w:val="00AD22DE"/>
    <w:rsid w:val="00AD711E"/>
    <w:rsid w:val="00AE377D"/>
    <w:rsid w:val="00AE7A98"/>
    <w:rsid w:val="00AF0EBA"/>
    <w:rsid w:val="00AF2463"/>
    <w:rsid w:val="00AF3277"/>
    <w:rsid w:val="00B02C8A"/>
    <w:rsid w:val="00B041B4"/>
    <w:rsid w:val="00B06FE2"/>
    <w:rsid w:val="00B07E83"/>
    <w:rsid w:val="00B17FBD"/>
    <w:rsid w:val="00B315A6"/>
    <w:rsid w:val="00B31813"/>
    <w:rsid w:val="00B33365"/>
    <w:rsid w:val="00B56C18"/>
    <w:rsid w:val="00B57B36"/>
    <w:rsid w:val="00B57E6F"/>
    <w:rsid w:val="00B71D8A"/>
    <w:rsid w:val="00B8686D"/>
    <w:rsid w:val="00B93F69"/>
    <w:rsid w:val="00BA31D5"/>
    <w:rsid w:val="00BB1DDC"/>
    <w:rsid w:val="00BB572C"/>
    <w:rsid w:val="00BC30C9"/>
    <w:rsid w:val="00BD077D"/>
    <w:rsid w:val="00BD1047"/>
    <w:rsid w:val="00BE3E58"/>
    <w:rsid w:val="00BF13CE"/>
    <w:rsid w:val="00BF26D8"/>
    <w:rsid w:val="00BF5108"/>
    <w:rsid w:val="00C01616"/>
    <w:rsid w:val="00C0162B"/>
    <w:rsid w:val="00C068ED"/>
    <w:rsid w:val="00C15BEE"/>
    <w:rsid w:val="00C162D1"/>
    <w:rsid w:val="00C22E0C"/>
    <w:rsid w:val="00C345B1"/>
    <w:rsid w:val="00C40142"/>
    <w:rsid w:val="00C4479F"/>
    <w:rsid w:val="00C5144E"/>
    <w:rsid w:val="00C52C3C"/>
    <w:rsid w:val="00C57182"/>
    <w:rsid w:val="00C57863"/>
    <w:rsid w:val="00C640AF"/>
    <w:rsid w:val="00C655FD"/>
    <w:rsid w:val="00C75407"/>
    <w:rsid w:val="00C841C6"/>
    <w:rsid w:val="00C870A8"/>
    <w:rsid w:val="00C94434"/>
    <w:rsid w:val="00CA0D75"/>
    <w:rsid w:val="00CA1C95"/>
    <w:rsid w:val="00CA5A9C"/>
    <w:rsid w:val="00CB0091"/>
    <w:rsid w:val="00CB13AD"/>
    <w:rsid w:val="00CC4C20"/>
    <w:rsid w:val="00CC7FA6"/>
    <w:rsid w:val="00CD3517"/>
    <w:rsid w:val="00CD5FE2"/>
    <w:rsid w:val="00CE18F1"/>
    <w:rsid w:val="00CE7C68"/>
    <w:rsid w:val="00D02B4C"/>
    <w:rsid w:val="00D040C4"/>
    <w:rsid w:val="00D20AD1"/>
    <w:rsid w:val="00D2582C"/>
    <w:rsid w:val="00D46B7E"/>
    <w:rsid w:val="00D57C84"/>
    <w:rsid w:val="00D6057D"/>
    <w:rsid w:val="00D71640"/>
    <w:rsid w:val="00D836C5"/>
    <w:rsid w:val="00D84576"/>
    <w:rsid w:val="00DA1399"/>
    <w:rsid w:val="00DA24C6"/>
    <w:rsid w:val="00DA4D7B"/>
    <w:rsid w:val="00DA5E4C"/>
    <w:rsid w:val="00DC2840"/>
    <w:rsid w:val="00DC73EE"/>
    <w:rsid w:val="00DD271C"/>
    <w:rsid w:val="00DD27F7"/>
    <w:rsid w:val="00DD780C"/>
    <w:rsid w:val="00DE264A"/>
    <w:rsid w:val="00DE5966"/>
    <w:rsid w:val="00DE5B4A"/>
    <w:rsid w:val="00DF5072"/>
    <w:rsid w:val="00E02D18"/>
    <w:rsid w:val="00E041E7"/>
    <w:rsid w:val="00E05222"/>
    <w:rsid w:val="00E23CA1"/>
    <w:rsid w:val="00E31C2D"/>
    <w:rsid w:val="00E33772"/>
    <w:rsid w:val="00E409A8"/>
    <w:rsid w:val="00E50C12"/>
    <w:rsid w:val="00E6181D"/>
    <w:rsid w:val="00E648A6"/>
    <w:rsid w:val="00E65B91"/>
    <w:rsid w:val="00E7209D"/>
    <w:rsid w:val="00E72241"/>
    <w:rsid w:val="00E72EAD"/>
    <w:rsid w:val="00E77223"/>
    <w:rsid w:val="00E81126"/>
    <w:rsid w:val="00E8528B"/>
    <w:rsid w:val="00E85B94"/>
    <w:rsid w:val="00E978D0"/>
    <w:rsid w:val="00EA4613"/>
    <w:rsid w:val="00EA615B"/>
    <w:rsid w:val="00EA7F91"/>
    <w:rsid w:val="00EB1523"/>
    <w:rsid w:val="00EB6FE0"/>
    <w:rsid w:val="00EC0E49"/>
    <w:rsid w:val="00EC101F"/>
    <w:rsid w:val="00EC1D9F"/>
    <w:rsid w:val="00ED1F72"/>
    <w:rsid w:val="00EE0131"/>
    <w:rsid w:val="00EE17B0"/>
    <w:rsid w:val="00EE2D9A"/>
    <w:rsid w:val="00EE3140"/>
    <w:rsid w:val="00EF06D9"/>
    <w:rsid w:val="00EF3E55"/>
    <w:rsid w:val="00F0344C"/>
    <w:rsid w:val="00F11CE8"/>
    <w:rsid w:val="00F24AAC"/>
    <w:rsid w:val="00F3049E"/>
    <w:rsid w:val="00F30C64"/>
    <w:rsid w:val="00F32BA2"/>
    <w:rsid w:val="00F32CDB"/>
    <w:rsid w:val="00F41EE4"/>
    <w:rsid w:val="00F565FE"/>
    <w:rsid w:val="00F63A70"/>
    <w:rsid w:val="00F63D8C"/>
    <w:rsid w:val="00F7534E"/>
    <w:rsid w:val="00F93EDF"/>
    <w:rsid w:val="00FA1802"/>
    <w:rsid w:val="00FA21D0"/>
    <w:rsid w:val="00FA5F5F"/>
    <w:rsid w:val="00FB730C"/>
    <w:rsid w:val="00FC2695"/>
    <w:rsid w:val="00FC3E03"/>
    <w:rsid w:val="00FC3FC1"/>
    <w:rsid w:val="00FD3116"/>
    <w:rsid w:val="00FD456D"/>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652555"/>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652555"/>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customStyle="1" w:styleId="gmail-apple-converted-space">
    <w:name w:val="gmail-apple-converted-space"/>
    <w:basedOn w:val="Carpredefinitoparagrafo"/>
    <w:rsid w:val="00005A19"/>
  </w:style>
  <w:style w:type="character" w:styleId="Testosegnaposto">
    <w:name w:val="Placeholder Text"/>
    <w:basedOn w:val="Carpredefinitoparagrafo"/>
    <w:uiPriority w:val="99"/>
    <w:semiHidden/>
    <w:rsid w:val="00CC7FA6"/>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3039</Words>
  <Characters>17325</Characters>
  <Application>Microsoft Office Word</Application>
  <DocSecurity>0</DocSecurity>
  <Lines>144</Lines>
  <Paragraphs>40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20324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MAURIZIO TROIANO</cp:lastModifiedBy>
  <cp:revision>81</cp:revision>
  <cp:lastPrinted>2015-05-12T18:31:00Z</cp:lastPrinted>
  <dcterms:created xsi:type="dcterms:W3CDTF">2024-02-20T10:29:00Z</dcterms:created>
  <dcterms:modified xsi:type="dcterms:W3CDTF">2025-04-14T17:15:00Z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SIP_Label_2ad0b24d-6422-44b0-b3de-abb3a9e8c81a_Enabled">
    <vt:lpwstr>true</vt:lpwstr>
  </property>
  <property fmtid="{D5CDD505-2E9C-101B-9397-08002B2CF9AE}" pid="5" name="MSIP_Label_2ad0b24d-6422-44b0-b3de-abb3a9e8c81a_SetDate">
    <vt:lpwstr>2024-12-14T17:04:46Z</vt:lpwstr>
  </property>
  <property fmtid="{D5CDD505-2E9C-101B-9397-08002B2CF9AE}" pid="6" name="MSIP_Label_2ad0b24d-6422-44b0-b3de-abb3a9e8c81a_Method">
    <vt:lpwstr>Standard</vt:lpwstr>
  </property>
  <property fmtid="{D5CDD505-2E9C-101B-9397-08002B2CF9AE}" pid="7" name="MSIP_Label_2ad0b24d-6422-44b0-b3de-abb3a9e8c81a_Name">
    <vt:lpwstr>defa4170-0d19-0005-0004-bc88714345d2</vt:lpwstr>
  </property>
  <property fmtid="{D5CDD505-2E9C-101B-9397-08002B2CF9AE}" pid="8" name="MSIP_Label_2ad0b24d-6422-44b0-b3de-abb3a9e8c81a_SiteId">
    <vt:lpwstr>2fcfe26a-bb62-46b0-b1e3-28f9da0c45fd</vt:lpwstr>
  </property>
  <property fmtid="{D5CDD505-2E9C-101B-9397-08002B2CF9AE}" pid="9" name="MSIP_Label_2ad0b24d-6422-44b0-b3de-abb3a9e8c81a_ActionId">
    <vt:lpwstr>d4459f8e-c15a-4e14-b0e9-4c782b9395fd</vt:lpwstr>
  </property>
  <property fmtid="{D5CDD505-2E9C-101B-9397-08002B2CF9AE}" pid="10" name="MSIP_Label_2ad0b24d-6422-44b0-b3de-abb3a9e8c81a_ContentBits">
    <vt:lpwstr>0</vt:lpwstr>
  </property>
</Properties>
</file>