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CF0ACE"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CF0ACE" w:rsidRDefault="000A03B2" w:rsidP="00DE264A">
            <w:pPr>
              <w:tabs>
                <w:tab w:val="left" w:pos="-108"/>
              </w:tabs>
              <w:ind w:left="-108"/>
              <w:jc w:val="left"/>
              <w:rPr>
                <w:rFonts w:cs="Arial"/>
                <w:b/>
                <w:bCs/>
                <w:i/>
                <w:iCs/>
                <w:color w:val="000066"/>
                <w:sz w:val="12"/>
                <w:szCs w:val="12"/>
                <w:lang w:val="en-US" w:eastAsia="it-IT"/>
              </w:rPr>
            </w:pPr>
            <w:bookmarkStart w:id="0" w:name="_Hlk145068772"/>
            <w:r w:rsidRPr="00CF0ACE">
              <w:rPr>
                <w:rFonts w:ascii="AdvP6960" w:hAnsi="AdvP6960" w:cs="AdvP6960"/>
                <w:noProof/>
                <w:color w:val="241F20"/>
                <w:szCs w:val="18"/>
                <w:lang w:val="es-CO" w:eastAsia="es-CO"/>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CF0ACE">
              <w:rPr>
                <w:rFonts w:ascii="AdvP6960" w:hAnsi="AdvP6960" w:cs="AdvP6960"/>
                <w:color w:val="241F20"/>
                <w:szCs w:val="18"/>
                <w:lang w:val="en-US" w:eastAsia="it-IT"/>
              </w:rPr>
              <w:t xml:space="preserve"> </w:t>
            </w:r>
            <w:r w:rsidRPr="00CF0ACE">
              <w:rPr>
                <w:rFonts w:cs="Arial"/>
                <w:b/>
                <w:bCs/>
                <w:i/>
                <w:iCs/>
                <w:color w:val="000066"/>
                <w:sz w:val="24"/>
                <w:szCs w:val="24"/>
                <w:lang w:val="en-US" w:eastAsia="it-IT"/>
              </w:rPr>
              <w:t>CHEMICAL ENGINEERING</w:t>
            </w:r>
            <w:r w:rsidRPr="00CF0ACE">
              <w:rPr>
                <w:rFonts w:cs="Arial"/>
                <w:b/>
                <w:bCs/>
                <w:i/>
                <w:iCs/>
                <w:color w:val="0033FF"/>
                <w:sz w:val="24"/>
                <w:szCs w:val="24"/>
                <w:lang w:val="en-US" w:eastAsia="it-IT"/>
              </w:rPr>
              <w:t xml:space="preserve"> </w:t>
            </w:r>
            <w:r w:rsidRPr="00CF0ACE">
              <w:rPr>
                <w:rFonts w:cs="Arial"/>
                <w:b/>
                <w:bCs/>
                <w:i/>
                <w:iCs/>
                <w:color w:val="666666"/>
                <w:sz w:val="24"/>
                <w:szCs w:val="24"/>
                <w:lang w:val="en-US" w:eastAsia="it-IT"/>
              </w:rPr>
              <w:t>TRANSACTIONS</w:t>
            </w:r>
            <w:r w:rsidRPr="00CF0ACE">
              <w:rPr>
                <w:color w:val="333333"/>
                <w:sz w:val="24"/>
                <w:szCs w:val="24"/>
                <w:lang w:val="en-US" w:eastAsia="it-IT"/>
              </w:rPr>
              <w:t xml:space="preserve"> </w:t>
            </w:r>
            <w:r w:rsidRPr="00CF0ACE">
              <w:rPr>
                <w:rFonts w:cs="Arial"/>
                <w:b/>
                <w:bCs/>
                <w:i/>
                <w:iCs/>
                <w:color w:val="000066"/>
                <w:sz w:val="27"/>
                <w:szCs w:val="27"/>
                <w:lang w:val="en-US" w:eastAsia="it-IT"/>
              </w:rPr>
              <w:br/>
            </w:r>
          </w:p>
          <w:p w14:paraId="4B780582" w14:textId="47EF826C" w:rsidR="000A03B2" w:rsidRPr="00CF0ACE" w:rsidRDefault="00A76EFC" w:rsidP="001D21AF">
            <w:pPr>
              <w:tabs>
                <w:tab w:val="left" w:pos="-108"/>
              </w:tabs>
              <w:ind w:left="-108"/>
              <w:rPr>
                <w:rFonts w:cs="Arial"/>
                <w:b/>
                <w:bCs/>
                <w:i/>
                <w:iCs/>
                <w:color w:val="000066"/>
                <w:sz w:val="22"/>
                <w:szCs w:val="22"/>
                <w:lang w:val="en-US" w:eastAsia="it-IT"/>
              </w:rPr>
            </w:pPr>
            <w:r w:rsidRPr="00CF0ACE">
              <w:rPr>
                <w:rFonts w:cs="Arial"/>
                <w:b/>
                <w:bCs/>
                <w:i/>
                <w:iCs/>
                <w:color w:val="000066"/>
                <w:sz w:val="22"/>
                <w:szCs w:val="22"/>
                <w:lang w:val="en-US" w:eastAsia="it-IT"/>
              </w:rPr>
              <w:t>VOL.</w:t>
            </w:r>
            <w:r w:rsidR="00785BF9" w:rsidRPr="00CF0ACE">
              <w:rPr>
                <w:rFonts w:cs="Arial"/>
                <w:b/>
                <w:bCs/>
                <w:i/>
                <w:iCs/>
                <w:color w:val="000066"/>
                <w:sz w:val="22"/>
                <w:szCs w:val="22"/>
                <w:lang w:val="en-US" w:eastAsia="it-IT"/>
              </w:rPr>
              <w:t xml:space="preserve"> </w:t>
            </w:r>
            <w:r w:rsidR="00994C6A" w:rsidRPr="00CF0ACE">
              <w:rPr>
                <w:rFonts w:cs="Arial"/>
                <w:b/>
                <w:bCs/>
                <w:i/>
                <w:iCs/>
                <w:color w:val="000066"/>
                <w:sz w:val="22"/>
                <w:szCs w:val="22"/>
                <w:lang w:val="en-US" w:eastAsia="it-IT"/>
              </w:rPr>
              <w:t>xxx</w:t>
            </w:r>
            <w:r w:rsidR="007B48F9" w:rsidRPr="00CF0ACE">
              <w:rPr>
                <w:rFonts w:cs="Arial"/>
                <w:b/>
                <w:bCs/>
                <w:i/>
                <w:iCs/>
                <w:color w:val="000066"/>
                <w:sz w:val="22"/>
                <w:szCs w:val="22"/>
                <w:lang w:val="en-US" w:eastAsia="it-IT"/>
              </w:rPr>
              <w:t>,</w:t>
            </w:r>
            <w:r w:rsidR="00FA5F5F" w:rsidRPr="00CF0ACE">
              <w:rPr>
                <w:rFonts w:cs="Arial"/>
                <w:b/>
                <w:bCs/>
                <w:i/>
                <w:iCs/>
                <w:color w:val="000066"/>
                <w:sz w:val="22"/>
                <w:szCs w:val="22"/>
                <w:lang w:val="en-US" w:eastAsia="it-IT"/>
              </w:rPr>
              <w:t xml:space="preserve"> </w:t>
            </w:r>
            <w:r w:rsidR="0030152C" w:rsidRPr="00CF0ACE">
              <w:rPr>
                <w:rFonts w:cs="Arial"/>
                <w:b/>
                <w:bCs/>
                <w:i/>
                <w:iCs/>
                <w:color w:val="000066"/>
                <w:sz w:val="22"/>
                <w:szCs w:val="22"/>
                <w:lang w:val="en-US" w:eastAsia="it-IT"/>
              </w:rPr>
              <w:t>202</w:t>
            </w:r>
            <w:r w:rsidR="00994C6A" w:rsidRPr="00CF0ACE">
              <w:rPr>
                <w:rFonts w:cs="Arial"/>
                <w:b/>
                <w:bCs/>
                <w:i/>
                <w:iCs/>
                <w:color w:val="000066"/>
                <w:sz w:val="22"/>
                <w:szCs w:val="22"/>
                <w:lang w:val="en-US" w:eastAsia="it-IT"/>
              </w:rPr>
              <w:t>5</w:t>
            </w:r>
          </w:p>
        </w:tc>
        <w:tc>
          <w:tcPr>
            <w:tcW w:w="1843" w:type="dxa"/>
            <w:tcBorders>
              <w:left w:val="single" w:sz="4" w:space="0" w:color="auto"/>
              <w:bottom w:val="nil"/>
              <w:right w:val="single" w:sz="4" w:space="0" w:color="auto"/>
            </w:tcBorders>
          </w:tcPr>
          <w:p w14:paraId="56782132" w14:textId="77777777" w:rsidR="000A03B2" w:rsidRPr="00CF0ACE" w:rsidRDefault="000A03B2" w:rsidP="00CD5FE2">
            <w:pPr>
              <w:spacing w:line="140" w:lineRule="atLeast"/>
              <w:jc w:val="right"/>
              <w:rPr>
                <w:rFonts w:cs="Arial"/>
                <w:sz w:val="14"/>
                <w:szCs w:val="14"/>
                <w:lang w:val="en-US"/>
              </w:rPr>
            </w:pPr>
            <w:r w:rsidRPr="00CF0ACE">
              <w:rPr>
                <w:rFonts w:cs="Arial"/>
                <w:sz w:val="14"/>
                <w:szCs w:val="14"/>
                <w:lang w:val="en-US"/>
              </w:rPr>
              <w:t>A publication of</w:t>
            </w:r>
          </w:p>
          <w:p w14:paraId="599E5441" w14:textId="77777777" w:rsidR="000A03B2" w:rsidRPr="00CF0ACE" w:rsidRDefault="000A03B2" w:rsidP="00CD5FE2">
            <w:pPr>
              <w:jc w:val="right"/>
              <w:rPr>
                <w:lang w:val="en-US"/>
              </w:rPr>
            </w:pPr>
            <w:r w:rsidRPr="00CF0ACE">
              <w:rPr>
                <w:noProof/>
                <w:lang w:val="es-CO" w:eastAsia="es-CO"/>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CF0ACE" w14:paraId="380FA3CD" w14:textId="77777777" w:rsidTr="00DE264A">
        <w:trPr>
          <w:trHeight w:val="567"/>
          <w:jc w:val="center"/>
        </w:trPr>
        <w:tc>
          <w:tcPr>
            <w:tcW w:w="6946" w:type="dxa"/>
            <w:vMerge/>
            <w:tcBorders>
              <w:right w:val="single" w:sz="4" w:space="0" w:color="auto"/>
            </w:tcBorders>
          </w:tcPr>
          <w:p w14:paraId="39E5E4C1" w14:textId="77777777" w:rsidR="000A03B2" w:rsidRPr="00CF0ACE" w:rsidRDefault="000A03B2" w:rsidP="00CD5FE2">
            <w:pPr>
              <w:tabs>
                <w:tab w:val="left" w:pos="-108"/>
              </w:tabs>
              <w:rPr>
                <w:lang w:val="en-US"/>
              </w:rPr>
            </w:pPr>
          </w:p>
        </w:tc>
        <w:tc>
          <w:tcPr>
            <w:tcW w:w="1843" w:type="dxa"/>
            <w:tcBorders>
              <w:left w:val="single" w:sz="4" w:space="0" w:color="auto"/>
              <w:bottom w:val="nil"/>
              <w:right w:val="single" w:sz="4" w:space="0" w:color="auto"/>
            </w:tcBorders>
          </w:tcPr>
          <w:p w14:paraId="43858A98" w14:textId="77777777" w:rsidR="000A03B2" w:rsidRPr="00CF0ACE" w:rsidRDefault="000A03B2" w:rsidP="00CD5FE2">
            <w:pPr>
              <w:spacing w:line="140" w:lineRule="atLeast"/>
              <w:jc w:val="right"/>
              <w:rPr>
                <w:rFonts w:cs="Arial"/>
                <w:sz w:val="14"/>
                <w:szCs w:val="14"/>
                <w:lang w:val="en-US"/>
              </w:rPr>
            </w:pPr>
            <w:r w:rsidRPr="00CF0ACE">
              <w:rPr>
                <w:rFonts w:cs="Arial"/>
                <w:sz w:val="14"/>
                <w:szCs w:val="14"/>
                <w:lang w:val="en-US"/>
              </w:rPr>
              <w:t>The Italian Association</w:t>
            </w:r>
          </w:p>
          <w:p w14:paraId="7522B1D2" w14:textId="77777777" w:rsidR="000A03B2" w:rsidRPr="00CF0ACE" w:rsidRDefault="000A03B2" w:rsidP="00CD5FE2">
            <w:pPr>
              <w:spacing w:line="140" w:lineRule="atLeast"/>
              <w:jc w:val="right"/>
              <w:rPr>
                <w:rFonts w:cs="Arial"/>
                <w:sz w:val="14"/>
                <w:szCs w:val="14"/>
                <w:lang w:val="en-US"/>
              </w:rPr>
            </w:pPr>
            <w:r w:rsidRPr="00CF0ACE">
              <w:rPr>
                <w:rFonts w:cs="Arial"/>
                <w:sz w:val="14"/>
                <w:szCs w:val="14"/>
                <w:lang w:val="en-US"/>
              </w:rPr>
              <w:t>of Chemical Engineering</w:t>
            </w:r>
          </w:p>
          <w:p w14:paraId="4F0CC5DE" w14:textId="47FDB2FC" w:rsidR="000A03B2" w:rsidRPr="00CF0ACE" w:rsidRDefault="000D0268" w:rsidP="00CD5FE2">
            <w:pPr>
              <w:spacing w:line="140" w:lineRule="atLeast"/>
              <w:jc w:val="right"/>
              <w:rPr>
                <w:rFonts w:cs="Arial"/>
                <w:sz w:val="13"/>
                <w:szCs w:val="13"/>
                <w:lang w:val="en-US"/>
              </w:rPr>
            </w:pPr>
            <w:r w:rsidRPr="00CF0ACE">
              <w:rPr>
                <w:rFonts w:cs="Arial"/>
                <w:sz w:val="13"/>
                <w:szCs w:val="13"/>
                <w:lang w:val="en-US"/>
              </w:rPr>
              <w:t>Online at www.cetjournal.it</w:t>
            </w:r>
          </w:p>
        </w:tc>
      </w:tr>
      <w:tr w:rsidR="000A03B2" w:rsidRPr="00CF0ACE" w14:paraId="2D1B7169" w14:textId="77777777" w:rsidTr="00DE264A">
        <w:trPr>
          <w:trHeight w:val="68"/>
          <w:jc w:val="center"/>
        </w:trPr>
        <w:tc>
          <w:tcPr>
            <w:tcW w:w="8789" w:type="dxa"/>
            <w:gridSpan w:val="2"/>
          </w:tcPr>
          <w:p w14:paraId="1D8DD3C9" w14:textId="025D7B18" w:rsidR="00AA7D26" w:rsidRPr="00CF0ACE" w:rsidRDefault="00AA7D26" w:rsidP="007D610D">
            <w:pPr>
              <w:ind w:left="-107"/>
              <w:outlineLvl w:val="2"/>
              <w:rPr>
                <w:rFonts w:ascii="Tahoma" w:hAnsi="Tahoma" w:cs="Tahoma"/>
                <w:color w:val="000000"/>
                <w:sz w:val="14"/>
                <w:szCs w:val="14"/>
                <w:shd w:val="clear" w:color="auto" w:fill="FFFFFF"/>
                <w:lang w:val="en-US"/>
              </w:rPr>
            </w:pPr>
            <w:r w:rsidRPr="00CF0ACE">
              <w:rPr>
                <w:rFonts w:ascii="Tahoma" w:hAnsi="Tahoma" w:cs="Tahoma"/>
                <w:iCs/>
                <w:color w:val="333333"/>
                <w:sz w:val="14"/>
                <w:szCs w:val="14"/>
                <w:lang w:val="en-US" w:eastAsia="it-IT"/>
              </w:rPr>
              <w:t>Guest Editors:</w:t>
            </w:r>
            <w:r w:rsidR="007D610D" w:rsidRPr="00CF0ACE">
              <w:rPr>
                <w:rFonts w:ascii="Aptos" w:eastAsiaTheme="minorHAnsi" w:hAnsi="Aptos" w:cs="Aptos"/>
                <w:sz w:val="22"/>
                <w:szCs w:val="22"/>
                <w:lang w:val="en-US"/>
                <w14:ligatures w14:val="standardContextual"/>
              </w:rPr>
              <w:t xml:space="preserve"> </w:t>
            </w:r>
            <w:r w:rsidR="007D610D" w:rsidRPr="00CF0ACE">
              <w:rPr>
                <w:rFonts w:ascii="Tahoma" w:hAnsi="Tahoma" w:cs="Tahoma"/>
                <w:color w:val="000000"/>
                <w:sz w:val="14"/>
                <w:szCs w:val="14"/>
                <w:shd w:val="clear" w:color="auto" w:fill="FFFFFF"/>
                <w:lang w:val="en-US"/>
              </w:rPr>
              <w:t xml:space="preserve">Fabrizio </w:t>
            </w:r>
            <w:proofErr w:type="spellStart"/>
            <w:r w:rsidR="007D610D" w:rsidRPr="00CF0ACE">
              <w:rPr>
                <w:rFonts w:ascii="Tahoma" w:hAnsi="Tahoma" w:cs="Tahoma"/>
                <w:color w:val="000000"/>
                <w:sz w:val="14"/>
                <w:szCs w:val="14"/>
                <w:shd w:val="clear" w:color="auto" w:fill="FFFFFF"/>
                <w:lang w:val="en-US"/>
              </w:rPr>
              <w:t>Bezzo</w:t>
            </w:r>
            <w:proofErr w:type="spellEnd"/>
            <w:r w:rsidR="007D610D" w:rsidRPr="00CF0ACE">
              <w:rPr>
                <w:rFonts w:ascii="Tahoma" w:hAnsi="Tahoma" w:cs="Tahoma"/>
                <w:color w:val="000000"/>
                <w:sz w:val="14"/>
                <w:szCs w:val="14"/>
                <w:shd w:val="clear" w:color="auto" w:fill="FFFFFF"/>
                <w:lang w:val="en-US"/>
              </w:rPr>
              <w:t xml:space="preserve">, </w:t>
            </w:r>
            <w:r w:rsidR="001D3D32" w:rsidRPr="00CF0ACE">
              <w:rPr>
                <w:rFonts w:ascii="Tahoma" w:hAnsi="Tahoma" w:cs="Tahoma"/>
                <w:color w:val="000000"/>
                <w:sz w:val="14"/>
                <w:szCs w:val="14"/>
                <w:shd w:val="clear" w:color="auto" w:fill="FFFFFF"/>
                <w:lang w:val="en-US"/>
              </w:rPr>
              <w:t xml:space="preserve">Flavio </w:t>
            </w:r>
            <w:proofErr w:type="spellStart"/>
            <w:r w:rsidR="001D3D32" w:rsidRPr="00CF0ACE">
              <w:rPr>
                <w:rFonts w:ascii="Tahoma" w:hAnsi="Tahoma" w:cs="Tahoma"/>
                <w:color w:val="000000"/>
                <w:sz w:val="14"/>
                <w:szCs w:val="14"/>
                <w:shd w:val="clear" w:color="auto" w:fill="FFFFFF"/>
                <w:lang w:val="en-US"/>
              </w:rPr>
              <w:t>Manenti</w:t>
            </w:r>
            <w:proofErr w:type="spellEnd"/>
            <w:r w:rsidR="00304CE8" w:rsidRPr="00CF0ACE">
              <w:rPr>
                <w:rFonts w:ascii="Tahoma" w:hAnsi="Tahoma" w:cs="Tahoma"/>
                <w:color w:val="000000"/>
                <w:sz w:val="14"/>
                <w:szCs w:val="14"/>
                <w:shd w:val="clear" w:color="auto" w:fill="FFFFFF"/>
                <w:lang w:val="en-US"/>
              </w:rPr>
              <w:t>,</w:t>
            </w:r>
            <w:r w:rsidR="001D3D32" w:rsidRPr="00CF0ACE">
              <w:rPr>
                <w:rFonts w:ascii="Tahoma" w:hAnsi="Tahoma" w:cs="Tahoma"/>
                <w:color w:val="000000"/>
                <w:sz w:val="14"/>
                <w:szCs w:val="14"/>
                <w:shd w:val="clear" w:color="auto" w:fill="FFFFFF"/>
                <w:lang w:val="en-US"/>
              </w:rPr>
              <w:t xml:space="preserve"> </w:t>
            </w:r>
            <w:r w:rsidR="007D610D" w:rsidRPr="00CF0ACE">
              <w:rPr>
                <w:rFonts w:ascii="Tahoma" w:hAnsi="Tahoma" w:cs="Tahoma"/>
                <w:color w:val="000000"/>
                <w:sz w:val="14"/>
                <w:szCs w:val="14"/>
                <w:shd w:val="clear" w:color="auto" w:fill="FFFFFF"/>
                <w:lang w:val="en-US"/>
              </w:rPr>
              <w:t xml:space="preserve">Gabriele </w:t>
            </w:r>
            <w:proofErr w:type="spellStart"/>
            <w:r w:rsidR="007D610D" w:rsidRPr="00CF0ACE">
              <w:rPr>
                <w:rFonts w:ascii="Tahoma" w:hAnsi="Tahoma" w:cs="Tahoma"/>
                <w:color w:val="000000"/>
                <w:sz w:val="14"/>
                <w:szCs w:val="14"/>
                <w:shd w:val="clear" w:color="auto" w:fill="FFFFFF"/>
                <w:lang w:val="en-US"/>
              </w:rPr>
              <w:t>Pannocchia</w:t>
            </w:r>
            <w:proofErr w:type="spellEnd"/>
            <w:r w:rsidR="007D610D" w:rsidRPr="00CF0ACE">
              <w:rPr>
                <w:rFonts w:ascii="Tahoma" w:hAnsi="Tahoma" w:cs="Tahoma"/>
                <w:color w:val="000000"/>
                <w:sz w:val="14"/>
                <w:szCs w:val="14"/>
                <w:shd w:val="clear" w:color="auto" w:fill="FFFFFF"/>
                <w:lang w:val="en-US"/>
              </w:rPr>
              <w:t xml:space="preserve">, </w:t>
            </w:r>
            <w:proofErr w:type="spellStart"/>
            <w:r w:rsidR="007D610D" w:rsidRPr="00CF0ACE">
              <w:rPr>
                <w:rFonts w:ascii="Tahoma" w:hAnsi="Tahoma" w:cs="Tahoma"/>
                <w:color w:val="000000"/>
                <w:sz w:val="14"/>
                <w:szCs w:val="14"/>
                <w:shd w:val="clear" w:color="auto" w:fill="FFFFFF"/>
                <w:lang w:val="en-US"/>
              </w:rPr>
              <w:t>Almerinda</w:t>
            </w:r>
            <w:proofErr w:type="spellEnd"/>
            <w:r w:rsidR="007D610D" w:rsidRPr="00CF0ACE">
              <w:rPr>
                <w:rFonts w:ascii="Tahoma" w:hAnsi="Tahoma" w:cs="Tahoma"/>
                <w:color w:val="000000"/>
                <w:sz w:val="14"/>
                <w:szCs w:val="14"/>
                <w:shd w:val="clear" w:color="auto" w:fill="FFFFFF"/>
                <w:lang w:val="en-US"/>
              </w:rPr>
              <w:t xml:space="preserve"> di Benedetto</w:t>
            </w:r>
          </w:p>
          <w:p w14:paraId="1B0F1814" w14:textId="7C54DC3A" w:rsidR="000A03B2" w:rsidRPr="00CF0ACE" w:rsidRDefault="00AA7D26" w:rsidP="00AA7D26">
            <w:pPr>
              <w:tabs>
                <w:tab w:val="left" w:pos="-108"/>
              </w:tabs>
              <w:spacing w:line="140" w:lineRule="atLeast"/>
              <w:ind w:left="-107"/>
              <w:jc w:val="left"/>
              <w:rPr>
                <w:lang w:val="en-US"/>
              </w:rPr>
            </w:pPr>
            <w:r w:rsidRPr="00CF0ACE">
              <w:rPr>
                <w:rFonts w:ascii="Tahoma" w:hAnsi="Tahoma" w:cs="Tahoma"/>
                <w:iCs/>
                <w:color w:val="333333"/>
                <w:sz w:val="14"/>
                <w:szCs w:val="14"/>
                <w:lang w:val="en-US" w:eastAsia="it-IT"/>
              </w:rPr>
              <w:t>Copyright © 202</w:t>
            </w:r>
            <w:r w:rsidR="00994C6A" w:rsidRPr="00CF0ACE">
              <w:rPr>
                <w:rFonts w:ascii="Tahoma" w:hAnsi="Tahoma" w:cs="Tahoma"/>
                <w:iCs/>
                <w:color w:val="333333"/>
                <w:sz w:val="14"/>
                <w:szCs w:val="14"/>
                <w:lang w:val="en-US" w:eastAsia="it-IT"/>
              </w:rPr>
              <w:t>5</w:t>
            </w:r>
            <w:r w:rsidRPr="00CF0ACE">
              <w:rPr>
                <w:rFonts w:ascii="Tahoma" w:hAnsi="Tahoma" w:cs="Tahoma"/>
                <w:iCs/>
                <w:color w:val="333333"/>
                <w:sz w:val="14"/>
                <w:szCs w:val="14"/>
                <w:lang w:val="en-US" w:eastAsia="it-IT"/>
              </w:rPr>
              <w:t xml:space="preserve">, AIDIC </w:t>
            </w:r>
            <w:proofErr w:type="spellStart"/>
            <w:r w:rsidRPr="00CF0ACE">
              <w:rPr>
                <w:rFonts w:ascii="Tahoma" w:hAnsi="Tahoma" w:cs="Tahoma"/>
                <w:iCs/>
                <w:color w:val="333333"/>
                <w:sz w:val="14"/>
                <w:szCs w:val="14"/>
                <w:lang w:val="en-US" w:eastAsia="it-IT"/>
              </w:rPr>
              <w:t>Servizi</w:t>
            </w:r>
            <w:proofErr w:type="spellEnd"/>
            <w:r w:rsidRPr="00CF0ACE">
              <w:rPr>
                <w:rFonts w:ascii="Tahoma" w:hAnsi="Tahoma" w:cs="Tahoma"/>
                <w:iCs/>
                <w:color w:val="333333"/>
                <w:sz w:val="14"/>
                <w:szCs w:val="14"/>
                <w:lang w:val="en-US" w:eastAsia="it-IT"/>
              </w:rPr>
              <w:t xml:space="preserve"> </w:t>
            </w:r>
            <w:proofErr w:type="spellStart"/>
            <w:r w:rsidRPr="00CF0ACE">
              <w:rPr>
                <w:rFonts w:ascii="Tahoma" w:hAnsi="Tahoma" w:cs="Tahoma"/>
                <w:iCs/>
                <w:color w:val="333333"/>
                <w:sz w:val="14"/>
                <w:szCs w:val="14"/>
                <w:lang w:val="en-US" w:eastAsia="it-IT"/>
              </w:rPr>
              <w:t>S.r.l</w:t>
            </w:r>
            <w:proofErr w:type="spellEnd"/>
            <w:r w:rsidRPr="00CF0ACE">
              <w:rPr>
                <w:rFonts w:ascii="Tahoma" w:hAnsi="Tahoma" w:cs="Tahoma"/>
                <w:iCs/>
                <w:color w:val="333333"/>
                <w:sz w:val="14"/>
                <w:szCs w:val="14"/>
                <w:lang w:val="en-US" w:eastAsia="it-IT"/>
              </w:rPr>
              <w:t>.</w:t>
            </w:r>
            <w:r w:rsidRPr="00CF0ACE">
              <w:rPr>
                <w:rFonts w:ascii="Tahoma" w:hAnsi="Tahoma" w:cs="Tahoma"/>
                <w:iCs/>
                <w:color w:val="333333"/>
                <w:sz w:val="14"/>
                <w:szCs w:val="14"/>
                <w:lang w:val="en-US" w:eastAsia="it-IT"/>
              </w:rPr>
              <w:br/>
            </w:r>
            <w:r w:rsidRPr="00CF0ACE">
              <w:rPr>
                <w:rFonts w:ascii="Tahoma" w:hAnsi="Tahoma" w:cs="Tahoma"/>
                <w:b/>
                <w:iCs/>
                <w:color w:val="000000"/>
                <w:sz w:val="14"/>
                <w:szCs w:val="14"/>
                <w:lang w:val="en-US" w:eastAsia="it-IT"/>
              </w:rPr>
              <w:t>ISBN</w:t>
            </w:r>
            <w:r w:rsidRPr="00CF0ACE">
              <w:rPr>
                <w:rFonts w:ascii="Tahoma" w:hAnsi="Tahoma" w:cs="Tahoma"/>
                <w:iCs/>
                <w:color w:val="000000"/>
                <w:sz w:val="14"/>
                <w:szCs w:val="14"/>
                <w:lang w:val="en-US" w:eastAsia="it-IT"/>
              </w:rPr>
              <w:t xml:space="preserve"> </w:t>
            </w:r>
            <w:r w:rsidR="003B49CD" w:rsidRPr="00CF0ACE">
              <w:rPr>
                <w:rFonts w:ascii="Tahoma" w:hAnsi="Tahoma" w:cs="Tahoma"/>
                <w:sz w:val="14"/>
                <w:szCs w:val="14"/>
                <w:lang w:val="en-US"/>
              </w:rPr>
              <w:t>979-12-81206-1</w:t>
            </w:r>
            <w:r w:rsidR="00994C6A" w:rsidRPr="00CF0ACE">
              <w:rPr>
                <w:rFonts w:ascii="Tahoma" w:hAnsi="Tahoma" w:cs="Tahoma"/>
                <w:sz w:val="14"/>
                <w:szCs w:val="14"/>
                <w:lang w:val="en-US"/>
              </w:rPr>
              <w:t>7</w:t>
            </w:r>
            <w:r w:rsidR="003B49CD" w:rsidRPr="00CF0ACE">
              <w:rPr>
                <w:rFonts w:ascii="Tahoma" w:hAnsi="Tahoma" w:cs="Tahoma"/>
                <w:sz w:val="14"/>
                <w:szCs w:val="14"/>
                <w:lang w:val="en-US"/>
              </w:rPr>
              <w:t>-</w:t>
            </w:r>
            <w:r w:rsidR="00994C6A" w:rsidRPr="00CF0ACE">
              <w:rPr>
                <w:rFonts w:ascii="Tahoma" w:hAnsi="Tahoma" w:cs="Tahoma"/>
                <w:sz w:val="14"/>
                <w:szCs w:val="14"/>
                <w:lang w:val="en-US"/>
              </w:rPr>
              <w:t>5</w:t>
            </w:r>
            <w:r w:rsidRPr="00CF0ACE">
              <w:rPr>
                <w:rFonts w:ascii="Tahoma" w:hAnsi="Tahoma" w:cs="Tahoma"/>
                <w:iCs/>
                <w:color w:val="333333"/>
                <w:sz w:val="14"/>
                <w:szCs w:val="14"/>
                <w:lang w:val="en-US" w:eastAsia="it-IT"/>
              </w:rPr>
              <w:t xml:space="preserve">; </w:t>
            </w:r>
            <w:r w:rsidRPr="00CF0ACE">
              <w:rPr>
                <w:rFonts w:ascii="Tahoma" w:hAnsi="Tahoma" w:cs="Tahoma"/>
                <w:b/>
                <w:iCs/>
                <w:color w:val="333333"/>
                <w:sz w:val="14"/>
                <w:szCs w:val="14"/>
                <w:lang w:val="en-US" w:eastAsia="it-IT"/>
              </w:rPr>
              <w:t>ISSN</w:t>
            </w:r>
            <w:r w:rsidRPr="00CF0ACE">
              <w:rPr>
                <w:rFonts w:ascii="Tahoma" w:hAnsi="Tahoma" w:cs="Tahoma"/>
                <w:iCs/>
                <w:color w:val="333333"/>
                <w:sz w:val="14"/>
                <w:szCs w:val="14"/>
                <w:lang w:val="en-US" w:eastAsia="it-IT"/>
              </w:rPr>
              <w:t xml:space="preserve"> 2283-9216</w:t>
            </w:r>
          </w:p>
        </w:tc>
      </w:tr>
    </w:tbl>
    <w:bookmarkEnd w:id="0"/>
    <w:p w14:paraId="2E667253" w14:textId="15E83C41" w:rsidR="00E978D0" w:rsidRPr="00CF0ACE" w:rsidRDefault="00111752" w:rsidP="00E978D0">
      <w:pPr>
        <w:pStyle w:val="CETTitle"/>
        <w:rPr>
          <w:b/>
          <w:bCs/>
          <w:lang w:val="en-US"/>
        </w:rPr>
      </w:pPr>
      <w:r w:rsidRPr="00CF0ACE">
        <w:rPr>
          <w:b/>
          <w:bCs/>
          <w:lang w:val="en-US"/>
        </w:rPr>
        <w:t>Use of activated carbon from vegetable residual biomass with SiO</w:t>
      </w:r>
      <w:r w:rsidRPr="00CF0ACE">
        <w:rPr>
          <w:b/>
          <w:bCs/>
          <w:vertAlign w:val="subscript"/>
          <w:lang w:val="en-US"/>
        </w:rPr>
        <w:t>2</w:t>
      </w:r>
      <w:r w:rsidRPr="00CF0ACE">
        <w:rPr>
          <w:b/>
          <w:bCs/>
          <w:lang w:val="en-US"/>
        </w:rPr>
        <w:t xml:space="preserve"> Nanoparticles for the removal of organic compounds in wastewater from the hydrocarbon sector</w:t>
      </w:r>
    </w:p>
    <w:p w14:paraId="60232364" w14:textId="643A34BE" w:rsidR="00111752" w:rsidRPr="00F56D3C" w:rsidRDefault="00111752" w:rsidP="00111752">
      <w:pPr>
        <w:pStyle w:val="CETAuthors"/>
        <w:rPr>
          <w:lang w:val="es-CO"/>
        </w:rPr>
      </w:pPr>
      <w:r w:rsidRPr="00F56D3C">
        <w:rPr>
          <w:lang w:val="es-CO"/>
        </w:rPr>
        <w:t>Adan Y. León-Bermúdez</w:t>
      </w:r>
      <w:r w:rsidRPr="00F56D3C">
        <w:rPr>
          <w:vertAlign w:val="superscript"/>
          <w:lang w:val="es-CO"/>
        </w:rPr>
        <w:t>a,b</w:t>
      </w:r>
      <w:r w:rsidRPr="00F56D3C">
        <w:rPr>
          <w:lang w:val="es-CO"/>
        </w:rPr>
        <w:t>, Michell A. Jiménez-Caballero</w:t>
      </w:r>
      <w:r w:rsidRPr="00F56D3C">
        <w:rPr>
          <w:vertAlign w:val="superscript"/>
          <w:lang w:val="es-CO"/>
        </w:rPr>
        <w:t>a,b</w:t>
      </w:r>
      <w:r w:rsidRPr="00F56D3C">
        <w:rPr>
          <w:lang w:val="es-CO"/>
        </w:rPr>
        <w:t xml:space="preserve">, </w:t>
      </w:r>
      <w:r w:rsidR="00CF0ACE" w:rsidRPr="00F56D3C">
        <w:rPr>
          <w:lang w:val="es-CO"/>
        </w:rPr>
        <w:t>Sergio F. Castellanos-Amador</w:t>
      </w:r>
      <w:r w:rsidR="00CF0ACE" w:rsidRPr="00F56D3C">
        <w:rPr>
          <w:vertAlign w:val="superscript"/>
          <w:lang w:val="es-CO"/>
        </w:rPr>
        <w:t>b</w:t>
      </w:r>
      <w:r w:rsidR="00CF0ACE" w:rsidRPr="00F56D3C">
        <w:rPr>
          <w:lang w:val="es-CO"/>
        </w:rPr>
        <w:t xml:space="preserve">, </w:t>
      </w:r>
      <w:r w:rsidRPr="00F56D3C">
        <w:rPr>
          <w:lang w:val="es-CO"/>
        </w:rPr>
        <w:t>Darío Y. Peña-Ballesteros</w:t>
      </w:r>
      <w:r w:rsidRPr="00F56D3C">
        <w:rPr>
          <w:vertAlign w:val="superscript"/>
          <w:lang w:val="es-CO"/>
        </w:rPr>
        <w:t>a</w:t>
      </w:r>
      <w:r w:rsidRPr="00F56D3C">
        <w:rPr>
          <w:lang w:val="es-CO"/>
        </w:rPr>
        <w:t>, Miller H. Salas-Rondón</w:t>
      </w:r>
      <w:r w:rsidRPr="00F56D3C">
        <w:rPr>
          <w:vertAlign w:val="superscript"/>
          <w:lang w:val="es-CO"/>
        </w:rPr>
        <w:t>c</w:t>
      </w:r>
    </w:p>
    <w:p w14:paraId="6B2D21B3" w14:textId="11B6EE40" w:rsidR="00B57E6F" w:rsidRPr="00F56D3C" w:rsidRDefault="00B57E6F" w:rsidP="00B57E6F">
      <w:pPr>
        <w:pStyle w:val="CETAddress"/>
        <w:rPr>
          <w:lang w:val="es-CO"/>
        </w:rPr>
      </w:pPr>
      <w:r w:rsidRPr="00F56D3C">
        <w:rPr>
          <w:vertAlign w:val="superscript"/>
          <w:lang w:val="es-CO"/>
        </w:rPr>
        <w:t>a</w:t>
      </w:r>
      <w:r w:rsidR="00111752" w:rsidRPr="00F56D3C">
        <w:rPr>
          <w:lang w:val="es-CO"/>
        </w:rPr>
        <w:t>Universidad Industrial Santander, Escuela de Ingeniería Metalúrgica y Ciencia de los Materiales, Grupo de Investigaciones en Corrosión – GIC, cra 27 calle 9, Bucaramanga –Santander, Colombia</w:t>
      </w:r>
    </w:p>
    <w:p w14:paraId="3D72B0B0" w14:textId="06368285" w:rsidR="00B57E6F" w:rsidRPr="00F56D3C" w:rsidRDefault="00B57E6F" w:rsidP="00B57E6F">
      <w:pPr>
        <w:pStyle w:val="CETAddress"/>
        <w:rPr>
          <w:lang w:val="es-CO"/>
        </w:rPr>
      </w:pPr>
      <w:r w:rsidRPr="00F56D3C">
        <w:rPr>
          <w:vertAlign w:val="superscript"/>
          <w:lang w:val="es-CO"/>
        </w:rPr>
        <w:t>b</w:t>
      </w:r>
      <w:r w:rsidR="00111752" w:rsidRPr="00F56D3C">
        <w:rPr>
          <w:lang w:val="es-CO"/>
        </w:rPr>
        <w:t>Universidad Industrial Santander, Escuela de Ingeniería de Petróleos, Grupo de Recobro Mejorado – GRM, cra 27 calle 9, Bucaramanga –Santander, Colombia</w:t>
      </w:r>
    </w:p>
    <w:p w14:paraId="3CDA433F" w14:textId="2364FD30" w:rsidR="00111752" w:rsidRPr="00F56D3C" w:rsidRDefault="00111752" w:rsidP="00F90049">
      <w:pPr>
        <w:pStyle w:val="CETAddress"/>
        <w:jc w:val="both"/>
        <w:rPr>
          <w:lang w:val="es-CO"/>
        </w:rPr>
      </w:pPr>
      <w:r w:rsidRPr="00F56D3C">
        <w:rPr>
          <w:vertAlign w:val="superscript"/>
          <w:lang w:val="es-CO"/>
        </w:rPr>
        <w:t>c</w:t>
      </w:r>
      <w:r w:rsidRPr="00F56D3C">
        <w:rPr>
          <w:lang w:val="es-CO"/>
        </w:rPr>
        <w:t xml:space="preserve">Universidad Industrial Santander, Escuela de Ingeniería Civil, Geomática, Gestión y Optimización de Sistemas - GEOMATICA, cra 27 calle 9, Bucaramanga –Santander, Colombia </w:t>
      </w:r>
    </w:p>
    <w:p w14:paraId="73F1267A" w14:textId="617B2600" w:rsidR="00B57E6F" w:rsidRPr="00CF0ACE" w:rsidRDefault="00B57E6F" w:rsidP="00B57E6F">
      <w:pPr>
        <w:pStyle w:val="CETemail"/>
        <w:rPr>
          <w:lang w:val="en-US"/>
        </w:rPr>
      </w:pPr>
      <w:r w:rsidRPr="00F56D3C">
        <w:rPr>
          <w:lang w:val="es-CO"/>
        </w:rPr>
        <w:t xml:space="preserve"> </w:t>
      </w:r>
      <w:r w:rsidR="00111752" w:rsidRPr="00CF0ACE">
        <w:rPr>
          <w:lang w:val="en-US"/>
        </w:rPr>
        <w:t>adanleon@uis.edu.co</w:t>
      </w:r>
    </w:p>
    <w:p w14:paraId="627DDFC2" w14:textId="4DD86C30" w:rsidR="00111752" w:rsidRPr="007B0656" w:rsidRDefault="00111752" w:rsidP="00F56D3C">
      <w:pPr>
        <w:pStyle w:val="CETBodytext"/>
        <w:rPr>
          <w:rFonts w:eastAsia="Arial"/>
          <w:color w:val="000000" w:themeColor="text1"/>
        </w:rPr>
      </w:pPr>
      <w:r w:rsidRPr="007B0656">
        <w:rPr>
          <w:rFonts w:eastAsia="Arial"/>
          <w:color w:val="000000" w:themeColor="text1"/>
        </w:rPr>
        <w:t>Colombia has significant potential for the cultivation of c</w:t>
      </w:r>
      <w:r w:rsidR="00E22F56" w:rsidRPr="007B0656">
        <w:rPr>
          <w:rFonts w:eastAsia="Arial"/>
          <w:color w:val="000000" w:themeColor="text1"/>
        </w:rPr>
        <w:t>o</w:t>
      </w:r>
      <w:r w:rsidRPr="007B0656">
        <w:rPr>
          <w:rFonts w:eastAsia="Arial"/>
          <w:color w:val="000000" w:themeColor="text1"/>
        </w:rPr>
        <w:t>c</w:t>
      </w:r>
      <w:r w:rsidR="00235C93" w:rsidRPr="007B0656">
        <w:rPr>
          <w:rFonts w:eastAsia="Arial"/>
          <w:color w:val="000000" w:themeColor="text1"/>
        </w:rPr>
        <w:t>oa</w:t>
      </w:r>
      <w:r w:rsidRPr="007B0656">
        <w:rPr>
          <w:rFonts w:eastAsia="Arial"/>
          <w:color w:val="000000" w:themeColor="text1"/>
        </w:rPr>
        <w:t>, coffee, and oil palm. However, activities also generate substantial amounts of vegetable residual biomass. For this reason, various industrial sectors have shown interest in utilizing vegetable residual biomass to promote environmental sustainability. In this research, activated carbons were prepared from vegetable residual biomass combined with SiO</w:t>
      </w:r>
      <w:r w:rsidRPr="007B0656">
        <w:rPr>
          <w:rFonts w:eastAsia="Arial"/>
          <w:color w:val="000000" w:themeColor="text1"/>
          <w:vertAlign w:val="subscript"/>
        </w:rPr>
        <w:t xml:space="preserve">2 </w:t>
      </w:r>
      <w:r w:rsidRPr="007B0656">
        <w:rPr>
          <w:rFonts w:eastAsia="Arial"/>
          <w:color w:val="000000" w:themeColor="text1"/>
        </w:rPr>
        <w:t xml:space="preserve">nanoparticles for the removal of representative organic compounds in founds in produced water from the hydrocarbons industry. The organic compounds selected as model species for the development of this research were methylene blue (MB), phenol (Ph), </w:t>
      </w:r>
      <w:bookmarkStart w:id="1" w:name="_Hlk184912519"/>
      <w:r w:rsidRPr="007B0656">
        <w:rPr>
          <w:rFonts w:eastAsia="Arial"/>
          <w:color w:val="000000" w:themeColor="text1"/>
        </w:rPr>
        <w:t xml:space="preserve">and sodium </w:t>
      </w:r>
      <w:bookmarkEnd w:id="1"/>
      <w:proofErr w:type="spellStart"/>
      <w:r w:rsidRPr="007B0656">
        <w:rPr>
          <w:rFonts w:eastAsia="Arial"/>
          <w:color w:val="000000" w:themeColor="text1"/>
        </w:rPr>
        <w:t>dodecylbenzenesulfonate</w:t>
      </w:r>
      <w:proofErr w:type="spellEnd"/>
      <w:r w:rsidRPr="007B0656">
        <w:rPr>
          <w:rFonts w:eastAsia="Arial"/>
          <w:color w:val="000000" w:themeColor="text1"/>
        </w:rPr>
        <w:t xml:space="preserve"> (SDBS). The activated carbons from residual vegetable biomass of </w:t>
      </w:r>
      <w:r w:rsidR="00E22F56" w:rsidRPr="007B0656">
        <w:rPr>
          <w:rFonts w:eastAsia="Arial"/>
          <w:color w:val="000000" w:themeColor="text1"/>
        </w:rPr>
        <w:t>cocoa</w:t>
      </w:r>
      <w:r w:rsidRPr="007B0656">
        <w:rPr>
          <w:rFonts w:eastAsia="Arial"/>
          <w:color w:val="000000" w:themeColor="text1"/>
        </w:rPr>
        <w:t>, coffee, and oil palm kernel were prepared in a tubular furnace using the thermochemical process with a phosphoric acid-to-biomass impregnation ratio of 1:1, under reaction conditions of 430 °C for 30 minutes. The impregnation treatment of the activated carbons was performed using the coprecipitation method at the laboratory scale, employing ethanol solutions with 5,400 mg/L of SiO</w:t>
      </w:r>
      <w:r w:rsidRPr="007B0656">
        <w:rPr>
          <w:rFonts w:eastAsia="Arial"/>
          <w:color w:val="000000" w:themeColor="text1"/>
          <w:vertAlign w:val="subscript"/>
        </w:rPr>
        <w:t>2</w:t>
      </w:r>
      <w:r w:rsidRPr="007B0656">
        <w:rPr>
          <w:rFonts w:eastAsia="Arial"/>
          <w:color w:val="000000" w:themeColor="text1"/>
        </w:rPr>
        <w:t xml:space="preserve"> nanoparticles. From the Scanning Electron Microscopy / Energy Dispersive Spectroscopy (SEM-EDS) analysis, it was determined that the new adsorbent materials contain channels that facilitate the impregnation of SiO</w:t>
      </w:r>
      <w:r w:rsidRPr="007B0656">
        <w:rPr>
          <w:rFonts w:eastAsia="Arial"/>
          <w:color w:val="000000" w:themeColor="text1"/>
          <w:vertAlign w:val="subscript"/>
        </w:rPr>
        <w:t>2</w:t>
      </w:r>
      <w:r w:rsidRPr="007B0656">
        <w:rPr>
          <w:rFonts w:eastAsia="Arial"/>
          <w:color w:val="000000" w:themeColor="text1"/>
        </w:rPr>
        <w:t xml:space="preserve"> nanoparticles.</w:t>
      </w:r>
    </w:p>
    <w:p w14:paraId="38F76186" w14:textId="0C992964" w:rsidR="006A6DE5" w:rsidRPr="007B0656" w:rsidRDefault="00111752" w:rsidP="00F56D3C">
      <w:pPr>
        <w:pStyle w:val="CETBodytext"/>
        <w:rPr>
          <w:rFonts w:eastAsia="Arial"/>
          <w:color w:val="000000" w:themeColor="text1"/>
        </w:rPr>
      </w:pPr>
      <w:r w:rsidRPr="007B0656">
        <w:rPr>
          <w:rFonts w:eastAsia="Arial"/>
          <w:color w:val="000000" w:themeColor="text1"/>
        </w:rPr>
        <w:t xml:space="preserve">Textural tests showed that the prepared carbons exhibited surface areas in the range of 600 to 1200 m²/g. The removals of methylene blue (MB), phenol (Ph), and sodium dodecyl benzene sulfonate (SDBS) </w:t>
      </w:r>
      <w:r w:rsidR="00CF0ACE" w:rsidRPr="007B0656">
        <w:rPr>
          <w:rFonts w:eastAsia="Arial"/>
          <w:color w:val="000000" w:themeColor="text1"/>
        </w:rPr>
        <w:t>were 93.85%, 97.09% and 98.15%</w:t>
      </w:r>
      <w:r w:rsidRPr="007B0656">
        <w:rPr>
          <w:rFonts w:eastAsia="Arial"/>
          <w:color w:val="000000" w:themeColor="text1"/>
        </w:rPr>
        <w:t xml:space="preserve"> by weight, respectively. However, the addition of SiO</w:t>
      </w:r>
      <w:r w:rsidRPr="007B0656">
        <w:rPr>
          <w:rFonts w:eastAsia="Arial"/>
          <w:color w:val="000000" w:themeColor="text1"/>
          <w:vertAlign w:val="subscript"/>
        </w:rPr>
        <w:t>2</w:t>
      </w:r>
      <w:r w:rsidRPr="007B0656">
        <w:rPr>
          <w:rFonts w:eastAsia="Arial"/>
          <w:color w:val="000000" w:themeColor="text1"/>
        </w:rPr>
        <w:t xml:space="preserve"> nanoparticles increased both the surface area and the percentage of removal of the organic compounds. The adsorption results were fitted to adsorption isotherms, and according to the correlation coefficient R², the isotherms were classified in ascending order with the Freundlich&gt;Langmuir&gt;Temkin models. The methodology proposed in this study demonstrates that the activated carbon/SiO</w:t>
      </w:r>
      <w:r w:rsidRPr="007B0656">
        <w:rPr>
          <w:rFonts w:eastAsia="Arial"/>
          <w:color w:val="000000" w:themeColor="text1"/>
          <w:vertAlign w:val="subscript"/>
        </w:rPr>
        <w:t>2</w:t>
      </w:r>
      <w:r w:rsidRPr="007B0656">
        <w:rPr>
          <w:rFonts w:eastAsia="Arial"/>
          <w:color w:val="000000" w:themeColor="text1"/>
        </w:rPr>
        <w:t xml:space="preserve"> nanoparticles are suitable for </w:t>
      </w:r>
      <w:r w:rsidR="000E6990" w:rsidRPr="007B0656">
        <w:rPr>
          <w:rFonts w:eastAsia="Arial"/>
          <w:color w:val="000000" w:themeColor="text1"/>
        </w:rPr>
        <w:t>removing</w:t>
      </w:r>
      <w:r w:rsidRPr="007B0656">
        <w:rPr>
          <w:rFonts w:eastAsia="Arial"/>
          <w:color w:val="000000" w:themeColor="text1"/>
        </w:rPr>
        <w:t xml:space="preserve"> organic compounds present in wastewater.</w:t>
      </w:r>
    </w:p>
    <w:p w14:paraId="476B2F2E" w14:textId="52B36035" w:rsidR="00600535" w:rsidRPr="007B0656" w:rsidRDefault="00600535" w:rsidP="00600535">
      <w:pPr>
        <w:pStyle w:val="CETHeading1"/>
        <w:rPr>
          <w:color w:val="000000" w:themeColor="text1"/>
        </w:rPr>
      </w:pPr>
      <w:r w:rsidRPr="007B0656">
        <w:rPr>
          <w:color w:val="000000" w:themeColor="text1"/>
        </w:rPr>
        <w:t>Introduction</w:t>
      </w:r>
    </w:p>
    <w:p w14:paraId="5F96491C" w14:textId="60D6413D" w:rsidR="00111752" w:rsidRPr="007B0656" w:rsidRDefault="00111752" w:rsidP="00F56D3C">
      <w:pPr>
        <w:pStyle w:val="CETBodytext"/>
        <w:rPr>
          <w:rFonts w:eastAsia="Arial"/>
          <w:color w:val="000000" w:themeColor="text1"/>
        </w:rPr>
      </w:pPr>
      <w:r w:rsidRPr="007B0656">
        <w:rPr>
          <w:rFonts w:eastAsia="Arial"/>
          <w:color w:val="000000" w:themeColor="text1"/>
        </w:rPr>
        <w:t xml:space="preserve">Wastewater from </w:t>
      </w:r>
      <w:r w:rsidR="00022EB1" w:rsidRPr="007B0656">
        <w:rPr>
          <w:rFonts w:eastAsia="Arial"/>
          <w:color w:val="000000" w:themeColor="text1"/>
        </w:rPr>
        <w:t xml:space="preserve">the oil and gas industry </w:t>
      </w:r>
      <w:r w:rsidR="00D25FFD" w:rsidRPr="007B0656">
        <w:rPr>
          <w:rFonts w:eastAsia="Arial"/>
          <w:color w:val="000000" w:themeColor="text1"/>
        </w:rPr>
        <w:t>is utilized</w:t>
      </w:r>
      <w:r w:rsidRPr="007B0656">
        <w:rPr>
          <w:rFonts w:eastAsia="Arial"/>
          <w:color w:val="000000" w:themeColor="text1"/>
        </w:rPr>
        <w:t xml:space="preserve"> for </w:t>
      </w:r>
      <w:r w:rsidR="00D25FFD" w:rsidRPr="007B0656">
        <w:rPr>
          <w:rFonts w:eastAsia="Arial"/>
          <w:color w:val="000000" w:themeColor="text1"/>
        </w:rPr>
        <w:t>various reasons:</w:t>
      </w:r>
      <w:r w:rsidRPr="007B0656">
        <w:rPr>
          <w:rFonts w:eastAsia="Arial"/>
          <w:color w:val="000000" w:themeColor="text1"/>
        </w:rPr>
        <w:t xml:space="preserve"> </w:t>
      </w:r>
      <w:r w:rsidR="00D25FFD" w:rsidRPr="007B0656">
        <w:rPr>
          <w:rFonts w:eastAsia="Arial"/>
          <w:color w:val="000000" w:themeColor="text1"/>
        </w:rPr>
        <w:t>underground</w:t>
      </w:r>
      <w:r w:rsidRPr="007B0656">
        <w:rPr>
          <w:rFonts w:eastAsia="Arial"/>
          <w:color w:val="000000" w:themeColor="text1"/>
        </w:rPr>
        <w:t xml:space="preserve"> injection, discharge, </w:t>
      </w:r>
      <w:r w:rsidR="00D25FFD" w:rsidRPr="007B0656">
        <w:rPr>
          <w:rFonts w:eastAsia="Arial"/>
          <w:color w:val="000000" w:themeColor="text1"/>
        </w:rPr>
        <w:t>farming</w:t>
      </w:r>
      <w:r w:rsidRPr="007B0656">
        <w:rPr>
          <w:rFonts w:eastAsia="Arial"/>
          <w:color w:val="000000" w:themeColor="text1"/>
        </w:rPr>
        <w:t xml:space="preserve">, and </w:t>
      </w:r>
      <w:r w:rsidR="00D25FFD" w:rsidRPr="007B0656">
        <w:rPr>
          <w:rFonts w:eastAsia="Arial"/>
          <w:color w:val="000000" w:themeColor="text1"/>
        </w:rPr>
        <w:t>distribution</w:t>
      </w:r>
      <w:r w:rsidRPr="007B0656">
        <w:rPr>
          <w:rFonts w:eastAsia="Arial"/>
          <w:color w:val="000000" w:themeColor="text1"/>
        </w:rPr>
        <w:t xml:space="preserve"> to third parties (Marathe et al., 2021). According to the ANH's audited production reports for 2023</w:t>
      </w:r>
      <w:r w:rsidR="00F56D3C" w:rsidRPr="007B0656">
        <w:rPr>
          <w:rFonts w:eastAsia="Arial"/>
          <w:color w:val="000000" w:themeColor="text1"/>
        </w:rPr>
        <w:t>,</w:t>
      </w:r>
      <w:r w:rsidRPr="007B0656">
        <w:rPr>
          <w:rFonts w:eastAsia="Arial"/>
          <w:color w:val="000000" w:themeColor="text1"/>
        </w:rPr>
        <w:t xml:space="preserve"> Colombia produced an average of 777.000 barrels per day (BPD), with a water/oil ratio of 14 barrels of water for each barrel of crude oil, estimating more than 10.878.000 BPD or 1.729.463 m</w:t>
      </w:r>
      <w:r w:rsidRPr="007B0656">
        <w:rPr>
          <w:rFonts w:eastAsia="Arial"/>
          <w:color w:val="000000" w:themeColor="text1"/>
          <w:vertAlign w:val="superscript"/>
        </w:rPr>
        <w:t>3</w:t>
      </w:r>
      <w:r w:rsidRPr="007B0656">
        <w:rPr>
          <w:rFonts w:eastAsia="Arial"/>
          <w:color w:val="000000" w:themeColor="text1"/>
        </w:rPr>
        <w:t xml:space="preserve"> per day, of which Ecopetrol produced 495.967.000 m</w:t>
      </w:r>
      <w:r w:rsidRPr="007B0656">
        <w:rPr>
          <w:rFonts w:eastAsia="Arial"/>
          <w:color w:val="000000" w:themeColor="text1"/>
          <w:vertAlign w:val="superscript"/>
        </w:rPr>
        <w:t>3</w:t>
      </w:r>
      <w:r w:rsidRPr="007B0656">
        <w:rPr>
          <w:rFonts w:eastAsia="Arial"/>
          <w:color w:val="000000" w:themeColor="text1"/>
        </w:rPr>
        <w:t xml:space="preserve"> per day according to its integrated management report </w:t>
      </w:r>
      <w:r w:rsidRPr="007B0656">
        <w:rPr>
          <w:color w:val="000000" w:themeColor="text1"/>
        </w:rPr>
        <w:fldChar w:fldCharType="begin" w:fldLock="1"/>
      </w:r>
      <w:r w:rsidRPr="007B0656">
        <w:rPr>
          <w:color w:val="000000" w:themeColor="text1"/>
        </w:rPr>
        <w:instrText>ADDIN CSL_CITATION {"citationItems":[{"id":"ITEM-1","itemData":{"URL":"https://www.anh.gov.co/es/operaciones-y-regalías/sistemas-integrados-operaciones/estadísticas-de-producción/","accessed":{"date-parts":[["2024","12","12"]]},"author":[{"dropping-particle":"","family":"Agencia Nacional de Hifrocarburos","given":"","non-dropping-particle":"","parse-names":false,"suffix":""}],"id":"ITEM-1","issued":{"date-parts":[["2024"]]},"title":"Estadísticas de Producción","type":"webpage"},"uris":["http://www.mendeley.com/documents/?uuid=bc403f5d-ffbc-3453-8f89-fde0e2991da3"]},{"id":"ITEM-2","itemData":{"author":[{"dropping-particle":"","family":"Ecopetrol","given":"","non-dropping-particle":"","parse-names":false,"suffix":""}],"id":"ITEM-2","issued":{"date-parts":[["2024"]]},"title":"Informe integrado de gestión 2023 ¡Somos energía que transforma!","type":"report"},"uris":["http://www.mendeley.com/documents/?uuid=35c5c872-c470-328e-9544-f8ed99ac733a"]}],"mendeley":{"formattedCitation":"(Agencia Nacional de Hifrocarburos, 2024; Ecopetrol, 2024)","plainTextFormattedCitation":"(Agencia Nacional de Hifrocarburos, 2024; Ecopetrol, 2024)","previouslyFormattedCitation":"(Agencia Nacional de Hifrocarburos, 2024; Ecopetrol, 2024)"},"properties":{"noteIndex":0},"schema":"https://github.com/citation-style-language/schema/raw/master/csl-citation.json"}</w:instrText>
      </w:r>
      <w:r w:rsidRPr="007B0656">
        <w:rPr>
          <w:color w:val="000000" w:themeColor="text1"/>
        </w:rPr>
        <w:fldChar w:fldCharType="separate"/>
      </w:r>
      <w:r w:rsidRPr="007B0656">
        <w:rPr>
          <w:rFonts w:eastAsia="Arial"/>
          <w:color w:val="000000" w:themeColor="text1"/>
        </w:rPr>
        <w:t>(Agencia Nacional de Hi</w:t>
      </w:r>
      <w:r w:rsidR="0031014E" w:rsidRPr="007B0656">
        <w:rPr>
          <w:rFonts w:eastAsia="Arial"/>
          <w:color w:val="000000" w:themeColor="text1"/>
        </w:rPr>
        <w:t>d</w:t>
      </w:r>
      <w:r w:rsidRPr="007B0656">
        <w:rPr>
          <w:rFonts w:eastAsia="Arial"/>
          <w:color w:val="000000" w:themeColor="text1"/>
        </w:rPr>
        <w:t>rocarburos, 2024; Ecopetrol, 2024)</w:t>
      </w:r>
      <w:r w:rsidRPr="007B0656">
        <w:rPr>
          <w:color w:val="000000" w:themeColor="text1"/>
        </w:rPr>
        <w:fldChar w:fldCharType="end"/>
      </w:r>
      <w:r w:rsidRPr="007B0656">
        <w:rPr>
          <w:rFonts w:eastAsia="Arial"/>
          <w:color w:val="000000" w:themeColor="text1"/>
        </w:rPr>
        <w:t xml:space="preserve">. The water quality </w:t>
      </w:r>
      <w:r w:rsidR="00D25FFD" w:rsidRPr="007B0656">
        <w:rPr>
          <w:rFonts w:eastAsia="Arial"/>
          <w:color w:val="000000" w:themeColor="text1"/>
        </w:rPr>
        <w:t>is influenced</w:t>
      </w:r>
      <w:r w:rsidRPr="007B0656">
        <w:rPr>
          <w:rFonts w:eastAsia="Arial"/>
          <w:color w:val="000000" w:themeColor="text1"/>
        </w:rPr>
        <w:t xml:space="preserve"> </w:t>
      </w:r>
      <w:r w:rsidR="00D25FFD" w:rsidRPr="007B0656">
        <w:rPr>
          <w:rFonts w:eastAsia="Arial"/>
          <w:color w:val="000000" w:themeColor="text1"/>
        </w:rPr>
        <w:t xml:space="preserve">by the area, rock type, and other liquids </w:t>
      </w:r>
      <w:r w:rsidRPr="007B0656">
        <w:rPr>
          <w:rFonts w:eastAsia="Arial"/>
          <w:color w:val="000000" w:themeColor="text1"/>
        </w:rPr>
        <w:t xml:space="preserve">involved in the recovery process and is </w:t>
      </w:r>
      <w:r w:rsidR="00D25FFD" w:rsidRPr="007B0656">
        <w:rPr>
          <w:rFonts w:eastAsia="Arial"/>
          <w:color w:val="000000" w:themeColor="text1"/>
        </w:rPr>
        <w:t>impacted</w:t>
      </w:r>
      <w:r w:rsidRPr="007B0656">
        <w:rPr>
          <w:rFonts w:eastAsia="Arial"/>
          <w:color w:val="000000" w:themeColor="text1"/>
        </w:rPr>
        <w:t xml:space="preserve"> by the presence of suspended </w:t>
      </w:r>
      <w:r w:rsidR="00D25FFD" w:rsidRPr="007B0656">
        <w:rPr>
          <w:rFonts w:eastAsia="Arial"/>
          <w:color w:val="000000" w:themeColor="text1"/>
        </w:rPr>
        <w:t>particles,</w:t>
      </w:r>
      <w:r w:rsidRPr="007B0656">
        <w:rPr>
          <w:rFonts w:eastAsia="Arial"/>
          <w:color w:val="000000" w:themeColor="text1"/>
        </w:rPr>
        <w:t xml:space="preserve"> sediments, heavy metals, phenols, </w:t>
      </w:r>
      <w:r w:rsidR="00D25FFD" w:rsidRPr="007B0656">
        <w:rPr>
          <w:rFonts w:eastAsia="Arial"/>
          <w:color w:val="000000" w:themeColor="text1"/>
        </w:rPr>
        <w:t>hydrocarbons, and dissolved oils</w:t>
      </w:r>
      <w:r w:rsidRPr="007B0656">
        <w:rPr>
          <w:rFonts w:eastAsia="Arial"/>
          <w:color w:val="000000" w:themeColor="text1"/>
        </w:rPr>
        <w:t>, among others (Belmont et al., 2017).</w:t>
      </w:r>
    </w:p>
    <w:p w14:paraId="3E0C98FA" w14:textId="19A4B7EE" w:rsidR="00111752" w:rsidRPr="007B0656" w:rsidRDefault="00111752" w:rsidP="00F56D3C">
      <w:pPr>
        <w:pStyle w:val="CETBodytext"/>
        <w:rPr>
          <w:rFonts w:eastAsia="Arial"/>
          <w:color w:val="000000" w:themeColor="text1"/>
        </w:rPr>
      </w:pPr>
      <w:r w:rsidRPr="007B0656">
        <w:rPr>
          <w:rFonts w:eastAsia="Arial"/>
          <w:color w:val="000000" w:themeColor="text1"/>
        </w:rPr>
        <w:lastRenderedPageBreak/>
        <w:t xml:space="preserve">Colombia has a lot of heavy and extra heavy crude oil, so it is common to implement enhanced recovery methods, among the various possibilities is the use of surfactants. This is a possible compound to be eliminated during the treatment of production waters </w:t>
      </w:r>
      <w:r w:rsidRPr="007B0656">
        <w:rPr>
          <w:color w:val="000000" w:themeColor="text1"/>
        </w:rPr>
        <w:fldChar w:fldCharType="begin" w:fldLock="1"/>
      </w:r>
      <w:r w:rsidRPr="007B0656">
        <w:rPr>
          <w:color w:val="000000" w:themeColor="text1"/>
        </w:rPr>
        <w:instrText>ADDIN CSL_CITATION {"citationItems":[{"id":"ITEM-1","itemData":{"DOI":"10.18273/REVFUE.V18N2-2020001","ISSN":"21458502","abstract":"In the last decade, progress has been made in the implementation of chemical recovery processes in Colombia, including sealing gels injection pilots for chemical conformance, colloidal dispersion gels, polymers, alkali and surfactants. These processes have been of marked relevance both for the promise of increasing the Colombian fields recovery factor and for reviewing fields in their abandonment plans through the application of new technologies. However, experimental studies at reservoir conditions have shown that there are limitations for the application of these technologies, mainly in relation to: injection water quality, formation water salinity, temperature, among others; This makes it difficult to establish the technical and/or economic viability of its implementation in assets with high reserve potential and possible expansion scenarios. For to the above, and due the need to increase crude oil reserves, contributing to the understanding and development of enhanced oil recovery in the country; this paper presents a review of the limitations of conventional chemical recovery technologies, the opportunities of emerging technologies that allow overcoming technical and operational limitations and an estimate of the emerging technologies potential evaluated in the national context. For this, by comparing the operational windows of the technologies with the petrophysical properties of the Colombian fields, it was possible to establish the potential for increased reserves due to the application of new technologies. In addition, the needs in the design and installation of new equipment for the storage, chemicals injection and their associated costs were identified, taking as a premise that the application of a new recovery technology, in this case, is conditional on technical - economic feasibility, that allow to take advantage of the existing facilities in the field optimizing the possible CAPEX (Capital Expenditures) associated with the projects.","author":[{"dropping-particle":"","family":"Delgadillo","given":"C.","non-dropping-particle":"","parse-names":false,"suffix":""},{"dropping-particle":"","family":"Espinosa","given":"C.","non-dropping-particle":"","parse-names":false,"suffix":""},{"dropping-particle":"","family":"Díaz","given":"V.","non-dropping-particle":"","parse-names":false,"suffix":""},{"dropping-particle":"","family":"Ruiz","given":"M.","non-dropping-particle":"","parse-names":false,"suffix":""},{"dropping-particle":"","family":"Manrique","given":"E.","non-dropping-particle":"","parse-names":false,"suffix":""}],"container-title":"Fuentes el Reventon Energetico","id":"ITEM-1","issue":"2","issued":{"date-parts":[["2020"]]},"page":"9-24","title":"New chemical recovery technologies and their applicability in Colombian fields","type":"article-journal","volume":"18"},"uris":["http://www.mendeley.com/documents/?uuid=794e4ae8-4ad3-4e57-a4ef-c7f35773d852"]}],"mendeley":{"formattedCitation":"(Delgadillo et al., 2020)","plainTextFormattedCitation":"(Delgadillo et al., 2020)","previouslyFormattedCitation":"(Delgadillo et al., 2020)"},"properties":{"noteIndex":0},"schema":"https://github.com/citation-style-language/schema/raw/master/csl-citation.json"}</w:instrText>
      </w:r>
      <w:r w:rsidRPr="007B0656">
        <w:rPr>
          <w:color w:val="000000" w:themeColor="text1"/>
        </w:rPr>
        <w:fldChar w:fldCharType="separate"/>
      </w:r>
      <w:r w:rsidRPr="007B0656">
        <w:rPr>
          <w:rFonts w:eastAsia="Arial"/>
          <w:color w:val="000000" w:themeColor="text1"/>
        </w:rPr>
        <w:t>(Delgadillo et al., 2020)</w:t>
      </w:r>
      <w:r w:rsidRPr="007B0656">
        <w:rPr>
          <w:color w:val="000000" w:themeColor="text1"/>
        </w:rPr>
        <w:fldChar w:fldCharType="end"/>
      </w:r>
      <w:r w:rsidRPr="007B0656">
        <w:rPr>
          <w:rFonts w:eastAsia="Arial"/>
          <w:color w:val="000000" w:themeColor="text1"/>
        </w:rPr>
        <w:t xml:space="preserve">. Surface treatment for produced water involves three major phases. In the primary phase, the goal is the removal of oil droplets and suspended solid particles, these contaminants are removed using large tanks by density difference or gravity action, in the secondary phase gas flotation processes are used, in which gas bubbles help to separate the crude oil from the treated fluid. The tertiary phase includes advanced oxidation and membrane technologies, which can be expensive depending on the required purity of the fluid. </w:t>
      </w:r>
      <w:r w:rsidR="00D25FFD" w:rsidRPr="007B0656">
        <w:rPr>
          <w:rFonts w:eastAsia="Arial"/>
          <w:color w:val="000000" w:themeColor="text1"/>
        </w:rPr>
        <w:t xml:space="preserve">An eco-friendly and cost-effective option is the use of adsorbent materials, which are chosen for their accessibility and appealing cost/benefit ratio </w:t>
      </w:r>
      <w:r w:rsidRPr="007B0656">
        <w:rPr>
          <w:rFonts w:eastAsia="Arial"/>
          <w:color w:val="000000" w:themeColor="text1"/>
        </w:rPr>
        <w:t>(Villegas et al., 2017).</w:t>
      </w:r>
    </w:p>
    <w:p w14:paraId="18468524" w14:textId="265B8E90" w:rsidR="005C5E5D" w:rsidRPr="007B0656" w:rsidRDefault="00704F0D" w:rsidP="00F56D3C">
      <w:pPr>
        <w:pStyle w:val="CETBodytext"/>
        <w:rPr>
          <w:rFonts w:eastAsia="Arial"/>
          <w:color w:val="000000" w:themeColor="text1"/>
        </w:rPr>
      </w:pPr>
      <w:r w:rsidRPr="007B0656">
        <w:rPr>
          <w:rFonts w:eastAsia="Arial"/>
          <w:color w:val="000000" w:themeColor="text1"/>
        </w:rPr>
        <w:t xml:space="preserve">Activated carbon is </w:t>
      </w:r>
      <w:r w:rsidR="00111752" w:rsidRPr="007B0656">
        <w:rPr>
          <w:rFonts w:eastAsia="Arial"/>
          <w:color w:val="000000" w:themeColor="text1"/>
        </w:rPr>
        <w:t xml:space="preserve">as an adsorbent </w:t>
      </w:r>
      <w:r w:rsidRPr="007B0656">
        <w:rPr>
          <w:rFonts w:eastAsia="Arial"/>
          <w:color w:val="000000" w:themeColor="text1"/>
        </w:rPr>
        <w:t xml:space="preserve">material, </w:t>
      </w:r>
      <w:r w:rsidR="00022EB1" w:rsidRPr="007B0656">
        <w:rPr>
          <w:rFonts w:eastAsia="Arial"/>
          <w:color w:val="000000" w:themeColor="text1"/>
        </w:rPr>
        <w:t>that removes</w:t>
      </w:r>
      <w:r w:rsidR="00111752" w:rsidRPr="007B0656">
        <w:rPr>
          <w:rFonts w:eastAsia="Arial"/>
          <w:color w:val="000000" w:themeColor="text1"/>
        </w:rPr>
        <w:t xml:space="preserve"> organic compounds, heavy metals</w:t>
      </w:r>
      <w:r w:rsidRPr="007B0656">
        <w:rPr>
          <w:rFonts w:eastAsia="Arial"/>
          <w:color w:val="000000" w:themeColor="text1"/>
        </w:rPr>
        <w:t>, and</w:t>
      </w:r>
      <w:r w:rsidR="00111752" w:rsidRPr="007B0656">
        <w:rPr>
          <w:rFonts w:eastAsia="Arial"/>
          <w:color w:val="000000" w:themeColor="text1"/>
        </w:rPr>
        <w:t xml:space="preserve"> free chlorine in water treatment (</w:t>
      </w:r>
      <w:r w:rsidR="00970431" w:rsidRPr="007B0656">
        <w:rPr>
          <w:rFonts w:eastAsia="Arial"/>
          <w:color w:val="000000" w:themeColor="text1"/>
        </w:rPr>
        <w:t xml:space="preserve">Castro-Suarez et al., 2024; </w:t>
      </w:r>
      <w:r w:rsidR="00111752" w:rsidRPr="007B0656">
        <w:rPr>
          <w:rFonts w:eastAsia="Arial"/>
          <w:color w:val="000000" w:themeColor="text1"/>
        </w:rPr>
        <w:t xml:space="preserve">Gul-Zaman et al., 2021). </w:t>
      </w:r>
      <w:r w:rsidRPr="007B0656">
        <w:rPr>
          <w:rFonts w:eastAsia="Arial"/>
          <w:color w:val="000000" w:themeColor="text1"/>
        </w:rPr>
        <w:t>By using residual biomass and its characteristics</w:t>
      </w:r>
      <w:r w:rsidR="00111752" w:rsidRPr="007B0656">
        <w:rPr>
          <w:rFonts w:eastAsia="Arial"/>
          <w:color w:val="000000" w:themeColor="text1"/>
        </w:rPr>
        <w:t>,</w:t>
      </w:r>
      <w:r w:rsidRPr="007B0656">
        <w:rPr>
          <w:rFonts w:eastAsia="Arial"/>
          <w:color w:val="000000" w:themeColor="text1"/>
        </w:rPr>
        <w:t xml:space="preserve"> activated carbons can be produced through</w:t>
      </w:r>
      <w:r w:rsidR="00111752" w:rsidRPr="007B0656">
        <w:rPr>
          <w:rFonts w:eastAsia="Arial"/>
          <w:color w:val="000000" w:themeColor="text1"/>
        </w:rPr>
        <w:t xml:space="preserve"> </w:t>
      </w:r>
      <w:r w:rsidR="00B754E5" w:rsidRPr="007B0656">
        <w:rPr>
          <w:rFonts w:eastAsia="Arial"/>
          <w:color w:val="000000" w:themeColor="text1"/>
        </w:rPr>
        <w:t xml:space="preserve">chemical </w:t>
      </w:r>
      <w:r w:rsidR="00111752" w:rsidRPr="007B0656">
        <w:rPr>
          <w:rFonts w:eastAsia="Arial"/>
          <w:color w:val="000000" w:themeColor="text1"/>
        </w:rPr>
        <w:t xml:space="preserve">and/or </w:t>
      </w:r>
      <w:r w:rsidR="00B754E5" w:rsidRPr="007B0656">
        <w:rPr>
          <w:rFonts w:eastAsia="Arial"/>
          <w:color w:val="000000" w:themeColor="text1"/>
        </w:rPr>
        <w:t>physical</w:t>
      </w:r>
      <w:r w:rsidR="00111752" w:rsidRPr="007B0656">
        <w:rPr>
          <w:rFonts w:eastAsia="Arial"/>
          <w:color w:val="000000" w:themeColor="text1"/>
        </w:rPr>
        <w:t xml:space="preserve"> activation processes, and </w:t>
      </w:r>
      <w:r w:rsidR="00B754E5" w:rsidRPr="007B0656">
        <w:rPr>
          <w:rFonts w:eastAsia="Arial"/>
          <w:color w:val="000000" w:themeColor="text1"/>
        </w:rPr>
        <w:t>based on</w:t>
      </w:r>
      <w:r w:rsidR="00111752" w:rsidRPr="007B0656">
        <w:rPr>
          <w:rFonts w:eastAsia="Arial"/>
          <w:color w:val="000000" w:themeColor="text1"/>
        </w:rPr>
        <w:t xml:space="preserve"> the process conditions, it is possible to </w:t>
      </w:r>
      <w:r w:rsidR="00B754E5" w:rsidRPr="007B0656">
        <w:rPr>
          <w:rFonts w:eastAsia="Arial"/>
          <w:color w:val="000000" w:themeColor="text1"/>
        </w:rPr>
        <w:t xml:space="preserve">achieve well-formed </w:t>
      </w:r>
      <w:r w:rsidR="00111752" w:rsidRPr="007B0656">
        <w:rPr>
          <w:rFonts w:eastAsia="Arial"/>
          <w:color w:val="000000" w:themeColor="text1"/>
        </w:rPr>
        <w:t xml:space="preserve">pore structures, a large surface with </w:t>
      </w:r>
      <w:r w:rsidR="00B754E5" w:rsidRPr="007B0656">
        <w:rPr>
          <w:rFonts w:eastAsia="Arial"/>
          <w:color w:val="000000" w:themeColor="text1"/>
        </w:rPr>
        <w:t xml:space="preserve">structured macro, meso, </w:t>
      </w:r>
      <w:r w:rsidR="00111752" w:rsidRPr="007B0656">
        <w:rPr>
          <w:rFonts w:eastAsia="Arial"/>
          <w:color w:val="000000" w:themeColor="text1"/>
        </w:rPr>
        <w:t xml:space="preserve">and microporous textural </w:t>
      </w:r>
      <w:r w:rsidR="00B754E5" w:rsidRPr="007B0656">
        <w:rPr>
          <w:rFonts w:eastAsia="Arial"/>
          <w:color w:val="000000" w:themeColor="text1"/>
        </w:rPr>
        <w:t>characteristics with</w:t>
      </w:r>
      <w:r w:rsidR="00111752" w:rsidRPr="007B0656">
        <w:rPr>
          <w:rFonts w:eastAsia="Arial"/>
          <w:color w:val="000000" w:themeColor="text1"/>
        </w:rPr>
        <w:t xml:space="preserve"> active functional </w:t>
      </w:r>
      <w:r w:rsidR="00C340F5" w:rsidRPr="007B0656">
        <w:rPr>
          <w:rFonts w:eastAsia="Arial"/>
          <w:color w:val="000000" w:themeColor="text1"/>
        </w:rPr>
        <w:t xml:space="preserve">groups. </w:t>
      </w:r>
      <w:r w:rsidR="00B754E5" w:rsidRPr="007B0656">
        <w:rPr>
          <w:rFonts w:eastAsia="Arial"/>
          <w:color w:val="000000" w:themeColor="text1"/>
        </w:rPr>
        <w:t xml:space="preserve">Similarly, nanoparticles are used as a better approach in the water treatment process </w:t>
      </w:r>
      <w:r w:rsidR="005C5E5D" w:rsidRPr="007B0656">
        <w:rPr>
          <w:rFonts w:eastAsia="Arial"/>
          <w:color w:val="000000" w:themeColor="text1"/>
        </w:rPr>
        <w:t xml:space="preserve">because of their </w:t>
      </w:r>
      <w:r w:rsidR="00B754E5" w:rsidRPr="007B0656">
        <w:rPr>
          <w:rFonts w:eastAsia="Arial"/>
          <w:color w:val="000000" w:themeColor="text1"/>
        </w:rPr>
        <w:t xml:space="preserve">bigger surface area, shorter distance between particles, and more reaction sites compared to traditional methods, which are often restricted by the number of active sites or inability to selectively remove </w:t>
      </w:r>
      <w:r w:rsidR="005C5E5D" w:rsidRPr="007B0656">
        <w:rPr>
          <w:rFonts w:eastAsia="Arial"/>
          <w:color w:val="000000" w:themeColor="text1"/>
        </w:rPr>
        <w:t xml:space="preserve">contaminants </w:t>
      </w:r>
      <w:r w:rsidR="005C5E5D" w:rsidRPr="007B0656">
        <w:rPr>
          <w:color w:val="000000" w:themeColor="text1"/>
        </w:rPr>
        <w:t>(Kumar et al., 2023).</w:t>
      </w:r>
      <w:r w:rsidR="005C5E5D" w:rsidRPr="007B0656">
        <w:rPr>
          <w:rFonts w:eastAsia="Arial"/>
          <w:color w:val="000000" w:themeColor="text1"/>
        </w:rPr>
        <w:t xml:space="preserve"> </w:t>
      </w:r>
      <w:r w:rsidR="005C5E5D" w:rsidRPr="007B0656">
        <w:rPr>
          <w:color w:val="000000" w:themeColor="text1"/>
        </w:rPr>
        <w:t>Metal oxide nanoparticles demonstrate potential as adsorbents for the sequestration of organic and inorganic impurities due to attributes such as high removal efficiency, diverse magnetic properties, and economic viability. However, their high surface energy leads to inherent instability and a propensity for agglomeration due to Van der Waals forces, which can compromise adsorption performance (Tiwari et al., 2023). To mitigate these limitations and facilitate practical application, these nanomaterials are often structurally modified through surface functionalization with surfactants or by incorporating them into porous support matrices.</w:t>
      </w:r>
    </w:p>
    <w:p w14:paraId="59E55456" w14:textId="6C6571D6" w:rsidR="00111752" w:rsidRPr="007B0656" w:rsidRDefault="00111752" w:rsidP="00F56D3C">
      <w:pPr>
        <w:pStyle w:val="CETBodytext"/>
        <w:rPr>
          <w:rFonts w:eastAsia="Arial"/>
          <w:color w:val="000000" w:themeColor="text1"/>
        </w:rPr>
      </w:pPr>
      <w:r w:rsidRPr="007B0656">
        <w:rPr>
          <w:rFonts w:eastAsia="Arial"/>
          <w:color w:val="000000" w:themeColor="text1"/>
        </w:rPr>
        <w:t xml:space="preserve">This research shows the adsorption behavior of activated carbon from residual vegetable biomass from </w:t>
      </w:r>
      <w:r w:rsidR="00E22F56" w:rsidRPr="007B0656">
        <w:rPr>
          <w:rFonts w:eastAsia="Arial"/>
          <w:color w:val="000000" w:themeColor="text1"/>
        </w:rPr>
        <w:t>cocoa</w:t>
      </w:r>
      <w:r w:rsidR="00974162" w:rsidRPr="007B0656">
        <w:rPr>
          <w:rFonts w:eastAsia="Arial"/>
          <w:color w:val="000000" w:themeColor="text1"/>
        </w:rPr>
        <w:t xml:space="preserve"> (cocoa shell)</w:t>
      </w:r>
      <w:r w:rsidRPr="007B0656">
        <w:rPr>
          <w:rFonts w:eastAsia="Arial"/>
          <w:color w:val="000000" w:themeColor="text1"/>
        </w:rPr>
        <w:t xml:space="preserve">, coffee and palm oil, as well as the subsequent impregnation with </w:t>
      </w:r>
      <w:r w:rsidR="003F7ACE" w:rsidRPr="007B0656">
        <w:rPr>
          <w:rFonts w:eastAsia="Arial"/>
          <w:color w:val="000000" w:themeColor="text1"/>
        </w:rPr>
        <w:t>silica</w:t>
      </w:r>
      <w:r w:rsidRPr="007B0656">
        <w:rPr>
          <w:rFonts w:eastAsia="Arial"/>
          <w:color w:val="000000" w:themeColor="text1"/>
        </w:rPr>
        <w:t xml:space="preserve"> nanoparticles (SiO</w:t>
      </w:r>
      <w:r w:rsidRPr="007B0656">
        <w:rPr>
          <w:rFonts w:eastAsia="Arial"/>
          <w:color w:val="000000" w:themeColor="text1"/>
          <w:vertAlign w:val="subscript"/>
        </w:rPr>
        <w:t>2</w:t>
      </w:r>
      <w:r w:rsidRPr="007B0656">
        <w:rPr>
          <w:rFonts w:eastAsia="Arial"/>
          <w:color w:val="000000" w:themeColor="text1"/>
        </w:rPr>
        <w:t>) for the removal of contaminants detected in wastewater for the biomass that showed the best development of porosity measured through the surface area. The analysis was performed by Fourier transform infrared spectroscopy (FTIR</w:t>
      </w:r>
      <w:r w:rsidR="0030386F" w:rsidRPr="007B0656">
        <w:rPr>
          <w:rFonts w:eastAsia="Arial"/>
          <w:color w:val="000000" w:themeColor="text1"/>
        </w:rPr>
        <w:t>-ATR</w:t>
      </w:r>
      <w:r w:rsidRPr="007B0656">
        <w:rPr>
          <w:rFonts w:eastAsia="Arial"/>
          <w:color w:val="000000" w:themeColor="text1"/>
        </w:rPr>
        <w:t xml:space="preserve">), scanning electron microscopy (SEM), specific surface area (BET) and UV-Vis spectroscopy, where the removals of methylene blue (MB), phenol (Ph) and sodium </w:t>
      </w:r>
      <w:proofErr w:type="spellStart"/>
      <w:r w:rsidRPr="007B0656">
        <w:rPr>
          <w:rFonts w:eastAsia="Arial"/>
          <w:color w:val="000000" w:themeColor="text1"/>
        </w:rPr>
        <w:t>dodecylbenzenesulfonate</w:t>
      </w:r>
      <w:proofErr w:type="spellEnd"/>
      <w:r w:rsidRPr="007B0656">
        <w:rPr>
          <w:rFonts w:eastAsia="Arial"/>
          <w:color w:val="000000" w:themeColor="text1"/>
        </w:rPr>
        <w:t xml:space="preserve"> (SDBS) were 93.85%, 97.09% and 98.15% by weight, respectively. The methodology proposed in this study demonstrates that activated carbon/SiO</w:t>
      </w:r>
      <w:r w:rsidRPr="007B0656">
        <w:rPr>
          <w:rFonts w:eastAsia="Arial"/>
          <w:color w:val="000000" w:themeColor="text1"/>
          <w:vertAlign w:val="subscript"/>
        </w:rPr>
        <w:t>2</w:t>
      </w:r>
      <w:r w:rsidRPr="007B0656">
        <w:rPr>
          <w:rFonts w:eastAsia="Arial"/>
          <w:color w:val="000000" w:themeColor="text1"/>
        </w:rPr>
        <w:t xml:space="preserve"> nanoparticles are suitable for </w:t>
      </w:r>
      <w:r w:rsidR="003F7ACE" w:rsidRPr="007B0656">
        <w:rPr>
          <w:rFonts w:eastAsia="Arial"/>
          <w:color w:val="000000" w:themeColor="text1"/>
        </w:rPr>
        <w:t>take away</w:t>
      </w:r>
      <w:r w:rsidRPr="007B0656">
        <w:rPr>
          <w:rFonts w:eastAsia="Arial"/>
          <w:color w:val="000000" w:themeColor="text1"/>
        </w:rPr>
        <w:t xml:space="preserve"> organic compounds present in wastewater.</w:t>
      </w:r>
    </w:p>
    <w:p w14:paraId="4B4F4381" w14:textId="07301559" w:rsidR="00111752" w:rsidRPr="007B0656" w:rsidRDefault="00111752" w:rsidP="00111752">
      <w:pPr>
        <w:pStyle w:val="CETHeading1"/>
        <w:rPr>
          <w:color w:val="000000" w:themeColor="text1"/>
        </w:rPr>
      </w:pPr>
      <w:r w:rsidRPr="007B0656">
        <w:rPr>
          <w:color w:val="000000" w:themeColor="text1"/>
        </w:rPr>
        <w:t>Materials and Methods</w:t>
      </w:r>
    </w:p>
    <w:p w14:paraId="3296DFCF" w14:textId="17468A61" w:rsidR="00111752" w:rsidRPr="007B0656" w:rsidRDefault="00111752" w:rsidP="00111752">
      <w:pPr>
        <w:pStyle w:val="CETheadingx"/>
        <w:rPr>
          <w:color w:val="000000" w:themeColor="text1"/>
        </w:rPr>
      </w:pPr>
      <w:r w:rsidRPr="007B0656">
        <w:rPr>
          <w:color w:val="000000" w:themeColor="text1"/>
        </w:rPr>
        <w:t>Carbon Activation</w:t>
      </w:r>
    </w:p>
    <w:p w14:paraId="3FD42ADE" w14:textId="18C67DC3" w:rsidR="00970431" w:rsidRPr="007B0656" w:rsidRDefault="00AE04BA" w:rsidP="00F56D3C">
      <w:pPr>
        <w:pStyle w:val="CETBodytext"/>
        <w:rPr>
          <w:rFonts w:eastAsia="Arial"/>
          <w:color w:val="000000" w:themeColor="text1"/>
        </w:rPr>
      </w:pPr>
      <w:r w:rsidRPr="007B0656">
        <w:rPr>
          <w:rFonts w:eastAsia="Arial"/>
          <w:color w:val="000000" w:themeColor="text1"/>
        </w:rPr>
        <w:t>Plant biomasses were selected as precursors from the Santander region in Colombia</w:t>
      </w:r>
      <w:r w:rsidR="00970431" w:rsidRPr="007B0656">
        <w:rPr>
          <w:rFonts w:eastAsia="Arial"/>
          <w:color w:val="000000" w:themeColor="text1"/>
        </w:rPr>
        <w:t xml:space="preserve">. </w:t>
      </w:r>
      <w:r w:rsidR="00022EB1" w:rsidRPr="007B0656">
        <w:rPr>
          <w:rFonts w:eastAsia="Arial"/>
          <w:color w:val="000000" w:themeColor="text1"/>
        </w:rPr>
        <w:t>T</w:t>
      </w:r>
      <w:r w:rsidR="00970431" w:rsidRPr="007B0656">
        <w:rPr>
          <w:rFonts w:eastAsia="Arial"/>
          <w:color w:val="000000" w:themeColor="text1"/>
        </w:rPr>
        <w:t xml:space="preserve">he residual biomasses were </w:t>
      </w:r>
      <w:r w:rsidR="00022EB1" w:rsidRPr="007B0656">
        <w:rPr>
          <w:rFonts w:eastAsia="Arial"/>
          <w:color w:val="000000" w:themeColor="text1"/>
          <w:lang w:val="en-GB"/>
        </w:rPr>
        <w:t xml:space="preserve">initially </w:t>
      </w:r>
      <w:r w:rsidR="00970431" w:rsidRPr="007B0656">
        <w:rPr>
          <w:rFonts w:eastAsia="Arial"/>
          <w:color w:val="000000" w:themeColor="text1"/>
        </w:rPr>
        <w:t xml:space="preserve">ground to obtain particles between 100 and 120 mesh. The crushed material was sun-dried for </w:t>
      </w:r>
      <w:r w:rsidR="00AF5BFF" w:rsidRPr="007B0656">
        <w:rPr>
          <w:rFonts w:eastAsia="Arial"/>
          <w:color w:val="000000" w:themeColor="text1"/>
        </w:rPr>
        <w:t>3</w:t>
      </w:r>
      <w:r w:rsidR="00970431" w:rsidRPr="007B0656">
        <w:rPr>
          <w:rFonts w:eastAsia="Arial"/>
          <w:color w:val="000000" w:themeColor="text1"/>
        </w:rPr>
        <w:t xml:space="preserve"> days to reduce moisture, followed by oven drying at 105 °C for 8 h, repeated until a constant weight was achieved. </w:t>
      </w:r>
      <w:r w:rsidR="00256629" w:rsidRPr="007B0656">
        <w:rPr>
          <w:rFonts w:eastAsia="Arial"/>
          <w:color w:val="000000" w:themeColor="text1"/>
        </w:rPr>
        <w:t>The activation</w:t>
      </w:r>
      <w:r w:rsidR="00970431" w:rsidRPr="007B0656">
        <w:rPr>
          <w:rFonts w:eastAsia="Arial"/>
          <w:color w:val="000000" w:themeColor="text1"/>
        </w:rPr>
        <w:t xml:space="preserve"> process was performed using chemical activation with 85% </w:t>
      </w:r>
      <w:r w:rsidR="00256629" w:rsidRPr="007B0656">
        <w:rPr>
          <w:rFonts w:eastAsia="Arial"/>
          <w:color w:val="000000" w:themeColor="text1"/>
        </w:rPr>
        <w:t>H</w:t>
      </w:r>
      <w:r w:rsidR="00256629" w:rsidRPr="007B0656">
        <w:rPr>
          <w:rFonts w:eastAsia="Arial"/>
          <w:color w:val="000000" w:themeColor="text1"/>
          <w:vertAlign w:val="subscript"/>
        </w:rPr>
        <w:t>3</w:t>
      </w:r>
      <w:r w:rsidR="00256629" w:rsidRPr="007B0656">
        <w:rPr>
          <w:rFonts w:eastAsia="Arial"/>
          <w:color w:val="000000" w:themeColor="text1"/>
        </w:rPr>
        <w:t>PO</w:t>
      </w:r>
      <w:r w:rsidR="00256629" w:rsidRPr="007B0656">
        <w:rPr>
          <w:rFonts w:eastAsia="Arial"/>
          <w:color w:val="000000" w:themeColor="text1"/>
          <w:vertAlign w:val="subscript"/>
        </w:rPr>
        <w:t>4</w:t>
      </w:r>
      <w:r w:rsidR="00970431" w:rsidRPr="007B0656">
        <w:rPr>
          <w:rFonts w:eastAsia="Arial"/>
          <w:color w:val="000000" w:themeColor="text1"/>
        </w:rPr>
        <w:t xml:space="preserve"> at an impregnation ratio of 1.5. For this, 300 g of dry biomass was mixed with H</w:t>
      </w:r>
      <w:r w:rsidR="00256629" w:rsidRPr="007B0656">
        <w:rPr>
          <w:rFonts w:eastAsia="Arial"/>
          <w:color w:val="000000" w:themeColor="text1"/>
          <w:vertAlign w:val="subscript"/>
        </w:rPr>
        <w:t>3</w:t>
      </w:r>
      <w:r w:rsidR="00970431" w:rsidRPr="007B0656">
        <w:rPr>
          <w:rFonts w:eastAsia="Arial"/>
          <w:color w:val="000000" w:themeColor="text1"/>
        </w:rPr>
        <w:t>PO</w:t>
      </w:r>
      <w:r w:rsidR="00256629" w:rsidRPr="007B0656">
        <w:rPr>
          <w:rFonts w:eastAsia="Arial"/>
          <w:color w:val="000000" w:themeColor="text1"/>
          <w:vertAlign w:val="subscript"/>
        </w:rPr>
        <w:t>4</w:t>
      </w:r>
      <w:r w:rsidR="00970431" w:rsidRPr="007B0656">
        <w:rPr>
          <w:rFonts w:eastAsia="Arial"/>
          <w:color w:val="000000" w:themeColor="text1"/>
        </w:rPr>
        <w:t xml:space="preserve"> under constant stirring at 100 </w:t>
      </w:r>
      <w:r w:rsidR="00970431" w:rsidRPr="007B0656">
        <w:rPr>
          <w:rFonts w:eastAsia="Arial" w:cs="Arial"/>
          <w:color w:val="000000" w:themeColor="text1"/>
        </w:rPr>
        <w:t>°</w:t>
      </w:r>
      <w:r w:rsidR="00970431" w:rsidRPr="007B0656">
        <w:rPr>
          <w:rFonts w:eastAsia="Arial"/>
          <w:color w:val="000000" w:themeColor="text1"/>
        </w:rPr>
        <w:t>C for 1 h. The activated biomass was subjected to a thermochemical process in a nitrogen (N</w:t>
      </w:r>
      <w:r w:rsidR="00970431" w:rsidRPr="007B0656">
        <w:rPr>
          <w:rFonts w:eastAsia="Arial"/>
          <w:color w:val="000000" w:themeColor="text1"/>
          <w:vertAlign w:val="subscript"/>
        </w:rPr>
        <w:t>2</w:t>
      </w:r>
      <w:r w:rsidR="00970431" w:rsidRPr="007B0656">
        <w:rPr>
          <w:rFonts w:eastAsia="Arial"/>
          <w:color w:val="000000" w:themeColor="text1"/>
        </w:rPr>
        <w:t>) atmosphere at a flow rate of 20 mL/min at 480 °C for 30 min. The resulting activated carbon was washed until the pH of the washing water reached 6–7 and finally dried in an oven at 100–105 °C for 24 h</w:t>
      </w:r>
      <w:r w:rsidR="00DD5A5F" w:rsidRPr="007B0656">
        <w:rPr>
          <w:rFonts w:eastAsia="Arial"/>
          <w:color w:val="000000" w:themeColor="text1"/>
        </w:rPr>
        <w:t xml:space="preserve"> </w:t>
      </w:r>
      <w:r w:rsidR="00DD5A5F" w:rsidRPr="007B0656">
        <w:rPr>
          <w:color w:val="000000" w:themeColor="text1"/>
        </w:rPr>
        <w:t>(León et al., 2023)</w:t>
      </w:r>
      <w:r w:rsidR="00970431" w:rsidRPr="007B0656">
        <w:rPr>
          <w:rFonts w:eastAsia="Arial"/>
          <w:color w:val="000000" w:themeColor="text1"/>
        </w:rPr>
        <w:t>.</w:t>
      </w:r>
    </w:p>
    <w:p w14:paraId="7FE7E5FB" w14:textId="77777777" w:rsidR="00111752" w:rsidRPr="007B0656" w:rsidRDefault="00111752" w:rsidP="00111752">
      <w:pPr>
        <w:pStyle w:val="CETBodytext"/>
        <w:spacing w:line="240" w:lineRule="auto"/>
        <w:rPr>
          <w:rFonts w:eastAsia="Arial" w:cs="Arial"/>
          <w:color w:val="000000" w:themeColor="text1"/>
        </w:rPr>
      </w:pPr>
    </w:p>
    <w:p w14:paraId="406CDF76" w14:textId="77D8C0DE" w:rsidR="00111752" w:rsidRPr="007B0656" w:rsidRDefault="00111752" w:rsidP="00111752">
      <w:pPr>
        <w:pStyle w:val="CETheadingx"/>
        <w:rPr>
          <w:color w:val="000000" w:themeColor="text1"/>
        </w:rPr>
      </w:pPr>
      <w:r w:rsidRPr="007B0656">
        <w:rPr>
          <w:color w:val="000000" w:themeColor="text1"/>
        </w:rPr>
        <w:t>Characterization of Activated Carbon/SiO</w:t>
      </w:r>
      <w:r w:rsidRPr="007B0656">
        <w:rPr>
          <w:color w:val="000000" w:themeColor="text1"/>
          <w:vertAlign w:val="subscript"/>
        </w:rPr>
        <w:t>2</w:t>
      </w:r>
    </w:p>
    <w:p w14:paraId="0CF8B3FB" w14:textId="6E554B18" w:rsidR="00A64F26" w:rsidRPr="007B0656" w:rsidRDefault="00A64F26" w:rsidP="00A64F26">
      <w:pPr>
        <w:pStyle w:val="CETBodytext"/>
        <w:rPr>
          <w:rFonts w:eastAsia="Arial"/>
          <w:color w:val="000000" w:themeColor="text1"/>
        </w:rPr>
      </w:pPr>
      <w:r w:rsidRPr="007B0656">
        <w:rPr>
          <w:rFonts w:eastAsia="Arial"/>
          <w:color w:val="000000" w:themeColor="text1"/>
        </w:rPr>
        <w:t>The characterization was performed in two stages. The first stage involved FTIR</w:t>
      </w:r>
      <w:r w:rsidR="0030386F" w:rsidRPr="007B0656">
        <w:rPr>
          <w:rFonts w:eastAsia="Arial"/>
          <w:color w:val="000000" w:themeColor="text1"/>
        </w:rPr>
        <w:t>-ATR</w:t>
      </w:r>
      <w:r w:rsidRPr="007B0656">
        <w:rPr>
          <w:rFonts w:eastAsia="Arial"/>
          <w:color w:val="000000" w:themeColor="text1"/>
        </w:rPr>
        <w:t xml:space="preserve"> spectroscopy to analyze the surface chemistry of the three adsorbent materials and nitrogen (N</w:t>
      </w:r>
      <w:r w:rsidRPr="007B0656">
        <w:rPr>
          <w:rFonts w:eastAsia="Arial"/>
          <w:color w:val="000000" w:themeColor="text1"/>
          <w:vertAlign w:val="subscript"/>
        </w:rPr>
        <w:t>2</w:t>
      </w:r>
      <w:r w:rsidRPr="007B0656">
        <w:rPr>
          <w:rFonts w:eastAsia="Arial"/>
          <w:color w:val="000000" w:themeColor="text1"/>
        </w:rPr>
        <w:t xml:space="preserve">) adsorption/desorption analysis to determine textural properties such as surface area. The material with the highest surface area was selected for </w:t>
      </w:r>
      <w:proofErr w:type="spellStart"/>
      <w:r w:rsidRPr="007B0656">
        <w:rPr>
          <w:rFonts w:eastAsia="Arial"/>
          <w:color w:val="000000" w:themeColor="text1"/>
        </w:rPr>
        <w:t>SiO</w:t>
      </w:r>
      <w:proofErr w:type="spellEnd"/>
      <w:r w:rsidRPr="007B0656">
        <w:rPr>
          <w:rFonts w:ascii="Cambria Math" w:eastAsia="Arial" w:hAnsi="Cambria Math" w:cs="Cambria Math"/>
          <w:color w:val="000000" w:themeColor="text1"/>
        </w:rPr>
        <w:t>₂</w:t>
      </w:r>
      <w:r w:rsidRPr="007B0656">
        <w:rPr>
          <w:rFonts w:eastAsia="Arial"/>
          <w:color w:val="000000" w:themeColor="text1"/>
        </w:rPr>
        <w:t xml:space="preserve"> nanoparticle impregnation. FTIR spectra were acquired using a Thermo Scientific</w:t>
      </w:r>
      <w:r w:rsidRPr="007B0656">
        <w:rPr>
          <w:rFonts w:eastAsia="Arial" w:cs="Arial"/>
          <w:color w:val="000000" w:themeColor="text1"/>
        </w:rPr>
        <w:t>©</w:t>
      </w:r>
      <w:r w:rsidRPr="007B0656">
        <w:rPr>
          <w:rFonts w:eastAsia="Arial"/>
          <w:color w:val="000000" w:themeColor="text1"/>
        </w:rPr>
        <w:t xml:space="preserve"> Nicolet Summit X FTIR in the mid-infrared (MIR) range, coupled with an attenuated total reflectance (ATR) cell featuring a diamond crystal at a fixed 45° incidence angle. Spectra for control and impregnated carbons were normalized using OMNIC® software.</w:t>
      </w:r>
      <w:r w:rsidR="00022EB1" w:rsidRPr="007B0656">
        <w:rPr>
          <w:rFonts w:eastAsia="Arial"/>
          <w:color w:val="000000" w:themeColor="text1"/>
          <w:lang w:val="en-GB"/>
        </w:rPr>
        <w:t xml:space="preserve"> The </w:t>
      </w:r>
      <w:proofErr w:type="spellStart"/>
      <w:r w:rsidR="00022EB1" w:rsidRPr="007B0656">
        <w:rPr>
          <w:rFonts w:eastAsia="Arial"/>
          <w:color w:val="000000" w:themeColor="text1"/>
          <w:lang w:val="en-GB"/>
        </w:rPr>
        <w:t>Brunauer</w:t>
      </w:r>
      <w:proofErr w:type="spellEnd"/>
      <w:r w:rsidR="00022EB1" w:rsidRPr="007B0656">
        <w:rPr>
          <w:rFonts w:eastAsia="Arial"/>
          <w:color w:val="000000" w:themeColor="text1"/>
          <w:lang w:val="en-GB"/>
        </w:rPr>
        <w:t>, Emmett and Teller (BET) method based on nitrogen (N</w:t>
      </w:r>
      <w:r w:rsidR="00022EB1" w:rsidRPr="007B0656">
        <w:rPr>
          <w:rFonts w:ascii="Cambria Math" w:eastAsia="Arial" w:hAnsi="Cambria Math" w:cs="Cambria Math"/>
          <w:color w:val="000000" w:themeColor="text1"/>
          <w:lang w:val="en-GB"/>
        </w:rPr>
        <w:t>₂</w:t>
      </w:r>
      <w:r w:rsidR="00022EB1" w:rsidRPr="007B0656">
        <w:rPr>
          <w:rFonts w:eastAsia="Arial"/>
          <w:color w:val="000000" w:themeColor="text1"/>
          <w:lang w:val="en-GB"/>
        </w:rPr>
        <w:t xml:space="preserve">) adsorption/desorption isotherms at 77 K was applied </w:t>
      </w:r>
      <w:r w:rsidR="00022EB1" w:rsidRPr="007B0656">
        <w:rPr>
          <w:rFonts w:eastAsia="Arial"/>
          <w:color w:val="000000" w:themeColor="text1"/>
        </w:rPr>
        <w:t>to</w:t>
      </w:r>
      <w:r w:rsidRPr="007B0656">
        <w:rPr>
          <w:rFonts w:eastAsia="Arial"/>
          <w:color w:val="000000" w:themeColor="text1"/>
        </w:rPr>
        <w:t xml:space="preserve"> determin</w:t>
      </w:r>
      <w:r w:rsidR="00022EB1" w:rsidRPr="007B0656">
        <w:rPr>
          <w:rFonts w:eastAsia="Arial"/>
          <w:color w:val="000000" w:themeColor="text1"/>
        </w:rPr>
        <w:t>e</w:t>
      </w:r>
      <w:r w:rsidRPr="007B0656">
        <w:rPr>
          <w:rFonts w:eastAsia="Arial"/>
          <w:color w:val="000000" w:themeColor="text1"/>
        </w:rPr>
        <w:t xml:space="preserve"> specific surface area and pore volume. Activated carbon samples impregnated with </w:t>
      </w:r>
      <w:proofErr w:type="spellStart"/>
      <w:r w:rsidRPr="007B0656">
        <w:rPr>
          <w:rFonts w:eastAsia="Arial"/>
          <w:color w:val="000000" w:themeColor="text1"/>
        </w:rPr>
        <w:t>SiO</w:t>
      </w:r>
      <w:proofErr w:type="spellEnd"/>
      <w:r w:rsidRPr="007B0656">
        <w:rPr>
          <w:rFonts w:ascii="Cambria Math" w:eastAsia="Arial" w:hAnsi="Cambria Math" w:cs="Cambria Math"/>
          <w:color w:val="000000" w:themeColor="text1"/>
        </w:rPr>
        <w:t>₂</w:t>
      </w:r>
      <w:r w:rsidRPr="007B0656">
        <w:rPr>
          <w:rFonts w:eastAsia="Arial"/>
          <w:color w:val="000000" w:themeColor="text1"/>
        </w:rPr>
        <w:t xml:space="preserve"> nanoparticles were weighed in 9 mm borosilicate glass cells using a Vac Prep 061 MICROMERITICS</w:t>
      </w:r>
      <w:r w:rsidRPr="007B0656">
        <w:rPr>
          <w:rFonts w:eastAsia="Arial" w:cs="Arial"/>
          <w:color w:val="000000" w:themeColor="text1"/>
        </w:rPr>
        <w:t>®</w:t>
      </w:r>
      <w:r w:rsidRPr="007B0656">
        <w:rPr>
          <w:rFonts w:eastAsia="Arial"/>
          <w:color w:val="000000" w:themeColor="text1"/>
        </w:rPr>
        <w:t xml:space="preserve"> device.</w:t>
      </w:r>
    </w:p>
    <w:p w14:paraId="48DA5AFF" w14:textId="7FF26BEE" w:rsidR="00A64F26" w:rsidRPr="007B0656" w:rsidRDefault="00A64F26" w:rsidP="00F56D3C">
      <w:pPr>
        <w:pStyle w:val="CETBodytext"/>
        <w:rPr>
          <w:rFonts w:eastAsia="Arial"/>
          <w:color w:val="000000" w:themeColor="text1"/>
        </w:rPr>
      </w:pPr>
      <w:r w:rsidRPr="007B0656">
        <w:rPr>
          <w:rFonts w:eastAsia="Arial"/>
          <w:color w:val="000000" w:themeColor="text1"/>
        </w:rPr>
        <w:t>After selecting the activated carbon with the highest surface area, final</w:t>
      </w:r>
      <w:r w:rsidR="00022EB1" w:rsidRPr="007B0656">
        <w:rPr>
          <w:rFonts w:eastAsia="Arial"/>
          <w:color w:val="000000" w:themeColor="text1"/>
        </w:rPr>
        <w:t>ly,</w:t>
      </w:r>
      <w:r w:rsidRPr="007B0656">
        <w:rPr>
          <w:rFonts w:eastAsia="Arial"/>
          <w:color w:val="000000" w:themeColor="text1"/>
        </w:rPr>
        <w:t xml:space="preserve"> characterization was performed by scanning electron microscopy (SEM). Secondary electron (SE) and backscattered electron (BSED) imaging, along with energy-dispersive spectroscopy (EDS), were conducted using a FEI QUANTA FEG 650 </w:t>
      </w:r>
      <w:r w:rsidRPr="007B0656">
        <w:rPr>
          <w:rFonts w:eastAsia="Arial"/>
          <w:color w:val="000000" w:themeColor="text1"/>
        </w:rPr>
        <w:lastRenderedPageBreak/>
        <w:t>environmental SEM under the following conditions: magnification (200X–3000X), working distance (9.5 mm), high voltage (15.00 kV), and detectors (BSED and Everhart-Thornley ETD). EDS analysis was performed using an EDAX APOLO X detector with 126.1 eV resolution (Mn K</w:t>
      </w:r>
      <w:r w:rsidRPr="007B0656">
        <w:rPr>
          <w:rFonts w:eastAsia="Arial"/>
          <w:color w:val="000000" w:themeColor="text1"/>
          <w:lang w:val="es-CO"/>
        </w:rPr>
        <w:t>α</w:t>
      </w:r>
      <w:r w:rsidRPr="007B0656">
        <w:rPr>
          <w:rFonts w:eastAsia="Arial"/>
          <w:color w:val="000000" w:themeColor="text1"/>
        </w:rPr>
        <w:t>)</w:t>
      </w:r>
      <w:r w:rsidR="00863721" w:rsidRPr="007B0656">
        <w:rPr>
          <w:rFonts w:eastAsia="Arial"/>
          <w:color w:val="000000" w:themeColor="text1"/>
        </w:rPr>
        <w:t xml:space="preserve"> </w:t>
      </w:r>
      <w:r w:rsidR="00863721" w:rsidRPr="007B0656">
        <w:rPr>
          <w:color w:val="000000" w:themeColor="text1"/>
        </w:rPr>
        <w:t>(León et al., 2023)</w:t>
      </w:r>
      <w:r w:rsidRPr="007B0656">
        <w:rPr>
          <w:rFonts w:eastAsia="Arial"/>
          <w:color w:val="000000" w:themeColor="text1"/>
        </w:rPr>
        <w:t>.</w:t>
      </w:r>
    </w:p>
    <w:p w14:paraId="60DD184E" w14:textId="77777777" w:rsidR="00111752" w:rsidRPr="007B0656" w:rsidRDefault="00111752" w:rsidP="00401D05">
      <w:pPr>
        <w:spacing w:line="240" w:lineRule="auto"/>
        <w:rPr>
          <w:rFonts w:eastAsia="Arial" w:cs="Arial"/>
          <w:color w:val="000000" w:themeColor="text1"/>
          <w:lang w:val="en-US"/>
        </w:rPr>
      </w:pPr>
    </w:p>
    <w:p w14:paraId="5FCE79AC" w14:textId="15C570FD" w:rsidR="00111752" w:rsidRPr="007B0656" w:rsidRDefault="00111752" w:rsidP="00111752">
      <w:pPr>
        <w:pStyle w:val="CETheadingx"/>
        <w:rPr>
          <w:color w:val="000000" w:themeColor="text1"/>
        </w:rPr>
      </w:pPr>
      <w:r w:rsidRPr="007B0656">
        <w:rPr>
          <w:color w:val="000000" w:themeColor="text1"/>
        </w:rPr>
        <w:t>Impregnation of Activated Carbon with SiO</w:t>
      </w:r>
      <w:r w:rsidRPr="007B0656">
        <w:rPr>
          <w:color w:val="000000" w:themeColor="text1"/>
          <w:vertAlign w:val="subscript"/>
        </w:rPr>
        <w:t>2</w:t>
      </w:r>
      <w:r w:rsidRPr="007B0656">
        <w:rPr>
          <w:color w:val="000000" w:themeColor="text1"/>
        </w:rPr>
        <w:t xml:space="preserve"> NPs</w:t>
      </w:r>
    </w:p>
    <w:p w14:paraId="0F1EAE5A" w14:textId="2935CDCC" w:rsidR="00111752" w:rsidRPr="007B0656" w:rsidRDefault="00111752" w:rsidP="00F56D3C">
      <w:pPr>
        <w:pStyle w:val="CETBodytext"/>
        <w:rPr>
          <w:rFonts w:eastAsia="Arial"/>
          <w:color w:val="000000" w:themeColor="text1"/>
        </w:rPr>
      </w:pPr>
      <w:r w:rsidRPr="007B0656">
        <w:rPr>
          <w:rFonts w:eastAsia="Arial"/>
          <w:color w:val="000000" w:themeColor="text1"/>
        </w:rPr>
        <w:t>Activated carbon/SiO</w:t>
      </w:r>
      <w:r w:rsidRPr="007B0656">
        <w:rPr>
          <w:rFonts w:eastAsia="Arial"/>
          <w:color w:val="000000" w:themeColor="text1"/>
          <w:vertAlign w:val="subscript"/>
        </w:rPr>
        <w:t>2</w:t>
      </w:r>
      <w:r w:rsidRPr="007B0656">
        <w:rPr>
          <w:rFonts w:eastAsia="Arial"/>
          <w:color w:val="000000" w:themeColor="text1"/>
        </w:rPr>
        <w:t xml:space="preserve"> </w:t>
      </w:r>
      <w:r w:rsidR="00310265" w:rsidRPr="007B0656">
        <w:rPr>
          <w:rFonts w:eastAsia="Arial"/>
          <w:color w:val="000000" w:themeColor="text1"/>
          <w:lang w:val="en-GB"/>
        </w:rPr>
        <w:t xml:space="preserve">was synthesized via </w:t>
      </w:r>
      <w:r w:rsidR="00022EB1" w:rsidRPr="007B0656">
        <w:rPr>
          <w:rFonts w:eastAsia="Arial"/>
          <w:color w:val="000000" w:themeColor="text1"/>
          <w:lang w:val="en-GB"/>
        </w:rPr>
        <w:t xml:space="preserve">the </w:t>
      </w:r>
      <w:r w:rsidR="00310265" w:rsidRPr="007B0656">
        <w:rPr>
          <w:rFonts w:eastAsia="Arial"/>
          <w:color w:val="000000" w:themeColor="text1"/>
          <w:lang w:val="en-GB"/>
        </w:rPr>
        <w:t>coprecipitation method.</w:t>
      </w:r>
      <w:r w:rsidRPr="007B0656">
        <w:rPr>
          <w:rFonts w:eastAsia="Arial"/>
          <w:color w:val="000000" w:themeColor="text1"/>
        </w:rPr>
        <w:t xml:space="preserve"> </w:t>
      </w:r>
      <w:r w:rsidR="00310265" w:rsidRPr="007B0656">
        <w:rPr>
          <w:rFonts w:eastAsia="Arial"/>
          <w:color w:val="000000" w:themeColor="text1"/>
        </w:rPr>
        <w:t>S</w:t>
      </w:r>
      <w:r w:rsidRPr="007B0656">
        <w:rPr>
          <w:rFonts w:eastAsia="Arial"/>
          <w:color w:val="000000" w:themeColor="text1"/>
        </w:rPr>
        <w:t>uspensions at 5400 mg/L</w:t>
      </w:r>
      <w:r w:rsidR="00310265" w:rsidRPr="007B0656">
        <w:rPr>
          <w:rFonts w:eastAsia="Arial"/>
          <w:color w:val="000000" w:themeColor="text1"/>
        </w:rPr>
        <w:t xml:space="preserve"> SiO</w:t>
      </w:r>
      <w:r w:rsidR="00310265" w:rsidRPr="007B0656">
        <w:rPr>
          <w:rFonts w:eastAsia="Arial"/>
          <w:color w:val="000000" w:themeColor="text1"/>
          <w:vertAlign w:val="subscript"/>
        </w:rPr>
        <w:t>2</w:t>
      </w:r>
      <w:r w:rsidR="00310265" w:rsidRPr="007B0656">
        <w:rPr>
          <w:rFonts w:eastAsia="Arial"/>
          <w:color w:val="000000" w:themeColor="text1"/>
        </w:rPr>
        <w:t>-NPs</w:t>
      </w:r>
      <w:r w:rsidRPr="007B0656">
        <w:rPr>
          <w:rFonts w:eastAsia="Arial"/>
          <w:color w:val="000000" w:themeColor="text1"/>
        </w:rPr>
        <w:t xml:space="preserve"> </w:t>
      </w:r>
      <w:r w:rsidR="00310265" w:rsidRPr="007B0656">
        <w:rPr>
          <w:rFonts w:eastAsia="Arial"/>
          <w:color w:val="000000" w:themeColor="text1"/>
        </w:rPr>
        <w:t xml:space="preserve">were </w:t>
      </w:r>
      <w:r w:rsidR="00310265" w:rsidRPr="007B0656">
        <w:rPr>
          <w:rFonts w:eastAsia="Arial"/>
          <w:color w:val="000000" w:themeColor="text1"/>
          <w:lang w:val="en-GB"/>
        </w:rPr>
        <w:t>dispersed in ethanol and stabilized using ultrasonic treatment.</w:t>
      </w:r>
      <w:r w:rsidRPr="007B0656">
        <w:rPr>
          <w:rFonts w:eastAsia="Arial"/>
          <w:color w:val="000000" w:themeColor="text1"/>
        </w:rPr>
        <w:t xml:space="preserve"> </w:t>
      </w:r>
      <w:r w:rsidR="00310265" w:rsidRPr="007B0656">
        <w:rPr>
          <w:rFonts w:eastAsia="Arial"/>
          <w:color w:val="000000" w:themeColor="text1"/>
          <w:lang w:val="en-GB"/>
        </w:rPr>
        <w:t>After stabilization</w:t>
      </w:r>
      <w:r w:rsidRPr="007B0656">
        <w:rPr>
          <w:rFonts w:eastAsia="Arial"/>
          <w:color w:val="000000" w:themeColor="text1"/>
        </w:rPr>
        <w:t xml:space="preserve">, 4 g of </w:t>
      </w:r>
      <w:r w:rsidR="00310265" w:rsidRPr="007B0656">
        <w:rPr>
          <w:rFonts w:eastAsia="Arial"/>
          <w:color w:val="000000" w:themeColor="text1"/>
        </w:rPr>
        <w:t xml:space="preserve">activated </w:t>
      </w:r>
      <w:r w:rsidRPr="007B0656">
        <w:rPr>
          <w:rFonts w:eastAsia="Arial"/>
          <w:color w:val="000000" w:themeColor="text1"/>
        </w:rPr>
        <w:t xml:space="preserve">carbon </w:t>
      </w:r>
      <w:r w:rsidR="00022EB1" w:rsidRPr="007B0656">
        <w:rPr>
          <w:rFonts w:eastAsia="Arial"/>
          <w:color w:val="000000" w:themeColor="text1"/>
        </w:rPr>
        <w:t>was</w:t>
      </w:r>
      <w:r w:rsidRPr="007B0656">
        <w:rPr>
          <w:rFonts w:eastAsia="Arial"/>
          <w:color w:val="000000" w:themeColor="text1"/>
        </w:rPr>
        <w:t xml:space="preserve"> added to the stabilized fluid and </w:t>
      </w:r>
      <w:r w:rsidR="00310265" w:rsidRPr="007B0656">
        <w:rPr>
          <w:rFonts w:eastAsia="Arial"/>
          <w:color w:val="000000" w:themeColor="text1"/>
        </w:rPr>
        <w:t>sonicated</w:t>
      </w:r>
      <w:r w:rsidRPr="007B0656">
        <w:rPr>
          <w:rFonts w:eastAsia="Arial"/>
          <w:color w:val="000000" w:themeColor="text1"/>
        </w:rPr>
        <w:t xml:space="preserve"> for </w:t>
      </w:r>
      <w:r w:rsidR="00AF5BFF" w:rsidRPr="007B0656">
        <w:rPr>
          <w:rFonts w:eastAsia="Arial"/>
          <w:color w:val="000000" w:themeColor="text1"/>
        </w:rPr>
        <w:t>1 h</w:t>
      </w:r>
      <w:r w:rsidRPr="007B0656">
        <w:rPr>
          <w:rFonts w:eastAsia="Arial"/>
          <w:color w:val="000000" w:themeColor="text1"/>
        </w:rPr>
        <w:t xml:space="preserve">. The resulting impregnated carbon was refluxed for 3 h, </w:t>
      </w:r>
      <w:r w:rsidR="00310265" w:rsidRPr="007B0656">
        <w:rPr>
          <w:rFonts w:eastAsia="Arial"/>
          <w:color w:val="000000" w:themeColor="text1"/>
          <w:lang w:val="en-GB"/>
        </w:rPr>
        <w:t>then washed, filtered, and dried at 110 °C for 3 h.</w:t>
      </w:r>
    </w:p>
    <w:p w14:paraId="271377A2" w14:textId="77777777" w:rsidR="00111752" w:rsidRPr="007B0656" w:rsidRDefault="00111752" w:rsidP="00111752">
      <w:pPr>
        <w:pStyle w:val="CETBodytext"/>
        <w:spacing w:line="240" w:lineRule="auto"/>
        <w:rPr>
          <w:rFonts w:eastAsia="Arial" w:cs="Arial"/>
          <w:color w:val="000000" w:themeColor="text1"/>
        </w:rPr>
      </w:pPr>
    </w:p>
    <w:p w14:paraId="30E13986" w14:textId="7B69FDF1" w:rsidR="00111752" w:rsidRPr="007B0656" w:rsidRDefault="003F7ACE" w:rsidP="00111752">
      <w:pPr>
        <w:pStyle w:val="CETheadingx"/>
        <w:rPr>
          <w:color w:val="000000" w:themeColor="text1"/>
        </w:rPr>
      </w:pPr>
      <w:r w:rsidRPr="007B0656">
        <w:rPr>
          <w:color w:val="000000" w:themeColor="text1"/>
        </w:rPr>
        <w:t>A</w:t>
      </w:r>
      <w:r w:rsidR="00111752" w:rsidRPr="007B0656">
        <w:rPr>
          <w:color w:val="000000" w:themeColor="text1"/>
        </w:rPr>
        <w:t xml:space="preserve">dsorption of </w:t>
      </w:r>
      <w:r w:rsidR="00763739" w:rsidRPr="007B0656">
        <w:rPr>
          <w:color w:val="000000" w:themeColor="text1"/>
        </w:rPr>
        <w:t>Persistent Organic Pollutants (POPs)</w:t>
      </w:r>
    </w:p>
    <w:p w14:paraId="1E89AA47" w14:textId="540E31D9" w:rsidR="00AF5BFF" w:rsidRPr="007B0656" w:rsidRDefault="00AF5BFF" w:rsidP="00D47FE9">
      <w:pPr>
        <w:rPr>
          <w:rFonts w:eastAsia="Arial" w:cs="Arial"/>
          <w:color w:val="000000" w:themeColor="text1"/>
          <w:lang w:val="en-US"/>
        </w:rPr>
      </w:pPr>
      <w:bookmarkStart w:id="2" w:name="_Hlk195536036"/>
      <w:r w:rsidRPr="007B0656">
        <w:rPr>
          <w:rFonts w:eastAsia="Arial" w:cs="Arial"/>
          <w:color w:val="000000" w:themeColor="text1"/>
          <w:lang w:val="en-US"/>
        </w:rPr>
        <w:t>The adsorption capacity of the AC/</w:t>
      </w:r>
      <w:proofErr w:type="spellStart"/>
      <w:r w:rsidRPr="007B0656">
        <w:rPr>
          <w:rFonts w:eastAsia="Arial" w:cs="Arial"/>
          <w:color w:val="000000" w:themeColor="text1"/>
          <w:lang w:val="en-US"/>
        </w:rPr>
        <w:t>SiO</w:t>
      </w:r>
      <w:proofErr w:type="spellEnd"/>
      <w:r w:rsidRPr="007B0656">
        <w:rPr>
          <w:rFonts w:ascii="Cambria Math" w:eastAsia="Arial" w:hAnsi="Cambria Math" w:cs="Cambria Math"/>
          <w:color w:val="000000" w:themeColor="text1"/>
          <w:lang w:val="en-US"/>
        </w:rPr>
        <w:t>₂</w:t>
      </w:r>
      <w:r w:rsidRPr="007B0656">
        <w:rPr>
          <w:rFonts w:eastAsia="Arial" w:cs="Arial"/>
          <w:color w:val="000000" w:themeColor="text1"/>
          <w:lang w:val="en-US"/>
        </w:rPr>
        <w:t xml:space="preserve"> composite was assessed through equilibrium isotherms using the batch adsorption process. Experiments were performed with methylene blue (MB), phenol (Ph), and sodium dodecylbenzene</w:t>
      </w:r>
      <w:r w:rsidR="00022EB1" w:rsidRPr="007B0656">
        <w:rPr>
          <w:rFonts w:eastAsia="Arial" w:cs="Arial"/>
          <w:color w:val="000000" w:themeColor="text1"/>
          <w:lang w:val="en-US"/>
        </w:rPr>
        <w:t xml:space="preserve"> </w:t>
      </w:r>
      <w:r w:rsidRPr="007B0656">
        <w:rPr>
          <w:rFonts w:eastAsia="Arial" w:cs="Arial"/>
          <w:color w:val="000000" w:themeColor="text1"/>
          <w:lang w:val="en-US"/>
        </w:rPr>
        <w:t xml:space="preserve">sulfonate (SDBS) in 25 mL centrifuge tubes. The effect of initial pollutant concentrations (5–350 mg/L) was analyzed while maintaining a constant contact time. Each tube contained 5 mL of dilution solution at 25 ± 1 °C, followed by </w:t>
      </w:r>
      <w:r w:rsidR="00022EB1" w:rsidRPr="007B0656">
        <w:rPr>
          <w:rFonts w:eastAsia="Arial" w:cs="Arial"/>
          <w:color w:val="000000" w:themeColor="text1"/>
          <w:lang w:val="en-US"/>
        </w:rPr>
        <w:t>adding</w:t>
      </w:r>
      <w:r w:rsidRPr="007B0656">
        <w:rPr>
          <w:rFonts w:eastAsia="Arial" w:cs="Arial"/>
          <w:color w:val="000000" w:themeColor="text1"/>
          <w:lang w:val="en-US"/>
        </w:rPr>
        <w:t xml:space="preserve"> a predetermined amount of AC/</w:t>
      </w:r>
      <w:proofErr w:type="spellStart"/>
      <w:r w:rsidRPr="007B0656">
        <w:rPr>
          <w:rFonts w:eastAsia="Arial" w:cs="Arial"/>
          <w:color w:val="000000" w:themeColor="text1"/>
          <w:lang w:val="en-US"/>
        </w:rPr>
        <w:t>SiO</w:t>
      </w:r>
      <w:proofErr w:type="spellEnd"/>
      <w:r w:rsidRPr="007B0656">
        <w:rPr>
          <w:rFonts w:ascii="Cambria Math" w:eastAsia="Arial" w:hAnsi="Cambria Math" w:cs="Cambria Math"/>
          <w:color w:val="000000" w:themeColor="text1"/>
          <w:lang w:val="en-US"/>
        </w:rPr>
        <w:t>₂</w:t>
      </w:r>
      <w:r w:rsidRPr="007B0656">
        <w:rPr>
          <w:rFonts w:eastAsia="Arial" w:cs="Arial"/>
          <w:color w:val="000000" w:themeColor="text1"/>
          <w:lang w:val="en-US"/>
        </w:rPr>
        <w:t>. The samples were agitated in an isothermal shaker at 150 rpm for 18 hours.</w:t>
      </w:r>
      <w:r w:rsidR="00D47FE9" w:rsidRPr="007B0656">
        <w:rPr>
          <w:rFonts w:eastAsia="Arial" w:cs="Arial"/>
          <w:color w:val="000000" w:themeColor="text1"/>
          <w:lang w:val="en-US"/>
        </w:rPr>
        <w:t xml:space="preserve"> </w:t>
      </w:r>
      <w:r w:rsidRPr="007B0656">
        <w:rPr>
          <w:rFonts w:eastAsia="Arial" w:cs="Arial"/>
          <w:color w:val="000000" w:themeColor="text1"/>
          <w:lang w:val="en-US"/>
        </w:rPr>
        <w:t>Using Lambert-Beer's law, a linear correlation between absorbance and concentration was established through calibration curves to determine the final pollutant concentrations. The adsorption capacity (</w:t>
      </w:r>
      <w:proofErr w:type="spellStart"/>
      <w:r w:rsidR="00D47FE9" w:rsidRPr="007B0656">
        <w:rPr>
          <w:rFonts w:eastAsia="Arial"/>
          <w:i/>
          <w:color w:val="000000" w:themeColor="text1"/>
        </w:rPr>
        <w:t>q</w:t>
      </w:r>
      <w:r w:rsidR="00D47FE9" w:rsidRPr="007B0656">
        <w:rPr>
          <w:rFonts w:eastAsia="Arial"/>
          <w:i/>
          <w:color w:val="000000" w:themeColor="text1"/>
          <w:vertAlign w:val="subscript"/>
        </w:rPr>
        <w:t>e</w:t>
      </w:r>
      <w:proofErr w:type="spellEnd"/>
      <w:r w:rsidRPr="007B0656">
        <w:rPr>
          <w:rFonts w:eastAsia="Arial" w:cs="Arial"/>
          <w:color w:val="000000" w:themeColor="text1"/>
          <w:lang w:val="en-US"/>
        </w:rPr>
        <w:t xml:space="preserve">) of the activated carbon was then calculated using </w:t>
      </w:r>
      <w:r w:rsidR="00D47FE9" w:rsidRPr="007B0656">
        <w:rPr>
          <w:rFonts w:eastAsia="Arial"/>
          <w:color w:val="000000" w:themeColor="text1"/>
        </w:rPr>
        <w:t xml:space="preserve">Equation </w:t>
      </w:r>
      <w:r w:rsidR="00D47FE9" w:rsidRPr="007B0656">
        <w:rPr>
          <w:rFonts w:eastAsia="Arial"/>
          <w:color w:val="000000" w:themeColor="text1"/>
        </w:rPr>
        <w:fldChar w:fldCharType="begin"/>
      </w:r>
      <w:r w:rsidR="00D47FE9" w:rsidRPr="007B0656">
        <w:rPr>
          <w:rFonts w:eastAsia="Arial"/>
          <w:color w:val="000000" w:themeColor="text1"/>
        </w:rPr>
        <w:instrText xml:space="preserve"> REF _Ref185181890 \h  \* MERGEFORMAT </w:instrText>
      </w:r>
      <w:r w:rsidR="00D47FE9" w:rsidRPr="007B0656">
        <w:rPr>
          <w:rFonts w:eastAsia="Arial"/>
          <w:color w:val="000000" w:themeColor="text1"/>
        </w:rPr>
      </w:r>
      <w:r w:rsidR="00D47FE9" w:rsidRPr="007B0656">
        <w:rPr>
          <w:rFonts w:eastAsia="Arial"/>
          <w:color w:val="000000" w:themeColor="text1"/>
        </w:rPr>
        <w:fldChar w:fldCharType="separate"/>
      </w:r>
      <w:r w:rsidR="00D47FE9" w:rsidRPr="007B0656">
        <w:rPr>
          <w:color w:val="000000" w:themeColor="text1"/>
        </w:rPr>
        <w:t>(</w:t>
      </w:r>
      <w:r w:rsidR="00D47FE9" w:rsidRPr="007B0656">
        <w:rPr>
          <w:noProof/>
          <w:color w:val="000000" w:themeColor="text1"/>
        </w:rPr>
        <w:t>1</w:t>
      </w:r>
      <w:r w:rsidR="00D47FE9" w:rsidRPr="007B0656">
        <w:rPr>
          <w:color w:val="000000" w:themeColor="text1"/>
        </w:rPr>
        <w:t>)</w:t>
      </w:r>
      <w:r w:rsidR="00D47FE9" w:rsidRPr="007B0656">
        <w:rPr>
          <w:rFonts w:eastAsia="Arial"/>
          <w:color w:val="000000" w:themeColor="text1"/>
        </w:rPr>
        <w:fldChar w:fldCharType="end"/>
      </w:r>
      <w:r w:rsidR="00D47FE9" w:rsidRPr="007B0656">
        <w:rPr>
          <w:rFonts w:eastAsia="Arial"/>
          <w:color w:val="000000" w:themeColor="text1"/>
        </w:rPr>
        <w:t xml:space="preserve">, </w:t>
      </w:r>
      <w:r w:rsidRPr="007B0656">
        <w:rPr>
          <w:rFonts w:eastAsia="Arial" w:cs="Arial"/>
          <w:color w:val="000000" w:themeColor="text1"/>
          <w:lang w:val="en-US"/>
        </w:rPr>
        <w:t xml:space="preserve">where </w:t>
      </w:r>
      <w:proofErr w:type="spellStart"/>
      <w:r w:rsidR="00D47FE9" w:rsidRPr="007B0656">
        <w:rPr>
          <w:rFonts w:eastAsia="Arial"/>
          <w:i/>
          <w:color w:val="000000" w:themeColor="text1"/>
        </w:rPr>
        <w:t>q</w:t>
      </w:r>
      <w:r w:rsidR="00D47FE9" w:rsidRPr="007B0656">
        <w:rPr>
          <w:rFonts w:eastAsia="Arial"/>
          <w:i/>
          <w:color w:val="000000" w:themeColor="text1"/>
          <w:vertAlign w:val="subscript"/>
        </w:rPr>
        <w:t>e</w:t>
      </w:r>
      <w:proofErr w:type="spellEnd"/>
      <w:r w:rsidRPr="007B0656">
        <w:rPr>
          <w:rFonts w:eastAsia="Arial" w:cs="Arial"/>
          <w:color w:val="000000" w:themeColor="text1"/>
          <w:lang w:val="en-US"/>
        </w:rPr>
        <w:t xml:space="preserve"> </w:t>
      </w:r>
      <w:r w:rsidR="004B03FD" w:rsidRPr="007B0656">
        <w:rPr>
          <w:rFonts w:eastAsia="Arial" w:cs="Arial"/>
          <w:color w:val="000000" w:themeColor="text1"/>
          <w:lang w:val="en-US"/>
        </w:rPr>
        <w:t xml:space="preserve">(mg/g) </w:t>
      </w:r>
      <w:r w:rsidR="00D47FE9" w:rsidRPr="007B0656">
        <w:rPr>
          <w:rFonts w:eastAsia="Arial" w:cs="Arial"/>
          <w:color w:val="000000" w:themeColor="text1"/>
          <w:lang w:val="en-US"/>
        </w:rPr>
        <w:t>is</w:t>
      </w:r>
      <w:r w:rsidR="00D47FE9" w:rsidRPr="007B0656">
        <w:rPr>
          <w:rFonts w:eastAsia="Arial"/>
          <w:color w:val="000000" w:themeColor="text1"/>
        </w:rPr>
        <w:t xml:space="preserve"> the adsorption capacity</w:t>
      </w:r>
      <w:r w:rsidR="00D47FE9" w:rsidRPr="007B0656">
        <w:rPr>
          <w:rFonts w:eastAsia="Arial" w:cs="Arial"/>
          <w:color w:val="000000" w:themeColor="text1"/>
          <w:lang w:val="en-US"/>
        </w:rPr>
        <w:t>, the</w:t>
      </w:r>
      <w:r w:rsidR="004B03FD" w:rsidRPr="007B0656">
        <w:rPr>
          <w:rFonts w:eastAsia="Arial" w:cs="Arial"/>
          <w:color w:val="000000" w:themeColor="text1"/>
          <w:lang w:val="en-US"/>
        </w:rPr>
        <w:t xml:space="preserve"> </w:t>
      </w:r>
      <w:r w:rsidRPr="007B0656">
        <w:rPr>
          <w:rFonts w:eastAsia="Arial" w:cs="Arial"/>
          <w:color w:val="000000" w:themeColor="text1"/>
          <w:lang w:val="en-US"/>
        </w:rPr>
        <w:t>C</w:t>
      </w:r>
      <w:r w:rsidRPr="007B0656">
        <w:rPr>
          <w:rFonts w:eastAsia="Arial" w:cs="Arial"/>
          <w:color w:val="000000" w:themeColor="text1"/>
          <w:vertAlign w:val="subscript"/>
          <w:lang w:val="en-US"/>
        </w:rPr>
        <w:t>o</w:t>
      </w:r>
      <w:r w:rsidRPr="007B0656">
        <w:rPr>
          <w:rFonts w:eastAsia="Arial" w:cs="Arial"/>
          <w:color w:val="000000" w:themeColor="text1"/>
          <w:lang w:val="en-US"/>
        </w:rPr>
        <w:t xml:space="preserve"> </w:t>
      </w:r>
      <w:r w:rsidR="004B03FD" w:rsidRPr="007B0656">
        <w:rPr>
          <w:rFonts w:eastAsia="Arial" w:cs="Arial"/>
          <w:color w:val="000000" w:themeColor="text1"/>
          <w:lang w:val="en-US"/>
        </w:rPr>
        <w:t xml:space="preserve">(mg/L) </w:t>
      </w:r>
      <w:r w:rsidRPr="007B0656">
        <w:rPr>
          <w:rFonts w:eastAsia="Arial" w:cs="Arial"/>
          <w:color w:val="000000" w:themeColor="text1"/>
          <w:lang w:val="en-US"/>
        </w:rPr>
        <w:t>and C</w:t>
      </w:r>
      <w:r w:rsidRPr="007B0656">
        <w:rPr>
          <w:rFonts w:eastAsia="Arial" w:cs="Arial"/>
          <w:color w:val="000000" w:themeColor="text1"/>
          <w:vertAlign w:val="subscript"/>
          <w:lang w:val="en-US"/>
        </w:rPr>
        <w:t>e</w:t>
      </w:r>
      <w:r w:rsidR="004B03FD" w:rsidRPr="007B0656">
        <w:rPr>
          <w:rFonts w:eastAsia="Arial" w:cs="Arial"/>
          <w:color w:val="000000" w:themeColor="text1"/>
          <w:lang w:val="en-US"/>
        </w:rPr>
        <w:t xml:space="preserve"> (mg/L) is the </w:t>
      </w:r>
      <w:r w:rsidRPr="007B0656">
        <w:rPr>
          <w:rFonts w:eastAsia="Arial" w:cs="Arial"/>
          <w:color w:val="000000" w:themeColor="text1"/>
          <w:lang w:val="en-US"/>
        </w:rPr>
        <w:t>pollutant concentration</w:t>
      </w:r>
      <w:r w:rsidR="004B03FD" w:rsidRPr="007B0656">
        <w:rPr>
          <w:rFonts w:eastAsia="Arial" w:cs="Arial"/>
          <w:color w:val="000000" w:themeColor="text1"/>
          <w:lang w:val="en-US"/>
        </w:rPr>
        <w:t xml:space="preserve"> at the initial and at equilibrium time, respectively</w:t>
      </w:r>
      <w:r w:rsidRPr="007B0656">
        <w:rPr>
          <w:rFonts w:eastAsia="Arial" w:cs="Arial"/>
          <w:color w:val="000000" w:themeColor="text1"/>
          <w:lang w:val="en-US"/>
        </w:rPr>
        <w:t xml:space="preserve">, </w:t>
      </w:r>
      <w:r w:rsidR="00D47FE9" w:rsidRPr="007B0656">
        <w:rPr>
          <w:rFonts w:eastAsia="Arial" w:cs="Arial"/>
          <w:color w:val="000000" w:themeColor="text1"/>
          <w:lang w:val="en-US"/>
        </w:rPr>
        <w:t xml:space="preserve">W </w:t>
      </w:r>
      <w:r w:rsidR="004B03FD" w:rsidRPr="007B0656">
        <w:rPr>
          <w:rFonts w:eastAsia="Arial" w:cs="Arial"/>
          <w:color w:val="000000" w:themeColor="text1"/>
          <w:lang w:val="en-US"/>
        </w:rPr>
        <w:t xml:space="preserve">(g) </w:t>
      </w:r>
      <w:r w:rsidR="00D47FE9" w:rsidRPr="007B0656">
        <w:rPr>
          <w:rFonts w:eastAsia="Arial" w:cs="Arial"/>
          <w:color w:val="000000" w:themeColor="text1"/>
          <w:lang w:val="en-US"/>
        </w:rPr>
        <w:t xml:space="preserve">is the mass of </w:t>
      </w:r>
      <w:r w:rsidR="004B03FD" w:rsidRPr="007B0656">
        <w:rPr>
          <w:rFonts w:eastAsia="Arial" w:cs="Arial"/>
          <w:color w:val="000000" w:themeColor="text1"/>
          <w:lang w:val="en-US"/>
        </w:rPr>
        <w:t>dried adsorbent</w:t>
      </w:r>
      <w:r w:rsidR="00D47FE9" w:rsidRPr="007B0656">
        <w:rPr>
          <w:rFonts w:eastAsia="Arial" w:cs="Arial"/>
          <w:color w:val="000000" w:themeColor="text1"/>
          <w:lang w:val="en-US"/>
        </w:rPr>
        <w:t xml:space="preserve"> and V </w:t>
      </w:r>
      <w:r w:rsidR="004B03FD" w:rsidRPr="007B0656">
        <w:rPr>
          <w:rFonts w:eastAsia="Arial" w:cs="Arial"/>
          <w:color w:val="000000" w:themeColor="text1"/>
          <w:lang w:val="en-US"/>
        </w:rPr>
        <w:t xml:space="preserve">(L) </w:t>
      </w:r>
      <w:r w:rsidR="00D47FE9" w:rsidRPr="007B0656">
        <w:rPr>
          <w:rFonts w:eastAsia="Arial" w:cs="Arial"/>
          <w:color w:val="000000" w:themeColor="text1"/>
          <w:lang w:val="en-US"/>
        </w:rPr>
        <w:t xml:space="preserve">is the volume </w:t>
      </w:r>
      <w:r w:rsidR="004B03FD" w:rsidRPr="007B0656">
        <w:rPr>
          <w:rFonts w:eastAsia="Arial" w:cs="Arial"/>
          <w:color w:val="000000" w:themeColor="text1"/>
          <w:lang w:val="en-US"/>
        </w:rPr>
        <w:t>of the aqueous phase (Wu et al., 2024)</w:t>
      </w:r>
      <w:r w:rsidR="00D47FE9" w:rsidRPr="007B0656">
        <w:rPr>
          <w:rFonts w:eastAsia="Arial" w:cs="Arial"/>
          <w:color w:val="000000" w:themeColor="text1"/>
          <w:lang w:val="en-US"/>
        </w:rPr>
        <w:t>.</w:t>
      </w:r>
    </w:p>
    <w:p w14:paraId="574860AC" w14:textId="77777777" w:rsidR="00156220" w:rsidRPr="007B0656" w:rsidRDefault="00156220" w:rsidP="00D47FE9">
      <w:pPr>
        <w:rPr>
          <w:rFonts w:eastAsia="Arial" w:cs="Arial"/>
          <w:color w:val="000000" w:themeColor="text1"/>
          <w:lang w:val="en-US"/>
        </w:rPr>
      </w:pPr>
    </w:p>
    <w:tbl>
      <w:tblPr>
        <w:tblStyle w:val="Tablaconcuadrcula"/>
        <w:tblW w:w="87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8265"/>
        <w:gridCol w:w="510"/>
      </w:tblGrid>
      <w:tr w:rsidR="00D47FE9" w:rsidRPr="007B0656" w14:paraId="6A7AA687" w14:textId="77777777" w:rsidTr="006E671C">
        <w:trPr>
          <w:trHeight w:val="300"/>
        </w:trPr>
        <w:tc>
          <w:tcPr>
            <w:tcW w:w="8265" w:type="dxa"/>
          </w:tcPr>
          <w:p w14:paraId="592A7198" w14:textId="71BD3CE3" w:rsidR="00111752" w:rsidRPr="00D630D1" w:rsidRDefault="00633492" w:rsidP="006E671C">
            <w:pPr>
              <w:spacing w:line="240" w:lineRule="auto"/>
              <w:jc w:val="center"/>
              <w:rPr>
                <w:rFonts w:eastAsia="Arial" w:cs="Arial"/>
                <w:color w:val="000000" w:themeColor="text1"/>
                <w:lang w:val="en-US"/>
              </w:rPr>
            </w:pPr>
            <m:oMathPara>
              <m:oMathParaPr>
                <m:jc m:val="left"/>
              </m:oMathParaPr>
              <m:oMath>
                <m:sSub>
                  <m:sSubPr>
                    <m:ctrlPr>
                      <w:rPr>
                        <w:rFonts w:ascii="Cambria Math" w:hAnsi="Cambria Math"/>
                        <w:color w:val="000000" w:themeColor="text1"/>
                        <w:lang w:val="en-US"/>
                      </w:rPr>
                    </m:ctrlPr>
                  </m:sSubPr>
                  <m:e>
                    <m:r>
                      <w:rPr>
                        <w:rFonts w:ascii="Cambria Math" w:hAnsi="Cambria Math"/>
                        <w:color w:val="000000" w:themeColor="text1"/>
                        <w:lang w:val="en-US"/>
                      </w:rPr>
                      <m:t>q</m:t>
                    </m:r>
                    <m:ctrlPr>
                      <w:rPr>
                        <w:rFonts w:ascii="Cambria Math" w:hAnsi="Cambria Math"/>
                        <w:i/>
                        <w:color w:val="000000" w:themeColor="text1"/>
                        <w:lang w:val="en-US"/>
                      </w:rPr>
                    </m:ctrlPr>
                  </m:e>
                  <m:sub>
                    <m:r>
                      <w:rPr>
                        <w:rFonts w:ascii="Cambria Math" w:hAnsi="Cambria Math"/>
                        <w:color w:val="000000" w:themeColor="text1"/>
                        <w:lang w:val="en-US"/>
                      </w:rPr>
                      <m:t>e</m:t>
                    </m:r>
                  </m:sub>
                </m:sSub>
                <m:r>
                  <w:rPr>
                    <w:rFonts w:ascii="Cambria Math" w:hAnsi="Cambria Math"/>
                    <w:color w:val="000000" w:themeColor="text1"/>
                    <w:lang w:val="en-US"/>
                  </w:rPr>
                  <m:t>=</m:t>
                </m:r>
                <m:d>
                  <m:dPr>
                    <m:ctrlPr>
                      <w:rPr>
                        <w:rFonts w:ascii="Cambria Math" w:hAnsi="Cambria Math"/>
                        <w:color w:val="000000" w:themeColor="text1"/>
                        <w:lang w:val="en-US"/>
                      </w:rPr>
                    </m:ctrlPr>
                  </m:dPr>
                  <m:e>
                    <m:d>
                      <m:dPr>
                        <m:ctrlPr>
                          <w:rPr>
                            <w:rFonts w:ascii="Cambria Math" w:hAnsi="Cambria Math"/>
                            <w:color w:val="000000" w:themeColor="text1"/>
                            <w:lang w:val="en-US"/>
                          </w:rPr>
                        </m:ctrlPr>
                      </m:dPr>
                      <m:e>
                        <m:sSub>
                          <m:sSubPr>
                            <m:ctrlPr>
                              <w:rPr>
                                <w:rFonts w:ascii="Cambria Math" w:hAnsi="Cambria Math"/>
                                <w:color w:val="000000" w:themeColor="text1"/>
                                <w:lang w:val="en-US"/>
                              </w:rPr>
                            </m:ctrlPr>
                          </m:sSubPr>
                          <m:e>
                            <m:r>
                              <w:rPr>
                                <w:rFonts w:ascii="Cambria Math" w:hAnsi="Cambria Math"/>
                                <w:color w:val="000000" w:themeColor="text1"/>
                                <w:lang w:val="en-US"/>
                              </w:rPr>
                              <m:t>C</m:t>
                            </m:r>
                          </m:e>
                          <m:sub>
                            <m:r>
                              <w:rPr>
                                <w:rFonts w:ascii="Cambria Math" w:hAnsi="Cambria Math"/>
                                <w:color w:val="000000" w:themeColor="text1"/>
                                <w:lang w:val="en-US"/>
                              </w:rPr>
                              <m:t>o</m:t>
                            </m:r>
                          </m:sub>
                        </m:sSub>
                        <m:r>
                          <w:rPr>
                            <w:rFonts w:ascii="Cambria Math" w:hAnsi="Cambria Math"/>
                            <w:color w:val="000000" w:themeColor="text1"/>
                            <w:lang w:val="en-US"/>
                          </w:rPr>
                          <m:t>-</m:t>
                        </m:r>
                        <m:sSub>
                          <m:sSubPr>
                            <m:ctrlPr>
                              <w:rPr>
                                <w:rFonts w:ascii="Cambria Math" w:hAnsi="Cambria Math"/>
                                <w:color w:val="000000" w:themeColor="text1"/>
                                <w:lang w:val="en-US"/>
                              </w:rPr>
                            </m:ctrlPr>
                          </m:sSubPr>
                          <m:e>
                            <m:r>
                              <w:rPr>
                                <w:rFonts w:ascii="Cambria Math" w:hAnsi="Cambria Math"/>
                                <w:color w:val="000000" w:themeColor="text1"/>
                                <w:lang w:val="en-US"/>
                              </w:rPr>
                              <m:t>C</m:t>
                            </m:r>
                            <m:ctrlPr>
                              <w:rPr>
                                <w:rFonts w:ascii="Cambria Math" w:hAnsi="Cambria Math"/>
                                <w:i/>
                                <w:color w:val="000000" w:themeColor="text1"/>
                                <w:lang w:val="en-US"/>
                              </w:rPr>
                            </m:ctrlPr>
                          </m:e>
                          <m:sub>
                            <m:r>
                              <w:rPr>
                                <w:rFonts w:ascii="Cambria Math" w:hAnsi="Cambria Math"/>
                                <w:color w:val="000000" w:themeColor="text1"/>
                                <w:lang w:val="en-US"/>
                              </w:rPr>
                              <m:t>e</m:t>
                            </m:r>
                          </m:sub>
                        </m:sSub>
                      </m:e>
                    </m:d>
                    <m:r>
                      <m:rPr>
                        <m:lit/>
                      </m:rPr>
                      <w:rPr>
                        <w:rFonts w:ascii="Cambria Math" w:hAnsi="Cambria Math"/>
                        <w:color w:val="000000" w:themeColor="text1"/>
                        <w:lang w:val="en-US"/>
                      </w:rPr>
                      <m:t>/</m:t>
                    </m:r>
                    <m:r>
                      <w:rPr>
                        <w:rFonts w:ascii="Cambria Math" w:hAnsi="Cambria Math"/>
                        <w:color w:val="000000" w:themeColor="text1"/>
                        <w:lang w:val="en-US"/>
                      </w:rPr>
                      <m:t>W</m:t>
                    </m:r>
                  </m:e>
                </m:d>
                <m:r>
                  <w:rPr>
                    <w:rFonts w:ascii="Cambria Math" w:hAnsi="Cambria Math"/>
                    <w:color w:val="000000" w:themeColor="text1"/>
                    <w:lang w:val="en-US"/>
                  </w:rPr>
                  <m:t>∙V</m:t>
                </m:r>
              </m:oMath>
            </m:oMathPara>
          </w:p>
        </w:tc>
        <w:tc>
          <w:tcPr>
            <w:tcW w:w="510" w:type="dxa"/>
          </w:tcPr>
          <w:p w14:paraId="4C54C0F0" w14:textId="00B9D0C0" w:rsidR="00111752" w:rsidRPr="007B0656" w:rsidRDefault="00A2052E" w:rsidP="00A2052E">
            <w:pPr>
              <w:pStyle w:val="Descripcin"/>
              <w:keepNext/>
              <w:rPr>
                <w:b w:val="0"/>
                <w:bCs w:val="0"/>
                <w:color w:val="000000" w:themeColor="text1"/>
              </w:rPr>
            </w:pPr>
            <w:bookmarkStart w:id="3" w:name="_Ref185181890"/>
            <w:r w:rsidRPr="007B0656">
              <w:rPr>
                <w:b w:val="0"/>
                <w:bCs w:val="0"/>
                <w:color w:val="000000" w:themeColor="text1"/>
              </w:rPr>
              <w:t>(</w:t>
            </w:r>
            <w:r w:rsidRPr="007B0656">
              <w:rPr>
                <w:b w:val="0"/>
                <w:bCs w:val="0"/>
                <w:color w:val="000000" w:themeColor="text1"/>
              </w:rPr>
              <w:fldChar w:fldCharType="begin"/>
            </w:r>
            <w:r w:rsidRPr="007B0656">
              <w:rPr>
                <w:b w:val="0"/>
                <w:bCs w:val="0"/>
                <w:color w:val="000000" w:themeColor="text1"/>
              </w:rPr>
              <w:instrText xml:space="preserve"> SEQ Ecuación \* ARABIC </w:instrText>
            </w:r>
            <w:r w:rsidRPr="007B0656">
              <w:rPr>
                <w:b w:val="0"/>
                <w:bCs w:val="0"/>
                <w:color w:val="000000" w:themeColor="text1"/>
              </w:rPr>
              <w:fldChar w:fldCharType="separate"/>
            </w:r>
            <w:r w:rsidR="00F90049" w:rsidRPr="007B0656">
              <w:rPr>
                <w:b w:val="0"/>
                <w:bCs w:val="0"/>
                <w:noProof/>
                <w:color w:val="000000" w:themeColor="text1"/>
              </w:rPr>
              <w:t>1</w:t>
            </w:r>
            <w:r w:rsidRPr="007B0656">
              <w:rPr>
                <w:b w:val="0"/>
                <w:bCs w:val="0"/>
                <w:color w:val="000000" w:themeColor="text1"/>
              </w:rPr>
              <w:fldChar w:fldCharType="end"/>
            </w:r>
            <w:r w:rsidRPr="007B0656">
              <w:rPr>
                <w:b w:val="0"/>
                <w:bCs w:val="0"/>
                <w:color w:val="000000" w:themeColor="text1"/>
              </w:rPr>
              <w:t>)</w:t>
            </w:r>
            <w:bookmarkEnd w:id="3"/>
          </w:p>
        </w:tc>
      </w:tr>
    </w:tbl>
    <w:p w14:paraId="7E538618" w14:textId="4A6F6765" w:rsidR="00111752" w:rsidRPr="007B0656" w:rsidRDefault="00111752" w:rsidP="00111752">
      <w:pPr>
        <w:spacing w:line="240" w:lineRule="auto"/>
        <w:ind w:right="38"/>
        <w:rPr>
          <w:rFonts w:eastAsia="Arial" w:cs="Arial"/>
          <w:color w:val="000000" w:themeColor="text1"/>
          <w:lang w:val="en-US"/>
        </w:rPr>
      </w:pPr>
    </w:p>
    <w:p w14:paraId="3B3272EE" w14:textId="3F1EF7CE" w:rsidR="00111752" w:rsidRPr="007B0656" w:rsidRDefault="00A717C7" w:rsidP="00111752">
      <w:pPr>
        <w:spacing w:line="240" w:lineRule="auto"/>
        <w:ind w:right="38"/>
        <w:rPr>
          <w:rFonts w:eastAsia="Arial"/>
          <w:color w:val="000000" w:themeColor="text1"/>
          <w:lang w:val="en-US"/>
        </w:rPr>
      </w:pPr>
      <w:r w:rsidRPr="007B0656">
        <w:rPr>
          <w:rFonts w:eastAsia="Arial"/>
          <w:color w:val="000000" w:themeColor="text1"/>
          <w:lang w:val="en-US"/>
        </w:rPr>
        <w:t xml:space="preserve">When an adsorbent interacts with a surrounding fluid containing </w:t>
      </w:r>
      <w:r w:rsidR="00022EB1" w:rsidRPr="007B0656">
        <w:rPr>
          <w:rFonts w:eastAsia="Arial"/>
          <w:color w:val="000000" w:themeColor="text1"/>
          <w:lang w:val="en-US"/>
        </w:rPr>
        <w:t xml:space="preserve">a </w:t>
      </w:r>
      <w:r w:rsidRPr="007B0656">
        <w:rPr>
          <w:rFonts w:eastAsia="Arial"/>
          <w:color w:val="000000" w:themeColor="text1"/>
          <w:lang w:val="en-US"/>
        </w:rPr>
        <w:t>specific species, adsorption occurs until equilibrium is reached after a certain contact time</w:t>
      </w:r>
      <w:r w:rsidR="00022EB1" w:rsidRPr="007B0656">
        <w:rPr>
          <w:rFonts w:eastAsia="Arial"/>
          <w:color w:val="000000" w:themeColor="text1"/>
          <w:lang w:val="en-US"/>
        </w:rPr>
        <w:t>,</w:t>
      </w:r>
      <w:r w:rsidRPr="007B0656">
        <w:rPr>
          <w:rFonts w:eastAsia="Arial"/>
          <w:color w:val="000000" w:themeColor="text1"/>
          <w:lang w:val="en-US"/>
        </w:rPr>
        <w:t xml:space="preserve"> </w:t>
      </w:r>
      <w:r w:rsidR="00022EB1" w:rsidRPr="007B0656">
        <w:rPr>
          <w:rFonts w:eastAsia="Arial"/>
          <w:color w:val="000000" w:themeColor="text1"/>
          <w:lang w:val="en-US"/>
        </w:rPr>
        <w:t>a</w:t>
      </w:r>
      <w:r w:rsidRPr="007B0656">
        <w:rPr>
          <w:rFonts w:eastAsia="Arial"/>
          <w:color w:val="000000" w:themeColor="text1"/>
          <w:lang w:val="en-US"/>
        </w:rPr>
        <w:t xml:space="preserve">dsorption isotherms describe </w:t>
      </w:r>
      <w:r w:rsidRPr="007B0656">
        <w:rPr>
          <w:rFonts w:eastAsia="Arial"/>
          <w:color w:val="000000" w:themeColor="text1"/>
        </w:rPr>
        <w:t xml:space="preserve">the relationship curve depicting the solute concentration in two phases when adsorption reaches equilibrium at their interface under a specific temperature </w:t>
      </w:r>
      <w:r w:rsidRPr="007B0656">
        <w:rPr>
          <w:rFonts w:eastAsia="Arial"/>
          <w:color w:val="000000" w:themeColor="text1"/>
          <w:lang w:val="en-US"/>
        </w:rPr>
        <w:t xml:space="preserve">(Xing et al., 2022). The experimental data were fitted to Langmuir, Freundlich, and Temkin isotherm models, with their linearized forms presented below: </w:t>
      </w:r>
    </w:p>
    <w:p w14:paraId="28272CD4" w14:textId="77777777" w:rsidR="00A717C7" w:rsidRPr="007B0656" w:rsidRDefault="00A717C7" w:rsidP="00111752">
      <w:pPr>
        <w:spacing w:line="240" w:lineRule="auto"/>
        <w:ind w:right="38"/>
        <w:rPr>
          <w:rFonts w:eastAsia="Arial"/>
          <w:color w:val="000000" w:themeColor="text1"/>
          <w:lang w:val="en-US"/>
        </w:rPr>
      </w:pPr>
    </w:p>
    <w:p w14:paraId="4A83829A" w14:textId="7564FDFB" w:rsidR="00156220" w:rsidRPr="007B0656" w:rsidRDefault="00111752" w:rsidP="003B07A2">
      <w:pPr>
        <w:pStyle w:val="CETBodytext"/>
        <w:numPr>
          <w:ilvl w:val="0"/>
          <w:numId w:val="26"/>
        </w:numPr>
        <w:rPr>
          <w:rFonts w:eastAsia="Arial"/>
          <w:color w:val="000000" w:themeColor="text1"/>
        </w:rPr>
      </w:pPr>
      <w:r w:rsidRPr="007B0656">
        <w:rPr>
          <w:rFonts w:eastAsia="Arial"/>
          <w:i/>
          <w:iCs/>
          <w:color w:val="000000" w:themeColor="text1"/>
        </w:rPr>
        <w:t xml:space="preserve">Langmuir </w:t>
      </w:r>
      <w:r w:rsidR="00F56D3C" w:rsidRPr="007B0656">
        <w:rPr>
          <w:rFonts w:eastAsia="Arial"/>
          <w:i/>
          <w:iCs/>
          <w:color w:val="000000" w:themeColor="text1"/>
        </w:rPr>
        <w:t>I</w:t>
      </w:r>
      <w:r w:rsidRPr="007B0656">
        <w:rPr>
          <w:rFonts w:eastAsia="Arial"/>
          <w:i/>
          <w:iCs/>
          <w:color w:val="000000" w:themeColor="text1"/>
        </w:rPr>
        <w:t>sotherm:</w:t>
      </w:r>
      <w:r w:rsidRPr="007B0656">
        <w:rPr>
          <w:rFonts w:eastAsia="Arial"/>
          <w:color w:val="000000" w:themeColor="text1"/>
        </w:rPr>
        <w:t xml:space="preserve"> It is </w:t>
      </w:r>
      <w:r w:rsidR="003B07A2" w:rsidRPr="007B0656">
        <w:rPr>
          <w:rFonts w:eastAsia="Arial"/>
          <w:color w:val="000000" w:themeColor="text1"/>
        </w:rPr>
        <w:t>denoted</w:t>
      </w:r>
      <w:r w:rsidRPr="007B0656">
        <w:rPr>
          <w:rFonts w:eastAsia="Arial"/>
          <w:color w:val="000000" w:themeColor="text1"/>
        </w:rPr>
        <w:t xml:space="preserve"> by Equation </w:t>
      </w:r>
      <w:r w:rsidR="00A2052E" w:rsidRPr="007B0656">
        <w:rPr>
          <w:rFonts w:eastAsia="Arial"/>
          <w:color w:val="000000" w:themeColor="text1"/>
        </w:rPr>
        <w:fldChar w:fldCharType="begin"/>
      </w:r>
      <w:r w:rsidR="00A2052E" w:rsidRPr="007B0656">
        <w:rPr>
          <w:rFonts w:eastAsia="Arial"/>
          <w:color w:val="000000" w:themeColor="text1"/>
        </w:rPr>
        <w:instrText xml:space="preserve"> REF _Ref185181909 \h </w:instrText>
      </w:r>
      <w:r w:rsidR="00F56D3C" w:rsidRPr="007B0656">
        <w:rPr>
          <w:rFonts w:eastAsia="Arial"/>
          <w:color w:val="000000" w:themeColor="text1"/>
        </w:rPr>
        <w:instrText xml:space="preserve"> \* MERGEFORMAT </w:instrText>
      </w:r>
      <w:r w:rsidR="00A2052E" w:rsidRPr="007B0656">
        <w:rPr>
          <w:rFonts w:eastAsia="Arial"/>
          <w:color w:val="000000" w:themeColor="text1"/>
        </w:rPr>
      </w:r>
      <w:r w:rsidR="00A2052E" w:rsidRPr="007B0656">
        <w:rPr>
          <w:rFonts w:eastAsia="Arial"/>
          <w:color w:val="000000" w:themeColor="text1"/>
        </w:rPr>
        <w:fldChar w:fldCharType="separate"/>
      </w:r>
      <w:r w:rsidR="00F90049" w:rsidRPr="007B0656">
        <w:rPr>
          <w:color w:val="000000" w:themeColor="text1"/>
        </w:rPr>
        <w:t>(</w:t>
      </w:r>
      <w:r w:rsidR="00F90049" w:rsidRPr="007B0656">
        <w:rPr>
          <w:noProof/>
          <w:color w:val="000000" w:themeColor="text1"/>
        </w:rPr>
        <w:t>2</w:t>
      </w:r>
      <w:r w:rsidR="00F90049" w:rsidRPr="007B0656">
        <w:rPr>
          <w:color w:val="000000" w:themeColor="text1"/>
        </w:rPr>
        <w:t>)</w:t>
      </w:r>
      <w:r w:rsidR="00A2052E" w:rsidRPr="007B0656">
        <w:rPr>
          <w:rFonts w:eastAsia="Arial"/>
          <w:color w:val="000000" w:themeColor="text1"/>
        </w:rPr>
        <w:fldChar w:fldCharType="end"/>
      </w:r>
      <w:r w:rsidRPr="007B0656">
        <w:rPr>
          <w:rFonts w:eastAsia="Arial"/>
          <w:color w:val="000000" w:themeColor="text1"/>
        </w:rPr>
        <w:t xml:space="preserve">, where </w:t>
      </w:r>
      <w:r w:rsidR="00156220" w:rsidRPr="007B0656">
        <w:rPr>
          <w:rFonts w:eastAsia="Arial"/>
          <w:i/>
          <w:iCs/>
          <w:color w:val="000000" w:themeColor="text1"/>
          <w:lang w:val="en-GB"/>
        </w:rPr>
        <w:t>C</w:t>
      </w:r>
      <w:r w:rsidR="00156220" w:rsidRPr="007B0656">
        <w:rPr>
          <w:rFonts w:eastAsia="Arial"/>
          <w:i/>
          <w:iCs/>
          <w:color w:val="000000" w:themeColor="text1"/>
          <w:vertAlign w:val="subscript"/>
          <w:lang w:val="en-GB"/>
        </w:rPr>
        <w:t>e</w:t>
      </w:r>
      <w:r w:rsidR="00156220" w:rsidRPr="007B0656">
        <w:rPr>
          <w:rFonts w:eastAsia="Arial"/>
          <w:color w:val="000000" w:themeColor="text1"/>
          <w:lang w:val="en-GB"/>
        </w:rPr>
        <w:t xml:space="preserve"> (mg/L) and </w:t>
      </w:r>
      <w:proofErr w:type="spellStart"/>
      <w:r w:rsidR="00156220" w:rsidRPr="007B0656">
        <w:rPr>
          <w:rFonts w:eastAsia="Arial"/>
          <w:i/>
          <w:iCs/>
          <w:color w:val="000000" w:themeColor="text1"/>
          <w:lang w:val="en-GB"/>
        </w:rPr>
        <w:t>q</w:t>
      </w:r>
      <w:r w:rsidR="00156220" w:rsidRPr="007B0656">
        <w:rPr>
          <w:rFonts w:eastAsia="Arial"/>
          <w:i/>
          <w:iCs/>
          <w:color w:val="000000" w:themeColor="text1"/>
          <w:vertAlign w:val="subscript"/>
          <w:lang w:val="en-GB"/>
        </w:rPr>
        <w:t>e</w:t>
      </w:r>
      <w:proofErr w:type="spellEnd"/>
      <w:r w:rsidR="00156220" w:rsidRPr="007B0656">
        <w:rPr>
          <w:rFonts w:eastAsia="Arial"/>
          <w:color w:val="000000" w:themeColor="text1"/>
          <w:lang w:val="en-GB"/>
        </w:rPr>
        <w:t xml:space="preserve"> (mg/g) are the </w:t>
      </w:r>
      <w:r w:rsidR="00156220" w:rsidRPr="007B0656">
        <w:rPr>
          <w:rFonts w:eastAsia="Arial" w:cs="Arial"/>
          <w:color w:val="000000" w:themeColor="text1"/>
        </w:rPr>
        <w:t>pollutant concentration</w:t>
      </w:r>
      <w:r w:rsidR="00156220" w:rsidRPr="007B0656">
        <w:rPr>
          <w:rFonts w:eastAsia="Arial"/>
          <w:color w:val="000000" w:themeColor="text1"/>
          <w:lang w:val="en-GB"/>
        </w:rPr>
        <w:t xml:space="preserve"> and the </w:t>
      </w:r>
      <w:proofErr w:type="gramStart"/>
      <w:r w:rsidR="00156220" w:rsidRPr="007B0656">
        <w:rPr>
          <w:rFonts w:eastAsia="Arial"/>
          <w:color w:val="000000" w:themeColor="text1"/>
          <w:lang w:val="en-GB"/>
        </w:rPr>
        <w:t>amount</w:t>
      </w:r>
      <w:proofErr w:type="gramEnd"/>
      <w:r w:rsidR="00156220" w:rsidRPr="007B0656">
        <w:rPr>
          <w:rFonts w:eastAsia="Arial"/>
          <w:color w:val="000000" w:themeColor="text1"/>
          <w:lang w:val="en-GB"/>
        </w:rPr>
        <w:t xml:space="preserve"> of adsorbed molecules on the surface of the adsorbent at equilibrium time, respectively. Also, </w:t>
      </w:r>
      <w:proofErr w:type="spellStart"/>
      <w:r w:rsidR="00156220" w:rsidRPr="007B0656">
        <w:rPr>
          <w:rFonts w:eastAsia="Arial"/>
          <w:i/>
          <w:iCs/>
          <w:color w:val="000000" w:themeColor="text1"/>
          <w:lang w:val="en-GB"/>
        </w:rPr>
        <w:t>q</w:t>
      </w:r>
      <w:r w:rsidR="00156220" w:rsidRPr="007B0656">
        <w:rPr>
          <w:rFonts w:eastAsia="Arial"/>
          <w:i/>
          <w:iCs/>
          <w:color w:val="000000" w:themeColor="text1"/>
          <w:vertAlign w:val="subscript"/>
          <w:lang w:val="en-GB"/>
        </w:rPr>
        <w:t>max</w:t>
      </w:r>
      <w:proofErr w:type="spellEnd"/>
      <w:r w:rsidR="009B3C5E" w:rsidRPr="007B0656">
        <w:rPr>
          <w:rFonts w:eastAsia="Arial"/>
          <w:color w:val="000000" w:themeColor="text1"/>
          <w:lang w:val="en-GB"/>
        </w:rPr>
        <w:t xml:space="preserve"> (mg/g</w:t>
      </w:r>
      <w:r w:rsidR="00156220" w:rsidRPr="007B0656">
        <w:rPr>
          <w:rFonts w:eastAsia="Arial"/>
          <w:color w:val="000000" w:themeColor="text1"/>
          <w:lang w:val="en-GB"/>
        </w:rPr>
        <w:t>) indicates the maximum adsorption capacity</w:t>
      </w:r>
      <w:r w:rsidR="00022EB1" w:rsidRPr="007B0656">
        <w:rPr>
          <w:rFonts w:eastAsia="Arial"/>
          <w:color w:val="000000" w:themeColor="text1"/>
          <w:lang w:val="en-GB"/>
        </w:rPr>
        <w:t>,</w:t>
      </w:r>
      <w:r w:rsidR="00156220" w:rsidRPr="007B0656">
        <w:rPr>
          <w:rFonts w:eastAsia="Arial"/>
          <w:color w:val="000000" w:themeColor="text1"/>
          <w:lang w:val="en-GB"/>
        </w:rPr>
        <w:t xml:space="preserve"> and </w:t>
      </w:r>
      <w:r w:rsidR="00156220" w:rsidRPr="007B0656">
        <w:rPr>
          <w:rFonts w:eastAsia="Arial"/>
          <w:i/>
          <w:iCs/>
          <w:color w:val="000000" w:themeColor="text1"/>
          <w:lang w:val="en-GB"/>
        </w:rPr>
        <w:t>K</w:t>
      </w:r>
      <w:r w:rsidR="00156220" w:rsidRPr="007B0656">
        <w:rPr>
          <w:rFonts w:eastAsia="Arial"/>
          <w:i/>
          <w:iCs/>
          <w:color w:val="000000" w:themeColor="text1"/>
          <w:vertAlign w:val="subscript"/>
          <w:lang w:val="en-GB"/>
        </w:rPr>
        <w:t>L</w:t>
      </w:r>
      <w:r w:rsidR="00156220" w:rsidRPr="007B0656">
        <w:rPr>
          <w:rFonts w:eastAsia="Arial"/>
          <w:color w:val="000000" w:themeColor="text1"/>
          <w:lang w:val="en-GB"/>
        </w:rPr>
        <w:t xml:space="preserve"> (L/mg) is the Langmuir constant</w:t>
      </w:r>
      <w:r w:rsidR="003B07A2" w:rsidRPr="007B0656">
        <w:rPr>
          <w:rFonts w:eastAsia="Arial"/>
          <w:color w:val="000000" w:themeColor="text1"/>
          <w:lang w:val="en-GB"/>
        </w:rPr>
        <w:t xml:space="preserve"> </w:t>
      </w:r>
      <w:r w:rsidR="003B07A2" w:rsidRPr="007B0656">
        <w:rPr>
          <w:rFonts w:eastAsia="Arial"/>
          <w:color w:val="000000" w:themeColor="text1"/>
        </w:rPr>
        <w:t>(</w:t>
      </w:r>
      <w:proofErr w:type="spellStart"/>
      <w:r w:rsidR="003B07A2" w:rsidRPr="007B0656">
        <w:rPr>
          <w:rFonts w:eastAsia="Arial"/>
          <w:color w:val="000000" w:themeColor="text1"/>
        </w:rPr>
        <w:t>Kecili</w:t>
      </w:r>
      <w:proofErr w:type="spellEnd"/>
      <w:r w:rsidR="003B07A2" w:rsidRPr="007B0656">
        <w:rPr>
          <w:rFonts w:eastAsia="Arial"/>
          <w:color w:val="000000" w:themeColor="text1"/>
        </w:rPr>
        <w:t xml:space="preserve"> &amp; Hussain, 2018)</w:t>
      </w:r>
      <w:r w:rsidR="00156220" w:rsidRPr="007B0656">
        <w:rPr>
          <w:rFonts w:eastAsia="Arial"/>
          <w:color w:val="000000" w:themeColor="text1"/>
          <w:lang w:val="en-GB"/>
        </w:rPr>
        <w:t>.</w:t>
      </w:r>
    </w:p>
    <w:p w14:paraId="236C9ECA" w14:textId="77777777" w:rsidR="003B07A2" w:rsidRPr="007B0656" w:rsidRDefault="003B07A2" w:rsidP="003B07A2">
      <w:pPr>
        <w:pStyle w:val="CETBodytext"/>
        <w:ind w:left="360"/>
        <w:rPr>
          <w:rFonts w:eastAsia="Arial"/>
          <w:color w:val="000000" w:themeColor="text1"/>
        </w:rPr>
      </w:pPr>
    </w:p>
    <w:tbl>
      <w:tblPr>
        <w:tblStyle w:val="Tablaconcuadrcula"/>
        <w:tblW w:w="87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8280"/>
        <w:gridCol w:w="495"/>
      </w:tblGrid>
      <w:tr w:rsidR="003B07A2" w:rsidRPr="007B0656" w14:paraId="641281CD" w14:textId="77777777" w:rsidTr="006E671C">
        <w:trPr>
          <w:trHeight w:val="300"/>
        </w:trPr>
        <w:tc>
          <w:tcPr>
            <w:tcW w:w="8280" w:type="dxa"/>
          </w:tcPr>
          <w:p w14:paraId="10874E43" w14:textId="777C88E6" w:rsidR="00111752" w:rsidRPr="00D07EAD" w:rsidRDefault="00633492" w:rsidP="006E671C">
            <w:pPr>
              <w:spacing w:line="240" w:lineRule="auto"/>
              <w:jc w:val="center"/>
              <w:rPr>
                <w:rFonts w:eastAsia="Arial" w:cs="Arial"/>
                <w:color w:val="000000" w:themeColor="text1"/>
                <w:lang w:val="en-US"/>
              </w:rPr>
            </w:pPr>
            <m:oMathPara>
              <m:oMathParaPr>
                <m:jc m:val="left"/>
              </m:oMathParaPr>
              <m:oMath>
                <m:sSub>
                  <m:sSubPr>
                    <m:ctrlPr>
                      <w:rPr>
                        <w:rFonts w:ascii="Cambria Math" w:hAnsi="Cambria Math"/>
                        <w:color w:val="000000" w:themeColor="text1"/>
                        <w:lang w:val="en-US"/>
                      </w:rPr>
                    </m:ctrlPr>
                  </m:sSubPr>
                  <m:e>
                    <m:r>
                      <w:rPr>
                        <w:rFonts w:ascii="Cambria Math" w:hAnsi="Cambria Math"/>
                        <w:color w:val="000000" w:themeColor="text1"/>
                        <w:lang w:val="en-US"/>
                      </w:rPr>
                      <m:t>C</m:t>
                    </m:r>
                  </m:e>
                  <m:sub>
                    <m:r>
                      <w:rPr>
                        <w:rFonts w:ascii="Cambria Math" w:hAnsi="Cambria Math"/>
                        <w:color w:val="000000" w:themeColor="text1"/>
                        <w:lang w:val="en-US"/>
                      </w:rPr>
                      <m:t>e</m:t>
                    </m:r>
                  </m:sub>
                </m:sSub>
                <m:r>
                  <m:rPr>
                    <m:lit/>
                  </m:rPr>
                  <w:rPr>
                    <w:rFonts w:ascii="Cambria Math" w:hAnsi="Cambria Math"/>
                    <w:color w:val="000000" w:themeColor="text1"/>
                    <w:lang w:val="en-US"/>
                  </w:rPr>
                  <m:t>/</m:t>
                </m:r>
                <m:sSub>
                  <m:sSubPr>
                    <m:ctrlPr>
                      <w:rPr>
                        <w:rFonts w:ascii="Cambria Math" w:hAnsi="Cambria Math"/>
                        <w:color w:val="000000" w:themeColor="text1"/>
                        <w:lang w:val="en-US"/>
                      </w:rPr>
                    </m:ctrlPr>
                  </m:sSubPr>
                  <m:e>
                    <m:r>
                      <w:rPr>
                        <w:rFonts w:ascii="Cambria Math" w:hAnsi="Cambria Math"/>
                        <w:color w:val="000000" w:themeColor="text1"/>
                        <w:lang w:val="en-US"/>
                      </w:rPr>
                      <m:t>q</m:t>
                    </m:r>
                  </m:e>
                  <m:sub>
                    <m:r>
                      <w:rPr>
                        <w:rFonts w:ascii="Cambria Math" w:hAnsi="Cambria Math"/>
                        <w:color w:val="000000" w:themeColor="text1"/>
                        <w:lang w:val="en-US"/>
                      </w:rPr>
                      <m:t>e</m:t>
                    </m:r>
                  </m:sub>
                </m:sSub>
                <m:r>
                  <w:rPr>
                    <w:rFonts w:ascii="Cambria Math" w:hAnsi="Cambria Math"/>
                    <w:color w:val="000000" w:themeColor="text1"/>
                    <w:lang w:val="en-US"/>
                  </w:rPr>
                  <m:t>=</m:t>
                </m:r>
                <m:sSub>
                  <m:sSubPr>
                    <m:ctrlPr>
                      <w:rPr>
                        <w:rFonts w:ascii="Cambria Math" w:hAnsi="Cambria Math"/>
                        <w:color w:val="000000" w:themeColor="text1"/>
                        <w:lang w:val="en-US"/>
                      </w:rPr>
                    </m:ctrlPr>
                  </m:sSubPr>
                  <m:e>
                    <m:r>
                      <w:rPr>
                        <w:rFonts w:ascii="Cambria Math" w:hAnsi="Cambria Math"/>
                        <w:color w:val="000000" w:themeColor="text1"/>
                        <w:lang w:val="en-US"/>
                      </w:rPr>
                      <m:t>C</m:t>
                    </m:r>
                  </m:e>
                  <m:sub>
                    <m:r>
                      <w:rPr>
                        <w:rFonts w:ascii="Cambria Math" w:hAnsi="Cambria Math"/>
                        <w:color w:val="000000" w:themeColor="text1"/>
                        <w:lang w:val="en-US"/>
                      </w:rPr>
                      <m:t>e</m:t>
                    </m:r>
                  </m:sub>
                </m:sSub>
                <m:r>
                  <m:rPr>
                    <m:lit/>
                  </m:rPr>
                  <w:rPr>
                    <w:rFonts w:ascii="Cambria Math" w:hAnsi="Cambria Math"/>
                    <w:color w:val="000000" w:themeColor="text1"/>
                    <w:lang w:val="en-US"/>
                  </w:rPr>
                  <m:t>/</m:t>
                </m:r>
                <m:sSub>
                  <m:sSubPr>
                    <m:ctrlPr>
                      <w:rPr>
                        <w:rFonts w:ascii="Cambria Math" w:hAnsi="Cambria Math"/>
                        <w:color w:val="000000" w:themeColor="text1"/>
                        <w:lang w:val="en-US"/>
                      </w:rPr>
                    </m:ctrlPr>
                  </m:sSubPr>
                  <m:e>
                    <m:r>
                      <w:rPr>
                        <w:rFonts w:ascii="Cambria Math" w:hAnsi="Cambria Math"/>
                        <w:color w:val="000000" w:themeColor="text1"/>
                        <w:lang w:val="en-US"/>
                      </w:rPr>
                      <m:t>q</m:t>
                    </m:r>
                  </m:e>
                  <m:sub>
                    <m:r>
                      <w:rPr>
                        <w:rFonts w:ascii="Cambria Math" w:hAnsi="Cambria Math"/>
                        <w:color w:val="000000" w:themeColor="text1"/>
                        <w:lang w:val="en-US"/>
                      </w:rPr>
                      <m:t>max</m:t>
                    </m:r>
                  </m:sub>
                </m:sSub>
                <m:r>
                  <w:rPr>
                    <w:rFonts w:ascii="Cambria Math" w:hAnsi="Cambria Math"/>
                    <w:color w:val="000000" w:themeColor="text1"/>
                    <w:lang w:val="en-US"/>
                  </w:rPr>
                  <m:t>+1</m:t>
                </m:r>
                <m:r>
                  <m:rPr>
                    <m:lit/>
                  </m:rPr>
                  <w:rPr>
                    <w:rFonts w:ascii="Cambria Math" w:hAnsi="Cambria Math"/>
                    <w:color w:val="000000" w:themeColor="text1"/>
                    <w:lang w:val="en-US"/>
                  </w:rPr>
                  <m:t>/</m:t>
                </m:r>
                <m:d>
                  <m:dPr>
                    <m:ctrlPr>
                      <w:rPr>
                        <w:rFonts w:ascii="Cambria Math" w:hAnsi="Cambria Math"/>
                        <w:color w:val="000000" w:themeColor="text1"/>
                        <w:lang w:val="en-US"/>
                      </w:rPr>
                    </m:ctrlPr>
                  </m:dPr>
                  <m:e>
                    <m:sSub>
                      <m:sSubPr>
                        <m:ctrlPr>
                          <w:rPr>
                            <w:rFonts w:ascii="Cambria Math" w:hAnsi="Cambria Math"/>
                            <w:color w:val="000000" w:themeColor="text1"/>
                            <w:lang w:val="en-US"/>
                          </w:rPr>
                        </m:ctrlPr>
                      </m:sSubPr>
                      <m:e>
                        <m:r>
                          <w:rPr>
                            <w:rFonts w:ascii="Cambria Math" w:hAnsi="Cambria Math"/>
                            <w:color w:val="000000" w:themeColor="text1"/>
                            <w:lang w:val="en-US"/>
                          </w:rPr>
                          <m:t>q</m:t>
                        </m:r>
                      </m:e>
                      <m:sub>
                        <m:r>
                          <w:rPr>
                            <w:rFonts w:ascii="Cambria Math" w:hAnsi="Cambria Math"/>
                            <w:color w:val="000000" w:themeColor="text1"/>
                            <w:lang w:val="en-US"/>
                          </w:rPr>
                          <m:t>max</m:t>
                        </m:r>
                      </m:sub>
                    </m:sSub>
                    <m:r>
                      <w:rPr>
                        <w:rFonts w:ascii="Cambria Math" w:hAnsi="Cambria Math"/>
                        <w:color w:val="000000" w:themeColor="text1"/>
                        <w:lang w:val="en-US"/>
                      </w:rPr>
                      <m:t>∙</m:t>
                    </m:r>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lang w:val="en-US"/>
                          </w:rPr>
                          <m:t>L</m:t>
                        </m:r>
                      </m:sub>
                    </m:sSub>
                  </m:e>
                </m:d>
              </m:oMath>
            </m:oMathPara>
          </w:p>
        </w:tc>
        <w:tc>
          <w:tcPr>
            <w:tcW w:w="495" w:type="dxa"/>
          </w:tcPr>
          <w:p w14:paraId="31D218E9" w14:textId="29285CF7" w:rsidR="00111752" w:rsidRPr="007B0656" w:rsidRDefault="00A2052E" w:rsidP="006E671C">
            <w:pPr>
              <w:spacing w:line="240" w:lineRule="auto"/>
              <w:rPr>
                <w:rFonts w:eastAsia="Arial" w:cs="Arial"/>
                <w:color w:val="000000" w:themeColor="text1"/>
                <w:lang w:val="en-US"/>
              </w:rPr>
            </w:pPr>
            <w:bookmarkStart w:id="4" w:name="_Ref185181909"/>
            <w:r w:rsidRPr="007B0656">
              <w:rPr>
                <w:color w:val="000000" w:themeColor="text1"/>
              </w:rPr>
              <w:t>(</w:t>
            </w:r>
            <w:r w:rsidRPr="007B0656">
              <w:rPr>
                <w:color w:val="000000" w:themeColor="text1"/>
              </w:rPr>
              <w:fldChar w:fldCharType="begin"/>
            </w:r>
            <w:r w:rsidRPr="007B0656">
              <w:rPr>
                <w:color w:val="000000" w:themeColor="text1"/>
              </w:rPr>
              <w:instrText xml:space="preserve"> SEQ Ecuación \* ARABIC </w:instrText>
            </w:r>
            <w:r w:rsidRPr="007B0656">
              <w:rPr>
                <w:color w:val="000000" w:themeColor="text1"/>
              </w:rPr>
              <w:fldChar w:fldCharType="separate"/>
            </w:r>
            <w:r w:rsidR="00F90049" w:rsidRPr="007B0656">
              <w:rPr>
                <w:noProof/>
                <w:color w:val="000000" w:themeColor="text1"/>
              </w:rPr>
              <w:t>2</w:t>
            </w:r>
            <w:r w:rsidRPr="007B0656">
              <w:rPr>
                <w:color w:val="000000" w:themeColor="text1"/>
              </w:rPr>
              <w:fldChar w:fldCharType="end"/>
            </w:r>
            <w:r w:rsidRPr="007B0656">
              <w:rPr>
                <w:color w:val="000000" w:themeColor="text1"/>
              </w:rPr>
              <w:t>)</w:t>
            </w:r>
            <w:bookmarkEnd w:id="4"/>
          </w:p>
        </w:tc>
      </w:tr>
    </w:tbl>
    <w:p w14:paraId="350A898A" w14:textId="77777777" w:rsidR="00111752" w:rsidRPr="007B0656" w:rsidRDefault="00111752" w:rsidP="00111752">
      <w:pPr>
        <w:spacing w:line="240" w:lineRule="auto"/>
        <w:ind w:right="38"/>
        <w:rPr>
          <w:rFonts w:eastAsia="Arial" w:cs="Arial"/>
          <w:color w:val="000000" w:themeColor="text1"/>
          <w:lang w:val="en-US"/>
        </w:rPr>
      </w:pPr>
    </w:p>
    <w:p w14:paraId="2C0C84AA" w14:textId="4A92D9F6" w:rsidR="00401D05" w:rsidRPr="007B0656" w:rsidRDefault="00111752" w:rsidP="00473341">
      <w:pPr>
        <w:pStyle w:val="CETBodytext"/>
        <w:numPr>
          <w:ilvl w:val="0"/>
          <w:numId w:val="26"/>
        </w:numPr>
        <w:spacing w:line="240" w:lineRule="auto"/>
        <w:ind w:right="38"/>
        <w:rPr>
          <w:rFonts w:eastAsia="Arial" w:cs="Arial"/>
          <w:color w:val="000000" w:themeColor="text1"/>
        </w:rPr>
      </w:pPr>
      <w:r w:rsidRPr="007B0656">
        <w:rPr>
          <w:rFonts w:eastAsia="Arial"/>
          <w:i/>
          <w:iCs/>
          <w:color w:val="000000" w:themeColor="text1"/>
        </w:rPr>
        <w:t>Freundlich Isotherm:</w:t>
      </w:r>
      <w:r w:rsidRPr="007B0656">
        <w:rPr>
          <w:rFonts w:eastAsia="Arial"/>
          <w:color w:val="000000" w:themeColor="text1"/>
        </w:rPr>
        <w:t xml:space="preserve"> It is </w:t>
      </w:r>
      <w:r w:rsidR="003B07A2" w:rsidRPr="007B0656">
        <w:rPr>
          <w:rFonts w:eastAsia="Arial"/>
          <w:color w:val="000000" w:themeColor="text1"/>
        </w:rPr>
        <w:t>describ</w:t>
      </w:r>
      <w:r w:rsidRPr="007B0656">
        <w:rPr>
          <w:rFonts w:eastAsia="Arial"/>
          <w:color w:val="000000" w:themeColor="text1"/>
        </w:rPr>
        <w:t xml:space="preserve">ed by Equation </w:t>
      </w:r>
      <w:r w:rsidR="00A2052E" w:rsidRPr="007B0656">
        <w:rPr>
          <w:rFonts w:eastAsia="Arial"/>
          <w:color w:val="000000" w:themeColor="text1"/>
        </w:rPr>
        <w:fldChar w:fldCharType="begin"/>
      </w:r>
      <w:r w:rsidR="00A2052E" w:rsidRPr="007B0656">
        <w:rPr>
          <w:rFonts w:eastAsia="Arial"/>
          <w:color w:val="000000" w:themeColor="text1"/>
        </w:rPr>
        <w:instrText xml:space="preserve"> REF _Ref185181919 \h </w:instrText>
      </w:r>
      <w:r w:rsidR="00F56D3C" w:rsidRPr="007B0656">
        <w:rPr>
          <w:rFonts w:eastAsia="Arial"/>
          <w:color w:val="000000" w:themeColor="text1"/>
        </w:rPr>
        <w:instrText xml:space="preserve"> \* MERGEFORMAT </w:instrText>
      </w:r>
      <w:r w:rsidR="00A2052E" w:rsidRPr="007B0656">
        <w:rPr>
          <w:rFonts w:eastAsia="Arial"/>
          <w:color w:val="000000" w:themeColor="text1"/>
        </w:rPr>
      </w:r>
      <w:r w:rsidR="00A2052E" w:rsidRPr="007B0656">
        <w:rPr>
          <w:rFonts w:eastAsia="Arial"/>
          <w:color w:val="000000" w:themeColor="text1"/>
        </w:rPr>
        <w:fldChar w:fldCharType="separate"/>
      </w:r>
      <w:r w:rsidR="00F90049" w:rsidRPr="007B0656">
        <w:rPr>
          <w:color w:val="000000" w:themeColor="text1"/>
        </w:rPr>
        <w:t>(</w:t>
      </w:r>
      <w:r w:rsidR="00F90049" w:rsidRPr="007B0656">
        <w:rPr>
          <w:noProof/>
          <w:color w:val="000000" w:themeColor="text1"/>
        </w:rPr>
        <w:t>3</w:t>
      </w:r>
      <w:r w:rsidR="00F90049" w:rsidRPr="007B0656">
        <w:rPr>
          <w:color w:val="000000" w:themeColor="text1"/>
        </w:rPr>
        <w:t>)</w:t>
      </w:r>
      <w:r w:rsidR="00A2052E" w:rsidRPr="007B0656">
        <w:rPr>
          <w:rFonts w:eastAsia="Arial"/>
          <w:color w:val="000000" w:themeColor="text1"/>
        </w:rPr>
        <w:fldChar w:fldCharType="end"/>
      </w:r>
      <w:r w:rsidRPr="007B0656">
        <w:rPr>
          <w:rFonts w:eastAsia="Arial"/>
          <w:color w:val="000000" w:themeColor="text1"/>
        </w:rPr>
        <w:t xml:space="preserve">, </w:t>
      </w:r>
      <w:r w:rsidR="00ED6AA6" w:rsidRPr="007B0656">
        <w:rPr>
          <w:rFonts w:eastAsia="Arial"/>
          <w:color w:val="000000" w:themeColor="text1"/>
        </w:rPr>
        <w:t xml:space="preserve">where </w:t>
      </w:r>
      <w:r w:rsidR="00ED6AA6" w:rsidRPr="007B0656">
        <w:rPr>
          <w:rFonts w:eastAsia="Arial"/>
          <w:i/>
          <w:iCs/>
          <w:color w:val="000000" w:themeColor="text1"/>
          <w:lang w:val="en-GB"/>
        </w:rPr>
        <w:t>C</w:t>
      </w:r>
      <w:r w:rsidR="00ED6AA6" w:rsidRPr="007B0656">
        <w:rPr>
          <w:rFonts w:eastAsia="Arial"/>
          <w:i/>
          <w:iCs/>
          <w:color w:val="000000" w:themeColor="text1"/>
          <w:vertAlign w:val="subscript"/>
          <w:lang w:val="en-GB"/>
        </w:rPr>
        <w:t>e</w:t>
      </w:r>
      <w:r w:rsidR="00ED6AA6" w:rsidRPr="007B0656">
        <w:rPr>
          <w:rFonts w:eastAsia="Arial"/>
          <w:color w:val="000000" w:themeColor="text1"/>
          <w:lang w:val="en-GB"/>
        </w:rPr>
        <w:t xml:space="preserve"> (mg/L) and </w:t>
      </w:r>
      <w:proofErr w:type="spellStart"/>
      <w:r w:rsidR="00ED6AA6" w:rsidRPr="007B0656">
        <w:rPr>
          <w:rFonts w:eastAsia="Arial"/>
          <w:i/>
          <w:iCs/>
          <w:color w:val="000000" w:themeColor="text1"/>
          <w:lang w:val="en-GB"/>
        </w:rPr>
        <w:t>q</w:t>
      </w:r>
      <w:r w:rsidR="00ED6AA6" w:rsidRPr="007B0656">
        <w:rPr>
          <w:rFonts w:eastAsia="Arial"/>
          <w:i/>
          <w:iCs/>
          <w:color w:val="000000" w:themeColor="text1"/>
          <w:vertAlign w:val="subscript"/>
          <w:lang w:val="en-GB"/>
        </w:rPr>
        <w:t>e</w:t>
      </w:r>
      <w:proofErr w:type="spellEnd"/>
      <w:r w:rsidR="00ED6AA6" w:rsidRPr="007B0656">
        <w:rPr>
          <w:rFonts w:eastAsia="Arial"/>
          <w:color w:val="000000" w:themeColor="text1"/>
          <w:lang w:val="en-GB"/>
        </w:rPr>
        <w:t xml:space="preserve"> (mg/g) are the </w:t>
      </w:r>
      <w:r w:rsidR="00ED6AA6" w:rsidRPr="007B0656">
        <w:rPr>
          <w:rFonts w:eastAsia="Arial" w:cs="Arial"/>
          <w:color w:val="000000" w:themeColor="text1"/>
        </w:rPr>
        <w:t>pollutant concentration</w:t>
      </w:r>
      <w:r w:rsidR="00ED6AA6" w:rsidRPr="007B0656">
        <w:rPr>
          <w:rFonts w:eastAsia="Arial"/>
          <w:color w:val="000000" w:themeColor="text1"/>
          <w:lang w:val="en-GB"/>
        </w:rPr>
        <w:t xml:space="preserve"> and the </w:t>
      </w:r>
      <w:proofErr w:type="gramStart"/>
      <w:r w:rsidR="00ED6AA6" w:rsidRPr="007B0656">
        <w:rPr>
          <w:rFonts w:eastAsia="Arial"/>
          <w:color w:val="000000" w:themeColor="text1"/>
          <w:lang w:val="en-GB"/>
        </w:rPr>
        <w:t>amount</w:t>
      </w:r>
      <w:proofErr w:type="gramEnd"/>
      <w:r w:rsidR="00ED6AA6" w:rsidRPr="007B0656">
        <w:rPr>
          <w:rFonts w:eastAsia="Arial"/>
          <w:color w:val="000000" w:themeColor="text1"/>
          <w:lang w:val="en-GB"/>
        </w:rPr>
        <w:t xml:space="preserve"> of adsorbed molecules on the surface of the adsorbent at equilibrium time, respectively. In addition, </w:t>
      </w:r>
      <w:r w:rsidR="009B3C5E" w:rsidRPr="007B0656">
        <w:rPr>
          <w:rFonts w:cs="Arial"/>
          <w:i/>
          <w:iCs/>
          <w:color w:val="000000" w:themeColor="text1"/>
          <w:shd w:val="clear" w:color="auto" w:fill="FFFFFF"/>
        </w:rPr>
        <w:t>K</w:t>
      </w:r>
      <w:r w:rsidR="009B3C5E" w:rsidRPr="007B0656">
        <w:rPr>
          <w:rFonts w:cs="Arial"/>
          <w:i/>
          <w:iCs/>
          <w:color w:val="000000" w:themeColor="text1"/>
          <w:szCs w:val="18"/>
          <w:shd w:val="clear" w:color="auto" w:fill="FFFFFF"/>
          <w:vertAlign w:val="subscript"/>
        </w:rPr>
        <w:t>F</w:t>
      </w:r>
      <w:r w:rsidR="009B3C5E" w:rsidRPr="007B0656">
        <w:rPr>
          <w:rFonts w:cs="Arial"/>
          <w:color w:val="000000" w:themeColor="text1"/>
          <w:shd w:val="clear" w:color="auto" w:fill="FFFFFF"/>
        </w:rPr>
        <w:t> </w:t>
      </w:r>
      <w:r w:rsidR="00203ED9" w:rsidRPr="007B0656">
        <w:rPr>
          <w:rFonts w:cs="Arial"/>
          <w:color w:val="000000" w:themeColor="text1"/>
          <w:shd w:val="clear" w:color="auto" w:fill="FFFFFF"/>
        </w:rPr>
        <w:t xml:space="preserve">(L/g) </w:t>
      </w:r>
      <w:r w:rsidR="009B3C5E" w:rsidRPr="007B0656">
        <w:rPr>
          <w:rFonts w:cs="Arial"/>
          <w:color w:val="000000" w:themeColor="text1"/>
          <w:shd w:val="clear" w:color="auto" w:fill="FFFFFF"/>
        </w:rPr>
        <w:t>is adsorption capacity</w:t>
      </w:r>
      <w:r w:rsidR="00022EB1" w:rsidRPr="007B0656">
        <w:rPr>
          <w:rFonts w:cs="Arial"/>
          <w:color w:val="000000" w:themeColor="text1"/>
          <w:shd w:val="clear" w:color="auto" w:fill="FFFFFF"/>
        </w:rPr>
        <w:t>,</w:t>
      </w:r>
      <w:r w:rsidR="009B3C5E" w:rsidRPr="007B0656">
        <w:rPr>
          <w:rFonts w:cs="Arial"/>
          <w:color w:val="000000" w:themeColor="text1"/>
          <w:shd w:val="clear" w:color="auto" w:fill="FFFFFF"/>
        </w:rPr>
        <w:t xml:space="preserve"> and 1/</w:t>
      </w:r>
      <w:r w:rsidR="009B3C5E" w:rsidRPr="007B0656">
        <w:rPr>
          <w:rFonts w:cs="Arial"/>
          <w:i/>
          <w:iCs/>
          <w:color w:val="000000" w:themeColor="text1"/>
          <w:shd w:val="clear" w:color="auto" w:fill="FFFFFF"/>
        </w:rPr>
        <w:t>n</w:t>
      </w:r>
      <w:r w:rsidR="009B3C5E" w:rsidRPr="007B0656">
        <w:rPr>
          <w:rFonts w:cs="Arial"/>
          <w:color w:val="000000" w:themeColor="text1"/>
          <w:shd w:val="clear" w:color="auto" w:fill="FFFFFF"/>
        </w:rPr>
        <w:t xml:space="preserve"> is adsorption intensity; it also indicates the </w:t>
      </w:r>
      <w:r w:rsidR="00022EB1" w:rsidRPr="007B0656">
        <w:rPr>
          <w:rFonts w:cs="Arial"/>
          <w:color w:val="000000" w:themeColor="text1"/>
          <w:shd w:val="clear" w:color="auto" w:fill="FFFFFF"/>
        </w:rPr>
        <w:t>energy's relative distribution and the adsorbate sites' heterogeneity</w:t>
      </w:r>
      <w:r w:rsidR="009B3C5E" w:rsidRPr="007B0656">
        <w:rPr>
          <w:rFonts w:eastAsia="Arial"/>
          <w:color w:val="000000" w:themeColor="text1"/>
        </w:rPr>
        <w:t xml:space="preserve"> </w:t>
      </w:r>
      <w:r w:rsidR="00E5115F" w:rsidRPr="007B0656">
        <w:rPr>
          <w:rFonts w:eastAsia="Arial"/>
          <w:color w:val="000000" w:themeColor="text1"/>
        </w:rPr>
        <w:t>(</w:t>
      </w:r>
      <w:proofErr w:type="spellStart"/>
      <w:r w:rsidR="00E5115F" w:rsidRPr="007B0656">
        <w:rPr>
          <w:rFonts w:eastAsia="Arial"/>
          <w:color w:val="000000" w:themeColor="text1"/>
        </w:rPr>
        <w:t>Kecili</w:t>
      </w:r>
      <w:proofErr w:type="spellEnd"/>
      <w:r w:rsidR="00E5115F" w:rsidRPr="007B0656">
        <w:rPr>
          <w:rFonts w:eastAsia="Arial"/>
          <w:color w:val="000000" w:themeColor="text1"/>
        </w:rPr>
        <w:t xml:space="preserve"> &amp; Hussain, 2018)</w:t>
      </w:r>
      <w:r w:rsidR="00ED6AA6" w:rsidRPr="007B0656">
        <w:rPr>
          <w:rFonts w:eastAsia="Arial"/>
          <w:color w:val="000000" w:themeColor="text1"/>
          <w:lang w:val="en-GB"/>
        </w:rPr>
        <w:t>.</w:t>
      </w:r>
    </w:p>
    <w:p w14:paraId="1FAE7F66" w14:textId="77777777" w:rsidR="00ED6AA6" w:rsidRPr="007B0656" w:rsidRDefault="00ED6AA6" w:rsidP="00ED6AA6">
      <w:pPr>
        <w:pStyle w:val="CETBodytext"/>
        <w:spacing w:line="240" w:lineRule="auto"/>
        <w:ind w:left="360" w:right="38"/>
        <w:rPr>
          <w:rFonts w:eastAsia="Arial" w:cs="Arial"/>
          <w:color w:val="000000" w:themeColor="text1"/>
        </w:rPr>
      </w:pPr>
    </w:p>
    <w:tbl>
      <w:tblPr>
        <w:tblStyle w:val="Tablaconcuadrcula"/>
        <w:tblW w:w="87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8280"/>
        <w:gridCol w:w="495"/>
      </w:tblGrid>
      <w:tr w:rsidR="00111752" w:rsidRPr="007B0656" w14:paraId="0439A537" w14:textId="77777777" w:rsidTr="006E671C">
        <w:trPr>
          <w:trHeight w:val="300"/>
        </w:trPr>
        <w:tc>
          <w:tcPr>
            <w:tcW w:w="8280" w:type="dxa"/>
          </w:tcPr>
          <w:p w14:paraId="079D8F36" w14:textId="55117ED7" w:rsidR="00111752" w:rsidRPr="00D07EAD" w:rsidRDefault="00633492" w:rsidP="006E671C">
            <w:pPr>
              <w:spacing w:line="240" w:lineRule="auto"/>
              <w:jc w:val="center"/>
              <w:rPr>
                <w:rFonts w:eastAsia="Arial" w:cs="Arial"/>
                <w:color w:val="000000" w:themeColor="text1"/>
                <w:lang w:val="en-US"/>
              </w:rPr>
            </w:pPr>
            <m:oMathPara>
              <m:oMathParaPr>
                <m:jc m:val="left"/>
              </m:oMathParaPr>
              <m:oMath>
                <m:func>
                  <m:funcPr>
                    <m:ctrlPr>
                      <w:rPr>
                        <w:rFonts w:ascii="Cambria Math" w:hAnsi="Cambria Math"/>
                        <w:color w:val="000000" w:themeColor="text1"/>
                        <w:lang w:val="en-US"/>
                      </w:rPr>
                    </m:ctrlPr>
                  </m:funcPr>
                  <m:fName>
                    <m:r>
                      <m:rPr>
                        <m:sty m:val="p"/>
                      </m:rPr>
                      <w:rPr>
                        <w:rFonts w:ascii="Cambria Math" w:hAnsi="Cambria Math"/>
                        <w:color w:val="000000" w:themeColor="text1"/>
                        <w:lang w:val="en-US"/>
                      </w:rPr>
                      <m:t>log</m:t>
                    </m:r>
                  </m:fName>
                  <m:e>
                    <m:d>
                      <m:dPr>
                        <m:ctrlPr>
                          <w:rPr>
                            <w:rFonts w:ascii="Cambria Math" w:hAnsi="Cambria Math"/>
                            <w:color w:val="000000" w:themeColor="text1"/>
                            <w:lang w:val="en-US"/>
                          </w:rPr>
                        </m:ctrlPr>
                      </m:dPr>
                      <m:e>
                        <m:sSub>
                          <m:sSubPr>
                            <m:ctrlPr>
                              <w:rPr>
                                <w:rFonts w:ascii="Cambria Math" w:hAnsi="Cambria Math"/>
                                <w:color w:val="000000" w:themeColor="text1"/>
                                <w:lang w:val="en-US"/>
                              </w:rPr>
                            </m:ctrlPr>
                          </m:sSubPr>
                          <m:e>
                            <m:r>
                              <w:rPr>
                                <w:rFonts w:ascii="Cambria Math" w:hAnsi="Cambria Math"/>
                                <w:color w:val="000000" w:themeColor="text1"/>
                                <w:lang w:val="en-US"/>
                              </w:rPr>
                              <m:t>q</m:t>
                            </m:r>
                          </m:e>
                          <m:sub>
                            <m:r>
                              <w:rPr>
                                <w:rFonts w:ascii="Cambria Math" w:hAnsi="Cambria Math"/>
                                <w:color w:val="000000" w:themeColor="text1"/>
                                <w:lang w:val="en-US"/>
                              </w:rPr>
                              <m:t>e</m:t>
                            </m:r>
                          </m:sub>
                        </m:sSub>
                      </m:e>
                    </m:d>
                  </m:e>
                </m:func>
                <m:r>
                  <w:rPr>
                    <w:rFonts w:ascii="Cambria Math" w:hAnsi="Cambria Math"/>
                    <w:color w:val="000000" w:themeColor="text1"/>
                    <w:lang w:val="en-US"/>
                  </w:rPr>
                  <m:t>=</m:t>
                </m:r>
                <m:func>
                  <m:funcPr>
                    <m:ctrlPr>
                      <w:rPr>
                        <w:rFonts w:ascii="Cambria Math" w:hAnsi="Cambria Math"/>
                        <w:color w:val="000000" w:themeColor="text1"/>
                        <w:lang w:val="en-US"/>
                      </w:rPr>
                    </m:ctrlPr>
                  </m:funcPr>
                  <m:fName>
                    <m:r>
                      <m:rPr>
                        <m:sty m:val="p"/>
                      </m:rPr>
                      <w:rPr>
                        <w:rFonts w:ascii="Cambria Math" w:hAnsi="Cambria Math"/>
                        <w:color w:val="000000" w:themeColor="text1"/>
                        <w:lang w:val="en-US"/>
                      </w:rPr>
                      <m:t>log</m:t>
                    </m:r>
                  </m:fName>
                  <m:e>
                    <m:d>
                      <m:dPr>
                        <m:ctrlPr>
                          <w:rPr>
                            <w:rFonts w:ascii="Cambria Math" w:hAnsi="Cambria Math"/>
                            <w:color w:val="000000" w:themeColor="text1"/>
                            <w:lang w:val="en-US"/>
                          </w:rPr>
                        </m:ctrlPr>
                      </m:dPr>
                      <m:e>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lang w:val="en-US"/>
                              </w:rPr>
                              <m:t>F</m:t>
                            </m:r>
                          </m:sub>
                        </m:sSub>
                      </m:e>
                    </m:d>
                  </m:e>
                </m:func>
                <m:r>
                  <w:rPr>
                    <w:rFonts w:ascii="Cambria Math" w:hAnsi="Cambria Math"/>
                    <w:color w:val="000000" w:themeColor="text1"/>
                    <w:lang w:val="en-US"/>
                  </w:rPr>
                  <m:t>+1</m:t>
                </m:r>
                <m:r>
                  <m:rPr>
                    <m:lit/>
                  </m:rPr>
                  <w:rPr>
                    <w:rFonts w:ascii="Cambria Math" w:hAnsi="Cambria Math"/>
                    <w:color w:val="000000" w:themeColor="text1"/>
                    <w:lang w:val="en-US"/>
                  </w:rPr>
                  <m:t>/</m:t>
                </m:r>
                <m:r>
                  <w:rPr>
                    <w:rFonts w:ascii="Cambria Math" w:hAnsi="Cambria Math"/>
                    <w:color w:val="000000" w:themeColor="text1"/>
                    <w:lang w:val="en-US"/>
                  </w:rPr>
                  <m:t>n∙</m:t>
                </m:r>
                <m:func>
                  <m:funcPr>
                    <m:ctrlPr>
                      <w:rPr>
                        <w:rFonts w:ascii="Cambria Math" w:hAnsi="Cambria Math"/>
                        <w:color w:val="000000" w:themeColor="text1"/>
                        <w:lang w:val="en-US"/>
                      </w:rPr>
                    </m:ctrlPr>
                  </m:funcPr>
                  <m:fName>
                    <m:r>
                      <m:rPr>
                        <m:sty m:val="p"/>
                      </m:rPr>
                      <w:rPr>
                        <w:rFonts w:ascii="Cambria Math" w:hAnsi="Cambria Math"/>
                        <w:color w:val="000000" w:themeColor="text1"/>
                        <w:lang w:val="en-US"/>
                      </w:rPr>
                      <m:t>log</m:t>
                    </m:r>
                  </m:fName>
                  <m:e>
                    <m:d>
                      <m:dPr>
                        <m:ctrlPr>
                          <w:rPr>
                            <w:rFonts w:ascii="Cambria Math" w:hAnsi="Cambria Math"/>
                            <w:color w:val="000000" w:themeColor="text1"/>
                            <w:lang w:val="en-US"/>
                          </w:rPr>
                        </m:ctrlPr>
                      </m:dPr>
                      <m:e>
                        <m:sSub>
                          <m:sSubPr>
                            <m:ctrlPr>
                              <w:rPr>
                                <w:rFonts w:ascii="Cambria Math" w:hAnsi="Cambria Math"/>
                                <w:color w:val="000000" w:themeColor="text1"/>
                                <w:lang w:val="en-US"/>
                              </w:rPr>
                            </m:ctrlPr>
                          </m:sSubPr>
                          <m:e>
                            <m:r>
                              <w:rPr>
                                <w:rFonts w:ascii="Cambria Math" w:hAnsi="Cambria Math"/>
                                <w:color w:val="000000" w:themeColor="text1"/>
                                <w:lang w:val="en-US"/>
                              </w:rPr>
                              <m:t>C</m:t>
                            </m:r>
                          </m:e>
                          <m:sub>
                            <m:r>
                              <w:rPr>
                                <w:rFonts w:ascii="Cambria Math" w:hAnsi="Cambria Math"/>
                                <w:color w:val="000000" w:themeColor="text1"/>
                                <w:lang w:val="en-US"/>
                              </w:rPr>
                              <m:t>e</m:t>
                            </m:r>
                          </m:sub>
                        </m:sSub>
                      </m:e>
                    </m:d>
                  </m:e>
                </m:func>
              </m:oMath>
            </m:oMathPara>
          </w:p>
        </w:tc>
        <w:tc>
          <w:tcPr>
            <w:tcW w:w="495" w:type="dxa"/>
          </w:tcPr>
          <w:p w14:paraId="428BB208" w14:textId="789BCA6E" w:rsidR="00111752" w:rsidRPr="007B0656" w:rsidRDefault="00A2052E" w:rsidP="006E671C">
            <w:pPr>
              <w:spacing w:line="240" w:lineRule="auto"/>
              <w:rPr>
                <w:rFonts w:eastAsia="Arial" w:cs="Arial"/>
                <w:color w:val="000000" w:themeColor="text1"/>
                <w:lang w:val="en-US"/>
              </w:rPr>
            </w:pPr>
            <w:bookmarkStart w:id="5" w:name="_Ref185181919"/>
            <w:r w:rsidRPr="007B0656">
              <w:rPr>
                <w:color w:val="000000" w:themeColor="text1"/>
              </w:rPr>
              <w:t>(</w:t>
            </w:r>
            <w:r w:rsidRPr="007B0656">
              <w:rPr>
                <w:color w:val="000000" w:themeColor="text1"/>
              </w:rPr>
              <w:fldChar w:fldCharType="begin"/>
            </w:r>
            <w:r w:rsidRPr="007B0656">
              <w:rPr>
                <w:color w:val="000000" w:themeColor="text1"/>
              </w:rPr>
              <w:instrText xml:space="preserve"> SEQ Ecuación \* ARABIC </w:instrText>
            </w:r>
            <w:r w:rsidRPr="007B0656">
              <w:rPr>
                <w:color w:val="000000" w:themeColor="text1"/>
              </w:rPr>
              <w:fldChar w:fldCharType="separate"/>
            </w:r>
            <w:r w:rsidR="00F90049" w:rsidRPr="007B0656">
              <w:rPr>
                <w:noProof/>
                <w:color w:val="000000" w:themeColor="text1"/>
              </w:rPr>
              <w:t>3</w:t>
            </w:r>
            <w:r w:rsidRPr="007B0656">
              <w:rPr>
                <w:color w:val="000000" w:themeColor="text1"/>
              </w:rPr>
              <w:fldChar w:fldCharType="end"/>
            </w:r>
            <w:r w:rsidRPr="007B0656">
              <w:rPr>
                <w:color w:val="000000" w:themeColor="text1"/>
              </w:rPr>
              <w:t>)</w:t>
            </w:r>
            <w:bookmarkEnd w:id="5"/>
          </w:p>
        </w:tc>
      </w:tr>
    </w:tbl>
    <w:p w14:paraId="3283ED52" w14:textId="6ED4CF9F" w:rsidR="00111752" w:rsidRPr="007B0656" w:rsidRDefault="00111752" w:rsidP="00111752">
      <w:pPr>
        <w:spacing w:line="240" w:lineRule="auto"/>
        <w:ind w:left="360" w:right="38"/>
        <w:rPr>
          <w:rFonts w:eastAsia="Arial" w:cs="Arial"/>
          <w:color w:val="000000" w:themeColor="text1"/>
          <w:lang w:val="en-US"/>
        </w:rPr>
      </w:pPr>
    </w:p>
    <w:p w14:paraId="0A34416D" w14:textId="7BE0F2DC" w:rsidR="00111752" w:rsidRPr="007B0656" w:rsidRDefault="00111752" w:rsidP="00F56D3C">
      <w:pPr>
        <w:pStyle w:val="CETBodytext"/>
        <w:numPr>
          <w:ilvl w:val="0"/>
          <w:numId w:val="26"/>
        </w:numPr>
        <w:rPr>
          <w:rFonts w:eastAsia="Arial"/>
          <w:color w:val="000000" w:themeColor="text1"/>
        </w:rPr>
      </w:pPr>
      <w:r w:rsidRPr="007B0656">
        <w:rPr>
          <w:rFonts w:eastAsia="Arial"/>
          <w:i/>
          <w:iCs/>
          <w:color w:val="000000" w:themeColor="text1"/>
        </w:rPr>
        <w:t>Temkin</w:t>
      </w:r>
      <w:r w:rsidR="00F56D3C" w:rsidRPr="007B0656">
        <w:rPr>
          <w:rFonts w:eastAsia="Arial"/>
          <w:i/>
          <w:iCs/>
          <w:color w:val="000000" w:themeColor="text1"/>
        </w:rPr>
        <w:t xml:space="preserve"> I</w:t>
      </w:r>
      <w:r w:rsidRPr="007B0656">
        <w:rPr>
          <w:rFonts w:eastAsia="Arial"/>
          <w:i/>
          <w:iCs/>
          <w:color w:val="000000" w:themeColor="text1"/>
        </w:rPr>
        <w:t>sotherm:</w:t>
      </w:r>
      <w:r w:rsidRPr="007B0656">
        <w:rPr>
          <w:rFonts w:eastAsia="Arial"/>
          <w:color w:val="000000" w:themeColor="text1"/>
        </w:rPr>
        <w:t xml:space="preserve"> It is represented by Equation </w:t>
      </w:r>
      <w:r w:rsidR="00A2052E" w:rsidRPr="007B0656">
        <w:rPr>
          <w:rFonts w:eastAsia="Arial"/>
          <w:color w:val="000000" w:themeColor="text1"/>
        </w:rPr>
        <w:fldChar w:fldCharType="begin"/>
      </w:r>
      <w:r w:rsidR="00A2052E" w:rsidRPr="007B0656">
        <w:rPr>
          <w:rFonts w:eastAsia="Arial"/>
          <w:color w:val="000000" w:themeColor="text1"/>
        </w:rPr>
        <w:instrText xml:space="preserve"> REF _Ref185181926 \h </w:instrText>
      </w:r>
      <w:r w:rsidR="00F56D3C" w:rsidRPr="007B0656">
        <w:rPr>
          <w:rFonts w:eastAsia="Arial"/>
          <w:color w:val="000000" w:themeColor="text1"/>
        </w:rPr>
        <w:instrText xml:space="preserve"> \* MERGEFORMAT </w:instrText>
      </w:r>
      <w:r w:rsidR="00A2052E" w:rsidRPr="007B0656">
        <w:rPr>
          <w:rFonts w:eastAsia="Arial"/>
          <w:color w:val="000000" w:themeColor="text1"/>
        </w:rPr>
      </w:r>
      <w:r w:rsidR="00A2052E" w:rsidRPr="007B0656">
        <w:rPr>
          <w:rFonts w:eastAsia="Arial"/>
          <w:color w:val="000000" w:themeColor="text1"/>
        </w:rPr>
        <w:fldChar w:fldCharType="separate"/>
      </w:r>
      <w:r w:rsidR="00F90049" w:rsidRPr="007B0656">
        <w:rPr>
          <w:color w:val="000000" w:themeColor="text1"/>
        </w:rPr>
        <w:t>(</w:t>
      </w:r>
      <w:r w:rsidR="00F90049" w:rsidRPr="007B0656">
        <w:rPr>
          <w:noProof/>
          <w:color w:val="000000" w:themeColor="text1"/>
        </w:rPr>
        <w:t>4</w:t>
      </w:r>
      <w:r w:rsidR="00F90049" w:rsidRPr="007B0656">
        <w:rPr>
          <w:color w:val="000000" w:themeColor="text1"/>
        </w:rPr>
        <w:t>)</w:t>
      </w:r>
      <w:r w:rsidR="00A2052E" w:rsidRPr="007B0656">
        <w:rPr>
          <w:rFonts w:eastAsia="Arial"/>
          <w:color w:val="000000" w:themeColor="text1"/>
        </w:rPr>
        <w:fldChar w:fldCharType="end"/>
      </w:r>
      <w:r w:rsidRPr="007B0656">
        <w:rPr>
          <w:rFonts w:eastAsia="Arial"/>
          <w:color w:val="000000" w:themeColor="text1"/>
        </w:rPr>
        <w:t>, where</w:t>
      </w:r>
      <w:r w:rsidR="003A38E6" w:rsidRPr="007B0656">
        <w:rPr>
          <w:rFonts w:eastAsia="Arial"/>
          <w:color w:val="000000" w:themeColor="text1"/>
        </w:rPr>
        <w:t xml:space="preserve"> </w:t>
      </w:r>
      <w:proofErr w:type="spellStart"/>
      <w:r w:rsidR="003A38E6" w:rsidRPr="007B0656">
        <w:rPr>
          <w:rFonts w:eastAsia="Arial"/>
          <w:i/>
          <w:iCs/>
          <w:color w:val="000000" w:themeColor="text1"/>
          <w:lang w:val="en-GB"/>
        </w:rPr>
        <w:t>q</w:t>
      </w:r>
      <w:r w:rsidR="003A38E6" w:rsidRPr="007B0656">
        <w:rPr>
          <w:rFonts w:eastAsia="Arial"/>
          <w:i/>
          <w:iCs/>
          <w:color w:val="000000" w:themeColor="text1"/>
          <w:vertAlign w:val="subscript"/>
          <w:lang w:val="en-GB"/>
        </w:rPr>
        <w:t>e</w:t>
      </w:r>
      <w:proofErr w:type="spellEnd"/>
      <w:r w:rsidR="003A38E6" w:rsidRPr="007B0656">
        <w:rPr>
          <w:rFonts w:eastAsia="Arial"/>
          <w:color w:val="000000" w:themeColor="text1"/>
          <w:lang w:val="en-GB"/>
        </w:rPr>
        <w:t xml:space="preserve"> (mg/g)</w:t>
      </w:r>
      <w:r w:rsidR="003A38E6" w:rsidRPr="007B0656">
        <w:rPr>
          <w:rFonts w:cs="Arial"/>
          <w:color w:val="000000" w:themeColor="text1"/>
          <w:shd w:val="clear" w:color="auto" w:fill="FFFFFF"/>
        </w:rPr>
        <w:t> is the solid-phase concentration, </w:t>
      </w:r>
      <w:r w:rsidR="003A38E6" w:rsidRPr="007B0656">
        <w:rPr>
          <w:rFonts w:eastAsia="Arial"/>
          <w:i/>
          <w:iCs/>
          <w:color w:val="000000" w:themeColor="text1"/>
          <w:lang w:val="en-GB"/>
        </w:rPr>
        <w:t>C</w:t>
      </w:r>
      <w:r w:rsidR="003A38E6" w:rsidRPr="007B0656">
        <w:rPr>
          <w:rFonts w:eastAsia="Arial"/>
          <w:i/>
          <w:iCs/>
          <w:color w:val="000000" w:themeColor="text1"/>
          <w:vertAlign w:val="subscript"/>
          <w:lang w:val="en-GB"/>
        </w:rPr>
        <w:t>e</w:t>
      </w:r>
      <w:r w:rsidR="003A38E6" w:rsidRPr="007B0656">
        <w:rPr>
          <w:rFonts w:eastAsia="Arial"/>
          <w:color w:val="000000" w:themeColor="text1"/>
          <w:lang w:val="en-GB"/>
        </w:rPr>
        <w:t xml:space="preserve"> (mg/L) </w:t>
      </w:r>
      <w:r w:rsidR="003A38E6" w:rsidRPr="007B0656">
        <w:rPr>
          <w:rFonts w:cs="Arial"/>
          <w:color w:val="000000" w:themeColor="text1"/>
          <w:shd w:val="clear" w:color="auto" w:fill="FFFFFF"/>
        </w:rPr>
        <w:t>is the equilibrium liquid-phase concentration, </w:t>
      </w:r>
      <w:r w:rsidR="003A38E6" w:rsidRPr="007B0656">
        <w:rPr>
          <w:rFonts w:cs="Arial"/>
          <w:i/>
          <w:iCs/>
          <w:color w:val="000000" w:themeColor="text1"/>
          <w:shd w:val="clear" w:color="auto" w:fill="FFFFFF"/>
        </w:rPr>
        <w:t xml:space="preserve">R </w:t>
      </w:r>
      <w:r w:rsidR="003A38E6" w:rsidRPr="007B0656">
        <w:rPr>
          <w:rFonts w:cs="Arial"/>
          <w:iCs/>
          <w:color w:val="000000" w:themeColor="text1"/>
          <w:shd w:val="clear" w:color="auto" w:fill="FFFFFF"/>
        </w:rPr>
        <w:t>(</w:t>
      </w:r>
      <w:r w:rsidR="007831F4" w:rsidRPr="007B0656">
        <w:rPr>
          <w:rFonts w:cs="Arial"/>
          <w:color w:val="000000" w:themeColor="text1"/>
          <w:shd w:val="clear" w:color="auto" w:fill="FFFFFF"/>
        </w:rPr>
        <w:t>J/</w:t>
      </w:r>
      <w:proofErr w:type="spellStart"/>
      <w:r w:rsidR="003A38E6" w:rsidRPr="007B0656">
        <w:rPr>
          <w:rFonts w:cs="Arial"/>
          <w:color w:val="000000" w:themeColor="text1"/>
          <w:shd w:val="clear" w:color="auto" w:fill="FFFFFF"/>
        </w:rPr>
        <w:t>mol</w:t>
      </w:r>
      <w:r w:rsidR="00F7485C" w:rsidRPr="007B0656">
        <w:rPr>
          <w:rFonts w:cs="Arial"/>
          <w:color w:val="000000" w:themeColor="text1"/>
          <w:shd w:val="clear" w:color="auto" w:fill="FFFFFF"/>
        </w:rPr>
        <w:t>·</w:t>
      </w:r>
      <w:r w:rsidR="003A38E6" w:rsidRPr="007B0656">
        <w:rPr>
          <w:rFonts w:cs="Arial"/>
          <w:color w:val="000000" w:themeColor="text1"/>
          <w:shd w:val="clear" w:color="auto" w:fill="FFFFFF"/>
        </w:rPr>
        <w:t>K</w:t>
      </w:r>
      <w:proofErr w:type="spellEnd"/>
      <w:r w:rsidR="003A38E6" w:rsidRPr="007B0656">
        <w:rPr>
          <w:rFonts w:cs="Arial"/>
          <w:color w:val="000000" w:themeColor="text1"/>
          <w:szCs w:val="18"/>
          <w:shd w:val="clear" w:color="auto" w:fill="FFFFFF"/>
        </w:rPr>
        <w:t>)</w:t>
      </w:r>
      <w:r w:rsidR="003A38E6" w:rsidRPr="007B0656">
        <w:rPr>
          <w:rFonts w:cs="Arial"/>
          <w:color w:val="000000" w:themeColor="text1"/>
          <w:szCs w:val="18"/>
          <w:shd w:val="clear" w:color="auto" w:fill="FFFFFF"/>
          <w:vertAlign w:val="superscript"/>
        </w:rPr>
        <w:t xml:space="preserve"> </w:t>
      </w:r>
      <w:r w:rsidR="003A38E6" w:rsidRPr="007B0656">
        <w:rPr>
          <w:rFonts w:cs="Arial"/>
          <w:color w:val="000000" w:themeColor="text1"/>
          <w:shd w:val="clear" w:color="auto" w:fill="FFFFFF"/>
        </w:rPr>
        <w:t> is the gas constant, </w:t>
      </w:r>
      <w:r w:rsidR="003A38E6" w:rsidRPr="007B0656">
        <w:rPr>
          <w:rFonts w:cs="Arial"/>
          <w:i/>
          <w:iCs/>
          <w:color w:val="000000" w:themeColor="text1"/>
          <w:shd w:val="clear" w:color="auto" w:fill="FFFFFF"/>
        </w:rPr>
        <w:t xml:space="preserve">T </w:t>
      </w:r>
      <w:r w:rsidR="003A38E6" w:rsidRPr="007B0656">
        <w:rPr>
          <w:rFonts w:cs="Arial"/>
          <w:iCs/>
          <w:color w:val="000000" w:themeColor="text1"/>
          <w:shd w:val="clear" w:color="auto" w:fill="FFFFFF"/>
        </w:rPr>
        <w:t>(</w:t>
      </w:r>
      <w:r w:rsidR="003A38E6" w:rsidRPr="007B0656">
        <w:rPr>
          <w:rFonts w:cs="Arial"/>
          <w:color w:val="000000" w:themeColor="text1"/>
          <w:shd w:val="clear" w:color="auto" w:fill="FFFFFF"/>
        </w:rPr>
        <w:t>K) is the temperature, and </w:t>
      </w:r>
      <w:proofErr w:type="spellStart"/>
      <w:r w:rsidR="003A38E6" w:rsidRPr="007B0656">
        <w:rPr>
          <w:rFonts w:cs="Arial"/>
          <w:i/>
          <w:iCs/>
          <w:color w:val="000000" w:themeColor="text1"/>
          <w:shd w:val="clear" w:color="auto" w:fill="FFFFFF"/>
        </w:rPr>
        <w:t>b</w:t>
      </w:r>
      <w:r w:rsidR="003A38E6" w:rsidRPr="007B0656">
        <w:rPr>
          <w:rFonts w:cs="Arial"/>
          <w:color w:val="000000" w:themeColor="text1"/>
          <w:szCs w:val="18"/>
          <w:shd w:val="clear" w:color="auto" w:fill="FFFFFF"/>
          <w:vertAlign w:val="subscript"/>
        </w:rPr>
        <w:t>T</w:t>
      </w:r>
      <w:proofErr w:type="spellEnd"/>
      <w:r w:rsidR="003A38E6" w:rsidRPr="007B0656">
        <w:rPr>
          <w:rFonts w:cs="Arial"/>
          <w:color w:val="000000" w:themeColor="text1"/>
          <w:szCs w:val="18"/>
          <w:shd w:val="clear" w:color="auto" w:fill="FFFFFF"/>
          <w:vertAlign w:val="subscript"/>
        </w:rPr>
        <w:t xml:space="preserve"> </w:t>
      </w:r>
      <w:r w:rsidR="003A38E6" w:rsidRPr="007B0656">
        <w:rPr>
          <w:rFonts w:cs="Arial"/>
          <w:color w:val="000000" w:themeColor="text1"/>
          <w:szCs w:val="18"/>
          <w:shd w:val="clear" w:color="auto" w:fill="FFFFFF"/>
        </w:rPr>
        <w:t>(</w:t>
      </w:r>
      <w:r w:rsidR="003A38E6" w:rsidRPr="007B0656">
        <w:rPr>
          <w:rFonts w:cs="Arial"/>
          <w:color w:val="000000" w:themeColor="text1"/>
          <w:shd w:val="clear" w:color="auto" w:fill="FFFFFF"/>
        </w:rPr>
        <w:t>J</w:t>
      </w:r>
      <w:r w:rsidR="007831F4" w:rsidRPr="007B0656">
        <w:rPr>
          <w:rFonts w:cs="Arial"/>
          <w:color w:val="000000" w:themeColor="text1"/>
          <w:shd w:val="clear" w:color="auto" w:fill="FFFFFF"/>
        </w:rPr>
        <w:t>/</w:t>
      </w:r>
      <w:r w:rsidR="003A38E6" w:rsidRPr="007B0656">
        <w:rPr>
          <w:rFonts w:cs="Arial"/>
          <w:color w:val="000000" w:themeColor="text1"/>
          <w:shd w:val="clear" w:color="auto" w:fill="FFFFFF"/>
        </w:rPr>
        <w:t>mol) and </w:t>
      </w:r>
      <w:r w:rsidR="003A38E6" w:rsidRPr="007B0656">
        <w:rPr>
          <w:rFonts w:cs="Arial"/>
          <w:i/>
          <w:iCs/>
          <w:color w:val="000000" w:themeColor="text1"/>
          <w:shd w:val="clear" w:color="auto" w:fill="FFFFFF"/>
        </w:rPr>
        <w:t>K</w:t>
      </w:r>
      <w:r w:rsidR="003A38E6" w:rsidRPr="007B0656">
        <w:rPr>
          <w:rFonts w:cs="Arial"/>
          <w:color w:val="000000" w:themeColor="text1"/>
          <w:szCs w:val="18"/>
          <w:shd w:val="clear" w:color="auto" w:fill="FFFFFF"/>
          <w:vertAlign w:val="subscript"/>
        </w:rPr>
        <w:t xml:space="preserve">T </w:t>
      </w:r>
      <w:r w:rsidR="003A38E6" w:rsidRPr="007B0656">
        <w:rPr>
          <w:rFonts w:cs="Arial"/>
          <w:color w:val="000000" w:themeColor="text1"/>
          <w:shd w:val="clear" w:color="auto" w:fill="FFFFFF"/>
        </w:rPr>
        <w:t xml:space="preserve">(L/g) are adjustable parameters </w:t>
      </w:r>
      <w:r w:rsidR="003A38E6" w:rsidRPr="007B0656">
        <w:rPr>
          <w:color w:val="000000" w:themeColor="text1"/>
        </w:rPr>
        <w:t>(Chu, 2021)</w:t>
      </w:r>
      <w:r w:rsidR="003A38E6" w:rsidRPr="007B0656">
        <w:rPr>
          <w:rFonts w:eastAsia="Arial"/>
          <w:i/>
          <w:color w:val="000000" w:themeColor="text1"/>
        </w:rPr>
        <w:t>.</w:t>
      </w:r>
    </w:p>
    <w:p w14:paraId="74035448" w14:textId="77777777" w:rsidR="00401D05" w:rsidRPr="007B0656" w:rsidRDefault="00401D05" w:rsidP="00401D05">
      <w:pPr>
        <w:pStyle w:val="Prrafodelista"/>
        <w:spacing w:line="240" w:lineRule="auto"/>
        <w:ind w:left="360" w:right="38"/>
        <w:rPr>
          <w:rFonts w:eastAsia="Arial" w:cs="Arial"/>
          <w:color w:val="000000" w:themeColor="text1"/>
          <w:lang w:val="en-US"/>
        </w:rPr>
      </w:pPr>
    </w:p>
    <w:tbl>
      <w:tblPr>
        <w:tblStyle w:val="Tablaconcuadrcula"/>
        <w:tblW w:w="87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8190"/>
        <w:gridCol w:w="585"/>
      </w:tblGrid>
      <w:tr w:rsidR="007B0656" w:rsidRPr="007B0656" w14:paraId="1E346CC2" w14:textId="77777777" w:rsidTr="006E671C">
        <w:trPr>
          <w:trHeight w:val="300"/>
        </w:trPr>
        <w:tc>
          <w:tcPr>
            <w:tcW w:w="8190" w:type="dxa"/>
            <w:vAlign w:val="center"/>
          </w:tcPr>
          <w:p w14:paraId="5C547D49" w14:textId="5AC9C5B1" w:rsidR="00111752" w:rsidRPr="00D07EAD" w:rsidRDefault="00633492" w:rsidP="00203ED9">
            <w:pPr>
              <w:spacing w:line="240" w:lineRule="auto"/>
              <w:jc w:val="center"/>
              <w:rPr>
                <w:rFonts w:eastAsia="Arial" w:cs="Arial"/>
                <w:color w:val="000000" w:themeColor="text1"/>
                <w:lang w:val="en-US"/>
              </w:rPr>
            </w:pPr>
            <m:oMathPara>
              <m:oMathParaPr>
                <m:jc m:val="left"/>
              </m:oMathParaPr>
              <m:oMath>
                <m:sSub>
                  <m:sSubPr>
                    <m:ctrlPr>
                      <w:rPr>
                        <w:rFonts w:ascii="Cambria Math" w:hAnsi="Cambria Math"/>
                        <w:color w:val="000000" w:themeColor="text1"/>
                        <w:lang w:val="en-US"/>
                      </w:rPr>
                    </m:ctrlPr>
                  </m:sSubPr>
                  <m:e>
                    <m:r>
                      <w:rPr>
                        <w:rFonts w:ascii="Cambria Math" w:hAnsi="Cambria Math"/>
                        <w:color w:val="000000" w:themeColor="text1"/>
                        <w:lang w:val="en-US"/>
                      </w:rPr>
                      <m:t>q</m:t>
                    </m:r>
                  </m:e>
                  <m:sub>
                    <m:r>
                      <w:rPr>
                        <w:rFonts w:ascii="Cambria Math" w:hAnsi="Cambria Math"/>
                        <w:color w:val="000000" w:themeColor="text1"/>
                        <w:lang w:val="en-US"/>
                      </w:rPr>
                      <m:t>e</m:t>
                    </m:r>
                  </m:sub>
                </m:sSub>
                <m:r>
                  <w:rPr>
                    <w:rFonts w:ascii="Cambria Math" w:hAnsi="Cambria Math"/>
                    <w:color w:val="000000" w:themeColor="text1"/>
                    <w:lang w:val="en-US"/>
                  </w:rPr>
                  <m:t>=</m:t>
                </m:r>
                <m:f>
                  <m:fPr>
                    <m:ctrlPr>
                      <w:rPr>
                        <w:rFonts w:ascii="Cambria Math" w:hAnsi="Cambria Math"/>
                        <w:color w:val="000000" w:themeColor="text1"/>
                        <w:lang w:val="en-US"/>
                      </w:rPr>
                    </m:ctrlPr>
                  </m:fPr>
                  <m:num>
                    <m:r>
                      <m:rPr>
                        <m:sty m:val="p"/>
                      </m:rPr>
                      <w:rPr>
                        <w:rFonts w:ascii="Cambria Math" w:hAnsi="Cambria Math"/>
                        <w:color w:val="000000" w:themeColor="text1"/>
                        <w:lang w:val="en-US"/>
                      </w:rPr>
                      <m:t>R</m:t>
                    </m:r>
                    <m:r>
                      <w:rPr>
                        <w:rFonts w:ascii="Cambria Math" w:hAnsi="Cambria Math"/>
                        <w:color w:val="000000" w:themeColor="text1"/>
                        <w:lang w:val="en-US"/>
                      </w:rPr>
                      <m:t>∙</m:t>
                    </m:r>
                    <m:r>
                      <m:rPr>
                        <m:sty m:val="p"/>
                      </m:rPr>
                      <w:rPr>
                        <w:rFonts w:ascii="Cambria Math" w:hAnsi="Cambria Math"/>
                        <w:color w:val="000000" w:themeColor="text1"/>
                        <w:lang w:val="en-US"/>
                      </w:rPr>
                      <m:t>T</m:t>
                    </m:r>
                  </m:num>
                  <m:den>
                    <m:sSub>
                      <m:sSubPr>
                        <m:ctrlPr>
                          <w:rPr>
                            <w:rFonts w:ascii="Cambria Math" w:hAnsi="Cambria Math"/>
                            <w:color w:val="000000" w:themeColor="text1"/>
                            <w:lang w:val="en-US"/>
                          </w:rPr>
                        </m:ctrlPr>
                      </m:sSubPr>
                      <m:e>
                        <m:r>
                          <m:rPr>
                            <m:sty m:val="p"/>
                          </m:rPr>
                          <w:rPr>
                            <w:rFonts w:ascii="Cambria Math" w:hAnsi="Cambria Math"/>
                            <w:color w:val="000000" w:themeColor="text1"/>
                            <w:lang w:val="en-US"/>
                          </w:rPr>
                          <m:t>b</m:t>
                        </m:r>
                      </m:e>
                      <m:sub>
                        <m:r>
                          <m:rPr>
                            <m:sty m:val="p"/>
                          </m:rPr>
                          <w:rPr>
                            <w:rFonts w:ascii="Cambria Math" w:hAnsi="Cambria Math"/>
                            <w:color w:val="000000" w:themeColor="text1"/>
                            <w:lang w:val="en-US"/>
                          </w:rPr>
                          <m:t>T</m:t>
                        </m:r>
                      </m:sub>
                    </m:sSub>
                  </m:den>
                </m:f>
                <m:r>
                  <w:rPr>
                    <w:rFonts w:ascii="Cambria Math" w:hAnsi="Cambria Math"/>
                    <w:color w:val="000000" w:themeColor="text1"/>
                    <w:lang w:val="en-US"/>
                  </w:rPr>
                  <m:t>∙</m:t>
                </m:r>
                <m:func>
                  <m:funcPr>
                    <m:ctrlPr>
                      <w:rPr>
                        <w:rFonts w:ascii="Cambria Math" w:hAnsi="Cambria Math"/>
                        <w:color w:val="000000" w:themeColor="text1"/>
                        <w:lang w:val="en-US"/>
                      </w:rPr>
                    </m:ctrlPr>
                  </m:funcPr>
                  <m:fName>
                    <m:r>
                      <m:rPr>
                        <m:sty m:val="p"/>
                      </m:rPr>
                      <w:rPr>
                        <w:rFonts w:ascii="Cambria Math" w:hAnsi="Cambria Math"/>
                        <w:color w:val="000000" w:themeColor="text1"/>
                        <w:lang w:val="en-US"/>
                      </w:rPr>
                      <m:t>ln</m:t>
                    </m:r>
                  </m:fName>
                  <m:e>
                    <m:d>
                      <m:dPr>
                        <m:ctrlPr>
                          <w:rPr>
                            <w:rFonts w:ascii="Cambria Math" w:hAnsi="Cambria Math"/>
                            <w:color w:val="000000" w:themeColor="text1"/>
                            <w:lang w:val="en-US"/>
                          </w:rPr>
                        </m:ctrlPr>
                      </m:dPr>
                      <m:e>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lang w:val="en-US"/>
                              </w:rPr>
                              <m:t>T</m:t>
                            </m:r>
                          </m:sub>
                        </m:sSub>
                      </m:e>
                    </m:d>
                  </m:e>
                </m:func>
                <m:r>
                  <w:rPr>
                    <w:rFonts w:ascii="Cambria Math" w:hAnsi="Cambria Math"/>
                    <w:color w:val="000000" w:themeColor="text1"/>
                    <w:lang w:val="en-US"/>
                  </w:rPr>
                  <m:t>+</m:t>
                </m:r>
                <m:f>
                  <m:fPr>
                    <m:ctrlPr>
                      <w:rPr>
                        <w:rFonts w:ascii="Cambria Math" w:hAnsi="Cambria Math"/>
                        <w:color w:val="000000" w:themeColor="text1"/>
                        <w:lang w:val="en-US"/>
                      </w:rPr>
                    </m:ctrlPr>
                  </m:fPr>
                  <m:num>
                    <m:r>
                      <m:rPr>
                        <m:sty m:val="p"/>
                      </m:rPr>
                      <w:rPr>
                        <w:rFonts w:ascii="Cambria Math" w:hAnsi="Cambria Math"/>
                        <w:color w:val="000000" w:themeColor="text1"/>
                        <w:lang w:val="en-US"/>
                      </w:rPr>
                      <m:t>R</m:t>
                    </m:r>
                    <m:r>
                      <w:rPr>
                        <w:rFonts w:ascii="Cambria Math" w:hAnsi="Cambria Math"/>
                        <w:color w:val="000000" w:themeColor="text1"/>
                        <w:lang w:val="en-US"/>
                      </w:rPr>
                      <m:t>∙</m:t>
                    </m:r>
                    <m:r>
                      <m:rPr>
                        <m:sty m:val="p"/>
                      </m:rPr>
                      <w:rPr>
                        <w:rFonts w:ascii="Cambria Math" w:hAnsi="Cambria Math"/>
                        <w:color w:val="000000" w:themeColor="text1"/>
                        <w:lang w:val="en-US"/>
                      </w:rPr>
                      <m:t>T</m:t>
                    </m:r>
                  </m:num>
                  <m:den>
                    <m:sSub>
                      <m:sSubPr>
                        <m:ctrlPr>
                          <w:rPr>
                            <w:rFonts w:ascii="Cambria Math" w:hAnsi="Cambria Math"/>
                            <w:color w:val="000000" w:themeColor="text1"/>
                            <w:lang w:val="en-US"/>
                          </w:rPr>
                        </m:ctrlPr>
                      </m:sSubPr>
                      <m:e>
                        <m:r>
                          <m:rPr>
                            <m:sty m:val="p"/>
                          </m:rPr>
                          <w:rPr>
                            <w:rFonts w:ascii="Cambria Math" w:hAnsi="Cambria Math"/>
                            <w:color w:val="000000" w:themeColor="text1"/>
                            <w:lang w:val="en-US"/>
                          </w:rPr>
                          <m:t>b</m:t>
                        </m:r>
                      </m:e>
                      <m:sub>
                        <m:r>
                          <m:rPr>
                            <m:sty m:val="p"/>
                          </m:rPr>
                          <w:rPr>
                            <w:rFonts w:ascii="Cambria Math" w:hAnsi="Cambria Math"/>
                            <w:color w:val="000000" w:themeColor="text1"/>
                            <w:lang w:val="en-US"/>
                          </w:rPr>
                          <m:t>T</m:t>
                        </m:r>
                      </m:sub>
                    </m:sSub>
                  </m:den>
                </m:f>
                <m:r>
                  <w:rPr>
                    <w:rFonts w:ascii="Cambria Math" w:hAnsi="Cambria Math"/>
                    <w:color w:val="000000" w:themeColor="text1"/>
                    <w:lang w:val="en-US"/>
                  </w:rPr>
                  <m:t>∙</m:t>
                </m:r>
                <m:func>
                  <m:funcPr>
                    <m:ctrlPr>
                      <w:rPr>
                        <w:rFonts w:ascii="Cambria Math" w:hAnsi="Cambria Math"/>
                        <w:color w:val="000000" w:themeColor="text1"/>
                        <w:lang w:val="en-US"/>
                      </w:rPr>
                    </m:ctrlPr>
                  </m:funcPr>
                  <m:fName>
                    <m:r>
                      <m:rPr>
                        <m:sty m:val="p"/>
                      </m:rPr>
                      <w:rPr>
                        <w:rFonts w:ascii="Cambria Math" w:hAnsi="Cambria Math"/>
                        <w:color w:val="000000" w:themeColor="text1"/>
                        <w:lang w:val="en-US"/>
                      </w:rPr>
                      <m:t>ln</m:t>
                    </m:r>
                  </m:fName>
                  <m:e>
                    <m:d>
                      <m:dPr>
                        <m:ctrlPr>
                          <w:rPr>
                            <w:rFonts w:ascii="Cambria Math" w:hAnsi="Cambria Math"/>
                            <w:color w:val="000000" w:themeColor="text1"/>
                            <w:lang w:val="en-US"/>
                          </w:rPr>
                        </m:ctrlPr>
                      </m:dPr>
                      <m:e>
                        <m:sSub>
                          <m:sSubPr>
                            <m:ctrlPr>
                              <w:rPr>
                                <w:rFonts w:ascii="Cambria Math" w:hAnsi="Cambria Math"/>
                                <w:color w:val="000000" w:themeColor="text1"/>
                                <w:lang w:val="en-US"/>
                              </w:rPr>
                            </m:ctrlPr>
                          </m:sSubPr>
                          <m:e>
                            <m:r>
                              <w:rPr>
                                <w:rFonts w:ascii="Cambria Math" w:hAnsi="Cambria Math"/>
                                <w:color w:val="000000" w:themeColor="text1"/>
                                <w:lang w:val="en-US"/>
                              </w:rPr>
                              <m:t>C</m:t>
                            </m:r>
                          </m:e>
                          <m:sub>
                            <m:r>
                              <w:rPr>
                                <w:rFonts w:ascii="Cambria Math" w:hAnsi="Cambria Math"/>
                                <w:color w:val="000000" w:themeColor="text1"/>
                                <w:lang w:val="en-US"/>
                              </w:rPr>
                              <m:t>e</m:t>
                            </m:r>
                          </m:sub>
                        </m:sSub>
                      </m:e>
                    </m:d>
                  </m:e>
                </m:func>
              </m:oMath>
            </m:oMathPara>
          </w:p>
        </w:tc>
        <w:tc>
          <w:tcPr>
            <w:tcW w:w="585" w:type="dxa"/>
            <w:vAlign w:val="center"/>
          </w:tcPr>
          <w:p w14:paraId="30573FB9" w14:textId="20329575" w:rsidR="00111752" w:rsidRPr="007B0656" w:rsidRDefault="00A2052E" w:rsidP="006E671C">
            <w:pPr>
              <w:spacing w:line="240" w:lineRule="auto"/>
              <w:jc w:val="center"/>
              <w:rPr>
                <w:rFonts w:eastAsia="Arial" w:cs="Arial"/>
                <w:color w:val="000000" w:themeColor="text1"/>
                <w:lang w:val="en-US"/>
              </w:rPr>
            </w:pPr>
            <w:bookmarkStart w:id="6" w:name="_Ref185181926"/>
            <w:r w:rsidRPr="007B0656">
              <w:rPr>
                <w:color w:val="000000" w:themeColor="text1"/>
              </w:rPr>
              <w:t>(</w:t>
            </w:r>
            <w:r w:rsidRPr="007B0656">
              <w:rPr>
                <w:color w:val="000000" w:themeColor="text1"/>
              </w:rPr>
              <w:fldChar w:fldCharType="begin"/>
            </w:r>
            <w:r w:rsidRPr="007B0656">
              <w:rPr>
                <w:color w:val="000000" w:themeColor="text1"/>
              </w:rPr>
              <w:instrText xml:space="preserve"> SEQ Ecuación \* ARABIC </w:instrText>
            </w:r>
            <w:r w:rsidRPr="007B0656">
              <w:rPr>
                <w:color w:val="000000" w:themeColor="text1"/>
              </w:rPr>
              <w:fldChar w:fldCharType="separate"/>
            </w:r>
            <w:r w:rsidR="00F90049" w:rsidRPr="007B0656">
              <w:rPr>
                <w:noProof/>
                <w:color w:val="000000" w:themeColor="text1"/>
              </w:rPr>
              <w:t>4</w:t>
            </w:r>
            <w:r w:rsidRPr="007B0656">
              <w:rPr>
                <w:color w:val="000000" w:themeColor="text1"/>
              </w:rPr>
              <w:fldChar w:fldCharType="end"/>
            </w:r>
            <w:r w:rsidRPr="007B0656">
              <w:rPr>
                <w:color w:val="000000" w:themeColor="text1"/>
              </w:rPr>
              <w:t>)</w:t>
            </w:r>
            <w:bookmarkEnd w:id="6"/>
          </w:p>
        </w:tc>
      </w:tr>
    </w:tbl>
    <w:bookmarkEnd w:id="2"/>
    <w:p w14:paraId="4123C14D" w14:textId="0EA1F384" w:rsidR="00401D05" w:rsidRPr="007B0656" w:rsidRDefault="00401D05" w:rsidP="00401D05">
      <w:pPr>
        <w:pStyle w:val="CETHeading1"/>
        <w:rPr>
          <w:color w:val="000000" w:themeColor="text1"/>
        </w:rPr>
      </w:pPr>
      <w:r w:rsidRPr="007B0656">
        <w:rPr>
          <w:color w:val="000000" w:themeColor="text1"/>
        </w:rPr>
        <w:t>Results and Discussion</w:t>
      </w:r>
    </w:p>
    <w:p w14:paraId="212859BE" w14:textId="39398C2A" w:rsidR="00401D05" w:rsidRPr="007B0656" w:rsidRDefault="00401D05" w:rsidP="00401D05">
      <w:pPr>
        <w:pStyle w:val="CETheadingx"/>
        <w:rPr>
          <w:color w:val="000000" w:themeColor="text1"/>
        </w:rPr>
      </w:pPr>
      <w:r w:rsidRPr="007B0656">
        <w:rPr>
          <w:color w:val="000000" w:themeColor="text1"/>
        </w:rPr>
        <w:t>Characterization of Activated Carbon</w:t>
      </w:r>
    </w:p>
    <w:p w14:paraId="33CDFF0E" w14:textId="5B520E3F" w:rsidR="00401D05" w:rsidRDefault="00A2052E" w:rsidP="00F56D3C">
      <w:pPr>
        <w:pStyle w:val="CETBodytext"/>
        <w:rPr>
          <w:rFonts w:eastAsia="Arial"/>
          <w:color w:val="000000" w:themeColor="text1"/>
        </w:rPr>
      </w:pPr>
      <w:r w:rsidRPr="007B0656">
        <w:rPr>
          <w:rFonts w:eastAsia="Arial"/>
          <w:color w:val="000000" w:themeColor="text1"/>
        </w:rPr>
        <w:fldChar w:fldCharType="begin"/>
      </w:r>
      <w:r w:rsidRPr="007B0656">
        <w:rPr>
          <w:rFonts w:eastAsia="Arial"/>
          <w:color w:val="000000" w:themeColor="text1"/>
        </w:rPr>
        <w:instrText xml:space="preserve"> REF _Ref185181992 \h </w:instrText>
      </w:r>
      <w:r w:rsidR="00F56D3C" w:rsidRPr="007B0656">
        <w:rPr>
          <w:rFonts w:eastAsia="Arial"/>
          <w:color w:val="000000" w:themeColor="text1"/>
        </w:rPr>
        <w:instrText xml:space="preserve"> \* MERGEFORMAT </w:instrText>
      </w:r>
      <w:r w:rsidRPr="007B0656">
        <w:rPr>
          <w:rFonts w:eastAsia="Arial"/>
          <w:color w:val="000000" w:themeColor="text1"/>
        </w:rPr>
      </w:r>
      <w:r w:rsidRPr="007B0656">
        <w:rPr>
          <w:rFonts w:eastAsia="Arial"/>
          <w:color w:val="000000" w:themeColor="text1"/>
        </w:rPr>
        <w:fldChar w:fldCharType="separate"/>
      </w:r>
      <w:r w:rsidR="00F90049" w:rsidRPr="007B0656">
        <w:rPr>
          <w:color w:val="000000" w:themeColor="text1"/>
        </w:rPr>
        <w:t xml:space="preserve">Figure </w:t>
      </w:r>
      <w:r w:rsidR="00F90049" w:rsidRPr="007B0656">
        <w:rPr>
          <w:noProof/>
          <w:color w:val="000000" w:themeColor="text1"/>
        </w:rPr>
        <w:t>1</w:t>
      </w:r>
      <w:r w:rsidRPr="007B0656">
        <w:rPr>
          <w:rFonts w:eastAsia="Arial"/>
          <w:color w:val="000000" w:themeColor="text1"/>
        </w:rPr>
        <w:fldChar w:fldCharType="end"/>
      </w:r>
      <w:r w:rsidRPr="007B0656">
        <w:rPr>
          <w:rFonts w:eastAsia="Arial"/>
          <w:color w:val="000000" w:themeColor="text1"/>
        </w:rPr>
        <w:t xml:space="preserve"> </w:t>
      </w:r>
      <w:r w:rsidR="00401D05" w:rsidRPr="007B0656">
        <w:rPr>
          <w:rFonts w:eastAsia="Arial"/>
          <w:color w:val="000000" w:themeColor="text1"/>
        </w:rPr>
        <w:t>shows FTIR</w:t>
      </w:r>
      <w:r w:rsidR="00C82581" w:rsidRPr="007B0656">
        <w:rPr>
          <w:rFonts w:eastAsia="Arial"/>
          <w:color w:val="000000" w:themeColor="text1"/>
        </w:rPr>
        <w:t>-ATR</w:t>
      </w:r>
      <w:r w:rsidR="00401D05" w:rsidRPr="007B0656">
        <w:rPr>
          <w:rFonts w:eastAsia="Arial"/>
          <w:color w:val="000000" w:themeColor="text1"/>
        </w:rPr>
        <w:t xml:space="preserve"> spectra of activated carbons from </w:t>
      </w:r>
      <w:r w:rsidR="00E22F56" w:rsidRPr="007B0656">
        <w:rPr>
          <w:rFonts w:eastAsia="Arial"/>
          <w:color w:val="000000" w:themeColor="text1"/>
        </w:rPr>
        <w:t>cocoa</w:t>
      </w:r>
      <w:r w:rsidR="00401D05" w:rsidRPr="007B0656">
        <w:rPr>
          <w:rFonts w:eastAsia="Arial"/>
          <w:color w:val="000000" w:themeColor="text1"/>
        </w:rPr>
        <w:t>, coffee and oil palm kernel, where it could be observed that the band associated with the C=O bond is intense and appears around 1650 cm</w:t>
      </w:r>
      <w:r w:rsidR="00401D05" w:rsidRPr="007B0656">
        <w:rPr>
          <w:rFonts w:eastAsia="Arial"/>
          <w:color w:val="000000" w:themeColor="text1"/>
          <w:vertAlign w:val="superscript"/>
        </w:rPr>
        <w:t>-1</w:t>
      </w:r>
      <w:r w:rsidR="00401D05" w:rsidRPr="007B0656">
        <w:rPr>
          <w:rFonts w:eastAsia="Arial"/>
          <w:color w:val="000000" w:themeColor="text1"/>
        </w:rPr>
        <w:t>, this band is associated with the presence of carboxylic acids, additionally it is highlighted that around 1567 cm</w:t>
      </w:r>
      <w:r w:rsidR="00401D05" w:rsidRPr="007B0656">
        <w:rPr>
          <w:rFonts w:eastAsia="Arial"/>
          <w:color w:val="000000" w:themeColor="text1"/>
          <w:vertAlign w:val="superscript"/>
        </w:rPr>
        <w:t xml:space="preserve">-1 </w:t>
      </w:r>
      <w:r w:rsidR="00401D05" w:rsidRPr="007B0656">
        <w:rPr>
          <w:rFonts w:eastAsia="Arial"/>
          <w:color w:val="000000" w:themeColor="text1"/>
        </w:rPr>
        <w:t xml:space="preserve">a band of high intensity was observed which is related to the C=C bonds of the benzene ring, according to what is reported in the literature this type of functional groups support the adsorption process by providing more active sites </w:t>
      </w:r>
      <w:r w:rsidR="00401D05" w:rsidRPr="007B0656">
        <w:rPr>
          <w:color w:val="000000" w:themeColor="text1"/>
          <w:shd w:val="clear" w:color="auto" w:fill="FFFFFF"/>
        </w:rPr>
        <w:lastRenderedPageBreak/>
        <w:fldChar w:fldCharType="begin" w:fldLock="1"/>
      </w:r>
      <w:r w:rsidR="00401D05" w:rsidRPr="007B0656">
        <w:rPr>
          <w:color w:val="000000" w:themeColor="text1"/>
          <w:shd w:val="clear" w:color="auto" w:fill="FFFFFF"/>
        </w:rPr>
        <w:instrText>ADDIN CSL_CITATION {"citationItems":[{"id":"ITEM-1","itemData":{"abstract":"ΕΙΣ ΤΟΝ ΑΙΩΝΑ","author":[{"dropping-particle":"","family":"Gutierréz Lara","given":"Angie Paola","non-dropping-particle":"","parse-names":false,"suffix":""},{"dropping-particle":"","family":"Perilla Rojas","given":"Paula Andrea","non-dropping-particle":"","parse-names":false,"suffix":""}],"id":"ITEM-1","issue":"5","issued":{"date-parts":[["2019"]]},"number-of-pages":"55","title":"Carbón activado mediante activación química con ácido Fosfórico a partir de la cascarilla de cacao para la captura de CO2","type":"thesis","volume":"8"},"uris":["http://www.mendeley.com/documents/?uuid=16b7331f-67da-4501-8f64-bc424b674bf0"]}],"mendeley":{"formattedCitation":"(Gutierréz Lara &amp; Perilla Rojas, 2019)","plainTextFormattedCitation":"(Gutierréz Lara &amp; Perilla Rojas, 2019)","previouslyFormattedCitation":"(Gutierréz Lara &amp; Perilla Rojas, 2019)"},"properties":{"noteIndex":0},"schema":"https://github.com/citation-style-language/schema/raw/master/csl-citation.json"}</w:instrText>
      </w:r>
      <w:r w:rsidR="00401D05" w:rsidRPr="007B0656">
        <w:rPr>
          <w:color w:val="000000" w:themeColor="text1"/>
          <w:shd w:val="clear" w:color="auto" w:fill="FFFFFF"/>
        </w:rPr>
        <w:fldChar w:fldCharType="separate"/>
      </w:r>
      <w:r w:rsidR="00F46916" w:rsidRPr="007B0656">
        <w:rPr>
          <w:rFonts w:eastAsia="Arial"/>
          <w:noProof/>
          <w:color w:val="000000" w:themeColor="text1"/>
          <w:shd w:val="clear" w:color="auto" w:fill="FFFFFF"/>
        </w:rPr>
        <w:t>(Gutierréz</w:t>
      </w:r>
      <w:r w:rsidR="00401D05" w:rsidRPr="007B0656">
        <w:rPr>
          <w:rFonts w:eastAsia="Arial"/>
          <w:noProof/>
          <w:color w:val="000000" w:themeColor="text1"/>
          <w:shd w:val="clear" w:color="auto" w:fill="FFFFFF"/>
        </w:rPr>
        <w:t>, 2019)</w:t>
      </w:r>
      <w:r w:rsidR="00401D05" w:rsidRPr="007B0656">
        <w:rPr>
          <w:color w:val="000000" w:themeColor="text1"/>
          <w:shd w:val="clear" w:color="auto" w:fill="FFFFFF"/>
        </w:rPr>
        <w:fldChar w:fldCharType="end"/>
      </w:r>
      <w:r w:rsidR="00401D05" w:rsidRPr="007B0656">
        <w:rPr>
          <w:rFonts w:eastAsia="Arial"/>
          <w:color w:val="000000" w:themeColor="text1"/>
        </w:rPr>
        <w:t>. Additionally, in the characteristic region of the fingerprint, the carbons activated with phosphoric acids show high intensity in the bands associated to the region between 1300 and 900 cm</w:t>
      </w:r>
      <w:r w:rsidR="00401D05" w:rsidRPr="007B0656">
        <w:rPr>
          <w:rFonts w:eastAsia="Arial"/>
          <w:color w:val="000000" w:themeColor="text1"/>
          <w:vertAlign w:val="superscript"/>
        </w:rPr>
        <w:t>-1</w:t>
      </w:r>
      <w:r w:rsidR="00401D05" w:rsidRPr="007B0656">
        <w:rPr>
          <w:rFonts w:eastAsia="Arial"/>
          <w:color w:val="000000" w:themeColor="text1"/>
        </w:rPr>
        <w:t xml:space="preserve"> related to phosphate groups, presumably coming from the acid used in its activation, likewise it is highlighted that the band around 1100 cm</w:t>
      </w:r>
      <w:r w:rsidR="00401D05" w:rsidRPr="007B0656">
        <w:rPr>
          <w:rFonts w:eastAsia="Arial"/>
          <w:color w:val="000000" w:themeColor="text1"/>
          <w:vertAlign w:val="superscript"/>
        </w:rPr>
        <w:t>-1</w:t>
      </w:r>
      <w:r w:rsidR="00401D05" w:rsidRPr="007B0656">
        <w:rPr>
          <w:rFonts w:eastAsia="Arial"/>
          <w:color w:val="000000" w:themeColor="text1"/>
        </w:rPr>
        <w:t xml:space="preserve"> is typical of the asymmetric stretching of the C-O bond</w:t>
      </w:r>
      <w:r w:rsidR="002A750F" w:rsidRPr="007B0656">
        <w:rPr>
          <w:rFonts w:eastAsia="Arial"/>
          <w:color w:val="000000" w:themeColor="text1"/>
        </w:rPr>
        <w:t>.</w:t>
      </w:r>
    </w:p>
    <w:p w14:paraId="75F9648C" w14:textId="77777777" w:rsidR="007B0656" w:rsidRPr="007B0656" w:rsidRDefault="007B0656" w:rsidP="00F56D3C">
      <w:pPr>
        <w:pStyle w:val="CETBodytext"/>
        <w:rPr>
          <w:rFonts w:eastAsia="Arial"/>
          <w:color w:val="000000" w:themeColor="text1"/>
        </w:rPr>
      </w:pPr>
    </w:p>
    <w:p w14:paraId="23584EAE" w14:textId="186C4FF2" w:rsidR="00886AE5" w:rsidRPr="007B0656" w:rsidRDefault="00252303" w:rsidP="00D07EAD">
      <w:pPr>
        <w:pStyle w:val="CETBodytext"/>
        <w:jc w:val="left"/>
        <w:rPr>
          <w:rFonts w:eastAsia="Arial"/>
          <w:color w:val="000000" w:themeColor="text1"/>
        </w:rPr>
      </w:pPr>
      <w:r w:rsidRPr="00252303">
        <w:rPr>
          <w:rFonts w:eastAsia="Arial"/>
          <w:noProof/>
        </w:rPr>
        <w:drawing>
          <wp:inline distT="0" distB="0" distL="0" distR="0" wp14:anchorId="09538AC0" wp14:editId="2BE2C891">
            <wp:extent cx="3944716" cy="2266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64582" cy="2278367"/>
                    </a:xfrm>
                    <a:prstGeom prst="rect">
                      <a:avLst/>
                    </a:prstGeom>
                    <a:noFill/>
                    <a:ln>
                      <a:noFill/>
                    </a:ln>
                  </pic:spPr>
                </pic:pic>
              </a:graphicData>
            </a:graphic>
          </wp:inline>
        </w:drawing>
      </w:r>
    </w:p>
    <w:p w14:paraId="42B2A48F" w14:textId="49668576" w:rsidR="00401D05" w:rsidRPr="007B0656" w:rsidRDefault="00A2052E" w:rsidP="00D07EAD">
      <w:pPr>
        <w:pStyle w:val="CETCaption"/>
        <w:jc w:val="left"/>
        <w:rPr>
          <w:color w:val="000000" w:themeColor="text1"/>
          <w:lang w:val="en-US"/>
        </w:rPr>
      </w:pPr>
      <w:bookmarkStart w:id="7" w:name="_Ref185181992"/>
      <w:r w:rsidRPr="007B0656">
        <w:rPr>
          <w:color w:val="000000" w:themeColor="text1"/>
        </w:rPr>
        <w:t xml:space="preserve">Figure </w:t>
      </w:r>
      <w:r w:rsidRPr="007B0656">
        <w:rPr>
          <w:color w:val="000000" w:themeColor="text1"/>
        </w:rPr>
        <w:fldChar w:fldCharType="begin"/>
      </w:r>
      <w:r w:rsidRPr="007B0656">
        <w:rPr>
          <w:color w:val="000000" w:themeColor="text1"/>
        </w:rPr>
        <w:instrText xml:space="preserve"> SEQ Figure \* ARABIC </w:instrText>
      </w:r>
      <w:r w:rsidRPr="007B0656">
        <w:rPr>
          <w:color w:val="000000" w:themeColor="text1"/>
        </w:rPr>
        <w:fldChar w:fldCharType="separate"/>
      </w:r>
      <w:r w:rsidR="00F90049" w:rsidRPr="007B0656">
        <w:rPr>
          <w:noProof/>
          <w:color w:val="000000" w:themeColor="text1"/>
        </w:rPr>
        <w:t>1</w:t>
      </w:r>
      <w:r w:rsidRPr="007B0656">
        <w:rPr>
          <w:color w:val="000000" w:themeColor="text1"/>
        </w:rPr>
        <w:fldChar w:fldCharType="end"/>
      </w:r>
      <w:bookmarkEnd w:id="7"/>
      <w:r w:rsidR="00401D05" w:rsidRPr="007B0656">
        <w:rPr>
          <w:color w:val="000000" w:themeColor="text1"/>
          <w:lang w:val="en-US"/>
        </w:rPr>
        <w:t xml:space="preserve">: FTIR spectra of activated carbons from </w:t>
      </w:r>
      <w:r w:rsidR="00E22F56" w:rsidRPr="007B0656">
        <w:rPr>
          <w:color w:val="000000" w:themeColor="text1"/>
          <w:lang w:val="en-US"/>
        </w:rPr>
        <w:t>cocoa</w:t>
      </w:r>
      <w:r w:rsidR="00401D05" w:rsidRPr="007B0656">
        <w:rPr>
          <w:color w:val="000000" w:themeColor="text1"/>
          <w:lang w:val="en-US"/>
        </w:rPr>
        <w:t>, coffee and oil palm kernel.</w:t>
      </w:r>
    </w:p>
    <w:p w14:paraId="7E9F3CBA" w14:textId="2BDD8568" w:rsidR="00401D05" w:rsidRPr="007B0656" w:rsidRDefault="00401D05" w:rsidP="00F56D3C">
      <w:pPr>
        <w:pStyle w:val="CETBodytext"/>
        <w:rPr>
          <w:rFonts w:eastAsia="Arial"/>
          <w:color w:val="000000" w:themeColor="text1"/>
        </w:rPr>
      </w:pPr>
      <w:r w:rsidRPr="007B0656">
        <w:rPr>
          <w:rFonts w:eastAsia="Arial"/>
          <w:color w:val="000000" w:themeColor="text1"/>
        </w:rPr>
        <w:t xml:space="preserve">The BET model is based on the Van Der Waals forces of attraction as the only forces responsible for the adsorption process, focusing explicitly on the kinetics involved, under the premise that for each adsorbed layer there is a dynamic equilibrium. </w:t>
      </w:r>
      <w:r w:rsidR="00A2052E" w:rsidRPr="007B0656">
        <w:rPr>
          <w:rFonts w:eastAsia="Arial"/>
          <w:color w:val="000000" w:themeColor="text1"/>
        </w:rPr>
        <w:fldChar w:fldCharType="begin"/>
      </w:r>
      <w:r w:rsidR="00A2052E" w:rsidRPr="007B0656">
        <w:rPr>
          <w:rFonts w:eastAsia="Arial"/>
          <w:color w:val="000000" w:themeColor="text1"/>
        </w:rPr>
        <w:instrText xml:space="preserve"> REF _Ref185182138 \h </w:instrText>
      </w:r>
      <w:r w:rsidR="00F56D3C" w:rsidRPr="007B0656">
        <w:rPr>
          <w:rFonts w:eastAsia="Arial"/>
          <w:color w:val="000000" w:themeColor="text1"/>
        </w:rPr>
        <w:instrText xml:space="preserve"> \* MERGEFORMAT </w:instrText>
      </w:r>
      <w:r w:rsidR="00A2052E" w:rsidRPr="007B0656">
        <w:rPr>
          <w:rFonts w:eastAsia="Arial"/>
          <w:color w:val="000000" w:themeColor="text1"/>
        </w:rPr>
      </w:r>
      <w:r w:rsidR="00A2052E" w:rsidRPr="007B0656">
        <w:rPr>
          <w:rFonts w:eastAsia="Arial"/>
          <w:color w:val="000000" w:themeColor="text1"/>
        </w:rPr>
        <w:fldChar w:fldCharType="separate"/>
      </w:r>
      <w:r w:rsidR="00F90049" w:rsidRPr="007B0656">
        <w:rPr>
          <w:color w:val="000000" w:themeColor="text1"/>
        </w:rPr>
        <w:t>Table 1</w:t>
      </w:r>
      <w:r w:rsidR="00A2052E" w:rsidRPr="007B0656">
        <w:rPr>
          <w:rFonts w:eastAsia="Arial"/>
          <w:color w:val="000000" w:themeColor="text1"/>
        </w:rPr>
        <w:fldChar w:fldCharType="end"/>
      </w:r>
      <w:r w:rsidRPr="007B0656">
        <w:rPr>
          <w:rFonts w:eastAsia="Arial"/>
          <w:color w:val="000000" w:themeColor="text1"/>
        </w:rPr>
        <w:t xml:space="preserve"> shows the results obtained for the different biomasses, </w:t>
      </w:r>
      <w:r w:rsidR="00271D54" w:rsidRPr="007B0656">
        <w:rPr>
          <w:rFonts w:eastAsia="Arial"/>
          <w:color w:val="000000" w:themeColor="text1"/>
          <w:lang w:val="en-GB"/>
        </w:rPr>
        <w:t>i</w:t>
      </w:r>
      <w:r w:rsidR="00F56D3C" w:rsidRPr="007B0656">
        <w:rPr>
          <w:rFonts w:eastAsia="Arial"/>
          <w:color w:val="000000" w:themeColor="text1"/>
          <w:lang w:val="en-GB"/>
        </w:rPr>
        <w:t>n all cases, the observed isotherms corresponded to Type II,</w:t>
      </w:r>
      <w:r w:rsidRPr="007B0656">
        <w:rPr>
          <w:rFonts w:eastAsia="Arial"/>
          <w:color w:val="000000" w:themeColor="text1"/>
        </w:rPr>
        <w:t xml:space="preserve"> which as mentioned by the IUPAC are bilayer isotherms, the activated carbon from </w:t>
      </w:r>
      <w:r w:rsidR="00E22F56" w:rsidRPr="007B0656">
        <w:rPr>
          <w:rFonts w:eastAsia="Arial"/>
          <w:color w:val="000000" w:themeColor="text1"/>
        </w:rPr>
        <w:t>cocoa</w:t>
      </w:r>
      <w:r w:rsidRPr="007B0656">
        <w:rPr>
          <w:rFonts w:eastAsia="Arial"/>
          <w:color w:val="000000" w:themeColor="text1"/>
        </w:rPr>
        <w:t xml:space="preserve"> stands out for being the one with the largest surface area developed with 971 </w:t>
      </w:r>
      <w:bookmarkStart w:id="8" w:name="_Hlk185146522"/>
      <w:r w:rsidRPr="007B0656">
        <w:rPr>
          <w:rFonts w:eastAsia="Arial"/>
          <w:color w:val="000000" w:themeColor="text1"/>
        </w:rPr>
        <w:t>m</w:t>
      </w:r>
      <w:r w:rsidRPr="007B0656">
        <w:rPr>
          <w:rFonts w:eastAsia="Arial"/>
          <w:color w:val="000000" w:themeColor="text1"/>
          <w:vertAlign w:val="superscript"/>
        </w:rPr>
        <w:t>2</w:t>
      </w:r>
      <w:r w:rsidRPr="007B0656">
        <w:rPr>
          <w:rFonts w:eastAsia="Arial"/>
          <w:color w:val="000000" w:themeColor="text1"/>
        </w:rPr>
        <w:t>/g, pore volume of 0.6888 cm</w:t>
      </w:r>
      <w:r w:rsidRPr="007B0656">
        <w:rPr>
          <w:rFonts w:eastAsia="Arial"/>
          <w:color w:val="000000" w:themeColor="text1"/>
          <w:vertAlign w:val="superscript"/>
        </w:rPr>
        <w:t>3</w:t>
      </w:r>
      <w:r w:rsidRPr="007B0656">
        <w:rPr>
          <w:rFonts w:eastAsia="Arial"/>
          <w:color w:val="000000" w:themeColor="text1"/>
        </w:rPr>
        <w:t xml:space="preserve">/g and pores with an average size of 3.96 </w:t>
      </w:r>
      <w:bookmarkEnd w:id="8"/>
      <w:r w:rsidRPr="007B0656">
        <w:rPr>
          <w:rFonts w:eastAsia="Arial"/>
          <w:color w:val="000000" w:themeColor="text1"/>
        </w:rPr>
        <w:t>nm, showing that it has widely developed microporosity.</w:t>
      </w:r>
      <w:r w:rsidR="00763739" w:rsidRPr="007B0656">
        <w:rPr>
          <w:color w:val="000000" w:themeColor="text1"/>
        </w:rPr>
        <w:t xml:space="preserve"> </w:t>
      </w:r>
      <w:r w:rsidRPr="007B0656">
        <w:rPr>
          <w:rFonts w:eastAsia="Arial"/>
          <w:color w:val="000000" w:themeColor="text1"/>
        </w:rPr>
        <w:t xml:space="preserve">For this reason, activated carbon from </w:t>
      </w:r>
      <w:r w:rsidR="00E22F56" w:rsidRPr="007B0656">
        <w:rPr>
          <w:rFonts w:eastAsia="Arial"/>
          <w:color w:val="000000" w:themeColor="text1"/>
        </w:rPr>
        <w:t>cocoa</w:t>
      </w:r>
      <w:r w:rsidR="00763739" w:rsidRPr="007B0656">
        <w:rPr>
          <w:rFonts w:eastAsia="Arial"/>
          <w:color w:val="000000" w:themeColor="text1"/>
        </w:rPr>
        <w:t xml:space="preserve"> </w:t>
      </w:r>
      <w:r w:rsidRPr="007B0656">
        <w:rPr>
          <w:rFonts w:eastAsia="Arial"/>
          <w:color w:val="000000" w:themeColor="text1"/>
        </w:rPr>
        <w:t>biomass was selected for impregnation with nanoparticles.</w:t>
      </w:r>
    </w:p>
    <w:p w14:paraId="3DE99E10" w14:textId="6E3F5CB8" w:rsidR="00401D05" w:rsidRDefault="00A2052E" w:rsidP="00A2052E">
      <w:pPr>
        <w:pStyle w:val="CETTabletitle"/>
        <w:rPr>
          <w:color w:val="000000" w:themeColor="text1"/>
          <w:lang w:val="en-US"/>
        </w:rPr>
      </w:pPr>
      <w:bookmarkStart w:id="9" w:name="_Ref185182138"/>
      <w:r w:rsidRPr="007B0656">
        <w:rPr>
          <w:color w:val="000000" w:themeColor="text1"/>
        </w:rPr>
        <w:t xml:space="preserve">Table </w:t>
      </w:r>
      <w:r w:rsidRPr="007B0656">
        <w:rPr>
          <w:color w:val="000000" w:themeColor="text1"/>
        </w:rPr>
        <w:fldChar w:fldCharType="begin"/>
      </w:r>
      <w:r w:rsidRPr="007B0656">
        <w:rPr>
          <w:color w:val="000000" w:themeColor="text1"/>
        </w:rPr>
        <w:instrText xml:space="preserve"> SEQ Table \* ARABIC </w:instrText>
      </w:r>
      <w:r w:rsidRPr="007B0656">
        <w:rPr>
          <w:color w:val="000000" w:themeColor="text1"/>
        </w:rPr>
        <w:fldChar w:fldCharType="separate"/>
      </w:r>
      <w:r w:rsidR="00F90049" w:rsidRPr="007B0656">
        <w:rPr>
          <w:noProof/>
          <w:color w:val="000000" w:themeColor="text1"/>
        </w:rPr>
        <w:t>1</w:t>
      </w:r>
      <w:r w:rsidRPr="007B0656">
        <w:rPr>
          <w:color w:val="000000" w:themeColor="text1"/>
        </w:rPr>
        <w:fldChar w:fldCharType="end"/>
      </w:r>
      <w:bookmarkEnd w:id="9"/>
      <w:r w:rsidRPr="007B0656">
        <w:rPr>
          <w:color w:val="000000" w:themeColor="text1"/>
          <w:lang w:val="en-US"/>
        </w:rPr>
        <w:t>:</w:t>
      </w:r>
      <w:r w:rsidR="00401D05" w:rsidRPr="007B0656">
        <w:rPr>
          <w:color w:val="000000" w:themeColor="text1"/>
          <w:lang w:val="en-US"/>
        </w:rPr>
        <w:t xml:space="preserve"> BET characterization of activated carbons.</w:t>
      </w:r>
    </w:p>
    <w:tbl>
      <w:tblPr>
        <w:tblpPr w:leftFromText="141" w:rightFromText="141" w:vertAnchor="text" w:tblpY="1"/>
        <w:tblOverlap w:val="neve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127"/>
        <w:gridCol w:w="992"/>
        <w:gridCol w:w="1843"/>
        <w:gridCol w:w="1275"/>
      </w:tblGrid>
      <w:tr w:rsidR="00383E8A" w:rsidRPr="00B57B36" w14:paraId="00707484" w14:textId="77777777" w:rsidTr="00AE55BB">
        <w:tc>
          <w:tcPr>
            <w:tcW w:w="2127" w:type="dxa"/>
            <w:tcBorders>
              <w:top w:val="single" w:sz="12" w:space="0" w:color="008000"/>
              <w:bottom w:val="single" w:sz="4" w:space="0" w:color="008000"/>
            </w:tcBorders>
            <w:shd w:val="clear" w:color="auto" w:fill="FFFFFF"/>
            <w:vAlign w:val="center"/>
          </w:tcPr>
          <w:p w14:paraId="5633AB36" w14:textId="033BED4E" w:rsidR="00383E8A" w:rsidRPr="00BF0FBF" w:rsidRDefault="00383E8A" w:rsidP="00BF0FBF">
            <w:pPr>
              <w:pStyle w:val="CETBodytext"/>
              <w:jc w:val="center"/>
              <w:rPr>
                <w:lang w:val="en-GB"/>
              </w:rPr>
            </w:pPr>
            <w:r w:rsidRPr="00BF0FBF">
              <w:rPr>
                <w:rFonts w:eastAsia="Arial" w:cs="Arial"/>
                <w:color w:val="000000" w:themeColor="text1"/>
              </w:rPr>
              <w:t>Activated carbon type</w:t>
            </w:r>
          </w:p>
        </w:tc>
        <w:tc>
          <w:tcPr>
            <w:tcW w:w="992" w:type="dxa"/>
            <w:tcBorders>
              <w:top w:val="single" w:sz="12" w:space="0" w:color="008000"/>
              <w:bottom w:val="single" w:sz="4" w:space="0" w:color="008000"/>
            </w:tcBorders>
            <w:shd w:val="clear" w:color="auto" w:fill="FFFFFF"/>
            <w:vAlign w:val="center"/>
          </w:tcPr>
          <w:p w14:paraId="173C17A7" w14:textId="2E59A6CF" w:rsidR="00383E8A" w:rsidRPr="00BF0FBF" w:rsidRDefault="00383E8A" w:rsidP="00BF0FBF">
            <w:pPr>
              <w:pStyle w:val="CETBodytext"/>
              <w:jc w:val="center"/>
              <w:rPr>
                <w:lang w:val="en-GB"/>
              </w:rPr>
            </w:pPr>
            <w:r w:rsidRPr="00BF0FBF">
              <w:rPr>
                <w:rFonts w:eastAsia="Arial" w:cs="Arial"/>
                <w:color w:val="000000" w:themeColor="text1"/>
              </w:rPr>
              <w:t>A</w:t>
            </w:r>
            <w:r w:rsidRPr="00BF0FBF">
              <w:rPr>
                <w:rFonts w:eastAsia="Arial" w:cs="Arial"/>
                <w:color w:val="000000" w:themeColor="text1"/>
                <w:vertAlign w:val="subscript"/>
              </w:rPr>
              <w:t>BET</w:t>
            </w:r>
            <w:r w:rsidRPr="00BF0FBF">
              <w:rPr>
                <w:rFonts w:eastAsia="Arial" w:cs="Arial"/>
                <w:color w:val="000000" w:themeColor="text1"/>
              </w:rPr>
              <w:t>, m</w:t>
            </w:r>
            <w:r w:rsidRPr="00BF0FBF">
              <w:rPr>
                <w:rFonts w:eastAsia="Arial" w:cs="Arial"/>
                <w:color w:val="000000" w:themeColor="text1"/>
                <w:vertAlign w:val="superscript"/>
              </w:rPr>
              <w:t>2</w:t>
            </w:r>
            <w:r w:rsidRPr="00BF0FBF">
              <w:rPr>
                <w:rFonts w:eastAsia="Arial" w:cs="Arial"/>
                <w:color w:val="000000" w:themeColor="text1"/>
              </w:rPr>
              <w:t>/g</w:t>
            </w:r>
          </w:p>
        </w:tc>
        <w:tc>
          <w:tcPr>
            <w:tcW w:w="1843" w:type="dxa"/>
            <w:tcBorders>
              <w:top w:val="single" w:sz="12" w:space="0" w:color="008000"/>
              <w:bottom w:val="single" w:sz="4" w:space="0" w:color="008000"/>
            </w:tcBorders>
            <w:shd w:val="clear" w:color="auto" w:fill="FFFFFF"/>
            <w:vAlign w:val="center"/>
          </w:tcPr>
          <w:p w14:paraId="77641DC2" w14:textId="69C648DA" w:rsidR="00383E8A" w:rsidRPr="00BF0FBF" w:rsidRDefault="00383E8A" w:rsidP="00BF0FBF">
            <w:pPr>
              <w:pStyle w:val="CETBodytext"/>
              <w:jc w:val="center"/>
              <w:rPr>
                <w:lang w:val="en-GB"/>
              </w:rPr>
            </w:pPr>
            <w:r w:rsidRPr="00BF0FBF">
              <w:rPr>
                <w:rFonts w:eastAsia="Arial" w:cs="Arial"/>
                <w:color w:val="000000" w:themeColor="text1"/>
              </w:rPr>
              <w:t>Pore volume, cm</w:t>
            </w:r>
            <w:r w:rsidRPr="00BF0FBF">
              <w:rPr>
                <w:rFonts w:eastAsia="Arial" w:cs="Arial"/>
                <w:color w:val="000000" w:themeColor="text1"/>
                <w:vertAlign w:val="superscript"/>
              </w:rPr>
              <w:t>3</w:t>
            </w:r>
            <w:r w:rsidRPr="00BF0FBF">
              <w:rPr>
                <w:rFonts w:eastAsia="Arial" w:cs="Arial"/>
                <w:color w:val="000000" w:themeColor="text1"/>
              </w:rPr>
              <w:t>/g</w:t>
            </w:r>
          </w:p>
        </w:tc>
        <w:tc>
          <w:tcPr>
            <w:tcW w:w="1275" w:type="dxa"/>
            <w:tcBorders>
              <w:top w:val="single" w:sz="12" w:space="0" w:color="008000"/>
              <w:bottom w:val="single" w:sz="4" w:space="0" w:color="008000"/>
            </w:tcBorders>
            <w:shd w:val="clear" w:color="auto" w:fill="FFFFFF"/>
            <w:vAlign w:val="center"/>
          </w:tcPr>
          <w:p w14:paraId="56D68F3D" w14:textId="67763E0C" w:rsidR="00383E8A" w:rsidRPr="00BF0FBF" w:rsidRDefault="00383E8A" w:rsidP="00BF0FBF">
            <w:pPr>
              <w:pStyle w:val="CETBodytext"/>
              <w:ind w:right="-1"/>
              <w:jc w:val="center"/>
              <w:rPr>
                <w:rFonts w:cs="Arial"/>
                <w:szCs w:val="18"/>
                <w:lang w:val="en-GB"/>
              </w:rPr>
            </w:pPr>
            <w:r w:rsidRPr="00BF0FBF">
              <w:rPr>
                <w:rFonts w:eastAsia="Arial" w:cs="Arial"/>
                <w:color w:val="000000" w:themeColor="text1"/>
              </w:rPr>
              <w:t>Pore size, nm</w:t>
            </w:r>
          </w:p>
        </w:tc>
      </w:tr>
      <w:tr w:rsidR="00383E8A" w:rsidRPr="00B57B36" w14:paraId="0EBD3811" w14:textId="77777777" w:rsidTr="00AE55BB">
        <w:tc>
          <w:tcPr>
            <w:tcW w:w="2127" w:type="dxa"/>
            <w:tcBorders>
              <w:top w:val="single" w:sz="4" w:space="0" w:color="008000"/>
            </w:tcBorders>
            <w:shd w:val="clear" w:color="auto" w:fill="FFFFFF"/>
            <w:vAlign w:val="center"/>
          </w:tcPr>
          <w:p w14:paraId="75329E3B" w14:textId="689E500E" w:rsidR="00383E8A" w:rsidRPr="00B57B36" w:rsidRDefault="00383E8A" w:rsidP="00BF0FBF">
            <w:pPr>
              <w:pStyle w:val="CETBodytext"/>
              <w:jc w:val="center"/>
              <w:rPr>
                <w:lang w:val="en-GB"/>
              </w:rPr>
            </w:pPr>
            <w:r w:rsidRPr="007B0656">
              <w:rPr>
                <w:rFonts w:eastAsia="Arial" w:cs="Arial"/>
                <w:color w:val="000000" w:themeColor="text1"/>
              </w:rPr>
              <w:t>Cocoa</w:t>
            </w:r>
          </w:p>
        </w:tc>
        <w:tc>
          <w:tcPr>
            <w:tcW w:w="992" w:type="dxa"/>
            <w:tcBorders>
              <w:top w:val="single" w:sz="4" w:space="0" w:color="008000"/>
            </w:tcBorders>
            <w:shd w:val="clear" w:color="auto" w:fill="FFFFFF"/>
            <w:vAlign w:val="center"/>
          </w:tcPr>
          <w:p w14:paraId="31ED2114" w14:textId="1C721B0E" w:rsidR="00383E8A" w:rsidRPr="00B57B36" w:rsidRDefault="00383E8A" w:rsidP="00BF0FBF">
            <w:pPr>
              <w:pStyle w:val="CETBodytext"/>
              <w:jc w:val="center"/>
              <w:rPr>
                <w:lang w:val="en-GB"/>
              </w:rPr>
            </w:pPr>
            <w:r w:rsidRPr="007B0656">
              <w:rPr>
                <w:rFonts w:eastAsia="Arial" w:cs="Arial"/>
                <w:color w:val="000000" w:themeColor="text1"/>
              </w:rPr>
              <w:t>971</w:t>
            </w:r>
          </w:p>
        </w:tc>
        <w:tc>
          <w:tcPr>
            <w:tcW w:w="1843" w:type="dxa"/>
            <w:tcBorders>
              <w:top w:val="single" w:sz="4" w:space="0" w:color="008000"/>
            </w:tcBorders>
            <w:shd w:val="clear" w:color="auto" w:fill="FFFFFF"/>
            <w:vAlign w:val="center"/>
          </w:tcPr>
          <w:p w14:paraId="711ABAD4" w14:textId="6084A620" w:rsidR="00383E8A" w:rsidRPr="00B57B36" w:rsidRDefault="00383E8A" w:rsidP="00BF0FBF">
            <w:pPr>
              <w:pStyle w:val="CETBodytext"/>
              <w:jc w:val="center"/>
              <w:rPr>
                <w:lang w:val="en-GB"/>
              </w:rPr>
            </w:pPr>
            <w:r w:rsidRPr="007B0656">
              <w:rPr>
                <w:rFonts w:eastAsia="Arial" w:cs="Arial"/>
                <w:color w:val="000000" w:themeColor="text1"/>
              </w:rPr>
              <w:t>0.6888</w:t>
            </w:r>
          </w:p>
        </w:tc>
        <w:tc>
          <w:tcPr>
            <w:tcW w:w="1275" w:type="dxa"/>
            <w:tcBorders>
              <w:top w:val="single" w:sz="4" w:space="0" w:color="008000"/>
            </w:tcBorders>
            <w:shd w:val="clear" w:color="auto" w:fill="FFFFFF"/>
            <w:vAlign w:val="center"/>
          </w:tcPr>
          <w:p w14:paraId="297E4A8F" w14:textId="5BE602BF" w:rsidR="00383E8A" w:rsidRPr="00B57B36" w:rsidRDefault="00383E8A" w:rsidP="00BF0FBF">
            <w:pPr>
              <w:pStyle w:val="CETBodytext"/>
              <w:ind w:right="-1"/>
              <w:jc w:val="center"/>
              <w:rPr>
                <w:rFonts w:cs="Arial"/>
                <w:szCs w:val="18"/>
                <w:lang w:val="en-GB"/>
              </w:rPr>
            </w:pPr>
            <w:r w:rsidRPr="007B0656">
              <w:rPr>
                <w:rFonts w:eastAsia="Arial" w:cs="Arial"/>
                <w:color w:val="000000" w:themeColor="text1"/>
              </w:rPr>
              <w:t>3.96</w:t>
            </w:r>
          </w:p>
        </w:tc>
      </w:tr>
      <w:tr w:rsidR="00383E8A" w:rsidRPr="00B57B36" w14:paraId="2D223E20" w14:textId="77777777" w:rsidTr="00A777ED">
        <w:tc>
          <w:tcPr>
            <w:tcW w:w="2127" w:type="dxa"/>
            <w:shd w:val="clear" w:color="auto" w:fill="FFFFFF"/>
            <w:vAlign w:val="center"/>
          </w:tcPr>
          <w:p w14:paraId="0AC9A5FB" w14:textId="22045386" w:rsidR="00383E8A" w:rsidRPr="00B57B36" w:rsidRDefault="00383E8A" w:rsidP="00BF0FBF">
            <w:pPr>
              <w:pStyle w:val="CETBodytext"/>
              <w:ind w:right="-1"/>
              <w:jc w:val="center"/>
              <w:rPr>
                <w:rFonts w:cs="Arial"/>
                <w:szCs w:val="18"/>
                <w:lang w:val="en-GB"/>
              </w:rPr>
            </w:pPr>
            <w:r w:rsidRPr="007B0656">
              <w:rPr>
                <w:rFonts w:eastAsia="Arial" w:cs="Arial"/>
                <w:color w:val="000000" w:themeColor="text1"/>
              </w:rPr>
              <w:t>Coffee</w:t>
            </w:r>
          </w:p>
        </w:tc>
        <w:tc>
          <w:tcPr>
            <w:tcW w:w="992" w:type="dxa"/>
            <w:shd w:val="clear" w:color="auto" w:fill="FFFFFF"/>
            <w:vAlign w:val="center"/>
          </w:tcPr>
          <w:p w14:paraId="74F13F55" w14:textId="1B04F201" w:rsidR="00383E8A" w:rsidRPr="00B57B36" w:rsidRDefault="00383E8A" w:rsidP="00BF0FBF">
            <w:pPr>
              <w:pStyle w:val="CETBodytext"/>
              <w:ind w:right="-1"/>
              <w:jc w:val="center"/>
              <w:rPr>
                <w:rFonts w:cs="Arial"/>
                <w:szCs w:val="18"/>
                <w:lang w:val="en-GB"/>
              </w:rPr>
            </w:pPr>
            <w:r w:rsidRPr="007B0656">
              <w:rPr>
                <w:rFonts w:eastAsia="Arial" w:cs="Arial"/>
                <w:color w:val="000000" w:themeColor="text1"/>
              </w:rPr>
              <w:t>695</w:t>
            </w:r>
          </w:p>
        </w:tc>
        <w:tc>
          <w:tcPr>
            <w:tcW w:w="1843" w:type="dxa"/>
            <w:shd w:val="clear" w:color="auto" w:fill="FFFFFF"/>
            <w:vAlign w:val="center"/>
          </w:tcPr>
          <w:p w14:paraId="6617A613" w14:textId="27C4DE4A" w:rsidR="00383E8A" w:rsidRPr="00B57B36" w:rsidRDefault="00383E8A" w:rsidP="00BF0FBF">
            <w:pPr>
              <w:pStyle w:val="CETBodytext"/>
              <w:ind w:right="-1"/>
              <w:jc w:val="center"/>
              <w:rPr>
                <w:rFonts w:cs="Arial"/>
                <w:szCs w:val="18"/>
                <w:lang w:val="en-GB"/>
              </w:rPr>
            </w:pPr>
            <w:r w:rsidRPr="007B0656">
              <w:rPr>
                <w:rFonts w:eastAsia="Arial" w:cs="Arial"/>
                <w:color w:val="000000" w:themeColor="text1"/>
              </w:rPr>
              <w:t>0.4995</w:t>
            </w:r>
          </w:p>
        </w:tc>
        <w:tc>
          <w:tcPr>
            <w:tcW w:w="1275" w:type="dxa"/>
            <w:shd w:val="clear" w:color="auto" w:fill="FFFFFF"/>
            <w:vAlign w:val="center"/>
          </w:tcPr>
          <w:p w14:paraId="344B0D08" w14:textId="46909320" w:rsidR="00383E8A" w:rsidRPr="00B57B36" w:rsidRDefault="00383E8A" w:rsidP="00BF0FBF">
            <w:pPr>
              <w:pStyle w:val="CETBodytext"/>
              <w:ind w:right="-1"/>
              <w:jc w:val="center"/>
              <w:rPr>
                <w:rFonts w:cs="Arial"/>
                <w:szCs w:val="18"/>
                <w:lang w:val="en-GB"/>
              </w:rPr>
            </w:pPr>
            <w:r w:rsidRPr="007B0656">
              <w:rPr>
                <w:rFonts w:eastAsia="Arial" w:cs="Arial"/>
                <w:color w:val="000000" w:themeColor="text1"/>
              </w:rPr>
              <w:t>4.04</w:t>
            </w:r>
          </w:p>
        </w:tc>
      </w:tr>
      <w:tr w:rsidR="00383E8A" w:rsidRPr="00B57B36" w14:paraId="4C270A78" w14:textId="77777777" w:rsidTr="00A777ED">
        <w:tc>
          <w:tcPr>
            <w:tcW w:w="2127" w:type="dxa"/>
            <w:shd w:val="clear" w:color="auto" w:fill="FFFFFF"/>
            <w:vAlign w:val="center"/>
          </w:tcPr>
          <w:p w14:paraId="0C1C915C" w14:textId="33690F16" w:rsidR="00383E8A" w:rsidRPr="00B57B36" w:rsidRDefault="00383E8A" w:rsidP="00BF0FBF">
            <w:pPr>
              <w:pStyle w:val="CETBodytext"/>
              <w:ind w:right="-1"/>
              <w:jc w:val="center"/>
              <w:rPr>
                <w:rFonts w:cs="Arial"/>
                <w:szCs w:val="18"/>
                <w:lang w:val="en-GB"/>
              </w:rPr>
            </w:pPr>
            <w:r w:rsidRPr="007B0656">
              <w:rPr>
                <w:rFonts w:eastAsia="Arial" w:cs="Arial"/>
                <w:color w:val="000000" w:themeColor="text1"/>
              </w:rPr>
              <w:t>Oil palm</w:t>
            </w:r>
          </w:p>
        </w:tc>
        <w:tc>
          <w:tcPr>
            <w:tcW w:w="992" w:type="dxa"/>
            <w:shd w:val="clear" w:color="auto" w:fill="FFFFFF"/>
            <w:vAlign w:val="center"/>
          </w:tcPr>
          <w:p w14:paraId="3F013E34" w14:textId="60749E60" w:rsidR="00383E8A" w:rsidRPr="00B57B36" w:rsidRDefault="00383E8A" w:rsidP="00BF0FBF">
            <w:pPr>
              <w:pStyle w:val="CETBodytext"/>
              <w:ind w:right="-1"/>
              <w:jc w:val="center"/>
              <w:rPr>
                <w:rFonts w:cs="Arial"/>
                <w:szCs w:val="18"/>
                <w:lang w:val="en-GB"/>
              </w:rPr>
            </w:pPr>
            <w:r w:rsidRPr="007B0656">
              <w:rPr>
                <w:rFonts w:eastAsia="Arial" w:cs="Arial"/>
                <w:color w:val="000000" w:themeColor="text1"/>
              </w:rPr>
              <w:t>823</w:t>
            </w:r>
          </w:p>
        </w:tc>
        <w:tc>
          <w:tcPr>
            <w:tcW w:w="1843" w:type="dxa"/>
            <w:shd w:val="clear" w:color="auto" w:fill="FFFFFF"/>
            <w:vAlign w:val="center"/>
          </w:tcPr>
          <w:p w14:paraId="2DBC2B2E" w14:textId="74ECAB7A" w:rsidR="00383E8A" w:rsidRPr="00B57B36" w:rsidRDefault="00383E8A" w:rsidP="00BF0FBF">
            <w:pPr>
              <w:pStyle w:val="CETBodytext"/>
              <w:ind w:right="-1"/>
              <w:jc w:val="center"/>
              <w:rPr>
                <w:rFonts w:cs="Arial"/>
                <w:szCs w:val="18"/>
                <w:lang w:val="en-GB"/>
              </w:rPr>
            </w:pPr>
            <w:r w:rsidRPr="007B0656">
              <w:rPr>
                <w:rFonts w:eastAsia="Arial" w:cs="Arial"/>
                <w:color w:val="000000" w:themeColor="text1"/>
              </w:rPr>
              <w:t>0.3680</w:t>
            </w:r>
          </w:p>
        </w:tc>
        <w:tc>
          <w:tcPr>
            <w:tcW w:w="1275" w:type="dxa"/>
            <w:shd w:val="clear" w:color="auto" w:fill="FFFFFF"/>
            <w:vAlign w:val="center"/>
          </w:tcPr>
          <w:p w14:paraId="26D158D5" w14:textId="367B6906" w:rsidR="00383E8A" w:rsidRPr="00B57B36" w:rsidRDefault="00383E8A" w:rsidP="00BF0FBF">
            <w:pPr>
              <w:pStyle w:val="CETBodytext"/>
              <w:ind w:right="-1"/>
              <w:jc w:val="center"/>
              <w:rPr>
                <w:rFonts w:cs="Arial"/>
                <w:szCs w:val="18"/>
                <w:lang w:val="en-GB"/>
              </w:rPr>
            </w:pPr>
            <w:r w:rsidRPr="007B0656">
              <w:rPr>
                <w:rFonts w:eastAsia="Arial" w:cs="Arial"/>
                <w:color w:val="000000" w:themeColor="text1"/>
              </w:rPr>
              <w:t>5.29</w:t>
            </w:r>
          </w:p>
        </w:tc>
      </w:tr>
    </w:tbl>
    <w:p w14:paraId="5A070A62" w14:textId="77777777" w:rsidR="00383E8A" w:rsidRDefault="00383E8A" w:rsidP="00383E8A">
      <w:pPr>
        <w:pStyle w:val="CETHeading1"/>
        <w:numPr>
          <w:ilvl w:val="0"/>
          <w:numId w:val="0"/>
        </w:numPr>
        <w:rPr>
          <w:lang w:val="en-GB"/>
        </w:rPr>
      </w:pPr>
    </w:p>
    <w:p w14:paraId="63ADB097" w14:textId="77777777" w:rsidR="00383E8A" w:rsidRDefault="00383E8A" w:rsidP="00383E8A">
      <w:pPr>
        <w:pStyle w:val="CETHeading1"/>
        <w:numPr>
          <w:ilvl w:val="0"/>
          <w:numId w:val="0"/>
        </w:numPr>
        <w:rPr>
          <w:lang w:val="en-GB"/>
        </w:rPr>
      </w:pPr>
    </w:p>
    <w:p w14:paraId="32D1E7CF" w14:textId="77777777" w:rsidR="00763739" w:rsidRPr="007B0656" w:rsidRDefault="00763739" w:rsidP="00763739">
      <w:pPr>
        <w:pStyle w:val="CETheadingx"/>
        <w:numPr>
          <w:ilvl w:val="0"/>
          <w:numId w:val="0"/>
        </w:numPr>
        <w:rPr>
          <w:color w:val="000000" w:themeColor="text1"/>
        </w:rPr>
      </w:pPr>
    </w:p>
    <w:p w14:paraId="39B6C013" w14:textId="77777777" w:rsidR="00763739" w:rsidRPr="00252303" w:rsidRDefault="00763739" w:rsidP="00763739">
      <w:pPr>
        <w:pStyle w:val="CETheadingx"/>
        <w:rPr>
          <w:color w:val="000000" w:themeColor="text1"/>
        </w:rPr>
      </w:pPr>
      <w:r w:rsidRPr="00252303">
        <w:rPr>
          <w:color w:val="000000" w:themeColor="text1"/>
        </w:rPr>
        <w:t>Effect of nanoparticles on the activated carbon</w:t>
      </w:r>
    </w:p>
    <w:p w14:paraId="32F36482" w14:textId="7B94DFDD" w:rsidR="00763739" w:rsidRPr="00252303" w:rsidRDefault="00A2052E" w:rsidP="00F56D3C">
      <w:pPr>
        <w:pStyle w:val="CETBodytext"/>
        <w:rPr>
          <w:b/>
          <w:color w:val="000000" w:themeColor="text1"/>
        </w:rPr>
      </w:pPr>
      <w:r w:rsidRPr="00252303">
        <w:rPr>
          <w:b/>
          <w:color w:val="000000" w:themeColor="text1"/>
        </w:rPr>
        <w:fldChar w:fldCharType="begin"/>
      </w:r>
      <w:r w:rsidRPr="00252303">
        <w:rPr>
          <w:color w:val="000000" w:themeColor="text1"/>
        </w:rPr>
        <w:instrText xml:space="preserve"> REF _Ref185182157 \h  \* MERGEFORMAT </w:instrText>
      </w:r>
      <w:r w:rsidRPr="00252303">
        <w:rPr>
          <w:b/>
          <w:color w:val="000000" w:themeColor="text1"/>
        </w:rPr>
      </w:r>
      <w:r w:rsidRPr="00252303">
        <w:rPr>
          <w:b/>
          <w:color w:val="000000" w:themeColor="text1"/>
        </w:rPr>
        <w:fldChar w:fldCharType="separate"/>
      </w:r>
      <w:r w:rsidR="00F90049" w:rsidRPr="00252303">
        <w:rPr>
          <w:color w:val="000000" w:themeColor="text1"/>
        </w:rPr>
        <w:t xml:space="preserve">Table </w:t>
      </w:r>
      <w:r w:rsidR="00F90049" w:rsidRPr="00252303">
        <w:rPr>
          <w:noProof/>
          <w:color w:val="000000" w:themeColor="text1"/>
        </w:rPr>
        <w:t>2</w:t>
      </w:r>
      <w:r w:rsidRPr="00252303">
        <w:rPr>
          <w:b/>
          <w:color w:val="000000" w:themeColor="text1"/>
        </w:rPr>
        <w:fldChar w:fldCharType="end"/>
      </w:r>
      <w:r w:rsidRPr="00252303">
        <w:rPr>
          <w:color w:val="000000" w:themeColor="text1"/>
        </w:rPr>
        <w:t xml:space="preserve"> </w:t>
      </w:r>
      <w:r w:rsidR="00763739" w:rsidRPr="00252303">
        <w:rPr>
          <w:color w:val="000000" w:themeColor="text1"/>
        </w:rPr>
        <w:t xml:space="preserve">shows an increase in the surface area when using </w:t>
      </w:r>
      <w:r w:rsidR="003F7ACE" w:rsidRPr="00252303">
        <w:rPr>
          <w:color w:val="000000" w:themeColor="text1"/>
        </w:rPr>
        <w:t>silica</w:t>
      </w:r>
      <w:r w:rsidR="00763739" w:rsidRPr="00252303">
        <w:rPr>
          <w:color w:val="000000" w:themeColor="text1"/>
        </w:rPr>
        <w:t xml:space="preserve"> nanoparticles, increasing by 23.89%, obtaining as final area 1203 m</w:t>
      </w:r>
      <w:r w:rsidR="00763739" w:rsidRPr="00252303">
        <w:rPr>
          <w:color w:val="000000" w:themeColor="text1"/>
          <w:vertAlign w:val="superscript"/>
        </w:rPr>
        <w:t>2</w:t>
      </w:r>
      <w:r w:rsidR="00763739" w:rsidRPr="00252303">
        <w:rPr>
          <w:color w:val="000000" w:themeColor="text1"/>
        </w:rPr>
        <w:t>/g, pore volume of 0.6888 cm</w:t>
      </w:r>
      <w:r w:rsidR="00763739" w:rsidRPr="00252303">
        <w:rPr>
          <w:color w:val="000000" w:themeColor="text1"/>
          <w:vertAlign w:val="superscript"/>
        </w:rPr>
        <w:t>3</w:t>
      </w:r>
      <w:r w:rsidR="00763739" w:rsidRPr="00252303">
        <w:rPr>
          <w:color w:val="000000" w:themeColor="text1"/>
        </w:rPr>
        <w:t>/g and pores with an average size of 4.50 nm.</w:t>
      </w:r>
    </w:p>
    <w:p w14:paraId="0C2F52D5" w14:textId="4374476B" w:rsidR="00763739" w:rsidRDefault="00A2052E" w:rsidP="00763739">
      <w:pPr>
        <w:pStyle w:val="CETTabletitle"/>
        <w:rPr>
          <w:color w:val="000000" w:themeColor="text1"/>
          <w:lang w:val="en-US"/>
        </w:rPr>
      </w:pPr>
      <w:bookmarkStart w:id="10" w:name="_Ref185182157"/>
      <w:r w:rsidRPr="00252303">
        <w:rPr>
          <w:color w:val="000000" w:themeColor="text1"/>
        </w:rPr>
        <w:t xml:space="preserve">Table </w:t>
      </w:r>
      <w:r w:rsidRPr="00252303">
        <w:rPr>
          <w:color w:val="000000" w:themeColor="text1"/>
        </w:rPr>
        <w:fldChar w:fldCharType="begin"/>
      </w:r>
      <w:r w:rsidRPr="00252303">
        <w:rPr>
          <w:color w:val="000000" w:themeColor="text1"/>
        </w:rPr>
        <w:instrText xml:space="preserve"> SEQ Table \* ARABIC </w:instrText>
      </w:r>
      <w:r w:rsidRPr="00252303">
        <w:rPr>
          <w:color w:val="000000" w:themeColor="text1"/>
        </w:rPr>
        <w:fldChar w:fldCharType="separate"/>
      </w:r>
      <w:r w:rsidR="00F90049" w:rsidRPr="00252303">
        <w:rPr>
          <w:noProof/>
          <w:color w:val="000000" w:themeColor="text1"/>
        </w:rPr>
        <w:t>2</w:t>
      </w:r>
      <w:r w:rsidRPr="00252303">
        <w:rPr>
          <w:color w:val="000000" w:themeColor="text1"/>
        </w:rPr>
        <w:fldChar w:fldCharType="end"/>
      </w:r>
      <w:bookmarkEnd w:id="10"/>
      <w:r w:rsidR="00763739" w:rsidRPr="00252303">
        <w:rPr>
          <w:color w:val="000000" w:themeColor="text1"/>
          <w:lang w:val="en-US"/>
        </w:rPr>
        <w:t>: Effect of nanoparticles in BET characterization of activated carbon.</w:t>
      </w:r>
    </w:p>
    <w:tbl>
      <w:tblPr>
        <w:tblpPr w:leftFromText="141" w:rightFromText="141" w:vertAnchor="text" w:tblpY="1"/>
        <w:tblOverlap w:val="neve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410"/>
        <w:gridCol w:w="992"/>
        <w:gridCol w:w="1701"/>
        <w:gridCol w:w="1418"/>
      </w:tblGrid>
      <w:tr w:rsidR="00BF0FBF" w:rsidRPr="00B57B36" w14:paraId="4E400219" w14:textId="77777777" w:rsidTr="00AE55BB">
        <w:tc>
          <w:tcPr>
            <w:tcW w:w="2410" w:type="dxa"/>
            <w:tcBorders>
              <w:top w:val="single" w:sz="12" w:space="0" w:color="008000"/>
              <w:bottom w:val="single" w:sz="4" w:space="0" w:color="008000"/>
            </w:tcBorders>
            <w:shd w:val="clear" w:color="auto" w:fill="FFFFFF"/>
            <w:vAlign w:val="center"/>
          </w:tcPr>
          <w:p w14:paraId="3F4CD4ED" w14:textId="77777777" w:rsidR="00BF0FBF" w:rsidRPr="00BF0FBF" w:rsidRDefault="00BF0FBF" w:rsidP="00457A00">
            <w:pPr>
              <w:pStyle w:val="CETBodytext"/>
              <w:jc w:val="center"/>
              <w:rPr>
                <w:lang w:val="en-GB"/>
              </w:rPr>
            </w:pPr>
            <w:r w:rsidRPr="00BF0FBF">
              <w:rPr>
                <w:rFonts w:eastAsia="Arial" w:cs="Arial"/>
                <w:color w:val="000000" w:themeColor="text1"/>
              </w:rPr>
              <w:t>Activated carbon type</w:t>
            </w:r>
          </w:p>
        </w:tc>
        <w:tc>
          <w:tcPr>
            <w:tcW w:w="992" w:type="dxa"/>
            <w:tcBorders>
              <w:top w:val="single" w:sz="12" w:space="0" w:color="008000"/>
              <w:bottom w:val="single" w:sz="4" w:space="0" w:color="008000"/>
            </w:tcBorders>
            <w:shd w:val="clear" w:color="auto" w:fill="FFFFFF"/>
            <w:vAlign w:val="center"/>
          </w:tcPr>
          <w:p w14:paraId="0191591A" w14:textId="77777777" w:rsidR="00BF0FBF" w:rsidRPr="00BF0FBF" w:rsidRDefault="00BF0FBF" w:rsidP="00457A00">
            <w:pPr>
              <w:pStyle w:val="CETBodytext"/>
              <w:jc w:val="center"/>
              <w:rPr>
                <w:lang w:val="en-GB"/>
              </w:rPr>
            </w:pPr>
            <w:r w:rsidRPr="00BF0FBF">
              <w:rPr>
                <w:rFonts w:eastAsia="Arial" w:cs="Arial"/>
                <w:color w:val="000000" w:themeColor="text1"/>
              </w:rPr>
              <w:t>A</w:t>
            </w:r>
            <w:r w:rsidRPr="00BF0FBF">
              <w:rPr>
                <w:rFonts w:eastAsia="Arial" w:cs="Arial"/>
                <w:color w:val="000000" w:themeColor="text1"/>
                <w:vertAlign w:val="subscript"/>
              </w:rPr>
              <w:t>BET</w:t>
            </w:r>
            <w:r w:rsidRPr="00BF0FBF">
              <w:rPr>
                <w:rFonts w:eastAsia="Arial" w:cs="Arial"/>
                <w:color w:val="000000" w:themeColor="text1"/>
              </w:rPr>
              <w:t>, m</w:t>
            </w:r>
            <w:r w:rsidRPr="00BF0FBF">
              <w:rPr>
                <w:rFonts w:eastAsia="Arial" w:cs="Arial"/>
                <w:color w:val="000000" w:themeColor="text1"/>
                <w:vertAlign w:val="superscript"/>
              </w:rPr>
              <w:t>2</w:t>
            </w:r>
            <w:r w:rsidRPr="00BF0FBF">
              <w:rPr>
                <w:rFonts w:eastAsia="Arial" w:cs="Arial"/>
                <w:color w:val="000000" w:themeColor="text1"/>
              </w:rPr>
              <w:t>/g</w:t>
            </w:r>
          </w:p>
        </w:tc>
        <w:tc>
          <w:tcPr>
            <w:tcW w:w="1701" w:type="dxa"/>
            <w:tcBorders>
              <w:top w:val="single" w:sz="12" w:space="0" w:color="008000"/>
              <w:bottom w:val="single" w:sz="4" w:space="0" w:color="008000"/>
            </w:tcBorders>
            <w:shd w:val="clear" w:color="auto" w:fill="FFFFFF"/>
            <w:vAlign w:val="center"/>
          </w:tcPr>
          <w:p w14:paraId="4013E096" w14:textId="77777777" w:rsidR="00BF0FBF" w:rsidRPr="00BF0FBF" w:rsidRDefault="00BF0FBF" w:rsidP="00457A00">
            <w:pPr>
              <w:pStyle w:val="CETBodytext"/>
              <w:jc w:val="center"/>
              <w:rPr>
                <w:lang w:val="en-GB"/>
              </w:rPr>
            </w:pPr>
            <w:r w:rsidRPr="00BF0FBF">
              <w:rPr>
                <w:rFonts w:eastAsia="Arial" w:cs="Arial"/>
                <w:color w:val="000000" w:themeColor="text1"/>
              </w:rPr>
              <w:t>Pore volume, cm</w:t>
            </w:r>
            <w:r w:rsidRPr="00BF0FBF">
              <w:rPr>
                <w:rFonts w:eastAsia="Arial" w:cs="Arial"/>
                <w:color w:val="000000" w:themeColor="text1"/>
                <w:vertAlign w:val="superscript"/>
              </w:rPr>
              <w:t>3</w:t>
            </w:r>
            <w:r w:rsidRPr="00BF0FBF">
              <w:rPr>
                <w:rFonts w:eastAsia="Arial" w:cs="Arial"/>
                <w:color w:val="000000" w:themeColor="text1"/>
              </w:rPr>
              <w:t>/g</w:t>
            </w:r>
          </w:p>
        </w:tc>
        <w:tc>
          <w:tcPr>
            <w:tcW w:w="1418" w:type="dxa"/>
            <w:tcBorders>
              <w:top w:val="single" w:sz="12" w:space="0" w:color="008000"/>
              <w:bottom w:val="single" w:sz="4" w:space="0" w:color="008000"/>
            </w:tcBorders>
            <w:shd w:val="clear" w:color="auto" w:fill="FFFFFF"/>
            <w:vAlign w:val="center"/>
          </w:tcPr>
          <w:p w14:paraId="559B9F6D" w14:textId="77777777" w:rsidR="00BF0FBF" w:rsidRPr="00BF0FBF" w:rsidRDefault="00BF0FBF" w:rsidP="00457A00">
            <w:pPr>
              <w:pStyle w:val="CETBodytext"/>
              <w:ind w:right="-1"/>
              <w:jc w:val="center"/>
              <w:rPr>
                <w:rFonts w:cs="Arial"/>
                <w:szCs w:val="18"/>
                <w:lang w:val="en-GB"/>
              </w:rPr>
            </w:pPr>
            <w:r w:rsidRPr="00BF0FBF">
              <w:rPr>
                <w:rFonts w:eastAsia="Arial" w:cs="Arial"/>
                <w:color w:val="000000" w:themeColor="text1"/>
              </w:rPr>
              <w:t>Pore size, nm</w:t>
            </w:r>
          </w:p>
        </w:tc>
      </w:tr>
      <w:tr w:rsidR="00E34E86" w:rsidRPr="00B57B36" w14:paraId="18364624" w14:textId="77777777" w:rsidTr="00AE55BB">
        <w:tc>
          <w:tcPr>
            <w:tcW w:w="2410" w:type="dxa"/>
            <w:tcBorders>
              <w:top w:val="single" w:sz="4" w:space="0" w:color="008000"/>
            </w:tcBorders>
            <w:shd w:val="clear" w:color="auto" w:fill="FFFFFF"/>
            <w:vAlign w:val="center"/>
          </w:tcPr>
          <w:p w14:paraId="089D4955" w14:textId="3597233F" w:rsidR="00E34E86" w:rsidRPr="00B57B36" w:rsidRDefault="00E34E86" w:rsidP="00E34E86">
            <w:pPr>
              <w:pStyle w:val="CETBodytext"/>
              <w:jc w:val="center"/>
              <w:rPr>
                <w:lang w:val="en-GB"/>
              </w:rPr>
            </w:pPr>
            <w:r w:rsidRPr="00252303">
              <w:rPr>
                <w:rFonts w:eastAsia="Arial" w:cs="Arial"/>
                <w:color w:val="000000" w:themeColor="text1"/>
              </w:rPr>
              <w:t>Cocoa AC</w:t>
            </w:r>
          </w:p>
        </w:tc>
        <w:tc>
          <w:tcPr>
            <w:tcW w:w="992" w:type="dxa"/>
            <w:tcBorders>
              <w:top w:val="single" w:sz="4" w:space="0" w:color="008000"/>
            </w:tcBorders>
            <w:shd w:val="clear" w:color="auto" w:fill="FFFFFF"/>
            <w:vAlign w:val="center"/>
          </w:tcPr>
          <w:p w14:paraId="151309F6" w14:textId="04100D28" w:rsidR="00E34E86" w:rsidRPr="00B57B36" w:rsidRDefault="00E34E86" w:rsidP="00E34E86">
            <w:pPr>
              <w:pStyle w:val="CETBodytext"/>
              <w:jc w:val="center"/>
              <w:rPr>
                <w:lang w:val="en-GB"/>
              </w:rPr>
            </w:pPr>
            <w:r w:rsidRPr="00252303">
              <w:rPr>
                <w:rFonts w:eastAsia="Arial" w:cs="Arial"/>
                <w:color w:val="000000" w:themeColor="text1"/>
              </w:rPr>
              <w:t>971</w:t>
            </w:r>
          </w:p>
        </w:tc>
        <w:tc>
          <w:tcPr>
            <w:tcW w:w="1701" w:type="dxa"/>
            <w:tcBorders>
              <w:top w:val="single" w:sz="4" w:space="0" w:color="008000"/>
            </w:tcBorders>
            <w:shd w:val="clear" w:color="auto" w:fill="FFFFFF"/>
            <w:vAlign w:val="center"/>
          </w:tcPr>
          <w:p w14:paraId="1671F22B" w14:textId="7285CAC3" w:rsidR="00E34E86" w:rsidRPr="00B57B36" w:rsidRDefault="00E34E86" w:rsidP="00E34E86">
            <w:pPr>
              <w:pStyle w:val="CETBodytext"/>
              <w:jc w:val="center"/>
              <w:rPr>
                <w:lang w:val="en-GB"/>
              </w:rPr>
            </w:pPr>
            <w:r w:rsidRPr="00252303">
              <w:rPr>
                <w:rFonts w:eastAsia="Arial" w:cs="Arial"/>
                <w:color w:val="000000" w:themeColor="text1"/>
              </w:rPr>
              <w:t>0.6888</w:t>
            </w:r>
          </w:p>
        </w:tc>
        <w:tc>
          <w:tcPr>
            <w:tcW w:w="1418" w:type="dxa"/>
            <w:tcBorders>
              <w:top w:val="single" w:sz="4" w:space="0" w:color="008000"/>
            </w:tcBorders>
            <w:shd w:val="clear" w:color="auto" w:fill="FFFFFF"/>
            <w:vAlign w:val="center"/>
          </w:tcPr>
          <w:p w14:paraId="2C642042" w14:textId="24B28AA0" w:rsidR="00E34E86" w:rsidRPr="00B57B36" w:rsidRDefault="00E34E86" w:rsidP="00E34E86">
            <w:pPr>
              <w:pStyle w:val="CETBodytext"/>
              <w:ind w:right="-1"/>
              <w:jc w:val="center"/>
              <w:rPr>
                <w:rFonts w:cs="Arial"/>
                <w:szCs w:val="18"/>
                <w:lang w:val="en-GB"/>
              </w:rPr>
            </w:pPr>
            <w:r w:rsidRPr="00252303">
              <w:rPr>
                <w:rFonts w:eastAsia="Arial" w:cs="Arial"/>
                <w:color w:val="000000" w:themeColor="text1"/>
              </w:rPr>
              <w:t>3.96</w:t>
            </w:r>
          </w:p>
        </w:tc>
      </w:tr>
      <w:tr w:rsidR="00E34E86" w:rsidRPr="00B57B36" w14:paraId="674A2FFE" w14:textId="77777777" w:rsidTr="00AC274A">
        <w:tc>
          <w:tcPr>
            <w:tcW w:w="2410" w:type="dxa"/>
            <w:shd w:val="clear" w:color="auto" w:fill="FFFFFF"/>
            <w:vAlign w:val="center"/>
          </w:tcPr>
          <w:p w14:paraId="02E68AF2" w14:textId="707CDEA9" w:rsidR="00E34E86" w:rsidRPr="00B57B36" w:rsidRDefault="00E34E86" w:rsidP="00E34E86">
            <w:pPr>
              <w:pStyle w:val="CETBodytext"/>
              <w:ind w:right="-1"/>
              <w:jc w:val="center"/>
              <w:rPr>
                <w:rFonts w:cs="Arial"/>
                <w:szCs w:val="18"/>
                <w:lang w:val="en-GB"/>
              </w:rPr>
            </w:pPr>
            <w:r w:rsidRPr="00252303">
              <w:rPr>
                <w:rFonts w:eastAsia="Arial" w:cs="Arial"/>
                <w:color w:val="000000" w:themeColor="text1"/>
              </w:rPr>
              <w:t>Cocoa AC + 5400 mg/L SiO</w:t>
            </w:r>
            <w:r w:rsidRPr="00252303">
              <w:rPr>
                <w:rFonts w:eastAsia="Arial" w:cs="Arial"/>
                <w:color w:val="000000" w:themeColor="text1"/>
                <w:vertAlign w:val="subscript"/>
              </w:rPr>
              <w:t>2</w:t>
            </w:r>
          </w:p>
        </w:tc>
        <w:tc>
          <w:tcPr>
            <w:tcW w:w="992" w:type="dxa"/>
            <w:shd w:val="clear" w:color="auto" w:fill="FFFFFF"/>
            <w:vAlign w:val="center"/>
          </w:tcPr>
          <w:p w14:paraId="616D126B" w14:textId="0176DEA0" w:rsidR="00E34E86" w:rsidRPr="00B57B36" w:rsidRDefault="00E34E86" w:rsidP="00E34E86">
            <w:pPr>
              <w:pStyle w:val="CETBodytext"/>
              <w:ind w:right="-1"/>
              <w:jc w:val="center"/>
              <w:rPr>
                <w:rFonts w:cs="Arial"/>
                <w:szCs w:val="18"/>
                <w:lang w:val="en-GB"/>
              </w:rPr>
            </w:pPr>
            <w:r w:rsidRPr="00252303">
              <w:rPr>
                <w:rFonts w:eastAsia="Arial" w:cs="Arial"/>
                <w:color w:val="000000" w:themeColor="text1"/>
              </w:rPr>
              <w:t>1203</w:t>
            </w:r>
          </w:p>
        </w:tc>
        <w:tc>
          <w:tcPr>
            <w:tcW w:w="1701" w:type="dxa"/>
            <w:shd w:val="clear" w:color="auto" w:fill="FFFFFF"/>
            <w:vAlign w:val="center"/>
          </w:tcPr>
          <w:p w14:paraId="30688F08" w14:textId="484762E3" w:rsidR="00E34E86" w:rsidRPr="00B57B36" w:rsidRDefault="00E34E86" w:rsidP="00E34E86">
            <w:pPr>
              <w:pStyle w:val="CETBodytext"/>
              <w:ind w:right="-1"/>
              <w:jc w:val="center"/>
              <w:rPr>
                <w:rFonts w:cs="Arial"/>
                <w:szCs w:val="18"/>
                <w:lang w:val="en-GB"/>
              </w:rPr>
            </w:pPr>
            <w:r w:rsidRPr="00252303">
              <w:rPr>
                <w:rFonts w:eastAsia="Arial" w:cs="Arial"/>
                <w:color w:val="000000" w:themeColor="text1"/>
              </w:rPr>
              <w:t>0.8605</w:t>
            </w:r>
          </w:p>
        </w:tc>
        <w:tc>
          <w:tcPr>
            <w:tcW w:w="1418" w:type="dxa"/>
            <w:shd w:val="clear" w:color="auto" w:fill="FFFFFF"/>
            <w:vAlign w:val="center"/>
          </w:tcPr>
          <w:p w14:paraId="3643EF90" w14:textId="75A9723C" w:rsidR="00E34E86" w:rsidRPr="00B57B36" w:rsidRDefault="00E34E86" w:rsidP="00E34E86">
            <w:pPr>
              <w:pStyle w:val="CETBodytext"/>
              <w:ind w:right="-1"/>
              <w:jc w:val="center"/>
              <w:rPr>
                <w:rFonts w:cs="Arial"/>
                <w:szCs w:val="18"/>
                <w:lang w:val="en-GB"/>
              </w:rPr>
            </w:pPr>
            <w:r w:rsidRPr="00252303">
              <w:rPr>
                <w:rFonts w:eastAsia="Arial" w:cs="Arial"/>
                <w:color w:val="000000" w:themeColor="text1"/>
              </w:rPr>
              <w:t>4.50</w:t>
            </w:r>
          </w:p>
        </w:tc>
      </w:tr>
    </w:tbl>
    <w:p w14:paraId="5EE4ABFC" w14:textId="05A6D3C4" w:rsidR="00BF0FBF" w:rsidRDefault="00BF0FBF" w:rsidP="00763739">
      <w:pPr>
        <w:pStyle w:val="CETTabletitle"/>
        <w:rPr>
          <w:rFonts w:eastAsia="Arial" w:cs="Arial"/>
          <w:color w:val="000000" w:themeColor="text1"/>
          <w:lang w:val="en-US"/>
        </w:rPr>
      </w:pPr>
    </w:p>
    <w:p w14:paraId="6C16CB49" w14:textId="77777777" w:rsidR="00BF0FBF" w:rsidRPr="00252303" w:rsidRDefault="00BF0FBF" w:rsidP="00763739">
      <w:pPr>
        <w:pStyle w:val="CETTabletitle"/>
        <w:rPr>
          <w:rFonts w:eastAsia="Arial" w:cs="Arial"/>
          <w:color w:val="000000" w:themeColor="text1"/>
          <w:lang w:val="en-US"/>
        </w:rPr>
      </w:pPr>
    </w:p>
    <w:p w14:paraId="4A6F7F49" w14:textId="01159083" w:rsidR="00763739" w:rsidRPr="00252303" w:rsidRDefault="003F7ACE" w:rsidP="00F56D3C">
      <w:pPr>
        <w:pStyle w:val="CETBodytext"/>
        <w:rPr>
          <w:color w:val="000000" w:themeColor="text1"/>
        </w:rPr>
      </w:pPr>
      <w:bookmarkStart w:id="11" w:name="_Hlk195533120"/>
      <w:r w:rsidRPr="00252303">
        <w:rPr>
          <w:color w:val="000000" w:themeColor="text1"/>
        </w:rPr>
        <w:t>The structure of activated carbon without nanoparticles and treated with SiO</w:t>
      </w:r>
      <w:r w:rsidRPr="00252303">
        <w:rPr>
          <w:color w:val="000000" w:themeColor="text1"/>
          <w:vertAlign w:val="subscript"/>
        </w:rPr>
        <w:t>2</w:t>
      </w:r>
      <w:r w:rsidRPr="00252303">
        <w:rPr>
          <w:color w:val="000000" w:themeColor="text1"/>
        </w:rPr>
        <w:t xml:space="preserve"> nanoparticles at 5400 mg/L was analyzed using scanning electron microscopy (SEM), as shown in </w:t>
      </w:r>
      <w:r w:rsidR="009E0FBF" w:rsidRPr="00252303">
        <w:rPr>
          <w:color w:val="000000" w:themeColor="text1"/>
        </w:rPr>
        <w:fldChar w:fldCharType="begin"/>
      </w:r>
      <w:r w:rsidR="009E0FBF" w:rsidRPr="00252303">
        <w:rPr>
          <w:color w:val="000000" w:themeColor="text1"/>
        </w:rPr>
        <w:instrText xml:space="preserve"> REF _Ref185182243 \h </w:instrText>
      </w:r>
      <w:r w:rsidR="00F56D3C" w:rsidRPr="00252303">
        <w:rPr>
          <w:color w:val="000000" w:themeColor="text1"/>
        </w:rPr>
        <w:instrText xml:space="preserve"> \* MERGEFORMAT </w:instrText>
      </w:r>
      <w:r w:rsidR="009E0FBF" w:rsidRPr="00252303">
        <w:rPr>
          <w:color w:val="000000" w:themeColor="text1"/>
        </w:rPr>
      </w:r>
      <w:r w:rsidR="009E0FBF" w:rsidRPr="00252303">
        <w:rPr>
          <w:color w:val="000000" w:themeColor="text1"/>
        </w:rPr>
        <w:fldChar w:fldCharType="separate"/>
      </w:r>
      <w:r w:rsidR="003A4B6E" w:rsidRPr="00252303">
        <w:rPr>
          <w:color w:val="000000" w:themeColor="text1"/>
        </w:rPr>
        <w:t>Figure 2</w:t>
      </w:r>
      <w:r w:rsidR="009E0FBF" w:rsidRPr="00252303">
        <w:rPr>
          <w:color w:val="000000" w:themeColor="text1"/>
        </w:rPr>
        <w:fldChar w:fldCharType="end"/>
      </w:r>
      <w:r w:rsidR="00763739" w:rsidRPr="00252303">
        <w:rPr>
          <w:color w:val="000000" w:themeColor="text1"/>
        </w:rPr>
        <w:t xml:space="preserve">. </w:t>
      </w:r>
      <w:bookmarkEnd w:id="11"/>
      <w:r w:rsidR="00763739" w:rsidRPr="00252303">
        <w:rPr>
          <w:color w:val="000000" w:themeColor="text1"/>
        </w:rPr>
        <w:t xml:space="preserve">According to </w:t>
      </w:r>
      <w:r w:rsidR="009E0FBF" w:rsidRPr="00252303">
        <w:rPr>
          <w:color w:val="000000" w:themeColor="text1"/>
        </w:rPr>
        <w:fldChar w:fldCharType="begin"/>
      </w:r>
      <w:r w:rsidR="009E0FBF" w:rsidRPr="00252303">
        <w:rPr>
          <w:color w:val="000000" w:themeColor="text1"/>
        </w:rPr>
        <w:instrText xml:space="preserve"> REF _Ref185182243 \h </w:instrText>
      </w:r>
      <w:r w:rsidR="00F56D3C" w:rsidRPr="00252303">
        <w:rPr>
          <w:color w:val="000000" w:themeColor="text1"/>
        </w:rPr>
        <w:instrText xml:space="preserve"> \* MERGEFORMAT </w:instrText>
      </w:r>
      <w:r w:rsidR="009E0FBF" w:rsidRPr="00252303">
        <w:rPr>
          <w:color w:val="000000" w:themeColor="text1"/>
        </w:rPr>
      </w:r>
      <w:r w:rsidR="009E0FBF" w:rsidRPr="00252303">
        <w:rPr>
          <w:color w:val="000000" w:themeColor="text1"/>
        </w:rPr>
        <w:fldChar w:fldCharType="separate"/>
      </w:r>
      <w:r w:rsidR="003A4B6E" w:rsidRPr="00252303">
        <w:rPr>
          <w:color w:val="000000" w:themeColor="text1"/>
        </w:rPr>
        <w:t>Figure 2</w:t>
      </w:r>
      <w:r w:rsidR="009E0FBF" w:rsidRPr="00252303">
        <w:rPr>
          <w:color w:val="000000" w:themeColor="text1"/>
        </w:rPr>
        <w:fldChar w:fldCharType="end"/>
      </w:r>
      <w:r w:rsidR="00763739" w:rsidRPr="00252303">
        <w:rPr>
          <w:color w:val="000000" w:themeColor="text1"/>
        </w:rPr>
        <w:t xml:space="preserve">(a), the activated carbon granules display structured surfaces with uneven sizes and disordered channels, which might hinder the adsorption of organic compounds (Ma et al., 2022). </w:t>
      </w:r>
      <w:r w:rsidRPr="00252303">
        <w:rPr>
          <w:color w:val="000000" w:themeColor="text1"/>
        </w:rPr>
        <w:t xml:space="preserve">However, this irregular shape encourages </w:t>
      </w:r>
      <w:r w:rsidR="00763739" w:rsidRPr="00252303">
        <w:rPr>
          <w:color w:val="000000" w:themeColor="text1"/>
        </w:rPr>
        <w:t>the attachment of SiO</w:t>
      </w:r>
      <w:r w:rsidR="00763739" w:rsidRPr="00252303">
        <w:rPr>
          <w:color w:val="000000" w:themeColor="text1"/>
          <w:vertAlign w:val="subscript"/>
        </w:rPr>
        <w:t>2</w:t>
      </w:r>
      <w:r w:rsidR="00763739" w:rsidRPr="00252303">
        <w:rPr>
          <w:color w:val="000000" w:themeColor="text1"/>
        </w:rPr>
        <w:t xml:space="preserve"> nanoparticles, as shown in </w:t>
      </w:r>
      <w:r w:rsidR="009E0FBF" w:rsidRPr="00252303">
        <w:rPr>
          <w:color w:val="000000" w:themeColor="text1"/>
        </w:rPr>
        <w:fldChar w:fldCharType="begin"/>
      </w:r>
      <w:r w:rsidR="009E0FBF" w:rsidRPr="00252303">
        <w:rPr>
          <w:color w:val="000000" w:themeColor="text1"/>
        </w:rPr>
        <w:instrText xml:space="preserve"> REF _Ref185182243 \h </w:instrText>
      </w:r>
      <w:r w:rsidR="00F56D3C" w:rsidRPr="00252303">
        <w:rPr>
          <w:color w:val="000000" w:themeColor="text1"/>
        </w:rPr>
        <w:instrText xml:space="preserve"> \* MERGEFORMAT </w:instrText>
      </w:r>
      <w:r w:rsidR="009E0FBF" w:rsidRPr="00252303">
        <w:rPr>
          <w:color w:val="000000" w:themeColor="text1"/>
        </w:rPr>
      </w:r>
      <w:r w:rsidR="009E0FBF" w:rsidRPr="00252303">
        <w:rPr>
          <w:color w:val="000000" w:themeColor="text1"/>
        </w:rPr>
        <w:fldChar w:fldCharType="separate"/>
      </w:r>
      <w:r w:rsidR="003A4B6E" w:rsidRPr="00252303">
        <w:rPr>
          <w:color w:val="000000" w:themeColor="text1"/>
        </w:rPr>
        <w:t>Figure 2</w:t>
      </w:r>
      <w:r w:rsidR="009E0FBF" w:rsidRPr="00252303">
        <w:rPr>
          <w:color w:val="000000" w:themeColor="text1"/>
        </w:rPr>
        <w:fldChar w:fldCharType="end"/>
      </w:r>
      <w:r w:rsidR="00763739" w:rsidRPr="00252303">
        <w:rPr>
          <w:color w:val="000000" w:themeColor="text1"/>
        </w:rPr>
        <w:t>(b), where the appearance of white clusters scattered across the surface of the activated carbon confirms the adhesion of the nanoparticles, contributing to an increased surface area and potentially improving the adsorption efficiency for organic compounds (</w:t>
      </w:r>
      <w:proofErr w:type="spellStart"/>
      <w:r w:rsidR="00763739" w:rsidRPr="00252303">
        <w:rPr>
          <w:color w:val="000000" w:themeColor="text1"/>
        </w:rPr>
        <w:t>Buchori</w:t>
      </w:r>
      <w:proofErr w:type="spellEnd"/>
      <w:r w:rsidR="00763739" w:rsidRPr="00252303">
        <w:rPr>
          <w:color w:val="000000" w:themeColor="text1"/>
        </w:rPr>
        <w:t xml:space="preserve"> et al., 2022). </w:t>
      </w:r>
    </w:p>
    <w:p w14:paraId="03D7965B" w14:textId="77777777" w:rsidR="001D7631" w:rsidRPr="00252303" w:rsidRDefault="001D7631" w:rsidP="00F56D3C">
      <w:pPr>
        <w:pStyle w:val="CETBodytext"/>
        <w:rPr>
          <w:color w:val="000000" w:themeColor="text1"/>
        </w:rPr>
      </w:pPr>
    </w:p>
    <w:tbl>
      <w:tblPr>
        <w:tblStyle w:val="Tablaconcuadrcula"/>
        <w:tblW w:w="0" w:type="auto"/>
        <w:tblInd w:w="1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993"/>
        <w:gridCol w:w="3102"/>
      </w:tblGrid>
      <w:tr w:rsidR="00252303" w:rsidRPr="00252303" w14:paraId="26AC11C0" w14:textId="77777777" w:rsidTr="00B54F3C">
        <w:trPr>
          <w:trHeight w:val="1986"/>
        </w:trPr>
        <w:tc>
          <w:tcPr>
            <w:tcW w:w="2993" w:type="dxa"/>
            <w:vAlign w:val="center"/>
          </w:tcPr>
          <w:p w14:paraId="4C7190F5" w14:textId="77777777" w:rsidR="003A4B6E" w:rsidRPr="00252303" w:rsidRDefault="003A4B6E" w:rsidP="00ED4769">
            <w:pPr>
              <w:pStyle w:val="Sinespaciado"/>
              <w:jc w:val="center"/>
              <w:rPr>
                <w:color w:val="000000" w:themeColor="text1"/>
              </w:rPr>
            </w:pPr>
            <w:r w:rsidRPr="00252303">
              <w:rPr>
                <w:noProof/>
                <w:color w:val="000000" w:themeColor="text1"/>
                <w:lang w:val="es-CO" w:eastAsia="es-CO"/>
              </w:rPr>
              <w:lastRenderedPageBreak/>
              <w:drawing>
                <wp:inline distT="0" distB="0" distL="0" distR="0" wp14:anchorId="465EE1A3" wp14:editId="5A36654D">
                  <wp:extent cx="1523973" cy="1408436"/>
                  <wp:effectExtent l="0" t="0" r="635" b="1270"/>
                  <wp:docPr id="729692291" name="Imagen 72969229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692291" name="Imagen 729692291" descr="Imagen que contiene Interfaz de usuario gráfica&#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36975" cy="1420452"/>
                          </a:xfrm>
                          <a:prstGeom prst="rect">
                            <a:avLst/>
                          </a:prstGeom>
                        </pic:spPr>
                      </pic:pic>
                    </a:graphicData>
                  </a:graphic>
                </wp:inline>
              </w:drawing>
            </w:r>
          </w:p>
        </w:tc>
        <w:tc>
          <w:tcPr>
            <w:tcW w:w="3102" w:type="dxa"/>
            <w:vAlign w:val="center"/>
          </w:tcPr>
          <w:p w14:paraId="3BD2F274" w14:textId="77777777" w:rsidR="003A4B6E" w:rsidRPr="00252303" w:rsidRDefault="003A4B6E" w:rsidP="00ED4769">
            <w:pPr>
              <w:pStyle w:val="Sinespaciado"/>
              <w:jc w:val="center"/>
              <w:rPr>
                <w:color w:val="000000" w:themeColor="text1"/>
              </w:rPr>
            </w:pPr>
            <w:r w:rsidRPr="00252303">
              <w:rPr>
                <w:noProof/>
                <w:color w:val="000000" w:themeColor="text1"/>
                <w:lang w:val="es-CO" w:eastAsia="es-CO"/>
              </w:rPr>
              <w:drawing>
                <wp:inline distT="0" distB="0" distL="0" distR="0" wp14:anchorId="2BBF5EC2" wp14:editId="3F109A48">
                  <wp:extent cx="1523066" cy="1407600"/>
                  <wp:effectExtent l="0" t="0" r="1270" b="2540"/>
                  <wp:docPr id="866763772" name="Imagen 866763772"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763772" name="Imagen 866763772" descr="Mapa&#10;&#10;Descripción generada automá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3066" cy="1407600"/>
                          </a:xfrm>
                          <a:prstGeom prst="rect">
                            <a:avLst/>
                          </a:prstGeom>
                        </pic:spPr>
                      </pic:pic>
                    </a:graphicData>
                  </a:graphic>
                </wp:inline>
              </w:drawing>
            </w:r>
          </w:p>
        </w:tc>
      </w:tr>
      <w:tr w:rsidR="00252303" w:rsidRPr="00252303" w14:paraId="2C9A7AC2" w14:textId="77777777" w:rsidTr="00B54F3C">
        <w:trPr>
          <w:trHeight w:val="50"/>
        </w:trPr>
        <w:tc>
          <w:tcPr>
            <w:tcW w:w="2993" w:type="dxa"/>
          </w:tcPr>
          <w:p w14:paraId="3231C2C6" w14:textId="77777777" w:rsidR="003A4B6E" w:rsidRPr="00252303" w:rsidRDefault="003A4B6E" w:rsidP="00ED4769">
            <w:pPr>
              <w:pStyle w:val="Sinespaciado"/>
              <w:jc w:val="center"/>
              <w:rPr>
                <w:b/>
                <w:bCs/>
                <w:color w:val="000000" w:themeColor="text1"/>
              </w:rPr>
            </w:pPr>
            <w:r w:rsidRPr="00252303">
              <w:rPr>
                <w:b/>
                <w:bCs/>
                <w:color w:val="000000" w:themeColor="text1"/>
              </w:rPr>
              <w:t>(a)</w:t>
            </w:r>
          </w:p>
        </w:tc>
        <w:tc>
          <w:tcPr>
            <w:tcW w:w="3102" w:type="dxa"/>
          </w:tcPr>
          <w:p w14:paraId="3A09FF78" w14:textId="77777777" w:rsidR="003A4B6E" w:rsidRPr="00252303" w:rsidRDefault="003A4B6E" w:rsidP="00ED4769">
            <w:pPr>
              <w:pStyle w:val="Sinespaciado"/>
              <w:jc w:val="center"/>
              <w:rPr>
                <w:b/>
                <w:bCs/>
                <w:color w:val="000000" w:themeColor="text1"/>
              </w:rPr>
            </w:pPr>
            <w:r w:rsidRPr="00252303">
              <w:rPr>
                <w:b/>
                <w:bCs/>
                <w:color w:val="000000" w:themeColor="text1"/>
              </w:rPr>
              <w:t>(b)</w:t>
            </w:r>
          </w:p>
        </w:tc>
      </w:tr>
    </w:tbl>
    <w:p w14:paraId="7A5EACC1" w14:textId="27B2FA6C" w:rsidR="002A750F" w:rsidRPr="00252303" w:rsidRDefault="003A4B6E" w:rsidP="00ED4769">
      <w:pPr>
        <w:pStyle w:val="Sinespaciado"/>
        <w:jc w:val="center"/>
        <w:rPr>
          <w:color w:val="000000" w:themeColor="text1"/>
          <w:lang w:val="en-US"/>
        </w:rPr>
      </w:pPr>
      <w:bookmarkStart w:id="12" w:name="_Ref185182243"/>
      <w:r w:rsidRPr="00252303">
        <w:rPr>
          <w:color w:val="000000" w:themeColor="text1"/>
        </w:rPr>
        <w:t xml:space="preserve">Figure </w:t>
      </w:r>
      <w:r w:rsidRPr="00252303">
        <w:rPr>
          <w:color w:val="000000" w:themeColor="text1"/>
        </w:rPr>
        <w:fldChar w:fldCharType="begin"/>
      </w:r>
      <w:r w:rsidRPr="00252303">
        <w:rPr>
          <w:color w:val="000000" w:themeColor="text1"/>
        </w:rPr>
        <w:instrText xml:space="preserve"> SEQ Figure \* ARABIC </w:instrText>
      </w:r>
      <w:r w:rsidRPr="00252303">
        <w:rPr>
          <w:color w:val="000000" w:themeColor="text1"/>
        </w:rPr>
        <w:fldChar w:fldCharType="separate"/>
      </w:r>
      <w:r w:rsidRPr="00252303">
        <w:rPr>
          <w:noProof/>
          <w:color w:val="000000" w:themeColor="text1"/>
        </w:rPr>
        <w:t>2</w:t>
      </w:r>
      <w:r w:rsidRPr="00252303">
        <w:rPr>
          <w:color w:val="000000" w:themeColor="text1"/>
        </w:rPr>
        <w:fldChar w:fldCharType="end"/>
      </w:r>
      <w:bookmarkEnd w:id="12"/>
      <w:r w:rsidRPr="00252303">
        <w:rPr>
          <w:color w:val="000000" w:themeColor="text1"/>
          <w:lang w:val="en-US"/>
        </w:rPr>
        <w:t xml:space="preserve">: SEM micrograph from </w:t>
      </w:r>
      <w:r w:rsidR="00E22F56" w:rsidRPr="00252303">
        <w:rPr>
          <w:color w:val="000000" w:themeColor="text1"/>
          <w:lang w:val="en-US"/>
        </w:rPr>
        <w:t>cocoa</w:t>
      </w:r>
      <w:r w:rsidRPr="00252303">
        <w:rPr>
          <w:color w:val="000000" w:themeColor="text1"/>
          <w:lang w:val="en-US"/>
        </w:rPr>
        <w:t xml:space="preserve"> activated carbon: (a) without NPs and (b) with </w:t>
      </w:r>
      <w:r w:rsidRPr="00252303">
        <w:rPr>
          <w:rFonts w:eastAsia="Arial" w:cs="Arial"/>
          <w:color w:val="000000" w:themeColor="text1"/>
          <w:lang w:val="en-US"/>
        </w:rPr>
        <w:t>5400 mg/L SiO</w:t>
      </w:r>
      <w:r w:rsidRPr="00252303">
        <w:rPr>
          <w:rFonts w:eastAsia="Arial" w:cs="Arial"/>
          <w:color w:val="000000" w:themeColor="text1"/>
          <w:vertAlign w:val="subscript"/>
          <w:lang w:val="en-US"/>
        </w:rPr>
        <w:t>2</w:t>
      </w:r>
      <w:r w:rsidRPr="00252303">
        <w:rPr>
          <w:color w:val="000000" w:themeColor="text1"/>
          <w:lang w:val="en-US"/>
        </w:rPr>
        <w:t>-NPs.</w:t>
      </w:r>
    </w:p>
    <w:p w14:paraId="183DD6E1" w14:textId="77777777" w:rsidR="00ED4769" w:rsidRPr="00252303" w:rsidRDefault="00ED4769" w:rsidP="00ED4769">
      <w:pPr>
        <w:pStyle w:val="Sinespaciado"/>
        <w:jc w:val="center"/>
        <w:rPr>
          <w:color w:val="000000" w:themeColor="text1"/>
          <w:lang w:val="en-US"/>
        </w:rPr>
      </w:pPr>
    </w:p>
    <w:p w14:paraId="4B787A9D" w14:textId="77777777" w:rsidR="002A750F" w:rsidRPr="00252303" w:rsidRDefault="002A750F" w:rsidP="002A750F">
      <w:pPr>
        <w:pStyle w:val="CETheadingx"/>
        <w:rPr>
          <w:color w:val="000000" w:themeColor="text1"/>
        </w:rPr>
      </w:pPr>
      <w:r w:rsidRPr="00252303">
        <w:rPr>
          <w:color w:val="000000" w:themeColor="text1"/>
        </w:rPr>
        <w:t>Adsorption of Persistent Organic Pollutants (POPs)</w:t>
      </w:r>
    </w:p>
    <w:bookmarkStart w:id="13" w:name="_Hlk195533011"/>
    <w:p w14:paraId="1F077918" w14:textId="45D9E6A8" w:rsidR="00863721" w:rsidRPr="00252303" w:rsidRDefault="009E0FBF" w:rsidP="00863721">
      <w:pPr>
        <w:pStyle w:val="CETBodytext"/>
        <w:rPr>
          <w:rFonts w:eastAsia="Arial"/>
          <w:color w:val="000000" w:themeColor="text1"/>
        </w:rPr>
      </w:pPr>
      <w:r w:rsidRPr="00252303">
        <w:rPr>
          <w:rFonts w:eastAsia="Arial"/>
          <w:color w:val="000000" w:themeColor="text1"/>
        </w:rPr>
        <w:fldChar w:fldCharType="begin"/>
      </w:r>
      <w:r w:rsidRPr="00252303">
        <w:rPr>
          <w:rFonts w:eastAsia="Arial"/>
          <w:color w:val="000000" w:themeColor="text1"/>
        </w:rPr>
        <w:instrText xml:space="preserve"> REF _Ref185182203 \h </w:instrText>
      </w:r>
      <w:r w:rsidR="00F56D3C" w:rsidRPr="00252303">
        <w:rPr>
          <w:rFonts w:eastAsia="Arial"/>
          <w:color w:val="000000" w:themeColor="text1"/>
        </w:rPr>
        <w:instrText xml:space="preserve"> \* MERGEFORMAT </w:instrText>
      </w:r>
      <w:r w:rsidRPr="00252303">
        <w:rPr>
          <w:rFonts w:eastAsia="Arial"/>
          <w:color w:val="000000" w:themeColor="text1"/>
        </w:rPr>
      </w:r>
      <w:r w:rsidRPr="00252303">
        <w:rPr>
          <w:rFonts w:eastAsia="Arial"/>
          <w:color w:val="000000" w:themeColor="text1"/>
        </w:rPr>
        <w:fldChar w:fldCharType="separate"/>
      </w:r>
      <w:r w:rsidR="00F90049" w:rsidRPr="00252303">
        <w:rPr>
          <w:color w:val="000000" w:themeColor="text1"/>
        </w:rPr>
        <w:t>Table 3</w:t>
      </w:r>
      <w:r w:rsidRPr="00252303">
        <w:rPr>
          <w:rFonts w:eastAsia="Arial"/>
          <w:color w:val="000000" w:themeColor="text1"/>
        </w:rPr>
        <w:fldChar w:fldCharType="end"/>
      </w:r>
      <w:r w:rsidRPr="00252303">
        <w:rPr>
          <w:rFonts w:eastAsia="Arial"/>
          <w:color w:val="000000" w:themeColor="text1"/>
        </w:rPr>
        <w:t xml:space="preserve"> shows</w:t>
      </w:r>
      <w:r w:rsidR="002A750F" w:rsidRPr="00252303">
        <w:rPr>
          <w:rFonts w:eastAsia="Arial"/>
          <w:color w:val="000000" w:themeColor="text1"/>
        </w:rPr>
        <w:t xml:space="preserve"> the adsorption results for each </w:t>
      </w:r>
      <w:r w:rsidR="00002939" w:rsidRPr="00252303">
        <w:rPr>
          <w:rFonts w:eastAsia="Arial"/>
          <w:color w:val="000000" w:themeColor="text1"/>
        </w:rPr>
        <w:t>compound, comparing</w:t>
      </w:r>
      <w:r w:rsidR="002A750F" w:rsidRPr="00252303">
        <w:rPr>
          <w:rFonts w:eastAsia="Arial"/>
          <w:color w:val="000000" w:themeColor="text1"/>
        </w:rPr>
        <w:t xml:space="preserve"> the isothermal models and the removal capacity with and without nanoparticles</w:t>
      </w:r>
      <w:r w:rsidR="00002939" w:rsidRPr="00252303">
        <w:rPr>
          <w:rFonts w:eastAsia="Arial"/>
          <w:color w:val="000000" w:themeColor="text1"/>
        </w:rPr>
        <w:t xml:space="preserve"> in </w:t>
      </w:r>
      <w:proofErr w:type="spellStart"/>
      <w:r w:rsidR="00002939" w:rsidRPr="00252303">
        <w:rPr>
          <w:rFonts w:eastAsia="Arial"/>
          <w:color w:val="000000" w:themeColor="text1"/>
        </w:rPr>
        <w:t>parellel</w:t>
      </w:r>
      <w:proofErr w:type="spellEnd"/>
      <w:r w:rsidR="002A750F" w:rsidRPr="00252303">
        <w:rPr>
          <w:rFonts w:eastAsia="Arial"/>
          <w:color w:val="000000" w:themeColor="text1"/>
        </w:rPr>
        <w:t xml:space="preserve">. </w:t>
      </w:r>
      <w:r w:rsidR="007831F4" w:rsidRPr="00252303">
        <w:rPr>
          <w:rFonts w:eastAsia="Arial"/>
          <w:color w:val="000000" w:themeColor="text1"/>
        </w:rPr>
        <w:t xml:space="preserve">This study </w:t>
      </w:r>
      <w:r w:rsidR="00863721" w:rsidRPr="00252303">
        <w:rPr>
          <w:rFonts w:eastAsia="Arial"/>
          <w:color w:val="000000" w:themeColor="text1"/>
        </w:rPr>
        <w:t xml:space="preserve">shows </w:t>
      </w:r>
      <w:r w:rsidR="007831F4" w:rsidRPr="00252303">
        <w:rPr>
          <w:rFonts w:eastAsia="Arial"/>
          <w:color w:val="000000" w:themeColor="text1"/>
        </w:rPr>
        <w:t xml:space="preserve">that </w:t>
      </w:r>
      <w:r w:rsidR="00863721" w:rsidRPr="00252303">
        <w:rPr>
          <w:rFonts w:eastAsia="Arial"/>
          <w:color w:val="000000" w:themeColor="text1"/>
        </w:rPr>
        <w:t>t</w:t>
      </w:r>
      <w:r w:rsidR="007831F4" w:rsidRPr="00252303">
        <w:rPr>
          <w:rFonts w:eastAsia="Arial"/>
          <w:color w:val="000000" w:themeColor="text1"/>
        </w:rPr>
        <w:t>he Freundlich isotherm best de</w:t>
      </w:r>
      <w:r w:rsidR="00863721" w:rsidRPr="00252303">
        <w:rPr>
          <w:rFonts w:eastAsia="Arial"/>
          <w:color w:val="000000" w:themeColor="text1"/>
        </w:rPr>
        <w:t>scribes the adsorption process</w:t>
      </w:r>
      <w:r w:rsidR="00002939" w:rsidRPr="00252303">
        <w:rPr>
          <w:rFonts w:eastAsia="Arial"/>
          <w:color w:val="000000" w:themeColor="text1"/>
        </w:rPr>
        <w:t>,</w:t>
      </w:r>
      <w:r w:rsidR="00863721" w:rsidRPr="00252303">
        <w:rPr>
          <w:rFonts w:eastAsia="Arial"/>
          <w:color w:val="000000" w:themeColor="text1"/>
        </w:rPr>
        <w:t xml:space="preserve"> and the addition of SiO</w:t>
      </w:r>
      <w:r w:rsidR="00863721" w:rsidRPr="00252303">
        <w:rPr>
          <w:rFonts w:eastAsia="Arial"/>
          <w:color w:val="000000" w:themeColor="text1"/>
          <w:vertAlign w:val="subscript"/>
        </w:rPr>
        <w:t>2</w:t>
      </w:r>
      <w:r w:rsidR="00863721" w:rsidRPr="00252303">
        <w:rPr>
          <w:rFonts w:eastAsia="Arial"/>
          <w:color w:val="000000" w:themeColor="text1"/>
        </w:rPr>
        <w:t xml:space="preserve"> </w:t>
      </w:r>
      <w:r w:rsidR="007831F4" w:rsidRPr="00252303">
        <w:rPr>
          <w:rFonts w:eastAsia="Arial"/>
          <w:color w:val="000000" w:themeColor="text1"/>
        </w:rPr>
        <w:t xml:space="preserve">further </w:t>
      </w:r>
      <w:r w:rsidR="00863721" w:rsidRPr="00252303">
        <w:rPr>
          <w:rFonts w:eastAsia="Arial"/>
          <w:color w:val="000000" w:themeColor="text1"/>
        </w:rPr>
        <w:t>improves adsorption efficiency, especially</w:t>
      </w:r>
      <w:r w:rsidR="007831F4" w:rsidRPr="00252303">
        <w:rPr>
          <w:rFonts w:eastAsia="Arial"/>
          <w:color w:val="000000" w:themeColor="text1"/>
        </w:rPr>
        <w:t xml:space="preserve"> for SDBS, suggesting potential benefits in modifying activated carbon with silica to </w:t>
      </w:r>
      <w:r w:rsidR="00863721" w:rsidRPr="00252303">
        <w:rPr>
          <w:rFonts w:eastAsia="Arial"/>
          <w:color w:val="000000" w:themeColor="text1"/>
        </w:rPr>
        <w:t>enhance</w:t>
      </w:r>
      <w:r w:rsidR="007831F4" w:rsidRPr="00252303">
        <w:rPr>
          <w:rFonts w:eastAsia="Arial"/>
          <w:color w:val="000000" w:themeColor="text1"/>
        </w:rPr>
        <w:t xml:space="preserve"> adsorption capabilities</w:t>
      </w:r>
      <w:r w:rsidR="00863721" w:rsidRPr="00252303">
        <w:rPr>
          <w:rFonts w:eastAsia="Arial"/>
          <w:color w:val="000000" w:themeColor="text1"/>
        </w:rPr>
        <w:t xml:space="preserve"> </w:t>
      </w:r>
      <w:r w:rsidR="00863721" w:rsidRPr="00252303">
        <w:rPr>
          <w:color w:val="000000" w:themeColor="text1"/>
        </w:rPr>
        <w:t>(León et al., 2023)</w:t>
      </w:r>
      <w:r w:rsidR="007831F4" w:rsidRPr="00252303">
        <w:rPr>
          <w:rFonts w:eastAsia="Arial"/>
          <w:color w:val="000000" w:themeColor="text1"/>
        </w:rPr>
        <w:t xml:space="preserve">. </w:t>
      </w:r>
      <w:r w:rsidR="002A750F" w:rsidRPr="00252303">
        <w:rPr>
          <w:color w:val="000000" w:themeColor="text1"/>
        </w:rPr>
        <w:t xml:space="preserve">Finally, </w:t>
      </w:r>
      <w:r w:rsidRPr="00252303">
        <w:rPr>
          <w:color w:val="000000" w:themeColor="text1"/>
        </w:rPr>
        <w:fldChar w:fldCharType="begin"/>
      </w:r>
      <w:r w:rsidRPr="00252303">
        <w:rPr>
          <w:color w:val="000000" w:themeColor="text1"/>
        </w:rPr>
        <w:instrText xml:space="preserve"> REF _Ref185182212 \h </w:instrText>
      </w:r>
      <w:r w:rsidR="00F56D3C" w:rsidRPr="00252303">
        <w:rPr>
          <w:color w:val="000000" w:themeColor="text1"/>
        </w:rPr>
        <w:instrText xml:space="preserve"> \* MERGEFORMAT </w:instrText>
      </w:r>
      <w:r w:rsidRPr="00252303">
        <w:rPr>
          <w:color w:val="000000" w:themeColor="text1"/>
        </w:rPr>
      </w:r>
      <w:r w:rsidRPr="00252303">
        <w:rPr>
          <w:color w:val="000000" w:themeColor="text1"/>
        </w:rPr>
        <w:fldChar w:fldCharType="separate"/>
      </w:r>
      <w:r w:rsidR="00F90049" w:rsidRPr="00252303">
        <w:rPr>
          <w:color w:val="000000" w:themeColor="text1"/>
        </w:rPr>
        <w:t>Table 4</w:t>
      </w:r>
      <w:r w:rsidRPr="00252303">
        <w:rPr>
          <w:color w:val="000000" w:themeColor="text1"/>
        </w:rPr>
        <w:fldChar w:fldCharType="end"/>
      </w:r>
      <w:r w:rsidRPr="00252303">
        <w:rPr>
          <w:color w:val="000000" w:themeColor="text1"/>
        </w:rPr>
        <w:t xml:space="preserve"> </w:t>
      </w:r>
      <w:r w:rsidR="002A750F" w:rsidRPr="00252303">
        <w:rPr>
          <w:color w:val="000000" w:themeColor="text1"/>
        </w:rPr>
        <w:t xml:space="preserve">presents the Freundlich isotherm parameters for the adsorption of POPs, indicating that the </w:t>
      </w:r>
      <w:r w:rsidR="00F05A2B" w:rsidRPr="00252303">
        <w:rPr>
          <w:color w:val="000000" w:themeColor="text1"/>
        </w:rPr>
        <w:t xml:space="preserve">presence </w:t>
      </w:r>
      <w:r w:rsidR="002A750F" w:rsidRPr="00252303">
        <w:rPr>
          <w:color w:val="000000" w:themeColor="text1"/>
        </w:rPr>
        <w:t xml:space="preserve">of OH, C=O, and –CO functional groups, </w:t>
      </w:r>
      <w:r w:rsidR="00F05A2B" w:rsidRPr="00252303">
        <w:rPr>
          <w:color w:val="000000" w:themeColor="text1"/>
        </w:rPr>
        <w:t>along with</w:t>
      </w:r>
      <w:r w:rsidR="002A750F" w:rsidRPr="00252303">
        <w:rPr>
          <w:color w:val="000000" w:themeColor="text1"/>
        </w:rPr>
        <w:t xml:space="preserve"> the SiO</w:t>
      </w:r>
      <w:r w:rsidR="002A750F" w:rsidRPr="00252303">
        <w:rPr>
          <w:color w:val="000000" w:themeColor="text1"/>
          <w:vertAlign w:val="subscript"/>
        </w:rPr>
        <w:t>2</w:t>
      </w:r>
      <w:r w:rsidR="002A750F" w:rsidRPr="00252303">
        <w:rPr>
          <w:color w:val="000000" w:themeColor="text1"/>
        </w:rPr>
        <w:t xml:space="preserve"> content in the activated carbons, </w:t>
      </w:r>
      <w:r w:rsidR="00F05A2B" w:rsidRPr="00252303">
        <w:rPr>
          <w:color w:val="000000" w:themeColor="text1"/>
        </w:rPr>
        <w:t>greatly affects the adsorption rates</w:t>
      </w:r>
      <w:r w:rsidR="002A750F" w:rsidRPr="00252303">
        <w:rPr>
          <w:color w:val="000000" w:themeColor="text1"/>
        </w:rPr>
        <w:t xml:space="preserve"> of the organic compounds</w:t>
      </w:r>
      <w:r w:rsidR="00F05A2B" w:rsidRPr="00252303">
        <w:rPr>
          <w:color w:val="000000" w:themeColor="text1"/>
        </w:rPr>
        <w:t xml:space="preserve"> examined</w:t>
      </w:r>
      <w:r w:rsidR="002A750F" w:rsidRPr="00252303">
        <w:rPr>
          <w:color w:val="000000" w:themeColor="text1"/>
        </w:rPr>
        <w:t>.</w:t>
      </w:r>
      <w:r w:rsidR="00863721" w:rsidRPr="00252303">
        <w:rPr>
          <w:rFonts w:eastAsia="Arial"/>
          <w:color w:val="000000" w:themeColor="text1"/>
        </w:rPr>
        <w:t xml:space="preserve"> These results highlight the potential of </w:t>
      </w:r>
      <w:r w:rsidR="00E22F56" w:rsidRPr="00252303">
        <w:rPr>
          <w:rFonts w:eastAsia="Arial"/>
          <w:color w:val="000000" w:themeColor="text1"/>
        </w:rPr>
        <w:t>Cocoa</w:t>
      </w:r>
      <w:r w:rsidR="00863721" w:rsidRPr="00252303">
        <w:rPr>
          <w:rFonts w:eastAsia="Arial"/>
          <w:color w:val="000000" w:themeColor="text1"/>
        </w:rPr>
        <w:t xml:space="preserve"> AC as an efficient and eco-friendly adsorbent for POPs removal from wastewater.</w:t>
      </w:r>
    </w:p>
    <w:p w14:paraId="2B8AFD2F" w14:textId="548797E1" w:rsidR="00763739" w:rsidRDefault="009E0FBF" w:rsidP="00763739">
      <w:pPr>
        <w:pStyle w:val="CETTabletitle"/>
        <w:rPr>
          <w:color w:val="000000" w:themeColor="text1"/>
          <w:lang w:val="en-US"/>
        </w:rPr>
      </w:pPr>
      <w:bookmarkStart w:id="14" w:name="_Ref185182203"/>
      <w:bookmarkEnd w:id="13"/>
      <w:r w:rsidRPr="00252303">
        <w:rPr>
          <w:color w:val="000000" w:themeColor="text1"/>
        </w:rPr>
        <w:t xml:space="preserve">Table </w:t>
      </w:r>
      <w:r w:rsidRPr="00252303">
        <w:rPr>
          <w:color w:val="000000" w:themeColor="text1"/>
        </w:rPr>
        <w:fldChar w:fldCharType="begin"/>
      </w:r>
      <w:r w:rsidRPr="00252303">
        <w:rPr>
          <w:color w:val="000000" w:themeColor="text1"/>
        </w:rPr>
        <w:instrText xml:space="preserve"> SEQ Table \* ARABIC </w:instrText>
      </w:r>
      <w:r w:rsidRPr="00252303">
        <w:rPr>
          <w:color w:val="000000" w:themeColor="text1"/>
        </w:rPr>
        <w:fldChar w:fldCharType="separate"/>
      </w:r>
      <w:r w:rsidR="00F90049" w:rsidRPr="00252303">
        <w:rPr>
          <w:noProof/>
          <w:color w:val="000000" w:themeColor="text1"/>
        </w:rPr>
        <w:t>3</w:t>
      </w:r>
      <w:r w:rsidRPr="00252303">
        <w:rPr>
          <w:color w:val="000000" w:themeColor="text1"/>
        </w:rPr>
        <w:fldChar w:fldCharType="end"/>
      </w:r>
      <w:bookmarkEnd w:id="14"/>
      <w:r w:rsidR="00763739" w:rsidRPr="00252303">
        <w:rPr>
          <w:color w:val="000000" w:themeColor="text1"/>
          <w:lang w:val="en-US"/>
        </w:rPr>
        <w:t>: Adsorption of</w:t>
      </w:r>
      <w:r w:rsidR="00763739" w:rsidRPr="00252303">
        <w:rPr>
          <w:rFonts w:eastAsia="Arial"/>
          <w:color w:val="000000" w:themeColor="text1"/>
          <w:lang w:val="en-US"/>
        </w:rPr>
        <w:t xml:space="preserve"> Persistent Organic Pollutants (POPs)</w:t>
      </w:r>
      <w:r w:rsidR="00763739" w:rsidRPr="00252303">
        <w:rPr>
          <w:color w:val="000000" w:themeColor="text1"/>
          <w:lang w:val="en-US"/>
        </w:rPr>
        <w:t>.</w:t>
      </w:r>
    </w:p>
    <w:tbl>
      <w:tblPr>
        <w:tblStyle w:val="Tablaconcuadrcula"/>
        <w:tblW w:w="8712" w:type="dxa"/>
        <w:tblBorders>
          <w:top w:val="none" w:sz="12" w:space="0" w:color="000000" w:themeColor="text1"/>
          <w:left w:val="none" w:sz="12" w:space="0" w:color="000000" w:themeColor="text1"/>
          <w:bottom w:val="singl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1985"/>
        <w:gridCol w:w="1984"/>
        <w:gridCol w:w="1276"/>
        <w:gridCol w:w="1197"/>
        <w:gridCol w:w="1071"/>
        <w:gridCol w:w="1199"/>
      </w:tblGrid>
      <w:tr w:rsidR="00252303" w:rsidRPr="00252303" w14:paraId="36F6E508" w14:textId="77777777" w:rsidTr="00AE55BB">
        <w:trPr>
          <w:trHeight w:val="30"/>
        </w:trPr>
        <w:tc>
          <w:tcPr>
            <w:tcW w:w="1985" w:type="dxa"/>
            <w:vMerge w:val="restart"/>
            <w:tcBorders>
              <w:top w:val="single" w:sz="12" w:space="0" w:color="008000"/>
            </w:tcBorders>
            <w:vAlign w:val="center"/>
          </w:tcPr>
          <w:p w14:paraId="0E1FB2CB" w14:textId="1B3F9BA4" w:rsidR="00763739" w:rsidRPr="00B71071" w:rsidRDefault="00763739" w:rsidP="00763739">
            <w:pPr>
              <w:pStyle w:val="CETBodytext"/>
              <w:spacing w:line="240" w:lineRule="auto"/>
              <w:jc w:val="center"/>
              <w:rPr>
                <w:rFonts w:eastAsia="Arial" w:cs="Arial"/>
                <w:color w:val="000000" w:themeColor="text1"/>
              </w:rPr>
            </w:pPr>
            <w:r w:rsidRPr="00B71071">
              <w:rPr>
                <w:rFonts w:eastAsia="Arial" w:cs="Arial"/>
                <w:color w:val="000000" w:themeColor="text1"/>
              </w:rPr>
              <w:t>Persistent Organic Pollutants</w:t>
            </w:r>
          </w:p>
        </w:tc>
        <w:tc>
          <w:tcPr>
            <w:tcW w:w="1984" w:type="dxa"/>
            <w:vMerge w:val="restart"/>
            <w:tcBorders>
              <w:top w:val="single" w:sz="12" w:space="0" w:color="008000"/>
              <w:bottom w:val="single" w:sz="12" w:space="0" w:color="000000" w:themeColor="text1"/>
            </w:tcBorders>
            <w:vAlign w:val="center"/>
          </w:tcPr>
          <w:p w14:paraId="711ACA7E" w14:textId="77777777" w:rsidR="00763739" w:rsidRPr="00B71071" w:rsidRDefault="00763739" w:rsidP="00F23B7F">
            <w:pPr>
              <w:pStyle w:val="CETBodytext"/>
              <w:spacing w:line="240" w:lineRule="auto"/>
              <w:jc w:val="center"/>
              <w:rPr>
                <w:rFonts w:eastAsia="Arial" w:cs="Arial"/>
                <w:color w:val="000000" w:themeColor="text1"/>
              </w:rPr>
            </w:pPr>
            <w:r w:rsidRPr="00B71071">
              <w:rPr>
                <w:rFonts w:eastAsia="Arial" w:cs="Arial"/>
                <w:color w:val="000000" w:themeColor="text1"/>
              </w:rPr>
              <w:t>Activated carbon type</w:t>
            </w:r>
          </w:p>
        </w:tc>
        <w:tc>
          <w:tcPr>
            <w:tcW w:w="3544" w:type="dxa"/>
            <w:gridSpan w:val="3"/>
            <w:tcBorders>
              <w:top w:val="single" w:sz="12" w:space="0" w:color="008000"/>
              <w:bottom w:val="single" w:sz="4" w:space="0" w:color="008000"/>
            </w:tcBorders>
            <w:vAlign w:val="center"/>
          </w:tcPr>
          <w:p w14:paraId="2BD73F2F" w14:textId="77777777" w:rsidR="00763739" w:rsidRPr="00B71071" w:rsidRDefault="00763739" w:rsidP="00F23B7F">
            <w:pPr>
              <w:pStyle w:val="CETBodytext"/>
              <w:spacing w:line="240" w:lineRule="auto"/>
              <w:jc w:val="center"/>
              <w:rPr>
                <w:rFonts w:eastAsia="Arial" w:cs="Arial"/>
                <w:color w:val="000000" w:themeColor="text1"/>
              </w:rPr>
            </w:pPr>
            <w:r w:rsidRPr="00B71071">
              <w:rPr>
                <w:rFonts w:eastAsia="Arial" w:cs="Arial"/>
                <w:color w:val="000000" w:themeColor="text1"/>
              </w:rPr>
              <w:t>R</w:t>
            </w:r>
            <w:r w:rsidRPr="00B71071">
              <w:rPr>
                <w:rFonts w:eastAsia="Arial" w:cs="Arial"/>
                <w:color w:val="000000" w:themeColor="text1"/>
                <w:vertAlign w:val="superscript"/>
              </w:rPr>
              <w:t>2</w:t>
            </w:r>
            <w:r w:rsidRPr="00B71071">
              <w:rPr>
                <w:rFonts w:eastAsia="Arial" w:cs="Arial"/>
                <w:color w:val="000000" w:themeColor="text1"/>
              </w:rPr>
              <w:t xml:space="preserve"> correlation</w:t>
            </w:r>
          </w:p>
        </w:tc>
        <w:tc>
          <w:tcPr>
            <w:tcW w:w="1199" w:type="dxa"/>
            <w:vMerge w:val="restart"/>
            <w:tcBorders>
              <w:top w:val="single" w:sz="12" w:space="0" w:color="008000"/>
              <w:bottom w:val="single" w:sz="18" w:space="0" w:color="00B050"/>
            </w:tcBorders>
            <w:vAlign w:val="center"/>
          </w:tcPr>
          <w:p w14:paraId="7B9FA7D7" w14:textId="77777777" w:rsidR="00763739" w:rsidRPr="00B71071" w:rsidRDefault="00763739" w:rsidP="00763739">
            <w:pPr>
              <w:pStyle w:val="CETHeadingxx"/>
              <w:numPr>
                <w:ilvl w:val="0"/>
                <w:numId w:val="0"/>
              </w:numPr>
              <w:rPr>
                <w:b w:val="0"/>
                <w:color w:val="000000" w:themeColor="text1"/>
              </w:rPr>
            </w:pPr>
            <w:r w:rsidRPr="00B71071">
              <w:rPr>
                <w:b w:val="0"/>
                <w:color w:val="000000" w:themeColor="text1"/>
              </w:rPr>
              <w:t>Adsorption percent, %</w:t>
            </w:r>
          </w:p>
        </w:tc>
      </w:tr>
      <w:tr w:rsidR="00252303" w:rsidRPr="00252303" w14:paraId="1125C962" w14:textId="77777777" w:rsidTr="00AE55BB">
        <w:trPr>
          <w:trHeight w:val="30"/>
        </w:trPr>
        <w:tc>
          <w:tcPr>
            <w:tcW w:w="1985" w:type="dxa"/>
            <w:vMerge/>
            <w:tcBorders>
              <w:bottom w:val="single" w:sz="4" w:space="0" w:color="008000"/>
            </w:tcBorders>
          </w:tcPr>
          <w:p w14:paraId="38BD3C8C" w14:textId="77777777" w:rsidR="00763739" w:rsidRPr="00B71071" w:rsidRDefault="00763739" w:rsidP="00F23B7F">
            <w:pPr>
              <w:pStyle w:val="CETHeadingxx"/>
              <w:rPr>
                <w:b w:val="0"/>
                <w:color w:val="000000" w:themeColor="text1"/>
              </w:rPr>
            </w:pPr>
          </w:p>
        </w:tc>
        <w:tc>
          <w:tcPr>
            <w:tcW w:w="1984" w:type="dxa"/>
            <w:vMerge/>
            <w:tcBorders>
              <w:bottom w:val="single" w:sz="4" w:space="0" w:color="008000"/>
            </w:tcBorders>
          </w:tcPr>
          <w:p w14:paraId="4EC89C21" w14:textId="77777777" w:rsidR="00763739" w:rsidRPr="00B71071" w:rsidRDefault="00763739" w:rsidP="00F23B7F">
            <w:pPr>
              <w:pStyle w:val="CETHeadingxx"/>
              <w:rPr>
                <w:b w:val="0"/>
                <w:color w:val="000000" w:themeColor="text1"/>
              </w:rPr>
            </w:pPr>
          </w:p>
        </w:tc>
        <w:tc>
          <w:tcPr>
            <w:tcW w:w="1276" w:type="dxa"/>
            <w:tcBorders>
              <w:top w:val="single" w:sz="4" w:space="0" w:color="008000"/>
              <w:bottom w:val="single" w:sz="4" w:space="0" w:color="008000"/>
            </w:tcBorders>
            <w:vAlign w:val="center"/>
          </w:tcPr>
          <w:p w14:paraId="011A6C98" w14:textId="77777777" w:rsidR="00763739" w:rsidRPr="00B71071" w:rsidRDefault="00763739" w:rsidP="00F23B7F">
            <w:pPr>
              <w:pStyle w:val="CETBodytext"/>
              <w:spacing w:line="240" w:lineRule="auto"/>
              <w:jc w:val="center"/>
              <w:rPr>
                <w:rFonts w:eastAsia="Arial" w:cs="Arial"/>
                <w:color w:val="000000" w:themeColor="text1"/>
              </w:rPr>
            </w:pPr>
            <w:r w:rsidRPr="00B71071">
              <w:rPr>
                <w:rFonts w:eastAsia="Arial" w:cs="Arial"/>
                <w:color w:val="000000" w:themeColor="text1"/>
              </w:rPr>
              <w:t>Langmuir</w:t>
            </w:r>
          </w:p>
        </w:tc>
        <w:tc>
          <w:tcPr>
            <w:tcW w:w="1197" w:type="dxa"/>
            <w:tcBorders>
              <w:top w:val="single" w:sz="4" w:space="0" w:color="008000"/>
              <w:bottom w:val="single" w:sz="4" w:space="0" w:color="008000"/>
            </w:tcBorders>
            <w:vAlign w:val="center"/>
          </w:tcPr>
          <w:p w14:paraId="6DC4A515" w14:textId="77777777" w:rsidR="00763739" w:rsidRPr="00B71071" w:rsidRDefault="00763739" w:rsidP="00F23B7F">
            <w:pPr>
              <w:pStyle w:val="CETBodytext"/>
              <w:spacing w:line="240" w:lineRule="auto"/>
              <w:jc w:val="center"/>
              <w:rPr>
                <w:rFonts w:eastAsia="Arial" w:cs="Arial"/>
                <w:color w:val="000000" w:themeColor="text1"/>
              </w:rPr>
            </w:pPr>
            <w:r w:rsidRPr="00B71071">
              <w:rPr>
                <w:rFonts w:eastAsia="Arial" w:cs="Arial"/>
                <w:color w:val="000000" w:themeColor="text1"/>
              </w:rPr>
              <w:t>Freundlich</w:t>
            </w:r>
          </w:p>
        </w:tc>
        <w:tc>
          <w:tcPr>
            <w:tcW w:w="1071" w:type="dxa"/>
            <w:tcBorders>
              <w:top w:val="single" w:sz="4" w:space="0" w:color="008000"/>
              <w:bottom w:val="single" w:sz="4" w:space="0" w:color="008000"/>
            </w:tcBorders>
            <w:vAlign w:val="center"/>
          </w:tcPr>
          <w:p w14:paraId="2BFE1ABB" w14:textId="77777777" w:rsidR="00763739" w:rsidRPr="00B71071" w:rsidRDefault="00763739" w:rsidP="00F23B7F">
            <w:pPr>
              <w:pStyle w:val="CETBodytext"/>
              <w:spacing w:line="240" w:lineRule="auto"/>
              <w:jc w:val="center"/>
              <w:rPr>
                <w:rFonts w:eastAsia="Arial" w:cs="Arial"/>
                <w:color w:val="000000" w:themeColor="text1"/>
              </w:rPr>
            </w:pPr>
            <w:r w:rsidRPr="00B71071">
              <w:rPr>
                <w:rFonts w:eastAsia="Arial" w:cs="Arial"/>
                <w:color w:val="000000" w:themeColor="text1"/>
              </w:rPr>
              <w:t>Temkin</w:t>
            </w:r>
          </w:p>
        </w:tc>
        <w:tc>
          <w:tcPr>
            <w:tcW w:w="1199" w:type="dxa"/>
            <w:vMerge/>
            <w:tcBorders>
              <w:top w:val="single" w:sz="18" w:space="0" w:color="00B050"/>
              <w:bottom w:val="single" w:sz="4" w:space="0" w:color="008000"/>
            </w:tcBorders>
          </w:tcPr>
          <w:p w14:paraId="4E543FF0" w14:textId="77777777" w:rsidR="00763739" w:rsidRPr="00252303" w:rsidRDefault="00763739" w:rsidP="00F23B7F">
            <w:pPr>
              <w:pStyle w:val="CETHeadingxx"/>
              <w:rPr>
                <w:color w:val="000000" w:themeColor="text1"/>
              </w:rPr>
            </w:pPr>
          </w:p>
        </w:tc>
      </w:tr>
      <w:tr w:rsidR="00252303" w:rsidRPr="00252303" w14:paraId="283DC51A" w14:textId="77777777" w:rsidTr="00AE55BB">
        <w:trPr>
          <w:trHeight w:val="30"/>
        </w:trPr>
        <w:tc>
          <w:tcPr>
            <w:tcW w:w="1985" w:type="dxa"/>
            <w:vMerge w:val="restart"/>
            <w:tcBorders>
              <w:top w:val="single" w:sz="4" w:space="0" w:color="008000"/>
            </w:tcBorders>
            <w:vAlign w:val="center"/>
          </w:tcPr>
          <w:p w14:paraId="71AB7D5B" w14:textId="31236ACD" w:rsidR="00763739" w:rsidRPr="00252303" w:rsidRDefault="00763739" w:rsidP="00763739">
            <w:pPr>
              <w:pStyle w:val="CETBodytext"/>
              <w:spacing w:line="240" w:lineRule="auto"/>
              <w:jc w:val="center"/>
              <w:rPr>
                <w:rFonts w:eastAsia="Arial" w:cs="Arial"/>
                <w:color w:val="000000" w:themeColor="text1"/>
              </w:rPr>
            </w:pPr>
            <w:r w:rsidRPr="00252303">
              <w:rPr>
                <w:rFonts w:eastAsia="Arial" w:cs="Arial"/>
                <w:color w:val="000000" w:themeColor="text1"/>
              </w:rPr>
              <w:t>Ph</w:t>
            </w:r>
          </w:p>
        </w:tc>
        <w:tc>
          <w:tcPr>
            <w:tcW w:w="1984" w:type="dxa"/>
            <w:tcBorders>
              <w:top w:val="single" w:sz="4" w:space="0" w:color="008000"/>
            </w:tcBorders>
            <w:vAlign w:val="center"/>
          </w:tcPr>
          <w:p w14:paraId="5AF4F435" w14:textId="63D78F56" w:rsidR="00763739" w:rsidRPr="00252303" w:rsidRDefault="00E22F56" w:rsidP="00763739">
            <w:pPr>
              <w:pStyle w:val="CETBodytext"/>
              <w:spacing w:line="240" w:lineRule="auto"/>
              <w:jc w:val="center"/>
              <w:rPr>
                <w:rFonts w:eastAsia="Arial" w:cs="Arial"/>
                <w:color w:val="000000" w:themeColor="text1"/>
              </w:rPr>
            </w:pPr>
            <w:r w:rsidRPr="00252303">
              <w:rPr>
                <w:rFonts w:eastAsia="Arial" w:cs="Arial"/>
                <w:color w:val="000000" w:themeColor="text1"/>
              </w:rPr>
              <w:t>Cocoa</w:t>
            </w:r>
            <w:r w:rsidR="00763739" w:rsidRPr="00252303">
              <w:rPr>
                <w:rFonts w:eastAsia="Arial" w:cs="Arial"/>
                <w:color w:val="000000" w:themeColor="text1"/>
              </w:rPr>
              <w:t xml:space="preserve"> AC</w:t>
            </w:r>
          </w:p>
        </w:tc>
        <w:tc>
          <w:tcPr>
            <w:tcW w:w="1276" w:type="dxa"/>
            <w:tcBorders>
              <w:top w:val="single" w:sz="4" w:space="0" w:color="008000"/>
            </w:tcBorders>
            <w:vAlign w:val="center"/>
          </w:tcPr>
          <w:p w14:paraId="024981AE" w14:textId="77777777" w:rsidR="00763739" w:rsidRPr="00252303" w:rsidRDefault="00763739" w:rsidP="00763739">
            <w:pPr>
              <w:pStyle w:val="CETBodytext"/>
              <w:spacing w:line="240" w:lineRule="auto"/>
              <w:jc w:val="center"/>
              <w:rPr>
                <w:rFonts w:eastAsia="Arial" w:cs="Arial"/>
                <w:color w:val="000000" w:themeColor="text1"/>
              </w:rPr>
            </w:pPr>
            <w:r w:rsidRPr="00252303">
              <w:rPr>
                <w:rFonts w:eastAsia="Arial" w:cs="Arial"/>
                <w:color w:val="000000" w:themeColor="text1"/>
              </w:rPr>
              <w:t>0.9830</w:t>
            </w:r>
          </w:p>
        </w:tc>
        <w:tc>
          <w:tcPr>
            <w:tcW w:w="1197" w:type="dxa"/>
            <w:tcBorders>
              <w:top w:val="single" w:sz="4" w:space="0" w:color="008000"/>
            </w:tcBorders>
            <w:vAlign w:val="center"/>
          </w:tcPr>
          <w:p w14:paraId="59009D51" w14:textId="77777777" w:rsidR="00763739" w:rsidRPr="00252303" w:rsidRDefault="00763739" w:rsidP="00763739">
            <w:pPr>
              <w:pStyle w:val="CETBodytext"/>
              <w:spacing w:line="240" w:lineRule="auto"/>
              <w:jc w:val="center"/>
              <w:rPr>
                <w:rFonts w:eastAsia="Arial" w:cs="Arial"/>
                <w:color w:val="000000" w:themeColor="text1"/>
              </w:rPr>
            </w:pPr>
            <w:r w:rsidRPr="00252303">
              <w:rPr>
                <w:rFonts w:eastAsia="Arial" w:cs="Arial"/>
                <w:color w:val="000000" w:themeColor="text1"/>
              </w:rPr>
              <w:t>0.9970</w:t>
            </w:r>
          </w:p>
        </w:tc>
        <w:tc>
          <w:tcPr>
            <w:tcW w:w="1071" w:type="dxa"/>
            <w:tcBorders>
              <w:top w:val="single" w:sz="4" w:space="0" w:color="008000"/>
            </w:tcBorders>
            <w:vAlign w:val="center"/>
          </w:tcPr>
          <w:p w14:paraId="07A0139C" w14:textId="77777777" w:rsidR="00763739" w:rsidRPr="00252303" w:rsidRDefault="00763739" w:rsidP="00763739">
            <w:pPr>
              <w:pStyle w:val="CETBodytext"/>
              <w:spacing w:line="240" w:lineRule="auto"/>
              <w:jc w:val="center"/>
              <w:rPr>
                <w:rFonts w:eastAsia="Arial" w:cs="Arial"/>
                <w:color w:val="000000" w:themeColor="text1"/>
              </w:rPr>
            </w:pPr>
            <w:r w:rsidRPr="00252303">
              <w:rPr>
                <w:rFonts w:eastAsia="Arial" w:cs="Arial"/>
                <w:color w:val="000000" w:themeColor="text1"/>
              </w:rPr>
              <w:t>0.9770</w:t>
            </w:r>
          </w:p>
        </w:tc>
        <w:tc>
          <w:tcPr>
            <w:tcW w:w="1199" w:type="dxa"/>
            <w:tcBorders>
              <w:top w:val="single" w:sz="4" w:space="0" w:color="008000"/>
            </w:tcBorders>
            <w:vAlign w:val="center"/>
          </w:tcPr>
          <w:p w14:paraId="231CF05C" w14:textId="77777777" w:rsidR="00763739" w:rsidRPr="00252303" w:rsidRDefault="00763739" w:rsidP="00763739">
            <w:pPr>
              <w:pStyle w:val="CETBodytext"/>
              <w:spacing w:line="240" w:lineRule="auto"/>
              <w:jc w:val="center"/>
              <w:rPr>
                <w:rFonts w:eastAsia="Arial" w:cs="Arial"/>
                <w:color w:val="000000" w:themeColor="text1"/>
              </w:rPr>
            </w:pPr>
            <w:r w:rsidRPr="00252303">
              <w:rPr>
                <w:rFonts w:eastAsia="Arial" w:cs="Arial"/>
                <w:color w:val="000000" w:themeColor="text1"/>
              </w:rPr>
              <w:t>95.12</w:t>
            </w:r>
          </w:p>
        </w:tc>
      </w:tr>
      <w:tr w:rsidR="00252303" w:rsidRPr="00252303" w14:paraId="2D218470" w14:textId="77777777" w:rsidTr="00414185">
        <w:trPr>
          <w:trHeight w:val="60"/>
        </w:trPr>
        <w:tc>
          <w:tcPr>
            <w:tcW w:w="1985" w:type="dxa"/>
            <w:vMerge/>
            <w:tcBorders>
              <w:bottom w:val="nil"/>
            </w:tcBorders>
            <w:vAlign w:val="center"/>
          </w:tcPr>
          <w:p w14:paraId="64BF3B74" w14:textId="77777777" w:rsidR="00763739" w:rsidRPr="00252303" w:rsidRDefault="00763739" w:rsidP="00763739">
            <w:pPr>
              <w:pStyle w:val="CETBodytext"/>
              <w:spacing w:line="240" w:lineRule="auto"/>
              <w:jc w:val="center"/>
              <w:rPr>
                <w:rFonts w:eastAsia="Arial" w:cs="Arial"/>
                <w:color w:val="000000" w:themeColor="text1"/>
              </w:rPr>
            </w:pPr>
          </w:p>
        </w:tc>
        <w:tc>
          <w:tcPr>
            <w:tcW w:w="1984" w:type="dxa"/>
            <w:tcBorders>
              <w:bottom w:val="nil"/>
            </w:tcBorders>
            <w:vAlign w:val="center"/>
          </w:tcPr>
          <w:p w14:paraId="1758B626" w14:textId="43700D31" w:rsidR="00763739" w:rsidRPr="00252303" w:rsidRDefault="00E22F56" w:rsidP="00763739">
            <w:pPr>
              <w:pStyle w:val="CETBodytext"/>
              <w:spacing w:line="240" w:lineRule="auto"/>
              <w:jc w:val="center"/>
              <w:rPr>
                <w:rFonts w:eastAsia="Arial" w:cs="Arial"/>
                <w:color w:val="000000" w:themeColor="text1"/>
                <w:vertAlign w:val="subscript"/>
              </w:rPr>
            </w:pPr>
            <w:r w:rsidRPr="00252303">
              <w:rPr>
                <w:rFonts w:eastAsia="Arial" w:cs="Arial"/>
                <w:color w:val="000000" w:themeColor="text1"/>
              </w:rPr>
              <w:t>Cocoa</w:t>
            </w:r>
            <w:r w:rsidR="00763739" w:rsidRPr="00252303">
              <w:rPr>
                <w:rFonts w:eastAsia="Arial" w:cs="Arial"/>
                <w:color w:val="000000" w:themeColor="text1"/>
              </w:rPr>
              <w:t xml:space="preserve"> AC + SiO</w:t>
            </w:r>
            <w:r w:rsidR="00763739" w:rsidRPr="00252303">
              <w:rPr>
                <w:rFonts w:eastAsia="Arial" w:cs="Arial"/>
                <w:color w:val="000000" w:themeColor="text1"/>
                <w:vertAlign w:val="subscript"/>
              </w:rPr>
              <w:t>2</w:t>
            </w:r>
          </w:p>
        </w:tc>
        <w:tc>
          <w:tcPr>
            <w:tcW w:w="1276" w:type="dxa"/>
            <w:tcBorders>
              <w:bottom w:val="nil"/>
            </w:tcBorders>
            <w:vAlign w:val="center"/>
          </w:tcPr>
          <w:p w14:paraId="41507D96" w14:textId="77777777" w:rsidR="00763739" w:rsidRPr="00252303" w:rsidRDefault="00763739" w:rsidP="00763739">
            <w:pPr>
              <w:pStyle w:val="CETBodytext"/>
              <w:spacing w:line="240" w:lineRule="auto"/>
              <w:jc w:val="center"/>
              <w:rPr>
                <w:rFonts w:eastAsia="Arial" w:cs="Arial"/>
                <w:color w:val="000000" w:themeColor="text1"/>
              </w:rPr>
            </w:pPr>
            <w:r w:rsidRPr="00252303">
              <w:rPr>
                <w:rFonts w:eastAsia="Arial" w:cs="Arial"/>
                <w:color w:val="000000" w:themeColor="text1"/>
              </w:rPr>
              <w:t>0.9870</w:t>
            </w:r>
          </w:p>
        </w:tc>
        <w:tc>
          <w:tcPr>
            <w:tcW w:w="1197" w:type="dxa"/>
            <w:tcBorders>
              <w:bottom w:val="nil"/>
            </w:tcBorders>
            <w:vAlign w:val="center"/>
          </w:tcPr>
          <w:p w14:paraId="47EEBCA8" w14:textId="77777777" w:rsidR="00763739" w:rsidRPr="00252303" w:rsidRDefault="00763739" w:rsidP="00763739">
            <w:pPr>
              <w:pStyle w:val="CETBodytext"/>
              <w:spacing w:line="240" w:lineRule="auto"/>
              <w:jc w:val="center"/>
              <w:rPr>
                <w:rFonts w:eastAsia="Arial" w:cs="Arial"/>
                <w:color w:val="000000" w:themeColor="text1"/>
              </w:rPr>
            </w:pPr>
            <w:r w:rsidRPr="00252303">
              <w:rPr>
                <w:rFonts w:eastAsia="Arial" w:cs="Arial"/>
                <w:color w:val="000000" w:themeColor="text1"/>
              </w:rPr>
              <w:t>0.9920</w:t>
            </w:r>
          </w:p>
        </w:tc>
        <w:tc>
          <w:tcPr>
            <w:tcW w:w="1071" w:type="dxa"/>
            <w:tcBorders>
              <w:bottom w:val="nil"/>
            </w:tcBorders>
            <w:vAlign w:val="center"/>
          </w:tcPr>
          <w:p w14:paraId="2CC858B7" w14:textId="77777777" w:rsidR="00763739" w:rsidRPr="00252303" w:rsidRDefault="00763739" w:rsidP="00763739">
            <w:pPr>
              <w:pStyle w:val="CETBodytext"/>
              <w:spacing w:line="240" w:lineRule="auto"/>
              <w:jc w:val="center"/>
              <w:rPr>
                <w:rFonts w:eastAsia="Arial" w:cs="Arial"/>
                <w:color w:val="000000" w:themeColor="text1"/>
              </w:rPr>
            </w:pPr>
            <w:r w:rsidRPr="00252303">
              <w:rPr>
                <w:rFonts w:eastAsia="Arial" w:cs="Arial"/>
                <w:color w:val="000000" w:themeColor="text1"/>
              </w:rPr>
              <w:t>0.9810</w:t>
            </w:r>
          </w:p>
        </w:tc>
        <w:tc>
          <w:tcPr>
            <w:tcW w:w="1199" w:type="dxa"/>
            <w:tcBorders>
              <w:bottom w:val="nil"/>
            </w:tcBorders>
            <w:vAlign w:val="center"/>
          </w:tcPr>
          <w:p w14:paraId="1D003C99" w14:textId="77777777" w:rsidR="00763739" w:rsidRPr="00252303" w:rsidRDefault="00763739" w:rsidP="00763739">
            <w:pPr>
              <w:pStyle w:val="CETBodytext"/>
              <w:spacing w:line="240" w:lineRule="auto"/>
              <w:jc w:val="center"/>
              <w:rPr>
                <w:rFonts w:eastAsia="Arial" w:cs="Arial"/>
                <w:color w:val="000000" w:themeColor="text1"/>
              </w:rPr>
            </w:pPr>
            <w:r w:rsidRPr="00252303">
              <w:rPr>
                <w:rFonts w:eastAsia="Arial" w:cs="Arial"/>
                <w:color w:val="000000" w:themeColor="text1"/>
              </w:rPr>
              <w:t>97.09</w:t>
            </w:r>
          </w:p>
        </w:tc>
      </w:tr>
      <w:tr w:rsidR="00252303" w:rsidRPr="00252303" w14:paraId="50E1B975" w14:textId="77777777" w:rsidTr="00414185">
        <w:trPr>
          <w:trHeight w:val="104"/>
        </w:trPr>
        <w:tc>
          <w:tcPr>
            <w:tcW w:w="1985" w:type="dxa"/>
            <w:vMerge w:val="restart"/>
            <w:tcBorders>
              <w:top w:val="nil"/>
              <w:left w:val="nil"/>
              <w:bottom w:val="nil"/>
              <w:right w:val="nil"/>
            </w:tcBorders>
            <w:vAlign w:val="center"/>
          </w:tcPr>
          <w:p w14:paraId="16ABB36A" w14:textId="2084A7BB" w:rsidR="00763739" w:rsidRPr="00252303" w:rsidRDefault="00763739" w:rsidP="00763739">
            <w:pPr>
              <w:pStyle w:val="CETBodytext"/>
              <w:spacing w:line="240" w:lineRule="auto"/>
              <w:jc w:val="center"/>
              <w:rPr>
                <w:rFonts w:eastAsia="Arial" w:cs="Arial"/>
                <w:color w:val="000000" w:themeColor="text1"/>
              </w:rPr>
            </w:pPr>
            <w:r w:rsidRPr="00252303">
              <w:rPr>
                <w:color w:val="000000" w:themeColor="text1"/>
              </w:rPr>
              <w:t>MB</w:t>
            </w:r>
          </w:p>
        </w:tc>
        <w:tc>
          <w:tcPr>
            <w:tcW w:w="1984" w:type="dxa"/>
            <w:tcBorders>
              <w:top w:val="nil"/>
              <w:left w:val="nil"/>
              <w:bottom w:val="nil"/>
              <w:right w:val="nil"/>
            </w:tcBorders>
            <w:vAlign w:val="center"/>
          </w:tcPr>
          <w:p w14:paraId="540EB4E3" w14:textId="50D79276" w:rsidR="00763739" w:rsidRPr="00252303" w:rsidRDefault="00E22F56" w:rsidP="00763739">
            <w:pPr>
              <w:pStyle w:val="CETBodytext"/>
              <w:spacing w:line="240" w:lineRule="auto"/>
              <w:jc w:val="center"/>
              <w:rPr>
                <w:rFonts w:eastAsia="Arial" w:cs="Arial"/>
                <w:color w:val="000000" w:themeColor="text1"/>
              </w:rPr>
            </w:pPr>
            <w:r w:rsidRPr="00252303">
              <w:rPr>
                <w:rFonts w:eastAsia="Arial" w:cs="Arial"/>
                <w:color w:val="000000" w:themeColor="text1"/>
              </w:rPr>
              <w:t>Cocoa</w:t>
            </w:r>
            <w:r w:rsidR="00763739" w:rsidRPr="00252303">
              <w:rPr>
                <w:rFonts w:eastAsia="Arial" w:cs="Arial"/>
                <w:color w:val="000000" w:themeColor="text1"/>
              </w:rPr>
              <w:t xml:space="preserve"> AC</w:t>
            </w:r>
          </w:p>
        </w:tc>
        <w:tc>
          <w:tcPr>
            <w:tcW w:w="1276" w:type="dxa"/>
            <w:tcBorders>
              <w:top w:val="nil"/>
              <w:left w:val="nil"/>
              <w:bottom w:val="nil"/>
              <w:right w:val="nil"/>
            </w:tcBorders>
            <w:vAlign w:val="center"/>
          </w:tcPr>
          <w:p w14:paraId="533E37F7" w14:textId="06929E8B" w:rsidR="00763739" w:rsidRPr="00252303" w:rsidRDefault="00763739" w:rsidP="00763739">
            <w:pPr>
              <w:pStyle w:val="CETBodytext"/>
              <w:spacing w:line="240" w:lineRule="auto"/>
              <w:jc w:val="center"/>
              <w:rPr>
                <w:rFonts w:eastAsia="Arial" w:cs="Arial"/>
                <w:color w:val="000000" w:themeColor="text1"/>
              </w:rPr>
            </w:pPr>
            <w:r w:rsidRPr="00252303">
              <w:rPr>
                <w:rFonts w:eastAsia="Arial" w:cs="Arial"/>
                <w:color w:val="000000" w:themeColor="text1"/>
              </w:rPr>
              <w:t>0.8996</w:t>
            </w:r>
          </w:p>
        </w:tc>
        <w:tc>
          <w:tcPr>
            <w:tcW w:w="1197" w:type="dxa"/>
            <w:tcBorders>
              <w:top w:val="nil"/>
              <w:left w:val="nil"/>
              <w:bottom w:val="nil"/>
              <w:right w:val="nil"/>
            </w:tcBorders>
            <w:vAlign w:val="center"/>
          </w:tcPr>
          <w:p w14:paraId="14F5CDDC" w14:textId="41D8E19C" w:rsidR="00763739" w:rsidRPr="00252303" w:rsidRDefault="00763739" w:rsidP="00763739">
            <w:pPr>
              <w:pStyle w:val="CETBodytext"/>
              <w:spacing w:line="240" w:lineRule="auto"/>
              <w:jc w:val="center"/>
              <w:rPr>
                <w:rFonts w:eastAsia="Arial" w:cs="Arial"/>
                <w:color w:val="000000" w:themeColor="text1"/>
              </w:rPr>
            </w:pPr>
            <w:r w:rsidRPr="00252303">
              <w:rPr>
                <w:rFonts w:eastAsia="Arial" w:cs="Arial"/>
                <w:color w:val="000000" w:themeColor="text1"/>
              </w:rPr>
              <w:t>0.9956</w:t>
            </w:r>
          </w:p>
        </w:tc>
        <w:tc>
          <w:tcPr>
            <w:tcW w:w="1071" w:type="dxa"/>
            <w:tcBorders>
              <w:top w:val="nil"/>
              <w:left w:val="nil"/>
              <w:bottom w:val="nil"/>
              <w:right w:val="nil"/>
            </w:tcBorders>
            <w:vAlign w:val="center"/>
          </w:tcPr>
          <w:p w14:paraId="34E71D35" w14:textId="3853F078" w:rsidR="00763739" w:rsidRPr="00252303" w:rsidRDefault="00763739" w:rsidP="00763739">
            <w:pPr>
              <w:pStyle w:val="CETBodytext"/>
              <w:spacing w:line="240" w:lineRule="auto"/>
              <w:jc w:val="center"/>
              <w:rPr>
                <w:rFonts w:eastAsia="Arial" w:cs="Arial"/>
                <w:color w:val="000000" w:themeColor="text1"/>
              </w:rPr>
            </w:pPr>
            <w:r w:rsidRPr="00252303">
              <w:rPr>
                <w:rFonts w:eastAsia="Arial" w:cs="Arial"/>
                <w:color w:val="000000" w:themeColor="text1"/>
              </w:rPr>
              <w:t>0.8547</w:t>
            </w:r>
          </w:p>
        </w:tc>
        <w:tc>
          <w:tcPr>
            <w:tcW w:w="1199" w:type="dxa"/>
            <w:tcBorders>
              <w:top w:val="nil"/>
              <w:left w:val="nil"/>
              <w:bottom w:val="nil"/>
              <w:right w:val="nil"/>
            </w:tcBorders>
            <w:vAlign w:val="center"/>
          </w:tcPr>
          <w:p w14:paraId="21583B25" w14:textId="073CFA6C" w:rsidR="00763739" w:rsidRPr="00252303" w:rsidRDefault="00763739" w:rsidP="00763739">
            <w:pPr>
              <w:pStyle w:val="CETBodytext"/>
              <w:spacing w:line="240" w:lineRule="auto"/>
              <w:jc w:val="center"/>
              <w:rPr>
                <w:rFonts w:eastAsia="Arial" w:cs="Arial"/>
                <w:color w:val="000000" w:themeColor="text1"/>
              </w:rPr>
            </w:pPr>
            <w:r w:rsidRPr="00252303">
              <w:rPr>
                <w:rFonts w:eastAsia="Arial" w:cs="Arial"/>
                <w:color w:val="000000" w:themeColor="text1"/>
              </w:rPr>
              <w:t>92.55</w:t>
            </w:r>
          </w:p>
        </w:tc>
      </w:tr>
      <w:tr w:rsidR="00252303" w:rsidRPr="00252303" w14:paraId="67ADD435" w14:textId="77777777" w:rsidTr="00AE55BB">
        <w:trPr>
          <w:trHeight w:val="222"/>
        </w:trPr>
        <w:tc>
          <w:tcPr>
            <w:tcW w:w="1985" w:type="dxa"/>
            <w:vMerge/>
            <w:tcBorders>
              <w:top w:val="single" w:sz="4" w:space="0" w:color="008000"/>
              <w:left w:val="nil"/>
              <w:bottom w:val="nil"/>
              <w:right w:val="nil"/>
            </w:tcBorders>
            <w:vAlign w:val="center"/>
          </w:tcPr>
          <w:p w14:paraId="7E948E20" w14:textId="77777777" w:rsidR="00763739" w:rsidRPr="00252303" w:rsidRDefault="00763739" w:rsidP="00763739">
            <w:pPr>
              <w:pStyle w:val="CETBodytext"/>
              <w:spacing w:line="240" w:lineRule="auto"/>
              <w:jc w:val="center"/>
              <w:rPr>
                <w:rFonts w:eastAsia="Arial" w:cs="Arial"/>
                <w:color w:val="000000" w:themeColor="text1"/>
              </w:rPr>
            </w:pPr>
          </w:p>
        </w:tc>
        <w:tc>
          <w:tcPr>
            <w:tcW w:w="1984" w:type="dxa"/>
            <w:tcBorders>
              <w:top w:val="single" w:sz="4" w:space="0" w:color="008000"/>
              <w:left w:val="nil"/>
              <w:bottom w:val="nil"/>
              <w:right w:val="nil"/>
            </w:tcBorders>
            <w:vAlign w:val="center"/>
          </w:tcPr>
          <w:p w14:paraId="241D4C8D" w14:textId="34ADEB1C" w:rsidR="00763739" w:rsidRPr="00252303" w:rsidRDefault="00E22F56" w:rsidP="00763739">
            <w:pPr>
              <w:pStyle w:val="CETBodytext"/>
              <w:spacing w:line="240" w:lineRule="auto"/>
              <w:jc w:val="center"/>
              <w:rPr>
                <w:rFonts w:eastAsia="Arial" w:cs="Arial"/>
                <w:color w:val="000000" w:themeColor="text1"/>
              </w:rPr>
            </w:pPr>
            <w:r w:rsidRPr="00252303">
              <w:rPr>
                <w:rFonts w:eastAsia="Arial" w:cs="Arial"/>
                <w:color w:val="000000" w:themeColor="text1"/>
              </w:rPr>
              <w:t>Cocoa</w:t>
            </w:r>
            <w:r w:rsidR="00763739" w:rsidRPr="00252303">
              <w:rPr>
                <w:rFonts w:eastAsia="Arial" w:cs="Arial"/>
                <w:color w:val="000000" w:themeColor="text1"/>
              </w:rPr>
              <w:t xml:space="preserve"> AC </w:t>
            </w:r>
            <w:r w:rsidR="008A4548" w:rsidRPr="00252303">
              <w:rPr>
                <w:rFonts w:eastAsia="Arial" w:cs="Arial"/>
                <w:color w:val="000000" w:themeColor="text1"/>
              </w:rPr>
              <w:t xml:space="preserve">+ </w:t>
            </w:r>
            <w:r w:rsidR="00763739" w:rsidRPr="00252303">
              <w:rPr>
                <w:rFonts w:eastAsia="Arial" w:cs="Arial"/>
                <w:color w:val="000000" w:themeColor="text1"/>
              </w:rPr>
              <w:t>SiO</w:t>
            </w:r>
            <w:r w:rsidR="00763739" w:rsidRPr="00252303">
              <w:rPr>
                <w:rFonts w:eastAsia="Arial" w:cs="Arial"/>
                <w:color w:val="000000" w:themeColor="text1"/>
                <w:vertAlign w:val="subscript"/>
              </w:rPr>
              <w:t>2</w:t>
            </w:r>
          </w:p>
        </w:tc>
        <w:tc>
          <w:tcPr>
            <w:tcW w:w="1276" w:type="dxa"/>
            <w:tcBorders>
              <w:top w:val="single" w:sz="4" w:space="0" w:color="008000"/>
              <w:left w:val="nil"/>
              <w:bottom w:val="nil"/>
              <w:right w:val="nil"/>
            </w:tcBorders>
            <w:vAlign w:val="center"/>
          </w:tcPr>
          <w:p w14:paraId="130E787E" w14:textId="7822F618" w:rsidR="00763739" w:rsidRPr="00252303" w:rsidRDefault="00763739" w:rsidP="00763739">
            <w:pPr>
              <w:pStyle w:val="CETBodytext"/>
              <w:spacing w:line="240" w:lineRule="auto"/>
              <w:jc w:val="center"/>
              <w:rPr>
                <w:rFonts w:eastAsia="Arial" w:cs="Arial"/>
                <w:color w:val="000000" w:themeColor="text1"/>
              </w:rPr>
            </w:pPr>
            <w:r w:rsidRPr="00252303">
              <w:rPr>
                <w:rFonts w:eastAsia="Arial" w:cs="Arial"/>
                <w:color w:val="000000" w:themeColor="text1"/>
              </w:rPr>
              <w:t>0.9175</w:t>
            </w:r>
          </w:p>
        </w:tc>
        <w:tc>
          <w:tcPr>
            <w:tcW w:w="1197" w:type="dxa"/>
            <w:tcBorders>
              <w:top w:val="single" w:sz="4" w:space="0" w:color="008000"/>
              <w:left w:val="nil"/>
              <w:bottom w:val="nil"/>
              <w:right w:val="nil"/>
            </w:tcBorders>
            <w:vAlign w:val="center"/>
          </w:tcPr>
          <w:p w14:paraId="2D314740" w14:textId="704800F5" w:rsidR="00763739" w:rsidRPr="00252303" w:rsidRDefault="00763739" w:rsidP="00763739">
            <w:pPr>
              <w:pStyle w:val="CETBodytext"/>
              <w:spacing w:line="240" w:lineRule="auto"/>
              <w:jc w:val="center"/>
              <w:rPr>
                <w:rFonts w:eastAsia="Arial" w:cs="Arial"/>
                <w:color w:val="000000" w:themeColor="text1"/>
              </w:rPr>
            </w:pPr>
            <w:r w:rsidRPr="00252303">
              <w:rPr>
                <w:rFonts w:eastAsia="Arial" w:cs="Arial"/>
                <w:color w:val="000000" w:themeColor="text1"/>
              </w:rPr>
              <w:t>0.9692</w:t>
            </w:r>
          </w:p>
        </w:tc>
        <w:tc>
          <w:tcPr>
            <w:tcW w:w="1071" w:type="dxa"/>
            <w:tcBorders>
              <w:top w:val="single" w:sz="4" w:space="0" w:color="008000"/>
              <w:left w:val="nil"/>
              <w:bottom w:val="nil"/>
              <w:right w:val="nil"/>
            </w:tcBorders>
            <w:vAlign w:val="center"/>
          </w:tcPr>
          <w:p w14:paraId="5687350B" w14:textId="1559BC28" w:rsidR="00763739" w:rsidRPr="00252303" w:rsidRDefault="00763739" w:rsidP="00763739">
            <w:pPr>
              <w:pStyle w:val="CETBodytext"/>
              <w:spacing w:line="240" w:lineRule="auto"/>
              <w:jc w:val="center"/>
              <w:rPr>
                <w:rFonts w:eastAsia="Arial" w:cs="Arial"/>
                <w:color w:val="000000" w:themeColor="text1"/>
              </w:rPr>
            </w:pPr>
            <w:r w:rsidRPr="00252303">
              <w:rPr>
                <w:rFonts w:eastAsia="Arial" w:cs="Arial"/>
                <w:color w:val="000000" w:themeColor="text1"/>
              </w:rPr>
              <w:t>0.8907</w:t>
            </w:r>
          </w:p>
        </w:tc>
        <w:tc>
          <w:tcPr>
            <w:tcW w:w="1199" w:type="dxa"/>
            <w:tcBorders>
              <w:top w:val="single" w:sz="4" w:space="0" w:color="008000"/>
              <w:left w:val="nil"/>
              <w:bottom w:val="nil"/>
              <w:right w:val="nil"/>
            </w:tcBorders>
            <w:vAlign w:val="center"/>
          </w:tcPr>
          <w:p w14:paraId="1C0ADC30" w14:textId="2E93F577" w:rsidR="00763739" w:rsidRPr="00252303" w:rsidRDefault="00763739" w:rsidP="00763739">
            <w:pPr>
              <w:pStyle w:val="CETBodytext"/>
              <w:spacing w:line="240" w:lineRule="auto"/>
              <w:jc w:val="center"/>
              <w:rPr>
                <w:rFonts w:eastAsia="Arial" w:cs="Arial"/>
                <w:color w:val="000000" w:themeColor="text1"/>
              </w:rPr>
            </w:pPr>
            <w:r w:rsidRPr="00252303">
              <w:rPr>
                <w:rFonts w:eastAsia="Arial" w:cs="Arial"/>
                <w:color w:val="000000" w:themeColor="text1"/>
              </w:rPr>
              <w:t>93.85</w:t>
            </w:r>
          </w:p>
        </w:tc>
      </w:tr>
      <w:tr w:rsidR="00252303" w:rsidRPr="00252303" w14:paraId="7A0362AB" w14:textId="77777777" w:rsidTr="00414185">
        <w:trPr>
          <w:trHeight w:val="37"/>
        </w:trPr>
        <w:tc>
          <w:tcPr>
            <w:tcW w:w="1985" w:type="dxa"/>
            <w:vMerge w:val="restart"/>
            <w:tcBorders>
              <w:top w:val="nil"/>
              <w:right w:val="nil"/>
            </w:tcBorders>
            <w:vAlign w:val="center"/>
          </w:tcPr>
          <w:p w14:paraId="441C77B5" w14:textId="299E5C81" w:rsidR="00763739" w:rsidRPr="00252303" w:rsidRDefault="00763739" w:rsidP="00763739">
            <w:pPr>
              <w:pStyle w:val="CETBodytext"/>
              <w:spacing w:line="240" w:lineRule="auto"/>
              <w:jc w:val="center"/>
              <w:rPr>
                <w:rFonts w:eastAsia="Arial" w:cs="Arial"/>
                <w:color w:val="000000" w:themeColor="text1"/>
              </w:rPr>
            </w:pPr>
            <w:r w:rsidRPr="00252303">
              <w:rPr>
                <w:color w:val="000000" w:themeColor="text1"/>
              </w:rPr>
              <w:t>SDBS</w:t>
            </w:r>
          </w:p>
        </w:tc>
        <w:tc>
          <w:tcPr>
            <w:tcW w:w="1984" w:type="dxa"/>
            <w:tcBorders>
              <w:top w:val="nil"/>
              <w:left w:val="nil"/>
              <w:bottom w:val="nil"/>
              <w:right w:val="nil"/>
            </w:tcBorders>
            <w:vAlign w:val="center"/>
          </w:tcPr>
          <w:p w14:paraId="132938A4" w14:textId="7C4569FB" w:rsidR="00763739" w:rsidRPr="00252303" w:rsidRDefault="00E22F56" w:rsidP="00763739">
            <w:pPr>
              <w:pStyle w:val="CETBodytext"/>
              <w:spacing w:line="240" w:lineRule="auto"/>
              <w:jc w:val="center"/>
              <w:rPr>
                <w:rFonts w:eastAsia="Arial" w:cs="Arial"/>
                <w:color w:val="000000" w:themeColor="text1"/>
              </w:rPr>
            </w:pPr>
            <w:r w:rsidRPr="00252303">
              <w:rPr>
                <w:rFonts w:eastAsia="Arial" w:cs="Arial"/>
                <w:color w:val="000000" w:themeColor="text1"/>
              </w:rPr>
              <w:t>Cocoa</w:t>
            </w:r>
            <w:r w:rsidR="00763739" w:rsidRPr="00252303">
              <w:rPr>
                <w:rFonts w:eastAsia="Arial" w:cs="Arial"/>
                <w:color w:val="000000" w:themeColor="text1"/>
              </w:rPr>
              <w:t xml:space="preserve"> AC</w:t>
            </w:r>
          </w:p>
        </w:tc>
        <w:tc>
          <w:tcPr>
            <w:tcW w:w="1276" w:type="dxa"/>
            <w:tcBorders>
              <w:top w:val="nil"/>
              <w:left w:val="nil"/>
              <w:bottom w:val="nil"/>
              <w:right w:val="nil"/>
            </w:tcBorders>
            <w:vAlign w:val="center"/>
          </w:tcPr>
          <w:p w14:paraId="2F6EB5E9" w14:textId="623A12BD" w:rsidR="00763739" w:rsidRPr="00252303" w:rsidRDefault="00763739" w:rsidP="00763739">
            <w:pPr>
              <w:pStyle w:val="CETBodytext"/>
              <w:spacing w:line="240" w:lineRule="auto"/>
              <w:jc w:val="center"/>
              <w:rPr>
                <w:rFonts w:eastAsia="Arial" w:cs="Arial"/>
                <w:color w:val="000000" w:themeColor="text1"/>
              </w:rPr>
            </w:pPr>
            <w:r w:rsidRPr="00252303">
              <w:rPr>
                <w:rFonts w:eastAsia="Arial" w:cs="Arial"/>
                <w:color w:val="000000" w:themeColor="text1"/>
              </w:rPr>
              <w:t>0.9962</w:t>
            </w:r>
          </w:p>
        </w:tc>
        <w:tc>
          <w:tcPr>
            <w:tcW w:w="1197" w:type="dxa"/>
            <w:tcBorders>
              <w:top w:val="nil"/>
              <w:left w:val="nil"/>
              <w:bottom w:val="nil"/>
              <w:right w:val="nil"/>
            </w:tcBorders>
            <w:vAlign w:val="center"/>
          </w:tcPr>
          <w:p w14:paraId="45456650" w14:textId="68EDBD3E" w:rsidR="00763739" w:rsidRPr="00252303" w:rsidRDefault="00763739" w:rsidP="00763739">
            <w:pPr>
              <w:pStyle w:val="CETBodytext"/>
              <w:spacing w:line="240" w:lineRule="auto"/>
              <w:jc w:val="center"/>
              <w:rPr>
                <w:rFonts w:eastAsia="Arial" w:cs="Arial"/>
                <w:color w:val="000000" w:themeColor="text1"/>
              </w:rPr>
            </w:pPr>
            <w:r w:rsidRPr="00252303">
              <w:rPr>
                <w:rFonts w:eastAsia="Arial" w:cs="Arial"/>
                <w:color w:val="000000" w:themeColor="text1"/>
              </w:rPr>
              <w:t>0.9964</w:t>
            </w:r>
          </w:p>
        </w:tc>
        <w:tc>
          <w:tcPr>
            <w:tcW w:w="1071" w:type="dxa"/>
            <w:tcBorders>
              <w:top w:val="nil"/>
              <w:left w:val="nil"/>
              <w:bottom w:val="nil"/>
              <w:right w:val="nil"/>
            </w:tcBorders>
            <w:vAlign w:val="center"/>
          </w:tcPr>
          <w:p w14:paraId="1272ED85" w14:textId="2461FDE4" w:rsidR="00763739" w:rsidRPr="00252303" w:rsidRDefault="00763739" w:rsidP="00763739">
            <w:pPr>
              <w:pStyle w:val="CETBodytext"/>
              <w:spacing w:line="240" w:lineRule="auto"/>
              <w:jc w:val="center"/>
              <w:rPr>
                <w:rFonts w:eastAsia="Arial" w:cs="Arial"/>
                <w:color w:val="000000" w:themeColor="text1"/>
              </w:rPr>
            </w:pPr>
            <w:r w:rsidRPr="00252303">
              <w:rPr>
                <w:rFonts w:eastAsia="Arial" w:cs="Arial"/>
                <w:color w:val="000000" w:themeColor="text1"/>
              </w:rPr>
              <w:t>0.9858</w:t>
            </w:r>
          </w:p>
        </w:tc>
        <w:tc>
          <w:tcPr>
            <w:tcW w:w="1199" w:type="dxa"/>
            <w:tcBorders>
              <w:top w:val="nil"/>
              <w:left w:val="nil"/>
              <w:bottom w:val="nil"/>
              <w:right w:val="nil"/>
            </w:tcBorders>
            <w:vAlign w:val="center"/>
          </w:tcPr>
          <w:p w14:paraId="5E0ED4B7" w14:textId="5E55D996" w:rsidR="00763739" w:rsidRPr="00252303" w:rsidRDefault="00763739" w:rsidP="00763739">
            <w:pPr>
              <w:pStyle w:val="CETBodytext"/>
              <w:spacing w:line="240" w:lineRule="auto"/>
              <w:jc w:val="center"/>
              <w:rPr>
                <w:rFonts w:eastAsia="Arial" w:cs="Arial"/>
                <w:color w:val="000000" w:themeColor="text1"/>
              </w:rPr>
            </w:pPr>
            <w:r w:rsidRPr="00252303">
              <w:rPr>
                <w:rFonts w:eastAsia="Arial" w:cs="Arial"/>
                <w:color w:val="000000" w:themeColor="text1"/>
              </w:rPr>
              <w:t>96.76</w:t>
            </w:r>
          </w:p>
        </w:tc>
      </w:tr>
      <w:tr w:rsidR="00252303" w:rsidRPr="00252303" w14:paraId="4512366B" w14:textId="77777777" w:rsidTr="00414185">
        <w:trPr>
          <w:trHeight w:val="47"/>
        </w:trPr>
        <w:tc>
          <w:tcPr>
            <w:tcW w:w="1985" w:type="dxa"/>
            <w:vMerge/>
            <w:tcBorders>
              <w:top w:val="single" w:sz="12" w:space="0" w:color="008000"/>
              <w:bottom w:val="single" w:sz="12" w:space="0" w:color="008000"/>
            </w:tcBorders>
            <w:vAlign w:val="center"/>
          </w:tcPr>
          <w:p w14:paraId="6EED336D" w14:textId="77777777" w:rsidR="00763739" w:rsidRPr="00252303" w:rsidRDefault="00763739" w:rsidP="00763739">
            <w:pPr>
              <w:pStyle w:val="CETBodytext"/>
              <w:spacing w:line="240" w:lineRule="auto"/>
              <w:jc w:val="center"/>
              <w:rPr>
                <w:rFonts w:eastAsia="Arial" w:cs="Arial"/>
                <w:color w:val="000000" w:themeColor="text1"/>
              </w:rPr>
            </w:pPr>
          </w:p>
        </w:tc>
        <w:tc>
          <w:tcPr>
            <w:tcW w:w="1984" w:type="dxa"/>
            <w:tcBorders>
              <w:top w:val="nil"/>
              <w:bottom w:val="single" w:sz="12" w:space="0" w:color="008000"/>
            </w:tcBorders>
            <w:vAlign w:val="center"/>
          </w:tcPr>
          <w:p w14:paraId="1CDADFCD" w14:textId="35CE6C2A" w:rsidR="00763739" w:rsidRPr="00252303" w:rsidRDefault="00E22F56" w:rsidP="00763739">
            <w:pPr>
              <w:pStyle w:val="CETBodytext"/>
              <w:spacing w:line="240" w:lineRule="auto"/>
              <w:jc w:val="center"/>
              <w:rPr>
                <w:rFonts w:eastAsia="Arial" w:cs="Arial"/>
                <w:color w:val="000000" w:themeColor="text1"/>
              </w:rPr>
            </w:pPr>
            <w:r w:rsidRPr="00252303">
              <w:rPr>
                <w:rFonts w:eastAsia="Arial" w:cs="Arial"/>
                <w:color w:val="000000" w:themeColor="text1"/>
              </w:rPr>
              <w:t>Cocoa</w:t>
            </w:r>
            <w:r w:rsidR="00763739" w:rsidRPr="00252303">
              <w:rPr>
                <w:rFonts w:eastAsia="Arial" w:cs="Arial"/>
                <w:color w:val="000000" w:themeColor="text1"/>
              </w:rPr>
              <w:t xml:space="preserve"> AC </w:t>
            </w:r>
            <w:r w:rsidR="008A4548" w:rsidRPr="00252303">
              <w:rPr>
                <w:rFonts w:eastAsia="Arial" w:cs="Arial"/>
                <w:color w:val="000000" w:themeColor="text1"/>
              </w:rPr>
              <w:t xml:space="preserve">+ </w:t>
            </w:r>
            <w:r w:rsidR="00763739" w:rsidRPr="00252303">
              <w:rPr>
                <w:rFonts w:eastAsia="Arial" w:cs="Arial"/>
                <w:color w:val="000000" w:themeColor="text1"/>
              </w:rPr>
              <w:t>SiO</w:t>
            </w:r>
            <w:r w:rsidR="00763739" w:rsidRPr="00252303">
              <w:rPr>
                <w:rFonts w:eastAsia="Arial" w:cs="Arial"/>
                <w:color w:val="000000" w:themeColor="text1"/>
                <w:vertAlign w:val="subscript"/>
              </w:rPr>
              <w:t>2</w:t>
            </w:r>
          </w:p>
        </w:tc>
        <w:tc>
          <w:tcPr>
            <w:tcW w:w="1276" w:type="dxa"/>
            <w:tcBorders>
              <w:top w:val="nil"/>
              <w:bottom w:val="single" w:sz="12" w:space="0" w:color="008000"/>
            </w:tcBorders>
            <w:vAlign w:val="center"/>
          </w:tcPr>
          <w:p w14:paraId="13C8710D" w14:textId="0FA18C71" w:rsidR="00763739" w:rsidRPr="00252303" w:rsidRDefault="00763739" w:rsidP="00763739">
            <w:pPr>
              <w:pStyle w:val="CETBodytext"/>
              <w:spacing w:line="240" w:lineRule="auto"/>
              <w:jc w:val="center"/>
              <w:rPr>
                <w:rFonts w:eastAsia="Arial" w:cs="Arial"/>
                <w:color w:val="000000" w:themeColor="text1"/>
              </w:rPr>
            </w:pPr>
            <w:r w:rsidRPr="00252303">
              <w:rPr>
                <w:rFonts w:eastAsia="Arial" w:cs="Arial"/>
                <w:color w:val="000000" w:themeColor="text1"/>
              </w:rPr>
              <w:t>0.9797</w:t>
            </w:r>
          </w:p>
        </w:tc>
        <w:tc>
          <w:tcPr>
            <w:tcW w:w="1197" w:type="dxa"/>
            <w:tcBorders>
              <w:top w:val="nil"/>
              <w:bottom w:val="single" w:sz="12" w:space="0" w:color="008000"/>
            </w:tcBorders>
            <w:vAlign w:val="center"/>
          </w:tcPr>
          <w:p w14:paraId="0BA5AE55" w14:textId="43958199" w:rsidR="00763739" w:rsidRPr="00252303" w:rsidRDefault="00763739" w:rsidP="00763739">
            <w:pPr>
              <w:pStyle w:val="CETBodytext"/>
              <w:spacing w:line="240" w:lineRule="auto"/>
              <w:jc w:val="center"/>
              <w:rPr>
                <w:rFonts w:eastAsia="Arial" w:cs="Arial"/>
                <w:color w:val="000000" w:themeColor="text1"/>
              </w:rPr>
            </w:pPr>
            <w:r w:rsidRPr="00252303">
              <w:rPr>
                <w:rFonts w:eastAsia="Arial" w:cs="Arial"/>
                <w:color w:val="000000" w:themeColor="text1"/>
              </w:rPr>
              <w:t>0.9875</w:t>
            </w:r>
          </w:p>
        </w:tc>
        <w:tc>
          <w:tcPr>
            <w:tcW w:w="1071" w:type="dxa"/>
            <w:tcBorders>
              <w:top w:val="nil"/>
              <w:bottom w:val="single" w:sz="12" w:space="0" w:color="008000"/>
            </w:tcBorders>
            <w:vAlign w:val="center"/>
          </w:tcPr>
          <w:p w14:paraId="6E1DA59A" w14:textId="5999AD69" w:rsidR="00763739" w:rsidRPr="00252303" w:rsidRDefault="00763739" w:rsidP="00763739">
            <w:pPr>
              <w:pStyle w:val="CETBodytext"/>
              <w:spacing w:line="240" w:lineRule="auto"/>
              <w:jc w:val="center"/>
              <w:rPr>
                <w:rFonts w:eastAsia="Arial" w:cs="Arial"/>
                <w:color w:val="000000" w:themeColor="text1"/>
              </w:rPr>
            </w:pPr>
            <w:r w:rsidRPr="00252303">
              <w:rPr>
                <w:rFonts w:eastAsia="Arial" w:cs="Arial"/>
                <w:color w:val="000000" w:themeColor="text1"/>
              </w:rPr>
              <w:t>0.9704</w:t>
            </w:r>
          </w:p>
        </w:tc>
        <w:tc>
          <w:tcPr>
            <w:tcW w:w="1199" w:type="dxa"/>
            <w:tcBorders>
              <w:top w:val="nil"/>
              <w:bottom w:val="single" w:sz="12" w:space="0" w:color="008000"/>
            </w:tcBorders>
            <w:vAlign w:val="center"/>
          </w:tcPr>
          <w:p w14:paraId="02670407" w14:textId="779E8562" w:rsidR="00763739" w:rsidRPr="00252303" w:rsidRDefault="00763739" w:rsidP="00763739">
            <w:pPr>
              <w:pStyle w:val="CETBodytext"/>
              <w:spacing w:line="240" w:lineRule="auto"/>
              <w:jc w:val="center"/>
              <w:rPr>
                <w:rFonts w:eastAsia="Arial" w:cs="Arial"/>
                <w:color w:val="000000" w:themeColor="text1"/>
              </w:rPr>
            </w:pPr>
            <w:r w:rsidRPr="00252303">
              <w:rPr>
                <w:rFonts w:eastAsia="Arial" w:cs="Arial"/>
                <w:color w:val="000000" w:themeColor="text1"/>
              </w:rPr>
              <w:t>98.15</w:t>
            </w:r>
          </w:p>
        </w:tc>
      </w:tr>
    </w:tbl>
    <w:p w14:paraId="7FB6C03E" w14:textId="6EE2B407" w:rsidR="008A4548" w:rsidRPr="00252303" w:rsidRDefault="008A4548" w:rsidP="008A4548">
      <w:pPr>
        <w:pStyle w:val="Sinespaciado"/>
        <w:rPr>
          <w:color w:val="000000" w:themeColor="text1"/>
          <w:sz w:val="16"/>
          <w:szCs w:val="16"/>
        </w:rPr>
      </w:pPr>
      <w:bookmarkStart w:id="15" w:name="_Ref185182212"/>
      <w:r w:rsidRPr="00252303">
        <w:rPr>
          <w:b/>
          <w:color w:val="000000" w:themeColor="text1"/>
          <w:sz w:val="16"/>
          <w:szCs w:val="16"/>
        </w:rPr>
        <w:t>Note:</w:t>
      </w:r>
      <w:r w:rsidRPr="00252303">
        <w:rPr>
          <w:color w:val="000000" w:themeColor="text1"/>
          <w:sz w:val="16"/>
          <w:szCs w:val="16"/>
        </w:rPr>
        <w:t xml:space="preserve"> </w:t>
      </w:r>
      <w:r w:rsidR="00AC6971" w:rsidRPr="00252303">
        <w:rPr>
          <w:color w:val="000000" w:themeColor="text1"/>
          <w:sz w:val="16"/>
          <w:szCs w:val="16"/>
        </w:rPr>
        <w:t>The SIO</w:t>
      </w:r>
      <w:r w:rsidR="00AC6971" w:rsidRPr="00252303">
        <w:rPr>
          <w:color w:val="000000" w:themeColor="text1"/>
          <w:sz w:val="16"/>
          <w:szCs w:val="16"/>
          <w:vertAlign w:val="subscript"/>
        </w:rPr>
        <w:t>2</w:t>
      </w:r>
      <w:r w:rsidR="00AC6971" w:rsidRPr="00252303">
        <w:rPr>
          <w:color w:val="000000" w:themeColor="text1"/>
          <w:sz w:val="16"/>
          <w:szCs w:val="16"/>
        </w:rPr>
        <w:t xml:space="preserve"> concentration was 5400 mg/L,</w:t>
      </w:r>
      <w:r w:rsidR="008C13C2" w:rsidRPr="00252303">
        <w:rPr>
          <w:color w:val="000000" w:themeColor="text1"/>
          <w:sz w:val="16"/>
          <w:szCs w:val="16"/>
        </w:rPr>
        <w:t xml:space="preserve"> Phenol (Ph), Methylene Blue (MB), </w:t>
      </w:r>
      <w:r w:rsidR="00D60C2F" w:rsidRPr="00252303">
        <w:rPr>
          <w:color w:val="000000" w:themeColor="text1"/>
          <w:sz w:val="16"/>
          <w:szCs w:val="16"/>
        </w:rPr>
        <w:t>Sodium Dodecylbenzene sulfonate (SDBS).</w:t>
      </w:r>
    </w:p>
    <w:p w14:paraId="57E54D98" w14:textId="4B185662" w:rsidR="00763739" w:rsidRPr="00252303" w:rsidRDefault="009E0FBF" w:rsidP="00763739">
      <w:pPr>
        <w:pStyle w:val="CETTabletitle"/>
        <w:rPr>
          <w:rFonts w:eastAsia="Arial" w:cs="Arial"/>
          <w:color w:val="000000" w:themeColor="text1"/>
          <w:lang w:val="en-US"/>
        </w:rPr>
      </w:pPr>
      <w:r w:rsidRPr="00252303">
        <w:rPr>
          <w:color w:val="000000" w:themeColor="text1"/>
        </w:rPr>
        <w:t xml:space="preserve">Table </w:t>
      </w:r>
      <w:r w:rsidRPr="00252303">
        <w:rPr>
          <w:color w:val="000000" w:themeColor="text1"/>
        </w:rPr>
        <w:fldChar w:fldCharType="begin"/>
      </w:r>
      <w:r w:rsidRPr="00252303">
        <w:rPr>
          <w:color w:val="000000" w:themeColor="text1"/>
        </w:rPr>
        <w:instrText xml:space="preserve"> SEQ Table \* ARABIC </w:instrText>
      </w:r>
      <w:r w:rsidRPr="00252303">
        <w:rPr>
          <w:color w:val="000000" w:themeColor="text1"/>
        </w:rPr>
        <w:fldChar w:fldCharType="separate"/>
      </w:r>
      <w:r w:rsidR="00F90049" w:rsidRPr="00252303">
        <w:rPr>
          <w:noProof/>
          <w:color w:val="000000" w:themeColor="text1"/>
        </w:rPr>
        <w:t>4</w:t>
      </w:r>
      <w:r w:rsidRPr="00252303">
        <w:rPr>
          <w:color w:val="000000" w:themeColor="text1"/>
        </w:rPr>
        <w:fldChar w:fldCharType="end"/>
      </w:r>
      <w:bookmarkEnd w:id="15"/>
      <w:r w:rsidR="000E6990" w:rsidRPr="00252303">
        <w:rPr>
          <w:color w:val="000000" w:themeColor="text1"/>
          <w:lang w:val="en-US"/>
        </w:rPr>
        <w:t>:</w:t>
      </w:r>
      <w:r w:rsidR="00763739" w:rsidRPr="00252303">
        <w:rPr>
          <w:color w:val="000000" w:themeColor="text1"/>
          <w:lang w:val="en-US"/>
        </w:rPr>
        <w:t xml:space="preserve"> Parameters of Freundlich isotherms in the adsorption </w:t>
      </w:r>
    </w:p>
    <w:tbl>
      <w:tblPr>
        <w:tblStyle w:val="Tablaconcuadrcula"/>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3225"/>
        <w:gridCol w:w="939"/>
        <w:gridCol w:w="984"/>
        <w:gridCol w:w="915"/>
        <w:gridCol w:w="1020"/>
        <w:gridCol w:w="825"/>
        <w:gridCol w:w="868"/>
      </w:tblGrid>
      <w:tr w:rsidR="00252303" w:rsidRPr="00252303" w14:paraId="1FBB02EA" w14:textId="77777777" w:rsidTr="00DA43FC">
        <w:trPr>
          <w:trHeight w:val="20"/>
        </w:trPr>
        <w:tc>
          <w:tcPr>
            <w:tcW w:w="3225" w:type="dxa"/>
            <w:vMerge w:val="restart"/>
            <w:tcBorders>
              <w:top w:val="single" w:sz="12" w:space="0" w:color="008000"/>
              <w:bottom w:val="single" w:sz="12" w:space="0" w:color="000000" w:themeColor="text1"/>
            </w:tcBorders>
            <w:vAlign w:val="center"/>
          </w:tcPr>
          <w:p w14:paraId="12DEB230" w14:textId="77777777" w:rsidR="00763739" w:rsidRPr="00AE55BB" w:rsidRDefault="00763739" w:rsidP="00F23B7F">
            <w:pPr>
              <w:pStyle w:val="CETBodytext"/>
              <w:spacing w:line="240" w:lineRule="auto"/>
              <w:jc w:val="center"/>
              <w:rPr>
                <w:rFonts w:eastAsia="Arial" w:cs="Arial"/>
                <w:color w:val="000000" w:themeColor="text1"/>
              </w:rPr>
            </w:pPr>
            <w:r w:rsidRPr="00AE55BB">
              <w:rPr>
                <w:rFonts w:eastAsia="Arial" w:cs="Arial"/>
                <w:color w:val="000000" w:themeColor="text1"/>
              </w:rPr>
              <w:t>Activated carbon type</w:t>
            </w:r>
          </w:p>
        </w:tc>
        <w:tc>
          <w:tcPr>
            <w:tcW w:w="1923" w:type="dxa"/>
            <w:gridSpan w:val="2"/>
            <w:tcBorders>
              <w:top w:val="single" w:sz="12" w:space="0" w:color="008000"/>
              <w:bottom w:val="single" w:sz="4" w:space="0" w:color="008000"/>
            </w:tcBorders>
            <w:vAlign w:val="center"/>
          </w:tcPr>
          <w:p w14:paraId="0466997B" w14:textId="575CF366" w:rsidR="00763739" w:rsidRPr="00AE55BB" w:rsidRDefault="00720BDA" w:rsidP="007831F4">
            <w:pPr>
              <w:pStyle w:val="CETBodytext"/>
              <w:jc w:val="center"/>
              <w:rPr>
                <w:rFonts w:eastAsia="Arial"/>
                <w:bCs/>
                <w:color w:val="000000" w:themeColor="text1"/>
              </w:rPr>
            </w:pPr>
            <w:r w:rsidRPr="00AE55BB">
              <w:rPr>
                <w:rFonts w:eastAsia="Arial"/>
                <w:bCs/>
                <w:color w:val="000000" w:themeColor="text1"/>
              </w:rPr>
              <w:t>Ph</w:t>
            </w:r>
          </w:p>
        </w:tc>
        <w:tc>
          <w:tcPr>
            <w:tcW w:w="1935" w:type="dxa"/>
            <w:gridSpan w:val="2"/>
            <w:tcBorders>
              <w:top w:val="single" w:sz="12" w:space="0" w:color="008000"/>
              <w:bottom w:val="single" w:sz="4" w:space="0" w:color="008000"/>
            </w:tcBorders>
            <w:vAlign w:val="center"/>
          </w:tcPr>
          <w:p w14:paraId="6F1AC671" w14:textId="52BAAC8A" w:rsidR="00763739" w:rsidRPr="00AE55BB" w:rsidRDefault="00720BDA" w:rsidP="007831F4">
            <w:pPr>
              <w:pStyle w:val="CETBodytext"/>
              <w:jc w:val="center"/>
              <w:rPr>
                <w:rFonts w:eastAsia="Arial"/>
                <w:bCs/>
                <w:color w:val="000000" w:themeColor="text1"/>
              </w:rPr>
            </w:pPr>
            <w:r w:rsidRPr="00AE55BB">
              <w:rPr>
                <w:rFonts w:eastAsia="Arial"/>
                <w:bCs/>
                <w:color w:val="000000" w:themeColor="text1"/>
              </w:rPr>
              <w:t>MB</w:t>
            </w:r>
          </w:p>
        </w:tc>
        <w:tc>
          <w:tcPr>
            <w:tcW w:w="1693" w:type="dxa"/>
            <w:gridSpan w:val="2"/>
            <w:tcBorders>
              <w:top w:val="single" w:sz="12" w:space="0" w:color="008000"/>
              <w:bottom w:val="single" w:sz="4" w:space="0" w:color="008000"/>
            </w:tcBorders>
            <w:vAlign w:val="center"/>
          </w:tcPr>
          <w:p w14:paraId="713BD72E" w14:textId="057365A0" w:rsidR="00C340F5" w:rsidRPr="00AE55BB" w:rsidRDefault="00C340F5" w:rsidP="007831F4">
            <w:pPr>
              <w:pStyle w:val="CETBodytext"/>
              <w:jc w:val="center"/>
              <w:rPr>
                <w:rFonts w:eastAsia="Arial"/>
                <w:bCs/>
                <w:color w:val="000000" w:themeColor="text1"/>
              </w:rPr>
            </w:pPr>
            <w:r w:rsidRPr="00AE55BB">
              <w:rPr>
                <w:rFonts w:eastAsia="Arial"/>
                <w:bCs/>
                <w:color w:val="000000" w:themeColor="text1"/>
              </w:rPr>
              <w:t>SDBS</w:t>
            </w:r>
          </w:p>
        </w:tc>
      </w:tr>
      <w:tr w:rsidR="00252303" w:rsidRPr="00252303" w14:paraId="1280BB6D" w14:textId="77777777" w:rsidTr="00DA43FC">
        <w:trPr>
          <w:trHeight w:val="20"/>
        </w:trPr>
        <w:tc>
          <w:tcPr>
            <w:tcW w:w="3225" w:type="dxa"/>
            <w:vMerge/>
            <w:tcBorders>
              <w:top w:val="single" w:sz="4" w:space="0" w:color="008000"/>
              <w:bottom w:val="single" w:sz="4" w:space="0" w:color="008000"/>
            </w:tcBorders>
          </w:tcPr>
          <w:p w14:paraId="646B8094" w14:textId="77777777" w:rsidR="00763739" w:rsidRPr="00AE55BB" w:rsidRDefault="00763739" w:rsidP="00F23B7F">
            <w:pPr>
              <w:spacing w:line="240" w:lineRule="auto"/>
              <w:rPr>
                <w:color w:val="000000" w:themeColor="text1"/>
                <w:lang w:val="en-US"/>
              </w:rPr>
            </w:pPr>
          </w:p>
        </w:tc>
        <w:tc>
          <w:tcPr>
            <w:tcW w:w="939" w:type="dxa"/>
            <w:tcBorders>
              <w:top w:val="single" w:sz="4" w:space="0" w:color="008000"/>
              <w:bottom w:val="single" w:sz="4" w:space="0" w:color="008000"/>
            </w:tcBorders>
            <w:vAlign w:val="center"/>
          </w:tcPr>
          <w:p w14:paraId="0B30A91A" w14:textId="77777777" w:rsidR="00763739" w:rsidRPr="00AE55BB" w:rsidRDefault="00763739" w:rsidP="007831F4">
            <w:pPr>
              <w:pStyle w:val="CETBodytext"/>
              <w:jc w:val="center"/>
              <w:rPr>
                <w:rFonts w:eastAsia="Arial"/>
                <w:bCs/>
                <w:i/>
                <w:color w:val="000000" w:themeColor="text1"/>
              </w:rPr>
            </w:pPr>
            <w:r w:rsidRPr="00AE55BB">
              <w:rPr>
                <w:rFonts w:eastAsia="Arial"/>
                <w:bCs/>
                <w:i/>
                <w:color w:val="000000" w:themeColor="text1"/>
              </w:rPr>
              <w:t>K</w:t>
            </w:r>
            <w:r w:rsidRPr="00AE55BB">
              <w:rPr>
                <w:rFonts w:eastAsia="Arial"/>
                <w:bCs/>
                <w:i/>
                <w:color w:val="000000" w:themeColor="text1"/>
                <w:vertAlign w:val="subscript"/>
              </w:rPr>
              <w:t>F</w:t>
            </w:r>
          </w:p>
        </w:tc>
        <w:tc>
          <w:tcPr>
            <w:tcW w:w="984" w:type="dxa"/>
            <w:tcBorders>
              <w:top w:val="single" w:sz="4" w:space="0" w:color="008000"/>
              <w:bottom w:val="single" w:sz="4" w:space="0" w:color="008000"/>
            </w:tcBorders>
            <w:vAlign w:val="center"/>
          </w:tcPr>
          <w:p w14:paraId="64D3FD2B" w14:textId="1D5318F7" w:rsidR="00763739" w:rsidRPr="00AE55BB" w:rsidRDefault="006C5620" w:rsidP="007831F4">
            <w:pPr>
              <w:pStyle w:val="CETBodytext"/>
              <w:jc w:val="center"/>
              <w:rPr>
                <w:rFonts w:eastAsia="Arial"/>
                <w:bCs/>
                <w:i/>
                <w:color w:val="000000" w:themeColor="text1"/>
              </w:rPr>
            </w:pPr>
            <w:r w:rsidRPr="00AE55BB">
              <w:rPr>
                <w:rFonts w:eastAsia="Arial"/>
                <w:bCs/>
                <w:i/>
                <w:color w:val="000000" w:themeColor="text1"/>
              </w:rPr>
              <w:t>n</w:t>
            </w:r>
          </w:p>
        </w:tc>
        <w:tc>
          <w:tcPr>
            <w:tcW w:w="915" w:type="dxa"/>
            <w:tcBorders>
              <w:top w:val="single" w:sz="4" w:space="0" w:color="008000"/>
              <w:bottom w:val="single" w:sz="4" w:space="0" w:color="008000"/>
            </w:tcBorders>
            <w:vAlign w:val="center"/>
          </w:tcPr>
          <w:p w14:paraId="33A459B3" w14:textId="77777777" w:rsidR="00763739" w:rsidRPr="00AE55BB" w:rsidRDefault="00763739" w:rsidP="007831F4">
            <w:pPr>
              <w:pStyle w:val="CETBodytext"/>
              <w:jc w:val="center"/>
              <w:rPr>
                <w:rFonts w:eastAsia="Arial"/>
                <w:bCs/>
                <w:i/>
                <w:color w:val="000000" w:themeColor="text1"/>
                <w:vertAlign w:val="subscript"/>
              </w:rPr>
            </w:pPr>
            <w:r w:rsidRPr="00AE55BB">
              <w:rPr>
                <w:rFonts w:eastAsia="Arial"/>
                <w:bCs/>
                <w:i/>
                <w:color w:val="000000" w:themeColor="text1"/>
              </w:rPr>
              <w:t>K</w:t>
            </w:r>
            <w:r w:rsidRPr="00AE55BB">
              <w:rPr>
                <w:rFonts w:eastAsia="Arial"/>
                <w:bCs/>
                <w:i/>
                <w:color w:val="000000" w:themeColor="text1"/>
                <w:vertAlign w:val="subscript"/>
              </w:rPr>
              <w:t>F</w:t>
            </w:r>
          </w:p>
        </w:tc>
        <w:tc>
          <w:tcPr>
            <w:tcW w:w="1020" w:type="dxa"/>
            <w:tcBorders>
              <w:top w:val="single" w:sz="4" w:space="0" w:color="008000"/>
              <w:bottom w:val="single" w:sz="4" w:space="0" w:color="008000"/>
            </w:tcBorders>
            <w:vAlign w:val="center"/>
          </w:tcPr>
          <w:p w14:paraId="43120444" w14:textId="77777777" w:rsidR="00763739" w:rsidRPr="00AE55BB" w:rsidRDefault="00763739" w:rsidP="007831F4">
            <w:pPr>
              <w:pStyle w:val="CETBodytext"/>
              <w:jc w:val="center"/>
              <w:rPr>
                <w:rFonts w:eastAsia="Arial"/>
                <w:bCs/>
                <w:i/>
                <w:color w:val="000000" w:themeColor="text1"/>
              </w:rPr>
            </w:pPr>
            <w:r w:rsidRPr="00AE55BB">
              <w:rPr>
                <w:rFonts w:eastAsia="Arial"/>
                <w:bCs/>
                <w:i/>
                <w:color w:val="000000" w:themeColor="text1"/>
              </w:rPr>
              <w:t>n</w:t>
            </w:r>
          </w:p>
        </w:tc>
        <w:tc>
          <w:tcPr>
            <w:tcW w:w="825" w:type="dxa"/>
            <w:tcBorders>
              <w:top w:val="single" w:sz="4" w:space="0" w:color="008000"/>
              <w:bottom w:val="single" w:sz="4" w:space="0" w:color="008000"/>
            </w:tcBorders>
            <w:vAlign w:val="center"/>
          </w:tcPr>
          <w:p w14:paraId="253A6F2F" w14:textId="77777777" w:rsidR="00763739" w:rsidRPr="00AE55BB" w:rsidRDefault="00763739" w:rsidP="007831F4">
            <w:pPr>
              <w:pStyle w:val="CETBodytext"/>
              <w:jc w:val="center"/>
              <w:rPr>
                <w:rFonts w:eastAsia="Arial"/>
                <w:bCs/>
                <w:i/>
                <w:color w:val="000000" w:themeColor="text1"/>
              </w:rPr>
            </w:pPr>
            <w:r w:rsidRPr="00AE55BB">
              <w:rPr>
                <w:rFonts w:eastAsia="Arial"/>
                <w:bCs/>
                <w:i/>
                <w:color w:val="000000" w:themeColor="text1"/>
              </w:rPr>
              <w:t>K</w:t>
            </w:r>
            <w:r w:rsidRPr="00AE55BB">
              <w:rPr>
                <w:rFonts w:eastAsia="Arial"/>
                <w:bCs/>
                <w:i/>
                <w:color w:val="000000" w:themeColor="text1"/>
                <w:vertAlign w:val="subscript"/>
              </w:rPr>
              <w:t>F</w:t>
            </w:r>
          </w:p>
        </w:tc>
        <w:tc>
          <w:tcPr>
            <w:tcW w:w="868" w:type="dxa"/>
            <w:tcBorders>
              <w:top w:val="single" w:sz="4" w:space="0" w:color="008000"/>
              <w:bottom w:val="single" w:sz="4" w:space="0" w:color="008000"/>
            </w:tcBorders>
            <w:vAlign w:val="center"/>
          </w:tcPr>
          <w:p w14:paraId="4DC826AE" w14:textId="77777777" w:rsidR="00763739" w:rsidRPr="00AE55BB" w:rsidRDefault="00763739" w:rsidP="007831F4">
            <w:pPr>
              <w:pStyle w:val="CETBodytext"/>
              <w:jc w:val="center"/>
              <w:rPr>
                <w:rFonts w:eastAsia="Arial"/>
                <w:bCs/>
                <w:i/>
                <w:color w:val="000000" w:themeColor="text1"/>
              </w:rPr>
            </w:pPr>
            <w:r w:rsidRPr="00AE55BB">
              <w:rPr>
                <w:rFonts w:eastAsia="Arial"/>
                <w:bCs/>
                <w:i/>
                <w:color w:val="000000" w:themeColor="text1"/>
              </w:rPr>
              <w:t>n</w:t>
            </w:r>
          </w:p>
        </w:tc>
      </w:tr>
      <w:tr w:rsidR="00252303" w:rsidRPr="00252303" w14:paraId="53F56267" w14:textId="77777777" w:rsidTr="00DA43FC">
        <w:trPr>
          <w:trHeight w:val="18"/>
        </w:trPr>
        <w:tc>
          <w:tcPr>
            <w:tcW w:w="3225" w:type="dxa"/>
            <w:tcBorders>
              <w:top w:val="single" w:sz="4" w:space="0" w:color="008000"/>
            </w:tcBorders>
            <w:vAlign w:val="center"/>
          </w:tcPr>
          <w:p w14:paraId="6FA312BF" w14:textId="6EC58D71" w:rsidR="00763739" w:rsidRPr="00252303" w:rsidRDefault="00E22F56" w:rsidP="00F23B7F">
            <w:pPr>
              <w:pStyle w:val="CETBodytext"/>
              <w:spacing w:line="240" w:lineRule="auto"/>
              <w:jc w:val="center"/>
              <w:rPr>
                <w:rFonts w:eastAsia="Arial" w:cs="Arial"/>
                <w:color w:val="000000" w:themeColor="text1"/>
              </w:rPr>
            </w:pPr>
            <w:r w:rsidRPr="00252303">
              <w:rPr>
                <w:rFonts w:eastAsia="Arial" w:cs="Arial"/>
                <w:color w:val="000000" w:themeColor="text1"/>
              </w:rPr>
              <w:t>Cocoa</w:t>
            </w:r>
            <w:r w:rsidR="00763739" w:rsidRPr="00252303">
              <w:rPr>
                <w:rFonts w:eastAsia="Arial" w:cs="Arial"/>
                <w:color w:val="000000" w:themeColor="text1"/>
              </w:rPr>
              <w:t xml:space="preserve"> AC</w:t>
            </w:r>
          </w:p>
        </w:tc>
        <w:tc>
          <w:tcPr>
            <w:tcW w:w="939" w:type="dxa"/>
            <w:tcBorders>
              <w:top w:val="single" w:sz="4" w:space="0" w:color="008000"/>
            </w:tcBorders>
            <w:vAlign w:val="center"/>
          </w:tcPr>
          <w:p w14:paraId="5E131488" w14:textId="77777777" w:rsidR="00763739" w:rsidRPr="00252303" w:rsidRDefault="00763739" w:rsidP="007831F4">
            <w:pPr>
              <w:pStyle w:val="CETBodytext"/>
              <w:jc w:val="center"/>
              <w:rPr>
                <w:rFonts w:eastAsia="Arial"/>
                <w:b/>
                <w:color w:val="000000" w:themeColor="text1"/>
              </w:rPr>
            </w:pPr>
            <w:r w:rsidRPr="00252303">
              <w:rPr>
                <w:rFonts w:eastAsia="Arial"/>
                <w:color w:val="000000" w:themeColor="text1"/>
              </w:rPr>
              <w:t>1.825</w:t>
            </w:r>
          </w:p>
        </w:tc>
        <w:tc>
          <w:tcPr>
            <w:tcW w:w="984" w:type="dxa"/>
            <w:tcBorders>
              <w:top w:val="single" w:sz="4" w:space="0" w:color="008000"/>
            </w:tcBorders>
            <w:vAlign w:val="center"/>
          </w:tcPr>
          <w:p w14:paraId="1D079C05" w14:textId="77777777" w:rsidR="00763739" w:rsidRPr="00252303" w:rsidRDefault="00763739" w:rsidP="007831F4">
            <w:pPr>
              <w:pStyle w:val="CETBodytext"/>
              <w:jc w:val="center"/>
              <w:rPr>
                <w:rFonts w:eastAsia="Arial"/>
                <w:b/>
                <w:color w:val="000000" w:themeColor="text1"/>
              </w:rPr>
            </w:pPr>
            <w:r w:rsidRPr="00252303">
              <w:rPr>
                <w:rFonts w:eastAsia="Arial"/>
                <w:color w:val="000000" w:themeColor="text1"/>
              </w:rPr>
              <w:t>1.663</w:t>
            </w:r>
          </w:p>
        </w:tc>
        <w:tc>
          <w:tcPr>
            <w:tcW w:w="915" w:type="dxa"/>
            <w:tcBorders>
              <w:top w:val="single" w:sz="4" w:space="0" w:color="008000"/>
            </w:tcBorders>
            <w:vAlign w:val="center"/>
          </w:tcPr>
          <w:p w14:paraId="47F933E6" w14:textId="77777777" w:rsidR="00763739" w:rsidRPr="00252303" w:rsidRDefault="00763739" w:rsidP="007831F4">
            <w:pPr>
              <w:pStyle w:val="CETBodytext"/>
              <w:jc w:val="center"/>
              <w:rPr>
                <w:rFonts w:eastAsia="Arial"/>
                <w:b/>
                <w:color w:val="000000" w:themeColor="text1"/>
              </w:rPr>
            </w:pPr>
            <w:r w:rsidRPr="00252303">
              <w:rPr>
                <w:rFonts w:eastAsia="Arial"/>
                <w:color w:val="000000" w:themeColor="text1"/>
              </w:rPr>
              <w:t>2.221</w:t>
            </w:r>
          </w:p>
        </w:tc>
        <w:tc>
          <w:tcPr>
            <w:tcW w:w="1020" w:type="dxa"/>
            <w:tcBorders>
              <w:top w:val="single" w:sz="4" w:space="0" w:color="008000"/>
            </w:tcBorders>
            <w:vAlign w:val="center"/>
          </w:tcPr>
          <w:p w14:paraId="3E48CE5B" w14:textId="77777777" w:rsidR="00763739" w:rsidRPr="00252303" w:rsidRDefault="00763739" w:rsidP="007831F4">
            <w:pPr>
              <w:pStyle w:val="CETBodytext"/>
              <w:jc w:val="center"/>
              <w:rPr>
                <w:rFonts w:eastAsia="Arial"/>
                <w:b/>
                <w:color w:val="000000" w:themeColor="text1"/>
              </w:rPr>
            </w:pPr>
            <w:r w:rsidRPr="00252303">
              <w:rPr>
                <w:rFonts w:eastAsia="Arial"/>
                <w:color w:val="000000" w:themeColor="text1"/>
              </w:rPr>
              <w:t>2.716</w:t>
            </w:r>
          </w:p>
        </w:tc>
        <w:tc>
          <w:tcPr>
            <w:tcW w:w="825" w:type="dxa"/>
            <w:tcBorders>
              <w:top w:val="single" w:sz="4" w:space="0" w:color="008000"/>
            </w:tcBorders>
            <w:vAlign w:val="center"/>
          </w:tcPr>
          <w:p w14:paraId="0A213DB2" w14:textId="77777777" w:rsidR="00763739" w:rsidRPr="00252303" w:rsidRDefault="00763739" w:rsidP="007831F4">
            <w:pPr>
              <w:pStyle w:val="CETBodytext"/>
              <w:jc w:val="center"/>
              <w:rPr>
                <w:rFonts w:eastAsia="Arial"/>
                <w:b/>
                <w:color w:val="000000" w:themeColor="text1"/>
                <w:vertAlign w:val="superscript"/>
              </w:rPr>
            </w:pPr>
            <w:r w:rsidRPr="00252303">
              <w:rPr>
                <w:rFonts w:eastAsia="Arial"/>
                <w:color w:val="000000" w:themeColor="text1"/>
              </w:rPr>
              <w:t>2.400</w:t>
            </w:r>
          </w:p>
        </w:tc>
        <w:tc>
          <w:tcPr>
            <w:tcW w:w="868" w:type="dxa"/>
            <w:tcBorders>
              <w:top w:val="single" w:sz="4" w:space="0" w:color="008000"/>
            </w:tcBorders>
            <w:vAlign w:val="center"/>
          </w:tcPr>
          <w:p w14:paraId="384897D4" w14:textId="77777777" w:rsidR="00763739" w:rsidRPr="00252303" w:rsidRDefault="00763739" w:rsidP="007831F4">
            <w:pPr>
              <w:pStyle w:val="CETBodytext"/>
              <w:jc w:val="center"/>
              <w:rPr>
                <w:rFonts w:eastAsia="Arial"/>
                <w:b/>
                <w:color w:val="000000" w:themeColor="text1"/>
              </w:rPr>
            </w:pPr>
            <w:r w:rsidRPr="00252303">
              <w:rPr>
                <w:rFonts w:eastAsia="Arial"/>
                <w:color w:val="000000" w:themeColor="text1"/>
              </w:rPr>
              <w:t>1.800</w:t>
            </w:r>
          </w:p>
        </w:tc>
      </w:tr>
      <w:tr w:rsidR="00252303" w:rsidRPr="00252303" w14:paraId="7963D8D6" w14:textId="77777777" w:rsidTr="00C55EC0">
        <w:trPr>
          <w:trHeight w:val="48"/>
        </w:trPr>
        <w:tc>
          <w:tcPr>
            <w:tcW w:w="3225" w:type="dxa"/>
            <w:tcBorders>
              <w:bottom w:val="single" w:sz="12" w:space="0" w:color="008000"/>
            </w:tcBorders>
            <w:vAlign w:val="center"/>
          </w:tcPr>
          <w:p w14:paraId="07CCE0B7" w14:textId="67AE6516" w:rsidR="00763739" w:rsidRPr="00252303" w:rsidRDefault="00E22F56" w:rsidP="00F23B7F">
            <w:pPr>
              <w:pStyle w:val="CETBodytext"/>
              <w:spacing w:line="240" w:lineRule="auto"/>
              <w:jc w:val="center"/>
              <w:rPr>
                <w:rFonts w:eastAsia="Arial" w:cs="Arial"/>
                <w:color w:val="000000" w:themeColor="text1"/>
                <w:vertAlign w:val="subscript"/>
              </w:rPr>
            </w:pPr>
            <w:r w:rsidRPr="00252303">
              <w:rPr>
                <w:rFonts w:eastAsia="Arial" w:cs="Arial"/>
                <w:color w:val="000000" w:themeColor="text1"/>
              </w:rPr>
              <w:t>Cocoa</w:t>
            </w:r>
            <w:r w:rsidR="00763739" w:rsidRPr="00252303">
              <w:rPr>
                <w:rFonts w:eastAsia="Arial" w:cs="Arial"/>
                <w:color w:val="000000" w:themeColor="text1"/>
              </w:rPr>
              <w:t xml:space="preserve"> AC + 5,400 mg/L SiO</w:t>
            </w:r>
            <w:r w:rsidR="00763739" w:rsidRPr="00252303">
              <w:rPr>
                <w:rFonts w:eastAsia="Arial" w:cs="Arial"/>
                <w:color w:val="000000" w:themeColor="text1"/>
                <w:vertAlign w:val="subscript"/>
              </w:rPr>
              <w:t>2</w:t>
            </w:r>
          </w:p>
        </w:tc>
        <w:tc>
          <w:tcPr>
            <w:tcW w:w="939" w:type="dxa"/>
            <w:tcBorders>
              <w:bottom w:val="single" w:sz="12" w:space="0" w:color="008000"/>
            </w:tcBorders>
            <w:vAlign w:val="center"/>
          </w:tcPr>
          <w:p w14:paraId="59D5710B" w14:textId="77777777" w:rsidR="00763739" w:rsidRPr="00252303" w:rsidRDefault="00763739" w:rsidP="007831F4">
            <w:pPr>
              <w:pStyle w:val="CETBodytext"/>
              <w:jc w:val="center"/>
              <w:rPr>
                <w:rFonts w:eastAsia="Arial"/>
                <w:b/>
                <w:color w:val="000000" w:themeColor="text1"/>
              </w:rPr>
            </w:pPr>
            <w:r w:rsidRPr="00252303">
              <w:rPr>
                <w:rFonts w:eastAsia="Arial"/>
                <w:color w:val="000000" w:themeColor="text1"/>
              </w:rPr>
              <w:t>2.274</w:t>
            </w:r>
          </w:p>
        </w:tc>
        <w:tc>
          <w:tcPr>
            <w:tcW w:w="984" w:type="dxa"/>
            <w:tcBorders>
              <w:bottom w:val="single" w:sz="12" w:space="0" w:color="008000"/>
            </w:tcBorders>
            <w:vAlign w:val="center"/>
          </w:tcPr>
          <w:p w14:paraId="6C5EA569" w14:textId="77777777" w:rsidR="00763739" w:rsidRPr="00252303" w:rsidRDefault="00763739" w:rsidP="007831F4">
            <w:pPr>
              <w:pStyle w:val="CETBodytext"/>
              <w:jc w:val="center"/>
              <w:rPr>
                <w:rFonts w:eastAsia="Arial"/>
                <w:b/>
                <w:color w:val="000000" w:themeColor="text1"/>
              </w:rPr>
            </w:pPr>
            <w:r w:rsidRPr="00252303">
              <w:rPr>
                <w:rFonts w:eastAsia="Arial"/>
                <w:color w:val="000000" w:themeColor="text1"/>
              </w:rPr>
              <w:t>1.217</w:t>
            </w:r>
          </w:p>
        </w:tc>
        <w:tc>
          <w:tcPr>
            <w:tcW w:w="915" w:type="dxa"/>
            <w:tcBorders>
              <w:bottom w:val="single" w:sz="12" w:space="0" w:color="008000"/>
            </w:tcBorders>
            <w:vAlign w:val="center"/>
          </w:tcPr>
          <w:p w14:paraId="05FC9500" w14:textId="77777777" w:rsidR="00763739" w:rsidRPr="00252303" w:rsidRDefault="00763739" w:rsidP="007831F4">
            <w:pPr>
              <w:pStyle w:val="CETBodytext"/>
              <w:jc w:val="center"/>
              <w:rPr>
                <w:rFonts w:eastAsia="Arial"/>
                <w:b/>
                <w:color w:val="000000" w:themeColor="text1"/>
              </w:rPr>
            </w:pPr>
            <w:r w:rsidRPr="00252303">
              <w:rPr>
                <w:rFonts w:eastAsia="Arial"/>
                <w:color w:val="000000" w:themeColor="text1"/>
              </w:rPr>
              <w:t>1.974</w:t>
            </w:r>
          </w:p>
        </w:tc>
        <w:tc>
          <w:tcPr>
            <w:tcW w:w="1020" w:type="dxa"/>
            <w:tcBorders>
              <w:bottom w:val="single" w:sz="12" w:space="0" w:color="008000"/>
            </w:tcBorders>
            <w:vAlign w:val="center"/>
          </w:tcPr>
          <w:p w14:paraId="45ECCB2F" w14:textId="77777777" w:rsidR="00763739" w:rsidRPr="00252303" w:rsidRDefault="00763739" w:rsidP="007831F4">
            <w:pPr>
              <w:pStyle w:val="CETBodytext"/>
              <w:jc w:val="center"/>
              <w:rPr>
                <w:rFonts w:eastAsia="Arial"/>
                <w:b/>
                <w:color w:val="000000" w:themeColor="text1"/>
              </w:rPr>
            </w:pPr>
            <w:r w:rsidRPr="00252303">
              <w:rPr>
                <w:rFonts w:eastAsia="Arial"/>
                <w:color w:val="000000" w:themeColor="text1"/>
              </w:rPr>
              <w:t>3.167</w:t>
            </w:r>
          </w:p>
        </w:tc>
        <w:tc>
          <w:tcPr>
            <w:tcW w:w="825" w:type="dxa"/>
            <w:tcBorders>
              <w:bottom w:val="single" w:sz="12" w:space="0" w:color="008000"/>
            </w:tcBorders>
            <w:vAlign w:val="center"/>
          </w:tcPr>
          <w:p w14:paraId="283BAE08" w14:textId="77777777" w:rsidR="00763739" w:rsidRPr="00252303" w:rsidRDefault="00763739" w:rsidP="007831F4">
            <w:pPr>
              <w:pStyle w:val="CETBodytext"/>
              <w:jc w:val="center"/>
              <w:rPr>
                <w:rFonts w:eastAsia="Arial"/>
                <w:b/>
                <w:color w:val="000000" w:themeColor="text1"/>
                <w:vertAlign w:val="superscript"/>
              </w:rPr>
            </w:pPr>
            <w:r w:rsidRPr="00252303">
              <w:rPr>
                <w:rFonts w:eastAsia="Arial"/>
                <w:color w:val="000000" w:themeColor="text1"/>
              </w:rPr>
              <w:t>1.376</w:t>
            </w:r>
          </w:p>
        </w:tc>
        <w:tc>
          <w:tcPr>
            <w:tcW w:w="868" w:type="dxa"/>
            <w:tcBorders>
              <w:bottom w:val="single" w:sz="12" w:space="0" w:color="008000"/>
            </w:tcBorders>
            <w:vAlign w:val="center"/>
          </w:tcPr>
          <w:p w14:paraId="14902839" w14:textId="77777777" w:rsidR="00763739" w:rsidRPr="00252303" w:rsidRDefault="00763739" w:rsidP="007831F4">
            <w:pPr>
              <w:pStyle w:val="CETBodytext"/>
              <w:jc w:val="center"/>
              <w:rPr>
                <w:rFonts w:eastAsia="Arial"/>
                <w:b/>
                <w:color w:val="000000" w:themeColor="text1"/>
              </w:rPr>
            </w:pPr>
            <w:r w:rsidRPr="00252303">
              <w:rPr>
                <w:rFonts w:eastAsia="Arial"/>
                <w:color w:val="000000" w:themeColor="text1"/>
              </w:rPr>
              <w:t>1.190</w:t>
            </w:r>
          </w:p>
        </w:tc>
      </w:tr>
    </w:tbl>
    <w:p w14:paraId="296530D3" w14:textId="734149D4" w:rsidR="007124D8" w:rsidRPr="00252303" w:rsidRDefault="00002939" w:rsidP="007124D8">
      <w:pPr>
        <w:pStyle w:val="CETHeading1"/>
        <w:numPr>
          <w:ilvl w:val="0"/>
          <w:numId w:val="0"/>
        </w:numPr>
        <w:rPr>
          <w:b w:val="0"/>
          <w:color w:val="000000" w:themeColor="text1"/>
          <w:sz w:val="18"/>
          <w:szCs w:val="18"/>
        </w:rPr>
      </w:pPr>
      <w:r w:rsidRPr="00252303">
        <w:rPr>
          <w:b w:val="0"/>
          <w:color w:val="000000" w:themeColor="text1"/>
          <w:sz w:val="18"/>
          <w:szCs w:val="18"/>
        </w:rPr>
        <w:t>Overall, the synthesized activated carbons showed high efficiency in</w:t>
      </w:r>
      <w:bookmarkStart w:id="16" w:name="_GoBack"/>
      <w:bookmarkEnd w:id="16"/>
      <w:r w:rsidRPr="00252303">
        <w:rPr>
          <w:b w:val="0"/>
          <w:color w:val="000000" w:themeColor="text1"/>
          <w:sz w:val="18"/>
          <w:szCs w:val="18"/>
        </w:rPr>
        <w:t xml:space="preserve"> removing organic species in aqueous media. The results are relevant for future projects such as constructing a pilot unit, applying activated carbons under dynamic conditions, and their possible regeneration in water treatment.</w:t>
      </w:r>
    </w:p>
    <w:p w14:paraId="68D26B83" w14:textId="7AFF2617" w:rsidR="00600535" w:rsidRPr="00252303" w:rsidRDefault="00600535" w:rsidP="00600535">
      <w:pPr>
        <w:pStyle w:val="CETHeading1"/>
        <w:rPr>
          <w:color w:val="000000" w:themeColor="text1"/>
        </w:rPr>
      </w:pPr>
      <w:r w:rsidRPr="00252303">
        <w:rPr>
          <w:color w:val="000000" w:themeColor="text1"/>
        </w:rPr>
        <w:t>Conclusions</w:t>
      </w:r>
    </w:p>
    <w:p w14:paraId="2F9CE7A1" w14:textId="02C1188C" w:rsidR="00F8501C" w:rsidRPr="00252303" w:rsidRDefault="00F8501C" w:rsidP="00F56D3C">
      <w:pPr>
        <w:pStyle w:val="CETBodytext"/>
        <w:rPr>
          <w:rFonts w:eastAsia="Arial"/>
          <w:color w:val="000000" w:themeColor="text1"/>
        </w:rPr>
      </w:pPr>
      <w:bookmarkStart w:id="17" w:name="_Hlk195533332"/>
      <w:r w:rsidRPr="00252303">
        <w:rPr>
          <w:rFonts w:eastAsia="Arial"/>
          <w:color w:val="000000" w:themeColor="text1"/>
        </w:rPr>
        <w:t xml:space="preserve">Residual biomass from </w:t>
      </w:r>
      <w:r w:rsidR="001F2C3D" w:rsidRPr="00252303">
        <w:rPr>
          <w:rFonts w:eastAsia="Arial"/>
          <w:color w:val="000000" w:themeColor="text1"/>
        </w:rPr>
        <w:t>coco</w:t>
      </w:r>
      <w:r w:rsidR="0098305E" w:rsidRPr="00252303">
        <w:rPr>
          <w:rFonts w:eastAsia="Arial"/>
          <w:color w:val="000000" w:themeColor="text1"/>
        </w:rPr>
        <w:t xml:space="preserve">a, </w:t>
      </w:r>
      <w:r w:rsidRPr="00252303">
        <w:rPr>
          <w:rFonts w:eastAsia="Arial"/>
          <w:color w:val="000000" w:themeColor="text1"/>
        </w:rPr>
        <w:t>coffee,</w:t>
      </w:r>
      <w:r w:rsidR="0098305E" w:rsidRPr="00252303">
        <w:rPr>
          <w:rFonts w:eastAsia="Arial"/>
          <w:color w:val="000000" w:themeColor="text1"/>
        </w:rPr>
        <w:t xml:space="preserve"> </w:t>
      </w:r>
      <w:r w:rsidRPr="00252303">
        <w:rPr>
          <w:rFonts w:eastAsia="Arial"/>
          <w:color w:val="000000" w:themeColor="text1"/>
        </w:rPr>
        <w:t xml:space="preserve">and oil palm can be repurposed </w:t>
      </w:r>
      <w:r w:rsidR="00002939" w:rsidRPr="00252303">
        <w:rPr>
          <w:rFonts w:eastAsia="Arial"/>
          <w:color w:val="000000" w:themeColor="text1"/>
        </w:rPr>
        <w:t>to synthesize</w:t>
      </w:r>
      <w:r w:rsidRPr="00252303">
        <w:rPr>
          <w:rFonts w:eastAsia="Arial"/>
          <w:color w:val="000000" w:themeColor="text1"/>
        </w:rPr>
        <w:t xml:space="preserve"> activated carbons, offering a sustainable solution to waste accumulation and disposal costs. The resulting activated carbons exhibited high specific surface areas between 695 and 971 m</w:t>
      </w:r>
      <w:r w:rsidRPr="00252303">
        <w:rPr>
          <w:rFonts w:eastAsia="Arial"/>
          <w:color w:val="000000" w:themeColor="text1"/>
          <w:vertAlign w:val="superscript"/>
        </w:rPr>
        <w:t>2</w:t>
      </w:r>
      <w:r w:rsidRPr="00252303">
        <w:rPr>
          <w:rFonts w:eastAsia="Arial"/>
          <w:color w:val="000000" w:themeColor="text1"/>
        </w:rPr>
        <w:t xml:space="preserve">/g, with </w:t>
      </w:r>
      <w:r w:rsidR="00E22F56" w:rsidRPr="00252303">
        <w:rPr>
          <w:rFonts w:eastAsia="Arial"/>
          <w:color w:val="000000" w:themeColor="text1"/>
        </w:rPr>
        <w:t>cocoa</w:t>
      </w:r>
      <w:r w:rsidRPr="00252303">
        <w:rPr>
          <w:rFonts w:eastAsia="Arial"/>
          <w:color w:val="000000" w:themeColor="text1"/>
        </w:rPr>
        <w:t xml:space="preserve"> biomass achieving the highest value. Impregnation with </w:t>
      </w:r>
      <w:proofErr w:type="spellStart"/>
      <w:r w:rsidRPr="00252303">
        <w:rPr>
          <w:rFonts w:eastAsia="Arial"/>
          <w:color w:val="000000" w:themeColor="text1"/>
        </w:rPr>
        <w:t>SiO</w:t>
      </w:r>
      <w:proofErr w:type="spellEnd"/>
      <w:r w:rsidRPr="00252303">
        <w:rPr>
          <w:rFonts w:ascii="Cambria Math" w:eastAsia="Arial" w:hAnsi="Cambria Math" w:cs="Cambria Math"/>
          <w:color w:val="000000" w:themeColor="text1"/>
        </w:rPr>
        <w:t>₂</w:t>
      </w:r>
      <w:r w:rsidRPr="00252303">
        <w:rPr>
          <w:rFonts w:eastAsia="Arial"/>
          <w:color w:val="000000" w:themeColor="text1"/>
        </w:rPr>
        <w:t xml:space="preserve"> nanoparticles increased the surface area by 19%, enhancing pollutant removal efficiency. Adsorption studies for phenol (Ph), methylene blue (MB), and sodium dodecylbenzene</w:t>
      </w:r>
      <w:r w:rsidR="00002939" w:rsidRPr="00252303">
        <w:rPr>
          <w:rFonts w:eastAsia="Arial"/>
          <w:color w:val="000000" w:themeColor="text1"/>
        </w:rPr>
        <w:t xml:space="preserve"> </w:t>
      </w:r>
      <w:r w:rsidRPr="00252303">
        <w:rPr>
          <w:rFonts w:eastAsia="Arial"/>
          <w:color w:val="000000" w:themeColor="text1"/>
        </w:rPr>
        <w:t>sulfonate (SDBS) followed Langmuir, Freundlich, and Temkin isotherms, with the Freundlich model providing the best fit.</w:t>
      </w:r>
    </w:p>
    <w:bookmarkEnd w:id="17"/>
    <w:p w14:paraId="459D05E6" w14:textId="2CD727D7" w:rsidR="00600535" w:rsidRPr="00252303" w:rsidRDefault="00600535" w:rsidP="00600535">
      <w:pPr>
        <w:pStyle w:val="CETAcknowledgementstitle"/>
        <w:rPr>
          <w:color w:val="000000" w:themeColor="text1"/>
          <w:lang w:val="en-US"/>
        </w:rPr>
      </w:pPr>
      <w:r w:rsidRPr="00252303">
        <w:rPr>
          <w:color w:val="000000" w:themeColor="text1"/>
          <w:lang w:val="en-US"/>
        </w:rPr>
        <w:t>Acknowledgments</w:t>
      </w:r>
    </w:p>
    <w:p w14:paraId="33646334" w14:textId="0277C653" w:rsidR="000E6990" w:rsidRPr="00252303" w:rsidRDefault="000E6990" w:rsidP="00AC13D7">
      <w:pPr>
        <w:pStyle w:val="CETBodytext"/>
        <w:rPr>
          <w:rFonts w:eastAsia="Arial"/>
          <w:color w:val="000000" w:themeColor="text1"/>
        </w:rPr>
      </w:pPr>
      <w:r w:rsidRPr="00252303">
        <w:rPr>
          <w:rFonts w:eastAsia="Arial"/>
          <w:color w:val="000000" w:themeColor="text1"/>
        </w:rPr>
        <w:t>The authors express their gratitude to the “</w:t>
      </w:r>
      <w:proofErr w:type="spellStart"/>
      <w:r w:rsidRPr="00252303">
        <w:rPr>
          <w:rFonts w:eastAsia="Arial"/>
          <w:color w:val="000000" w:themeColor="text1"/>
        </w:rPr>
        <w:t>Ministerio</w:t>
      </w:r>
      <w:proofErr w:type="spellEnd"/>
      <w:r w:rsidRPr="00252303">
        <w:rPr>
          <w:rFonts w:eastAsia="Arial"/>
          <w:color w:val="000000" w:themeColor="text1"/>
        </w:rPr>
        <w:t xml:space="preserve"> de </w:t>
      </w:r>
      <w:proofErr w:type="spellStart"/>
      <w:r w:rsidRPr="00252303">
        <w:rPr>
          <w:rFonts w:eastAsia="Arial"/>
          <w:color w:val="000000" w:themeColor="text1"/>
        </w:rPr>
        <w:t>Ciencia</w:t>
      </w:r>
      <w:proofErr w:type="spellEnd"/>
      <w:r w:rsidRPr="00252303">
        <w:rPr>
          <w:rFonts w:eastAsia="Arial"/>
          <w:color w:val="000000" w:themeColor="text1"/>
        </w:rPr>
        <w:t xml:space="preserve"> y </w:t>
      </w:r>
      <w:proofErr w:type="spellStart"/>
      <w:r w:rsidRPr="00252303">
        <w:rPr>
          <w:rFonts w:eastAsia="Arial"/>
          <w:color w:val="000000" w:themeColor="text1"/>
        </w:rPr>
        <w:t>Tecnología</w:t>
      </w:r>
      <w:proofErr w:type="spellEnd"/>
      <w:r w:rsidRPr="00252303">
        <w:rPr>
          <w:rFonts w:eastAsia="Arial"/>
          <w:color w:val="000000" w:themeColor="text1"/>
        </w:rPr>
        <w:t xml:space="preserve"> (MINCIENCIAS)”, “</w:t>
      </w:r>
      <w:proofErr w:type="spellStart"/>
      <w:r w:rsidRPr="00252303">
        <w:rPr>
          <w:rFonts w:eastAsia="Arial"/>
          <w:color w:val="000000" w:themeColor="text1"/>
        </w:rPr>
        <w:t>Agencia</w:t>
      </w:r>
      <w:proofErr w:type="spellEnd"/>
      <w:r w:rsidRPr="00252303">
        <w:rPr>
          <w:rFonts w:eastAsia="Arial"/>
          <w:color w:val="000000" w:themeColor="text1"/>
        </w:rPr>
        <w:t xml:space="preserve"> Nacional de </w:t>
      </w:r>
      <w:proofErr w:type="spellStart"/>
      <w:r w:rsidRPr="00252303">
        <w:rPr>
          <w:rFonts w:eastAsia="Arial"/>
          <w:color w:val="000000" w:themeColor="text1"/>
        </w:rPr>
        <w:t>Hidrocarburos</w:t>
      </w:r>
      <w:proofErr w:type="spellEnd"/>
      <w:r w:rsidRPr="00252303">
        <w:rPr>
          <w:rFonts w:eastAsia="Arial"/>
          <w:color w:val="000000" w:themeColor="text1"/>
        </w:rPr>
        <w:t xml:space="preserve"> (ANH)”, Energy Frontera and Universidad Industrial de Santander for the financial support. This work was financially supported by Project 1102-1035-92931 contract 036 2023.</w:t>
      </w:r>
      <w:r w:rsidR="002A750F" w:rsidRPr="00252303">
        <w:rPr>
          <w:rFonts w:eastAsia="Arial"/>
          <w:color w:val="000000" w:themeColor="text1"/>
        </w:rPr>
        <w:t xml:space="preserve"> </w:t>
      </w:r>
      <w:r w:rsidRPr="00252303">
        <w:rPr>
          <w:rFonts w:eastAsia="Arial"/>
          <w:color w:val="000000" w:themeColor="text1"/>
        </w:rPr>
        <w:t xml:space="preserve">Also, the authors are grateful for the technical support provided by the Universidad Industrial de Santander (UIS) in the framework </w:t>
      </w:r>
      <w:r w:rsidRPr="00252303">
        <w:rPr>
          <w:rFonts w:eastAsia="Arial"/>
          <w:color w:val="000000" w:themeColor="text1"/>
        </w:rPr>
        <w:lastRenderedPageBreak/>
        <w:t xml:space="preserve">of Research Project No. </w:t>
      </w:r>
      <w:r w:rsidR="00904453">
        <w:rPr>
          <w:rFonts w:eastAsia="Arial"/>
          <w:color w:val="000000" w:themeColor="text1"/>
        </w:rPr>
        <w:t xml:space="preserve">3914 and </w:t>
      </w:r>
      <w:r w:rsidRPr="00252303">
        <w:rPr>
          <w:rFonts w:eastAsia="Arial"/>
          <w:color w:val="000000" w:themeColor="text1"/>
        </w:rPr>
        <w:t xml:space="preserve">2423 </w:t>
      </w:r>
      <w:r w:rsidRPr="00252303">
        <w:rPr>
          <w:rFonts w:eastAsia="Arial"/>
          <w:i/>
          <w:iCs/>
          <w:color w:val="000000" w:themeColor="text1"/>
        </w:rPr>
        <w:t>“</w:t>
      </w:r>
      <w:proofErr w:type="spellStart"/>
      <w:r w:rsidRPr="00252303">
        <w:rPr>
          <w:rFonts w:eastAsia="Arial"/>
          <w:i/>
          <w:iCs/>
          <w:color w:val="000000" w:themeColor="text1"/>
        </w:rPr>
        <w:t>Transformación</w:t>
      </w:r>
      <w:proofErr w:type="spellEnd"/>
      <w:r w:rsidRPr="00252303">
        <w:rPr>
          <w:rFonts w:eastAsia="Arial"/>
          <w:i/>
          <w:iCs/>
          <w:color w:val="000000" w:themeColor="text1"/>
        </w:rPr>
        <w:t xml:space="preserve"> </w:t>
      </w:r>
      <w:proofErr w:type="spellStart"/>
      <w:r w:rsidRPr="00252303">
        <w:rPr>
          <w:rFonts w:eastAsia="Arial"/>
          <w:i/>
          <w:iCs/>
          <w:color w:val="000000" w:themeColor="text1"/>
        </w:rPr>
        <w:t>sostenible</w:t>
      </w:r>
      <w:proofErr w:type="spellEnd"/>
      <w:r w:rsidRPr="00252303">
        <w:rPr>
          <w:rFonts w:eastAsia="Arial"/>
          <w:i/>
          <w:iCs/>
          <w:color w:val="000000" w:themeColor="text1"/>
        </w:rPr>
        <w:t xml:space="preserve"> de </w:t>
      </w:r>
      <w:proofErr w:type="spellStart"/>
      <w:r w:rsidRPr="00252303">
        <w:rPr>
          <w:rFonts w:eastAsia="Arial"/>
          <w:i/>
          <w:iCs/>
          <w:color w:val="000000" w:themeColor="text1"/>
        </w:rPr>
        <w:t>biomasa</w:t>
      </w:r>
      <w:proofErr w:type="spellEnd"/>
      <w:r w:rsidRPr="00252303">
        <w:rPr>
          <w:rFonts w:eastAsia="Arial"/>
          <w:i/>
          <w:iCs/>
          <w:color w:val="000000" w:themeColor="text1"/>
        </w:rPr>
        <w:t xml:space="preserve"> residual vegetal para la </w:t>
      </w:r>
      <w:proofErr w:type="spellStart"/>
      <w:r w:rsidRPr="00252303">
        <w:rPr>
          <w:rFonts w:eastAsia="Arial"/>
          <w:i/>
          <w:iCs/>
          <w:color w:val="000000" w:themeColor="text1"/>
        </w:rPr>
        <w:t>generación</w:t>
      </w:r>
      <w:proofErr w:type="spellEnd"/>
      <w:r w:rsidRPr="00252303">
        <w:rPr>
          <w:rFonts w:eastAsia="Arial"/>
          <w:i/>
          <w:iCs/>
          <w:color w:val="000000" w:themeColor="text1"/>
        </w:rPr>
        <w:t xml:space="preserve"> de </w:t>
      </w:r>
      <w:proofErr w:type="spellStart"/>
      <w:r w:rsidRPr="00252303">
        <w:rPr>
          <w:rFonts w:eastAsia="Arial"/>
          <w:i/>
          <w:iCs/>
          <w:color w:val="000000" w:themeColor="text1"/>
        </w:rPr>
        <w:t>energía</w:t>
      </w:r>
      <w:proofErr w:type="spellEnd"/>
      <w:r w:rsidRPr="00252303">
        <w:rPr>
          <w:rFonts w:eastAsia="Arial"/>
          <w:i/>
          <w:iCs/>
          <w:color w:val="000000" w:themeColor="text1"/>
        </w:rPr>
        <w:t xml:space="preserve"> y </w:t>
      </w:r>
      <w:proofErr w:type="spellStart"/>
      <w:r w:rsidRPr="00252303">
        <w:rPr>
          <w:rFonts w:eastAsia="Arial"/>
          <w:i/>
          <w:iCs/>
          <w:color w:val="000000" w:themeColor="text1"/>
        </w:rPr>
        <w:t>tratamiento</w:t>
      </w:r>
      <w:proofErr w:type="spellEnd"/>
      <w:r w:rsidRPr="00252303">
        <w:rPr>
          <w:rFonts w:eastAsia="Arial"/>
          <w:i/>
          <w:iCs/>
          <w:color w:val="000000" w:themeColor="text1"/>
        </w:rPr>
        <w:t xml:space="preserve"> de </w:t>
      </w:r>
      <w:proofErr w:type="spellStart"/>
      <w:r w:rsidRPr="00252303">
        <w:rPr>
          <w:rFonts w:eastAsia="Arial"/>
          <w:i/>
          <w:iCs/>
          <w:color w:val="000000" w:themeColor="text1"/>
        </w:rPr>
        <w:t>aguas</w:t>
      </w:r>
      <w:proofErr w:type="spellEnd"/>
      <w:r w:rsidRPr="00252303">
        <w:rPr>
          <w:rFonts w:eastAsia="Arial"/>
          <w:i/>
          <w:iCs/>
          <w:color w:val="000000" w:themeColor="text1"/>
        </w:rPr>
        <w:t xml:space="preserve"> </w:t>
      </w:r>
      <w:proofErr w:type="spellStart"/>
      <w:r w:rsidRPr="00252303">
        <w:rPr>
          <w:rFonts w:eastAsia="Arial"/>
          <w:i/>
          <w:iCs/>
          <w:color w:val="000000" w:themeColor="text1"/>
        </w:rPr>
        <w:t>residuales</w:t>
      </w:r>
      <w:proofErr w:type="spellEnd"/>
      <w:r w:rsidRPr="00252303">
        <w:rPr>
          <w:rFonts w:eastAsia="Arial"/>
          <w:i/>
          <w:iCs/>
          <w:color w:val="000000" w:themeColor="text1"/>
        </w:rPr>
        <w:t xml:space="preserve"> de la </w:t>
      </w:r>
      <w:proofErr w:type="spellStart"/>
      <w:r w:rsidRPr="00252303">
        <w:rPr>
          <w:rFonts w:eastAsia="Arial"/>
          <w:i/>
          <w:iCs/>
          <w:color w:val="000000" w:themeColor="text1"/>
        </w:rPr>
        <w:t>agroindustria</w:t>
      </w:r>
      <w:proofErr w:type="spellEnd"/>
      <w:r w:rsidRPr="00252303">
        <w:rPr>
          <w:rFonts w:eastAsia="Arial"/>
          <w:i/>
          <w:iCs/>
          <w:color w:val="000000" w:themeColor="text1"/>
        </w:rPr>
        <w:t xml:space="preserve"> </w:t>
      </w:r>
      <w:proofErr w:type="spellStart"/>
      <w:r w:rsidRPr="00252303">
        <w:rPr>
          <w:rFonts w:eastAsia="Arial"/>
          <w:i/>
          <w:iCs/>
          <w:color w:val="000000" w:themeColor="text1"/>
        </w:rPr>
        <w:t>palmicultora</w:t>
      </w:r>
      <w:proofErr w:type="spellEnd"/>
      <w:r w:rsidRPr="00252303">
        <w:rPr>
          <w:rFonts w:eastAsia="Arial"/>
          <w:i/>
          <w:iCs/>
          <w:color w:val="000000" w:themeColor="text1"/>
        </w:rPr>
        <w:t xml:space="preserve"> </w:t>
      </w:r>
      <w:proofErr w:type="spellStart"/>
      <w:r w:rsidRPr="00252303">
        <w:rPr>
          <w:rFonts w:eastAsia="Arial"/>
          <w:i/>
          <w:iCs/>
          <w:color w:val="000000" w:themeColor="text1"/>
        </w:rPr>
        <w:t>en</w:t>
      </w:r>
      <w:proofErr w:type="spellEnd"/>
      <w:r w:rsidRPr="00252303">
        <w:rPr>
          <w:rFonts w:eastAsia="Arial"/>
          <w:i/>
          <w:iCs/>
          <w:color w:val="000000" w:themeColor="text1"/>
        </w:rPr>
        <w:t xml:space="preserve"> el Valle Medio del Magdalena”.</w:t>
      </w:r>
      <w:r w:rsidR="002A750F" w:rsidRPr="00252303">
        <w:rPr>
          <w:rFonts w:eastAsia="Arial"/>
          <w:color w:val="000000" w:themeColor="text1"/>
        </w:rPr>
        <w:t xml:space="preserve"> </w:t>
      </w:r>
      <w:r w:rsidRPr="00252303">
        <w:rPr>
          <w:rFonts w:eastAsia="Arial"/>
          <w:color w:val="000000" w:themeColor="text1"/>
        </w:rPr>
        <w:t xml:space="preserve">Finally, the authors would like to thank </w:t>
      </w:r>
      <w:proofErr w:type="spellStart"/>
      <w:r w:rsidRPr="00252303">
        <w:rPr>
          <w:rFonts w:eastAsia="Arial"/>
          <w:color w:val="000000" w:themeColor="text1"/>
        </w:rPr>
        <w:t>Laboratorio</w:t>
      </w:r>
      <w:proofErr w:type="spellEnd"/>
      <w:r w:rsidRPr="00252303">
        <w:rPr>
          <w:rFonts w:eastAsia="Arial"/>
          <w:color w:val="000000" w:themeColor="text1"/>
        </w:rPr>
        <w:t xml:space="preserve"> de </w:t>
      </w:r>
      <w:proofErr w:type="spellStart"/>
      <w:r w:rsidRPr="00252303">
        <w:rPr>
          <w:rFonts w:eastAsia="Arial"/>
          <w:color w:val="000000" w:themeColor="text1"/>
        </w:rPr>
        <w:t>Microscopia</w:t>
      </w:r>
      <w:proofErr w:type="spellEnd"/>
      <w:r w:rsidRPr="00252303">
        <w:rPr>
          <w:rFonts w:eastAsia="Arial"/>
          <w:color w:val="000000" w:themeColor="text1"/>
        </w:rPr>
        <w:t xml:space="preserve">, </w:t>
      </w:r>
      <w:proofErr w:type="spellStart"/>
      <w:r w:rsidRPr="00252303">
        <w:rPr>
          <w:rFonts w:eastAsia="Arial"/>
          <w:color w:val="000000" w:themeColor="text1"/>
        </w:rPr>
        <w:t>Laboratorio</w:t>
      </w:r>
      <w:proofErr w:type="spellEnd"/>
      <w:r w:rsidRPr="00252303">
        <w:rPr>
          <w:rFonts w:eastAsia="Arial"/>
          <w:color w:val="000000" w:themeColor="text1"/>
        </w:rPr>
        <w:t xml:space="preserve"> de </w:t>
      </w:r>
      <w:proofErr w:type="spellStart"/>
      <w:r w:rsidRPr="00252303">
        <w:rPr>
          <w:rFonts w:eastAsia="Arial"/>
          <w:color w:val="000000" w:themeColor="text1"/>
        </w:rPr>
        <w:t>Rayos</w:t>
      </w:r>
      <w:proofErr w:type="spellEnd"/>
      <w:r w:rsidRPr="00252303">
        <w:rPr>
          <w:rFonts w:eastAsia="Arial"/>
          <w:color w:val="000000" w:themeColor="text1"/>
        </w:rPr>
        <w:t xml:space="preserve"> X and Centro de </w:t>
      </w:r>
      <w:proofErr w:type="spellStart"/>
      <w:r w:rsidRPr="00252303">
        <w:rPr>
          <w:rFonts w:eastAsia="Arial"/>
          <w:color w:val="000000" w:themeColor="text1"/>
        </w:rPr>
        <w:t>Investigaciones</w:t>
      </w:r>
      <w:proofErr w:type="spellEnd"/>
      <w:r w:rsidRPr="00252303">
        <w:rPr>
          <w:rFonts w:eastAsia="Arial"/>
          <w:color w:val="000000" w:themeColor="text1"/>
        </w:rPr>
        <w:t xml:space="preserve"> </w:t>
      </w:r>
      <w:proofErr w:type="spellStart"/>
      <w:r w:rsidRPr="00252303">
        <w:rPr>
          <w:rFonts w:eastAsia="Arial"/>
          <w:color w:val="000000" w:themeColor="text1"/>
        </w:rPr>
        <w:t>en</w:t>
      </w:r>
      <w:proofErr w:type="spellEnd"/>
      <w:r w:rsidRPr="00252303">
        <w:rPr>
          <w:rFonts w:eastAsia="Arial"/>
          <w:color w:val="000000" w:themeColor="text1"/>
        </w:rPr>
        <w:t xml:space="preserve"> </w:t>
      </w:r>
      <w:proofErr w:type="spellStart"/>
      <w:r w:rsidRPr="00252303">
        <w:rPr>
          <w:rFonts w:eastAsia="Arial"/>
          <w:color w:val="000000" w:themeColor="text1"/>
        </w:rPr>
        <w:t>Catálisis</w:t>
      </w:r>
      <w:proofErr w:type="spellEnd"/>
      <w:r w:rsidRPr="00252303">
        <w:rPr>
          <w:rFonts w:eastAsia="Arial"/>
          <w:color w:val="000000" w:themeColor="text1"/>
        </w:rPr>
        <w:t xml:space="preserve"> (CICAT) from Universidad Industrial de Santander (UIS) for their support in obtaining the results.</w:t>
      </w:r>
    </w:p>
    <w:p w14:paraId="4F1327F8" w14:textId="77777777" w:rsidR="00600535" w:rsidRPr="00F56D3C" w:rsidRDefault="00600535" w:rsidP="00600535">
      <w:pPr>
        <w:pStyle w:val="CETReference"/>
        <w:rPr>
          <w:lang w:val="es-CO"/>
        </w:rPr>
      </w:pPr>
      <w:proofErr w:type="spellStart"/>
      <w:r w:rsidRPr="00F56D3C">
        <w:rPr>
          <w:lang w:val="es-CO"/>
        </w:rPr>
        <w:t>References</w:t>
      </w:r>
      <w:proofErr w:type="spellEnd"/>
    </w:p>
    <w:p w14:paraId="54572910" w14:textId="2263BE0B" w:rsidR="0031014E" w:rsidRDefault="0031014E" w:rsidP="0031014E">
      <w:pPr>
        <w:widowControl w:val="0"/>
        <w:autoSpaceDE w:val="0"/>
        <w:autoSpaceDN w:val="0"/>
        <w:adjustRightInd w:val="0"/>
        <w:spacing w:line="240" w:lineRule="auto"/>
        <w:ind w:left="480" w:hanging="480"/>
        <w:rPr>
          <w:rFonts w:cs="Arial"/>
          <w:noProof/>
          <w:szCs w:val="24"/>
          <w:lang w:val="es-CO"/>
        </w:rPr>
      </w:pPr>
      <w:r w:rsidRPr="0081127B">
        <w:rPr>
          <w:rFonts w:cs="Arial"/>
          <w:noProof/>
          <w:szCs w:val="24"/>
          <w:lang w:val="es-CO"/>
        </w:rPr>
        <w:t>Agencia Nacional de Hi</w:t>
      </w:r>
      <w:r>
        <w:rPr>
          <w:rFonts w:cs="Arial"/>
          <w:noProof/>
          <w:szCs w:val="24"/>
          <w:lang w:val="es-CO"/>
        </w:rPr>
        <w:t>d</w:t>
      </w:r>
      <w:r w:rsidRPr="0081127B">
        <w:rPr>
          <w:rFonts w:cs="Arial"/>
          <w:noProof/>
          <w:szCs w:val="24"/>
          <w:lang w:val="es-CO"/>
        </w:rPr>
        <w:t xml:space="preserve">rocarburos. (2024). </w:t>
      </w:r>
      <w:r w:rsidRPr="0081127B">
        <w:rPr>
          <w:rFonts w:cs="Arial"/>
          <w:i/>
          <w:iCs/>
          <w:noProof/>
          <w:szCs w:val="24"/>
          <w:lang w:val="es-CO"/>
        </w:rPr>
        <w:t>Estadísticas de Producción</w:t>
      </w:r>
      <w:r w:rsidRPr="0081127B">
        <w:rPr>
          <w:rFonts w:cs="Arial"/>
          <w:noProof/>
          <w:szCs w:val="24"/>
          <w:lang w:val="es-CO"/>
        </w:rPr>
        <w:t xml:space="preserve">. </w:t>
      </w:r>
      <w:hyperlink r:id="rId13" w:history="1">
        <w:r w:rsidR="009F79F4" w:rsidRPr="00CF6568">
          <w:rPr>
            <w:rStyle w:val="Hipervnculo"/>
            <w:rFonts w:cs="Arial"/>
            <w:noProof/>
            <w:szCs w:val="24"/>
            <w:lang w:val="es-CO"/>
          </w:rPr>
          <w:t>https://www.anh.gov.co/es/operaciones-y-regalías/sistemas-integrados-operaciones/estadísticas-de-producción/</w:t>
        </w:r>
      </w:hyperlink>
    </w:p>
    <w:p w14:paraId="2ECF3FB4" w14:textId="77777777" w:rsidR="0031014E" w:rsidRPr="00446F01" w:rsidRDefault="0031014E" w:rsidP="0031014E">
      <w:pPr>
        <w:spacing w:line="240" w:lineRule="auto"/>
        <w:ind w:left="640" w:hanging="640"/>
        <w:rPr>
          <w:rFonts w:eastAsia="Arial" w:cs="Arial"/>
          <w:lang w:val="en-US"/>
        </w:rPr>
      </w:pPr>
      <w:r w:rsidRPr="5D172A4E">
        <w:rPr>
          <w:rFonts w:eastAsia="Arial" w:cs="Arial"/>
          <w:lang w:val="en-US"/>
        </w:rPr>
        <w:t xml:space="preserve">Belmont, E. L.; Davidson, F. T.; Glazer, Y. R.; Beagle, E. A.; Webber, M. E. (2017). Accounting for Water Formation from Hydrocarbon Fuel Combustion in Life Cycle Analyses. </w:t>
      </w:r>
      <w:r w:rsidRPr="00446F01">
        <w:rPr>
          <w:rFonts w:eastAsia="Arial" w:cs="Arial"/>
          <w:i/>
          <w:iCs/>
          <w:lang w:val="en-US"/>
        </w:rPr>
        <w:t>Environmental Research Letters, 12</w:t>
      </w:r>
      <w:r w:rsidRPr="00446F01">
        <w:rPr>
          <w:rFonts w:eastAsia="Arial" w:cs="Arial"/>
          <w:lang w:val="en-US"/>
        </w:rPr>
        <w:t xml:space="preserve"> (9), 094019. </w:t>
      </w:r>
      <w:hyperlink r:id="rId14">
        <w:r w:rsidRPr="00446F01">
          <w:rPr>
            <w:rStyle w:val="Hipervnculo"/>
            <w:rFonts w:eastAsia="Arial" w:cs="Arial"/>
            <w:lang w:val="en-US"/>
          </w:rPr>
          <w:t>https://doi.org/10.1088/1748-9326/aa8390</w:t>
        </w:r>
      </w:hyperlink>
      <w:r w:rsidRPr="00446F01">
        <w:rPr>
          <w:rFonts w:eastAsia="Arial" w:cs="Arial"/>
          <w:lang w:val="en-US"/>
        </w:rPr>
        <w:t>.</w:t>
      </w:r>
    </w:p>
    <w:p w14:paraId="5FCB9DA7" w14:textId="77777777" w:rsidR="0031014E" w:rsidRPr="00DD5A5F" w:rsidRDefault="0031014E" w:rsidP="0031014E">
      <w:pPr>
        <w:widowControl w:val="0"/>
        <w:autoSpaceDE w:val="0"/>
        <w:autoSpaceDN w:val="0"/>
        <w:adjustRightInd w:val="0"/>
        <w:spacing w:line="240" w:lineRule="auto"/>
        <w:ind w:left="480" w:hanging="480"/>
        <w:rPr>
          <w:rFonts w:cs="Arial"/>
          <w:noProof/>
          <w:szCs w:val="24"/>
          <w:lang w:val="en-US"/>
        </w:rPr>
      </w:pPr>
      <w:r w:rsidRPr="00446F01">
        <w:rPr>
          <w:rFonts w:cs="Arial"/>
          <w:noProof/>
          <w:szCs w:val="24"/>
        </w:rPr>
        <w:t xml:space="preserve">Buchori, L., Widayat, W., Hadiyanto, H., Satriadi, H., Chasanah, N., &amp; Kurniawan, M. R. (2022). Modifcation of magnetic nanoparticle lipase catalyst with impregnation of Activated Carbon Oxide (ACO) in biodiesel production from PFAD (Palm Fatty Acid Distillate). </w:t>
      </w:r>
      <w:r w:rsidRPr="00DD5A5F">
        <w:rPr>
          <w:rFonts w:cs="Arial"/>
          <w:i/>
          <w:iCs/>
          <w:noProof/>
          <w:szCs w:val="24"/>
          <w:lang w:val="en-US"/>
        </w:rPr>
        <w:t>Bioresource Technology Reports</w:t>
      </w:r>
      <w:r w:rsidRPr="00DD5A5F">
        <w:rPr>
          <w:rFonts w:cs="Arial"/>
          <w:noProof/>
          <w:szCs w:val="24"/>
          <w:lang w:val="en-US"/>
        </w:rPr>
        <w:t xml:space="preserve">, 19, 101137. </w:t>
      </w:r>
      <w:hyperlink r:id="rId15" w:history="1">
        <w:r w:rsidRPr="00DD5A5F">
          <w:rPr>
            <w:rStyle w:val="Hipervnculo"/>
            <w:rFonts w:cs="Arial"/>
            <w:noProof/>
            <w:szCs w:val="24"/>
            <w:lang w:val="en-US"/>
          </w:rPr>
          <w:t>https://doi.org/10.1016/j.biteb.2022.101137</w:t>
        </w:r>
      </w:hyperlink>
    </w:p>
    <w:p w14:paraId="3288A3CA" w14:textId="77777777" w:rsidR="003A38E6" w:rsidRDefault="00970431" w:rsidP="003A38E6">
      <w:pPr>
        <w:widowControl w:val="0"/>
        <w:autoSpaceDE w:val="0"/>
        <w:autoSpaceDN w:val="0"/>
        <w:adjustRightInd w:val="0"/>
        <w:spacing w:line="240" w:lineRule="auto"/>
        <w:ind w:left="480" w:hanging="480"/>
        <w:rPr>
          <w:rFonts w:cs="Arial"/>
          <w:noProof/>
          <w:szCs w:val="24"/>
          <w:lang w:val="en-US"/>
        </w:rPr>
      </w:pPr>
      <w:bookmarkStart w:id="18" w:name="_Hlk195534250"/>
      <w:r w:rsidRPr="00256629">
        <w:rPr>
          <w:rFonts w:cs="Arial"/>
          <w:noProof/>
          <w:szCs w:val="24"/>
          <w:lang w:val="en-US"/>
        </w:rPr>
        <w:t>Castro-Suarez</w:t>
      </w:r>
      <w:r w:rsidR="00256629" w:rsidRPr="00256629">
        <w:rPr>
          <w:rFonts w:cs="Arial"/>
          <w:noProof/>
          <w:szCs w:val="24"/>
          <w:lang w:val="en-US"/>
        </w:rPr>
        <w:t xml:space="preserve">, J.R., Taron-Dunoye, A., &amp; Colpas-Castillo, F. (2024). Use of activated carbon from the seed of </w:t>
      </w:r>
      <w:r w:rsidR="00256629">
        <w:rPr>
          <w:rFonts w:cs="Arial"/>
          <w:noProof/>
          <w:szCs w:val="24"/>
          <w:lang w:val="en-US"/>
        </w:rPr>
        <w:t>P</w:t>
      </w:r>
      <w:r w:rsidR="00256629" w:rsidRPr="00256629">
        <w:rPr>
          <w:rFonts w:cs="Arial"/>
          <w:noProof/>
          <w:szCs w:val="24"/>
          <w:lang w:val="en-US"/>
        </w:rPr>
        <w:t xml:space="preserve">ersea </w:t>
      </w:r>
      <w:r w:rsidR="00256629">
        <w:rPr>
          <w:rFonts w:cs="Arial"/>
          <w:noProof/>
          <w:szCs w:val="24"/>
          <w:lang w:val="en-US"/>
        </w:rPr>
        <w:t>A</w:t>
      </w:r>
      <w:r w:rsidR="00256629" w:rsidRPr="00256629">
        <w:rPr>
          <w:rFonts w:cs="Arial"/>
          <w:noProof/>
          <w:szCs w:val="24"/>
          <w:lang w:val="en-US"/>
        </w:rPr>
        <w:t xml:space="preserve">mericana (var </w:t>
      </w:r>
      <w:r w:rsidR="00256629">
        <w:rPr>
          <w:rFonts w:cs="Arial"/>
          <w:noProof/>
          <w:szCs w:val="24"/>
          <w:lang w:val="en-US"/>
        </w:rPr>
        <w:t>H</w:t>
      </w:r>
      <w:r w:rsidR="00256629" w:rsidRPr="00256629">
        <w:rPr>
          <w:rFonts w:cs="Arial"/>
          <w:noProof/>
          <w:szCs w:val="24"/>
          <w:lang w:val="en-US"/>
        </w:rPr>
        <w:t>ass) in the removal of mercury (</w:t>
      </w:r>
      <w:r w:rsidR="00256629">
        <w:rPr>
          <w:rFonts w:cs="Arial"/>
          <w:noProof/>
          <w:szCs w:val="24"/>
          <w:lang w:val="en-US"/>
        </w:rPr>
        <w:t>H</w:t>
      </w:r>
      <w:r w:rsidR="00256629" w:rsidRPr="00256629">
        <w:rPr>
          <w:rFonts w:cs="Arial"/>
          <w:noProof/>
          <w:szCs w:val="24"/>
          <w:lang w:val="en-US"/>
        </w:rPr>
        <w:t>g</w:t>
      </w:r>
      <w:r w:rsidR="00256629" w:rsidRPr="00DD5A5F">
        <w:rPr>
          <w:rFonts w:cs="Arial"/>
          <w:noProof/>
          <w:szCs w:val="24"/>
          <w:vertAlign w:val="superscript"/>
          <w:lang w:val="en-US"/>
        </w:rPr>
        <w:t>2+</w:t>
      </w:r>
      <w:r w:rsidR="00256629" w:rsidRPr="00256629">
        <w:rPr>
          <w:rFonts w:cs="Arial"/>
          <w:noProof/>
          <w:szCs w:val="24"/>
          <w:lang w:val="en-US"/>
        </w:rPr>
        <w:t>) from wastewater</w:t>
      </w:r>
      <w:r w:rsidR="00256629">
        <w:rPr>
          <w:rFonts w:cs="Arial"/>
          <w:noProof/>
          <w:szCs w:val="24"/>
          <w:lang w:val="en-US"/>
        </w:rPr>
        <w:t xml:space="preserve">. </w:t>
      </w:r>
      <w:r w:rsidR="00256629" w:rsidRPr="00256629">
        <w:rPr>
          <w:rFonts w:cs="Arial"/>
          <w:i/>
          <w:iCs/>
          <w:noProof/>
          <w:szCs w:val="24"/>
        </w:rPr>
        <w:t>Chemical Engineering Transactions</w:t>
      </w:r>
      <w:r w:rsidR="00256629" w:rsidRPr="00256629">
        <w:rPr>
          <w:rFonts w:cs="Arial"/>
          <w:noProof/>
          <w:szCs w:val="24"/>
        </w:rPr>
        <w:t>, 108, 19-24.</w:t>
      </w:r>
      <w:r w:rsidR="00256629" w:rsidRPr="00256629">
        <w:t xml:space="preserve"> </w:t>
      </w:r>
      <w:hyperlink r:id="rId16" w:history="1">
        <w:r w:rsidR="00256629" w:rsidRPr="00256629">
          <w:rPr>
            <w:rStyle w:val="Hipervnculo"/>
            <w:rFonts w:cs="Arial"/>
            <w:noProof/>
            <w:szCs w:val="24"/>
          </w:rPr>
          <w:t>https://doi.org/10.3303/CET24108004</w:t>
        </w:r>
      </w:hyperlink>
    </w:p>
    <w:bookmarkEnd w:id="18"/>
    <w:p w14:paraId="51CA22B4" w14:textId="36EF9B81" w:rsidR="003A38E6" w:rsidRPr="00F7485C" w:rsidRDefault="003A38E6" w:rsidP="003A38E6">
      <w:pPr>
        <w:widowControl w:val="0"/>
        <w:autoSpaceDE w:val="0"/>
        <w:autoSpaceDN w:val="0"/>
        <w:adjustRightInd w:val="0"/>
        <w:spacing w:line="240" w:lineRule="auto"/>
        <w:ind w:left="480" w:hanging="480"/>
        <w:rPr>
          <w:rFonts w:cs="Arial"/>
          <w:noProof/>
          <w:szCs w:val="24"/>
          <w:lang w:val="en-US"/>
        </w:rPr>
      </w:pPr>
      <w:r w:rsidRPr="003A38E6">
        <w:rPr>
          <w:rFonts w:cs="Arial"/>
          <w:noProof/>
          <w:szCs w:val="24"/>
          <w:lang w:val="en-US"/>
        </w:rPr>
        <w:t xml:space="preserve">Chu, K. H. (2021). Revisiting the Temkin Isotherm: Dimensional Inconsistency and Approximate Forms. </w:t>
      </w:r>
      <w:r w:rsidRPr="003A38E6">
        <w:rPr>
          <w:rFonts w:cs="Arial"/>
          <w:i/>
          <w:noProof/>
          <w:szCs w:val="24"/>
          <w:lang w:val="en-US"/>
        </w:rPr>
        <w:t>Industrial &amp; Engineering Chemistry Research, 60</w:t>
      </w:r>
      <w:r w:rsidRPr="003A38E6">
        <w:rPr>
          <w:rFonts w:cs="Arial"/>
          <w:noProof/>
          <w:szCs w:val="24"/>
          <w:lang w:val="en-US"/>
        </w:rPr>
        <w:t xml:space="preserve">(35), 13140-13147. </w:t>
      </w:r>
      <w:hyperlink r:id="rId17" w:history="1">
        <w:r w:rsidRPr="00F7485C">
          <w:rPr>
            <w:rStyle w:val="Hipervnculo"/>
            <w:rFonts w:cs="Arial"/>
            <w:noProof/>
            <w:szCs w:val="24"/>
            <w:lang w:val="en-US"/>
          </w:rPr>
          <w:t>https://doi.org/10.1021/acs.iecr.1c01788</w:t>
        </w:r>
      </w:hyperlink>
    </w:p>
    <w:p w14:paraId="1860203F" w14:textId="19FE906D" w:rsidR="0031014E" w:rsidRDefault="0031014E" w:rsidP="0031014E">
      <w:pPr>
        <w:widowControl w:val="0"/>
        <w:autoSpaceDE w:val="0"/>
        <w:autoSpaceDN w:val="0"/>
        <w:adjustRightInd w:val="0"/>
        <w:spacing w:line="240" w:lineRule="auto"/>
        <w:ind w:left="480" w:hanging="480"/>
        <w:rPr>
          <w:rFonts w:cs="Arial"/>
          <w:noProof/>
          <w:szCs w:val="24"/>
          <w:lang w:val="es-CO"/>
        </w:rPr>
      </w:pPr>
      <w:r w:rsidRPr="00F7485C">
        <w:rPr>
          <w:rFonts w:cs="Arial"/>
          <w:noProof/>
          <w:szCs w:val="24"/>
          <w:lang w:val="en-US"/>
        </w:rPr>
        <w:t xml:space="preserve">Delgadillo, C., Espinosa, C., Díaz, V., Ruiz, M., &amp; Manrique, E. (2020). </w:t>
      </w:r>
      <w:r w:rsidRPr="00A6091D">
        <w:rPr>
          <w:rFonts w:cs="Arial"/>
          <w:noProof/>
          <w:szCs w:val="24"/>
        </w:rPr>
        <w:t xml:space="preserve">New chemical recovery technologies and their applicability in Colombian fields. </w:t>
      </w:r>
      <w:r w:rsidRPr="0081127B">
        <w:rPr>
          <w:rFonts w:cs="Arial"/>
          <w:i/>
          <w:iCs/>
          <w:noProof/>
          <w:szCs w:val="24"/>
          <w:lang w:val="es-CO"/>
        </w:rPr>
        <w:t>Fuentes El Reventon Energetico</w:t>
      </w:r>
      <w:r w:rsidRPr="0081127B">
        <w:rPr>
          <w:rFonts w:cs="Arial"/>
          <w:noProof/>
          <w:szCs w:val="24"/>
          <w:lang w:val="es-CO"/>
        </w:rPr>
        <w:t xml:space="preserve">, </w:t>
      </w:r>
      <w:r w:rsidRPr="0081127B">
        <w:rPr>
          <w:rFonts w:cs="Arial"/>
          <w:i/>
          <w:iCs/>
          <w:noProof/>
          <w:szCs w:val="24"/>
          <w:lang w:val="es-CO"/>
        </w:rPr>
        <w:t>18</w:t>
      </w:r>
      <w:r w:rsidRPr="0081127B">
        <w:rPr>
          <w:rFonts w:cs="Arial"/>
          <w:noProof/>
          <w:szCs w:val="24"/>
          <w:lang w:val="es-CO"/>
        </w:rPr>
        <w:t xml:space="preserve">(2), 9–24. </w:t>
      </w:r>
      <w:hyperlink r:id="rId18" w:history="1">
        <w:r w:rsidR="00256629" w:rsidRPr="000C5C8F">
          <w:rPr>
            <w:rStyle w:val="Hipervnculo"/>
            <w:rFonts w:cs="Arial"/>
            <w:noProof/>
            <w:szCs w:val="24"/>
            <w:lang w:val="es-CO"/>
          </w:rPr>
          <w:t>https://doi.org/10.18273/REVFUE.V18N2-2020001</w:t>
        </w:r>
      </w:hyperlink>
    </w:p>
    <w:p w14:paraId="2D97AFBB" w14:textId="77777777" w:rsidR="00970431" w:rsidRPr="0081127B" w:rsidRDefault="00970431" w:rsidP="00970431">
      <w:pPr>
        <w:widowControl w:val="0"/>
        <w:autoSpaceDE w:val="0"/>
        <w:autoSpaceDN w:val="0"/>
        <w:adjustRightInd w:val="0"/>
        <w:spacing w:line="240" w:lineRule="auto"/>
        <w:ind w:left="480" w:hanging="480"/>
        <w:rPr>
          <w:rFonts w:cs="Arial"/>
          <w:noProof/>
          <w:szCs w:val="24"/>
          <w:lang w:val="es-CO"/>
        </w:rPr>
      </w:pPr>
      <w:r w:rsidRPr="0081127B">
        <w:rPr>
          <w:rFonts w:cs="Arial"/>
          <w:noProof/>
          <w:szCs w:val="24"/>
          <w:lang w:val="es-CO"/>
        </w:rPr>
        <w:t xml:space="preserve">Ecopetrol. (2024). </w:t>
      </w:r>
      <w:r w:rsidRPr="0081127B">
        <w:rPr>
          <w:rFonts w:cs="Arial"/>
          <w:i/>
          <w:iCs/>
          <w:noProof/>
          <w:szCs w:val="24"/>
          <w:lang w:val="es-CO"/>
        </w:rPr>
        <w:t>Informe integrado de gestión 2023 ¡Somos energía que transforma!</w:t>
      </w:r>
    </w:p>
    <w:p w14:paraId="3AC1E0D6" w14:textId="77777777" w:rsidR="0031014E" w:rsidRPr="0031014E" w:rsidRDefault="0031014E" w:rsidP="0031014E">
      <w:pPr>
        <w:spacing w:line="240" w:lineRule="auto"/>
        <w:ind w:left="640" w:hanging="640"/>
        <w:rPr>
          <w:rFonts w:eastAsia="Arial" w:cs="Arial"/>
          <w:lang w:val="es-CO"/>
        </w:rPr>
      </w:pPr>
      <w:r w:rsidRPr="00DD5A5F">
        <w:rPr>
          <w:rFonts w:eastAsia="Arial" w:cs="Arial"/>
          <w:lang w:val="en-US"/>
        </w:rPr>
        <w:t xml:space="preserve">Gul Zaman, H.; Baloo, L.; Pendyala, R.; Singa, P. K.; Ilyas, S. U.; Kutty, S. R. M. (2021). </w:t>
      </w:r>
      <w:r w:rsidRPr="5D172A4E">
        <w:rPr>
          <w:rFonts w:eastAsia="Arial" w:cs="Arial"/>
          <w:lang w:val="en-US"/>
        </w:rPr>
        <w:t xml:space="preserve">Produced Water Treatment with Conventional Adsorbents and MOF as an Alternative: A Review. </w:t>
      </w:r>
      <w:proofErr w:type="spellStart"/>
      <w:r w:rsidRPr="0031014E">
        <w:rPr>
          <w:rFonts w:eastAsia="Arial" w:cs="Arial"/>
          <w:i/>
          <w:iCs/>
          <w:lang w:val="es-CO"/>
        </w:rPr>
        <w:t>Materials</w:t>
      </w:r>
      <w:proofErr w:type="spellEnd"/>
      <w:r w:rsidRPr="0031014E">
        <w:rPr>
          <w:rFonts w:eastAsia="Arial" w:cs="Arial"/>
          <w:lang w:val="es-CO"/>
        </w:rPr>
        <w:t xml:space="preserve">, </w:t>
      </w:r>
      <w:r w:rsidRPr="0031014E">
        <w:rPr>
          <w:rFonts w:eastAsia="Arial" w:cs="Arial"/>
          <w:i/>
          <w:iCs/>
          <w:lang w:val="es-CO"/>
        </w:rPr>
        <w:t>14</w:t>
      </w:r>
      <w:r w:rsidRPr="0031014E">
        <w:rPr>
          <w:rFonts w:eastAsia="Arial" w:cs="Arial"/>
          <w:lang w:val="es-CO"/>
        </w:rPr>
        <w:t xml:space="preserve"> (24), 7607. </w:t>
      </w:r>
      <w:hyperlink r:id="rId19">
        <w:r w:rsidRPr="0031014E">
          <w:rPr>
            <w:rStyle w:val="Hipervnculo"/>
            <w:rFonts w:eastAsia="Arial" w:cs="Arial"/>
            <w:lang w:val="es-CO"/>
          </w:rPr>
          <w:t>https://doi.org/10.3390/ma14247607</w:t>
        </w:r>
      </w:hyperlink>
      <w:r w:rsidRPr="0031014E">
        <w:rPr>
          <w:rFonts w:eastAsia="Arial" w:cs="Arial"/>
          <w:lang w:val="es-CO"/>
        </w:rPr>
        <w:t xml:space="preserve">. </w:t>
      </w:r>
    </w:p>
    <w:p w14:paraId="7BECA12B" w14:textId="2D7B9831" w:rsidR="00DD5A5F" w:rsidRDefault="00DD5A5F" w:rsidP="00DD5A5F">
      <w:pPr>
        <w:spacing w:line="240" w:lineRule="auto"/>
        <w:ind w:left="640" w:hanging="640"/>
        <w:rPr>
          <w:rFonts w:eastAsia="Arial" w:cs="Arial"/>
          <w:noProof/>
          <w:szCs w:val="24"/>
          <w:lang w:val="en-US"/>
        </w:rPr>
      </w:pPr>
      <w:r w:rsidRPr="00DD5A5F">
        <w:rPr>
          <w:rFonts w:cs="Arial"/>
          <w:noProof/>
          <w:szCs w:val="24"/>
          <w:lang w:val="es-CO"/>
        </w:rPr>
        <w:t xml:space="preserve">Gutierrez, A. P. (2019). </w:t>
      </w:r>
      <w:r w:rsidRPr="00DD5A5F">
        <w:rPr>
          <w:rFonts w:cs="Arial"/>
          <w:i/>
          <w:noProof/>
          <w:szCs w:val="24"/>
          <w:lang w:val="es-CO"/>
        </w:rPr>
        <w:t xml:space="preserve">Carbón activado mediante activación química con ácido fosfórico a partir de la cascarilla de </w:t>
      </w:r>
      <w:r w:rsidR="00E22F56">
        <w:rPr>
          <w:rFonts w:cs="Arial"/>
          <w:i/>
          <w:noProof/>
          <w:szCs w:val="24"/>
          <w:lang w:val="es-CO"/>
        </w:rPr>
        <w:t>cocoa</w:t>
      </w:r>
      <w:r w:rsidRPr="00DD5A5F">
        <w:rPr>
          <w:rFonts w:cs="Arial"/>
          <w:i/>
          <w:noProof/>
          <w:szCs w:val="24"/>
          <w:lang w:val="es-CO"/>
        </w:rPr>
        <w:t xml:space="preserve"> para la captura de CO</w:t>
      </w:r>
      <w:r w:rsidRPr="007831F4">
        <w:rPr>
          <w:rFonts w:cs="Arial"/>
          <w:i/>
          <w:noProof/>
          <w:szCs w:val="24"/>
          <w:vertAlign w:val="subscript"/>
          <w:lang w:val="es-CO"/>
        </w:rPr>
        <w:t>2</w:t>
      </w:r>
      <w:r w:rsidRPr="00DD5A5F">
        <w:rPr>
          <w:rFonts w:cs="Arial"/>
          <w:noProof/>
          <w:szCs w:val="24"/>
          <w:lang w:val="es-CO"/>
        </w:rPr>
        <w:t xml:space="preserve">. </w:t>
      </w:r>
      <w:hyperlink r:id="rId20" w:history="1">
        <w:r w:rsidRPr="00DD5A5F">
          <w:rPr>
            <w:rStyle w:val="Hipervnculo"/>
            <w:rFonts w:cs="Arial"/>
            <w:noProof/>
            <w:szCs w:val="24"/>
            <w:lang w:val="en-US"/>
          </w:rPr>
          <w:t>http://hdl.handle.net/20.500.12010/8244</w:t>
        </w:r>
      </w:hyperlink>
      <w:r w:rsidRPr="00DD5A5F">
        <w:rPr>
          <w:rFonts w:cs="Arial"/>
          <w:noProof/>
          <w:szCs w:val="24"/>
          <w:lang w:val="en-US"/>
        </w:rPr>
        <w:t>.</w:t>
      </w:r>
    </w:p>
    <w:p w14:paraId="55C6DCF8" w14:textId="25E02936" w:rsidR="003B07A2" w:rsidRPr="00022EB1" w:rsidRDefault="003B07A2" w:rsidP="003B07A2">
      <w:pPr>
        <w:spacing w:line="240" w:lineRule="auto"/>
        <w:ind w:left="640" w:hanging="640"/>
        <w:rPr>
          <w:rFonts w:eastAsia="Arial" w:cs="Arial"/>
          <w:lang w:val="en-US"/>
        </w:rPr>
      </w:pPr>
      <w:proofErr w:type="spellStart"/>
      <w:r w:rsidRPr="003B07A2">
        <w:rPr>
          <w:rFonts w:eastAsia="Arial" w:cs="Arial"/>
          <w:lang w:val="en-US"/>
        </w:rPr>
        <w:t>Kecili</w:t>
      </w:r>
      <w:proofErr w:type="spellEnd"/>
      <w:r w:rsidRPr="003B07A2">
        <w:rPr>
          <w:rFonts w:eastAsia="Arial" w:cs="Arial"/>
          <w:lang w:val="en-US"/>
        </w:rPr>
        <w:t xml:space="preserve">, R., &amp; Hussain, C. M. (2018). Mechanism of Adsorption on Nanomaterials. </w:t>
      </w:r>
      <w:r w:rsidRPr="00022EB1">
        <w:rPr>
          <w:rFonts w:eastAsia="Arial" w:cs="Arial"/>
          <w:lang w:val="en-US"/>
        </w:rPr>
        <w:t xml:space="preserve">En </w:t>
      </w:r>
      <w:r w:rsidRPr="00022EB1">
        <w:rPr>
          <w:rFonts w:eastAsia="Arial" w:cs="Arial"/>
          <w:i/>
          <w:iCs/>
          <w:lang w:val="en-US"/>
        </w:rPr>
        <w:t>Elsevier eBooks</w:t>
      </w:r>
      <w:r w:rsidRPr="00022EB1">
        <w:rPr>
          <w:rFonts w:eastAsia="Arial" w:cs="Arial"/>
          <w:lang w:val="en-US"/>
        </w:rPr>
        <w:t xml:space="preserve"> (pp. 89-115). </w:t>
      </w:r>
      <w:hyperlink r:id="rId21" w:history="1">
        <w:r w:rsidRPr="00022EB1">
          <w:rPr>
            <w:rStyle w:val="Hipervnculo"/>
            <w:rFonts w:eastAsia="Arial" w:cs="Arial"/>
            <w:lang w:val="en-US"/>
          </w:rPr>
          <w:t>https://doi.org/10.1016/b978-0-12-812792-6.00004-2</w:t>
        </w:r>
      </w:hyperlink>
    </w:p>
    <w:p w14:paraId="679BC19E" w14:textId="6E0B7D4D" w:rsidR="005C5E5D" w:rsidRPr="00022EB1" w:rsidRDefault="005C5E5D" w:rsidP="0031014E">
      <w:pPr>
        <w:spacing w:line="240" w:lineRule="auto"/>
        <w:ind w:left="640" w:hanging="640"/>
        <w:rPr>
          <w:rFonts w:eastAsia="Arial" w:cs="Arial"/>
          <w:lang w:val="en-US"/>
        </w:rPr>
      </w:pPr>
      <w:r w:rsidRPr="005C5E5D">
        <w:rPr>
          <w:rFonts w:eastAsia="Arial" w:cs="Arial"/>
          <w:lang w:val="en-US"/>
        </w:rPr>
        <w:t xml:space="preserve">Kumar, N., Pandey, A., Rosy, N., &amp; Sharma, Y. C. (2023). A review on sustainable mesoporous activated carbon as adsorbent for efficient removal of hazardous dyes from industrial wastewater. </w:t>
      </w:r>
      <w:r w:rsidRPr="00022EB1">
        <w:rPr>
          <w:rFonts w:eastAsia="Arial" w:cs="Arial"/>
          <w:i/>
          <w:lang w:val="en-US"/>
        </w:rPr>
        <w:t>Journal Of Water Process Engineering, 54</w:t>
      </w:r>
      <w:r w:rsidRPr="00022EB1">
        <w:rPr>
          <w:rFonts w:eastAsia="Arial" w:cs="Arial"/>
          <w:lang w:val="en-US"/>
        </w:rPr>
        <w:t xml:space="preserve">, 104054 (1-18). </w:t>
      </w:r>
      <w:hyperlink r:id="rId22" w:history="1">
        <w:r w:rsidRPr="00022EB1">
          <w:rPr>
            <w:rStyle w:val="Hipervnculo"/>
            <w:rFonts w:eastAsia="Arial" w:cs="Arial"/>
            <w:lang w:val="en-US"/>
          </w:rPr>
          <w:t>https://doi.org/10.1016/j.jwpe.2023.104054</w:t>
        </w:r>
      </w:hyperlink>
    </w:p>
    <w:p w14:paraId="62C212D5" w14:textId="5D5FA86F" w:rsidR="00DD5A5F" w:rsidRDefault="00DD5A5F" w:rsidP="0031014E">
      <w:pPr>
        <w:spacing w:line="240" w:lineRule="auto"/>
        <w:ind w:left="640" w:hanging="640"/>
        <w:rPr>
          <w:rFonts w:eastAsia="Arial" w:cs="Arial"/>
          <w:lang w:val="en-US"/>
        </w:rPr>
      </w:pPr>
      <w:r w:rsidRPr="00DD5A5F">
        <w:rPr>
          <w:rFonts w:eastAsia="Arial" w:cs="Arial"/>
          <w:lang w:val="es-CO"/>
        </w:rPr>
        <w:t xml:space="preserve">León, A. Y., Contreras-Arenas, J. D., Garnica-Fuentes, C. F., Jiménez-Caballero, M. A., Pinto-Hernández, D. F., Ariza-León, E., Peña-Ballesteros, D. Y., &amp; Molina-Velasco, D. R. (2023). </w:t>
      </w:r>
      <w:r w:rsidRPr="00DD5A5F">
        <w:rPr>
          <w:rFonts w:eastAsia="Arial" w:cs="Arial"/>
          <w:lang w:val="en-US"/>
        </w:rPr>
        <w:t>Removal of organic compounds in wastewater using cocoa shell</w:t>
      </w:r>
      <w:r w:rsidRPr="00DD5A5F">
        <w:rPr>
          <w:rFonts w:ascii="MS Gothic" w:eastAsia="MS Gothic" w:hAnsi="MS Gothic" w:cs="MS Gothic" w:hint="eastAsia"/>
          <w:lang w:val="en-US"/>
        </w:rPr>
        <w:t>‑</w:t>
      </w:r>
      <w:r w:rsidRPr="00DD5A5F">
        <w:rPr>
          <w:rFonts w:eastAsia="Arial" w:cs="Arial"/>
          <w:lang w:val="en-US"/>
        </w:rPr>
        <w:t>based activated carbon–SiO</w:t>
      </w:r>
      <w:r w:rsidRPr="007831F4">
        <w:rPr>
          <w:rFonts w:eastAsia="Arial" w:cs="Arial"/>
          <w:vertAlign w:val="subscript"/>
          <w:lang w:val="en-US"/>
        </w:rPr>
        <w:t>2</w:t>
      </w:r>
      <w:r w:rsidRPr="00DD5A5F">
        <w:rPr>
          <w:rFonts w:eastAsia="Arial" w:cs="Arial"/>
          <w:lang w:val="en-US"/>
        </w:rPr>
        <w:t xml:space="preserve"> nanoparticles. </w:t>
      </w:r>
      <w:r w:rsidRPr="00DD5A5F">
        <w:rPr>
          <w:rFonts w:eastAsia="Arial" w:cs="Arial"/>
          <w:i/>
          <w:lang w:val="en-US"/>
        </w:rPr>
        <w:t xml:space="preserve">Environment Development </w:t>
      </w:r>
      <w:proofErr w:type="gramStart"/>
      <w:r w:rsidRPr="00DD5A5F">
        <w:rPr>
          <w:rFonts w:eastAsia="Arial" w:cs="Arial"/>
          <w:i/>
          <w:lang w:val="en-US"/>
        </w:rPr>
        <w:t>And</w:t>
      </w:r>
      <w:proofErr w:type="gramEnd"/>
      <w:r w:rsidRPr="00DD5A5F">
        <w:rPr>
          <w:rFonts w:eastAsia="Arial" w:cs="Arial"/>
          <w:i/>
          <w:lang w:val="en-US"/>
        </w:rPr>
        <w:t xml:space="preserve"> Sustainability</w:t>
      </w:r>
      <w:r w:rsidRPr="00DD5A5F">
        <w:rPr>
          <w:rFonts w:eastAsia="Arial" w:cs="Arial"/>
          <w:lang w:val="en-US"/>
        </w:rPr>
        <w:t xml:space="preserve">. </w:t>
      </w:r>
      <w:hyperlink r:id="rId23" w:history="1">
        <w:r w:rsidRPr="00CF6568">
          <w:rPr>
            <w:rStyle w:val="Hipervnculo"/>
            <w:rFonts w:eastAsia="Arial" w:cs="Arial"/>
            <w:lang w:val="en-US"/>
          </w:rPr>
          <w:t>https://doi.org/10.1007/s10668-023-04168-y</w:t>
        </w:r>
      </w:hyperlink>
    </w:p>
    <w:p w14:paraId="2B6BDFE5" w14:textId="77777777" w:rsidR="0031014E" w:rsidRDefault="0031014E" w:rsidP="0031014E">
      <w:pPr>
        <w:spacing w:line="240" w:lineRule="auto"/>
        <w:ind w:left="640" w:hanging="640"/>
        <w:rPr>
          <w:rFonts w:eastAsia="Arial" w:cs="Arial"/>
        </w:rPr>
      </w:pPr>
      <w:r w:rsidRPr="00446F01">
        <w:rPr>
          <w:rFonts w:eastAsia="Arial" w:cs="Arial"/>
        </w:rPr>
        <w:t xml:space="preserve">Ma, J., Liu, Y., Chen, S., Du, Y., &amp; Wu, H. (2022). Changes in the pore structure of </w:t>
      </w:r>
      <w:proofErr w:type="spellStart"/>
      <w:r w:rsidRPr="00446F01">
        <w:rPr>
          <w:rFonts w:eastAsia="Arial" w:cs="Arial"/>
        </w:rPr>
        <w:t>modifed</w:t>
      </w:r>
      <w:proofErr w:type="spellEnd"/>
      <w:r w:rsidRPr="00446F01">
        <w:rPr>
          <w:rFonts w:eastAsia="Arial" w:cs="Arial"/>
        </w:rPr>
        <w:t xml:space="preserve"> sludge-activated carbon and its </w:t>
      </w:r>
      <w:proofErr w:type="spellStart"/>
      <w:r w:rsidRPr="00446F01">
        <w:rPr>
          <w:rFonts w:eastAsia="Arial" w:cs="Arial"/>
        </w:rPr>
        <w:t>efect</w:t>
      </w:r>
      <w:proofErr w:type="spellEnd"/>
      <w:r w:rsidRPr="00446F01">
        <w:rPr>
          <w:rFonts w:eastAsia="Arial" w:cs="Arial"/>
        </w:rPr>
        <w:t xml:space="preserve"> on the adsorption characteristics of CO</w:t>
      </w:r>
      <w:r w:rsidRPr="007831F4">
        <w:rPr>
          <w:rFonts w:eastAsia="Arial" w:cs="Arial"/>
          <w:vertAlign w:val="subscript"/>
        </w:rPr>
        <w:t>2</w:t>
      </w:r>
      <w:r w:rsidRPr="00446F01">
        <w:rPr>
          <w:rFonts w:eastAsia="Arial" w:cs="Arial"/>
        </w:rPr>
        <w:t xml:space="preserve"> under high pressure. Microporous and Mesoporous Materials, 345, 112255. </w:t>
      </w:r>
      <w:hyperlink r:id="rId24" w:history="1">
        <w:r w:rsidRPr="007A557F">
          <w:rPr>
            <w:rStyle w:val="Hipervnculo"/>
            <w:rFonts w:eastAsia="Arial" w:cs="Arial"/>
          </w:rPr>
          <w:t>https://doi.org/10.1016/j.micromeso.2022.112255</w:t>
        </w:r>
      </w:hyperlink>
    </w:p>
    <w:p w14:paraId="647914B4" w14:textId="77777777" w:rsidR="0031014E" w:rsidRPr="002A750F" w:rsidRDefault="0031014E" w:rsidP="0031014E">
      <w:pPr>
        <w:spacing w:line="240" w:lineRule="auto"/>
        <w:ind w:left="640" w:hanging="640"/>
        <w:rPr>
          <w:rFonts w:eastAsia="Arial" w:cs="Arial"/>
          <w:lang w:val="en-US"/>
        </w:rPr>
      </w:pPr>
      <w:r w:rsidRPr="5D172A4E">
        <w:rPr>
          <w:rFonts w:eastAsia="Arial" w:cs="Arial"/>
          <w:lang w:val="en-US"/>
        </w:rPr>
        <w:t xml:space="preserve">Marathe, D.; Singh, A.; Raghunathan, K.; </w:t>
      </w:r>
      <w:proofErr w:type="spellStart"/>
      <w:r w:rsidRPr="5D172A4E">
        <w:rPr>
          <w:rFonts w:eastAsia="Arial" w:cs="Arial"/>
          <w:lang w:val="en-US"/>
        </w:rPr>
        <w:t>Thawale</w:t>
      </w:r>
      <w:proofErr w:type="spellEnd"/>
      <w:r w:rsidRPr="5D172A4E">
        <w:rPr>
          <w:rFonts w:eastAsia="Arial" w:cs="Arial"/>
          <w:lang w:val="en-US"/>
        </w:rPr>
        <w:t>, P.; Kumari, K. (2021). Current Available Treatment Technologies for Saline Wastewater and Land</w:t>
      </w:r>
      <w:r w:rsidRPr="5D172A4E">
        <w:rPr>
          <w:rFonts w:ascii="Cambria Math" w:eastAsia="Arial" w:hAnsi="Cambria Math" w:cs="Cambria Math"/>
          <w:lang w:val="en-US"/>
        </w:rPr>
        <w:t>‐</w:t>
      </w:r>
      <w:r w:rsidRPr="5D172A4E">
        <w:rPr>
          <w:rFonts w:eastAsia="Arial" w:cs="Arial"/>
          <w:lang w:val="en-US"/>
        </w:rPr>
        <w:t>based Treatment as an Emerging Environment</w:t>
      </w:r>
      <w:r w:rsidRPr="5D172A4E">
        <w:rPr>
          <w:rFonts w:ascii="Cambria Math" w:eastAsia="Arial" w:hAnsi="Cambria Math" w:cs="Cambria Math"/>
          <w:lang w:val="en-US"/>
        </w:rPr>
        <w:t>‐</w:t>
      </w:r>
      <w:r w:rsidRPr="5D172A4E">
        <w:rPr>
          <w:rFonts w:eastAsia="Arial" w:cs="Arial"/>
          <w:lang w:val="en-US"/>
        </w:rPr>
        <w:t xml:space="preserve">friendly Technology: A Review. </w:t>
      </w:r>
      <w:r w:rsidRPr="002A750F">
        <w:rPr>
          <w:rFonts w:eastAsia="Arial" w:cs="Arial"/>
          <w:i/>
          <w:iCs/>
          <w:lang w:val="en-US"/>
        </w:rPr>
        <w:t>Water Environment Research, 93</w:t>
      </w:r>
      <w:r w:rsidRPr="002A750F">
        <w:rPr>
          <w:rFonts w:eastAsia="Arial" w:cs="Arial"/>
          <w:lang w:val="en-US"/>
        </w:rPr>
        <w:t xml:space="preserve"> (11), 2461–2504. </w:t>
      </w:r>
      <w:hyperlink r:id="rId25">
        <w:r w:rsidRPr="002A750F">
          <w:rPr>
            <w:rStyle w:val="Hipervnculo"/>
            <w:rFonts w:eastAsia="Arial" w:cs="Arial"/>
            <w:lang w:val="en-US"/>
          </w:rPr>
          <w:t>https://doi.org/10.1002/wer.1633</w:t>
        </w:r>
      </w:hyperlink>
      <w:r w:rsidRPr="002A750F">
        <w:rPr>
          <w:rFonts w:eastAsia="Arial" w:cs="Arial"/>
          <w:lang w:val="en-US"/>
        </w:rPr>
        <w:t xml:space="preserve">. </w:t>
      </w:r>
    </w:p>
    <w:p w14:paraId="7BCCF065" w14:textId="7C9A4D6F" w:rsidR="005C5E5D" w:rsidRDefault="005C5E5D" w:rsidP="0031014E">
      <w:pPr>
        <w:spacing w:line="240" w:lineRule="auto"/>
        <w:ind w:left="640" w:hanging="640"/>
        <w:rPr>
          <w:rFonts w:eastAsia="Arial" w:cs="Arial"/>
          <w:lang w:val="en-US"/>
        </w:rPr>
      </w:pPr>
      <w:r w:rsidRPr="005C5E5D">
        <w:rPr>
          <w:rFonts w:eastAsia="Arial" w:cs="Arial"/>
          <w:lang w:val="en-US"/>
        </w:rPr>
        <w:t xml:space="preserve">Tiwari, G., Devi, R. R., Mahanta, S. P., Raul, P. K., Chatterjee, S., &amp; Kamboj, D. V. (2023). Copper oxide nanoparticles modified activated carbon nanocomposite towards removal of tetracycline from waste water. </w:t>
      </w:r>
      <w:r w:rsidRPr="003F7ACE">
        <w:rPr>
          <w:rFonts w:eastAsia="Arial" w:cs="Arial"/>
          <w:i/>
          <w:lang w:val="en-US"/>
        </w:rPr>
        <w:t>Inorganic Chemistry Communications</w:t>
      </w:r>
      <w:r w:rsidRPr="005C5E5D">
        <w:rPr>
          <w:rFonts w:eastAsia="Arial" w:cs="Arial"/>
          <w:lang w:val="en-US"/>
        </w:rPr>
        <w:t xml:space="preserve">, 152, 110687. </w:t>
      </w:r>
      <w:hyperlink r:id="rId26" w:history="1">
        <w:r w:rsidRPr="005227CC">
          <w:rPr>
            <w:rStyle w:val="Hipervnculo"/>
            <w:rFonts w:eastAsia="Arial" w:cs="Arial"/>
            <w:lang w:val="en-US"/>
          </w:rPr>
          <w:t>https://doi.org/10.1016/j.inoche.2023.110687</w:t>
        </w:r>
      </w:hyperlink>
    </w:p>
    <w:p w14:paraId="19C51C1D" w14:textId="002F57D8" w:rsidR="0031014E" w:rsidRPr="00F7485C" w:rsidRDefault="0031014E" w:rsidP="0031014E">
      <w:pPr>
        <w:spacing w:line="240" w:lineRule="auto"/>
        <w:ind w:left="640" w:hanging="640"/>
        <w:rPr>
          <w:rFonts w:eastAsia="Arial" w:cs="Arial"/>
          <w:lang w:val="en-US"/>
        </w:rPr>
      </w:pPr>
      <w:r w:rsidRPr="00022EB1">
        <w:rPr>
          <w:rFonts w:eastAsia="Arial" w:cs="Arial"/>
          <w:lang w:val="en-US"/>
        </w:rPr>
        <w:t xml:space="preserve">Villegas, J. P.; Arcila, N.; Ortega, D.; Franco, C. A.; Cortés, F. (2017). </w:t>
      </w:r>
      <w:r w:rsidRPr="5D172A4E">
        <w:rPr>
          <w:rFonts w:eastAsia="Arial" w:cs="Arial"/>
          <w:lang w:val="es"/>
        </w:rPr>
        <w:t xml:space="preserve">Remoción de Hidrocarburos de Aguas de Producción de La Industria Petrolera Utilizando </w:t>
      </w:r>
      <w:proofErr w:type="spellStart"/>
      <w:r w:rsidRPr="5D172A4E">
        <w:rPr>
          <w:rFonts w:eastAsia="Arial" w:cs="Arial"/>
          <w:lang w:val="es"/>
        </w:rPr>
        <w:t>Nanointermedios</w:t>
      </w:r>
      <w:proofErr w:type="spellEnd"/>
      <w:r w:rsidRPr="5D172A4E">
        <w:rPr>
          <w:rFonts w:eastAsia="Arial" w:cs="Arial"/>
          <w:lang w:val="es"/>
        </w:rPr>
        <w:t xml:space="preserve"> Compuestos Por SiO</w:t>
      </w:r>
      <w:r w:rsidRPr="5D172A4E">
        <w:rPr>
          <w:rFonts w:eastAsia="Arial" w:cs="Arial"/>
          <w:vertAlign w:val="subscript"/>
          <w:lang w:val="es"/>
        </w:rPr>
        <w:t>2</w:t>
      </w:r>
      <w:r w:rsidRPr="5D172A4E">
        <w:rPr>
          <w:rFonts w:eastAsia="Arial" w:cs="Arial"/>
          <w:lang w:val="es"/>
        </w:rPr>
        <w:t xml:space="preserve"> </w:t>
      </w:r>
      <w:proofErr w:type="spellStart"/>
      <w:r w:rsidRPr="5D172A4E">
        <w:rPr>
          <w:rFonts w:eastAsia="Arial" w:cs="Arial"/>
          <w:lang w:val="es"/>
        </w:rPr>
        <w:t>Funcionalizados</w:t>
      </w:r>
      <w:proofErr w:type="spellEnd"/>
      <w:r w:rsidRPr="5D172A4E">
        <w:rPr>
          <w:rFonts w:eastAsia="Arial" w:cs="Arial"/>
          <w:lang w:val="es"/>
        </w:rPr>
        <w:t xml:space="preserve"> Con Nanopartículas Magnéticas. </w:t>
      </w:r>
      <w:r w:rsidRPr="00F7485C">
        <w:rPr>
          <w:rFonts w:eastAsia="Arial" w:cs="Arial"/>
          <w:i/>
          <w:iCs/>
          <w:lang w:val="en-US"/>
        </w:rPr>
        <w:t>Dyna (Medellin)</w:t>
      </w:r>
      <w:r w:rsidRPr="00F7485C">
        <w:rPr>
          <w:rFonts w:eastAsia="Arial" w:cs="Arial"/>
          <w:lang w:val="en-US"/>
        </w:rPr>
        <w:t xml:space="preserve">, </w:t>
      </w:r>
      <w:r w:rsidRPr="00F7485C">
        <w:rPr>
          <w:rFonts w:eastAsia="Arial" w:cs="Arial"/>
          <w:i/>
          <w:iCs/>
          <w:lang w:val="en-US"/>
        </w:rPr>
        <w:t>84</w:t>
      </w:r>
      <w:r w:rsidRPr="00F7485C">
        <w:rPr>
          <w:rFonts w:eastAsia="Arial" w:cs="Arial"/>
          <w:lang w:val="en-US"/>
        </w:rPr>
        <w:t xml:space="preserve"> (202), 65–74. </w:t>
      </w:r>
      <w:hyperlink r:id="rId27">
        <w:r w:rsidRPr="00F7485C">
          <w:rPr>
            <w:rStyle w:val="Hipervnculo"/>
            <w:rFonts w:eastAsia="Arial" w:cs="Arial"/>
            <w:lang w:val="en-US"/>
          </w:rPr>
          <w:t>https://doi.org/10.15446/dyna.v84n202.63686</w:t>
        </w:r>
      </w:hyperlink>
      <w:r w:rsidRPr="00F7485C">
        <w:rPr>
          <w:rFonts w:eastAsia="Arial" w:cs="Arial"/>
          <w:lang w:val="en-US"/>
        </w:rPr>
        <w:t>.</w:t>
      </w:r>
    </w:p>
    <w:p w14:paraId="4C9AF71E" w14:textId="0DF907CD" w:rsidR="0053442D" w:rsidRDefault="004B03FD" w:rsidP="0053442D">
      <w:pPr>
        <w:spacing w:line="240" w:lineRule="auto"/>
        <w:ind w:left="640" w:hanging="640"/>
        <w:rPr>
          <w:rFonts w:eastAsia="Arial" w:cs="Arial"/>
          <w:lang w:val="en-US"/>
        </w:rPr>
      </w:pPr>
      <w:r w:rsidRPr="004B03FD">
        <w:rPr>
          <w:rFonts w:eastAsia="Arial" w:cs="Arial"/>
          <w:lang w:val="en-US"/>
        </w:rPr>
        <w:t xml:space="preserve">Wu, B., Zhou, B., Liu, Z., Li, L., Zhou, K., Wang, Z., Shan, Y., Feng, W., Shao, Z., Xue, H., &amp; Wang, Z. (2024). Adsorption characteristics of used granular activated carbon regenerated by ultrasonic backwashing. </w:t>
      </w:r>
      <w:r w:rsidRPr="004B03FD">
        <w:rPr>
          <w:rFonts w:eastAsia="Arial" w:cs="Arial"/>
          <w:i/>
          <w:iCs/>
          <w:lang w:val="en-US"/>
        </w:rPr>
        <w:t>Arabian Journal Of Chemistry</w:t>
      </w:r>
      <w:r w:rsidRPr="004B03FD">
        <w:rPr>
          <w:rFonts w:eastAsia="Arial" w:cs="Arial"/>
          <w:lang w:val="en-US"/>
        </w:rPr>
        <w:t xml:space="preserve">, </w:t>
      </w:r>
      <w:r w:rsidRPr="004B03FD">
        <w:rPr>
          <w:rFonts w:eastAsia="Arial" w:cs="Arial"/>
          <w:i/>
          <w:iCs/>
          <w:lang w:val="en-US"/>
        </w:rPr>
        <w:t>17</w:t>
      </w:r>
      <w:r w:rsidRPr="004B03FD">
        <w:rPr>
          <w:rFonts w:eastAsia="Arial" w:cs="Arial"/>
          <w:lang w:val="en-US"/>
        </w:rPr>
        <w:t>(4), 105704</w:t>
      </w:r>
      <w:r w:rsidR="0053442D">
        <w:rPr>
          <w:rFonts w:eastAsia="Arial" w:cs="Arial"/>
          <w:lang w:val="en-US"/>
        </w:rPr>
        <w:t>(1-13)</w:t>
      </w:r>
      <w:r w:rsidRPr="004B03FD">
        <w:rPr>
          <w:rFonts w:eastAsia="Arial" w:cs="Arial"/>
          <w:lang w:val="en-US"/>
        </w:rPr>
        <w:t xml:space="preserve">. </w:t>
      </w:r>
      <w:hyperlink r:id="rId28" w:history="1">
        <w:r w:rsidR="0053442D" w:rsidRPr="004B03FD">
          <w:rPr>
            <w:rStyle w:val="Hipervnculo"/>
            <w:rFonts w:eastAsia="Arial" w:cs="Arial"/>
            <w:lang w:val="en-US"/>
          </w:rPr>
          <w:t>https://doi.org/10.1016/j.arabjc.2024.105704</w:t>
        </w:r>
      </w:hyperlink>
    </w:p>
    <w:p w14:paraId="2368E7A8" w14:textId="29F8E5F7" w:rsidR="00A717C7" w:rsidRDefault="00A717C7" w:rsidP="0053442D">
      <w:pPr>
        <w:spacing w:line="240" w:lineRule="auto"/>
        <w:ind w:left="640" w:hanging="640"/>
        <w:rPr>
          <w:rFonts w:eastAsia="Arial" w:cs="Arial"/>
          <w:lang w:val="en-US"/>
        </w:rPr>
      </w:pPr>
      <w:r w:rsidRPr="00A717C7">
        <w:rPr>
          <w:rFonts w:eastAsia="Arial" w:cs="Arial"/>
          <w:lang w:val="en-US"/>
        </w:rPr>
        <w:t xml:space="preserve">Xing, X., Alharbi, N. S., Ren, X., &amp; Chen, C. (2022). A comprehensive review on emerging natural and tailored materials for chromium-contaminated water treatment and environmental remediation. </w:t>
      </w:r>
      <w:r w:rsidRPr="00A717C7">
        <w:rPr>
          <w:rFonts w:eastAsia="Arial" w:cs="Arial"/>
          <w:i/>
          <w:iCs/>
          <w:lang w:val="en-US"/>
        </w:rPr>
        <w:t>Journal Of Environmental Chemical Engineering</w:t>
      </w:r>
      <w:r w:rsidRPr="00A717C7">
        <w:rPr>
          <w:rFonts w:eastAsia="Arial" w:cs="Arial"/>
          <w:lang w:val="en-US"/>
        </w:rPr>
        <w:t xml:space="preserve">, </w:t>
      </w:r>
      <w:r w:rsidRPr="00A717C7">
        <w:rPr>
          <w:rFonts w:eastAsia="Arial" w:cs="Arial"/>
          <w:i/>
          <w:iCs/>
          <w:lang w:val="en-US"/>
        </w:rPr>
        <w:t>10</w:t>
      </w:r>
      <w:r w:rsidRPr="00A717C7">
        <w:rPr>
          <w:rFonts w:eastAsia="Arial" w:cs="Arial"/>
          <w:lang w:val="en-US"/>
        </w:rPr>
        <w:t>(2), 107325</w:t>
      </w:r>
      <w:r>
        <w:rPr>
          <w:rFonts w:eastAsia="Arial" w:cs="Arial"/>
          <w:lang w:val="en-US"/>
        </w:rPr>
        <w:t>(1-44)</w:t>
      </w:r>
      <w:r w:rsidRPr="00A717C7">
        <w:rPr>
          <w:rFonts w:eastAsia="Arial" w:cs="Arial"/>
          <w:lang w:val="en-US"/>
        </w:rPr>
        <w:t xml:space="preserve">. </w:t>
      </w:r>
      <w:hyperlink r:id="rId29" w:history="1">
        <w:r w:rsidRPr="00A717C7">
          <w:rPr>
            <w:rStyle w:val="Hipervnculo"/>
            <w:rFonts w:eastAsia="Arial" w:cs="Arial"/>
            <w:lang w:val="en-US"/>
          </w:rPr>
          <w:t>https://doi.org/10.1016/j.jece.2022.107325</w:t>
        </w:r>
      </w:hyperlink>
    </w:p>
    <w:sectPr w:rsidR="00A717C7"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AB43D" w14:textId="77777777" w:rsidR="00633492" w:rsidRDefault="00633492" w:rsidP="004F5E36">
      <w:r>
        <w:separator/>
      </w:r>
    </w:p>
  </w:endnote>
  <w:endnote w:type="continuationSeparator" w:id="0">
    <w:p w14:paraId="4500F16B" w14:textId="77777777" w:rsidR="00633492" w:rsidRDefault="0063349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ot;Times New Roman&quot;,serif">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altName w:val="Arial"/>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AEE98" w14:textId="77777777" w:rsidR="00633492" w:rsidRDefault="00633492" w:rsidP="004F5E36">
      <w:r>
        <w:separator/>
      </w:r>
    </w:p>
  </w:footnote>
  <w:footnote w:type="continuationSeparator" w:id="0">
    <w:p w14:paraId="7512395E" w14:textId="77777777" w:rsidR="00633492" w:rsidRDefault="00633492"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23CEEFF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52B574A"/>
    <w:multiLevelType w:val="hybridMultilevel"/>
    <w:tmpl w:val="4A54E392"/>
    <w:lvl w:ilvl="0" w:tplc="0C987E56">
      <w:numFmt w:val="bullet"/>
      <w:lvlText w:val="-"/>
      <w:lvlJc w:val="left"/>
      <w:pPr>
        <w:ind w:left="360" w:hanging="360"/>
      </w:pPr>
      <w:rPr>
        <w:rFonts w:ascii="Arial" w:eastAsia="Arial"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A408651"/>
    <w:multiLevelType w:val="hybridMultilevel"/>
    <w:tmpl w:val="B0B81E30"/>
    <w:lvl w:ilvl="0" w:tplc="9D122D20">
      <w:start w:val="1"/>
      <w:numFmt w:val="bullet"/>
      <w:lvlText w:val="-"/>
      <w:lvlJc w:val="left"/>
      <w:pPr>
        <w:ind w:left="720" w:hanging="360"/>
      </w:pPr>
      <w:rPr>
        <w:rFonts w:ascii="&quot;Times New Roman&quot;,serif" w:hAnsi="&quot;Times New Roman&quot;,serif" w:hint="default"/>
      </w:rPr>
    </w:lvl>
    <w:lvl w:ilvl="1" w:tplc="9F2E3B60">
      <w:start w:val="1"/>
      <w:numFmt w:val="bullet"/>
      <w:lvlText w:val="o"/>
      <w:lvlJc w:val="left"/>
      <w:pPr>
        <w:ind w:left="1440" w:hanging="360"/>
      </w:pPr>
      <w:rPr>
        <w:rFonts w:ascii="Courier New" w:hAnsi="Courier New" w:hint="default"/>
      </w:rPr>
    </w:lvl>
    <w:lvl w:ilvl="2" w:tplc="21D89C00">
      <w:start w:val="1"/>
      <w:numFmt w:val="bullet"/>
      <w:lvlText w:val=""/>
      <w:lvlJc w:val="left"/>
      <w:pPr>
        <w:ind w:left="2160" w:hanging="360"/>
      </w:pPr>
      <w:rPr>
        <w:rFonts w:ascii="Wingdings" w:hAnsi="Wingdings" w:hint="default"/>
      </w:rPr>
    </w:lvl>
    <w:lvl w:ilvl="3" w:tplc="4A421DEA">
      <w:start w:val="1"/>
      <w:numFmt w:val="bullet"/>
      <w:lvlText w:val=""/>
      <w:lvlJc w:val="left"/>
      <w:pPr>
        <w:ind w:left="2880" w:hanging="360"/>
      </w:pPr>
      <w:rPr>
        <w:rFonts w:ascii="Symbol" w:hAnsi="Symbol" w:hint="default"/>
      </w:rPr>
    </w:lvl>
    <w:lvl w:ilvl="4" w:tplc="ED6ABB24">
      <w:start w:val="1"/>
      <w:numFmt w:val="bullet"/>
      <w:lvlText w:val="o"/>
      <w:lvlJc w:val="left"/>
      <w:pPr>
        <w:ind w:left="3600" w:hanging="360"/>
      </w:pPr>
      <w:rPr>
        <w:rFonts w:ascii="Courier New" w:hAnsi="Courier New" w:hint="default"/>
      </w:rPr>
    </w:lvl>
    <w:lvl w:ilvl="5" w:tplc="01E62748">
      <w:start w:val="1"/>
      <w:numFmt w:val="bullet"/>
      <w:lvlText w:val=""/>
      <w:lvlJc w:val="left"/>
      <w:pPr>
        <w:ind w:left="4320" w:hanging="360"/>
      </w:pPr>
      <w:rPr>
        <w:rFonts w:ascii="Wingdings" w:hAnsi="Wingdings" w:hint="default"/>
      </w:rPr>
    </w:lvl>
    <w:lvl w:ilvl="6" w:tplc="69E85B58">
      <w:start w:val="1"/>
      <w:numFmt w:val="bullet"/>
      <w:lvlText w:val=""/>
      <w:lvlJc w:val="left"/>
      <w:pPr>
        <w:ind w:left="5040" w:hanging="360"/>
      </w:pPr>
      <w:rPr>
        <w:rFonts w:ascii="Symbol" w:hAnsi="Symbol" w:hint="default"/>
      </w:rPr>
    </w:lvl>
    <w:lvl w:ilvl="7" w:tplc="D8FCC152">
      <w:start w:val="1"/>
      <w:numFmt w:val="bullet"/>
      <w:lvlText w:val="o"/>
      <w:lvlJc w:val="left"/>
      <w:pPr>
        <w:ind w:left="5760" w:hanging="360"/>
      </w:pPr>
      <w:rPr>
        <w:rFonts w:ascii="Courier New" w:hAnsi="Courier New" w:hint="default"/>
      </w:rPr>
    </w:lvl>
    <w:lvl w:ilvl="8" w:tplc="19DA4604">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9"/>
  </w:num>
  <w:num w:numId="13">
    <w:abstractNumId w:val="13"/>
  </w:num>
  <w:num w:numId="14">
    <w:abstractNumId w:val="20"/>
  </w:num>
  <w:num w:numId="15">
    <w:abstractNumId w:val="22"/>
  </w:num>
  <w:num w:numId="16">
    <w:abstractNumId w:val="21"/>
  </w:num>
  <w:num w:numId="17">
    <w:abstractNumId w:val="12"/>
  </w:num>
  <w:num w:numId="18">
    <w:abstractNumId w:val="13"/>
    <w:lvlOverride w:ilvl="0">
      <w:startOverride w:val="1"/>
    </w:lvlOverride>
  </w:num>
  <w:num w:numId="19">
    <w:abstractNumId w:val="18"/>
  </w:num>
  <w:num w:numId="20">
    <w:abstractNumId w:val="17"/>
  </w:num>
  <w:num w:numId="21">
    <w:abstractNumId w:val="15"/>
  </w:num>
  <w:num w:numId="22">
    <w:abstractNumId w:val="14"/>
  </w:num>
  <w:num w:numId="23">
    <w:abstractNumId w:val="10"/>
  </w:num>
  <w:num w:numId="24">
    <w:abstractNumId w:val="23"/>
  </w:num>
  <w:num w:numId="25">
    <w:abstractNumId w:val="11"/>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2939"/>
    <w:rsid w:val="00004FAE"/>
    <w:rsid w:val="000052FB"/>
    <w:rsid w:val="00005A19"/>
    <w:rsid w:val="000117CB"/>
    <w:rsid w:val="000216A7"/>
    <w:rsid w:val="00022EB1"/>
    <w:rsid w:val="0003148D"/>
    <w:rsid w:val="00031EEC"/>
    <w:rsid w:val="0003328E"/>
    <w:rsid w:val="00051566"/>
    <w:rsid w:val="000562A9"/>
    <w:rsid w:val="00057920"/>
    <w:rsid w:val="00062A9A"/>
    <w:rsid w:val="00065058"/>
    <w:rsid w:val="00086C39"/>
    <w:rsid w:val="000A00A9"/>
    <w:rsid w:val="000A03B2"/>
    <w:rsid w:val="000D0268"/>
    <w:rsid w:val="000D34BE"/>
    <w:rsid w:val="000E0B3C"/>
    <w:rsid w:val="000E102F"/>
    <w:rsid w:val="000E36F1"/>
    <w:rsid w:val="000E3A73"/>
    <w:rsid w:val="000E414A"/>
    <w:rsid w:val="000E6990"/>
    <w:rsid w:val="000E75FD"/>
    <w:rsid w:val="000F093C"/>
    <w:rsid w:val="000F4AFE"/>
    <w:rsid w:val="000F787B"/>
    <w:rsid w:val="00111752"/>
    <w:rsid w:val="0012091F"/>
    <w:rsid w:val="00126BC2"/>
    <w:rsid w:val="001308B6"/>
    <w:rsid w:val="0013121F"/>
    <w:rsid w:val="00131FE6"/>
    <w:rsid w:val="0013263F"/>
    <w:rsid w:val="001331DF"/>
    <w:rsid w:val="00134DE4"/>
    <w:rsid w:val="0014034D"/>
    <w:rsid w:val="00140FE3"/>
    <w:rsid w:val="00144D16"/>
    <w:rsid w:val="00150E59"/>
    <w:rsid w:val="00152DE3"/>
    <w:rsid w:val="00156220"/>
    <w:rsid w:val="00164000"/>
    <w:rsid w:val="00164CF9"/>
    <w:rsid w:val="0016668E"/>
    <w:rsid w:val="001667A6"/>
    <w:rsid w:val="0018171E"/>
    <w:rsid w:val="00184AD6"/>
    <w:rsid w:val="001A4AF7"/>
    <w:rsid w:val="001B0349"/>
    <w:rsid w:val="001B1E93"/>
    <w:rsid w:val="001B65C1"/>
    <w:rsid w:val="001C260F"/>
    <w:rsid w:val="001C5C3A"/>
    <w:rsid w:val="001C684B"/>
    <w:rsid w:val="001D0CFB"/>
    <w:rsid w:val="001D21AF"/>
    <w:rsid w:val="001D3D32"/>
    <w:rsid w:val="001D53FC"/>
    <w:rsid w:val="001D7631"/>
    <w:rsid w:val="001F2C3D"/>
    <w:rsid w:val="001F42A5"/>
    <w:rsid w:val="001F7B9D"/>
    <w:rsid w:val="00201C93"/>
    <w:rsid w:val="00203ED9"/>
    <w:rsid w:val="00210621"/>
    <w:rsid w:val="002224B4"/>
    <w:rsid w:val="00235C93"/>
    <w:rsid w:val="002447EF"/>
    <w:rsid w:val="00251550"/>
    <w:rsid w:val="00252303"/>
    <w:rsid w:val="00256629"/>
    <w:rsid w:val="00263B05"/>
    <w:rsid w:val="00263C22"/>
    <w:rsid w:val="00271D54"/>
    <w:rsid w:val="0027221A"/>
    <w:rsid w:val="00275B61"/>
    <w:rsid w:val="00280FAF"/>
    <w:rsid w:val="00282656"/>
    <w:rsid w:val="00284AC8"/>
    <w:rsid w:val="00296B83"/>
    <w:rsid w:val="002A750F"/>
    <w:rsid w:val="002B4015"/>
    <w:rsid w:val="002B78CE"/>
    <w:rsid w:val="002C2FB6"/>
    <w:rsid w:val="002E5FA7"/>
    <w:rsid w:val="002F3309"/>
    <w:rsid w:val="003008CE"/>
    <w:rsid w:val="003009B7"/>
    <w:rsid w:val="00300E56"/>
    <w:rsid w:val="0030152C"/>
    <w:rsid w:val="0030386F"/>
    <w:rsid w:val="0030469C"/>
    <w:rsid w:val="00304CE8"/>
    <w:rsid w:val="0031014E"/>
    <w:rsid w:val="00310265"/>
    <w:rsid w:val="00321CA6"/>
    <w:rsid w:val="00323763"/>
    <w:rsid w:val="00323C5F"/>
    <w:rsid w:val="00331582"/>
    <w:rsid w:val="00334C09"/>
    <w:rsid w:val="00347F62"/>
    <w:rsid w:val="003723D4"/>
    <w:rsid w:val="00381905"/>
    <w:rsid w:val="00383E8A"/>
    <w:rsid w:val="00384CC8"/>
    <w:rsid w:val="003871FD"/>
    <w:rsid w:val="003A1E30"/>
    <w:rsid w:val="003A264A"/>
    <w:rsid w:val="003A2829"/>
    <w:rsid w:val="003A38E6"/>
    <w:rsid w:val="003A4B6E"/>
    <w:rsid w:val="003A7D1C"/>
    <w:rsid w:val="003B07A2"/>
    <w:rsid w:val="003B304B"/>
    <w:rsid w:val="003B3146"/>
    <w:rsid w:val="003B49CD"/>
    <w:rsid w:val="003C098E"/>
    <w:rsid w:val="003C55DF"/>
    <w:rsid w:val="003D1E02"/>
    <w:rsid w:val="003D2C8B"/>
    <w:rsid w:val="003E4EB7"/>
    <w:rsid w:val="003F015E"/>
    <w:rsid w:val="003F7ACE"/>
    <w:rsid w:val="00400414"/>
    <w:rsid w:val="00401D05"/>
    <w:rsid w:val="0040625C"/>
    <w:rsid w:val="00414185"/>
    <w:rsid w:val="0041446B"/>
    <w:rsid w:val="0043346F"/>
    <w:rsid w:val="0044071E"/>
    <w:rsid w:val="0044329C"/>
    <w:rsid w:val="00453E24"/>
    <w:rsid w:val="00457456"/>
    <w:rsid w:val="004577FE"/>
    <w:rsid w:val="00457B9C"/>
    <w:rsid w:val="0046164A"/>
    <w:rsid w:val="004628D2"/>
    <w:rsid w:val="00462DCD"/>
    <w:rsid w:val="004648AD"/>
    <w:rsid w:val="004703A9"/>
    <w:rsid w:val="004760DE"/>
    <w:rsid w:val="004763D7"/>
    <w:rsid w:val="004A004E"/>
    <w:rsid w:val="004A24CF"/>
    <w:rsid w:val="004B03FD"/>
    <w:rsid w:val="004B05BE"/>
    <w:rsid w:val="004C3D1D"/>
    <w:rsid w:val="004C3D84"/>
    <w:rsid w:val="004C7913"/>
    <w:rsid w:val="004E4DD6"/>
    <w:rsid w:val="004F49FA"/>
    <w:rsid w:val="004F5E36"/>
    <w:rsid w:val="00507B47"/>
    <w:rsid w:val="00507BEF"/>
    <w:rsid w:val="00507CC9"/>
    <w:rsid w:val="005119A5"/>
    <w:rsid w:val="005278B7"/>
    <w:rsid w:val="00532016"/>
    <w:rsid w:val="0053442D"/>
    <w:rsid w:val="005346C8"/>
    <w:rsid w:val="00543E7D"/>
    <w:rsid w:val="00547A68"/>
    <w:rsid w:val="005531C9"/>
    <w:rsid w:val="00554879"/>
    <w:rsid w:val="0055665E"/>
    <w:rsid w:val="00570C43"/>
    <w:rsid w:val="00592274"/>
    <w:rsid w:val="0059398D"/>
    <w:rsid w:val="005B0B82"/>
    <w:rsid w:val="005B2110"/>
    <w:rsid w:val="005B350B"/>
    <w:rsid w:val="005B61E6"/>
    <w:rsid w:val="005C5E5D"/>
    <w:rsid w:val="005C77E1"/>
    <w:rsid w:val="005D668A"/>
    <w:rsid w:val="005D6A2F"/>
    <w:rsid w:val="005E0592"/>
    <w:rsid w:val="005E1A82"/>
    <w:rsid w:val="005E1F09"/>
    <w:rsid w:val="005E240A"/>
    <w:rsid w:val="005E2817"/>
    <w:rsid w:val="005E794C"/>
    <w:rsid w:val="005F0A28"/>
    <w:rsid w:val="005F0E5E"/>
    <w:rsid w:val="005F5168"/>
    <w:rsid w:val="00600535"/>
    <w:rsid w:val="00610CD6"/>
    <w:rsid w:val="00620DEE"/>
    <w:rsid w:val="00621F92"/>
    <w:rsid w:val="0062280A"/>
    <w:rsid w:val="006231E1"/>
    <w:rsid w:val="00625639"/>
    <w:rsid w:val="00626342"/>
    <w:rsid w:val="006277F0"/>
    <w:rsid w:val="00631B33"/>
    <w:rsid w:val="00633492"/>
    <w:rsid w:val="006348B7"/>
    <w:rsid w:val="0064184D"/>
    <w:rsid w:val="006422CC"/>
    <w:rsid w:val="00651D18"/>
    <w:rsid w:val="00660E3E"/>
    <w:rsid w:val="00662E74"/>
    <w:rsid w:val="006704E9"/>
    <w:rsid w:val="00680C23"/>
    <w:rsid w:val="00683E23"/>
    <w:rsid w:val="00693766"/>
    <w:rsid w:val="006A3281"/>
    <w:rsid w:val="006A4CD2"/>
    <w:rsid w:val="006A6DE5"/>
    <w:rsid w:val="006B4888"/>
    <w:rsid w:val="006C2E45"/>
    <w:rsid w:val="006C32EB"/>
    <w:rsid w:val="006C359C"/>
    <w:rsid w:val="006C5579"/>
    <w:rsid w:val="006C5620"/>
    <w:rsid w:val="006D6E8B"/>
    <w:rsid w:val="006D700E"/>
    <w:rsid w:val="006D7209"/>
    <w:rsid w:val="006E52D0"/>
    <w:rsid w:val="006E737D"/>
    <w:rsid w:val="00704F0D"/>
    <w:rsid w:val="00707DD1"/>
    <w:rsid w:val="007124D8"/>
    <w:rsid w:val="00713973"/>
    <w:rsid w:val="00720A24"/>
    <w:rsid w:val="00720BDA"/>
    <w:rsid w:val="00732386"/>
    <w:rsid w:val="0073514D"/>
    <w:rsid w:val="00741C07"/>
    <w:rsid w:val="007447F3"/>
    <w:rsid w:val="00744BCB"/>
    <w:rsid w:val="0074680F"/>
    <w:rsid w:val="0075499F"/>
    <w:rsid w:val="00763739"/>
    <w:rsid w:val="007661C8"/>
    <w:rsid w:val="0077098D"/>
    <w:rsid w:val="00772473"/>
    <w:rsid w:val="007831F4"/>
    <w:rsid w:val="00785BF9"/>
    <w:rsid w:val="007931FA"/>
    <w:rsid w:val="007A1EAF"/>
    <w:rsid w:val="007A4861"/>
    <w:rsid w:val="007A6387"/>
    <w:rsid w:val="007A7BBA"/>
    <w:rsid w:val="007B0656"/>
    <w:rsid w:val="007B0C50"/>
    <w:rsid w:val="007B48F9"/>
    <w:rsid w:val="007C1A43"/>
    <w:rsid w:val="007D0951"/>
    <w:rsid w:val="007D610D"/>
    <w:rsid w:val="0080013E"/>
    <w:rsid w:val="00801759"/>
    <w:rsid w:val="00813288"/>
    <w:rsid w:val="008168FC"/>
    <w:rsid w:val="00830996"/>
    <w:rsid w:val="008345F1"/>
    <w:rsid w:val="008368A1"/>
    <w:rsid w:val="00863721"/>
    <w:rsid w:val="008654E2"/>
    <w:rsid w:val="00865B07"/>
    <w:rsid w:val="008667EA"/>
    <w:rsid w:val="0087637F"/>
    <w:rsid w:val="00886AE5"/>
    <w:rsid w:val="00892AD5"/>
    <w:rsid w:val="008A1512"/>
    <w:rsid w:val="008A430A"/>
    <w:rsid w:val="008A4548"/>
    <w:rsid w:val="008C13C2"/>
    <w:rsid w:val="008C5751"/>
    <w:rsid w:val="008D32B9"/>
    <w:rsid w:val="008D433B"/>
    <w:rsid w:val="008D4A16"/>
    <w:rsid w:val="008E5401"/>
    <w:rsid w:val="008E566E"/>
    <w:rsid w:val="0090161A"/>
    <w:rsid w:val="00901EB6"/>
    <w:rsid w:val="00902912"/>
    <w:rsid w:val="009041F8"/>
    <w:rsid w:val="00904453"/>
    <w:rsid w:val="00904C62"/>
    <w:rsid w:val="00922BA8"/>
    <w:rsid w:val="00924DAC"/>
    <w:rsid w:val="009259AF"/>
    <w:rsid w:val="00927058"/>
    <w:rsid w:val="00941655"/>
    <w:rsid w:val="00942750"/>
    <w:rsid w:val="009450CE"/>
    <w:rsid w:val="009459BB"/>
    <w:rsid w:val="00947179"/>
    <w:rsid w:val="0095164B"/>
    <w:rsid w:val="00954090"/>
    <w:rsid w:val="009573E7"/>
    <w:rsid w:val="00963E05"/>
    <w:rsid w:val="00964A45"/>
    <w:rsid w:val="00967843"/>
    <w:rsid w:val="00967D54"/>
    <w:rsid w:val="00970431"/>
    <w:rsid w:val="00971028"/>
    <w:rsid w:val="00971EFB"/>
    <w:rsid w:val="00974162"/>
    <w:rsid w:val="0098305E"/>
    <w:rsid w:val="009907F6"/>
    <w:rsid w:val="00993B84"/>
    <w:rsid w:val="00994C6A"/>
    <w:rsid w:val="00995808"/>
    <w:rsid w:val="00996483"/>
    <w:rsid w:val="00996F5A"/>
    <w:rsid w:val="009A7C5E"/>
    <w:rsid w:val="009B041A"/>
    <w:rsid w:val="009B3C5E"/>
    <w:rsid w:val="009B6E57"/>
    <w:rsid w:val="009C37C3"/>
    <w:rsid w:val="009C7C86"/>
    <w:rsid w:val="009D2FF7"/>
    <w:rsid w:val="009E0FBF"/>
    <w:rsid w:val="009E7884"/>
    <w:rsid w:val="009E788A"/>
    <w:rsid w:val="009F0E08"/>
    <w:rsid w:val="009F79F4"/>
    <w:rsid w:val="00A079AE"/>
    <w:rsid w:val="00A1763D"/>
    <w:rsid w:val="00A17CEC"/>
    <w:rsid w:val="00A2052E"/>
    <w:rsid w:val="00A271FA"/>
    <w:rsid w:val="00A27EF0"/>
    <w:rsid w:val="00A42361"/>
    <w:rsid w:val="00A50B20"/>
    <w:rsid w:val="00A51390"/>
    <w:rsid w:val="00A60D13"/>
    <w:rsid w:val="00A64F26"/>
    <w:rsid w:val="00A717C7"/>
    <w:rsid w:val="00A7223D"/>
    <w:rsid w:val="00A72745"/>
    <w:rsid w:val="00A76EFC"/>
    <w:rsid w:val="00A777ED"/>
    <w:rsid w:val="00A87D50"/>
    <w:rsid w:val="00A91010"/>
    <w:rsid w:val="00A97F29"/>
    <w:rsid w:val="00AA702E"/>
    <w:rsid w:val="00AA7D26"/>
    <w:rsid w:val="00AB0964"/>
    <w:rsid w:val="00AB5011"/>
    <w:rsid w:val="00AC0FBB"/>
    <w:rsid w:val="00AC13D7"/>
    <w:rsid w:val="00AC274A"/>
    <w:rsid w:val="00AC6971"/>
    <w:rsid w:val="00AC7368"/>
    <w:rsid w:val="00AD16B9"/>
    <w:rsid w:val="00AE04BA"/>
    <w:rsid w:val="00AE377D"/>
    <w:rsid w:val="00AE55BB"/>
    <w:rsid w:val="00AF0EBA"/>
    <w:rsid w:val="00AF2463"/>
    <w:rsid w:val="00AF5BFF"/>
    <w:rsid w:val="00B02C8A"/>
    <w:rsid w:val="00B117E0"/>
    <w:rsid w:val="00B17FBD"/>
    <w:rsid w:val="00B315A6"/>
    <w:rsid w:val="00B31813"/>
    <w:rsid w:val="00B33365"/>
    <w:rsid w:val="00B57B36"/>
    <w:rsid w:val="00B57E6F"/>
    <w:rsid w:val="00B71071"/>
    <w:rsid w:val="00B754E5"/>
    <w:rsid w:val="00B8686D"/>
    <w:rsid w:val="00B93F69"/>
    <w:rsid w:val="00BB1DDC"/>
    <w:rsid w:val="00BC30C9"/>
    <w:rsid w:val="00BC52E4"/>
    <w:rsid w:val="00BD077D"/>
    <w:rsid w:val="00BE3E58"/>
    <w:rsid w:val="00BF0FBF"/>
    <w:rsid w:val="00BF13CE"/>
    <w:rsid w:val="00C01616"/>
    <w:rsid w:val="00C0162B"/>
    <w:rsid w:val="00C068ED"/>
    <w:rsid w:val="00C22E0C"/>
    <w:rsid w:val="00C3285F"/>
    <w:rsid w:val="00C340F5"/>
    <w:rsid w:val="00C345B1"/>
    <w:rsid w:val="00C40142"/>
    <w:rsid w:val="00C52C3C"/>
    <w:rsid w:val="00C55EC0"/>
    <w:rsid w:val="00C57182"/>
    <w:rsid w:val="00C57863"/>
    <w:rsid w:val="00C640AF"/>
    <w:rsid w:val="00C655FD"/>
    <w:rsid w:val="00C74E4B"/>
    <w:rsid w:val="00C75407"/>
    <w:rsid w:val="00C82581"/>
    <w:rsid w:val="00C841C6"/>
    <w:rsid w:val="00C870A8"/>
    <w:rsid w:val="00C94434"/>
    <w:rsid w:val="00CA0D75"/>
    <w:rsid w:val="00CA1C95"/>
    <w:rsid w:val="00CA5A9C"/>
    <w:rsid w:val="00CC095A"/>
    <w:rsid w:val="00CC1DD5"/>
    <w:rsid w:val="00CC4C20"/>
    <w:rsid w:val="00CD3517"/>
    <w:rsid w:val="00CD5FE2"/>
    <w:rsid w:val="00CE7C68"/>
    <w:rsid w:val="00CF0ACE"/>
    <w:rsid w:val="00D02B4C"/>
    <w:rsid w:val="00D040C4"/>
    <w:rsid w:val="00D07EAD"/>
    <w:rsid w:val="00D20AD1"/>
    <w:rsid w:val="00D2582C"/>
    <w:rsid w:val="00D25FFD"/>
    <w:rsid w:val="00D46364"/>
    <w:rsid w:val="00D46B7E"/>
    <w:rsid w:val="00D47FE9"/>
    <w:rsid w:val="00D57C84"/>
    <w:rsid w:val="00D6057D"/>
    <w:rsid w:val="00D60C2F"/>
    <w:rsid w:val="00D630D1"/>
    <w:rsid w:val="00D71640"/>
    <w:rsid w:val="00D7257B"/>
    <w:rsid w:val="00D836C5"/>
    <w:rsid w:val="00D84576"/>
    <w:rsid w:val="00DA1399"/>
    <w:rsid w:val="00DA24C6"/>
    <w:rsid w:val="00DA43FC"/>
    <w:rsid w:val="00DA4D7B"/>
    <w:rsid w:val="00DC2840"/>
    <w:rsid w:val="00DC73EE"/>
    <w:rsid w:val="00DD271C"/>
    <w:rsid w:val="00DD5A5F"/>
    <w:rsid w:val="00DE264A"/>
    <w:rsid w:val="00DF4178"/>
    <w:rsid w:val="00DF5072"/>
    <w:rsid w:val="00E02D18"/>
    <w:rsid w:val="00E041E7"/>
    <w:rsid w:val="00E22F56"/>
    <w:rsid w:val="00E23CA1"/>
    <w:rsid w:val="00E24620"/>
    <w:rsid w:val="00E261FF"/>
    <w:rsid w:val="00E34E86"/>
    <w:rsid w:val="00E409A8"/>
    <w:rsid w:val="00E50C12"/>
    <w:rsid w:val="00E5115F"/>
    <w:rsid w:val="00E65B91"/>
    <w:rsid w:val="00E7011D"/>
    <w:rsid w:val="00E7209D"/>
    <w:rsid w:val="00E72EAD"/>
    <w:rsid w:val="00E77223"/>
    <w:rsid w:val="00E8528B"/>
    <w:rsid w:val="00E85B94"/>
    <w:rsid w:val="00E978D0"/>
    <w:rsid w:val="00EA4613"/>
    <w:rsid w:val="00EA7F91"/>
    <w:rsid w:val="00EB1523"/>
    <w:rsid w:val="00EC0E49"/>
    <w:rsid w:val="00EC101F"/>
    <w:rsid w:val="00EC1D9F"/>
    <w:rsid w:val="00ED4769"/>
    <w:rsid w:val="00ED6AA6"/>
    <w:rsid w:val="00EE0131"/>
    <w:rsid w:val="00EE17B0"/>
    <w:rsid w:val="00EE66EF"/>
    <w:rsid w:val="00EF06D9"/>
    <w:rsid w:val="00F05A2B"/>
    <w:rsid w:val="00F3049E"/>
    <w:rsid w:val="00F30C64"/>
    <w:rsid w:val="00F32BA2"/>
    <w:rsid w:val="00F32CDB"/>
    <w:rsid w:val="00F41EE4"/>
    <w:rsid w:val="00F46916"/>
    <w:rsid w:val="00F565FE"/>
    <w:rsid w:val="00F56D3C"/>
    <w:rsid w:val="00F63A70"/>
    <w:rsid w:val="00F63D8C"/>
    <w:rsid w:val="00F721F7"/>
    <w:rsid w:val="00F7485C"/>
    <w:rsid w:val="00F7534E"/>
    <w:rsid w:val="00F8501C"/>
    <w:rsid w:val="00F90049"/>
    <w:rsid w:val="00F93EDF"/>
    <w:rsid w:val="00FA1802"/>
    <w:rsid w:val="00FA1B37"/>
    <w:rsid w:val="00FA21D0"/>
    <w:rsid w:val="00FA5F5F"/>
    <w:rsid w:val="00FA613C"/>
    <w:rsid w:val="00FB730C"/>
    <w:rsid w:val="00FC2695"/>
    <w:rsid w:val="00FC3E03"/>
    <w:rsid w:val="00FC3FC1"/>
    <w:rsid w:val="00FF15A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763739"/>
    <w:pPr>
      <w:keepNext/>
      <w:numPr>
        <w:ilvl w:val="2"/>
        <w:numId w:val="1"/>
      </w:numPr>
      <w:suppressAutoHyphens/>
      <w:spacing w:after="0" w:line="240" w:lineRule="auto"/>
    </w:pPr>
    <w:rPr>
      <w:rFonts w:ascii="Arial" w:eastAsia="Arial" w:hAnsi="Arial" w:cs="Arial"/>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763739"/>
    <w:rPr>
      <w:rFonts w:ascii="Arial" w:eastAsia="Arial" w:hAnsi="Arial" w:cs="Arial"/>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qFormat/>
    <w:rsid w:val="00280FAF"/>
    <w:pPr>
      <w:ind w:left="720"/>
      <w:contextualSpacing/>
    </w:pPr>
  </w:style>
  <w:style w:type="character" w:customStyle="1" w:styleId="gmail-apple-converted-space">
    <w:name w:val="gmail-apple-converted-space"/>
    <w:basedOn w:val="Fuentedeprrafopredeter"/>
    <w:rsid w:val="00005A19"/>
  </w:style>
  <w:style w:type="character" w:customStyle="1" w:styleId="Mencinsinresolver1">
    <w:name w:val="Mención sin resolver1"/>
    <w:basedOn w:val="Fuentedeprrafopredeter"/>
    <w:uiPriority w:val="99"/>
    <w:semiHidden/>
    <w:unhideWhenUsed/>
    <w:rsid w:val="00256629"/>
    <w:rPr>
      <w:color w:val="605E5C"/>
      <w:shd w:val="clear" w:color="auto" w:fill="E1DFDD"/>
    </w:rPr>
  </w:style>
  <w:style w:type="character" w:customStyle="1" w:styleId="url">
    <w:name w:val="url"/>
    <w:basedOn w:val="Fuentedeprrafopredeter"/>
    <w:rsid w:val="003A38E6"/>
  </w:style>
  <w:style w:type="paragraph" w:styleId="Sinespaciado">
    <w:name w:val="No Spacing"/>
    <w:uiPriority w:val="1"/>
    <w:qFormat/>
    <w:rsid w:val="00ED4769"/>
    <w:pPr>
      <w:tabs>
        <w:tab w:val="right" w:pos="7100"/>
      </w:tabs>
      <w:spacing w:after="0" w:line="240" w:lineRule="auto"/>
      <w:jc w:val="both"/>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86823">
      <w:bodyDiv w:val="1"/>
      <w:marLeft w:val="0"/>
      <w:marRight w:val="0"/>
      <w:marTop w:val="0"/>
      <w:marBottom w:val="0"/>
      <w:divBdr>
        <w:top w:val="none" w:sz="0" w:space="0" w:color="auto"/>
        <w:left w:val="none" w:sz="0" w:space="0" w:color="auto"/>
        <w:bottom w:val="none" w:sz="0" w:space="0" w:color="auto"/>
        <w:right w:val="none" w:sz="0" w:space="0" w:color="auto"/>
      </w:divBdr>
      <w:divsChild>
        <w:div w:id="1181895432">
          <w:marLeft w:val="-720"/>
          <w:marRight w:val="0"/>
          <w:marTop w:val="0"/>
          <w:marBottom w:val="0"/>
          <w:divBdr>
            <w:top w:val="none" w:sz="0" w:space="0" w:color="auto"/>
            <w:left w:val="none" w:sz="0" w:space="0" w:color="auto"/>
            <w:bottom w:val="none" w:sz="0" w:space="0" w:color="auto"/>
            <w:right w:val="none" w:sz="0" w:space="0" w:color="auto"/>
          </w:divBdr>
        </w:div>
      </w:divsChild>
    </w:div>
    <w:div w:id="187715879">
      <w:bodyDiv w:val="1"/>
      <w:marLeft w:val="0"/>
      <w:marRight w:val="0"/>
      <w:marTop w:val="0"/>
      <w:marBottom w:val="0"/>
      <w:divBdr>
        <w:top w:val="none" w:sz="0" w:space="0" w:color="auto"/>
        <w:left w:val="none" w:sz="0" w:space="0" w:color="auto"/>
        <w:bottom w:val="none" w:sz="0" w:space="0" w:color="auto"/>
        <w:right w:val="none" w:sz="0" w:space="0" w:color="auto"/>
      </w:divBdr>
      <w:divsChild>
        <w:div w:id="547182492">
          <w:marLeft w:val="-720"/>
          <w:marRight w:val="0"/>
          <w:marTop w:val="0"/>
          <w:marBottom w:val="0"/>
          <w:divBdr>
            <w:top w:val="none" w:sz="0" w:space="0" w:color="auto"/>
            <w:left w:val="none" w:sz="0" w:space="0" w:color="auto"/>
            <w:bottom w:val="none" w:sz="0" w:space="0" w:color="auto"/>
            <w:right w:val="none" w:sz="0" w:space="0" w:color="auto"/>
          </w:divBdr>
        </w:div>
      </w:divsChild>
    </w:div>
    <w:div w:id="209609736">
      <w:bodyDiv w:val="1"/>
      <w:marLeft w:val="0"/>
      <w:marRight w:val="0"/>
      <w:marTop w:val="0"/>
      <w:marBottom w:val="0"/>
      <w:divBdr>
        <w:top w:val="none" w:sz="0" w:space="0" w:color="auto"/>
        <w:left w:val="none" w:sz="0" w:space="0" w:color="auto"/>
        <w:bottom w:val="none" w:sz="0" w:space="0" w:color="auto"/>
        <w:right w:val="none" w:sz="0" w:space="0" w:color="auto"/>
      </w:divBdr>
    </w:div>
    <w:div w:id="224099401">
      <w:bodyDiv w:val="1"/>
      <w:marLeft w:val="0"/>
      <w:marRight w:val="0"/>
      <w:marTop w:val="0"/>
      <w:marBottom w:val="0"/>
      <w:divBdr>
        <w:top w:val="none" w:sz="0" w:space="0" w:color="auto"/>
        <w:left w:val="none" w:sz="0" w:space="0" w:color="auto"/>
        <w:bottom w:val="none" w:sz="0" w:space="0" w:color="auto"/>
        <w:right w:val="none" w:sz="0" w:space="0" w:color="auto"/>
      </w:divBdr>
    </w:div>
    <w:div w:id="354237382">
      <w:bodyDiv w:val="1"/>
      <w:marLeft w:val="0"/>
      <w:marRight w:val="0"/>
      <w:marTop w:val="0"/>
      <w:marBottom w:val="0"/>
      <w:divBdr>
        <w:top w:val="none" w:sz="0" w:space="0" w:color="auto"/>
        <w:left w:val="none" w:sz="0" w:space="0" w:color="auto"/>
        <w:bottom w:val="none" w:sz="0" w:space="0" w:color="auto"/>
        <w:right w:val="none" w:sz="0" w:space="0" w:color="auto"/>
      </w:divBdr>
      <w:divsChild>
        <w:div w:id="1952126047">
          <w:marLeft w:val="-720"/>
          <w:marRight w:val="0"/>
          <w:marTop w:val="0"/>
          <w:marBottom w:val="0"/>
          <w:divBdr>
            <w:top w:val="none" w:sz="0" w:space="0" w:color="auto"/>
            <w:left w:val="none" w:sz="0" w:space="0" w:color="auto"/>
            <w:bottom w:val="none" w:sz="0" w:space="0" w:color="auto"/>
            <w:right w:val="none" w:sz="0" w:space="0" w:color="auto"/>
          </w:divBdr>
        </w:div>
      </w:divsChild>
    </w:div>
    <w:div w:id="410011396">
      <w:bodyDiv w:val="1"/>
      <w:marLeft w:val="0"/>
      <w:marRight w:val="0"/>
      <w:marTop w:val="0"/>
      <w:marBottom w:val="0"/>
      <w:divBdr>
        <w:top w:val="none" w:sz="0" w:space="0" w:color="auto"/>
        <w:left w:val="none" w:sz="0" w:space="0" w:color="auto"/>
        <w:bottom w:val="none" w:sz="0" w:space="0" w:color="auto"/>
        <w:right w:val="none" w:sz="0" w:space="0" w:color="auto"/>
      </w:divBdr>
      <w:divsChild>
        <w:div w:id="1433740331">
          <w:marLeft w:val="-720"/>
          <w:marRight w:val="0"/>
          <w:marTop w:val="0"/>
          <w:marBottom w:val="0"/>
          <w:divBdr>
            <w:top w:val="none" w:sz="0" w:space="0" w:color="auto"/>
            <w:left w:val="none" w:sz="0" w:space="0" w:color="auto"/>
            <w:bottom w:val="none" w:sz="0" w:space="0" w:color="auto"/>
            <w:right w:val="none" w:sz="0" w:space="0" w:color="auto"/>
          </w:divBdr>
        </w:div>
      </w:divsChild>
    </w:div>
    <w:div w:id="455025542">
      <w:bodyDiv w:val="1"/>
      <w:marLeft w:val="0"/>
      <w:marRight w:val="0"/>
      <w:marTop w:val="0"/>
      <w:marBottom w:val="0"/>
      <w:divBdr>
        <w:top w:val="none" w:sz="0" w:space="0" w:color="auto"/>
        <w:left w:val="none" w:sz="0" w:space="0" w:color="auto"/>
        <w:bottom w:val="none" w:sz="0" w:space="0" w:color="auto"/>
        <w:right w:val="none" w:sz="0" w:space="0" w:color="auto"/>
      </w:divBdr>
      <w:divsChild>
        <w:div w:id="1467427497">
          <w:marLeft w:val="0"/>
          <w:marRight w:val="0"/>
          <w:marTop w:val="0"/>
          <w:marBottom w:val="0"/>
          <w:divBdr>
            <w:top w:val="none" w:sz="0" w:space="0" w:color="auto"/>
            <w:left w:val="none" w:sz="0" w:space="0" w:color="auto"/>
            <w:bottom w:val="none" w:sz="0" w:space="0" w:color="auto"/>
            <w:right w:val="none" w:sz="0" w:space="0" w:color="auto"/>
          </w:divBdr>
          <w:divsChild>
            <w:div w:id="273489350">
              <w:marLeft w:val="0"/>
              <w:marRight w:val="0"/>
              <w:marTop w:val="0"/>
              <w:marBottom w:val="0"/>
              <w:divBdr>
                <w:top w:val="none" w:sz="0" w:space="0" w:color="auto"/>
                <w:left w:val="none" w:sz="0" w:space="0" w:color="auto"/>
                <w:bottom w:val="none" w:sz="0" w:space="0" w:color="auto"/>
                <w:right w:val="none" w:sz="0" w:space="0" w:color="auto"/>
              </w:divBdr>
              <w:divsChild>
                <w:div w:id="1880819830">
                  <w:marLeft w:val="0"/>
                  <w:marRight w:val="0"/>
                  <w:marTop w:val="0"/>
                  <w:marBottom w:val="0"/>
                  <w:divBdr>
                    <w:top w:val="none" w:sz="0" w:space="0" w:color="auto"/>
                    <w:left w:val="none" w:sz="0" w:space="0" w:color="auto"/>
                    <w:bottom w:val="none" w:sz="0" w:space="0" w:color="auto"/>
                    <w:right w:val="none" w:sz="0" w:space="0" w:color="auto"/>
                  </w:divBdr>
                  <w:divsChild>
                    <w:div w:id="2002468254">
                      <w:marLeft w:val="0"/>
                      <w:marRight w:val="0"/>
                      <w:marTop w:val="0"/>
                      <w:marBottom w:val="0"/>
                      <w:divBdr>
                        <w:top w:val="none" w:sz="0" w:space="0" w:color="auto"/>
                        <w:left w:val="none" w:sz="0" w:space="0" w:color="auto"/>
                        <w:bottom w:val="none" w:sz="0" w:space="0" w:color="auto"/>
                        <w:right w:val="none" w:sz="0" w:space="0" w:color="auto"/>
                      </w:divBdr>
                      <w:divsChild>
                        <w:div w:id="2045708632">
                          <w:marLeft w:val="0"/>
                          <w:marRight w:val="0"/>
                          <w:marTop w:val="0"/>
                          <w:marBottom w:val="0"/>
                          <w:divBdr>
                            <w:top w:val="none" w:sz="0" w:space="0" w:color="auto"/>
                            <w:left w:val="none" w:sz="0" w:space="0" w:color="auto"/>
                            <w:bottom w:val="none" w:sz="0" w:space="0" w:color="auto"/>
                            <w:right w:val="none" w:sz="0" w:space="0" w:color="auto"/>
                          </w:divBdr>
                          <w:divsChild>
                            <w:div w:id="8022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0661540">
      <w:bodyDiv w:val="1"/>
      <w:marLeft w:val="0"/>
      <w:marRight w:val="0"/>
      <w:marTop w:val="0"/>
      <w:marBottom w:val="0"/>
      <w:divBdr>
        <w:top w:val="none" w:sz="0" w:space="0" w:color="auto"/>
        <w:left w:val="none" w:sz="0" w:space="0" w:color="auto"/>
        <w:bottom w:val="none" w:sz="0" w:space="0" w:color="auto"/>
        <w:right w:val="none" w:sz="0" w:space="0" w:color="auto"/>
      </w:divBdr>
      <w:divsChild>
        <w:div w:id="964579047">
          <w:marLeft w:val="-720"/>
          <w:marRight w:val="0"/>
          <w:marTop w:val="0"/>
          <w:marBottom w:val="0"/>
          <w:divBdr>
            <w:top w:val="none" w:sz="0" w:space="0" w:color="auto"/>
            <w:left w:val="none" w:sz="0" w:space="0" w:color="auto"/>
            <w:bottom w:val="none" w:sz="0" w:space="0" w:color="auto"/>
            <w:right w:val="none" w:sz="0" w:space="0" w:color="auto"/>
          </w:divBdr>
        </w:div>
      </w:divsChild>
    </w:div>
    <w:div w:id="586889464">
      <w:bodyDiv w:val="1"/>
      <w:marLeft w:val="0"/>
      <w:marRight w:val="0"/>
      <w:marTop w:val="0"/>
      <w:marBottom w:val="0"/>
      <w:divBdr>
        <w:top w:val="none" w:sz="0" w:space="0" w:color="auto"/>
        <w:left w:val="none" w:sz="0" w:space="0" w:color="auto"/>
        <w:bottom w:val="none" w:sz="0" w:space="0" w:color="auto"/>
        <w:right w:val="none" w:sz="0" w:space="0" w:color="auto"/>
      </w:divBdr>
      <w:divsChild>
        <w:div w:id="135073087">
          <w:marLeft w:val="-720"/>
          <w:marRight w:val="0"/>
          <w:marTop w:val="0"/>
          <w:marBottom w:val="0"/>
          <w:divBdr>
            <w:top w:val="none" w:sz="0" w:space="0" w:color="auto"/>
            <w:left w:val="none" w:sz="0" w:space="0" w:color="auto"/>
            <w:bottom w:val="none" w:sz="0" w:space="0" w:color="auto"/>
            <w:right w:val="none" w:sz="0" w:space="0" w:color="auto"/>
          </w:divBdr>
        </w:div>
      </w:divsChild>
    </w:div>
    <w:div w:id="590553127">
      <w:bodyDiv w:val="1"/>
      <w:marLeft w:val="0"/>
      <w:marRight w:val="0"/>
      <w:marTop w:val="0"/>
      <w:marBottom w:val="0"/>
      <w:divBdr>
        <w:top w:val="none" w:sz="0" w:space="0" w:color="auto"/>
        <w:left w:val="none" w:sz="0" w:space="0" w:color="auto"/>
        <w:bottom w:val="none" w:sz="0" w:space="0" w:color="auto"/>
        <w:right w:val="none" w:sz="0" w:space="0" w:color="auto"/>
      </w:divBdr>
    </w:div>
    <w:div w:id="598559464">
      <w:bodyDiv w:val="1"/>
      <w:marLeft w:val="0"/>
      <w:marRight w:val="0"/>
      <w:marTop w:val="0"/>
      <w:marBottom w:val="0"/>
      <w:divBdr>
        <w:top w:val="none" w:sz="0" w:space="0" w:color="auto"/>
        <w:left w:val="none" w:sz="0" w:space="0" w:color="auto"/>
        <w:bottom w:val="none" w:sz="0" w:space="0" w:color="auto"/>
        <w:right w:val="none" w:sz="0" w:space="0" w:color="auto"/>
      </w:divBdr>
    </w:div>
    <w:div w:id="622661180">
      <w:bodyDiv w:val="1"/>
      <w:marLeft w:val="0"/>
      <w:marRight w:val="0"/>
      <w:marTop w:val="0"/>
      <w:marBottom w:val="0"/>
      <w:divBdr>
        <w:top w:val="none" w:sz="0" w:space="0" w:color="auto"/>
        <w:left w:val="none" w:sz="0" w:space="0" w:color="auto"/>
        <w:bottom w:val="none" w:sz="0" w:space="0" w:color="auto"/>
        <w:right w:val="none" w:sz="0" w:space="0" w:color="auto"/>
      </w:divBdr>
      <w:divsChild>
        <w:div w:id="1129517708">
          <w:marLeft w:val="-720"/>
          <w:marRight w:val="0"/>
          <w:marTop w:val="0"/>
          <w:marBottom w:val="0"/>
          <w:divBdr>
            <w:top w:val="none" w:sz="0" w:space="0" w:color="auto"/>
            <w:left w:val="none" w:sz="0" w:space="0" w:color="auto"/>
            <w:bottom w:val="none" w:sz="0" w:space="0" w:color="auto"/>
            <w:right w:val="none" w:sz="0" w:space="0" w:color="auto"/>
          </w:divBdr>
        </w:div>
      </w:divsChild>
    </w:div>
    <w:div w:id="668602459">
      <w:bodyDiv w:val="1"/>
      <w:marLeft w:val="0"/>
      <w:marRight w:val="0"/>
      <w:marTop w:val="0"/>
      <w:marBottom w:val="0"/>
      <w:divBdr>
        <w:top w:val="none" w:sz="0" w:space="0" w:color="auto"/>
        <w:left w:val="none" w:sz="0" w:space="0" w:color="auto"/>
        <w:bottom w:val="none" w:sz="0" w:space="0" w:color="auto"/>
        <w:right w:val="none" w:sz="0" w:space="0" w:color="auto"/>
      </w:divBdr>
      <w:divsChild>
        <w:div w:id="1265265475">
          <w:marLeft w:val="0"/>
          <w:marRight w:val="0"/>
          <w:marTop w:val="0"/>
          <w:marBottom w:val="0"/>
          <w:divBdr>
            <w:top w:val="none" w:sz="0" w:space="0" w:color="auto"/>
            <w:left w:val="none" w:sz="0" w:space="0" w:color="auto"/>
            <w:bottom w:val="none" w:sz="0" w:space="0" w:color="auto"/>
            <w:right w:val="none" w:sz="0" w:space="0" w:color="auto"/>
          </w:divBdr>
          <w:divsChild>
            <w:div w:id="1727141538">
              <w:marLeft w:val="0"/>
              <w:marRight w:val="0"/>
              <w:marTop w:val="0"/>
              <w:marBottom w:val="0"/>
              <w:divBdr>
                <w:top w:val="none" w:sz="0" w:space="0" w:color="auto"/>
                <w:left w:val="none" w:sz="0" w:space="0" w:color="auto"/>
                <w:bottom w:val="none" w:sz="0" w:space="0" w:color="auto"/>
                <w:right w:val="none" w:sz="0" w:space="0" w:color="auto"/>
              </w:divBdr>
              <w:divsChild>
                <w:div w:id="1887907999">
                  <w:marLeft w:val="0"/>
                  <w:marRight w:val="0"/>
                  <w:marTop w:val="0"/>
                  <w:marBottom w:val="0"/>
                  <w:divBdr>
                    <w:top w:val="none" w:sz="0" w:space="0" w:color="auto"/>
                    <w:left w:val="none" w:sz="0" w:space="0" w:color="auto"/>
                    <w:bottom w:val="none" w:sz="0" w:space="0" w:color="auto"/>
                    <w:right w:val="none" w:sz="0" w:space="0" w:color="auto"/>
                  </w:divBdr>
                  <w:divsChild>
                    <w:div w:id="165035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51939">
          <w:marLeft w:val="0"/>
          <w:marRight w:val="0"/>
          <w:marTop w:val="0"/>
          <w:marBottom w:val="0"/>
          <w:divBdr>
            <w:top w:val="none" w:sz="0" w:space="0" w:color="auto"/>
            <w:left w:val="none" w:sz="0" w:space="0" w:color="auto"/>
            <w:bottom w:val="none" w:sz="0" w:space="0" w:color="auto"/>
            <w:right w:val="none" w:sz="0" w:space="0" w:color="auto"/>
          </w:divBdr>
          <w:divsChild>
            <w:div w:id="1023169596">
              <w:marLeft w:val="0"/>
              <w:marRight w:val="0"/>
              <w:marTop w:val="0"/>
              <w:marBottom w:val="0"/>
              <w:divBdr>
                <w:top w:val="none" w:sz="0" w:space="0" w:color="auto"/>
                <w:left w:val="none" w:sz="0" w:space="0" w:color="auto"/>
                <w:bottom w:val="none" w:sz="0" w:space="0" w:color="auto"/>
                <w:right w:val="none" w:sz="0" w:space="0" w:color="auto"/>
              </w:divBdr>
              <w:divsChild>
                <w:div w:id="737942078">
                  <w:marLeft w:val="0"/>
                  <w:marRight w:val="0"/>
                  <w:marTop w:val="0"/>
                  <w:marBottom w:val="0"/>
                  <w:divBdr>
                    <w:top w:val="none" w:sz="0" w:space="0" w:color="auto"/>
                    <w:left w:val="none" w:sz="0" w:space="0" w:color="auto"/>
                    <w:bottom w:val="none" w:sz="0" w:space="0" w:color="auto"/>
                    <w:right w:val="none" w:sz="0" w:space="0" w:color="auto"/>
                  </w:divBdr>
                  <w:divsChild>
                    <w:div w:id="30343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882872">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51011">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98508">
      <w:bodyDiv w:val="1"/>
      <w:marLeft w:val="0"/>
      <w:marRight w:val="0"/>
      <w:marTop w:val="0"/>
      <w:marBottom w:val="0"/>
      <w:divBdr>
        <w:top w:val="none" w:sz="0" w:space="0" w:color="auto"/>
        <w:left w:val="none" w:sz="0" w:space="0" w:color="auto"/>
        <w:bottom w:val="none" w:sz="0" w:space="0" w:color="auto"/>
        <w:right w:val="none" w:sz="0" w:space="0" w:color="auto"/>
      </w:divBdr>
    </w:div>
    <w:div w:id="1162281555">
      <w:bodyDiv w:val="1"/>
      <w:marLeft w:val="0"/>
      <w:marRight w:val="0"/>
      <w:marTop w:val="0"/>
      <w:marBottom w:val="0"/>
      <w:divBdr>
        <w:top w:val="none" w:sz="0" w:space="0" w:color="auto"/>
        <w:left w:val="none" w:sz="0" w:space="0" w:color="auto"/>
        <w:bottom w:val="none" w:sz="0" w:space="0" w:color="auto"/>
        <w:right w:val="none" w:sz="0" w:space="0" w:color="auto"/>
      </w:divBdr>
    </w:div>
    <w:div w:id="1169783896">
      <w:bodyDiv w:val="1"/>
      <w:marLeft w:val="0"/>
      <w:marRight w:val="0"/>
      <w:marTop w:val="0"/>
      <w:marBottom w:val="0"/>
      <w:divBdr>
        <w:top w:val="none" w:sz="0" w:space="0" w:color="auto"/>
        <w:left w:val="none" w:sz="0" w:space="0" w:color="auto"/>
        <w:bottom w:val="none" w:sz="0" w:space="0" w:color="auto"/>
        <w:right w:val="none" w:sz="0" w:space="0" w:color="auto"/>
      </w:divBdr>
    </w:div>
    <w:div w:id="1221400255">
      <w:bodyDiv w:val="1"/>
      <w:marLeft w:val="0"/>
      <w:marRight w:val="0"/>
      <w:marTop w:val="0"/>
      <w:marBottom w:val="0"/>
      <w:divBdr>
        <w:top w:val="none" w:sz="0" w:space="0" w:color="auto"/>
        <w:left w:val="none" w:sz="0" w:space="0" w:color="auto"/>
        <w:bottom w:val="none" w:sz="0" w:space="0" w:color="auto"/>
        <w:right w:val="none" w:sz="0" w:space="0" w:color="auto"/>
      </w:divBdr>
      <w:divsChild>
        <w:div w:id="1453134914">
          <w:marLeft w:val="-720"/>
          <w:marRight w:val="0"/>
          <w:marTop w:val="0"/>
          <w:marBottom w:val="0"/>
          <w:divBdr>
            <w:top w:val="none" w:sz="0" w:space="0" w:color="auto"/>
            <w:left w:val="none" w:sz="0" w:space="0" w:color="auto"/>
            <w:bottom w:val="none" w:sz="0" w:space="0" w:color="auto"/>
            <w:right w:val="none" w:sz="0" w:space="0" w:color="auto"/>
          </w:divBdr>
        </w:div>
      </w:divsChild>
    </w:div>
    <w:div w:id="1316759238">
      <w:bodyDiv w:val="1"/>
      <w:marLeft w:val="0"/>
      <w:marRight w:val="0"/>
      <w:marTop w:val="0"/>
      <w:marBottom w:val="0"/>
      <w:divBdr>
        <w:top w:val="none" w:sz="0" w:space="0" w:color="auto"/>
        <w:left w:val="none" w:sz="0" w:space="0" w:color="auto"/>
        <w:bottom w:val="none" w:sz="0" w:space="0" w:color="auto"/>
        <w:right w:val="none" w:sz="0" w:space="0" w:color="auto"/>
      </w:divBdr>
    </w:div>
    <w:div w:id="1324578056">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369917073">
      <w:bodyDiv w:val="1"/>
      <w:marLeft w:val="0"/>
      <w:marRight w:val="0"/>
      <w:marTop w:val="0"/>
      <w:marBottom w:val="0"/>
      <w:divBdr>
        <w:top w:val="none" w:sz="0" w:space="0" w:color="auto"/>
        <w:left w:val="none" w:sz="0" w:space="0" w:color="auto"/>
        <w:bottom w:val="none" w:sz="0" w:space="0" w:color="auto"/>
        <w:right w:val="none" w:sz="0" w:space="0" w:color="auto"/>
      </w:divBdr>
      <w:divsChild>
        <w:div w:id="1942646470">
          <w:marLeft w:val="-720"/>
          <w:marRight w:val="0"/>
          <w:marTop w:val="0"/>
          <w:marBottom w:val="0"/>
          <w:divBdr>
            <w:top w:val="none" w:sz="0" w:space="0" w:color="auto"/>
            <w:left w:val="none" w:sz="0" w:space="0" w:color="auto"/>
            <w:bottom w:val="none" w:sz="0" w:space="0" w:color="auto"/>
            <w:right w:val="none" w:sz="0" w:space="0" w:color="auto"/>
          </w:divBdr>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61076208">
      <w:bodyDiv w:val="1"/>
      <w:marLeft w:val="0"/>
      <w:marRight w:val="0"/>
      <w:marTop w:val="0"/>
      <w:marBottom w:val="0"/>
      <w:divBdr>
        <w:top w:val="none" w:sz="0" w:space="0" w:color="auto"/>
        <w:left w:val="none" w:sz="0" w:space="0" w:color="auto"/>
        <w:bottom w:val="none" w:sz="0" w:space="0" w:color="auto"/>
        <w:right w:val="none" w:sz="0" w:space="0" w:color="auto"/>
      </w:divBdr>
      <w:divsChild>
        <w:div w:id="1711148746">
          <w:marLeft w:val="0"/>
          <w:marRight w:val="0"/>
          <w:marTop w:val="0"/>
          <w:marBottom w:val="0"/>
          <w:divBdr>
            <w:top w:val="none" w:sz="0" w:space="0" w:color="auto"/>
            <w:left w:val="none" w:sz="0" w:space="0" w:color="auto"/>
            <w:bottom w:val="none" w:sz="0" w:space="0" w:color="auto"/>
            <w:right w:val="none" w:sz="0" w:space="0" w:color="auto"/>
          </w:divBdr>
          <w:divsChild>
            <w:div w:id="1915384502">
              <w:marLeft w:val="0"/>
              <w:marRight w:val="0"/>
              <w:marTop w:val="0"/>
              <w:marBottom w:val="0"/>
              <w:divBdr>
                <w:top w:val="none" w:sz="0" w:space="0" w:color="auto"/>
                <w:left w:val="none" w:sz="0" w:space="0" w:color="auto"/>
                <w:bottom w:val="none" w:sz="0" w:space="0" w:color="auto"/>
                <w:right w:val="none" w:sz="0" w:space="0" w:color="auto"/>
              </w:divBdr>
              <w:divsChild>
                <w:div w:id="1552962192">
                  <w:marLeft w:val="0"/>
                  <w:marRight w:val="0"/>
                  <w:marTop w:val="0"/>
                  <w:marBottom w:val="0"/>
                  <w:divBdr>
                    <w:top w:val="none" w:sz="0" w:space="0" w:color="auto"/>
                    <w:left w:val="none" w:sz="0" w:space="0" w:color="auto"/>
                    <w:bottom w:val="none" w:sz="0" w:space="0" w:color="auto"/>
                    <w:right w:val="none" w:sz="0" w:space="0" w:color="auto"/>
                  </w:divBdr>
                  <w:divsChild>
                    <w:div w:id="713844108">
                      <w:marLeft w:val="0"/>
                      <w:marRight w:val="0"/>
                      <w:marTop w:val="0"/>
                      <w:marBottom w:val="0"/>
                      <w:divBdr>
                        <w:top w:val="none" w:sz="0" w:space="0" w:color="auto"/>
                        <w:left w:val="none" w:sz="0" w:space="0" w:color="auto"/>
                        <w:bottom w:val="none" w:sz="0" w:space="0" w:color="auto"/>
                        <w:right w:val="none" w:sz="0" w:space="0" w:color="auto"/>
                      </w:divBdr>
                      <w:divsChild>
                        <w:div w:id="1186601236">
                          <w:marLeft w:val="0"/>
                          <w:marRight w:val="0"/>
                          <w:marTop w:val="0"/>
                          <w:marBottom w:val="0"/>
                          <w:divBdr>
                            <w:top w:val="none" w:sz="0" w:space="0" w:color="auto"/>
                            <w:left w:val="none" w:sz="0" w:space="0" w:color="auto"/>
                            <w:bottom w:val="none" w:sz="0" w:space="0" w:color="auto"/>
                            <w:right w:val="none" w:sz="0" w:space="0" w:color="auto"/>
                          </w:divBdr>
                          <w:divsChild>
                            <w:div w:id="38275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2229114">
      <w:bodyDiv w:val="1"/>
      <w:marLeft w:val="0"/>
      <w:marRight w:val="0"/>
      <w:marTop w:val="0"/>
      <w:marBottom w:val="0"/>
      <w:divBdr>
        <w:top w:val="none" w:sz="0" w:space="0" w:color="auto"/>
        <w:left w:val="none" w:sz="0" w:space="0" w:color="auto"/>
        <w:bottom w:val="none" w:sz="0" w:space="0" w:color="auto"/>
        <w:right w:val="none" w:sz="0" w:space="0" w:color="auto"/>
      </w:divBdr>
      <w:divsChild>
        <w:div w:id="1507555835">
          <w:marLeft w:val="0"/>
          <w:marRight w:val="0"/>
          <w:marTop w:val="0"/>
          <w:marBottom w:val="0"/>
          <w:divBdr>
            <w:top w:val="none" w:sz="0" w:space="0" w:color="auto"/>
            <w:left w:val="none" w:sz="0" w:space="0" w:color="auto"/>
            <w:bottom w:val="none" w:sz="0" w:space="0" w:color="auto"/>
            <w:right w:val="none" w:sz="0" w:space="0" w:color="auto"/>
          </w:divBdr>
          <w:divsChild>
            <w:div w:id="370114298">
              <w:marLeft w:val="0"/>
              <w:marRight w:val="0"/>
              <w:marTop w:val="0"/>
              <w:marBottom w:val="0"/>
              <w:divBdr>
                <w:top w:val="none" w:sz="0" w:space="0" w:color="auto"/>
                <w:left w:val="none" w:sz="0" w:space="0" w:color="auto"/>
                <w:bottom w:val="none" w:sz="0" w:space="0" w:color="auto"/>
                <w:right w:val="none" w:sz="0" w:space="0" w:color="auto"/>
              </w:divBdr>
              <w:divsChild>
                <w:div w:id="1296253210">
                  <w:marLeft w:val="0"/>
                  <w:marRight w:val="0"/>
                  <w:marTop w:val="0"/>
                  <w:marBottom w:val="0"/>
                  <w:divBdr>
                    <w:top w:val="none" w:sz="0" w:space="0" w:color="auto"/>
                    <w:left w:val="none" w:sz="0" w:space="0" w:color="auto"/>
                    <w:bottom w:val="none" w:sz="0" w:space="0" w:color="auto"/>
                    <w:right w:val="none" w:sz="0" w:space="0" w:color="auto"/>
                  </w:divBdr>
                  <w:divsChild>
                    <w:div w:id="159026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540466">
          <w:marLeft w:val="0"/>
          <w:marRight w:val="0"/>
          <w:marTop w:val="0"/>
          <w:marBottom w:val="0"/>
          <w:divBdr>
            <w:top w:val="none" w:sz="0" w:space="0" w:color="auto"/>
            <w:left w:val="none" w:sz="0" w:space="0" w:color="auto"/>
            <w:bottom w:val="none" w:sz="0" w:space="0" w:color="auto"/>
            <w:right w:val="none" w:sz="0" w:space="0" w:color="auto"/>
          </w:divBdr>
          <w:divsChild>
            <w:div w:id="540213980">
              <w:marLeft w:val="0"/>
              <w:marRight w:val="0"/>
              <w:marTop w:val="0"/>
              <w:marBottom w:val="0"/>
              <w:divBdr>
                <w:top w:val="none" w:sz="0" w:space="0" w:color="auto"/>
                <w:left w:val="none" w:sz="0" w:space="0" w:color="auto"/>
                <w:bottom w:val="none" w:sz="0" w:space="0" w:color="auto"/>
                <w:right w:val="none" w:sz="0" w:space="0" w:color="auto"/>
              </w:divBdr>
              <w:divsChild>
                <w:div w:id="448162250">
                  <w:marLeft w:val="0"/>
                  <w:marRight w:val="0"/>
                  <w:marTop w:val="0"/>
                  <w:marBottom w:val="0"/>
                  <w:divBdr>
                    <w:top w:val="none" w:sz="0" w:space="0" w:color="auto"/>
                    <w:left w:val="none" w:sz="0" w:space="0" w:color="auto"/>
                    <w:bottom w:val="none" w:sz="0" w:space="0" w:color="auto"/>
                    <w:right w:val="none" w:sz="0" w:space="0" w:color="auto"/>
                  </w:divBdr>
                  <w:divsChild>
                    <w:div w:id="133591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43590">
      <w:bodyDiv w:val="1"/>
      <w:marLeft w:val="0"/>
      <w:marRight w:val="0"/>
      <w:marTop w:val="0"/>
      <w:marBottom w:val="0"/>
      <w:divBdr>
        <w:top w:val="none" w:sz="0" w:space="0" w:color="auto"/>
        <w:left w:val="none" w:sz="0" w:space="0" w:color="auto"/>
        <w:bottom w:val="none" w:sz="0" w:space="0" w:color="auto"/>
        <w:right w:val="none" w:sz="0" w:space="0" w:color="auto"/>
      </w:divBdr>
      <w:divsChild>
        <w:div w:id="616526291">
          <w:marLeft w:val="-720"/>
          <w:marRight w:val="0"/>
          <w:marTop w:val="0"/>
          <w:marBottom w:val="0"/>
          <w:divBdr>
            <w:top w:val="none" w:sz="0" w:space="0" w:color="auto"/>
            <w:left w:val="none" w:sz="0" w:space="0" w:color="auto"/>
            <w:bottom w:val="none" w:sz="0" w:space="0" w:color="auto"/>
            <w:right w:val="none" w:sz="0" w:space="0" w:color="auto"/>
          </w:divBdr>
        </w:div>
      </w:divsChild>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75430652">
      <w:bodyDiv w:val="1"/>
      <w:marLeft w:val="0"/>
      <w:marRight w:val="0"/>
      <w:marTop w:val="0"/>
      <w:marBottom w:val="0"/>
      <w:divBdr>
        <w:top w:val="none" w:sz="0" w:space="0" w:color="auto"/>
        <w:left w:val="none" w:sz="0" w:space="0" w:color="auto"/>
        <w:bottom w:val="none" w:sz="0" w:space="0" w:color="auto"/>
        <w:right w:val="none" w:sz="0" w:space="0" w:color="auto"/>
      </w:divBdr>
    </w:div>
    <w:div w:id="1587036463">
      <w:bodyDiv w:val="1"/>
      <w:marLeft w:val="0"/>
      <w:marRight w:val="0"/>
      <w:marTop w:val="0"/>
      <w:marBottom w:val="0"/>
      <w:divBdr>
        <w:top w:val="none" w:sz="0" w:space="0" w:color="auto"/>
        <w:left w:val="none" w:sz="0" w:space="0" w:color="auto"/>
        <w:bottom w:val="none" w:sz="0" w:space="0" w:color="auto"/>
        <w:right w:val="none" w:sz="0" w:space="0" w:color="auto"/>
      </w:divBdr>
    </w:div>
    <w:div w:id="1627815567">
      <w:bodyDiv w:val="1"/>
      <w:marLeft w:val="0"/>
      <w:marRight w:val="0"/>
      <w:marTop w:val="0"/>
      <w:marBottom w:val="0"/>
      <w:divBdr>
        <w:top w:val="none" w:sz="0" w:space="0" w:color="auto"/>
        <w:left w:val="none" w:sz="0" w:space="0" w:color="auto"/>
        <w:bottom w:val="none" w:sz="0" w:space="0" w:color="auto"/>
        <w:right w:val="none" w:sz="0" w:space="0" w:color="auto"/>
      </w:divBdr>
    </w:div>
    <w:div w:id="1635064208">
      <w:bodyDiv w:val="1"/>
      <w:marLeft w:val="0"/>
      <w:marRight w:val="0"/>
      <w:marTop w:val="0"/>
      <w:marBottom w:val="0"/>
      <w:divBdr>
        <w:top w:val="none" w:sz="0" w:space="0" w:color="auto"/>
        <w:left w:val="none" w:sz="0" w:space="0" w:color="auto"/>
        <w:bottom w:val="none" w:sz="0" w:space="0" w:color="auto"/>
        <w:right w:val="none" w:sz="0" w:space="0" w:color="auto"/>
      </w:divBdr>
    </w:div>
    <w:div w:id="1669552337">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775054933">
      <w:bodyDiv w:val="1"/>
      <w:marLeft w:val="0"/>
      <w:marRight w:val="0"/>
      <w:marTop w:val="0"/>
      <w:marBottom w:val="0"/>
      <w:divBdr>
        <w:top w:val="none" w:sz="0" w:space="0" w:color="auto"/>
        <w:left w:val="none" w:sz="0" w:space="0" w:color="auto"/>
        <w:bottom w:val="none" w:sz="0" w:space="0" w:color="auto"/>
        <w:right w:val="none" w:sz="0" w:space="0" w:color="auto"/>
      </w:divBdr>
    </w:div>
    <w:div w:id="1840657780">
      <w:bodyDiv w:val="1"/>
      <w:marLeft w:val="0"/>
      <w:marRight w:val="0"/>
      <w:marTop w:val="0"/>
      <w:marBottom w:val="0"/>
      <w:divBdr>
        <w:top w:val="none" w:sz="0" w:space="0" w:color="auto"/>
        <w:left w:val="none" w:sz="0" w:space="0" w:color="auto"/>
        <w:bottom w:val="none" w:sz="0" w:space="0" w:color="auto"/>
        <w:right w:val="none" w:sz="0" w:space="0" w:color="auto"/>
      </w:divBdr>
      <w:divsChild>
        <w:div w:id="480387878">
          <w:marLeft w:val="-720"/>
          <w:marRight w:val="0"/>
          <w:marTop w:val="0"/>
          <w:marBottom w:val="0"/>
          <w:divBdr>
            <w:top w:val="none" w:sz="0" w:space="0" w:color="auto"/>
            <w:left w:val="none" w:sz="0" w:space="0" w:color="auto"/>
            <w:bottom w:val="none" w:sz="0" w:space="0" w:color="auto"/>
            <w:right w:val="none" w:sz="0" w:space="0" w:color="auto"/>
          </w:divBdr>
        </w:div>
      </w:divsChild>
    </w:div>
    <w:div w:id="1853497081">
      <w:bodyDiv w:val="1"/>
      <w:marLeft w:val="0"/>
      <w:marRight w:val="0"/>
      <w:marTop w:val="0"/>
      <w:marBottom w:val="0"/>
      <w:divBdr>
        <w:top w:val="none" w:sz="0" w:space="0" w:color="auto"/>
        <w:left w:val="none" w:sz="0" w:space="0" w:color="auto"/>
        <w:bottom w:val="none" w:sz="0" w:space="0" w:color="auto"/>
        <w:right w:val="none" w:sz="0" w:space="0" w:color="auto"/>
      </w:divBdr>
    </w:div>
    <w:div w:id="1970697402">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nh.gov.co/es/operaciones-y-regal&#237;as/sistemas-integrados-operaciones/estad&#237;sticas-de-producci&#243;n/" TargetMode="External"/><Relationship Id="rId18" Type="http://schemas.openxmlformats.org/officeDocument/2006/relationships/hyperlink" Target="https://doi.org/10.18273/REVFUE.V18N2-2020001" TargetMode="External"/><Relationship Id="rId26" Type="http://schemas.openxmlformats.org/officeDocument/2006/relationships/hyperlink" Target="https://doi.org/10.1016/j.inoche.2023.110687" TargetMode="External"/><Relationship Id="rId3" Type="http://schemas.openxmlformats.org/officeDocument/2006/relationships/styles" Target="styles.xml"/><Relationship Id="rId21" Type="http://schemas.openxmlformats.org/officeDocument/2006/relationships/hyperlink" Target="https://doi.org/10.1016/b978-0-12-812792-6.00004-2"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doi.org/10.1021/acs.iecr.1c01788" TargetMode="External"/><Relationship Id="rId25" Type="http://schemas.openxmlformats.org/officeDocument/2006/relationships/hyperlink" Target="https://doi.org/10.1002/wer.1633" TargetMode="External"/><Relationship Id="rId2" Type="http://schemas.openxmlformats.org/officeDocument/2006/relationships/numbering" Target="numbering.xml"/><Relationship Id="rId16" Type="http://schemas.openxmlformats.org/officeDocument/2006/relationships/hyperlink" Target="https://doi.org/10.3303/CET24108004" TargetMode="External"/><Relationship Id="rId20" Type="http://schemas.openxmlformats.org/officeDocument/2006/relationships/hyperlink" Target="http://hdl.handle.net/20.500.12010/8244" TargetMode="External"/><Relationship Id="rId29" Type="http://schemas.openxmlformats.org/officeDocument/2006/relationships/hyperlink" Target="https://doi.org/10.1016/j.jece.2022.1073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doi.org/10.1016/j.micromeso.2022.112255" TargetMode="External"/><Relationship Id="rId5" Type="http://schemas.openxmlformats.org/officeDocument/2006/relationships/webSettings" Target="webSettings.xml"/><Relationship Id="rId15" Type="http://schemas.openxmlformats.org/officeDocument/2006/relationships/hyperlink" Target="https://doi.org/10.1016/j.biteb.2022.101137" TargetMode="External"/><Relationship Id="rId23" Type="http://schemas.openxmlformats.org/officeDocument/2006/relationships/hyperlink" Target="https://doi.org/10.1007/s10668-023-04168-y" TargetMode="External"/><Relationship Id="rId28" Type="http://schemas.openxmlformats.org/officeDocument/2006/relationships/hyperlink" Target="https://doi.org/10.1016/j.arabjc.2024.105704" TargetMode="External"/><Relationship Id="rId10" Type="http://schemas.openxmlformats.org/officeDocument/2006/relationships/image" Target="media/image3.emf"/><Relationship Id="rId19" Type="http://schemas.openxmlformats.org/officeDocument/2006/relationships/hyperlink" Target="https://doi.org/10.3390/ma14247607"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oi.org/10.1088/1748-9326/aa8390" TargetMode="External"/><Relationship Id="rId22" Type="http://schemas.openxmlformats.org/officeDocument/2006/relationships/hyperlink" Target="https://doi.org/10.1016/j.jwpe.2023.104054" TargetMode="External"/><Relationship Id="rId27" Type="http://schemas.openxmlformats.org/officeDocument/2006/relationships/hyperlink" Target="https://doi.org/10.15446/dyna.v84n202.63686" TargetMode="External"/><Relationship Id="rId30"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1E894-B9A0-45B1-929A-73D7C40CF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5026</Words>
  <Characters>27644</Characters>
  <Application>Microsoft Office Word</Application>
  <DocSecurity>0</DocSecurity>
  <Lines>564</Lines>
  <Paragraphs>253</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32417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ADAN YOVANI LEON BERMÚDEZ</cp:lastModifiedBy>
  <cp:revision>5</cp:revision>
  <cp:lastPrinted>2024-12-16T00:36:00Z</cp:lastPrinted>
  <dcterms:created xsi:type="dcterms:W3CDTF">2025-04-14T21:48:00Z</dcterms:created>
  <dcterms:modified xsi:type="dcterms:W3CDTF">2025-04-15T00:02:00Z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6d8dc7ee344699478f1f4bd94636115529a95b2c00e0e1ea7817e5df8276e021</vt:lpwstr>
  </property>
</Properties>
</file>